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269E9A">
      <w:pPr>
        <w:spacing w:line="303" w:lineRule="auto"/>
        <w:rPr>
          <w:rFonts w:ascii="Arial"/>
          <w:sz w:val="21"/>
        </w:rPr>
      </w:pPr>
    </w:p>
    <w:p w14:paraId="692B3381">
      <w:pPr>
        <w:spacing w:line="304" w:lineRule="auto"/>
        <w:rPr>
          <w:rFonts w:ascii="Arial"/>
          <w:sz w:val="21"/>
        </w:rPr>
      </w:pPr>
    </w:p>
    <w:p w14:paraId="030AB83D">
      <w:pPr>
        <w:spacing w:line="304" w:lineRule="auto"/>
        <w:rPr>
          <w:rFonts w:ascii="Arial"/>
          <w:sz w:val="21"/>
        </w:rPr>
      </w:pPr>
    </w:p>
    <w:p w14:paraId="4A1CA522">
      <w:pPr>
        <w:pStyle w:val="2"/>
        <w:spacing w:before="110" w:line="222" w:lineRule="auto"/>
        <w:jc w:val="center"/>
        <w:outlineLvl w:val="0"/>
        <w:rPr>
          <w:b/>
          <w:bCs/>
          <w:color w:val="auto"/>
          <w:spacing w:val="132"/>
          <w:sz w:val="52"/>
          <w:szCs w:val="52"/>
        </w:rPr>
      </w:pPr>
      <w:r>
        <w:rPr>
          <w:b/>
          <w:bCs/>
          <w:color w:val="auto"/>
          <w:spacing w:val="132"/>
          <w:sz w:val="52"/>
          <w:szCs w:val="52"/>
        </w:rPr>
        <w:t>巴克图口岸公共物业服务项目</w:t>
      </w:r>
    </w:p>
    <w:p w14:paraId="54299C57">
      <w:pPr>
        <w:pStyle w:val="2"/>
        <w:spacing w:before="110" w:line="222" w:lineRule="auto"/>
        <w:jc w:val="center"/>
        <w:outlineLvl w:val="0"/>
        <w:rPr>
          <w:color w:val="auto"/>
          <w:sz w:val="52"/>
          <w:szCs w:val="52"/>
        </w:rPr>
      </w:pPr>
      <w:r>
        <w:rPr>
          <w:b/>
          <w:bCs/>
          <w:color w:val="auto"/>
          <w:spacing w:val="132"/>
          <w:sz w:val="52"/>
          <w:szCs w:val="52"/>
        </w:rPr>
        <w:t>公开招标文件</w:t>
      </w:r>
    </w:p>
    <w:p w14:paraId="78F64785">
      <w:pPr>
        <w:spacing w:before="1"/>
      </w:pPr>
    </w:p>
    <w:p w14:paraId="37CAC88B">
      <w:pPr>
        <w:spacing w:before="1"/>
      </w:pPr>
    </w:p>
    <w:p w14:paraId="730C8245">
      <w:pPr>
        <w:spacing w:before="1"/>
      </w:pPr>
    </w:p>
    <w:p w14:paraId="0D1C37CE">
      <w:pPr>
        <w:spacing w:before="1"/>
      </w:pPr>
    </w:p>
    <w:p w14:paraId="63B0CB97">
      <w:pPr>
        <w:spacing w:before="1"/>
      </w:pPr>
    </w:p>
    <w:p w14:paraId="2C48F480">
      <w:pPr>
        <w:spacing w:before="1"/>
      </w:pPr>
    </w:p>
    <w:p w14:paraId="767B2074">
      <w:pPr>
        <w:spacing w:before="1"/>
      </w:pPr>
    </w:p>
    <w:p w14:paraId="6A1E1B21"/>
    <w:p w14:paraId="1AB5D7D9"/>
    <w:p w14:paraId="362115DA"/>
    <w:p w14:paraId="0B2605BE"/>
    <w:p w14:paraId="4BA5FE08"/>
    <w:p w14:paraId="15E6361E"/>
    <w:tbl>
      <w:tblPr>
        <w:tblStyle w:val="13"/>
        <w:tblW w:w="957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918"/>
        <w:gridCol w:w="7654"/>
      </w:tblGrid>
      <w:tr w14:paraId="1040668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1918" w:type="dxa"/>
            <w:vAlign w:val="top"/>
          </w:tcPr>
          <w:p w14:paraId="1F2ECB19">
            <w:pPr>
              <w:pStyle w:val="14"/>
              <w:spacing w:line="220" w:lineRule="auto"/>
              <w:jc w:val="right"/>
            </w:pPr>
            <w:r>
              <w:rPr>
                <w:b/>
                <w:bCs/>
                <w:spacing w:val="-33"/>
              </w:rPr>
              <w:t>项</w:t>
            </w:r>
            <w:r>
              <w:rPr>
                <w:spacing w:val="59"/>
              </w:rPr>
              <w:t xml:space="preserve"> </w:t>
            </w:r>
            <w:r>
              <w:rPr>
                <w:b/>
                <w:bCs/>
                <w:spacing w:val="-33"/>
              </w:rPr>
              <w:t>目</w:t>
            </w:r>
            <w:r>
              <w:rPr>
                <w:spacing w:val="12"/>
              </w:rPr>
              <w:t xml:space="preserve"> </w:t>
            </w:r>
            <w:r>
              <w:rPr>
                <w:b/>
                <w:bCs/>
                <w:spacing w:val="-33"/>
              </w:rPr>
              <w:t>名</w:t>
            </w:r>
            <w:r>
              <w:rPr>
                <w:spacing w:val="11"/>
              </w:rPr>
              <w:t xml:space="preserve"> </w:t>
            </w:r>
            <w:r>
              <w:rPr>
                <w:b/>
                <w:bCs/>
                <w:spacing w:val="-33"/>
              </w:rPr>
              <w:t>称</w:t>
            </w:r>
            <w:r>
              <w:rPr>
                <w:spacing w:val="18"/>
              </w:rPr>
              <w:t xml:space="preserve">  </w:t>
            </w:r>
            <w:r>
              <w:rPr>
                <w:b/>
                <w:bCs/>
                <w:spacing w:val="-33"/>
              </w:rPr>
              <w:t>：</w:t>
            </w:r>
          </w:p>
        </w:tc>
        <w:tc>
          <w:tcPr>
            <w:tcW w:w="7654" w:type="dxa"/>
            <w:vAlign w:val="top"/>
          </w:tcPr>
          <w:p w14:paraId="64151D5E">
            <w:pPr>
              <w:pStyle w:val="14"/>
              <w:spacing w:line="218" w:lineRule="auto"/>
              <w:ind w:left="147"/>
            </w:pPr>
            <w:r>
              <w:rPr>
                <w:rFonts w:ascii="宋体" w:hAnsi="宋体" w:eastAsia="宋体" w:cs="宋体"/>
                <w:b/>
                <w:bCs/>
                <w:snapToGrid w:val="0"/>
                <w:color w:val="C00000"/>
                <w:spacing w:val="-4"/>
                <w:kern w:val="0"/>
                <w:sz w:val="24"/>
                <w:szCs w:val="24"/>
                <w:lang w:val="en-US" w:eastAsia="en-US"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巴克图口岸公共物业服务项目</w:t>
            </w:r>
          </w:p>
        </w:tc>
      </w:tr>
      <w:tr w14:paraId="107D0C7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95" w:hRule="atLeast"/>
        </w:trPr>
        <w:tc>
          <w:tcPr>
            <w:tcW w:w="1918" w:type="dxa"/>
            <w:vAlign w:val="top"/>
          </w:tcPr>
          <w:p w14:paraId="6B63DF63">
            <w:pPr>
              <w:pStyle w:val="14"/>
              <w:spacing w:before="134" w:line="219" w:lineRule="auto"/>
              <w:jc w:val="right"/>
            </w:pPr>
            <w:r>
              <w:rPr>
                <w:b/>
                <w:bCs/>
                <w:spacing w:val="-34"/>
              </w:rPr>
              <w:t>项</w:t>
            </w:r>
            <w:r>
              <w:rPr>
                <w:spacing w:val="58"/>
              </w:rPr>
              <w:t xml:space="preserve"> </w:t>
            </w:r>
            <w:r>
              <w:rPr>
                <w:b/>
                <w:bCs/>
                <w:spacing w:val="-34"/>
              </w:rPr>
              <w:t>目</w:t>
            </w:r>
            <w:r>
              <w:rPr>
                <w:spacing w:val="12"/>
              </w:rPr>
              <w:t xml:space="preserve"> </w:t>
            </w:r>
            <w:r>
              <w:rPr>
                <w:b/>
                <w:bCs/>
                <w:spacing w:val="-34"/>
              </w:rPr>
              <w:t>编</w:t>
            </w:r>
            <w:r>
              <w:rPr>
                <w:spacing w:val="17"/>
              </w:rPr>
              <w:t xml:space="preserve"> </w:t>
            </w:r>
            <w:r>
              <w:rPr>
                <w:b/>
                <w:bCs/>
                <w:spacing w:val="-34"/>
              </w:rPr>
              <w:t>号</w:t>
            </w:r>
            <w:r>
              <w:rPr>
                <w:spacing w:val="18"/>
              </w:rPr>
              <w:t xml:space="preserve">  </w:t>
            </w:r>
            <w:r>
              <w:rPr>
                <w:b/>
                <w:bCs/>
                <w:spacing w:val="-34"/>
              </w:rPr>
              <w:t>：</w:t>
            </w:r>
          </w:p>
        </w:tc>
        <w:tc>
          <w:tcPr>
            <w:tcW w:w="7654" w:type="dxa"/>
            <w:vAlign w:val="top"/>
          </w:tcPr>
          <w:p w14:paraId="34BDE580">
            <w:pPr>
              <w:pStyle w:val="14"/>
              <w:spacing w:before="134" w:line="218" w:lineRule="auto"/>
              <w:ind w:left="144"/>
              <w:rPr>
                <w:rFonts w:hint="default" w:eastAsia="宋体"/>
                <w:lang w:val="en-US" w:eastAsia="zh-CN"/>
              </w:rPr>
            </w:pPr>
            <w:r>
              <w:rPr>
                <w:rFonts w:hint="eastAsia" w:ascii="宋体" w:hAnsi="宋体" w:cs="宋体"/>
                <w:b/>
                <w:bCs/>
                <w:color w:val="auto"/>
                <w:w w:val="110"/>
                <w:sz w:val="28"/>
                <w:szCs w:val="28"/>
              </w:rPr>
              <w:t>TCZFCG-202</w:t>
            </w:r>
            <w:r>
              <w:rPr>
                <w:rFonts w:hint="eastAsia" w:ascii="宋体" w:hAnsi="宋体" w:cs="宋体"/>
                <w:b/>
                <w:bCs/>
                <w:color w:val="auto"/>
                <w:w w:val="110"/>
                <w:sz w:val="28"/>
                <w:szCs w:val="28"/>
                <w:lang w:val="en-US" w:eastAsia="zh-CN"/>
              </w:rPr>
              <w:t>5</w:t>
            </w:r>
            <w:r>
              <w:rPr>
                <w:rFonts w:hint="eastAsia" w:ascii="宋体" w:hAnsi="宋体" w:cs="宋体"/>
                <w:b/>
                <w:bCs/>
                <w:color w:val="auto"/>
                <w:w w:val="110"/>
                <w:sz w:val="28"/>
                <w:szCs w:val="28"/>
              </w:rPr>
              <w:t>0</w:t>
            </w:r>
            <w:r>
              <w:rPr>
                <w:rFonts w:hint="eastAsia" w:ascii="宋体" w:hAnsi="宋体" w:cs="宋体"/>
                <w:b/>
                <w:bCs/>
                <w:color w:val="auto"/>
                <w:w w:val="110"/>
                <w:sz w:val="28"/>
                <w:szCs w:val="28"/>
                <w:lang w:val="en-US" w:eastAsia="zh-CN"/>
              </w:rPr>
              <w:t>14</w:t>
            </w:r>
          </w:p>
        </w:tc>
      </w:tr>
      <w:tr w14:paraId="66EDEED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80" w:hRule="atLeast"/>
        </w:trPr>
        <w:tc>
          <w:tcPr>
            <w:tcW w:w="1918" w:type="dxa"/>
            <w:tcBorders>
              <w:bottom w:val="single" w:color="000000" w:sz="2" w:space="0"/>
            </w:tcBorders>
            <w:vAlign w:val="top"/>
          </w:tcPr>
          <w:p w14:paraId="2E395629">
            <w:pPr>
              <w:pStyle w:val="14"/>
              <w:spacing w:before="126" w:line="220" w:lineRule="auto"/>
              <w:jc w:val="right"/>
            </w:pPr>
            <w:r>
              <w:rPr>
                <w:b/>
                <w:bCs/>
                <w:spacing w:val="-26"/>
              </w:rPr>
              <w:t>招</w:t>
            </w:r>
            <w:r>
              <w:rPr>
                <w:spacing w:val="6"/>
              </w:rPr>
              <w:t xml:space="preserve">  </w:t>
            </w:r>
            <w:r>
              <w:rPr>
                <w:b/>
                <w:bCs/>
                <w:spacing w:val="-26"/>
              </w:rPr>
              <w:t>标</w:t>
            </w:r>
            <w:r>
              <w:rPr>
                <w:spacing w:val="6"/>
              </w:rPr>
              <w:t xml:space="preserve">  </w:t>
            </w:r>
            <w:r>
              <w:rPr>
                <w:b/>
                <w:bCs/>
                <w:spacing w:val="-26"/>
              </w:rPr>
              <w:t>人</w:t>
            </w:r>
            <w:r>
              <w:rPr>
                <w:spacing w:val="13"/>
              </w:rPr>
              <w:t xml:space="preserve">   </w:t>
            </w:r>
            <w:r>
              <w:rPr>
                <w:b/>
                <w:bCs/>
                <w:spacing w:val="-26"/>
              </w:rPr>
              <w:t>：</w:t>
            </w:r>
          </w:p>
        </w:tc>
        <w:tc>
          <w:tcPr>
            <w:tcW w:w="7654" w:type="dxa"/>
            <w:tcBorders>
              <w:bottom w:val="single" w:color="000000" w:sz="2" w:space="0"/>
            </w:tcBorders>
            <w:vAlign w:val="top"/>
          </w:tcPr>
          <w:p w14:paraId="43B428AA">
            <w:pPr>
              <w:pStyle w:val="14"/>
              <w:spacing w:before="271" w:line="219" w:lineRule="auto"/>
              <w:ind w:left="147"/>
            </w:pPr>
            <w:r>
              <w:rPr>
                <w:b/>
                <w:bCs/>
              </w:rPr>
              <w:t>伊犁哈萨克自治州塔城地区口岸管理委员会</w:t>
            </w:r>
          </w:p>
        </w:tc>
      </w:tr>
    </w:tbl>
    <w:p w14:paraId="3249B4B8">
      <w:pPr>
        <w:pStyle w:val="2"/>
        <w:spacing w:before="56" w:line="219" w:lineRule="auto"/>
        <w:ind w:left="116"/>
      </w:pPr>
      <w:r>
        <w:rPr>
          <w:b/>
          <w:bCs/>
          <w:spacing w:val="-4"/>
        </w:rPr>
        <w:t>代</w:t>
      </w:r>
      <w:r>
        <w:rPr>
          <w:spacing w:val="-4"/>
        </w:rPr>
        <w:t xml:space="preserve"> </w:t>
      </w:r>
      <w:r>
        <w:rPr>
          <w:b/>
          <w:bCs/>
          <w:spacing w:val="-4"/>
        </w:rPr>
        <w:t>理</w:t>
      </w:r>
      <w:r>
        <w:rPr>
          <w:spacing w:val="-4"/>
        </w:rPr>
        <w:t xml:space="preserve"> </w:t>
      </w:r>
      <w:r>
        <w:rPr>
          <w:b/>
          <w:bCs/>
          <w:spacing w:val="-4"/>
        </w:rPr>
        <w:t>机</w:t>
      </w:r>
      <w:r>
        <w:rPr>
          <w:spacing w:val="-4"/>
        </w:rPr>
        <w:t xml:space="preserve"> </w:t>
      </w:r>
      <w:r>
        <w:rPr>
          <w:b/>
          <w:bCs/>
          <w:spacing w:val="-4"/>
        </w:rPr>
        <w:t>构</w:t>
      </w:r>
      <w:r>
        <w:rPr>
          <w:spacing w:val="38"/>
        </w:rPr>
        <w:t xml:space="preserve">  </w:t>
      </w:r>
      <w:r>
        <w:rPr>
          <w:b/>
          <w:bCs/>
          <w:spacing w:val="-4"/>
        </w:rPr>
        <w:t>：</w:t>
      </w:r>
      <w:r>
        <w:rPr>
          <w:spacing w:val="-4"/>
        </w:rPr>
        <w:t xml:space="preserve"> </w:t>
      </w:r>
      <w:r>
        <w:rPr>
          <w:rFonts w:hint="eastAsia"/>
          <w:b/>
          <w:bCs/>
          <w:spacing w:val="-4"/>
        </w:rPr>
        <w:t>塔城地区政务服务与公共资源交易中心</w:t>
      </w:r>
    </w:p>
    <w:p w14:paraId="5401CD3E">
      <w:pPr>
        <w:pStyle w:val="2"/>
        <w:spacing w:before="205" w:line="221" w:lineRule="auto"/>
        <w:ind w:left="117"/>
      </w:pPr>
      <w:r>
        <w:rPr>
          <w:b/>
          <w:bCs/>
          <w:spacing w:val="-7"/>
        </w:rPr>
        <w:t>联</w:t>
      </w:r>
      <w:r>
        <w:rPr>
          <w:spacing w:val="-7"/>
        </w:rPr>
        <w:t xml:space="preserve">  </w:t>
      </w:r>
      <w:r>
        <w:rPr>
          <w:b/>
          <w:bCs/>
          <w:spacing w:val="-7"/>
        </w:rPr>
        <w:t>系</w:t>
      </w:r>
      <w:r>
        <w:rPr>
          <w:spacing w:val="12"/>
        </w:rPr>
        <w:t xml:space="preserve">  </w:t>
      </w:r>
      <w:r>
        <w:rPr>
          <w:b/>
          <w:bCs/>
          <w:spacing w:val="-7"/>
        </w:rPr>
        <w:t>人</w:t>
      </w:r>
      <w:r>
        <w:rPr>
          <w:spacing w:val="22"/>
        </w:rPr>
        <w:t xml:space="preserve">   </w:t>
      </w:r>
      <w:r>
        <w:rPr>
          <w:b/>
          <w:bCs/>
          <w:spacing w:val="-7"/>
        </w:rPr>
        <w:t>：</w:t>
      </w:r>
      <w:r>
        <w:rPr>
          <w:spacing w:val="-7"/>
        </w:rPr>
        <w:t xml:space="preserve"> </w:t>
      </w:r>
      <w:r>
        <w:rPr>
          <w:rFonts w:hint="eastAsia"/>
          <w:b/>
          <w:bCs/>
          <w:spacing w:val="-7"/>
        </w:rPr>
        <w:t>盛鑫</w:t>
      </w:r>
    </w:p>
    <w:p w14:paraId="41E30DB2">
      <w:pPr>
        <w:pStyle w:val="2"/>
        <w:spacing w:before="181" w:line="221" w:lineRule="auto"/>
        <w:ind w:left="117"/>
      </w:pPr>
      <w:r>
        <w:rPr>
          <w:b/>
          <w:bCs/>
          <w:spacing w:val="-5"/>
        </w:rPr>
        <w:t>联</w:t>
      </w:r>
      <w:r>
        <w:rPr>
          <w:spacing w:val="-5"/>
        </w:rPr>
        <w:t xml:space="preserve"> </w:t>
      </w:r>
      <w:r>
        <w:rPr>
          <w:b/>
          <w:bCs/>
          <w:spacing w:val="-5"/>
        </w:rPr>
        <w:t>系</w:t>
      </w:r>
      <w:r>
        <w:rPr>
          <w:spacing w:val="39"/>
        </w:rPr>
        <w:t xml:space="preserve"> </w:t>
      </w:r>
      <w:r>
        <w:rPr>
          <w:b/>
          <w:bCs/>
          <w:spacing w:val="-5"/>
        </w:rPr>
        <w:t>电</w:t>
      </w:r>
      <w:r>
        <w:rPr>
          <w:spacing w:val="-5"/>
        </w:rPr>
        <w:t xml:space="preserve"> </w:t>
      </w:r>
      <w:r>
        <w:rPr>
          <w:b/>
          <w:bCs/>
          <w:spacing w:val="-5"/>
        </w:rPr>
        <w:t>话</w:t>
      </w:r>
      <w:r>
        <w:rPr>
          <w:spacing w:val="33"/>
        </w:rPr>
        <w:t xml:space="preserve">  </w:t>
      </w:r>
      <w:r>
        <w:rPr>
          <w:b/>
          <w:bCs/>
          <w:spacing w:val="-5"/>
        </w:rPr>
        <w:t>：</w:t>
      </w:r>
      <w:r>
        <w:rPr>
          <w:spacing w:val="15"/>
        </w:rPr>
        <w:t xml:space="preserve"> </w:t>
      </w:r>
      <w:r>
        <w:rPr>
          <w:rFonts w:hint="eastAsia"/>
          <w:b/>
          <w:bCs/>
          <w:spacing w:val="15"/>
        </w:rPr>
        <w:t>0901-6225551</w:t>
      </w:r>
    </w:p>
    <w:p w14:paraId="2E18E546">
      <w:pPr>
        <w:spacing w:line="219" w:lineRule="auto"/>
        <w:sectPr>
          <w:pgSz w:w="11910" w:h="16840"/>
          <w:pgMar w:top="1136" w:right="1007" w:bottom="0" w:left="1330" w:header="855" w:footer="0" w:gutter="0"/>
          <w:pgNumType w:fmt="decimal"/>
          <w:cols w:space="720" w:num="1"/>
        </w:sectPr>
      </w:pPr>
    </w:p>
    <w:p w14:paraId="56BEFAB6">
      <w:pPr>
        <w:spacing w:line="399" w:lineRule="auto"/>
        <w:rPr>
          <w:rFonts w:ascii="Arial"/>
          <w:sz w:val="21"/>
        </w:rPr>
      </w:pPr>
    </w:p>
    <w:sdt>
      <w:sdtPr>
        <w:rPr>
          <w:rFonts w:ascii="宋体" w:hAnsi="宋体" w:eastAsia="宋体" w:cs="宋体"/>
          <w:sz w:val="35"/>
          <w:szCs w:val="35"/>
        </w:rPr>
        <w:id w:val="147477370"/>
        <w:docPartObj>
          <w:docPartGallery w:val="Table of Contents"/>
          <w:docPartUnique/>
        </w:docPartObj>
      </w:sdtPr>
      <w:sdtEndPr>
        <w:rPr>
          <w:rFonts w:ascii="宋体" w:hAnsi="宋体" w:eastAsia="宋体" w:cs="宋体"/>
          <w:sz w:val="24"/>
          <w:szCs w:val="24"/>
        </w:rPr>
      </w:sdtEndPr>
      <w:sdtContent>
        <w:p w14:paraId="5EBD86D3">
          <w:pPr>
            <w:pStyle w:val="2"/>
            <w:spacing w:before="114" w:line="227" w:lineRule="auto"/>
            <w:ind w:left="4289"/>
            <w:rPr>
              <w:sz w:val="35"/>
              <w:szCs w:val="35"/>
            </w:rPr>
          </w:pPr>
          <w:r>
            <w:rPr>
              <w:b/>
              <w:bCs/>
              <w:spacing w:val="-41"/>
              <w:sz w:val="35"/>
              <w:szCs w:val="35"/>
            </w:rPr>
            <w:t>目</w:t>
          </w:r>
          <w:r>
            <w:rPr>
              <w:spacing w:val="23"/>
              <w:sz w:val="35"/>
              <w:szCs w:val="35"/>
            </w:rPr>
            <w:t xml:space="preserve"> </w:t>
          </w:r>
          <w:r>
            <w:rPr>
              <w:b/>
              <w:bCs/>
              <w:spacing w:val="-41"/>
              <w:sz w:val="35"/>
              <w:szCs w:val="35"/>
            </w:rPr>
            <w:t>录</w:t>
          </w:r>
        </w:p>
        <w:p w14:paraId="420BF761">
          <w:pPr>
            <w:spacing w:line="322" w:lineRule="auto"/>
            <w:rPr>
              <w:rFonts w:ascii="Arial"/>
              <w:sz w:val="21"/>
            </w:rPr>
          </w:pPr>
        </w:p>
        <w:p w14:paraId="062E7673">
          <w:pPr>
            <w:spacing w:line="322" w:lineRule="auto"/>
            <w:rPr>
              <w:rFonts w:ascii="Arial"/>
              <w:sz w:val="21"/>
            </w:rPr>
          </w:pPr>
        </w:p>
        <w:p w14:paraId="1DC3AD3F">
          <w:pPr>
            <w:pStyle w:val="2"/>
            <w:tabs>
              <w:tab w:val="right" w:leader="dot" w:pos="9317"/>
            </w:tabs>
            <w:spacing w:before="78" w:line="218" w:lineRule="auto"/>
            <w:ind w:left="9"/>
          </w:pPr>
          <w:bookmarkStart w:id="0" w:name="bookmark1"/>
          <w:bookmarkEnd w:id="0"/>
          <w:r>
            <w:fldChar w:fldCharType="begin"/>
          </w:r>
          <w:r>
            <w:instrText xml:space="preserve"> HYPERLINK \l "bookmark2" </w:instrText>
          </w:r>
          <w:r>
            <w:fldChar w:fldCharType="separate"/>
          </w:r>
          <w:r>
            <w:rPr>
              <w:spacing w:val="-2"/>
            </w:rPr>
            <w:t>第一章 招标公告</w:t>
          </w:r>
          <w:r>
            <w:rPr>
              <w:spacing w:val="-39"/>
            </w:rPr>
            <w:t xml:space="preserve"> </w:t>
          </w:r>
          <w:r>
            <w:tab/>
          </w:r>
          <w:r>
            <w:rPr>
              <w:spacing w:val="19"/>
            </w:rPr>
            <w:t>1</w:t>
          </w:r>
          <w:r>
            <w:rPr>
              <w:spacing w:val="19"/>
            </w:rPr>
            <w:fldChar w:fldCharType="end"/>
          </w:r>
        </w:p>
        <w:p w14:paraId="52B93C83">
          <w:pPr>
            <w:pStyle w:val="2"/>
            <w:tabs>
              <w:tab w:val="right" w:leader="dot" w:pos="9317"/>
            </w:tabs>
            <w:spacing w:before="304" w:line="219" w:lineRule="auto"/>
            <w:ind w:left="9"/>
          </w:pPr>
          <w:bookmarkStart w:id="1" w:name="bookmark3"/>
          <w:bookmarkEnd w:id="1"/>
          <w:r>
            <w:fldChar w:fldCharType="begin"/>
          </w:r>
          <w:r>
            <w:instrText xml:space="preserve"> HYPERLINK \l "bookmark4" </w:instrText>
          </w:r>
          <w:r>
            <w:fldChar w:fldCharType="separate"/>
          </w:r>
          <w:r>
            <w:rPr>
              <w:spacing w:val="-1"/>
            </w:rPr>
            <w:t>第二章 供应商须知前附表</w:t>
          </w:r>
          <w:r>
            <w:rPr>
              <w:spacing w:val="-43"/>
            </w:rPr>
            <w:t xml:space="preserve"> </w:t>
          </w:r>
          <w:r>
            <w:tab/>
          </w:r>
          <w:r>
            <w:rPr>
              <w:spacing w:val="19"/>
            </w:rPr>
            <w:t>4</w:t>
          </w:r>
          <w:r>
            <w:rPr>
              <w:spacing w:val="19"/>
            </w:rPr>
            <w:fldChar w:fldCharType="end"/>
          </w:r>
        </w:p>
        <w:p w14:paraId="1EF5BA11">
          <w:pPr>
            <w:pStyle w:val="2"/>
            <w:tabs>
              <w:tab w:val="right" w:leader="dot" w:pos="9317"/>
            </w:tabs>
            <w:spacing w:before="300" w:line="219" w:lineRule="auto"/>
            <w:ind w:left="9"/>
          </w:pPr>
          <w:bookmarkStart w:id="2" w:name="bookmark5"/>
          <w:bookmarkEnd w:id="2"/>
          <w:r>
            <w:fldChar w:fldCharType="begin"/>
          </w:r>
          <w:r>
            <w:instrText xml:space="preserve"> HYPERLINK \l "bookmark6" </w:instrText>
          </w:r>
          <w:r>
            <w:fldChar w:fldCharType="separate"/>
          </w:r>
          <w:r>
            <w:rPr>
              <w:spacing w:val="-2"/>
            </w:rPr>
            <w:t>第三章 供应商须知</w:t>
          </w:r>
          <w:r>
            <w:rPr>
              <w:spacing w:val="-37"/>
            </w:rPr>
            <w:t xml:space="preserve"> </w:t>
          </w:r>
          <w:r>
            <w:tab/>
          </w:r>
          <w:r>
            <w:rPr>
              <w:spacing w:val="9"/>
            </w:rPr>
            <w:t>10</w:t>
          </w:r>
          <w:r>
            <w:rPr>
              <w:spacing w:val="9"/>
            </w:rPr>
            <w:fldChar w:fldCharType="end"/>
          </w:r>
        </w:p>
        <w:p w14:paraId="65F5DBE5">
          <w:pPr>
            <w:pStyle w:val="2"/>
            <w:tabs>
              <w:tab w:val="right" w:leader="dot" w:pos="9317"/>
            </w:tabs>
            <w:spacing w:before="304" w:line="185" w:lineRule="auto"/>
            <w:ind w:left="224"/>
          </w:pPr>
          <w:bookmarkStart w:id="3" w:name="bookmark7"/>
          <w:bookmarkEnd w:id="3"/>
          <w:r>
            <w:fldChar w:fldCharType="begin"/>
          </w:r>
          <w:r>
            <w:instrText xml:space="preserve"> HYPERLINK \l "bookmark8" </w:instrText>
          </w:r>
          <w:r>
            <w:fldChar w:fldCharType="separate"/>
          </w:r>
          <w:r>
            <w:rPr>
              <w:spacing w:val="-12"/>
            </w:rPr>
            <w:t>一、说</w:t>
          </w:r>
          <w:r>
            <w:rPr>
              <w:spacing w:val="105"/>
            </w:rPr>
            <w:t xml:space="preserve"> </w:t>
          </w:r>
          <w:r>
            <w:rPr>
              <w:spacing w:val="-12"/>
            </w:rPr>
            <w:t>明</w:t>
          </w:r>
          <w:r>
            <w:rPr>
              <w:spacing w:val="-44"/>
            </w:rPr>
            <w:t xml:space="preserve"> </w:t>
          </w:r>
          <w:r>
            <w:tab/>
          </w:r>
          <w:r>
            <w:rPr>
              <w:spacing w:val="4"/>
            </w:rPr>
            <w:t xml:space="preserve"> </w:t>
          </w:r>
          <w:r>
            <w:rPr>
              <w:spacing w:val="-15"/>
            </w:rPr>
            <w:t>1</w:t>
          </w:r>
          <w:r>
            <w:rPr>
              <w:spacing w:val="-13"/>
            </w:rPr>
            <w:t>0</w:t>
          </w:r>
          <w:r>
            <w:rPr>
              <w:spacing w:val="-13"/>
            </w:rPr>
            <w:fldChar w:fldCharType="end"/>
          </w:r>
        </w:p>
        <w:p w14:paraId="28B541FC">
          <w:pPr>
            <w:pStyle w:val="2"/>
            <w:tabs>
              <w:tab w:val="right" w:leader="dot" w:pos="9317"/>
            </w:tabs>
            <w:spacing w:before="227" w:line="185" w:lineRule="auto"/>
            <w:ind w:left="224"/>
          </w:pPr>
          <w:bookmarkStart w:id="4" w:name="bookmark9"/>
          <w:bookmarkEnd w:id="4"/>
          <w:r>
            <w:fldChar w:fldCharType="begin"/>
          </w:r>
          <w:r>
            <w:instrText xml:space="preserve"> HYPERLINK \l "bookmark10" </w:instrText>
          </w:r>
          <w:r>
            <w:fldChar w:fldCharType="separate"/>
          </w:r>
          <w:r>
            <w:rPr>
              <w:spacing w:val="-3"/>
            </w:rPr>
            <w:t>二、招标文件</w:t>
          </w:r>
          <w:r>
            <w:rPr>
              <w:spacing w:val="-41"/>
            </w:rPr>
            <w:t xml:space="preserve"> </w:t>
          </w:r>
          <w:r>
            <w:tab/>
          </w:r>
          <w:r>
            <w:rPr>
              <w:spacing w:val="-44"/>
            </w:rPr>
            <w:t xml:space="preserve"> </w:t>
          </w:r>
          <w:r>
            <w:rPr>
              <w:spacing w:val="-14"/>
            </w:rPr>
            <w:t>11</w:t>
          </w:r>
          <w:r>
            <w:rPr>
              <w:spacing w:val="-14"/>
            </w:rPr>
            <w:fldChar w:fldCharType="end"/>
          </w:r>
        </w:p>
        <w:p w14:paraId="6C23CFCB">
          <w:pPr>
            <w:pStyle w:val="2"/>
            <w:tabs>
              <w:tab w:val="right" w:leader="dot" w:pos="9317"/>
            </w:tabs>
            <w:spacing w:before="226" w:line="184" w:lineRule="auto"/>
            <w:ind w:left="220"/>
          </w:pPr>
          <w:bookmarkStart w:id="5" w:name="bookmark11"/>
          <w:bookmarkEnd w:id="5"/>
          <w:r>
            <w:fldChar w:fldCharType="begin"/>
          </w:r>
          <w:r>
            <w:instrText xml:space="preserve"> HYPERLINK \l "bookmark12" </w:instrText>
          </w:r>
          <w:r>
            <w:fldChar w:fldCharType="separate"/>
          </w:r>
          <w:r>
            <w:rPr>
              <w:spacing w:val="-2"/>
            </w:rPr>
            <w:t>三、投标文件的编制</w:t>
          </w:r>
          <w:r>
            <w:rPr>
              <w:spacing w:val="-37"/>
            </w:rPr>
            <w:t xml:space="preserve"> </w:t>
          </w:r>
          <w:r>
            <w:tab/>
          </w:r>
          <w:r>
            <w:rPr>
              <w:spacing w:val="-44"/>
            </w:rPr>
            <w:t xml:space="preserve"> </w:t>
          </w:r>
          <w:r>
            <w:rPr>
              <w:spacing w:val="-14"/>
            </w:rPr>
            <w:t>11</w:t>
          </w:r>
          <w:r>
            <w:rPr>
              <w:spacing w:val="-14"/>
            </w:rPr>
            <w:fldChar w:fldCharType="end"/>
          </w:r>
        </w:p>
        <w:p w14:paraId="778D4630">
          <w:pPr>
            <w:pStyle w:val="2"/>
            <w:tabs>
              <w:tab w:val="right" w:leader="dot" w:pos="9317"/>
            </w:tabs>
            <w:spacing w:before="226" w:line="185" w:lineRule="auto"/>
            <w:ind w:left="242"/>
          </w:pPr>
          <w:bookmarkStart w:id="6" w:name="bookmark13"/>
          <w:bookmarkEnd w:id="6"/>
          <w:r>
            <w:fldChar w:fldCharType="begin"/>
          </w:r>
          <w:r>
            <w:instrText xml:space="preserve"> HYPERLINK \l "bookmark14" </w:instrText>
          </w:r>
          <w:r>
            <w:fldChar w:fldCharType="separate"/>
          </w:r>
          <w:r>
            <w:rPr>
              <w:spacing w:val="-4"/>
            </w:rPr>
            <w:t>四、投标文件的递交</w:t>
          </w:r>
          <w:r>
            <w:rPr>
              <w:spacing w:val="-42"/>
            </w:rPr>
            <w:t xml:space="preserve"> </w:t>
          </w:r>
          <w:r>
            <w:tab/>
          </w:r>
          <w:r>
            <w:rPr>
              <w:spacing w:val="-44"/>
            </w:rPr>
            <w:t xml:space="preserve"> </w:t>
          </w:r>
          <w:r>
            <w:rPr>
              <w:spacing w:val="-19"/>
            </w:rPr>
            <w:t>1</w:t>
          </w:r>
          <w:r>
            <w:rPr>
              <w:spacing w:val="-9"/>
            </w:rPr>
            <w:t>4</w:t>
          </w:r>
          <w:r>
            <w:rPr>
              <w:spacing w:val="-9"/>
            </w:rPr>
            <w:fldChar w:fldCharType="end"/>
          </w:r>
        </w:p>
        <w:p w14:paraId="43CCA8C5">
          <w:pPr>
            <w:pStyle w:val="2"/>
            <w:tabs>
              <w:tab w:val="right" w:leader="dot" w:pos="9317"/>
            </w:tabs>
            <w:spacing w:before="227" w:line="185" w:lineRule="auto"/>
            <w:ind w:left="224"/>
          </w:pPr>
          <w:bookmarkStart w:id="7" w:name="bookmark15"/>
          <w:bookmarkEnd w:id="7"/>
          <w:r>
            <w:fldChar w:fldCharType="begin"/>
          </w:r>
          <w:r>
            <w:instrText xml:space="preserve"> HYPERLINK \l "bookmark16" </w:instrText>
          </w:r>
          <w:r>
            <w:fldChar w:fldCharType="separate"/>
          </w:r>
          <w:r>
            <w:rPr>
              <w:spacing w:val="-2"/>
            </w:rPr>
            <w:t>五、开标与评标</w:t>
          </w:r>
          <w:r>
            <w:rPr>
              <w:spacing w:val="-45"/>
            </w:rPr>
            <w:t xml:space="preserve"> </w:t>
          </w:r>
          <w:r>
            <w:tab/>
          </w:r>
          <w:r>
            <w:rPr>
              <w:spacing w:val="-44"/>
            </w:rPr>
            <w:t xml:space="preserve"> </w:t>
          </w:r>
          <w:r>
            <w:rPr>
              <w:spacing w:val="-19"/>
            </w:rPr>
            <w:t>1</w:t>
          </w:r>
          <w:r>
            <w:rPr>
              <w:spacing w:val="-9"/>
            </w:rPr>
            <w:t>4</w:t>
          </w:r>
          <w:r>
            <w:rPr>
              <w:spacing w:val="-9"/>
            </w:rPr>
            <w:fldChar w:fldCharType="end"/>
          </w:r>
        </w:p>
        <w:p w14:paraId="0D577CE2">
          <w:pPr>
            <w:pStyle w:val="2"/>
            <w:tabs>
              <w:tab w:val="right" w:leader="dot" w:pos="9317"/>
            </w:tabs>
            <w:spacing w:before="225" w:line="220" w:lineRule="auto"/>
            <w:ind w:left="222"/>
          </w:pPr>
          <w:bookmarkStart w:id="8" w:name="bookmark17"/>
          <w:bookmarkEnd w:id="8"/>
          <w:r>
            <w:fldChar w:fldCharType="begin"/>
          </w:r>
          <w:r>
            <w:instrText xml:space="preserve"> HYPERLINK \l "bookmark18" </w:instrText>
          </w:r>
          <w:r>
            <w:fldChar w:fldCharType="separate"/>
          </w:r>
          <w:r>
            <w:rPr>
              <w:spacing w:val="-2"/>
            </w:rPr>
            <w:t>六、确定中标</w:t>
          </w:r>
          <w:r>
            <w:rPr>
              <w:spacing w:val="-45"/>
            </w:rPr>
            <w:t xml:space="preserve"> </w:t>
          </w:r>
          <w:r>
            <w:tab/>
          </w:r>
          <w:r>
            <w:rPr>
              <w:spacing w:val="-44"/>
            </w:rPr>
            <w:t xml:space="preserve"> </w:t>
          </w:r>
          <w:r>
            <w:rPr>
              <w:spacing w:val="-14"/>
            </w:rPr>
            <w:t>18</w:t>
          </w:r>
          <w:r>
            <w:rPr>
              <w:spacing w:val="-14"/>
            </w:rPr>
            <w:fldChar w:fldCharType="end"/>
          </w:r>
        </w:p>
        <w:p w14:paraId="1D5256FA">
          <w:pPr>
            <w:pStyle w:val="2"/>
            <w:tabs>
              <w:tab w:val="right" w:leader="dot" w:pos="9317"/>
            </w:tabs>
            <w:spacing w:before="302" w:line="219" w:lineRule="auto"/>
            <w:ind w:left="9"/>
          </w:pPr>
          <w:bookmarkStart w:id="9" w:name="bookmark19"/>
          <w:bookmarkEnd w:id="9"/>
          <w:r>
            <w:fldChar w:fldCharType="begin"/>
          </w:r>
          <w:r>
            <w:instrText xml:space="preserve"> HYPERLINK \l "bookmark20" </w:instrText>
          </w:r>
          <w:r>
            <w:fldChar w:fldCharType="separate"/>
          </w:r>
          <w:r>
            <w:rPr>
              <w:spacing w:val="-1"/>
            </w:rPr>
            <w:t>第四章 采购需求及服务要求</w:t>
          </w:r>
          <w:r>
            <w:rPr>
              <w:spacing w:val="-42"/>
            </w:rPr>
            <w:t xml:space="preserve"> </w:t>
          </w:r>
          <w:r>
            <w:tab/>
          </w:r>
          <w:r>
            <w:rPr>
              <w:spacing w:val="9"/>
            </w:rPr>
            <w:t>20</w:t>
          </w:r>
          <w:r>
            <w:rPr>
              <w:spacing w:val="9"/>
            </w:rPr>
            <w:fldChar w:fldCharType="end"/>
          </w:r>
        </w:p>
        <w:p w14:paraId="7C7C4E23">
          <w:pPr>
            <w:pStyle w:val="2"/>
            <w:tabs>
              <w:tab w:val="right" w:leader="dot" w:pos="9317"/>
            </w:tabs>
            <w:spacing w:before="303" w:line="219" w:lineRule="auto"/>
            <w:ind w:left="9"/>
          </w:pPr>
          <w:bookmarkStart w:id="10" w:name="bookmark21"/>
          <w:bookmarkEnd w:id="10"/>
          <w:r>
            <w:fldChar w:fldCharType="begin"/>
          </w:r>
          <w:r>
            <w:instrText xml:space="preserve"> HYPERLINK \l "bookmark22" </w:instrText>
          </w:r>
          <w:r>
            <w:fldChar w:fldCharType="separate"/>
          </w:r>
          <w:r>
            <w:rPr>
              <w:spacing w:val="-2"/>
            </w:rPr>
            <w:t>第五章 评审内容</w:t>
          </w:r>
          <w:r>
            <w:rPr>
              <w:spacing w:val="-39"/>
            </w:rPr>
            <w:t xml:space="preserve"> </w:t>
          </w:r>
          <w:r>
            <w:tab/>
          </w:r>
          <w:r>
            <w:rPr>
              <w:spacing w:val="9"/>
            </w:rPr>
            <w:t>31</w:t>
          </w:r>
          <w:r>
            <w:rPr>
              <w:spacing w:val="9"/>
            </w:rPr>
            <w:fldChar w:fldCharType="end"/>
          </w:r>
        </w:p>
        <w:p w14:paraId="6B971003">
          <w:pPr>
            <w:pStyle w:val="2"/>
            <w:tabs>
              <w:tab w:val="right" w:leader="dot" w:pos="9317"/>
            </w:tabs>
            <w:spacing w:before="301" w:line="219" w:lineRule="auto"/>
            <w:ind w:left="9"/>
          </w:pPr>
          <w:bookmarkStart w:id="11" w:name="bookmark23"/>
          <w:bookmarkEnd w:id="11"/>
          <w:r>
            <w:fldChar w:fldCharType="begin"/>
          </w:r>
          <w:r>
            <w:instrText xml:space="preserve"> HYPERLINK \l "bookmark24" </w:instrText>
          </w:r>
          <w:r>
            <w:fldChar w:fldCharType="separate"/>
          </w:r>
          <w:r>
            <w:rPr>
              <w:spacing w:val="-2"/>
            </w:rPr>
            <w:t>第六章 合同条款</w:t>
          </w:r>
          <w:r>
            <w:rPr>
              <w:spacing w:val="-39"/>
            </w:rPr>
            <w:t xml:space="preserve"> </w:t>
          </w:r>
          <w:r>
            <w:tab/>
          </w:r>
          <w:r>
            <w:rPr>
              <w:spacing w:val="9"/>
            </w:rPr>
            <w:t>36</w:t>
          </w:r>
          <w:r>
            <w:rPr>
              <w:spacing w:val="9"/>
            </w:rPr>
            <w:fldChar w:fldCharType="end"/>
          </w:r>
        </w:p>
        <w:p w14:paraId="3B50ABE4">
          <w:pPr>
            <w:pStyle w:val="2"/>
            <w:tabs>
              <w:tab w:val="right" w:leader="dot" w:pos="9317"/>
            </w:tabs>
            <w:spacing w:before="303" w:line="219" w:lineRule="auto"/>
            <w:ind w:left="9"/>
          </w:pPr>
          <w:bookmarkStart w:id="12" w:name="bookmark25"/>
          <w:bookmarkEnd w:id="12"/>
          <w:r>
            <w:fldChar w:fldCharType="begin"/>
          </w:r>
          <w:r>
            <w:instrText xml:space="preserve"> HYPERLINK \l "bookmark26" </w:instrText>
          </w:r>
          <w:r>
            <w:fldChar w:fldCharType="separate"/>
          </w:r>
          <w:r>
            <w:rPr>
              <w:spacing w:val="-1"/>
            </w:rPr>
            <w:t>第七章 投标文件格式</w:t>
          </w:r>
          <w:r>
            <w:rPr>
              <w:spacing w:val="-45"/>
            </w:rPr>
            <w:t xml:space="preserve"> </w:t>
          </w:r>
          <w:r>
            <w:tab/>
          </w:r>
          <w:r>
            <w:rPr>
              <w:spacing w:val="9"/>
            </w:rPr>
            <w:t>36</w:t>
          </w:r>
          <w:r>
            <w:rPr>
              <w:spacing w:val="9"/>
            </w:rPr>
            <w:fldChar w:fldCharType="end"/>
          </w:r>
        </w:p>
      </w:sdtContent>
    </w:sdt>
    <w:p w14:paraId="773892DB">
      <w:pPr>
        <w:spacing w:line="219" w:lineRule="auto"/>
        <w:sectPr>
          <w:headerReference r:id="rId5" w:type="default"/>
          <w:footerReference r:id="rId6" w:type="default"/>
          <w:pgSz w:w="11910" w:h="16840"/>
          <w:pgMar w:top="1136" w:right="1134" w:bottom="0" w:left="1457" w:header="855" w:footer="0" w:gutter="0"/>
          <w:pgNumType w:fmt="decimal"/>
          <w:cols w:space="720" w:num="1"/>
        </w:sectPr>
      </w:pPr>
    </w:p>
    <w:p w14:paraId="658BE75D">
      <w:pPr>
        <w:spacing w:line="251" w:lineRule="auto"/>
        <w:rPr>
          <w:rFonts w:ascii="Arial"/>
          <w:sz w:val="21"/>
        </w:rPr>
      </w:pPr>
    </w:p>
    <w:p w14:paraId="1E7E28DC">
      <w:pPr>
        <w:spacing w:line="252" w:lineRule="auto"/>
        <w:rPr>
          <w:rFonts w:ascii="Arial"/>
          <w:sz w:val="21"/>
        </w:rPr>
      </w:pPr>
    </w:p>
    <w:p w14:paraId="28776EE4">
      <w:pPr>
        <w:pStyle w:val="2"/>
        <w:spacing w:before="101" w:line="223" w:lineRule="auto"/>
        <w:ind w:left="3476"/>
        <w:outlineLvl w:val="0"/>
        <w:rPr>
          <w:sz w:val="31"/>
          <w:szCs w:val="31"/>
        </w:rPr>
      </w:pPr>
      <w:bookmarkStart w:id="13" w:name="bookmark1"/>
      <w:bookmarkEnd w:id="13"/>
      <w:bookmarkStart w:id="14" w:name="bookmark2"/>
      <w:bookmarkEnd w:id="14"/>
      <w:r>
        <w:rPr>
          <w:b/>
          <w:bCs/>
          <w:spacing w:val="5"/>
          <w:sz w:val="31"/>
          <w:szCs w:val="31"/>
        </w:rPr>
        <w:t>第一章</w:t>
      </w:r>
      <w:r>
        <w:rPr>
          <w:spacing w:val="5"/>
          <w:sz w:val="31"/>
          <w:szCs w:val="31"/>
        </w:rPr>
        <w:t xml:space="preserve">  </w:t>
      </w:r>
      <w:r>
        <w:rPr>
          <w:b/>
          <w:bCs/>
          <w:spacing w:val="5"/>
          <w:sz w:val="31"/>
          <w:szCs w:val="31"/>
        </w:rPr>
        <w:t>招标公告</w:t>
      </w:r>
    </w:p>
    <w:p w14:paraId="238F6022">
      <w:pPr>
        <w:spacing w:before="149"/>
      </w:pPr>
    </w:p>
    <w:tbl>
      <w:tblPr>
        <w:tblStyle w:val="13"/>
        <w:tblW w:w="949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92"/>
      </w:tblGrid>
      <w:tr w14:paraId="4F2BD94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69" w:hRule="atLeast"/>
        </w:trPr>
        <w:tc>
          <w:tcPr>
            <w:tcW w:w="9492" w:type="dxa"/>
            <w:vAlign w:val="top"/>
          </w:tcPr>
          <w:p w14:paraId="35859646">
            <w:pPr>
              <w:pStyle w:val="14"/>
              <w:spacing w:before="173" w:line="219" w:lineRule="auto"/>
              <w:ind w:left="97"/>
            </w:pPr>
            <w:r>
              <w:rPr>
                <w:spacing w:val="-4"/>
              </w:rPr>
              <w:t>项目概况</w:t>
            </w:r>
          </w:p>
          <w:p w14:paraId="7BFF6495">
            <w:pPr>
              <w:pStyle w:val="14"/>
              <w:spacing w:before="154" w:line="287" w:lineRule="auto"/>
              <w:ind w:left="94" w:right="83" w:firstLine="479"/>
            </w:pPr>
            <w:r>
              <w:rPr>
                <w:color w:val="auto"/>
                <w:spacing w:val="1"/>
                <w:lang w:val="en-US" w:eastAsia="en-US"/>
              </w:rPr>
              <w:t>巴克图口岸公共物业服务项目</w:t>
            </w:r>
            <w:r>
              <w:rPr>
                <w:spacing w:val="1"/>
              </w:rPr>
              <w:t>的潜在供应商应在政采云平台线上获取</w:t>
            </w:r>
            <w:r>
              <w:t xml:space="preserve"> </w:t>
            </w:r>
            <w:r>
              <w:rPr>
                <w:spacing w:val="-4"/>
              </w:rPr>
              <w:t>招标文件，并于</w:t>
            </w:r>
            <w:r>
              <w:rPr>
                <w:color w:val="C00000"/>
                <w:spacing w:val="-48"/>
              </w:rPr>
              <w:t xml:space="preserve"> </w:t>
            </w:r>
            <w:r>
              <w:rPr>
                <w:color w:val="auto"/>
                <w:spacing w:val="-4"/>
              </w:rPr>
              <w:t>2025</w:t>
            </w:r>
            <w:r>
              <w:rPr>
                <w:color w:val="auto"/>
                <w:spacing w:val="-50"/>
              </w:rPr>
              <w:t xml:space="preserve"> </w:t>
            </w:r>
            <w:r>
              <w:rPr>
                <w:color w:val="auto"/>
                <w:spacing w:val="-4"/>
              </w:rPr>
              <w:t>年</w:t>
            </w:r>
            <w:r>
              <w:rPr>
                <w:color w:val="auto"/>
                <w:spacing w:val="-48"/>
              </w:rPr>
              <w:t xml:space="preserve"> </w:t>
            </w:r>
            <w:r>
              <w:rPr>
                <w:color w:val="auto"/>
                <w:spacing w:val="-4"/>
              </w:rPr>
              <w:t>0</w:t>
            </w:r>
            <w:r>
              <w:rPr>
                <w:rFonts w:hint="eastAsia"/>
                <w:color w:val="auto"/>
                <w:spacing w:val="-4"/>
                <w:lang w:val="en-US" w:eastAsia="zh-CN"/>
              </w:rPr>
              <w:t>6</w:t>
            </w:r>
            <w:r>
              <w:rPr>
                <w:color w:val="auto"/>
                <w:spacing w:val="-4"/>
              </w:rPr>
              <w:t>月</w:t>
            </w:r>
            <w:r>
              <w:rPr>
                <w:color w:val="auto"/>
                <w:spacing w:val="-48"/>
              </w:rPr>
              <w:t xml:space="preserve"> </w:t>
            </w:r>
            <w:r>
              <w:rPr>
                <w:rFonts w:hint="eastAsia"/>
                <w:color w:val="auto"/>
                <w:spacing w:val="-4"/>
                <w:lang w:val="en-US" w:eastAsia="zh-CN"/>
              </w:rPr>
              <w:t>04</w:t>
            </w:r>
            <w:r>
              <w:rPr>
                <w:color w:val="auto"/>
                <w:spacing w:val="-4"/>
              </w:rPr>
              <w:t xml:space="preserve"> </w:t>
            </w:r>
            <w:r>
              <w:rPr>
                <w:spacing w:val="-4"/>
              </w:rPr>
              <w:t>日</w:t>
            </w:r>
            <w:r>
              <w:rPr>
                <w:spacing w:val="-33"/>
              </w:rPr>
              <w:t xml:space="preserve"> </w:t>
            </w:r>
            <w:r>
              <w:rPr>
                <w:spacing w:val="-4"/>
              </w:rPr>
              <w:t>1</w:t>
            </w:r>
            <w:r>
              <w:rPr>
                <w:rFonts w:hint="eastAsia"/>
                <w:spacing w:val="-4"/>
                <w:lang w:val="en-US" w:eastAsia="zh-CN"/>
              </w:rPr>
              <w:t>6</w:t>
            </w:r>
            <w:r>
              <w:rPr>
                <w:spacing w:val="-4"/>
              </w:rPr>
              <w:t>:</w:t>
            </w:r>
            <w:r>
              <w:rPr>
                <w:rFonts w:hint="eastAsia"/>
                <w:spacing w:val="-4"/>
                <w:lang w:val="en-US" w:eastAsia="zh-CN"/>
              </w:rPr>
              <w:t>3</w:t>
            </w:r>
            <w:r>
              <w:rPr>
                <w:spacing w:val="-4"/>
              </w:rPr>
              <w:t>0（北京时间）</w:t>
            </w:r>
            <w:r>
              <w:rPr>
                <w:spacing w:val="-5"/>
              </w:rPr>
              <w:t>前递交投标文件。</w:t>
            </w:r>
          </w:p>
        </w:tc>
      </w:tr>
    </w:tbl>
    <w:p w14:paraId="3FEE77EF">
      <w:pPr>
        <w:pStyle w:val="2"/>
        <w:spacing w:before="146" w:line="219" w:lineRule="auto"/>
        <w:ind w:left="102"/>
        <w:outlineLvl w:val="1"/>
      </w:pPr>
      <w:r>
        <w:rPr>
          <w:b/>
          <w:bCs/>
          <w:spacing w:val="-4"/>
        </w:rPr>
        <w:t>一、项目基本情况</w:t>
      </w:r>
    </w:p>
    <w:p w14:paraId="7D6F21E8">
      <w:pPr>
        <w:pStyle w:val="2"/>
        <w:spacing w:before="154" w:line="218" w:lineRule="auto"/>
        <w:ind w:left="582"/>
      </w:pPr>
      <w:r>
        <w:rPr>
          <w:spacing w:val="-1"/>
        </w:rPr>
        <w:t>项目编号：</w:t>
      </w:r>
      <w:r>
        <w:rPr>
          <w:rFonts w:hint="eastAsia"/>
          <w:spacing w:val="-1"/>
        </w:rPr>
        <w:t>TCZFCG-202</w:t>
      </w:r>
      <w:r>
        <w:rPr>
          <w:rFonts w:hint="eastAsia"/>
          <w:spacing w:val="-1"/>
          <w:lang w:val="en-US" w:eastAsia="zh-CN"/>
        </w:rPr>
        <w:t>5</w:t>
      </w:r>
      <w:r>
        <w:rPr>
          <w:rFonts w:hint="eastAsia"/>
          <w:spacing w:val="-1"/>
        </w:rPr>
        <w:t>0</w:t>
      </w:r>
      <w:r>
        <w:rPr>
          <w:rFonts w:hint="eastAsia"/>
          <w:spacing w:val="-1"/>
          <w:lang w:val="en-US" w:eastAsia="zh-CN"/>
        </w:rPr>
        <w:t>14</w:t>
      </w:r>
    </w:p>
    <w:p w14:paraId="0A73A3C6">
      <w:pPr>
        <w:pStyle w:val="2"/>
        <w:spacing w:before="159" w:line="324" w:lineRule="auto"/>
        <w:ind w:left="578" w:right="3047" w:firstLine="4"/>
        <w:rPr>
          <w:color w:val="C00000"/>
          <w:spacing w:val="1"/>
          <w:lang w:val="en-US" w:eastAsia="en-US"/>
        </w:rPr>
      </w:pPr>
      <w:r>
        <w:rPr>
          <w:spacing w:val="-2"/>
        </w:rPr>
        <w:t>项目名称：</w:t>
      </w:r>
      <w:r>
        <w:rPr>
          <w:color w:val="auto"/>
          <w:spacing w:val="1"/>
          <w:lang w:val="en-US" w:eastAsia="en-US"/>
        </w:rPr>
        <w:t>巴克图口岸公共物业服务项目</w:t>
      </w:r>
    </w:p>
    <w:p w14:paraId="76458B0C">
      <w:pPr>
        <w:pStyle w:val="2"/>
        <w:spacing w:before="159" w:line="324" w:lineRule="auto"/>
        <w:ind w:left="578" w:right="3047" w:firstLine="4"/>
      </w:pPr>
      <w:r>
        <w:rPr>
          <w:spacing w:val="-1"/>
        </w:rPr>
        <w:t>采购方式：公开招标</w:t>
      </w:r>
    </w:p>
    <w:p w14:paraId="6F70F8AB">
      <w:pPr>
        <w:pStyle w:val="2"/>
        <w:spacing w:before="34" w:line="330" w:lineRule="auto"/>
        <w:ind w:left="578" w:right="6287" w:firstLine="2"/>
        <w:jc w:val="both"/>
      </w:pPr>
      <w:r>
        <w:rPr>
          <w:spacing w:val="-3"/>
        </w:rPr>
        <w:t>预算金额（元</w:t>
      </w:r>
      <w:r>
        <w:rPr>
          <w:spacing w:val="-47"/>
        </w:rPr>
        <w:t>）</w:t>
      </w:r>
      <w:r>
        <w:rPr>
          <w:rFonts w:hint="eastAsia"/>
          <w:spacing w:val="-3"/>
          <w:lang w:val="en-US" w:eastAsia="zh-CN"/>
        </w:rPr>
        <w:t>2500000</w:t>
      </w:r>
      <w:r>
        <w:rPr>
          <w:spacing w:val="-2"/>
        </w:rPr>
        <w:t>最高限价（元</w:t>
      </w:r>
      <w:r>
        <w:rPr>
          <w:spacing w:val="-52"/>
        </w:rPr>
        <w:t>）</w:t>
      </w:r>
      <w:r>
        <w:rPr>
          <w:rFonts w:hint="eastAsia"/>
          <w:spacing w:val="-2"/>
          <w:lang w:val="en-US" w:eastAsia="zh-CN"/>
        </w:rPr>
        <w:t>2500000</w:t>
      </w:r>
      <w:r>
        <w:rPr>
          <w:spacing w:val="-2"/>
        </w:rPr>
        <w:t>采购需求：</w:t>
      </w:r>
    </w:p>
    <w:p w14:paraId="1E3ED15F">
      <w:pPr>
        <w:pStyle w:val="2"/>
        <w:spacing w:before="159" w:line="324" w:lineRule="auto"/>
        <w:ind w:left="578" w:right="3047" w:firstLine="4"/>
        <w:rPr>
          <w:color w:val="C00000"/>
          <w:spacing w:val="1"/>
          <w:lang w:val="en-US" w:eastAsia="en-US"/>
        </w:rPr>
      </w:pPr>
      <w:r>
        <w:rPr>
          <w:spacing w:val="-2"/>
        </w:rPr>
        <w:t>标项名称：</w:t>
      </w:r>
      <w:r>
        <w:rPr>
          <w:color w:val="auto"/>
          <w:spacing w:val="1"/>
          <w:lang w:val="en-US" w:eastAsia="en-US"/>
        </w:rPr>
        <w:t>巴克图口岸公共物业服务项目</w:t>
      </w:r>
    </w:p>
    <w:p w14:paraId="1C988EE1">
      <w:pPr>
        <w:pStyle w:val="2"/>
        <w:spacing w:before="35" w:line="326" w:lineRule="auto"/>
        <w:ind w:left="579" w:right="3047"/>
      </w:pPr>
      <w:r>
        <w:rPr>
          <w:spacing w:val="3"/>
        </w:rPr>
        <w:t>数量：1</w:t>
      </w:r>
    </w:p>
    <w:p w14:paraId="7BFB73AA">
      <w:pPr>
        <w:pStyle w:val="2"/>
        <w:spacing w:before="32" w:line="325" w:lineRule="auto"/>
        <w:ind w:left="580" w:right="6287"/>
      </w:pPr>
      <w:r>
        <w:rPr>
          <w:spacing w:val="-3"/>
        </w:rPr>
        <w:t>预算金额（元</w:t>
      </w:r>
      <w:r>
        <w:rPr>
          <w:spacing w:val="-47"/>
        </w:rPr>
        <w:t>）</w:t>
      </w:r>
      <w:r>
        <w:rPr>
          <w:rFonts w:hint="eastAsia"/>
          <w:spacing w:val="-3"/>
          <w:lang w:val="en-US" w:eastAsia="zh-CN"/>
        </w:rPr>
        <w:t>2500000</w:t>
      </w:r>
    </w:p>
    <w:p w14:paraId="6EE0CC85">
      <w:pPr>
        <w:pStyle w:val="2"/>
        <w:spacing w:before="35" w:line="325" w:lineRule="auto"/>
        <w:ind w:left="98" w:right="88" w:firstLine="484"/>
        <w:rPr>
          <w:color w:val="auto"/>
        </w:rPr>
      </w:pPr>
      <w:r>
        <w:rPr>
          <w:spacing w:val="-1"/>
        </w:rPr>
        <w:t>简要规格描述或项目基本概况介绍、用途：</w:t>
      </w:r>
      <w:r>
        <w:rPr>
          <w:rFonts w:hint="eastAsia"/>
          <w:color w:val="auto"/>
          <w:spacing w:val="-1"/>
          <w:lang w:val="en-US" w:eastAsia="zh-CN"/>
        </w:rPr>
        <w:t>总面积：282932㎡（室外道路、人行道、停车场及单体建筑硬化面积243651㎡；绿化面积</w:t>
      </w:r>
      <w:r>
        <w:rPr>
          <w:rFonts w:hint="eastAsia"/>
          <w:color w:val="auto"/>
          <w:spacing w:val="-1"/>
          <w:lang w:eastAsia="zh-CN"/>
        </w:rPr>
        <w:t>20875</w:t>
      </w:r>
      <w:r>
        <w:rPr>
          <w:rFonts w:hint="eastAsia"/>
          <w:color w:val="auto"/>
          <w:spacing w:val="-1"/>
          <w:lang w:val="en-US" w:eastAsia="zh-CN"/>
        </w:rPr>
        <w:t>㎡；单体建筑面积总和18406㎡）</w:t>
      </w:r>
      <w:r>
        <w:rPr>
          <w:rFonts w:hint="eastAsia"/>
          <w:color w:val="auto"/>
          <w:spacing w:val="-1"/>
          <w:lang w:eastAsia="zh-CN"/>
        </w:rPr>
        <w:t>。</w:t>
      </w:r>
      <w:r>
        <w:rPr>
          <w:rFonts w:hint="eastAsia"/>
          <w:color w:val="auto"/>
          <w:spacing w:val="-1"/>
          <w:lang w:val="en-US" w:eastAsia="zh-CN"/>
        </w:rPr>
        <w:t>包含塔城-巴克图路（过阿克雀克检查站至上海路交汇）；辽宁路（过阿克雀克检查站左至围网）；上海路及人行道（上海路至深圳路交汇）；限定区外横一路、纵一路及人行道；限定区内道路及硬化；单体建筑周边硬化；口岸通关区域绿化；单体建筑（综合服务楼、联检厅、货检查验用房、车检通道、老锅炉房、边检前哨站）。</w:t>
      </w:r>
    </w:p>
    <w:p w14:paraId="21C13568">
      <w:pPr>
        <w:pStyle w:val="2"/>
        <w:spacing w:before="156" w:line="324" w:lineRule="auto"/>
        <w:ind w:left="579" w:right="4647"/>
      </w:pPr>
      <w:r>
        <w:rPr>
          <w:spacing w:val="-6"/>
        </w:rPr>
        <w:t>合同履约期限：</w:t>
      </w:r>
      <w:r>
        <w:rPr>
          <w:spacing w:val="-64"/>
        </w:rPr>
        <w:t xml:space="preserve"> </w:t>
      </w:r>
      <w:r>
        <w:rPr>
          <w:color w:val="auto"/>
          <w:spacing w:val="-6"/>
        </w:rPr>
        <w:t>自合同签订之日起一年</w:t>
      </w:r>
      <w:r>
        <w:rPr>
          <w:spacing w:val="-1"/>
        </w:rPr>
        <w:t>本项目（否）接受联合体投标。</w:t>
      </w:r>
    </w:p>
    <w:p w14:paraId="38559524">
      <w:pPr>
        <w:pStyle w:val="2"/>
        <w:spacing w:before="36" w:line="219" w:lineRule="auto"/>
        <w:ind w:left="102"/>
        <w:outlineLvl w:val="1"/>
      </w:pPr>
      <w:r>
        <w:rPr>
          <w:b/>
          <w:bCs/>
          <w:spacing w:val="-3"/>
        </w:rPr>
        <w:t>二、申请人的资格要求：</w:t>
      </w:r>
    </w:p>
    <w:p w14:paraId="55F91AAC">
      <w:pPr>
        <w:pStyle w:val="2"/>
        <w:spacing w:before="155" w:line="219" w:lineRule="auto"/>
        <w:ind w:left="116"/>
        <w:outlineLvl w:val="2"/>
      </w:pPr>
      <w:r>
        <w:rPr>
          <w:spacing w:val="-1"/>
        </w:rPr>
        <w:t>1.满足《中华人民共和国政府采购法》第二十二条</w:t>
      </w:r>
      <w:r>
        <w:rPr>
          <w:spacing w:val="-2"/>
        </w:rPr>
        <w:t>规定；</w:t>
      </w:r>
    </w:p>
    <w:p w14:paraId="167995F3">
      <w:pPr>
        <w:pStyle w:val="2"/>
        <w:spacing w:before="155" w:line="219" w:lineRule="auto"/>
        <w:ind w:left="101"/>
      </w:pPr>
      <w:r>
        <w:rPr>
          <w:spacing w:val="-1"/>
        </w:rPr>
        <w:t>2.落实政府采购政策需满足的资格要求：本项目</w:t>
      </w:r>
      <w:r>
        <w:rPr>
          <w:rFonts w:hint="eastAsia"/>
          <w:spacing w:val="-1"/>
          <w:lang w:val="en-US" w:eastAsia="zh-CN"/>
        </w:rPr>
        <w:t>不</w:t>
      </w:r>
      <w:r>
        <w:rPr>
          <w:spacing w:val="-1"/>
        </w:rPr>
        <w:t>专门面向中小微企业。</w:t>
      </w:r>
    </w:p>
    <w:p w14:paraId="262525BF">
      <w:pPr>
        <w:pStyle w:val="2"/>
        <w:spacing w:before="154" w:line="219" w:lineRule="auto"/>
        <w:ind w:left="103"/>
        <w:outlineLvl w:val="2"/>
        <w:rPr>
          <w:spacing w:val="-1"/>
        </w:rPr>
      </w:pPr>
      <w:r>
        <w:rPr>
          <w:spacing w:val="-1"/>
        </w:rPr>
        <w:t>3.本项目的特定资格要求：</w:t>
      </w:r>
    </w:p>
    <w:p w14:paraId="5FBE815A">
      <w:pPr>
        <w:pStyle w:val="2"/>
        <w:spacing w:before="154" w:line="219" w:lineRule="auto"/>
        <w:ind w:left="103"/>
        <w:outlineLvl w:val="2"/>
        <w:rPr>
          <w:spacing w:val="-1"/>
        </w:rPr>
      </w:pPr>
      <w:r>
        <w:rPr>
          <w:rFonts w:hint="eastAsia"/>
          <w:spacing w:val="-1"/>
        </w:rPr>
        <w:t>（1）供应商必须是中华人民共和国境内注册的，具有独立法人资格的企业；</w:t>
      </w:r>
    </w:p>
    <w:p w14:paraId="1BDF45A4">
      <w:pPr>
        <w:pStyle w:val="2"/>
        <w:spacing w:before="154" w:line="219" w:lineRule="auto"/>
        <w:ind w:left="103"/>
        <w:outlineLvl w:val="2"/>
        <w:rPr>
          <w:spacing w:val="-1"/>
        </w:rPr>
      </w:pPr>
      <w:r>
        <w:rPr>
          <w:rFonts w:hint="eastAsia"/>
          <w:spacing w:val="-1"/>
        </w:rPr>
        <w:t>（2）根据《财政部关于在政府采购活动中查询及使用信用记录有关问题的通知》（财库﹝2016﹞125号）和《关于在招标投标活动中全面开展行贿犯罪档案查询的通知》（高检会[2015]3号）的要求，凡拟参加本次招标项目的供应商，如在“信用中国”网站（ www.creditchina.gov.cn） 被列入失信被执行人、重大税收违法案件当事人名单(信用服务-失信分类查询-失信被执行人、重大税收违法案件当事人名单-搜索栏输入单位全称-截图)、在中国政府采购网（www.ccgp.gov.cn）被列入严重违法失信行为记录名单的（尚在处罚期内的）、有以上不良行为的将拒绝投标；供应商必须提供无行贿犯罪记录证明（在中国裁判文书网（http://wenshu.court.gov.cn/）查询，刑事案件-案由-刑事案由-贪污贿赂-行贿-搜索栏输入单位全称-查询）；</w:t>
      </w:r>
    </w:p>
    <w:p w14:paraId="2295F4AD">
      <w:pPr>
        <w:pStyle w:val="2"/>
        <w:spacing w:before="154" w:line="219" w:lineRule="auto"/>
        <w:ind w:left="103"/>
        <w:outlineLvl w:val="2"/>
        <w:rPr>
          <w:spacing w:val="-1"/>
        </w:rPr>
      </w:pPr>
      <w:r>
        <w:rPr>
          <w:rFonts w:hint="eastAsia"/>
          <w:spacing w:val="-1"/>
        </w:rPr>
        <w:t>（3）其他说明：1、与采购人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w:t>
      </w:r>
    </w:p>
    <w:p w14:paraId="7C3BEA3A">
      <w:pPr>
        <w:pStyle w:val="2"/>
        <w:spacing w:before="154" w:line="219" w:lineRule="auto"/>
        <w:ind w:left="103"/>
        <w:outlineLvl w:val="2"/>
        <w:rPr>
          <w:spacing w:val="-1"/>
        </w:rPr>
      </w:pPr>
      <w:r>
        <w:rPr>
          <w:rFonts w:hint="eastAsia"/>
          <w:spacing w:val="-1"/>
        </w:rPr>
        <w:t>（4）具有独立承担民事责任的能力;具有良好的商业信誉；</w:t>
      </w:r>
    </w:p>
    <w:p w14:paraId="3D31F8C3">
      <w:pPr>
        <w:pStyle w:val="2"/>
        <w:spacing w:before="154" w:line="219" w:lineRule="auto"/>
        <w:ind w:left="103"/>
        <w:outlineLvl w:val="2"/>
        <w:rPr>
          <w:spacing w:val="-1"/>
        </w:rPr>
      </w:pPr>
      <w:r>
        <w:rPr>
          <w:rFonts w:hint="eastAsia"/>
          <w:spacing w:val="-1"/>
        </w:rPr>
        <w:t>（5）项目负责人须提供与供应商签订的劳动合同及供应商企业为其缴纳的最近</w:t>
      </w:r>
      <w:r>
        <w:rPr>
          <w:rFonts w:hint="eastAsia"/>
          <w:spacing w:val="-1"/>
          <w:lang w:val="en-US" w:eastAsia="zh-CN"/>
        </w:rPr>
        <w:t>三</w:t>
      </w:r>
      <w:r>
        <w:rPr>
          <w:rFonts w:hint="eastAsia"/>
          <w:spacing w:val="-1"/>
        </w:rPr>
        <w:t>个月的社保证明</w:t>
      </w:r>
    </w:p>
    <w:p w14:paraId="7C90AE5E">
      <w:pPr>
        <w:pStyle w:val="2"/>
        <w:spacing w:before="154" w:line="219" w:lineRule="auto"/>
        <w:ind w:left="103"/>
        <w:outlineLvl w:val="2"/>
        <w:rPr>
          <w:spacing w:val="-1"/>
        </w:rPr>
      </w:pPr>
      <w:r>
        <w:rPr>
          <w:rFonts w:hint="eastAsia"/>
          <w:spacing w:val="-1"/>
        </w:rPr>
        <w:t>（6）具有履行合同所必需的设备和专业技术能力；</w:t>
      </w:r>
    </w:p>
    <w:p w14:paraId="4BD50EB0">
      <w:pPr>
        <w:pStyle w:val="2"/>
        <w:spacing w:before="154" w:line="219" w:lineRule="auto"/>
        <w:ind w:left="103"/>
        <w:outlineLvl w:val="2"/>
        <w:rPr>
          <w:spacing w:val="-1"/>
        </w:rPr>
      </w:pPr>
      <w:r>
        <w:rPr>
          <w:rFonts w:hint="eastAsia"/>
          <w:spacing w:val="-1"/>
        </w:rPr>
        <w:t>（7）参加采购活动前三年内，在经营活动中没有重大违法记录(受行政主管部门的处罚不能参加投标)；</w:t>
      </w:r>
    </w:p>
    <w:p w14:paraId="702F22E9">
      <w:pPr>
        <w:pStyle w:val="2"/>
        <w:spacing w:before="154" w:line="219" w:lineRule="auto"/>
        <w:ind w:left="103"/>
        <w:outlineLvl w:val="2"/>
        <w:rPr>
          <w:spacing w:val="-1"/>
        </w:rPr>
      </w:pPr>
      <w:r>
        <w:rPr>
          <w:rFonts w:hint="eastAsia"/>
          <w:spacing w:val="-1"/>
        </w:rPr>
        <w:t>（8）依法注册、具有合法的法人资格，并在法律上、财务上与采购人和采购代理机构不发生关系；</w:t>
      </w:r>
    </w:p>
    <w:p w14:paraId="6F864840">
      <w:pPr>
        <w:pStyle w:val="2"/>
        <w:spacing w:before="154" w:line="219" w:lineRule="auto"/>
        <w:ind w:left="103"/>
        <w:outlineLvl w:val="2"/>
        <w:rPr>
          <w:spacing w:val="-1"/>
        </w:rPr>
      </w:pPr>
      <w:r>
        <w:rPr>
          <w:rFonts w:hint="eastAsia"/>
          <w:spacing w:val="-1"/>
        </w:rPr>
        <w:t>（9）所投服务须在其法定营业范围内；</w:t>
      </w:r>
    </w:p>
    <w:p w14:paraId="4AC19FF2">
      <w:pPr>
        <w:pStyle w:val="2"/>
        <w:spacing w:before="154" w:line="219" w:lineRule="auto"/>
        <w:ind w:left="103"/>
        <w:outlineLvl w:val="2"/>
        <w:rPr>
          <w:rFonts w:hint="eastAsia"/>
          <w:spacing w:val="-1"/>
        </w:rPr>
      </w:pPr>
      <w:r>
        <w:rPr>
          <w:rFonts w:hint="eastAsia"/>
          <w:spacing w:val="-1"/>
        </w:rPr>
        <w:t>（10）本项目不接受联合体投标；</w:t>
      </w:r>
    </w:p>
    <w:p w14:paraId="1E5D725E">
      <w:pPr>
        <w:pStyle w:val="3"/>
        <w:tabs>
          <w:tab w:val="left" w:pos="2560"/>
        </w:tabs>
        <w:rPr>
          <w:rFonts w:ascii="Arial"/>
          <w:sz w:val="21"/>
        </w:rPr>
      </w:pPr>
      <w:r>
        <w:rPr>
          <w:rFonts w:hint="eastAsia"/>
          <w:spacing w:val="-1"/>
          <w:lang w:eastAsia="zh-CN"/>
        </w:rPr>
        <w:t>（</w:t>
      </w:r>
      <w:r>
        <w:rPr>
          <w:rFonts w:hint="eastAsia"/>
          <w:spacing w:val="-1"/>
          <w:lang w:val="en-US" w:eastAsia="zh-CN"/>
        </w:rPr>
        <w:t>11</w:t>
      </w:r>
      <w:r>
        <w:rPr>
          <w:rFonts w:hint="eastAsia"/>
          <w:spacing w:val="-1"/>
          <w:lang w:eastAsia="zh-CN"/>
        </w:rPr>
        <w:t>）本项目</w:t>
      </w:r>
      <w:r>
        <w:rPr>
          <w:rFonts w:hint="eastAsia"/>
          <w:spacing w:val="-1"/>
          <w:lang w:val="en-US" w:eastAsia="zh-CN"/>
        </w:rPr>
        <w:t>不</w:t>
      </w:r>
      <w:r>
        <w:rPr>
          <w:rFonts w:hint="eastAsia"/>
          <w:spacing w:val="-1"/>
          <w:lang w:eastAsia="zh-CN"/>
        </w:rPr>
        <w:t>专门面向中小微企业。</w:t>
      </w:r>
    </w:p>
    <w:p w14:paraId="323E14A2">
      <w:pPr>
        <w:pStyle w:val="2"/>
        <w:numPr>
          <w:ilvl w:val="0"/>
          <w:numId w:val="1"/>
        </w:numPr>
        <w:spacing w:before="79" w:line="219" w:lineRule="auto"/>
        <w:ind w:left="98"/>
        <w:outlineLvl w:val="1"/>
        <w:rPr>
          <w:b/>
          <w:bCs/>
          <w:spacing w:val="-3"/>
        </w:rPr>
      </w:pPr>
      <w:r>
        <w:rPr>
          <w:b/>
          <w:bCs/>
          <w:spacing w:val="-3"/>
        </w:rPr>
        <w:t>获取招标文件</w:t>
      </w:r>
    </w:p>
    <w:p w14:paraId="46390120">
      <w:pPr>
        <w:spacing w:line="440" w:lineRule="exact"/>
        <w:ind w:firstLine="480"/>
        <w:jc w:val="left"/>
        <w:rPr>
          <w:rStyle w:val="15"/>
          <w:rFonts w:ascii="宋体" w:hAnsi="宋体"/>
          <w:kern w:val="0"/>
          <w:sz w:val="24"/>
        </w:rPr>
      </w:pPr>
      <w:r>
        <w:rPr>
          <w:rStyle w:val="15"/>
          <w:rFonts w:ascii="宋体" w:hAnsi="宋体"/>
          <w:kern w:val="0"/>
          <w:sz w:val="24"/>
        </w:rPr>
        <w:t>1、发售时间：</w:t>
      </w:r>
      <w:r>
        <w:rPr>
          <w:rStyle w:val="15"/>
          <w:rFonts w:hint="eastAsia" w:ascii="宋体" w:hAnsi="宋体"/>
          <w:kern w:val="0"/>
          <w:sz w:val="24"/>
        </w:rPr>
        <w:t>　</w:t>
      </w:r>
      <w:r>
        <w:rPr>
          <w:rStyle w:val="15"/>
          <w:rFonts w:hint="eastAsia" w:ascii="宋体" w:hAnsi="宋体"/>
          <w:color w:val="C00000"/>
          <w:kern w:val="0"/>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202</w:t>
      </w:r>
      <w:r>
        <w:rPr>
          <w:rStyle w:val="15"/>
          <w:rFonts w:hint="eastAsia" w:ascii="宋体" w:hAnsi="宋体"/>
          <w:color w:val="C00000"/>
          <w:kern w:val="0"/>
          <w:sz w:val="24"/>
          <w:u w:val="single"/>
          <w:lang w:val="en-US"/>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w:t>
      </w:r>
      <w:r>
        <w:rPr>
          <w:rStyle w:val="15"/>
          <w:rFonts w:hint="eastAsia" w:ascii="宋体" w:hAnsi="宋体"/>
          <w:color w:val="C00000"/>
          <w:kern w:val="0"/>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年 </w:t>
      </w:r>
      <w:r>
        <w:rPr>
          <w:rStyle w:val="15"/>
          <w:rFonts w:hint="eastAsia" w:ascii="宋体" w:hAnsi="宋体"/>
          <w:color w:val="C00000"/>
          <w:kern w:val="0"/>
          <w:sz w:val="24"/>
          <w:u w:val="single"/>
          <w:lang w:val="en-US"/>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w:t>
      </w:r>
      <w:r>
        <w:rPr>
          <w:rStyle w:val="15"/>
          <w:rFonts w:hint="eastAsia" w:ascii="宋体" w:hAnsi="宋体"/>
          <w:color w:val="C00000"/>
          <w:kern w:val="0"/>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月</w:t>
      </w:r>
      <w:r>
        <w:rPr>
          <w:rStyle w:val="15"/>
          <w:rFonts w:hint="eastAsia" w:ascii="宋体" w:hAnsi="宋体"/>
          <w:color w:val="C00000"/>
          <w:kern w:val="0"/>
          <w:sz w:val="24"/>
          <w:u w:val="single"/>
          <w:lang w:val="en-US"/>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14</w:t>
      </w:r>
      <w:r>
        <w:rPr>
          <w:rStyle w:val="15"/>
          <w:rFonts w:hint="eastAsia" w:ascii="宋体" w:hAnsi="宋体"/>
          <w:color w:val="C00000"/>
          <w:kern w:val="0"/>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日至  202</w:t>
      </w:r>
      <w:r>
        <w:rPr>
          <w:rStyle w:val="15"/>
          <w:rFonts w:hint="eastAsia" w:ascii="宋体" w:hAnsi="宋体"/>
          <w:color w:val="C00000"/>
          <w:kern w:val="0"/>
          <w:sz w:val="24"/>
          <w:u w:val="single"/>
          <w:lang w:val="en-US"/>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w:t>
      </w:r>
      <w:r>
        <w:rPr>
          <w:rStyle w:val="15"/>
          <w:rFonts w:hint="eastAsia" w:ascii="宋体" w:hAnsi="宋体"/>
          <w:color w:val="C00000"/>
          <w:kern w:val="0"/>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年 </w:t>
      </w:r>
      <w:r>
        <w:rPr>
          <w:rStyle w:val="15"/>
          <w:rFonts w:hint="eastAsia" w:ascii="宋体" w:hAnsi="宋体"/>
          <w:color w:val="C00000"/>
          <w:kern w:val="0"/>
          <w:sz w:val="24"/>
          <w:u w:val="single"/>
          <w:lang w:val="en-US"/>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w:t>
      </w:r>
      <w:r>
        <w:rPr>
          <w:rStyle w:val="15"/>
          <w:rFonts w:hint="eastAsia" w:ascii="宋体" w:hAnsi="宋体"/>
          <w:color w:val="C00000"/>
          <w:kern w:val="0"/>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月</w:t>
      </w:r>
      <w:r>
        <w:rPr>
          <w:rStyle w:val="15"/>
          <w:rFonts w:hint="eastAsia" w:ascii="宋体" w:hAnsi="宋体"/>
          <w:color w:val="C00000"/>
          <w:kern w:val="0"/>
          <w:sz w:val="24"/>
          <w:u w:val="single"/>
          <w:lang w:val="en-US"/>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21</w:t>
      </w:r>
      <w:r>
        <w:rPr>
          <w:rStyle w:val="15"/>
          <w:rFonts w:hint="eastAsia" w:ascii="宋体" w:hAnsi="宋体"/>
          <w:color w:val="C00000"/>
          <w:kern w:val="0"/>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日，每天上午10：00至14：00，下午16：00至20：00</w:t>
      </w:r>
      <w:r>
        <w:rPr>
          <w:rStyle w:val="15"/>
          <w:rFonts w:hint="eastAsia" w:ascii="宋体" w:hAnsi="宋体"/>
          <w:kern w:val="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Style w:val="15"/>
          <w:rFonts w:hint="eastAsia" w:ascii="宋体" w:hAnsi="宋体"/>
          <w:kern w:val="0"/>
          <w:sz w:val="24"/>
        </w:rPr>
        <w:t>北京时间，法定节假日除外 ）</w:t>
      </w:r>
    </w:p>
    <w:p w14:paraId="4D4EF6F8">
      <w:pPr>
        <w:spacing w:line="440" w:lineRule="exact"/>
        <w:ind w:firstLine="480"/>
        <w:jc w:val="left"/>
        <w:rPr>
          <w:rStyle w:val="15"/>
          <w:rFonts w:ascii="宋体" w:hAnsi="宋体"/>
          <w:kern w:val="0"/>
          <w:sz w:val="24"/>
        </w:rPr>
      </w:pPr>
      <w:r>
        <w:rPr>
          <w:rStyle w:val="15"/>
          <w:rFonts w:ascii="宋体" w:hAnsi="宋体"/>
          <w:kern w:val="0"/>
          <w:sz w:val="24"/>
        </w:rPr>
        <w:t>2、地点：</w:t>
      </w:r>
      <w:r>
        <w:rPr>
          <w:rStyle w:val="15"/>
          <w:rFonts w:hint="eastAsia" w:ascii="宋体" w:hAnsi="宋体"/>
          <w:kern w:val="0"/>
          <w:sz w:val="24"/>
        </w:rPr>
        <w:t>新疆政采云平台（https://www.zcygov.cn/）</w:t>
      </w:r>
    </w:p>
    <w:p w14:paraId="319FAC6D">
      <w:pPr>
        <w:spacing w:line="440" w:lineRule="exact"/>
        <w:ind w:firstLine="480"/>
        <w:jc w:val="left"/>
      </w:pPr>
      <w:r>
        <w:rPr>
          <w:rStyle w:val="15"/>
          <w:rFonts w:ascii="宋体" w:hAnsi="宋体"/>
          <w:kern w:val="0"/>
          <w:sz w:val="24"/>
        </w:rPr>
        <w:t>3、</w:t>
      </w:r>
      <w:r>
        <w:rPr>
          <w:rStyle w:val="15"/>
          <w:rFonts w:hint="eastAsia" w:ascii="宋体" w:hAnsi="宋体"/>
          <w:kern w:val="0"/>
          <w:sz w:val="24"/>
        </w:rPr>
        <w:t>方式：网上</w:t>
      </w:r>
    </w:p>
    <w:p w14:paraId="252FC08A">
      <w:pPr>
        <w:pStyle w:val="2"/>
        <w:spacing w:before="156" w:line="219" w:lineRule="auto"/>
        <w:ind w:left="34"/>
        <w:outlineLvl w:val="1"/>
      </w:pPr>
      <w:r>
        <w:rPr>
          <w:b/>
          <w:bCs/>
          <w:spacing w:val="-4"/>
        </w:rPr>
        <w:t>四、提交投标文件截止时间、开标时间和地点</w:t>
      </w:r>
    </w:p>
    <w:p w14:paraId="5AAFF2A6">
      <w:pPr>
        <w:pStyle w:val="2"/>
        <w:spacing w:before="154" w:line="326" w:lineRule="auto"/>
        <w:ind w:left="493" w:right="2220" w:hanging="1"/>
      </w:pPr>
      <w:r>
        <w:rPr>
          <w:spacing w:val="-5"/>
        </w:rPr>
        <w:t>提交投标文件截止时间：</w:t>
      </w:r>
      <w:r>
        <w:rPr>
          <w:color w:val="auto"/>
          <w:spacing w:val="-5"/>
        </w:rPr>
        <w:t>2025</w:t>
      </w:r>
      <w:r>
        <w:rPr>
          <w:color w:val="auto"/>
          <w:spacing w:val="-48"/>
        </w:rPr>
        <w:t xml:space="preserve"> </w:t>
      </w:r>
      <w:r>
        <w:rPr>
          <w:color w:val="auto"/>
          <w:spacing w:val="-5"/>
        </w:rPr>
        <w:t>年</w:t>
      </w:r>
      <w:r>
        <w:rPr>
          <w:color w:val="auto"/>
          <w:spacing w:val="-49"/>
        </w:rPr>
        <w:t xml:space="preserve"> </w:t>
      </w:r>
      <w:r>
        <w:rPr>
          <w:color w:val="auto"/>
          <w:spacing w:val="-5"/>
        </w:rPr>
        <w:t>0</w:t>
      </w:r>
      <w:r>
        <w:rPr>
          <w:rFonts w:hint="eastAsia"/>
          <w:color w:val="auto"/>
          <w:spacing w:val="-5"/>
          <w:lang w:val="en-US" w:eastAsia="zh-CN"/>
        </w:rPr>
        <w:t>6</w:t>
      </w:r>
      <w:r>
        <w:rPr>
          <w:color w:val="auto"/>
          <w:spacing w:val="-5"/>
        </w:rPr>
        <w:t>月</w:t>
      </w:r>
      <w:r>
        <w:rPr>
          <w:rFonts w:hint="eastAsia"/>
          <w:color w:val="auto"/>
          <w:spacing w:val="-48"/>
          <w:lang w:val="en-US" w:eastAsia="zh-CN"/>
        </w:rPr>
        <w:t>04</w:t>
      </w:r>
      <w:r>
        <w:rPr>
          <w:color w:val="auto"/>
          <w:spacing w:val="-5"/>
        </w:rPr>
        <w:t xml:space="preserve"> 日</w:t>
      </w:r>
      <w:r>
        <w:rPr>
          <w:color w:val="auto"/>
          <w:spacing w:val="-33"/>
        </w:rPr>
        <w:t xml:space="preserve"> </w:t>
      </w:r>
      <w:r>
        <w:rPr>
          <w:spacing w:val="-5"/>
        </w:rPr>
        <w:t>1</w:t>
      </w:r>
      <w:r>
        <w:rPr>
          <w:rFonts w:hint="eastAsia"/>
          <w:spacing w:val="-5"/>
          <w:lang w:val="en-US" w:eastAsia="zh-CN"/>
        </w:rPr>
        <w:t>6</w:t>
      </w:r>
      <w:r>
        <w:rPr>
          <w:spacing w:val="-5"/>
        </w:rPr>
        <w:t>:</w:t>
      </w:r>
      <w:r>
        <w:rPr>
          <w:rFonts w:hint="eastAsia"/>
          <w:spacing w:val="-5"/>
          <w:lang w:val="en-US" w:eastAsia="zh-CN"/>
        </w:rPr>
        <w:t>3</w:t>
      </w:r>
      <w:r>
        <w:rPr>
          <w:spacing w:val="-5"/>
        </w:rPr>
        <w:t>0（北京时间）</w:t>
      </w:r>
      <w:r>
        <w:t xml:space="preserve"> </w:t>
      </w:r>
      <w:r>
        <w:rPr>
          <w:spacing w:val="-1"/>
        </w:rPr>
        <w:t>投标地点：请登录政采云投标客户端投标</w:t>
      </w:r>
    </w:p>
    <w:p w14:paraId="6D17460F">
      <w:pPr>
        <w:pStyle w:val="2"/>
        <w:spacing w:before="33" w:line="219" w:lineRule="auto"/>
        <w:ind w:left="492"/>
      </w:pPr>
      <w:r>
        <w:rPr>
          <w:spacing w:val="-5"/>
        </w:rPr>
        <w:t>开标时间</w:t>
      </w:r>
      <w:r>
        <w:rPr>
          <w:color w:val="C00000"/>
          <w:spacing w:val="-5"/>
        </w:rPr>
        <w:t>：</w:t>
      </w:r>
      <w:r>
        <w:rPr>
          <w:color w:val="auto"/>
          <w:spacing w:val="-5"/>
        </w:rPr>
        <w:t>2025</w:t>
      </w:r>
      <w:r>
        <w:rPr>
          <w:color w:val="auto"/>
          <w:spacing w:val="-50"/>
        </w:rPr>
        <w:t xml:space="preserve"> </w:t>
      </w:r>
      <w:r>
        <w:rPr>
          <w:color w:val="auto"/>
          <w:spacing w:val="-5"/>
        </w:rPr>
        <w:t>年</w:t>
      </w:r>
      <w:r>
        <w:rPr>
          <w:color w:val="auto"/>
          <w:spacing w:val="-48"/>
        </w:rPr>
        <w:t xml:space="preserve"> </w:t>
      </w:r>
      <w:r>
        <w:rPr>
          <w:color w:val="auto"/>
          <w:spacing w:val="-5"/>
        </w:rPr>
        <w:t>0</w:t>
      </w:r>
      <w:r>
        <w:rPr>
          <w:rFonts w:hint="eastAsia"/>
          <w:color w:val="auto"/>
          <w:spacing w:val="-5"/>
          <w:lang w:val="en-US" w:eastAsia="zh-CN"/>
        </w:rPr>
        <w:t>6</w:t>
      </w:r>
      <w:r>
        <w:rPr>
          <w:color w:val="auto"/>
          <w:spacing w:val="-45"/>
        </w:rPr>
        <w:t xml:space="preserve"> </w:t>
      </w:r>
      <w:r>
        <w:rPr>
          <w:color w:val="auto"/>
          <w:spacing w:val="-5"/>
        </w:rPr>
        <w:t>月</w:t>
      </w:r>
      <w:r>
        <w:rPr>
          <w:color w:val="auto"/>
          <w:spacing w:val="-48"/>
        </w:rPr>
        <w:t xml:space="preserve"> </w:t>
      </w:r>
      <w:r>
        <w:rPr>
          <w:rFonts w:hint="eastAsia"/>
          <w:color w:val="auto"/>
          <w:spacing w:val="-5"/>
          <w:lang w:val="en-US" w:eastAsia="zh-CN"/>
        </w:rPr>
        <w:t>04</w:t>
      </w:r>
      <w:r>
        <w:rPr>
          <w:color w:val="auto"/>
          <w:spacing w:val="-5"/>
        </w:rPr>
        <w:t xml:space="preserve"> </w:t>
      </w:r>
      <w:r>
        <w:rPr>
          <w:spacing w:val="-5"/>
        </w:rPr>
        <w:t>日</w:t>
      </w:r>
      <w:r>
        <w:rPr>
          <w:spacing w:val="-33"/>
        </w:rPr>
        <w:t xml:space="preserve"> </w:t>
      </w:r>
      <w:r>
        <w:rPr>
          <w:spacing w:val="-5"/>
        </w:rPr>
        <w:t>1</w:t>
      </w:r>
      <w:r>
        <w:rPr>
          <w:rFonts w:hint="eastAsia"/>
          <w:spacing w:val="-5"/>
          <w:lang w:val="en-US" w:eastAsia="zh-CN"/>
        </w:rPr>
        <w:t>6</w:t>
      </w:r>
      <w:r>
        <w:rPr>
          <w:spacing w:val="-5"/>
        </w:rPr>
        <w:t>:</w:t>
      </w:r>
      <w:r>
        <w:rPr>
          <w:rFonts w:hint="eastAsia"/>
          <w:spacing w:val="-5"/>
          <w:lang w:val="en-US" w:eastAsia="zh-CN"/>
        </w:rPr>
        <w:t>3</w:t>
      </w:r>
      <w:r>
        <w:rPr>
          <w:spacing w:val="-6"/>
        </w:rPr>
        <w:t>0（北京时间）</w:t>
      </w:r>
    </w:p>
    <w:p w14:paraId="0EF1E3D5">
      <w:pPr>
        <w:pStyle w:val="2"/>
        <w:spacing w:before="154" w:line="327" w:lineRule="auto"/>
        <w:ind w:left="10" w:right="80" w:firstLine="481"/>
      </w:pPr>
      <w:r>
        <w:t>开标地点：供应商登录政采云平台</w:t>
      </w:r>
      <w:r>
        <w:rPr>
          <w:spacing w:val="-53"/>
        </w:rPr>
        <w:t xml:space="preserve"> </w:t>
      </w:r>
      <w:r>
        <w:t xml:space="preserve">https://www.zcygov.cn/，进入“项目采购-开标 </w:t>
      </w:r>
      <w:r>
        <w:rPr>
          <w:spacing w:val="-2"/>
        </w:rPr>
        <w:t>评标-右边选择对应项目点击“进入项目</w:t>
      </w:r>
      <w:r>
        <w:rPr>
          <w:spacing w:val="-78"/>
        </w:rPr>
        <w:t xml:space="preserve"> </w:t>
      </w:r>
      <w:r>
        <w:rPr>
          <w:spacing w:val="-2"/>
        </w:rPr>
        <w:t>”进入开标大厅。</w:t>
      </w:r>
    </w:p>
    <w:p w14:paraId="52BE7690">
      <w:pPr>
        <w:pStyle w:val="2"/>
        <w:spacing w:before="31" w:line="218" w:lineRule="auto"/>
        <w:ind w:left="15"/>
        <w:outlineLvl w:val="1"/>
      </w:pPr>
      <w:r>
        <w:rPr>
          <w:b/>
          <w:bCs/>
          <w:spacing w:val="-4"/>
        </w:rPr>
        <w:t>五、公告期限</w:t>
      </w:r>
    </w:p>
    <w:p w14:paraId="31C136C2">
      <w:pPr>
        <w:pStyle w:val="2"/>
        <w:spacing w:before="155" w:line="218" w:lineRule="auto"/>
        <w:ind w:left="531"/>
      </w:pPr>
      <w:r>
        <w:rPr>
          <w:spacing w:val="-5"/>
        </w:rPr>
        <w:t>自本公告发布之日起</w:t>
      </w:r>
      <w:r>
        <w:rPr>
          <w:spacing w:val="-45"/>
        </w:rPr>
        <w:t xml:space="preserve"> </w:t>
      </w:r>
      <w:r>
        <w:rPr>
          <w:spacing w:val="-5"/>
        </w:rPr>
        <w:t>5</w:t>
      </w:r>
      <w:r>
        <w:rPr>
          <w:spacing w:val="-50"/>
        </w:rPr>
        <w:t xml:space="preserve"> </w:t>
      </w:r>
      <w:r>
        <w:rPr>
          <w:spacing w:val="-5"/>
        </w:rPr>
        <w:t>个工作日。</w:t>
      </w:r>
    </w:p>
    <w:p w14:paraId="5963B8B3">
      <w:pPr>
        <w:pStyle w:val="2"/>
        <w:spacing w:before="159" w:line="220" w:lineRule="auto"/>
        <w:ind w:left="13"/>
        <w:outlineLvl w:val="1"/>
      </w:pPr>
      <w:r>
        <w:rPr>
          <w:b/>
          <w:bCs/>
          <w:spacing w:val="-4"/>
        </w:rPr>
        <w:t>六、其他补充事宜</w:t>
      </w:r>
    </w:p>
    <w:p w14:paraId="09B8F403">
      <w:pPr>
        <w:pStyle w:val="2"/>
        <w:spacing w:before="157" w:line="219" w:lineRule="auto"/>
        <w:ind w:left="13"/>
        <w:rPr>
          <w:rFonts w:hint="eastAsia" w:ascii="宋体" w:hAnsi="宋体" w:eastAsia="宋体" w:cs="宋体"/>
          <w:spacing w:val="-1"/>
          <w:lang w:eastAsia="zh-CN"/>
        </w:rPr>
      </w:pPr>
      <w:r>
        <w:rPr>
          <w:rFonts w:hint="eastAsia" w:ascii="宋体" w:hAnsi="宋体" w:eastAsia="宋体" w:cs="宋体"/>
          <w:spacing w:val="-1"/>
        </w:rPr>
        <w:t>企业负责人为同一人或者存在直接控股、管理关系的不同投标人，不得参加同一合同项下的政府采购活动，否则，皆取消投标资格</w:t>
      </w:r>
      <w:r>
        <w:rPr>
          <w:rFonts w:hint="eastAsia" w:cs="宋体"/>
          <w:spacing w:val="-1"/>
          <w:lang w:eastAsia="zh-CN"/>
        </w:rPr>
        <w:t>；</w:t>
      </w:r>
      <w:r>
        <w:rPr>
          <w:rFonts w:hint="eastAsia" w:ascii="宋体" w:hAnsi="宋体" w:eastAsia="宋体" w:cs="宋体"/>
          <w:spacing w:val="-1"/>
        </w:rPr>
        <w:br w:type="textWrapping"/>
      </w:r>
      <w:r>
        <w:rPr>
          <w:rFonts w:hint="eastAsia" w:ascii="宋体" w:hAnsi="宋体" w:eastAsia="宋体" w:cs="宋体"/>
          <w:spacing w:val="-1"/>
        </w:rPr>
        <w:t>    1.本项目为电子招投标，供应商需要使用CA加密设备，凡参加本项目必须可自主通过新疆CA申领渠道“新疆政务通”申请新疆政采云平台可使用的CA设备，如原有自治区或公共资源使用的CA，可与新疆CA联系，申请增加电子证书即可，无需重复申领</w:t>
      </w:r>
      <w:r>
        <w:rPr>
          <w:rFonts w:hint="eastAsia" w:cs="宋体"/>
          <w:spacing w:val="-1"/>
          <w:lang w:eastAsia="zh-CN"/>
        </w:rPr>
        <w:t>；</w:t>
      </w:r>
      <w:r>
        <w:rPr>
          <w:rFonts w:hint="eastAsia" w:ascii="宋体" w:hAnsi="宋体" w:eastAsia="宋体" w:cs="宋体"/>
          <w:spacing w:val="-1"/>
        </w:rPr>
        <w:br w:type="textWrapping"/>
      </w:r>
      <w:r>
        <w:rPr>
          <w:rFonts w:hint="eastAsia" w:ascii="宋体" w:hAnsi="宋体" w:eastAsia="宋体" w:cs="宋体"/>
          <w:spacing w:val="-1"/>
        </w:rPr>
        <w:t xml:space="preserve">   2.本项目实行网上投标，采用电子投标文件(供应商须使用CA加密设备通过新疆政采云电子投标客户端制作投标文件)。若供应商参与投标，自行承担投标一切费用</w:t>
      </w:r>
      <w:r>
        <w:rPr>
          <w:rFonts w:hint="eastAsia" w:cs="宋体"/>
          <w:spacing w:val="-1"/>
          <w:lang w:eastAsia="zh-CN"/>
        </w:rPr>
        <w:t>；</w:t>
      </w:r>
      <w:r>
        <w:rPr>
          <w:rFonts w:hint="eastAsia" w:ascii="宋体" w:hAnsi="宋体" w:eastAsia="宋体" w:cs="宋体"/>
          <w:spacing w:val="-1"/>
        </w:rPr>
        <w:br w:type="textWrapping"/>
      </w:r>
      <w:r>
        <w:rPr>
          <w:rFonts w:hint="eastAsia" w:ascii="宋体" w:hAnsi="宋体" w:eastAsia="宋体" w:cs="宋体"/>
          <w:spacing w:val="-1"/>
        </w:rPr>
        <w:t xml:space="preserve">   3.各供应商应在开标前应确保成为新疆政府采购网正式注册入库供应商，并完成CA数字证书申领。因未注册入库、未办理CA数字证书等原因造成无法投标或投标失败等后果由供应商自行承担</w:t>
      </w:r>
      <w:r>
        <w:rPr>
          <w:rFonts w:hint="eastAsia" w:cs="宋体"/>
          <w:spacing w:val="-1"/>
          <w:lang w:eastAsia="zh-CN"/>
        </w:rPr>
        <w:t>；</w:t>
      </w:r>
      <w:r>
        <w:rPr>
          <w:rFonts w:hint="eastAsia" w:ascii="宋体" w:hAnsi="宋体" w:eastAsia="宋体" w:cs="宋体"/>
          <w:spacing w:val="-1"/>
        </w:rPr>
        <w:br w:type="textWrapping"/>
      </w:r>
      <w:r>
        <w:rPr>
          <w:rFonts w:hint="eastAsia" w:ascii="宋体" w:hAnsi="宋体" w:eastAsia="宋体" w:cs="宋体"/>
          <w:spacing w:val="-1"/>
        </w:rPr>
        <w:t xml:space="preserve">   4.供应商将新疆政采云电子交易客户端下载、安装完成后，可通过账号密码或CA登录客户端进行投标文件制作。在使用新疆政采云投标客户端时，建议使用WIN7及以上操作系统。客户端请至新疆政府采购网（http://www.ccgp-xinjiang.gov.cn/）下载专区查看，如有问题可拨打新疆政采云客户服务热线95763进行咨询</w:t>
      </w:r>
      <w:r>
        <w:rPr>
          <w:rFonts w:hint="eastAsia" w:cs="宋体"/>
          <w:spacing w:val="-1"/>
          <w:lang w:eastAsia="zh-CN"/>
        </w:rPr>
        <w:t>；</w:t>
      </w:r>
      <w:r>
        <w:rPr>
          <w:rFonts w:hint="eastAsia" w:ascii="宋体" w:hAnsi="宋体" w:eastAsia="宋体" w:cs="宋体"/>
          <w:spacing w:val="-1"/>
        </w:rPr>
        <w:br w:type="textWrapping"/>
      </w:r>
      <w:r>
        <w:rPr>
          <w:rFonts w:hint="eastAsia" w:ascii="宋体" w:hAnsi="宋体" w:eastAsia="宋体" w:cs="宋体"/>
          <w:spacing w:val="-1"/>
        </w:rPr>
        <w:t xml:space="preserve">   5.供应商在开标时须使用制作加密电子投标文件所使用的CA锁及电脑，电脑须提前配置好浏览器（建议使用谷歌浏览器），以便开标时解锁</w:t>
      </w:r>
      <w:r>
        <w:rPr>
          <w:rFonts w:hint="eastAsia" w:cs="宋体"/>
          <w:spacing w:val="-1"/>
          <w:lang w:eastAsia="zh-CN"/>
        </w:rPr>
        <w:t>；</w:t>
      </w:r>
      <w:r>
        <w:rPr>
          <w:rFonts w:hint="eastAsia" w:ascii="宋体" w:hAnsi="宋体" w:eastAsia="宋体" w:cs="宋体"/>
          <w:spacing w:val="-1"/>
        </w:rPr>
        <w:br w:type="textWrapping"/>
      </w:r>
      <w:r>
        <w:rPr>
          <w:rFonts w:hint="eastAsia" w:ascii="宋体" w:hAnsi="宋体" w:eastAsia="宋体" w:cs="宋体"/>
          <w:spacing w:val="-1"/>
        </w:rPr>
        <w:t xml:space="preserve">   6.磋商保证金缴纳及确认时间：凡拟参加本次项目的供应商，必须在开标前将磋商保证金汇入指定账户。磋商保证金汇款凭证上用途栏应注明:招标项目名称+标项号+磋商保证金。否则，届时其投标将被拒绝</w:t>
      </w:r>
      <w:r>
        <w:rPr>
          <w:rFonts w:hint="eastAsia" w:cs="宋体"/>
          <w:spacing w:val="-1"/>
          <w:lang w:eastAsia="zh-CN"/>
        </w:rPr>
        <w:t>；</w:t>
      </w:r>
      <w:r>
        <w:rPr>
          <w:rFonts w:hint="eastAsia" w:ascii="宋体" w:hAnsi="宋体" w:eastAsia="宋体" w:cs="宋体"/>
          <w:spacing w:val="-1"/>
        </w:rPr>
        <w:br w:type="textWrapping"/>
      </w:r>
      <w:r>
        <w:rPr>
          <w:rFonts w:hint="eastAsia" w:ascii="宋体" w:hAnsi="宋体" w:eastAsia="宋体" w:cs="宋体"/>
          <w:spacing w:val="-1"/>
        </w:rPr>
        <w:t xml:space="preserve">   7.供应商对不见面开评标系统的技术操作咨询，可通过https://edu.zcygov.cn/luban/xinjiang-e-biding自助查询，也可在新疆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新疆政采云在线客服获取服务支持。供应商钉钉群号：新疆政采云新疆供应商服务1号群：30349928（如已加入1-11群，无需重复加入，十一个群联动直播），钉钉工具软件具有回放功能，直播培训结束后可在钉钉群中回放观看学习</w:t>
      </w:r>
      <w:r>
        <w:rPr>
          <w:rFonts w:hint="eastAsia" w:cs="宋体"/>
          <w:spacing w:val="-1"/>
          <w:lang w:eastAsia="zh-CN"/>
        </w:rPr>
        <w:t>；</w:t>
      </w:r>
    </w:p>
    <w:p w14:paraId="22A4FF49">
      <w:pPr>
        <w:pStyle w:val="2"/>
        <w:spacing w:before="157" w:line="219" w:lineRule="auto"/>
        <w:ind w:left="13"/>
        <w:rPr>
          <w:rFonts w:hint="eastAsia" w:ascii="宋体" w:hAnsi="宋体" w:eastAsia="宋体" w:cs="宋体"/>
          <w:spacing w:val="-1"/>
          <w:lang w:eastAsia="zh-CN"/>
        </w:rPr>
      </w:pPr>
      <w:r>
        <w:rPr>
          <w:rFonts w:hint="eastAsia" w:ascii="宋体" w:hAnsi="宋体" w:eastAsia="宋体" w:cs="宋体"/>
          <w:spacing w:val="-1"/>
        </w:rPr>
        <w:t>8.同级监督部门：塔城地区财政局、监督电话：0901-6249351</w:t>
      </w:r>
      <w:r>
        <w:rPr>
          <w:rFonts w:hint="eastAsia" w:cs="宋体"/>
          <w:spacing w:val="-1"/>
          <w:lang w:eastAsia="zh-CN"/>
        </w:rPr>
        <w:t>。</w:t>
      </w:r>
    </w:p>
    <w:p w14:paraId="4578D79C">
      <w:pPr>
        <w:pStyle w:val="2"/>
        <w:spacing w:before="34" w:line="219" w:lineRule="auto"/>
        <w:ind w:left="8"/>
        <w:outlineLvl w:val="1"/>
      </w:pPr>
      <w:r>
        <w:rPr>
          <w:b/>
          <w:bCs/>
          <w:spacing w:val="-3"/>
        </w:rPr>
        <w:t>七、对本次采购提出询问，请按以下方式联系</w:t>
      </w:r>
    </w:p>
    <w:p w14:paraId="634E8A6C">
      <w:pPr>
        <w:pStyle w:val="2"/>
        <w:spacing w:before="154" w:line="219" w:lineRule="auto"/>
        <w:ind w:left="506"/>
        <w:outlineLvl w:val="2"/>
      </w:pPr>
      <w:r>
        <w:rPr>
          <w:spacing w:val="-4"/>
        </w:rPr>
        <w:t>1.采购人信息</w:t>
      </w:r>
    </w:p>
    <w:p w14:paraId="2FEBDEED">
      <w:pPr>
        <w:spacing w:line="440" w:lineRule="exact"/>
        <w:ind w:firstLine="480" w:firstLineChars="200"/>
        <w:jc w:val="left"/>
        <w:rPr>
          <w:rStyle w:val="15"/>
          <w:rFonts w:ascii="宋体" w:hAnsi="宋体"/>
          <w:kern w:val="0"/>
          <w:sz w:val="24"/>
        </w:rPr>
      </w:pPr>
      <w:r>
        <w:rPr>
          <w:rStyle w:val="15"/>
          <w:rFonts w:hint="eastAsia" w:ascii="宋体" w:hAnsi="宋体"/>
          <w:kern w:val="0"/>
          <w:sz w:val="24"/>
        </w:rPr>
        <w:t>采购人</w:t>
      </w:r>
      <w:r>
        <w:rPr>
          <w:rStyle w:val="15"/>
          <w:rFonts w:ascii="宋体" w:hAnsi="宋体"/>
          <w:kern w:val="0"/>
          <w:sz w:val="24"/>
        </w:rPr>
        <w:t>：</w:t>
      </w:r>
      <w:r>
        <w:rPr>
          <w:rStyle w:val="15"/>
          <w:rFonts w:hint="eastAsia" w:ascii="宋体" w:hAnsi="宋体"/>
          <w:kern w:val="0"/>
          <w:sz w:val="24"/>
          <w:lang w:val="en-US" w:eastAsia="zh-CN"/>
        </w:rPr>
        <w:t>伊犁哈萨克自治州塔城地区口岸管理委员会</w:t>
      </w:r>
    </w:p>
    <w:p w14:paraId="19969FA4">
      <w:pPr>
        <w:spacing w:line="440" w:lineRule="exact"/>
        <w:ind w:firstLine="480" w:firstLineChars="200"/>
        <w:jc w:val="left"/>
        <w:rPr>
          <w:rStyle w:val="15"/>
          <w:rFonts w:ascii="宋体" w:hAnsi="宋体"/>
          <w:kern w:val="0"/>
          <w:sz w:val="24"/>
        </w:rPr>
      </w:pPr>
      <w:r>
        <w:rPr>
          <w:rStyle w:val="15"/>
          <w:rFonts w:hint="eastAsia" w:ascii="宋体" w:hAnsi="宋体"/>
          <w:kern w:val="0"/>
          <w:sz w:val="24"/>
        </w:rPr>
        <w:t>联 系 人</w:t>
      </w:r>
      <w:r>
        <w:rPr>
          <w:rStyle w:val="15"/>
          <w:rFonts w:hint="eastAsia" w:ascii="宋体" w:hAnsi="宋体"/>
          <w:kern w:val="0"/>
          <w:sz w:val="24"/>
          <w:lang w:val="zh-CN"/>
        </w:rPr>
        <w:t>:单维祯</w:t>
      </w:r>
      <w:r>
        <w:rPr>
          <w:rStyle w:val="15"/>
          <w:rFonts w:hint="eastAsia" w:ascii="宋体" w:hAnsi="宋体"/>
          <w:color w:val="FF0000"/>
          <w:kern w:val="0"/>
          <w:sz w:val="24"/>
        </w:rPr>
        <w:t xml:space="preserve"> </w:t>
      </w:r>
    </w:p>
    <w:p w14:paraId="4BD38431">
      <w:pPr>
        <w:spacing w:line="440" w:lineRule="exact"/>
        <w:ind w:firstLine="480" w:firstLineChars="200"/>
        <w:jc w:val="left"/>
        <w:rPr>
          <w:color w:val="FF0000"/>
        </w:rPr>
      </w:pPr>
      <w:r>
        <w:rPr>
          <w:rStyle w:val="15"/>
          <w:rFonts w:ascii="宋体" w:hAnsi="宋体"/>
          <w:kern w:val="0"/>
          <w:sz w:val="24"/>
        </w:rPr>
        <w:t>联系电话：0901-6236157</w:t>
      </w:r>
    </w:p>
    <w:p w14:paraId="5C252475">
      <w:pPr>
        <w:spacing w:line="440" w:lineRule="exact"/>
        <w:ind w:firstLine="480" w:firstLineChars="200"/>
        <w:jc w:val="left"/>
        <w:rPr>
          <w:rStyle w:val="15"/>
          <w:rFonts w:ascii="宋体" w:hAnsi="宋体"/>
          <w:kern w:val="0"/>
          <w:sz w:val="24"/>
          <w:u w:val="single"/>
        </w:rPr>
      </w:pPr>
      <w:r>
        <w:rPr>
          <w:rStyle w:val="15"/>
          <w:rFonts w:hint="eastAsia" w:ascii="宋体" w:hAnsi="宋体"/>
          <w:kern w:val="0"/>
          <w:sz w:val="24"/>
        </w:rPr>
        <w:t>采购代理</w:t>
      </w:r>
      <w:r>
        <w:rPr>
          <w:rStyle w:val="15"/>
          <w:rFonts w:ascii="宋体" w:hAnsi="宋体"/>
          <w:kern w:val="0"/>
          <w:sz w:val="24"/>
        </w:rPr>
        <w:t>机构：</w:t>
      </w:r>
      <w:r>
        <w:rPr>
          <w:rStyle w:val="15"/>
          <w:rFonts w:hint="eastAsia" w:ascii="宋体" w:hAnsi="宋体"/>
          <w:kern w:val="0"/>
          <w:sz w:val="24"/>
          <w:u w:val="single"/>
        </w:rPr>
        <w:t>塔城地区政务服务与公共资源交易中心</w:t>
      </w:r>
    </w:p>
    <w:p w14:paraId="0541742C">
      <w:pPr>
        <w:spacing w:line="440" w:lineRule="exact"/>
        <w:ind w:firstLine="480" w:firstLineChars="200"/>
        <w:jc w:val="left"/>
        <w:rPr>
          <w:rStyle w:val="15"/>
          <w:rFonts w:ascii="宋体" w:hAnsi="宋体"/>
          <w:kern w:val="0"/>
          <w:sz w:val="24"/>
          <w:u w:val="single"/>
        </w:rPr>
      </w:pPr>
      <w:r>
        <w:rPr>
          <w:rStyle w:val="15"/>
          <w:rFonts w:ascii="宋体" w:hAnsi="宋体"/>
          <w:kern w:val="0"/>
          <w:sz w:val="24"/>
          <w:u w:val="single"/>
        </w:rPr>
        <w:t xml:space="preserve">地址： </w:t>
      </w:r>
      <w:r>
        <w:rPr>
          <w:rStyle w:val="15"/>
          <w:rFonts w:hint="eastAsia" w:ascii="宋体" w:hAnsi="宋体"/>
          <w:kern w:val="0"/>
          <w:sz w:val="24"/>
          <w:u w:val="single"/>
        </w:rPr>
        <w:t>塔城地区政务服务与公共资源交易中心 308 办公室</w:t>
      </w:r>
    </w:p>
    <w:p w14:paraId="282E23C8">
      <w:pPr>
        <w:spacing w:line="440" w:lineRule="exact"/>
        <w:ind w:firstLine="480" w:firstLineChars="200"/>
        <w:jc w:val="left"/>
        <w:rPr>
          <w:rStyle w:val="15"/>
          <w:rFonts w:ascii="宋体" w:hAnsi="宋体"/>
          <w:kern w:val="0"/>
          <w:sz w:val="24"/>
          <w:u w:val="single"/>
        </w:rPr>
      </w:pPr>
      <w:r>
        <w:rPr>
          <w:rStyle w:val="15"/>
          <w:rFonts w:ascii="宋体" w:hAnsi="宋体"/>
          <w:kern w:val="0"/>
          <w:sz w:val="24"/>
          <w:u w:val="single"/>
        </w:rPr>
        <w:t>联系人：</w:t>
      </w:r>
      <w:r>
        <w:rPr>
          <w:rStyle w:val="15"/>
          <w:rFonts w:hint="eastAsia" w:ascii="宋体" w:hAnsi="宋体"/>
          <w:kern w:val="0"/>
          <w:sz w:val="24"/>
          <w:u w:val="single"/>
        </w:rPr>
        <w:t>盛鑫</w:t>
      </w:r>
    </w:p>
    <w:p w14:paraId="3F169E3A">
      <w:pPr>
        <w:spacing w:line="440" w:lineRule="exact"/>
        <w:ind w:firstLine="480" w:firstLineChars="200"/>
        <w:jc w:val="left"/>
        <w:rPr>
          <w:rStyle w:val="15"/>
          <w:rFonts w:ascii="宋体" w:hAnsi="宋体"/>
          <w:kern w:val="0"/>
          <w:sz w:val="24"/>
        </w:rPr>
      </w:pPr>
      <w:r>
        <w:rPr>
          <w:rStyle w:val="15"/>
          <w:rFonts w:ascii="宋体" w:hAnsi="宋体"/>
          <w:kern w:val="0"/>
          <w:sz w:val="24"/>
          <w:u w:val="single"/>
        </w:rPr>
        <w:t>联系电话：</w:t>
      </w:r>
      <w:r>
        <w:rPr>
          <w:rStyle w:val="15"/>
          <w:rFonts w:hint="eastAsia" w:ascii="宋体" w:hAnsi="宋体"/>
          <w:kern w:val="0"/>
          <w:sz w:val="24"/>
          <w:u w:val="single"/>
        </w:rPr>
        <w:t>0901-6225551</w:t>
      </w:r>
    </w:p>
    <w:p w14:paraId="2E500F51">
      <w:pPr>
        <w:spacing w:line="391" w:lineRule="auto"/>
        <w:rPr>
          <w:rFonts w:ascii="Arial"/>
          <w:sz w:val="21"/>
        </w:rPr>
      </w:pPr>
    </w:p>
    <w:p w14:paraId="396E8DDD">
      <w:pPr>
        <w:pStyle w:val="2"/>
        <w:spacing w:before="92" w:line="219" w:lineRule="auto"/>
        <w:ind w:left="10"/>
        <w:rPr>
          <w:sz w:val="28"/>
          <w:szCs w:val="28"/>
        </w:rPr>
      </w:pPr>
      <w:r>
        <w:rPr>
          <w:b/>
          <w:bCs/>
          <w:spacing w:val="-3"/>
          <w:sz w:val="28"/>
          <w:szCs w:val="28"/>
        </w:rPr>
        <w:t>注：最终以新疆政府采购网公布的公告内容为准。</w:t>
      </w:r>
    </w:p>
    <w:p w14:paraId="39A244BA">
      <w:pPr>
        <w:spacing w:line="219" w:lineRule="auto"/>
        <w:rPr>
          <w:sz w:val="28"/>
          <w:szCs w:val="28"/>
        </w:rPr>
        <w:sectPr>
          <w:headerReference r:id="rId7" w:type="default"/>
          <w:footerReference r:id="rId8" w:type="default"/>
          <w:pgSz w:w="11910" w:h="16840"/>
          <w:pgMar w:top="1136" w:right="1134" w:bottom="1339" w:left="1457" w:header="855" w:footer="1174" w:gutter="0"/>
          <w:pgNumType w:fmt="decimal"/>
          <w:cols w:space="720" w:num="1"/>
        </w:sectPr>
      </w:pPr>
    </w:p>
    <w:p w14:paraId="0EA5E6A6">
      <w:pPr>
        <w:spacing w:line="359" w:lineRule="auto"/>
        <w:rPr>
          <w:rFonts w:ascii="Arial"/>
          <w:sz w:val="21"/>
        </w:rPr>
      </w:pPr>
    </w:p>
    <w:p w14:paraId="061B3EEF">
      <w:pPr>
        <w:pStyle w:val="2"/>
        <w:spacing w:before="101" w:line="224" w:lineRule="auto"/>
        <w:ind w:left="2968"/>
        <w:outlineLvl w:val="0"/>
        <w:rPr>
          <w:sz w:val="31"/>
          <w:szCs w:val="31"/>
        </w:rPr>
      </w:pPr>
      <w:bookmarkStart w:id="15" w:name="bookmark4"/>
      <w:bookmarkEnd w:id="15"/>
      <w:bookmarkStart w:id="16" w:name="bookmark3"/>
      <w:bookmarkEnd w:id="16"/>
      <w:r>
        <w:rPr>
          <w:b/>
          <w:bCs/>
          <w:spacing w:val="6"/>
          <w:sz w:val="31"/>
          <w:szCs w:val="31"/>
        </w:rPr>
        <w:t>第二章</w:t>
      </w:r>
      <w:r>
        <w:rPr>
          <w:spacing w:val="6"/>
          <w:sz w:val="31"/>
          <w:szCs w:val="31"/>
        </w:rPr>
        <w:t xml:space="preserve">  </w:t>
      </w:r>
      <w:r>
        <w:rPr>
          <w:b/>
          <w:bCs/>
          <w:spacing w:val="6"/>
          <w:sz w:val="31"/>
          <w:szCs w:val="31"/>
        </w:rPr>
        <w:t>供应商须知前附表</w:t>
      </w:r>
    </w:p>
    <w:p w14:paraId="38170F02">
      <w:pPr>
        <w:spacing w:before="214"/>
      </w:pPr>
    </w:p>
    <w:tbl>
      <w:tblPr>
        <w:tblStyle w:val="13"/>
        <w:tblW w:w="97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7"/>
        <w:gridCol w:w="1964"/>
        <w:gridCol w:w="7021"/>
      </w:tblGrid>
      <w:tr w14:paraId="778B7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77" w:type="dxa"/>
            <w:vAlign w:val="top"/>
          </w:tcPr>
          <w:p w14:paraId="394B1E4B">
            <w:pPr>
              <w:pStyle w:val="14"/>
              <w:spacing w:before="198" w:line="220" w:lineRule="auto"/>
              <w:ind w:left="158"/>
            </w:pPr>
            <w:r>
              <w:rPr>
                <w:spacing w:val="-7"/>
              </w:rPr>
              <w:t>项号</w:t>
            </w:r>
          </w:p>
        </w:tc>
        <w:tc>
          <w:tcPr>
            <w:tcW w:w="1964" w:type="dxa"/>
            <w:vAlign w:val="top"/>
          </w:tcPr>
          <w:p w14:paraId="0E9C4B8A">
            <w:pPr>
              <w:pStyle w:val="14"/>
              <w:spacing w:before="198" w:line="220" w:lineRule="auto"/>
              <w:ind w:left="691"/>
            </w:pPr>
            <w:r>
              <w:rPr>
                <w:spacing w:val="-7"/>
              </w:rPr>
              <w:t>项</w:t>
            </w:r>
            <w:r>
              <w:rPr>
                <w:spacing w:val="55"/>
              </w:rPr>
              <w:t xml:space="preserve"> </w:t>
            </w:r>
            <w:r>
              <w:rPr>
                <w:spacing w:val="-7"/>
              </w:rPr>
              <w:t>目</w:t>
            </w:r>
          </w:p>
        </w:tc>
        <w:tc>
          <w:tcPr>
            <w:tcW w:w="7021" w:type="dxa"/>
            <w:vAlign w:val="top"/>
          </w:tcPr>
          <w:p w14:paraId="1D014499">
            <w:pPr>
              <w:pStyle w:val="14"/>
              <w:spacing w:before="56" w:line="219" w:lineRule="auto"/>
              <w:ind w:left="3125"/>
            </w:pPr>
            <w:r>
              <w:rPr>
                <w:spacing w:val="-20"/>
              </w:rPr>
              <w:t>内</w:t>
            </w:r>
            <w:r>
              <w:rPr>
                <w:spacing w:val="4"/>
              </w:rPr>
              <w:t xml:space="preserve">   </w:t>
            </w:r>
            <w:r>
              <w:rPr>
                <w:spacing w:val="-20"/>
              </w:rPr>
              <w:t>容</w:t>
            </w:r>
          </w:p>
        </w:tc>
      </w:tr>
      <w:tr w14:paraId="23F4F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777" w:type="dxa"/>
            <w:vAlign w:val="top"/>
          </w:tcPr>
          <w:p w14:paraId="308E798B">
            <w:pPr>
              <w:spacing w:line="265" w:lineRule="auto"/>
              <w:rPr>
                <w:rFonts w:ascii="Arial"/>
                <w:sz w:val="21"/>
              </w:rPr>
            </w:pPr>
          </w:p>
          <w:p w14:paraId="18A9003C">
            <w:pPr>
              <w:spacing w:line="266" w:lineRule="auto"/>
              <w:rPr>
                <w:rFonts w:ascii="Arial"/>
                <w:sz w:val="21"/>
              </w:rPr>
            </w:pPr>
          </w:p>
          <w:p w14:paraId="78AE5F05">
            <w:pPr>
              <w:pStyle w:val="14"/>
              <w:spacing w:before="78" w:line="184" w:lineRule="auto"/>
              <w:ind w:left="352"/>
            </w:pPr>
            <w:r>
              <w:t>1</w:t>
            </w:r>
          </w:p>
        </w:tc>
        <w:tc>
          <w:tcPr>
            <w:tcW w:w="1964" w:type="dxa"/>
            <w:vAlign w:val="top"/>
          </w:tcPr>
          <w:p w14:paraId="2F56909F">
            <w:pPr>
              <w:spacing w:line="247" w:lineRule="auto"/>
              <w:rPr>
                <w:rFonts w:ascii="Arial"/>
                <w:sz w:val="21"/>
              </w:rPr>
            </w:pPr>
          </w:p>
          <w:p w14:paraId="5AFBA7BB">
            <w:pPr>
              <w:spacing w:line="248" w:lineRule="auto"/>
              <w:rPr>
                <w:rFonts w:ascii="Arial"/>
                <w:sz w:val="21"/>
              </w:rPr>
            </w:pPr>
          </w:p>
          <w:p w14:paraId="1392FDAC">
            <w:pPr>
              <w:pStyle w:val="14"/>
              <w:spacing w:before="78" w:line="219" w:lineRule="auto"/>
              <w:ind w:left="151"/>
            </w:pPr>
            <w:r>
              <w:rPr>
                <w:spacing w:val="-2"/>
              </w:rPr>
              <w:t>项目名称及编号</w:t>
            </w:r>
          </w:p>
        </w:tc>
        <w:tc>
          <w:tcPr>
            <w:tcW w:w="7021" w:type="dxa"/>
            <w:vAlign w:val="top"/>
          </w:tcPr>
          <w:p w14:paraId="6AF7D67C">
            <w:pPr>
              <w:spacing w:line="265" w:lineRule="auto"/>
              <w:rPr>
                <w:rFonts w:ascii="Arial"/>
                <w:sz w:val="21"/>
              </w:rPr>
            </w:pPr>
          </w:p>
          <w:p w14:paraId="47CEE176">
            <w:pPr>
              <w:pStyle w:val="14"/>
              <w:spacing w:before="78" w:line="219" w:lineRule="auto"/>
              <w:ind w:left="117"/>
            </w:pPr>
            <w:r>
              <w:rPr>
                <w:spacing w:val="-2"/>
              </w:rPr>
              <w:t>项目名称：</w:t>
            </w:r>
            <w:r>
              <w:rPr>
                <w:rFonts w:ascii="宋体" w:hAnsi="宋体" w:eastAsia="宋体" w:cs="宋体"/>
                <w:b/>
                <w:bCs/>
                <w:snapToGrid w:val="0"/>
                <w:color w:val="auto"/>
                <w:spacing w:val="-4"/>
                <w:kern w:val="0"/>
                <w:sz w:val="24"/>
                <w:szCs w:val="24"/>
                <w:lang w:val="en-US" w:eastAsia="en-US" w:bidi="ar-SA"/>
              </w:rPr>
              <w:t>巴克图口岸公共物业服务项目</w:t>
            </w:r>
          </w:p>
          <w:p w14:paraId="4A3032CE">
            <w:pPr>
              <w:pStyle w:val="14"/>
              <w:spacing w:before="114" w:line="218" w:lineRule="auto"/>
              <w:ind w:left="117"/>
            </w:pPr>
            <w:r>
              <w:rPr>
                <w:spacing w:val="-1"/>
              </w:rPr>
              <w:t>项目编号：</w:t>
            </w:r>
            <w:r>
              <w:rPr>
                <w:rFonts w:hint="eastAsia"/>
                <w:spacing w:val="-1"/>
              </w:rPr>
              <w:t>TCZFCG-202</w:t>
            </w:r>
            <w:r>
              <w:rPr>
                <w:rFonts w:hint="eastAsia"/>
                <w:spacing w:val="-1"/>
                <w:lang w:val="en-US" w:eastAsia="zh-CN"/>
              </w:rPr>
              <w:t>5</w:t>
            </w:r>
            <w:r>
              <w:rPr>
                <w:rFonts w:hint="eastAsia"/>
                <w:spacing w:val="-1"/>
              </w:rPr>
              <w:t>0</w:t>
            </w:r>
            <w:r>
              <w:rPr>
                <w:rFonts w:hint="eastAsia"/>
                <w:spacing w:val="-1"/>
                <w:lang w:val="en-US" w:eastAsia="zh-CN"/>
              </w:rPr>
              <w:t>14</w:t>
            </w:r>
          </w:p>
        </w:tc>
      </w:tr>
      <w:tr w14:paraId="09105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1" w:hRule="atLeast"/>
        </w:trPr>
        <w:tc>
          <w:tcPr>
            <w:tcW w:w="777" w:type="dxa"/>
            <w:vAlign w:val="top"/>
          </w:tcPr>
          <w:p w14:paraId="77BDDD01">
            <w:pPr>
              <w:spacing w:line="247" w:lineRule="auto"/>
              <w:rPr>
                <w:rFonts w:ascii="Arial"/>
                <w:sz w:val="21"/>
              </w:rPr>
            </w:pPr>
          </w:p>
          <w:p w14:paraId="706CD0FF">
            <w:pPr>
              <w:spacing w:line="248" w:lineRule="auto"/>
              <w:rPr>
                <w:rFonts w:ascii="Arial"/>
                <w:sz w:val="21"/>
              </w:rPr>
            </w:pPr>
          </w:p>
          <w:p w14:paraId="50595E7B">
            <w:pPr>
              <w:spacing w:line="248" w:lineRule="auto"/>
              <w:rPr>
                <w:rFonts w:ascii="Arial"/>
                <w:sz w:val="21"/>
              </w:rPr>
            </w:pPr>
          </w:p>
          <w:p w14:paraId="4E5AAB9F">
            <w:pPr>
              <w:pStyle w:val="14"/>
              <w:spacing w:before="78" w:line="183" w:lineRule="auto"/>
              <w:ind w:left="337"/>
            </w:pPr>
            <w:r>
              <w:t>2</w:t>
            </w:r>
          </w:p>
        </w:tc>
        <w:tc>
          <w:tcPr>
            <w:tcW w:w="1964" w:type="dxa"/>
            <w:vAlign w:val="top"/>
          </w:tcPr>
          <w:p w14:paraId="413F7C4C">
            <w:pPr>
              <w:spacing w:line="352" w:lineRule="auto"/>
              <w:rPr>
                <w:rFonts w:ascii="Arial"/>
                <w:sz w:val="21"/>
              </w:rPr>
            </w:pPr>
          </w:p>
          <w:p w14:paraId="6D9758BA">
            <w:pPr>
              <w:spacing w:line="353" w:lineRule="auto"/>
              <w:rPr>
                <w:rFonts w:ascii="Arial"/>
                <w:sz w:val="21"/>
              </w:rPr>
            </w:pPr>
          </w:p>
          <w:p w14:paraId="4CEDF2A2">
            <w:pPr>
              <w:pStyle w:val="14"/>
              <w:spacing w:before="78" w:line="220" w:lineRule="auto"/>
              <w:ind w:left="628"/>
            </w:pPr>
            <w:r>
              <w:rPr>
                <w:spacing w:val="-4"/>
              </w:rPr>
              <w:t>招标人</w:t>
            </w:r>
          </w:p>
        </w:tc>
        <w:tc>
          <w:tcPr>
            <w:tcW w:w="7021" w:type="dxa"/>
            <w:vAlign w:val="top"/>
          </w:tcPr>
          <w:p w14:paraId="25D89D64">
            <w:pPr>
              <w:pStyle w:val="14"/>
              <w:spacing w:before="157" w:line="219" w:lineRule="auto"/>
              <w:ind w:left="116"/>
            </w:pPr>
            <w:r>
              <w:rPr>
                <w:spacing w:val="-1"/>
              </w:rPr>
              <w:t>名    称：</w:t>
            </w:r>
            <w:r>
              <w:rPr>
                <w:rFonts w:hint="eastAsia"/>
                <w:spacing w:val="-1"/>
                <w:lang w:val="en-US" w:eastAsia="zh-CN"/>
              </w:rPr>
              <w:t>伊犁哈萨克自治州塔城地区口岸管理委员会</w:t>
            </w:r>
          </w:p>
          <w:p w14:paraId="1BB355E1">
            <w:pPr>
              <w:pStyle w:val="14"/>
              <w:spacing w:before="115" w:line="220" w:lineRule="auto"/>
              <w:ind w:left="114"/>
            </w:pPr>
            <w:r>
              <w:rPr>
                <w:spacing w:val="-4"/>
              </w:rPr>
              <w:t>联</w:t>
            </w:r>
            <w:r>
              <w:rPr>
                <w:spacing w:val="20"/>
              </w:rPr>
              <w:t xml:space="preserve"> </w:t>
            </w:r>
            <w:r>
              <w:rPr>
                <w:spacing w:val="-4"/>
              </w:rPr>
              <w:t>系 人：</w:t>
            </w:r>
            <w:r>
              <w:rPr>
                <w:rFonts w:hint="eastAsia"/>
                <w:spacing w:val="-4"/>
                <w:lang w:val="zh-CN"/>
              </w:rPr>
              <w:t>单维祯</w:t>
            </w:r>
            <w:r>
              <w:rPr>
                <w:rFonts w:hint="eastAsia"/>
                <w:spacing w:val="-4"/>
              </w:rPr>
              <w:t xml:space="preserve"> </w:t>
            </w:r>
          </w:p>
          <w:p w14:paraId="017EC5D9">
            <w:pPr>
              <w:pStyle w:val="14"/>
              <w:spacing w:before="112" w:line="221" w:lineRule="auto"/>
              <w:ind w:left="114"/>
            </w:pPr>
            <w:r>
              <w:rPr>
                <w:spacing w:val="-1"/>
              </w:rPr>
              <w:t>联系方式：</w:t>
            </w:r>
            <w:r>
              <w:rPr>
                <w:rStyle w:val="17"/>
                <w:rFonts w:hint="eastAsia" w:ascii="宋体" w:hAnsi="宋体"/>
                <w:szCs w:val="21"/>
              </w:rPr>
              <w:t>0901-6236157</w:t>
            </w:r>
          </w:p>
        </w:tc>
      </w:tr>
      <w:tr w14:paraId="0F100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7" w:hRule="atLeast"/>
        </w:trPr>
        <w:tc>
          <w:tcPr>
            <w:tcW w:w="777" w:type="dxa"/>
            <w:vAlign w:val="top"/>
          </w:tcPr>
          <w:p w14:paraId="20F8BFA7">
            <w:pPr>
              <w:spacing w:line="318" w:lineRule="auto"/>
              <w:rPr>
                <w:rFonts w:ascii="Arial"/>
                <w:sz w:val="21"/>
              </w:rPr>
            </w:pPr>
          </w:p>
          <w:p w14:paraId="3F778B68">
            <w:pPr>
              <w:spacing w:line="318" w:lineRule="auto"/>
              <w:rPr>
                <w:rFonts w:ascii="Arial"/>
                <w:sz w:val="21"/>
              </w:rPr>
            </w:pPr>
          </w:p>
          <w:p w14:paraId="4E385FF0">
            <w:pPr>
              <w:spacing w:line="319" w:lineRule="auto"/>
              <w:rPr>
                <w:rFonts w:ascii="Arial"/>
                <w:sz w:val="21"/>
              </w:rPr>
            </w:pPr>
          </w:p>
          <w:p w14:paraId="1E3D6F6B">
            <w:pPr>
              <w:pStyle w:val="14"/>
              <w:spacing w:before="78" w:line="183" w:lineRule="auto"/>
              <w:ind w:left="339"/>
            </w:pPr>
            <w:r>
              <w:t>3</w:t>
            </w:r>
          </w:p>
        </w:tc>
        <w:tc>
          <w:tcPr>
            <w:tcW w:w="1964" w:type="dxa"/>
            <w:vAlign w:val="top"/>
          </w:tcPr>
          <w:p w14:paraId="30DBF093">
            <w:pPr>
              <w:spacing w:line="305" w:lineRule="auto"/>
              <w:rPr>
                <w:rFonts w:ascii="Arial"/>
                <w:sz w:val="21"/>
              </w:rPr>
            </w:pPr>
          </w:p>
          <w:p w14:paraId="13E60413">
            <w:pPr>
              <w:spacing w:line="305" w:lineRule="auto"/>
              <w:rPr>
                <w:rFonts w:ascii="Arial"/>
                <w:sz w:val="21"/>
              </w:rPr>
            </w:pPr>
          </w:p>
          <w:p w14:paraId="4E9029FA">
            <w:pPr>
              <w:spacing w:line="306" w:lineRule="auto"/>
              <w:rPr>
                <w:rFonts w:ascii="Arial"/>
                <w:sz w:val="21"/>
              </w:rPr>
            </w:pPr>
          </w:p>
          <w:p w14:paraId="5B366DFC">
            <w:pPr>
              <w:pStyle w:val="14"/>
              <w:spacing w:before="78" w:line="219" w:lineRule="auto"/>
              <w:ind w:left="507"/>
            </w:pPr>
            <w:r>
              <w:rPr>
                <w:spacing w:val="-3"/>
              </w:rPr>
              <w:t>代理机构</w:t>
            </w:r>
          </w:p>
        </w:tc>
        <w:tc>
          <w:tcPr>
            <w:tcW w:w="7021" w:type="dxa"/>
            <w:vAlign w:val="top"/>
          </w:tcPr>
          <w:p w14:paraId="1B1A8893">
            <w:pPr>
              <w:pStyle w:val="14"/>
              <w:spacing w:before="114" w:line="221" w:lineRule="auto"/>
              <w:ind w:left="141"/>
            </w:pPr>
            <w:r>
              <w:rPr>
                <w:rFonts w:hint="eastAsia"/>
              </w:rPr>
              <w:t>采购代理</w:t>
            </w:r>
            <w:r>
              <w:t>机构：</w:t>
            </w:r>
            <w:r>
              <w:rPr>
                <w:rFonts w:hint="eastAsia"/>
              </w:rPr>
              <w:t>塔城地区政务服务与公共资源交易中心</w:t>
            </w:r>
          </w:p>
          <w:p w14:paraId="18C6861E">
            <w:pPr>
              <w:pStyle w:val="14"/>
              <w:spacing w:before="114" w:line="221" w:lineRule="auto"/>
              <w:ind w:left="141"/>
            </w:pPr>
            <w:r>
              <w:t xml:space="preserve">地址： </w:t>
            </w:r>
            <w:r>
              <w:rPr>
                <w:rFonts w:hint="eastAsia"/>
              </w:rPr>
              <w:t>塔城地区政务服务与公共资源交易中心 308 办公室</w:t>
            </w:r>
          </w:p>
          <w:p w14:paraId="5FA29A7B">
            <w:pPr>
              <w:pStyle w:val="14"/>
              <w:spacing w:before="114" w:line="221" w:lineRule="auto"/>
              <w:ind w:left="141"/>
            </w:pPr>
            <w:r>
              <w:t>联系人：</w:t>
            </w:r>
            <w:r>
              <w:rPr>
                <w:rFonts w:hint="eastAsia"/>
              </w:rPr>
              <w:t>盛鑫</w:t>
            </w:r>
          </w:p>
          <w:p w14:paraId="77875192">
            <w:pPr>
              <w:pStyle w:val="14"/>
              <w:spacing w:before="114" w:line="221" w:lineRule="auto"/>
              <w:ind w:left="141"/>
            </w:pPr>
            <w:r>
              <w:t>联系电话：</w:t>
            </w:r>
            <w:r>
              <w:rPr>
                <w:rFonts w:hint="eastAsia"/>
              </w:rPr>
              <w:t>0901-6225551</w:t>
            </w:r>
          </w:p>
        </w:tc>
      </w:tr>
      <w:tr w14:paraId="0A265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777" w:type="dxa"/>
            <w:vAlign w:val="top"/>
          </w:tcPr>
          <w:p w14:paraId="77A66361">
            <w:pPr>
              <w:pStyle w:val="14"/>
              <w:spacing w:before="256" w:line="183" w:lineRule="auto"/>
              <w:ind w:left="333"/>
            </w:pPr>
            <w:r>
              <w:t>4</w:t>
            </w:r>
          </w:p>
        </w:tc>
        <w:tc>
          <w:tcPr>
            <w:tcW w:w="1964" w:type="dxa"/>
            <w:vAlign w:val="top"/>
          </w:tcPr>
          <w:p w14:paraId="542C7758">
            <w:pPr>
              <w:pStyle w:val="14"/>
              <w:spacing w:before="219" w:line="219" w:lineRule="auto"/>
              <w:ind w:left="518"/>
            </w:pPr>
            <w:r>
              <w:rPr>
                <w:spacing w:val="-5"/>
              </w:rPr>
              <w:t>资金来源</w:t>
            </w:r>
          </w:p>
        </w:tc>
        <w:tc>
          <w:tcPr>
            <w:tcW w:w="7021" w:type="dxa"/>
            <w:vAlign w:val="top"/>
          </w:tcPr>
          <w:p w14:paraId="4D018D60">
            <w:pPr>
              <w:pStyle w:val="14"/>
              <w:spacing w:before="188" w:line="219" w:lineRule="auto"/>
              <w:ind w:left="117"/>
              <w:rPr>
                <w:rFonts w:hint="default" w:eastAsia="宋体"/>
                <w:lang w:val="en-US" w:eastAsia="zh-CN"/>
              </w:rPr>
            </w:pPr>
            <w:r>
              <w:rPr>
                <w:rFonts w:hint="eastAsia"/>
                <w:color w:val="auto"/>
                <w:spacing w:val="-2"/>
                <w:lang w:val="en-US" w:eastAsia="zh-CN"/>
              </w:rPr>
              <w:t>财政资金</w:t>
            </w:r>
          </w:p>
        </w:tc>
      </w:tr>
      <w:tr w14:paraId="345F2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777" w:type="dxa"/>
            <w:vAlign w:val="top"/>
          </w:tcPr>
          <w:p w14:paraId="51EE0C5D">
            <w:pPr>
              <w:pStyle w:val="14"/>
              <w:spacing w:before="260" w:line="182" w:lineRule="auto"/>
              <w:ind w:left="339"/>
            </w:pPr>
            <w:r>
              <w:t>5</w:t>
            </w:r>
          </w:p>
        </w:tc>
        <w:tc>
          <w:tcPr>
            <w:tcW w:w="1964" w:type="dxa"/>
            <w:vAlign w:val="top"/>
          </w:tcPr>
          <w:p w14:paraId="7C095D08">
            <w:pPr>
              <w:pStyle w:val="14"/>
              <w:spacing w:before="222" w:line="219" w:lineRule="auto"/>
              <w:ind w:left="509"/>
            </w:pPr>
            <w:r>
              <w:rPr>
                <w:spacing w:val="-3"/>
              </w:rPr>
              <w:t>预算金额</w:t>
            </w:r>
          </w:p>
        </w:tc>
        <w:tc>
          <w:tcPr>
            <w:tcW w:w="7021" w:type="dxa"/>
            <w:vAlign w:val="top"/>
          </w:tcPr>
          <w:p w14:paraId="6FF40A22">
            <w:pPr>
              <w:pStyle w:val="14"/>
              <w:spacing w:before="192" w:line="220" w:lineRule="auto"/>
              <w:ind w:left="119"/>
            </w:pPr>
            <w:r>
              <w:rPr>
                <w:rFonts w:hint="eastAsia"/>
                <w:spacing w:val="-5"/>
                <w:lang w:val="en-US" w:eastAsia="zh-CN"/>
              </w:rPr>
              <w:t>2500000</w:t>
            </w:r>
            <w:r>
              <w:rPr>
                <w:spacing w:val="-5"/>
              </w:rPr>
              <w:t>元</w:t>
            </w:r>
          </w:p>
        </w:tc>
      </w:tr>
      <w:tr w14:paraId="112ED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0" w:hRule="atLeast"/>
        </w:trPr>
        <w:tc>
          <w:tcPr>
            <w:tcW w:w="777" w:type="dxa"/>
            <w:vAlign w:val="top"/>
          </w:tcPr>
          <w:p w14:paraId="30B9FA33">
            <w:pPr>
              <w:spacing w:line="469" w:lineRule="auto"/>
              <w:rPr>
                <w:rFonts w:ascii="Arial"/>
                <w:sz w:val="21"/>
              </w:rPr>
            </w:pPr>
          </w:p>
          <w:p w14:paraId="05494926">
            <w:pPr>
              <w:pStyle w:val="14"/>
              <w:spacing w:before="78" w:line="183" w:lineRule="auto"/>
              <w:ind w:left="336"/>
            </w:pPr>
            <w:r>
              <w:t>6</w:t>
            </w:r>
          </w:p>
        </w:tc>
        <w:tc>
          <w:tcPr>
            <w:tcW w:w="1964" w:type="dxa"/>
            <w:vAlign w:val="top"/>
          </w:tcPr>
          <w:p w14:paraId="6EEC979B">
            <w:pPr>
              <w:spacing w:line="431" w:lineRule="auto"/>
              <w:rPr>
                <w:rFonts w:ascii="Arial"/>
                <w:sz w:val="21"/>
              </w:rPr>
            </w:pPr>
          </w:p>
          <w:p w14:paraId="6FFA21AE">
            <w:pPr>
              <w:pStyle w:val="14"/>
              <w:spacing w:before="78" w:line="219" w:lineRule="auto"/>
              <w:ind w:left="507"/>
            </w:pPr>
            <w:r>
              <w:rPr>
                <w:spacing w:val="-3"/>
              </w:rPr>
              <w:t>采购内容</w:t>
            </w:r>
          </w:p>
        </w:tc>
        <w:tc>
          <w:tcPr>
            <w:tcW w:w="7021" w:type="dxa"/>
            <w:vAlign w:val="top"/>
          </w:tcPr>
          <w:p w14:paraId="7E7D4956">
            <w:pPr>
              <w:pStyle w:val="14"/>
              <w:spacing w:before="282" w:line="295" w:lineRule="auto"/>
              <w:ind w:left="113" w:right="107" w:firstLine="2"/>
            </w:pPr>
            <w:r>
              <w:rPr>
                <w:rFonts w:hint="eastAsia"/>
                <w:color w:val="auto"/>
                <w:lang w:val="en-US" w:eastAsia="zh-CN"/>
              </w:rPr>
              <w:t>总面积：282932㎡（室外道路、人行道、停车场及单体建筑硬化面积243651㎡；绿化面积</w:t>
            </w:r>
            <w:r>
              <w:rPr>
                <w:rFonts w:hint="eastAsia"/>
                <w:color w:val="auto"/>
                <w:lang w:eastAsia="zh-CN"/>
              </w:rPr>
              <w:t>20875</w:t>
            </w:r>
            <w:r>
              <w:rPr>
                <w:rFonts w:hint="eastAsia"/>
                <w:color w:val="auto"/>
                <w:lang w:val="en-US" w:eastAsia="zh-CN"/>
              </w:rPr>
              <w:t>㎡；单体建筑面积总和18406㎡）</w:t>
            </w:r>
            <w:r>
              <w:rPr>
                <w:rFonts w:hint="eastAsia"/>
                <w:color w:val="auto"/>
                <w:lang w:eastAsia="zh-CN"/>
              </w:rPr>
              <w:t>。</w:t>
            </w:r>
            <w:r>
              <w:rPr>
                <w:rFonts w:hint="eastAsia"/>
                <w:color w:val="auto"/>
                <w:lang w:val="en-US" w:eastAsia="zh-CN"/>
              </w:rPr>
              <w:t>包含塔城-巴克图路（过阿克雀克检查站至上海路交汇）；辽宁路（过阿克雀克检查站左至围网）；上海路及人行道（上海路至深圳路交汇）；限定区外横一路、纵一路及人行道；限定区内道路及硬化；单体建筑周边硬化；口岸通关区域绿化；单体建筑（综合服务楼、联检厅、货检查验用房、车检通道、老锅炉房、边检前哨站）。</w:t>
            </w:r>
          </w:p>
        </w:tc>
      </w:tr>
      <w:tr w14:paraId="3568D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77" w:type="dxa"/>
            <w:vAlign w:val="top"/>
          </w:tcPr>
          <w:p w14:paraId="5FCCFFD0">
            <w:pPr>
              <w:pStyle w:val="14"/>
              <w:spacing w:before="258" w:line="182" w:lineRule="auto"/>
              <w:ind w:left="340"/>
            </w:pPr>
            <w:r>
              <w:t>7</w:t>
            </w:r>
          </w:p>
        </w:tc>
        <w:tc>
          <w:tcPr>
            <w:tcW w:w="1964" w:type="dxa"/>
            <w:vAlign w:val="top"/>
          </w:tcPr>
          <w:p w14:paraId="763A7BC6">
            <w:pPr>
              <w:pStyle w:val="14"/>
              <w:spacing w:before="218" w:line="219" w:lineRule="auto"/>
              <w:ind w:left="507"/>
            </w:pPr>
            <w:r>
              <w:rPr>
                <w:spacing w:val="-3"/>
              </w:rPr>
              <w:t>采购方式</w:t>
            </w:r>
          </w:p>
        </w:tc>
        <w:tc>
          <w:tcPr>
            <w:tcW w:w="7021" w:type="dxa"/>
            <w:vAlign w:val="top"/>
          </w:tcPr>
          <w:p w14:paraId="2BABC55B">
            <w:pPr>
              <w:pStyle w:val="14"/>
              <w:spacing w:before="190" w:line="220" w:lineRule="auto"/>
              <w:ind w:left="121"/>
            </w:pPr>
            <w:r>
              <w:rPr>
                <w:spacing w:val="-5"/>
              </w:rPr>
              <w:t>公开招标</w:t>
            </w:r>
          </w:p>
        </w:tc>
      </w:tr>
      <w:tr w14:paraId="74AE2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777" w:type="dxa"/>
            <w:vAlign w:val="top"/>
          </w:tcPr>
          <w:p w14:paraId="40E5F700">
            <w:pPr>
              <w:pStyle w:val="14"/>
              <w:spacing w:before="246" w:line="183" w:lineRule="auto"/>
              <w:ind w:left="335"/>
            </w:pPr>
            <w:r>
              <w:t>8</w:t>
            </w:r>
          </w:p>
        </w:tc>
        <w:tc>
          <w:tcPr>
            <w:tcW w:w="1964" w:type="dxa"/>
            <w:vAlign w:val="top"/>
          </w:tcPr>
          <w:p w14:paraId="24AF9424">
            <w:pPr>
              <w:pStyle w:val="14"/>
              <w:spacing w:before="208" w:line="220" w:lineRule="auto"/>
              <w:ind w:left="508"/>
            </w:pPr>
            <w:r>
              <w:rPr>
                <w:spacing w:val="-3"/>
              </w:rPr>
              <w:t>质量要求</w:t>
            </w:r>
          </w:p>
        </w:tc>
        <w:tc>
          <w:tcPr>
            <w:tcW w:w="7021" w:type="dxa"/>
            <w:vAlign w:val="top"/>
          </w:tcPr>
          <w:p w14:paraId="3FC42751">
            <w:pPr>
              <w:pStyle w:val="14"/>
              <w:spacing w:before="177" w:line="219" w:lineRule="auto"/>
              <w:ind w:left="115"/>
            </w:pPr>
            <w:r>
              <w:rPr>
                <w:spacing w:val="-1"/>
              </w:rPr>
              <w:t>符合国家及行业相关标准。</w:t>
            </w:r>
          </w:p>
        </w:tc>
      </w:tr>
      <w:tr w14:paraId="1FC29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9" w:hRule="atLeast"/>
        </w:trPr>
        <w:tc>
          <w:tcPr>
            <w:tcW w:w="777" w:type="dxa"/>
            <w:vAlign w:val="top"/>
          </w:tcPr>
          <w:p w14:paraId="76255672">
            <w:pPr>
              <w:spacing w:line="275" w:lineRule="auto"/>
              <w:rPr>
                <w:rFonts w:ascii="Arial"/>
                <w:sz w:val="21"/>
              </w:rPr>
            </w:pPr>
          </w:p>
          <w:p w14:paraId="50FBE2F8">
            <w:pPr>
              <w:spacing w:line="275" w:lineRule="auto"/>
              <w:rPr>
                <w:rFonts w:ascii="Arial"/>
                <w:sz w:val="21"/>
              </w:rPr>
            </w:pPr>
          </w:p>
          <w:p w14:paraId="52161491">
            <w:pPr>
              <w:spacing w:line="276" w:lineRule="auto"/>
              <w:rPr>
                <w:rFonts w:ascii="Arial"/>
                <w:sz w:val="21"/>
              </w:rPr>
            </w:pPr>
          </w:p>
          <w:p w14:paraId="72A8E5FA">
            <w:pPr>
              <w:spacing w:line="276" w:lineRule="auto"/>
              <w:rPr>
                <w:rFonts w:ascii="Arial"/>
                <w:sz w:val="21"/>
              </w:rPr>
            </w:pPr>
          </w:p>
          <w:p w14:paraId="5DAC2499">
            <w:pPr>
              <w:pStyle w:val="14"/>
              <w:spacing w:before="78" w:line="183" w:lineRule="auto"/>
              <w:ind w:left="335"/>
            </w:pPr>
            <w:r>
              <w:t>9</w:t>
            </w:r>
          </w:p>
        </w:tc>
        <w:tc>
          <w:tcPr>
            <w:tcW w:w="1964" w:type="dxa"/>
            <w:vAlign w:val="top"/>
          </w:tcPr>
          <w:p w14:paraId="174D9B2F">
            <w:pPr>
              <w:spacing w:line="266" w:lineRule="auto"/>
              <w:rPr>
                <w:rFonts w:ascii="Arial"/>
                <w:sz w:val="21"/>
              </w:rPr>
            </w:pPr>
          </w:p>
          <w:p w14:paraId="680F43BC">
            <w:pPr>
              <w:spacing w:line="266" w:lineRule="auto"/>
              <w:rPr>
                <w:rFonts w:ascii="Arial"/>
                <w:sz w:val="21"/>
              </w:rPr>
            </w:pPr>
          </w:p>
          <w:p w14:paraId="3C9982C7">
            <w:pPr>
              <w:spacing w:line="266" w:lineRule="auto"/>
              <w:rPr>
                <w:rFonts w:ascii="Arial"/>
                <w:sz w:val="21"/>
              </w:rPr>
            </w:pPr>
          </w:p>
          <w:p w14:paraId="4F6E8917">
            <w:pPr>
              <w:spacing w:line="266" w:lineRule="auto"/>
              <w:rPr>
                <w:rFonts w:ascii="Arial"/>
                <w:sz w:val="21"/>
              </w:rPr>
            </w:pPr>
          </w:p>
          <w:p w14:paraId="47EFCE22">
            <w:pPr>
              <w:pStyle w:val="14"/>
              <w:spacing w:before="78" w:line="219" w:lineRule="auto"/>
              <w:ind w:left="507"/>
            </w:pPr>
            <w:r>
              <w:rPr>
                <w:spacing w:val="-3"/>
              </w:rPr>
              <w:t>付款方式</w:t>
            </w:r>
          </w:p>
        </w:tc>
        <w:tc>
          <w:tcPr>
            <w:tcW w:w="7021" w:type="dxa"/>
            <w:vAlign w:val="top"/>
          </w:tcPr>
          <w:p w14:paraId="0EA4B79C">
            <w:pPr>
              <w:pStyle w:val="14"/>
              <w:spacing w:before="116" w:line="292" w:lineRule="auto"/>
              <w:ind w:left="113" w:right="27" w:firstLine="29"/>
              <w:rPr>
                <w:color w:val="auto"/>
              </w:rPr>
            </w:pPr>
            <w:r>
              <w:rPr>
                <w:rFonts w:hint="eastAsia"/>
                <w:color w:val="auto"/>
              </w:rPr>
              <w:t>物业服务费的结算：合同签订后，前两月服务费预留作为保证金，物业服务费的结算根据月考核评定表结算，于第二月支付第一月的物业服务费，合同期满，按服务质量及考核评定结果支付余款，其中预留保证金不计算利息，按照合同约定方式予以免息支付。</w:t>
            </w:r>
          </w:p>
        </w:tc>
      </w:tr>
      <w:tr w14:paraId="59E29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777" w:type="dxa"/>
            <w:vAlign w:val="top"/>
          </w:tcPr>
          <w:p w14:paraId="6E4FF383">
            <w:pPr>
              <w:spacing w:line="330" w:lineRule="auto"/>
              <w:rPr>
                <w:rFonts w:ascii="Arial"/>
                <w:sz w:val="21"/>
              </w:rPr>
            </w:pPr>
          </w:p>
          <w:p w14:paraId="393E1150">
            <w:pPr>
              <w:pStyle w:val="14"/>
              <w:spacing w:before="78" w:line="184" w:lineRule="auto"/>
              <w:ind w:left="292"/>
            </w:pPr>
            <w:r>
              <w:rPr>
                <w:spacing w:val="-14"/>
              </w:rPr>
              <w:t>10</w:t>
            </w:r>
          </w:p>
        </w:tc>
        <w:tc>
          <w:tcPr>
            <w:tcW w:w="1964" w:type="dxa"/>
            <w:vAlign w:val="top"/>
          </w:tcPr>
          <w:p w14:paraId="282C4952">
            <w:pPr>
              <w:spacing w:line="294" w:lineRule="auto"/>
              <w:rPr>
                <w:rFonts w:ascii="Arial"/>
                <w:sz w:val="21"/>
              </w:rPr>
            </w:pPr>
          </w:p>
          <w:p w14:paraId="65809F8C">
            <w:pPr>
              <w:pStyle w:val="14"/>
              <w:spacing w:before="78" w:line="219" w:lineRule="auto"/>
              <w:ind w:left="507"/>
            </w:pPr>
            <w:r>
              <w:rPr>
                <w:spacing w:val="-3"/>
              </w:rPr>
              <w:t>服务期限</w:t>
            </w:r>
          </w:p>
        </w:tc>
        <w:tc>
          <w:tcPr>
            <w:tcW w:w="7021" w:type="dxa"/>
            <w:vAlign w:val="top"/>
          </w:tcPr>
          <w:p w14:paraId="7903D896">
            <w:pPr>
              <w:spacing w:line="263" w:lineRule="auto"/>
              <w:rPr>
                <w:rFonts w:ascii="Arial"/>
                <w:color w:val="auto"/>
                <w:sz w:val="21"/>
              </w:rPr>
            </w:pPr>
          </w:p>
          <w:p w14:paraId="420D0578">
            <w:pPr>
              <w:pStyle w:val="14"/>
              <w:spacing w:before="78" w:line="219" w:lineRule="auto"/>
              <w:ind w:left="152"/>
              <w:rPr>
                <w:color w:val="auto"/>
              </w:rPr>
            </w:pPr>
            <w:r>
              <w:rPr>
                <w:color w:val="auto"/>
                <w:spacing w:val="-5"/>
              </w:rPr>
              <w:t>自合同签订之日起一年。</w:t>
            </w:r>
          </w:p>
        </w:tc>
      </w:tr>
      <w:tr w14:paraId="24D91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777" w:type="dxa"/>
            <w:vAlign w:val="top"/>
          </w:tcPr>
          <w:p w14:paraId="19A47158">
            <w:pPr>
              <w:pStyle w:val="14"/>
              <w:spacing w:before="282" w:line="184" w:lineRule="auto"/>
              <w:ind w:left="292"/>
            </w:pPr>
            <w:r>
              <w:rPr>
                <w:spacing w:val="-14"/>
              </w:rPr>
              <w:t>11</w:t>
            </w:r>
          </w:p>
        </w:tc>
        <w:tc>
          <w:tcPr>
            <w:tcW w:w="1964" w:type="dxa"/>
            <w:vAlign w:val="top"/>
          </w:tcPr>
          <w:p w14:paraId="7A4011E3">
            <w:pPr>
              <w:pStyle w:val="14"/>
              <w:spacing w:before="246" w:line="219" w:lineRule="auto"/>
              <w:ind w:left="507"/>
            </w:pPr>
            <w:r>
              <w:rPr>
                <w:spacing w:val="-3"/>
              </w:rPr>
              <w:t>服务地点</w:t>
            </w:r>
          </w:p>
        </w:tc>
        <w:tc>
          <w:tcPr>
            <w:tcW w:w="7021" w:type="dxa"/>
            <w:vAlign w:val="top"/>
          </w:tcPr>
          <w:p w14:paraId="7586C39A">
            <w:pPr>
              <w:pStyle w:val="14"/>
              <w:spacing w:before="214" w:line="219" w:lineRule="auto"/>
              <w:ind w:left="114"/>
              <w:rPr>
                <w:color w:val="auto"/>
              </w:rPr>
            </w:pPr>
            <w:r>
              <w:rPr>
                <w:rFonts w:hint="eastAsia"/>
                <w:color w:val="auto"/>
                <w:lang w:val="en-US" w:eastAsia="zh-CN"/>
              </w:rPr>
              <w:t>塔城地区口岸管理委员会物业管理项目招标文件指定地点和合同约定服务范围。</w:t>
            </w:r>
          </w:p>
        </w:tc>
      </w:tr>
    </w:tbl>
    <w:tbl>
      <w:tblPr>
        <w:tblStyle w:val="13"/>
        <w:tblpPr w:leftFromText="180" w:rightFromText="180" w:vertAnchor="text" w:horzAnchor="page" w:tblpX="1098" w:tblpY="194"/>
        <w:tblOverlap w:val="never"/>
        <w:tblW w:w="976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7"/>
        <w:gridCol w:w="1964"/>
        <w:gridCol w:w="7021"/>
      </w:tblGrid>
      <w:tr w14:paraId="560C1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777" w:type="dxa"/>
            <w:vAlign w:val="top"/>
          </w:tcPr>
          <w:p w14:paraId="696E7C56">
            <w:pPr>
              <w:pStyle w:val="14"/>
              <w:spacing w:before="199" w:line="220" w:lineRule="auto"/>
              <w:ind w:left="158"/>
            </w:pPr>
            <w:r>
              <w:rPr>
                <w:spacing w:val="-7"/>
              </w:rPr>
              <w:t>项号</w:t>
            </w:r>
          </w:p>
        </w:tc>
        <w:tc>
          <w:tcPr>
            <w:tcW w:w="1964" w:type="dxa"/>
            <w:vAlign w:val="top"/>
          </w:tcPr>
          <w:p w14:paraId="388B5889">
            <w:pPr>
              <w:pStyle w:val="14"/>
              <w:spacing w:before="199" w:line="220" w:lineRule="auto"/>
              <w:ind w:left="691"/>
            </w:pPr>
            <w:r>
              <w:rPr>
                <w:spacing w:val="-7"/>
              </w:rPr>
              <w:t>项</w:t>
            </w:r>
            <w:r>
              <w:rPr>
                <w:spacing w:val="55"/>
              </w:rPr>
              <w:t xml:space="preserve"> </w:t>
            </w:r>
            <w:r>
              <w:rPr>
                <w:spacing w:val="-7"/>
              </w:rPr>
              <w:t>目</w:t>
            </w:r>
          </w:p>
        </w:tc>
        <w:tc>
          <w:tcPr>
            <w:tcW w:w="7021" w:type="dxa"/>
            <w:vAlign w:val="top"/>
          </w:tcPr>
          <w:p w14:paraId="39741CBE">
            <w:pPr>
              <w:pStyle w:val="14"/>
              <w:spacing w:before="57" w:line="219" w:lineRule="auto"/>
              <w:ind w:left="3125"/>
            </w:pPr>
            <w:r>
              <w:rPr>
                <w:spacing w:val="-20"/>
              </w:rPr>
              <w:t>内</w:t>
            </w:r>
            <w:r>
              <w:rPr>
                <w:spacing w:val="4"/>
              </w:rPr>
              <w:t xml:space="preserve">   </w:t>
            </w:r>
            <w:r>
              <w:rPr>
                <w:spacing w:val="-20"/>
              </w:rPr>
              <w:t>容</w:t>
            </w:r>
          </w:p>
        </w:tc>
      </w:tr>
      <w:tr w14:paraId="4E4BB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0" w:hRule="atLeast"/>
        </w:trPr>
        <w:tc>
          <w:tcPr>
            <w:tcW w:w="777" w:type="dxa"/>
            <w:vAlign w:val="top"/>
          </w:tcPr>
          <w:p w14:paraId="47D5B2D8">
            <w:pPr>
              <w:spacing w:line="242" w:lineRule="auto"/>
              <w:rPr>
                <w:rFonts w:ascii="Arial"/>
                <w:sz w:val="21"/>
              </w:rPr>
            </w:pPr>
          </w:p>
          <w:p w14:paraId="05CFB97E">
            <w:pPr>
              <w:spacing w:line="242" w:lineRule="auto"/>
              <w:rPr>
                <w:rFonts w:ascii="Arial"/>
                <w:sz w:val="21"/>
              </w:rPr>
            </w:pPr>
          </w:p>
          <w:p w14:paraId="12E8B400">
            <w:pPr>
              <w:spacing w:line="242" w:lineRule="auto"/>
              <w:rPr>
                <w:rFonts w:ascii="Arial"/>
                <w:sz w:val="21"/>
              </w:rPr>
            </w:pPr>
          </w:p>
          <w:p w14:paraId="26DD0101">
            <w:pPr>
              <w:spacing w:line="242" w:lineRule="auto"/>
              <w:rPr>
                <w:rFonts w:ascii="Arial"/>
                <w:sz w:val="21"/>
              </w:rPr>
            </w:pPr>
          </w:p>
          <w:p w14:paraId="3C575C6B">
            <w:pPr>
              <w:spacing w:line="242" w:lineRule="auto"/>
              <w:rPr>
                <w:rFonts w:ascii="Arial"/>
                <w:sz w:val="21"/>
              </w:rPr>
            </w:pPr>
          </w:p>
          <w:p w14:paraId="7975C153">
            <w:pPr>
              <w:spacing w:line="242" w:lineRule="auto"/>
              <w:rPr>
                <w:rFonts w:ascii="Arial"/>
                <w:sz w:val="21"/>
              </w:rPr>
            </w:pPr>
          </w:p>
          <w:p w14:paraId="7300CB55">
            <w:pPr>
              <w:spacing w:line="242" w:lineRule="auto"/>
              <w:rPr>
                <w:rFonts w:ascii="Arial"/>
                <w:sz w:val="21"/>
              </w:rPr>
            </w:pPr>
          </w:p>
          <w:p w14:paraId="59D2C344">
            <w:pPr>
              <w:spacing w:line="242" w:lineRule="auto"/>
              <w:rPr>
                <w:rFonts w:ascii="Arial"/>
                <w:sz w:val="21"/>
              </w:rPr>
            </w:pPr>
          </w:p>
          <w:p w14:paraId="76A0C63C">
            <w:pPr>
              <w:spacing w:line="242" w:lineRule="auto"/>
              <w:rPr>
                <w:rFonts w:ascii="Arial"/>
                <w:sz w:val="21"/>
              </w:rPr>
            </w:pPr>
          </w:p>
          <w:p w14:paraId="3A2759D7">
            <w:pPr>
              <w:spacing w:line="242" w:lineRule="auto"/>
              <w:rPr>
                <w:rFonts w:ascii="Arial"/>
                <w:sz w:val="21"/>
              </w:rPr>
            </w:pPr>
          </w:p>
          <w:p w14:paraId="701285F2">
            <w:pPr>
              <w:spacing w:line="242" w:lineRule="auto"/>
              <w:rPr>
                <w:rFonts w:ascii="Arial"/>
                <w:sz w:val="21"/>
              </w:rPr>
            </w:pPr>
          </w:p>
          <w:p w14:paraId="0F1C04D7">
            <w:pPr>
              <w:spacing w:line="243" w:lineRule="auto"/>
              <w:rPr>
                <w:rFonts w:ascii="Arial"/>
                <w:sz w:val="21"/>
              </w:rPr>
            </w:pPr>
          </w:p>
          <w:p w14:paraId="648F28EB">
            <w:pPr>
              <w:spacing w:line="243" w:lineRule="auto"/>
              <w:rPr>
                <w:rFonts w:ascii="Arial"/>
                <w:sz w:val="21"/>
              </w:rPr>
            </w:pPr>
          </w:p>
          <w:p w14:paraId="17B1BFC4">
            <w:pPr>
              <w:spacing w:line="243" w:lineRule="auto"/>
              <w:rPr>
                <w:rFonts w:ascii="Arial"/>
                <w:sz w:val="21"/>
              </w:rPr>
            </w:pPr>
          </w:p>
          <w:p w14:paraId="4693B2DC">
            <w:pPr>
              <w:spacing w:line="243" w:lineRule="auto"/>
              <w:rPr>
                <w:rFonts w:ascii="Arial"/>
                <w:sz w:val="21"/>
              </w:rPr>
            </w:pPr>
          </w:p>
          <w:p w14:paraId="5F2CACFA">
            <w:pPr>
              <w:spacing w:line="243" w:lineRule="auto"/>
              <w:rPr>
                <w:rFonts w:ascii="Arial"/>
                <w:sz w:val="21"/>
              </w:rPr>
            </w:pPr>
          </w:p>
          <w:p w14:paraId="28187DA7">
            <w:pPr>
              <w:spacing w:line="243" w:lineRule="auto"/>
              <w:rPr>
                <w:rFonts w:ascii="Arial"/>
                <w:sz w:val="21"/>
              </w:rPr>
            </w:pPr>
          </w:p>
          <w:p w14:paraId="08EA766F">
            <w:pPr>
              <w:pStyle w:val="14"/>
              <w:spacing w:before="78" w:line="184" w:lineRule="auto"/>
              <w:ind w:left="292"/>
            </w:pPr>
            <w:r>
              <w:rPr>
                <w:spacing w:val="-14"/>
              </w:rPr>
              <w:t>12</w:t>
            </w:r>
          </w:p>
        </w:tc>
        <w:tc>
          <w:tcPr>
            <w:tcW w:w="1964" w:type="dxa"/>
            <w:vAlign w:val="top"/>
          </w:tcPr>
          <w:p w14:paraId="5896AD0B">
            <w:pPr>
              <w:rPr>
                <w:rFonts w:ascii="Arial"/>
                <w:sz w:val="21"/>
              </w:rPr>
            </w:pPr>
          </w:p>
          <w:p w14:paraId="4BB2DBB2">
            <w:pPr>
              <w:rPr>
                <w:rFonts w:ascii="Arial"/>
                <w:sz w:val="21"/>
              </w:rPr>
            </w:pPr>
          </w:p>
          <w:p w14:paraId="1DF520BF">
            <w:pPr>
              <w:rPr>
                <w:rFonts w:ascii="Arial"/>
                <w:sz w:val="21"/>
              </w:rPr>
            </w:pPr>
          </w:p>
          <w:p w14:paraId="73B4E2A1">
            <w:pPr>
              <w:rPr>
                <w:rFonts w:ascii="Arial"/>
                <w:sz w:val="21"/>
              </w:rPr>
            </w:pPr>
          </w:p>
          <w:p w14:paraId="74011093">
            <w:pPr>
              <w:spacing w:line="241" w:lineRule="auto"/>
              <w:rPr>
                <w:rFonts w:ascii="Arial"/>
                <w:sz w:val="21"/>
              </w:rPr>
            </w:pPr>
          </w:p>
          <w:p w14:paraId="79BF84DB">
            <w:pPr>
              <w:spacing w:line="241" w:lineRule="auto"/>
              <w:rPr>
                <w:rFonts w:ascii="Arial"/>
                <w:sz w:val="21"/>
              </w:rPr>
            </w:pPr>
          </w:p>
          <w:p w14:paraId="1BC1CC16">
            <w:pPr>
              <w:spacing w:line="241" w:lineRule="auto"/>
              <w:rPr>
                <w:rFonts w:ascii="Arial"/>
                <w:sz w:val="21"/>
              </w:rPr>
            </w:pPr>
          </w:p>
          <w:p w14:paraId="6ACF3015">
            <w:pPr>
              <w:spacing w:line="241" w:lineRule="auto"/>
              <w:rPr>
                <w:rFonts w:ascii="Arial"/>
                <w:sz w:val="21"/>
              </w:rPr>
            </w:pPr>
          </w:p>
          <w:p w14:paraId="28373B3D">
            <w:pPr>
              <w:spacing w:line="241" w:lineRule="auto"/>
              <w:rPr>
                <w:rFonts w:ascii="Arial"/>
                <w:sz w:val="21"/>
              </w:rPr>
            </w:pPr>
          </w:p>
          <w:p w14:paraId="66E7DCBF">
            <w:pPr>
              <w:spacing w:line="241" w:lineRule="auto"/>
              <w:rPr>
                <w:rFonts w:ascii="Arial"/>
                <w:sz w:val="21"/>
              </w:rPr>
            </w:pPr>
          </w:p>
          <w:p w14:paraId="6F31B4AF">
            <w:pPr>
              <w:spacing w:line="241" w:lineRule="auto"/>
              <w:rPr>
                <w:rFonts w:ascii="Arial"/>
                <w:sz w:val="21"/>
              </w:rPr>
            </w:pPr>
          </w:p>
          <w:p w14:paraId="0CC99463">
            <w:pPr>
              <w:spacing w:line="241" w:lineRule="auto"/>
              <w:rPr>
                <w:rFonts w:ascii="Arial"/>
                <w:sz w:val="21"/>
              </w:rPr>
            </w:pPr>
          </w:p>
          <w:p w14:paraId="52082254">
            <w:pPr>
              <w:spacing w:line="241" w:lineRule="auto"/>
              <w:rPr>
                <w:rFonts w:ascii="Arial"/>
                <w:sz w:val="21"/>
              </w:rPr>
            </w:pPr>
          </w:p>
          <w:p w14:paraId="6543F1CA">
            <w:pPr>
              <w:spacing w:line="241" w:lineRule="auto"/>
              <w:rPr>
                <w:rFonts w:ascii="Arial"/>
                <w:sz w:val="21"/>
              </w:rPr>
            </w:pPr>
          </w:p>
          <w:p w14:paraId="1659793B">
            <w:pPr>
              <w:spacing w:line="241" w:lineRule="auto"/>
              <w:rPr>
                <w:rFonts w:ascii="Arial"/>
                <w:sz w:val="21"/>
              </w:rPr>
            </w:pPr>
          </w:p>
          <w:p w14:paraId="55F39B03">
            <w:pPr>
              <w:spacing w:line="241" w:lineRule="auto"/>
              <w:rPr>
                <w:rFonts w:ascii="Arial"/>
                <w:sz w:val="21"/>
              </w:rPr>
            </w:pPr>
          </w:p>
          <w:p w14:paraId="55F12467">
            <w:pPr>
              <w:pStyle w:val="14"/>
              <w:spacing w:before="78" w:line="345" w:lineRule="auto"/>
              <w:ind w:left="507" w:right="380" w:hanging="120"/>
            </w:pPr>
            <w:r>
              <w:t>投标资格</w:t>
            </w:r>
          </w:p>
        </w:tc>
        <w:tc>
          <w:tcPr>
            <w:tcW w:w="7021" w:type="dxa"/>
            <w:vAlign w:val="top"/>
          </w:tcPr>
          <w:p w14:paraId="1619D471">
            <w:pPr>
              <w:pStyle w:val="14"/>
              <w:spacing w:before="238" w:line="205" w:lineRule="auto"/>
              <w:ind w:left="112"/>
            </w:pPr>
            <w:r>
              <w:rPr>
                <w:rFonts w:hint="eastAsia"/>
              </w:rPr>
              <w:t>（1）供应商必须是中华人民共和国境内注册的，具有独立法人资格的企业；</w:t>
            </w:r>
          </w:p>
          <w:p w14:paraId="5648B488">
            <w:pPr>
              <w:pStyle w:val="14"/>
              <w:spacing w:before="238" w:line="205" w:lineRule="auto"/>
              <w:ind w:left="112"/>
            </w:pPr>
            <w:r>
              <w:rPr>
                <w:rFonts w:hint="eastAsia"/>
              </w:rPr>
              <w:t>（2）根据《财政部关于在政府采购活动中查询及使用信用记录有关问题的通知》（财库﹝2016﹞125号）和《关于在招标投标活动中全面开展行贿犯罪档案查询的通知》（高检会[2015]3号）的要求，凡拟参加本次招标项目的供应商，如在“信用中国”网站（ www.creditchina.gov.cn） 被列入失信被执行人、重大税收违法案件当事人名单(信用服务-失信分类查询-失信被执行人、重大税收违法案件当事人名单-搜索栏输入单位全称-截图)、在中国政府采购网（www.ccgp.gov.cn）被列入严重违法失信行为记录名单的（尚在处罚期内的）、有以上不良行为的将拒绝投标；供应商必须提供无行贿犯罪记录证明（在中国裁判文书网（http://wenshu.court.gov.cn/）查询，刑事案件-案由-刑事案由-贪污贿赂-行贿-搜索栏输入单位全称-查询）；</w:t>
            </w:r>
          </w:p>
          <w:p w14:paraId="043B646C">
            <w:pPr>
              <w:pStyle w:val="14"/>
              <w:spacing w:before="238" w:line="205" w:lineRule="auto"/>
              <w:ind w:left="112"/>
            </w:pPr>
            <w:r>
              <w:rPr>
                <w:rFonts w:hint="eastAsia"/>
              </w:rPr>
              <w:t>（3）其他说明：1、与采购人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w:t>
            </w:r>
          </w:p>
          <w:p w14:paraId="176432E1">
            <w:pPr>
              <w:pStyle w:val="14"/>
              <w:spacing w:before="238" w:line="205" w:lineRule="auto"/>
              <w:ind w:left="112"/>
            </w:pPr>
            <w:r>
              <w:rPr>
                <w:rFonts w:hint="eastAsia"/>
              </w:rPr>
              <w:t>（4）具有独立承担民事责任的能力;具有良好的商业信誉；</w:t>
            </w:r>
          </w:p>
          <w:p w14:paraId="3FB70A54">
            <w:pPr>
              <w:pStyle w:val="14"/>
              <w:spacing w:before="238" w:line="205" w:lineRule="auto"/>
              <w:ind w:left="112"/>
            </w:pPr>
            <w:r>
              <w:rPr>
                <w:rFonts w:hint="eastAsia"/>
              </w:rPr>
              <w:t>（5）项目负责人须提供与供应商签订的劳动合同及供应商企业为其缴纳的最近</w:t>
            </w:r>
            <w:r>
              <w:rPr>
                <w:rFonts w:hint="eastAsia"/>
                <w:lang w:val="en-US" w:eastAsia="zh-CN"/>
              </w:rPr>
              <w:t>三</w:t>
            </w:r>
            <w:r>
              <w:rPr>
                <w:rFonts w:hint="eastAsia"/>
              </w:rPr>
              <w:t>个月的社保证明</w:t>
            </w:r>
          </w:p>
          <w:p w14:paraId="1D17FE60">
            <w:pPr>
              <w:pStyle w:val="14"/>
              <w:spacing w:before="238" w:line="205" w:lineRule="auto"/>
              <w:ind w:left="112"/>
            </w:pPr>
            <w:r>
              <w:rPr>
                <w:rFonts w:hint="eastAsia"/>
              </w:rPr>
              <w:t>（6）具有履行合同所必需的设备和专业技术能力；</w:t>
            </w:r>
          </w:p>
          <w:p w14:paraId="0AEB34E4">
            <w:pPr>
              <w:pStyle w:val="14"/>
              <w:spacing w:before="238" w:line="205" w:lineRule="auto"/>
              <w:ind w:left="112"/>
            </w:pPr>
            <w:r>
              <w:rPr>
                <w:rFonts w:hint="eastAsia"/>
              </w:rPr>
              <w:t>（7）参加采购活动前三年内，在经营活动中没有重大违法记录(受行政主管部门的处罚不能参加投标)；</w:t>
            </w:r>
          </w:p>
          <w:p w14:paraId="5AE0DAE2">
            <w:pPr>
              <w:pStyle w:val="14"/>
              <w:spacing w:before="238" w:line="205" w:lineRule="auto"/>
              <w:ind w:left="112"/>
            </w:pPr>
            <w:r>
              <w:rPr>
                <w:rFonts w:hint="eastAsia"/>
              </w:rPr>
              <w:t>（8）依法注册、具有合法的法人资格，并在法律上、财务上与采购人和采购代理机构不发生关系；</w:t>
            </w:r>
          </w:p>
          <w:p w14:paraId="0341C816">
            <w:pPr>
              <w:pStyle w:val="14"/>
              <w:spacing w:before="238" w:line="205" w:lineRule="auto"/>
              <w:ind w:left="112"/>
            </w:pPr>
            <w:r>
              <w:rPr>
                <w:rFonts w:hint="eastAsia"/>
              </w:rPr>
              <w:t>（9）所投服务须在其法定营业范围内；</w:t>
            </w:r>
          </w:p>
          <w:p w14:paraId="004758CA">
            <w:pPr>
              <w:pStyle w:val="14"/>
              <w:spacing w:before="238" w:line="205" w:lineRule="auto"/>
              <w:ind w:left="112"/>
            </w:pPr>
            <w:r>
              <w:rPr>
                <w:rFonts w:hint="eastAsia"/>
              </w:rPr>
              <w:t>（10）本项目不接受联合体投标；</w:t>
            </w:r>
          </w:p>
        </w:tc>
      </w:tr>
      <w:tr w14:paraId="04DA3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777" w:type="dxa"/>
            <w:vAlign w:val="top"/>
          </w:tcPr>
          <w:p w14:paraId="362F0153">
            <w:pPr>
              <w:pStyle w:val="14"/>
              <w:spacing w:before="256" w:line="184" w:lineRule="auto"/>
              <w:ind w:left="292"/>
            </w:pPr>
            <w:r>
              <w:rPr>
                <w:spacing w:val="-14"/>
              </w:rPr>
              <w:t>13</w:t>
            </w:r>
          </w:p>
        </w:tc>
        <w:tc>
          <w:tcPr>
            <w:tcW w:w="1964" w:type="dxa"/>
            <w:vAlign w:val="top"/>
          </w:tcPr>
          <w:p w14:paraId="66ECDF89">
            <w:pPr>
              <w:pStyle w:val="14"/>
              <w:spacing w:before="219" w:line="220" w:lineRule="auto"/>
              <w:ind w:left="390"/>
            </w:pPr>
            <w:r>
              <w:rPr>
                <w:spacing w:val="-3"/>
              </w:rPr>
              <w:t>投标有效期</w:t>
            </w:r>
          </w:p>
        </w:tc>
        <w:tc>
          <w:tcPr>
            <w:tcW w:w="7021" w:type="dxa"/>
            <w:vAlign w:val="top"/>
          </w:tcPr>
          <w:p w14:paraId="5817F87D">
            <w:pPr>
              <w:pStyle w:val="14"/>
              <w:spacing w:before="191" w:line="219" w:lineRule="auto"/>
              <w:ind w:left="152"/>
            </w:pPr>
            <w:r>
              <w:rPr>
                <w:spacing w:val="-5"/>
              </w:rPr>
              <w:t>自投标截止之日起</w:t>
            </w:r>
            <w:r>
              <w:rPr>
                <w:spacing w:val="-50"/>
              </w:rPr>
              <w:t xml:space="preserve"> </w:t>
            </w:r>
            <w:r>
              <w:rPr>
                <w:spacing w:val="-5"/>
              </w:rPr>
              <w:t>90</w:t>
            </w:r>
            <w:r>
              <w:rPr>
                <w:spacing w:val="-50"/>
              </w:rPr>
              <w:t xml:space="preserve"> </w:t>
            </w:r>
            <w:r>
              <w:rPr>
                <w:spacing w:val="-5"/>
              </w:rPr>
              <w:t>个日历日</w:t>
            </w:r>
          </w:p>
        </w:tc>
      </w:tr>
      <w:tr w14:paraId="6CF5A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777" w:type="dxa"/>
            <w:vAlign w:val="top"/>
          </w:tcPr>
          <w:p w14:paraId="04BFFCBE">
            <w:pPr>
              <w:pStyle w:val="14"/>
              <w:spacing w:before="252" w:line="184" w:lineRule="auto"/>
              <w:ind w:left="292"/>
            </w:pPr>
            <w:r>
              <w:rPr>
                <w:spacing w:val="-14"/>
              </w:rPr>
              <w:t>14</w:t>
            </w:r>
          </w:p>
        </w:tc>
        <w:tc>
          <w:tcPr>
            <w:tcW w:w="1964" w:type="dxa"/>
            <w:vAlign w:val="top"/>
          </w:tcPr>
          <w:p w14:paraId="03CF4A69">
            <w:pPr>
              <w:pStyle w:val="14"/>
              <w:spacing w:before="216" w:line="220" w:lineRule="auto"/>
              <w:ind w:left="507"/>
            </w:pPr>
            <w:r>
              <w:rPr>
                <w:spacing w:val="-3"/>
              </w:rPr>
              <w:t>评标方法</w:t>
            </w:r>
          </w:p>
        </w:tc>
        <w:tc>
          <w:tcPr>
            <w:tcW w:w="7021" w:type="dxa"/>
            <w:vAlign w:val="top"/>
          </w:tcPr>
          <w:p w14:paraId="79307B03">
            <w:pPr>
              <w:pStyle w:val="14"/>
              <w:spacing w:before="185" w:line="220" w:lineRule="auto"/>
              <w:ind w:left="116"/>
            </w:pPr>
            <w:r>
              <w:rPr>
                <w:spacing w:val="-3"/>
              </w:rPr>
              <w:t>综合评分法</w:t>
            </w:r>
          </w:p>
        </w:tc>
      </w:tr>
      <w:tr w14:paraId="3C7C5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77" w:type="dxa"/>
            <w:vAlign w:val="top"/>
          </w:tcPr>
          <w:p w14:paraId="59DC14C6">
            <w:pPr>
              <w:pStyle w:val="14"/>
              <w:spacing w:before="274" w:line="184" w:lineRule="auto"/>
              <w:ind w:left="292"/>
            </w:pPr>
            <w:r>
              <w:rPr>
                <w:spacing w:val="-14"/>
              </w:rPr>
              <w:t>15</w:t>
            </w:r>
          </w:p>
        </w:tc>
        <w:tc>
          <w:tcPr>
            <w:tcW w:w="1964" w:type="dxa"/>
            <w:vAlign w:val="top"/>
          </w:tcPr>
          <w:p w14:paraId="55ADB1E1">
            <w:pPr>
              <w:pStyle w:val="14"/>
              <w:spacing w:before="238" w:line="219" w:lineRule="auto"/>
              <w:ind w:left="518"/>
            </w:pPr>
            <w:r>
              <w:rPr>
                <w:spacing w:val="-5"/>
              </w:rPr>
              <w:t>资格审查</w:t>
            </w:r>
          </w:p>
        </w:tc>
        <w:tc>
          <w:tcPr>
            <w:tcW w:w="7021" w:type="dxa"/>
            <w:vAlign w:val="top"/>
          </w:tcPr>
          <w:p w14:paraId="2E1B99CB">
            <w:pPr>
              <w:pStyle w:val="14"/>
              <w:spacing w:before="209" w:line="219" w:lineRule="auto"/>
              <w:ind w:left="123"/>
            </w:pPr>
            <w:r>
              <w:rPr>
                <w:spacing w:val="-5"/>
              </w:rPr>
              <w:t>资格后审</w:t>
            </w:r>
          </w:p>
        </w:tc>
      </w:tr>
      <w:tr w14:paraId="7049C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77" w:type="dxa"/>
            <w:vAlign w:val="top"/>
          </w:tcPr>
          <w:p w14:paraId="7044C511">
            <w:pPr>
              <w:pStyle w:val="14"/>
              <w:spacing w:before="268" w:line="184" w:lineRule="auto"/>
              <w:ind w:left="292"/>
            </w:pPr>
            <w:r>
              <w:rPr>
                <w:spacing w:val="-14"/>
              </w:rPr>
              <w:t>16</w:t>
            </w:r>
          </w:p>
        </w:tc>
        <w:tc>
          <w:tcPr>
            <w:tcW w:w="1964" w:type="dxa"/>
            <w:vAlign w:val="top"/>
          </w:tcPr>
          <w:p w14:paraId="628FF51D">
            <w:pPr>
              <w:pStyle w:val="14"/>
              <w:spacing w:before="231" w:line="219" w:lineRule="auto"/>
              <w:ind w:left="387"/>
            </w:pPr>
            <w:r>
              <w:rPr>
                <w:spacing w:val="-2"/>
              </w:rPr>
              <w:t>评标委员会</w:t>
            </w:r>
          </w:p>
        </w:tc>
        <w:tc>
          <w:tcPr>
            <w:tcW w:w="7021" w:type="dxa"/>
            <w:vAlign w:val="top"/>
          </w:tcPr>
          <w:p w14:paraId="00AE2BD4">
            <w:pPr>
              <w:pStyle w:val="14"/>
              <w:spacing w:before="231" w:line="219" w:lineRule="auto"/>
              <w:ind w:left="112"/>
              <w:rPr>
                <w:rFonts w:hint="eastAsia"/>
                <w:lang w:val="en-US" w:eastAsia="zh-CN"/>
              </w:rPr>
            </w:pPr>
            <w:r>
              <w:rPr>
                <w:rFonts w:hint="eastAsia"/>
                <w:lang w:val="en-US" w:eastAsia="zh-CN"/>
              </w:rPr>
              <w:t>采购人依法组建评标小组共5人组成，其中采购人代表0人和专家评委5人；</w:t>
            </w:r>
          </w:p>
          <w:p w14:paraId="5BEECBA0">
            <w:pPr>
              <w:pStyle w:val="14"/>
              <w:spacing w:before="231" w:line="219" w:lineRule="auto"/>
              <w:ind w:left="112"/>
              <w:rPr>
                <w:rFonts w:hint="eastAsia"/>
                <w:lang w:val="en-US" w:eastAsia="zh-CN"/>
              </w:rPr>
            </w:pPr>
            <w:r>
              <w:rPr>
                <w:rFonts w:hint="eastAsia"/>
                <w:lang w:val="en-US" w:eastAsia="zh-CN"/>
              </w:rPr>
              <w:t>评标专家确定方式：新疆政采云专家库中随机抽取。</w:t>
            </w:r>
          </w:p>
          <w:p w14:paraId="36C7EAC6">
            <w:pPr>
              <w:pStyle w:val="14"/>
              <w:spacing w:before="231" w:line="219" w:lineRule="auto"/>
              <w:ind w:left="112"/>
              <w:rPr>
                <w:rFonts w:hint="eastAsia"/>
                <w:lang w:val="en-US" w:eastAsia="zh-CN"/>
              </w:rPr>
            </w:pPr>
            <w:r>
              <w:rPr>
                <w:rFonts w:hint="eastAsia"/>
                <w:lang w:val="en-US" w:eastAsia="zh-CN"/>
              </w:rPr>
              <w:t>☑计算机随机抽取语音通知方式；</w:t>
            </w:r>
          </w:p>
          <w:p w14:paraId="3DCDE1D0">
            <w:pPr>
              <w:pStyle w:val="14"/>
              <w:spacing w:before="231" w:line="219" w:lineRule="auto"/>
              <w:ind w:left="112"/>
            </w:pPr>
            <w:r>
              <w:rPr>
                <w:rFonts w:hint="eastAsia"/>
                <w:lang w:val="en-US" w:eastAsia="zh-CN"/>
              </w:rPr>
              <w:t>□其他方式：评标专家库，随机抽取。</w:t>
            </w:r>
          </w:p>
        </w:tc>
      </w:tr>
      <w:tr w14:paraId="671BF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777" w:type="dxa"/>
            <w:vAlign w:val="top"/>
          </w:tcPr>
          <w:p w14:paraId="28B98CDC">
            <w:pPr>
              <w:spacing w:line="345" w:lineRule="auto"/>
              <w:rPr>
                <w:rFonts w:ascii="Arial"/>
                <w:sz w:val="21"/>
              </w:rPr>
            </w:pPr>
          </w:p>
          <w:p w14:paraId="2333974F">
            <w:pPr>
              <w:pStyle w:val="14"/>
              <w:spacing w:before="78" w:line="184" w:lineRule="auto"/>
              <w:ind w:left="292"/>
            </w:pPr>
            <w:r>
              <w:rPr>
                <w:spacing w:val="-14"/>
              </w:rPr>
              <w:t>17</w:t>
            </w:r>
          </w:p>
        </w:tc>
        <w:tc>
          <w:tcPr>
            <w:tcW w:w="1964" w:type="dxa"/>
            <w:vAlign w:val="top"/>
          </w:tcPr>
          <w:p w14:paraId="4EE3CB89">
            <w:pPr>
              <w:pStyle w:val="14"/>
              <w:spacing w:before="151" w:line="278" w:lineRule="auto"/>
              <w:ind w:left="278" w:right="260" w:hanging="8"/>
            </w:pPr>
            <w:r>
              <w:rPr>
                <w:spacing w:val="-3"/>
              </w:rPr>
              <w:t>投标截止时间</w:t>
            </w:r>
            <w:r>
              <w:rPr>
                <w:spacing w:val="4"/>
              </w:rPr>
              <w:t xml:space="preserve"> </w:t>
            </w:r>
            <w:r>
              <w:rPr>
                <w:spacing w:val="-4"/>
              </w:rPr>
              <w:t>（开标时间）</w:t>
            </w:r>
          </w:p>
        </w:tc>
        <w:tc>
          <w:tcPr>
            <w:tcW w:w="7021" w:type="dxa"/>
            <w:vAlign w:val="top"/>
          </w:tcPr>
          <w:p w14:paraId="68B0011C">
            <w:pPr>
              <w:spacing w:line="309" w:lineRule="auto"/>
              <w:rPr>
                <w:rFonts w:ascii="Arial"/>
                <w:sz w:val="21"/>
              </w:rPr>
            </w:pPr>
          </w:p>
          <w:p w14:paraId="433E6490">
            <w:pPr>
              <w:pStyle w:val="14"/>
              <w:spacing w:before="78" w:line="219" w:lineRule="auto"/>
              <w:ind w:left="116"/>
            </w:pPr>
            <w:r>
              <w:rPr>
                <w:b/>
                <w:bCs/>
                <w:color w:val="auto"/>
                <w:spacing w:val="-8"/>
                <w:u w:val="single" w:color="auto"/>
              </w:rPr>
              <w:t>2025</w:t>
            </w:r>
            <w:r>
              <w:rPr>
                <w:color w:val="auto"/>
                <w:spacing w:val="-44"/>
                <w:u w:val="single" w:color="auto"/>
              </w:rPr>
              <w:t xml:space="preserve"> </w:t>
            </w:r>
            <w:r>
              <w:rPr>
                <w:b/>
                <w:bCs/>
                <w:color w:val="auto"/>
                <w:spacing w:val="-8"/>
                <w:u w:val="single" w:color="auto"/>
              </w:rPr>
              <w:t>年</w:t>
            </w:r>
            <w:r>
              <w:rPr>
                <w:color w:val="auto"/>
                <w:spacing w:val="-46"/>
                <w:u w:val="single" w:color="auto"/>
              </w:rPr>
              <w:t xml:space="preserve"> </w:t>
            </w:r>
            <w:r>
              <w:rPr>
                <w:b/>
                <w:bCs/>
                <w:color w:val="auto"/>
                <w:spacing w:val="-8"/>
                <w:u w:val="single" w:color="auto"/>
              </w:rPr>
              <w:t>0</w:t>
            </w:r>
            <w:r>
              <w:rPr>
                <w:rFonts w:hint="eastAsia"/>
                <w:b/>
                <w:bCs/>
                <w:color w:val="auto"/>
                <w:spacing w:val="-8"/>
                <w:u w:val="single" w:color="auto"/>
                <w:lang w:val="en-US" w:eastAsia="zh-CN"/>
              </w:rPr>
              <w:t>6</w:t>
            </w:r>
            <w:r>
              <w:rPr>
                <w:b/>
                <w:bCs/>
                <w:color w:val="auto"/>
                <w:spacing w:val="-8"/>
                <w:u w:val="single" w:color="auto"/>
              </w:rPr>
              <w:t>月</w:t>
            </w:r>
            <w:r>
              <w:rPr>
                <w:color w:val="auto"/>
                <w:spacing w:val="-48"/>
                <w:u w:val="single" w:color="auto"/>
              </w:rPr>
              <w:t xml:space="preserve"> </w:t>
            </w:r>
            <w:r>
              <w:rPr>
                <w:rFonts w:hint="eastAsia"/>
                <w:b/>
                <w:bCs/>
                <w:color w:val="auto"/>
                <w:spacing w:val="-8"/>
                <w:u w:val="single" w:color="auto"/>
                <w:lang w:val="en-US" w:eastAsia="zh-CN"/>
              </w:rPr>
              <w:t>04</w:t>
            </w:r>
            <w:r>
              <w:rPr>
                <w:b/>
                <w:bCs/>
                <w:color w:val="auto"/>
                <w:spacing w:val="-8"/>
                <w:u w:val="single" w:color="auto"/>
              </w:rPr>
              <w:t>日</w:t>
            </w:r>
            <w:r>
              <w:rPr>
                <w:color w:val="auto"/>
                <w:spacing w:val="-33"/>
                <w:u w:val="single" w:color="auto"/>
              </w:rPr>
              <w:t xml:space="preserve"> </w:t>
            </w:r>
            <w:r>
              <w:rPr>
                <w:b/>
                <w:bCs/>
                <w:color w:val="auto"/>
                <w:spacing w:val="-8"/>
                <w:u w:val="single" w:color="auto"/>
              </w:rPr>
              <w:t>1</w:t>
            </w:r>
            <w:r>
              <w:rPr>
                <w:rFonts w:hint="eastAsia"/>
                <w:b/>
                <w:bCs/>
                <w:spacing w:val="-8"/>
                <w:u w:val="single" w:color="auto"/>
                <w:lang w:val="en-US" w:eastAsia="zh-CN"/>
              </w:rPr>
              <w:t>6</w:t>
            </w:r>
            <w:bookmarkStart w:id="38" w:name="_GoBack"/>
            <w:bookmarkEnd w:id="38"/>
            <w:r>
              <w:rPr>
                <w:b/>
                <w:bCs/>
                <w:spacing w:val="-8"/>
                <w:u w:val="single" w:color="auto"/>
              </w:rPr>
              <w:t>:</w:t>
            </w:r>
            <w:r>
              <w:rPr>
                <w:rFonts w:hint="eastAsia"/>
                <w:b/>
                <w:bCs/>
                <w:spacing w:val="-8"/>
                <w:u w:val="single" w:color="auto"/>
                <w:lang w:val="en-US" w:eastAsia="zh-CN"/>
              </w:rPr>
              <w:t>3</w:t>
            </w:r>
            <w:r>
              <w:rPr>
                <w:b/>
                <w:bCs/>
                <w:spacing w:val="-8"/>
                <w:u w:val="single" w:color="auto"/>
              </w:rPr>
              <w:t>0</w:t>
            </w:r>
            <w:r>
              <w:rPr>
                <w:spacing w:val="-8"/>
              </w:rPr>
              <w:t>（北京时间）</w:t>
            </w:r>
          </w:p>
        </w:tc>
      </w:tr>
      <w:tr w14:paraId="5EE1D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777" w:type="dxa"/>
            <w:vAlign w:val="top"/>
          </w:tcPr>
          <w:p w14:paraId="43C7D3C3">
            <w:pPr>
              <w:spacing w:line="463" w:lineRule="auto"/>
              <w:rPr>
                <w:rFonts w:ascii="Arial"/>
                <w:sz w:val="21"/>
              </w:rPr>
            </w:pPr>
          </w:p>
          <w:p w14:paraId="50C5F837">
            <w:pPr>
              <w:pStyle w:val="14"/>
              <w:spacing w:before="78" w:line="184" w:lineRule="auto"/>
              <w:ind w:left="292"/>
            </w:pPr>
            <w:r>
              <w:rPr>
                <w:spacing w:val="-14"/>
              </w:rPr>
              <w:t>18</w:t>
            </w:r>
          </w:p>
        </w:tc>
        <w:tc>
          <w:tcPr>
            <w:tcW w:w="1964" w:type="dxa"/>
            <w:vAlign w:val="top"/>
          </w:tcPr>
          <w:p w14:paraId="3ED0D322">
            <w:pPr>
              <w:spacing w:line="331" w:lineRule="auto"/>
              <w:rPr>
                <w:rFonts w:ascii="Arial"/>
                <w:sz w:val="21"/>
              </w:rPr>
            </w:pPr>
          </w:p>
          <w:p w14:paraId="56FC03D9">
            <w:pPr>
              <w:pStyle w:val="14"/>
              <w:spacing w:before="78" w:line="325" w:lineRule="auto"/>
              <w:ind w:left="386" w:right="140" w:hanging="236"/>
            </w:pPr>
            <w:r>
              <w:rPr>
                <w:spacing w:val="-2"/>
              </w:rPr>
              <w:t>投标文件的递交</w:t>
            </w:r>
            <w:r>
              <w:t xml:space="preserve"> </w:t>
            </w:r>
            <w:r>
              <w:rPr>
                <w:spacing w:val="-2"/>
              </w:rPr>
              <w:t>及开标地点</w:t>
            </w:r>
          </w:p>
        </w:tc>
        <w:tc>
          <w:tcPr>
            <w:tcW w:w="7021" w:type="dxa"/>
            <w:vAlign w:val="top"/>
          </w:tcPr>
          <w:p w14:paraId="50E642DC">
            <w:pPr>
              <w:pStyle w:val="14"/>
              <w:spacing w:before="39" w:line="220" w:lineRule="auto"/>
              <w:ind w:left="114"/>
            </w:pPr>
            <w:r>
              <w:rPr>
                <w:spacing w:val="-1"/>
              </w:rPr>
              <w:t>提交时间：同投标截止时间</w:t>
            </w:r>
          </w:p>
          <w:p w14:paraId="673AEB1B">
            <w:pPr>
              <w:pStyle w:val="14"/>
              <w:spacing w:before="181" w:line="219" w:lineRule="auto"/>
              <w:ind w:left="114"/>
            </w:pPr>
            <w:r>
              <w:rPr>
                <w:spacing w:val="-1"/>
              </w:rPr>
              <w:t>开标地点：政采云远程不见面开标大厅</w:t>
            </w:r>
          </w:p>
          <w:p w14:paraId="4E57DDBF">
            <w:pPr>
              <w:pStyle w:val="14"/>
              <w:spacing w:before="180" w:line="219" w:lineRule="auto"/>
              <w:ind w:left="117"/>
            </w:pPr>
            <w:r>
              <w:rPr>
                <w:spacing w:val="-2"/>
              </w:rPr>
              <w:t>不见面开标默认解密时长：30</w:t>
            </w:r>
            <w:r>
              <w:rPr>
                <w:spacing w:val="-43"/>
              </w:rPr>
              <w:t xml:space="preserve"> </w:t>
            </w:r>
            <w:r>
              <w:rPr>
                <w:spacing w:val="-2"/>
              </w:rPr>
              <w:t>分钟</w:t>
            </w:r>
          </w:p>
        </w:tc>
      </w:tr>
    </w:tbl>
    <w:tbl>
      <w:tblPr>
        <w:tblStyle w:val="13"/>
        <w:tblpPr w:leftFromText="180" w:rightFromText="180" w:vertAnchor="text" w:horzAnchor="page" w:tblpX="1098" w:tblpY="28"/>
        <w:tblOverlap w:val="never"/>
        <w:tblW w:w="976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7"/>
        <w:gridCol w:w="1964"/>
        <w:gridCol w:w="7021"/>
      </w:tblGrid>
      <w:tr w14:paraId="7DE8C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777" w:type="dxa"/>
            <w:vAlign w:val="top"/>
          </w:tcPr>
          <w:p w14:paraId="68903047">
            <w:pPr>
              <w:pStyle w:val="14"/>
              <w:spacing w:before="199" w:line="220" w:lineRule="auto"/>
              <w:ind w:left="158"/>
            </w:pPr>
            <w:r>
              <w:rPr>
                <w:spacing w:val="-7"/>
              </w:rPr>
              <w:t>项号</w:t>
            </w:r>
          </w:p>
        </w:tc>
        <w:tc>
          <w:tcPr>
            <w:tcW w:w="1964" w:type="dxa"/>
            <w:vAlign w:val="top"/>
          </w:tcPr>
          <w:p w14:paraId="38B8B28A">
            <w:pPr>
              <w:pStyle w:val="14"/>
              <w:spacing w:before="199" w:line="220" w:lineRule="auto"/>
              <w:ind w:left="691"/>
            </w:pPr>
            <w:r>
              <w:rPr>
                <w:spacing w:val="-7"/>
              </w:rPr>
              <w:t>项</w:t>
            </w:r>
            <w:r>
              <w:rPr>
                <w:spacing w:val="55"/>
              </w:rPr>
              <w:t xml:space="preserve"> </w:t>
            </w:r>
            <w:r>
              <w:rPr>
                <w:spacing w:val="-7"/>
              </w:rPr>
              <w:t>目</w:t>
            </w:r>
          </w:p>
        </w:tc>
        <w:tc>
          <w:tcPr>
            <w:tcW w:w="7021" w:type="dxa"/>
            <w:vAlign w:val="top"/>
          </w:tcPr>
          <w:p w14:paraId="133BBB0F">
            <w:pPr>
              <w:pStyle w:val="14"/>
              <w:spacing w:before="57" w:line="219" w:lineRule="auto"/>
              <w:ind w:left="3125"/>
            </w:pPr>
            <w:r>
              <w:rPr>
                <w:spacing w:val="-20"/>
              </w:rPr>
              <w:t>内</w:t>
            </w:r>
            <w:r>
              <w:rPr>
                <w:spacing w:val="4"/>
              </w:rPr>
              <w:t xml:space="preserve">   </w:t>
            </w:r>
            <w:r>
              <w:rPr>
                <w:spacing w:val="-20"/>
              </w:rPr>
              <w:t>容</w:t>
            </w:r>
          </w:p>
        </w:tc>
      </w:tr>
      <w:tr w14:paraId="20F0A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2" w:hRule="atLeast"/>
        </w:trPr>
        <w:tc>
          <w:tcPr>
            <w:tcW w:w="777" w:type="dxa"/>
            <w:vAlign w:val="top"/>
          </w:tcPr>
          <w:p w14:paraId="0F428917">
            <w:pPr>
              <w:rPr>
                <w:rFonts w:ascii="Arial"/>
                <w:sz w:val="21"/>
              </w:rPr>
            </w:pPr>
          </w:p>
        </w:tc>
        <w:tc>
          <w:tcPr>
            <w:tcW w:w="1964" w:type="dxa"/>
            <w:vAlign w:val="top"/>
          </w:tcPr>
          <w:p w14:paraId="4E6F1E21">
            <w:pPr>
              <w:rPr>
                <w:rFonts w:ascii="Arial"/>
                <w:sz w:val="21"/>
              </w:rPr>
            </w:pPr>
          </w:p>
        </w:tc>
        <w:tc>
          <w:tcPr>
            <w:tcW w:w="7021" w:type="dxa"/>
            <w:vAlign w:val="top"/>
          </w:tcPr>
          <w:p w14:paraId="1C842B70">
            <w:pPr>
              <w:pStyle w:val="14"/>
              <w:spacing w:before="37" w:line="310" w:lineRule="auto"/>
              <w:ind w:left="114" w:right="107" w:firstLine="16"/>
            </w:pPr>
            <w:r>
              <w:rPr>
                <w:spacing w:val="-2"/>
              </w:rPr>
              <w:t>1、本项目采用不见面开标，供应商需要递交电子</w:t>
            </w:r>
            <w:r>
              <w:rPr>
                <w:spacing w:val="-3"/>
              </w:rPr>
              <w:t>投标文件，将加</w:t>
            </w:r>
            <w:r>
              <w:t xml:space="preserve"> </w:t>
            </w:r>
            <w:r>
              <w:rPr>
                <w:spacing w:val="-12"/>
              </w:rPr>
              <w:t>密</w:t>
            </w:r>
            <w:r>
              <w:rPr>
                <w:spacing w:val="-29"/>
              </w:rPr>
              <w:t xml:space="preserve"> </w:t>
            </w:r>
            <w:r>
              <w:rPr>
                <w:spacing w:val="-12"/>
              </w:rPr>
              <w:t>的 电</w:t>
            </w:r>
            <w:r>
              <w:rPr>
                <w:spacing w:val="-52"/>
              </w:rPr>
              <w:t xml:space="preserve"> </w:t>
            </w:r>
            <w:r>
              <w:rPr>
                <w:spacing w:val="-12"/>
              </w:rPr>
              <w:t>子</w:t>
            </w:r>
            <w:r>
              <w:rPr>
                <w:spacing w:val="-50"/>
              </w:rPr>
              <w:t xml:space="preserve"> </w:t>
            </w:r>
            <w:r>
              <w:rPr>
                <w:spacing w:val="-12"/>
              </w:rPr>
              <w:t>投</w:t>
            </w:r>
            <w:r>
              <w:rPr>
                <w:spacing w:val="-50"/>
              </w:rPr>
              <w:t xml:space="preserve"> </w:t>
            </w:r>
            <w:r>
              <w:rPr>
                <w:spacing w:val="-12"/>
              </w:rPr>
              <w:t>标</w:t>
            </w:r>
            <w:r>
              <w:rPr>
                <w:spacing w:val="-51"/>
              </w:rPr>
              <w:t xml:space="preserve"> </w:t>
            </w:r>
            <w:r>
              <w:rPr>
                <w:spacing w:val="-12"/>
              </w:rPr>
              <w:t>文</w:t>
            </w:r>
            <w:r>
              <w:rPr>
                <w:spacing w:val="-54"/>
              </w:rPr>
              <w:t xml:space="preserve"> </w:t>
            </w:r>
            <w:r>
              <w:rPr>
                <w:spacing w:val="-12"/>
              </w:rPr>
              <w:t>件</w:t>
            </w:r>
            <w:r>
              <w:rPr>
                <w:spacing w:val="-52"/>
              </w:rPr>
              <w:t xml:space="preserve"> </w:t>
            </w:r>
            <w:r>
              <w:rPr>
                <w:spacing w:val="-12"/>
              </w:rPr>
              <w:t>在</w:t>
            </w:r>
            <w:r>
              <w:rPr>
                <w:spacing w:val="-50"/>
              </w:rPr>
              <w:t xml:space="preserve"> </w:t>
            </w:r>
            <w:r>
              <w:rPr>
                <w:spacing w:val="-12"/>
              </w:rPr>
              <w:t>投</w:t>
            </w:r>
            <w:r>
              <w:rPr>
                <w:spacing w:val="-52"/>
              </w:rPr>
              <w:t xml:space="preserve"> </w:t>
            </w:r>
            <w:r>
              <w:rPr>
                <w:spacing w:val="-12"/>
              </w:rPr>
              <w:t>标</w:t>
            </w:r>
            <w:r>
              <w:rPr>
                <w:spacing w:val="-54"/>
              </w:rPr>
              <w:t xml:space="preserve"> </w:t>
            </w:r>
            <w:r>
              <w:rPr>
                <w:spacing w:val="-12"/>
              </w:rPr>
              <w:t>截止</w:t>
            </w:r>
            <w:r>
              <w:rPr>
                <w:spacing w:val="-42"/>
              </w:rPr>
              <w:t xml:space="preserve"> </w:t>
            </w:r>
            <w:r>
              <w:rPr>
                <w:spacing w:val="-12"/>
              </w:rPr>
              <w:t>时</w:t>
            </w:r>
            <w:r>
              <w:rPr>
                <w:spacing w:val="-34"/>
              </w:rPr>
              <w:t xml:space="preserve"> </w:t>
            </w:r>
            <w:r>
              <w:rPr>
                <w:spacing w:val="-12"/>
              </w:rPr>
              <w:t>间</w:t>
            </w:r>
            <w:r>
              <w:rPr>
                <w:spacing w:val="-47"/>
              </w:rPr>
              <w:t xml:space="preserve"> </w:t>
            </w:r>
            <w:r>
              <w:rPr>
                <w:spacing w:val="-12"/>
              </w:rPr>
              <w:t>前</w:t>
            </w:r>
            <w:r>
              <w:rPr>
                <w:spacing w:val="-53"/>
              </w:rPr>
              <w:t xml:space="preserve"> </w:t>
            </w:r>
            <w:r>
              <w:rPr>
                <w:spacing w:val="-12"/>
              </w:rPr>
              <w:t>通</w:t>
            </w:r>
            <w:r>
              <w:rPr>
                <w:spacing w:val="-52"/>
              </w:rPr>
              <w:t xml:space="preserve"> </w:t>
            </w:r>
            <w:r>
              <w:rPr>
                <w:spacing w:val="-12"/>
              </w:rPr>
              <w:t>过</w:t>
            </w:r>
            <w:r>
              <w:rPr>
                <w:spacing w:val="-51"/>
              </w:rPr>
              <w:t xml:space="preserve"> </w:t>
            </w:r>
            <w:r>
              <w:rPr>
                <w:spacing w:val="-12"/>
              </w:rPr>
              <w:t>政</w:t>
            </w:r>
            <w:r>
              <w:rPr>
                <w:spacing w:val="-54"/>
              </w:rPr>
              <w:t xml:space="preserve"> </w:t>
            </w:r>
            <w:r>
              <w:rPr>
                <w:spacing w:val="-12"/>
              </w:rPr>
              <w:t>采</w:t>
            </w:r>
            <w:r>
              <w:rPr>
                <w:spacing w:val="-47"/>
              </w:rPr>
              <w:t xml:space="preserve"> </w:t>
            </w:r>
            <w:r>
              <w:rPr>
                <w:spacing w:val="-12"/>
              </w:rPr>
              <w:t>云</w:t>
            </w:r>
            <w:r>
              <w:rPr>
                <w:spacing w:val="-52"/>
              </w:rPr>
              <w:t xml:space="preserve"> </w:t>
            </w:r>
            <w:r>
              <w:rPr>
                <w:spacing w:val="-12"/>
              </w:rPr>
              <w:t>平</w:t>
            </w:r>
            <w:r>
              <w:rPr>
                <w:spacing w:val="-34"/>
              </w:rPr>
              <w:t xml:space="preserve"> </w:t>
            </w:r>
            <w:r>
              <w:rPr>
                <w:spacing w:val="-12"/>
              </w:rPr>
              <w:t>台</w:t>
            </w:r>
            <w:r>
              <w:t xml:space="preserve"> （</w:t>
            </w:r>
            <w:r>
              <w:fldChar w:fldCharType="begin"/>
            </w:r>
            <w:r>
              <w:instrText xml:space="preserve"> HYPERLINK "https://www.zcygov.cn/" </w:instrText>
            </w:r>
            <w:r>
              <w:fldChar w:fldCharType="separate"/>
            </w:r>
            <w:r>
              <w:t>https://www.zcygov.</w:t>
            </w:r>
            <w:r>
              <w:rPr>
                <w:spacing w:val="-1"/>
              </w:rPr>
              <w:t>cn/</w:t>
            </w:r>
            <w:r>
              <w:rPr>
                <w:spacing w:val="-1"/>
              </w:rPr>
              <w:fldChar w:fldCharType="end"/>
            </w:r>
            <w:r>
              <w:rPr>
                <w:spacing w:val="-1"/>
              </w:rPr>
              <w:t>）上传到指定位置。</w:t>
            </w:r>
          </w:p>
          <w:p w14:paraId="6275A14E">
            <w:pPr>
              <w:pStyle w:val="14"/>
              <w:spacing w:before="191" w:line="288" w:lineRule="auto"/>
              <w:ind w:left="115" w:right="107"/>
            </w:pPr>
            <w:r>
              <w:rPr>
                <w:spacing w:val="-2"/>
              </w:rPr>
              <w:t>2、开标当日，供应商无需到达开标现场，仅需通过政采云平台完</w:t>
            </w:r>
            <w:r>
              <w:rPr>
                <w:spacing w:val="8"/>
              </w:rPr>
              <w:t xml:space="preserve"> </w:t>
            </w:r>
            <w:r>
              <w:rPr>
                <w:spacing w:val="-1"/>
              </w:rPr>
              <w:t>成远程解密、提疑澄清、开标唱标、结果公布等交互环节。</w:t>
            </w:r>
          </w:p>
          <w:p w14:paraId="11B2E51A">
            <w:pPr>
              <w:pStyle w:val="14"/>
              <w:spacing w:before="181" w:line="342" w:lineRule="auto"/>
              <w:ind w:left="112" w:right="46" w:firstLine="5"/>
            </w:pPr>
            <w:r>
              <w:rPr>
                <w:spacing w:val="-5"/>
              </w:rPr>
              <w:t>3、供应商必须使用能正确解密投标文件的“CA</w:t>
            </w:r>
            <w:r>
              <w:rPr>
                <w:spacing w:val="-51"/>
              </w:rPr>
              <w:t xml:space="preserve"> </w:t>
            </w:r>
            <w:r>
              <w:rPr>
                <w:spacing w:val="-5"/>
              </w:rPr>
              <w:t>锁</w:t>
            </w:r>
            <w:r>
              <w:rPr>
                <w:spacing w:val="-88"/>
              </w:rPr>
              <w:t xml:space="preserve"> </w:t>
            </w:r>
            <w:r>
              <w:rPr>
                <w:spacing w:val="-5"/>
              </w:rPr>
              <w:t>”在规定</w:t>
            </w:r>
            <w:r>
              <w:rPr>
                <w:spacing w:val="-6"/>
              </w:rPr>
              <w:t>的时间</w:t>
            </w:r>
            <w:r>
              <w:t xml:space="preserve"> </w:t>
            </w:r>
            <w:r>
              <w:rPr>
                <w:spacing w:val="-4"/>
              </w:rPr>
              <w:t>内完成远程解密，因供应商原因未能解密、解密失败或解密超时，</w:t>
            </w:r>
            <w:r>
              <w:rPr>
                <w:spacing w:val="12"/>
              </w:rPr>
              <w:t xml:space="preserve"> </w:t>
            </w:r>
            <w:r>
              <w:rPr>
                <w:spacing w:val="2"/>
              </w:rPr>
              <w:t>视为供应商撤销其投标文件，系统内投标文件将被退回；因采购</w:t>
            </w:r>
            <w:r>
              <w:rPr>
                <w:spacing w:val="18"/>
              </w:rPr>
              <w:t xml:space="preserve"> </w:t>
            </w:r>
            <w:r>
              <w:rPr>
                <w:spacing w:val="2"/>
              </w:rPr>
              <w:t>人原因或网上招投标平台发生故障，导致无法按时完成投标文件</w:t>
            </w:r>
            <w:r>
              <w:rPr>
                <w:spacing w:val="18"/>
              </w:rPr>
              <w:t xml:space="preserve"> </w:t>
            </w:r>
            <w:r>
              <w:rPr>
                <w:spacing w:val="2"/>
              </w:rPr>
              <w:t>解密或开、评标工作无法进行的，可根据实际情况相应延迟解密</w:t>
            </w:r>
            <w:r>
              <w:rPr>
                <w:spacing w:val="18"/>
              </w:rPr>
              <w:t xml:space="preserve"> </w:t>
            </w:r>
            <w:r>
              <w:rPr>
                <w:spacing w:val="2"/>
              </w:rPr>
              <w:t>时间或调整开、评标时间（友情提示：若供应商已领取副锁（含</w:t>
            </w:r>
            <w:r>
              <w:rPr>
                <w:spacing w:val="18"/>
              </w:rPr>
              <w:t xml:space="preserve"> </w:t>
            </w:r>
            <w:r>
              <w:rPr>
                <w:spacing w:val="2"/>
              </w:rPr>
              <w:t>多把副锁）请注意正副锁的使用差别，务必使用生成投标文件的</w:t>
            </w:r>
            <w:r>
              <w:rPr>
                <w:spacing w:val="18"/>
              </w:rPr>
              <w:t xml:space="preserve"> </w:t>
            </w:r>
            <w:r>
              <w:rPr>
                <w:spacing w:val="-2"/>
              </w:rPr>
              <w:t>锁解密）。</w:t>
            </w:r>
          </w:p>
        </w:tc>
      </w:tr>
      <w:tr w14:paraId="39FCA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9" w:hRule="atLeast"/>
        </w:trPr>
        <w:tc>
          <w:tcPr>
            <w:tcW w:w="777" w:type="dxa"/>
            <w:vAlign w:val="top"/>
          </w:tcPr>
          <w:p w14:paraId="7EF60DE3">
            <w:pPr>
              <w:spacing w:line="244" w:lineRule="auto"/>
              <w:rPr>
                <w:rFonts w:ascii="Arial"/>
                <w:sz w:val="21"/>
              </w:rPr>
            </w:pPr>
          </w:p>
          <w:p w14:paraId="1251C2D8">
            <w:pPr>
              <w:spacing w:line="244" w:lineRule="auto"/>
              <w:rPr>
                <w:rFonts w:ascii="Arial"/>
                <w:sz w:val="21"/>
              </w:rPr>
            </w:pPr>
          </w:p>
          <w:p w14:paraId="6686438D">
            <w:pPr>
              <w:spacing w:line="244" w:lineRule="auto"/>
              <w:rPr>
                <w:rFonts w:ascii="Arial"/>
                <w:sz w:val="21"/>
              </w:rPr>
            </w:pPr>
          </w:p>
          <w:p w14:paraId="4A0C1600">
            <w:pPr>
              <w:spacing w:line="244" w:lineRule="auto"/>
              <w:rPr>
                <w:rFonts w:ascii="Arial"/>
                <w:sz w:val="21"/>
              </w:rPr>
            </w:pPr>
          </w:p>
          <w:p w14:paraId="1BFCFEA1">
            <w:pPr>
              <w:spacing w:line="244" w:lineRule="auto"/>
              <w:rPr>
                <w:rFonts w:ascii="Arial"/>
                <w:sz w:val="21"/>
              </w:rPr>
            </w:pPr>
          </w:p>
          <w:p w14:paraId="37E4D8FD">
            <w:pPr>
              <w:spacing w:line="244" w:lineRule="auto"/>
              <w:rPr>
                <w:rFonts w:ascii="Arial"/>
                <w:sz w:val="21"/>
              </w:rPr>
            </w:pPr>
          </w:p>
          <w:p w14:paraId="1CA5A58D">
            <w:pPr>
              <w:spacing w:line="244" w:lineRule="auto"/>
              <w:rPr>
                <w:rFonts w:ascii="Arial"/>
                <w:sz w:val="21"/>
              </w:rPr>
            </w:pPr>
          </w:p>
          <w:p w14:paraId="43B52B4E">
            <w:pPr>
              <w:pStyle w:val="14"/>
              <w:spacing w:before="78" w:line="184" w:lineRule="auto"/>
            </w:pPr>
            <w:r>
              <w:rPr>
                <w:spacing w:val="-14"/>
              </w:rPr>
              <w:t>19</w:t>
            </w:r>
          </w:p>
        </w:tc>
        <w:tc>
          <w:tcPr>
            <w:tcW w:w="1964" w:type="dxa"/>
            <w:vAlign w:val="top"/>
          </w:tcPr>
          <w:p w14:paraId="44254E83">
            <w:pPr>
              <w:spacing w:line="241" w:lineRule="auto"/>
              <w:rPr>
                <w:rFonts w:ascii="Arial"/>
                <w:sz w:val="21"/>
              </w:rPr>
            </w:pPr>
          </w:p>
          <w:p w14:paraId="58D7DAAC">
            <w:pPr>
              <w:spacing w:line="241" w:lineRule="auto"/>
              <w:rPr>
                <w:rFonts w:ascii="Arial"/>
                <w:sz w:val="21"/>
              </w:rPr>
            </w:pPr>
          </w:p>
          <w:p w14:paraId="01A076EB">
            <w:pPr>
              <w:spacing w:line="241" w:lineRule="auto"/>
              <w:rPr>
                <w:rFonts w:ascii="Arial"/>
                <w:sz w:val="21"/>
              </w:rPr>
            </w:pPr>
          </w:p>
          <w:p w14:paraId="63AD6D52">
            <w:pPr>
              <w:spacing w:line="242" w:lineRule="auto"/>
              <w:rPr>
                <w:rFonts w:ascii="Arial"/>
                <w:sz w:val="21"/>
              </w:rPr>
            </w:pPr>
          </w:p>
          <w:p w14:paraId="105B879B">
            <w:pPr>
              <w:spacing w:line="242" w:lineRule="auto"/>
              <w:rPr>
                <w:rFonts w:ascii="Arial"/>
                <w:sz w:val="21"/>
              </w:rPr>
            </w:pPr>
          </w:p>
          <w:p w14:paraId="69BF3009">
            <w:pPr>
              <w:spacing w:line="242" w:lineRule="auto"/>
              <w:rPr>
                <w:rFonts w:ascii="Arial"/>
                <w:sz w:val="21"/>
              </w:rPr>
            </w:pPr>
          </w:p>
          <w:p w14:paraId="48E61E8D">
            <w:pPr>
              <w:spacing w:line="242" w:lineRule="auto"/>
              <w:rPr>
                <w:rFonts w:ascii="Arial"/>
                <w:sz w:val="21"/>
              </w:rPr>
            </w:pPr>
          </w:p>
          <w:p w14:paraId="13709668">
            <w:pPr>
              <w:pStyle w:val="14"/>
              <w:spacing w:before="78" w:line="220" w:lineRule="auto"/>
              <w:ind w:left="390"/>
              <w:jc w:val="left"/>
            </w:pPr>
            <w:r>
              <w:t>投标文件份数</w:t>
            </w:r>
          </w:p>
        </w:tc>
        <w:tc>
          <w:tcPr>
            <w:tcW w:w="7021" w:type="dxa"/>
            <w:vAlign w:val="top"/>
          </w:tcPr>
          <w:p w14:paraId="7ECA8365">
            <w:pPr>
              <w:pStyle w:val="14"/>
              <w:spacing w:before="176" w:line="286" w:lineRule="auto"/>
              <w:ind w:right="107"/>
              <w:rPr>
                <w:rFonts w:hint="default" w:eastAsia="宋体"/>
                <w:lang w:val="en-US" w:eastAsia="zh-CN"/>
              </w:rPr>
            </w:pPr>
            <w:r>
              <w:rPr>
                <w:rFonts w:hint="default" w:eastAsia="宋体"/>
                <w:lang w:val="en-US" w:eastAsia="zh-CN"/>
              </w:rPr>
              <w:t>投标文件由以下部分组成：</w:t>
            </w:r>
          </w:p>
          <w:p w14:paraId="5F4836FB">
            <w:pPr>
              <w:pStyle w:val="14"/>
              <w:spacing w:before="176" w:line="286" w:lineRule="auto"/>
              <w:ind w:right="107"/>
              <w:rPr>
                <w:rFonts w:hint="default" w:eastAsia="宋体"/>
                <w:lang w:val="en-US" w:eastAsia="zh-CN"/>
              </w:rPr>
            </w:pPr>
            <w:r>
              <w:rPr>
                <w:rFonts w:hint="default" w:eastAsia="宋体"/>
                <w:lang w:val="en-US" w:eastAsia="zh-CN"/>
              </w:rPr>
              <w:t>（1）投标证明文件（报价一览表、资格证明文件、商务及技术文件）正本1份、副本2份。</w:t>
            </w:r>
          </w:p>
          <w:p w14:paraId="62E82177">
            <w:pPr>
              <w:pStyle w:val="14"/>
              <w:spacing w:before="176" w:line="286" w:lineRule="auto"/>
              <w:ind w:right="107"/>
              <w:rPr>
                <w:rFonts w:hint="default" w:eastAsia="宋体"/>
                <w:lang w:val="en-US" w:eastAsia="zh-CN"/>
              </w:rPr>
            </w:pPr>
            <w:r>
              <w:rPr>
                <w:rFonts w:hint="default" w:eastAsia="宋体"/>
                <w:lang w:val="en-US" w:eastAsia="zh-CN"/>
              </w:rPr>
              <w:t>正、副本不得采用活页装订</w:t>
            </w:r>
          </w:p>
          <w:p w14:paraId="4EFEDA0C">
            <w:pPr>
              <w:pStyle w:val="14"/>
              <w:spacing w:before="176" w:line="286" w:lineRule="auto"/>
              <w:ind w:right="107"/>
              <w:rPr>
                <w:rFonts w:hint="default" w:eastAsia="宋体"/>
                <w:lang w:val="en-US" w:eastAsia="zh-CN"/>
              </w:rPr>
            </w:pPr>
            <w:r>
              <w:rPr>
                <w:rFonts w:hint="default" w:eastAsia="宋体"/>
                <w:lang w:val="en-US" w:eastAsia="zh-CN"/>
              </w:rPr>
              <w:t>须前三名单位开标后提供，5天内 邮寄至新疆塔城地区政务服务与公共资源交易中心</w:t>
            </w:r>
          </w:p>
          <w:p w14:paraId="15E15FE0">
            <w:pPr>
              <w:pStyle w:val="14"/>
              <w:spacing w:before="176" w:line="286" w:lineRule="auto"/>
              <w:ind w:right="107"/>
              <w:rPr>
                <w:rFonts w:hint="default" w:eastAsia="宋体"/>
                <w:lang w:val="en-US" w:eastAsia="zh-CN"/>
              </w:rPr>
            </w:pPr>
            <w:r>
              <w:rPr>
                <w:rFonts w:hint="default" w:eastAsia="宋体"/>
                <w:lang w:val="en-US" w:eastAsia="zh-CN"/>
              </w:rPr>
              <w:t xml:space="preserve"> 收件人：盛鑫   联系电话：0901-6225551</w:t>
            </w:r>
          </w:p>
        </w:tc>
      </w:tr>
    </w:tbl>
    <w:tbl>
      <w:tblPr>
        <w:tblStyle w:val="13"/>
        <w:tblpPr w:leftFromText="180" w:rightFromText="180" w:vertAnchor="text" w:horzAnchor="page" w:tblpX="1094" w:tblpY="3897"/>
        <w:tblOverlap w:val="never"/>
        <w:tblW w:w="976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7"/>
        <w:gridCol w:w="1964"/>
        <w:gridCol w:w="7021"/>
      </w:tblGrid>
      <w:tr w14:paraId="2E914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777" w:type="dxa"/>
            <w:vAlign w:val="top"/>
          </w:tcPr>
          <w:p w14:paraId="7B9836CD">
            <w:pPr>
              <w:pStyle w:val="14"/>
              <w:spacing w:before="199" w:line="220" w:lineRule="auto"/>
              <w:ind w:left="158"/>
            </w:pPr>
            <w:r>
              <w:rPr>
                <w:spacing w:val="-7"/>
              </w:rPr>
              <w:t>项号</w:t>
            </w:r>
          </w:p>
        </w:tc>
        <w:tc>
          <w:tcPr>
            <w:tcW w:w="1964" w:type="dxa"/>
            <w:vAlign w:val="top"/>
          </w:tcPr>
          <w:p w14:paraId="5B6C3BE6">
            <w:pPr>
              <w:pStyle w:val="14"/>
              <w:spacing w:before="199" w:line="220" w:lineRule="auto"/>
              <w:ind w:left="691"/>
            </w:pPr>
            <w:r>
              <w:rPr>
                <w:spacing w:val="-7"/>
              </w:rPr>
              <w:t>项</w:t>
            </w:r>
            <w:r>
              <w:rPr>
                <w:spacing w:val="55"/>
              </w:rPr>
              <w:t xml:space="preserve"> </w:t>
            </w:r>
            <w:r>
              <w:rPr>
                <w:spacing w:val="-7"/>
              </w:rPr>
              <w:t>目</w:t>
            </w:r>
          </w:p>
        </w:tc>
        <w:tc>
          <w:tcPr>
            <w:tcW w:w="7021" w:type="dxa"/>
            <w:vAlign w:val="top"/>
          </w:tcPr>
          <w:p w14:paraId="051F4FFA">
            <w:pPr>
              <w:pStyle w:val="14"/>
              <w:spacing w:before="57" w:line="219" w:lineRule="auto"/>
              <w:ind w:left="3125"/>
            </w:pPr>
            <w:r>
              <w:rPr>
                <w:spacing w:val="-20"/>
              </w:rPr>
              <w:t>内</w:t>
            </w:r>
            <w:r>
              <w:rPr>
                <w:spacing w:val="4"/>
              </w:rPr>
              <w:t xml:space="preserve">   </w:t>
            </w:r>
            <w:r>
              <w:rPr>
                <w:spacing w:val="-20"/>
              </w:rPr>
              <w:t>容</w:t>
            </w:r>
          </w:p>
        </w:tc>
      </w:tr>
      <w:tr w14:paraId="71B65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777" w:type="dxa"/>
            <w:vAlign w:val="top"/>
          </w:tcPr>
          <w:p w14:paraId="68D4B3D1">
            <w:pPr>
              <w:spacing w:line="362" w:lineRule="auto"/>
              <w:rPr>
                <w:rFonts w:ascii="Arial"/>
                <w:sz w:val="21"/>
              </w:rPr>
            </w:pPr>
          </w:p>
          <w:p w14:paraId="010FA7F5">
            <w:pPr>
              <w:pStyle w:val="14"/>
              <w:spacing w:before="78" w:line="183" w:lineRule="auto"/>
              <w:ind w:left="277"/>
            </w:pPr>
            <w:r>
              <w:rPr>
                <w:spacing w:val="-7"/>
              </w:rPr>
              <w:t>20</w:t>
            </w:r>
          </w:p>
        </w:tc>
        <w:tc>
          <w:tcPr>
            <w:tcW w:w="1964" w:type="dxa"/>
            <w:vAlign w:val="top"/>
          </w:tcPr>
          <w:p w14:paraId="60A2691D">
            <w:pPr>
              <w:spacing w:line="324" w:lineRule="auto"/>
              <w:rPr>
                <w:rFonts w:ascii="Arial"/>
                <w:sz w:val="21"/>
              </w:rPr>
            </w:pPr>
          </w:p>
          <w:p w14:paraId="12B31CD5">
            <w:pPr>
              <w:pStyle w:val="14"/>
              <w:spacing w:before="78" w:line="218" w:lineRule="auto"/>
              <w:ind w:left="503"/>
            </w:pPr>
            <w:r>
              <w:rPr>
                <w:b/>
                <w:bCs/>
                <w:spacing w:val="-4"/>
              </w:rPr>
              <w:t>报价方式</w:t>
            </w:r>
          </w:p>
        </w:tc>
        <w:tc>
          <w:tcPr>
            <w:tcW w:w="7021" w:type="dxa"/>
            <w:vAlign w:val="top"/>
          </w:tcPr>
          <w:p w14:paraId="5DD5823F">
            <w:pPr>
              <w:pStyle w:val="14"/>
              <w:spacing w:before="117" w:line="276" w:lineRule="auto"/>
              <w:ind w:left="114" w:right="107"/>
              <w:jc w:val="both"/>
            </w:pPr>
            <w:r>
              <w:rPr>
                <w:b/>
                <w:bCs/>
                <w:spacing w:val="-5"/>
              </w:rPr>
              <w:t>本项目最高限价</w:t>
            </w:r>
            <w:r>
              <w:rPr>
                <w:spacing w:val="-35"/>
              </w:rPr>
              <w:t xml:space="preserve"> </w:t>
            </w:r>
            <w:r>
              <w:rPr>
                <w:rFonts w:hint="eastAsia"/>
                <w:b/>
                <w:bCs/>
                <w:spacing w:val="-5"/>
                <w:lang w:val="en-US" w:eastAsia="zh-CN"/>
              </w:rPr>
              <w:t>2500000</w:t>
            </w:r>
            <w:r>
              <w:rPr>
                <w:b/>
                <w:bCs/>
                <w:spacing w:val="-5"/>
              </w:rPr>
              <w:t>.00</w:t>
            </w:r>
            <w:r>
              <w:rPr>
                <w:spacing w:val="-51"/>
              </w:rPr>
              <w:t xml:space="preserve"> </w:t>
            </w:r>
            <w:r>
              <w:rPr>
                <w:b/>
                <w:bCs/>
                <w:spacing w:val="-5"/>
              </w:rPr>
              <w:t>元</w:t>
            </w:r>
            <w:r>
              <w:rPr>
                <w:rFonts w:hint="eastAsia"/>
                <w:b/>
                <w:bCs/>
                <w:spacing w:val="-5"/>
                <w:lang w:val="en-US" w:eastAsia="zh-CN"/>
              </w:rPr>
              <w:t>0</w:t>
            </w:r>
            <w:r>
              <w:rPr>
                <w:b/>
                <w:bCs/>
                <w:spacing w:val="-67"/>
              </w:rPr>
              <w:t>，</w:t>
            </w:r>
            <w:r>
              <w:rPr>
                <w:b/>
                <w:bCs/>
                <w:spacing w:val="-4"/>
              </w:rPr>
              <w:t>投标供应商投标报价不得超过项目最高限价，否则按无效投</w:t>
            </w:r>
            <w:r>
              <w:rPr>
                <w:spacing w:val="1"/>
              </w:rPr>
              <w:t xml:space="preserve"> </w:t>
            </w:r>
            <w:r>
              <w:rPr>
                <w:b/>
                <w:bCs/>
                <w:spacing w:val="-5"/>
              </w:rPr>
              <w:t>标处理。</w:t>
            </w:r>
          </w:p>
        </w:tc>
      </w:tr>
      <w:tr w14:paraId="3B397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4" w:hRule="atLeast"/>
        </w:trPr>
        <w:tc>
          <w:tcPr>
            <w:tcW w:w="777" w:type="dxa"/>
            <w:vAlign w:val="top"/>
          </w:tcPr>
          <w:p w14:paraId="10649481">
            <w:pPr>
              <w:spacing w:line="252" w:lineRule="auto"/>
              <w:rPr>
                <w:rFonts w:ascii="Arial"/>
                <w:sz w:val="21"/>
              </w:rPr>
            </w:pPr>
          </w:p>
          <w:p w14:paraId="14D59C21">
            <w:pPr>
              <w:spacing w:line="252" w:lineRule="auto"/>
              <w:rPr>
                <w:rFonts w:ascii="Arial"/>
                <w:sz w:val="21"/>
              </w:rPr>
            </w:pPr>
          </w:p>
          <w:p w14:paraId="2507A5C7">
            <w:pPr>
              <w:spacing w:line="252" w:lineRule="auto"/>
              <w:rPr>
                <w:rFonts w:ascii="Arial"/>
                <w:sz w:val="21"/>
              </w:rPr>
            </w:pPr>
          </w:p>
          <w:p w14:paraId="50400111">
            <w:pPr>
              <w:spacing w:line="252" w:lineRule="auto"/>
              <w:rPr>
                <w:rFonts w:ascii="Arial"/>
                <w:sz w:val="21"/>
              </w:rPr>
            </w:pPr>
          </w:p>
          <w:p w14:paraId="4013B01C">
            <w:pPr>
              <w:spacing w:line="252" w:lineRule="auto"/>
              <w:rPr>
                <w:rFonts w:ascii="Arial"/>
                <w:sz w:val="21"/>
              </w:rPr>
            </w:pPr>
          </w:p>
          <w:p w14:paraId="79F62AC0">
            <w:pPr>
              <w:spacing w:line="253" w:lineRule="auto"/>
              <w:rPr>
                <w:rFonts w:ascii="Arial"/>
                <w:sz w:val="21"/>
              </w:rPr>
            </w:pPr>
          </w:p>
          <w:p w14:paraId="5188A36D">
            <w:pPr>
              <w:pStyle w:val="14"/>
              <w:spacing w:before="78" w:line="184" w:lineRule="auto"/>
              <w:ind w:left="277"/>
            </w:pPr>
            <w:r>
              <w:rPr>
                <w:spacing w:val="-7"/>
              </w:rPr>
              <w:t>21</w:t>
            </w:r>
          </w:p>
        </w:tc>
        <w:tc>
          <w:tcPr>
            <w:tcW w:w="1964" w:type="dxa"/>
            <w:vAlign w:val="top"/>
          </w:tcPr>
          <w:p w14:paraId="295C9492">
            <w:pPr>
              <w:spacing w:line="276" w:lineRule="auto"/>
              <w:rPr>
                <w:rFonts w:ascii="Arial"/>
                <w:sz w:val="21"/>
              </w:rPr>
            </w:pPr>
          </w:p>
          <w:p w14:paraId="1BB548CB">
            <w:pPr>
              <w:spacing w:line="276" w:lineRule="auto"/>
              <w:rPr>
                <w:rFonts w:ascii="Arial"/>
                <w:sz w:val="21"/>
              </w:rPr>
            </w:pPr>
          </w:p>
          <w:p w14:paraId="5E1264F1">
            <w:pPr>
              <w:spacing w:line="277" w:lineRule="auto"/>
              <w:rPr>
                <w:rFonts w:ascii="Arial"/>
                <w:sz w:val="21"/>
              </w:rPr>
            </w:pPr>
          </w:p>
          <w:p w14:paraId="23974D2E">
            <w:pPr>
              <w:spacing w:line="277" w:lineRule="auto"/>
              <w:rPr>
                <w:rFonts w:ascii="Arial"/>
                <w:sz w:val="21"/>
              </w:rPr>
            </w:pPr>
          </w:p>
          <w:p w14:paraId="1519CC40">
            <w:pPr>
              <w:spacing w:line="277" w:lineRule="auto"/>
              <w:rPr>
                <w:rFonts w:ascii="Arial"/>
                <w:sz w:val="21"/>
              </w:rPr>
            </w:pPr>
          </w:p>
          <w:p w14:paraId="1209490B">
            <w:pPr>
              <w:pStyle w:val="14"/>
              <w:spacing w:before="78" w:line="326" w:lineRule="auto"/>
              <w:ind w:left="506" w:right="380" w:hanging="118"/>
            </w:pPr>
            <w:r>
              <w:rPr>
                <w:spacing w:val="-3"/>
              </w:rPr>
              <w:t>本项目行业</w:t>
            </w:r>
            <w:r>
              <w:rPr>
                <w:spacing w:val="3"/>
              </w:rPr>
              <w:t xml:space="preserve"> </w:t>
            </w:r>
            <w:r>
              <w:rPr>
                <w:spacing w:val="-3"/>
              </w:rPr>
              <w:t>划分类型</w:t>
            </w:r>
          </w:p>
        </w:tc>
        <w:tc>
          <w:tcPr>
            <w:tcW w:w="7021" w:type="dxa"/>
            <w:vAlign w:val="top"/>
          </w:tcPr>
          <w:p w14:paraId="24FB9C6E">
            <w:pPr>
              <w:pStyle w:val="14"/>
              <w:spacing w:before="149" w:line="326" w:lineRule="auto"/>
              <w:ind w:left="133" w:right="525" w:hanging="8"/>
            </w:pPr>
            <w:r>
              <w:rPr>
                <w:b/>
                <w:bCs/>
                <w:spacing w:val="-3"/>
              </w:rPr>
              <w:t>（1）执行《关于印发&lt;政府采购促进中小企业发展管理办法&gt;</w:t>
            </w:r>
            <w:r>
              <w:rPr>
                <w:spacing w:val="18"/>
              </w:rPr>
              <w:t xml:space="preserve"> </w:t>
            </w:r>
            <w:r>
              <w:rPr>
                <w:b/>
                <w:bCs/>
                <w:spacing w:val="-10"/>
              </w:rPr>
              <w:t>的通知》（财库[2020]46</w:t>
            </w:r>
            <w:r>
              <w:rPr>
                <w:spacing w:val="-34"/>
              </w:rPr>
              <w:t xml:space="preserve"> </w:t>
            </w:r>
            <w:r>
              <w:rPr>
                <w:b/>
                <w:bCs/>
                <w:spacing w:val="-10"/>
              </w:rPr>
              <w:t>号）的规定；</w:t>
            </w:r>
          </w:p>
          <w:p w14:paraId="3EF147BB">
            <w:pPr>
              <w:pStyle w:val="14"/>
              <w:spacing w:before="28" w:line="319" w:lineRule="auto"/>
              <w:ind w:left="112" w:right="27" w:firstLine="12"/>
              <w:rPr>
                <w:rFonts w:hint="default" w:eastAsia="宋体"/>
                <w:b/>
                <w:bCs/>
                <w:spacing w:val="-4"/>
                <w:lang w:val="en-US" w:eastAsia="zh-CN"/>
              </w:rPr>
            </w:pPr>
            <w:r>
              <w:rPr>
                <w:b/>
                <w:bCs/>
                <w:spacing w:val="-5"/>
              </w:rPr>
              <w:t>（2）本项目所属行业：物业管理。物业管理行业划型标准为：从</w:t>
            </w:r>
            <w:r>
              <w:rPr>
                <w:spacing w:val="7"/>
              </w:rPr>
              <w:t xml:space="preserve">  </w:t>
            </w:r>
            <w:r>
              <w:rPr>
                <w:b/>
                <w:bCs/>
                <w:spacing w:val="-3"/>
              </w:rPr>
              <w:t>业人员1000</w:t>
            </w:r>
            <w:r>
              <w:rPr>
                <w:spacing w:val="-65"/>
              </w:rPr>
              <w:t xml:space="preserve"> </w:t>
            </w:r>
            <w:r>
              <w:rPr>
                <w:b/>
                <w:bCs/>
                <w:spacing w:val="-3"/>
              </w:rPr>
              <w:t>人以下或营业收入</w:t>
            </w:r>
            <w:r>
              <w:rPr>
                <w:spacing w:val="-63"/>
              </w:rPr>
              <w:t xml:space="preserve"> </w:t>
            </w:r>
            <w:r>
              <w:rPr>
                <w:b/>
                <w:bCs/>
                <w:spacing w:val="-3"/>
              </w:rPr>
              <w:t>5000</w:t>
            </w:r>
            <w:r>
              <w:rPr>
                <w:spacing w:val="-59"/>
              </w:rPr>
              <w:t xml:space="preserve"> </w:t>
            </w:r>
            <w:r>
              <w:rPr>
                <w:b/>
                <w:bCs/>
                <w:spacing w:val="-3"/>
              </w:rPr>
              <w:t>万元以下的为中小微型</w:t>
            </w:r>
            <w:r>
              <w:rPr>
                <w:b/>
                <w:bCs/>
                <w:spacing w:val="-4"/>
              </w:rPr>
              <w:t>企业。</w:t>
            </w:r>
            <w:r>
              <w:t xml:space="preserve"> </w:t>
            </w:r>
            <w:r>
              <w:rPr>
                <w:b/>
                <w:bCs/>
                <w:spacing w:val="-6"/>
              </w:rPr>
              <w:t>其中，从业人员</w:t>
            </w:r>
            <w:r>
              <w:rPr>
                <w:spacing w:val="-46"/>
              </w:rPr>
              <w:t xml:space="preserve"> </w:t>
            </w:r>
            <w:r>
              <w:rPr>
                <w:b/>
                <w:bCs/>
                <w:spacing w:val="-6"/>
              </w:rPr>
              <w:t>300</w:t>
            </w:r>
            <w:r>
              <w:rPr>
                <w:spacing w:val="-49"/>
              </w:rPr>
              <w:t xml:space="preserve"> </w:t>
            </w:r>
            <w:r>
              <w:rPr>
                <w:b/>
                <w:bCs/>
                <w:spacing w:val="-6"/>
              </w:rPr>
              <w:t>人及以上，且营业收入</w:t>
            </w:r>
            <w:r>
              <w:rPr>
                <w:spacing w:val="-33"/>
              </w:rPr>
              <w:t xml:space="preserve"> </w:t>
            </w:r>
            <w:r>
              <w:rPr>
                <w:b/>
                <w:bCs/>
                <w:spacing w:val="-6"/>
              </w:rPr>
              <w:t>100</w:t>
            </w:r>
            <w:r>
              <w:rPr>
                <w:b/>
                <w:bCs/>
                <w:spacing w:val="-7"/>
              </w:rPr>
              <w:t>0</w:t>
            </w:r>
            <w:r>
              <w:rPr>
                <w:spacing w:val="-44"/>
              </w:rPr>
              <w:t xml:space="preserve"> </w:t>
            </w:r>
            <w:r>
              <w:rPr>
                <w:b/>
                <w:bCs/>
                <w:spacing w:val="-7"/>
              </w:rPr>
              <w:t>万元及以上的为</w:t>
            </w:r>
            <w:r>
              <w:t xml:space="preserve">  </w:t>
            </w:r>
            <w:r>
              <w:rPr>
                <w:b/>
                <w:bCs/>
                <w:spacing w:val="-4"/>
              </w:rPr>
              <w:t>中型企业；从业人员</w:t>
            </w:r>
            <w:r>
              <w:rPr>
                <w:spacing w:val="-30"/>
              </w:rPr>
              <w:t xml:space="preserve"> </w:t>
            </w:r>
            <w:r>
              <w:rPr>
                <w:b/>
                <w:bCs/>
                <w:spacing w:val="-4"/>
              </w:rPr>
              <w:t>100</w:t>
            </w:r>
            <w:r>
              <w:rPr>
                <w:spacing w:val="-49"/>
              </w:rPr>
              <w:t xml:space="preserve"> </w:t>
            </w:r>
            <w:r>
              <w:rPr>
                <w:b/>
                <w:bCs/>
                <w:spacing w:val="-4"/>
              </w:rPr>
              <w:t>人及以上，且营业收入</w:t>
            </w:r>
            <w:r>
              <w:rPr>
                <w:spacing w:val="-46"/>
              </w:rPr>
              <w:t xml:space="preserve"> </w:t>
            </w:r>
            <w:r>
              <w:rPr>
                <w:b/>
                <w:bCs/>
                <w:spacing w:val="-4"/>
              </w:rPr>
              <w:t>5</w:t>
            </w:r>
            <w:r>
              <w:rPr>
                <w:b/>
                <w:bCs/>
                <w:spacing w:val="-5"/>
              </w:rPr>
              <w:t>00</w:t>
            </w:r>
            <w:r>
              <w:rPr>
                <w:spacing w:val="-45"/>
              </w:rPr>
              <w:t xml:space="preserve"> </w:t>
            </w:r>
            <w:r>
              <w:rPr>
                <w:b/>
                <w:bCs/>
                <w:spacing w:val="-5"/>
              </w:rPr>
              <w:t>万元及以上</w:t>
            </w:r>
            <w:r>
              <w:t xml:space="preserve">  </w:t>
            </w:r>
            <w:r>
              <w:rPr>
                <w:b/>
                <w:bCs/>
                <w:spacing w:val="-4"/>
              </w:rPr>
              <w:t>的为小型企业；从业人员</w:t>
            </w:r>
            <w:r>
              <w:rPr>
                <w:spacing w:val="-26"/>
              </w:rPr>
              <w:t xml:space="preserve"> </w:t>
            </w:r>
            <w:r>
              <w:rPr>
                <w:b/>
                <w:bCs/>
                <w:spacing w:val="-4"/>
              </w:rPr>
              <w:t>100</w:t>
            </w:r>
            <w:r>
              <w:rPr>
                <w:spacing w:val="-47"/>
              </w:rPr>
              <w:t xml:space="preserve"> </w:t>
            </w:r>
            <w:r>
              <w:rPr>
                <w:b/>
                <w:bCs/>
                <w:spacing w:val="-4"/>
              </w:rPr>
              <w:t>人以下或营业收入</w:t>
            </w:r>
            <w:r>
              <w:rPr>
                <w:spacing w:val="-4"/>
              </w:rPr>
              <w:t xml:space="preserve"> </w:t>
            </w:r>
            <w:r>
              <w:rPr>
                <w:b/>
                <w:bCs/>
                <w:spacing w:val="-4"/>
              </w:rPr>
              <w:t>500</w:t>
            </w:r>
            <w:r>
              <w:rPr>
                <w:spacing w:val="-45"/>
              </w:rPr>
              <w:t xml:space="preserve"> </w:t>
            </w:r>
            <w:r>
              <w:rPr>
                <w:b/>
                <w:bCs/>
                <w:spacing w:val="-4"/>
              </w:rPr>
              <w:t>万元以下的</w:t>
            </w:r>
            <w:r>
              <w:t xml:space="preserve">  </w:t>
            </w:r>
            <w:r>
              <w:rPr>
                <w:b/>
                <w:bCs/>
                <w:spacing w:val="-4"/>
              </w:rPr>
              <w:t>为微型企业。</w:t>
            </w:r>
          </w:p>
        </w:tc>
      </w:tr>
      <w:tr w14:paraId="58553A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8" w:hRule="atLeast"/>
        </w:trPr>
        <w:tc>
          <w:tcPr>
            <w:tcW w:w="777" w:type="dxa"/>
            <w:vAlign w:val="top"/>
          </w:tcPr>
          <w:p w14:paraId="25008620">
            <w:pPr>
              <w:spacing w:line="244" w:lineRule="auto"/>
              <w:rPr>
                <w:rFonts w:ascii="Arial"/>
                <w:sz w:val="21"/>
              </w:rPr>
            </w:pPr>
          </w:p>
          <w:p w14:paraId="7AD4D5A3">
            <w:pPr>
              <w:spacing w:line="244" w:lineRule="auto"/>
              <w:rPr>
                <w:rFonts w:ascii="Arial"/>
                <w:sz w:val="21"/>
              </w:rPr>
            </w:pPr>
          </w:p>
          <w:p w14:paraId="7A2E45FE">
            <w:pPr>
              <w:pStyle w:val="14"/>
              <w:spacing w:before="78" w:line="183" w:lineRule="auto"/>
              <w:ind w:left="277"/>
            </w:pPr>
            <w:r>
              <w:rPr>
                <w:spacing w:val="-7"/>
              </w:rPr>
              <w:t>22</w:t>
            </w:r>
          </w:p>
        </w:tc>
        <w:tc>
          <w:tcPr>
            <w:tcW w:w="1964" w:type="dxa"/>
            <w:vAlign w:val="top"/>
          </w:tcPr>
          <w:p w14:paraId="06346A54">
            <w:pPr>
              <w:pStyle w:val="14"/>
              <w:spacing w:before="298" w:line="347" w:lineRule="auto"/>
              <w:ind w:left="387" w:right="140" w:hanging="240"/>
            </w:pPr>
            <w:r>
              <w:rPr>
                <w:spacing w:val="-2"/>
              </w:rPr>
              <w:t>环境标志、节能</w:t>
            </w:r>
            <w:r>
              <w:rPr>
                <w:spacing w:val="3"/>
              </w:rPr>
              <w:t xml:space="preserve"> </w:t>
            </w:r>
            <w:r>
              <w:rPr>
                <w:spacing w:val="-2"/>
              </w:rPr>
              <w:t>产品的约定</w:t>
            </w:r>
          </w:p>
        </w:tc>
        <w:tc>
          <w:tcPr>
            <w:tcW w:w="7021" w:type="dxa"/>
            <w:vAlign w:val="top"/>
          </w:tcPr>
          <w:p w14:paraId="5C81FABB">
            <w:pPr>
              <w:pStyle w:val="14"/>
              <w:spacing w:before="215" w:line="316" w:lineRule="auto"/>
              <w:ind w:left="118" w:right="107"/>
              <w:jc w:val="both"/>
            </w:pPr>
            <w:r>
              <w:rPr>
                <w:spacing w:val="2"/>
              </w:rPr>
              <w:t>列入财政部会同国务院有关部门发布的节能产品、环境标志产品</w:t>
            </w:r>
            <w:r>
              <w:rPr>
                <w:spacing w:val="12"/>
              </w:rPr>
              <w:t xml:space="preserve"> </w:t>
            </w:r>
            <w:r>
              <w:rPr>
                <w:spacing w:val="2"/>
              </w:rPr>
              <w:t>品目清单，供应商应当提供国家确定的认证机构出具的、处于有</w:t>
            </w:r>
            <w:r>
              <w:rPr>
                <w:spacing w:val="11"/>
              </w:rPr>
              <w:t xml:space="preserve"> </w:t>
            </w:r>
            <w:r>
              <w:rPr>
                <w:spacing w:val="-1"/>
              </w:rPr>
              <w:t>效期之内的节能产品、环境标志产品认证证书。</w:t>
            </w:r>
          </w:p>
        </w:tc>
      </w:tr>
      <w:tr w14:paraId="6F2B5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7" w:hRule="atLeast"/>
        </w:trPr>
        <w:tc>
          <w:tcPr>
            <w:tcW w:w="777" w:type="dxa"/>
            <w:vAlign w:val="top"/>
          </w:tcPr>
          <w:p w14:paraId="542E9FE8">
            <w:pPr>
              <w:spacing w:line="245" w:lineRule="auto"/>
              <w:rPr>
                <w:rFonts w:ascii="Arial"/>
                <w:sz w:val="21"/>
              </w:rPr>
            </w:pPr>
          </w:p>
          <w:p w14:paraId="1C857B5A">
            <w:pPr>
              <w:spacing w:line="245" w:lineRule="auto"/>
              <w:rPr>
                <w:rFonts w:ascii="Arial"/>
                <w:sz w:val="21"/>
              </w:rPr>
            </w:pPr>
          </w:p>
          <w:p w14:paraId="3F72C945">
            <w:pPr>
              <w:spacing w:line="245" w:lineRule="auto"/>
              <w:rPr>
                <w:rFonts w:ascii="Arial"/>
                <w:sz w:val="21"/>
              </w:rPr>
            </w:pPr>
          </w:p>
          <w:p w14:paraId="584C753E">
            <w:pPr>
              <w:spacing w:line="245" w:lineRule="auto"/>
              <w:rPr>
                <w:rFonts w:ascii="Arial"/>
                <w:sz w:val="21"/>
              </w:rPr>
            </w:pPr>
          </w:p>
          <w:p w14:paraId="375DF965">
            <w:pPr>
              <w:pStyle w:val="14"/>
              <w:spacing w:before="78" w:line="183" w:lineRule="auto"/>
              <w:ind w:left="277"/>
            </w:pPr>
            <w:r>
              <w:rPr>
                <w:spacing w:val="-7"/>
              </w:rPr>
              <w:t>23</w:t>
            </w:r>
          </w:p>
        </w:tc>
        <w:tc>
          <w:tcPr>
            <w:tcW w:w="1964" w:type="dxa"/>
            <w:vAlign w:val="top"/>
          </w:tcPr>
          <w:p w14:paraId="03C48BFE">
            <w:pPr>
              <w:spacing w:line="356" w:lineRule="auto"/>
              <w:rPr>
                <w:rFonts w:ascii="Arial"/>
                <w:sz w:val="21"/>
              </w:rPr>
            </w:pPr>
          </w:p>
          <w:p w14:paraId="43466851">
            <w:pPr>
              <w:spacing w:line="356" w:lineRule="auto"/>
              <w:rPr>
                <w:rFonts w:ascii="Arial"/>
                <w:sz w:val="21"/>
              </w:rPr>
            </w:pPr>
          </w:p>
          <w:p w14:paraId="4E5B5DA2">
            <w:pPr>
              <w:pStyle w:val="14"/>
              <w:spacing w:before="78" w:line="345" w:lineRule="auto"/>
              <w:ind w:left="507" w:right="500"/>
            </w:pPr>
            <w:r>
              <w:rPr>
                <w:spacing w:val="-3"/>
              </w:rPr>
              <w:t>政府采购</w:t>
            </w:r>
            <w:r>
              <w:rPr>
                <w:spacing w:val="2"/>
              </w:rPr>
              <w:t xml:space="preserve"> </w:t>
            </w:r>
            <w:r>
              <w:rPr>
                <w:spacing w:val="-3"/>
              </w:rPr>
              <w:t>政策功能</w:t>
            </w:r>
          </w:p>
        </w:tc>
        <w:tc>
          <w:tcPr>
            <w:tcW w:w="7021" w:type="dxa"/>
            <w:vAlign w:val="top"/>
          </w:tcPr>
          <w:p w14:paraId="379E8060">
            <w:pPr>
              <w:pStyle w:val="14"/>
              <w:spacing w:before="149" w:line="280" w:lineRule="auto"/>
              <w:ind w:left="114" w:right="108" w:firstLine="5"/>
            </w:pPr>
            <w:r>
              <w:rPr>
                <w:rFonts w:ascii="Calibri" w:hAnsi="Calibri" w:eastAsia="Calibri" w:cs="Calibri"/>
                <w:spacing w:val="1"/>
              </w:rPr>
              <w:t>(1)</w:t>
            </w:r>
            <w:r>
              <w:rPr>
                <w:spacing w:val="1"/>
              </w:rPr>
              <w:t>根据工信部等部委发布的《政府采购促进中小企业发展管理办</w:t>
            </w:r>
            <w:r>
              <w:rPr>
                <w:spacing w:val="9"/>
              </w:rPr>
              <w:t xml:space="preserve"> </w:t>
            </w:r>
            <w:r>
              <w:rPr>
                <w:spacing w:val="-8"/>
              </w:rPr>
              <w:t>法》（财库〔</w:t>
            </w:r>
            <w:r>
              <w:rPr>
                <w:rFonts w:ascii="Calibri" w:hAnsi="Calibri" w:eastAsia="Calibri" w:cs="Calibri"/>
                <w:spacing w:val="-8"/>
              </w:rPr>
              <w:t>2020</w:t>
            </w:r>
            <w:r>
              <w:rPr>
                <w:spacing w:val="-8"/>
              </w:rPr>
              <w:t>〕</w:t>
            </w:r>
            <w:r>
              <w:rPr>
                <w:rFonts w:ascii="Calibri" w:hAnsi="Calibri" w:eastAsia="Calibri" w:cs="Calibri"/>
                <w:spacing w:val="-8"/>
              </w:rPr>
              <w:t>46</w:t>
            </w:r>
            <w:r>
              <w:rPr>
                <w:rFonts w:ascii="Calibri" w:hAnsi="Calibri" w:eastAsia="Calibri" w:cs="Calibri"/>
                <w:spacing w:val="19"/>
                <w:w w:val="101"/>
              </w:rPr>
              <w:t xml:space="preserve">  </w:t>
            </w:r>
            <w:r>
              <w:rPr>
                <w:spacing w:val="-8"/>
              </w:rPr>
              <w:t>号）规定执行；</w:t>
            </w:r>
          </w:p>
          <w:p w14:paraId="665911E7">
            <w:pPr>
              <w:pStyle w:val="14"/>
              <w:spacing w:before="275" w:line="298" w:lineRule="auto"/>
              <w:ind w:left="117" w:right="48" w:firstLine="2"/>
            </w:pPr>
            <w:r>
              <w:rPr>
                <w:rFonts w:ascii="Calibri" w:hAnsi="Calibri" w:eastAsia="Calibri" w:cs="Calibri"/>
                <w:spacing w:val="1"/>
              </w:rPr>
              <w:t>(2)</w:t>
            </w:r>
            <w:r>
              <w:rPr>
                <w:spacing w:val="1"/>
              </w:rPr>
              <w:t>按照《财政部司法部关于政府采购支持监狱企业发展有关问题</w:t>
            </w:r>
            <w:r>
              <w:rPr>
                <w:spacing w:val="9"/>
              </w:rPr>
              <w:t xml:space="preserve"> </w:t>
            </w:r>
            <w:r>
              <w:rPr>
                <w:spacing w:val="-7"/>
              </w:rPr>
              <w:t>的通知》（财库</w:t>
            </w:r>
            <w:r>
              <w:rPr>
                <w:rFonts w:ascii="Calibri" w:hAnsi="Calibri" w:eastAsia="Calibri" w:cs="Calibri"/>
                <w:spacing w:val="-7"/>
              </w:rPr>
              <w:t>[2014]68</w:t>
            </w:r>
            <w:r>
              <w:rPr>
                <w:rFonts w:ascii="Calibri" w:hAnsi="Calibri" w:eastAsia="Calibri" w:cs="Calibri"/>
                <w:spacing w:val="17"/>
                <w:w w:val="101"/>
              </w:rPr>
              <w:t xml:space="preserve">  </w:t>
            </w:r>
            <w:r>
              <w:rPr>
                <w:spacing w:val="-7"/>
              </w:rPr>
              <w:t>号）文件规定，在政府采购活动中，监狱</w:t>
            </w:r>
            <w:r>
              <w:t xml:space="preserve"> </w:t>
            </w:r>
            <w:r>
              <w:rPr>
                <w:spacing w:val="-8"/>
              </w:rPr>
              <w:t>企业视同小型、微型企业，享受评审中价格扣 除的政府采购政策；</w:t>
            </w:r>
          </w:p>
        </w:tc>
      </w:tr>
    </w:tbl>
    <w:p w14:paraId="7387E7D4">
      <w:pPr>
        <w:spacing w:line="41" w:lineRule="exact"/>
      </w:pPr>
    </w:p>
    <w:tbl>
      <w:tblPr>
        <w:tblStyle w:val="13"/>
        <w:tblpPr w:leftFromText="180" w:rightFromText="180" w:vertAnchor="text" w:horzAnchor="page" w:tblpX="1034" w:tblpY="151"/>
        <w:tblOverlap w:val="never"/>
        <w:tblW w:w="972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2"/>
        <w:gridCol w:w="1850"/>
        <w:gridCol w:w="7142"/>
      </w:tblGrid>
      <w:tr w14:paraId="73DFC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 w:hRule="atLeast"/>
        </w:trPr>
        <w:tc>
          <w:tcPr>
            <w:tcW w:w="732" w:type="dxa"/>
            <w:vAlign w:val="top"/>
          </w:tcPr>
          <w:p w14:paraId="1EA62374">
            <w:pPr>
              <w:pStyle w:val="14"/>
              <w:spacing w:before="199" w:line="220" w:lineRule="auto"/>
              <w:ind w:left="158"/>
            </w:pPr>
            <w:r>
              <w:rPr>
                <w:spacing w:val="-7"/>
              </w:rPr>
              <w:t>项号</w:t>
            </w:r>
          </w:p>
        </w:tc>
        <w:tc>
          <w:tcPr>
            <w:tcW w:w="1850" w:type="dxa"/>
            <w:vAlign w:val="top"/>
          </w:tcPr>
          <w:p w14:paraId="565F522D">
            <w:pPr>
              <w:pStyle w:val="14"/>
              <w:spacing w:before="199" w:line="220" w:lineRule="auto"/>
              <w:ind w:left="691"/>
            </w:pPr>
            <w:r>
              <w:rPr>
                <w:spacing w:val="-7"/>
              </w:rPr>
              <w:t>项</w:t>
            </w:r>
            <w:r>
              <w:rPr>
                <w:spacing w:val="55"/>
              </w:rPr>
              <w:t xml:space="preserve"> </w:t>
            </w:r>
            <w:r>
              <w:rPr>
                <w:spacing w:val="-7"/>
              </w:rPr>
              <w:t>目</w:t>
            </w:r>
          </w:p>
        </w:tc>
        <w:tc>
          <w:tcPr>
            <w:tcW w:w="7142" w:type="dxa"/>
            <w:vAlign w:val="top"/>
          </w:tcPr>
          <w:p w14:paraId="699A6679">
            <w:pPr>
              <w:pStyle w:val="14"/>
              <w:spacing w:before="57" w:line="219" w:lineRule="auto"/>
              <w:ind w:left="3125"/>
            </w:pPr>
            <w:r>
              <w:rPr>
                <w:spacing w:val="-20"/>
              </w:rPr>
              <w:t>内</w:t>
            </w:r>
            <w:r>
              <w:rPr>
                <w:spacing w:val="4"/>
              </w:rPr>
              <w:t xml:space="preserve">   </w:t>
            </w:r>
            <w:r>
              <w:rPr>
                <w:spacing w:val="-20"/>
              </w:rPr>
              <w:t>容</w:t>
            </w:r>
          </w:p>
        </w:tc>
      </w:tr>
      <w:tr w14:paraId="122DF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732" w:type="dxa"/>
            <w:vAlign w:val="top"/>
          </w:tcPr>
          <w:p w14:paraId="6D5660E0">
            <w:pPr>
              <w:rPr>
                <w:rFonts w:ascii="Arial"/>
                <w:sz w:val="21"/>
              </w:rPr>
            </w:pPr>
          </w:p>
        </w:tc>
        <w:tc>
          <w:tcPr>
            <w:tcW w:w="1850" w:type="dxa"/>
            <w:vAlign w:val="top"/>
          </w:tcPr>
          <w:p w14:paraId="5ED067FA">
            <w:pPr>
              <w:rPr>
                <w:rFonts w:ascii="Arial"/>
                <w:sz w:val="21"/>
              </w:rPr>
            </w:pPr>
          </w:p>
        </w:tc>
        <w:tc>
          <w:tcPr>
            <w:tcW w:w="7142" w:type="dxa"/>
            <w:vAlign w:val="top"/>
          </w:tcPr>
          <w:p w14:paraId="679A3C6E">
            <w:pPr>
              <w:pStyle w:val="14"/>
              <w:spacing w:before="147" w:line="298" w:lineRule="auto"/>
              <w:ind w:left="117" w:right="48" w:firstLine="2"/>
            </w:pPr>
            <w:r>
              <w:rPr>
                <w:rFonts w:ascii="Calibri" w:hAnsi="Calibri" w:eastAsia="Calibri" w:cs="Calibri"/>
                <w:spacing w:val="1"/>
              </w:rPr>
              <w:t>(3)</w:t>
            </w:r>
            <w:r>
              <w:rPr>
                <w:spacing w:val="1"/>
              </w:rPr>
              <w:t>按照《三部门联合发布关于促进残疾人就业政府采购政策的通</w:t>
            </w:r>
            <w:r>
              <w:rPr>
                <w:spacing w:val="9"/>
              </w:rPr>
              <w:t xml:space="preserve"> </w:t>
            </w:r>
            <w:r>
              <w:rPr>
                <w:spacing w:val="-7"/>
              </w:rPr>
              <w:t>知》（财库</w:t>
            </w:r>
            <w:r>
              <w:rPr>
                <w:rFonts w:ascii="Calibri" w:hAnsi="Calibri" w:eastAsia="Calibri" w:cs="Calibri"/>
                <w:spacing w:val="-7"/>
              </w:rPr>
              <w:t>[2017]141</w:t>
            </w:r>
            <w:r>
              <w:rPr>
                <w:rFonts w:ascii="Calibri" w:hAnsi="Calibri" w:eastAsia="Calibri" w:cs="Calibri"/>
                <w:spacing w:val="20"/>
              </w:rPr>
              <w:t xml:space="preserve">  </w:t>
            </w:r>
            <w:r>
              <w:rPr>
                <w:spacing w:val="-7"/>
              </w:rPr>
              <w:t>号）文件规定，在政府采购活 动中，残疾人</w:t>
            </w:r>
            <w:r>
              <w:t xml:space="preserve"> </w:t>
            </w:r>
            <w:r>
              <w:rPr>
                <w:spacing w:val="-4"/>
              </w:rPr>
              <w:t>企业视同小型、微型企业，享受评审中价格扣除的政府采购政策；</w:t>
            </w:r>
          </w:p>
          <w:p w14:paraId="1DAFAB3C">
            <w:pPr>
              <w:pStyle w:val="14"/>
              <w:spacing w:before="278" w:line="212" w:lineRule="auto"/>
              <w:ind w:left="119"/>
            </w:pPr>
            <w:r>
              <w:rPr>
                <w:rFonts w:ascii="Calibri" w:hAnsi="Calibri" w:eastAsia="Calibri" w:cs="Calibri"/>
                <w:spacing w:val="-1"/>
              </w:rPr>
              <w:t>(4)</w:t>
            </w:r>
            <w:r>
              <w:rPr>
                <w:spacing w:val="-1"/>
              </w:rPr>
              <w:t>价格扣除幅度：</w:t>
            </w:r>
            <w:r>
              <w:rPr>
                <w:rFonts w:hint="eastAsia"/>
                <w:spacing w:val="-1"/>
                <w:lang w:val="en-US" w:eastAsia="zh-CN"/>
              </w:rPr>
              <w:t>中型、</w:t>
            </w:r>
            <w:r>
              <w:rPr>
                <w:spacing w:val="-1"/>
              </w:rPr>
              <w:t xml:space="preserve">小型、微型企业产品价格给予 </w:t>
            </w:r>
            <w:r>
              <w:rPr>
                <w:rFonts w:ascii="Calibri" w:hAnsi="Calibri" w:eastAsia="Calibri" w:cs="Calibri"/>
                <w:spacing w:val="-1"/>
              </w:rPr>
              <w:t>10%</w:t>
            </w:r>
            <w:r>
              <w:rPr>
                <w:spacing w:val="-1"/>
              </w:rPr>
              <w:t>的扣除。</w:t>
            </w:r>
          </w:p>
          <w:p w14:paraId="5535B0FB">
            <w:pPr>
              <w:pStyle w:val="14"/>
              <w:spacing w:before="283" w:line="279" w:lineRule="auto"/>
              <w:ind w:left="118" w:right="108" w:firstLine="1"/>
            </w:pPr>
            <w:r>
              <w:rPr>
                <w:rFonts w:ascii="Calibri" w:hAnsi="Calibri" w:eastAsia="Calibri" w:cs="Calibri"/>
                <w:spacing w:val="1"/>
              </w:rPr>
              <w:t>(5)</w:t>
            </w:r>
            <w:r>
              <w:rPr>
                <w:spacing w:val="1"/>
              </w:rPr>
              <w:t>残疾人福利性单位和监狱企业视同小型、微型企业，不重复享</w:t>
            </w:r>
            <w:r>
              <w:rPr>
                <w:spacing w:val="9"/>
              </w:rPr>
              <w:t xml:space="preserve"> </w:t>
            </w:r>
            <w:r>
              <w:rPr>
                <w:spacing w:val="-4"/>
              </w:rPr>
              <w:t>受政策。</w:t>
            </w:r>
          </w:p>
          <w:p w14:paraId="4D695BD8">
            <w:pPr>
              <w:pStyle w:val="14"/>
              <w:spacing w:before="275" w:line="218" w:lineRule="auto"/>
              <w:ind w:left="114"/>
            </w:pPr>
            <w:r>
              <w:rPr>
                <w:b/>
                <w:bCs/>
                <w:spacing w:val="-3"/>
              </w:rPr>
              <w:t>本项目</w:t>
            </w:r>
            <w:r>
              <w:rPr>
                <w:rFonts w:hint="eastAsia"/>
                <w:b/>
                <w:bCs/>
                <w:spacing w:val="-3"/>
                <w:lang w:val="en-US" w:eastAsia="zh-CN"/>
              </w:rPr>
              <w:t>不</w:t>
            </w:r>
            <w:r>
              <w:rPr>
                <w:b/>
                <w:bCs/>
                <w:spacing w:val="-3"/>
              </w:rPr>
              <w:t>专门面向中小微企业，故</w:t>
            </w:r>
            <w:r>
              <w:rPr>
                <w:rFonts w:hint="eastAsia"/>
                <w:b/>
                <w:bCs/>
                <w:spacing w:val="-3"/>
                <w:lang w:val="en-US" w:eastAsia="zh-CN"/>
              </w:rPr>
              <w:t>给</w:t>
            </w:r>
            <w:r>
              <w:rPr>
                <w:b/>
                <w:bCs/>
                <w:spacing w:val="-3"/>
              </w:rPr>
              <w:t>予</w:t>
            </w:r>
            <w:r>
              <w:rPr>
                <w:rFonts w:hint="eastAsia"/>
                <w:b/>
                <w:bCs/>
                <w:spacing w:val="-3"/>
                <w:lang w:val="en-US" w:eastAsia="zh-CN"/>
              </w:rPr>
              <w:t>中型、小型、微型企业价格10％</w:t>
            </w:r>
            <w:r>
              <w:rPr>
                <w:b/>
                <w:bCs/>
                <w:spacing w:val="-3"/>
              </w:rPr>
              <w:t>扣除。</w:t>
            </w:r>
          </w:p>
        </w:tc>
      </w:tr>
      <w:tr w14:paraId="76789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32" w:type="dxa"/>
            <w:vAlign w:val="top"/>
          </w:tcPr>
          <w:p w14:paraId="764B7D66">
            <w:pPr>
              <w:pStyle w:val="14"/>
              <w:spacing w:before="284" w:line="183" w:lineRule="auto"/>
              <w:ind w:left="277"/>
              <w:rPr>
                <w:rFonts w:hint="eastAsia" w:eastAsia="宋体"/>
                <w:lang w:val="en-US" w:eastAsia="zh-CN"/>
              </w:rPr>
            </w:pPr>
            <w:r>
              <w:rPr>
                <w:spacing w:val="-7"/>
              </w:rPr>
              <w:t>2</w:t>
            </w:r>
            <w:r>
              <w:rPr>
                <w:rFonts w:hint="eastAsia"/>
                <w:spacing w:val="-7"/>
                <w:lang w:val="en-US" w:eastAsia="zh-CN"/>
              </w:rPr>
              <w:t>4</w:t>
            </w:r>
          </w:p>
        </w:tc>
        <w:tc>
          <w:tcPr>
            <w:tcW w:w="1850" w:type="dxa"/>
            <w:vAlign w:val="top"/>
          </w:tcPr>
          <w:p w14:paraId="1F2AE11F">
            <w:pPr>
              <w:pStyle w:val="14"/>
              <w:spacing w:before="149" w:line="279" w:lineRule="auto"/>
              <w:ind w:left="634" w:right="380" w:hanging="224"/>
            </w:pPr>
            <w:r>
              <w:rPr>
                <w:spacing w:val="-7"/>
              </w:rPr>
              <w:t>中标候选人</w:t>
            </w:r>
            <w:r>
              <w:rPr>
                <w:spacing w:val="2"/>
              </w:rPr>
              <w:t xml:space="preserve"> </w:t>
            </w:r>
            <w:r>
              <w:rPr>
                <w:spacing w:val="-6"/>
              </w:rPr>
              <w:t>公示期</w:t>
            </w:r>
          </w:p>
        </w:tc>
        <w:tc>
          <w:tcPr>
            <w:tcW w:w="7142" w:type="dxa"/>
            <w:vAlign w:val="top"/>
          </w:tcPr>
          <w:p w14:paraId="656F8E9E">
            <w:pPr>
              <w:spacing w:line="292" w:lineRule="auto"/>
              <w:rPr>
                <w:rFonts w:ascii="Arial"/>
                <w:sz w:val="21"/>
              </w:rPr>
            </w:pPr>
          </w:p>
          <w:p w14:paraId="702687E6">
            <w:pPr>
              <w:pStyle w:val="14"/>
              <w:spacing w:before="78" w:line="219" w:lineRule="auto"/>
              <w:ind w:left="121"/>
            </w:pPr>
            <w:r>
              <w:rPr>
                <w:spacing w:val="-6"/>
              </w:rPr>
              <w:t>公示期为</w:t>
            </w:r>
            <w:r>
              <w:rPr>
                <w:spacing w:val="-28"/>
              </w:rPr>
              <w:t xml:space="preserve"> </w:t>
            </w:r>
            <w:r>
              <w:rPr>
                <w:spacing w:val="-6"/>
              </w:rPr>
              <w:t>1</w:t>
            </w:r>
            <w:r>
              <w:rPr>
                <w:spacing w:val="-50"/>
              </w:rPr>
              <w:t xml:space="preserve"> </w:t>
            </w:r>
            <w:r>
              <w:rPr>
                <w:spacing w:val="-6"/>
              </w:rPr>
              <w:t>个工作日。</w:t>
            </w:r>
          </w:p>
        </w:tc>
      </w:tr>
    </w:tbl>
    <w:p w14:paraId="551094B0">
      <w:pPr>
        <w:spacing w:line="41" w:lineRule="exact"/>
      </w:pPr>
    </w:p>
    <w:tbl>
      <w:tblPr>
        <w:tblStyle w:val="13"/>
        <w:tblpPr w:leftFromText="180" w:rightFromText="180" w:vertAnchor="text" w:horzAnchor="page" w:tblpX="1034" w:tblpY="-11352"/>
        <w:tblOverlap w:val="never"/>
        <w:tblW w:w="977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9"/>
        <w:gridCol w:w="1897"/>
        <w:gridCol w:w="7192"/>
      </w:tblGrid>
      <w:tr w14:paraId="3C8DA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2" w:hRule="atLeast"/>
        </w:trPr>
        <w:tc>
          <w:tcPr>
            <w:tcW w:w="689" w:type="dxa"/>
            <w:vAlign w:val="top"/>
          </w:tcPr>
          <w:p w14:paraId="2FF4C2EB">
            <w:pPr>
              <w:spacing w:line="246" w:lineRule="auto"/>
              <w:rPr>
                <w:rFonts w:ascii="Arial"/>
                <w:sz w:val="21"/>
              </w:rPr>
            </w:pPr>
          </w:p>
          <w:p w14:paraId="35E183B2">
            <w:pPr>
              <w:spacing w:line="247" w:lineRule="auto"/>
              <w:rPr>
                <w:rFonts w:ascii="Arial"/>
                <w:sz w:val="21"/>
              </w:rPr>
            </w:pPr>
          </w:p>
          <w:p w14:paraId="3942ED60">
            <w:pPr>
              <w:spacing w:line="247" w:lineRule="auto"/>
              <w:rPr>
                <w:rFonts w:ascii="Arial"/>
                <w:sz w:val="21"/>
              </w:rPr>
            </w:pPr>
          </w:p>
          <w:p w14:paraId="0531E847">
            <w:pPr>
              <w:spacing w:line="247" w:lineRule="auto"/>
              <w:rPr>
                <w:rFonts w:ascii="Arial"/>
                <w:sz w:val="21"/>
              </w:rPr>
            </w:pPr>
          </w:p>
          <w:p w14:paraId="1EB96EB5">
            <w:pPr>
              <w:spacing w:line="247" w:lineRule="auto"/>
              <w:rPr>
                <w:rFonts w:ascii="Arial"/>
                <w:sz w:val="21"/>
              </w:rPr>
            </w:pPr>
          </w:p>
          <w:p w14:paraId="00E87F51">
            <w:pPr>
              <w:spacing w:line="247" w:lineRule="auto"/>
              <w:rPr>
                <w:rFonts w:ascii="Arial"/>
                <w:sz w:val="21"/>
              </w:rPr>
            </w:pPr>
          </w:p>
          <w:p w14:paraId="387F96E5">
            <w:pPr>
              <w:spacing w:line="247" w:lineRule="auto"/>
              <w:rPr>
                <w:rFonts w:ascii="Arial"/>
                <w:sz w:val="21"/>
              </w:rPr>
            </w:pPr>
          </w:p>
          <w:p w14:paraId="0371B0F3">
            <w:pPr>
              <w:spacing w:line="247" w:lineRule="auto"/>
              <w:rPr>
                <w:rFonts w:ascii="Arial"/>
                <w:sz w:val="21"/>
              </w:rPr>
            </w:pPr>
          </w:p>
          <w:p w14:paraId="17C8E5AA">
            <w:pPr>
              <w:spacing w:line="247" w:lineRule="auto"/>
              <w:rPr>
                <w:rFonts w:ascii="Arial"/>
                <w:sz w:val="21"/>
              </w:rPr>
            </w:pPr>
          </w:p>
          <w:p w14:paraId="484C6C82">
            <w:pPr>
              <w:pStyle w:val="14"/>
              <w:spacing w:before="78" w:line="183" w:lineRule="auto"/>
              <w:ind w:left="277"/>
              <w:rPr>
                <w:rFonts w:hint="eastAsia" w:eastAsia="宋体"/>
                <w:lang w:val="en-US" w:eastAsia="zh-CN"/>
              </w:rPr>
            </w:pPr>
            <w:r>
              <w:rPr>
                <w:spacing w:val="-7"/>
              </w:rPr>
              <w:t>2</w:t>
            </w:r>
            <w:r>
              <w:rPr>
                <w:rFonts w:hint="eastAsia"/>
                <w:spacing w:val="-7"/>
                <w:lang w:val="en-US" w:eastAsia="zh-CN"/>
              </w:rPr>
              <w:t>5</w:t>
            </w:r>
          </w:p>
        </w:tc>
        <w:tc>
          <w:tcPr>
            <w:tcW w:w="1897" w:type="dxa"/>
            <w:vAlign w:val="top"/>
          </w:tcPr>
          <w:p w14:paraId="09E1D308">
            <w:pPr>
              <w:spacing w:line="256" w:lineRule="auto"/>
              <w:rPr>
                <w:rFonts w:ascii="Arial"/>
                <w:sz w:val="21"/>
              </w:rPr>
            </w:pPr>
          </w:p>
          <w:p w14:paraId="262E61EA">
            <w:pPr>
              <w:spacing w:line="256" w:lineRule="auto"/>
              <w:rPr>
                <w:rFonts w:ascii="Arial"/>
                <w:sz w:val="21"/>
              </w:rPr>
            </w:pPr>
          </w:p>
          <w:p w14:paraId="0A3ED71C">
            <w:pPr>
              <w:spacing w:line="256" w:lineRule="auto"/>
              <w:rPr>
                <w:rFonts w:ascii="Arial"/>
                <w:sz w:val="21"/>
              </w:rPr>
            </w:pPr>
          </w:p>
          <w:p w14:paraId="6FA0477B">
            <w:pPr>
              <w:spacing w:line="256" w:lineRule="auto"/>
              <w:rPr>
                <w:rFonts w:ascii="Arial"/>
                <w:sz w:val="21"/>
              </w:rPr>
            </w:pPr>
          </w:p>
          <w:p w14:paraId="22F8CA1A">
            <w:pPr>
              <w:spacing w:line="256" w:lineRule="auto"/>
              <w:rPr>
                <w:rFonts w:ascii="Arial"/>
                <w:sz w:val="21"/>
              </w:rPr>
            </w:pPr>
          </w:p>
          <w:p w14:paraId="5C9F299A">
            <w:pPr>
              <w:spacing w:line="257" w:lineRule="auto"/>
              <w:rPr>
                <w:rFonts w:ascii="Arial"/>
                <w:sz w:val="21"/>
              </w:rPr>
            </w:pPr>
          </w:p>
          <w:p w14:paraId="1187D934">
            <w:pPr>
              <w:spacing w:line="257" w:lineRule="auto"/>
              <w:rPr>
                <w:rFonts w:ascii="Arial"/>
                <w:sz w:val="21"/>
              </w:rPr>
            </w:pPr>
          </w:p>
          <w:p w14:paraId="5B3E8A7A">
            <w:pPr>
              <w:spacing w:line="257" w:lineRule="auto"/>
              <w:rPr>
                <w:rFonts w:ascii="Arial"/>
                <w:sz w:val="21"/>
              </w:rPr>
            </w:pPr>
          </w:p>
          <w:p w14:paraId="63508111">
            <w:pPr>
              <w:spacing w:line="257" w:lineRule="auto"/>
              <w:rPr>
                <w:rFonts w:ascii="Arial"/>
                <w:sz w:val="21"/>
              </w:rPr>
            </w:pPr>
          </w:p>
          <w:p w14:paraId="46F8D480">
            <w:pPr>
              <w:pStyle w:val="14"/>
              <w:spacing w:before="78" w:line="220" w:lineRule="auto"/>
              <w:ind w:left="748"/>
            </w:pPr>
            <w:r>
              <w:rPr>
                <w:spacing w:val="-6"/>
              </w:rPr>
              <w:t>质疑</w:t>
            </w:r>
          </w:p>
        </w:tc>
        <w:tc>
          <w:tcPr>
            <w:tcW w:w="7192" w:type="dxa"/>
            <w:vAlign w:val="top"/>
          </w:tcPr>
          <w:p w14:paraId="74191438">
            <w:pPr>
              <w:pStyle w:val="14"/>
              <w:spacing w:before="78" w:line="329" w:lineRule="auto"/>
              <w:ind w:right="107"/>
            </w:pPr>
            <w:r>
              <w:rPr>
                <w:spacing w:val="-2"/>
              </w:rPr>
              <w:t>（1）供应商认为采购文件、采购过程、中标或者成交结果使自己</w:t>
            </w:r>
            <w:r>
              <w:t xml:space="preserve"> </w:t>
            </w:r>
            <w:r>
              <w:rPr>
                <w:spacing w:val="2"/>
              </w:rPr>
              <w:t>的权益受到损害的，可以在知道或者应知其权益受到损害之日起</w:t>
            </w:r>
            <w:r>
              <w:rPr>
                <w:spacing w:val="11"/>
              </w:rPr>
              <w:t xml:space="preserve"> </w:t>
            </w:r>
            <w:r>
              <w:rPr>
                <w:spacing w:val="-1"/>
              </w:rPr>
              <w:t>7</w:t>
            </w:r>
            <w:r>
              <w:rPr>
                <w:spacing w:val="-49"/>
              </w:rPr>
              <w:t xml:space="preserve"> </w:t>
            </w:r>
            <w:r>
              <w:rPr>
                <w:spacing w:val="-1"/>
              </w:rPr>
              <w:t>个工作日内，以书面形式向采购人、采购代理机构提出质疑。</w:t>
            </w:r>
          </w:p>
          <w:p w14:paraId="4BD20366">
            <w:pPr>
              <w:pStyle w:val="14"/>
              <w:spacing w:before="37" w:line="325" w:lineRule="auto"/>
              <w:ind w:left="113" w:right="107" w:firstLine="11"/>
            </w:pPr>
            <w:r>
              <w:rPr>
                <w:spacing w:val="-2"/>
              </w:rPr>
              <w:t>（2）供应商应当在法定质疑期内一次性提出针对同一采购程序环</w:t>
            </w:r>
            <w:r>
              <w:t xml:space="preserve"> </w:t>
            </w:r>
            <w:r>
              <w:rPr>
                <w:spacing w:val="-2"/>
              </w:rPr>
              <w:t>节的质疑。</w:t>
            </w:r>
          </w:p>
          <w:p w14:paraId="0FA5ACAA">
            <w:pPr>
              <w:pStyle w:val="14"/>
              <w:spacing w:before="34" w:line="330" w:lineRule="auto"/>
              <w:ind w:left="113" w:right="46"/>
              <w:jc w:val="both"/>
              <w:rPr>
                <w:b/>
                <w:bCs/>
                <w:spacing w:val="-3"/>
              </w:rPr>
            </w:pPr>
            <w:r>
              <w:rPr>
                <w:b/>
                <w:bCs/>
                <w:spacing w:val="-6"/>
              </w:rPr>
              <w:t>注：根据财政部第</w:t>
            </w:r>
            <w:r>
              <w:rPr>
                <w:spacing w:val="-6"/>
              </w:rPr>
              <w:t xml:space="preserve"> </w:t>
            </w:r>
            <w:r>
              <w:rPr>
                <w:b/>
                <w:bCs/>
                <w:spacing w:val="-6"/>
              </w:rPr>
              <w:t>94</w:t>
            </w:r>
            <w:r>
              <w:rPr>
                <w:spacing w:val="-6"/>
              </w:rPr>
              <w:t xml:space="preserve"> </w:t>
            </w:r>
            <w:r>
              <w:rPr>
                <w:b/>
                <w:bCs/>
                <w:spacing w:val="-6"/>
              </w:rPr>
              <w:t>号令《政府采购质疑和投诉办法》的规定，</w:t>
            </w:r>
            <w:r>
              <w:rPr>
                <w:spacing w:val="8"/>
              </w:rPr>
              <w:t xml:space="preserve"> </w:t>
            </w:r>
            <w:r>
              <w:rPr>
                <w:b/>
                <w:bCs/>
              </w:rPr>
              <w:t>供应商质疑不得超出采购文件、采购过程及中标（成交）结果的</w:t>
            </w:r>
            <w:r>
              <w:rPr>
                <w:spacing w:val="1"/>
              </w:rPr>
              <w:t xml:space="preserve">  </w:t>
            </w:r>
            <w:r>
              <w:rPr>
                <w:b/>
                <w:bCs/>
                <w:spacing w:val="-3"/>
              </w:rPr>
              <w:t>范围以及时效限制。</w:t>
            </w:r>
          </w:p>
          <w:p w14:paraId="41D7356A">
            <w:pPr>
              <w:pStyle w:val="14"/>
              <w:spacing w:before="34" w:line="330" w:lineRule="auto"/>
              <w:ind w:left="113" w:right="46"/>
              <w:jc w:val="both"/>
              <w:rPr>
                <w:b/>
                <w:bCs/>
                <w:spacing w:val="-3"/>
              </w:rPr>
            </w:pPr>
            <w:r>
              <w:rPr>
                <w:rFonts w:hint="eastAsia" w:ascii="宋体" w:eastAsia="宋体" w:cs="宋体"/>
                <w:color w:val="auto"/>
                <w:spacing w:val="0"/>
                <w:sz w:val="24"/>
                <w:highlight w:val="none"/>
                <w:lang w:val="en-US" w:eastAsia="zh-CN" w:bidi="ar-SA"/>
              </w:rPr>
              <w:t>电子版质疑文件（不加密PDF格式文件发至邮箱：</w:t>
            </w:r>
            <w:r>
              <w:rPr>
                <w:rFonts w:hint="eastAsia" w:ascii="宋体" w:eastAsia="宋体" w:cs="宋体"/>
                <w:color w:val="auto"/>
                <w:spacing w:val="0"/>
                <w:sz w:val="24"/>
                <w:highlight w:val="none"/>
                <w:lang w:val="en-US" w:eastAsia="zh-CN" w:bidi="ar-SA"/>
              </w:rPr>
              <w:fldChar w:fldCharType="begin"/>
            </w:r>
            <w:r>
              <w:rPr>
                <w:rFonts w:hint="eastAsia" w:ascii="宋体" w:eastAsia="宋体" w:cs="宋体"/>
                <w:color w:val="auto"/>
                <w:spacing w:val="0"/>
                <w:sz w:val="24"/>
                <w:highlight w:val="none"/>
                <w:lang w:val="en-US" w:eastAsia="zh-CN" w:bidi="ar-SA"/>
              </w:rPr>
              <w:instrText xml:space="preserve">HYPERLINK "mailto:361167916@qq.com）"</w:instrText>
            </w:r>
            <w:r>
              <w:rPr>
                <w:rFonts w:hint="eastAsia" w:ascii="宋体" w:eastAsia="宋体" w:cs="宋体"/>
                <w:color w:val="auto"/>
                <w:spacing w:val="0"/>
                <w:sz w:val="24"/>
                <w:highlight w:val="none"/>
                <w:lang w:val="en-US" w:eastAsia="zh-CN" w:bidi="ar-SA"/>
              </w:rPr>
              <w:fldChar w:fldCharType="separate"/>
            </w:r>
            <w:r>
              <w:rPr>
                <w:rFonts w:hint="eastAsia" w:ascii="宋体" w:eastAsia="宋体" w:cs="宋体"/>
                <w:color w:val="auto"/>
                <w:spacing w:val="0"/>
                <w:sz w:val="24"/>
                <w:highlight w:val="none"/>
                <w:lang w:val="en-US" w:eastAsia="zh-CN" w:bidi="ar-SA"/>
              </w:rPr>
              <w:t>44698000@qq.com）</w:t>
            </w:r>
            <w:r>
              <w:rPr>
                <w:rFonts w:hint="eastAsia" w:ascii="宋体" w:eastAsia="宋体" w:cs="宋体"/>
                <w:color w:val="auto"/>
                <w:spacing w:val="0"/>
                <w:sz w:val="24"/>
                <w:highlight w:val="none"/>
                <w:lang w:val="en-US" w:eastAsia="zh-CN" w:bidi="ar-SA"/>
              </w:rPr>
              <w:fldChar w:fldCharType="end"/>
            </w:r>
          </w:p>
        </w:tc>
      </w:tr>
      <w:tr w14:paraId="4D52F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6" w:hRule="atLeast"/>
        </w:trPr>
        <w:tc>
          <w:tcPr>
            <w:tcW w:w="689" w:type="dxa"/>
            <w:vAlign w:val="top"/>
          </w:tcPr>
          <w:p w14:paraId="3ED1C5D0">
            <w:pPr>
              <w:spacing w:line="247" w:lineRule="auto"/>
              <w:rPr>
                <w:rFonts w:ascii="Arial"/>
                <w:sz w:val="21"/>
              </w:rPr>
            </w:pPr>
          </w:p>
          <w:p w14:paraId="0D22A68A">
            <w:pPr>
              <w:spacing w:line="247" w:lineRule="auto"/>
              <w:rPr>
                <w:rFonts w:ascii="Arial"/>
                <w:sz w:val="21"/>
              </w:rPr>
            </w:pPr>
          </w:p>
          <w:p w14:paraId="519B121D">
            <w:pPr>
              <w:spacing w:line="247" w:lineRule="auto"/>
              <w:rPr>
                <w:rFonts w:ascii="Arial"/>
                <w:sz w:val="21"/>
              </w:rPr>
            </w:pPr>
          </w:p>
          <w:p w14:paraId="31CCD57D">
            <w:pPr>
              <w:spacing w:line="248" w:lineRule="auto"/>
              <w:rPr>
                <w:rFonts w:ascii="Arial"/>
                <w:sz w:val="21"/>
              </w:rPr>
            </w:pPr>
          </w:p>
          <w:p w14:paraId="7311BFE2">
            <w:pPr>
              <w:spacing w:line="248" w:lineRule="auto"/>
              <w:rPr>
                <w:rFonts w:ascii="Arial"/>
                <w:sz w:val="21"/>
              </w:rPr>
            </w:pPr>
          </w:p>
          <w:p w14:paraId="362CD1A5">
            <w:pPr>
              <w:spacing w:line="248" w:lineRule="auto"/>
              <w:rPr>
                <w:rFonts w:ascii="Arial"/>
                <w:sz w:val="21"/>
              </w:rPr>
            </w:pPr>
          </w:p>
          <w:p w14:paraId="544D9825">
            <w:pPr>
              <w:spacing w:line="248" w:lineRule="auto"/>
              <w:rPr>
                <w:rFonts w:ascii="Arial"/>
                <w:sz w:val="21"/>
              </w:rPr>
            </w:pPr>
          </w:p>
          <w:p w14:paraId="0C73EE0F">
            <w:pPr>
              <w:pStyle w:val="14"/>
              <w:spacing w:before="78" w:line="183" w:lineRule="auto"/>
              <w:ind w:left="277"/>
              <w:rPr>
                <w:rFonts w:hint="eastAsia" w:eastAsia="宋体"/>
                <w:lang w:val="en-US" w:eastAsia="zh-CN"/>
              </w:rPr>
            </w:pPr>
            <w:r>
              <w:rPr>
                <w:spacing w:val="-7"/>
              </w:rPr>
              <w:t>2</w:t>
            </w:r>
            <w:r>
              <w:rPr>
                <w:rFonts w:hint="eastAsia"/>
                <w:spacing w:val="-7"/>
                <w:lang w:val="en-US" w:eastAsia="zh-CN"/>
              </w:rPr>
              <w:t>6</w:t>
            </w:r>
          </w:p>
        </w:tc>
        <w:tc>
          <w:tcPr>
            <w:tcW w:w="1897" w:type="dxa"/>
            <w:vAlign w:val="top"/>
          </w:tcPr>
          <w:p w14:paraId="7A652508">
            <w:pPr>
              <w:spacing w:line="260" w:lineRule="auto"/>
              <w:rPr>
                <w:rFonts w:ascii="Arial"/>
                <w:sz w:val="21"/>
              </w:rPr>
            </w:pPr>
          </w:p>
          <w:p w14:paraId="5D7DC53E">
            <w:pPr>
              <w:spacing w:line="260" w:lineRule="auto"/>
              <w:rPr>
                <w:rFonts w:ascii="Arial"/>
                <w:sz w:val="21"/>
              </w:rPr>
            </w:pPr>
          </w:p>
          <w:p w14:paraId="0F3C7470">
            <w:pPr>
              <w:spacing w:line="260" w:lineRule="auto"/>
              <w:rPr>
                <w:rFonts w:ascii="Arial"/>
                <w:sz w:val="21"/>
              </w:rPr>
            </w:pPr>
          </w:p>
          <w:p w14:paraId="64F2DB44">
            <w:pPr>
              <w:spacing w:line="260" w:lineRule="auto"/>
              <w:rPr>
                <w:rFonts w:ascii="Arial"/>
                <w:sz w:val="21"/>
              </w:rPr>
            </w:pPr>
          </w:p>
          <w:p w14:paraId="15DA86B6">
            <w:pPr>
              <w:spacing w:line="260" w:lineRule="auto"/>
              <w:rPr>
                <w:rFonts w:ascii="Arial"/>
                <w:sz w:val="21"/>
              </w:rPr>
            </w:pPr>
          </w:p>
          <w:p w14:paraId="54C71931">
            <w:pPr>
              <w:spacing w:line="260" w:lineRule="auto"/>
              <w:rPr>
                <w:rFonts w:ascii="Arial"/>
                <w:sz w:val="21"/>
              </w:rPr>
            </w:pPr>
          </w:p>
          <w:p w14:paraId="49BE5D36">
            <w:pPr>
              <w:spacing w:line="260" w:lineRule="auto"/>
              <w:rPr>
                <w:rFonts w:ascii="Arial"/>
                <w:sz w:val="21"/>
              </w:rPr>
            </w:pPr>
          </w:p>
          <w:p w14:paraId="2A47CEE6">
            <w:pPr>
              <w:pStyle w:val="14"/>
              <w:spacing w:before="78" w:line="220" w:lineRule="auto"/>
              <w:ind w:left="750"/>
            </w:pPr>
            <w:r>
              <w:rPr>
                <w:spacing w:val="-7"/>
              </w:rPr>
              <w:t>投诉</w:t>
            </w:r>
          </w:p>
        </w:tc>
        <w:tc>
          <w:tcPr>
            <w:tcW w:w="7192" w:type="dxa"/>
            <w:vAlign w:val="top"/>
          </w:tcPr>
          <w:p w14:paraId="64D9B6E8">
            <w:pPr>
              <w:pStyle w:val="14"/>
              <w:spacing w:before="146" w:line="330" w:lineRule="auto"/>
              <w:ind w:left="111" w:right="107" w:firstLine="13"/>
            </w:pPr>
            <w:r>
              <w:rPr>
                <w:spacing w:val="-2"/>
              </w:rPr>
              <w:t>（1）质疑供应商对采购人、采购代理机构的答复不满意，或者采</w:t>
            </w:r>
            <w:r>
              <w:t xml:space="preserve"> </w:t>
            </w:r>
            <w:r>
              <w:rPr>
                <w:spacing w:val="3"/>
              </w:rPr>
              <w:t>购人、采购代理机构未在规定时间内作出答</w:t>
            </w:r>
            <w:r>
              <w:rPr>
                <w:spacing w:val="2"/>
              </w:rPr>
              <w:t>复的，可以在答复期</w:t>
            </w:r>
            <w:r>
              <w:t xml:space="preserve"> </w:t>
            </w:r>
            <w:r>
              <w:rPr>
                <w:spacing w:val="-2"/>
              </w:rPr>
              <w:t>满后</w:t>
            </w:r>
            <w:r>
              <w:rPr>
                <w:spacing w:val="-22"/>
              </w:rPr>
              <w:t xml:space="preserve"> </w:t>
            </w:r>
            <w:r>
              <w:rPr>
                <w:spacing w:val="-2"/>
              </w:rPr>
              <w:t>15</w:t>
            </w:r>
            <w:r>
              <w:rPr>
                <w:spacing w:val="-51"/>
              </w:rPr>
              <w:t xml:space="preserve"> </w:t>
            </w:r>
            <w:r>
              <w:rPr>
                <w:spacing w:val="-2"/>
              </w:rPr>
              <w:t>个工作日内向本办法第六条规定的财政部门提起投诉。</w:t>
            </w:r>
          </w:p>
          <w:p w14:paraId="55B6A33F">
            <w:pPr>
              <w:pStyle w:val="14"/>
              <w:spacing w:before="34" w:line="332" w:lineRule="auto"/>
              <w:ind w:left="113" w:right="107" w:firstLine="11"/>
            </w:pPr>
            <w:r>
              <w:rPr>
                <w:spacing w:val="-2"/>
              </w:rPr>
              <w:t>（2）质疑、投诉应当采用书面形式，质疑书、投诉书均应明确阐</w:t>
            </w:r>
            <w:r>
              <w:t xml:space="preserve"> </w:t>
            </w:r>
            <w:r>
              <w:rPr>
                <w:spacing w:val="2"/>
              </w:rPr>
              <w:t>述招标文件、采购过程或成交结果中使自己合法权益受到损害的</w:t>
            </w:r>
            <w:r>
              <w:rPr>
                <w:spacing w:val="17"/>
              </w:rPr>
              <w:t xml:space="preserve"> </w:t>
            </w:r>
            <w:r>
              <w:rPr>
                <w:spacing w:val="2"/>
              </w:rPr>
              <w:t>实质性内容，提供相关事实、依据和证据及其来源或线索，便于</w:t>
            </w:r>
            <w:r>
              <w:rPr>
                <w:spacing w:val="17"/>
              </w:rPr>
              <w:t xml:space="preserve"> </w:t>
            </w:r>
            <w:r>
              <w:rPr>
                <w:spacing w:val="-1"/>
              </w:rPr>
              <w:t>有关单位调查、答复和处理。</w:t>
            </w:r>
          </w:p>
          <w:p w14:paraId="3DB671D0">
            <w:pPr>
              <w:pStyle w:val="14"/>
              <w:spacing w:before="36" w:line="278" w:lineRule="auto"/>
              <w:ind w:left="113" w:right="46"/>
            </w:pPr>
            <w:r>
              <w:rPr>
                <w:b/>
                <w:bCs/>
                <w:spacing w:val="-6"/>
              </w:rPr>
              <w:t>注：根据财政部第</w:t>
            </w:r>
            <w:r>
              <w:rPr>
                <w:spacing w:val="-6"/>
              </w:rPr>
              <w:t xml:space="preserve"> </w:t>
            </w:r>
            <w:r>
              <w:rPr>
                <w:b/>
                <w:bCs/>
                <w:spacing w:val="-6"/>
              </w:rPr>
              <w:t>94</w:t>
            </w:r>
            <w:r>
              <w:rPr>
                <w:spacing w:val="-6"/>
              </w:rPr>
              <w:t xml:space="preserve"> </w:t>
            </w:r>
            <w:r>
              <w:rPr>
                <w:b/>
                <w:bCs/>
                <w:spacing w:val="-6"/>
              </w:rPr>
              <w:t>号令《政府采购质疑和投诉办法》的规定，</w:t>
            </w:r>
            <w:r>
              <w:rPr>
                <w:spacing w:val="8"/>
              </w:rPr>
              <w:t xml:space="preserve"> </w:t>
            </w:r>
            <w:r>
              <w:rPr>
                <w:b/>
                <w:bCs/>
                <w:spacing w:val="-3"/>
              </w:rPr>
              <w:t>供应商的投诉事项不得超出已质疑事项的范围。</w:t>
            </w:r>
          </w:p>
        </w:tc>
      </w:tr>
      <w:tr w14:paraId="682B1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5" w:hRule="atLeast"/>
        </w:trPr>
        <w:tc>
          <w:tcPr>
            <w:tcW w:w="689" w:type="dxa"/>
            <w:vAlign w:val="top"/>
          </w:tcPr>
          <w:p w14:paraId="0854E7B9">
            <w:pPr>
              <w:spacing w:line="265" w:lineRule="auto"/>
              <w:rPr>
                <w:rFonts w:ascii="Arial"/>
                <w:sz w:val="21"/>
              </w:rPr>
            </w:pPr>
          </w:p>
          <w:p w14:paraId="02D9063E">
            <w:pPr>
              <w:spacing w:line="265" w:lineRule="auto"/>
              <w:rPr>
                <w:rFonts w:ascii="Arial"/>
                <w:sz w:val="21"/>
              </w:rPr>
            </w:pPr>
          </w:p>
          <w:p w14:paraId="095773AF">
            <w:pPr>
              <w:spacing w:line="266" w:lineRule="auto"/>
              <w:rPr>
                <w:rFonts w:ascii="Arial"/>
                <w:sz w:val="21"/>
              </w:rPr>
            </w:pPr>
          </w:p>
          <w:p w14:paraId="226028E0">
            <w:pPr>
              <w:spacing w:line="266" w:lineRule="auto"/>
              <w:rPr>
                <w:rFonts w:ascii="Arial"/>
                <w:sz w:val="21"/>
              </w:rPr>
            </w:pPr>
          </w:p>
          <w:p w14:paraId="7E93C061">
            <w:pPr>
              <w:spacing w:line="266" w:lineRule="auto"/>
              <w:rPr>
                <w:rFonts w:ascii="Arial"/>
                <w:sz w:val="21"/>
              </w:rPr>
            </w:pPr>
          </w:p>
          <w:p w14:paraId="4E172D98">
            <w:pPr>
              <w:spacing w:line="266" w:lineRule="auto"/>
              <w:rPr>
                <w:rFonts w:ascii="Arial"/>
                <w:sz w:val="21"/>
              </w:rPr>
            </w:pPr>
          </w:p>
          <w:p w14:paraId="1698C2C8">
            <w:pPr>
              <w:pStyle w:val="14"/>
              <w:spacing w:before="78" w:line="183" w:lineRule="auto"/>
              <w:ind w:left="277"/>
              <w:rPr>
                <w:rFonts w:hint="eastAsia" w:eastAsia="宋体"/>
                <w:lang w:val="en-US" w:eastAsia="zh-CN"/>
              </w:rPr>
            </w:pPr>
            <w:r>
              <w:rPr>
                <w:spacing w:val="-7"/>
              </w:rPr>
              <w:t>2</w:t>
            </w:r>
            <w:r>
              <w:rPr>
                <w:rFonts w:hint="eastAsia"/>
                <w:spacing w:val="-7"/>
                <w:lang w:val="en-US" w:eastAsia="zh-CN"/>
              </w:rPr>
              <w:t>7</w:t>
            </w:r>
          </w:p>
        </w:tc>
        <w:tc>
          <w:tcPr>
            <w:tcW w:w="1897" w:type="dxa"/>
            <w:vAlign w:val="top"/>
          </w:tcPr>
          <w:p w14:paraId="57A91168">
            <w:pPr>
              <w:spacing w:line="278" w:lineRule="auto"/>
              <w:rPr>
                <w:rFonts w:ascii="Arial"/>
                <w:sz w:val="21"/>
              </w:rPr>
            </w:pPr>
          </w:p>
          <w:p w14:paraId="340F232E">
            <w:pPr>
              <w:spacing w:line="278" w:lineRule="auto"/>
              <w:rPr>
                <w:rFonts w:ascii="Arial"/>
                <w:sz w:val="21"/>
              </w:rPr>
            </w:pPr>
          </w:p>
          <w:p w14:paraId="09465CA5">
            <w:pPr>
              <w:spacing w:line="278" w:lineRule="auto"/>
              <w:rPr>
                <w:rFonts w:ascii="Arial"/>
                <w:sz w:val="21"/>
              </w:rPr>
            </w:pPr>
          </w:p>
          <w:p w14:paraId="6556E972">
            <w:pPr>
              <w:spacing w:line="278" w:lineRule="auto"/>
              <w:rPr>
                <w:rFonts w:ascii="Arial"/>
                <w:sz w:val="21"/>
              </w:rPr>
            </w:pPr>
          </w:p>
          <w:p w14:paraId="1616CEC2">
            <w:pPr>
              <w:spacing w:line="278" w:lineRule="auto"/>
              <w:rPr>
                <w:rFonts w:ascii="Arial"/>
                <w:sz w:val="21"/>
              </w:rPr>
            </w:pPr>
          </w:p>
          <w:p w14:paraId="61306AA2">
            <w:pPr>
              <w:spacing w:line="279" w:lineRule="auto"/>
              <w:rPr>
                <w:rFonts w:ascii="Arial"/>
                <w:sz w:val="21"/>
              </w:rPr>
            </w:pPr>
          </w:p>
          <w:p w14:paraId="2A1881D0">
            <w:pPr>
              <w:pStyle w:val="14"/>
              <w:spacing w:before="78" w:line="220" w:lineRule="auto"/>
              <w:ind w:left="507"/>
            </w:pPr>
            <w:r>
              <w:rPr>
                <w:spacing w:val="-3"/>
              </w:rPr>
              <w:t>注意事项</w:t>
            </w:r>
          </w:p>
        </w:tc>
        <w:tc>
          <w:tcPr>
            <w:tcW w:w="7192" w:type="dxa"/>
            <w:vAlign w:val="top"/>
          </w:tcPr>
          <w:p w14:paraId="16A2E345">
            <w:pPr>
              <w:spacing w:line="247" w:lineRule="auto"/>
              <w:rPr>
                <w:rFonts w:ascii="Arial"/>
                <w:sz w:val="21"/>
              </w:rPr>
            </w:pPr>
          </w:p>
          <w:p w14:paraId="4AA91CF5">
            <w:pPr>
              <w:pStyle w:val="14"/>
              <w:spacing w:before="78" w:line="229" w:lineRule="auto"/>
              <w:ind w:left="120" w:right="34" w:hanging="9"/>
            </w:pPr>
            <w:r>
              <w:rPr>
                <w:spacing w:val="-25"/>
              </w:rPr>
              <w:t>请各供应商务必详细阅读本采购文件的全部条款</w:t>
            </w:r>
            <w:r>
              <w:rPr>
                <w:spacing w:val="-26"/>
              </w:rPr>
              <w:t>，以减少不必要的失误，</w:t>
            </w:r>
            <w:r>
              <w:t xml:space="preserve"> </w:t>
            </w:r>
            <w:r>
              <w:rPr>
                <w:spacing w:val="-21"/>
              </w:rPr>
              <w:t>否则，由此引起的损失或风险由供应商自行承担。</w:t>
            </w:r>
          </w:p>
          <w:p w14:paraId="7FBA96CA">
            <w:pPr>
              <w:pStyle w:val="14"/>
              <w:spacing w:before="147" w:line="229" w:lineRule="auto"/>
              <w:ind w:left="114" w:right="126" w:hanging="1"/>
            </w:pPr>
            <w:r>
              <w:rPr>
                <w:spacing w:val="-22"/>
              </w:rPr>
              <w:t>供应商获取采购文件后应认真及时阅读采购文件中所有的事项、格式、</w:t>
            </w:r>
            <w:r>
              <w:rPr>
                <w:spacing w:val="17"/>
              </w:rPr>
              <w:t xml:space="preserve"> </w:t>
            </w:r>
            <w:r>
              <w:rPr>
                <w:spacing w:val="-20"/>
              </w:rPr>
              <w:t>条款和规范要求等，做好投标工作。</w:t>
            </w:r>
          </w:p>
          <w:p w14:paraId="704D9D8C">
            <w:pPr>
              <w:pStyle w:val="14"/>
              <w:spacing w:before="146" w:line="230" w:lineRule="auto"/>
              <w:ind w:left="112" w:right="86"/>
            </w:pPr>
            <w:r>
              <w:rPr>
                <w:spacing w:val="-20"/>
              </w:rPr>
              <w:t>供应商不得以投诉为名，排挤竞争对手，不得进行虚假、恶</w:t>
            </w:r>
            <w:r>
              <w:rPr>
                <w:spacing w:val="-21"/>
              </w:rPr>
              <w:t>意投诉，阻</w:t>
            </w:r>
            <w:r>
              <w:t xml:space="preserve"> </w:t>
            </w:r>
            <w:r>
              <w:rPr>
                <w:spacing w:val="-20"/>
              </w:rPr>
              <w:t>碍招标投标活动的正常进行。</w:t>
            </w:r>
          </w:p>
        </w:tc>
      </w:tr>
    </w:tbl>
    <w:p w14:paraId="53DF3953">
      <w:pPr>
        <w:spacing w:line="417" w:lineRule="auto"/>
        <w:rPr>
          <w:rFonts w:ascii="Arial"/>
          <w:sz w:val="21"/>
        </w:rPr>
      </w:pPr>
    </w:p>
    <w:p w14:paraId="1519C28C">
      <w:pPr>
        <w:spacing w:line="41" w:lineRule="exact"/>
      </w:pPr>
    </w:p>
    <w:p w14:paraId="30728F81">
      <w:pPr>
        <w:pStyle w:val="2"/>
        <w:spacing w:before="35" w:line="219" w:lineRule="auto"/>
        <w:ind w:left="1640"/>
        <w:outlineLvl w:val="0"/>
      </w:pPr>
      <w:r>
        <w:rPr>
          <w:b/>
          <w:bCs/>
          <w:spacing w:val="-2"/>
        </w:rPr>
        <w:t>注：下文内容若与本前附表不一致，请以本前附表内容为准。</w:t>
      </w:r>
    </w:p>
    <w:p w14:paraId="54475FB4">
      <w:pPr>
        <w:spacing w:line="219" w:lineRule="auto"/>
        <w:sectPr>
          <w:headerReference r:id="rId9" w:type="default"/>
          <w:footerReference r:id="rId10" w:type="default"/>
          <w:pgSz w:w="11910" w:h="16840"/>
          <w:pgMar w:top="400" w:right="910" w:bottom="1339" w:left="1232" w:header="0" w:footer="1174" w:gutter="0"/>
          <w:pgNumType w:fmt="decimal"/>
          <w:cols w:space="720" w:num="1"/>
        </w:sectPr>
      </w:pPr>
    </w:p>
    <w:p w14:paraId="03AD89BE">
      <w:pPr>
        <w:pStyle w:val="2"/>
        <w:spacing w:before="47" w:line="224" w:lineRule="auto"/>
        <w:ind w:left="3225"/>
        <w:outlineLvl w:val="0"/>
        <w:rPr>
          <w:sz w:val="31"/>
          <w:szCs w:val="31"/>
        </w:rPr>
      </w:pPr>
      <w:bookmarkStart w:id="17" w:name="bookmark5"/>
      <w:bookmarkEnd w:id="17"/>
      <w:bookmarkStart w:id="18" w:name="bookmark6"/>
      <w:bookmarkEnd w:id="18"/>
      <w:r>
        <w:rPr>
          <w:b/>
          <w:bCs/>
          <w:spacing w:val="6"/>
          <w:sz w:val="31"/>
          <w:szCs w:val="31"/>
        </w:rPr>
        <w:t>第三章</w:t>
      </w:r>
      <w:r>
        <w:rPr>
          <w:spacing w:val="6"/>
          <w:sz w:val="31"/>
          <w:szCs w:val="31"/>
        </w:rPr>
        <w:t xml:space="preserve">  </w:t>
      </w:r>
      <w:r>
        <w:rPr>
          <w:b/>
          <w:bCs/>
          <w:spacing w:val="6"/>
          <w:sz w:val="31"/>
          <w:szCs w:val="31"/>
        </w:rPr>
        <w:t>供应商须知</w:t>
      </w:r>
    </w:p>
    <w:p w14:paraId="633EA907">
      <w:pPr>
        <w:pStyle w:val="2"/>
        <w:spacing w:before="244" w:line="225" w:lineRule="auto"/>
        <w:ind w:left="3874"/>
        <w:outlineLvl w:val="1"/>
        <w:rPr>
          <w:sz w:val="31"/>
          <w:szCs w:val="31"/>
        </w:rPr>
      </w:pPr>
      <w:bookmarkStart w:id="19" w:name="bookmark8"/>
      <w:bookmarkEnd w:id="19"/>
      <w:bookmarkStart w:id="20" w:name="bookmark7"/>
      <w:bookmarkEnd w:id="20"/>
      <w:r>
        <w:rPr>
          <w:b/>
          <w:bCs/>
          <w:spacing w:val="-16"/>
          <w:sz w:val="31"/>
          <w:szCs w:val="31"/>
        </w:rPr>
        <w:t>一</w:t>
      </w:r>
      <w:r>
        <w:rPr>
          <w:spacing w:val="-116"/>
          <w:sz w:val="31"/>
          <w:szCs w:val="31"/>
        </w:rPr>
        <w:t xml:space="preserve"> </w:t>
      </w:r>
      <w:r>
        <w:rPr>
          <w:b/>
          <w:bCs/>
          <w:spacing w:val="-16"/>
          <w:sz w:val="31"/>
          <w:szCs w:val="31"/>
        </w:rPr>
        <w:t>、</w:t>
      </w:r>
      <w:r>
        <w:rPr>
          <w:spacing w:val="-130"/>
          <w:sz w:val="31"/>
          <w:szCs w:val="31"/>
        </w:rPr>
        <w:t xml:space="preserve"> </w:t>
      </w:r>
      <w:r>
        <w:rPr>
          <w:b/>
          <w:bCs/>
          <w:spacing w:val="-16"/>
          <w:sz w:val="31"/>
          <w:szCs w:val="31"/>
        </w:rPr>
        <w:t>说</w:t>
      </w:r>
      <w:r>
        <w:rPr>
          <w:spacing w:val="27"/>
          <w:sz w:val="31"/>
          <w:szCs w:val="31"/>
        </w:rPr>
        <w:t xml:space="preserve">  </w:t>
      </w:r>
      <w:r>
        <w:rPr>
          <w:b/>
          <w:bCs/>
          <w:spacing w:val="-16"/>
          <w:sz w:val="31"/>
          <w:szCs w:val="31"/>
        </w:rPr>
        <w:t>明</w:t>
      </w:r>
    </w:p>
    <w:p w14:paraId="472F04E7">
      <w:pPr>
        <w:pStyle w:val="2"/>
        <w:spacing w:before="232" w:line="219" w:lineRule="auto"/>
        <w:ind w:left="26"/>
        <w:outlineLvl w:val="2"/>
      </w:pPr>
      <w:r>
        <w:rPr>
          <w:b/>
          <w:bCs/>
          <w:spacing w:val="-4"/>
        </w:rPr>
        <w:t>1.采购人、采购代理机构及供应商</w:t>
      </w:r>
    </w:p>
    <w:p w14:paraId="769A7C45">
      <w:pPr>
        <w:pStyle w:val="2"/>
        <w:spacing w:before="180" w:line="219" w:lineRule="auto"/>
        <w:ind w:left="26"/>
      </w:pPr>
      <w:r>
        <w:t>1.1</w:t>
      </w:r>
      <w:r>
        <w:rPr>
          <w:spacing w:val="-51"/>
        </w:rPr>
        <w:t xml:space="preserve"> </w:t>
      </w:r>
      <w:r>
        <w:t>采购人：是指依法进行政府采购的国家机关</w:t>
      </w:r>
      <w:r>
        <w:rPr>
          <w:spacing w:val="-1"/>
        </w:rPr>
        <w:t>、事业单位、团体组织。本项目采购人为</w:t>
      </w:r>
    </w:p>
    <w:p w14:paraId="69F48194">
      <w:pPr>
        <w:pStyle w:val="2"/>
        <w:spacing w:before="182" w:line="219" w:lineRule="auto"/>
        <w:ind w:left="9"/>
        <w:rPr>
          <w:color w:val="auto"/>
        </w:rPr>
      </w:pPr>
      <w:r>
        <w:rPr>
          <w:color w:val="auto"/>
          <w:spacing w:val="2"/>
          <w:u w:val="single" w:color="auto"/>
        </w:rPr>
        <w:t>伊犁哈萨克自治州塔城地区口岸管理委员会。</w:t>
      </w:r>
    </w:p>
    <w:p w14:paraId="0765A1B0">
      <w:pPr>
        <w:pStyle w:val="2"/>
        <w:spacing w:before="184" w:line="289" w:lineRule="auto"/>
        <w:ind w:left="10" w:right="80" w:firstLine="16"/>
      </w:pPr>
      <w:r>
        <w:t>1.2</w:t>
      </w:r>
      <w:r>
        <w:rPr>
          <w:spacing w:val="-51"/>
        </w:rPr>
        <w:t xml:space="preserve"> </w:t>
      </w:r>
      <w:r>
        <w:t>采购代理机构：是指在中国政府采购网或其</w:t>
      </w:r>
      <w:r>
        <w:rPr>
          <w:spacing w:val="-1"/>
        </w:rPr>
        <w:t>省级分网站网上登记的代理机构。本次招</w:t>
      </w:r>
      <w:r>
        <w:t xml:space="preserve"> </w:t>
      </w:r>
      <w:r>
        <w:rPr>
          <w:spacing w:val="1"/>
        </w:rPr>
        <w:t>标的采购代理机构为</w:t>
      </w:r>
      <w:r>
        <w:rPr>
          <w:rFonts w:hint="eastAsia"/>
          <w:spacing w:val="1"/>
          <w:u w:val="single"/>
        </w:rPr>
        <w:t>塔城地区政务服务与公共资源交易中心</w:t>
      </w:r>
      <w:r>
        <w:rPr>
          <w:u w:val="single" w:color="auto"/>
        </w:rPr>
        <w:t>。</w:t>
      </w:r>
    </w:p>
    <w:p w14:paraId="3E6E069D">
      <w:pPr>
        <w:pStyle w:val="2"/>
        <w:spacing w:before="182" w:line="289" w:lineRule="auto"/>
        <w:ind w:left="27" w:right="80" w:hanging="1"/>
      </w:pPr>
      <w:r>
        <w:t>1.3</w:t>
      </w:r>
      <w:r>
        <w:rPr>
          <w:spacing w:val="-51"/>
        </w:rPr>
        <w:t xml:space="preserve"> </w:t>
      </w:r>
      <w:r>
        <w:t>供应商，是指响应招标、参加投标竞争的</w:t>
      </w:r>
      <w:r>
        <w:rPr>
          <w:spacing w:val="-1"/>
        </w:rPr>
        <w:t>法人、其他组织或者自然人，满足以下条件</w:t>
      </w:r>
      <w:r>
        <w:t xml:space="preserve"> </w:t>
      </w:r>
      <w:r>
        <w:rPr>
          <w:spacing w:val="-2"/>
        </w:rPr>
        <w:t>的供应商是合格的供应商，可以参加本次投标：</w:t>
      </w:r>
    </w:p>
    <w:p w14:paraId="35F0B534">
      <w:pPr>
        <w:pStyle w:val="2"/>
        <w:spacing w:before="181" w:line="290" w:lineRule="auto"/>
        <w:ind w:left="9" w:right="80" w:firstLine="17"/>
      </w:pPr>
      <w:r>
        <w:t>1.3.1</w:t>
      </w:r>
      <w:r>
        <w:rPr>
          <w:spacing w:val="-51"/>
        </w:rPr>
        <w:t xml:space="preserve"> </w:t>
      </w:r>
      <w:r>
        <w:t>在中华人民共和国境内注册，能够独立承</w:t>
      </w:r>
      <w:r>
        <w:rPr>
          <w:spacing w:val="-1"/>
        </w:rPr>
        <w:t>担民事责任，有生产或供应能力的本国供</w:t>
      </w:r>
      <w:r>
        <w:t xml:space="preserve"> </w:t>
      </w:r>
      <w:r>
        <w:rPr>
          <w:spacing w:val="-1"/>
        </w:rPr>
        <w:t>应商，法律法规另有规定的除外。</w:t>
      </w:r>
    </w:p>
    <w:p w14:paraId="01BFA6F4">
      <w:pPr>
        <w:pStyle w:val="2"/>
        <w:spacing w:before="180" w:line="218" w:lineRule="auto"/>
        <w:ind w:left="26"/>
      </w:pPr>
      <w:r>
        <w:rPr>
          <w:spacing w:val="-3"/>
        </w:rPr>
        <w:t>1.3.2</w:t>
      </w:r>
      <w:r>
        <w:rPr>
          <w:spacing w:val="-31"/>
        </w:rPr>
        <w:t xml:space="preserve"> </w:t>
      </w:r>
      <w:r>
        <w:rPr>
          <w:spacing w:val="-3"/>
        </w:rPr>
        <w:t>符合第一章招标公告中“供应商资格要求</w:t>
      </w:r>
      <w:r>
        <w:rPr>
          <w:spacing w:val="-88"/>
        </w:rPr>
        <w:t xml:space="preserve"> </w:t>
      </w:r>
      <w:r>
        <w:rPr>
          <w:spacing w:val="-3"/>
        </w:rPr>
        <w:t>”规定的内容；</w:t>
      </w:r>
    </w:p>
    <w:p w14:paraId="0676DADC">
      <w:pPr>
        <w:pStyle w:val="2"/>
        <w:spacing w:before="184" w:line="219" w:lineRule="auto"/>
        <w:jc w:val="right"/>
      </w:pPr>
      <w:r>
        <w:rPr>
          <w:spacing w:val="-4"/>
        </w:rPr>
        <w:t>1.3.3</w:t>
      </w:r>
      <w:r>
        <w:rPr>
          <w:spacing w:val="-50"/>
        </w:rPr>
        <w:t xml:space="preserve"> </w:t>
      </w:r>
      <w:r>
        <w:rPr>
          <w:spacing w:val="-4"/>
        </w:rPr>
        <w:t>供应商须按要求获取招标文件并登记备案，未获取招标文件</w:t>
      </w:r>
      <w:r>
        <w:rPr>
          <w:spacing w:val="-5"/>
        </w:rPr>
        <w:t>的无资格参加本次投标。</w:t>
      </w:r>
    </w:p>
    <w:p w14:paraId="063A7695">
      <w:pPr>
        <w:pStyle w:val="2"/>
        <w:spacing w:before="181" w:line="219" w:lineRule="auto"/>
        <w:ind w:left="26"/>
      </w:pPr>
      <w:r>
        <w:rPr>
          <w:spacing w:val="-1"/>
        </w:rPr>
        <w:t>1.3.4</w:t>
      </w:r>
      <w:r>
        <w:rPr>
          <w:spacing w:val="-47"/>
        </w:rPr>
        <w:t xml:space="preserve"> </w:t>
      </w:r>
      <w:r>
        <w:rPr>
          <w:spacing w:val="-1"/>
        </w:rPr>
        <w:t>如供应商须知前附表中允许联合体投标</w:t>
      </w:r>
      <w:r>
        <w:rPr>
          <w:spacing w:val="-2"/>
        </w:rPr>
        <w:t>，对联合体规定如下：</w:t>
      </w:r>
    </w:p>
    <w:p w14:paraId="783E85E4">
      <w:pPr>
        <w:pStyle w:val="2"/>
        <w:spacing w:before="185" w:line="288" w:lineRule="auto"/>
        <w:ind w:left="9" w:right="80" w:firstLine="17"/>
      </w:pPr>
      <w:r>
        <w:fldChar w:fldCharType="begin"/>
      </w:r>
      <w:r>
        <w:instrText xml:space="preserve"> HYPERLINK "1.3.4.1" </w:instrText>
      </w:r>
      <w:r>
        <w:fldChar w:fldCharType="separate"/>
      </w:r>
      <w:r>
        <w:t>1.3.4.1</w:t>
      </w:r>
      <w:r>
        <w:fldChar w:fldCharType="end"/>
      </w:r>
      <w:r>
        <w:rPr>
          <w:spacing w:val="-49"/>
        </w:rPr>
        <w:t xml:space="preserve"> </w:t>
      </w:r>
      <w:r>
        <w:t>两个以上的自然人、法人或者其他</w:t>
      </w:r>
      <w:r>
        <w:rPr>
          <w:spacing w:val="-1"/>
        </w:rPr>
        <w:t>组织可以组成一个联合体，以一个供应商的身</w:t>
      </w:r>
      <w:r>
        <w:t xml:space="preserve"> </w:t>
      </w:r>
      <w:r>
        <w:rPr>
          <w:spacing w:val="-1"/>
        </w:rPr>
        <w:t>份共同参加政府采购。</w:t>
      </w:r>
    </w:p>
    <w:p w14:paraId="5C6EE94E">
      <w:pPr>
        <w:pStyle w:val="2"/>
        <w:spacing w:before="185" w:line="289" w:lineRule="auto"/>
        <w:ind w:left="31" w:right="82" w:hanging="5"/>
      </w:pPr>
      <w:r>
        <w:fldChar w:fldCharType="begin"/>
      </w:r>
      <w:r>
        <w:instrText xml:space="preserve"> HYPERLINK "1.3.4.2" </w:instrText>
      </w:r>
      <w:r>
        <w:fldChar w:fldCharType="separate"/>
      </w:r>
      <w:r>
        <w:rPr>
          <w:spacing w:val="-1"/>
        </w:rPr>
        <w:t>1.3.4.2</w:t>
      </w:r>
      <w:r>
        <w:rPr>
          <w:spacing w:val="-1"/>
        </w:rPr>
        <w:fldChar w:fldCharType="end"/>
      </w:r>
      <w:r>
        <w:rPr>
          <w:spacing w:val="-24"/>
        </w:rPr>
        <w:t xml:space="preserve"> </w:t>
      </w:r>
      <w:r>
        <w:rPr>
          <w:spacing w:val="-1"/>
        </w:rPr>
        <w:t>以联合体形式进行政府采购的，参加联合体的供应商均应当具备《</w:t>
      </w:r>
      <w:r>
        <w:rPr>
          <w:spacing w:val="-2"/>
        </w:rPr>
        <w:t>中华人民共和</w:t>
      </w:r>
      <w:r>
        <w:t xml:space="preserve"> </w:t>
      </w:r>
      <w:r>
        <w:rPr>
          <w:spacing w:val="-2"/>
        </w:rPr>
        <w:t>国政府采购法》第二十二条规定的条件。</w:t>
      </w:r>
    </w:p>
    <w:p w14:paraId="14155D1F">
      <w:pPr>
        <w:pStyle w:val="2"/>
        <w:spacing w:before="182" w:line="288" w:lineRule="auto"/>
        <w:ind w:left="9" w:right="80" w:firstLine="17"/>
      </w:pPr>
      <w:r>
        <w:fldChar w:fldCharType="begin"/>
      </w:r>
      <w:r>
        <w:instrText xml:space="preserve"> HYPERLINK "1.3.4.3" </w:instrText>
      </w:r>
      <w:r>
        <w:fldChar w:fldCharType="separate"/>
      </w:r>
      <w:r>
        <w:t>1.3.4.3</w:t>
      </w:r>
      <w:r>
        <w:fldChar w:fldCharType="end"/>
      </w:r>
      <w:r>
        <w:rPr>
          <w:spacing w:val="-49"/>
        </w:rPr>
        <w:t xml:space="preserve"> </w:t>
      </w:r>
      <w:r>
        <w:t>联合体各方应签订联合体协议，载</w:t>
      </w:r>
      <w:r>
        <w:rPr>
          <w:spacing w:val="-1"/>
        </w:rPr>
        <w:t>明联合体各方承担的工作和义务，联合体各方</w:t>
      </w:r>
      <w:r>
        <w:t xml:space="preserve"> 应当共同与采购人签订采购合同，就采购合同约定的事项</w:t>
      </w:r>
      <w:r>
        <w:rPr>
          <w:spacing w:val="-1"/>
        </w:rPr>
        <w:t>对采购人承担连带责任。</w:t>
      </w:r>
    </w:p>
    <w:p w14:paraId="262DF012">
      <w:pPr>
        <w:pStyle w:val="2"/>
        <w:spacing w:before="183" w:line="289" w:lineRule="auto"/>
        <w:ind w:left="10" w:right="80" w:firstLine="16"/>
      </w:pPr>
      <w:r>
        <w:fldChar w:fldCharType="begin"/>
      </w:r>
      <w:r>
        <w:instrText xml:space="preserve"> HYPERLINK "1.3.4.4" </w:instrText>
      </w:r>
      <w:r>
        <w:fldChar w:fldCharType="separate"/>
      </w:r>
      <w:r>
        <w:t>1.3.4.4</w:t>
      </w:r>
      <w:r>
        <w:fldChar w:fldCharType="end"/>
      </w:r>
      <w:r>
        <w:rPr>
          <w:spacing w:val="-49"/>
        </w:rPr>
        <w:t xml:space="preserve"> </w:t>
      </w:r>
      <w:r>
        <w:t>联合体各方签订联合体协议后，不</w:t>
      </w:r>
      <w:r>
        <w:rPr>
          <w:spacing w:val="-1"/>
        </w:rPr>
        <w:t>得再以自己名义单独在同一项目中投标，也不</w:t>
      </w:r>
      <w:r>
        <w:t xml:space="preserve"> </w:t>
      </w:r>
      <w:r>
        <w:rPr>
          <w:spacing w:val="-1"/>
        </w:rPr>
        <w:t>得组成新的联合体参加同一项目投标。</w:t>
      </w:r>
    </w:p>
    <w:p w14:paraId="4E39A76D">
      <w:pPr>
        <w:pStyle w:val="2"/>
        <w:spacing w:before="182" w:line="214" w:lineRule="auto"/>
        <w:ind w:left="26"/>
      </w:pPr>
      <w:r>
        <w:rPr>
          <w:spacing w:val="-5"/>
        </w:rPr>
        <w:t>1.3.5</w:t>
      </w:r>
      <w:r>
        <w:rPr>
          <w:spacing w:val="-50"/>
        </w:rPr>
        <w:t xml:space="preserve"> </w:t>
      </w:r>
      <w:r>
        <w:rPr>
          <w:spacing w:val="-5"/>
        </w:rPr>
        <w:t>信用信息查询渠道：“信用中国</w:t>
      </w:r>
      <w:r>
        <w:rPr>
          <w:spacing w:val="-88"/>
        </w:rPr>
        <w:t xml:space="preserve"> </w:t>
      </w:r>
      <w:r>
        <w:rPr>
          <w:spacing w:val="-5"/>
        </w:rPr>
        <w:t>”网站（www.</w:t>
      </w:r>
      <w:r>
        <w:rPr>
          <w:spacing w:val="-6"/>
        </w:rPr>
        <w:t>creditchina.gov.cn）、中国政府采购</w:t>
      </w:r>
    </w:p>
    <w:p w14:paraId="5308D9BD">
      <w:pPr>
        <w:pStyle w:val="2"/>
        <w:spacing w:before="154" w:line="466" w:lineRule="exact"/>
        <w:ind w:left="27"/>
      </w:pPr>
      <w:r>
        <w:rPr>
          <w:spacing w:val="-1"/>
          <w:position w:val="6"/>
        </w:rPr>
        <w:t>网（</w:t>
      </w:r>
      <w:r>
        <w:fldChar w:fldCharType="begin"/>
      </w:r>
      <w:r>
        <w:instrText xml:space="preserve"> HYPERLINK "http://www.ccgp.gov.cn" </w:instrText>
      </w:r>
      <w:r>
        <w:fldChar w:fldCharType="separate"/>
      </w:r>
      <w:r>
        <w:rPr>
          <w:spacing w:val="-1"/>
          <w:position w:val="6"/>
        </w:rPr>
        <w:t>www.ccgp.gov.cn</w:t>
      </w:r>
      <w:r>
        <w:rPr>
          <w:spacing w:val="-1"/>
          <w:position w:val="6"/>
        </w:rPr>
        <w:fldChar w:fldCharType="end"/>
      </w:r>
      <w:r>
        <w:rPr>
          <w:spacing w:val="-63"/>
          <w:position w:val="6"/>
        </w:rPr>
        <w:t>）；</w:t>
      </w:r>
      <w:r>
        <w:rPr>
          <w:spacing w:val="-1"/>
          <w:position w:val="6"/>
        </w:rPr>
        <w:t>信用信息查询起止</w:t>
      </w:r>
      <w:r>
        <w:rPr>
          <w:spacing w:val="-2"/>
          <w:position w:val="6"/>
        </w:rPr>
        <w:t>时点：自招标公告发布之日起至投标截止时间</w:t>
      </w:r>
    </w:p>
    <w:p w14:paraId="65C1C703">
      <w:pPr>
        <w:pStyle w:val="2"/>
        <w:spacing w:before="37" w:line="350" w:lineRule="auto"/>
        <w:ind w:left="8" w:right="80" w:firstLine="1"/>
        <w:jc w:val="both"/>
      </w:pPr>
      <w:r>
        <w:rPr>
          <w:spacing w:val="-1"/>
        </w:rPr>
        <w:t>止；两个以上的自然人、法人或者其他组织组成一个联合</w:t>
      </w:r>
      <w:r>
        <w:rPr>
          <w:spacing w:val="-2"/>
        </w:rPr>
        <w:t>体，以一个供应商的身份共同参</w:t>
      </w:r>
      <w:r>
        <w:t xml:space="preserve"> </w:t>
      </w:r>
      <w:r>
        <w:rPr>
          <w:spacing w:val="-1"/>
        </w:rPr>
        <w:t>加政府采购活动的，应当对所有联合体成员进行信用记录查询</w:t>
      </w:r>
      <w:r>
        <w:rPr>
          <w:spacing w:val="-2"/>
        </w:rPr>
        <w:t>，联合体成员存在不良信用</w:t>
      </w:r>
      <w:r>
        <w:t xml:space="preserve"> </w:t>
      </w:r>
      <w:r>
        <w:rPr>
          <w:spacing w:val="-1"/>
        </w:rPr>
        <w:t>记录的，视同联合体存在不良信用记录。</w:t>
      </w:r>
    </w:p>
    <w:p w14:paraId="669B7601">
      <w:pPr>
        <w:pStyle w:val="2"/>
        <w:spacing w:before="36" w:line="219" w:lineRule="auto"/>
        <w:ind w:left="12"/>
        <w:outlineLvl w:val="2"/>
      </w:pPr>
      <w:r>
        <w:rPr>
          <w:b/>
          <w:bCs/>
          <w:spacing w:val="-5"/>
        </w:rPr>
        <w:t>2.资金来源</w:t>
      </w:r>
    </w:p>
    <w:p w14:paraId="6608D69B">
      <w:pPr>
        <w:pStyle w:val="2"/>
        <w:spacing w:before="181" w:line="218" w:lineRule="auto"/>
        <w:ind w:left="12"/>
      </w:pPr>
      <w:r>
        <w:rPr>
          <w:spacing w:val="-1"/>
        </w:rPr>
        <w:t>2.1</w:t>
      </w:r>
      <w:r>
        <w:rPr>
          <w:spacing w:val="-35"/>
        </w:rPr>
        <w:t xml:space="preserve"> </w:t>
      </w:r>
      <w:r>
        <w:rPr>
          <w:spacing w:val="-1"/>
        </w:rPr>
        <w:t>招标公告中所述的采购人必须获得足以支付本次招标后所签订的合同项下的款项。</w:t>
      </w:r>
    </w:p>
    <w:p w14:paraId="28B9D006">
      <w:pPr>
        <w:pStyle w:val="2"/>
        <w:spacing w:before="184" w:line="218" w:lineRule="auto"/>
        <w:ind w:left="12"/>
      </w:pPr>
      <w:r>
        <w:rPr>
          <w:spacing w:val="-1"/>
        </w:rPr>
        <w:t>2.2 供应商报价超过招标文件规定的预算金额或者分项、</w:t>
      </w:r>
      <w:r>
        <w:rPr>
          <w:spacing w:val="-2"/>
        </w:rPr>
        <w:t>分包最高限价的，其投标将作为</w:t>
      </w:r>
    </w:p>
    <w:p w14:paraId="0FF510BC">
      <w:pPr>
        <w:spacing w:line="218" w:lineRule="auto"/>
        <w:sectPr>
          <w:headerReference r:id="rId11" w:type="default"/>
          <w:footerReference r:id="rId12" w:type="default"/>
          <w:pgSz w:w="11910" w:h="16840"/>
          <w:pgMar w:top="1136" w:right="1053" w:bottom="1339" w:left="1457" w:header="855" w:footer="1174" w:gutter="0"/>
          <w:pgNumType w:fmt="decimal"/>
          <w:cols w:space="720" w:num="1"/>
        </w:sectPr>
      </w:pPr>
    </w:p>
    <w:p w14:paraId="6AC29938">
      <w:pPr>
        <w:pStyle w:val="2"/>
        <w:spacing w:before="34" w:line="219" w:lineRule="auto"/>
        <w:ind w:left="11"/>
      </w:pPr>
      <w:r>
        <w:rPr>
          <w:spacing w:val="-2"/>
        </w:rPr>
        <w:t>无效投标被否决。</w:t>
      </w:r>
    </w:p>
    <w:p w14:paraId="0AA36349">
      <w:pPr>
        <w:pStyle w:val="2"/>
        <w:spacing w:before="180" w:line="220" w:lineRule="auto"/>
        <w:ind w:left="13"/>
        <w:outlineLvl w:val="2"/>
      </w:pPr>
      <w:r>
        <w:rPr>
          <w:b/>
          <w:bCs/>
          <w:spacing w:val="-5"/>
        </w:rPr>
        <w:t>3.投标费用</w:t>
      </w:r>
    </w:p>
    <w:p w14:paraId="7A565AA5">
      <w:pPr>
        <w:pStyle w:val="2"/>
        <w:spacing w:before="180" w:line="345" w:lineRule="auto"/>
        <w:ind w:left="7" w:right="80" w:firstLine="6"/>
      </w:pPr>
      <w:r>
        <w:rPr>
          <w:spacing w:val="-1"/>
        </w:rPr>
        <w:t>3.1 供应商应承担所有与准备和参加投标有关的费用。</w:t>
      </w:r>
      <w:r>
        <w:rPr>
          <w:spacing w:val="-2"/>
        </w:rPr>
        <w:t>不论投标的结果如何，采购人和采</w:t>
      </w:r>
      <w:r>
        <w:t xml:space="preserve"> </w:t>
      </w:r>
      <w:r>
        <w:rPr>
          <w:spacing w:val="-1"/>
        </w:rPr>
        <w:t>购代理机构均无义务和责任承担此类费用。</w:t>
      </w:r>
    </w:p>
    <w:p w14:paraId="309B428E">
      <w:pPr>
        <w:pStyle w:val="2"/>
        <w:spacing w:before="51" w:line="225" w:lineRule="auto"/>
        <w:ind w:left="3713"/>
        <w:outlineLvl w:val="1"/>
        <w:rPr>
          <w:sz w:val="31"/>
          <w:szCs w:val="31"/>
        </w:rPr>
      </w:pPr>
      <w:bookmarkStart w:id="21" w:name="bookmark10"/>
      <w:bookmarkEnd w:id="21"/>
      <w:bookmarkStart w:id="22" w:name="bookmark9"/>
      <w:bookmarkEnd w:id="22"/>
      <w:r>
        <w:rPr>
          <w:b/>
          <w:bCs/>
          <w:spacing w:val="4"/>
          <w:sz w:val="31"/>
          <w:szCs w:val="31"/>
        </w:rPr>
        <w:t>二、招标文件</w:t>
      </w:r>
    </w:p>
    <w:p w14:paraId="7873D89C">
      <w:pPr>
        <w:pStyle w:val="2"/>
        <w:spacing w:before="231" w:line="219" w:lineRule="auto"/>
        <w:ind w:left="8"/>
        <w:outlineLvl w:val="2"/>
      </w:pPr>
      <w:r>
        <w:rPr>
          <w:b/>
          <w:bCs/>
          <w:spacing w:val="-3"/>
        </w:rPr>
        <w:t>4.招标文件构成</w:t>
      </w:r>
    </w:p>
    <w:p w14:paraId="3FB33B50">
      <w:pPr>
        <w:pStyle w:val="2"/>
        <w:spacing w:before="183" w:line="344" w:lineRule="auto"/>
        <w:ind w:left="8" w:right="5919"/>
      </w:pPr>
      <w:r>
        <w:rPr>
          <w:spacing w:val="-5"/>
        </w:rPr>
        <w:t>4.1</w:t>
      </w:r>
      <w:r>
        <w:rPr>
          <w:spacing w:val="-50"/>
        </w:rPr>
        <w:t xml:space="preserve"> </w:t>
      </w:r>
      <w:r>
        <w:rPr>
          <w:spacing w:val="-5"/>
        </w:rPr>
        <w:t>招标文件共七章，内容如下：</w:t>
      </w:r>
      <w:r>
        <w:t xml:space="preserve"> </w:t>
      </w:r>
      <w:r>
        <w:rPr>
          <w:spacing w:val="-2"/>
        </w:rPr>
        <w:t>第一章 招标公告</w:t>
      </w:r>
    </w:p>
    <w:p w14:paraId="7C35FB74">
      <w:pPr>
        <w:pStyle w:val="2"/>
        <w:spacing w:before="40" w:line="344" w:lineRule="auto"/>
        <w:ind w:left="9" w:right="6639"/>
      </w:pPr>
      <w:r>
        <w:rPr>
          <w:spacing w:val="-1"/>
        </w:rPr>
        <w:t>第二章 供应商须知前附表</w:t>
      </w:r>
      <w:r>
        <w:rPr>
          <w:spacing w:val="1"/>
        </w:rPr>
        <w:t xml:space="preserve"> </w:t>
      </w:r>
      <w:r>
        <w:rPr>
          <w:spacing w:val="-2"/>
        </w:rPr>
        <w:t>第三章 供应商须知</w:t>
      </w:r>
    </w:p>
    <w:p w14:paraId="30D0ABB9">
      <w:pPr>
        <w:pStyle w:val="2"/>
        <w:spacing w:before="37" w:line="219" w:lineRule="auto"/>
        <w:ind w:left="9"/>
      </w:pPr>
      <w:r>
        <w:rPr>
          <w:spacing w:val="-2"/>
        </w:rPr>
        <w:t>第四章 采购需求</w:t>
      </w:r>
    </w:p>
    <w:p w14:paraId="0A5DE994">
      <w:pPr>
        <w:pStyle w:val="2"/>
        <w:spacing w:before="182" w:line="346" w:lineRule="auto"/>
        <w:ind w:left="9" w:right="6879"/>
      </w:pPr>
      <w:r>
        <w:rPr>
          <w:spacing w:val="-1"/>
        </w:rPr>
        <w:t>第五章 评标方法和标准</w:t>
      </w:r>
      <w:r>
        <w:t xml:space="preserve"> </w:t>
      </w:r>
      <w:r>
        <w:rPr>
          <w:spacing w:val="-2"/>
        </w:rPr>
        <w:t>第六章 合同条款</w:t>
      </w:r>
    </w:p>
    <w:p w14:paraId="36DF5FF4">
      <w:pPr>
        <w:pStyle w:val="2"/>
        <w:spacing w:before="35" w:line="219" w:lineRule="auto"/>
        <w:ind w:left="9"/>
      </w:pPr>
      <w:r>
        <w:rPr>
          <w:spacing w:val="-1"/>
        </w:rPr>
        <w:t>第七章 投标文件格式</w:t>
      </w:r>
    </w:p>
    <w:p w14:paraId="095407F6">
      <w:pPr>
        <w:pStyle w:val="2"/>
        <w:spacing w:before="179" w:line="353" w:lineRule="auto"/>
        <w:ind w:left="8" w:right="80"/>
      </w:pPr>
      <w:r>
        <w:rPr>
          <w:spacing w:val="-2"/>
        </w:rPr>
        <w:t>4.2</w:t>
      </w:r>
      <w:r>
        <w:rPr>
          <w:spacing w:val="-51"/>
        </w:rPr>
        <w:t xml:space="preserve"> </w:t>
      </w:r>
      <w:r>
        <w:rPr>
          <w:spacing w:val="-2"/>
        </w:rPr>
        <w:t>供应商应认真阅读招标文件中所有的事项、格式</w:t>
      </w:r>
      <w:r>
        <w:rPr>
          <w:spacing w:val="-3"/>
        </w:rPr>
        <w:t>、条款和技术规范等，</w:t>
      </w:r>
      <w:r>
        <w:rPr>
          <w:spacing w:val="-24"/>
        </w:rPr>
        <w:t xml:space="preserve"> </w:t>
      </w:r>
      <w:r>
        <w:rPr>
          <w:spacing w:val="-3"/>
        </w:rPr>
        <w:t>供应商应当按</w:t>
      </w:r>
      <w:r>
        <w:t xml:space="preserve"> </w:t>
      </w:r>
      <w:r>
        <w:rPr>
          <w:spacing w:val="-1"/>
        </w:rPr>
        <w:t>照招标文件的要求编制投标文件，投标文件应当对招标文件</w:t>
      </w:r>
      <w:r>
        <w:rPr>
          <w:spacing w:val="-2"/>
        </w:rPr>
        <w:t>提出的要求和条件作出明确响</w:t>
      </w:r>
      <w:r>
        <w:t xml:space="preserve"> </w:t>
      </w:r>
      <w:r>
        <w:rPr>
          <w:spacing w:val="-1"/>
        </w:rPr>
        <w:t>应。如供应商没有按照招标文件要求提交全部资料，或者投</w:t>
      </w:r>
      <w:r>
        <w:rPr>
          <w:spacing w:val="-2"/>
        </w:rPr>
        <w:t>标文件没有对招标文件在各方</w:t>
      </w:r>
      <w:r>
        <w:t xml:space="preserve"> </w:t>
      </w:r>
      <w:r>
        <w:rPr>
          <w:spacing w:val="-1"/>
        </w:rPr>
        <w:t>面都作出实质性响应是供应商的风险，并可能导致其投标被拒绝。</w:t>
      </w:r>
    </w:p>
    <w:p w14:paraId="4289EB9D">
      <w:pPr>
        <w:pStyle w:val="2"/>
        <w:spacing w:before="35" w:line="219" w:lineRule="auto"/>
        <w:ind w:left="13"/>
        <w:outlineLvl w:val="2"/>
      </w:pPr>
      <w:r>
        <w:rPr>
          <w:b/>
          <w:bCs/>
          <w:spacing w:val="-3"/>
        </w:rPr>
        <w:t>5.</w:t>
      </w:r>
      <w:r>
        <w:rPr>
          <w:spacing w:val="-3"/>
        </w:rPr>
        <w:t xml:space="preserve"> </w:t>
      </w:r>
      <w:r>
        <w:rPr>
          <w:b/>
          <w:bCs/>
          <w:spacing w:val="-3"/>
        </w:rPr>
        <w:t>招标文件的澄清或者修改</w:t>
      </w:r>
    </w:p>
    <w:p w14:paraId="74FCFEE5">
      <w:pPr>
        <w:pStyle w:val="2"/>
        <w:spacing w:before="182" w:line="289" w:lineRule="auto"/>
        <w:ind w:left="8" w:right="99" w:firstLine="5"/>
      </w:pPr>
      <w:r>
        <w:rPr>
          <w:spacing w:val="-1"/>
        </w:rPr>
        <w:t>5.1</w:t>
      </w:r>
      <w:r>
        <w:rPr>
          <w:spacing w:val="-36"/>
        </w:rPr>
        <w:t xml:space="preserve"> </w:t>
      </w:r>
      <w:r>
        <w:rPr>
          <w:spacing w:val="-1"/>
        </w:rPr>
        <w:t>在投标截止时间前，采购人可主动地或者在解答潜在供应商提出的问题时，对招标文</w:t>
      </w:r>
      <w:r>
        <w:t xml:space="preserve"> 件进行必要的澄清或修改。澄清或者修改的内容为</w:t>
      </w:r>
      <w:r>
        <w:rPr>
          <w:spacing w:val="-1"/>
        </w:rPr>
        <w:t>招标文件的组成部分。</w:t>
      </w:r>
    </w:p>
    <w:p w14:paraId="2E51A264">
      <w:pPr>
        <w:pStyle w:val="2"/>
        <w:spacing w:before="184" w:line="288" w:lineRule="auto"/>
        <w:ind w:left="10" w:right="80" w:firstLine="3"/>
      </w:pPr>
      <w:r>
        <w:rPr>
          <w:spacing w:val="-5"/>
        </w:rPr>
        <w:t>5.2</w:t>
      </w:r>
      <w:r>
        <w:rPr>
          <w:spacing w:val="-51"/>
        </w:rPr>
        <w:t xml:space="preserve"> </w:t>
      </w:r>
      <w:r>
        <w:rPr>
          <w:spacing w:val="-5"/>
        </w:rPr>
        <w:t>澄清或者修改的内容可能影响投标文件编制的，将在投标截止时间至少</w:t>
      </w:r>
      <w:r>
        <w:rPr>
          <w:spacing w:val="-32"/>
        </w:rPr>
        <w:t xml:space="preserve"> </w:t>
      </w:r>
      <w:r>
        <w:rPr>
          <w:spacing w:val="-5"/>
        </w:rPr>
        <w:t>15 日前</w:t>
      </w:r>
      <w:r>
        <w:rPr>
          <w:spacing w:val="-6"/>
        </w:rPr>
        <w:t>通知所</w:t>
      </w:r>
      <w:r>
        <w:t xml:space="preserve"> </w:t>
      </w:r>
      <w:r>
        <w:rPr>
          <w:spacing w:val="-3"/>
        </w:rPr>
        <w:t>有获取招标文件的潜在供应商；不足</w:t>
      </w:r>
      <w:r>
        <w:rPr>
          <w:spacing w:val="-24"/>
        </w:rPr>
        <w:t xml:space="preserve"> </w:t>
      </w:r>
      <w:r>
        <w:rPr>
          <w:spacing w:val="-3"/>
        </w:rPr>
        <w:t>15 日的将顺延提交投标文件的截止时间。</w:t>
      </w:r>
    </w:p>
    <w:p w14:paraId="41C8CDA9">
      <w:pPr>
        <w:pStyle w:val="2"/>
        <w:spacing w:before="184" w:line="288" w:lineRule="auto"/>
        <w:ind w:left="13" w:right="157"/>
      </w:pPr>
      <w:r>
        <w:rPr>
          <w:spacing w:val="-2"/>
        </w:rPr>
        <w:t>5.3</w:t>
      </w:r>
      <w:r>
        <w:rPr>
          <w:spacing w:val="-51"/>
        </w:rPr>
        <w:t xml:space="preserve"> </w:t>
      </w:r>
      <w:r>
        <w:rPr>
          <w:spacing w:val="-2"/>
        </w:rPr>
        <w:t>对招标文件必要的澄清或者修改将以书面形式通知所有获取招标文件的潜在供</w:t>
      </w:r>
      <w:r>
        <w:rPr>
          <w:spacing w:val="-3"/>
        </w:rPr>
        <w:t>应商，</w:t>
      </w:r>
      <w:r>
        <w:t xml:space="preserve"> 并对其具有约束力。供应商在收到上述通知</w:t>
      </w:r>
      <w:r>
        <w:rPr>
          <w:spacing w:val="-1"/>
        </w:rPr>
        <w:t>后，应及时向采购代理机构回函确认。</w:t>
      </w:r>
    </w:p>
    <w:p w14:paraId="5975D6CC">
      <w:pPr>
        <w:pStyle w:val="2"/>
        <w:spacing w:before="198" w:line="225" w:lineRule="auto"/>
        <w:ind w:left="3225"/>
        <w:outlineLvl w:val="1"/>
        <w:rPr>
          <w:sz w:val="31"/>
          <w:szCs w:val="31"/>
        </w:rPr>
      </w:pPr>
      <w:bookmarkStart w:id="23" w:name="bookmark11"/>
      <w:bookmarkEnd w:id="23"/>
      <w:bookmarkStart w:id="24" w:name="bookmark12"/>
      <w:bookmarkEnd w:id="24"/>
      <w:r>
        <w:rPr>
          <w:b/>
          <w:bCs/>
          <w:spacing w:val="6"/>
          <w:sz w:val="31"/>
          <w:szCs w:val="31"/>
        </w:rPr>
        <w:t>三、投标文件的编制</w:t>
      </w:r>
    </w:p>
    <w:p w14:paraId="78932427">
      <w:pPr>
        <w:pStyle w:val="2"/>
        <w:spacing w:before="231" w:line="219" w:lineRule="auto"/>
        <w:ind w:left="11"/>
        <w:outlineLvl w:val="2"/>
      </w:pPr>
      <w:r>
        <w:rPr>
          <w:b/>
          <w:bCs/>
          <w:spacing w:val="-2"/>
        </w:rPr>
        <w:t>6.</w:t>
      </w:r>
      <w:r>
        <w:rPr>
          <w:spacing w:val="-2"/>
        </w:rPr>
        <w:t xml:space="preserve"> </w:t>
      </w:r>
      <w:r>
        <w:rPr>
          <w:b/>
          <w:bCs/>
          <w:spacing w:val="-2"/>
        </w:rPr>
        <w:t>投标范围及投标文件中语言和计量单位</w:t>
      </w:r>
      <w:r>
        <w:rPr>
          <w:b/>
          <w:bCs/>
          <w:spacing w:val="-3"/>
        </w:rPr>
        <w:t>的使用</w:t>
      </w:r>
    </w:p>
    <w:p w14:paraId="33947AAF">
      <w:pPr>
        <w:pStyle w:val="2"/>
        <w:spacing w:before="182" w:line="350" w:lineRule="auto"/>
        <w:ind w:left="9" w:firstLine="1"/>
        <w:jc w:val="both"/>
      </w:pPr>
      <w:r>
        <w:rPr>
          <w:spacing w:val="-4"/>
        </w:rPr>
        <w:t>6.1</w:t>
      </w:r>
      <w:r>
        <w:rPr>
          <w:spacing w:val="-49"/>
        </w:rPr>
        <w:t xml:space="preserve"> </w:t>
      </w:r>
      <w:r>
        <w:rPr>
          <w:spacing w:val="-4"/>
        </w:rPr>
        <w:t>供应商提交的投标文件以及供应商与采购人、采购代理机构有关投标的所有来往文件、</w:t>
      </w:r>
      <w:r>
        <w:t xml:space="preserve"> 函电均应以简体中文书写。供应商可以提交其它语言的资料， </w:t>
      </w:r>
      <w:r>
        <w:rPr>
          <w:spacing w:val="-1"/>
        </w:rPr>
        <w:t>但有关段落必须翻译成简</w:t>
      </w:r>
      <w:r>
        <w:t xml:space="preserve">  </w:t>
      </w:r>
      <w:r>
        <w:rPr>
          <w:spacing w:val="-1"/>
        </w:rPr>
        <w:t>体中文，在有差异时以简体中文为准。</w:t>
      </w:r>
    </w:p>
    <w:p w14:paraId="6E454CBB">
      <w:pPr>
        <w:spacing w:line="350" w:lineRule="auto"/>
        <w:sectPr>
          <w:footerReference r:id="rId13" w:type="default"/>
          <w:pgSz w:w="11910" w:h="16840"/>
          <w:pgMar w:top="1136" w:right="1053" w:bottom="1338" w:left="1457" w:header="855" w:footer="1173" w:gutter="0"/>
          <w:pgNumType w:fmt="decimal"/>
          <w:cols w:space="720" w:num="1"/>
        </w:sectPr>
      </w:pPr>
    </w:p>
    <w:p w14:paraId="50F69F80">
      <w:pPr>
        <w:pStyle w:val="2"/>
        <w:spacing w:before="34" w:line="345" w:lineRule="auto"/>
        <w:ind w:left="10" w:right="19"/>
      </w:pPr>
      <w:r>
        <w:rPr>
          <w:spacing w:val="-1"/>
        </w:rPr>
        <w:t>6.2</w:t>
      </w:r>
      <w:r>
        <w:rPr>
          <w:spacing w:val="-33"/>
        </w:rPr>
        <w:t xml:space="preserve"> </w:t>
      </w:r>
      <w:r>
        <w:rPr>
          <w:spacing w:val="-1"/>
        </w:rPr>
        <w:t>投标文件中所使用的计量单位，除招标文件中有特殊要求外，应采用中华人民共和国</w:t>
      </w:r>
      <w:r>
        <w:t xml:space="preserve"> </w:t>
      </w:r>
      <w:r>
        <w:rPr>
          <w:spacing w:val="-2"/>
        </w:rPr>
        <w:t>法定计量单位。</w:t>
      </w:r>
    </w:p>
    <w:p w14:paraId="5FBD15BA">
      <w:pPr>
        <w:pStyle w:val="2"/>
        <w:spacing w:before="36" w:line="219" w:lineRule="auto"/>
        <w:ind w:left="14"/>
        <w:outlineLvl w:val="2"/>
      </w:pPr>
      <w:r>
        <w:rPr>
          <w:b/>
          <w:bCs/>
          <w:spacing w:val="-4"/>
        </w:rPr>
        <w:t>7.</w:t>
      </w:r>
      <w:r>
        <w:rPr>
          <w:spacing w:val="-4"/>
        </w:rPr>
        <w:t xml:space="preserve"> </w:t>
      </w:r>
      <w:r>
        <w:rPr>
          <w:b/>
          <w:bCs/>
          <w:spacing w:val="-4"/>
        </w:rPr>
        <w:t>投标文件构成</w:t>
      </w:r>
    </w:p>
    <w:p w14:paraId="52F93CC2">
      <w:pPr>
        <w:pStyle w:val="2"/>
        <w:spacing w:before="179" w:line="347" w:lineRule="auto"/>
        <w:ind w:left="37" w:right="19" w:hanging="23"/>
      </w:pPr>
      <w:r>
        <w:rPr>
          <w:spacing w:val="-1"/>
        </w:rPr>
        <w:t>7.1</w:t>
      </w:r>
      <w:r>
        <w:rPr>
          <w:spacing w:val="-37"/>
        </w:rPr>
        <w:t xml:space="preserve"> </w:t>
      </w:r>
      <w:r>
        <w:rPr>
          <w:spacing w:val="-1"/>
        </w:rPr>
        <w:t>供应商应完整地按招标文件提供的投标文件格式编写投标文件，投标文件应包括以下</w:t>
      </w:r>
      <w:r>
        <w:t xml:space="preserve"> </w:t>
      </w:r>
      <w:r>
        <w:rPr>
          <w:spacing w:val="-4"/>
        </w:rPr>
        <w:t>内容：</w:t>
      </w:r>
      <w:r>
        <w:rPr>
          <w:b/>
          <w:bCs/>
          <w:spacing w:val="-4"/>
        </w:rPr>
        <w:t>资格证明文件和商务技术文件</w:t>
      </w:r>
    </w:p>
    <w:p w14:paraId="6A2FCF2D">
      <w:pPr>
        <w:pStyle w:val="2"/>
        <w:spacing w:before="31" w:line="219" w:lineRule="auto"/>
        <w:ind w:left="9"/>
      </w:pPr>
      <w:r>
        <w:rPr>
          <w:b/>
          <w:bCs/>
          <w:spacing w:val="-2"/>
        </w:rPr>
        <w:t>第一部分</w:t>
      </w:r>
      <w:r>
        <w:rPr>
          <w:spacing w:val="-2"/>
        </w:rPr>
        <w:t xml:space="preserve">  </w:t>
      </w:r>
      <w:r>
        <w:rPr>
          <w:b/>
          <w:bCs/>
          <w:spacing w:val="-2"/>
        </w:rPr>
        <w:t>资格证明文件</w:t>
      </w:r>
      <w:r>
        <w:rPr>
          <w:spacing w:val="-2"/>
        </w:rPr>
        <w:t>（详见供应商须知前附表第</w:t>
      </w:r>
      <w:r>
        <w:rPr>
          <w:spacing w:val="-20"/>
        </w:rPr>
        <w:t xml:space="preserve"> </w:t>
      </w:r>
      <w:r>
        <w:rPr>
          <w:spacing w:val="-2"/>
        </w:rPr>
        <w:t>12</w:t>
      </w:r>
      <w:r>
        <w:rPr>
          <w:spacing w:val="-46"/>
        </w:rPr>
        <w:t xml:space="preserve"> </w:t>
      </w:r>
      <w:r>
        <w:rPr>
          <w:spacing w:val="-2"/>
        </w:rPr>
        <w:t>项，格式详见附件九资格证明文</w:t>
      </w:r>
    </w:p>
    <w:p w14:paraId="359828EF">
      <w:pPr>
        <w:pStyle w:val="2"/>
        <w:spacing w:before="184" w:line="219" w:lineRule="auto"/>
        <w:ind w:left="8"/>
      </w:pPr>
      <w:r>
        <w:rPr>
          <w:spacing w:val="-5"/>
        </w:rPr>
        <w:t>件）</w:t>
      </w:r>
    </w:p>
    <w:p w14:paraId="029192CA">
      <w:pPr>
        <w:pStyle w:val="2"/>
        <w:spacing w:before="183" w:line="219" w:lineRule="auto"/>
        <w:ind w:left="9"/>
        <w:outlineLvl w:val="3"/>
      </w:pPr>
      <w:r>
        <w:rPr>
          <w:b/>
          <w:bCs/>
          <w:spacing w:val="-3"/>
        </w:rPr>
        <w:t>第二部分</w:t>
      </w:r>
      <w:r>
        <w:rPr>
          <w:spacing w:val="-3"/>
        </w:rPr>
        <w:t xml:space="preserve">  </w:t>
      </w:r>
      <w:r>
        <w:rPr>
          <w:b/>
          <w:bCs/>
          <w:spacing w:val="-3"/>
        </w:rPr>
        <w:t>商务及技术文件</w:t>
      </w:r>
    </w:p>
    <w:p w14:paraId="0CACD852">
      <w:pPr>
        <w:pStyle w:val="2"/>
        <w:spacing w:before="181" w:line="220" w:lineRule="auto"/>
        <w:ind w:left="26"/>
      </w:pPr>
      <w:r>
        <w:rPr>
          <w:spacing w:val="-6"/>
        </w:rPr>
        <w:t>1、投标函</w:t>
      </w:r>
    </w:p>
    <w:p w14:paraId="7BDCE8C5">
      <w:pPr>
        <w:pStyle w:val="2"/>
        <w:spacing w:before="179" w:line="218" w:lineRule="auto"/>
        <w:ind w:left="12"/>
      </w:pPr>
      <w:r>
        <w:rPr>
          <w:spacing w:val="-2"/>
        </w:rPr>
        <w:t>2、报价一览表</w:t>
      </w:r>
    </w:p>
    <w:p w14:paraId="6883D9D8">
      <w:pPr>
        <w:pStyle w:val="2"/>
        <w:spacing w:before="185" w:line="219" w:lineRule="auto"/>
        <w:ind w:left="13"/>
      </w:pPr>
      <w:r>
        <w:rPr>
          <w:spacing w:val="-2"/>
        </w:rPr>
        <w:t>3、法定代表人身份证明书</w:t>
      </w:r>
    </w:p>
    <w:p w14:paraId="6FD8B157">
      <w:pPr>
        <w:pStyle w:val="2"/>
        <w:spacing w:before="181" w:line="220" w:lineRule="auto"/>
        <w:ind w:left="8"/>
      </w:pPr>
      <w:r>
        <w:rPr>
          <w:spacing w:val="-2"/>
        </w:rPr>
        <w:t>4、投标保证金</w:t>
      </w:r>
    </w:p>
    <w:p w14:paraId="2C1E0E62">
      <w:pPr>
        <w:pStyle w:val="2"/>
        <w:spacing w:before="182" w:line="218" w:lineRule="auto"/>
        <w:ind w:left="13"/>
      </w:pPr>
      <w:r>
        <w:rPr>
          <w:spacing w:val="-2"/>
        </w:rPr>
        <w:t>5、投标报价明细表</w:t>
      </w:r>
    </w:p>
    <w:p w14:paraId="3E20FC19">
      <w:pPr>
        <w:pStyle w:val="2"/>
        <w:spacing w:before="185" w:line="219" w:lineRule="auto"/>
        <w:ind w:left="11"/>
      </w:pPr>
      <w:r>
        <w:rPr>
          <w:spacing w:val="-2"/>
        </w:rPr>
        <w:t>6、商务条款偏离表</w:t>
      </w:r>
    </w:p>
    <w:p w14:paraId="13019298">
      <w:pPr>
        <w:pStyle w:val="2"/>
        <w:spacing w:before="180" w:line="219" w:lineRule="auto"/>
        <w:ind w:left="14"/>
      </w:pPr>
      <w:r>
        <w:rPr>
          <w:spacing w:val="-2"/>
        </w:rPr>
        <w:t>7、采购需求偏离表</w:t>
      </w:r>
    </w:p>
    <w:p w14:paraId="46D0BEC2">
      <w:pPr>
        <w:pStyle w:val="2"/>
        <w:spacing w:before="183" w:line="219" w:lineRule="auto"/>
        <w:ind w:left="10"/>
      </w:pPr>
      <w:r>
        <w:rPr>
          <w:spacing w:val="-2"/>
        </w:rPr>
        <w:t>8、供应商基本情况表</w:t>
      </w:r>
    </w:p>
    <w:p w14:paraId="0CC09DCA">
      <w:pPr>
        <w:pStyle w:val="2"/>
        <w:spacing w:before="182" w:line="220" w:lineRule="auto"/>
        <w:ind w:left="10"/>
      </w:pPr>
      <w:r>
        <w:rPr>
          <w:spacing w:val="-2"/>
        </w:rPr>
        <w:t>9、业绩案例一览表</w:t>
      </w:r>
    </w:p>
    <w:p w14:paraId="7621C923">
      <w:pPr>
        <w:pStyle w:val="2"/>
        <w:spacing w:before="181" w:line="219" w:lineRule="auto"/>
        <w:ind w:left="26"/>
      </w:pPr>
      <w:r>
        <w:rPr>
          <w:spacing w:val="-3"/>
        </w:rPr>
        <w:t>10、拟派项目负责人情况表</w:t>
      </w:r>
    </w:p>
    <w:p w14:paraId="49C70B23">
      <w:pPr>
        <w:pStyle w:val="2"/>
        <w:spacing w:before="181" w:line="219" w:lineRule="auto"/>
        <w:ind w:left="26"/>
      </w:pPr>
      <w:r>
        <w:rPr>
          <w:spacing w:val="-3"/>
        </w:rPr>
        <w:t>11、本项目主要人员配备表</w:t>
      </w:r>
    </w:p>
    <w:p w14:paraId="67810FA1">
      <w:pPr>
        <w:pStyle w:val="2"/>
        <w:spacing w:before="184" w:line="219" w:lineRule="auto"/>
        <w:ind w:left="26"/>
      </w:pPr>
      <w:r>
        <w:rPr>
          <w:spacing w:val="-1"/>
        </w:rPr>
        <w:t>12、中小企业、监狱企业、残疾人福利单</w:t>
      </w:r>
      <w:r>
        <w:rPr>
          <w:spacing w:val="-2"/>
        </w:rPr>
        <w:t>位的声明函</w:t>
      </w:r>
    </w:p>
    <w:p w14:paraId="03B2E753">
      <w:pPr>
        <w:pStyle w:val="2"/>
        <w:spacing w:before="180" w:line="219" w:lineRule="auto"/>
        <w:ind w:left="26"/>
      </w:pPr>
      <w:r>
        <w:rPr>
          <w:spacing w:val="-3"/>
        </w:rPr>
        <w:t>13、供应商服务承诺及方案</w:t>
      </w:r>
    </w:p>
    <w:p w14:paraId="450D75D7">
      <w:pPr>
        <w:pStyle w:val="2"/>
        <w:spacing w:before="184" w:line="219" w:lineRule="auto"/>
        <w:ind w:left="26"/>
      </w:pPr>
      <w:r>
        <w:rPr>
          <w:spacing w:val="-2"/>
        </w:rPr>
        <w:t>14、供应商自行提交的其他文件</w:t>
      </w:r>
    </w:p>
    <w:p w14:paraId="6E448E95">
      <w:pPr>
        <w:pStyle w:val="2"/>
        <w:spacing w:before="180" w:line="219" w:lineRule="auto"/>
        <w:ind w:left="14"/>
        <w:outlineLvl w:val="4"/>
      </w:pPr>
      <w:r>
        <w:rPr>
          <w:spacing w:val="-1"/>
        </w:rPr>
        <w:t>7.2</w:t>
      </w:r>
      <w:r>
        <w:rPr>
          <w:spacing w:val="-49"/>
        </w:rPr>
        <w:t xml:space="preserve"> </w:t>
      </w:r>
      <w:r>
        <w:rPr>
          <w:spacing w:val="-1"/>
        </w:rPr>
        <w:t>上述文件应按照招标文件规定的格式填写、签署和盖章。</w:t>
      </w:r>
    </w:p>
    <w:p w14:paraId="4F3E8D1C">
      <w:pPr>
        <w:pStyle w:val="2"/>
        <w:spacing w:before="185" w:line="219" w:lineRule="auto"/>
        <w:ind w:left="10"/>
        <w:outlineLvl w:val="2"/>
      </w:pPr>
      <w:r>
        <w:rPr>
          <w:b/>
          <w:bCs/>
          <w:spacing w:val="-2"/>
        </w:rPr>
        <w:t>8.</w:t>
      </w:r>
      <w:r>
        <w:rPr>
          <w:spacing w:val="-2"/>
        </w:rPr>
        <w:t xml:space="preserve"> </w:t>
      </w:r>
      <w:r>
        <w:rPr>
          <w:b/>
          <w:bCs/>
          <w:spacing w:val="-2"/>
        </w:rPr>
        <w:t>证明服务的合格性和符合招标文件规定的</w:t>
      </w:r>
      <w:r>
        <w:rPr>
          <w:b/>
          <w:bCs/>
          <w:spacing w:val="-3"/>
        </w:rPr>
        <w:t>文件</w:t>
      </w:r>
    </w:p>
    <w:p w14:paraId="13849DE7">
      <w:pPr>
        <w:pStyle w:val="2"/>
        <w:spacing w:before="182" w:line="289" w:lineRule="auto"/>
        <w:ind w:left="12" w:right="59" w:hanging="2"/>
      </w:pPr>
      <w:r>
        <w:rPr>
          <w:spacing w:val="-1"/>
        </w:rPr>
        <w:t>8.1</w:t>
      </w:r>
      <w:r>
        <w:rPr>
          <w:spacing w:val="-51"/>
        </w:rPr>
        <w:t xml:space="preserve"> </w:t>
      </w:r>
      <w:r>
        <w:rPr>
          <w:spacing w:val="-1"/>
        </w:rPr>
        <w:t>供应商应提交证明文件，证明其拟供</w:t>
      </w:r>
      <w:r>
        <w:rPr>
          <w:spacing w:val="-2"/>
        </w:rPr>
        <w:t>的合同项下的服务的合格性符合招标文件规定。</w:t>
      </w:r>
      <w:r>
        <w:t xml:space="preserve"> </w:t>
      </w:r>
      <w:r>
        <w:rPr>
          <w:spacing w:val="-1"/>
        </w:rPr>
        <w:t>该证明文件是投标文件的一部分。</w:t>
      </w:r>
    </w:p>
    <w:p w14:paraId="2857EF6B">
      <w:pPr>
        <w:pStyle w:val="2"/>
        <w:spacing w:before="181" w:line="219" w:lineRule="auto"/>
        <w:ind w:left="10"/>
      </w:pPr>
      <w:r>
        <w:rPr>
          <w:spacing w:val="-1"/>
        </w:rPr>
        <w:t>8.2</w:t>
      </w:r>
      <w:r>
        <w:rPr>
          <w:spacing w:val="-41"/>
        </w:rPr>
        <w:t xml:space="preserve"> </w:t>
      </w:r>
      <w:r>
        <w:rPr>
          <w:spacing w:val="-1"/>
        </w:rPr>
        <w:t>上款所述的证明文件，可以是文字资料、图纸和数据，它包括：</w:t>
      </w:r>
    </w:p>
    <w:p w14:paraId="3F5B21EA">
      <w:pPr>
        <w:pStyle w:val="2"/>
        <w:spacing w:before="182" w:line="219" w:lineRule="auto"/>
        <w:ind w:left="10"/>
      </w:pPr>
      <w:r>
        <w:rPr>
          <w:spacing w:val="-1"/>
        </w:rPr>
        <w:t>8.2.1</w:t>
      </w:r>
      <w:r>
        <w:rPr>
          <w:spacing w:val="-36"/>
        </w:rPr>
        <w:t xml:space="preserve"> </w:t>
      </w:r>
      <w:r>
        <w:rPr>
          <w:spacing w:val="-1"/>
        </w:rPr>
        <w:t>货物和服务主要技术指标、品质、性能和服务内容及承诺的详细说明。</w:t>
      </w:r>
    </w:p>
    <w:p w14:paraId="5C0BEC50">
      <w:pPr>
        <w:pStyle w:val="2"/>
        <w:spacing w:before="183" w:line="289" w:lineRule="auto"/>
        <w:ind w:left="10" w:right="19"/>
      </w:pPr>
      <w:r>
        <w:t>8.2.2</w:t>
      </w:r>
      <w:r>
        <w:rPr>
          <w:spacing w:val="-52"/>
        </w:rPr>
        <w:t xml:space="preserve"> </w:t>
      </w:r>
      <w:r>
        <w:t>对照招标文件技术规格和服务要求，</w:t>
      </w:r>
      <w:r>
        <w:rPr>
          <w:spacing w:val="-1"/>
        </w:rPr>
        <w:t>逐条说明所提供货物和服务已对招标文件的技</w:t>
      </w:r>
      <w:r>
        <w:t xml:space="preserve"> </w:t>
      </w:r>
      <w:r>
        <w:rPr>
          <w:spacing w:val="-1"/>
        </w:rPr>
        <w:t>术规格做出了响应，或申明与技术规格条文的偏差和例外。</w:t>
      </w:r>
    </w:p>
    <w:p w14:paraId="2C288835">
      <w:pPr>
        <w:spacing w:line="289" w:lineRule="auto"/>
        <w:sectPr>
          <w:headerReference r:id="rId14" w:type="default"/>
          <w:footerReference r:id="rId15" w:type="default"/>
          <w:pgSz w:w="11910" w:h="16840"/>
          <w:pgMar w:top="1136" w:right="1134" w:bottom="1339" w:left="1457" w:header="855" w:footer="1173" w:gutter="0"/>
          <w:pgNumType w:fmt="decimal"/>
          <w:cols w:space="720" w:num="1"/>
        </w:sectPr>
      </w:pPr>
    </w:p>
    <w:p w14:paraId="360E6FFE">
      <w:pPr>
        <w:pStyle w:val="2"/>
        <w:spacing w:before="33" w:line="219" w:lineRule="auto"/>
        <w:ind w:left="10"/>
      </w:pPr>
      <w:r>
        <w:rPr>
          <w:spacing w:val="-1"/>
        </w:rPr>
        <w:t>8.3</w:t>
      </w:r>
      <w:r>
        <w:rPr>
          <w:spacing w:val="-39"/>
        </w:rPr>
        <w:t xml:space="preserve"> </w:t>
      </w:r>
      <w:r>
        <w:rPr>
          <w:spacing w:val="-1"/>
        </w:rPr>
        <w:t>本条所指证明文件不得为对招标文件相关部分的文字、图标的复制。</w:t>
      </w:r>
    </w:p>
    <w:p w14:paraId="0563C7F5">
      <w:pPr>
        <w:pStyle w:val="2"/>
        <w:spacing w:before="181" w:line="218" w:lineRule="auto"/>
        <w:ind w:left="10"/>
        <w:outlineLvl w:val="2"/>
      </w:pPr>
      <w:r>
        <w:rPr>
          <w:b/>
          <w:bCs/>
          <w:spacing w:val="-4"/>
        </w:rPr>
        <w:t>9.投标报价</w:t>
      </w:r>
    </w:p>
    <w:p w14:paraId="689EA5F2">
      <w:pPr>
        <w:pStyle w:val="2"/>
        <w:spacing w:before="185" w:line="288" w:lineRule="auto"/>
        <w:ind w:left="9" w:right="80"/>
      </w:pPr>
      <w:r>
        <w:rPr>
          <w:spacing w:val="-1"/>
        </w:rPr>
        <w:t>9.1</w:t>
      </w:r>
      <w:r>
        <w:rPr>
          <w:spacing w:val="-32"/>
        </w:rPr>
        <w:t xml:space="preserve"> </w:t>
      </w:r>
      <w:r>
        <w:rPr>
          <w:spacing w:val="-1"/>
        </w:rPr>
        <w:t>投标报价须包含所有人工、运输、包装、保险、税费等及其他发生的与本项目相关需</w:t>
      </w:r>
      <w:r>
        <w:t xml:space="preserve"> </w:t>
      </w:r>
      <w:r>
        <w:rPr>
          <w:spacing w:val="-1"/>
        </w:rPr>
        <w:t>计入投标成本的费用。</w:t>
      </w:r>
    </w:p>
    <w:p w14:paraId="12F8A8AD">
      <w:pPr>
        <w:pStyle w:val="2"/>
        <w:spacing w:before="183" w:line="324" w:lineRule="auto"/>
        <w:ind w:left="12" w:right="60" w:hanging="2"/>
      </w:pPr>
      <w:r>
        <w:rPr>
          <w:spacing w:val="-1"/>
        </w:rPr>
        <w:t>9.2</w:t>
      </w:r>
      <w:r>
        <w:rPr>
          <w:spacing w:val="-47"/>
        </w:rPr>
        <w:t xml:space="preserve"> </w:t>
      </w:r>
      <w:r>
        <w:rPr>
          <w:spacing w:val="-1"/>
        </w:rPr>
        <w:t>为保证公平竞争，根据相关法律法规规定，供应商应合理报价。</w:t>
      </w:r>
      <w:r>
        <w:rPr>
          <w:b/>
          <w:bCs/>
          <w:spacing w:val="-1"/>
        </w:rPr>
        <w:t>评标委员会认为供应</w:t>
      </w:r>
      <w:r>
        <w:t xml:space="preserve"> </w:t>
      </w:r>
      <w:r>
        <w:rPr>
          <w:b/>
          <w:bCs/>
          <w:spacing w:val="-4"/>
        </w:rPr>
        <w:t>商的报价明显低于其他通过符合性审查供应商的报价，有可能影响产品质量或者不能诚信</w:t>
      </w:r>
      <w:r>
        <w:t xml:space="preserve"> </w:t>
      </w:r>
      <w:r>
        <w:rPr>
          <w:b/>
          <w:bCs/>
          <w:spacing w:val="-4"/>
        </w:rPr>
        <w:t>履约的，应当要求其在合理的时间内提供书面说明，必要时提交相关证明材料；供应商不</w:t>
      </w:r>
      <w:r>
        <w:rPr>
          <w:spacing w:val="2"/>
        </w:rPr>
        <w:t xml:space="preserve"> </w:t>
      </w:r>
      <w:r>
        <w:rPr>
          <w:b/>
          <w:bCs/>
          <w:spacing w:val="-3"/>
        </w:rPr>
        <w:t>能证明其报价合理性的，将被作为无效投标处理。</w:t>
      </w:r>
    </w:p>
    <w:p w14:paraId="132BFFD0">
      <w:pPr>
        <w:pStyle w:val="2"/>
        <w:spacing w:before="183" w:line="219" w:lineRule="auto"/>
        <w:ind w:left="26"/>
        <w:outlineLvl w:val="2"/>
      </w:pPr>
      <w:r>
        <w:rPr>
          <w:b/>
          <w:bCs/>
          <w:spacing w:val="-4"/>
        </w:rPr>
        <w:t>10.投标保证金和招标服务费</w:t>
      </w:r>
    </w:p>
    <w:p w14:paraId="36C89110">
      <w:pPr>
        <w:pStyle w:val="2"/>
        <w:spacing w:before="179" w:line="347" w:lineRule="auto"/>
        <w:ind w:left="12" w:right="60" w:firstLine="14"/>
      </w:pPr>
      <w:r>
        <w:rPr>
          <w:spacing w:val="-4"/>
        </w:rPr>
        <w:t>10.1</w:t>
      </w:r>
      <w:r>
        <w:rPr>
          <w:spacing w:val="-50"/>
        </w:rPr>
        <w:t xml:space="preserve"> </w:t>
      </w:r>
      <w:r>
        <w:rPr>
          <w:spacing w:val="-4"/>
        </w:rPr>
        <w:t>供应商应按照“供应商须知前附表</w:t>
      </w:r>
      <w:r>
        <w:rPr>
          <w:spacing w:val="-88"/>
        </w:rPr>
        <w:t xml:space="preserve"> </w:t>
      </w:r>
      <w:r>
        <w:rPr>
          <w:spacing w:val="-4"/>
        </w:rPr>
        <w:t>”规定的金额、时间、形式缴纳投</w:t>
      </w:r>
      <w:r>
        <w:rPr>
          <w:spacing w:val="-5"/>
        </w:rPr>
        <w:t>标保证金，并作</w:t>
      </w:r>
      <w:r>
        <w:t xml:space="preserve"> </w:t>
      </w:r>
      <w:r>
        <w:rPr>
          <w:spacing w:val="-2"/>
        </w:rPr>
        <w:t>为其投标的一部分。</w:t>
      </w:r>
    </w:p>
    <w:p w14:paraId="11C71BD1">
      <w:pPr>
        <w:pStyle w:val="2"/>
        <w:spacing w:before="33" w:line="219" w:lineRule="auto"/>
        <w:ind w:left="26"/>
        <w:outlineLvl w:val="3"/>
      </w:pPr>
      <w:r>
        <w:rPr>
          <w:spacing w:val="-2"/>
        </w:rPr>
        <w:t>10.2</w:t>
      </w:r>
      <w:r>
        <w:rPr>
          <w:spacing w:val="-41"/>
        </w:rPr>
        <w:t xml:space="preserve"> </w:t>
      </w:r>
      <w:r>
        <w:rPr>
          <w:spacing w:val="-2"/>
        </w:rPr>
        <w:t>下列任何情况发生，投标保证金将不予退还：</w:t>
      </w:r>
    </w:p>
    <w:p w14:paraId="0F7CA2CF">
      <w:pPr>
        <w:pStyle w:val="2"/>
        <w:spacing w:before="182" w:line="219" w:lineRule="auto"/>
        <w:ind w:left="20"/>
      </w:pPr>
      <w:r>
        <w:rPr>
          <w:spacing w:val="-2"/>
        </w:rPr>
        <w:t>（1）投标有效期内供应商撤销投标文件的；</w:t>
      </w:r>
    </w:p>
    <w:p w14:paraId="67215E55">
      <w:pPr>
        <w:pStyle w:val="2"/>
        <w:spacing w:before="184" w:line="219" w:lineRule="auto"/>
        <w:ind w:left="20"/>
      </w:pPr>
      <w:r>
        <w:rPr>
          <w:spacing w:val="-1"/>
        </w:rPr>
        <w:t>（2）中标人不按有关规定与采购人签订合同的；</w:t>
      </w:r>
    </w:p>
    <w:p w14:paraId="27AF8A5A">
      <w:pPr>
        <w:pStyle w:val="2"/>
        <w:spacing w:before="181" w:line="219" w:lineRule="auto"/>
        <w:ind w:left="20"/>
      </w:pPr>
      <w:r>
        <w:rPr>
          <w:spacing w:val="-1"/>
        </w:rPr>
        <w:t>（3）中标人不按有关规定提交履约保证金的；</w:t>
      </w:r>
    </w:p>
    <w:p w14:paraId="2AE2F40C">
      <w:pPr>
        <w:pStyle w:val="2"/>
        <w:spacing w:before="184" w:line="219" w:lineRule="auto"/>
        <w:ind w:left="20"/>
      </w:pPr>
      <w:r>
        <w:rPr>
          <w:spacing w:val="-2"/>
        </w:rPr>
        <w:t>（4）中标人擅自放弃中标的。</w:t>
      </w:r>
    </w:p>
    <w:p w14:paraId="4D724B9D">
      <w:pPr>
        <w:pStyle w:val="2"/>
        <w:spacing w:before="181" w:line="289" w:lineRule="auto"/>
        <w:ind w:left="30" w:right="60" w:hanging="4"/>
      </w:pPr>
      <w:r>
        <w:rPr>
          <w:spacing w:val="-4"/>
        </w:rPr>
        <w:t>10.3</w:t>
      </w:r>
      <w:r>
        <w:rPr>
          <w:spacing w:val="-28"/>
        </w:rPr>
        <w:t xml:space="preserve"> </w:t>
      </w:r>
      <w:r>
        <w:rPr>
          <w:spacing w:val="-4"/>
        </w:rPr>
        <w:t>中标人的投标保证金，在与采购人签</w:t>
      </w:r>
      <w:r>
        <w:rPr>
          <w:spacing w:val="-5"/>
        </w:rPr>
        <w:t>订书面合同后</w:t>
      </w:r>
      <w:r>
        <w:rPr>
          <w:spacing w:val="-46"/>
        </w:rPr>
        <w:t xml:space="preserve"> </w:t>
      </w:r>
      <w:r>
        <w:rPr>
          <w:spacing w:val="-5"/>
        </w:rPr>
        <w:t>5</w:t>
      </w:r>
      <w:r>
        <w:rPr>
          <w:spacing w:val="-50"/>
        </w:rPr>
        <w:t xml:space="preserve"> </w:t>
      </w:r>
      <w:r>
        <w:rPr>
          <w:spacing w:val="-5"/>
        </w:rPr>
        <w:t>个工作日内无息退还中标人。未</w:t>
      </w:r>
      <w:r>
        <w:t xml:space="preserve"> </w:t>
      </w:r>
      <w:r>
        <w:rPr>
          <w:spacing w:val="-2"/>
        </w:rPr>
        <w:t>中标的供应商的投标保证金，将于中标通知书</w:t>
      </w:r>
      <w:r>
        <w:rPr>
          <w:spacing w:val="-3"/>
        </w:rPr>
        <w:t>发出之日起</w:t>
      </w:r>
      <w:r>
        <w:rPr>
          <w:spacing w:val="-46"/>
        </w:rPr>
        <w:t xml:space="preserve"> </w:t>
      </w:r>
      <w:r>
        <w:rPr>
          <w:spacing w:val="-3"/>
        </w:rPr>
        <w:t>5</w:t>
      </w:r>
      <w:r>
        <w:rPr>
          <w:spacing w:val="-50"/>
        </w:rPr>
        <w:t xml:space="preserve"> </w:t>
      </w:r>
      <w:r>
        <w:rPr>
          <w:spacing w:val="-3"/>
        </w:rPr>
        <w:t>个工作日内无息退还供应商。</w:t>
      </w:r>
    </w:p>
    <w:p w14:paraId="014E4419">
      <w:pPr>
        <w:pStyle w:val="2"/>
        <w:spacing w:before="181" w:line="219" w:lineRule="auto"/>
        <w:jc w:val="right"/>
      </w:pPr>
      <w:r>
        <w:rPr>
          <w:spacing w:val="-3"/>
        </w:rPr>
        <w:t>10.4</w:t>
      </w:r>
      <w:r>
        <w:rPr>
          <w:spacing w:val="-28"/>
        </w:rPr>
        <w:t xml:space="preserve"> </w:t>
      </w:r>
      <w:r>
        <w:rPr>
          <w:spacing w:val="-3"/>
        </w:rPr>
        <w:t>中标人应按照“供应商须知前附表</w:t>
      </w:r>
      <w:r>
        <w:rPr>
          <w:spacing w:val="-88"/>
        </w:rPr>
        <w:t xml:space="preserve"> </w:t>
      </w:r>
      <w:r>
        <w:rPr>
          <w:spacing w:val="-3"/>
        </w:rPr>
        <w:t>”中的规定在领取中标通知书</w:t>
      </w:r>
      <w:r>
        <w:rPr>
          <w:spacing w:val="-4"/>
        </w:rPr>
        <w:t>时交付招标服务费。</w:t>
      </w:r>
    </w:p>
    <w:p w14:paraId="1DD91F28">
      <w:pPr>
        <w:pStyle w:val="2"/>
        <w:spacing w:before="183" w:line="219" w:lineRule="auto"/>
        <w:ind w:left="26"/>
      </w:pPr>
      <w:r>
        <w:rPr>
          <w:b/>
          <w:bCs/>
          <w:spacing w:val="-6"/>
        </w:rPr>
        <w:t>10.5</w:t>
      </w:r>
      <w:r>
        <w:rPr>
          <w:spacing w:val="-19"/>
        </w:rPr>
        <w:t xml:space="preserve"> </w:t>
      </w:r>
      <w:r>
        <w:rPr>
          <w:b/>
          <w:bCs/>
          <w:spacing w:val="-6"/>
        </w:rPr>
        <w:t>中标人在办理退还投标保证金时，须提供采购合同的扫描件（PDF</w:t>
      </w:r>
      <w:r>
        <w:rPr>
          <w:spacing w:val="-51"/>
        </w:rPr>
        <w:t xml:space="preserve"> </w:t>
      </w:r>
      <w:r>
        <w:rPr>
          <w:b/>
          <w:bCs/>
          <w:spacing w:val="-6"/>
        </w:rPr>
        <w:t>格式）。</w:t>
      </w:r>
    </w:p>
    <w:p w14:paraId="675B6025">
      <w:pPr>
        <w:pStyle w:val="2"/>
        <w:spacing w:before="182" w:line="220" w:lineRule="auto"/>
        <w:ind w:left="26"/>
        <w:outlineLvl w:val="2"/>
      </w:pPr>
      <w:r>
        <w:rPr>
          <w:b/>
          <w:bCs/>
          <w:spacing w:val="-6"/>
        </w:rPr>
        <w:t>11.投标有效期</w:t>
      </w:r>
    </w:p>
    <w:p w14:paraId="72DAE0DD">
      <w:pPr>
        <w:pStyle w:val="2"/>
        <w:spacing w:before="180" w:line="313" w:lineRule="auto"/>
        <w:ind w:left="9" w:right="60" w:firstLine="17"/>
      </w:pPr>
      <w:r>
        <w:rPr>
          <w:spacing w:val="-3"/>
        </w:rPr>
        <w:t>11.1</w:t>
      </w:r>
      <w:r>
        <w:rPr>
          <w:spacing w:val="-47"/>
        </w:rPr>
        <w:t xml:space="preserve"> </w:t>
      </w:r>
      <w:r>
        <w:rPr>
          <w:spacing w:val="-3"/>
        </w:rPr>
        <w:t>投标有效期从提交投标文件的截止之日起</w:t>
      </w:r>
      <w:r>
        <w:rPr>
          <w:spacing w:val="-4"/>
        </w:rPr>
        <w:t>算，投标文件中承诺的投标有效期应当不少</w:t>
      </w:r>
      <w:r>
        <w:t xml:space="preserve"> </w:t>
      </w:r>
      <w:r>
        <w:rPr>
          <w:spacing w:val="-3"/>
        </w:rPr>
        <w:t>于招标文件“供应商须知前附表</w:t>
      </w:r>
      <w:r>
        <w:rPr>
          <w:spacing w:val="-88"/>
        </w:rPr>
        <w:t xml:space="preserve"> </w:t>
      </w:r>
      <w:r>
        <w:rPr>
          <w:spacing w:val="-3"/>
        </w:rPr>
        <w:t>”中载明的投标有效期，</w:t>
      </w:r>
      <w:r>
        <w:rPr>
          <w:b/>
          <w:bCs/>
          <w:spacing w:val="-3"/>
        </w:rPr>
        <w:t>投标有效期不满足要求</w:t>
      </w:r>
      <w:r>
        <w:rPr>
          <w:b/>
          <w:bCs/>
          <w:spacing w:val="-4"/>
        </w:rPr>
        <w:t>的投标将</w:t>
      </w:r>
      <w:r>
        <w:t xml:space="preserve"> </w:t>
      </w:r>
      <w:r>
        <w:rPr>
          <w:b/>
          <w:bCs/>
          <w:spacing w:val="-3"/>
        </w:rPr>
        <w:t>被作为无效投标处理。</w:t>
      </w:r>
    </w:p>
    <w:p w14:paraId="1BECADE2">
      <w:pPr>
        <w:pStyle w:val="2"/>
        <w:spacing w:before="181" w:line="324" w:lineRule="auto"/>
        <w:ind w:left="10" w:right="60" w:firstLine="16"/>
      </w:pPr>
      <w:r>
        <w:rPr>
          <w:spacing w:val="-3"/>
        </w:rPr>
        <w:t>11.2</w:t>
      </w:r>
      <w:r>
        <w:rPr>
          <w:spacing w:val="-51"/>
        </w:rPr>
        <w:t xml:space="preserve"> </w:t>
      </w:r>
      <w:r>
        <w:rPr>
          <w:spacing w:val="-3"/>
        </w:rPr>
        <w:t>采购人可根据实际情况，在原投标有效期截止之前</w:t>
      </w:r>
      <w:r>
        <w:rPr>
          <w:spacing w:val="-4"/>
        </w:rPr>
        <w:t>，要求供应商同意延长投标的有效</w:t>
      </w:r>
      <w:r>
        <w:t xml:space="preserve"> </w:t>
      </w:r>
      <w:r>
        <w:rPr>
          <w:spacing w:val="-1"/>
        </w:rPr>
        <w:t>期。接受该要求的供应商将不会被要求和允许修正其投标</w:t>
      </w:r>
      <w:r>
        <w:rPr>
          <w:spacing w:val="-2"/>
        </w:rPr>
        <w:t>，且本须知中有关投标保证金的</w:t>
      </w:r>
      <w:r>
        <w:t xml:space="preserve"> </w:t>
      </w:r>
      <w:r>
        <w:rPr>
          <w:spacing w:val="-1"/>
        </w:rPr>
        <w:t>要求将在延长了的有效期内继续有效。供应商也可以拒绝</w:t>
      </w:r>
      <w:r>
        <w:rPr>
          <w:spacing w:val="-2"/>
        </w:rPr>
        <w:t>采购人的这种要求，其投标保证</w:t>
      </w:r>
      <w:r>
        <w:t xml:space="preserve"> </w:t>
      </w:r>
      <w:r>
        <w:rPr>
          <w:spacing w:val="-1"/>
        </w:rPr>
        <w:t>金将不会被没收。上述要求和答复都应以书面形式提交。</w:t>
      </w:r>
    </w:p>
    <w:p w14:paraId="62F78E6B">
      <w:pPr>
        <w:pStyle w:val="2"/>
        <w:spacing w:before="183" w:line="219" w:lineRule="auto"/>
        <w:ind w:left="26"/>
        <w:outlineLvl w:val="2"/>
      </w:pPr>
      <w:r>
        <w:rPr>
          <w:b/>
          <w:bCs/>
          <w:spacing w:val="-4"/>
        </w:rPr>
        <w:t>12.</w:t>
      </w:r>
      <w:r>
        <w:rPr>
          <w:spacing w:val="-4"/>
        </w:rPr>
        <w:t xml:space="preserve"> </w:t>
      </w:r>
      <w:r>
        <w:rPr>
          <w:b/>
          <w:bCs/>
          <w:spacing w:val="-4"/>
        </w:rPr>
        <w:t>投标文件的份数及签署、盖章规定</w:t>
      </w:r>
    </w:p>
    <w:p w14:paraId="56B2E952">
      <w:pPr>
        <w:pStyle w:val="2"/>
        <w:spacing w:before="181" w:line="219" w:lineRule="auto"/>
        <w:ind w:left="26"/>
      </w:pPr>
      <w:r>
        <w:rPr>
          <w:spacing w:val="-1"/>
        </w:rPr>
        <w:t>12.1</w:t>
      </w:r>
      <w:r>
        <w:rPr>
          <w:spacing w:val="-51"/>
        </w:rPr>
        <w:t xml:space="preserve"> </w:t>
      </w:r>
      <w:r>
        <w:rPr>
          <w:spacing w:val="-1"/>
        </w:rPr>
        <w:t>供应商应按照“第二章 供应商须知前附表</w:t>
      </w:r>
      <w:r>
        <w:rPr>
          <w:spacing w:val="-88"/>
        </w:rPr>
        <w:t xml:space="preserve"> </w:t>
      </w:r>
      <w:r>
        <w:rPr>
          <w:spacing w:val="-1"/>
        </w:rPr>
        <w:t>”的规定提交</w:t>
      </w:r>
      <w:r>
        <w:rPr>
          <w:spacing w:val="-2"/>
        </w:rPr>
        <w:t>投标文件，资格证明文件，</w:t>
      </w:r>
    </w:p>
    <w:p w14:paraId="1FE59B69">
      <w:pPr>
        <w:spacing w:line="219" w:lineRule="auto"/>
        <w:sectPr>
          <w:headerReference r:id="rId16" w:type="default"/>
          <w:footerReference r:id="rId17" w:type="default"/>
          <w:pgSz w:w="11910" w:h="16840"/>
          <w:pgMar w:top="1136" w:right="1073" w:bottom="1339" w:left="1457" w:header="855" w:footer="1174" w:gutter="0"/>
          <w:pgNumType w:fmt="decimal"/>
          <w:cols w:space="720" w:num="1"/>
        </w:sectPr>
      </w:pPr>
    </w:p>
    <w:p w14:paraId="75107269">
      <w:pPr>
        <w:pStyle w:val="2"/>
        <w:spacing w:before="32" w:line="345" w:lineRule="auto"/>
        <w:ind w:left="10" w:firstLine="3"/>
      </w:pPr>
      <w:r>
        <w:rPr>
          <w:spacing w:val="-3"/>
        </w:rPr>
        <w:t>商务技术文件正本、副本，每份投标文件须清楚地标明“正本</w:t>
      </w:r>
      <w:r>
        <w:rPr>
          <w:spacing w:val="-88"/>
        </w:rPr>
        <w:t xml:space="preserve"> </w:t>
      </w:r>
      <w:r>
        <w:rPr>
          <w:spacing w:val="-3"/>
        </w:rPr>
        <w:t>”或“副本</w:t>
      </w:r>
      <w:r>
        <w:rPr>
          <w:spacing w:val="-88"/>
        </w:rPr>
        <w:t xml:space="preserve"> </w:t>
      </w:r>
      <w:r>
        <w:rPr>
          <w:spacing w:val="-3"/>
        </w:rPr>
        <w:t>”。若正</w:t>
      </w:r>
      <w:r>
        <w:rPr>
          <w:spacing w:val="-4"/>
        </w:rPr>
        <w:t>本与副</w:t>
      </w:r>
      <w:r>
        <w:t xml:space="preserve"> </w:t>
      </w:r>
      <w:r>
        <w:rPr>
          <w:spacing w:val="-2"/>
        </w:rPr>
        <w:t>本不符，以正本为准。</w:t>
      </w:r>
    </w:p>
    <w:p w14:paraId="55A226A1">
      <w:pPr>
        <w:pStyle w:val="2"/>
        <w:spacing w:before="36" w:line="324" w:lineRule="auto"/>
        <w:ind w:left="9" w:firstLine="17"/>
      </w:pPr>
      <w:r>
        <w:rPr>
          <w:spacing w:val="-3"/>
        </w:rPr>
        <w:t>12.2</w:t>
      </w:r>
      <w:r>
        <w:rPr>
          <w:spacing w:val="-47"/>
        </w:rPr>
        <w:t xml:space="preserve"> </w:t>
      </w:r>
      <w:r>
        <w:rPr>
          <w:spacing w:val="-3"/>
        </w:rPr>
        <w:t>投标文件的正本需打印或用不退色墨水书</w:t>
      </w:r>
      <w:r>
        <w:rPr>
          <w:spacing w:val="-4"/>
        </w:rPr>
        <w:t>写，并按要求由供应商的法定代表人或经其</w:t>
      </w:r>
      <w:r>
        <w:t xml:space="preserve"> </w:t>
      </w:r>
      <w:r>
        <w:rPr>
          <w:spacing w:val="-1"/>
        </w:rPr>
        <w:t>正式授权的代表在投标文件上签字并加盖供应商公章。如对</w:t>
      </w:r>
      <w:r>
        <w:rPr>
          <w:spacing w:val="-2"/>
        </w:rPr>
        <w:t>投标文件进行了修改，则应由</w:t>
      </w:r>
      <w:r>
        <w:t xml:space="preserve"> </w:t>
      </w:r>
      <w:r>
        <w:rPr>
          <w:spacing w:val="5"/>
        </w:rPr>
        <w:t>供应商的法定代表人或经其正式授权的代表在修改的内容上签字。投标文件应当装</w:t>
      </w:r>
      <w:r>
        <w:rPr>
          <w:spacing w:val="4"/>
        </w:rPr>
        <w:t>订成</w:t>
      </w:r>
      <w:r>
        <w:t xml:space="preserve"> </w:t>
      </w:r>
      <w:r>
        <w:rPr>
          <w:spacing w:val="-1"/>
        </w:rPr>
        <w:t>册，编制页码。投标文件的副本可采用正本的复印件。</w:t>
      </w:r>
    </w:p>
    <w:p w14:paraId="2B908304">
      <w:pPr>
        <w:pStyle w:val="2"/>
        <w:spacing w:before="184" w:line="289" w:lineRule="auto"/>
        <w:ind w:left="8" w:firstLine="18"/>
      </w:pPr>
      <w:r>
        <w:rPr>
          <w:spacing w:val="-3"/>
        </w:rPr>
        <w:t>12.3</w:t>
      </w:r>
      <w:r>
        <w:rPr>
          <w:spacing w:val="-51"/>
        </w:rPr>
        <w:t xml:space="preserve"> </w:t>
      </w:r>
      <w:r>
        <w:rPr>
          <w:spacing w:val="-3"/>
        </w:rPr>
        <w:t>任何行间插字、涂改和增删，必须由供应商法定代</w:t>
      </w:r>
      <w:r>
        <w:rPr>
          <w:spacing w:val="-4"/>
        </w:rPr>
        <w:t>表人或经其正式授权的代表签字后</w:t>
      </w:r>
      <w:r>
        <w:t xml:space="preserve"> </w:t>
      </w:r>
      <w:r>
        <w:rPr>
          <w:spacing w:val="-3"/>
        </w:rPr>
        <w:t>才有效。</w:t>
      </w:r>
    </w:p>
    <w:p w14:paraId="71D54484">
      <w:pPr>
        <w:pStyle w:val="2"/>
        <w:spacing w:before="180" w:line="219" w:lineRule="auto"/>
        <w:ind w:left="26"/>
      </w:pPr>
      <w:r>
        <w:rPr>
          <w:spacing w:val="-1"/>
        </w:rPr>
        <w:t>12.4</w:t>
      </w:r>
      <w:r>
        <w:rPr>
          <w:spacing w:val="-48"/>
        </w:rPr>
        <w:t xml:space="preserve"> </w:t>
      </w:r>
      <w:r>
        <w:rPr>
          <w:spacing w:val="-1"/>
        </w:rPr>
        <w:t>投标文件因字迹潦草或表达不清所引起</w:t>
      </w:r>
      <w:r>
        <w:rPr>
          <w:spacing w:val="-2"/>
        </w:rPr>
        <w:t>的后果由供应商负责。</w:t>
      </w:r>
    </w:p>
    <w:p w14:paraId="3A3CC769">
      <w:pPr>
        <w:pStyle w:val="2"/>
        <w:spacing w:before="195" w:line="225" w:lineRule="auto"/>
        <w:ind w:left="3255"/>
        <w:outlineLvl w:val="1"/>
        <w:rPr>
          <w:sz w:val="31"/>
          <w:szCs w:val="31"/>
        </w:rPr>
      </w:pPr>
      <w:bookmarkStart w:id="25" w:name="bookmark14"/>
      <w:bookmarkEnd w:id="25"/>
      <w:bookmarkStart w:id="26" w:name="bookmark13"/>
      <w:bookmarkEnd w:id="26"/>
      <w:r>
        <w:rPr>
          <w:b/>
          <w:bCs/>
          <w:spacing w:val="3"/>
          <w:sz w:val="31"/>
          <w:szCs w:val="31"/>
        </w:rPr>
        <w:t>四、投标文件的递交</w:t>
      </w:r>
    </w:p>
    <w:p w14:paraId="0DD26D25">
      <w:pPr>
        <w:pStyle w:val="2"/>
        <w:spacing w:before="233" w:line="219" w:lineRule="auto"/>
        <w:ind w:left="26"/>
        <w:outlineLvl w:val="2"/>
      </w:pPr>
      <w:r>
        <w:rPr>
          <w:b/>
          <w:bCs/>
          <w:spacing w:val="-4"/>
        </w:rPr>
        <w:t>13.投标文件的密封和标记</w:t>
      </w:r>
    </w:p>
    <w:p w14:paraId="70E6E49E">
      <w:pPr>
        <w:pStyle w:val="2"/>
        <w:spacing w:before="180" w:line="313" w:lineRule="auto"/>
        <w:ind w:left="9" w:firstLine="17"/>
      </w:pPr>
      <w:r>
        <w:rPr>
          <w:spacing w:val="-3"/>
        </w:rPr>
        <w:t>13.1</w:t>
      </w:r>
      <w:r>
        <w:rPr>
          <w:spacing w:val="-50"/>
        </w:rPr>
        <w:t xml:space="preserve"> </w:t>
      </w:r>
      <w:r>
        <w:rPr>
          <w:spacing w:val="-3"/>
        </w:rPr>
        <w:t>供应商应通过电子响应文件制作工具严格按招标</w:t>
      </w:r>
      <w:r>
        <w:rPr>
          <w:spacing w:val="-4"/>
        </w:rPr>
        <w:t>文件要求制作投标文件，在投标截止</w:t>
      </w:r>
      <w:r>
        <w:t xml:space="preserve"> </w:t>
      </w:r>
      <w:r>
        <w:rPr>
          <w:spacing w:val="1"/>
        </w:rPr>
        <w:t>时间前完成上传经数字证书电子签章并加密的投标文件（加密和解密须用同一把</w:t>
      </w:r>
      <w:r>
        <w:rPr>
          <w:spacing w:val="-42"/>
        </w:rPr>
        <w:t xml:space="preserve"> </w:t>
      </w:r>
      <w:r>
        <w:t>CA</w:t>
      </w:r>
      <w:r>
        <w:rPr>
          <w:spacing w:val="-47"/>
        </w:rPr>
        <w:t xml:space="preserve"> </w:t>
      </w:r>
      <w:r>
        <w:rPr>
          <w:spacing w:val="1"/>
        </w:rPr>
        <w:t>数字</w:t>
      </w:r>
      <w:r>
        <w:t xml:space="preserve"> </w:t>
      </w:r>
      <w:r>
        <w:rPr>
          <w:spacing w:val="-25"/>
        </w:rPr>
        <w:t>证书）。</w:t>
      </w:r>
    </w:p>
    <w:p w14:paraId="43051454">
      <w:pPr>
        <w:pStyle w:val="2"/>
        <w:spacing w:before="183" w:line="288" w:lineRule="auto"/>
        <w:ind w:left="10" w:firstLine="16"/>
      </w:pPr>
      <w:r>
        <w:rPr>
          <w:spacing w:val="-3"/>
        </w:rPr>
        <w:t>13.2</w:t>
      </w:r>
      <w:r>
        <w:rPr>
          <w:spacing w:val="-50"/>
        </w:rPr>
        <w:t xml:space="preserve"> </w:t>
      </w:r>
      <w:r>
        <w:rPr>
          <w:spacing w:val="-3"/>
        </w:rPr>
        <w:t>供应商在投标截止时间前，可以对其所递交的投</w:t>
      </w:r>
      <w:r>
        <w:rPr>
          <w:spacing w:val="-4"/>
        </w:rPr>
        <w:t>标文件进行修改并重新上传，但以投</w:t>
      </w:r>
      <w:r>
        <w:t xml:space="preserve"> </w:t>
      </w:r>
      <w:r>
        <w:rPr>
          <w:spacing w:val="-1"/>
        </w:rPr>
        <w:t>标截止时间前最后一次上传的投标文件为有效投标文件。</w:t>
      </w:r>
    </w:p>
    <w:p w14:paraId="4FB69496">
      <w:pPr>
        <w:pStyle w:val="2"/>
        <w:spacing w:before="183" w:line="220" w:lineRule="auto"/>
        <w:ind w:left="26"/>
        <w:outlineLvl w:val="2"/>
      </w:pPr>
      <w:r>
        <w:rPr>
          <w:b/>
          <w:bCs/>
          <w:spacing w:val="-5"/>
        </w:rPr>
        <w:t>14.投标截止时间</w:t>
      </w:r>
    </w:p>
    <w:p w14:paraId="4079C52A">
      <w:pPr>
        <w:pStyle w:val="2"/>
        <w:spacing w:before="182" w:line="289" w:lineRule="auto"/>
        <w:ind w:left="27" w:hanging="1"/>
      </w:pPr>
      <w:r>
        <w:rPr>
          <w:spacing w:val="-3"/>
        </w:rPr>
        <w:t>14.1</w:t>
      </w:r>
      <w:r>
        <w:rPr>
          <w:spacing w:val="-47"/>
        </w:rPr>
        <w:t xml:space="preserve"> </w:t>
      </w:r>
      <w:r>
        <w:rPr>
          <w:spacing w:val="-3"/>
        </w:rPr>
        <w:t>投标截止时间以政采云交易平台显示的时</w:t>
      </w:r>
      <w:r>
        <w:rPr>
          <w:spacing w:val="-4"/>
        </w:rPr>
        <w:t>间为准，逾期系统将自动关闭，未完成上传</w:t>
      </w:r>
      <w:r>
        <w:t xml:space="preserve"> </w:t>
      </w:r>
      <w:r>
        <w:rPr>
          <w:spacing w:val="-2"/>
        </w:rPr>
        <w:t>的投标文件视为逾期送达，将被拒绝。</w:t>
      </w:r>
    </w:p>
    <w:p w14:paraId="099BCBF0">
      <w:pPr>
        <w:pStyle w:val="2"/>
        <w:spacing w:before="182" w:line="289" w:lineRule="auto"/>
        <w:ind w:left="10" w:firstLine="16"/>
      </w:pPr>
      <w:r>
        <w:rPr>
          <w:spacing w:val="-3"/>
        </w:rPr>
        <w:t>14.2</w:t>
      </w:r>
      <w:r>
        <w:rPr>
          <w:spacing w:val="-46"/>
        </w:rPr>
        <w:t xml:space="preserve"> </w:t>
      </w:r>
      <w:r>
        <w:rPr>
          <w:spacing w:val="-3"/>
        </w:rPr>
        <w:t>如有特殊情况，采购组织机构延长截止</w:t>
      </w:r>
      <w:r>
        <w:rPr>
          <w:spacing w:val="-4"/>
        </w:rPr>
        <w:t>时间和开标时间，采购组织机构和供应商的权</w:t>
      </w:r>
      <w:r>
        <w:t xml:space="preserve"> </w:t>
      </w:r>
      <w:r>
        <w:rPr>
          <w:spacing w:val="-1"/>
        </w:rPr>
        <w:t>利和义务将受到新的截止时间和开标时间的约束。</w:t>
      </w:r>
    </w:p>
    <w:p w14:paraId="1F306FC1">
      <w:pPr>
        <w:pStyle w:val="2"/>
        <w:spacing w:before="183" w:line="219" w:lineRule="auto"/>
        <w:ind w:left="26"/>
        <w:outlineLvl w:val="2"/>
      </w:pPr>
      <w:r>
        <w:rPr>
          <w:b/>
          <w:bCs/>
          <w:spacing w:val="-4"/>
        </w:rPr>
        <w:t>15.投标文件的修改和撤回</w:t>
      </w:r>
    </w:p>
    <w:p w14:paraId="33B6A983">
      <w:pPr>
        <w:pStyle w:val="2"/>
        <w:spacing w:before="182" w:line="312" w:lineRule="auto"/>
        <w:ind w:left="9" w:firstLine="17"/>
      </w:pPr>
      <w:r>
        <w:rPr>
          <w:spacing w:val="-3"/>
        </w:rPr>
        <w:t>15.1</w:t>
      </w:r>
      <w:r>
        <w:rPr>
          <w:spacing w:val="-50"/>
        </w:rPr>
        <w:t xml:space="preserve"> </w:t>
      </w:r>
      <w:r>
        <w:rPr>
          <w:spacing w:val="-3"/>
        </w:rPr>
        <w:t>供应商应当在投标截止时间前完成电子交易文件</w:t>
      </w:r>
      <w:r>
        <w:rPr>
          <w:spacing w:val="-4"/>
        </w:rPr>
        <w:t>的传输递交，投标截止时间前可以补</w:t>
      </w:r>
      <w:r>
        <w:t xml:space="preserve"> </w:t>
      </w:r>
      <w:r>
        <w:rPr>
          <w:spacing w:val="-1"/>
        </w:rPr>
        <w:t>充、修改或者撤回电子交易文件。补充或者修改电子交易文</w:t>
      </w:r>
      <w:r>
        <w:rPr>
          <w:spacing w:val="-2"/>
        </w:rPr>
        <w:t>件的，应当先行撤回原文件，</w:t>
      </w:r>
      <w:r>
        <w:t xml:space="preserve"> </w:t>
      </w:r>
      <w:r>
        <w:rPr>
          <w:spacing w:val="-1"/>
        </w:rPr>
        <w:t>补充、修改后重新传输递交。</w:t>
      </w:r>
    </w:p>
    <w:p w14:paraId="5CE92D0C">
      <w:pPr>
        <w:pStyle w:val="2"/>
        <w:spacing w:before="181" w:line="313" w:lineRule="auto"/>
        <w:ind w:left="11" w:firstLine="15"/>
      </w:pPr>
      <w:r>
        <w:rPr>
          <w:spacing w:val="-3"/>
        </w:rPr>
        <w:t>15.2</w:t>
      </w:r>
      <w:r>
        <w:rPr>
          <w:spacing w:val="-47"/>
        </w:rPr>
        <w:t xml:space="preserve"> </w:t>
      </w:r>
      <w:r>
        <w:rPr>
          <w:spacing w:val="-3"/>
        </w:rPr>
        <w:t>投标截止时间前未完成传输的，视为投标</w:t>
      </w:r>
      <w:r>
        <w:rPr>
          <w:spacing w:val="-4"/>
        </w:rPr>
        <w:t>文件撤回。投标截止时间后传输递交的投标</w:t>
      </w:r>
      <w:r>
        <w:t xml:space="preserve"> </w:t>
      </w:r>
      <w:r>
        <w:rPr>
          <w:spacing w:val="-2"/>
        </w:rPr>
        <w:t>文件，“政采云</w:t>
      </w:r>
      <w:r>
        <w:rPr>
          <w:spacing w:val="-86"/>
        </w:rPr>
        <w:t xml:space="preserve"> </w:t>
      </w:r>
      <w:r>
        <w:rPr>
          <w:spacing w:val="-2"/>
        </w:rPr>
        <w:t>”平台将予以拒收。投标截止时间后，供应商不得</w:t>
      </w:r>
      <w:r>
        <w:rPr>
          <w:spacing w:val="-3"/>
        </w:rPr>
        <w:t>修改（补充）或撤回其</w:t>
      </w:r>
      <w:r>
        <w:t xml:space="preserve"> </w:t>
      </w:r>
      <w:r>
        <w:rPr>
          <w:spacing w:val="-3"/>
        </w:rPr>
        <w:t>投标文件。</w:t>
      </w:r>
    </w:p>
    <w:p w14:paraId="78DDC58E">
      <w:pPr>
        <w:pStyle w:val="2"/>
        <w:spacing w:before="195" w:line="225" w:lineRule="auto"/>
        <w:ind w:left="3552"/>
        <w:outlineLvl w:val="1"/>
        <w:rPr>
          <w:sz w:val="31"/>
          <w:szCs w:val="31"/>
        </w:rPr>
      </w:pPr>
      <w:bookmarkStart w:id="27" w:name="bookmark15"/>
      <w:bookmarkEnd w:id="27"/>
      <w:bookmarkStart w:id="28" w:name="bookmark16"/>
      <w:bookmarkEnd w:id="28"/>
      <w:r>
        <w:rPr>
          <w:b/>
          <w:bCs/>
          <w:spacing w:val="5"/>
          <w:sz w:val="31"/>
          <w:szCs w:val="31"/>
        </w:rPr>
        <w:t>五、开标与评标</w:t>
      </w:r>
    </w:p>
    <w:p w14:paraId="4939D1E1">
      <w:pPr>
        <w:pStyle w:val="2"/>
        <w:spacing w:before="232" w:line="220" w:lineRule="auto"/>
        <w:ind w:left="26"/>
        <w:outlineLvl w:val="2"/>
      </w:pPr>
      <w:r>
        <w:rPr>
          <w:b/>
          <w:bCs/>
          <w:spacing w:val="-8"/>
        </w:rPr>
        <w:t>16.开标</w:t>
      </w:r>
    </w:p>
    <w:p w14:paraId="2B5D2A4D">
      <w:pPr>
        <w:spacing w:line="220" w:lineRule="auto"/>
        <w:sectPr>
          <w:headerReference r:id="rId18" w:type="default"/>
          <w:footerReference r:id="rId19" w:type="default"/>
          <w:pgSz w:w="11910" w:h="16840"/>
          <w:pgMar w:top="1136" w:right="1134" w:bottom="1338" w:left="1457" w:header="855" w:footer="1174" w:gutter="0"/>
          <w:pgNumType w:fmt="decimal"/>
          <w:cols w:space="720" w:num="1"/>
        </w:sectPr>
      </w:pPr>
    </w:p>
    <w:p w14:paraId="26359C92">
      <w:pPr>
        <w:pStyle w:val="2"/>
        <w:spacing w:before="34" w:line="288" w:lineRule="auto"/>
        <w:ind w:left="10" w:right="2" w:firstLine="16"/>
      </w:pPr>
      <w:r>
        <w:rPr>
          <w:spacing w:val="2"/>
        </w:rPr>
        <w:t>16.1</w:t>
      </w:r>
      <w:r>
        <w:rPr>
          <w:spacing w:val="-32"/>
        </w:rPr>
        <w:t xml:space="preserve"> </w:t>
      </w:r>
      <w:r>
        <w:rPr>
          <w:spacing w:val="2"/>
        </w:rPr>
        <w:t>采购人和采购代理机构将按供应商须知前附表中规定的开标时间和地点组织公开开</w:t>
      </w:r>
      <w:r>
        <w:t xml:space="preserve"> </w:t>
      </w:r>
      <w:r>
        <w:rPr>
          <w:spacing w:val="-2"/>
        </w:rPr>
        <w:t>标并邀请所有供应商代表参加。</w:t>
      </w:r>
      <w:r>
        <w:rPr>
          <w:b/>
          <w:bCs/>
          <w:spacing w:val="-2"/>
        </w:rPr>
        <w:t>供应商不足</w:t>
      </w:r>
      <w:r>
        <w:rPr>
          <w:spacing w:val="-47"/>
        </w:rPr>
        <w:t xml:space="preserve"> </w:t>
      </w:r>
      <w:r>
        <w:rPr>
          <w:rFonts w:ascii="Calibri" w:hAnsi="Calibri" w:eastAsia="Calibri" w:cs="Calibri"/>
          <w:b/>
          <w:bCs/>
          <w:spacing w:val="-2"/>
        </w:rPr>
        <w:t>3</w:t>
      </w:r>
      <w:r>
        <w:rPr>
          <w:rFonts w:ascii="Calibri" w:hAnsi="Calibri" w:eastAsia="Calibri" w:cs="Calibri"/>
          <w:b/>
          <w:bCs/>
          <w:spacing w:val="18"/>
        </w:rPr>
        <w:t xml:space="preserve"> </w:t>
      </w:r>
      <w:r>
        <w:rPr>
          <w:b/>
          <w:bCs/>
          <w:spacing w:val="-2"/>
        </w:rPr>
        <w:t>家的，不得</w:t>
      </w:r>
      <w:r>
        <w:rPr>
          <w:b/>
          <w:bCs/>
          <w:spacing w:val="-3"/>
        </w:rPr>
        <w:t>开标。</w:t>
      </w:r>
    </w:p>
    <w:p w14:paraId="3ECD2528">
      <w:pPr>
        <w:pStyle w:val="2"/>
        <w:spacing w:before="183" w:line="289" w:lineRule="auto"/>
        <w:ind w:left="8" w:right="2" w:firstLine="18"/>
      </w:pPr>
      <w:r>
        <w:rPr>
          <w:spacing w:val="2"/>
        </w:rPr>
        <w:t>16.2</w:t>
      </w:r>
      <w:r>
        <w:rPr>
          <w:spacing w:val="-32"/>
        </w:rPr>
        <w:t xml:space="preserve"> </w:t>
      </w:r>
      <w:r>
        <w:rPr>
          <w:spacing w:val="2"/>
        </w:rPr>
        <w:t>供应商按照供应商须知前附表中规定的开标时间和地点，在规定时间内上传投标文</w:t>
      </w:r>
      <w:r>
        <w:t xml:space="preserve"> </w:t>
      </w:r>
      <w:r>
        <w:rPr>
          <w:spacing w:val="-5"/>
        </w:rPr>
        <w:t>件。</w:t>
      </w:r>
    </w:p>
    <w:p w14:paraId="1CD27B7E">
      <w:pPr>
        <w:pStyle w:val="2"/>
        <w:spacing w:before="184" w:line="324" w:lineRule="auto"/>
        <w:ind w:left="10" w:firstLine="16"/>
      </w:pPr>
      <w:r>
        <w:rPr>
          <w:spacing w:val="1"/>
        </w:rPr>
        <w:t>16.3</w:t>
      </w:r>
      <w:r>
        <w:rPr>
          <w:spacing w:val="-50"/>
        </w:rPr>
        <w:t xml:space="preserve"> </w:t>
      </w:r>
      <w:r>
        <w:rPr>
          <w:spacing w:val="1"/>
        </w:rPr>
        <w:t>本项目实行不见面电子标，供应商须使用</w:t>
      </w:r>
      <w:r>
        <w:t>CA</w:t>
      </w:r>
      <w:r>
        <w:rPr>
          <w:spacing w:val="-50"/>
        </w:rPr>
        <w:t xml:space="preserve"> </w:t>
      </w:r>
      <w:r>
        <w:rPr>
          <w:spacing w:val="1"/>
        </w:rPr>
        <w:t>锁加密投标文件文件</w:t>
      </w:r>
      <w:r>
        <w:t xml:space="preserve">，以便开标时对其 </w:t>
      </w:r>
      <w:r>
        <w:rPr>
          <w:spacing w:val="-1"/>
        </w:rPr>
        <w:t>电子响应文件进行解密，由于供应商自身原因未能成功导</w:t>
      </w:r>
      <w:r>
        <w:rPr>
          <w:spacing w:val="-2"/>
        </w:rPr>
        <w:t>入评标系统的，均视为不响应招</w:t>
      </w:r>
      <w:r>
        <w:t xml:space="preserve"> </w:t>
      </w:r>
      <w:r>
        <w:rPr>
          <w:spacing w:val="-1"/>
        </w:rPr>
        <w:t>标文件，其投标文件将被拒绝评审。未按规定时间在招标</w:t>
      </w:r>
      <w:r>
        <w:rPr>
          <w:spacing w:val="-2"/>
        </w:rPr>
        <w:t>文件要求的开评标系统解密成功</w:t>
      </w:r>
      <w:r>
        <w:t xml:space="preserve"> </w:t>
      </w:r>
      <w:r>
        <w:rPr>
          <w:spacing w:val="-2"/>
        </w:rPr>
        <w:t>的电子响应文件无效。</w:t>
      </w:r>
    </w:p>
    <w:p w14:paraId="5D02BE7C">
      <w:pPr>
        <w:pStyle w:val="2"/>
        <w:spacing w:before="179" w:line="219" w:lineRule="auto"/>
        <w:ind w:left="26"/>
      </w:pPr>
      <w:r>
        <w:rPr>
          <w:spacing w:val="-2"/>
        </w:rPr>
        <w:t>16.4</w:t>
      </w:r>
      <w:r>
        <w:rPr>
          <w:spacing w:val="-44"/>
        </w:rPr>
        <w:t xml:space="preserve"> </w:t>
      </w:r>
      <w:r>
        <w:rPr>
          <w:spacing w:val="-2"/>
        </w:rPr>
        <w:t>采购代理机构在规定时间内对投标文件进行解密，时长为</w:t>
      </w:r>
      <w:r>
        <w:rPr>
          <w:spacing w:val="-48"/>
        </w:rPr>
        <w:t xml:space="preserve"> </w:t>
      </w:r>
      <w:r>
        <w:rPr>
          <w:rFonts w:ascii="Calibri" w:hAnsi="Calibri" w:eastAsia="Calibri" w:cs="Calibri"/>
          <w:spacing w:val="-2"/>
        </w:rPr>
        <w:t>30</w:t>
      </w:r>
      <w:r>
        <w:rPr>
          <w:rFonts w:ascii="Calibri" w:hAnsi="Calibri" w:eastAsia="Calibri" w:cs="Calibri"/>
          <w:spacing w:val="16"/>
          <w:w w:val="101"/>
        </w:rPr>
        <w:t xml:space="preserve"> </w:t>
      </w:r>
      <w:r>
        <w:rPr>
          <w:spacing w:val="-2"/>
        </w:rPr>
        <w:t>分钟。</w:t>
      </w:r>
    </w:p>
    <w:p w14:paraId="4D1E351C">
      <w:pPr>
        <w:pStyle w:val="2"/>
        <w:spacing w:before="181" w:line="219" w:lineRule="auto"/>
        <w:ind w:left="26"/>
        <w:outlineLvl w:val="3"/>
      </w:pPr>
      <w:r>
        <w:rPr>
          <w:spacing w:val="-2"/>
        </w:rPr>
        <w:t>16.5</w:t>
      </w:r>
      <w:r>
        <w:rPr>
          <w:spacing w:val="-35"/>
        </w:rPr>
        <w:t xml:space="preserve"> </w:t>
      </w:r>
      <w:r>
        <w:rPr>
          <w:spacing w:val="-2"/>
        </w:rPr>
        <w:t>采购代理机构将对开标过程进行记录，并存档备查。</w:t>
      </w:r>
    </w:p>
    <w:p w14:paraId="5FA1B7F4">
      <w:pPr>
        <w:pStyle w:val="2"/>
        <w:spacing w:before="184" w:line="219" w:lineRule="auto"/>
        <w:ind w:left="26"/>
        <w:outlineLvl w:val="2"/>
      </w:pPr>
      <w:r>
        <w:rPr>
          <w:b/>
          <w:bCs/>
          <w:spacing w:val="-6"/>
        </w:rPr>
        <w:t>17.评标委员会</w:t>
      </w:r>
    </w:p>
    <w:p w14:paraId="169C1AC3">
      <w:pPr>
        <w:pStyle w:val="2"/>
        <w:spacing w:before="182" w:line="289" w:lineRule="auto"/>
        <w:ind w:left="8" w:firstLine="18"/>
      </w:pPr>
      <w:r>
        <w:rPr>
          <w:spacing w:val="-9"/>
        </w:rPr>
        <w:t>17.1</w:t>
      </w:r>
      <w:r>
        <w:rPr>
          <w:spacing w:val="-48"/>
        </w:rPr>
        <w:t xml:space="preserve"> </w:t>
      </w:r>
      <w:r>
        <w:rPr>
          <w:spacing w:val="-9"/>
        </w:rPr>
        <w:t>按照《中华人民共和国政府采购法》、《中华人民共和国政府采购实施条例》及</w:t>
      </w:r>
      <w:r>
        <w:rPr>
          <w:spacing w:val="-10"/>
        </w:rPr>
        <w:t>本项目</w:t>
      </w:r>
      <w:r>
        <w:t xml:space="preserve"> 采购人本级和上级财政部门的有关规定依法组建的评标</w:t>
      </w:r>
      <w:r>
        <w:rPr>
          <w:spacing w:val="-1"/>
        </w:rPr>
        <w:t>委员会负责评标工作。</w:t>
      </w:r>
    </w:p>
    <w:p w14:paraId="12E5EC3C">
      <w:pPr>
        <w:pStyle w:val="2"/>
        <w:spacing w:before="183" w:line="289" w:lineRule="auto"/>
        <w:ind w:left="11" w:firstLine="15"/>
      </w:pPr>
      <w:r>
        <w:rPr>
          <w:spacing w:val="-5"/>
        </w:rPr>
        <w:t>17.2</w:t>
      </w:r>
      <w:r>
        <w:rPr>
          <w:spacing w:val="-35"/>
        </w:rPr>
        <w:t xml:space="preserve"> </w:t>
      </w:r>
      <w:r>
        <w:rPr>
          <w:spacing w:val="-5"/>
        </w:rPr>
        <w:t>评标委员会负责具体评标事务，成员人数为</w:t>
      </w:r>
      <w:r>
        <w:rPr>
          <w:spacing w:val="-46"/>
        </w:rPr>
        <w:t xml:space="preserve"> </w:t>
      </w:r>
      <w:r>
        <w:rPr>
          <w:spacing w:val="-5"/>
        </w:rPr>
        <w:t>5</w:t>
      </w:r>
      <w:r>
        <w:rPr>
          <w:spacing w:val="-49"/>
        </w:rPr>
        <w:t xml:space="preserve"> </w:t>
      </w:r>
      <w:r>
        <w:rPr>
          <w:spacing w:val="-5"/>
        </w:rPr>
        <w:t>人及</w:t>
      </w:r>
      <w:r>
        <w:rPr>
          <w:spacing w:val="-46"/>
        </w:rPr>
        <w:t xml:space="preserve"> </w:t>
      </w:r>
      <w:r>
        <w:rPr>
          <w:spacing w:val="-5"/>
        </w:rPr>
        <w:t>5</w:t>
      </w:r>
      <w:r>
        <w:rPr>
          <w:spacing w:val="-48"/>
        </w:rPr>
        <w:t xml:space="preserve"> </w:t>
      </w:r>
      <w:r>
        <w:rPr>
          <w:spacing w:val="-5"/>
        </w:rPr>
        <w:t>人以上单数，评审专家不得少于</w:t>
      </w:r>
      <w:r>
        <w:t xml:space="preserve"> </w:t>
      </w:r>
      <w:r>
        <w:rPr>
          <w:spacing w:val="-2"/>
        </w:rPr>
        <w:t>成员总数的三分之二。</w:t>
      </w:r>
    </w:p>
    <w:p w14:paraId="14C23C8D">
      <w:pPr>
        <w:pStyle w:val="2"/>
        <w:spacing w:before="183" w:line="289" w:lineRule="auto"/>
        <w:ind w:left="13" w:firstLine="13"/>
      </w:pPr>
      <w:r>
        <w:rPr>
          <w:spacing w:val="-3"/>
        </w:rPr>
        <w:t>17.3</w:t>
      </w:r>
      <w:r>
        <w:rPr>
          <w:spacing w:val="-51"/>
        </w:rPr>
        <w:t xml:space="preserve"> </w:t>
      </w:r>
      <w:r>
        <w:rPr>
          <w:spacing w:val="-3"/>
        </w:rPr>
        <w:t>评标委员会成员应依照政府采购法及其他各项有关</w:t>
      </w:r>
      <w:r>
        <w:rPr>
          <w:spacing w:val="-4"/>
        </w:rPr>
        <w:t>政府采购评审管理办法的规定，履</w:t>
      </w:r>
      <w:r>
        <w:t xml:space="preserve"> </w:t>
      </w:r>
      <w:r>
        <w:rPr>
          <w:spacing w:val="-2"/>
        </w:rPr>
        <w:t>行评审专家的各项职责。</w:t>
      </w:r>
    </w:p>
    <w:p w14:paraId="36D691DB">
      <w:pPr>
        <w:pStyle w:val="2"/>
        <w:spacing w:before="183" w:line="288" w:lineRule="auto"/>
        <w:ind w:left="17" w:firstLine="9"/>
      </w:pPr>
      <w:r>
        <w:rPr>
          <w:spacing w:val="-3"/>
        </w:rPr>
        <w:t>17.4</w:t>
      </w:r>
      <w:r>
        <w:rPr>
          <w:spacing w:val="-51"/>
        </w:rPr>
        <w:t xml:space="preserve"> </w:t>
      </w:r>
      <w:r>
        <w:rPr>
          <w:spacing w:val="-3"/>
        </w:rPr>
        <w:t>评标委员会成员因缺席、回避、擅离职守或者因健</w:t>
      </w:r>
      <w:r>
        <w:rPr>
          <w:spacing w:val="-4"/>
        </w:rPr>
        <w:t>康等原因不能继续履行评审专家职</w:t>
      </w:r>
      <w:r>
        <w:t xml:space="preserve"> </w:t>
      </w:r>
      <w:r>
        <w:rPr>
          <w:spacing w:val="-1"/>
        </w:rPr>
        <w:t>责的，采购人或者采购代理机构有权向相关监督管理部门通报。</w:t>
      </w:r>
    </w:p>
    <w:p w14:paraId="2B1023E7">
      <w:pPr>
        <w:pStyle w:val="2"/>
        <w:spacing w:before="183" w:line="219" w:lineRule="auto"/>
        <w:ind w:left="26"/>
        <w:outlineLvl w:val="2"/>
      </w:pPr>
      <w:r>
        <w:rPr>
          <w:b/>
          <w:bCs/>
          <w:spacing w:val="-3"/>
        </w:rPr>
        <w:t>18.</w:t>
      </w:r>
      <w:r>
        <w:rPr>
          <w:spacing w:val="-3"/>
        </w:rPr>
        <w:t xml:space="preserve"> </w:t>
      </w:r>
      <w:r>
        <w:rPr>
          <w:b/>
          <w:bCs/>
          <w:spacing w:val="-3"/>
        </w:rPr>
        <w:t>供应商资格审查和投标文件符合性审查</w:t>
      </w:r>
    </w:p>
    <w:p w14:paraId="5B3A791B">
      <w:pPr>
        <w:pStyle w:val="2"/>
        <w:spacing w:before="184" w:line="324" w:lineRule="auto"/>
        <w:ind w:left="10" w:firstLine="16"/>
      </w:pPr>
      <w:r>
        <w:rPr>
          <w:spacing w:val="-3"/>
        </w:rPr>
        <w:t>18.1</w:t>
      </w:r>
      <w:r>
        <w:rPr>
          <w:spacing w:val="-50"/>
        </w:rPr>
        <w:t xml:space="preserve"> </w:t>
      </w:r>
      <w:r>
        <w:rPr>
          <w:spacing w:val="-3"/>
        </w:rPr>
        <w:t>供应商资格审查指依据法律、法规和招标文件的</w:t>
      </w:r>
      <w:r>
        <w:rPr>
          <w:spacing w:val="-4"/>
        </w:rPr>
        <w:t>规定，对投标文件中的资格、资信证</w:t>
      </w:r>
      <w:r>
        <w:t xml:space="preserve"> </w:t>
      </w:r>
      <w:r>
        <w:rPr>
          <w:spacing w:val="-1"/>
        </w:rPr>
        <w:t>明等进行审查，以确定供应商是否具备投标资格；投标文</w:t>
      </w:r>
      <w:r>
        <w:rPr>
          <w:spacing w:val="-2"/>
        </w:rPr>
        <w:t>件符合性审查指依据招标文件的</w:t>
      </w:r>
      <w:r>
        <w:t xml:space="preserve"> </w:t>
      </w:r>
      <w:r>
        <w:rPr>
          <w:spacing w:val="-1"/>
        </w:rPr>
        <w:t>规定，从投标文件的有效性、完整性和对招标文件的响应</w:t>
      </w:r>
      <w:r>
        <w:rPr>
          <w:spacing w:val="-2"/>
        </w:rPr>
        <w:t>程度进行审查，以确定是否对招</w:t>
      </w:r>
      <w:r>
        <w:t xml:space="preserve"> </w:t>
      </w:r>
      <w:r>
        <w:rPr>
          <w:spacing w:val="-1"/>
        </w:rPr>
        <w:t>标文件的实质性要求作出响应。</w:t>
      </w:r>
    </w:p>
    <w:p w14:paraId="75318F93">
      <w:pPr>
        <w:pStyle w:val="2"/>
        <w:spacing w:before="182" w:line="288" w:lineRule="auto"/>
        <w:ind w:left="27" w:right="2" w:hanging="1"/>
      </w:pPr>
      <w:r>
        <w:rPr>
          <w:spacing w:val="2"/>
        </w:rPr>
        <w:t>18.2</w:t>
      </w:r>
      <w:r>
        <w:rPr>
          <w:spacing w:val="-32"/>
        </w:rPr>
        <w:t xml:space="preserve"> </w:t>
      </w:r>
      <w:r>
        <w:rPr>
          <w:spacing w:val="2"/>
        </w:rPr>
        <w:t>供应商未通过资格审查的不得进入投标文件符合性审查；供应商未通过符合性审查</w:t>
      </w:r>
      <w:r>
        <w:t xml:space="preserve"> </w:t>
      </w:r>
      <w:r>
        <w:rPr>
          <w:spacing w:val="-2"/>
        </w:rPr>
        <w:t>的，不得进入投标文件的综合比较与评价。</w:t>
      </w:r>
    </w:p>
    <w:p w14:paraId="7FD73822">
      <w:pPr>
        <w:pStyle w:val="2"/>
        <w:spacing w:before="184" w:line="324" w:lineRule="auto"/>
        <w:ind w:left="10" w:firstLine="16"/>
      </w:pPr>
      <w:r>
        <w:rPr>
          <w:spacing w:val="-3"/>
        </w:rPr>
        <w:t>18.4</w:t>
      </w:r>
      <w:r>
        <w:rPr>
          <w:spacing w:val="-49"/>
        </w:rPr>
        <w:t xml:space="preserve"> </w:t>
      </w:r>
      <w:r>
        <w:rPr>
          <w:spacing w:val="-3"/>
        </w:rPr>
        <w:t>本项目使用综合评分法，提供相同品牌相同规</w:t>
      </w:r>
      <w:r>
        <w:rPr>
          <w:spacing w:val="-4"/>
        </w:rPr>
        <w:t>格类型产品且通过资格审查、符合性审</w:t>
      </w:r>
      <w:r>
        <w:t xml:space="preserve"> </w:t>
      </w:r>
      <w:r>
        <w:rPr>
          <w:spacing w:val="-1"/>
        </w:rPr>
        <w:t>查的不同供应商，按一家供应商计算，评审后得分最高的</w:t>
      </w:r>
      <w:r>
        <w:rPr>
          <w:spacing w:val="-2"/>
        </w:rPr>
        <w:t>同品牌同规格类型供应商获得中</w:t>
      </w:r>
      <w:r>
        <w:t xml:space="preserve"> </w:t>
      </w:r>
      <w:r>
        <w:rPr>
          <w:spacing w:val="-1"/>
        </w:rPr>
        <w:t>标人推荐资格；评审得分相同的，由采购人或者采购人委</w:t>
      </w:r>
      <w:r>
        <w:rPr>
          <w:spacing w:val="-2"/>
        </w:rPr>
        <w:t>托评标委员会按照招标文件中评</w:t>
      </w:r>
      <w:r>
        <w:t xml:space="preserve"> </w:t>
      </w:r>
      <w:r>
        <w:rPr>
          <w:spacing w:val="5"/>
        </w:rPr>
        <w:t>标办法规定的方式确定一个供应商获得中标人推荐资格；未规定的采取随机</w:t>
      </w:r>
      <w:r>
        <w:rPr>
          <w:spacing w:val="4"/>
        </w:rPr>
        <w:t>抽取方式确</w:t>
      </w:r>
    </w:p>
    <w:p w14:paraId="5BCB00A6">
      <w:pPr>
        <w:spacing w:line="324" w:lineRule="auto"/>
        <w:sectPr>
          <w:footerReference r:id="rId20" w:type="default"/>
          <w:pgSz w:w="11910" w:h="16840"/>
          <w:pgMar w:top="1136" w:right="1134" w:bottom="1338" w:left="1457" w:header="855" w:footer="1174" w:gutter="0"/>
          <w:pgNumType w:fmt="decimal"/>
          <w:cols w:space="720" w:num="1"/>
        </w:sectPr>
      </w:pPr>
    </w:p>
    <w:p w14:paraId="41079B8A">
      <w:pPr>
        <w:pStyle w:val="2"/>
        <w:spacing w:before="33" w:line="219" w:lineRule="auto"/>
        <w:ind w:left="14"/>
      </w:pPr>
      <w:r>
        <w:rPr>
          <w:spacing w:val="-1"/>
        </w:rPr>
        <w:t>定，其他同品牌供应商不作为中标候选人。</w:t>
      </w:r>
    </w:p>
    <w:p w14:paraId="6BD76DA5">
      <w:pPr>
        <w:pStyle w:val="2"/>
        <w:spacing w:before="182" w:line="289" w:lineRule="auto"/>
        <w:ind w:left="12" w:right="61" w:firstLine="14"/>
      </w:pPr>
      <w:r>
        <w:rPr>
          <w:spacing w:val="-3"/>
        </w:rPr>
        <w:t>18.5</w:t>
      </w:r>
      <w:r>
        <w:rPr>
          <w:spacing w:val="-46"/>
        </w:rPr>
        <w:t xml:space="preserve"> </w:t>
      </w:r>
      <w:r>
        <w:rPr>
          <w:spacing w:val="-3"/>
        </w:rPr>
        <w:t>如一个分包内包含多种产品的，采购人</w:t>
      </w:r>
      <w:r>
        <w:rPr>
          <w:spacing w:val="-4"/>
        </w:rPr>
        <w:t>或采购代理机构将在</w:t>
      </w:r>
      <w:r>
        <w:rPr>
          <w:spacing w:val="-4"/>
          <w:u w:val="single" w:color="auto"/>
        </w:rPr>
        <w:t>供应商须知前附表</w:t>
      </w:r>
      <w:r>
        <w:rPr>
          <w:spacing w:val="-4"/>
        </w:rPr>
        <w:t>中载明</w:t>
      </w:r>
      <w:r>
        <w:t xml:space="preserve"> </w:t>
      </w:r>
      <w:r>
        <w:rPr>
          <w:spacing w:val="-1"/>
        </w:rPr>
        <w:t>核心产品，多家供应商提供的所有核心产品品牌均相同的，按第</w:t>
      </w:r>
      <w:r>
        <w:rPr>
          <w:spacing w:val="-47"/>
        </w:rPr>
        <w:t xml:space="preserve"> </w:t>
      </w:r>
      <w:r>
        <w:rPr>
          <w:spacing w:val="-1"/>
        </w:rPr>
        <w:t>25.2</w:t>
      </w:r>
      <w:r>
        <w:rPr>
          <w:spacing w:val="-49"/>
        </w:rPr>
        <w:t xml:space="preserve"> </w:t>
      </w:r>
      <w:r>
        <w:rPr>
          <w:spacing w:val="-1"/>
        </w:rPr>
        <w:t>条规定处理。</w:t>
      </w:r>
    </w:p>
    <w:p w14:paraId="0228DF6F">
      <w:pPr>
        <w:pStyle w:val="2"/>
        <w:spacing w:before="182" w:line="324" w:lineRule="auto"/>
        <w:ind w:left="10" w:right="61" w:firstLine="16"/>
      </w:pPr>
      <w:r>
        <w:rPr>
          <w:spacing w:val="2"/>
        </w:rPr>
        <w:t>18.5</w:t>
      </w:r>
      <w:r>
        <w:rPr>
          <w:spacing w:val="-32"/>
        </w:rPr>
        <w:t xml:space="preserve"> </w:t>
      </w:r>
      <w:r>
        <w:rPr>
          <w:spacing w:val="2"/>
        </w:rPr>
        <w:t>供应商所投产品如被列入财政部与国家主管部门颁发的节能产品目录或环境标志产</w:t>
      </w:r>
      <w:r>
        <w:t xml:space="preserve"> </w:t>
      </w:r>
      <w:r>
        <w:rPr>
          <w:spacing w:val="-1"/>
        </w:rPr>
        <w:t>品目录，应提供相关证明，在评标时予以优先采购，具体</w:t>
      </w:r>
      <w:r>
        <w:rPr>
          <w:spacing w:val="-2"/>
        </w:rPr>
        <w:t>优先采购办法见第五章评标方法</w:t>
      </w:r>
      <w:r>
        <w:t xml:space="preserve"> </w:t>
      </w:r>
      <w:r>
        <w:rPr>
          <w:spacing w:val="-1"/>
        </w:rPr>
        <w:t>和标准。如采购人所采购产品为政府强制采购的节能产品</w:t>
      </w:r>
      <w:r>
        <w:rPr>
          <w:spacing w:val="-2"/>
        </w:rPr>
        <w:t>，供应商所投产品的品牌及型号</w:t>
      </w:r>
      <w:r>
        <w:t xml:space="preserve"> </w:t>
      </w:r>
      <w:r>
        <w:rPr>
          <w:spacing w:val="-1"/>
        </w:rPr>
        <w:t>必须为清单中有效期内产品并提供证明文件，否则其投标将作为</w:t>
      </w:r>
      <w:r>
        <w:rPr>
          <w:b/>
          <w:bCs/>
          <w:spacing w:val="-1"/>
        </w:rPr>
        <w:t>无效投标</w:t>
      </w:r>
      <w:r>
        <w:rPr>
          <w:spacing w:val="-1"/>
        </w:rPr>
        <w:t>被拒绝。</w:t>
      </w:r>
    </w:p>
    <w:p w14:paraId="3F833B53">
      <w:pPr>
        <w:pStyle w:val="2"/>
        <w:spacing w:before="183" w:line="219" w:lineRule="auto"/>
        <w:ind w:left="26"/>
      </w:pPr>
      <w:r>
        <w:rPr>
          <w:spacing w:val="-1"/>
        </w:rPr>
        <w:t>18.6</w:t>
      </w:r>
      <w:r>
        <w:rPr>
          <w:spacing w:val="-51"/>
        </w:rPr>
        <w:t xml:space="preserve"> </w:t>
      </w:r>
      <w:r>
        <w:rPr>
          <w:spacing w:val="-1"/>
        </w:rPr>
        <w:t>供应商不良信用记录以采购人或采购代理机构</w:t>
      </w:r>
      <w:r>
        <w:rPr>
          <w:spacing w:val="-2"/>
        </w:rPr>
        <w:t>查询结果为准。</w:t>
      </w:r>
    </w:p>
    <w:p w14:paraId="0A3E0F35">
      <w:pPr>
        <w:pStyle w:val="2"/>
        <w:spacing w:before="180" w:line="219" w:lineRule="auto"/>
        <w:ind w:left="26"/>
        <w:outlineLvl w:val="3"/>
      </w:pPr>
      <w:r>
        <w:rPr>
          <w:spacing w:val="-2"/>
        </w:rPr>
        <w:t>18.7</w:t>
      </w:r>
      <w:r>
        <w:rPr>
          <w:spacing w:val="-41"/>
        </w:rPr>
        <w:t xml:space="preserve"> </w:t>
      </w:r>
      <w:r>
        <w:rPr>
          <w:spacing w:val="-2"/>
        </w:rPr>
        <w:t>资格审查和符合性审查标准详见</w:t>
      </w:r>
      <w:r>
        <w:rPr>
          <w:b/>
          <w:bCs/>
          <w:spacing w:val="-2"/>
        </w:rPr>
        <w:t>第五章</w:t>
      </w:r>
      <w:r>
        <w:rPr>
          <w:b/>
          <w:bCs/>
          <w:spacing w:val="-3"/>
        </w:rPr>
        <w:t>评标方法和标准。</w:t>
      </w:r>
    </w:p>
    <w:p w14:paraId="39DBA319">
      <w:pPr>
        <w:pStyle w:val="2"/>
        <w:spacing w:before="182" w:line="219" w:lineRule="auto"/>
        <w:ind w:left="26"/>
        <w:outlineLvl w:val="2"/>
      </w:pPr>
      <w:r>
        <w:rPr>
          <w:b/>
          <w:bCs/>
          <w:spacing w:val="-4"/>
        </w:rPr>
        <w:t>19.</w:t>
      </w:r>
      <w:r>
        <w:rPr>
          <w:spacing w:val="-4"/>
        </w:rPr>
        <w:t xml:space="preserve"> </w:t>
      </w:r>
      <w:r>
        <w:rPr>
          <w:b/>
          <w:bCs/>
          <w:spacing w:val="-4"/>
        </w:rPr>
        <w:t>投标文件的澄清和修正</w:t>
      </w:r>
    </w:p>
    <w:p w14:paraId="459E01FF">
      <w:pPr>
        <w:pStyle w:val="2"/>
        <w:spacing w:before="183" w:line="288" w:lineRule="auto"/>
        <w:ind w:left="12" w:right="64" w:firstLine="14"/>
      </w:pPr>
      <w:r>
        <w:rPr>
          <w:spacing w:val="2"/>
        </w:rPr>
        <w:t>19.1</w:t>
      </w:r>
      <w:r>
        <w:rPr>
          <w:spacing w:val="-32"/>
        </w:rPr>
        <w:t xml:space="preserve"> </w:t>
      </w:r>
      <w:r>
        <w:rPr>
          <w:spacing w:val="2"/>
        </w:rPr>
        <w:t>对于投标文件中含义不明确、同类问题表述不一致或者有明显文字和计算错误的内</w:t>
      </w:r>
      <w:r>
        <w:t xml:space="preserve"> 容，评标委员会应当以书面形式要求供应商作</w:t>
      </w:r>
      <w:r>
        <w:rPr>
          <w:spacing w:val="-1"/>
        </w:rPr>
        <w:t>出必要的澄清、说明或者补正。</w:t>
      </w:r>
    </w:p>
    <w:p w14:paraId="7353DDA5">
      <w:pPr>
        <w:pStyle w:val="2"/>
        <w:spacing w:before="186" w:line="312" w:lineRule="auto"/>
        <w:ind w:left="11" w:right="61" w:firstLine="15"/>
      </w:pPr>
      <w:r>
        <w:rPr>
          <w:spacing w:val="-3"/>
        </w:rPr>
        <w:t>19.2</w:t>
      </w:r>
      <w:r>
        <w:rPr>
          <w:spacing w:val="-50"/>
        </w:rPr>
        <w:t xml:space="preserve"> </w:t>
      </w:r>
      <w:r>
        <w:rPr>
          <w:spacing w:val="-3"/>
        </w:rPr>
        <w:t>供应商的澄清、说明或者补正应当采用书面形式</w:t>
      </w:r>
      <w:r>
        <w:rPr>
          <w:spacing w:val="-4"/>
        </w:rPr>
        <w:t>，并加盖公章。供应商的澄清、说明</w:t>
      </w:r>
      <w:r>
        <w:t xml:space="preserve"> </w:t>
      </w:r>
      <w:r>
        <w:rPr>
          <w:spacing w:val="-1"/>
        </w:rPr>
        <w:t>或者补正不得超出投标文件的范围或者改变投标文件的</w:t>
      </w:r>
      <w:r>
        <w:rPr>
          <w:spacing w:val="-2"/>
        </w:rPr>
        <w:t>实质性内容。澄清文件将作为投标</w:t>
      </w:r>
      <w:r>
        <w:t xml:space="preserve"> </w:t>
      </w:r>
      <w:r>
        <w:rPr>
          <w:spacing w:val="-2"/>
        </w:rPr>
        <w:t>文件内容的一部分。</w:t>
      </w:r>
    </w:p>
    <w:p w14:paraId="42E8FF79">
      <w:pPr>
        <w:pStyle w:val="2"/>
        <w:spacing w:before="183" w:line="218" w:lineRule="auto"/>
        <w:ind w:left="26"/>
        <w:outlineLvl w:val="3"/>
      </w:pPr>
      <w:r>
        <w:rPr>
          <w:spacing w:val="-2"/>
        </w:rPr>
        <w:t>19.3</w:t>
      </w:r>
      <w:r>
        <w:rPr>
          <w:spacing w:val="-31"/>
        </w:rPr>
        <w:t xml:space="preserve"> </w:t>
      </w:r>
      <w:r>
        <w:rPr>
          <w:spacing w:val="-2"/>
        </w:rPr>
        <w:t>投标文件报价出现前后不一致的，将按照下列规定修正：</w:t>
      </w:r>
    </w:p>
    <w:p w14:paraId="1693C504">
      <w:pPr>
        <w:pStyle w:val="2"/>
        <w:spacing w:before="182" w:line="289" w:lineRule="auto"/>
        <w:ind w:left="13" w:right="61" w:firstLine="6"/>
      </w:pPr>
      <w:r>
        <w:rPr>
          <w:spacing w:val="-2"/>
        </w:rPr>
        <w:t>（一）投标文件中报价一览表（报价表）内容与投标文件中相应内容不一致的，以报价一</w:t>
      </w:r>
      <w:r>
        <w:rPr>
          <w:spacing w:val="15"/>
        </w:rPr>
        <w:t xml:space="preserve"> </w:t>
      </w:r>
      <w:r>
        <w:rPr>
          <w:spacing w:val="-2"/>
        </w:rPr>
        <w:t>览表（报价表）为准；</w:t>
      </w:r>
    </w:p>
    <w:p w14:paraId="06205085">
      <w:pPr>
        <w:pStyle w:val="2"/>
        <w:spacing w:before="183" w:line="219" w:lineRule="auto"/>
        <w:ind w:left="20"/>
      </w:pPr>
      <w:r>
        <w:rPr>
          <w:spacing w:val="-1"/>
        </w:rPr>
        <w:t>（二）大写金额和小写金额不一致的，以大写金额为准；</w:t>
      </w:r>
    </w:p>
    <w:p w14:paraId="4653B44F">
      <w:pPr>
        <w:pStyle w:val="2"/>
        <w:spacing w:before="183" w:line="218" w:lineRule="auto"/>
        <w:jc w:val="right"/>
      </w:pPr>
      <w:r>
        <w:rPr>
          <w:spacing w:val="-6"/>
        </w:rPr>
        <w:t>（三）单价金额小数点或者百分比有明显错位的，以报价一览表的总价为准，并修</w:t>
      </w:r>
      <w:r>
        <w:rPr>
          <w:spacing w:val="-7"/>
        </w:rPr>
        <w:t>改单价；</w:t>
      </w:r>
    </w:p>
    <w:p w14:paraId="4CA87446">
      <w:pPr>
        <w:pStyle w:val="2"/>
        <w:spacing w:before="182" w:line="218" w:lineRule="auto"/>
        <w:ind w:left="20"/>
      </w:pPr>
      <w:r>
        <w:rPr>
          <w:spacing w:val="-1"/>
        </w:rPr>
        <w:t>（四）总价金额与按单价汇总金额不一致的，以单价金额计算结果为准。</w:t>
      </w:r>
    </w:p>
    <w:p w14:paraId="12E1FC26">
      <w:pPr>
        <w:pStyle w:val="2"/>
        <w:spacing w:before="184" w:line="350" w:lineRule="auto"/>
        <w:ind w:left="11" w:right="61" w:firstLine="441"/>
        <w:jc w:val="both"/>
      </w:pPr>
      <w:r>
        <w:rPr>
          <w:spacing w:val="-7"/>
        </w:rPr>
        <w:t>同时出现两种以上不一致的，按照前款规定的顺序修正。修正后的报价按照第</w:t>
      </w:r>
      <w:r>
        <w:rPr>
          <w:spacing w:val="27"/>
        </w:rPr>
        <w:t xml:space="preserve"> </w:t>
      </w:r>
      <w:r>
        <w:rPr>
          <w:spacing w:val="-7"/>
        </w:rPr>
        <w:t>19.2</w:t>
      </w:r>
      <w:r>
        <w:rPr>
          <w:spacing w:val="-8"/>
        </w:rPr>
        <w:t xml:space="preserve"> 条</w:t>
      </w:r>
      <w:r>
        <w:t xml:space="preserve"> </w:t>
      </w:r>
      <w:r>
        <w:rPr>
          <w:spacing w:val="-2"/>
        </w:rPr>
        <w:t>的规定经供应商确认后产生约束力，供应商不确认的，将被视为</w:t>
      </w:r>
      <w:r>
        <w:rPr>
          <w:b/>
          <w:bCs/>
          <w:spacing w:val="-2"/>
        </w:rPr>
        <w:t>无效投标</w:t>
      </w:r>
      <w:r>
        <w:rPr>
          <w:spacing w:val="-2"/>
        </w:rPr>
        <w:t>被拒绝。对不同</w:t>
      </w:r>
      <w:r>
        <w:rPr>
          <w:spacing w:val="14"/>
        </w:rPr>
        <w:t xml:space="preserve"> </w:t>
      </w:r>
      <w:r>
        <w:rPr>
          <w:spacing w:val="-1"/>
        </w:rPr>
        <w:t>文字文本投标文件的解释发生异议的，以中文文本为准。</w:t>
      </w:r>
    </w:p>
    <w:p w14:paraId="133F0C5E">
      <w:pPr>
        <w:pStyle w:val="2"/>
        <w:spacing w:before="38" w:line="219" w:lineRule="auto"/>
        <w:ind w:left="12"/>
        <w:outlineLvl w:val="2"/>
      </w:pPr>
      <w:r>
        <w:rPr>
          <w:b/>
          <w:bCs/>
          <w:spacing w:val="-3"/>
        </w:rPr>
        <w:t>20.</w:t>
      </w:r>
      <w:r>
        <w:rPr>
          <w:spacing w:val="-3"/>
        </w:rPr>
        <w:t xml:space="preserve"> </w:t>
      </w:r>
      <w:r>
        <w:rPr>
          <w:b/>
          <w:bCs/>
          <w:spacing w:val="-3"/>
        </w:rPr>
        <w:t>投标偏离与非实质性响应</w:t>
      </w:r>
    </w:p>
    <w:p w14:paraId="21B87E02">
      <w:pPr>
        <w:pStyle w:val="2"/>
        <w:spacing w:before="181" w:line="288" w:lineRule="auto"/>
        <w:ind w:left="7" w:firstLine="4"/>
      </w:pPr>
      <w:r>
        <w:rPr>
          <w:spacing w:val="-7"/>
        </w:rPr>
        <w:t>20.1</w:t>
      </w:r>
      <w:r>
        <w:rPr>
          <w:spacing w:val="-52"/>
        </w:rPr>
        <w:t xml:space="preserve"> </w:t>
      </w:r>
      <w:r>
        <w:rPr>
          <w:spacing w:val="-7"/>
        </w:rPr>
        <w:t>对于投标文件中不构成实质性偏差的不正规、不一致或不规则，评标委</w:t>
      </w:r>
      <w:r>
        <w:rPr>
          <w:spacing w:val="-8"/>
        </w:rPr>
        <w:t>员会可以接受，</w:t>
      </w:r>
      <w:r>
        <w:t xml:space="preserve"> </w:t>
      </w:r>
      <w:r>
        <w:rPr>
          <w:spacing w:val="-1"/>
        </w:rPr>
        <w:t>但这种接受不能损坏或影响任何供应商的相对排序。</w:t>
      </w:r>
    </w:p>
    <w:p w14:paraId="37F26981">
      <w:pPr>
        <w:pStyle w:val="2"/>
        <w:spacing w:before="186" w:line="312" w:lineRule="auto"/>
        <w:ind w:left="9" w:right="61" w:firstLine="2"/>
      </w:pPr>
      <w:r>
        <w:rPr>
          <w:spacing w:val="-3"/>
        </w:rPr>
        <w:t>20.2</w:t>
      </w:r>
      <w:r>
        <w:rPr>
          <w:spacing w:val="-52"/>
        </w:rPr>
        <w:t xml:space="preserve"> </w:t>
      </w:r>
      <w:r>
        <w:rPr>
          <w:spacing w:val="-3"/>
        </w:rPr>
        <w:t>在详细评标之前，根据本须知的规定，评标委员会要审查每份投标文件是否实质上响</w:t>
      </w:r>
      <w:r>
        <w:t xml:space="preserve"> </w:t>
      </w:r>
      <w:r>
        <w:rPr>
          <w:spacing w:val="-1"/>
        </w:rPr>
        <w:t>应招标文件的要求。实质上响应的投标应该是与招标文件要</w:t>
      </w:r>
      <w:r>
        <w:rPr>
          <w:spacing w:val="-2"/>
        </w:rPr>
        <w:t>求的全部实质性条款、条件和</w:t>
      </w:r>
      <w:r>
        <w:t xml:space="preserve"> </w:t>
      </w:r>
      <w:r>
        <w:rPr>
          <w:spacing w:val="-1"/>
        </w:rPr>
        <w:t>规格相符，没有重大偏离的投标。</w:t>
      </w:r>
    </w:p>
    <w:p w14:paraId="1FA0D52A">
      <w:pPr>
        <w:spacing w:line="312" w:lineRule="auto"/>
        <w:sectPr>
          <w:headerReference r:id="rId21" w:type="default"/>
          <w:footerReference r:id="rId22" w:type="default"/>
          <w:pgSz w:w="11910" w:h="16840"/>
          <w:pgMar w:top="1136" w:right="1072" w:bottom="1339" w:left="1457" w:header="855" w:footer="1174" w:gutter="0"/>
          <w:pgNumType w:fmt="decimal"/>
          <w:cols w:space="720" w:num="1"/>
        </w:sectPr>
      </w:pPr>
    </w:p>
    <w:p w14:paraId="6D86E847">
      <w:pPr>
        <w:pStyle w:val="2"/>
        <w:spacing w:before="33" w:line="345" w:lineRule="auto"/>
        <w:ind w:left="11"/>
      </w:pPr>
      <w:r>
        <w:rPr>
          <w:spacing w:val="-3"/>
        </w:rPr>
        <w:t>20.3</w:t>
      </w:r>
      <w:r>
        <w:rPr>
          <w:spacing w:val="-45"/>
        </w:rPr>
        <w:t xml:space="preserve"> </w:t>
      </w:r>
      <w:r>
        <w:rPr>
          <w:spacing w:val="-3"/>
        </w:rPr>
        <w:t>实质上没有响应招标文件要求的投标将被拒绝。供应商不得通过修正</w:t>
      </w:r>
      <w:r>
        <w:rPr>
          <w:spacing w:val="-4"/>
        </w:rPr>
        <w:t>或撤销不符合要</w:t>
      </w:r>
      <w:r>
        <w:t xml:space="preserve"> </w:t>
      </w:r>
      <w:r>
        <w:rPr>
          <w:spacing w:val="-1"/>
        </w:rPr>
        <w:t>求的偏离或保留从而使其投标成为实质上响应的投标。</w:t>
      </w:r>
    </w:p>
    <w:p w14:paraId="4AE319C9">
      <w:pPr>
        <w:pStyle w:val="2"/>
        <w:spacing w:before="36" w:line="220" w:lineRule="auto"/>
        <w:ind w:left="12"/>
        <w:outlineLvl w:val="2"/>
      </w:pPr>
      <w:r>
        <w:rPr>
          <w:b/>
          <w:bCs/>
          <w:spacing w:val="-4"/>
        </w:rPr>
        <w:t>21.投标无效</w:t>
      </w:r>
    </w:p>
    <w:p w14:paraId="3E8D8B13">
      <w:pPr>
        <w:pStyle w:val="2"/>
        <w:spacing w:before="179" w:line="219" w:lineRule="auto"/>
        <w:ind w:left="12"/>
        <w:outlineLvl w:val="3"/>
      </w:pPr>
      <w:r>
        <w:rPr>
          <w:spacing w:val="-1"/>
        </w:rPr>
        <w:t>21.1</w:t>
      </w:r>
      <w:r>
        <w:rPr>
          <w:spacing w:val="-51"/>
        </w:rPr>
        <w:t xml:space="preserve"> </w:t>
      </w:r>
      <w:r>
        <w:rPr>
          <w:spacing w:val="-1"/>
        </w:rPr>
        <w:t>供应商存在下列情况之一的，投标无效：</w:t>
      </w:r>
    </w:p>
    <w:p w14:paraId="71EC747C">
      <w:pPr>
        <w:pStyle w:val="2"/>
        <w:spacing w:before="184" w:line="219" w:lineRule="auto"/>
        <w:ind w:left="20"/>
      </w:pPr>
      <w:r>
        <w:rPr>
          <w:spacing w:val="-1"/>
        </w:rPr>
        <w:t>（1）未按照招标文件的规定提交投标保证金的；</w:t>
      </w:r>
    </w:p>
    <w:p w14:paraId="7332FDB3">
      <w:pPr>
        <w:pStyle w:val="2"/>
        <w:spacing w:before="179" w:line="219" w:lineRule="auto"/>
        <w:ind w:left="20"/>
      </w:pPr>
      <w:r>
        <w:rPr>
          <w:spacing w:val="-1"/>
        </w:rPr>
        <w:t>（2）投标文件未按招标文件要求签署、盖章的；</w:t>
      </w:r>
    </w:p>
    <w:p w14:paraId="20284CC5">
      <w:pPr>
        <w:pStyle w:val="2"/>
        <w:spacing w:before="185" w:line="219" w:lineRule="auto"/>
        <w:ind w:left="20"/>
      </w:pPr>
      <w:r>
        <w:rPr>
          <w:spacing w:val="-2"/>
        </w:rPr>
        <w:t>（3）不具备招标文件中规定的资格要求的；</w:t>
      </w:r>
    </w:p>
    <w:p w14:paraId="7628DBCD">
      <w:pPr>
        <w:pStyle w:val="2"/>
        <w:spacing w:before="182" w:line="218" w:lineRule="auto"/>
        <w:ind w:left="20"/>
      </w:pPr>
      <w:r>
        <w:rPr>
          <w:spacing w:val="-1"/>
        </w:rPr>
        <w:t>（4）报价出现超过招标文件中最高限价规定的；</w:t>
      </w:r>
    </w:p>
    <w:p w14:paraId="28D57488">
      <w:pPr>
        <w:pStyle w:val="2"/>
        <w:spacing w:before="182" w:line="219" w:lineRule="auto"/>
        <w:ind w:left="20"/>
      </w:pPr>
      <w:r>
        <w:rPr>
          <w:spacing w:val="-1"/>
        </w:rPr>
        <w:t>（5）投标文件含有采购人不能接受的附加条件的；</w:t>
      </w:r>
    </w:p>
    <w:p w14:paraId="238BF5DE">
      <w:pPr>
        <w:pStyle w:val="2"/>
        <w:spacing w:before="182" w:line="219" w:lineRule="auto"/>
        <w:ind w:left="20"/>
      </w:pPr>
      <w:r>
        <w:rPr>
          <w:spacing w:val="-1"/>
        </w:rPr>
        <w:t>（6）法律、法规和招标文件规定的其他无效情形。</w:t>
      </w:r>
    </w:p>
    <w:p w14:paraId="6C527FB0">
      <w:pPr>
        <w:pStyle w:val="2"/>
        <w:spacing w:before="182" w:line="219" w:lineRule="auto"/>
        <w:ind w:left="12"/>
        <w:outlineLvl w:val="3"/>
      </w:pPr>
      <w:r>
        <w:rPr>
          <w:spacing w:val="-1"/>
        </w:rPr>
        <w:t>21.2</w:t>
      </w:r>
      <w:r>
        <w:rPr>
          <w:spacing w:val="-45"/>
        </w:rPr>
        <w:t xml:space="preserve"> </w:t>
      </w:r>
      <w:r>
        <w:rPr>
          <w:spacing w:val="-1"/>
        </w:rPr>
        <w:t>有下列情形之一的，视为供应商串通投标，其投标无效：</w:t>
      </w:r>
    </w:p>
    <w:p w14:paraId="32A8B88B">
      <w:pPr>
        <w:pStyle w:val="2"/>
        <w:spacing w:before="181" w:line="219" w:lineRule="auto"/>
        <w:ind w:left="20"/>
      </w:pPr>
      <w:r>
        <w:rPr>
          <w:spacing w:val="-1"/>
        </w:rPr>
        <w:t>（1）不同供应商的投标文件由同一单位或者个人编制；</w:t>
      </w:r>
    </w:p>
    <w:p w14:paraId="319BF5E0">
      <w:pPr>
        <w:pStyle w:val="2"/>
        <w:spacing w:before="184" w:line="219" w:lineRule="auto"/>
        <w:ind w:left="20"/>
      </w:pPr>
      <w:r>
        <w:rPr>
          <w:spacing w:val="-1"/>
        </w:rPr>
        <w:t>（2）不同供应商委托同一单位或者个人办理投标事宜；</w:t>
      </w:r>
    </w:p>
    <w:p w14:paraId="7A2E5BEF">
      <w:pPr>
        <w:pStyle w:val="2"/>
        <w:spacing w:before="183" w:line="219" w:lineRule="auto"/>
        <w:ind w:left="20"/>
      </w:pPr>
      <w:r>
        <w:rPr>
          <w:spacing w:val="-1"/>
        </w:rPr>
        <w:t>（3）不同供应商的投标文件载明的项目管理成员或者联系人员为同一人；</w:t>
      </w:r>
    </w:p>
    <w:p w14:paraId="2AF83E6E">
      <w:pPr>
        <w:pStyle w:val="2"/>
        <w:spacing w:before="181" w:line="218" w:lineRule="auto"/>
        <w:ind w:left="20"/>
      </w:pPr>
      <w:r>
        <w:rPr>
          <w:spacing w:val="-1"/>
        </w:rPr>
        <w:t>（4）不同供应商的投标文件异常一致或者投标报价呈规律性差异；</w:t>
      </w:r>
    </w:p>
    <w:p w14:paraId="6A41EB8E">
      <w:pPr>
        <w:pStyle w:val="2"/>
        <w:spacing w:before="184" w:line="219" w:lineRule="auto"/>
        <w:ind w:left="171"/>
      </w:pPr>
      <w:r>
        <w:rPr>
          <w:spacing w:val="-3"/>
        </w:rPr>
        <w:t>(5) 不同供应商的投标文件相互混装；</w:t>
      </w:r>
    </w:p>
    <w:p w14:paraId="0DB78DC5">
      <w:pPr>
        <w:pStyle w:val="2"/>
        <w:spacing w:before="181" w:line="219" w:lineRule="auto"/>
        <w:ind w:left="171"/>
      </w:pPr>
      <w:r>
        <w:rPr>
          <w:spacing w:val="-2"/>
        </w:rPr>
        <w:t>(6) 不同供应商的投标保证金从同一单位或者个人的账户转出。</w:t>
      </w:r>
    </w:p>
    <w:p w14:paraId="5F98BA80">
      <w:pPr>
        <w:pStyle w:val="2"/>
        <w:spacing w:before="184" w:line="220" w:lineRule="auto"/>
        <w:ind w:left="12"/>
        <w:outlineLvl w:val="3"/>
      </w:pPr>
      <w:r>
        <w:rPr>
          <w:spacing w:val="-2"/>
        </w:rPr>
        <w:t>21.3</w:t>
      </w:r>
      <w:r>
        <w:rPr>
          <w:spacing w:val="-48"/>
        </w:rPr>
        <w:t xml:space="preserve"> </w:t>
      </w:r>
      <w:r>
        <w:rPr>
          <w:spacing w:val="-2"/>
        </w:rPr>
        <w:t>其他投标无效情形：</w:t>
      </w:r>
    </w:p>
    <w:p w14:paraId="3E2EC816">
      <w:pPr>
        <w:pStyle w:val="2"/>
        <w:spacing w:before="180" w:line="219" w:lineRule="auto"/>
        <w:ind w:left="20"/>
      </w:pPr>
      <w:r>
        <w:rPr>
          <w:spacing w:val="-2"/>
        </w:rPr>
        <w:t>（1）不符合招标文件关于进口产品规定的；</w:t>
      </w:r>
    </w:p>
    <w:p w14:paraId="3B4DFEA6">
      <w:pPr>
        <w:pStyle w:val="2"/>
        <w:spacing w:before="183" w:line="218" w:lineRule="auto"/>
        <w:ind w:left="20"/>
      </w:pPr>
      <w:r>
        <w:rPr>
          <w:spacing w:val="-1"/>
        </w:rPr>
        <w:t>（2）任何选择性报价（或多个方案）的投标；</w:t>
      </w:r>
    </w:p>
    <w:p w14:paraId="63EED530">
      <w:pPr>
        <w:pStyle w:val="2"/>
        <w:spacing w:before="182" w:line="218" w:lineRule="auto"/>
        <w:ind w:left="20"/>
      </w:pPr>
      <w:r>
        <w:rPr>
          <w:spacing w:val="-2"/>
        </w:rPr>
        <w:t>（3）任何包含价格调整要求的投标；</w:t>
      </w:r>
    </w:p>
    <w:p w14:paraId="4662541D">
      <w:pPr>
        <w:pStyle w:val="2"/>
        <w:spacing w:before="185" w:line="219" w:lineRule="auto"/>
        <w:ind w:left="20"/>
      </w:pPr>
      <w:r>
        <w:rPr>
          <w:spacing w:val="-2"/>
        </w:rPr>
        <w:t>（4）投标有效期不满足要求的投标；</w:t>
      </w:r>
    </w:p>
    <w:p w14:paraId="390552F0">
      <w:pPr>
        <w:pStyle w:val="2"/>
        <w:spacing w:before="180" w:line="289" w:lineRule="auto"/>
        <w:ind w:left="9" w:firstLine="11"/>
      </w:pPr>
      <w:r>
        <w:rPr>
          <w:spacing w:val="1"/>
        </w:rPr>
        <w:t>（5）评标委员会认为供应商的报价明显低于其他通过符合性审查供应商的报价，有可能</w:t>
      </w:r>
      <w:r>
        <w:rPr>
          <w:spacing w:val="18"/>
        </w:rPr>
        <w:t xml:space="preserve"> </w:t>
      </w:r>
      <w:r>
        <w:t>影响产品质量或者不能诚信履约的，供应商不</w:t>
      </w:r>
      <w:r>
        <w:rPr>
          <w:spacing w:val="-1"/>
        </w:rPr>
        <w:t>能证明其报价合理性的；</w:t>
      </w:r>
    </w:p>
    <w:p w14:paraId="3996778E">
      <w:pPr>
        <w:pStyle w:val="2"/>
        <w:spacing w:before="185" w:line="218" w:lineRule="auto"/>
        <w:ind w:left="20"/>
      </w:pPr>
      <w:r>
        <w:rPr>
          <w:spacing w:val="-1"/>
        </w:rPr>
        <w:t>（6）投标文件报价出现前后不一致，供应商不确认修正后的报价的；</w:t>
      </w:r>
    </w:p>
    <w:p w14:paraId="1B64DB19">
      <w:pPr>
        <w:pStyle w:val="2"/>
        <w:spacing w:before="182" w:line="219" w:lineRule="auto"/>
        <w:ind w:left="20"/>
      </w:pPr>
      <w:r>
        <w:rPr>
          <w:spacing w:val="-3"/>
        </w:rPr>
        <w:t>（7）未按照招标文件要求提交“供应商声明函</w:t>
      </w:r>
      <w:r>
        <w:rPr>
          <w:spacing w:val="-70"/>
        </w:rPr>
        <w:t xml:space="preserve"> </w:t>
      </w:r>
      <w:r>
        <w:rPr>
          <w:spacing w:val="-3"/>
        </w:rPr>
        <w:t>”的；</w:t>
      </w:r>
    </w:p>
    <w:p w14:paraId="5C342899">
      <w:pPr>
        <w:pStyle w:val="2"/>
        <w:spacing w:before="181" w:line="219" w:lineRule="auto"/>
        <w:ind w:left="20"/>
      </w:pPr>
      <w:r>
        <w:rPr>
          <w:spacing w:val="-1"/>
        </w:rPr>
        <w:t>（8）服务期限（或交货期）不满足招标文件要求的；</w:t>
      </w:r>
    </w:p>
    <w:p w14:paraId="47B24245">
      <w:pPr>
        <w:pStyle w:val="2"/>
        <w:spacing w:before="183" w:line="218" w:lineRule="auto"/>
        <w:ind w:left="20"/>
      </w:pPr>
      <w:r>
        <w:rPr>
          <w:spacing w:val="-1"/>
        </w:rPr>
        <w:t>（9）未按照招标文件要求单独递交报价一览表原件的。</w:t>
      </w:r>
    </w:p>
    <w:p w14:paraId="327EE52D">
      <w:pPr>
        <w:pStyle w:val="2"/>
        <w:spacing w:before="185" w:line="218" w:lineRule="auto"/>
        <w:ind w:left="12"/>
        <w:outlineLvl w:val="2"/>
      </w:pPr>
      <w:r>
        <w:rPr>
          <w:b/>
          <w:bCs/>
          <w:spacing w:val="-3"/>
        </w:rPr>
        <w:t>22.</w:t>
      </w:r>
      <w:r>
        <w:rPr>
          <w:spacing w:val="-3"/>
        </w:rPr>
        <w:t xml:space="preserve"> </w:t>
      </w:r>
      <w:r>
        <w:rPr>
          <w:b/>
          <w:bCs/>
          <w:spacing w:val="-3"/>
        </w:rPr>
        <w:t>投标文件的综合比较与评价</w:t>
      </w:r>
    </w:p>
    <w:p w14:paraId="226DDFE7">
      <w:pPr>
        <w:pStyle w:val="2"/>
        <w:spacing w:before="182" w:line="219" w:lineRule="auto"/>
        <w:ind w:left="12"/>
      </w:pPr>
      <w:r>
        <w:rPr>
          <w:spacing w:val="-1"/>
        </w:rPr>
        <w:t>22.1</w:t>
      </w:r>
      <w:r>
        <w:rPr>
          <w:spacing w:val="-37"/>
        </w:rPr>
        <w:t xml:space="preserve"> </w:t>
      </w:r>
      <w:r>
        <w:rPr>
          <w:spacing w:val="-1"/>
        </w:rPr>
        <w:t>根据项目实际情况本项目的评标方法为综合评分法，评审标准详见第五章。</w:t>
      </w:r>
    </w:p>
    <w:p w14:paraId="257A046D">
      <w:pPr>
        <w:spacing w:line="219" w:lineRule="auto"/>
        <w:sectPr>
          <w:headerReference r:id="rId23" w:type="default"/>
          <w:footerReference r:id="rId24" w:type="default"/>
          <w:pgSz w:w="11910" w:h="16840"/>
          <w:pgMar w:top="1136" w:right="1134" w:bottom="1338" w:left="1457" w:header="855" w:footer="1174" w:gutter="0"/>
          <w:pgNumType w:fmt="decimal"/>
          <w:cols w:space="720" w:num="1"/>
        </w:sectPr>
      </w:pPr>
    </w:p>
    <w:p w14:paraId="0CD68E08">
      <w:pPr>
        <w:pStyle w:val="2"/>
        <w:spacing w:before="32" w:line="350" w:lineRule="auto"/>
        <w:ind w:left="9" w:firstLine="2"/>
        <w:jc w:val="both"/>
      </w:pPr>
      <w:r>
        <w:rPr>
          <w:spacing w:val="-3"/>
        </w:rPr>
        <w:t>22.2</w:t>
      </w:r>
      <w:r>
        <w:rPr>
          <w:spacing w:val="-52"/>
        </w:rPr>
        <w:t xml:space="preserve"> </w:t>
      </w:r>
      <w:r>
        <w:rPr>
          <w:spacing w:val="-3"/>
        </w:rPr>
        <w:t>评标委员会将按照招标文件中规定的评标方法和评审标准，对符合性审查合格的投标</w:t>
      </w:r>
      <w:r>
        <w:t xml:space="preserve"> </w:t>
      </w:r>
      <w:r>
        <w:rPr>
          <w:spacing w:val="-1"/>
        </w:rPr>
        <w:t>文件进行商务和技术评估，综合比较与评价。评标时，评标</w:t>
      </w:r>
      <w:r>
        <w:rPr>
          <w:spacing w:val="-2"/>
        </w:rPr>
        <w:t>委员会各成员应当独立对每个</w:t>
      </w:r>
      <w:r>
        <w:t xml:space="preserve"> </w:t>
      </w:r>
      <w:r>
        <w:rPr>
          <w:spacing w:val="-1"/>
        </w:rPr>
        <w:t>供应商的投标文件进行评价，并汇总每个供应商的得分。</w:t>
      </w:r>
    </w:p>
    <w:p w14:paraId="2910E01C">
      <w:pPr>
        <w:pStyle w:val="2"/>
        <w:spacing w:before="35" w:line="220" w:lineRule="auto"/>
        <w:ind w:left="12"/>
        <w:outlineLvl w:val="2"/>
      </w:pPr>
      <w:r>
        <w:rPr>
          <w:b/>
          <w:bCs/>
          <w:spacing w:val="-4"/>
        </w:rPr>
        <w:t>23.</w:t>
      </w:r>
      <w:r>
        <w:rPr>
          <w:spacing w:val="-4"/>
        </w:rPr>
        <w:t xml:space="preserve"> </w:t>
      </w:r>
      <w:r>
        <w:rPr>
          <w:b/>
          <w:bCs/>
          <w:spacing w:val="-4"/>
        </w:rPr>
        <w:t>废标情况</w:t>
      </w:r>
    </w:p>
    <w:p w14:paraId="09FE66F9">
      <w:pPr>
        <w:pStyle w:val="2"/>
        <w:spacing w:before="181" w:line="219" w:lineRule="auto"/>
        <w:ind w:left="12"/>
        <w:outlineLvl w:val="3"/>
      </w:pPr>
      <w:r>
        <w:rPr>
          <w:spacing w:val="-1"/>
        </w:rPr>
        <w:t>23.1</w:t>
      </w:r>
      <w:r>
        <w:rPr>
          <w:spacing w:val="-48"/>
        </w:rPr>
        <w:t xml:space="preserve"> </w:t>
      </w:r>
      <w:r>
        <w:rPr>
          <w:spacing w:val="-1"/>
        </w:rPr>
        <w:t>在招标采购中，出现下列情形之一的，应予废标：</w:t>
      </w:r>
    </w:p>
    <w:p w14:paraId="525E1A8C">
      <w:pPr>
        <w:pStyle w:val="2"/>
        <w:spacing w:before="180" w:line="219" w:lineRule="auto"/>
        <w:ind w:left="20"/>
      </w:pPr>
      <w:r>
        <w:rPr>
          <w:spacing w:val="-1"/>
        </w:rPr>
        <w:t>（1）符合专业条件的供应商或者对招标文件作实质响应的供应商不足三家。</w:t>
      </w:r>
    </w:p>
    <w:p w14:paraId="0D6C1272">
      <w:pPr>
        <w:pStyle w:val="2"/>
        <w:spacing w:before="183" w:line="219" w:lineRule="auto"/>
        <w:ind w:left="20"/>
      </w:pPr>
      <w:r>
        <w:rPr>
          <w:spacing w:val="-1"/>
        </w:rPr>
        <w:t>（2）出现影响采购公正的违法、违规行为的。</w:t>
      </w:r>
    </w:p>
    <w:p w14:paraId="739C33C1">
      <w:pPr>
        <w:pStyle w:val="2"/>
        <w:spacing w:before="184" w:line="218" w:lineRule="auto"/>
        <w:ind w:left="20"/>
      </w:pPr>
      <w:r>
        <w:rPr>
          <w:spacing w:val="-1"/>
        </w:rPr>
        <w:t>（3）供应商的报价均超过了采购预算，采购人不能支付的。</w:t>
      </w:r>
    </w:p>
    <w:p w14:paraId="6E1C8EFA">
      <w:pPr>
        <w:pStyle w:val="2"/>
        <w:spacing w:before="182" w:line="219" w:lineRule="auto"/>
        <w:ind w:left="20"/>
      </w:pPr>
      <w:r>
        <w:rPr>
          <w:spacing w:val="-2"/>
        </w:rPr>
        <w:t>（4）因重大变故，采购任务取消的。</w:t>
      </w:r>
    </w:p>
    <w:p w14:paraId="02CF8372">
      <w:pPr>
        <w:pStyle w:val="2"/>
        <w:spacing w:before="181" w:line="220" w:lineRule="auto"/>
        <w:ind w:left="12"/>
        <w:outlineLvl w:val="2"/>
      </w:pPr>
      <w:r>
        <w:rPr>
          <w:b/>
          <w:bCs/>
          <w:spacing w:val="-3"/>
        </w:rPr>
        <w:t>24.</w:t>
      </w:r>
      <w:r>
        <w:rPr>
          <w:spacing w:val="-3"/>
        </w:rPr>
        <w:t xml:space="preserve"> </w:t>
      </w:r>
      <w:r>
        <w:rPr>
          <w:b/>
          <w:bCs/>
          <w:spacing w:val="-3"/>
        </w:rPr>
        <w:t>评标过程及保密原则</w:t>
      </w:r>
    </w:p>
    <w:p w14:paraId="48CFF1F7">
      <w:pPr>
        <w:pStyle w:val="2"/>
        <w:spacing w:before="183" w:line="219" w:lineRule="auto"/>
        <w:ind w:left="12"/>
        <w:outlineLvl w:val="3"/>
      </w:pPr>
      <w:r>
        <w:rPr>
          <w:spacing w:val="-2"/>
        </w:rPr>
        <w:t>24.1</w:t>
      </w:r>
      <w:r>
        <w:rPr>
          <w:spacing w:val="-36"/>
        </w:rPr>
        <w:t xml:space="preserve"> </w:t>
      </w:r>
      <w:r>
        <w:rPr>
          <w:spacing w:val="-2"/>
        </w:rPr>
        <w:t>评标将在严格保密的情况下进行。</w:t>
      </w:r>
    </w:p>
    <w:p w14:paraId="0E2B9176">
      <w:pPr>
        <w:pStyle w:val="2"/>
        <w:spacing w:before="181" w:line="219" w:lineRule="auto"/>
        <w:ind w:left="12"/>
      </w:pPr>
      <w:r>
        <w:rPr>
          <w:spacing w:val="-1"/>
        </w:rPr>
        <w:t>24.2</w:t>
      </w:r>
      <w:r>
        <w:rPr>
          <w:spacing w:val="-34"/>
        </w:rPr>
        <w:t xml:space="preserve"> </w:t>
      </w:r>
      <w:r>
        <w:rPr>
          <w:spacing w:val="-1"/>
        </w:rPr>
        <w:t>有关人员对评标情况以及在评标过程中获悉的国家秘密、商业秘密负有保密责任。</w:t>
      </w:r>
    </w:p>
    <w:p w14:paraId="719989E4">
      <w:pPr>
        <w:pStyle w:val="2"/>
        <w:spacing w:before="182" w:line="347" w:lineRule="auto"/>
        <w:ind w:left="9" w:firstLine="2"/>
      </w:pPr>
      <w:r>
        <w:rPr>
          <w:spacing w:val="-3"/>
        </w:rPr>
        <w:t>24.3</w:t>
      </w:r>
      <w:r>
        <w:rPr>
          <w:spacing w:val="-52"/>
        </w:rPr>
        <w:t xml:space="preserve"> </w:t>
      </w:r>
      <w:r>
        <w:rPr>
          <w:spacing w:val="-3"/>
        </w:rPr>
        <w:t>在评标期间，供应商试图影响采购人、采购代理机构和评标委员会的任何活动，将导</w:t>
      </w:r>
      <w:r>
        <w:t xml:space="preserve"> </w:t>
      </w:r>
      <w:r>
        <w:rPr>
          <w:spacing w:val="-1"/>
        </w:rPr>
        <w:t>致其</w:t>
      </w:r>
      <w:r>
        <w:rPr>
          <w:b/>
          <w:bCs/>
          <w:spacing w:val="-1"/>
        </w:rPr>
        <w:t>投标被拒绝</w:t>
      </w:r>
      <w:r>
        <w:rPr>
          <w:spacing w:val="-1"/>
        </w:rPr>
        <w:t>，并承担相应的法律责任。</w:t>
      </w:r>
    </w:p>
    <w:p w14:paraId="0416574D">
      <w:pPr>
        <w:pStyle w:val="2"/>
        <w:spacing w:before="46" w:line="225" w:lineRule="auto"/>
        <w:ind w:left="3710"/>
        <w:outlineLvl w:val="1"/>
        <w:rPr>
          <w:sz w:val="31"/>
          <w:szCs w:val="31"/>
        </w:rPr>
      </w:pPr>
      <w:bookmarkStart w:id="29" w:name="bookmark17"/>
      <w:bookmarkEnd w:id="29"/>
      <w:bookmarkStart w:id="30" w:name="bookmark18"/>
      <w:bookmarkEnd w:id="30"/>
      <w:r>
        <w:rPr>
          <w:b/>
          <w:bCs/>
          <w:spacing w:val="5"/>
          <w:sz w:val="31"/>
          <w:szCs w:val="31"/>
        </w:rPr>
        <w:t>六、确定中标</w:t>
      </w:r>
    </w:p>
    <w:p w14:paraId="58B9FD9D">
      <w:pPr>
        <w:pStyle w:val="2"/>
        <w:spacing w:before="230" w:line="219" w:lineRule="auto"/>
        <w:ind w:left="12"/>
        <w:outlineLvl w:val="2"/>
      </w:pPr>
      <w:r>
        <w:rPr>
          <w:b/>
          <w:bCs/>
          <w:spacing w:val="-3"/>
        </w:rPr>
        <w:t>25.中标候选人的确定原则及标准</w:t>
      </w:r>
    </w:p>
    <w:p w14:paraId="381ECEEB">
      <w:pPr>
        <w:pStyle w:val="2"/>
        <w:spacing w:before="180" w:line="354" w:lineRule="auto"/>
        <w:ind w:left="10" w:firstLine="1"/>
        <w:jc w:val="both"/>
      </w:pPr>
      <w:r>
        <w:rPr>
          <w:spacing w:val="-3"/>
        </w:rPr>
        <w:t>25.1</w:t>
      </w:r>
      <w:r>
        <w:rPr>
          <w:spacing w:val="-52"/>
        </w:rPr>
        <w:t xml:space="preserve"> </w:t>
      </w:r>
      <w:r>
        <w:rPr>
          <w:spacing w:val="-3"/>
        </w:rPr>
        <w:t>评标委员会将根据招标文件的评标方法和评审标准，推荐中标候选人及评标排序，确</w:t>
      </w:r>
      <w:r>
        <w:t xml:space="preserve"> </w:t>
      </w:r>
      <w:r>
        <w:rPr>
          <w:spacing w:val="-1"/>
        </w:rPr>
        <w:t>定满足招标文件全部实质性要求，且按照评审因素的量化</w:t>
      </w:r>
      <w:r>
        <w:rPr>
          <w:spacing w:val="-2"/>
        </w:rPr>
        <w:t>指标评审得分最高的供应商为排</w:t>
      </w:r>
      <w:r>
        <w:t xml:space="preserve"> </w:t>
      </w:r>
      <w:r>
        <w:rPr>
          <w:spacing w:val="2"/>
        </w:rPr>
        <w:t>名第一的中标候选人。评审得分相同的， 按投标报价由低</w:t>
      </w:r>
      <w:r>
        <w:rPr>
          <w:spacing w:val="1"/>
        </w:rPr>
        <w:t>到高顺序排列。如报价相同则</w:t>
      </w:r>
      <w:r>
        <w:t xml:space="preserve"> </w:t>
      </w:r>
      <w:r>
        <w:rPr>
          <w:spacing w:val="-1"/>
        </w:rPr>
        <w:t>技术部分得分最高优先，投标报价相同且技术部分得分也</w:t>
      </w:r>
      <w:r>
        <w:rPr>
          <w:spacing w:val="-2"/>
        </w:rPr>
        <w:t>相同的，由评标委员会现场采取</w:t>
      </w:r>
      <w:r>
        <w:t xml:space="preserve"> </w:t>
      </w:r>
      <w:r>
        <w:rPr>
          <w:spacing w:val="-2"/>
        </w:rPr>
        <w:t>随机抽取方式确定。</w:t>
      </w:r>
    </w:p>
    <w:p w14:paraId="68A6E5E5">
      <w:pPr>
        <w:pStyle w:val="2"/>
        <w:spacing w:before="37" w:line="220" w:lineRule="auto"/>
        <w:ind w:left="12"/>
        <w:outlineLvl w:val="2"/>
      </w:pPr>
      <w:r>
        <w:rPr>
          <w:b/>
          <w:bCs/>
          <w:spacing w:val="-3"/>
        </w:rPr>
        <w:t>26.</w:t>
      </w:r>
      <w:r>
        <w:rPr>
          <w:spacing w:val="-3"/>
        </w:rPr>
        <w:t xml:space="preserve"> </w:t>
      </w:r>
      <w:r>
        <w:rPr>
          <w:b/>
          <w:bCs/>
          <w:spacing w:val="-3"/>
        </w:rPr>
        <w:t>确定中标人</w:t>
      </w:r>
    </w:p>
    <w:p w14:paraId="3B2DB22A">
      <w:pPr>
        <w:pStyle w:val="2"/>
        <w:spacing w:before="180" w:line="218" w:lineRule="auto"/>
        <w:ind w:left="12"/>
      </w:pPr>
      <w:r>
        <w:rPr>
          <w:spacing w:val="-1"/>
        </w:rPr>
        <w:t>26.1</w:t>
      </w:r>
      <w:r>
        <w:rPr>
          <w:spacing w:val="-41"/>
        </w:rPr>
        <w:t xml:space="preserve"> </w:t>
      </w:r>
      <w:r>
        <w:rPr>
          <w:spacing w:val="-1"/>
        </w:rPr>
        <w:t>采购人将在评标报告确定的中标候选人名单中按顺序确定中标人。</w:t>
      </w:r>
    </w:p>
    <w:p w14:paraId="08B2EC4A">
      <w:pPr>
        <w:pStyle w:val="2"/>
        <w:spacing w:before="184" w:line="218" w:lineRule="auto"/>
        <w:ind w:left="12"/>
        <w:outlineLvl w:val="3"/>
      </w:pPr>
      <w:r>
        <w:rPr>
          <w:spacing w:val="-2"/>
        </w:rPr>
        <w:t>26.2</w:t>
      </w:r>
      <w:r>
        <w:rPr>
          <w:spacing w:val="-38"/>
        </w:rPr>
        <w:t xml:space="preserve"> </w:t>
      </w:r>
      <w:r>
        <w:rPr>
          <w:spacing w:val="-2"/>
        </w:rPr>
        <w:t>最低投标价不是中标唯一条件。</w:t>
      </w:r>
    </w:p>
    <w:p w14:paraId="12EEE96B">
      <w:pPr>
        <w:pStyle w:val="2"/>
        <w:spacing w:before="183" w:line="219" w:lineRule="auto"/>
        <w:ind w:left="12"/>
        <w:outlineLvl w:val="2"/>
      </w:pPr>
      <w:r>
        <w:rPr>
          <w:b/>
          <w:bCs/>
          <w:spacing w:val="-4"/>
        </w:rPr>
        <w:t>27.保留权利</w:t>
      </w:r>
    </w:p>
    <w:p w14:paraId="4D13FE48">
      <w:pPr>
        <w:pStyle w:val="2"/>
        <w:spacing w:before="182" w:line="345" w:lineRule="auto"/>
        <w:ind w:left="32" w:hanging="20"/>
      </w:pPr>
      <w:r>
        <w:rPr>
          <w:spacing w:val="-3"/>
        </w:rPr>
        <w:t>27.1</w:t>
      </w:r>
      <w:r>
        <w:rPr>
          <w:spacing w:val="-32"/>
        </w:rPr>
        <w:t xml:space="preserve"> </w:t>
      </w:r>
      <w:r>
        <w:rPr>
          <w:spacing w:val="-3"/>
        </w:rPr>
        <w:t>因不可抗力或中标人自身原因不能履约</w:t>
      </w:r>
      <w:r>
        <w:rPr>
          <w:spacing w:val="-4"/>
        </w:rPr>
        <w:t>等情形，采购人保留与其他中标候选人签订合</w:t>
      </w:r>
      <w:r>
        <w:t xml:space="preserve"> </w:t>
      </w:r>
      <w:r>
        <w:rPr>
          <w:spacing w:val="-7"/>
        </w:rPr>
        <w:t>同的权利。</w:t>
      </w:r>
    </w:p>
    <w:p w14:paraId="24E32059">
      <w:pPr>
        <w:pStyle w:val="2"/>
        <w:spacing w:before="37" w:line="219" w:lineRule="auto"/>
        <w:ind w:left="12"/>
        <w:outlineLvl w:val="2"/>
      </w:pPr>
      <w:r>
        <w:rPr>
          <w:b/>
          <w:bCs/>
          <w:spacing w:val="-4"/>
        </w:rPr>
        <w:t>28.中标通知书</w:t>
      </w:r>
    </w:p>
    <w:p w14:paraId="2CCC272D">
      <w:pPr>
        <w:pStyle w:val="2"/>
        <w:spacing w:before="184" w:line="344" w:lineRule="auto"/>
        <w:ind w:left="9" w:firstLine="2"/>
      </w:pPr>
      <w:r>
        <w:rPr>
          <w:spacing w:val="-3"/>
        </w:rPr>
        <w:t>28.1</w:t>
      </w:r>
      <w:r>
        <w:rPr>
          <w:spacing w:val="-52"/>
        </w:rPr>
        <w:t xml:space="preserve"> </w:t>
      </w:r>
      <w:r>
        <w:rPr>
          <w:spacing w:val="-3"/>
        </w:rPr>
        <w:t>在投标有效期内，中标人确定后，采购代理机构将在财政部门指定的政府采购信息发</w:t>
      </w:r>
      <w:r>
        <w:t xml:space="preserve"> 布媒体上公告中标结果，同时采购代理机构以书面形式向</w:t>
      </w:r>
      <w:r>
        <w:rPr>
          <w:spacing w:val="-1"/>
        </w:rPr>
        <w:t>中标人发出中标通知书。</w:t>
      </w:r>
    </w:p>
    <w:p w14:paraId="1D97C477">
      <w:pPr>
        <w:spacing w:line="344" w:lineRule="auto"/>
        <w:sectPr>
          <w:footerReference r:id="rId25" w:type="default"/>
          <w:pgSz w:w="11910" w:h="16840"/>
          <w:pgMar w:top="1136" w:right="1134" w:bottom="1339" w:left="1457" w:header="855" w:footer="1174" w:gutter="0"/>
          <w:pgNumType w:fmt="decimal"/>
          <w:cols w:space="720" w:num="1"/>
        </w:sectPr>
      </w:pPr>
    </w:p>
    <w:p w14:paraId="7ADC3BA0">
      <w:pPr>
        <w:pStyle w:val="2"/>
        <w:spacing w:before="33" w:line="219" w:lineRule="auto"/>
        <w:ind w:left="12"/>
      </w:pPr>
      <w:r>
        <w:rPr>
          <w:spacing w:val="-1"/>
        </w:rPr>
        <w:t>28.2</w:t>
      </w:r>
      <w:r>
        <w:rPr>
          <w:spacing w:val="-51"/>
        </w:rPr>
        <w:t xml:space="preserve"> </w:t>
      </w:r>
      <w:r>
        <w:rPr>
          <w:spacing w:val="-1"/>
        </w:rPr>
        <w:t>供应商可通过相关发布媒体查询中标结果。</w:t>
      </w:r>
    </w:p>
    <w:p w14:paraId="699A1108">
      <w:pPr>
        <w:pStyle w:val="2"/>
        <w:spacing w:before="180" w:line="219" w:lineRule="auto"/>
        <w:ind w:left="12"/>
      </w:pPr>
      <w:r>
        <w:rPr>
          <w:spacing w:val="-3"/>
        </w:rPr>
        <w:t>28.3</w:t>
      </w:r>
      <w:r>
        <w:rPr>
          <w:spacing w:val="-20"/>
        </w:rPr>
        <w:t xml:space="preserve"> </w:t>
      </w:r>
      <w:r>
        <w:rPr>
          <w:spacing w:val="-3"/>
        </w:rPr>
        <w:t>中标通知书是合同的组成部分。</w:t>
      </w:r>
    </w:p>
    <w:p w14:paraId="4296CD7B">
      <w:pPr>
        <w:pStyle w:val="2"/>
        <w:spacing w:before="184" w:line="221" w:lineRule="auto"/>
        <w:ind w:left="12"/>
        <w:outlineLvl w:val="2"/>
      </w:pPr>
      <w:r>
        <w:rPr>
          <w:b/>
          <w:bCs/>
          <w:spacing w:val="-4"/>
        </w:rPr>
        <w:t>29.签订合同</w:t>
      </w:r>
    </w:p>
    <w:p w14:paraId="7EE38CD2">
      <w:pPr>
        <w:pStyle w:val="2"/>
        <w:spacing w:before="179" w:line="312" w:lineRule="auto"/>
        <w:ind w:left="8" w:right="61" w:firstLine="3"/>
      </w:pPr>
      <w:r>
        <w:rPr>
          <w:spacing w:val="-2"/>
        </w:rPr>
        <w:t>29.1</w:t>
      </w:r>
      <w:r>
        <w:rPr>
          <w:spacing w:val="-28"/>
        </w:rPr>
        <w:t xml:space="preserve"> </w:t>
      </w:r>
      <w:r>
        <w:rPr>
          <w:spacing w:val="-2"/>
        </w:rPr>
        <w:t>中标人应当自中标通知书发出之日起</w:t>
      </w:r>
      <w:r>
        <w:rPr>
          <w:spacing w:val="-46"/>
        </w:rPr>
        <w:t xml:space="preserve"> </w:t>
      </w:r>
      <w:r>
        <w:rPr>
          <w:spacing w:val="-2"/>
        </w:rPr>
        <w:t>30 日内</w:t>
      </w:r>
      <w:r>
        <w:rPr>
          <w:spacing w:val="-3"/>
        </w:rPr>
        <w:t>，按照招标文件和投标文件的规定，与</w:t>
      </w:r>
      <w:r>
        <w:t xml:space="preserve"> </w:t>
      </w:r>
      <w:r>
        <w:rPr>
          <w:spacing w:val="5"/>
        </w:rPr>
        <w:t>采购人签订书面合同。所签订的合同不得对招标文件确定的事项和投标文件作实质性修</w:t>
      </w:r>
      <w:r>
        <w:t xml:space="preserve"> </w:t>
      </w:r>
      <w:r>
        <w:rPr>
          <w:spacing w:val="-5"/>
        </w:rPr>
        <w:t>改。</w:t>
      </w:r>
    </w:p>
    <w:p w14:paraId="7F5CA86D">
      <w:pPr>
        <w:pStyle w:val="2"/>
        <w:spacing w:before="182" w:line="219" w:lineRule="auto"/>
        <w:jc w:val="right"/>
      </w:pPr>
      <w:r>
        <w:rPr>
          <w:spacing w:val="-2"/>
        </w:rPr>
        <w:t>29.2</w:t>
      </w:r>
      <w:r>
        <w:rPr>
          <w:spacing w:val="-32"/>
        </w:rPr>
        <w:t xml:space="preserve"> </w:t>
      </w:r>
      <w:r>
        <w:rPr>
          <w:spacing w:val="-2"/>
        </w:rPr>
        <w:t>招标文件及其补充文件、中标人的投标文件及其澄清文件等，均为签订合同的依据。</w:t>
      </w:r>
    </w:p>
    <w:p w14:paraId="108D95D7">
      <w:pPr>
        <w:pStyle w:val="2"/>
        <w:spacing w:before="185" w:line="288" w:lineRule="auto"/>
        <w:ind w:left="8" w:right="60" w:firstLine="3"/>
      </w:pPr>
      <w:r>
        <w:rPr>
          <w:spacing w:val="-4"/>
        </w:rPr>
        <w:t>29.3</w:t>
      </w:r>
      <w:r>
        <w:rPr>
          <w:spacing w:val="-11"/>
        </w:rPr>
        <w:t xml:space="preserve"> </w:t>
      </w:r>
      <w:r>
        <w:rPr>
          <w:spacing w:val="-4"/>
        </w:rPr>
        <w:t>中标人拒绝与采购人签订合同的，采购人可以按照评标报告推荐的中标候选人名单排</w:t>
      </w:r>
      <w:r>
        <w:t xml:space="preserve"> </w:t>
      </w:r>
      <w:r>
        <w:rPr>
          <w:spacing w:val="-1"/>
        </w:rPr>
        <w:t>序，确定下一候选人为中标人，也可以重新开展政府采购活动。</w:t>
      </w:r>
    </w:p>
    <w:p w14:paraId="2EC1285B">
      <w:pPr>
        <w:pStyle w:val="2"/>
        <w:spacing w:before="182" w:line="289" w:lineRule="auto"/>
        <w:ind w:left="8" w:right="60" w:firstLine="3"/>
      </w:pPr>
      <w:r>
        <w:rPr>
          <w:spacing w:val="-3"/>
        </w:rPr>
        <w:t>29.4</w:t>
      </w:r>
      <w:r>
        <w:rPr>
          <w:spacing w:val="-52"/>
        </w:rPr>
        <w:t xml:space="preserve"> </w:t>
      </w:r>
      <w:r>
        <w:rPr>
          <w:spacing w:val="-3"/>
        </w:rPr>
        <w:t>政府采购合同履行中，采购人可以与中标人签订补充合同，但补充合同必须符合政府</w:t>
      </w:r>
      <w:r>
        <w:t xml:space="preserve"> </w:t>
      </w:r>
      <w:r>
        <w:rPr>
          <w:spacing w:val="-1"/>
        </w:rPr>
        <w:t>采购法相关法律法规有关规定。</w:t>
      </w:r>
    </w:p>
    <w:p w14:paraId="6297C2F3">
      <w:pPr>
        <w:pStyle w:val="2"/>
        <w:spacing w:before="182" w:line="220" w:lineRule="auto"/>
        <w:ind w:left="13"/>
        <w:outlineLvl w:val="2"/>
      </w:pPr>
      <w:r>
        <w:rPr>
          <w:b/>
          <w:bCs/>
          <w:spacing w:val="-4"/>
        </w:rPr>
        <w:t>30.履约保证金</w:t>
      </w:r>
    </w:p>
    <w:p w14:paraId="44ADB327">
      <w:pPr>
        <w:pStyle w:val="2"/>
        <w:spacing w:before="182" w:line="290" w:lineRule="auto"/>
        <w:ind w:left="11" w:right="60" w:firstLine="2"/>
      </w:pPr>
      <w:r>
        <w:rPr>
          <w:spacing w:val="-4"/>
        </w:rPr>
        <w:t>30.1</w:t>
      </w:r>
      <w:r>
        <w:rPr>
          <w:spacing w:val="-28"/>
        </w:rPr>
        <w:t xml:space="preserve"> </w:t>
      </w:r>
      <w:r>
        <w:rPr>
          <w:spacing w:val="-4"/>
        </w:rPr>
        <w:t>中标人应当按照招标文件“第二章供应商须知前</w:t>
      </w:r>
      <w:r>
        <w:rPr>
          <w:spacing w:val="-5"/>
        </w:rPr>
        <w:t>附表</w:t>
      </w:r>
      <w:r>
        <w:rPr>
          <w:spacing w:val="-88"/>
        </w:rPr>
        <w:t xml:space="preserve"> </w:t>
      </w:r>
      <w:r>
        <w:rPr>
          <w:spacing w:val="-5"/>
        </w:rPr>
        <w:t>”中的规定金额和时间，向采购</w:t>
      </w:r>
      <w:r>
        <w:t xml:space="preserve"> </w:t>
      </w:r>
      <w:r>
        <w:rPr>
          <w:spacing w:val="-2"/>
        </w:rPr>
        <w:t>人提交履约保证金。</w:t>
      </w:r>
    </w:p>
    <w:p w14:paraId="307DC1BA">
      <w:pPr>
        <w:pStyle w:val="2"/>
        <w:spacing w:before="180" w:line="289" w:lineRule="auto"/>
        <w:ind w:left="13" w:right="60"/>
      </w:pPr>
      <w:r>
        <w:rPr>
          <w:spacing w:val="-3"/>
        </w:rPr>
        <w:t>30.2</w:t>
      </w:r>
      <w:r>
        <w:rPr>
          <w:spacing w:val="-46"/>
        </w:rPr>
        <w:t xml:space="preserve"> </w:t>
      </w:r>
      <w:r>
        <w:rPr>
          <w:spacing w:val="-3"/>
        </w:rPr>
        <w:t>如果中标人没有按照招标文件规定提交履约保证金，采购人有权取消</w:t>
      </w:r>
      <w:r>
        <w:rPr>
          <w:spacing w:val="-4"/>
        </w:rPr>
        <w:t>该中标决定，并</w:t>
      </w:r>
      <w:r>
        <w:t xml:space="preserve"> 没收其投标保证金。在此情况下，采购人可另选</w:t>
      </w:r>
      <w:r>
        <w:rPr>
          <w:spacing w:val="-1"/>
        </w:rPr>
        <w:t>下一个中标候选人，或重新招标。</w:t>
      </w:r>
    </w:p>
    <w:p w14:paraId="1D8838B6">
      <w:pPr>
        <w:pStyle w:val="2"/>
        <w:spacing w:before="181" w:line="219" w:lineRule="auto"/>
        <w:ind w:left="13"/>
        <w:outlineLvl w:val="2"/>
      </w:pPr>
      <w:r>
        <w:rPr>
          <w:b/>
          <w:bCs/>
          <w:spacing w:val="-4"/>
        </w:rPr>
        <w:t>31.供应商质疑</w:t>
      </w:r>
    </w:p>
    <w:p w14:paraId="4C750FA3">
      <w:pPr>
        <w:pStyle w:val="2"/>
        <w:spacing w:before="183" w:line="219" w:lineRule="auto"/>
        <w:ind w:left="13"/>
      </w:pPr>
      <w:r>
        <w:rPr>
          <w:spacing w:val="-1"/>
        </w:rPr>
        <w:t>31.1</w:t>
      </w:r>
      <w:r>
        <w:rPr>
          <w:spacing w:val="-41"/>
        </w:rPr>
        <w:t xml:space="preserve"> </w:t>
      </w:r>
      <w:r>
        <w:rPr>
          <w:spacing w:val="-1"/>
        </w:rPr>
        <w:t>供应商应当在法定质疑期内一次性提出针对同一采购程序环节的质疑。</w:t>
      </w:r>
    </w:p>
    <w:p w14:paraId="70D802B4">
      <w:pPr>
        <w:spacing w:line="219" w:lineRule="auto"/>
        <w:sectPr>
          <w:headerReference r:id="rId26" w:type="default"/>
          <w:footerReference r:id="rId27" w:type="default"/>
          <w:pgSz w:w="11910" w:h="16840"/>
          <w:pgMar w:top="1136" w:right="1073" w:bottom="1339" w:left="1457" w:header="855" w:footer="1174" w:gutter="0"/>
          <w:pgNumType w:fmt="decimal"/>
          <w:cols w:space="720" w:num="1"/>
        </w:sectPr>
      </w:pPr>
    </w:p>
    <w:p w14:paraId="10D4C282">
      <w:pPr>
        <w:spacing w:line="244" w:lineRule="auto"/>
        <w:rPr>
          <w:rFonts w:ascii="Arial"/>
          <w:sz w:val="21"/>
        </w:rPr>
      </w:pPr>
    </w:p>
    <w:p w14:paraId="090EC5B4">
      <w:pPr>
        <w:pStyle w:val="2"/>
        <w:spacing w:before="100" w:line="224" w:lineRule="auto"/>
        <w:ind w:left="2323"/>
        <w:outlineLvl w:val="0"/>
        <w:rPr>
          <w:sz w:val="31"/>
          <w:szCs w:val="31"/>
        </w:rPr>
      </w:pPr>
      <w:bookmarkStart w:id="31" w:name="bookmark19"/>
      <w:bookmarkEnd w:id="31"/>
      <w:bookmarkStart w:id="32" w:name="bookmark20"/>
      <w:bookmarkEnd w:id="32"/>
      <w:r>
        <w:rPr>
          <w:b/>
          <w:bCs/>
          <w:spacing w:val="6"/>
          <w:sz w:val="31"/>
          <w:szCs w:val="31"/>
        </w:rPr>
        <w:t>第</w:t>
      </w:r>
      <w:r>
        <w:rPr>
          <w:rFonts w:hint="eastAsia"/>
          <w:b/>
          <w:bCs/>
          <w:spacing w:val="6"/>
          <w:sz w:val="31"/>
          <w:szCs w:val="31"/>
          <w:lang w:val="en-US" w:eastAsia="zh-CN"/>
        </w:rPr>
        <w:t>四</w:t>
      </w:r>
      <w:r>
        <w:rPr>
          <w:b/>
          <w:bCs/>
          <w:spacing w:val="6"/>
          <w:sz w:val="31"/>
          <w:szCs w:val="31"/>
        </w:rPr>
        <w:t>章</w:t>
      </w:r>
      <w:r>
        <w:rPr>
          <w:spacing w:val="6"/>
          <w:sz w:val="31"/>
          <w:szCs w:val="31"/>
        </w:rPr>
        <w:t xml:space="preserve">  </w:t>
      </w:r>
      <w:r>
        <w:rPr>
          <w:b/>
          <w:bCs/>
          <w:spacing w:val="6"/>
          <w:sz w:val="31"/>
          <w:szCs w:val="31"/>
        </w:rPr>
        <w:t>采购需求及服务要求</w:t>
      </w:r>
    </w:p>
    <w:p w14:paraId="7950FD89">
      <w:pPr>
        <w:spacing w:line="254" w:lineRule="auto"/>
        <w:rPr>
          <w:rFonts w:ascii="Arial"/>
          <w:sz w:val="21"/>
        </w:rPr>
      </w:pPr>
    </w:p>
    <w:p w14:paraId="6EAF9D6E">
      <w:pPr>
        <w:spacing w:line="254" w:lineRule="auto"/>
        <w:rPr>
          <w:rFonts w:ascii="Arial"/>
          <w:sz w:val="21"/>
        </w:rPr>
      </w:pPr>
    </w:p>
    <w:p w14:paraId="61C7B30E">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firstLine="643" w:firstLineChars="200"/>
        <w:textAlignment w:val="auto"/>
        <w:rPr>
          <w:rFonts w:hint="default" w:ascii="黑体" w:hAnsi="黑体" w:eastAsia="黑体" w:cs="黑体"/>
          <w:b/>
          <w:bCs w:val="0"/>
          <w:color w:val="000000"/>
          <w:sz w:val="32"/>
          <w:szCs w:val="32"/>
          <w:lang w:val="en-US" w:eastAsia="zh-CN"/>
        </w:rPr>
      </w:pPr>
      <w:r>
        <w:rPr>
          <w:rFonts w:hint="eastAsia" w:ascii="黑体" w:hAnsi="黑体" w:eastAsia="黑体" w:cs="黑体"/>
          <w:b/>
          <w:bCs w:val="0"/>
          <w:color w:val="000000"/>
          <w:sz w:val="32"/>
          <w:szCs w:val="32"/>
          <w:lang w:val="en-US" w:eastAsia="zh-CN"/>
        </w:rPr>
        <w:t>一、巴克图口岸物业服务面积</w:t>
      </w:r>
    </w:p>
    <w:p w14:paraId="1CF84AE4">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firstLine="640" w:firstLineChars="200"/>
        <w:textAlignment w:val="auto"/>
        <w:rPr>
          <w:rFonts w:hint="default" w:ascii="黑体" w:hAnsi="黑体" w:eastAsia="仿宋_GB2312" w:cs="黑体"/>
          <w:b w:val="0"/>
          <w:bCs/>
          <w:color w:val="000000"/>
          <w:sz w:val="32"/>
          <w:szCs w:val="32"/>
          <w:lang w:val="en-US" w:eastAsia="zh-CN"/>
        </w:rPr>
      </w:pPr>
      <w:r>
        <w:rPr>
          <w:rFonts w:hint="eastAsia" w:ascii="仿宋_GB2312" w:hAnsi="仿宋_GB2312" w:eastAsia="仿宋_GB2312" w:cs="仿宋_GB2312"/>
          <w:color w:val="000000"/>
          <w:sz w:val="32"/>
          <w:szCs w:val="32"/>
          <w:highlight w:val="none"/>
          <w:lang w:val="en-US" w:eastAsia="zh-CN"/>
        </w:rPr>
        <w:t>总面积：282932㎡（室外道路、人行道、停车场及单体建筑硬化面积243651㎡；绿化面积</w:t>
      </w:r>
      <w:r>
        <w:rPr>
          <w:rFonts w:hint="eastAsia" w:ascii="仿宋_GB2312" w:hAnsi="仿宋_GB2312" w:eastAsia="仿宋_GB2312" w:cs="仿宋_GB2312"/>
          <w:color w:val="000000"/>
          <w:sz w:val="32"/>
          <w:szCs w:val="32"/>
          <w:highlight w:val="none"/>
          <w:lang w:eastAsia="zh-CN"/>
        </w:rPr>
        <w:t>20875</w:t>
      </w:r>
      <w:r>
        <w:rPr>
          <w:rFonts w:hint="eastAsia" w:ascii="仿宋_GB2312" w:hAnsi="仿宋_GB2312" w:eastAsia="仿宋_GB2312" w:cs="仿宋_GB2312"/>
          <w:color w:val="000000"/>
          <w:sz w:val="32"/>
          <w:szCs w:val="32"/>
          <w:highlight w:val="none"/>
          <w:lang w:val="en-US" w:eastAsia="zh-CN"/>
        </w:rPr>
        <w:t>㎡；单体建筑面积总和18406㎡）</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包含塔城-巴克图路（过阿克雀克检查站至上海路交汇）；辽宁路（过阿克雀克检查站左至围网）；上海路及人行道（上海路至深圳路交汇）；限定区外横一路、纵一路及人行道；限定区内道路及硬化；单体建筑周边硬化；口岸通关区域绿化；单体建筑（综合服务楼、联检厅、货检查验用房、车检通道、老锅炉房、边检前哨站）。</w:t>
      </w:r>
    </w:p>
    <w:p w14:paraId="79C1980E">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firstLine="643" w:firstLineChars="200"/>
        <w:textAlignment w:val="auto"/>
        <w:rPr>
          <w:rFonts w:hint="default" w:ascii="黑体" w:hAnsi="黑体" w:eastAsia="黑体" w:cs="黑体"/>
          <w:b/>
          <w:bCs w:val="0"/>
          <w:color w:val="000000"/>
          <w:sz w:val="32"/>
          <w:szCs w:val="32"/>
          <w:lang w:val="en-US" w:eastAsia="zh-CN"/>
        </w:rPr>
      </w:pPr>
      <w:r>
        <w:rPr>
          <w:rFonts w:hint="eastAsia" w:ascii="黑体" w:hAnsi="黑体" w:eastAsia="黑体" w:cs="黑体"/>
          <w:b/>
          <w:bCs w:val="0"/>
          <w:color w:val="000000"/>
          <w:sz w:val="32"/>
          <w:szCs w:val="32"/>
          <w:lang w:val="en-US" w:eastAsia="zh-CN"/>
        </w:rPr>
        <w:t>二、物业服务费用及期限</w:t>
      </w:r>
    </w:p>
    <w:p w14:paraId="374B80E4">
      <w:pPr>
        <w:pStyle w:val="16"/>
        <w:numPr>
          <w:ilvl w:val="0"/>
          <w:numId w:val="0"/>
        </w:numPr>
        <w:ind w:firstLine="640"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巴克图口岸物业服务费包含：维稳安保；保洁（室外冬季打冰扫雪及保洁卫生、室内保洁卫生、绿化养护）；消防设施设备、高低压电、弱电、室内外水暖、供排水及配套设施设备的维修保养及检测；单体建筑的维修。相应配备物业负责人，安保、消防、低压电工、水暖、弱电等服务人员。</w:t>
      </w:r>
    </w:p>
    <w:p w14:paraId="7E10B9A5">
      <w:pPr>
        <w:pStyle w:val="16"/>
        <w:numPr>
          <w:ilvl w:val="0"/>
          <w:numId w:val="0"/>
        </w:numPr>
        <w:ind w:firstLine="640" w:firstLineChars="200"/>
        <w:rPr>
          <w:rFonts w:hint="eastAsia" w:ascii="黑体" w:hAnsi="黑体" w:eastAsia="黑体" w:cs="黑体"/>
          <w:b/>
          <w:bCs w:val="0"/>
          <w:color w:val="000000"/>
          <w:sz w:val="32"/>
          <w:szCs w:val="32"/>
          <w:lang w:val="en-US" w:eastAsia="zh-CN"/>
        </w:rPr>
      </w:pPr>
      <w:r>
        <w:rPr>
          <w:rFonts w:hint="eastAsia" w:ascii="仿宋_GB2312" w:hAnsi="仿宋_GB2312" w:eastAsia="仿宋_GB2312" w:cs="仿宋_GB2312"/>
          <w:sz w:val="32"/>
          <w:szCs w:val="32"/>
          <w:lang w:val="en-US" w:eastAsia="zh-CN"/>
        </w:rPr>
        <w:t>服务期限：自     年  月  日至     年   月   日，物业服务期限为1年。</w:t>
      </w:r>
    </w:p>
    <w:p w14:paraId="7E0A3415">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firstLine="643" w:firstLineChars="200"/>
        <w:textAlignment w:val="auto"/>
        <w:rPr>
          <w:rFonts w:hint="default" w:ascii="黑体" w:hAnsi="黑体" w:eastAsia="黑体" w:cs="黑体"/>
          <w:b/>
          <w:bCs w:val="0"/>
          <w:color w:val="000000"/>
          <w:sz w:val="32"/>
          <w:szCs w:val="32"/>
          <w:lang w:val="en-US" w:eastAsia="zh-CN"/>
        </w:rPr>
      </w:pPr>
      <w:r>
        <w:rPr>
          <w:rFonts w:hint="eastAsia" w:ascii="黑体" w:hAnsi="黑体" w:eastAsia="黑体" w:cs="黑体"/>
          <w:b/>
          <w:bCs w:val="0"/>
          <w:color w:val="000000"/>
          <w:sz w:val="32"/>
          <w:szCs w:val="32"/>
          <w:lang w:val="en-US" w:eastAsia="zh-CN"/>
        </w:rPr>
        <w:t>三、维稳安保</w:t>
      </w:r>
    </w:p>
    <w:p w14:paraId="77FFABC9">
      <w:pPr>
        <w:keepNext w:val="0"/>
        <w:keepLines w:val="0"/>
        <w:pageBreakBefore w:val="0"/>
        <w:widowControl w:val="0"/>
        <w:kinsoku/>
        <w:wordWrap/>
        <w:overflowPunct/>
        <w:topLinePunct w:val="0"/>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1、安保人员要求</w:t>
      </w:r>
    </w:p>
    <w:p w14:paraId="7971E083">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（1）上岗前须经过正规的保安培训，取得保安员证，符合上岗要求。</w:t>
      </w:r>
    </w:p>
    <w:p w14:paraId="642B9FAB">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（2）无违法犯罪记录，品德端正，遵纪守法，历史清楚，经公安部门政治审查合格。</w:t>
      </w:r>
    </w:p>
    <w:p w14:paraId="13BE3E97">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（3）安保人员善于发现各类问题，具备一定的安保经验和处理突发事件能力。安保人员需知法、懂法、守法、依法办事，严格遵守保安从业规定。</w:t>
      </w:r>
    </w:p>
    <w:p w14:paraId="0404841C">
      <w:pPr>
        <w:keepNext w:val="0"/>
        <w:keepLines w:val="0"/>
        <w:pageBreakBefore w:val="0"/>
        <w:widowControl w:val="0"/>
        <w:kinsoku/>
        <w:wordWrap/>
        <w:overflowPunct/>
        <w:topLinePunct w:val="0"/>
        <w:bidi w:val="0"/>
        <w:adjustRightInd/>
        <w:snapToGrid/>
        <w:spacing w:line="560" w:lineRule="exact"/>
        <w:ind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2、安保服务内容</w:t>
      </w:r>
    </w:p>
    <w:p w14:paraId="721113D9">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依照口岸管理要求和相关规定，结合实际情况，制订切实可行的安保制度、方案、预案，开展专业化安全防范，采取点、线、面相结合的治安防暴管控措施。</w:t>
      </w:r>
    </w:p>
    <w:p w14:paraId="0B31F047">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（1）以旅检大厅和办公楼为中心辐射配备安保人员</w:t>
      </w:r>
    </w:p>
    <w:p w14:paraId="2D01EE3D">
      <w:pPr>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（2）负责安保管理区域人员、车辆管理和安保范围内防火、防盗、防投毒、防恐、治安巡逻，维持秩序，维护稳定，及时发现和消除安全隐患。</w:t>
      </w:r>
    </w:p>
    <w:p w14:paraId="785BD66A">
      <w:pPr>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（3）负责公共部位日常安全隐患检查及上报，违规纠正，有针对性地开展安全教育和提示。</w:t>
      </w:r>
    </w:p>
    <w:p w14:paraId="3BF42D8C">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（4）制定突发事件处置等防控预案，配合甲方及时正确处理的各类突发事件，随时准备提供紧急援助。</w:t>
      </w:r>
    </w:p>
    <w:p w14:paraId="60856E26">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（5）负责重大活动的安全警戒与秩序保障。</w:t>
      </w:r>
    </w:p>
    <w:p w14:paraId="61BADB39">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（6）确保所有安保、视频监控等设施的正常稳定运行。</w:t>
      </w:r>
    </w:p>
    <w:p w14:paraId="6706E371">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黑体" w:hAnsi="黑体" w:eastAsia="黑体" w:cs="黑体"/>
          <w:b w:val="0"/>
          <w:bCs/>
          <w:color w:val="000000"/>
          <w:sz w:val="32"/>
          <w:szCs w:val="32"/>
          <w:lang w:val="en-US" w:eastAsia="zh-CN"/>
        </w:rPr>
      </w:pPr>
      <w:r>
        <w:rPr>
          <w:rFonts w:hint="eastAsia" w:ascii="仿宋_GB2312" w:hAnsi="仿宋_GB2312" w:eastAsia="仿宋_GB2312" w:cs="仿宋_GB2312"/>
          <w:color w:val="000000"/>
          <w:sz w:val="32"/>
          <w:szCs w:val="32"/>
          <w:lang w:val="en-US" w:eastAsia="zh-CN"/>
        </w:rPr>
        <w:t>（7）其它属于安保专项工作临时交办任务。</w:t>
      </w:r>
    </w:p>
    <w:p w14:paraId="52968708">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val="0"/>
          <w:color w:val="000000"/>
          <w:sz w:val="32"/>
          <w:szCs w:val="32"/>
          <w:lang w:val="en-US" w:eastAsia="zh-CN"/>
        </w:rPr>
      </w:pPr>
      <w:r>
        <w:rPr>
          <w:rFonts w:hint="eastAsia" w:ascii="黑体" w:hAnsi="黑体" w:eastAsia="黑体" w:cs="黑体"/>
          <w:b/>
          <w:bCs w:val="0"/>
          <w:color w:val="000000"/>
          <w:sz w:val="32"/>
          <w:szCs w:val="32"/>
          <w:lang w:val="en-US" w:eastAsia="zh-CN"/>
        </w:rPr>
        <w:t>四、室内外保洁</w:t>
      </w:r>
    </w:p>
    <w:p w14:paraId="46AAE9BE">
      <w:pPr>
        <w:keepNext w:val="0"/>
        <w:keepLines w:val="0"/>
        <w:pageBreakBefore w:val="0"/>
        <w:widowControl w:val="0"/>
        <w:kinsoku/>
        <w:wordWrap/>
        <w:overflowPunct/>
        <w:topLinePunct w:val="0"/>
        <w:bidi w:val="0"/>
        <w:adjustRightInd/>
        <w:snapToGrid/>
        <w:spacing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（一）室内保洁</w:t>
      </w:r>
    </w:p>
    <w:p w14:paraId="730305F9">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（1）室内保洁包含综合楼、联检厅（7x12小时保持整洁）、货检查验用房、车检通道、老锅炉房、边检前哨站等单体建筑。</w:t>
      </w:r>
    </w:p>
    <w:p w14:paraId="63D96CD4">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（2）做到地面无杂物、无污痕、无水渍；门窗、不锈钢护栏无灰尘；室内盆花根据情况适时浇水、修剪、花叶无灰尘。</w:t>
      </w:r>
    </w:p>
    <w:p w14:paraId="0384568E">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（3）公共卫生间保洁，做到地面无杂物、无污痕、无水渍，大小便池无污渍，洗手池无污渍、无积水，衣帽镜无污渍，每日不少于2次对共用卫生间进行消杀，并有记录.</w:t>
      </w:r>
    </w:p>
    <w:p w14:paraId="31F68F82">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（4）重点部位（单体建筑内部会客室、活动室、会议室、卫生间）保洁，做到地面无杂物、无污痕、无水渍，茶几、窗台、茶水柜无灰尘；会议室、贵宾室、茶水间等每次使用完后，立即打扫。</w:t>
      </w:r>
    </w:p>
    <w:p w14:paraId="5686844C">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（5）每日打扫不少于1次各楼层通道和楼梯台阶，做到地面无杂物、无污痕、无水渍；门窗、不锈钢护栏无灰尘。</w:t>
      </w:r>
    </w:p>
    <w:p w14:paraId="6B8FB369">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（6）单体建筑公共区域每周一次消杀处理，并做好记录。</w:t>
      </w:r>
    </w:p>
    <w:p w14:paraId="2BA74B52">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（7）做好各单体建筑防鼠灭鼠，投放毒饵盒、粘鼠板的灭鼠工具，并做好记录。</w:t>
      </w:r>
    </w:p>
    <w:p w14:paraId="73ADF4FF">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（8）卫生保洁用品（包括洗手液、消杀药水及片剂、空气清新剂等）包含在物业总服务费中。</w:t>
      </w:r>
    </w:p>
    <w:p w14:paraId="4B3BAF37">
      <w:pPr>
        <w:keepNext w:val="0"/>
        <w:keepLines w:val="0"/>
        <w:pageBreakBefore w:val="0"/>
        <w:widowControl w:val="0"/>
        <w:kinsoku/>
        <w:wordWrap/>
        <w:overflowPunct/>
        <w:topLinePunct w:val="0"/>
        <w:bidi w:val="0"/>
        <w:adjustRightInd/>
        <w:snapToGrid/>
        <w:spacing w:line="560" w:lineRule="exact"/>
        <w:ind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（二）室外保洁</w:t>
      </w:r>
    </w:p>
    <w:p w14:paraId="58FFC3C7">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（1）道路及建筑周边每日清扫不少于1次，做到无砂石、无泥土、无烟头、无落叶、无积水、无垃圾。</w:t>
      </w:r>
    </w:p>
    <w:p w14:paraId="1E38025E">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（2）人行道每日清扫不少于1次，目视无杂物、无污渍、无垃圾 。</w:t>
      </w:r>
    </w:p>
    <w:p w14:paraId="6635F1CD">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（3）标识、宣传牌每月擦拭1次。清洁后检查无污渍、无积灰，不损伤被清洁物。</w:t>
      </w:r>
    </w:p>
    <w:p w14:paraId="33C624F2">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（4）垃圾桶、果皮箱每日清运1次；周围地面垃圾不明显、无明显污迹。</w:t>
      </w:r>
    </w:p>
    <w:p w14:paraId="70010A81">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（5）每季度对所有共用部位玻璃清洁1次。</w:t>
      </w:r>
    </w:p>
    <w:p w14:paraId="3FA1ACAC">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（6）如遇口岸区有大型接待任务或上级检查工作时，需按甲方要求时限及标准内完成卫生保洁工作。</w:t>
      </w:r>
    </w:p>
    <w:p w14:paraId="3B99644A">
      <w:pPr>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（7）室外保洁设备由企业自备，室外保洁用品包含在物业总服务费中。</w:t>
      </w:r>
    </w:p>
    <w:p w14:paraId="5668ABF0">
      <w:pPr>
        <w:pStyle w:val="16"/>
        <w:rPr>
          <w:rFonts w:hint="default"/>
          <w:b/>
          <w:bCs/>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b/>
          <w:bCs/>
          <w:color w:val="000000"/>
          <w:sz w:val="32"/>
          <w:szCs w:val="32"/>
          <w:lang w:val="en-US" w:eastAsia="zh-CN"/>
        </w:rPr>
        <w:t>（三）打冰扫雪</w:t>
      </w:r>
    </w:p>
    <w:p w14:paraId="1577E0CA">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1、小雪清扫，1个工作日内清扫完成，每天10：00前需保证通关区域主通道、国门前、旅检厅前停车场车辆、人员通行正常。</w:t>
      </w:r>
    </w:p>
    <w:p w14:paraId="13321974">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2、中雪清扫，2个工作日内清扫完成，每天10：00前需保证通关区域主通道、国门前、旅检厅前停车场车辆、人员通行正常。</w:t>
      </w:r>
    </w:p>
    <w:p w14:paraId="7F92553F">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3、大雪到暴雪清扫，3个工作日内清扫完成，每天10：00前需保证通关区域主通道、国门前、旅检厅前停车场车辆、人员通行正常。</w:t>
      </w:r>
    </w:p>
    <w:p w14:paraId="42BD8B94">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4、所有道路、人行道、硬化场地清扫达到无冰无雪，道路清扫至两侧路沿石露出，路边堆放修理平整，</w:t>
      </w:r>
    </w:p>
    <w:p w14:paraId="31CCDDF3">
      <w:pPr>
        <w:keepNext w:val="0"/>
        <w:keepLines w:val="0"/>
        <w:pageBreakBefore w:val="0"/>
        <w:widowControl w:val="0"/>
        <w:numPr>
          <w:ilvl w:val="0"/>
          <w:numId w:val="2"/>
        </w:numPr>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如遇口岸区有大型接待任务或上级检查工作时，需按甲方要求时限及标准内完成相关工作。</w:t>
      </w:r>
    </w:p>
    <w:p w14:paraId="25C5C408">
      <w:pPr>
        <w:pStyle w:val="16"/>
        <w:numPr>
          <w:ilvl w:val="0"/>
          <w:numId w:val="0"/>
        </w:numPr>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6、因打冰扫雪原因致使口岸区域设施设备造成损坏的由物业公司赔偿或更换。</w:t>
      </w:r>
    </w:p>
    <w:p w14:paraId="61B52754">
      <w:pPr>
        <w:pStyle w:val="16"/>
        <w:numPr>
          <w:ilvl w:val="0"/>
          <w:numId w:val="0"/>
        </w:numPr>
        <w:ind w:firstLine="640" w:firstLineChars="20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color w:val="000000"/>
          <w:sz w:val="32"/>
          <w:szCs w:val="32"/>
          <w:lang w:val="en-US" w:eastAsia="zh-CN"/>
        </w:rPr>
        <w:t>7、打冰扫雪设备及用品由企业自备。</w:t>
      </w:r>
    </w:p>
    <w:p w14:paraId="3EBCEAB5">
      <w:pPr>
        <w:keepNext w:val="0"/>
        <w:keepLines w:val="0"/>
        <w:pageBreakBefore w:val="0"/>
        <w:widowControl w:val="0"/>
        <w:kinsoku/>
        <w:wordWrap/>
        <w:overflowPunct/>
        <w:topLinePunct w:val="0"/>
        <w:bidi w:val="0"/>
        <w:adjustRightInd/>
        <w:snapToGrid/>
        <w:spacing w:line="560" w:lineRule="exact"/>
        <w:ind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（四）绿化管护</w:t>
      </w:r>
    </w:p>
    <w:p w14:paraId="6022B9C2">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1、定期修剪清理绿化带及杂草，每年粉刷树木（高度1米），所有植被修剪前不高于地面15cm，修剪后不超过地面5cm。</w:t>
      </w:r>
    </w:p>
    <w:p w14:paraId="1B9F2784">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yellow"/>
          <w:lang w:val="en-US" w:eastAsia="zh-CN"/>
        </w:rPr>
      </w:pPr>
      <w:r>
        <w:rPr>
          <w:rFonts w:hint="eastAsia" w:ascii="仿宋_GB2312" w:hAnsi="仿宋_GB2312" w:eastAsia="仿宋_GB2312" w:cs="仿宋_GB2312"/>
          <w:color w:val="000000"/>
          <w:sz w:val="32"/>
          <w:szCs w:val="32"/>
          <w:lang w:val="en-US" w:eastAsia="zh-CN"/>
        </w:rPr>
        <w:t>2、绿化带根据天气情况，每周浇水1-2次。</w:t>
      </w:r>
    </w:p>
    <w:p w14:paraId="461E7D48">
      <w:pPr>
        <w:pStyle w:val="16"/>
        <w:numPr>
          <w:ilvl w:val="0"/>
          <w:numId w:val="0"/>
        </w:numPr>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4、春秋两季补植树木、花草。</w:t>
      </w:r>
    </w:p>
    <w:p w14:paraId="46529784">
      <w:pPr>
        <w:pStyle w:val="16"/>
        <w:numPr>
          <w:ilvl w:val="0"/>
          <w:numId w:val="0"/>
        </w:numPr>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5、绿化两季补植包含在物业总服务费用中。</w:t>
      </w:r>
    </w:p>
    <w:p w14:paraId="082161E7">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firstLine="643" w:firstLineChars="200"/>
        <w:textAlignment w:val="auto"/>
        <w:rPr>
          <w:rFonts w:hint="default" w:ascii="黑体" w:hAnsi="黑体" w:eastAsia="黑体" w:cs="黑体"/>
          <w:b/>
          <w:bCs w:val="0"/>
          <w:color w:val="000000"/>
          <w:sz w:val="32"/>
          <w:szCs w:val="32"/>
          <w:lang w:val="en-US" w:eastAsia="zh-CN"/>
        </w:rPr>
      </w:pPr>
      <w:r>
        <w:rPr>
          <w:rFonts w:hint="eastAsia" w:ascii="黑体" w:hAnsi="黑体" w:eastAsia="黑体" w:cs="黑体"/>
          <w:b/>
          <w:bCs w:val="0"/>
          <w:color w:val="000000"/>
          <w:sz w:val="32"/>
          <w:szCs w:val="32"/>
          <w:lang w:val="en-US" w:eastAsia="zh-CN"/>
        </w:rPr>
        <w:t>五、消防维修保养及检测</w:t>
      </w:r>
    </w:p>
    <w:p w14:paraId="7A1CF259">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1、消防控制室24小时值守；消防检测一年1次，具备消防检测资质方出具检测报告，消防维保1月1次，并有相关记录，消防控制室的值守及消防设备运行有记录。</w:t>
      </w:r>
    </w:p>
    <w:p w14:paraId="29C0F288">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color w:val="000000"/>
          <w:sz w:val="32"/>
          <w:szCs w:val="32"/>
          <w:lang w:val="en-US" w:eastAsia="zh-CN"/>
        </w:rPr>
        <w:t>3、保障现有的消防设施状态正常，切合现行法律法例要求。</w:t>
      </w:r>
    </w:p>
    <w:p w14:paraId="37DD4618">
      <w:pPr>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3、消防安全人员要熟练掌握各类消防设施的操作及巡检并持证上岗，每日对消防泵房、高位水箱间等进行巡查并做好相关登记表。</w:t>
      </w:r>
    </w:p>
    <w:p w14:paraId="78A56D06">
      <w:pPr>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4、每周对消防泵房内的喷淋泵及消火栓泵进行一次启动测试（手动启动及远程启动），确保电机及泵正常运转并做好相关记录；</w:t>
      </w:r>
    </w:p>
    <w:p w14:paraId="4D6672F5">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消防控制室人员每日对消防主机进行自检测试，并做好相关记录，如遇故障及时联系甲方及维保公司进行维修；消防控制室人员每月及时联系维保公司对口岸区所有消防设施进行维保，并按要求留存维保记录备查，交接班人员确认无误后签字交接班。每月至少向甲方报送一篇消防安全信息，并附带图片印证。</w:t>
      </w:r>
    </w:p>
    <w:p w14:paraId="309B7B7D">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6、火灾报警主机的现场维护，对主机的工作状态进行检查，对主机备用蓄电池进行放电试验；</w:t>
      </w:r>
    </w:p>
    <w:p w14:paraId="0F34FC42">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7、对维保范围内建筑的感烟探测器进行模拟试验，检测报警功能；</w:t>
      </w:r>
    </w:p>
    <w:p w14:paraId="5754F385">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8、对维保范围内建筑的感温探测器进行模拟试验，检测报警功能；</w:t>
      </w:r>
    </w:p>
    <w:p w14:paraId="1670A594">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9、对维保范围内手动报警按钮的报警联动进行试验检测；</w:t>
      </w:r>
    </w:p>
    <w:p w14:paraId="3641297D">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10、对维保范围内的火焰探测器进行模拟试验，检测报警功能</w:t>
      </w:r>
    </w:p>
    <w:p w14:paraId="73D13953">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11、对维保范围内消火栓系统进行检测；</w:t>
      </w:r>
    </w:p>
    <w:p w14:paraId="49ABB056">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12、对维保范围内报警器报警功能进行检测；</w:t>
      </w:r>
    </w:p>
    <w:p w14:paraId="22D04632">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13、对维保范围内灭火系统、控制电路，消火栓进行检测；</w:t>
      </w:r>
    </w:p>
    <w:p w14:paraId="24F0A927">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14、消防系统的维修和保养，故障办理，故障零件的改换。</w:t>
      </w:r>
    </w:p>
    <w:p w14:paraId="2DB842C5">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15、定期检查更换水机、干粉灭火器压力和使用年限，建立相应灭火器档案。</w:t>
      </w:r>
    </w:p>
    <w:p w14:paraId="178F1283">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16、每年组织两次口岸综合性消防演练，每次演练相应材料整理归档。</w:t>
      </w:r>
    </w:p>
    <w:p w14:paraId="6985FCEC">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17、建立完善的消防维保档案。</w:t>
      </w:r>
    </w:p>
    <w:p w14:paraId="05F8FC6E">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18、消防维保费用包含在物业费中。</w:t>
      </w:r>
    </w:p>
    <w:p w14:paraId="36E4748C">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firstLine="643" w:firstLineChars="200"/>
        <w:textAlignment w:val="auto"/>
        <w:rPr>
          <w:rFonts w:hint="default" w:ascii="黑体" w:hAnsi="黑体" w:eastAsia="黑体" w:cs="黑体"/>
          <w:b/>
          <w:bCs w:val="0"/>
          <w:color w:val="000000"/>
          <w:sz w:val="32"/>
          <w:szCs w:val="32"/>
          <w:lang w:val="en-US" w:eastAsia="zh-CN"/>
        </w:rPr>
      </w:pPr>
      <w:r>
        <w:rPr>
          <w:rFonts w:hint="eastAsia" w:ascii="黑体" w:hAnsi="黑体" w:eastAsia="黑体" w:cs="黑体"/>
          <w:b/>
          <w:bCs w:val="0"/>
          <w:color w:val="000000"/>
          <w:sz w:val="32"/>
          <w:szCs w:val="32"/>
          <w:lang w:val="en-US" w:eastAsia="zh-CN"/>
        </w:rPr>
        <w:t>六、高低压电维修保养及检测</w:t>
      </w:r>
    </w:p>
    <w:p w14:paraId="3562D310">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1、配备专业电工（持有电工资格证）在口岸区驻守，7*12小时在岗，确保要随叫随到。掌握口岸区电网布置现状，并配备必要维修工具、设备。每日检查情况签字交接、并有记录。</w:t>
      </w:r>
    </w:p>
    <w:p w14:paraId="07D1C34C">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2、定时检查供电设备，按时维护机电设备，做好用电线路日常检修。及时更换易损用电配件。做好停电前通知工作，因天气原因或电力公司维修需要停电的，及时通知会受影响的驻口岸单位。</w:t>
      </w:r>
    </w:p>
    <w:p w14:paraId="34C2DF13">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定期检修。变压器检修（每年2次），配电装置检修（每年一次），应急发电机检修（每月1次），电缆试验（每年2次），每月对各单体建筑的用电设施巡查一次,并由使用单位签字确认。变压器、电缆、发电机检修试验需具备专业资质公司进行检测，并出具检测报告。</w:t>
      </w:r>
    </w:p>
    <w:p w14:paraId="4BB31799">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4、各连接处无冒火花、发热等异常现象,指示灯、信号灯齐全,计量仪表正常。有检查记录,维修保养记录。</w:t>
      </w:r>
    </w:p>
    <w:p w14:paraId="6CA58CDF">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5、每月需定期对口岸区所有高、低压相变、备用电及其他电力设施进行常规性维护，并由记录。</w:t>
      </w:r>
    </w:p>
    <w:p w14:paraId="6D1B4C12">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6、日常用电检修</w:t>
      </w:r>
    </w:p>
    <w:p w14:paraId="6F7C8C36">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（1）每日电工需对口岸区所有电力设施进行日常巡检并按要求做好巡检登记尤其是遇特殊天气时，需特别关注所有电力设施，确保运行正常。</w:t>
      </w:r>
    </w:p>
    <w:p w14:paraId="5F20DE00">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（2）每日巡视掌握公用设备状况，发现有损坏、隐患，及时处理，并做好记录。</w:t>
      </w:r>
    </w:p>
    <w:p w14:paraId="42EB3644">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（3）各种插座、插头、开关、灯座的故障维修和更换等。 </w:t>
      </w:r>
    </w:p>
    <w:p w14:paraId="758D7F60">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（4）室内室外灯维修维护，灯泡更换、线路维修、灯杆修正。</w:t>
      </w:r>
    </w:p>
    <w:p w14:paraId="5D394E81">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7、设备维修保养及检测</w:t>
      </w:r>
    </w:p>
    <w:p w14:paraId="0163BA4C">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（1）每日对7台变压器，2台电缆分接箱，1台柴油发电机组、配电房室、变频深井泵房检查一次，并做好记录。</w:t>
      </w:r>
    </w:p>
    <w:p w14:paraId="53257D99">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（2）每日对10处15台采暖季启用的变频电磁锅炉每日进行4次巡检，并做好记录。</w:t>
      </w:r>
    </w:p>
    <w:p w14:paraId="12E14827">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（3）及时做好电采暖变压器的报停及开机工作。</w:t>
      </w:r>
    </w:p>
    <w:p w14:paraId="70522BA9">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（4）具备高压用电设备元器件检测资质。每半年对高压电设备进行检测2次，每月对高压电设备巡护1次，并有检测报告及详细检查记录报口岸委存档。</w:t>
      </w:r>
    </w:p>
    <w:p w14:paraId="44D40C42">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（5）亮化设备定期维护检修，并做好记录。</w:t>
      </w:r>
    </w:p>
    <w:p w14:paraId="052C2517">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8、备用电源无法启用情况下，保障临时供电电源。</w:t>
      </w:r>
    </w:p>
    <w:p w14:paraId="5FF77113">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9、因工程施工造成的线路损坏、改迁等，进行处理并及时向甲方提出合理化建议。</w:t>
      </w:r>
    </w:p>
    <w:p w14:paraId="77861776">
      <w:pPr>
        <w:pStyle w:val="16"/>
        <w:numPr>
          <w:ilvl w:val="0"/>
          <w:numId w:val="0"/>
        </w:numPr>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10、遇大型活动，对用电设备功率进行估算，并制定临时用电方案并实施。</w:t>
      </w:r>
    </w:p>
    <w:p w14:paraId="08DA2B91">
      <w:pPr>
        <w:pStyle w:val="16"/>
        <w:ind w:firstLine="64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11、小型的电力设施设备的维护保养由物业负责，中大型的维修保养由口岸委承担。</w:t>
      </w:r>
    </w:p>
    <w:p w14:paraId="3C910857">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firstLine="643" w:firstLineChars="200"/>
        <w:textAlignment w:val="auto"/>
        <w:rPr>
          <w:rFonts w:hint="default"/>
          <w:b/>
          <w:bCs w:val="0"/>
          <w:lang w:val="en-US" w:eastAsia="zh-CN"/>
        </w:rPr>
      </w:pPr>
      <w:r>
        <w:rPr>
          <w:rFonts w:hint="eastAsia" w:ascii="黑体" w:hAnsi="黑体" w:eastAsia="黑体" w:cs="黑体"/>
          <w:b/>
          <w:bCs w:val="0"/>
          <w:color w:val="000000"/>
          <w:sz w:val="32"/>
          <w:szCs w:val="32"/>
          <w:lang w:val="en-US" w:eastAsia="zh-CN"/>
        </w:rPr>
        <w:t>七、弱电维修保养</w:t>
      </w:r>
    </w:p>
    <w:p w14:paraId="5DBED6BF">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1、弱电维保范围（口岸单体建筑内外部、限定区围网、监控、光缆、光钎等）</w:t>
      </w:r>
    </w:p>
    <w:p w14:paraId="115F8D1C">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2、定时检查弱电设备，按时维护口岸区弱电设备，能够判断故障，及时处理、维修一般故障，更换易损配件，做好线路日常检修。</w:t>
      </w:r>
    </w:p>
    <w:p w14:paraId="15A0401B">
      <w:pPr>
        <w:pStyle w:val="16"/>
        <w:numPr>
          <w:ilvl w:val="0"/>
          <w:numId w:val="0"/>
        </w:numPr>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kern w:val="2"/>
          <w:sz w:val="32"/>
          <w:szCs w:val="32"/>
          <w:lang w:val="en-US" w:eastAsia="zh-CN" w:bidi="ar-SA"/>
        </w:rPr>
        <w:t>每周全面对口岸单体建筑及室外监控设施巡查一次,并做好巡查记录。</w:t>
      </w:r>
    </w:p>
    <w:p w14:paraId="18D44A3C">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2"/>
          <w:sz w:val="32"/>
          <w:szCs w:val="32"/>
          <w:lang w:val="en-US" w:eastAsia="zh-CN" w:bidi="ar-SA"/>
        </w:rPr>
        <w:t>4、物业服务合同总金额包含弱电维修保养费。</w:t>
      </w:r>
    </w:p>
    <w:p w14:paraId="276C3C57">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val="0"/>
          <w:color w:val="000000"/>
          <w:sz w:val="32"/>
          <w:szCs w:val="32"/>
          <w:lang w:val="en-US" w:eastAsia="zh-CN"/>
        </w:rPr>
      </w:pPr>
      <w:r>
        <w:rPr>
          <w:rFonts w:hint="eastAsia" w:ascii="黑体" w:hAnsi="黑体" w:eastAsia="黑体" w:cs="黑体"/>
          <w:b/>
          <w:bCs w:val="0"/>
          <w:color w:val="000000"/>
          <w:sz w:val="32"/>
          <w:szCs w:val="32"/>
          <w:lang w:val="en-US" w:eastAsia="zh-CN"/>
        </w:rPr>
        <w:t>八、电采暖维保</w:t>
      </w:r>
    </w:p>
    <w:p w14:paraId="6DFED51A">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1、口岸区电采暖在采暖季前完成所有设备的保养维护，有保养维护记录。</w:t>
      </w:r>
    </w:p>
    <w:p w14:paraId="0F2F8FE0">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2、口岸区采暖季专人巡护，每天4次（6小时间隔一次），有巡护记录。</w:t>
      </w:r>
    </w:p>
    <w:p w14:paraId="70EA2906">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3、采暖设备、水、电发现问题及时启用备用设备，已损坏的设备必须在当日维修。</w:t>
      </w:r>
    </w:p>
    <w:p w14:paraId="1A9AB412">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4、物业服务合同总金额包含采暖维修保养费用。</w:t>
      </w:r>
    </w:p>
    <w:p w14:paraId="3BE3D203">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val="0"/>
          <w:color w:val="000000"/>
          <w:sz w:val="32"/>
          <w:szCs w:val="32"/>
          <w:lang w:val="en-US" w:eastAsia="zh-CN"/>
        </w:rPr>
      </w:pPr>
      <w:r>
        <w:rPr>
          <w:rFonts w:hint="eastAsia" w:ascii="黑体" w:hAnsi="黑体" w:eastAsia="黑体" w:cs="黑体"/>
          <w:b/>
          <w:bCs w:val="0"/>
          <w:color w:val="000000"/>
          <w:sz w:val="32"/>
          <w:szCs w:val="32"/>
          <w:lang w:val="en-US" w:eastAsia="zh-CN"/>
        </w:rPr>
        <w:t>九、单体建筑室、道路及内外供排水维护与管理</w:t>
      </w:r>
    </w:p>
    <w:p w14:paraId="56CE1422">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1、每月检查1次房屋主体结构；房屋共用设施（屋面、供排水、门窗、玻璃、照明）每周全面检查一次；检查有记录，并将检查情况及时报告甲方。                      </w:t>
      </w:r>
    </w:p>
    <w:p w14:paraId="21739115">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2、保持泵房清洁卫生、地面排水畅通；每半年对共用给水管道进行1次全面检查维修，并有检修记录。 </w:t>
      </w:r>
    </w:p>
    <w:p w14:paraId="42548F07">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3、每月清扫1次排水明沟内的泥沙、纸屑等垃圾，排水通畅，无积水；地下管井堵塞及时疏通。</w:t>
      </w:r>
    </w:p>
    <w:p w14:paraId="0E2E211C">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4、避雷接地系统进行维护、在大雷雨过后及时对系统检查，发现严重腐蚀、松脱等立即更换或紧固 。</w:t>
      </w:r>
    </w:p>
    <w:p w14:paraId="65A18553">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5、加强道路维修与养护，保持道路畅通，路面平坦整齐，排水畅通，每年春、秋2次对口岸区整体污水管网疏通，保障整体管网排污通畅。平时及时做好日常疏通。</w:t>
      </w:r>
    </w:p>
    <w:p w14:paraId="2EE2BD6A">
      <w:pPr>
        <w:keepNext w:val="0"/>
        <w:keepLines w:val="0"/>
        <w:pageBreakBefore w:val="0"/>
        <w:widowControl w:val="0"/>
        <w:kinsoku/>
        <w:wordWrap/>
        <w:overflowPunct/>
        <w:topLinePunct w:val="0"/>
        <w:bidi w:val="0"/>
        <w:adjustRightInd/>
        <w:snapToGrid/>
        <w:spacing w:line="560" w:lineRule="exact"/>
        <w:ind w:firstLine="643" w:firstLineChars="200"/>
        <w:textAlignment w:val="auto"/>
        <w:rPr>
          <w:rFonts w:hint="eastAsia" w:ascii="黑体" w:hAnsi="黑体" w:eastAsia="黑体" w:cs="黑体"/>
          <w:b/>
          <w:bCs w:val="0"/>
          <w:color w:val="000000"/>
          <w:sz w:val="32"/>
          <w:szCs w:val="32"/>
          <w:lang w:val="en-US" w:eastAsia="zh-CN"/>
        </w:rPr>
      </w:pPr>
      <w:r>
        <w:rPr>
          <w:rFonts w:hint="eastAsia" w:ascii="黑体" w:hAnsi="黑体" w:eastAsia="黑体" w:cs="黑体"/>
          <w:b/>
          <w:bCs w:val="0"/>
          <w:color w:val="000000"/>
          <w:sz w:val="32"/>
          <w:szCs w:val="32"/>
          <w:lang w:val="en-US" w:eastAsia="zh-CN"/>
        </w:rPr>
        <w:t>十、维修服务</w:t>
      </w:r>
    </w:p>
    <w:p w14:paraId="4F68A0DA">
      <w:pPr>
        <w:keepNext w:val="0"/>
        <w:keepLines w:val="0"/>
        <w:pageBreakBefore w:val="0"/>
        <w:widowControl w:val="0"/>
        <w:kinsoku/>
        <w:wordWrap/>
        <w:overflowPunct/>
        <w:topLinePunct w:val="0"/>
        <w:bidi w:val="0"/>
        <w:adjustRightInd/>
        <w:snapToGrid/>
        <w:spacing w:line="560" w:lineRule="exact"/>
        <w:ind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1、设备维修维护</w:t>
      </w:r>
    </w:p>
    <w:p w14:paraId="0E698701">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范围：地区口岸委管理区域设备维修维护。可维修维护更换的网路、高低压、消防、电采暖、桌椅、门、窗、锁、楼内扶手、吊顶、洁具、下水疏通、地砖、灯泡、灯管、插座等。室外可维修维护项目有栅栏、各类井盖、下水管网、路沿石、花砖路面、外墙保温、高空玻璃、路面保养维修等。</w:t>
      </w:r>
    </w:p>
    <w:p w14:paraId="28E5BB73">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（2）工作要求：着物业公司维修工工作服，维修人员对各类维修项目有3年以上工作经验，在岗时5分钟内到达现场进行排除故障且能及时进行维修处理。</w:t>
      </w:r>
    </w:p>
    <w:p w14:paraId="24521BF0">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（3）物业服务合同总金额包含共用设施设备维修维护费用。</w:t>
      </w:r>
    </w:p>
    <w:p w14:paraId="4C75C244">
      <w:pPr>
        <w:keepNext w:val="0"/>
        <w:keepLines w:val="0"/>
        <w:pageBreakBefore w:val="0"/>
        <w:widowControl w:val="0"/>
        <w:kinsoku/>
        <w:wordWrap/>
        <w:overflowPunct/>
        <w:topLinePunct w:val="0"/>
        <w:bidi w:val="0"/>
        <w:adjustRightInd/>
        <w:snapToGrid/>
        <w:spacing w:line="560" w:lineRule="exact"/>
        <w:ind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2、中、大型维修</w:t>
      </w:r>
    </w:p>
    <w:p w14:paraId="668022B4">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（1）必须由具有专业维修资质或特种行业维修资质的单位维修的设施设备；</w:t>
      </w:r>
    </w:p>
    <w:p w14:paraId="71E4CC3F">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（2）有专利技术保护的机电一体化设备或自动化设备，必须依靠制造商或特种设备维修单位方能维修的设施设备；</w:t>
      </w:r>
    </w:p>
    <w:p w14:paraId="4E275A3C">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（3）必须使用大、中型机电设备维修的设施设备；</w:t>
      </w:r>
    </w:p>
    <w:p w14:paraId="52B9CCFB">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（4）干硬性或油性的墙面或地面面积&gt;20米²，维修工期&gt;5天，修缮用工&gt;5个人工定额（建筑定额2004）；</w:t>
      </w:r>
    </w:p>
    <w:p w14:paraId="025C02D4">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（5）水硬性或胶粘性的墙面或地面面积&gt;5米²，维修工期&gt;5天，修缮用工&gt;5个人工定额（建筑定额2004）；</w:t>
      </w:r>
    </w:p>
    <w:p w14:paraId="6728227B">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（6）室内外管线铺设长度&gt;100米，维修工期&gt;5天，修缮用工&gt;10个人工定额（建筑定额2004）。</w:t>
      </w:r>
    </w:p>
    <w:p w14:paraId="55B60CF9">
      <w:pPr>
        <w:pStyle w:val="16"/>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7、2万元以下属小型维修工程，2万元以上、5万元以下属中型维修工程，5万元以上属大型维修工程，小型维修工程包含在总物业费中，中大型由甲乙双方共同确定工程实施工程量。</w:t>
      </w:r>
    </w:p>
    <w:p w14:paraId="2CD8CD37">
      <w:pPr>
        <w:pStyle w:val="16"/>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b w:val="0"/>
          <w:bCs/>
          <w:color w:val="000000"/>
          <w:sz w:val="32"/>
          <w:szCs w:val="32"/>
          <w:lang w:val="en-US" w:eastAsia="zh-CN"/>
        </w:rPr>
      </w:pPr>
      <w:r>
        <w:rPr>
          <w:rFonts w:hint="eastAsia" w:ascii="仿宋_GB2312" w:hAnsi="仿宋_GB2312" w:eastAsia="仿宋_GB2312" w:cs="仿宋_GB2312"/>
          <w:color w:val="000000"/>
          <w:sz w:val="32"/>
          <w:szCs w:val="32"/>
          <w:highlight w:val="none"/>
          <w:lang w:val="en-US" w:eastAsia="zh-CN"/>
        </w:rPr>
        <w:t>8、中大型维修由甲方按程序确定维修单位或委托乙方实施，结算由甲方指定第三方机构进行工程量决算，以实际工程量决算价进行支付。</w:t>
      </w:r>
    </w:p>
    <w:p w14:paraId="471BB2BE">
      <w:pPr>
        <w:keepNext w:val="0"/>
        <w:keepLines w:val="0"/>
        <w:pageBreakBefore w:val="0"/>
        <w:widowControl w:val="0"/>
        <w:kinsoku/>
        <w:wordWrap/>
        <w:overflowPunct/>
        <w:topLinePunct w:val="0"/>
        <w:bidi w:val="0"/>
        <w:adjustRightInd/>
        <w:snapToGrid/>
        <w:spacing w:line="560" w:lineRule="exact"/>
        <w:ind w:firstLine="643" w:firstLineChars="200"/>
        <w:textAlignment w:val="auto"/>
        <w:rPr>
          <w:rFonts w:hint="eastAsia" w:ascii="黑体" w:hAnsi="黑体" w:eastAsia="黑体" w:cs="黑体"/>
          <w:b/>
          <w:bCs w:val="0"/>
          <w:color w:val="000000"/>
          <w:sz w:val="32"/>
          <w:szCs w:val="32"/>
          <w:lang w:val="en-US" w:eastAsia="zh-CN"/>
        </w:rPr>
      </w:pPr>
      <w:r>
        <w:rPr>
          <w:rFonts w:hint="eastAsia" w:ascii="黑体" w:hAnsi="黑体" w:eastAsia="黑体" w:cs="黑体"/>
          <w:b/>
          <w:bCs w:val="0"/>
          <w:color w:val="000000"/>
          <w:sz w:val="32"/>
          <w:szCs w:val="32"/>
          <w:lang w:val="en-US" w:eastAsia="zh-CN"/>
        </w:rPr>
        <w:t>十一、安全及联合防控管理</w:t>
      </w:r>
    </w:p>
    <w:p w14:paraId="6CC7E5A3">
      <w:pPr>
        <w:keepNext w:val="0"/>
        <w:keepLines w:val="0"/>
        <w:pageBreakBefore w:val="0"/>
        <w:widowControl w:val="0"/>
        <w:kinsoku/>
        <w:wordWrap/>
        <w:overflowPunct/>
        <w:topLinePunct w:val="0"/>
        <w:bidi w:val="0"/>
        <w:adjustRightInd/>
        <w:snapToGrid/>
        <w:spacing w:line="560" w:lineRule="exact"/>
        <w:ind w:firstLine="643" w:firstLineChars="200"/>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1、安全管理</w:t>
      </w:r>
    </w:p>
    <w:p w14:paraId="4F0D5FD3">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（1）乙方应有专职安全管理人员，并按照国家相关安全生产法律法规，定期对从业人员进行安全管理教育，并有培训记录；如果从业人员出现人身安全事故，均由乙方承担相应赔偿及法律责任。</w:t>
      </w:r>
    </w:p>
    <w:p w14:paraId="12A5434C">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（2）乙方应有相应安全管理制度，从业人员严格按照相关制度、流程开展工作，对违规、违章操作发生的安全事故、设施设备损坏的，均由乙方承担相应赔偿及法律责任。</w:t>
      </w:r>
    </w:p>
    <w:p w14:paraId="248371E2">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（3）从业人员在日常巡查过程中，对隐患排查不仔细，造成安全事故、设施设备损坏的，均由乙方承担相应赔偿及法律责任。</w:t>
      </w:r>
    </w:p>
    <w:p w14:paraId="333449BA">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（4）从业人员在日常检修过程中，对设施设备检修不彻底，造成安全事故、设施设备损坏的，均由乙方承担相应赔偿及法律责任。</w:t>
      </w:r>
    </w:p>
    <w:p w14:paraId="5BC7C42A">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b/>
          <w:color w:val="000000"/>
          <w:sz w:val="32"/>
          <w:szCs w:val="32"/>
          <w:lang w:val="en-US" w:eastAsia="zh-CN"/>
        </w:rPr>
      </w:pPr>
      <w:r>
        <w:rPr>
          <w:rFonts w:hint="eastAsia" w:ascii="仿宋_GB2312" w:hAnsi="仿宋_GB2312" w:eastAsia="仿宋_GB2312" w:cs="仿宋_GB2312"/>
          <w:color w:val="000000"/>
          <w:sz w:val="32"/>
          <w:szCs w:val="32"/>
          <w:lang w:val="en-US" w:eastAsia="zh-CN"/>
        </w:rPr>
        <w:t>（5）物业从业人员因人为疏忽造成设备损坏、财产损坏所产生的损失全部由乙方负责赔偿，甲方不承担任何赔偿，并按照相关法律法规追究相关人员责任。</w:t>
      </w:r>
    </w:p>
    <w:p w14:paraId="6BD6C21C">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值班人员（保安）在值班期间不得离岗、不得饮酒，闭关期间未得到甲方通知任何人员不得进入限定区域，乙方必须严格按此规定进行；如果未按规定执行出现法律纠纷，均由乙方承担相应赔偿及法律责任。</w:t>
      </w:r>
    </w:p>
    <w:p w14:paraId="7DDDFA27">
      <w:pPr>
        <w:pStyle w:val="16"/>
        <w:numPr>
          <w:ilvl w:val="0"/>
          <w:numId w:val="0"/>
        </w:numPr>
        <w:ind w:firstLine="321" w:firstLineChars="100"/>
        <w:rPr>
          <w:rFonts w:hint="eastAsia" w:ascii="仿宋_GB2312" w:hAnsi="仿宋_GB2312" w:eastAsia="仿宋_GB2312" w:cs="仿宋_GB2312"/>
          <w:b/>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2、联合防控</w:t>
      </w:r>
    </w:p>
    <w:p w14:paraId="1F153D0A">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（1）乙方配合口岸管理单位，做到内外各方联防联控常态化，落实口岸安全防范各项措施。</w:t>
      </w:r>
    </w:p>
    <w:p w14:paraId="317FA7A9">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（2）乙方依据自身职能优势，分析查找工作中的安全隐患，提出整改措施，补短板、强弱项。</w:t>
      </w:r>
    </w:p>
    <w:p w14:paraId="24C92EEB">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（3）乙方应制定联合防控应急预案、应急处置预案、安全防范工作方案。</w:t>
      </w:r>
    </w:p>
    <w:p w14:paraId="2E937B33">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（4）乙方加强口岸重点区域夜间值班，确保口岸区域安全稳定。</w:t>
      </w:r>
    </w:p>
    <w:p w14:paraId="0E34138A">
      <w:pPr>
        <w:keepNext w:val="0"/>
        <w:keepLines w:val="0"/>
        <w:pageBreakBefore w:val="0"/>
        <w:widowControl w:val="0"/>
        <w:tabs>
          <w:tab w:val="left" w:pos="851"/>
        </w:tabs>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val="0"/>
          <w:color w:val="000000"/>
          <w:sz w:val="32"/>
          <w:szCs w:val="32"/>
          <w:lang w:val="en-US" w:eastAsia="zh-CN"/>
        </w:rPr>
      </w:pPr>
      <w:r>
        <w:rPr>
          <w:rFonts w:hint="eastAsia" w:ascii="黑体" w:hAnsi="黑体" w:eastAsia="黑体" w:cs="黑体"/>
          <w:b/>
          <w:bCs w:val="0"/>
          <w:color w:val="000000"/>
          <w:sz w:val="32"/>
          <w:szCs w:val="32"/>
          <w:lang w:val="en-US" w:eastAsia="zh-CN"/>
        </w:rPr>
        <w:t>十二、考核办法</w:t>
      </w:r>
    </w:p>
    <w:p w14:paraId="006A7AFA">
      <w:pPr>
        <w:keepNext w:val="0"/>
        <w:keepLines w:val="0"/>
        <w:pageBreakBefore w:val="0"/>
        <w:widowControl w:val="0"/>
        <w:kinsoku/>
        <w:wordWrap/>
        <w:overflowPunct/>
        <w:topLinePunct w:val="0"/>
        <w:bidi w:val="0"/>
        <w:adjustRightInd/>
        <w:snapToGrid/>
        <w:spacing w:line="560" w:lineRule="exact"/>
        <w:ind w:firstLine="643" w:firstLineChars="200"/>
        <w:textAlignment w:val="auto"/>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（一）日常检查</w:t>
      </w:r>
    </w:p>
    <w:p w14:paraId="3A0BB16A">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甲方安排专人，每月不定期对乙方服务范围按照《物业服务考核指标》（后附）进行检查，次月月初汇总。</w:t>
      </w:r>
    </w:p>
    <w:p w14:paraId="120DDAFD">
      <w:pPr>
        <w:keepNext w:val="0"/>
        <w:keepLines w:val="0"/>
        <w:pageBreakBefore w:val="0"/>
        <w:widowControl w:val="0"/>
        <w:kinsoku/>
        <w:wordWrap/>
        <w:overflowPunct/>
        <w:topLinePunct w:val="0"/>
        <w:bidi w:val="0"/>
        <w:adjustRightInd/>
        <w:snapToGrid/>
        <w:spacing w:line="560" w:lineRule="exact"/>
        <w:ind w:firstLine="643" w:firstLineChars="200"/>
        <w:textAlignment w:val="auto"/>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（二）考核办法：物业服务考核指标</w:t>
      </w:r>
    </w:p>
    <w:p w14:paraId="10C40D00">
      <w:pPr>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1、所有物业工作人员如违规操作、无证上岗、酒后上岗等情况发现一次扣除当月物业服务费总额的1%。</w:t>
      </w:r>
    </w:p>
    <w:p w14:paraId="3A1BA475">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2、考核分值≥95分为合格，不扣减物业服务费；考核分值&lt;95分，扣除当月物业服务费总额的2%，每降1分，累加1%，低于90分扣除当月物业服务费总额的10%.联合检查考核采用以上考核办法。</w:t>
      </w:r>
    </w:p>
    <w:p w14:paraId="583D3309">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3、如出现物业服务投诉事件，一经落实，一般有理由投诉，甲方有权扣除乙方当月物业合同总额0.5%/次，重大投诉或影响面大的投诉，扣除乙方当月物业合同总额1%- 3%/次。</w:t>
      </w:r>
    </w:p>
    <w:p w14:paraId="1E2736ED">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4、如因管理不到位、违规操作、无证上岗、醉岗等情形发生严重事故、影响正常通关、国际层面造成不良影响的，由乙方承担一切法律责任，甲方有权单方面终止解除合同。</w:t>
      </w:r>
    </w:p>
    <w:p w14:paraId="693870F4">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5、根据甲乙双方签订的《物业服务合同》，为更好的实现合同目的，明确考核内容，双方就《物业服务合同》中考核内容，制定以下考核办法，遵照执行：</w:t>
      </w:r>
    </w:p>
    <w:p w14:paraId="27C28E5F">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（1）乙方必须根据甲方要求委派进驻人员，并办理相关手续，乙方向甲方提供服务人员劳动合同和缴纳工伤保险凭证：</w:t>
      </w:r>
    </w:p>
    <w:p w14:paraId="765EE423">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①未按照甲方规定的委派进驻人员上（离）岗流程、时间办理上（离）岗手续；</w:t>
      </w:r>
    </w:p>
    <w:p w14:paraId="10FCD93D">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②未经甲方同意或未办理上岗手续，擅自让委派人员进驻上岗工作；</w:t>
      </w:r>
    </w:p>
    <w:p w14:paraId="67981FA3">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③乙方不得将未签订劳动合同和相关上岗手续不全的人员派驻甲方区域工作；</w:t>
      </w:r>
    </w:p>
    <w:p w14:paraId="6E95920F">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④未及时将《上（离）岗通知书》传递至所服务区域的甲方负责人。</w:t>
      </w:r>
    </w:p>
    <w:p w14:paraId="38A56102">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乙方有本条第①②③款中行为的，甲方可以从乙方承包费中扣除乙方1000元/每人/每次。乙方有本条第④款中行为的，甲方可以从乙方承包费中扣除乙方100元/每人/每次。</w:t>
      </w:r>
    </w:p>
    <w:p w14:paraId="1C6C4C41">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（2）乙方必须按照甲方要求向甲方提供相关资料、文件，并符合国家法律规定。</w:t>
      </w:r>
    </w:p>
    <w:p w14:paraId="45D3103D">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①未在甲方规定的时间内向甲方提供乙方与委派进驻人员签订的劳动合同及其他相关资料，甲方可以按照乙方管理违约扣除乙方200元/每人/每次。</w:t>
      </w:r>
    </w:p>
    <w:p w14:paraId="095651E1">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②乙方与委派进驻人员签订的《劳动合同》违反法律规定，则由乙方承担用人单位责任，甲方可以按照乙方管理违约扣除乙方200元/每人/每次。</w:t>
      </w:r>
    </w:p>
    <w:p w14:paraId="516C7CF3">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③乙方向甲方所提供的委派进驻人员《劳动合同》复印件与原件不符，则由乙方承担用人单位责任。甲方可以按照乙方管理违约扣除乙方200元/每人/每次。</w:t>
      </w:r>
    </w:p>
    <w:p w14:paraId="064867B7">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④乙方向甲方所提供的委派进驻人员档案已过期或是不真实，则由乙方承担用人单位责任，甲方可以按照乙方管理违约扣除乙方100元/每人/每次。</w:t>
      </w:r>
    </w:p>
    <w:p w14:paraId="1ECECBB3">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因乙方未按时按量向其派驻人员发放工资，则由乙方承担用人单位责任和赔偿责任以及由此解除合同的赔偿金。如有发现则按照乙方管理违约扣除应发工资的2倍。因乙方违约由此造成的上访则由乙方承担用人单位责任以及赔偿责任。一经发生则甲方有权终止合同履行，由此产生的责任由乙方自行承担。</w:t>
      </w:r>
    </w:p>
    <w:p w14:paraId="67B0B3A8">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（4）乙方各区域的现场管理人员必须在岗，且该现场管理人员上岗必须持乙方的授权委托书或者认命书，违反一次甲方可扣除乙方1000元/每次。</w:t>
      </w:r>
    </w:p>
    <w:p w14:paraId="4FC8689F">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（5）物业服务公司应按时向其派驻甲方区域工作的人员发放工资、缴纳统筹、工伤等社会保险保障等。</w:t>
      </w:r>
    </w:p>
    <w:p w14:paraId="0B867576">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（6）甲乙双方不定期召开联合办公会，用以协调双方物业服务和管理工作。联合办公会由甲方主办，乙方如有不参加或不按甲方要求提供相应资料，每次扣500元。</w:t>
      </w:r>
    </w:p>
    <w:p w14:paraId="528F6AFB">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highlight w:val="yellow"/>
          <w:lang w:val="en-US" w:eastAsia="zh-CN"/>
        </w:rPr>
      </w:pPr>
      <w:r>
        <w:rPr>
          <w:rFonts w:hint="eastAsia" w:ascii="仿宋_GB2312" w:hAnsi="仿宋_GB2312" w:eastAsia="仿宋_GB2312" w:cs="仿宋_GB2312"/>
          <w:color w:val="000000"/>
          <w:sz w:val="32"/>
          <w:szCs w:val="32"/>
          <w:lang w:val="en-US" w:eastAsia="zh-CN"/>
        </w:rPr>
        <w:t>6、甲方根据合同内容和考核细则，每月对物业管理工作质量进行检查，每月初汇总检查情况，评定工作质量，按照《物业服务考核指标》和对乙方的当月物业服务工作进行考核评分，累计三次物业月考核低于95分，甲方有权终止合同。</w:t>
      </w:r>
    </w:p>
    <w:p w14:paraId="3BAE4CC5">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7、乙方每月实际物业费=每月应付金额-业务考核扣款-其它扣款</w:t>
      </w:r>
    </w:p>
    <w:p w14:paraId="47D39E99">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注：其它扣分项指投诉、联合检查考核、经济赔偿、物业人员工资发放等。</w:t>
      </w:r>
    </w:p>
    <w:p w14:paraId="530054B8">
      <w:pPr>
        <w:keepNext w:val="0"/>
        <w:keepLines w:val="0"/>
        <w:pageBreakBefore w:val="0"/>
        <w:widowControl w:val="0"/>
        <w:tabs>
          <w:tab w:val="left" w:pos="851"/>
        </w:tabs>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十三、物业结算</w:t>
      </w:r>
    </w:p>
    <w:p w14:paraId="70B6C72F">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仿宋_GB2312" w:hAnsi="仿宋_GB2312" w:eastAsia="仿宋_GB2312" w:cs="仿宋_GB2312"/>
          <w:b/>
          <w:bCs/>
          <w:color w:val="000000"/>
          <w:kern w:val="2"/>
          <w:sz w:val="32"/>
          <w:szCs w:val="32"/>
          <w:lang w:val="en-US" w:eastAsia="zh-CN" w:bidi="ar-SA"/>
        </w:rPr>
      </w:pPr>
      <w:r>
        <w:rPr>
          <w:rFonts w:hint="eastAsia" w:ascii="仿宋_GB2312" w:hAnsi="仿宋_GB2312" w:eastAsia="仿宋_GB2312" w:cs="仿宋_GB2312"/>
          <w:color w:val="000000"/>
          <w:sz w:val="32"/>
          <w:szCs w:val="32"/>
        </w:rPr>
        <w:t>物业服务费的结算：合同签订后，前两月服务费预留作为保证金，物业服务费的结算根据月考核评定表结算，于第二月支付第一月的物业服务费，合同期满，按服务质量及考核评定结果支付余款，其中预留保证金不计算利息，按照合同约定方式予以免息支付。</w:t>
      </w:r>
    </w:p>
    <w:p w14:paraId="0404F5C7">
      <w:pPr>
        <w:keepNext w:val="0"/>
        <w:keepLines w:val="0"/>
        <w:pageBreakBefore w:val="0"/>
        <w:widowControl w:val="0"/>
        <w:tabs>
          <w:tab w:val="left" w:pos="851"/>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十四、其他要求</w:t>
      </w:r>
    </w:p>
    <w:p w14:paraId="159C13B0">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（1）所有物业工作人员统一着装,并要有明显标识，且现场有专门管理人员； </w:t>
      </w:r>
    </w:p>
    <w:p w14:paraId="4B5203A9">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（2）有完善的值班制度和交接班制度，工作有记录。急修服务半小时到位，1小时内修复，若不能，要有紧急处理措施，并做出解释，做出限时承诺。</w:t>
      </w:r>
    </w:p>
    <w:p w14:paraId="1FE3505C">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（3）设有甲方求助与报警电话，24小时有人值守，有紧急事故处理预案；</w:t>
      </w:r>
    </w:p>
    <w:p w14:paraId="1FD32DE4">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b/>
          <w:color w:val="000000"/>
          <w:sz w:val="32"/>
          <w:szCs w:val="32"/>
          <w:lang w:val="en-US" w:eastAsia="zh-CN"/>
        </w:rPr>
      </w:pPr>
      <w:r>
        <w:rPr>
          <w:rFonts w:hint="eastAsia" w:ascii="仿宋_GB2312" w:hAnsi="仿宋_GB2312" w:eastAsia="仿宋_GB2312" w:cs="仿宋_GB2312"/>
          <w:color w:val="000000"/>
          <w:sz w:val="32"/>
          <w:szCs w:val="32"/>
          <w:lang w:val="en-US" w:eastAsia="zh-CN"/>
        </w:rPr>
        <w:t>（4）重点区域：机房、配电室、消防控制室、监控室等地，必须由专人带领方可进入，物业公司无权带领任何人进入重点区域。</w:t>
      </w:r>
    </w:p>
    <w:p w14:paraId="23B9B398">
      <w:pPr>
        <w:keepNext w:val="0"/>
        <w:keepLines w:val="0"/>
        <w:pageBreakBefore w:val="0"/>
        <w:widowControl w:val="0"/>
        <w:tabs>
          <w:tab w:val="left" w:pos="851"/>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十五、注意事项</w:t>
      </w:r>
    </w:p>
    <w:p w14:paraId="0534F2CE">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巴克图口岸属国家一类口岸，口岸区域内划分军事管理区、边检限定区、海关作业区及其他区域，且由巴克图边防连、巴克图出入境边防检查站、塔城海关等部门分别管理，为此乙方作为物业从业人员在口岸区开展工作期间需注意以下事项，乙方承担法人法律责任和行政管理责任，乙方对物业服务人员承担连带责任：</w:t>
      </w:r>
    </w:p>
    <w:p w14:paraId="1D866784">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（一）合同签订后，乙方应对物业服务人员到岗前到相关部门办理相关的备案登记手续并对经相关部门审查不符合要求的人员进行调岗，不得违法违规进行上岗。</w:t>
      </w:r>
    </w:p>
    <w:p w14:paraId="4BCA0BD4">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（二）合同签订后，乙方应对所有从业人员进行安全教育，并安排专人做好人员管理。</w:t>
      </w:r>
    </w:p>
    <w:p w14:paraId="1B2E9826">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（三）合同签订后，乙方准备所有从业人员身份证复印件、车辆行驶证复印件，分别交由巴克图边防派出所、巴克图出入境边防检查站及相关执法单位核实人员车辆身份，并向上级部门报备。</w:t>
      </w:r>
    </w:p>
    <w:p w14:paraId="74A9AF42">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（四）合同签订后，乙方相关从业人员应按照甲方要求在指定的区域内活动，如因工作需要进入口岸区其他区域的，应提前与口岸委现场负责人说明事由，并由口岸委现场负责人带领进入。</w:t>
      </w:r>
    </w:p>
    <w:p w14:paraId="027925BF">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合同签订后，乙方应安排专人做好从业人员及车辆的日常管理工作，从业人员工作期间不得私自与出入境人员接触，从业人员及车辆未经允许不得进入限定区域、不得靠近边境线，不得拍照，否则巴克图边防派出所、巴克图出入境边防检查站、塔城海关等部门将按照国家有关法律法规对相关人员进行处理，并移交司法机关。</w:t>
      </w:r>
    </w:p>
    <w:p w14:paraId="145A3E8B">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（六）合同签订后，乙方应服从巴克图边防派出所、巴克图出入境边防检查站、塔城海关等部门的正常管理，如遇问题应及时与口岸委现场负责人联系。</w:t>
      </w:r>
    </w:p>
    <w:p w14:paraId="4A04D68A">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（七）乙方相关从业人员需随身携带身份证，以便公安等部门备查。 </w:t>
      </w:r>
    </w:p>
    <w:p w14:paraId="16CA3FB9">
      <w:pPr>
        <w:keepNext w:val="0"/>
        <w:keepLines w:val="0"/>
        <w:pageBreakBefore w:val="0"/>
        <w:widowControl w:val="0"/>
        <w:tabs>
          <w:tab w:val="left" w:pos="851"/>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十六、争议的解决</w:t>
      </w:r>
    </w:p>
    <w:p w14:paraId="751B2552">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合同执行过程中发生的任何争议，如双方不能通过友好协商解决，按相关法律法规处理并向甲方所在地的人民法院提起诉讼解决。除解除合同或者终止合同外，出现争议纠纷事项不得影响合同整体履行。</w:t>
      </w:r>
    </w:p>
    <w:p w14:paraId="7EFB1418">
      <w:pPr>
        <w:keepNext w:val="0"/>
        <w:keepLines w:val="0"/>
        <w:pageBreakBefore w:val="0"/>
        <w:widowControl w:val="0"/>
        <w:tabs>
          <w:tab w:val="left" w:pos="851"/>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十七、不可抗力</w:t>
      </w:r>
    </w:p>
    <w:p w14:paraId="3394E99C">
      <w:pPr>
        <w:keepNext w:val="0"/>
        <w:keepLines w:val="0"/>
        <w:pageBreakBefore w:val="0"/>
        <w:widowControl w:val="0"/>
        <w:tabs>
          <w:tab w:val="left" w:pos="851"/>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任何一方由于不可抗力原因不能履行合同时，应在不可抗力事件结束后</w:t>
      </w:r>
      <w:r>
        <w:rPr>
          <w:rFonts w:hint="eastAsia" w:ascii="仿宋_GB2312" w:hAnsi="仿宋_GB2312" w:eastAsia="仿宋_GB2312" w:cs="仿宋_GB2312"/>
          <w:color w:val="000000"/>
          <w:sz w:val="32"/>
          <w:szCs w:val="32"/>
          <w:lang w:val="en-US" w:eastAsia="zh-CN"/>
        </w:rPr>
        <w:t>2个工作</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b w:val="0"/>
          <w:bCs/>
          <w:color w:val="000000"/>
          <w:sz w:val="32"/>
          <w:szCs w:val="32"/>
          <w:lang w:val="en-US" w:eastAsia="zh-CN"/>
        </w:rPr>
        <w:t>内向对方通报并提供不可抗力证明材料，以减轻可能给对方造成的损失，在取得有关机构的不可抗力证明或双方谅解确认后，允许延期履行或修订合同，并根据情况可部分或全部免于承担违约责任</w:t>
      </w:r>
      <w:r>
        <w:rPr>
          <w:rFonts w:hint="eastAsia" w:ascii="仿宋_GB2312" w:hAnsi="仿宋_GB2312" w:eastAsia="仿宋_GB2312" w:cs="仿宋_GB2312"/>
          <w:b/>
          <w:bCs w:val="0"/>
          <w:color w:val="000000"/>
          <w:sz w:val="32"/>
          <w:szCs w:val="32"/>
          <w:lang w:val="en-US" w:eastAsia="zh-CN"/>
        </w:rPr>
        <w:t>。</w:t>
      </w:r>
    </w:p>
    <w:p w14:paraId="4116BDFD">
      <w:pPr>
        <w:keepNext w:val="0"/>
        <w:keepLines w:val="0"/>
        <w:pageBreakBefore w:val="0"/>
        <w:widowControl w:val="0"/>
        <w:tabs>
          <w:tab w:val="left" w:pos="851"/>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十八、税费</w:t>
      </w:r>
    </w:p>
    <w:p w14:paraId="5C6FD555">
      <w:pPr>
        <w:keepNext w:val="0"/>
        <w:keepLines w:val="0"/>
        <w:pageBreakBefore w:val="0"/>
        <w:widowControl w:val="0"/>
        <w:tabs>
          <w:tab w:val="left" w:pos="851"/>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与本合同执行有关的一切税费均由乙方负担。</w:t>
      </w:r>
    </w:p>
    <w:p w14:paraId="052EA031">
      <w:pPr>
        <w:keepNext w:val="0"/>
        <w:keepLines w:val="0"/>
        <w:pageBreakBefore w:val="0"/>
        <w:widowControl w:val="0"/>
        <w:tabs>
          <w:tab w:val="left" w:pos="851"/>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十九、物业服务地点</w:t>
      </w:r>
    </w:p>
    <w:p w14:paraId="73123D10">
      <w:pPr>
        <w:pStyle w:val="16"/>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塔城地区口岸管理委员会物业管理项目招标文件指定地点和合同约定服务范围。</w:t>
      </w:r>
    </w:p>
    <w:p w14:paraId="2225226F">
      <w:pPr>
        <w:keepNext w:val="0"/>
        <w:keepLines w:val="0"/>
        <w:pageBreakBefore w:val="0"/>
        <w:widowControl w:val="0"/>
        <w:tabs>
          <w:tab w:val="left" w:pos="851"/>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二十、履行合同的时间</w:t>
      </w:r>
    </w:p>
    <w:p w14:paraId="5000D940">
      <w:pPr>
        <w:pStyle w:val="16"/>
        <w:keepNext w:val="0"/>
        <w:keepLines w:val="0"/>
        <w:pageBreakBefore w:val="0"/>
        <w:widowControl w:val="0"/>
        <w:numPr>
          <w:ilvl w:val="0"/>
          <w:numId w:val="0"/>
        </w:numPr>
        <w:kinsoku/>
        <w:wordWrap/>
        <w:overflowPunct/>
        <w:topLinePunct w:val="0"/>
        <w:bidi w:val="0"/>
        <w:adjustRightInd/>
        <w:snapToGrid/>
        <w:spacing w:line="560" w:lineRule="exact"/>
        <w:ind w:leftChars="0" w:firstLine="640" w:firstLineChars="200"/>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合同签订后5日内全部物业人员到位、上岗工作。</w:t>
      </w:r>
    </w:p>
    <w:p w14:paraId="57B0151B">
      <w:pPr>
        <w:keepNext w:val="0"/>
        <w:keepLines w:val="0"/>
        <w:pageBreakBefore w:val="0"/>
        <w:widowControl w:val="0"/>
        <w:tabs>
          <w:tab w:val="left" w:pos="851"/>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二十一、双方的责任、权利、义务</w:t>
      </w:r>
    </w:p>
    <w:p w14:paraId="2D55EBAE">
      <w:pPr>
        <w:keepNext w:val="0"/>
        <w:keepLines w:val="0"/>
        <w:pageBreakBefore w:val="0"/>
        <w:widowControl w:val="0"/>
        <w:kinsoku/>
        <w:wordWrap/>
        <w:overflowPunct/>
        <w:topLinePunct w:val="0"/>
        <w:bidi w:val="0"/>
        <w:adjustRightInd/>
        <w:snapToGrid/>
        <w:spacing w:line="560" w:lineRule="exact"/>
        <w:ind w:firstLine="643" w:firstLineChars="200"/>
        <w:textAlignment w:val="auto"/>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（1）甲方的责任、权利、义务：</w:t>
      </w:r>
    </w:p>
    <w:p w14:paraId="75E6087C">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1．代表和维护产权人、使用人的合法权益。</w:t>
      </w:r>
    </w:p>
    <w:p w14:paraId="372E3C55">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2．制定业主公约并监督物业产权人、使用人遵守公约。</w:t>
      </w:r>
    </w:p>
    <w:p w14:paraId="3A9C37AC">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3．审定乙方拟定的物业管理制度、年度计划、财政预决算。</w:t>
      </w:r>
    </w:p>
    <w:p w14:paraId="7CD93E65">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4．检查监督乙方管理工作的实施及制度执行情况。</w:t>
      </w:r>
    </w:p>
    <w:p w14:paraId="2E60506D">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5．向乙方免费提供管理用房，工具设备存放用房，大型设备存放场地和服务人员必要的用房。</w:t>
      </w:r>
    </w:p>
    <w:p w14:paraId="3A78703E">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6．向乙方提供物业管理所需的图纸、档案、资料。</w:t>
      </w:r>
    </w:p>
    <w:p w14:paraId="26468A78">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7．负责保证按规定、按时拨付物业管理费。</w:t>
      </w:r>
    </w:p>
    <w:p w14:paraId="58941541">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8．协助处理本合同生效前发生的管理遗留问题。</w:t>
      </w:r>
    </w:p>
    <w:p w14:paraId="2359A1C5">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9．协助乙方做好物业管理工作和宣传教育、文化活动。</w:t>
      </w:r>
    </w:p>
    <w:p w14:paraId="7EF7C1B1">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10．不得干涉乙方依法或依据本合同规定的内容所进行的管理和经营活动。</w:t>
      </w:r>
    </w:p>
    <w:p w14:paraId="68A6EBD1">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11．政策规定由甲方承担的其他责任。</w:t>
      </w:r>
    </w:p>
    <w:p w14:paraId="4E793C8C">
      <w:pPr>
        <w:keepNext w:val="0"/>
        <w:keepLines w:val="0"/>
        <w:pageBreakBefore w:val="0"/>
        <w:widowControl w:val="0"/>
        <w:kinsoku/>
        <w:wordWrap/>
        <w:overflowPunct/>
        <w:topLinePunct w:val="0"/>
        <w:bidi w:val="0"/>
        <w:adjustRightInd/>
        <w:snapToGrid/>
        <w:spacing w:line="560" w:lineRule="exact"/>
        <w:ind w:firstLine="643" w:firstLineChars="200"/>
        <w:textAlignment w:val="auto"/>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（2）乙方的责任、权利、义务：</w:t>
      </w:r>
    </w:p>
    <w:p w14:paraId="15C5FBC0">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1．根据有关法律、法规及本合同的约定，制定物业管理制度，自主开展各项管理经营活动。</w:t>
      </w:r>
    </w:p>
    <w:p w14:paraId="03511364">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2．遵守各项管理法规和合同规定的责任要求，根据甲方授权对物业实施综合管理，确保实现各项管理目标和经济指标，并承担相应责任，自觉接受政府部门和甲方检查监督。</w:t>
      </w:r>
    </w:p>
    <w:p w14:paraId="53DB0B88">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3．根据需要制定维修方案，报甲方审议通过后组织实施。</w:t>
      </w:r>
    </w:p>
    <w:p w14:paraId="0B391B3B">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4．向甲方和物业使用权人告知物业使用的有关规定，并负责监督。</w:t>
      </w:r>
    </w:p>
    <w:p w14:paraId="62C7D4B4">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5．不得将本物业的管理责任转让给第三方，也不得以此推卸责任并承担合同约定责任。</w:t>
      </w:r>
    </w:p>
    <w:p w14:paraId="76DC2100">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6．对物业的设施、设备不得擅自占用和改变使用功能，如需在扩建或完善配套项目，须与甲方协商，经甲方同意后报有关部门批准方可实施。</w:t>
      </w:r>
    </w:p>
    <w:p w14:paraId="184D275D">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7．建立物业管理档案并负责及时记载有关变更情况。</w:t>
      </w:r>
    </w:p>
    <w:p w14:paraId="5B7AF3AC">
      <w:pPr>
        <w:spacing w:line="244" w:lineRule="auto"/>
        <w:rPr>
          <w:rFonts w:ascii="Arial"/>
          <w:sz w:val="21"/>
        </w:rPr>
      </w:pPr>
    </w:p>
    <w:p w14:paraId="2D6E71DE">
      <w:pPr>
        <w:pStyle w:val="2"/>
        <w:spacing w:before="100" w:line="224" w:lineRule="auto"/>
        <w:ind w:left="3324"/>
        <w:outlineLvl w:val="0"/>
        <w:rPr>
          <w:b/>
          <w:bCs/>
          <w:spacing w:val="5"/>
          <w:sz w:val="31"/>
          <w:szCs w:val="31"/>
        </w:rPr>
      </w:pPr>
      <w:bookmarkStart w:id="33" w:name="bookmark21"/>
      <w:bookmarkEnd w:id="33"/>
    </w:p>
    <w:p w14:paraId="550DDECB">
      <w:pPr>
        <w:pStyle w:val="2"/>
        <w:spacing w:before="100" w:line="224" w:lineRule="auto"/>
        <w:ind w:left="3324"/>
        <w:outlineLvl w:val="0"/>
        <w:rPr>
          <w:b/>
          <w:bCs/>
          <w:spacing w:val="5"/>
          <w:sz w:val="31"/>
          <w:szCs w:val="31"/>
        </w:rPr>
      </w:pPr>
    </w:p>
    <w:p w14:paraId="40E2043E">
      <w:pPr>
        <w:pStyle w:val="2"/>
        <w:spacing w:before="100" w:line="224" w:lineRule="auto"/>
        <w:ind w:left="3324"/>
        <w:outlineLvl w:val="0"/>
        <w:rPr>
          <w:b/>
          <w:bCs/>
          <w:spacing w:val="5"/>
          <w:sz w:val="31"/>
          <w:szCs w:val="31"/>
        </w:rPr>
      </w:pPr>
    </w:p>
    <w:p w14:paraId="1CC9EE47">
      <w:pPr>
        <w:pStyle w:val="2"/>
        <w:spacing w:before="100" w:line="224" w:lineRule="auto"/>
        <w:ind w:left="3324"/>
        <w:outlineLvl w:val="0"/>
        <w:rPr>
          <w:b/>
          <w:bCs/>
          <w:spacing w:val="5"/>
          <w:sz w:val="31"/>
          <w:szCs w:val="31"/>
        </w:rPr>
      </w:pPr>
    </w:p>
    <w:p w14:paraId="35BD5086">
      <w:pPr>
        <w:pStyle w:val="2"/>
        <w:spacing w:before="100" w:line="224" w:lineRule="auto"/>
        <w:ind w:left="3324"/>
        <w:outlineLvl w:val="0"/>
        <w:rPr>
          <w:b/>
          <w:bCs/>
          <w:spacing w:val="5"/>
          <w:sz w:val="31"/>
          <w:szCs w:val="31"/>
        </w:rPr>
      </w:pPr>
    </w:p>
    <w:p w14:paraId="5B1D16BE">
      <w:pPr>
        <w:pStyle w:val="2"/>
        <w:spacing w:before="100" w:line="224" w:lineRule="auto"/>
        <w:ind w:left="3324"/>
        <w:outlineLvl w:val="0"/>
        <w:rPr>
          <w:b/>
          <w:bCs/>
          <w:spacing w:val="5"/>
          <w:sz w:val="31"/>
          <w:szCs w:val="31"/>
        </w:rPr>
      </w:pPr>
    </w:p>
    <w:p w14:paraId="6EAE4026">
      <w:pPr>
        <w:pStyle w:val="2"/>
        <w:spacing w:before="100" w:line="224" w:lineRule="auto"/>
        <w:ind w:left="3324"/>
        <w:outlineLvl w:val="0"/>
        <w:rPr>
          <w:b/>
          <w:bCs/>
          <w:spacing w:val="5"/>
          <w:sz w:val="31"/>
          <w:szCs w:val="31"/>
        </w:rPr>
      </w:pPr>
    </w:p>
    <w:p w14:paraId="07C052F9">
      <w:pPr>
        <w:pStyle w:val="2"/>
        <w:spacing w:before="100" w:line="224" w:lineRule="auto"/>
        <w:ind w:left="3324"/>
        <w:outlineLvl w:val="0"/>
        <w:rPr>
          <w:b/>
          <w:bCs/>
          <w:spacing w:val="5"/>
          <w:sz w:val="31"/>
          <w:szCs w:val="31"/>
        </w:rPr>
      </w:pPr>
    </w:p>
    <w:p w14:paraId="42D0517A">
      <w:pPr>
        <w:pStyle w:val="2"/>
        <w:spacing w:before="100" w:line="224" w:lineRule="auto"/>
        <w:ind w:left="3324"/>
        <w:outlineLvl w:val="0"/>
        <w:rPr>
          <w:b/>
          <w:bCs/>
          <w:spacing w:val="5"/>
          <w:sz w:val="31"/>
          <w:szCs w:val="31"/>
        </w:rPr>
      </w:pPr>
    </w:p>
    <w:p w14:paraId="2351E0FB">
      <w:pPr>
        <w:pStyle w:val="2"/>
        <w:spacing w:before="100" w:line="224" w:lineRule="auto"/>
        <w:ind w:left="3324"/>
        <w:outlineLvl w:val="0"/>
        <w:rPr>
          <w:b/>
          <w:bCs/>
          <w:spacing w:val="5"/>
          <w:sz w:val="31"/>
          <w:szCs w:val="31"/>
        </w:rPr>
      </w:pPr>
    </w:p>
    <w:p w14:paraId="431F2436">
      <w:pPr>
        <w:pStyle w:val="2"/>
        <w:spacing w:before="100" w:line="224" w:lineRule="auto"/>
        <w:ind w:left="3324"/>
        <w:outlineLvl w:val="0"/>
        <w:rPr>
          <w:b/>
          <w:bCs/>
          <w:spacing w:val="5"/>
          <w:sz w:val="31"/>
          <w:szCs w:val="31"/>
        </w:rPr>
      </w:pPr>
    </w:p>
    <w:p w14:paraId="52D57EBA">
      <w:pPr>
        <w:pStyle w:val="2"/>
        <w:spacing w:before="100" w:line="224" w:lineRule="auto"/>
        <w:ind w:left="3324"/>
        <w:outlineLvl w:val="0"/>
        <w:rPr>
          <w:b/>
          <w:bCs/>
          <w:spacing w:val="5"/>
          <w:sz w:val="31"/>
          <w:szCs w:val="31"/>
        </w:rPr>
      </w:pPr>
    </w:p>
    <w:p w14:paraId="28AE7D27">
      <w:pPr>
        <w:pStyle w:val="2"/>
        <w:spacing w:before="100" w:line="224" w:lineRule="auto"/>
        <w:ind w:left="3324"/>
        <w:outlineLvl w:val="0"/>
        <w:rPr>
          <w:b/>
          <w:bCs/>
          <w:spacing w:val="5"/>
          <w:sz w:val="31"/>
          <w:szCs w:val="31"/>
        </w:rPr>
      </w:pPr>
    </w:p>
    <w:p w14:paraId="2DC55D46">
      <w:pPr>
        <w:pStyle w:val="2"/>
        <w:spacing w:before="100" w:line="224" w:lineRule="auto"/>
        <w:ind w:left="3324"/>
        <w:outlineLvl w:val="0"/>
        <w:rPr>
          <w:b/>
          <w:bCs/>
          <w:spacing w:val="5"/>
          <w:sz w:val="31"/>
          <w:szCs w:val="31"/>
        </w:rPr>
      </w:pPr>
    </w:p>
    <w:p w14:paraId="0B2E89B3">
      <w:pPr>
        <w:pStyle w:val="2"/>
        <w:spacing w:before="100" w:line="224" w:lineRule="auto"/>
        <w:ind w:left="3324"/>
        <w:outlineLvl w:val="0"/>
        <w:rPr>
          <w:b/>
          <w:bCs/>
          <w:spacing w:val="5"/>
          <w:sz w:val="31"/>
          <w:szCs w:val="31"/>
        </w:rPr>
      </w:pPr>
    </w:p>
    <w:p w14:paraId="7025C2EA">
      <w:pPr>
        <w:pStyle w:val="2"/>
        <w:spacing w:before="100" w:line="224" w:lineRule="auto"/>
        <w:ind w:left="3324"/>
        <w:outlineLvl w:val="0"/>
        <w:rPr>
          <w:b/>
          <w:bCs/>
          <w:spacing w:val="5"/>
          <w:sz w:val="31"/>
          <w:szCs w:val="31"/>
        </w:rPr>
      </w:pPr>
    </w:p>
    <w:p w14:paraId="55242222">
      <w:pPr>
        <w:pStyle w:val="2"/>
        <w:spacing w:before="100" w:line="224" w:lineRule="auto"/>
        <w:ind w:left="3324"/>
        <w:outlineLvl w:val="0"/>
        <w:rPr>
          <w:b/>
          <w:bCs/>
          <w:spacing w:val="5"/>
          <w:sz w:val="31"/>
          <w:szCs w:val="31"/>
        </w:rPr>
      </w:pPr>
    </w:p>
    <w:p w14:paraId="664EF347">
      <w:pPr>
        <w:pStyle w:val="2"/>
        <w:spacing w:before="100" w:line="224" w:lineRule="auto"/>
        <w:ind w:left="3324"/>
        <w:outlineLvl w:val="0"/>
        <w:rPr>
          <w:b/>
          <w:bCs/>
          <w:spacing w:val="5"/>
          <w:sz w:val="31"/>
          <w:szCs w:val="31"/>
        </w:rPr>
      </w:pPr>
    </w:p>
    <w:p w14:paraId="2F1FCE7B">
      <w:pPr>
        <w:pStyle w:val="2"/>
        <w:spacing w:before="100" w:line="224" w:lineRule="auto"/>
        <w:ind w:left="3324"/>
        <w:outlineLvl w:val="0"/>
        <w:rPr>
          <w:b/>
          <w:bCs/>
          <w:spacing w:val="5"/>
          <w:sz w:val="31"/>
          <w:szCs w:val="31"/>
        </w:rPr>
      </w:pPr>
    </w:p>
    <w:p w14:paraId="679CC4C3">
      <w:pPr>
        <w:pStyle w:val="2"/>
        <w:spacing w:before="100" w:line="224" w:lineRule="auto"/>
        <w:ind w:left="3324"/>
        <w:outlineLvl w:val="0"/>
        <w:rPr>
          <w:b/>
          <w:bCs/>
          <w:spacing w:val="5"/>
          <w:sz w:val="31"/>
          <w:szCs w:val="31"/>
        </w:rPr>
      </w:pPr>
    </w:p>
    <w:p w14:paraId="42F8F429">
      <w:pPr>
        <w:pStyle w:val="2"/>
        <w:spacing w:before="100" w:line="224" w:lineRule="auto"/>
        <w:ind w:left="3324"/>
        <w:outlineLvl w:val="0"/>
        <w:rPr>
          <w:b/>
          <w:bCs/>
          <w:spacing w:val="5"/>
          <w:sz w:val="31"/>
          <w:szCs w:val="31"/>
        </w:rPr>
      </w:pPr>
    </w:p>
    <w:p w14:paraId="280BA2F6">
      <w:pPr>
        <w:pStyle w:val="2"/>
        <w:spacing w:before="100" w:line="224" w:lineRule="auto"/>
        <w:ind w:left="3324"/>
        <w:outlineLvl w:val="0"/>
        <w:rPr>
          <w:b/>
          <w:bCs/>
          <w:spacing w:val="5"/>
          <w:sz w:val="31"/>
          <w:szCs w:val="31"/>
        </w:rPr>
      </w:pPr>
    </w:p>
    <w:p w14:paraId="2C954880">
      <w:pPr>
        <w:pStyle w:val="2"/>
        <w:spacing w:before="100" w:line="224" w:lineRule="auto"/>
        <w:ind w:left="3324"/>
        <w:outlineLvl w:val="0"/>
        <w:rPr>
          <w:sz w:val="31"/>
          <w:szCs w:val="31"/>
        </w:rPr>
      </w:pPr>
      <w:r>
        <w:rPr>
          <w:b/>
          <w:bCs/>
          <w:spacing w:val="5"/>
          <w:sz w:val="31"/>
          <w:szCs w:val="31"/>
        </w:rPr>
        <w:t>第五章</w:t>
      </w:r>
      <w:r>
        <w:rPr>
          <w:spacing w:val="5"/>
          <w:sz w:val="31"/>
          <w:szCs w:val="31"/>
        </w:rPr>
        <w:t xml:space="preserve">  </w:t>
      </w:r>
      <w:r>
        <w:rPr>
          <w:b/>
          <w:bCs/>
          <w:spacing w:val="5"/>
          <w:sz w:val="31"/>
          <w:szCs w:val="31"/>
        </w:rPr>
        <w:t>评审内容</w:t>
      </w:r>
    </w:p>
    <w:p w14:paraId="2086D502">
      <w:pPr>
        <w:pStyle w:val="2"/>
        <w:spacing w:before="128" w:line="213" w:lineRule="auto"/>
        <w:ind w:left="200"/>
        <w:outlineLvl w:val="1"/>
      </w:pPr>
      <w:r>
        <w:rPr>
          <w:b/>
          <w:bCs/>
          <w:spacing w:val="-4"/>
        </w:rPr>
        <w:t>一、供应商资格审查</w:t>
      </w:r>
    </w:p>
    <w:tbl>
      <w:tblPr>
        <w:tblStyle w:val="13"/>
        <w:tblW w:w="93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9"/>
        <w:gridCol w:w="1962"/>
        <w:gridCol w:w="6624"/>
      </w:tblGrid>
      <w:tr w14:paraId="69A26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19" w:type="dxa"/>
            <w:vAlign w:val="top"/>
          </w:tcPr>
          <w:p w14:paraId="6C7BF01A">
            <w:pPr>
              <w:pStyle w:val="14"/>
              <w:spacing w:before="203" w:line="221" w:lineRule="auto"/>
              <w:ind w:left="128"/>
            </w:pPr>
            <w:r>
              <w:rPr>
                <w:b/>
                <w:bCs/>
                <w:spacing w:val="-7"/>
              </w:rPr>
              <w:t>序号</w:t>
            </w:r>
          </w:p>
        </w:tc>
        <w:tc>
          <w:tcPr>
            <w:tcW w:w="1962" w:type="dxa"/>
            <w:vAlign w:val="top"/>
          </w:tcPr>
          <w:p w14:paraId="2A216940">
            <w:pPr>
              <w:pStyle w:val="14"/>
              <w:spacing w:before="203" w:line="219" w:lineRule="auto"/>
              <w:ind w:left="510"/>
            </w:pPr>
            <w:r>
              <w:rPr>
                <w:b/>
                <w:bCs/>
                <w:spacing w:val="-7"/>
              </w:rPr>
              <w:t>评审内容</w:t>
            </w:r>
          </w:p>
        </w:tc>
        <w:tc>
          <w:tcPr>
            <w:tcW w:w="6624" w:type="dxa"/>
            <w:vAlign w:val="top"/>
          </w:tcPr>
          <w:p w14:paraId="6BA88596">
            <w:pPr>
              <w:pStyle w:val="14"/>
              <w:spacing w:before="203" w:line="219" w:lineRule="auto"/>
              <w:ind w:left="2604"/>
            </w:pPr>
            <w:r>
              <w:rPr>
                <w:b/>
                <w:bCs/>
                <w:spacing w:val="-6"/>
              </w:rPr>
              <w:t>评审合格标准</w:t>
            </w:r>
          </w:p>
        </w:tc>
      </w:tr>
      <w:tr w14:paraId="01932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19" w:type="dxa"/>
            <w:vAlign w:val="top"/>
          </w:tcPr>
          <w:p w14:paraId="349B27CC">
            <w:pPr>
              <w:pStyle w:val="14"/>
              <w:spacing w:before="150" w:line="184" w:lineRule="auto"/>
              <w:ind w:left="324"/>
            </w:pPr>
            <w:r>
              <w:t>1</w:t>
            </w:r>
          </w:p>
        </w:tc>
        <w:tc>
          <w:tcPr>
            <w:tcW w:w="1962" w:type="dxa"/>
            <w:vAlign w:val="top"/>
          </w:tcPr>
          <w:p w14:paraId="42A8CB23">
            <w:pPr>
              <w:pStyle w:val="14"/>
              <w:spacing w:before="114" w:line="219" w:lineRule="auto"/>
              <w:ind w:left="154"/>
            </w:pPr>
            <w:r>
              <w:rPr>
                <w:spacing w:val="-3"/>
              </w:rPr>
              <w:t>营业执照等证明</w:t>
            </w:r>
          </w:p>
        </w:tc>
        <w:tc>
          <w:tcPr>
            <w:tcW w:w="6624" w:type="dxa"/>
            <w:vAlign w:val="top"/>
          </w:tcPr>
          <w:p w14:paraId="4B2F74F9">
            <w:pPr>
              <w:pStyle w:val="14"/>
              <w:spacing w:before="113" w:line="219" w:lineRule="auto"/>
              <w:ind w:left="115"/>
            </w:pPr>
            <w:r>
              <w:rPr>
                <w:spacing w:val="2"/>
              </w:rPr>
              <w:t>提供有效注册的“营业执照</w:t>
            </w:r>
            <w:r>
              <w:rPr>
                <w:spacing w:val="-88"/>
              </w:rPr>
              <w:t xml:space="preserve"> </w:t>
            </w:r>
            <w:r>
              <w:rPr>
                <w:spacing w:val="2"/>
              </w:rPr>
              <w:t>”</w:t>
            </w:r>
          </w:p>
        </w:tc>
      </w:tr>
      <w:tr w14:paraId="143EE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19" w:type="dxa"/>
            <w:vAlign w:val="top"/>
          </w:tcPr>
          <w:p w14:paraId="3FE936CF">
            <w:pPr>
              <w:spacing w:line="461" w:lineRule="auto"/>
              <w:rPr>
                <w:rFonts w:ascii="Arial"/>
                <w:sz w:val="21"/>
              </w:rPr>
            </w:pPr>
          </w:p>
          <w:p w14:paraId="70B0E5B6">
            <w:pPr>
              <w:pStyle w:val="14"/>
              <w:spacing w:before="78" w:line="183" w:lineRule="auto"/>
              <w:ind w:left="309"/>
            </w:pPr>
            <w:r>
              <w:t>2</w:t>
            </w:r>
          </w:p>
        </w:tc>
        <w:tc>
          <w:tcPr>
            <w:tcW w:w="1962" w:type="dxa"/>
            <w:vAlign w:val="top"/>
          </w:tcPr>
          <w:p w14:paraId="364E0980">
            <w:pPr>
              <w:pStyle w:val="14"/>
              <w:spacing w:before="192" w:line="219" w:lineRule="auto"/>
              <w:ind w:left="147"/>
            </w:pPr>
            <w:r>
              <w:rPr>
                <w:spacing w:val="-2"/>
              </w:rPr>
              <w:t>法定代表人证明</w:t>
            </w:r>
          </w:p>
          <w:p w14:paraId="2C8F3809">
            <w:pPr>
              <w:pStyle w:val="14"/>
              <w:spacing w:before="26" w:line="219" w:lineRule="auto"/>
              <w:ind w:left="151"/>
            </w:pPr>
            <w:r>
              <w:rPr>
                <w:spacing w:val="-3"/>
              </w:rPr>
              <w:t>书及法定代表人</w:t>
            </w:r>
          </w:p>
          <w:p w14:paraId="64C5F54E">
            <w:pPr>
              <w:pStyle w:val="14"/>
              <w:spacing w:before="27" w:line="219" w:lineRule="auto"/>
              <w:ind w:left="626"/>
            </w:pPr>
            <w:r>
              <w:rPr>
                <w:spacing w:val="-3"/>
              </w:rPr>
              <w:t>授权书</w:t>
            </w:r>
          </w:p>
        </w:tc>
        <w:tc>
          <w:tcPr>
            <w:tcW w:w="6624" w:type="dxa"/>
            <w:vAlign w:val="top"/>
          </w:tcPr>
          <w:p w14:paraId="17DC3DB6">
            <w:pPr>
              <w:pStyle w:val="14"/>
              <w:spacing w:before="35" w:line="219" w:lineRule="auto"/>
              <w:ind w:left="115"/>
            </w:pPr>
            <w:r>
              <w:rPr>
                <w:spacing w:val="-5"/>
              </w:rPr>
              <w:t>法定代表人证明书及法定代表人授权书：</w:t>
            </w:r>
          </w:p>
          <w:p w14:paraId="531EF11F">
            <w:pPr>
              <w:pStyle w:val="14"/>
              <w:spacing w:before="27" w:line="219" w:lineRule="auto"/>
              <w:ind w:left="126"/>
            </w:pPr>
            <w:r>
              <w:rPr>
                <w:spacing w:val="-5"/>
              </w:rPr>
              <w:t>（1）按招标文件规定的格式填写、签署和盖章；</w:t>
            </w:r>
          </w:p>
          <w:p w14:paraId="7B9A1E20">
            <w:pPr>
              <w:pStyle w:val="14"/>
              <w:spacing w:before="26" w:line="224" w:lineRule="auto"/>
              <w:ind w:left="113" w:right="103" w:firstLine="12"/>
            </w:pPr>
            <w:r>
              <w:rPr>
                <w:spacing w:val="-8"/>
              </w:rPr>
              <w:t>（2）附完整的法定代表人身份证复印件、被授权人身份证复印</w:t>
            </w:r>
            <w:r>
              <w:rPr>
                <w:spacing w:val="12"/>
              </w:rPr>
              <w:t xml:space="preserve"> </w:t>
            </w:r>
            <w:r>
              <w:rPr>
                <w:spacing w:val="-5"/>
              </w:rPr>
              <w:t>件，均加盖公章；</w:t>
            </w:r>
          </w:p>
        </w:tc>
      </w:tr>
      <w:tr w14:paraId="2285F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719" w:type="dxa"/>
            <w:vAlign w:val="top"/>
          </w:tcPr>
          <w:p w14:paraId="332F9F95">
            <w:pPr>
              <w:spacing w:line="259" w:lineRule="auto"/>
              <w:rPr>
                <w:rFonts w:ascii="Arial"/>
                <w:sz w:val="21"/>
              </w:rPr>
            </w:pPr>
          </w:p>
          <w:p w14:paraId="6ADAC5F2">
            <w:pPr>
              <w:spacing w:line="260" w:lineRule="auto"/>
              <w:rPr>
                <w:rFonts w:ascii="Arial"/>
                <w:sz w:val="21"/>
              </w:rPr>
            </w:pPr>
          </w:p>
          <w:p w14:paraId="7626ECF5">
            <w:pPr>
              <w:pStyle w:val="14"/>
              <w:spacing w:before="78" w:line="183" w:lineRule="auto"/>
              <w:ind w:left="311"/>
            </w:pPr>
            <w:r>
              <w:t>3</w:t>
            </w:r>
          </w:p>
        </w:tc>
        <w:tc>
          <w:tcPr>
            <w:tcW w:w="1962" w:type="dxa"/>
            <w:vAlign w:val="top"/>
          </w:tcPr>
          <w:p w14:paraId="1C402FD4">
            <w:pPr>
              <w:pStyle w:val="14"/>
              <w:spacing w:before="251" w:line="219" w:lineRule="auto"/>
              <w:ind w:left="151"/>
            </w:pPr>
            <w:r>
              <w:rPr>
                <w:spacing w:val="-3"/>
              </w:rPr>
              <w:t>具有良好的商业</w:t>
            </w:r>
          </w:p>
          <w:p w14:paraId="2D6390D4">
            <w:pPr>
              <w:pStyle w:val="14"/>
              <w:spacing w:before="26" w:line="219" w:lineRule="auto"/>
              <w:ind w:left="146"/>
            </w:pPr>
            <w:r>
              <w:rPr>
                <w:spacing w:val="-2"/>
              </w:rPr>
              <w:t>信誉和健全的财</w:t>
            </w:r>
          </w:p>
          <w:p w14:paraId="48F51293">
            <w:pPr>
              <w:pStyle w:val="14"/>
              <w:spacing w:before="27" w:line="219" w:lineRule="auto"/>
              <w:ind w:left="388"/>
            </w:pPr>
            <w:r>
              <w:rPr>
                <w:spacing w:val="-3"/>
              </w:rPr>
              <w:t>务会计制度</w:t>
            </w:r>
          </w:p>
        </w:tc>
        <w:tc>
          <w:tcPr>
            <w:tcW w:w="6624" w:type="dxa"/>
            <w:vAlign w:val="top"/>
          </w:tcPr>
          <w:p w14:paraId="4A3EF715">
            <w:pPr>
              <w:pStyle w:val="14"/>
              <w:spacing w:before="250" w:line="233" w:lineRule="auto"/>
              <w:ind w:left="114" w:right="103"/>
              <w:jc w:val="both"/>
            </w:pPr>
            <w:r>
              <w:rPr>
                <w:spacing w:val="-4"/>
              </w:rPr>
              <w:t>提供会计师事务所出具的</w:t>
            </w:r>
            <w:r>
              <w:rPr>
                <w:spacing w:val="-52"/>
              </w:rPr>
              <w:t xml:space="preserve"> </w:t>
            </w:r>
            <w:r>
              <w:rPr>
                <w:spacing w:val="-4"/>
              </w:rPr>
              <w:t>2024</w:t>
            </w:r>
            <w:r>
              <w:rPr>
                <w:spacing w:val="-52"/>
              </w:rPr>
              <w:t xml:space="preserve"> </w:t>
            </w:r>
            <w:r>
              <w:rPr>
                <w:spacing w:val="-4"/>
              </w:rPr>
              <w:t>年度经会计师事务</w:t>
            </w:r>
            <w:r>
              <w:rPr>
                <w:spacing w:val="-3"/>
              </w:rPr>
              <w:t>所出具的财务审计报告复印件或银行在开标日前</w:t>
            </w:r>
            <w:r>
              <w:rPr>
                <w:rFonts w:hint="eastAsia"/>
                <w:spacing w:val="-3"/>
                <w:lang w:val="en-US" w:eastAsia="zh-CN"/>
              </w:rPr>
              <w:t>三</w:t>
            </w:r>
            <w:r>
              <w:rPr>
                <w:spacing w:val="-3"/>
              </w:rPr>
              <w:t>个月内开具</w:t>
            </w:r>
            <w:r>
              <w:rPr>
                <w:spacing w:val="-5"/>
              </w:rPr>
              <w:t>的资信证明或健全的财务会计制度（加盖公章</w:t>
            </w:r>
            <w:r>
              <w:rPr>
                <w:spacing w:val="-64"/>
              </w:rPr>
              <w:t>）；</w:t>
            </w:r>
          </w:p>
        </w:tc>
      </w:tr>
      <w:tr w14:paraId="7EEAA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trPr>
        <w:tc>
          <w:tcPr>
            <w:tcW w:w="719" w:type="dxa"/>
            <w:vAlign w:val="top"/>
          </w:tcPr>
          <w:p w14:paraId="38E9DA8F">
            <w:pPr>
              <w:spacing w:line="435" w:lineRule="auto"/>
              <w:rPr>
                <w:rFonts w:ascii="Arial"/>
                <w:sz w:val="21"/>
              </w:rPr>
            </w:pPr>
          </w:p>
          <w:p w14:paraId="6633711F">
            <w:pPr>
              <w:pStyle w:val="14"/>
              <w:spacing w:before="78" w:line="183" w:lineRule="auto"/>
              <w:ind w:left="305"/>
            </w:pPr>
            <w:r>
              <w:t>4</w:t>
            </w:r>
          </w:p>
        </w:tc>
        <w:tc>
          <w:tcPr>
            <w:tcW w:w="1962" w:type="dxa"/>
            <w:vAlign w:val="top"/>
          </w:tcPr>
          <w:p w14:paraId="1D52B08E">
            <w:pPr>
              <w:pStyle w:val="14"/>
              <w:spacing w:before="166" w:line="220" w:lineRule="auto"/>
              <w:ind w:left="151"/>
            </w:pPr>
            <w:r>
              <w:rPr>
                <w:spacing w:val="-3"/>
              </w:rPr>
              <w:t>具有履行合同所</w:t>
            </w:r>
          </w:p>
          <w:p w14:paraId="586C121E">
            <w:pPr>
              <w:pStyle w:val="14"/>
              <w:spacing w:before="25" w:line="220" w:lineRule="auto"/>
              <w:ind w:left="150"/>
            </w:pPr>
            <w:r>
              <w:rPr>
                <w:spacing w:val="-2"/>
              </w:rPr>
              <w:t>必需的设备和专</w:t>
            </w:r>
          </w:p>
          <w:p w14:paraId="5C4FE6F4">
            <w:pPr>
              <w:pStyle w:val="14"/>
              <w:spacing w:before="26" w:line="219" w:lineRule="auto"/>
              <w:ind w:left="386"/>
            </w:pPr>
            <w:r>
              <w:rPr>
                <w:spacing w:val="-2"/>
              </w:rPr>
              <w:t>业技术能力</w:t>
            </w:r>
          </w:p>
        </w:tc>
        <w:tc>
          <w:tcPr>
            <w:tcW w:w="6624" w:type="dxa"/>
            <w:vAlign w:val="top"/>
          </w:tcPr>
          <w:p w14:paraId="0F1561B4">
            <w:pPr>
              <w:spacing w:line="243" w:lineRule="auto"/>
              <w:rPr>
                <w:rFonts w:ascii="Arial"/>
                <w:sz w:val="21"/>
              </w:rPr>
            </w:pPr>
          </w:p>
          <w:p w14:paraId="2A5D868D">
            <w:pPr>
              <w:pStyle w:val="14"/>
              <w:spacing w:before="78" w:line="229" w:lineRule="auto"/>
              <w:ind w:left="118" w:right="137" w:hanging="3"/>
            </w:pPr>
            <w:r>
              <w:rPr>
                <w:spacing w:val="-4"/>
              </w:rPr>
              <w:t>提供可充分满足履行合同所需设备和专业技术</w:t>
            </w:r>
            <w:r>
              <w:rPr>
                <w:spacing w:val="-5"/>
              </w:rPr>
              <w:t>能力的承诺（格</w:t>
            </w:r>
            <w:r>
              <w:t xml:space="preserve"> </w:t>
            </w:r>
            <w:r>
              <w:rPr>
                <w:spacing w:val="-8"/>
              </w:rPr>
              <w:t>式自拟</w:t>
            </w:r>
            <w:r>
              <w:rPr>
                <w:spacing w:val="-62"/>
                <w:w w:val="96"/>
              </w:rPr>
              <w:t>）；</w:t>
            </w:r>
          </w:p>
        </w:tc>
      </w:tr>
      <w:tr w14:paraId="14AA6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19" w:type="dxa"/>
            <w:vAlign w:val="top"/>
          </w:tcPr>
          <w:p w14:paraId="2AB4E486">
            <w:pPr>
              <w:spacing w:line="258" w:lineRule="auto"/>
              <w:rPr>
                <w:rFonts w:ascii="Arial"/>
                <w:sz w:val="21"/>
              </w:rPr>
            </w:pPr>
          </w:p>
          <w:p w14:paraId="30481FF3">
            <w:pPr>
              <w:spacing w:line="258" w:lineRule="auto"/>
              <w:rPr>
                <w:rFonts w:ascii="Arial"/>
                <w:sz w:val="21"/>
              </w:rPr>
            </w:pPr>
          </w:p>
          <w:p w14:paraId="517C5D3A">
            <w:pPr>
              <w:spacing w:line="259" w:lineRule="auto"/>
              <w:rPr>
                <w:rFonts w:ascii="Arial"/>
                <w:sz w:val="21"/>
              </w:rPr>
            </w:pPr>
          </w:p>
          <w:p w14:paraId="6F6D172C">
            <w:pPr>
              <w:pStyle w:val="14"/>
              <w:spacing w:before="78" w:line="182" w:lineRule="auto"/>
              <w:ind w:left="311"/>
            </w:pPr>
            <w:r>
              <w:t>5</w:t>
            </w:r>
          </w:p>
        </w:tc>
        <w:tc>
          <w:tcPr>
            <w:tcW w:w="1962" w:type="dxa"/>
            <w:vAlign w:val="top"/>
          </w:tcPr>
          <w:p w14:paraId="3DF28FCD">
            <w:pPr>
              <w:spacing w:line="425" w:lineRule="auto"/>
              <w:rPr>
                <w:rFonts w:ascii="Arial"/>
                <w:sz w:val="21"/>
              </w:rPr>
            </w:pPr>
          </w:p>
          <w:p w14:paraId="6E1961AA">
            <w:pPr>
              <w:pStyle w:val="14"/>
              <w:spacing w:before="78" w:line="219" w:lineRule="auto"/>
              <w:ind w:left="147"/>
            </w:pPr>
            <w:r>
              <w:rPr>
                <w:spacing w:val="-2"/>
              </w:rPr>
              <w:t>有依法缴纳税收</w:t>
            </w:r>
          </w:p>
          <w:p w14:paraId="3432D7F5">
            <w:pPr>
              <w:pStyle w:val="14"/>
              <w:spacing w:before="27" w:line="219" w:lineRule="auto"/>
              <w:ind w:left="147"/>
            </w:pPr>
            <w:r>
              <w:rPr>
                <w:spacing w:val="-2"/>
              </w:rPr>
              <w:t>和社会保障资金</w:t>
            </w:r>
          </w:p>
          <w:p w14:paraId="41965FED">
            <w:pPr>
              <w:pStyle w:val="14"/>
              <w:spacing w:before="28" w:line="219" w:lineRule="auto"/>
              <w:ind w:left="406"/>
            </w:pPr>
            <w:r>
              <w:rPr>
                <w:spacing w:val="-6"/>
              </w:rPr>
              <w:t>的良好记录</w:t>
            </w:r>
          </w:p>
        </w:tc>
        <w:tc>
          <w:tcPr>
            <w:tcW w:w="6624" w:type="dxa"/>
            <w:vAlign w:val="top"/>
          </w:tcPr>
          <w:p w14:paraId="2DDCAD1E">
            <w:pPr>
              <w:pStyle w:val="14"/>
              <w:spacing w:before="38" w:line="233" w:lineRule="auto"/>
              <w:ind w:left="113" w:right="103" w:firstLine="12"/>
            </w:pPr>
            <w:r>
              <w:rPr>
                <w:spacing w:val="-8"/>
              </w:rPr>
              <w:t>（1）提供开标前</w:t>
            </w:r>
            <w:r>
              <w:rPr>
                <w:rFonts w:hint="eastAsia"/>
                <w:spacing w:val="-8"/>
                <w:lang w:val="en-US" w:eastAsia="zh-CN"/>
              </w:rPr>
              <w:t>三</w:t>
            </w:r>
            <w:r>
              <w:rPr>
                <w:spacing w:val="-8"/>
              </w:rPr>
              <w:t>个月（不含开标日当月）任意一个月依法缴</w:t>
            </w:r>
            <w:r>
              <w:rPr>
                <w:spacing w:val="12"/>
              </w:rPr>
              <w:t xml:space="preserve"> </w:t>
            </w:r>
            <w:r>
              <w:rPr>
                <w:spacing w:val="-3"/>
              </w:rPr>
              <w:t>纳税收证明，证明材料可以是缴费的银行单据等复印件或纳税</w:t>
            </w:r>
            <w:r>
              <w:rPr>
                <w:spacing w:val="1"/>
              </w:rPr>
              <w:t xml:space="preserve"> </w:t>
            </w:r>
            <w:r>
              <w:rPr>
                <w:spacing w:val="-5"/>
              </w:rPr>
              <w:t>机构出具的无欠税证明或免缴纳证明；</w:t>
            </w:r>
          </w:p>
          <w:p w14:paraId="59203A2A">
            <w:pPr>
              <w:pStyle w:val="14"/>
              <w:spacing w:before="25" w:line="229" w:lineRule="auto"/>
              <w:ind w:left="113" w:right="103" w:firstLine="12"/>
            </w:pPr>
            <w:r>
              <w:rPr>
                <w:spacing w:val="-8"/>
              </w:rPr>
              <w:t>（2）提供开标前</w:t>
            </w:r>
            <w:r>
              <w:rPr>
                <w:rFonts w:hint="eastAsia"/>
                <w:spacing w:val="-8"/>
                <w:lang w:val="en-US" w:eastAsia="zh-CN"/>
              </w:rPr>
              <w:t>三</w:t>
            </w:r>
            <w:r>
              <w:rPr>
                <w:spacing w:val="-8"/>
              </w:rPr>
              <w:t>个月（不含开标日当月）任意一个月依法缴</w:t>
            </w:r>
            <w:r>
              <w:rPr>
                <w:spacing w:val="12"/>
              </w:rPr>
              <w:t xml:space="preserve"> </w:t>
            </w:r>
            <w:r>
              <w:rPr>
                <w:spacing w:val="-3"/>
              </w:rPr>
              <w:t>纳社保证明，证明材料可以是缴费的银行单据等复印件或社保</w:t>
            </w:r>
            <w:r>
              <w:rPr>
                <w:spacing w:val="1"/>
              </w:rPr>
              <w:t xml:space="preserve"> </w:t>
            </w:r>
            <w:r>
              <w:rPr>
                <w:spacing w:val="-4"/>
              </w:rPr>
              <w:t>机构开具免缴纳证明。</w:t>
            </w:r>
          </w:p>
        </w:tc>
      </w:tr>
      <w:tr w14:paraId="7C6B0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719" w:type="dxa"/>
            <w:vAlign w:val="top"/>
          </w:tcPr>
          <w:p w14:paraId="750C4675">
            <w:pPr>
              <w:spacing w:line="309" w:lineRule="auto"/>
              <w:rPr>
                <w:rFonts w:ascii="Arial"/>
                <w:sz w:val="21"/>
              </w:rPr>
            </w:pPr>
          </w:p>
          <w:p w14:paraId="696C1624">
            <w:pPr>
              <w:spacing w:line="310" w:lineRule="auto"/>
              <w:rPr>
                <w:rFonts w:ascii="Arial"/>
                <w:sz w:val="21"/>
              </w:rPr>
            </w:pPr>
          </w:p>
          <w:p w14:paraId="6176BE92">
            <w:pPr>
              <w:spacing w:line="310" w:lineRule="auto"/>
              <w:rPr>
                <w:rFonts w:ascii="Arial"/>
                <w:sz w:val="21"/>
              </w:rPr>
            </w:pPr>
          </w:p>
          <w:p w14:paraId="6F0D0F1A">
            <w:pPr>
              <w:pStyle w:val="14"/>
              <w:spacing w:before="78" w:line="183" w:lineRule="auto"/>
              <w:ind w:left="308"/>
            </w:pPr>
            <w:r>
              <w:t>6</w:t>
            </w:r>
          </w:p>
        </w:tc>
        <w:tc>
          <w:tcPr>
            <w:tcW w:w="1962" w:type="dxa"/>
            <w:vAlign w:val="top"/>
          </w:tcPr>
          <w:p w14:paraId="5E70AC04">
            <w:pPr>
              <w:spacing w:line="297" w:lineRule="auto"/>
              <w:rPr>
                <w:rFonts w:ascii="Arial"/>
                <w:sz w:val="21"/>
              </w:rPr>
            </w:pPr>
          </w:p>
          <w:p w14:paraId="7BDACCE5">
            <w:pPr>
              <w:spacing w:line="297" w:lineRule="auto"/>
              <w:rPr>
                <w:rFonts w:ascii="Arial"/>
                <w:sz w:val="21"/>
              </w:rPr>
            </w:pPr>
          </w:p>
          <w:p w14:paraId="64137C81">
            <w:pPr>
              <w:spacing w:line="297" w:lineRule="auto"/>
              <w:rPr>
                <w:rFonts w:ascii="Arial"/>
                <w:sz w:val="21"/>
              </w:rPr>
            </w:pPr>
          </w:p>
          <w:p w14:paraId="17455625">
            <w:pPr>
              <w:pStyle w:val="14"/>
              <w:spacing w:before="78" w:line="219" w:lineRule="auto"/>
              <w:ind w:left="266"/>
            </w:pPr>
            <w:r>
              <w:rPr>
                <w:spacing w:val="-2"/>
              </w:rPr>
              <w:t>供应商声明函</w:t>
            </w:r>
          </w:p>
        </w:tc>
        <w:tc>
          <w:tcPr>
            <w:tcW w:w="6624" w:type="dxa"/>
            <w:vAlign w:val="top"/>
          </w:tcPr>
          <w:p w14:paraId="3CD1F6A5">
            <w:pPr>
              <w:pStyle w:val="14"/>
              <w:spacing w:before="40" w:line="229" w:lineRule="auto"/>
              <w:ind w:left="117" w:right="108" w:firstLine="8"/>
            </w:pPr>
            <w:r>
              <w:rPr>
                <w:spacing w:val="1"/>
              </w:rPr>
              <w:t>（1）提供参加政府采购活动前三年内，在经营活动</w:t>
            </w:r>
            <w:r>
              <w:t xml:space="preserve">中没有重 </w:t>
            </w:r>
            <w:r>
              <w:rPr>
                <w:spacing w:val="-2"/>
              </w:rPr>
              <w:t>大违法记录的书面声明；</w:t>
            </w:r>
          </w:p>
          <w:p w14:paraId="46F3940A">
            <w:pPr>
              <w:pStyle w:val="14"/>
              <w:spacing w:before="27" w:line="233" w:lineRule="auto"/>
              <w:ind w:left="113" w:right="108" w:firstLine="12"/>
            </w:pPr>
            <w:r>
              <w:rPr>
                <w:spacing w:val="1"/>
              </w:rPr>
              <w:t>（2）单位负责人为同一人或者存在直接控股、管理</w:t>
            </w:r>
            <w:r>
              <w:t xml:space="preserve">关系的不 </w:t>
            </w:r>
            <w:r>
              <w:rPr>
                <w:spacing w:val="-3"/>
              </w:rPr>
              <w:t>同供应商，不得参加同一合同项下的政府采购活动。除</w:t>
            </w:r>
            <w:r>
              <w:rPr>
                <w:spacing w:val="-4"/>
              </w:rPr>
              <w:t>单一来</w:t>
            </w:r>
            <w:r>
              <w:t xml:space="preserve"> </w:t>
            </w:r>
            <w:r>
              <w:rPr>
                <w:spacing w:val="-3"/>
              </w:rPr>
              <w:t>源采购项目外，为采购项目提供整体设计、规范编制或</w:t>
            </w:r>
            <w:r>
              <w:rPr>
                <w:spacing w:val="-4"/>
              </w:rPr>
              <w:t>者项目</w:t>
            </w:r>
            <w:r>
              <w:t xml:space="preserve"> </w:t>
            </w:r>
            <w:r>
              <w:rPr>
                <w:spacing w:val="-3"/>
              </w:rPr>
              <w:t>管理、监理、检测等服务的供应商，不得再参加该采购</w:t>
            </w:r>
            <w:r>
              <w:rPr>
                <w:spacing w:val="-4"/>
              </w:rPr>
              <w:t>项目的</w:t>
            </w:r>
            <w:r>
              <w:t xml:space="preserve"> </w:t>
            </w:r>
            <w:r>
              <w:rPr>
                <w:spacing w:val="-1"/>
              </w:rPr>
              <w:t>其他采购活动的书面声明。</w:t>
            </w:r>
          </w:p>
        </w:tc>
      </w:tr>
      <w:tr w14:paraId="06C8C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8" w:hRule="atLeast"/>
        </w:trPr>
        <w:tc>
          <w:tcPr>
            <w:tcW w:w="719" w:type="dxa"/>
            <w:vAlign w:val="top"/>
          </w:tcPr>
          <w:p w14:paraId="47CC0B32">
            <w:pPr>
              <w:spacing w:line="245" w:lineRule="auto"/>
              <w:rPr>
                <w:rFonts w:ascii="Arial"/>
                <w:sz w:val="21"/>
              </w:rPr>
            </w:pPr>
          </w:p>
          <w:p w14:paraId="0F5FFB5D">
            <w:pPr>
              <w:spacing w:line="245" w:lineRule="auto"/>
              <w:rPr>
                <w:rFonts w:ascii="Arial"/>
                <w:sz w:val="21"/>
              </w:rPr>
            </w:pPr>
          </w:p>
          <w:p w14:paraId="110A9CC6">
            <w:pPr>
              <w:spacing w:line="245" w:lineRule="auto"/>
              <w:rPr>
                <w:rFonts w:ascii="Arial"/>
                <w:sz w:val="21"/>
              </w:rPr>
            </w:pPr>
          </w:p>
          <w:p w14:paraId="3B834277">
            <w:pPr>
              <w:spacing w:line="246" w:lineRule="auto"/>
              <w:rPr>
                <w:rFonts w:ascii="Arial"/>
                <w:sz w:val="21"/>
              </w:rPr>
            </w:pPr>
          </w:p>
          <w:p w14:paraId="22110534">
            <w:pPr>
              <w:pStyle w:val="14"/>
              <w:spacing w:before="78" w:line="182" w:lineRule="auto"/>
              <w:ind w:left="312"/>
            </w:pPr>
            <w:r>
              <w:t>7</w:t>
            </w:r>
          </w:p>
        </w:tc>
        <w:tc>
          <w:tcPr>
            <w:tcW w:w="1962" w:type="dxa"/>
            <w:vAlign w:val="top"/>
          </w:tcPr>
          <w:p w14:paraId="755CA8C6">
            <w:pPr>
              <w:spacing w:line="262" w:lineRule="auto"/>
              <w:rPr>
                <w:rFonts w:ascii="Arial"/>
                <w:sz w:val="21"/>
              </w:rPr>
            </w:pPr>
          </w:p>
          <w:p w14:paraId="0F51DB98">
            <w:pPr>
              <w:spacing w:line="263" w:lineRule="auto"/>
              <w:rPr>
                <w:rFonts w:ascii="Arial"/>
                <w:sz w:val="21"/>
              </w:rPr>
            </w:pPr>
          </w:p>
          <w:p w14:paraId="3E97295B">
            <w:pPr>
              <w:spacing w:line="263" w:lineRule="auto"/>
              <w:rPr>
                <w:rFonts w:ascii="Arial"/>
                <w:sz w:val="21"/>
              </w:rPr>
            </w:pPr>
          </w:p>
          <w:p w14:paraId="656EA613">
            <w:pPr>
              <w:pStyle w:val="14"/>
              <w:spacing w:before="78" w:line="230" w:lineRule="auto"/>
              <w:ind w:left="748" w:right="499" w:hanging="242"/>
            </w:pPr>
            <w:r>
              <w:rPr>
                <w:spacing w:val="-3"/>
              </w:rPr>
              <w:t>信用信息</w:t>
            </w:r>
            <w:r>
              <w:rPr>
                <w:spacing w:val="1"/>
              </w:rPr>
              <w:t xml:space="preserve"> </w:t>
            </w:r>
            <w:r>
              <w:rPr>
                <w:spacing w:val="-7"/>
              </w:rPr>
              <w:t>查询</w:t>
            </w:r>
          </w:p>
        </w:tc>
        <w:tc>
          <w:tcPr>
            <w:tcW w:w="6624" w:type="dxa"/>
            <w:vAlign w:val="top"/>
          </w:tcPr>
          <w:p w14:paraId="6E6674CC">
            <w:pPr>
              <w:spacing w:line="320" w:lineRule="auto"/>
              <w:rPr>
                <w:rFonts w:ascii="Arial"/>
                <w:sz w:val="21"/>
              </w:rPr>
            </w:pPr>
          </w:p>
          <w:p w14:paraId="1F196CE2">
            <w:pPr>
              <w:pStyle w:val="14"/>
              <w:spacing w:before="78" w:line="236" w:lineRule="auto"/>
              <w:ind w:left="114" w:right="54"/>
              <w:jc w:val="both"/>
            </w:pPr>
            <w:r>
              <w:rPr>
                <w:spacing w:val="-2"/>
              </w:rPr>
              <w:t>供应商不得为“信用中国</w:t>
            </w:r>
            <w:r>
              <w:rPr>
                <w:spacing w:val="-76"/>
              </w:rPr>
              <w:t xml:space="preserve"> </w:t>
            </w:r>
            <w:r>
              <w:rPr>
                <w:spacing w:val="-2"/>
              </w:rPr>
              <w:t>”网站（www.creditchina.gov.cn）</w:t>
            </w:r>
            <w:r>
              <w:t xml:space="preserve"> </w:t>
            </w:r>
            <w:r>
              <w:rPr>
                <w:spacing w:val="6"/>
              </w:rPr>
              <w:t>中列入失信被执行人和重大税收违法案件当事人名单的</w:t>
            </w:r>
            <w:r>
              <w:rPr>
                <w:spacing w:val="5"/>
              </w:rPr>
              <w:t>供应</w:t>
            </w:r>
            <w:r>
              <w:t xml:space="preserve"> </w:t>
            </w:r>
            <w:r>
              <w:rPr>
                <w:spacing w:val="-8"/>
              </w:rPr>
              <w:t>商，不得为“</w:t>
            </w:r>
            <w:r>
              <w:rPr>
                <w:spacing w:val="-78"/>
              </w:rPr>
              <w:t xml:space="preserve"> </w:t>
            </w:r>
            <w:r>
              <w:rPr>
                <w:spacing w:val="-8"/>
              </w:rPr>
              <w:t>中国政府采购网</w:t>
            </w:r>
            <w:r>
              <w:rPr>
                <w:spacing w:val="-88"/>
              </w:rPr>
              <w:t xml:space="preserve"> </w:t>
            </w:r>
            <w:r>
              <w:rPr>
                <w:spacing w:val="-8"/>
              </w:rPr>
              <w:t>”（www.ccgp.gov.cn）政府采购</w:t>
            </w:r>
            <w:r>
              <w:t xml:space="preserve"> </w:t>
            </w:r>
            <w:r>
              <w:rPr>
                <w:spacing w:val="6"/>
              </w:rPr>
              <w:t>严重违法失信行为记录名单中被财政部门禁止参加政府采购</w:t>
            </w:r>
            <w:r>
              <w:t xml:space="preserve"> </w:t>
            </w:r>
            <w:r>
              <w:rPr>
                <w:spacing w:val="-2"/>
              </w:rPr>
              <w:t>活动的供应商。</w:t>
            </w:r>
          </w:p>
        </w:tc>
      </w:tr>
      <w:tr w14:paraId="4E61E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5" w:hRule="atLeast"/>
        </w:trPr>
        <w:tc>
          <w:tcPr>
            <w:tcW w:w="719" w:type="dxa"/>
            <w:vAlign w:val="top"/>
          </w:tcPr>
          <w:p w14:paraId="164D9B1E">
            <w:pPr>
              <w:spacing w:line="344" w:lineRule="auto"/>
              <w:rPr>
                <w:rFonts w:ascii="Arial"/>
                <w:sz w:val="21"/>
              </w:rPr>
            </w:pPr>
          </w:p>
          <w:p w14:paraId="5E15EA61">
            <w:pPr>
              <w:spacing w:line="344" w:lineRule="auto"/>
              <w:rPr>
                <w:rFonts w:ascii="Arial"/>
                <w:sz w:val="21"/>
              </w:rPr>
            </w:pPr>
          </w:p>
          <w:p w14:paraId="24A3D908">
            <w:pPr>
              <w:pStyle w:val="14"/>
              <w:spacing w:before="78" w:line="183" w:lineRule="auto"/>
              <w:ind w:left="307"/>
            </w:pPr>
            <w:r>
              <w:t>8</w:t>
            </w:r>
          </w:p>
        </w:tc>
        <w:tc>
          <w:tcPr>
            <w:tcW w:w="1962" w:type="dxa"/>
            <w:vAlign w:val="top"/>
          </w:tcPr>
          <w:p w14:paraId="724F962B">
            <w:pPr>
              <w:spacing w:line="325" w:lineRule="auto"/>
              <w:rPr>
                <w:rFonts w:ascii="Arial"/>
                <w:sz w:val="21"/>
              </w:rPr>
            </w:pPr>
          </w:p>
          <w:p w14:paraId="68A9EC12">
            <w:pPr>
              <w:spacing w:line="325" w:lineRule="auto"/>
              <w:rPr>
                <w:rFonts w:ascii="Arial"/>
                <w:sz w:val="21"/>
              </w:rPr>
            </w:pPr>
          </w:p>
          <w:p w14:paraId="202E87FA">
            <w:pPr>
              <w:pStyle w:val="14"/>
              <w:spacing w:before="78" w:line="219" w:lineRule="auto"/>
              <w:ind w:left="506"/>
            </w:pPr>
            <w:r>
              <w:rPr>
                <w:spacing w:val="-3"/>
              </w:rPr>
              <w:t>采购政策</w:t>
            </w:r>
          </w:p>
        </w:tc>
        <w:tc>
          <w:tcPr>
            <w:tcW w:w="6624" w:type="dxa"/>
            <w:vAlign w:val="top"/>
          </w:tcPr>
          <w:p w14:paraId="50B094BF">
            <w:pPr>
              <w:spacing w:line="248" w:lineRule="auto"/>
              <w:rPr>
                <w:rFonts w:ascii="Arial"/>
                <w:sz w:val="21"/>
              </w:rPr>
            </w:pPr>
          </w:p>
          <w:p w14:paraId="32E4C66E">
            <w:pPr>
              <w:spacing w:line="248" w:lineRule="auto"/>
              <w:rPr>
                <w:rFonts w:ascii="Arial"/>
                <w:sz w:val="21"/>
              </w:rPr>
            </w:pPr>
          </w:p>
          <w:p w14:paraId="78C1BACD">
            <w:pPr>
              <w:pStyle w:val="14"/>
              <w:spacing w:before="78" w:line="229" w:lineRule="auto"/>
              <w:ind w:left="129" w:right="108" w:hanging="14"/>
              <w:rPr>
                <w:spacing w:val="-10"/>
              </w:rPr>
            </w:pPr>
            <w:r>
              <w:rPr>
                <w:spacing w:val="-3"/>
              </w:rPr>
              <w:t>本项目</w:t>
            </w:r>
            <w:r>
              <w:rPr>
                <w:rFonts w:hint="eastAsia"/>
                <w:spacing w:val="-3"/>
                <w:lang w:val="en-US" w:eastAsia="zh-CN"/>
              </w:rPr>
              <w:t>不专门</w:t>
            </w:r>
            <w:r>
              <w:rPr>
                <w:spacing w:val="-3"/>
              </w:rPr>
              <w:t>面向中小微企业，请根据要求单独上传《中</w:t>
            </w:r>
            <w:r>
              <w:rPr>
                <w:spacing w:val="-4"/>
              </w:rPr>
              <w:t>小企业声明</w:t>
            </w:r>
            <w:r>
              <w:t xml:space="preserve"> </w:t>
            </w:r>
            <w:r>
              <w:rPr>
                <w:spacing w:val="-10"/>
              </w:rPr>
              <w:t>函》。格式以采购文件要求为准。</w:t>
            </w:r>
          </w:p>
          <w:p w14:paraId="1E19443A">
            <w:pPr>
              <w:pStyle w:val="14"/>
              <w:spacing w:before="78" w:line="229" w:lineRule="auto"/>
              <w:ind w:left="129" w:right="108" w:hanging="14"/>
              <w:rPr>
                <w:rFonts w:hint="default" w:eastAsia="宋体"/>
                <w:spacing w:val="-10"/>
                <w:lang w:val="en-US" w:eastAsia="zh-CN"/>
              </w:rPr>
            </w:pPr>
            <w:r>
              <w:rPr>
                <w:rFonts w:hint="eastAsia"/>
                <w:color w:val="auto"/>
                <w:spacing w:val="-10"/>
                <w:lang w:val="en-US" w:eastAsia="zh-CN"/>
              </w:rPr>
              <w:t>注：如是中小微企业按照要求上传中小企业声明函</w:t>
            </w:r>
          </w:p>
        </w:tc>
      </w:tr>
    </w:tbl>
    <w:p w14:paraId="29548B69">
      <w:pPr>
        <w:pStyle w:val="2"/>
        <w:spacing w:before="114" w:line="346" w:lineRule="auto"/>
        <w:ind w:left="202" w:right="389" w:firstLine="464"/>
      </w:pPr>
      <w:r>
        <w:rPr>
          <w:spacing w:val="-4"/>
        </w:rPr>
        <w:t>注：以上审查项目中，如果资格评审中有一项不满足审查标准</w:t>
      </w:r>
      <w:r>
        <w:rPr>
          <w:spacing w:val="-5"/>
        </w:rPr>
        <w:t>的，评审小组将认</w:t>
      </w:r>
      <w:r>
        <w:t xml:space="preserve"> </w:t>
      </w:r>
      <w:r>
        <w:rPr>
          <w:spacing w:val="-4"/>
        </w:rPr>
        <w:t>定该供应商不通过资格审查，不得进入下一阶段评</w:t>
      </w:r>
      <w:r>
        <w:rPr>
          <w:spacing w:val="-5"/>
        </w:rPr>
        <w:t>审。并且不允许供应商通过修改或</w:t>
      </w:r>
    </w:p>
    <w:p w14:paraId="5B80D686">
      <w:pPr>
        <w:spacing w:line="346" w:lineRule="auto"/>
        <w:sectPr>
          <w:headerReference r:id="rId28" w:type="default"/>
          <w:footerReference r:id="rId29" w:type="default"/>
          <w:pgSz w:w="11906" w:h="16840"/>
          <w:pgMar w:top="208" w:right="1304" w:bottom="1216" w:left="1291" w:header="6" w:footer="1050" w:gutter="0"/>
          <w:pgNumType w:fmt="decimal"/>
          <w:cols w:space="720" w:num="1"/>
        </w:sectPr>
      </w:pPr>
    </w:p>
    <w:p w14:paraId="4400849C">
      <w:pPr>
        <w:pStyle w:val="2"/>
        <w:spacing w:before="306" w:line="219" w:lineRule="auto"/>
        <w:ind w:left="228"/>
      </w:pPr>
      <w:r>
        <w:rPr>
          <w:spacing w:val="-4"/>
        </w:rPr>
        <w:t>撤销其不符合要求的差异或保留，使之成为具有响应性的投标。</w:t>
      </w:r>
    </w:p>
    <w:p w14:paraId="7FCA5361">
      <w:pPr>
        <w:spacing w:line="335" w:lineRule="auto"/>
        <w:rPr>
          <w:rFonts w:ascii="Arial"/>
          <w:sz w:val="21"/>
        </w:rPr>
      </w:pPr>
    </w:p>
    <w:p w14:paraId="681C94C4">
      <w:pPr>
        <w:pStyle w:val="2"/>
        <w:spacing w:before="78" w:line="213" w:lineRule="auto"/>
        <w:ind w:left="233"/>
        <w:outlineLvl w:val="1"/>
      </w:pPr>
      <w:r>
        <w:rPr>
          <w:b/>
          <w:bCs/>
          <w:spacing w:val="-3"/>
        </w:rPr>
        <w:t>二、投标文件符合性审查</w:t>
      </w:r>
    </w:p>
    <w:tbl>
      <w:tblPr>
        <w:tblStyle w:val="13"/>
        <w:tblW w:w="93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9"/>
        <w:gridCol w:w="8553"/>
      </w:tblGrid>
      <w:tr w14:paraId="544DB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19" w:type="dxa"/>
            <w:vAlign w:val="top"/>
          </w:tcPr>
          <w:p w14:paraId="19C031EF">
            <w:pPr>
              <w:pStyle w:val="14"/>
              <w:spacing w:before="203" w:line="221" w:lineRule="auto"/>
              <w:ind w:left="178"/>
            </w:pPr>
            <w:r>
              <w:rPr>
                <w:b/>
                <w:bCs/>
                <w:spacing w:val="-7"/>
              </w:rPr>
              <w:t>序号</w:t>
            </w:r>
          </w:p>
        </w:tc>
        <w:tc>
          <w:tcPr>
            <w:tcW w:w="8553" w:type="dxa"/>
            <w:vAlign w:val="top"/>
          </w:tcPr>
          <w:p w14:paraId="0B2084F8">
            <w:pPr>
              <w:pStyle w:val="14"/>
              <w:spacing w:before="203" w:line="219" w:lineRule="auto"/>
              <w:ind w:left="3806"/>
            </w:pPr>
            <w:r>
              <w:rPr>
                <w:b/>
                <w:bCs/>
                <w:spacing w:val="-7"/>
              </w:rPr>
              <w:t>评审内容</w:t>
            </w:r>
          </w:p>
        </w:tc>
      </w:tr>
      <w:tr w14:paraId="37E68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819" w:type="dxa"/>
            <w:vAlign w:val="top"/>
          </w:tcPr>
          <w:p w14:paraId="36F8CF16">
            <w:pPr>
              <w:pStyle w:val="14"/>
              <w:spacing w:before="230" w:line="184" w:lineRule="auto"/>
              <w:ind w:left="374"/>
            </w:pPr>
            <w:r>
              <w:t>1</w:t>
            </w:r>
          </w:p>
        </w:tc>
        <w:tc>
          <w:tcPr>
            <w:tcW w:w="8553" w:type="dxa"/>
            <w:vAlign w:val="center"/>
          </w:tcPr>
          <w:p w14:paraId="743BB739">
            <w:pPr>
              <w:pStyle w:val="7"/>
              <w:spacing w:line="360" w:lineRule="auto"/>
            </w:pPr>
            <w:r>
              <w:rPr>
                <w:rStyle w:val="15"/>
                <w:rFonts w:hint="eastAsia" w:ascii="宋体" w:hAnsi="宋体" w:eastAsia="宋体"/>
                <w:sz w:val="24"/>
              </w:rPr>
              <w:t>投标文件按招标文件的规定要求签署、盖章的；</w:t>
            </w:r>
          </w:p>
        </w:tc>
      </w:tr>
      <w:tr w14:paraId="4C556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819" w:type="dxa"/>
            <w:vAlign w:val="top"/>
          </w:tcPr>
          <w:p w14:paraId="1D8C7AE2">
            <w:pPr>
              <w:pStyle w:val="14"/>
              <w:spacing w:before="227" w:line="183" w:lineRule="auto"/>
              <w:ind w:left="359"/>
            </w:pPr>
            <w:r>
              <w:t>2</w:t>
            </w:r>
          </w:p>
        </w:tc>
        <w:tc>
          <w:tcPr>
            <w:tcW w:w="8553" w:type="dxa"/>
            <w:vAlign w:val="center"/>
          </w:tcPr>
          <w:p w14:paraId="4B28BAB2">
            <w:pPr>
              <w:spacing w:line="360" w:lineRule="auto"/>
            </w:pPr>
            <w:r>
              <w:rPr>
                <w:rStyle w:val="15"/>
                <w:rFonts w:hint="eastAsia" w:ascii="宋体" w:hAnsi="宋体" w:eastAsia="宋体"/>
                <w:sz w:val="24"/>
              </w:rPr>
              <w:t>按规定的格式填写，没有内容不全或关键字迹模糊、无法辨认的；</w:t>
            </w:r>
          </w:p>
        </w:tc>
      </w:tr>
      <w:tr w14:paraId="5357D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19" w:type="dxa"/>
            <w:vAlign w:val="top"/>
          </w:tcPr>
          <w:p w14:paraId="6AC40F14">
            <w:pPr>
              <w:pStyle w:val="14"/>
              <w:spacing w:before="242" w:line="183" w:lineRule="auto"/>
              <w:ind w:left="361"/>
            </w:pPr>
            <w:r>
              <w:t>3</w:t>
            </w:r>
          </w:p>
        </w:tc>
        <w:tc>
          <w:tcPr>
            <w:tcW w:w="8553" w:type="dxa"/>
            <w:vAlign w:val="center"/>
          </w:tcPr>
          <w:p w14:paraId="45910365">
            <w:pPr>
              <w:spacing w:line="360" w:lineRule="auto"/>
            </w:pPr>
            <w:r>
              <w:rPr>
                <w:rStyle w:val="15"/>
                <w:rFonts w:hint="eastAsia" w:ascii="宋体" w:hAnsi="宋体" w:eastAsia="宋体"/>
                <w:sz w:val="24"/>
              </w:rPr>
              <w:t>完成期限满足招标文件规定的；</w:t>
            </w:r>
          </w:p>
        </w:tc>
      </w:tr>
      <w:tr w14:paraId="79693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19" w:type="dxa"/>
            <w:vAlign w:val="top"/>
          </w:tcPr>
          <w:p w14:paraId="3D702600">
            <w:pPr>
              <w:pStyle w:val="14"/>
              <w:spacing w:before="217" w:line="183" w:lineRule="auto"/>
              <w:ind w:left="355"/>
            </w:pPr>
            <w:r>
              <w:t>4</w:t>
            </w:r>
          </w:p>
        </w:tc>
        <w:tc>
          <w:tcPr>
            <w:tcW w:w="8553" w:type="dxa"/>
            <w:vAlign w:val="center"/>
          </w:tcPr>
          <w:p w14:paraId="2303F8F6">
            <w:pPr>
              <w:spacing w:line="360" w:lineRule="auto"/>
            </w:pPr>
            <w:r>
              <w:rPr>
                <w:rStyle w:val="15"/>
                <w:rFonts w:hint="eastAsia" w:ascii="宋体" w:hAnsi="宋体" w:eastAsia="宋体"/>
                <w:sz w:val="24"/>
              </w:rPr>
              <w:t>投标报价未超过最高限价的；</w:t>
            </w:r>
          </w:p>
        </w:tc>
      </w:tr>
      <w:tr w14:paraId="2BDC2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19" w:type="dxa"/>
            <w:vAlign w:val="top"/>
          </w:tcPr>
          <w:p w14:paraId="5F673D24">
            <w:pPr>
              <w:pStyle w:val="14"/>
              <w:spacing w:before="223" w:line="182" w:lineRule="auto"/>
              <w:ind w:left="361"/>
            </w:pPr>
            <w:r>
              <w:t>5</w:t>
            </w:r>
          </w:p>
        </w:tc>
        <w:tc>
          <w:tcPr>
            <w:tcW w:w="8553" w:type="dxa"/>
            <w:vAlign w:val="center"/>
          </w:tcPr>
          <w:p w14:paraId="4BED830C">
            <w:pPr>
              <w:pStyle w:val="7"/>
              <w:spacing w:line="360" w:lineRule="auto"/>
            </w:pPr>
            <w:r>
              <w:rPr>
                <w:rStyle w:val="15"/>
                <w:rFonts w:hint="eastAsia" w:ascii="宋体" w:hAnsi="宋体" w:eastAsia="宋体"/>
                <w:sz w:val="24"/>
              </w:rPr>
              <w:t>投标</w:t>
            </w:r>
            <w:r>
              <w:rPr>
                <w:rStyle w:val="15"/>
                <w:rFonts w:ascii="宋体" w:hAnsi="宋体" w:eastAsia="宋体"/>
                <w:sz w:val="24"/>
              </w:rPr>
              <w:t>有效期满足</w:t>
            </w:r>
            <w:r>
              <w:rPr>
                <w:rStyle w:val="15"/>
                <w:rFonts w:hint="eastAsia" w:ascii="宋体" w:hAnsi="宋体" w:eastAsia="宋体"/>
                <w:sz w:val="24"/>
              </w:rPr>
              <w:t>招标文件</w:t>
            </w:r>
            <w:r>
              <w:rPr>
                <w:rStyle w:val="15"/>
                <w:rFonts w:ascii="宋体" w:hAnsi="宋体" w:eastAsia="宋体"/>
                <w:sz w:val="24"/>
              </w:rPr>
              <w:t>要求</w:t>
            </w:r>
            <w:r>
              <w:rPr>
                <w:rStyle w:val="15"/>
                <w:rFonts w:hint="eastAsia" w:ascii="宋体" w:hAnsi="宋体" w:eastAsia="宋体"/>
                <w:sz w:val="24"/>
              </w:rPr>
              <w:t>；</w:t>
            </w:r>
          </w:p>
        </w:tc>
      </w:tr>
      <w:tr w14:paraId="0A519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819" w:type="dxa"/>
            <w:vAlign w:val="top"/>
          </w:tcPr>
          <w:p w14:paraId="18CEBEBA">
            <w:pPr>
              <w:pStyle w:val="14"/>
              <w:spacing w:before="246" w:line="183" w:lineRule="auto"/>
              <w:ind w:left="358"/>
            </w:pPr>
            <w:r>
              <w:t>6</w:t>
            </w:r>
          </w:p>
        </w:tc>
        <w:tc>
          <w:tcPr>
            <w:tcW w:w="8553" w:type="dxa"/>
            <w:vAlign w:val="center"/>
          </w:tcPr>
          <w:p w14:paraId="6AB664A9">
            <w:pPr>
              <w:pStyle w:val="7"/>
              <w:spacing w:line="360" w:lineRule="auto"/>
            </w:pPr>
            <w:r>
              <w:rPr>
                <w:rStyle w:val="15"/>
                <w:rFonts w:hint="eastAsia" w:ascii="宋体" w:hAnsi="宋体" w:eastAsia="宋体"/>
                <w:sz w:val="24"/>
              </w:rPr>
              <w:t>符合招标文件中规定的其它实质性要求的；</w:t>
            </w:r>
          </w:p>
        </w:tc>
      </w:tr>
      <w:tr w14:paraId="39602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819" w:type="dxa"/>
            <w:vAlign w:val="top"/>
          </w:tcPr>
          <w:p w14:paraId="10B412AC">
            <w:pPr>
              <w:pStyle w:val="14"/>
              <w:spacing w:before="237" w:line="182" w:lineRule="auto"/>
              <w:ind w:left="362"/>
            </w:pPr>
            <w:r>
              <w:t>7</w:t>
            </w:r>
          </w:p>
        </w:tc>
        <w:tc>
          <w:tcPr>
            <w:tcW w:w="8553" w:type="dxa"/>
            <w:vAlign w:val="center"/>
          </w:tcPr>
          <w:p w14:paraId="1E3A2245">
            <w:pPr>
              <w:pStyle w:val="7"/>
              <w:spacing w:line="360" w:lineRule="auto"/>
            </w:pPr>
            <w:r>
              <w:rPr>
                <w:rStyle w:val="15"/>
                <w:rFonts w:hint="eastAsia" w:ascii="宋体" w:hAnsi="宋体" w:eastAsia="宋体"/>
                <w:sz w:val="24"/>
              </w:rPr>
              <w:t>投标文件中未附有招标人不能接受的附加条件的；</w:t>
            </w:r>
          </w:p>
        </w:tc>
      </w:tr>
      <w:tr w14:paraId="1D7F6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819" w:type="dxa"/>
            <w:vAlign w:val="top"/>
          </w:tcPr>
          <w:p w14:paraId="01304A0F">
            <w:pPr>
              <w:pStyle w:val="14"/>
              <w:spacing w:before="248" w:line="183" w:lineRule="auto"/>
              <w:ind w:left="357"/>
            </w:pPr>
            <w:r>
              <w:t>8</w:t>
            </w:r>
          </w:p>
        </w:tc>
        <w:tc>
          <w:tcPr>
            <w:tcW w:w="8553" w:type="dxa"/>
            <w:vAlign w:val="center"/>
          </w:tcPr>
          <w:p w14:paraId="78DAC71E">
            <w:pPr>
              <w:spacing w:line="360" w:lineRule="auto"/>
            </w:pPr>
            <w:r>
              <w:rPr>
                <w:rStyle w:val="15"/>
                <w:rFonts w:hint="eastAsia" w:ascii="宋体" w:hAnsi="宋体" w:eastAsia="宋体"/>
                <w:sz w:val="24"/>
              </w:rPr>
              <w:t>投标人名称或组织结构与购买招标文件时是否一致且未一致时提供有效证明的；</w:t>
            </w:r>
          </w:p>
        </w:tc>
      </w:tr>
      <w:tr w14:paraId="16642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19" w:type="dxa"/>
            <w:vAlign w:val="top"/>
          </w:tcPr>
          <w:p w14:paraId="44361A27">
            <w:pPr>
              <w:pStyle w:val="14"/>
              <w:spacing w:before="218" w:line="183" w:lineRule="auto"/>
              <w:ind w:left="357"/>
            </w:pPr>
            <w:r>
              <w:t>9</w:t>
            </w:r>
          </w:p>
        </w:tc>
        <w:tc>
          <w:tcPr>
            <w:tcW w:w="8553" w:type="dxa"/>
            <w:vAlign w:val="center"/>
          </w:tcPr>
          <w:p w14:paraId="063AF4D5">
            <w:pPr>
              <w:spacing w:line="360" w:lineRule="auto"/>
            </w:pPr>
            <w:r>
              <w:rPr>
                <w:rStyle w:val="15"/>
                <w:rFonts w:ascii="宋体" w:hAnsi="宋体" w:eastAsia="宋体"/>
                <w:sz w:val="24"/>
              </w:rPr>
              <w:t>不属于法律、法规和招标文件中规定的其他无效投标情形的</w:t>
            </w:r>
            <w:r>
              <w:rPr>
                <w:rStyle w:val="15"/>
                <w:rFonts w:hint="eastAsia" w:ascii="宋体" w:hAnsi="宋体" w:eastAsia="宋体"/>
                <w:sz w:val="24"/>
              </w:rPr>
              <w:t>。</w:t>
            </w:r>
          </w:p>
        </w:tc>
      </w:tr>
    </w:tbl>
    <w:p w14:paraId="5F2C0737">
      <w:pPr>
        <w:pStyle w:val="2"/>
        <w:spacing w:before="116" w:line="351" w:lineRule="auto"/>
        <w:ind w:left="232" w:right="544"/>
        <w:jc w:val="both"/>
      </w:pPr>
      <w:r>
        <w:rPr>
          <w:spacing w:val="-2"/>
        </w:rPr>
        <w:t>备注：以上审查项目中，如果符合性评审中有一项不满足审查标准的，评审小组将认</w:t>
      </w:r>
      <w:r>
        <w:rPr>
          <w:spacing w:val="5"/>
        </w:rPr>
        <w:t xml:space="preserve"> </w:t>
      </w:r>
      <w:r>
        <w:rPr>
          <w:spacing w:val="-2"/>
        </w:rPr>
        <w:t>定该供应商不通过符合性审查，不得进入下一阶段评审。并且不允许供应商通过修改</w:t>
      </w:r>
      <w:r>
        <w:rPr>
          <w:spacing w:val="5"/>
        </w:rPr>
        <w:t xml:space="preserve"> </w:t>
      </w:r>
      <w:r>
        <w:rPr>
          <w:spacing w:val="-4"/>
        </w:rPr>
        <w:t>或撤销其不符合要求的差异或保留，使之成为具有响</w:t>
      </w:r>
      <w:r>
        <w:rPr>
          <w:spacing w:val="-5"/>
        </w:rPr>
        <w:t>应性的投标。</w:t>
      </w:r>
    </w:p>
    <w:p w14:paraId="0A586D31">
      <w:pPr>
        <w:pStyle w:val="2"/>
        <w:spacing w:before="34" w:line="220" w:lineRule="auto"/>
        <w:ind w:left="229"/>
        <w:outlineLvl w:val="1"/>
      </w:pPr>
      <w:r>
        <w:rPr>
          <w:b/>
          <w:bCs/>
          <w:spacing w:val="-4"/>
        </w:rPr>
        <w:t>三、评分标准</w:t>
      </w:r>
    </w:p>
    <w:p w14:paraId="65CDDDF8">
      <w:pPr>
        <w:pStyle w:val="2"/>
        <w:spacing w:before="117" w:line="207" w:lineRule="auto"/>
        <w:ind w:left="855"/>
      </w:pPr>
      <w:r>
        <w:rPr>
          <w:b/>
          <w:bCs/>
          <w:spacing w:val="-9"/>
        </w:rPr>
        <w:t>评分标准</w:t>
      </w:r>
    </w:p>
    <w:tbl>
      <w:tblPr>
        <w:tblStyle w:val="11"/>
        <w:tblW w:w="9612"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500"/>
        <w:gridCol w:w="812"/>
        <w:gridCol w:w="6600"/>
      </w:tblGrid>
      <w:tr w14:paraId="1B77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00" w:type="dxa"/>
            <w:noWrap w:val="0"/>
            <w:vAlign w:val="center"/>
          </w:tcPr>
          <w:p w14:paraId="2C124A1A">
            <w:pPr>
              <w:adjustRightInd w:val="0"/>
              <w:snapToGrid w:val="0"/>
              <w:spacing w:line="360" w:lineRule="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序号</w:t>
            </w:r>
          </w:p>
        </w:tc>
        <w:tc>
          <w:tcPr>
            <w:tcW w:w="1500" w:type="dxa"/>
            <w:noWrap w:val="0"/>
            <w:vAlign w:val="center"/>
          </w:tcPr>
          <w:p w14:paraId="7DA81CF5">
            <w:pPr>
              <w:adjustRightInd w:val="0"/>
              <w:snapToGrid w:val="0"/>
              <w:spacing w:line="360" w:lineRule="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评标项目</w:t>
            </w:r>
          </w:p>
        </w:tc>
        <w:tc>
          <w:tcPr>
            <w:tcW w:w="812" w:type="dxa"/>
            <w:noWrap w:val="0"/>
            <w:vAlign w:val="top"/>
          </w:tcPr>
          <w:p w14:paraId="4CD50671">
            <w:pPr>
              <w:adjustRightInd w:val="0"/>
              <w:snapToGrid w:val="0"/>
              <w:spacing w:line="360" w:lineRule="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评标</w:t>
            </w:r>
          </w:p>
          <w:p w14:paraId="2F101ED3">
            <w:pPr>
              <w:adjustRightInd w:val="0"/>
              <w:snapToGrid w:val="0"/>
              <w:spacing w:line="360" w:lineRule="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权重</w:t>
            </w:r>
          </w:p>
        </w:tc>
        <w:tc>
          <w:tcPr>
            <w:tcW w:w="6600" w:type="dxa"/>
            <w:noWrap w:val="0"/>
            <w:vAlign w:val="center"/>
          </w:tcPr>
          <w:p w14:paraId="30AED213">
            <w:pPr>
              <w:adjustRightInd w:val="0"/>
              <w:snapToGrid w:val="0"/>
              <w:spacing w:line="360" w:lineRule="auto"/>
              <w:ind w:firstLine="420" w:firstLineChars="20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评价方法</w:t>
            </w:r>
          </w:p>
        </w:tc>
      </w:tr>
      <w:tr w14:paraId="2BB1C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0" w:type="dxa"/>
            <w:noWrap w:val="0"/>
            <w:vAlign w:val="center"/>
          </w:tcPr>
          <w:p w14:paraId="33938B6D">
            <w:pPr>
              <w:adjustRightInd w:val="0"/>
              <w:snapToGrid w:val="0"/>
              <w:spacing w:line="360" w:lineRule="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一</w:t>
            </w:r>
          </w:p>
        </w:tc>
        <w:tc>
          <w:tcPr>
            <w:tcW w:w="1500" w:type="dxa"/>
            <w:noWrap w:val="0"/>
            <w:vAlign w:val="center"/>
          </w:tcPr>
          <w:p w14:paraId="6E33D7A7">
            <w:pPr>
              <w:adjustRightInd w:val="0"/>
              <w:snapToGrid w:val="0"/>
              <w:spacing w:line="360" w:lineRule="auto"/>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投标价格</w:t>
            </w:r>
          </w:p>
          <w:p w14:paraId="4110DF00">
            <w:pPr>
              <w:adjustRightInd w:val="0"/>
              <w:snapToGrid w:val="0"/>
              <w:spacing w:line="360" w:lineRule="auto"/>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评分A</w:t>
            </w:r>
          </w:p>
          <w:p w14:paraId="36A13FC7">
            <w:pPr>
              <w:adjustRightInd w:val="0"/>
              <w:snapToGrid w:val="0"/>
              <w:spacing w:line="360" w:lineRule="auto"/>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r>
              <w:rPr>
                <w:rFonts w:hint="eastAsia" w:ascii="仿宋_GB2312" w:hAnsi="仿宋_GB2312" w:eastAsia="仿宋_GB2312" w:cs="仿宋_GB2312"/>
                <w:color w:val="auto"/>
                <w:kern w:val="0"/>
                <w:szCs w:val="21"/>
                <w:lang w:val="en-US" w:eastAsia="zh-CN"/>
              </w:rPr>
              <w:t>20</w:t>
            </w:r>
            <w:r>
              <w:rPr>
                <w:rFonts w:hint="eastAsia" w:ascii="仿宋_GB2312" w:hAnsi="仿宋_GB2312" w:eastAsia="仿宋_GB2312" w:cs="仿宋_GB2312"/>
                <w:color w:val="auto"/>
                <w:kern w:val="0"/>
                <w:szCs w:val="21"/>
              </w:rPr>
              <w:t>分）</w:t>
            </w:r>
          </w:p>
        </w:tc>
        <w:tc>
          <w:tcPr>
            <w:tcW w:w="812" w:type="dxa"/>
            <w:noWrap w:val="0"/>
            <w:vAlign w:val="center"/>
          </w:tcPr>
          <w:p w14:paraId="67EEFB48">
            <w:pPr>
              <w:adjustRightInd w:val="0"/>
              <w:snapToGrid w:val="0"/>
              <w:spacing w:line="360" w:lineRule="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20</w:t>
            </w:r>
            <w:r>
              <w:rPr>
                <w:rFonts w:hint="eastAsia" w:ascii="仿宋_GB2312" w:hAnsi="仿宋_GB2312" w:eastAsia="仿宋_GB2312" w:cs="仿宋_GB2312"/>
                <w:color w:val="auto"/>
                <w:kern w:val="0"/>
                <w:szCs w:val="21"/>
              </w:rPr>
              <w:t>分</w:t>
            </w:r>
          </w:p>
        </w:tc>
        <w:tc>
          <w:tcPr>
            <w:tcW w:w="6600" w:type="dxa"/>
            <w:noWrap w:val="0"/>
            <w:vAlign w:val="center"/>
          </w:tcPr>
          <w:p w14:paraId="0FA5AE16">
            <w:pPr>
              <w:adjustRightInd w:val="0"/>
              <w:snapToGrid w:val="0"/>
              <w:spacing w:line="360" w:lineRule="auto"/>
              <w:rPr>
                <w:rFonts w:hint="eastAsia" w:ascii="仿宋_GB2312" w:hAnsi="仿宋_GB2312" w:eastAsia="仿宋_GB2312" w:cs="仿宋_GB2312"/>
                <w:color w:val="auto"/>
              </w:rPr>
            </w:pPr>
            <w:r>
              <w:rPr>
                <w:rFonts w:hint="eastAsia" w:ascii="仿宋_GB2312" w:hAnsi="仿宋_GB2312" w:eastAsia="仿宋_GB2312" w:cs="仿宋_GB2312"/>
                <w:color w:val="auto"/>
                <w:lang w:val="zh-CN"/>
              </w:rPr>
              <w:t>投标报价得分=(评标基准价/投标报价)×</w:t>
            </w:r>
            <w:r>
              <w:rPr>
                <w:rFonts w:hint="eastAsia" w:ascii="仿宋_GB2312" w:hAnsi="仿宋_GB2312" w:eastAsia="仿宋_GB2312" w:cs="仿宋_GB2312"/>
                <w:color w:val="auto"/>
                <w:lang w:val="en-US" w:eastAsia="zh-CN"/>
              </w:rPr>
              <w:t>20</w:t>
            </w:r>
            <w:r>
              <w:rPr>
                <w:rFonts w:hint="eastAsia" w:ascii="仿宋_GB2312" w:hAnsi="仿宋_GB2312" w:eastAsia="仿宋_GB2312" w:cs="仿宋_GB2312"/>
                <w:color w:val="auto"/>
                <w:lang w:val="zh-CN"/>
              </w:rPr>
              <w:t>%×100；</w:t>
            </w:r>
            <w:r>
              <w:rPr>
                <w:rFonts w:hint="eastAsia" w:ascii="仿宋_GB2312" w:hAnsi="仿宋_GB2312" w:eastAsia="仿宋_GB2312" w:cs="仿宋_GB2312"/>
                <w:b/>
                <w:bCs/>
                <w:color w:val="auto"/>
                <w:lang w:val="zh-CN"/>
              </w:rPr>
              <w:t>备注：</w:t>
            </w:r>
            <w:r>
              <w:rPr>
                <w:rFonts w:hint="eastAsia" w:ascii="仿宋_GB2312" w:hAnsi="仿宋_GB2312" w:eastAsia="仿宋_GB2312" w:cs="仿宋_GB2312"/>
                <w:color w:val="auto"/>
                <w:lang w:val="zh-CN"/>
              </w:rPr>
              <w:t>满足招标文件要求且最终投标价格最低的投标报价为评标基准价，其价格为满分（保留小数点后两位）；</w:t>
            </w:r>
            <w:r>
              <w:rPr>
                <w:rFonts w:hint="eastAsia" w:ascii="仿宋_GB2312" w:hAnsi="仿宋_GB2312" w:eastAsia="仿宋_GB2312" w:cs="仿宋_GB2312"/>
                <w:b/>
                <w:bCs/>
                <w:color w:val="auto"/>
                <w:kern w:val="2"/>
                <w:sz w:val="21"/>
                <w:szCs w:val="22"/>
                <w:lang w:val="zh-CN" w:eastAsia="zh-CN"/>
              </w:rPr>
              <w:t>注：</w:t>
            </w:r>
            <w:r>
              <w:rPr>
                <w:rFonts w:hint="eastAsia" w:ascii="仿宋_GB2312" w:hAnsi="仿宋_GB2312" w:eastAsia="仿宋_GB2312" w:cs="仿宋_GB2312"/>
                <w:color w:val="auto"/>
                <w:kern w:val="2"/>
                <w:sz w:val="21"/>
                <w:szCs w:val="22"/>
                <w:lang w:val="zh-CN" w:eastAsia="zh-CN"/>
              </w:rPr>
              <w:t>1、小型或微型企业的价格给予</w:t>
            </w:r>
            <w:r>
              <w:rPr>
                <w:rFonts w:hint="eastAsia" w:ascii="仿宋_GB2312" w:hAnsi="仿宋_GB2312" w:eastAsia="仿宋_GB2312" w:cs="仿宋_GB2312"/>
                <w:color w:val="auto"/>
                <w:kern w:val="2"/>
                <w:sz w:val="21"/>
                <w:szCs w:val="22"/>
                <w:lang w:val="en-US" w:eastAsia="zh-CN"/>
              </w:rPr>
              <w:t>10</w:t>
            </w:r>
            <w:r>
              <w:rPr>
                <w:rFonts w:hint="eastAsia" w:ascii="仿宋_GB2312" w:hAnsi="仿宋_GB2312" w:eastAsia="仿宋_GB2312" w:cs="仿宋_GB2312"/>
                <w:color w:val="auto"/>
                <w:kern w:val="2"/>
                <w:sz w:val="21"/>
                <w:szCs w:val="22"/>
                <w:lang w:val="zh-CN" w:eastAsia="zh-CN"/>
              </w:rPr>
              <w:t>%的扣除，用扣除后的价格参与评审。2、评标过程中，不得去掉报价中最高报价和最低报价。</w:t>
            </w:r>
          </w:p>
        </w:tc>
      </w:tr>
      <w:tr w14:paraId="4869D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00" w:type="dxa"/>
            <w:noWrap w:val="0"/>
            <w:vAlign w:val="top"/>
          </w:tcPr>
          <w:p w14:paraId="5970B72D">
            <w:pPr>
              <w:adjustRightInd w:val="0"/>
              <w:snapToGrid w:val="0"/>
              <w:spacing w:line="360" w:lineRule="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二</w:t>
            </w:r>
          </w:p>
        </w:tc>
        <w:tc>
          <w:tcPr>
            <w:tcW w:w="8912" w:type="dxa"/>
            <w:gridSpan w:val="3"/>
            <w:noWrap w:val="0"/>
            <w:vAlign w:val="top"/>
          </w:tcPr>
          <w:p w14:paraId="37710E84">
            <w:pPr>
              <w:adjustRightInd w:val="0"/>
              <w:snapToGrid w:val="0"/>
              <w:spacing w:line="360" w:lineRule="auto"/>
              <w:rPr>
                <w:rFonts w:hint="eastAsia" w:ascii="仿宋_GB2312" w:hAnsi="仿宋_GB2312" w:eastAsia="仿宋_GB2312" w:cs="仿宋_GB2312"/>
                <w:color w:val="auto"/>
                <w:kern w:val="0"/>
                <w:szCs w:val="21"/>
                <w:lang w:val="zh-CN"/>
              </w:rPr>
            </w:pPr>
            <w:r>
              <w:rPr>
                <w:rFonts w:hint="eastAsia" w:ascii="仿宋_GB2312" w:hAnsi="仿宋_GB2312" w:eastAsia="仿宋_GB2312" w:cs="仿宋_GB2312"/>
                <w:color w:val="auto"/>
                <w:kern w:val="0"/>
                <w:szCs w:val="21"/>
              </w:rPr>
              <w:t>技术部分评分B（满分</w:t>
            </w:r>
            <w:r>
              <w:rPr>
                <w:rFonts w:hint="eastAsia" w:ascii="仿宋_GB2312" w:hAnsi="仿宋_GB2312" w:eastAsia="仿宋_GB2312" w:cs="仿宋_GB2312"/>
                <w:color w:val="auto"/>
                <w:kern w:val="0"/>
                <w:szCs w:val="21"/>
                <w:lang w:val="en-US" w:eastAsia="zh-CN"/>
              </w:rPr>
              <w:t>72</w:t>
            </w:r>
            <w:r>
              <w:rPr>
                <w:rFonts w:hint="eastAsia" w:ascii="仿宋_GB2312" w:hAnsi="仿宋_GB2312" w:eastAsia="仿宋_GB2312" w:cs="仿宋_GB2312"/>
                <w:color w:val="auto"/>
                <w:kern w:val="0"/>
                <w:szCs w:val="21"/>
              </w:rPr>
              <w:t>分，B=B1+B2+B3+B4+B5+B6+B7）</w:t>
            </w:r>
          </w:p>
        </w:tc>
      </w:tr>
      <w:tr w14:paraId="538F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700" w:type="dxa"/>
            <w:noWrap w:val="0"/>
            <w:vAlign w:val="center"/>
          </w:tcPr>
          <w:p w14:paraId="38A94AAF">
            <w:pPr>
              <w:adjustRightInd w:val="0"/>
              <w:snapToGrid w:val="0"/>
              <w:spacing w:line="360" w:lineRule="auto"/>
              <w:rPr>
                <w:rFonts w:hint="eastAsia" w:ascii="仿宋_GB2312" w:hAnsi="仿宋_GB2312" w:eastAsia="仿宋_GB2312" w:cs="仿宋_GB2312"/>
                <w:color w:val="auto"/>
                <w:kern w:val="0"/>
                <w:szCs w:val="21"/>
                <w:lang w:val="zh-CN"/>
              </w:rPr>
            </w:pPr>
            <w:r>
              <w:rPr>
                <w:rFonts w:hint="eastAsia" w:ascii="仿宋_GB2312" w:hAnsi="仿宋_GB2312" w:eastAsia="仿宋_GB2312" w:cs="仿宋_GB2312"/>
                <w:color w:val="auto"/>
                <w:kern w:val="0"/>
                <w:szCs w:val="21"/>
                <w:lang w:val="zh-CN"/>
              </w:rPr>
              <w:t>B1</w:t>
            </w:r>
          </w:p>
        </w:tc>
        <w:tc>
          <w:tcPr>
            <w:tcW w:w="1500" w:type="dxa"/>
            <w:noWrap w:val="0"/>
            <w:vAlign w:val="center"/>
          </w:tcPr>
          <w:p w14:paraId="7DF7A743">
            <w:pPr>
              <w:widowControl/>
              <w:spacing w:line="400" w:lineRule="exact"/>
              <w:jc w:val="center"/>
              <w:rPr>
                <w:rFonts w:hint="eastAsia" w:ascii="仿宋_GB2312" w:hAnsi="仿宋_GB2312" w:eastAsia="仿宋_GB2312" w:cs="仿宋_GB2312"/>
                <w:color w:val="auto"/>
                <w:kern w:val="0"/>
                <w:szCs w:val="21"/>
                <w:lang w:val="zh-CN"/>
              </w:rPr>
            </w:pPr>
            <w:r>
              <w:rPr>
                <w:rFonts w:hint="eastAsia" w:ascii="仿宋_GB2312" w:hAnsi="仿宋_GB2312" w:eastAsia="仿宋_GB2312" w:cs="仿宋_GB2312"/>
                <w:color w:val="auto"/>
                <w:kern w:val="0"/>
                <w:szCs w:val="21"/>
                <w:lang w:val="zh-CN"/>
              </w:rPr>
              <w:t>物业服务整体服务设想及策划（</w:t>
            </w:r>
            <w:r>
              <w:rPr>
                <w:rFonts w:hint="eastAsia" w:ascii="仿宋_GB2312" w:hAnsi="仿宋_GB2312" w:eastAsia="仿宋_GB2312" w:cs="仿宋_GB2312"/>
                <w:color w:val="auto"/>
                <w:kern w:val="0"/>
                <w:szCs w:val="21"/>
                <w:lang w:val="en-US" w:eastAsia="zh-CN"/>
              </w:rPr>
              <w:t>8</w:t>
            </w:r>
            <w:r>
              <w:rPr>
                <w:rFonts w:hint="eastAsia" w:ascii="仿宋_GB2312" w:hAnsi="仿宋_GB2312" w:eastAsia="仿宋_GB2312" w:cs="仿宋_GB2312"/>
                <w:color w:val="auto"/>
                <w:kern w:val="0"/>
                <w:szCs w:val="21"/>
              </w:rPr>
              <w:t>分</w:t>
            </w:r>
            <w:r>
              <w:rPr>
                <w:rFonts w:hint="eastAsia" w:ascii="仿宋_GB2312" w:hAnsi="仿宋_GB2312" w:eastAsia="仿宋_GB2312" w:cs="仿宋_GB2312"/>
                <w:color w:val="auto"/>
                <w:kern w:val="0"/>
                <w:szCs w:val="21"/>
                <w:lang w:val="zh-CN"/>
              </w:rPr>
              <w:t>）</w:t>
            </w:r>
          </w:p>
        </w:tc>
        <w:tc>
          <w:tcPr>
            <w:tcW w:w="812" w:type="dxa"/>
            <w:noWrap w:val="0"/>
            <w:vAlign w:val="center"/>
          </w:tcPr>
          <w:p w14:paraId="6A4EDE42">
            <w:pPr>
              <w:adjustRightInd w:val="0"/>
              <w:snapToGrid w:val="0"/>
              <w:spacing w:line="360" w:lineRule="auto"/>
              <w:rPr>
                <w:rFonts w:hint="eastAsia" w:ascii="仿宋_GB2312" w:hAnsi="仿宋_GB2312" w:eastAsia="仿宋_GB2312" w:cs="仿宋_GB2312"/>
                <w:color w:val="auto"/>
                <w:kern w:val="0"/>
                <w:sz w:val="18"/>
                <w:szCs w:val="18"/>
                <w:lang w:val="zh-CN"/>
              </w:rPr>
            </w:pPr>
            <w:r>
              <w:rPr>
                <w:rFonts w:hint="eastAsia" w:ascii="仿宋_GB2312" w:hAnsi="仿宋_GB2312" w:eastAsia="仿宋_GB2312" w:cs="仿宋_GB2312"/>
                <w:color w:val="auto"/>
                <w:kern w:val="0"/>
                <w:sz w:val="18"/>
                <w:szCs w:val="18"/>
                <w:lang w:val="en-US" w:eastAsia="zh-CN"/>
              </w:rPr>
              <w:t>8</w:t>
            </w:r>
            <w:r>
              <w:rPr>
                <w:rFonts w:hint="eastAsia" w:ascii="仿宋_GB2312" w:hAnsi="仿宋_GB2312" w:eastAsia="仿宋_GB2312" w:cs="仿宋_GB2312"/>
                <w:color w:val="auto"/>
                <w:kern w:val="0"/>
                <w:sz w:val="18"/>
                <w:szCs w:val="18"/>
                <w:lang w:val="zh-CN"/>
              </w:rPr>
              <w:t>分</w:t>
            </w:r>
          </w:p>
        </w:tc>
        <w:tc>
          <w:tcPr>
            <w:tcW w:w="6600" w:type="dxa"/>
            <w:noWrap w:val="0"/>
            <w:vAlign w:val="center"/>
          </w:tcPr>
          <w:p w14:paraId="23CFFB5A">
            <w:pPr>
              <w:adjustRightInd w:val="0"/>
              <w:snapToGrid w:val="0"/>
              <w:spacing w:line="360" w:lineRule="auto"/>
              <w:rPr>
                <w:rFonts w:hint="eastAsia" w:ascii="仿宋_GB2312" w:hAnsi="仿宋_GB2312" w:eastAsia="仿宋_GB2312" w:cs="仿宋_GB2312"/>
                <w:color w:val="auto"/>
                <w:kern w:val="0"/>
                <w:szCs w:val="21"/>
                <w:lang w:val="zh-CN"/>
              </w:rPr>
            </w:pPr>
            <w:r>
              <w:rPr>
                <w:rFonts w:hint="eastAsia" w:ascii="仿宋_GB2312" w:hAnsi="仿宋_GB2312" w:eastAsia="仿宋_GB2312" w:cs="仿宋_GB2312"/>
                <w:color w:val="auto"/>
                <w:kern w:val="0"/>
                <w:szCs w:val="21"/>
                <w:lang w:val="zh-CN"/>
              </w:rPr>
              <w:t>整体服务设想及策划考虑全面，不漏项，专业性、系统性强，操作可行：</w:t>
            </w:r>
            <w:r>
              <w:rPr>
                <w:rFonts w:hint="eastAsia" w:ascii="仿宋_GB2312" w:hAnsi="仿宋_GB2312" w:eastAsia="仿宋_GB2312" w:cs="仿宋_GB2312"/>
                <w:color w:val="auto"/>
                <w:kern w:val="0"/>
                <w:szCs w:val="21"/>
                <w:lang w:val="en-US" w:eastAsia="zh-CN"/>
              </w:rPr>
              <w:t>8</w:t>
            </w:r>
            <w:r>
              <w:rPr>
                <w:rFonts w:hint="eastAsia" w:ascii="仿宋_GB2312" w:hAnsi="仿宋_GB2312" w:eastAsia="仿宋_GB2312" w:cs="仿宋_GB2312"/>
                <w:color w:val="auto"/>
                <w:kern w:val="0"/>
                <w:szCs w:val="21"/>
                <w:lang w:val="zh-CN"/>
              </w:rPr>
              <w:t>分；整体服务设想及策划考虑较全面，基本不漏项，专业性、系统性较强，操作可行性较强：</w:t>
            </w:r>
            <w:r>
              <w:rPr>
                <w:rFonts w:hint="eastAsia" w:ascii="仿宋_GB2312" w:hAnsi="仿宋_GB2312" w:eastAsia="仿宋_GB2312" w:cs="仿宋_GB2312"/>
                <w:color w:val="auto"/>
                <w:kern w:val="0"/>
                <w:szCs w:val="21"/>
                <w:lang w:val="en-US" w:eastAsia="zh-CN"/>
              </w:rPr>
              <w:t>6</w:t>
            </w:r>
            <w:r>
              <w:rPr>
                <w:rFonts w:hint="eastAsia" w:ascii="仿宋_GB2312" w:hAnsi="仿宋_GB2312" w:eastAsia="仿宋_GB2312" w:cs="仿宋_GB2312"/>
                <w:color w:val="auto"/>
                <w:kern w:val="0"/>
                <w:szCs w:val="21"/>
                <w:lang w:val="zh-CN"/>
              </w:rPr>
              <w:t>分；整体服务设想及策划考虑不够周全，基本不漏项，有一定的专业性、系统性，有一定的操作可行性：</w:t>
            </w:r>
            <w:r>
              <w:rPr>
                <w:rFonts w:hint="eastAsia" w:ascii="仿宋_GB2312" w:hAnsi="仿宋_GB2312" w:eastAsia="仿宋_GB2312" w:cs="仿宋_GB2312"/>
                <w:color w:val="auto"/>
                <w:kern w:val="0"/>
                <w:szCs w:val="21"/>
                <w:lang w:val="en-US" w:eastAsia="zh-CN"/>
              </w:rPr>
              <w:t>4</w:t>
            </w:r>
            <w:r>
              <w:rPr>
                <w:rFonts w:hint="eastAsia" w:ascii="仿宋_GB2312" w:hAnsi="仿宋_GB2312" w:eastAsia="仿宋_GB2312" w:cs="仿宋_GB2312"/>
                <w:color w:val="auto"/>
                <w:kern w:val="0"/>
                <w:szCs w:val="21"/>
                <w:lang w:val="zh-CN"/>
              </w:rPr>
              <w:t>分；</w:t>
            </w:r>
          </w:p>
          <w:p w14:paraId="70EDB14F">
            <w:pPr>
              <w:adjustRightInd w:val="0"/>
              <w:snapToGrid w:val="0"/>
              <w:spacing w:line="360" w:lineRule="auto"/>
              <w:rPr>
                <w:rFonts w:hint="eastAsia" w:ascii="仿宋_GB2312" w:hAnsi="仿宋_GB2312" w:eastAsia="仿宋_GB2312" w:cs="仿宋_GB2312"/>
                <w:color w:val="auto"/>
                <w:kern w:val="0"/>
                <w:szCs w:val="21"/>
                <w:lang w:val="zh-CN"/>
              </w:rPr>
            </w:pPr>
            <w:r>
              <w:rPr>
                <w:rFonts w:hint="eastAsia" w:ascii="仿宋_GB2312" w:hAnsi="仿宋_GB2312" w:eastAsia="仿宋_GB2312" w:cs="仿宋_GB2312"/>
                <w:color w:val="auto"/>
                <w:kern w:val="0"/>
                <w:szCs w:val="21"/>
                <w:lang w:val="zh-CN"/>
              </w:rPr>
              <w:t>整体服务设想及策划考虑不全，有明显漏项，专业性、系统性不强，操作可行性差。</w:t>
            </w:r>
            <w:r>
              <w:rPr>
                <w:rFonts w:hint="eastAsia" w:ascii="仿宋_GB2312" w:hAnsi="仿宋_GB2312" w:eastAsia="仿宋_GB2312" w:cs="仿宋_GB2312"/>
                <w:color w:val="auto"/>
                <w:kern w:val="0"/>
                <w:szCs w:val="21"/>
                <w:lang w:val="en-US" w:eastAsia="zh-CN"/>
              </w:rPr>
              <w:t>2</w:t>
            </w:r>
            <w:r>
              <w:rPr>
                <w:rFonts w:hint="eastAsia" w:ascii="仿宋_GB2312" w:hAnsi="仿宋_GB2312" w:eastAsia="仿宋_GB2312" w:cs="仿宋_GB2312"/>
                <w:color w:val="auto"/>
                <w:kern w:val="0"/>
                <w:szCs w:val="21"/>
                <w:lang w:val="zh-CN"/>
              </w:rPr>
              <w:t>分</w:t>
            </w:r>
          </w:p>
        </w:tc>
      </w:tr>
      <w:tr w14:paraId="0DFD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700" w:type="dxa"/>
            <w:noWrap w:val="0"/>
            <w:vAlign w:val="center"/>
          </w:tcPr>
          <w:p w14:paraId="05F632F6">
            <w:pPr>
              <w:adjustRightInd w:val="0"/>
              <w:snapToGrid w:val="0"/>
              <w:spacing w:line="360" w:lineRule="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B2</w:t>
            </w:r>
          </w:p>
        </w:tc>
        <w:tc>
          <w:tcPr>
            <w:tcW w:w="1500" w:type="dxa"/>
            <w:noWrap w:val="0"/>
            <w:vAlign w:val="center"/>
          </w:tcPr>
          <w:p w14:paraId="7F677ED9">
            <w:pPr>
              <w:adjustRightInd w:val="0"/>
              <w:snapToGrid w:val="0"/>
              <w:spacing w:line="360" w:lineRule="auto"/>
              <w:jc w:val="center"/>
              <w:rPr>
                <w:rFonts w:hint="eastAsia" w:ascii="仿宋_GB2312" w:hAnsi="仿宋_GB2312" w:eastAsia="仿宋_GB2312" w:cs="仿宋_GB2312"/>
                <w:color w:val="auto"/>
                <w:kern w:val="0"/>
                <w:szCs w:val="21"/>
                <w:lang w:val="zh-CN"/>
              </w:rPr>
            </w:pPr>
            <w:r>
              <w:rPr>
                <w:rFonts w:hint="eastAsia" w:ascii="仿宋_GB2312" w:hAnsi="仿宋_GB2312" w:eastAsia="仿宋_GB2312" w:cs="仿宋_GB2312"/>
                <w:color w:val="auto"/>
                <w:kern w:val="0"/>
                <w:szCs w:val="21"/>
                <w:lang w:val="en-US" w:eastAsia="zh-CN"/>
              </w:rPr>
              <w:t>物业</w:t>
            </w:r>
            <w:r>
              <w:rPr>
                <w:rFonts w:hint="eastAsia" w:ascii="仿宋_GB2312" w:hAnsi="仿宋_GB2312" w:eastAsia="仿宋_GB2312" w:cs="仿宋_GB2312"/>
                <w:color w:val="auto"/>
                <w:kern w:val="0"/>
                <w:szCs w:val="21"/>
                <w:lang w:val="zh-CN"/>
              </w:rPr>
              <w:t>工作流程及具体（</w:t>
            </w:r>
            <w:r>
              <w:rPr>
                <w:rFonts w:hint="eastAsia" w:ascii="仿宋_GB2312" w:hAnsi="仿宋_GB2312" w:eastAsia="仿宋_GB2312" w:cs="仿宋_GB2312"/>
                <w:color w:val="auto"/>
                <w:kern w:val="0"/>
                <w:szCs w:val="21"/>
                <w:lang w:val="en-US" w:eastAsia="zh-CN"/>
              </w:rPr>
              <w:t>9</w:t>
            </w:r>
            <w:r>
              <w:rPr>
                <w:rFonts w:hint="eastAsia" w:ascii="仿宋_GB2312" w:hAnsi="仿宋_GB2312" w:eastAsia="仿宋_GB2312" w:cs="仿宋_GB2312"/>
                <w:color w:val="auto"/>
                <w:kern w:val="0"/>
                <w:szCs w:val="21"/>
              </w:rPr>
              <w:t>分</w:t>
            </w:r>
            <w:r>
              <w:rPr>
                <w:rFonts w:hint="eastAsia" w:ascii="仿宋_GB2312" w:hAnsi="仿宋_GB2312" w:eastAsia="仿宋_GB2312" w:cs="仿宋_GB2312"/>
                <w:color w:val="auto"/>
                <w:kern w:val="0"/>
                <w:szCs w:val="21"/>
                <w:lang w:val="zh-CN"/>
              </w:rPr>
              <w:t>）</w:t>
            </w:r>
          </w:p>
        </w:tc>
        <w:tc>
          <w:tcPr>
            <w:tcW w:w="812" w:type="dxa"/>
            <w:noWrap w:val="0"/>
            <w:vAlign w:val="center"/>
          </w:tcPr>
          <w:p w14:paraId="53EA3A3C">
            <w:pPr>
              <w:adjustRightInd w:val="0"/>
              <w:snapToGrid w:val="0"/>
              <w:spacing w:line="360" w:lineRule="auto"/>
              <w:rPr>
                <w:rFonts w:hint="eastAsia" w:ascii="仿宋_GB2312" w:hAnsi="仿宋_GB2312" w:eastAsia="仿宋_GB2312" w:cs="仿宋_GB2312"/>
                <w:color w:val="auto"/>
                <w:kern w:val="0"/>
                <w:sz w:val="18"/>
                <w:szCs w:val="18"/>
                <w:lang w:val="zh-CN"/>
              </w:rPr>
            </w:pPr>
            <w:r>
              <w:rPr>
                <w:rFonts w:hint="eastAsia" w:ascii="仿宋_GB2312" w:hAnsi="仿宋_GB2312" w:eastAsia="仿宋_GB2312" w:cs="仿宋_GB2312"/>
                <w:color w:val="auto"/>
                <w:kern w:val="0"/>
                <w:sz w:val="18"/>
                <w:szCs w:val="18"/>
                <w:lang w:val="en-US" w:eastAsia="zh-CN"/>
              </w:rPr>
              <w:t>9</w:t>
            </w:r>
            <w:r>
              <w:rPr>
                <w:rFonts w:hint="eastAsia" w:ascii="仿宋_GB2312" w:hAnsi="仿宋_GB2312" w:eastAsia="仿宋_GB2312" w:cs="仿宋_GB2312"/>
                <w:color w:val="auto"/>
                <w:kern w:val="0"/>
                <w:sz w:val="18"/>
                <w:szCs w:val="18"/>
                <w:lang w:val="zh-CN"/>
              </w:rPr>
              <w:t>分</w:t>
            </w:r>
          </w:p>
        </w:tc>
        <w:tc>
          <w:tcPr>
            <w:tcW w:w="6600" w:type="dxa"/>
            <w:noWrap w:val="0"/>
            <w:vAlign w:val="center"/>
          </w:tcPr>
          <w:p w14:paraId="556FA203">
            <w:pPr>
              <w:adjustRightInd w:val="0"/>
              <w:snapToGrid w:val="0"/>
              <w:spacing w:line="360" w:lineRule="auto"/>
              <w:rPr>
                <w:rFonts w:hint="eastAsia" w:ascii="仿宋_GB2312" w:hAnsi="仿宋_GB2312" w:eastAsia="仿宋_GB2312" w:cs="仿宋_GB2312"/>
                <w:color w:val="auto"/>
                <w:kern w:val="0"/>
                <w:szCs w:val="21"/>
                <w:lang w:val="zh-CN"/>
              </w:rPr>
            </w:pPr>
            <w:r>
              <w:rPr>
                <w:rFonts w:hint="eastAsia" w:ascii="仿宋_GB2312" w:hAnsi="仿宋_GB2312" w:eastAsia="仿宋_GB2312" w:cs="仿宋_GB2312"/>
                <w:color w:val="auto"/>
                <w:kern w:val="0"/>
                <w:szCs w:val="21"/>
                <w:lang w:val="en-US" w:eastAsia="zh-CN"/>
              </w:rPr>
              <w:t>物业</w:t>
            </w:r>
            <w:r>
              <w:rPr>
                <w:rFonts w:hint="eastAsia" w:ascii="仿宋_GB2312" w:hAnsi="仿宋_GB2312" w:eastAsia="仿宋_GB2312" w:cs="仿宋_GB2312"/>
                <w:color w:val="auto"/>
                <w:kern w:val="0"/>
                <w:szCs w:val="21"/>
                <w:lang w:val="zh-CN"/>
              </w:rPr>
              <w:t>工作流程及具体操作措施的科学性、合理性、完整专业性强，符合实际，工作计划完备，实施方案可行，优于招标文件要求：</w:t>
            </w:r>
            <w:r>
              <w:rPr>
                <w:rFonts w:hint="eastAsia" w:ascii="仿宋_GB2312" w:hAnsi="仿宋_GB2312" w:eastAsia="仿宋_GB2312" w:cs="仿宋_GB2312"/>
                <w:color w:val="auto"/>
                <w:kern w:val="0"/>
                <w:szCs w:val="21"/>
                <w:lang w:val="en-US" w:eastAsia="zh-CN"/>
              </w:rPr>
              <w:t>9</w:t>
            </w:r>
            <w:r>
              <w:rPr>
                <w:rFonts w:hint="eastAsia" w:ascii="仿宋_GB2312" w:hAnsi="仿宋_GB2312" w:eastAsia="仿宋_GB2312" w:cs="仿宋_GB2312"/>
                <w:color w:val="auto"/>
                <w:kern w:val="0"/>
                <w:szCs w:val="21"/>
                <w:lang w:val="zh-CN"/>
              </w:rPr>
              <w:t>分；</w:t>
            </w:r>
          </w:p>
          <w:p w14:paraId="46E5B62F">
            <w:pPr>
              <w:adjustRightInd w:val="0"/>
              <w:snapToGrid w:val="0"/>
              <w:spacing w:line="360" w:lineRule="auto"/>
              <w:rPr>
                <w:rFonts w:hint="eastAsia" w:ascii="仿宋_GB2312" w:hAnsi="仿宋_GB2312" w:eastAsia="仿宋_GB2312" w:cs="仿宋_GB2312"/>
                <w:color w:val="auto"/>
                <w:kern w:val="0"/>
                <w:szCs w:val="21"/>
                <w:lang w:val="zh-CN"/>
              </w:rPr>
            </w:pPr>
            <w:r>
              <w:rPr>
                <w:rFonts w:hint="eastAsia" w:ascii="仿宋_GB2312" w:hAnsi="仿宋_GB2312" w:eastAsia="仿宋_GB2312" w:cs="仿宋_GB2312"/>
                <w:color w:val="auto"/>
                <w:kern w:val="0"/>
                <w:szCs w:val="21"/>
                <w:lang w:val="en-US" w:eastAsia="zh-CN"/>
              </w:rPr>
              <w:t>物业</w:t>
            </w:r>
            <w:r>
              <w:rPr>
                <w:rFonts w:hint="eastAsia" w:ascii="仿宋_GB2312" w:hAnsi="仿宋_GB2312" w:eastAsia="仿宋_GB2312" w:cs="仿宋_GB2312"/>
                <w:color w:val="auto"/>
                <w:kern w:val="0"/>
                <w:szCs w:val="21"/>
                <w:lang w:val="zh-CN"/>
              </w:rPr>
              <w:t>工作流程及具体操作措施比较合理、完整，专业性较强，符合实际，工作计划较完备，实施方案可行，符合招标文件要求：</w:t>
            </w:r>
            <w:r>
              <w:rPr>
                <w:rFonts w:hint="eastAsia" w:ascii="仿宋_GB2312" w:hAnsi="仿宋_GB2312" w:eastAsia="仿宋_GB2312" w:cs="仿宋_GB2312"/>
                <w:color w:val="auto"/>
                <w:kern w:val="0"/>
                <w:szCs w:val="21"/>
                <w:lang w:val="en-US" w:eastAsia="zh-CN"/>
              </w:rPr>
              <w:t>6</w:t>
            </w:r>
            <w:r>
              <w:rPr>
                <w:rFonts w:hint="eastAsia" w:ascii="仿宋_GB2312" w:hAnsi="仿宋_GB2312" w:eastAsia="仿宋_GB2312" w:cs="仿宋_GB2312"/>
                <w:color w:val="auto"/>
                <w:kern w:val="0"/>
                <w:szCs w:val="21"/>
                <w:lang w:val="zh-CN"/>
              </w:rPr>
              <w:t>分；</w:t>
            </w:r>
          </w:p>
          <w:p w14:paraId="0E90175E">
            <w:pPr>
              <w:adjustRightInd w:val="0"/>
              <w:snapToGrid w:val="0"/>
              <w:spacing w:line="360" w:lineRule="auto"/>
              <w:rPr>
                <w:rFonts w:hint="eastAsia" w:ascii="仿宋_GB2312" w:hAnsi="仿宋_GB2312" w:eastAsia="仿宋_GB2312" w:cs="仿宋_GB2312"/>
                <w:color w:val="auto"/>
                <w:kern w:val="0"/>
                <w:szCs w:val="21"/>
                <w:lang w:val="zh-CN"/>
              </w:rPr>
            </w:pPr>
            <w:r>
              <w:rPr>
                <w:rFonts w:hint="eastAsia" w:ascii="仿宋_GB2312" w:hAnsi="仿宋_GB2312" w:eastAsia="仿宋_GB2312" w:cs="仿宋_GB2312"/>
                <w:color w:val="auto"/>
                <w:kern w:val="0"/>
                <w:szCs w:val="21"/>
                <w:lang w:val="en-US" w:eastAsia="zh-CN"/>
              </w:rPr>
              <w:t>物业</w:t>
            </w:r>
            <w:r>
              <w:rPr>
                <w:rFonts w:hint="eastAsia" w:ascii="仿宋_GB2312" w:hAnsi="仿宋_GB2312" w:eastAsia="仿宋_GB2312" w:cs="仿宋_GB2312"/>
                <w:color w:val="auto"/>
                <w:kern w:val="0"/>
                <w:szCs w:val="21"/>
                <w:lang w:val="zh-CN"/>
              </w:rPr>
              <w:t>工作流程及具体操作措施较差、不完整，不符合实际，工作计划不完备：</w:t>
            </w:r>
            <w:r>
              <w:rPr>
                <w:rFonts w:hint="eastAsia" w:ascii="仿宋_GB2312" w:hAnsi="仿宋_GB2312" w:eastAsia="仿宋_GB2312" w:cs="仿宋_GB2312"/>
                <w:color w:val="auto"/>
                <w:kern w:val="0"/>
                <w:szCs w:val="21"/>
                <w:lang w:val="en-US" w:eastAsia="zh-CN"/>
              </w:rPr>
              <w:t>3</w:t>
            </w:r>
            <w:r>
              <w:rPr>
                <w:rFonts w:hint="eastAsia" w:ascii="仿宋_GB2312" w:hAnsi="仿宋_GB2312" w:eastAsia="仿宋_GB2312" w:cs="仿宋_GB2312"/>
                <w:color w:val="auto"/>
                <w:kern w:val="0"/>
                <w:szCs w:val="21"/>
                <w:lang w:val="zh-CN"/>
              </w:rPr>
              <w:t>分。</w:t>
            </w:r>
          </w:p>
        </w:tc>
      </w:tr>
      <w:tr w14:paraId="043A5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0" w:type="dxa"/>
            <w:noWrap w:val="0"/>
            <w:vAlign w:val="center"/>
          </w:tcPr>
          <w:p w14:paraId="68ECBB12">
            <w:pPr>
              <w:adjustRightInd w:val="0"/>
              <w:snapToGrid w:val="0"/>
              <w:spacing w:line="36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B3</w:t>
            </w:r>
          </w:p>
        </w:tc>
        <w:tc>
          <w:tcPr>
            <w:tcW w:w="1500" w:type="dxa"/>
            <w:noWrap w:val="0"/>
            <w:vAlign w:val="center"/>
          </w:tcPr>
          <w:p w14:paraId="66F7CC8C">
            <w:pPr>
              <w:adjustRightInd w:val="0"/>
              <w:snapToGrid w:val="0"/>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val="en-US" w:eastAsia="zh-CN"/>
              </w:rPr>
              <w:t>物业服务人员配置及设备、服务用品投入</w:t>
            </w:r>
            <w:r>
              <w:rPr>
                <w:rFonts w:hint="eastAsia" w:ascii="仿宋_GB2312" w:hAnsi="仿宋_GB2312" w:eastAsia="仿宋_GB2312" w:cs="仿宋_GB2312"/>
                <w:color w:val="auto"/>
                <w:kern w:val="0"/>
                <w:szCs w:val="21"/>
                <w:highlight w:val="none"/>
                <w:lang w:val="zh-CN"/>
              </w:rPr>
              <w:t>（</w:t>
            </w:r>
            <w:r>
              <w:rPr>
                <w:rFonts w:hint="eastAsia" w:ascii="仿宋_GB2312" w:hAnsi="仿宋_GB2312" w:eastAsia="仿宋_GB2312" w:cs="仿宋_GB2312"/>
                <w:color w:val="auto"/>
                <w:kern w:val="0"/>
                <w:szCs w:val="21"/>
                <w:highlight w:val="none"/>
                <w:lang w:val="en-US" w:eastAsia="zh-CN"/>
              </w:rPr>
              <w:t>28</w:t>
            </w:r>
            <w:r>
              <w:rPr>
                <w:rFonts w:hint="eastAsia" w:ascii="仿宋_GB2312" w:hAnsi="仿宋_GB2312" w:eastAsia="仿宋_GB2312" w:cs="仿宋_GB2312"/>
                <w:color w:val="auto"/>
                <w:kern w:val="0"/>
                <w:szCs w:val="21"/>
                <w:highlight w:val="none"/>
              </w:rPr>
              <w:t>分</w:t>
            </w:r>
            <w:r>
              <w:rPr>
                <w:rFonts w:hint="eastAsia" w:ascii="仿宋_GB2312" w:hAnsi="仿宋_GB2312" w:eastAsia="仿宋_GB2312" w:cs="仿宋_GB2312"/>
                <w:color w:val="auto"/>
                <w:kern w:val="0"/>
                <w:szCs w:val="21"/>
                <w:highlight w:val="none"/>
                <w:lang w:val="zh-CN"/>
              </w:rPr>
              <w:t>）</w:t>
            </w:r>
          </w:p>
        </w:tc>
        <w:tc>
          <w:tcPr>
            <w:tcW w:w="812" w:type="dxa"/>
            <w:noWrap w:val="0"/>
            <w:vAlign w:val="center"/>
          </w:tcPr>
          <w:p w14:paraId="474ED1BF">
            <w:pPr>
              <w:adjustRightInd w:val="0"/>
              <w:snapToGrid w:val="0"/>
              <w:spacing w:line="360" w:lineRule="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28</w:t>
            </w:r>
            <w:r>
              <w:rPr>
                <w:rFonts w:hint="eastAsia" w:ascii="仿宋_GB2312" w:hAnsi="仿宋_GB2312" w:eastAsia="仿宋_GB2312" w:cs="仿宋_GB2312"/>
                <w:color w:val="auto"/>
                <w:sz w:val="18"/>
                <w:szCs w:val="18"/>
                <w:highlight w:val="none"/>
              </w:rPr>
              <w:t>分</w:t>
            </w:r>
          </w:p>
        </w:tc>
        <w:tc>
          <w:tcPr>
            <w:tcW w:w="6600" w:type="dxa"/>
            <w:noWrap w:val="0"/>
            <w:vAlign w:val="center"/>
          </w:tcPr>
          <w:p w14:paraId="403DCD50">
            <w:pPr>
              <w:numPr>
                <w:ilvl w:val="0"/>
                <w:numId w:val="3"/>
              </w:numPr>
              <w:adjustRightInd w:val="0"/>
              <w:snapToGrid w:val="0"/>
              <w:spacing w:line="360" w:lineRule="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根据物业项目服务面积及单体建筑人员配置合理（岗位配备合理及综合素质进行评比）；优得18分，好得9分，一般的4分，不合理0分；2、</w:t>
            </w:r>
            <w:r>
              <w:rPr>
                <w:rFonts w:hint="eastAsia" w:ascii="仿宋_GB2312" w:hAnsi="仿宋_GB2312" w:eastAsia="仿宋_GB2312" w:cs="仿宋_GB2312"/>
                <w:color w:val="auto"/>
                <w:kern w:val="2"/>
                <w:sz w:val="21"/>
                <w:szCs w:val="24"/>
                <w:highlight w:val="none"/>
                <w:lang w:val="en-US" w:eastAsia="zh-CN" w:bidi="ar-SA"/>
              </w:rPr>
              <w:t>拟投入的设备用品齐全，根据服务设备、工具、用品等方面进行综合评分。优得10分，好得5分，一般的2分，不满足得0分。</w:t>
            </w:r>
          </w:p>
        </w:tc>
      </w:tr>
      <w:tr w14:paraId="75B57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700" w:type="dxa"/>
            <w:noWrap w:val="0"/>
            <w:vAlign w:val="center"/>
          </w:tcPr>
          <w:p w14:paraId="416D3AB2">
            <w:pPr>
              <w:adjustRightInd w:val="0"/>
              <w:snapToGrid w:val="0"/>
              <w:spacing w:line="360" w:lineRule="auto"/>
              <w:rPr>
                <w:rFonts w:hint="eastAsia" w:ascii="仿宋_GB2312" w:hAnsi="仿宋_GB2312" w:eastAsia="仿宋_GB2312" w:cs="仿宋_GB2312"/>
                <w:color w:val="auto"/>
              </w:rPr>
            </w:pPr>
            <w:r>
              <w:rPr>
                <w:rFonts w:hint="eastAsia" w:ascii="仿宋_GB2312" w:hAnsi="仿宋_GB2312" w:eastAsia="仿宋_GB2312" w:cs="仿宋_GB2312"/>
                <w:color w:val="auto"/>
              </w:rPr>
              <w:t>B4</w:t>
            </w:r>
          </w:p>
        </w:tc>
        <w:tc>
          <w:tcPr>
            <w:tcW w:w="1500" w:type="dxa"/>
            <w:noWrap w:val="0"/>
            <w:vAlign w:val="center"/>
          </w:tcPr>
          <w:p w14:paraId="314C382B">
            <w:pPr>
              <w:adjustRightInd w:val="0"/>
              <w:snapToGrid w:val="0"/>
              <w:spacing w:line="360" w:lineRule="auto"/>
              <w:rPr>
                <w:rFonts w:hint="eastAsia" w:ascii="仿宋_GB2312" w:hAnsi="仿宋_GB2312" w:eastAsia="仿宋_GB2312" w:cs="仿宋_GB2312"/>
                <w:color w:val="auto"/>
              </w:rPr>
            </w:pPr>
            <w:r>
              <w:rPr>
                <w:rFonts w:hint="eastAsia" w:ascii="仿宋_GB2312" w:hAnsi="仿宋_GB2312" w:eastAsia="仿宋_GB2312" w:cs="仿宋_GB2312"/>
                <w:color w:val="auto"/>
              </w:rPr>
              <w:t>管理规章制度（</w:t>
            </w:r>
            <w:r>
              <w:rPr>
                <w:rFonts w:hint="eastAsia" w:ascii="仿宋_GB2312" w:hAnsi="仿宋_GB2312" w:eastAsia="仿宋_GB2312" w:cs="仿宋_GB2312"/>
                <w:color w:val="auto"/>
                <w:lang w:val="en-US" w:eastAsia="zh-CN"/>
              </w:rPr>
              <w:t>8</w:t>
            </w:r>
            <w:r>
              <w:rPr>
                <w:rFonts w:hint="eastAsia" w:ascii="仿宋_GB2312" w:hAnsi="仿宋_GB2312" w:eastAsia="仿宋_GB2312" w:cs="仿宋_GB2312"/>
                <w:color w:val="auto"/>
              </w:rPr>
              <w:t>分）</w:t>
            </w:r>
          </w:p>
        </w:tc>
        <w:tc>
          <w:tcPr>
            <w:tcW w:w="812" w:type="dxa"/>
            <w:noWrap w:val="0"/>
            <w:vAlign w:val="center"/>
          </w:tcPr>
          <w:p w14:paraId="53B364E9">
            <w:pPr>
              <w:adjustRightInd w:val="0"/>
              <w:snapToGrid w:val="0"/>
              <w:spacing w:line="360" w:lineRule="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8</w:t>
            </w:r>
            <w:r>
              <w:rPr>
                <w:rFonts w:hint="eastAsia" w:ascii="仿宋_GB2312" w:hAnsi="仿宋_GB2312" w:eastAsia="仿宋_GB2312" w:cs="仿宋_GB2312"/>
                <w:color w:val="auto"/>
              </w:rPr>
              <w:t>分</w:t>
            </w:r>
          </w:p>
        </w:tc>
        <w:tc>
          <w:tcPr>
            <w:tcW w:w="6600" w:type="dxa"/>
            <w:noWrap w:val="0"/>
            <w:vAlign w:val="center"/>
          </w:tcPr>
          <w:p w14:paraId="643C86A3">
            <w:pPr>
              <w:adjustRightInd w:val="0"/>
              <w:snapToGrid w:val="0"/>
              <w:spacing w:line="360" w:lineRule="auto"/>
              <w:rPr>
                <w:rFonts w:hint="eastAsia" w:ascii="仿宋_GB2312" w:hAnsi="仿宋_GB2312" w:eastAsia="仿宋_GB2312" w:cs="仿宋_GB2312"/>
                <w:color w:val="auto"/>
                <w:kern w:val="0"/>
                <w:lang w:val="zh-CN"/>
              </w:rPr>
            </w:pPr>
            <w:r>
              <w:rPr>
                <w:rFonts w:hint="eastAsia" w:ascii="仿宋_GB2312" w:hAnsi="仿宋_GB2312" w:eastAsia="仿宋_GB2312" w:cs="仿宋_GB2312"/>
                <w:color w:val="auto"/>
                <w:kern w:val="0"/>
                <w:lang w:val="zh-CN"/>
              </w:rPr>
              <w:t>管理规章制度齐全、合理、切实可行：</w:t>
            </w:r>
            <w:r>
              <w:rPr>
                <w:rFonts w:hint="eastAsia" w:ascii="仿宋_GB2312" w:hAnsi="仿宋_GB2312" w:eastAsia="仿宋_GB2312" w:cs="仿宋_GB2312"/>
                <w:color w:val="auto"/>
                <w:kern w:val="0"/>
                <w:lang w:val="en-US" w:eastAsia="zh-CN"/>
              </w:rPr>
              <w:t>8</w:t>
            </w:r>
            <w:r>
              <w:rPr>
                <w:rFonts w:hint="eastAsia" w:ascii="仿宋_GB2312" w:hAnsi="仿宋_GB2312" w:eastAsia="仿宋_GB2312" w:cs="仿宋_GB2312"/>
                <w:color w:val="auto"/>
                <w:kern w:val="0"/>
                <w:lang w:val="zh-CN"/>
              </w:rPr>
              <w:t>分；管理规章制度较为齐全、合理、切实可行：</w:t>
            </w:r>
            <w:r>
              <w:rPr>
                <w:rFonts w:hint="eastAsia" w:ascii="仿宋_GB2312" w:hAnsi="仿宋_GB2312" w:eastAsia="仿宋_GB2312" w:cs="仿宋_GB2312"/>
                <w:color w:val="auto"/>
                <w:kern w:val="0"/>
                <w:lang w:val="en-US" w:eastAsia="zh-CN"/>
              </w:rPr>
              <w:t>4</w:t>
            </w:r>
            <w:r>
              <w:rPr>
                <w:rFonts w:hint="eastAsia" w:ascii="仿宋_GB2312" w:hAnsi="仿宋_GB2312" w:eastAsia="仿宋_GB2312" w:cs="仿宋_GB2312"/>
                <w:color w:val="auto"/>
                <w:kern w:val="0"/>
                <w:lang w:val="zh-CN"/>
              </w:rPr>
              <w:t>分；管理规章制度较为齐全、合理、可行性差：</w:t>
            </w:r>
            <w:r>
              <w:rPr>
                <w:rFonts w:hint="eastAsia" w:ascii="仿宋_GB2312" w:hAnsi="仿宋_GB2312" w:eastAsia="仿宋_GB2312" w:cs="仿宋_GB2312"/>
                <w:color w:val="auto"/>
                <w:kern w:val="0"/>
                <w:lang w:val="en-US" w:eastAsia="zh-CN"/>
              </w:rPr>
              <w:t>2</w:t>
            </w:r>
            <w:r>
              <w:rPr>
                <w:rFonts w:hint="eastAsia" w:ascii="仿宋_GB2312" w:hAnsi="仿宋_GB2312" w:eastAsia="仿宋_GB2312" w:cs="仿宋_GB2312"/>
                <w:color w:val="auto"/>
                <w:kern w:val="0"/>
                <w:lang w:val="zh-CN"/>
              </w:rPr>
              <w:t>分；无相关管理制度：0分。</w:t>
            </w:r>
          </w:p>
        </w:tc>
      </w:tr>
      <w:tr w14:paraId="4833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trPr>
        <w:tc>
          <w:tcPr>
            <w:tcW w:w="700" w:type="dxa"/>
            <w:noWrap w:val="0"/>
            <w:vAlign w:val="center"/>
          </w:tcPr>
          <w:p w14:paraId="52629023">
            <w:pPr>
              <w:adjustRightInd w:val="0"/>
              <w:snapToGrid w:val="0"/>
              <w:spacing w:line="360" w:lineRule="auto"/>
              <w:rPr>
                <w:rFonts w:hint="eastAsia" w:ascii="仿宋_GB2312" w:hAnsi="仿宋_GB2312" w:eastAsia="仿宋_GB2312" w:cs="仿宋_GB2312"/>
                <w:color w:val="auto"/>
              </w:rPr>
            </w:pPr>
            <w:r>
              <w:rPr>
                <w:rFonts w:hint="eastAsia" w:ascii="仿宋_GB2312" w:hAnsi="仿宋_GB2312" w:eastAsia="仿宋_GB2312" w:cs="仿宋_GB2312"/>
                <w:color w:val="auto"/>
              </w:rPr>
              <w:t>B5</w:t>
            </w:r>
          </w:p>
        </w:tc>
        <w:tc>
          <w:tcPr>
            <w:tcW w:w="1500" w:type="dxa"/>
            <w:noWrap w:val="0"/>
            <w:vAlign w:val="center"/>
          </w:tcPr>
          <w:p w14:paraId="7093FC51">
            <w:pPr>
              <w:adjustRightInd w:val="0"/>
              <w:snapToGrid w:val="0"/>
              <w:spacing w:line="360" w:lineRule="auto"/>
              <w:rPr>
                <w:rFonts w:hint="eastAsia" w:ascii="仿宋_GB2312" w:hAnsi="仿宋_GB2312" w:eastAsia="仿宋_GB2312" w:cs="仿宋_GB2312"/>
                <w:color w:val="auto"/>
              </w:rPr>
            </w:pPr>
            <w:r>
              <w:rPr>
                <w:rFonts w:hint="eastAsia" w:ascii="仿宋_GB2312" w:hAnsi="仿宋_GB2312" w:eastAsia="仿宋_GB2312" w:cs="仿宋_GB2312"/>
                <w:color w:val="auto"/>
              </w:rPr>
              <w:t>节能减排措施（</w:t>
            </w:r>
            <w:r>
              <w:rPr>
                <w:rFonts w:hint="eastAsia" w:ascii="仿宋_GB2312" w:hAnsi="仿宋_GB2312" w:eastAsia="仿宋_GB2312" w:cs="仿宋_GB2312"/>
                <w:color w:val="auto"/>
                <w:lang w:val="en-US" w:eastAsia="zh-CN"/>
              </w:rPr>
              <w:t>10</w:t>
            </w:r>
            <w:r>
              <w:rPr>
                <w:rFonts w:hint="eastAsia" w:ascii="仿宋_GB2312" w:hAnsi="仿宋_GB2312" w:eastAsia="仿宋_GB2312" w:cs="仿宋_GB2312"/>
                <w:color w:val="auto"/>
              </w:rPr>
              <w:t>分）</w:t>
            </w:r>
          </w:p>
        </w:tc>
        <w:tc>
          <w:tcPr>
            <w:tcW w:w="812" w:type="dxa"/>
            <w:noWrap w:val="0"/>
            <w:vAlign w:val="center"/>
          </w:tcPr>
          <w:p w14:paraId="55719B15">
            <w:pPr>
              <w:adjustRightInd w:val="0"/>
              <w:snapToGrid w:val="0"/>
              <w:spacing w:line="360" w:lineRule="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10</w:t>
            </w:r>
            <w:r>
              <w:rPr>
                <w:rFonts w:hint="eastAsia" w:ascii="仿宋_GB2312" w:hAnsi="仿宋_GB2312" w:eastAsia="仿宋_GB2312" w:cs="仿宋_GB2312"/>
                <w:color w:val="auto"/>
              </w:rPr>
              <w:t>分</w:t>
            </w:r>
          </w:p>
        </w:tc>
        <w:tc>
          <w:tcPr>
            <w:tcW w:w="6600" w:type="dxa"/>
            <w:noWrap w:val="0"/>
            <w:vAlign w:val="center"/>
          </w:tcPr>
          <w:p w14:paraId="13575B53">
            <w:pPr>
              <w:adjustRightInd w:val="0"/>
              <w:snapToGrid w:val="0"/>
              <w:spacing w:line="360" w:lineRule="auto"/>
              <w:rPr>
                <w:rFonts w:hint="eastAsia" w:ascii="仿宋_GB2312" w:hAnsi="仿宋_GB2312" w:eastAsia="仿宋_GB2312" w:cs="仿宋_GB2312"/>
                <w:color w:val="auto"/>
                <w:kern w:val="0"/>
                <w:lang w:val="zh-CN"/>
              </w:rPr>
            </w:pPr>
            <w:r>
              <w:rPr>
                <w:rFonts w:hint="eastAsia" w:ascii="仿宋_GB2312" w:hAnsi="仿宋_GB2312" w:eastAsia="仿宋_GB2312" w:cs="仿宋_GB2312"/>
                <w:color w:val="auto"/>
                <w:kern w:val="0"/>
                <w:lang w:val="zh-CN"/>
              </w:rPr>
              <w:t>制定了科学合理的节电、节水管理措施，对</w:t>
            </w:r>
            <w:r>
              <w:rPr>
                <w:rFonts w:hint="eastAsia" w:ascii="仿宋_GB2312" w:hAnsi="仿宋_GB2312" w:eastAsia="仿宋_GB2312" w:cs="仿宋_GB2312"/>
                <w:color w:val="auto"/>
                <w:kern w:val="0"/>
              </w:rPr>
              <w:t>业主</w:t>
            </w:r>
            <w:r>
              <w:rPr>
                <w:rFonts w:hint="eastAsia" w:ascii="仿宋_GB2312" w:hAnsi="仿宋_GB2312" w:eastAsia="仿宋_GB2312" w:cs="仿宋_GB2312"/>
                <w:color w:val="auto"/>
                <w:kern w:val="0"/>
                <w:lang w:val="zh-CN"/>
              </w:rPr>
              <w:t>提供的维修耗材制定了切实可行的管理措施：</w:t>
            </w:r>
            <w:r>
              <w:rPr>
                <w:rFonts w:hint="eastAsia" w:ascii="仿宋_GB2312" w:hAnsi="仿宋_GB2312" w:eastAsia="仿宋_GB2312" w:cs="仿宋_GB2312"/>
                <w:color w:val="auto"/>
                <w:kern w:val="0"/>
                <w:lang w:val="en-US" w:eastAsia="zh-CN"/>
              </w:rPr>
              <w:t>10</w:t>
            </w:r>
            <w:r>
              <w:rPr>
                <w:rFonts w:hint="eastAsia" w:ascii="仿宋_GB2312" w:hAnsi="仿宋_GB2312" w:eastAsia="仿宋_GB2312" w:cs="仿宋_GB2312"/>
                <w:color w:val="auto"/>
                <w:kern w:val="0"/>
                <w:lang w:val="zh-CN"/>
              </w:rPr>
              <w:t>分；制定了较为科学合理的节电、节水管理措施，对</w:t>
            </w:r>
            <w:r>
              <w:rPr>
                <w:rFonts w:hint="eastAsia" w:ascii="仿宋_GB2312" w:hAnsi="仿宋_GB2312" w:eastAsia="仿宋_GB2312" w:cs="仿宋_GB2312"/>
                <w:color w:val="auto"/>
                <w:kern w:val="0"/>
              </w:rPr>
              <w:t>业主</w:t>
            </w:r>
            <w:r>
              <w:rPr>
                <w:rFonts w:hint="eastAsia" w:ascii="仿宋_GB2312" w:hAnsi="仿宋_GB2312" w:eastAsia="仿宋_GB2312" w:cs="仿宋_GB2312"/>
                <w:color w:val="auto"/>
                <w:kern w:val="0"/>
                <w:lang w:val="zh-CN"/>
              </w:rPr>
              <w:t>提供的维修耗材制定了较为切实可行的管理措施：</w:t>
            </w:r>
            <w:r>
              <w:rPr>
                <w:rFonts w:hint="eastAsia" w:ascii="仿宋_GB2312" w:hAnsi="仿宋_GB2312" w:eastAsia="仿宋_GB2312" w:cs="仿宋_GB2312"/>
                <w:color w:val="auto"/>
                <w:kern w:val="0"/>
                <w:lang w:val="en-US" w:eastAsia="zh-CN"/>
              </w:rPr>
              <w:t>5</w:t>
            </w:r>
            <w:r>
              <w:rPr>
                <w:rFonts w:hint="eastAsia" w:ascii="仿宋_GB2312" w:hAnsi="仿宋_GB2312" w:eastAsia="仿宋_GB2312" w:cs="仿宋_GB2312"/>
                <w:color w:val="auto"/>
                <w:kern w:val="0"/>
                <w:lang w:val="zh-CN"/>
              </w:rPr>
              <w:t>分；制定了节电、节水管理措施和对</w:t>
            </w:r>
            <w:r>
              <w:rPr>
                <w:rFonts w:hint="eastAsia" w:ascii="仿宋_GB2312" w:hAnsi="仿宋_GB2312" w:eastAsia="仿宋_GB2312" w:cs="仿宋_GB2312"/>
                <w:color w:val="auto"/>
                <w:kern w:val="0"/>
              </w:rPr>
              <w:t>业主</w:t>
            </w:r>
            <w:r>
              <w:rPr>
                <w:rFonts w:hint="eastAsia" w:ascii="仿宋_GB2312" w:hAnsi="仿宋_GB2312" w:eastAsia="仿宋_GB2312" w:cs="仿宋_GB2312"/>
                <w:color w:val="auto"/>
                <w:kern w:val="0"/>
                <w:lang w:val="zh-CN"/>
              </w:rPr>
              <w:t>提供的维修耗材管理措施，但可行性差；</w:t>
            </w:r>
            <w:r>
              <w:rPr>
                <w:rFonts w:hint="eastAsia" w:ascii="仿宋_GB2312" w:hAnsi="仿宋_GB2312" w:eastAsia="仿宋_GB2312" w:cs="仿宋_GB2312"/>
                <w:color w:val="auto"/>
                <w:kern w:val="0"/>
                <w:lang w:val="en-US" w:eastAsia="zh-CN"/>
              </w:rPr>
              <w:t>3</w:t>
            </w:r>
            <w:r>
              <w:rPr>
                <w:rFonts w:hint="eastAsia" w:ascii="仿宋_GB2312" w:hAnsi="仿宋_GB2312" w:eastAsia="仿宋_GB2312" w:cs="仿宋_GB2312"/>
                <w:color w:val="auto"/>
                <w:kern w:val="0"/>
                <w:lang w:val="zh-CN"/>
              </w:rPr>
              <w:t>分；未提供节能减排措施：0分。</w:t>
            </w:r>
          </w:p>
        </w:tc>
      </w:tr>
      <w:tr w14:paraId="6AB89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00" w:type="dxa"/>
            <w:noWrap w:val="0"/>
            <w:vAlign w:val="center"/>
          </w:tcPr>
          <w:p w14:paraId="0AF0883F">
            <w:pPr>
              <w:adjustRightInd w:val="0"/>
              <w:snapToGrid w:val="0"/>
              <w:spacing w:line="360" w:lineRule="auto"/>
              <w:rPr>
                <w:rFonts w:hint="eastAsia" w:ascii="仿宋_GB2312" w:hAnsi="仿宋_GB2312" w:eastAsia="仿宋_GB2312" w:cs="仿宋_GB2312"/>
                <w:color w:val="auto"/>
              </w:rPr>
            </w:pPr>
            <w:r>
              <w:rPr>
                <w:rFonts w:hint="eastAsia" w:ascii="仿宋_GB2312" w:hAnsi="仿宋_GB2312" w:eastAsia="仿宋_GB2312" w:cs="仿宋_GB2312"/>
                <w:color w:val="auto"/>
              </w:rPr>
              <w:t>B6</w:t>
            </w:r>
          </w:p>
        </w:tc>
        <w:tc>
          <w:tcPr>
            <w:tcW w:w="1500" w:type="dxa"/>
            <w:noWrap w:val="0"/>
            <w:vAlign w:val="center"/>
          </w:tcPr>
          <w:p w14:paraId="49265B16">
            <w:pPr>
              <w:adjustRightInd w:val="0"/>
              <w:snapToGrid w:val="0"/>
              <w:spacing w:line="360" w:lineRule="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合理化的建议</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rPr>
              <w:t>分）</w:t>
            </w:r>
          </w:p>
        </w:tc>
        <w:tc>
          <w:tcPr>
            <w:tcW w:w="812" w:type="dxa"/>
            <w:noWrap w:val="0"/>
            <w:vAlign w:val="center"/>
          </w:tcPr>
          <w:p w14:paraId="3899D2B6">
            <w:pPr>
              <w:adjustRightInd w:val="0"/>
              <w:snapToGrid w:val="0"/>
              <w:spacing w:line="360" w:lineRule="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rPr>
              <w:t>分</w:t>
            </w:r>
          </w:p>
        </w:tc>
        <w:tc>
          <w:tcPr>
            <w:tcW w:w="6600" w:type="dxa"/>
            <w:noWrap w:val="0"/>
            <w:vAlign w:val="center"/>
          </w:tcPr>
          <w:p w14:paraId="495EFE9C">
            <w:pPr>
              <w:adjustRightInd w:val="0"/>
              <w:snapToGrid w:val="0"/>
              <w:spacing w:line="360" w:lineRule="auto"/>
              <w:rPr>
                <w:rFonts w:hint="eastAsia" w:ascii="仿宋_GB2312" w:hAnsi="仿宋_GB2312" w:eastAsia="仿宋_GB2312" w:cs="仿宋_GB2312"/>
                <w:color w:val="auto"/>
                <w:kern w:val="0"/>
                <w:lang w:val="en-US" w:eastAsia="zh-CN"/>
              </w:rPr>
            </w:pPr>
            <w:r>
              <w:rPr>
                <w:rFonts w:hint="eastAsia" w:ascii="仿宋_GB2312" w:hAnsi="仿宋_GB2312" w:eastAsia="仿宋_GB2312" w:cs="仿宋_GB2312"/>
                <w:color w:val="auto"/>
                <w:kern w:val="0"/>
                <w:lang w:val="en-US" w:eastAsia="zh-CN"/>
              </w:rPr>
              <w:t>投标供应商可按照自身实践经验对本项目相关工作提出合理化的建议，每提出一条具有可行性的合理化建议得4分，最高得2分；未提出合理化建议的不得分</w:t>
            </w:r>
          </w:p>
        </w:tc>
      </w:tr>
      <w:tr w14:paraId="5FAB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700" w:type="dxa"/>
            <w:noWrap w:val="0"/>
            <w:vAlign w:val="center"/>
          </w:tcPr>
          <w:p w14:paraId="5AB4DF89">
            <w:pPr>
              <w:adjustRightInd w:val="0"/>
              <w:snapToGrid w:val="0"/>
              <w:spacing w:line="360" w:lineRule="auto"/>
              <w:rPr>
                <w:rFonts w:hint="eastAsia" w:ascii="仿宋_GB2312" w:hAnsi="仿宋_GB2312" w:eastAsia="仿宋_GB2312" w:cs="仿宋_GB2312"/>
                <w:color w:val="auto"/>
              </w:rPr>
            </w:pPr>
            <w:r>
              <w:rPr>
                <w:rFonts w:hint="eastAsia" w:ascii="仿宋_GB2312" w:hAnsi="仿宋_GB2312" w:eastAsia="仿宋_GB2312" w:cs="仿宋_GB2312"/>
                <w:color w:val="auto"/>
              </w:rPr>
              <w:t>B7</w:t>
            </w:r>
          </w:p>
        </w:tc>
        <w:tc>
          <w:tcPr>
            <w:tcW w:w="1500" w:type="dxa"/>
            <w:noWrap w:val="0"/>
            <w:vAlign w:val="center"/>
          </w:tcPr>
          <w:p w14:paraId="7BFC815A">
            <w:pPr>
              <w:adjustRightInd w:val="0"/>
              <w:snapToGrid w:val="0"/>
              <w:spacing w:line="360" w:lineRule="auto"/>
              <w:rPr>
                <w:rFonts w:hint="eastAsia" w:ascii="仿宋_GB2312" w:hAnsi="仿宋_GB2312" w:eastAsia="仿宋_GB2312" w:cs="仿宋_GB2312"/>
                <w:color w:val="auto"/>
              </w:rPr>
            </w:pPr>
            <w:r>
              <w:rPr>
                <w:rFonts w:hint="eastAsia" w:ascii="仿宋_GB2312" w:hAnsi="仿宋_GB2312" w:eastAsia="仿宋_GB2312" w:cs="仿宋_GB2312"/>
                <w:color w:val="auto"/>
              </w:rPr>
              <w:t>应急预案（</w:t>
            </w:r>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rPr>
              <w:t>分）</w:t>
            </w:r>
          </w:p>
        </w:tc>
        <w:tc>
          <w:tcPr>
            <w:tcW w:w="812" w:type="dxa"/>
            <w:noWrap w:val="0"/>
            <w:vAlign w:val="center"/>
          </w:tcPr>
          <w:p w14:paraId="05A75CE1">
            <w:pPr>
              <w:adjustRightInd w:val="0"/>
              <w:snapToGrid w:val="0"/>
              <w:spacing w:line="360" w:lineRule="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rPr>
              <w:t>分</w:t>
            </w:r>
          </w:p>
        </w:tc>
        <w:tc>
          <w:tcPr>
            <w:tcW w:w="6600" w:type="dxa"/>
            <w:noWrap w:val="0"/>
            <w:vAlign w:val="center"/>
          </w:tcPr>
          <w:p w14:paraId="1825B588">
            <w:pPr>
              <w:adjustRightInd w:val="0"/>
              <w:snapToGrid w:val="0"/>
              <w:spacing w:line="360" w:lineRule="auto"/>
              <w:rPr>
                <w:rFonts w:hint="eastAsia" w:ascii="仿宋_GB2312" w:hAnsi="仿宋_GB2312" w:eastAsia="仿宋_GB2312" w:cs="仿宋_GB2312"/>
                <w:color w:val="auto"/>
                <w:kern w:val="0"/>
                <w:lang w:val="zh-CN"/>
              </w:rPr>
            </w:pPr>
            <w:r>
              <w:rPr>
                <w:rFonts w:hint="eastAsia" w:ascii="仿宋_GB2312" w:hAnsi="仿宋_GB2312" w:eastAsia="仿宋_GB2312" w:cs="仿宋_GB2312"/>
                <w:color w:val="auto"/>
                <w:kern w:val="0"/>
                <w:lang w:val="zh-CN"/>
              </w:rPr>
              <w:t>应急预案实用，经济，切实可行：</w:t>
            </w:r>
            <w:r>
              <w:rPr>
                <w:rFonts w:hint="eastAsia" w:ascii="仿宋_GB2312" w:hAnsi="仿宋_GB2312" w:eastAsia="仿宋_GB2312" w:cs="仿宋_GB2312"/>
                <w:color w:val="auto"/>
                <w:kern w:val="0"/>
                <w:lang w:val="en-US" w:eastAsia="zh-CN"/>
              </w:rPr>
              <w:t>5</w:t>
            </w:r>
            <w:r>
              <w:rPr>
                <w:rFonts w:hint="eastAsia" w:ascii="仿宋_GB2312" w:hAnsi="仿宋_GB2312" w:eastAsia="仿宋_GB2312" w:cs="仿宋_GB2312"/>
                <w:color w:val="auto"/>
                <w:kern w:val="0"/>
                <w:lang w:val="zh-CN"/>
              </w:rPr>
              <w:t>分；应急预案较为实用，经济，可行性较强：</w:t>
            </w:r>
            <w:r>
              <w:rPr>
                <w:rFonts w:hint="eastAsia" w:ascii="仿宋_GB2312" w:hAnsi="仿宋_GB2312" w:eastAsia="仿宋_GB2312" w:cs="仿宋_GB2312"/>
                <w:color w:val="auto"/>
                <w:kern w:val="0"/>
                <w:lang w:val="en-US" w:eastAsia="zh-CN"/>
              </w:rPr>
              <w:t>3</w:t>
            </w:r>
            <w:r>
              <w:rPr>
                <w:rFonts w:hint="eastAsia" w:ascii="仿宋_GB2312" w:hAnsi="仿宋_GB2312" w:eastAsia="仿宋_GB2312" w:cs="仿宋_GB2312"/>
                <w:color w:val="auto"/>
                <w:kern w:val="0"/>
                <w:lang w:val="zh-CN"/>
              </w:rPr>
              <w:t>分；应急预案实用性、经济性一般，可行性一般：</w:t>
            </w:r>
            <w:r>
              <w:rPr>
                <w:rFonts w:hint="eastAsia" w:ascii="仿宋_GB2312" w:hAnsi="仿宋_GB2312" w:eastAsia="仿宋_GB2312" w:cs="仿宋_GB2312"/>
                <w:color w:val="auto"/>
                <w:kern w:val="0"/>
                <w:lang w:val="en-US" w:eastAsia="zh-CN"/>
              </w:rPr>
              <w:t>1</w:t>
            </w:r>
            <w:r>
              <w:rPr>
                <w:rFonts w:hint="eastAsia" w:ascii="仿宋_GB2312" w:hAnsi="仿宋_GB2312" w:eastAsia="仿宋_GB2312" w:cs="仿宋_GB2312"/>
                <w:color w:val="auto"/>
                <w:kern w:val="0"/>
                <w:lang w:val="zh-CN"/>
              </w:rPr>
              <w:t>分；</w:t>
            </w:r>
          </w:p>
          <w:p w14:paraId="4F6159E2">
            <w:pPr>
              <w:adjustRightInd w:val="0"/>
              <w:snapToGrid w:val="0"/>
              <w:spacing w:line="360" w:lineRule="auto"/>
              <w:rPr>
                <w:rFonts w:hint="eastAsia" w:ascii="仿宋_GB2312" w:hAnsi="仿宋_GB2312" w:eastAsia="仿宋_GB2312" w:cs="仿宋_GB2312"/>
                <w:color w:val="auto"/>
                <w:kern w:val="0"/>
                <w:lang w:val="zh-CN"/>
              </w:rPr>
            </w:pPr>
            <w:r>
              <w:rPr>
                <w:rFonts w:hint="eastAsia" w:ascii="仿宋_GB2312" w:hAnsi="仿宋_GB2312" w:eastAsia="仿宋_GB2312" w:cs="仿宋_GB2312"/>
                <w:color w:val="auto"/>
                <w:kern w:val="0"/>
                <w:lang w:val="zh-CN"/>
              </w:rPr>
              <w:t>未提供应急预案或应急预案可行性差：0分。</w:t>
            </w:r>
          </w:p>
        </w:tc>
      </w:tr>
      <w:tr w14:paraId="5FA75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00" w:type="dxa"/>
            <w:noWrap w:val="0"/>
            <w:vAlign w:val="center"/>
          </w:tcPr>
          <w:p w14:paraId="143F70FE">
            <w:pPr>
              <w:adjustRightInd w:val="0"/>
              <w:snapToGrid w:val="0"/>
              <w:spacing w:line="360" w:lineRule="auto"/>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三</w:t>
            </w:r>
          </w:p>
        </w:tc>
        <w:tc>
          <w:tcPr>
            <w:tcW w:w="8912" w:type="dxa"/>
            <w:gridSpan w:val="3"/>
            <w:noWrap w:val="0"/>
            <w:vAlign w:val="center"/>
          </w:tcPr>
          <w:p w14:paraId="4ED9EAE2">
            <w:pPr>
              <w:adjustRightInd w:val="0"/>
              <w:snapToGrid w:val="0"/>
              <w:spacing w:line="360" w:lineRule="auto"/>
              <w:rPr>
                <w:rFonts w:hint="eastAsia" w:ascii="仿宋_GB2312" w:hAnsi="仿宋_GB2312" w:eastAsia="仿宋_GB2312" w:cs="仿宋_GB2312"/>
                <w:color w:val="auto"/>
                <w:kern w:val="0"/>
                <w:lang w:val="zh-CN"/>
              </w:rPr>
            </w:pPr>
            <w:r>
              <w:rPr>
                <w:rFonts w:hint="eastAsia" w:ascii="仿宋_GB2312" w:hAnsi="仿宋_GB2312" w:eastAsia="仿宋_GB2312" w:cs="仿宋_GB2312"/>
                <w:color w:val="auto"/>
                <w:kern w:val="0"/>
              </w:rPr>
              <w:t>商务部分评分C（满分</w:t>
            </w:r>
            <w:r>
              <w:rPr>
                <w:rFonts w:hint="eastAsia" w:ascii="仿宋_GB2312" w:hAnsi="仿宋_GB2312" w:eastAsia="仿宋_GB2312" w:cs="仿宋_GB2312"/>
                <w:color w:val="auto"/>
                <w:kern w:val="0"/>
                <w:lang w:val="en-US" w:eastAsia="zh-CN"/>
              </w:rPr>
              <w:t>8</w:t>
            </w:r>
            <w:r>
              <w:rPr>
                <w:rFonts w:hint="eastAsia" w:ascii="仿宋_GB2312" w:hAnsi="仿宋_GB2312" w:eastAsia="仿宋_GB2312" w:cs="仿宋_GB2312"/>
                <w:color w:val="auto"/>
                <w:kern w:val="0"/>
              </w:rPr>
              <w:t>分，C=C1+C2</w:t>
            </w:r>
            <w:r>
              <w:rPr>
                <w:rFonts w:hint="eastAsia" w:ascii="仿宋_GB2312" w:hAnsi="仿宋_GB2312" w:eastAsia="仿宋_GB2312" w:cs="仿宋_GB2312"/>
                <w:color w:val="auto"/>
                <w:kern w:val="0"/>
                <w:lang w:val="en-US" w:eastAsia="zh-CN"/>
              </w:rPr>
              <w:t>+</w:t>
            </w:r>
            <w:r>
              <w:rPr>
                <w:rFonts w:hint="eastAsia" w:ascii="仿宋_GB2312" w:hAnsi="仿宋_GB2312" w:eastAsia="仿宋_GB2312" w:cs="仿宋_GB2312"/>
                <w:color w:val="auto"/>
                <w:kern w:val="0"/>
                <w:lang w:val="zh-CN"/>
              </w:rPr>
              <w:t>C</w:t>
            </w:r>
            <w:r>
              <w:rPr>
                <w:rFonts w:hint="eastAsia" w:ascii="仿宋_GB2312" w:hAnsi="仿宋_GB2312" w:eastAsia="仿宋_GB2312" w:cs="仿宋_GB2312"/>
                <w:color w:val="auto"/>
                <w:kern w:val="0"/>
                <w:lang w:val="en-US" w:eastAsia="zh-CN"/>
              </w:rPr>
              <w:t>3</w:t>
            </w:r>
            <w:r>
              <w:rPr>
                <w:rFonts w:hint="eastAsia" w:ascii="仿宋_GB2312" w:hAnsi="仿宋_GB2312" w:eastAsia="仿宋_GB2312" w:cs="仿宋_GB2312"/>
                <w:color w:val="auto"/>
                <w:kern w:val="0"/>
              </w:rPr>
              <w:t>）</w:t>
            </w:r>
          </w:p>
        </w:tc>
      </w:tr>
      <w:tr w14:paraId="5ED57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trPr>
        <w:tc>
          <w:tcPr>
            <w:tcW w:w="700" w:type="dxa"/>
            <w:noWrap w:val="0"/>
            <w:vAlign w:val="center"/>
          </w:tcPr>
          <w:p w14:paraId="5B3DF15F">
            <w:pPr>
              <w:adjustRightInd w:val="0"/>
              <w:snapToGrid w:val="0"/>
              <w:spacing w:line="360" w:lineRule="auto"/>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C</w:t>
            </w:r>
            <w:r>
              <w:rPr>
                <w:rFonts w:hint="eastAsia" w:ascii="仿宋_GB2312" w:hAnsi="仿宋_GB2312" w:eastAsia="仿宋_GB2312" w:cs="仿宋_GB2312"/>
                <w:color w:val="auto"/>
                <w:kern w:val="0"/>
                <w:lang w:val="en-US" w:eastAsia="zh-CN"/>
              </w:rPr>
              <w:t>1</w:t>
            </w:r>
          </w:p>
        </w:tc>
        <w:tc>
          <w:tcPr>
            <w:tcW w:w="1500" w:type="dxa"/>
            <w:noWrap w:val="0"/>
            <w:vAlign w:val="center"/>
          </w:tcPr>
          <w:p w14:paraId="72ACC092">
            <w:pPr>
              <w:adjustRightInd w:val="0"/>
              <w:snapToGrid w:val="0"/>
              <w:spacing w:line="360" w:lineRule="auto"/>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实施方案（</w:t>
            </w:r>
            <w:r>
              <w:rPr>
                <w:rFonts w:hint="eastAsia" w:ascii="仿宋_GB2312" w:hAnsi="仿宋_GB2312" w:eastAsia="仿宋_GB2312" w:cs="仿宋_GB2312"/>
                <w:color w:val="auto"/>
                <w:kern w:val="0"/>
                <w:lang w:val="en-US" w:eastAsia="zh-CN"/>
              </w:rPr>
              <w:t>4</w:t>
            </w:r>
            <w:r>
              <w:rPr>
                <w:rFonts w:hint="eastAsia" w:ascii="仿宋_GB2312" w:hAnsi="仿宋_GB2312" w:eastAsia="仿宋_GB2312" w:cs="仿宋_GB2312"/>
                <w:color w:val="auto"/>
                <w:kern w:val="0"/>
              </w:rPr>
              <w:t>分）</w:t>
            </w:r>
          </w:p>
        </w:tc>
        <w:tc>
          <w:tcPr>
            <w:tcW w:w="812" w:type="dxa"/>
            <w:noWrap w:val="0"/>
            <w:vAlign w:val="center"/>
          </w:tcPr>
          <w:p w14:paraId="2AB6E040">
            <w:pPr>
              <w:adjustRightInd w:val="0"/>
              <w:snapToGrid w:val="0"/>
              <w:spacing w:line="360" w:lineRule="auto"/>
              <w:rPr>
                <w:rFonts w:hint="eastAsia" w:ascii="仿宋_GB2312" w:hAnsi="仿宋_GB2312" w:eastAsia="仿宋_GB2312" w:cs="仿宋_GB2312"/>
                <w:color w:val="auto"/>
                <w:kern w:val="0"/>
                <w:lang w:val="en-US" w:eastAsia="zh-CN"/>
              </w:rPr>
            </w:pPr>
            <w:r>
              <w:rPr>
                <w:rFonts w:hint="eastAsia" w:ascii="仿宋_GB2312" w:hAnsi="仿宋_GB2312" w:eastAsia="仿宋_GB2312" w:cs="仿宋_GB2312"/>
                <w:color w:val="auto"/>
                <w:kern w:val="0"/>
                <w:lang w:val="en-US" w:eastAsia="zh-CN"/>
              </w:rPr>
              <w:t>4</w:t>
            </w:r>
            <w:r>
              <w:rPr>
                <w:rFonts w:hint="eastAsia" w:ascii="仿宋_GB2312" w:hAnsi="仿宋_GB2312" w:eastAsia="仿宋_GB2312" w:cs="仿宋_GB2312"/>
                <w:color w:val="auto"/>
                <w:kern w:val="0"/>
              </w:rPr>
              <w:t>分</w:t>
            </w:r>
          </w:p>
        </w:tc>
        <w:tc>
          <w:tcPr>
            <w:tcW w:w="6600" w:type="dxa"/>
            <w:noWrap w:val="0"/>
            <w:vAlign w:val="center"/>
          </w:tcPr>
          <w:p w14:paraId="281FE61C">
            <w:pPr>
              <w:adjustRightInd w:val="0"/>
              <w:snapToGrid w:val="0"/>
              <w:spacing w:line="360" w:lineRule="auto"/>
              <w:rPr>
                <w:rFonts w:hint="eastAsia" w:ascii="仿宋_GB2312" w:hAnsi="仿宋_GB2312" w:eastAsia="仿宋_GB2312" w:cs="仿宋_GB2312"/>
                <w:bCs/>
                <w:color w:val="auto"/>
              </w:rPr>
            </w:pPr>
            <w:r>
              <w:rPr>
                <w:rFonts w:hint="eastAsia" w:ascii="仿宋_GB2312" w:hAnsi="仿宋_GB2312" w:eastAsia="仿宋_GB2312" w:cs="仿宋_GB2312"/>
                <w:bCs/>
                <w:color w:val="auto"/>
              </w:rPr>
              <w:t>物业管理服务水平的整体设想及策划；拟采取的管理方式、工作计划和物资装备计划；人员的配备、培训计划；管理规章制度计划；环境卫生计划；智能化系统的管理、维护计划；日常物业管理措施；物业维修养护计划和实施方案；管理、检查、考核及奖惩措施齐全，且能完全满足采购人需求。满分</w:t>
            </w:r>
            <w:r>
              <w:rPr>
                <w:rFonts w:hint="eastAsia" w:ascii="仿宋_GB2312" w:hAnsi="仿宋_GB2312" w:eastAsia="仿宋_GB2312" w:cs="仿宋_GB2312"/>
                <w:bCs/>
                <w:color w:val="auto"/>
                <w:lang w:val="en-US" w:eastAsia="zh-CN"/>
              </w:rPr>
              <w:t>4</w:t>
            </w:r>
            <w:r>
              <w:rPr>
                <w:rFonts w:hint="eastAsia" w:ascii="仿宋_GB2312" w:hAnsi="仿宋_GB2312" w:eastAsia="仿宋_GB2312" w:cs="仿宋_GB2312"/>
                <w:bCs/>
                <w:color w:val="auto"/>
              </w:rPr>
              <w:t>分</w:t>
            </w:r>
          </w:p>
        </w:tc>
      </w:tr>
      <w:tr w14:paraId="1259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00" w:type="dxa"/>
            <w:noWrap w:val="0"/>
            <w:vAlign w:val="center"/>
          </w:tcPr>
          <w:p w14:paraId="3672D1BE">
            <w:pPr>
              <w:adjustRightInd w:val="0"/>
              <w:snapToGrid w:val="0"/>
              <w:spacing w:line="360" w:lineRule="auto"/>
              <w:rPr>
                <w:rFonts w:hint="eastAsia" w:ascii="仿宋_GB2312" w:hAnsi="仿宋_GB2312" w:eastAsia="仿宋_GB2312" w:cs="仿宋_GB2312"/>
                <w:color w:val="auto"/>
                <w:kern w:val="0"/>
                <w:lang w:val="zh-CN"/>
              </w:rPr>
            </w:pPr>
            <w:r>
              <w:rPr>
                <w:rFonts w:hint="eastAsia" w:ascii="仿宋_GB2312" w:hAnsi="仿宋_GB2312" w:eastAsia="仿宋_GB2312" w:cs="仿宋_GB2312"/>
                <w:color w:val="auto"/>
                <w:kern w:val="0"/>
              </w:rPr>
              <w:t>C</w:t>
            </w:r>
            <w:r>
              <w:rPr>
                <w:rFonts w:hint="eastAsia" w:ascii="仿宋_GB2312" w:hAnsi="仿宋_GB2312" w:eastAsia="仿宋_GB2312" w:cs="仿宋_GB2312"/>
                <w:color w:val="auto"/>
                <w:kern w:val="0"/>
                <w:lang w:val="en-US" w:eastAsia="zh-CN"/>
              </w:rPr>
              <w:t>2</w:t>
            </w:r>
          </w:p>
        </w:tc>
        <w:tc>
          <w:tcPr>
            <w:tcW w:w="1500" w:type="dxa"/>
            <w:noWrap w:val="0"/>
            <w:vAlign w:val="center"/>
          </w:tcPr>
          <w:p w14:paraId="5F0BB3CA">
            <w:pPr>
              <w:adjustRightInd w:val="0"/>
              <w:snapToGrid w:val="0"/>
              <w:spacing w:line="360" w:lineRule="auto"/>
              <w:rPr>
                <w:rFonts w:hint="eastAsia" w:ascii="仿宋_GB2312" w:hAnsi="仿宋_GB2312" w:eastAsia="仿宋_GB2312" w:cs="仿宋_GB2312"/>
                <w:color w:val="auto"/>
                <w:kern w:val="0"/>
                <w:lang w:val="zh-CN"/>
              </w:rPr>
            </w:pPr>
            <w:r>
              <w:rPr>
                <w:rFonts w:hint="eastAsia" w:ascii="仿宋_GB2312" w:hAnsi="仿宋_GB2312" w:eastAsia="仿宋_GB2312" w:cs="仿宋_GB2312"/>
                <w:color w:val="000000"/>
                <w:highlight w:val="none"/>
                <w:shd w:val="clear" w:color="auto" w:fill="auto"/>
                <w:lang w:val="zh-CN"/>
              </w:rPr>
              <w:t>不拖欠员工工资</w:t>
            </w:r>
            <w:r>
              <w:rPr>
                <w:rFonts w:hint="eastAsia" w:ascii="仿宋_GB2312" w:hAnsi="仿宋_GB2312" w:eastAsia="仿宋_GB2312" w:cs="仿宋_GB2312"/>
                <w:kern w:val="0"/>
                <w:lang w:val="en-US" w:eastAsia="zh-CN"/>
              </w:rPr>
              <w:t>承诺</w:t>
            </w:r>
            <w:r>
              <w:rPr>
                <w:rFonts w:hint="eastAsia" w:ascii="仿宋_GB2312" w:hAnsi="仿宋_GB2312" w:eastAsia="仿宋_GB2312" w:cs="仿宋_GB2312"/>
                <w:kern w:val="0"/>
              </w:rPr>
              <w:t>（</w:t>
            </w:r>
            <w:r>
              <w:rPr>
                <w:rFonts w:hint="eastAsia" w:ascii="仿宋_GB2312" w:hAnsi="仿宋_GB2312" w:eastAsia="仿宋_GB2312" w:cs="仿宋_GB2312"/>
                <w:kern w:val="0"/>
                <w:lang w:val="en-US" w:eastAsia="zh-CN"/>
              </w:rPr>
              <w:t>2</w:t>
            </w:r>
            <w:r>
              <w:rPr>
                <w:rFonts w:hint="eastAsia" w:ascii="仿宋_GB2312" w:hAnsi="仿宋_GB2312" w:eastAsia="仿宋_GB2312" w:cs="仿宋_GB2312"/>
                <w:kern w:val="0"/>
              </w:rPr>
              <w:t>分）</w:t>
            </w:r>
          </w:p>
        </w:tc>
        <w:tc>
          <w:tcPr>
            <w:tcW w:w="812" w:type="dxa"/>
            <w:noWrap w:val="0"/>
            <w:vAlign w:val="center"/>
          </w:tcPr>
          <w:p w14:paraId="029682A1">
            <w:pPr>
              <w:adjustRightInd w:val="0"/>
              <w:snapToGrid w:val="0"/>
              <w:spacing w:line="360" w:lineRule="auto"/>
              <w:rPr>
                <w:rFonts w:hint="eastAsia" w:ascii="仿宋_GB2312" w:hAnsi="仿宋_GB2312" w:eastAsia="仿宋_GB2312" w:cs="仿宋_GB2312"/>
                <w:color w:val="auto"/>
                <w:kern w:val="0"/>
                <w:lang w:val="en-US" w:eastAsia="zh-CN"/>
              </w:rPr>
            </w:pPr>
            <w:r>
              <w:rPr>
                <w:rFonts w:hint="eastAsia" w:ascii="仿宋_GB2312" w:hAnsi="仿宋_GB2312" w:eastAsia="仿宋_GB2312" w:cs="仿宋_GB2312"/>
                <w:color w:val="auto"/>
                <w:kern w:val="0"/>
                <w:lang w:val="en-US" w:eastAsia="zh-CN"/>
              </w:rPr>
              <w:t>2</w:t>
            </w:r>
            <w:r>
              <w:rPr>
                <w:rFonts w:hint="eastAsia" w:ascii="仿宋_GB2312" w:hAnsi="仿宋_GB2312" w:eastAsia="仿宋_GB2312" w:cs="仿宋_GB2312"/>
                <w:color w:val="auto"/>
                <w:kern w:val="0"/>
              </w:rPr>
              <w:t>分</w:t>
            </w:r>
          </w:p>
        </w:tc>
        <w:tc>
          <w:tcPr>
            <w:tcW w:w="6600" w:type="dxa"/>
            <w:noWrap w:val="0"/>
            <w:vAlign w:val="center"/>
          </w:tcPr>
          <w:p w14:paraId="680DD7AF">
            <w:pPr>
              <w:adjustRightInd w:val="0"/>
              <w:snapToGrid w:val="0"/>
              <w:spacing w:line="360" w:lineRule="auto"/>
              <w:rPr>
                <w:rFonts w:hint="eastAsia" w:ascii="仿宋_GB2312" w:hAnsi="仿宋_GB2312" w:eastAsia="仿宋_GB2312" w:cs="仿宋_GB2312"/>
                <w:color w:val="auto"/>
                <w:kern w:val="0"/>
                <w:lang w:val="zh-CN"/>
              </w:rPr>
            </w:pPr>
            <w:r>
              <w:rPr>
                <w:rFonts w:hint="eastAsia" w:ascii="仿宋_GB2312" w:hAnsi="仿宋_GB2312" w:eastAsia="仿宋_GB2312" w:cs="仿宋_GB2312"/>
                <w:color w:val="000000"/>
                <w:highlight w:val="none"/>
                <w:shd w:val="clear" w:color="auto" w:fill="auto"/>
                <w:lang w:val="zh-CN"/>
              </w:rPr>
              <w:t>承诺在此项目中不拖欠员工工资，提供承诺函（格式自拟）得</w:t>
            </w:r>
            <w:r>
              <w:rPr>
                <w:rFonts w:hint="eastAsia" w:ascii="仿宋_GB2312" w:hAnsi="仿宋_GB2312" w:eastAsia="仿宋_GB2312" w:cs="仿宋_GB2312"/>
                <w:color w:val="000000"/>
                <w:highlight w:val="none"/>
                <w:shd w:val="clear" w:color="auto" w:fill="auto"/>
                <w:lang w:val="en-US" w:eastAsia="zh-CN"/>
              </w:rPr>
              <w:t>2</w:t>
            </w:r>
            <w:r>
              <w:rPr>
                <w:rFonts w:hint="eastAsia" w:ascii="仿宋_GB2312" w:hAnsi="仿宋_GB2312" w:eastAsia="仿宋_GB2312" w:cs="仿宋_GB2312"/>
                <w:color w:val="000000"/>
                <w:highlight w:val="none"/>
                <w:shd w:val="clear" w:color="auto" w:fill="auto"/>
                <w:lang w:val="zh-CN"/>
              </w:rPr>
              <w:t xml:space="preserve">分 </w:t>
            </w:r>
          </w:p>
        </w:tc>
      </w:tr>
      <w:tr w14:paraId="7107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00" w:type="dxa"/>
            <w:noWrap w:val="0"/>
            <w:vAlign w:val="center"/>
          </w:tcPr>
          <w:p w14:paraId="08617705">
            <w:pPr>
              <w:adjustRightInd w:val="0"/>
              <w:snapToGrid w:val="0"/>
              <w:spacing w:line="360" w:lineRule="auto"/>
              <w:rPr>
                <w:rFonts w:hint="eastAsia" w:ascii="仿宋_GB2312" w:hAnsi="仿宋_GB2312" w:eastAsia="仿宋_GB2312" w:cs="仿宋_GB2312"/>
                <w:color w:val="auto"/>
                <w:kern w:val="0"/>
                <w:lang w:eastAsia="zh-CN"/>
              </w:rPr>
            </w:pPr>
            <w:r>
              <w:rPr>
                <w:rFonts w:hint="eastAsia" w:ascii="仿宋_GB2312" w:hAnsi="仿宋_GB2312" w:eastAsia="仿宋_GB2312" w:cs="仿宋_GB2312"/>
                <w:color w:val="auto"/>
                <w:kern w:val="0"/>
                <w:lang w:val="zh-CN"/>
              </w:rPr>
              <w:t>C</w:t>
            </w:r>
            <w:r>
              <w:rPr>
                <w:rFonts w:hint="eastAsia" w:ascii="仿宋_GB2312" w:hAnsi="仿宋_GB2312" w:eastAsia="仿宋_GB2312" w:cs="仿宋_GB2312"/>
                <w:color w:val="auto"/>
                <w:kern w:val="0"/>
                <w:lang w:val="en-US" w:eastAsia="zh-CN"/>
              </w:rPr>
              <w:t>3</w:t>
            </w:r>
          </w:p>
        </w:tc>
        <w:tc>
          <w:tcPr>
            <w:tcW w:w="1500" w:type="dxa"/>
            <w:noWrap w:val="0"/>
            <w:vAlign w:val="center"/>
          </w:tcPr>
          <w:p w14:paraId="0B332766">
            <w:pPr>
              <w:adjustRightInd w:val="0"/>
              <w:snapToGrid w:val="0"/>
              <w:spacing w:line="360" w:lineRule="auto"/>
              <w:rPr>
                <w:rFonts w:hint="eastAsia" w:ascii="仿宋_GB2312" w:hAnsi="仿宋_GB2312" w:eastAsia="仿宋_GB2312" w:cs="仿宋_GB2312"/>
                <w:color w:val="auto"/>
                <w:kern w:val="0"/>
                <w:lang w:val="zh-CN"/>
              </w:rPr>
            </w:pPr>
            <w:r>
              <w:rPr>
                <w:rFonts w:hint="eastAsia" w:ascii="仿宋_GB2312" w:hAnsi="仿宋_GB2312" w:eastAsia="仿宋_GB2312" w:cs="仿宋_GB2312"/>
                <w:color w:val="auto"/>
                <w:kern w:val="0"/>
                <w:lang w:val="zh-CN"/>
              </w:rPr>
              <w:t>标书制作</w:t>
            </w:r>
          </w:p>
          <w:p w14:paraId="24D0171A">
            <w:pPr>
              <w:adjustRightInd w:val="0"/>
              <w:snapToGrid w:val="0"/>
              <w:spacing w:line="360" w:lineRule="auto"/>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lang w:val="zh-CN"/>
              </w:rPr>
              <w:t>（满分</w:t>
            </w:r>
            <w:r>
              <w:rPr>
                <w:rFonts w:hint="eastAsia" w:ascii="仿宋_GB2312" w:hAnsi="仿宋_GB2312" w:eastAsia="仿宋_GB2312" w:cs="仿宋_GB2312"/>
                <w:color w:val="auto"/>
                <w:kern w:val="0"/>
                <w:lang w:val="en-US" w:eastAsia="zh-CN"/>
              </w:rPr>
              <w:t>2</w:t>
            </w:r>
            <w:r>
              <w:rPr>
                <w:rFonts w:hint="eastAsia" w:ascii="仿宋_GB2312" w:hAnsi="仿宋_GB2312" w:eastAsia="仿宋_GB2312" w:cs="仿宋_GB2312"/>
                <w:color w:val="auto"/>
                <w:kern w:val="0"/>
                <w:lang w:val="zh-CN"/>
              </w:rPr>
              <w:t>分）</w:t>
            </w:r>
          </w:p>
        </w:tc>
        <w:tc>
          <w:tcPr>
            <w:tcW w:w="812" w:type="dxa"/>
            <w:noWrap w:val="0"/>
            <w:vAlign w:val="center"/>
          </w:tcPr>
          <w:p w14:paraId="30C7A8B8">
            <w:pPr>
              <w:adjustRightInd w:val="0"/>
              <w:snapToGrid w:val="0"/>
              <w:spacing w:line="360" w:lineRule="auto"/>
              <w:rPr>
                <w:rFonts w:hint="eastAsia" w:ascii="仿宋_GB2312" w:hAnsi="仿宋_GB2312" w:eastAsia="仿宋_GB2312" w:cs="仿宋_GB2312"/>
                <w:color w:val="auto"/>
                <w:kern w:val="0"/>
                <w:lang w:val="en-US" w:eastAsia="zh-CN"/>
              </w:rPr>
            </w:pPr>
            <w:r>
              <w:rPr>
                <w:rFonts w:hint="eastAsia" w:ascii="仿宋_GB2312" w:hAnsi="仿宋_GB2312" w:eastAsia="仿宋_GB2312" w:cs="仿宋_GB2312"/>
                <w:color w:val="auto"/>
                <w:kern w:val="0"/>
                <w:lang w:val="en-US" w:eastAsia="zh-CN"/>
              </w:rPr>
              <w:t>2</w:t>
            </w:r>
            <w:r>
              <w:rPr>
                <w:rFonts w:hint="eastAsia" w:ascii="仿宋_GB2312" w:hAnsi="仿宋_GB2312" w:eastAsia="仿宋_GB2312" w:cs="仿宋_GB2312"/>
                <w:color w:val="auto"/>
                <w:kern w:val="0"/>
                <w:lang w:val="zh-CN"/>
              </w:rPr>
              <w:t>分</w:t>
            </w:r>
          </w:p>
        </w:tc>
        <w:tc>
          <w:tcPr>
            <w:tcW w:w="6600" w:type="dxa"/>
            <w:noWrap w:val="0"/>
            <w:vAlign w:val="center"/>
          </w:tcPr>
          <w:p w14:paraId="22159E2A">
            <w:pPr>
              <w:adjustRightInd w:val="0"/>
              <w:snapToGrid w:val="0"/>
              <w:spacing w:line="360" w:lineRule="auto"/>
              <w:rPr>
                <w:rFonts w:hint="eastAsia" w:ascii="仿宋_GB2312" w:hAnsi="仿宋_GB2312" w:eastAsia="仿宋_GB2312" w:cs="仿宋_GB2312"/>
                <w:bCs/>
                <w:color w:val="auto"/>
              </w:rPr>
            </w:pPr>
            <w:r>
              <w:rPr>
                <w:rFonts w:hint="eastAsia" w:ascii="仿宋_GB2312" w:hAnsi="仿宋_GB2312" w:eastAsia="仿宋_GB2312" w:cs="仿宋_GB2312"/>
                <w:color w:val="auto"/>
                <w:kern w:val="0"/>
                <w:lang w:val="zh-CN"/>
              </w:rPr>
              <w:t>根据投标供应商所提供的投标文件能按招标文件要求编制、装订精良、分类合理、资料提供齐全、文字综合表述清楚等情况由评委在0～</w:t>
            </w:r>
            <w:r>
              <w:rPr>
                <w:rFonts w:hint="eastAsia" w:ascii="仿宋_GB2312" w:hAnsi="仿宋_GB2312" w:eastAsia="仿宋_GB2312" w:cs="仿宋_GB2312"/>
                <w:color w:val="auto"/>
                <w:kern w:val="0"/>
                <w:lang w:val="en-US" w:eastAsia="zh-CN"/>
              </w:rPr>
              <w:t>2</w:t>
            </w:r>
            <w:r>
              <w:rPr>
                <w:rFonts w:hint="eastAsia" w:ascii="仿宋_GB2312" w:hAnsi="仿宋_GB2312" w:eastAsia="仿宋_GB2312" w:cs="仿宋_GB2312"/>
                <w:color w:val="auto"/>
                <w:kern w:val="0"/>
                <w:lang w:val="zh-CN"/>
              </w:rPr>
              <w:t>之间打分。（满分</w:t>
            </w:r>
            <w:r>
              <w:rPr>
                <w:rFonts w:hint="eastAsia" w:ascii="仿宋_GB2312" w:hAnsi="仿宋_GB2312" w:eastAsia="仿宋_GB2312" w:cs="仿宋_GB2312"/>
                <w:color w:val="auto"/>
                <w:kern w:val="0"/>
                <w:lang w:val="en-US" w:eastAsia="zh-CN"/>
              </w:rPr>
              <w:t>2</w:t>
            </w:r>
            <w:r>
              <w:rPr>
                <w:rFonts w:hint="eastAsia" w:ascii="仿宋_GB2312" w:hAnsi="仿宋_GB2312" w:eastAsia="仿宋_GB2312" w:cs="仿宋_GB2312"/>
                <w:color w:val="auto"/>
                <w:kern w:val="0"/>
                <w:lang w:val="zh-CN"/>
              </w:rPr>
              <w:t>分）</w:t>
            </w:r>
          </w:p>
        </w:tc>
      </w:tr>
    </w:tbl>
    <w:p w14:paraId="6190665B">
      <w:pPr>
        <w:rPr>
          <w:rFonts w:hint="eastAsia" w:ascii="仿宋_GB2312" w:hAnsi="仿宋_GB2312" w:eastAsia="仿宋_GB2312" w:cs="仿宋_GB2312"/>
          <w:vanish/>
          <w:color w:val="auto"/>
        </w:rPr>
      </w:pPr>
    </w:p>
    <w:p w14:paraId="429AA74A">
      <w:pPr>
        <w:rPr>
          <w:rFonts w:hint="eastAsia" w:ascii="仿宋_GB2312" w:hAnsi="仿宋_GB2312" w:eastAsia="仿宋_GB2312" w:cs="仿宋_GB2312"/>
          <w:vanish/>
          <w:color w:val="auto"/>
        </w:rPr>
      </w:pPr>
    </w:p>
    <w:tbl>
      <w:tblPr>
        <w:tblStyle w:val="11"/>
        <w:tblW w:w="0" w:type="auto"/>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7"/>
      </w:tblGrid>
      <w:tr w14:paraId="4E2A1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587" w:type="dxa"/>
            <w:noWrap w:val="0"/>
            <w:vAlign w:val="center"/>
          </w:tcPr>
          <w:p w14:paraId="6813C1CC">
            <w:pPr>
              <w:widowControl/>
              <w:spacing w:line="360" w:lineRule="exact"/>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属于中小企业评审优惠内容及价格扣除幅度</w:t>
            </w:r>
          </w:p>
        </w:tc>
      </w:tr>
      <w:tr w14:paraId="6D2E5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587" w:type="dxa"/>
            <w:noWrap w:val="0"/>
            <w:vAlign w:val="center"/>
          </w:tcPr>
          <w:p w14:paraId="3B5FE149">
            <w:pPr>
              <w:widowControl/>
              <w:spacing w:line="360" w:lineRule="exact"/>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根据中华人民共和国财政部、中华人民共和国工业和信息化部《政府采购促进中小企业发展</w:t>
            </w:r>
            <w:r>
              <w:rPr>
                <w:rFonts w:hint="eastAsia" w:ascii="仿宋_GB2312" w:hAnsi="仿宋_GB2312" w:eastAsia="仿宋_GB2312" w:cs="仿宋_GB2312"/>
                <w:color w:val="auto"/>
                <w:szCs w:val="21"/>
                <w:lang w:eastAsia="zh-CN"/>
              </w:rPr>
              <w:t>管理</w:t>
            </w:r>
            <w:r>
              <w:rPr>
                <w:rFonts w:hint="eastAsia" w:ascii="仿宋_GB2312" w:hAnsi="仿宋_GB2312" w:eastAsia="仿宋_GB2312" w:cs="仿宋_GB2312"/>
                <w:color w:val="auto"/>
                <w:szCs w:val="21"/>
              </w:rPr>
              <w:t>办法》（财库[2011]181号）文件的规定，属于中小企业评审优惠内容及幅度如下：根据《政府采购促进中小企业发展</w:t>
            </w:r>
            <w:r>
              <w:rPr>
                <w:rFonts w:hint="eastAsia" w:ascii="仿宋_GB2312" w:hAnsi="仿宋_GB2312" w:eastAsia="仿宋_GB2312" w:cs="仿宋_GB2312"/>
                <w:color w:val="auto"/>
                <w:szCs w:val="21"/>
                <w:lang w:eastAsia="zh-CN"/>
              </w:rPr>
              <w:t>管理</w:t>
            </w:r>
            <w:r>
              <w:rPr>
                <w:rFonts w:hint="eastAsia" w:ascii="仿宋_GB2312" w:hAnsi="仿宋_GB2312" w:eastAsia="仿宋_GB2312" w:cs="仿宋_GB2312"/>
                <w:color w:val="auto"/>
                <w:szCs w:val="21"/>
              </w:rPr>
              <w:t>办法》（财库[2011]181号）、《财政部 司法部关于政府采购支持监狱企业发展有关问题的通知》（财库〔2014〕68号）和《三部门联合发布关于促进残疾人就业政府采购政策的通知》（财库〔2017〕141号）的规定，对满足价格扣除条件且在投标文件中提交了《</w:t>
            </w:r>
            <w:r>
              <w:rPr>
                <w:rFonts w:hint="eastAsia" w:ascii="仿宋_GB2312" w:hAnsi="仿宋_GB2312" w:eastAsia="仿宋_GB2312" w:cs="仿宋_GB2312"/>
                <w:color w:val="auto"/>
                <w:szCs w:val="21"/>
                <w:lang w:eastAsia="zh-CN"/>
              </w:rPr>
              <w:t>投标供应商</w:t>
            </w:r>
            <w:r>
              <w:rPr>
                <w:rFonts w:hint="eastAsia" w:ascii="仿宋_GB2312" w:hAnsi="仿宋_GB2312" w:eastAsia="仿宋_GB2312" w:cs="仿宋_GB2312"/>
                <w:color w:val="auto"/>
                <w:szCs w:val="21"/>
              </w:rPr>
              <w:t>企业类型声明函》、《残疾人福利性单位声明函》或省级以上监狱</w:t>
            </w:r>
            <w:r>
              <w:rPr>
                <w:rFonts w:hint="eastAsia" w:ascii="仿宋_GB2312" w:hAnsi="仿宋_GB2312" w:eastAsia="仿宋_GB2312" w:cs="仿宋_GB2312"/>
                <w:color w:val="auto"/>
                <w:szCs w:val="21"/>
                <w:shd w:val="clear" w:color="auto" w:fill="auto"/>
              </w:rPr>
              <w:t>管理</w:t>
            </w:r>
            <w:r>
              <w:rPr>
                <w:rFonts w:hint="eastAsia" w:ascii="仿宋_GB2312" w:hAnsi="仿宋_GB2312" w:eastAsia="仿宋_GB2312" w:cs="仿宋_GB2312"/>
                <w:color w:val="auto"/>
                <w:szCs w:val="21"/>
              </w:rPr>
              <w:t>局、戒毒管理局（含新疆生产建设兵团）出具的属于监狱企业的证明文件的</w:t>
            </w:r>
            <w:r>
              <w:rPr>
                <w:rFonts w:hint="eastAsia" w:ascii="仿宋_GB2312" w:hAnsi="仿宋_GB2312" w:eastAsia="仿宋_GB2312" w:cs="仿宋_GB2312"/>
                <w:color w:val="auto"/>
                <w:szCs w:val="21"/>
                <w:lang w:eastAsia="zh-CN"/>
              </w:rPr>
              <w:t>投标供应商</w:t>
            </w:r>
            <w:r>
              <w:rPr>
                <w:rFonts w:hint="eastAsia" w:ascii="仿宋_GB2312" w:hAnsi="仿宋_GB2312" w:eastAsia="仿宋_GB2312" w:cs="仿宋_GB2312"/>
                <w:color w:val="auto"/>
                <w:szCs w:val="21"/>
              </w:rPr>
              <w:t xml:space="preserve">，其投标报价扣除 </w:t>
            </w:r>
            <w:r>
              <w:rPr>
                <w:rFonts w:hint="eastAsia" w:ascii="仿宋_GB2312" w:hAnsi="仿宋_GB2312" w:eastAsia="仿宋_GB2312" w:cs="仿宋_GB2312"/>
                <w:color w:val="auto"/>
                <w:szCs w:val="21"/>
                <w:lang w:val="en-US" w:eastAsia="zh-CN"/>
              </w:rPr>
              <w:t>10</w:t>
            </w:r>
            <w:r>
              <w:rPr>
                <w:rFonts w:hint="eastAsia" w:ascii="仿宋_GB2312" w:hAnsi="仿宋_GB2312" w:eastAsia="仿宋_GB2312" w:cs="仿宋_GB2312"/>
                <w:color w:val="auto"/>
                <w:szCs w:val="21"/>
              </w:rPr>
              <w:t xml:space="preserve"> %后参</w:t>
            </w:r>
            <w:r>
              <w:rPr>
                <w:rFonts w:hint="eastAsia" w:ascii="仿宋_GB2312" w:hAnsi="仿宋_GB2312" w:eastAsia="仿宋_GB2312" w:cs="仿宋_GB2312"/>
                <w:color w:val="auto"/>
                <w:szCs w:val="21"/>
                <w:shd w:val="clear" w:color="auto" w:fill="auto"/>
              </w:rPr>
              <w:t>与评审</w:t>
            </w:r>
            <w:r>
              <w:rPr>
                <w:rFonts w:hint="eastAsia" w:ascii="仿宋_GB2312" w:hAnsi="仿宋_GB2312" w:eastAsia="仿宋_GB2312" w:cs="仿宋_GB2312"/>
                <w:color w:val="auto"/>
                <w:szCs w:val="21"/>
              </w:rPr>
              <w:t>。对于同时属于小微企业、监狱企业或残疾人福利性单位的，不重复进行投标报价扣除。属于中小企业、监狱企业或残疾人福利性单位应提供的资料：《中小企业/监狱企业/残疾人福利性单位声明函》。</w:t>
            </w:r>
          </w:p>
        </w:tc>
      </w:tr>
    </w:tbl>
    <w:p w14:paraId="68CE40BB">
      <w:pPr>
        <w:spacing w:line="251" w:lineRule="auto"/>
        <w:rPr>
          <w:rFonts w:ascii="Arial"/>
          <w:sz w:val="21"/>
        </w:rPr>
      </w:pPr>
    </w:p>
    <w:p w14:paraId="3D51302C">
      <w:pPr>
        <w:spacing w:line="251" w:lineRule="auto"/>
        <w:rPr>
          <w:rFonts w:ascii="Arial"/>
          <w:sz w:val="21"/>
        </w:rPr>
      </w:pPr>
    </w:p>
    <w:p w14:paraId="22342BE0">
      <w:pPr>
        <w:pStyle w:val="2"/>
        <w:spacing w:before="78" w:line="219" w:lineRule="auto"/>
        <w:ind w:left="29"/>
      </w:pPr>
      <w:r>
        <w:rPr>
          <w:b/>
          <w:bCs/>
          <w:spacing w:val="-2"/>
        </w:rPr>
        <w:t>注：1、计算综合评分时，如有小数，应保留</w:t>
      </w:r>
      <w:r>
        <w:rPr>
          <w:b/>
          <w:bCs/>
          <w:spacing w:val="-3"/>
        </w:rPr>
        <w:t>两位小数。</w:t>
      </w:r>
    </w:p>
    <w:p w14:paraId="619AD293">
      <w:pPr>
        <w:spacing w:line="285" w:lineRule="auto"/>
        <w:sectPr>
          <w:headerReference r:id="rId30" w:type="default"/>
          <w:footerReference r:id="rId31" w:type="default"/>
          <w:pgSz w:w="11906" w:h="16840"/>
          <w:pgMar w:top="208" w:right="1063" w:bottom="1216" w:left="1458" w:header="6" w:footer="1050" w:gutter="0"/>
          <w:pgNumType w:fmt="decimal"/>
          <w:cols w:space="720" w:num="1"/>
        </w:sectPr>
      </w:pPr>
    </w:p>
    <w:p w14:paraId="6636F9CB">
      <w:pPr>
        <w:spacing w:line="244" w:lineRule="auto"/>
        <w:rPr>
          <w:rFonts w:ascii="Arial"/>
          <w:sz w:val="21"/>
        </w:rPr>
      </w:pPr>
    </w:p>
    <w:p w14:paraId="172DF3CC">
      <w:pPr>
        <w:pStyle w:val="2"/>
        <w:spacing w:before="100" w:line="224" w:lineRule="auto"/>
        <w:ind w:left="3202"/>
        <w:outlineLvl w:val="0"/>
        <w:rPr>
          <w:sz w:val="31"/>
          <w:szCs w:val="31"/>
        </w:rPr>
      </w:pPr>
      <w:bookmarkStart w:id="34" w:name="bookmark23"/>
      <w:bookmarkEnd w:id="34"/>
      <w:r>
        <w:rPr>
          <w:b/>
          <w:bCs/>
          <w:spacing w:val="5"/>
          <w:sz w:val="31"/>
          <w:szCs w:val="31"/>
        </w:rPr>
        <w:t>第六章</w:t>
      </w:r>
      <w:r>
        <w:rPr>
          <w:spacing w:val="5"/>
          <w:sz w:val="31"/>
          <w:szCs w:val="31"/>
        </w:rPr>
        <w:t xml:space="preserve"> </w:t>
      </w:r>
      <w:r>
        <w:rPr>
          <w:b/>
          <w:bCs/>
          <w:spacing w:val="5"/>
          <w:sz w:val="31"/>
          <w:szCs w:val="31"/>
        </w:rPr>
        <w:t>合同条款</w:t>
      </w:r>
    </w:p>
    <w:p w14:paraId="272978C8">
      <w:pPr>
        <w:spacing w:line="251" w:lineRule="auto"/>
        <w:rPr>
          <w:rFonts w:ascii="Arial"/>
          <w:sz w:val="21"/>
        </w:rPr>
      </w:pPr>
    </w:p>
    <w:p w14:paraId="5F92C5FB">
      <w:pPr>
        <w:spacing w:line="251" w:lineRule="auto"/>
        <w:rPr>
          <w:rFonts w:ascii="Arial"/>
          <w:sz w:val="21"/>
        </w:rPr>
      </w:pPr>
    </w:p>
    <w:p w14:paraId="04235BAB">
      <w:pPr>
        <w:spacing w:line="251" w:lineRule="auto"/>
        <w:rPr>
          <w:rFonts w:ascii="Arial"/>
          <w:sz w:val="21"/>
        </w:rPr>
      </w:pPr>
    </w:p>
    <w:p w14:paraId="16E9E040">
      <w:pPr>
        <w:spacing w:line="251" w:lineRule="auto"/>
        <w:rPr>
          <w:rFonts w:ascii="Arial"/>
          <w:sz w:val="21"/>
        </w:rPr>
      </w:pPr>
    </w:p>
    <w:p w14:paraId="2A229B19">
      <w:pPr>
        <w:spacing w:line="251" w:lineRule="auto"/>
        <w:rPr>
          <w:rFonts w:ascii="Arial"/>
          <w:sz w:val="21"/>
        </w:rPr>
      </w:pPr>
    </w:p>
    <w:p w14:paraId="3D962946">
      <w:pPr>
        <w:spacing w:line="255" w:lineRule="auto"/>
        <w:jc w:val="center"/>
        <w:rPr>
          <w:rFonts w:ascii="宋体" w:hAnsi="宋体" w:eastAsia="宋体" w:cs="宋体"/>
          <w:b/>
          <w:bCs/>
          <w:snapToGrid w:val="0"/>
          <w:color w:val="000000"/>
          <w:spacing w:val="-21"/>
          <w:kern w:val="0"/>
          <w:sz w:val="70"/>
          <w:szCs w:val="70"/>
          <w:lang w:val="en-US" w:eastAsia="en-US" w:bidi="ar-SA"/>
        </w:rPr>
      </w:pPr>
      <w:r>
        <w:rPr>
          <w:rFonts w:ascii="宋体" w:hAnsi="宋体" w:eastAsia="宋体" w:cs="宋体"/>
          <w:b/>
          <w:bCs/>
          <w:snapToGrid w:val="0"/>
          <w:color w:val="000000"/>
          <w:spacing w:val="-21"/>
          <w:kern w:val="0"/>
          <w:sz w:val="70"/>
          <w:szCs w:val="70"/>
          <w:lang w:val="en-US" w:eastAsia="en-US" w:bidi="ar-SA"/>
        </w:rPr>
        <w:t>巴克图口岸公共物业服务项目</w:t>
      </w:r>
    </w:p>
    <w:p w14:paraId="7FADA40A">
      <w:pPr>
        <w:spacing w:line="255" w:lineRule="auto"/>
        <w:rPr>
          <w:rFonts w:ascii="Arial"/>
          <w:sz w:val="21"/>
        </w:rPr>
      </w:pPr>
    </w:p>
    <w:p w14:paraId="58433886">
      <w:pPr>
        <w:spacing w:line="255" w:lineRule="auto"/>
        <w:rPr>
          <w:rFonts w:ascii="Arial"/>
          <w:sz w:val="21"/>
        </w:rPr>
      </w:pPr>
    </w:p>
    <w:p w14:paraId="54E3CE42">
      <w:pPr>
        <w:spacing w:line="255" w:lineRule="auto"/>
        <w:rPr>
          <w:rFonts w:ascii="Arial"/>
          <w:sz w:val="21"/>
        </w:rPr>
      </w:pPr>
    </w:p>
    <w:p w14:paraId="25878C85">
      <w:pPr>
        <w:pStyle w:val="2"/>
        <w:spacing w:before="227" w:line="221" w:lineRule="auto"/>
        <w:ind w:left="2556"/>
        <w:outlineLvl w:val="0"/>
        <w:rPr>
          <w:sz w:val="70"/>
          <w:szCs w:val="70"/>
        </w:rPr>
      </w:pPr>
      <w:bookmarkStart w:id="35" w:name="bookmark24"/>
      <w:bookmarkEnd w:id="35"/>
      <w:bookmarkStart w:id="36" w:name="bookmark25"/>
      <w:bookmarkEnd w:id="36"/>
      <w:bookmarkStart w:id="37" w:name="bookmark26"/>
      <w:bookmarkEnd w:id="37"/>
      <w:r>
        <w:rPr>
          <w:b/>
          <w:bCs/>
          <w:spacing w:val="-21"/>
          <w:sz w:val="70"/>
          <w:szCs w:val="70"/>
        </w:rPr>
        <w:t>采</w:t>
      </w:r>
      <w:r>
        <w:rPr>
          <w:spacing w:val="-21"/>
          <w:sz w:val="70"/>
          <w:szCs w:val="70"/>
        </w:rPr>
        <w:t xml:space="preserve"> </w:t>
      </w:r>
      <w:r>
        <w:rPr>
          <w:b/>
          <w:bCs/>
          <w:spacing w:val="-21"/>
          <w:sz w:val="70"/>
          <w:szCs w:val="70"/>
        </w:rPr>
        <w:t>购</w:t>
      </w:r>
      <w:r>
        <w:rPr>
          <w:spacing w:val="54"/>
          <w:sz w:val="70"/>
          <w:szCs w:val="70"/>
        </w:rPr>
        <w:t xml:space="preserve"> </w:t>
      </w:r>
      <w:r>
        <w:rPr>
          <w:b/>
          <w:bCs/>
          <w:spacing w:val="-21"/>
          <w:sz w:val="70"/>
          <w:szCs w:val="70"/>
        </w:rPr>
        <w:t>合</w:t>
      </w:r>
      <w:r>
        <w:rPr>
          <w:spacing w:val="252"/>
          <w:sz w:val="70"/>
          <w:szCs w:val="70"/>
        </w:rPr>
        <w:t xml:space="preserve"> </w:t>
      </w:r>
      <w:r>
        <w:rPr>
          <w:b/>
          <w:bCs/>
          <w:spacing w:val="-21"/>
          <w:sz w:val="70"/>
          <w:szCs w:val="70"/>
        </w:rPr>
        <w:t>同</w:t>
      </w:r>
    </w:p>
    <w:p w14:paraId="7AB47392">
      <w:pPr>
        <w:pStyle w:val="2"/>
        <w:spacing w:before="145" w:line="219" w:lineRule="auto"/>
        <w:ind w:left="1984"/>
      </w:pPr>
      <w:r>
        <w:rPr>
          <w:spacing w:val="-3"/>
        </w:rPr>
        <w:t>（以最终签订合同为准，本合同条款仅供参考）</w:t>
      </w:r>
    </w:p>
    <w:p w14:paraId="3CC0C6CE">
      <w:pPr>
        <w:spacing w:line="248" w:lineRule="auto"/>
        <w:rPr>
          <w:rFonts w:ascii="Arial"/>
          <w:sz w:val="21"/>
        </w:rPr>
      </w:pPr>
    </w:p>
    <w:p w14:paraId="01412513">
      <w:pPr>
        <w:spacing w:line="249" w:lineRule="auto"/>
        <w:rPr>
          <w:rFonts w:ascii="Arial"/>
          <w:sz w:val="21"/>
        </w:rPr>
      </w:pPr>
    </w:p>
    <w:p w14:paraId="1A8E308F">
      <w:pPr>
        <w:spacing w:line="249" w:lineRule="auto"/>
        <w:rPr>
          <w:rFonts w:ascii="Arial"/>
          <w:sz w:val="21"/>
        </w:rPr>
      </w:pPr>
    </w:p>
    <w:p w14:paraId="33BD702E">
      <w:pPr>
        <w:spacing w:line="249" w:lineRule="auto"/>
        <w:rPr>
          <w:rFonts w:ascii="Arial"/>
          <w:sz w:val="21"/>
        </w:rPr>
      </w:pPr>
    </w:p>
    <w:p w14:paraId="5969201C">
      <w:pPr>
        <w:spacing w:line="249" w:lineRule="auto"/>
        <w:rPr>
          <w:rFonts w:ascii="Arial"/>
          <w:sz w:val="21"/>
        </w:rPr>
      </w:pPr>
    </w:p>
    <w:p w14:paraId="601F81EC">
      <w:pPr>
        <w:pStyle w:val="2"/>
        <w:spacing w:before="98" w:line="219" w:lineRule="auto"/>
        <w:ind w:left="2613"/>
        <w:rPr>
          <w:rFonts w:ascii="Times New Roman" w:hAnsi="Times New Roman" w:eastAsia="Times New Roman" w:cs="Times New Roman"/>
          <w:sz w:val="30"/>
          <w:szCs w:val="30"/>
        </w:rPr>
      </w:pPr>
      <w:r>
        <w:rPr>
          <w:spacing w:val="12"/>
          <w:sz w:val="30"/>
          <w:szCs w:val="30"/>
        </w:rPr>
        <w:t>项目编号：</w:t>
      </w:r>
      <w:r>
        <w:rPr>
          <w:rFonts w:hint="eastAsia" w:ascii="宋体" w:hAnsi="宋体" w:cs="宋体"/>
          <w:b/>
          <w:bCs/>
          <w:color w:val="auto"/>
          <w:w w:val="110"/>
          <w:sz w:val="28"/>
          <w:szCs w:val="28"/>
        </w:rPr>
        <w:t>TCZFCG-202</w:t>
      </w:r>
      <w:r>
        <w:rPr>
          <w:rFonts w:hint="eastAsia" w:ascii="宋体" w:hAnsi="宋体" w:cs="宋体"/>
          <w:b/>
          <w:bCs/>
          <w:color w:val="auto"/>
          <w:w w:val="110"/>
          <w:sz w:val="28"/>
          <w:szCs w:val="28"/>
          <w:lang w:val="en-US" w:eastAsia="zh-CN"/>
        </w:rPr>
        <w:t>5</w:t>
      </w:r>
      <w:r>
        <w:rPr>
          <w:rFonts w:hint="eastAsia" w:ascii="宋体" w:hAnsi="宋体" w:cs="宋体"/>
          <w:b/>
          <w:bCs/>
          <w:color w:val="auto"/>
          <w:w w:val="110"/>
          <w:sz w:val="28"/>
          <w:szCs w:val="28"/>
        </w:rPr>
        <w:t>0</w:t>
      </w:r>
      <w:r>
        <w:rPr>
          <w:rFonts w:hint="eastAsia" w:ascii="宋体" w:hAnsi="宋体" w:cs="宋体"/>
          <w:b/>
          <w:bCs/>
          <w:color w:val="auto"/>
          <w:w w:val="110"/>
          <w:sz w:val="28"/>
          <w:szCs w:val="28"/>
          <w:lang w:val="en-US" w:eastAsia="zh-CN"/>
        </w:rPr>
        <w:t>14</w:t>
      </w:r>
    </w:p>
    <w:p w14:paraId="68B67170">
      <w:pPr>
        <w:spacing w:line="253" w:lineRule="auto"/>
        <w:rPr>
          <w:rFonts w:ascii="Arial"/>
          <w:sz w:val="21"/>
        </w:rPr>
      </w:pPr>
    </w:p>
    <w:p w14:paraId="657C92D5">
      <w:pPr>
        <w:spacing w:line="253" w:lineRule="auto"/>
        <w:rPr>
          <w:rFonts w:ascii="Arial"/>
          <w:sz w:val="21"/>
        </w:rPr>
      </w:pPr>
    </w:p>
    <w:p w14:paraId="67EDDFD4">
      <w:pPr>
        <w:spacing w:line="253" w:lineRule="auto"/>
        <w:rPr>
          <w:rFonts w:ascii="Arial"/>
          <w:sz w:val="21"/>
        </w:rPr>
      </w:pPr>
    </w:p>
    <w:p w14:paraId="494BC9C2">
      <w:pPr>
        <w:spacing w:line="253" w:lineRule="auto"/>
        <w:rPr>
          <w:rFonts w:ascii="Arial"/>
          <w:sz w:val="21"/>
        </w:rPr>
      </w:pPr>
    </w:p>
    <w:p w14:paraId="44EFD93E">
      <w:pPr>
        <w:spacing w:line="254" w:lineRule="auto"/>
        <w:rPr>
          <w:rFonts w:ascii="Arial"/>
          <w:sz w:val="21"/>
        </w:rPr>
      </w:pPr>
    </w:p>
    <w:p w14:paraId="637CECD5">
      <w:pPr>
        <w:spacing w:line="254" w:lineRule="auto"/>
        <w:rPr>
          <w:rFonts w:ascii="Arial"/>
          <w:sz w:val="21"/>
        </w:rPr>
      </w:pPr>
    </w:p>
    <w:p w14:paraId="5E27863B">
      <w:pPr>
        <w:spacing w:line="254" w:lineRule="auto"/>
        <w:rPr>
          <w:rFonts w:ascii="Arial"/>
          <w:sz w:val="21"/>
        </w:rPr>
      </w:pPr>
    </w:p>
    <w:p w14:paraId="42EBB2F0">
      <w:pPr>
        <w:spacing w:line="254" w:lineRule="auto"/>
        <w:rPr>
          <w:rFonts w:ascii="Arial"/>
          <w:sz w:val="21"/>
        </w:rPr>
      </w:pPr>
    </w:p>
    <w:p w14:paraId="2A70772B">
      <w:pPr>
        <w:spacing w:line="254" w:lineRule="auto"/>
        <w:rPr>
          <w:rFonts w:ascii="Arial"/>
          <w:sz w:val="21"/>
        </w:rPr>
      </w:pPr>
    </w:p>
    <w:p w14:paraId="5BE9D581">
      <w:pPr>
        <w:spacing w:before="98" w:line="386" w:lineRule="auto"/>
        <w:ind w:left="28" w:right="7479" w:firstLine="1"/>
        <w:jc w:val="both"/>
        <w:rPr>
          <w:rFonts w:ascii="仿宋" w:hAnsi="仿宋" w:eastAsia="仿宋" w:cs="仿宋"/>
          <w:sz w:val="30"/>
          <w:szCs w:val="30"/>
        </w:rPr>
      </w:pPr>
      <w:r>
        <w:rPr>
          <w:rFonts w:ascii="仿宋" w:hAnsi="仿宋" w:eastAsia="仿宋" w:cs="仿宋"/>
          <w:b/>
          <w:bCs/>
          <w:spacing w:val="-43"/>
          <w:sz w:val="30"/>
          <w:szCs w:val="30"/>
        </w:rPr>
        <w:t>采</w:t>
      </w:r>
      <w:r>
        <w:rPr>
          <w:rFonts w:ascii="仿宋" w:hAnsi="仿宋" w:eastAsia="仿宋" w:cs="仿宋"/>
          <w:spacing w:val="6"/>
          <w:sz w:val="30"/>
          <w:szCs w:val="30"/>
        </w:rPr>
        <w:t xml:space="preserve"> </w:t>
      </w:r>
      <w:r>
        <w:rPr>
          <w:rFonts w:ascii="仿宋" w:hAnsi="仿宋" w:eastAsia="仿宋" w:cs="仿宋"/>
          <w:b/>
          <w:bCs/>
          <w:spacing w:val="-43"/>
          <w:sz w:val="30"/>
          <w:szCs w:val="30"/>
        </w:rPr>
        <w:t>购</w:t>
      </w:r>
      <w:r>
        <w:rPr>
          <w:rFonts w:ascii="仿宋" w:hAnsi="仿宋" w:eastAsia="仿宋" w:cs="仿宋"/>
          <w:spacing w:val="12"/>
          <w:sz w:val="30"/>
          <w:szCs w:val="30"/>
        </w:rPr>
        <w:t xml:space="preserve"> </w:t>
      </w:r>
      <w:r>
        <w:rPr>
          <w:rFonts w:ascii="仿宋" w:hAnsi="仿宋" w:eastAsia="仿宋" w:cs="仿宋"/>
          <w:b/>
          <w:bCs/>
          <w:spacing w:val="-43"/>
          <w:sz w:val="30"/>
          <w:szCs w:val="30"/>
        </w:rPr>
        <w:t>人：</w:t>
      </w:r>
      <w:r>
        <w:rPr>
          <w:rFonts w:ascii="仿宋" w:hAnsi="仿宋" w:eastAsia="仿宋" w:cs="仿宋"/>
          <w:sz w:val="30"/>
          <w:szCs w:val="30"/>
        </w:rPr>
        <w:t xml:space="preserve"> </w:t>
      </w:r>
      <w:r>
        <w:rPr>
          <w:rFonts w:ascii="仿宋" w:hAnsi="仿宋" w:eastAsia="仿宋" w:cs="仿宋"/>
          <w:b/>
          <w:bCs/>
          <w:spacing w:val="-46"/>
          <w:sz w:val="30"/>
          <w:szCs w:val="30"/>
        </w:rPr>
        <w:t>供</w:t>
      </w:r>
      <w:r>
        <w:rPr>
          <w:rFonts w:ascii="仿宋" w:hAnsi="仿宋" w:eastAsia="仿宋" w:cs="仿宋"/>
          <w:spacing w:val="4"/>
          <w:sz w:val="30"/>
          <w:szCs w:val="30"/>
        </w:rPr>
        <w:t xml:space="preserve"> </w:t>
      </w:r>
      <w:r>
        <w:rPr>
          <w:rFonts w:ascii="仿宋" w:hAnsi="仿宋" w:eastAsia="仿宋" w:cs="仿宋"/>
          <w:b/>
          <w:bCs/>
          <w:spacing w:val="-46"/>
          <w:sz w:val="30"/>
          <w:szCs w:val="30"/>
        </w:rPr>
        <w:t>应</w:t>
      </w:r>
      <w:r>
        <w:rPr>
          <w:rFonts w:ascii="仿宋" w:hAnsi="仿宋" w:eastAsia="仿宋" w:cs="仿宋"/>
          <w:spacing w:val="27"/>
          <w:sz w:val="30"/>
          <w:szCs w:val="30"/>
        </w:rPr>
        <w:t xml:space="preserve"> </w:t>
      </w:r>
      <w:r>
        <w:rPr>
          <w:rFonts w:ascii="仿宋" w:hAnsi="仿宋" w:eastAsia="仿宋" w:cs="仿宋"/>
          <w:b/>
          <w:bCs/>
          <w:spacing w:val="-46"/>
          <w:sz w:val="30"/>
          <w:szCs w:val="30"/>
        </w:rPr>
        <w:t>商：</w:t>
      </w:r>
      <w:r>
        <w:rPr>
          <w:rFonts w:ascii="仿宋" w:hAnsi="仿宋" w:eastAsia="仿宋" w:cs="仿宋"/>
          <w:sz w:val="30"/>
          <w:szCs w:val="30"/>
        </w:rPr>
        <w:t xml:space="preserve"> </w:t>
      </w:r>
      <w:r>
        <w:rPr>
          <w:rFonts w:ascii="仿宋" w:hAnsi="仿宋" w:eastAsia="仿宋" w:cs="仿宋"/>
          <w:b/>
          <w:bCs/>
          <w:spacing w:val="-35"/>
          <w:sz w:val="30"/>
          <w:szCs w:val="30"/>
        </w:rPr>
        <w:t>签订日期：</w:t>
      </w:r>
    </w:p>
    <w:p w14:paraId="1E50CE70">
      <w:pPr>
        <w:spacing w:line="386" w:lineRule="auto"/>
        <w:rPr>
          <w:rFonts w:ascii="仿宋" w:hAnsi="仿宋" w:eastAsia="仿宋" w:cs="仿宋"/>
          <w:sz w:val="30"/>
          <w:szCs w:val="30"/>
        </w:rPr>
        <w:sectPr>
          <w:headerReference r:id="rId32" w:type="default"/>
          <w:footerReference r:id="rId33" w:type="default"/>
          <w:pgSz w:w="11906" w:h="16840"/>
          <w:pgMar w:top="208" w:right="1548" w:bottom="1216" w:left="1488" w:header="6" w:footer="1050" w:gutter="0"/>
          <w:pgNumType w:fmt="decimal"/>
          <w:cols w:space="720" w:num="1"/>
        </w:sectPr>
      </w:pPr>
    </w:p>
    <w:p w14:paraId="273B1C75">
      <w:pPr>
        <w:spacing w:line="464" w:lineRule="auto"/>
        <w:rPr>
          <w:rFonts w:ascii="Arial"/>
          <w:sz w:val="21"/>
        </w:rPr>
      </w:pPr>
    </w:p>
    <w:p w14:paraId="06FF1A76">
      <w:pPr>
        <w:pStyle w:val="2"/>
        <w:spacing w:before="78" w:line="219" w:lineRule="auto"/>
        <w:ind w:left="3946"/>
      </w:pPr>
      <w:r>
        <w:rPr>
          <w:spacing w:val="-16"/>
        </w:rPr>
        <w:t>合</w:t>
      </w:r>
      <w:r>
        <w:rPr>
          <w:spacing w:val="91"/>
        </w:rPr>
        <w:t xml:space="preserve"> </w:t>
      </w:r>
      <w:r>
        <w:rPr>
          <w:spacing w:val="-16"/>
        </w:rPr>
        <w:t>同（样本）</w:t>
      </w:r>
    </w:p>
    <w:p w14:paraId="57999404">
      <w:pPr>
        <w:pStyle w:val="2"/>
        <w:spacing w:before="174" w:line="340" w:lineRule="auto"/>
        <w:ind w:left="532" w:right="4145" w:firstLine="17"/>
      </w:pPr>
      <w:r>
        <w:rPr>
          <w:spacing w:val="-14"/>
        </w:rPr>
        <w:t>甲方(行政机关)：</w:t>
      </w:r>
      <w:r>
        <w:rPr>
          <w:u w:val="single" w:color="auto"/>
        </w:rPr>
        <w:t xml:space="preserve">                    </w:t>
      </w:r>
      <w:r>
        <w:rPr>
          <w:spacing w:val="2"/>
        </w:rPr>
        <w:t xml:space="preserve"> </w:t>
      </w:r>
      <w:r>
        <w:rPr>
          <w:spacing w:val="-11"/>
        </w:rPr>
        <w:t>乙方(物业企业)：</w:t>
      </w:r>
      <w:r>
        <w:rPr>
          <w:u w:val="single" w:color="auto"/>
        </w:rPr>
        <w:t xml:space="preserve">                     </w:t>
      </w:r>
    </w:p>
    <w:p w14:paraId="71E0189F">
      <w:pPr>
        <w:pStyle w:val="2"/>
        <w:spacing w:before="32" w:line="232" w:lineRule="auto"/>
        <w:ind w:left="6" w:firstLine="480"/>
        <w:jc w:val="both"/>
      </w:pPr>
      <w:r>
        <w:t>根据《中华人民共和国民法典》、《物业管理条例》、《公共机构节能条例》等</w:t>
      </w:r>
      <w:r>
        <w:rPr>
          <w:spacing w:val="8"/>
        </w:rPr>
        <w:t xml:space="preserve"> </w:t>
      </w:r>
      <w:r>
        <w:rPr>
          <w:spacing w:val="-9"/>
        </w:rPr>
        <w:t>法律、法规的规定，甲、乙双方在平等、自愿的基础上，经协商一致，就以下物业管 理</w:t>
      </w:r>
      <w:r>
        <w:rPr>
          <w:spacing w:val="4"/>
        </w:rPr>
        <w:t xml:space="preserve"> </w:t>
      </w:r>
      <w:r>
        <w:rPr>
          <w:spacing w:val="-5"/>
        </w:rPr>
        <w:t>服务事项达成协议。</w:t>
      </w:r>
    </w:p>
    <w:p w14:paraId="49C236EB">
      <w:pPr>
        <w:pStyle w:val="2"/>
        <w:spacing w:before="172" w:line="219" w:lineRule="auto"/>
        <w:ind w:left="486"/>
      </w:pPr>
      <w:r>
        <w:rPr>
          <w:spacing w:val="-3"/>
        </w:rPr>
        <w:t>第一条 物业基本情况</w:t>
      </w:r>
    </w:p>
    <w:p w14:paraId="7900B005">
      <w:pPr>
        <w:pStyle w:val="2"/>
        <w:spacing w:before="173" w:line="219" w:lineRule="auto"/>
        <w:ind w:left="486"/>
      </w:pPr>
      <w:r>
        <w:rPr>
          <w:spacing w:val="-3"/>
        </w:rPr>
        <w:t>物业名称(以下简称本物业)</w:t>
      </w:r>
    </w:p>
    <w:p w14:paraId="4BB729F1">
      <w:pPr>
        <w:pStyle w:val="2"/>
        <w:spacing w:before="172" w:line="317" w:lineRule="auto"/>
        <w:ind w:left="486" w:right="7312"/>
        <w:jc w:val="both"/>
      </w:pPr>
      <w:r>
        <w:rPr>
          <w:spacing w:val="35"/>
        </w:rPr>
        <w:t>物业类型</w:t>
      </w:r>
      <w:r>
        <w:t xml:space="preserve"> </w:t>
      </w:r>
      <w:r>
        <w:rPr>
          <w:spacing w:val="35"/>
        </w:rPr>
        <w:t>坐落位置</w:t>
      </w:r>
      <w:r>
        <w:t xml:space="preserve"> </w:t>
      </w:r>
      <w:r>
        <w:rPr>
          <w:spacing w:val="35"/>
        </w:rPr>
        <w:t>建筑面积</w:t>
      </w:r>
      <w:r>
        <w:t xml:space="preserve"> </w:t>
      </w:r>
      <w:r>
        <w:rPr>
          <w:spacing w:val="-27"/>
        </w:rPr>
        <w:t>其他说明。</w:t>
      </w:r>
    </w:p>
    <w:p w14:paraId="2A6C82F8">
      <w:pPr>
        <w:pStyle w:val="2"/>
        <w:spacing w:before="68" w:line="219" w:lineRule="auto"/>
        <w:ind w:left="486"/>
      </w:pPr>
      <w:r>
        <w:rPr>
          <w:spacing w:val="-5"/>
        </w:rPr>
        <w:t>第二条物业服务范围</w:t>
      </w:r>
    </w:p>
    <w:p w14:paraId="4C0A1105">
      <w:pPr>
        <w:pStyle w:val="2"/>
        <w:spacing w:before="174" w:line="216" w:lineRule="auto"/>
        <w:ind w:left="546"/>
        <w:rPr>
          <w:spacing w:val="-10"/>
        </w:rPr>
      </w:pPr>
      <w:r>
        <w:rPr>
          <w:spacing w:val="-10"/>
        </w:rPr>
        <w:t>甲方服务单位包括：XX，XX,具体服务内容如下：</w:t>
      </w:r>
    </w:p>
    <w:p w14:paraId="7CE0D2AE">
      <w:pPr>
        <w:pStyle w:val="3"/>
        <w:rPr>
          <w:rFonts w:hint="default"/>
          <w:lang w:val="en-US" w:eastAsia="zh-CN"/>
        </w:rPr>
      </w:pPr>
      <w:r>
        <w:rPr>
          <w:rFonts w:hint="eastAsia"/>
          <w:lang w:val="en-US" w:eastAsia="zh-CN"/>
        </w:rPr>
        <w:t>一、巴克图口岸物业服务面积</w:t>
      </w:r>
    </w:p>
    <w:p w14:paraId="39038321">
      <w:pPr>
        <w:pStyle w:val="3"/>
        <w:rPr>
          <w:rFonts w:hint="default"/>
          <w:lang w:val="en-US" w:eastAsia="zh-CN"/>
        </w:rPr>
      </w:pPr>
      <w:r>
        <w:rPr>
          <w:rFonts w:hint="eastAsia"/>
          <w:lang w:val="en-US" w:eastAsia="zh-CN"/>
        </w:rPr>
        <w:t>总面积：282932㎡（室外道路、人行道、停车场及单体建筑硬化面积243651㎡；绿化面积</w:t>
      </w:r>
      <w:r>
        <w:rPr>
          <w:rFonts w:hint="eastAsia"/>
          <w:lang w:eastAsia="zh-CN"/>
        </w:rPr>
        <w:t>20875</w:t>
      </w:r>
      <w:r>
        <w:rPr>
          <w:rFonts w:hint="eastAsia"/>
          <w:lang w:val="en-US" w:eastAsia="zh-CN"/>
        </w:rPr>
        <w:t>㎡；单体建筑面积总和18406㎡）</w:t>
      </w:r>
      <w:r>
        <w:rPr>
          <w:rFonts w:hint="eastAsia"/>
          <w:lang w:eastAsia="zh-CN"/>
        </w:rPr>
        <w:t>。</w:t>
      </w:r>
      <w:r>
        <w:rPr>
          <w:rFonts w:hint="eastAsia"/>
          <w:lang w:val="en-US" w:eastAsia="zh-CN"/>
        </w:rPr>
        <w:t>包含塔城-巴克图路（过阿克雀克检查站至上海路交汇）；辽宁路（过阿克雀克检查站左至围网）；上海路及人行道（上海路至深圳路交汇）；限定区外横一路、纵一路及人行道；限定区内道路及硬化；单体建筑周边硬化；口岸通关区域绿化；单体建筑（综合服务楼、联检厅、货检查验用房、车检通道、老锅炉房、边检前哨站）。</w:t>
      </w:r>
    </w:p>
    <w:p w14:paraId="2FC68C3E">
      <w:pPr>
        <w:pStyle w:val="3"/>
        <w:rPr>
          <w:rFonts w:hint="default"/>
          <w:lang w:val="en-US" w:eastAsia="zh-CN"/>
        </w:rPr>
      </w:pPr>
      <w:r>
        <w:rPr>
          <w:rFonts w:hint="eastAsia"/>
          <w:lang w:val="en-US" w:eastAsia="zh-CN"/>
        </w:rPr>
        <w:t>二、物业服务费用及期限</w:t>
      </w:r>
    </w:p>
    <w:p w14:paraId="2C7196FE">
      <w:pPr>
        <w:pStyle w:val="3"/>
        <w:rPr>
          <w:rFonts w:hint="default"/>
          <w:lang w:val="en-US" w:eastAsia="zh-CN"/>
        </w:rPr>
      </w:pPr>
      <w:r>
        <w:rPr>
          <w:rFonts w:hint="eastAsia"/>
          <w:lang w:val="en-US" w:eastAsia="zh-CN"/>
        </w:rPr>
        <w:t>巴克图口岸物业服务费包含：维稳安保；保洁（室外冬季打冰扫雪及保洁卫生、室内保洁卫生、绿化养护）；消防设施设备、高低压电、弱电、室内外水暖、供排水及配套设施设备的维修保养及检测；单体建筑的维修。相应配备物业负责人，安保、消防、低压电工、水暖、弱电等服务人员。</w:t>
      </w:r>
    </w:p>
    <w:p w14:paraId="50E80E43">
      <w:pPr>
        <w:pStyle w:val="3"/>
        <w:rPr>
          <w:rFonts w:hint="eastAsia"/>
          <w:lang w:val="en-US" w:eastAsia="zh-CN"/>
        </w:rPr>
      </w:pPr>
      <w:r>
        <w:rPr>
          <w:rFonts w:hint="eastAsia"/>
          <w:lang w:val="en-US" w:eastAsia="zh-CN"/>
        </w:rPr>
        <w:t>服务期限：自     年  月  日至     年   月   日，物业服务期限为1年。</w:t>
      </w:r>
    </w:p>
    <w:p w14:paraId="0C3E0AB7">
      <w:pPr>
        <w:pStyle w:val="3"/>
        <w:rPr>
          <w:rFonts w:hint="default"/>
          <w:lang w:val="en-US" w:eastAsia="zh-CN"/>
        </w:rPr>
      </w:pPr>
      <w:r>
        <w:rPr>
          <w:rFonts w:hint="eastAsia"/>
          <w:lang w:val="en-US" w:eastAsia="zh-CN"/>
        </w:rPr>
        <w:t>三、维稳安保</w:t>
      </w:r>
    </w:p>
    <w:p w14:paraId="15A2ECEA">
      <w:pPr>
        <w:pStyle w:val="3"/>
        <w:rPr>
          <w:rFonts w:hint="eastAsia"/>
          <w:lang w:val="en-US" w:eastAsia="zh-CN"/>
        </w:rPr>
      </w:pPr>
      <w:r>
        <w:rPr>
          <w:rFonts w:hint="eastAsia"/>
          <w:lang w:val="en-US" w:eastAsia="zh-CN"/>
        </w:rPr>
        <w:t>1、安保人员要求</w:t>
      </w:r>
    </w:p>
    <w:p w14:paraId="64272784">
      <w:pPr>
        <w:pStyle w:val="3"/>
        <w:rPr>
          <w:rFonts w:hint="eastAsia"/>
          <w:lang w:val="en-US" w:eastAsia="zh-CN"/>
        </w:rPr>
      </w:pPr>
      <w:r>
        <w:rPr>
          <w:rFonts w:hint="eastAsia"/>
          <w:lang w:val="en-US" w:eastAsia="zh-CN"/>
        </w:rPr>
        <w:t>（1）上岗前须经过正规的保安培训，取得保安员证，符合上岗要求。</w:t>
      </w:r>
    </w:p>
    <w:p w14:paraId="5D5E2D95">
      <w:pPr>
        <w:pStyle w:val="3"/>
        <w:rPr>
          <w:rFonts w:hint="eastAsia"/>
          <w:lang w:val="en-US" w:eastAsia="zh-CN"/>
        </w:rPr>
      </w:pPr>
      <w:r>
        <w:rPr>
          <w:rFonts w:hint="eastAsia"/>
          <w:lang w:val="en-US" w:eastAsia="zh-CN"/>
        </w:rPr>
        <w:t>（2）无违法犯罪记录，品德端正，遵纪守法，历史清楚，经公安部门政治审查合格。</w:t>
      </w:r>
    </w:p>
    <w:p w14:paraId="6622AF79">
      <w:pPr>
        <w:pStyle w:val="3"/>
        <w:rPr>
          <w:rFonts w:hint="eastAsia"/>
          <w:lang w:val="en-US" w:eastAsia="zh-CN"/>
        </w:rPr>
      </w:pPr>
      <w:r>
        <w:rPr>
          <w:rFonts w:hint="eastAsia"/>
          <w:lang w:val="en-US" w:eastAsia="zh-CN"/>
        </w:rPr>
        <w:t>（3）安保人员善于发现各类问题，具备一定的安保经验和处理突发事件能力。安保人员需知法、懂法、守法、依法办事，严格遵守保安从业规定。</w:t>
      </w:r>
    </w:p>
    <w:p w14:paraId="73CA40FE">
      <w:pPr>
        <w:pStyle w:val="3"/>
        <w:rPr>
          <w:rFonts w:hint="eastAsia"/>
          <w:lang w:val="en-US" w:eastAsia="zh-CN"/>
        </w:rPr>
      </w:pPr>
      <w:r>
        <w:rPr>
          <w:rFonts w:hint="eastAsia"/>
          <w:lang w:val="en-US" w:eastAsia="zh-CN"/>
        </w:rPr>
        <w:t>2、安保服务内容</w:t>
      </w:r>
    </w:p>
    <w:p w14:paraId="10A43B18">
      <w:pPr>
        <w:pStyle w:val="3"/>
        <w:rPr>
          <w:rFonts w:hint="eastAsia"/>
          <w:lang w:val="en-US" w:eastAsia="zh-CN"/>
        </w:rPr>
      </w:pPr>
      <w:r>
        <w:rPr>
          <w:rFonts w:hint="eastAsia"/>
          <w:lang w:val="en-US" w:eastAsia="zh-CN"/>
        </w:rPr>
        <w:t>依照口岸管理要求和相关规定，结合实际情况，制订切实可行的安保制度、方案、预案，开展专业化安全防范，采取点、线、面相结合的治安防暴管控措施。</w:t>
      </w:r>
    </w:p>
    <w:p w14:paraId="786E9891">
      <w:pPr>
        <w:pStyle w:val="3"/>
        <w:rPr>
          <w:rFonts w:hint="default"/>
          <w:lang w:val="en-US" w:eastAsia="zh-CN"/>
        </w:rPr>
      </w:pPr>
      <w:r>
        <w:rPr>
          <w:rFonts w:hint="eastAsia"/>
          <w:lang w:val="en-US" w:eastAsia="zh-CN"/>
        </w:rPr>
        <w:t>（1）以旅检大厅和办公楼为中心辐射配备安保人员</w:t>
      </w:r>
    </w:p>
    <w:p w14:paraId="6358C9C9">
      <w:pPr>
        <w:pStyle w:val="3"/>
        <w:rPr>
          <w:rFonts w:hint="eastAsia"/>
          <w:lang w:val="en-US" w:eastAsia="zh-CN"/>
        </w:rPr>
      </w:pPr>
      <w:r>
        <w:rPr>
          <w:rFonts w:hint="eastAsia"/>
          <w:lang w:val="en-US" w:eastAsia="zh-CN"/>
        </w:rPr>
        <w:t>（2）负责安保管理区域人员、车辆管理和安保范围内防火、防盗、防投毒、防恐、治安巡逻，维持秩序，维护稳定，及时发现和消除安全隐患。</w:t>
      </w:r>
    </w:p>
    <w:p w14:paraId="1A6324E6">
      <w:pPr>
        <w:pStyle w:val="3"/>
        <w:rPr>
          <w:rFonts w:hint="eastAsia"/>
          <w:lang w:val="en-US" w:eastAsia="zh-CN"/>
        </w:rPr>
      </w:pPr>
      <w:r>
        <w:rPr>
          <w:rFonts w:hint="eastAsia"/>
          <w:lang w:val="en-US" w:eastAsia="zh-CN"/>
        </w:rPr>
        <w:t>（3）负责公共部位日常安全隐患检查及上报，违规纠正，有针对性地开展安全教育和提示。</w:t>
      </w:r>
    </w:p>
    <w:p w14:paraId="447741BB">
      <w:pPr>
        <w:pStyle w:val="3"/>
        <w:rPr>
          <w:rFonts w:hint="eastAsia"/>
          <w:lang w:val="en-US" w:eastAsia="zh-CN"/>
        </w:rPr>
      </w:pPr>
      <w:r>
        <w:rPr>
          <w:rFonts w:hint="eastAsia"/>
          <w:lang w:val="en-US" w:eastAsia="zh-CN"/>
        </w:rPr>
        <w:t>（4）制定突发事件处置等防控预案，配合甲方及时正确处理的各类突发事件，随时准备提供紧急援助。</w:t>
      </w:r>
    </w:p>
    <w:p w14:paraId="75D71B2C">
      <w:pPr>
        <w:pStyle w:val="3"/>
        <w:rPr>
          <w:rFonts w:hint="eastAsia"/>
          <w:lang w:val="en-US" w:eastAsia="zh-CN"/>
        </w:rPr>
      </w:pPr>
      <w:r>
        <w:rPr>
          <w:rFonts w:hint="eastAsia"/>
          <w:lang w:val="en-US" w:eastAsia="zh-CN"/>
        </w:rPr>
        <w:t>（5）负责重大活动的安全警戒与秩序保障。</w:t>
      </w:r>
    </w:p>
    <w:p w14:paraId="3C66AB24">
      <w:pPr>
        <w:pStyle w:val="3"/>
        <w:rPr>
          <w:rFonts w:hint="eastAsia"/>
          <w:lang w:val="en-US" w:eastAsia="zh-CN"/>
        </w:rPr>
      </w:pPr>
      <w:r>
        <w:rPr>
          <w:rFonts w:hint="eastAsia"/>
          <w:lang w:val="en-US" w:eastAsia="zh-CN"/>
        </w:rPr>
        <w:t>（6）确保所有安保、视频监控等设施的正常稳定运行。</w:t>
      </w:r>
    </w:p>
    <w:p w14:paraId="24EC7A97">
      <w:pPr>
        <w:pStyle w:val="3"/>
        <w:rPr>
          <w:rFonts w:hint="eastAsia"/>
          <w:lang w:val="en-US" w:eastAsia="zh-CN"/>
        </w:rPr>
      </w:pPr>
      <w:r>
        <w:rPr>
          <w:rFonts w:hint="eastAsia"/>
          <w:lang w:val="en-US" w:eastAsia="zh-CN"/>
        </w:rPr>
        <w:t>（7）其它属于安保专项工作临时交办任务。</w:t>
      </w:r>
    </w:p>
    <w:p w14:paraId="03A2A385">
      <w:pPr>
        <w:pStyle w:val="3"/>
        <w:rPr>
          <w:rFonts w:hint="eastAsia"/>
          <w:lang w:val="en-US" w:eastAsia="zh-CN"/>
        </w:rPr>
      </w:pPr>
      <w:r>
        <w:rPr>
          <w:rFonts w:hint="eastAsia"/>
          <w:lang w:val="en-US" w:eastAsia="zh-CN"/>
        </w:rPr>
        <w:t>四、室内外保洁</w:t>
      </w:r>
    </w:p>
    <w:p w14:paraId="21585780">
      <w:pPr>
        <w:pStyle w:val="3"/>
        <w:rPr>
          <w:rFonts w:hint="default"/>
          <w:lang w:val="en-US" w:eastAsia="zh-CN"/>
        </w:rPr>
      </w:pPr>
      <w:r>
        <w:rPr>
          <w:rFonts w:hint="eastAsia"/>
          <w:lang w:val="en-US" w:eastAsia="zh-CN"/>
        </w:rPr>
        <w:t xml:space="preserve"> （一）室内保洁</w:t>
      </w:r>
    </w:p>
    <w:p w14:paraId="7B5AE844">
      <w:pPr>
        <w:pStyle w:val="3"/>
        <w:rPr>
          <w:rFonts w:hint="eastAsia"/>
          <w:lang w:val="en-US" w:eastAsia="zh-CN"/>
        </w:rPr>
      </w:pPr>
      <w:r>
        <w:rPr>
          <w:rFonts w:hint="eastAsia"/>
          <w:lang w:val="en-US" w:eastAsia="zh-CN"/>
        </w:rPr>
        <w:t>（1）室内保洁包含综合楼、联检厅（7x12小时保持整洁）、货检查验用房、车检通道、老锅炉房、边检前哨站等单体建筑。</w:t>
      </w:r>
    </w:p>
    <w:p w14:paraId="62A7918B">
      <w:pPr>
        <w:pStyle w:val="3"/>
        <w:rPr>
          <w:rFonts w:hint="eastAsia"/>
          <w:lang w:val="en-US" w:eastAsia="zh-CN"/>
        </w:rPr>
      </w:pPr>
      <w:r>
        <w:rPr>
          <w:rFonts w:hint="eastAsia"/>
          <w:lang w:val="en-US" w:eastAsia="zh-CN"/>
        </w:rPr>
        <w:t>（2）做到地面无杂物、无污痕、无水渍；门窗、不锈钢护栏无灰尘；室内盆花根据情况适时浇水、修剪、花叶无灰尘。</w:t>
      </w:r>
    </w:p>
    <w:p w14:paraId="1CAAAFAC">
      <w:pPr>
        <w:pStyle w:val="3"/>
        <w:rPr>
          <w:rFonts w:hint="eastAsia"/>
          <w:lang w:val="en-US" w:eastAsia="zh-CN"/>
        </w:rPr>
      </w:pPr>
      <w:r>
        <w:rPr>
          <w:rFonts w:hint="eastAsia"/>
          <w:lang w:val="en-US" w:eastAsia="zh-CN"/>
        </w:rPr>
        <w:t>（3）公共卫生间保洁，做到地面无杂物、无污痕、无水渍，大小便池无污渍，洗手池无污渍、无积水，衣帽镜无污渍，每日不少于2次对共用卫生间进行消杀，并有记录.</w:t>
      </w:r>
    </w:p>
    <w:p w14:paraId="3F938DE9">
      <w:pPr>
        <w:pStyle w:val="3"/>
        <w:rPr>
          <w:rFonts w:hint="eastAsia"/>
          <w:lang w:val="en-US" w:eastAsia="zh-CN"/>
        </w:rPr>
      </w:pPr>
      <w:r>
        <w:rPr>
          <w:rFonts w:hint="eastAsia"/>
          <w:lang w:val="en-US" w:eastAsia="zh-CN"/>
        </w:rPr>
        <w:t>（4）重点部位（单体建筑内部会客室、活动室、会议室、卫生间）保洁，做到地面无杂物、无污痕、无水渍，茶几、窗台、茶水柜无灰尘；会议室、贵宾室、茶水间等每次使用完后，立即打扫。</w:t>
      </w:r>
    </w:p>
    <w:p w14:paraId="5197FAC2">
      <w:pPr>
        <w:pStyle w:val="3"/>
        <w:rPr>
          <w:rFonts w:hint="eastAsia"/>
          <w:lang w:val="en-US" w:eastAsia="zh-CN"/>
        </w:rPr>
      </w:pPr>
      <w:r>
        <w:rPr>
          <w:rFonts w:hint="eastAsia"/>
          <w:lang w:val="en-US" w:eastAsia="zh-CN"/>
        </w:rPr>
        <w:t>（5）每日打扫不少于1次各楼层通道和楼梯台阶，做到地面无杂物、无污痕、无水渍；门窗、不锈钢护栏无灰尘。</w:t>
      </w:r>
    </w:p>
    <w:p w14:paraId="0B32F4C8">
      <w:pPr>
        <w:pStyle w:val="3"/>
        <w:rPr>
          <w:rFonts w:hint="default"/>
          <w:lang w:val="en-US" w:eastAsia="zh-CN"/>
        </w:rPr>
      </w:pPr>
      <w:r>
        <w:rPr>
          <w:rFonts w:hint="eastAsia"/>
          <w:lang w:val="en-US" w:eastAsia="zh-CN"/>
        </w:rPr>
        <w:t>（6）单体建筑公共区域每周一次消杀处理，并做好记录。</w:t>
      </w:r>
    </w:p>
    <w:p w14:paraId="01D94673">
      <w:pPr>
        <w:pStyle w:val="3"/>
        <w:rPr>
          <w:rFonts w:hint="default"/>
          <w:lang w:val="en-US" w:eastAsia="zh-CN"/>
        </w:rPr>
      </w:pPr>
      <w:r>
        <w:rPr>
          <w:rFonts w:hint="eastAsia"/>
          <w:lang w:val="en-US" w:eastAsia="zh-CN"/>
        </w:rPr>
        <w:t>（7）做好各单体建筑防鼠灭鼠，投放毒饵盒、粘鼠板的灭鼠工具，并做好记录。</w:t>
      </w:r>
    </w:p>
    <w:p w14:paraId="7A4771E6">
      <w:pPr>
        <w:pStyle w:val="3"/>
        <w:rPr>
          <w:rFonts w:hint="default"/>
          <w:lang w:val="en-US" w:eastAsia="zh-CN"/>
        </w:rPr>
      </w:pPr>
      <w:r>
        <w:rPr>
          <w:rFonts w:hint="eastAsia"/>
          <w:lang w:val="en-US" w:eastAsia="zh-CN"/>
        </w:rPr>
        <w:t>（8）卫生保洁用品（包括洗手液、消杀药水及片剂、空气清新剂等）包含在物业总服务费中。</w:t>
      </w:r>
    </w:p>
    <w:p w14:paraId="741A9C31">
      <w:pPr>
        <w:pStyle w:val="3"/>
        <w:rPr>
          <w:rFonts w:hint="eastAsia"/>
          <w:lang w:val="en-US" w:eastAsia="zh-CN"/>
        </w:rPr>
      </w:pPr>
      <w:r>
        <w:rPr>
          <w:rFonts w:hint="eastAsia"/>
          <w:lang w:val="en-US" w:eastAsia="zh-CN"/>
        </w:rPr>
        <w:t>（二）室外保洁</w:t>
      </w:r>
    </w:p>
    <w:p w14:paraId="2286154F">
      <w:pPr>
        <w:pStyle w:val="3"/>
        <w:rPr>
          <w:rFonts w:hint="eastAsia"/>
          <w:lang w:val="en-US" w:eastAsia="zh-CN"/>
        </w:rPr>
      </w:pPr>
      <w:r>
        <w:rPr>
          <w:rFonts w:hint="eastAsia"/>
          <w:lang w:val="en-US" w:eastAsia="zh-CN"/>
        </w:rPr>
        <w:t>（1）道路及建筑周边每日清扫不少于1次，做到无砂石、无泥土、无烟头、无落叶、无积水、无垃圾。</w:t>
      </w:r>
    </w:p>
    <w:p w14:paraId="3FB41A12">
      <w:pPr>
        <w:pStyle w:val="3"/>
        <w:rPr>
          <w:rFonts w:hint="eastAsia"/>
          <w:lang w:val="en-US" w:eastAsia="zh-CN"/>
        </w:rPr>
      </w:pPr>
      <w:r>
        <w:rPr>
          <w:rFonts w:hint="eastAsia"/>
          <w:lang w:val="en-US" w:eastAsia="zh-CN"/>
        </w:rPr>
        <w:t>（2）人行道每日清扫不少于1次，目视无杂物、无污渍、无垃圾 。</w:t>
      </w:r>
    </w:p>
    <w:p w14:paraId="0C5C3F49">
      <w:pPr>
        <w:pStyle w:val="3"/>
        <w:rPr>
          <w:rFonts w:hint="eastAsia"/>
          <w:lang w:val="en-US" w:eastAsia="zh-CN"/>
        </w:rPr>
      </w:pPr>
      <w:r>
        <w:rPr>
          <w:rFonts w:hint="eastAsia"/>
          <w:lang w:val="en-US" w:eastAsia="zh-CN"/>
        </w:rPr>
        <w:t>（3）标识、宣传牌每月擦拭1次。清洁后检查无污渍、无积灰，不损伤被清洁物。</w:t>
      </w:r>
    </w:p>
    <w:p w14:paraId="63E9E9AB">
      <w:pPr>
        <w:pStyle w:val="3"/>
        <w:rPr>
          <w:rFonts w:hint="eastAsia"/>
          <w:lang w:val="en-US" w:eastAsia="zh-CN"/>
        </w:rPr>
      </w:pPr>
      <w:r>
        <w:rPr>
          <w:rFonts w:hint="eastAsia"/>
          <w:lang w:val="en-US" w:eastAsia="zh-CN"/>
        </w:rPr>
        <w:t>（4）垃圾桶、果皮箱每日清运1次；周围地面垃圾不明显、无明显污迹。</w:t>
      </w:r>
    </w:p>
    <w:p w14:paraId="471A19FF">
      <w:pPr>
        <w:pStyle w:val="3"/>
        <w:rPr>
          <w:rFonts w:hint="eastAsia"/>
          <w:lang w:val="en-US" w:eastAsia="zh-CN"/>
        </w:rPr>
      </w:pPr>
      <w:r>
        <w:rPr>
          <w:rFonts w:hint="eastAsia"/>
          <w:lang w:val="en-US" w:eastAsia="zh-CN"/>
        </w:rPr>
        <w:t>（5）每季度对所有共用部位玻璃清洁1次。</w:t>
      </w:r>
    </w:p>
    <w:p w14:paraId="6CF4EBCC">
      <w:pPr>
        <w:pStyle w:val="3"/>
        <w:rPr>
          <w:rFonts w:hint="eastAsia"/>
          <w:lang w:val="en-US" w:eastAsia="zh-CN"/>
        </w:rPr>
      </w:pPr>
      <w:r>
        <w:rPr>
          <w:rFonts w:hint="eastAsia"/>
          <w:lang w:val="en-US" w:eastAsia="zh-CN"/>
        </w:rPr>
        <w:t>（6）如遇口岸区有大型接待任务或上级检查工作时，需按甲方要求时限及标准内完成卫生保洁工作。</w:t>
      </w:r>
    </w:p>
    <w:p w14:paraId="3D00E4E5">
      <w:pPr>
        <w:pStyle w:val="3"/>
        <w:rPr>
          <w:rFonts w:hint="eastAsia"/>
          <w:lang w:val="en-US" w:eastAsia="zh-CN"/>
        </w:rPr>
      </w:pPr>
      <w:r>
        <w:rPr>
          <w:rFonts w:hint="eastAsia"/>
          <w:lang w:val="en-US" w:eastAsia="zh-CN"/>
        </w:rPr>
        <w:t>（7）室外保洁设备由企业自备，室外保洁用品包含在物业总服务费中。</w:t>
      </w:r>
    </w:p>
    <w:p w14:paraId="02C54DC6">
      <w:pPr>
        <w:pStyle w:val="3"/>
        <w:rPr>
          <w:rFonts w:hint="default"/>
          <w:lang w:val="en-US" w:eastAsia="zh-CN"/>
        </w:rPr>
      </w:pPr>
      <w:r>
        <w:rPr>
          <w:rFonts w:hint="eastAsia"/>
          <w:lang w:val="en-US" w:eastAsia="zh-CN"/>
        </w:rPr>
        <w:t xml:space="preserve">    （三）打冰扫雪</w:t>
      </w:r>
    </w:p>
    <w:p w14:paraId="7E3D4006">
      <w:pPr>
        <w:pStyle w:val="3"/>
        <w:rPr>
          <w:rFonts w:hint="eastAsia"/>
          <w:lang w:val="en-US" w:eastAsia="zh-CN"/>
        </w:rPr>
      </w:pPr>
      <w:r>
        <w:rPr>
          <w:rFonts w:hint="eastAsia"/>
          <w:lang w:val="en-US" w:eastAsia="zh-CN"/>
        </w:rPr>
        <w:t>1、小雪清扫，1个工作日内清扫完成，每天10：00前需保证通关区域主通道、国门前、旅检厅前停车场车辆、人员通行正常。</w:t>
      </w:r>
    </w:p>
    <w:p w14:paraId="29686CE4">
      <w:pPr>
        <w:pStyle w:val="3"/>
        <w:rPr>
          <w:rFonts w:hint="eastAsia"/>
          <w:lang w:val="en-US" w:eastAsia="zh-CN"/>
        </w:rPr>
      </w:pPr>
      <w:r>
        <w:rPr>
          <w:rFonts w:hint="eastAsia"/>
          <w:lang w:val="en-US" w:eastAsia="zh-CN"/>
        </w:rPr>
        <w:t>2、中雪清扫，2个工作日内清扫完成，每天10：00前需保证通关区域主通道、国门前、旅检厅前停车场车辆、人员通行正常。</w:t>
      </w:r>
    </w:p>
    <w:p w14:paraId="3390B9D2">
      <w:pPr>
        <w:pStyle w:val="3"/>
        <w:rPr>
          <w:rFonts w:hint="eastAsia"/>
          <w:lang w:val="en-US" w:eastAsia="zh-CN"/>
        </w:rPr>
      </w:pPr>
      <w:r>
        <w:rPr>
          <w:rFonts w:hint="eastAsia"/>
          <w:lang w:val="en-US" w:eastAsia="zh-CN"/>
        </w:rPr>
        <w:t>3、大雪到暴雪清扫，3个工作日内清扫完成，每天10：00前需保证通关区域主通道、国门前、旅检厅前停车场车辆、人员通行正常。</w:t>
      </w:r>
    </w:p>
    <w:p w14:paraId="7AA15D09">
      <w:pPr>
        <w:pStyle w:val="3"/>
        <w:rPr>
          <w:rFonts w:hint="default"/>
          <w:lang w:val="en-US" w:eastAsia="zh-CN"/>
        </w:rPr>
      </w:pPr>
      <w:r>
        <w:rPr>
          <w:rFonts w:hint="eastAsia"/>
          <w:lang w:val="en-US" w:eastAsia="zh-CN"/>
        </w:rPr>
        <w:t>4、所有道路、人行道、硬化场地清扫达到无冰无雪，道路清扫至两侧路沿石露出，路边堆放修理平整，</w:t>
      </w:r>
    </w:p>
    <w:p w14:paraId="1820A261">
      <w:pPr>
        <w:pStyle w:val="3"/>
        <w:rPr>
          <w:rFonts w:hint="eastAsia"/>
          <w:lang w:val="en-US" w:eastAsia="zh-CN"/>
        </w:rPr>
      </w:pPr>
      <w:r>
        <w:rPr>
          <w:rFonts w:hint="eastAsia"/>
          <w:lang w:val="en-US" w:eastAsia="zh-CN"/>
        </w:rPr>
        <w:t>如遇口岸区有大型接待任务或上级检查工作时，需按甲方要求时限及标准内完成相关工作。</w:t>
      </w:r>
    </w:p>
    <w:p w14:paraId="232C7AD8">
      <w:pPr>
        <w:pStyle w:val="3"/>
        <w:rPr>
          <w:rFonts w:hint="default"/>
          <w:lang w:val="en-US" w:eastAsia="zh-CN"/>
        </w:rPr>
      </w:pPr>
      <w:r>
        <w:rPr>
          <w:rFonts w:hint="eastAsia"/>
          <w:lang w:val="en-US" w:eastAsia="zh-CN"/>
        </w:rPr>
        <w:t>6、因打冰扫雪原因致使口岸区域设施设备造成损坏的由物业公司赔偿或更换。</w:t>
      </w:r>
    </w:p>
    <w:p w14:paraId="5E072087">
      <w:pPr>
        <w:pStyle w:val="3"/>
        <w:rPr>
          <w:rFonts w:hint="eastAsia"/>
          <w:lang w:val="en-US" w:eastAsia="zh-CN"/>
        </w:rPr>
      </w:pPr>
      <w:r>
        <w:rPr>
          <w:rFonts w:hint="eastAsia"/>
          <w:lang w:val="en-US" w:eastAsia="zh-CN"/>
        </w:rPr>
        <w:t>7、打冰扫雪设备及用品由企业自备。</w:t>
      </w:r>
    </w:p>
    <w:p w14:paraId="79B0344D">
      <w:pPr>
        <w:pStyle w:val="3"/>
        <w:rPr>
          <w:rFonts w:hint="eastAsia"/>
          <w:lang w:val="en-US" w:eastAsia="zh-CN"/>
        </w:rPr>
      </w:pPr>
      <w:r>
        <w:rPr>
          <w:rFonts w:hint="eastAsia"/>
          <w:lang w:val="en-US" w:eastAsia="zh-CN"/>
        </w:rPr>
        <w:t>（四）绿化管护</w:t>
      </w:r>
    </w:p>
    <w:p w14:paraId="3FD7C305">
      <w:pPr>
        <w:pStyle w:val="3"/>
        <w:rPr>
          <w:rFonts w:hint="eastAsia"/>
          <w:lang w:val="en-US" w:eastAsia="zh-CN"/>
        </w:rPr>
      </w:pPr>
      <w:r>
        <w:rPr>
          <w:rFonts w:hint="eastAsia"/>
          <w:lang w:val="en-US" w:eastAsia="zh-CN"/>
        </w:rPr>
        <w:t>1、定期修剪清理绿化带及杂草，每年粉刷树木（高度1米），所有植被修剪前不高于地面15cm，修剪后不超过地面5cm。</w:t>
      </w:r>
    </w:p>
    <w:p w14:paraId="3B6A8057">
      <w:pPr>
        <w:pStyle w:val="3"/>
        <w:rPr>
          <w:rFonts w:hint="eastAsia"/>
          <w:lang w:val="en-US" w:eastAsia="zh-CN"/>
        </w:rPr>
      </w:pPr>
      <w:r>
        <w:rPr>
          <w:rFonts w:hint="eastAsia"/>
          <w:lang w:val="en-US" w:eastAsia="zh-CN"/>
        </w:rPr>
        <w:t>2、绿化带根据天气情况，每周浇水1-2次。</w:t>
      </w:r>
    </w:p>
    <w:p w14:paraId="56C3E3A0">
      <w:pPr>
        <w:pStyle w:val="3"/>
        <w:rPr>
          <w:rFonts w:hint="eastAsia"/>
          <w:lang w:val="en-US" w:eastAsia="zh-CN"/>
        </w:rPr>
      </w:pPr>
      <w:r>
        <w:rPr>
          <w:rFonts w:hint="eastAsia"/>
          <w:lang w:val="en-US" w:eastAsia="zh-CN"/>
        </w:rPr>
        <w:t>4、春秋两季补植树木、花草。</w:t>
      </w:r>
    </w:p>
    <w:p w14:paraId="543B4811">
      <w:pPr>
        <w:pStyle w:val="3"/>
        <w:rPr>
          <w:rFonts w:hint="default"/>
          <w:lang w:val="en-US" w:eastAsia="zh-CN"/>
        </w:rPr>
      </w:pPr>
      <w:r>
        <w:rPr>
          <w:rFonts w:hint="eastAsia"/>
          <w:lang w:val="en-US" w:eastAsia="zh-CN"/>
        </w:rPr>
        <w:t>5、绿化两季补植包含在物业总服务费用中。</w:t>
      </w:r>
    </w:p>
    <w:p w14:paraId="2EFA3C2B">
      <w:pPr>
        <w:pStyle w:val="3"/>
        <w:rPr>
          <w:rFonts w:hint="default"/>
          <w:lang w:val="en-US" w:eastAsia="zh-CN"/>
        </w:rPr>
      </w:pPr>
      <w:r>
        <w:rPr>
          <w:rFonts w:hint="eastAsia"/>
          <w:lang w:val="en-US" w:eastAsia="zh-CN"/>
        </w:rPr>
        <w:t>五、消防维修保养及检测</w:t>
      </w:r>
    </w:p>
    <w:p w14:paraId="4A94C5D0">
      <w:pPr>
        <w:pStyle w:val="3"/>
        <w:rPr>
          <w:rFonts w:hint="eastAsia"/>
          <w:lang w:val="en-US" w:eastAsia="zh-CN"/>
        </w:rPr>
      </w:pPr>
      <w:r>
        <w:rPr>
          <w:rFonts w:hint="eastAsia"/>
          <w:lang w:val="en-US" w:eastAsia="zh-CN"/>
        </w:rPr>
        <w:t>1、消防控制室24小时值守；消防检测一年1次，具备消防检测资质方出具检测报告，消防维保1月1次，并有相关记录，消防控制室的值守及消防设备运行有记录。</w:t>
      </w:r>
    </w:p>
    <w:p w14:paraId="0717B8B2">
      <w:pPr>
        <w:pStyle w:val="3"/>
        <w:rPr>
          <w:rFonts w:hint="eastAsia"/>
          <w:lang w:val="en-US" w:eastAsia="zh-CN"/>
        </w:rPr>
      </w:pPr>
      <w:r>
        <w:rPr>
          <w:rFonts w:hint="eastAsia"/>
          <w:lang w:val="en-US" w:eastAsia="zh-CN"/>
        </w:rPr>
        <w:t>3、保障现有的消防设施状态正常，切合现行法律法例要求。</w:t>
      </w:r>
    </w:p>
    <w:p w14:paraId="11B24BFB">
      <w:pPr>
        <w:pStyle w:val="3"/>
        <w:rPr>
          <w:rFonts w:hint="eastAsia"/>
          <w:lang w:val="en-US" w:eastAsia="zh-CN"/>
        </w:rPr>
      </w:pPr>
      <w:r>
        <w:rPr>
          <w:rFonts w:hint="eastAsia"/>
          <w:lang w:val="en-US" w:eastAsia="zh-CN"/>
        </w:rPr>
        <w:t>3、消防安全人员要熟练掌握各类消防设施的操作及巡检并持证上岗，每日对消防泵房、高位水箱间等进行巡查并做好相关登记表。</w:t>
      </w:r>
    </w:p>
    <w:p w14:paraId="1A3EAC65">
      <w:pPr>
        <w:pStyle w:val="3"/>
        <w:rPr>
          <w:rFonts w:hint="eastAsia"/>
          <w:lang w:val="en-US" w:eastAsia="zh-CN"/>
        </w:rPr>
      </w:pPr>
      <w:r>
        <w:rPr>
          <w:rFonts w:hint="eastAsia"/>
          <w:lang w:val="en-US" w:eastAsia="zh-CN"/>
        </w:rPr>
        <w:t>4、每周对消防泵房内的喷淋泵及消火栓泵进行一次启动测试（手动启动及远程启动），确保电机及泵正常运转并做好相关记录；</w:t>
      </w:r>
    </w:p>
    <w:p w14:paraId="4B3F6C5D">
      <w:pPr>
        <w:pStyle w:val="3"/>
        <w:rPr>
          <w:rFonts w:hint="eastAsia"/>
          <w:lang w:val="en-US" w:eastAsia="zh-CN"/>
        </w:rPr>
      </w:pPr>
      <w:r>
        <w:rPr>
          <w:rFonts w:hint="eastAsia"/>
          <w:lang w:val="en-US" w:eastAsia="zh-CN"/>
        </w:rPr>
        <w:t>5、消防控制室人员每日对消防主机进行自检测试，并做好相关记录，如遇故障及时联系甲方及维保公司进行维修；消防控制室人员每月及时联系维保公司对口岸区所有消防设施进行维保，并按要求留存维保记录备查，交接班人员确认无误后签字交接班。每月至少向甲方报送一篇消防安全信息，并附带图片印证。</w:t>
      </w:r>
    </w:p>
    <w:p w14:paraId="4A035F0D">
      <w:pPr>
        <w:pStyle w:val="3"/>
        <w:rPr>
          <w:rFonts w:hint="eastAsia"/>
          <w:lang w:val="en-US" w:eastAsia="zh-CN"/>
        </w:rPr>
      </w:pPr>
      <w:r>
        <w:rPr>
          <w:rFonts w:hint="eastAsia"/>
          <w:lang w:val="en-US" w:eastAsia="zh-CN"/>
        </w:rPr>
        <w:t>6、火灾报警主机的现场维护，对主机的工作状态进行检查，对主机备用蓄电池进行放电试验；</w:t>
      </w:r>
    </w:p>
    <w:p w14:paraId="44AD5523">
      <w:pPr>
        <w:pStyle w:val="3"/>
        <w:rPr>
          <w:rFonts w:hint="eastAsia"/>
          <w:lang w:val="en-US" w:eastAsia="zh-CN"/>
        </w:rPr>
      </w:pPr>
      <w:r>
        <w:rPr>
          <w:rFonts w:hint="eastAsia"/>
          <w:lang w:val="en-US" w:eastAsia="zh-CN"/>
        </w:rPr>
        <w:t>7、对维保范围内建筑的感烟探测器进行模拟试验，检测报警功能；</w:t>
      </w:r>
    </w:p>
    <w:p w14:paraId="1DE2F58F">
      <w:pPr>
        <w:pStyle w:val="3"/>
        <w:rPr>
          <w:rFonts w:hint="eastAsia"/>
          <w:lang w:val="en-US" w:eastAsia="zh-CN"/>
        </w:rPr>
      </w:pPr>
      <w:r>
        <w:rPr>
          <w:rFonts w:hint="eastAsia"/>
          <w:lang w:val="en-US" w:eastAsia="zh-CN"/>
        </w:rPr>
        <w:t>8、对维保范围内建筑的感温探测器进行模拟试验，检测报警功能；</w:t>
      </w:r>
    </w:p>
    <w:p w14:paraId="24001FEC">
      <w:pPr>
        <w:pStyle w:val="3"/>
        <w:rPr>
          <w:rFonts w:hint="eastAsia"/>
          <w:lang w:val="en-US" w:eastAsia="zh-CN"/>
        </w:rPr>
      </w:pPr>
      <w:r>
        <w:rPr>
          <w:rFonts w:hint="eastAsia"/>
          <w:lang w:val="en-US" w:eastAsia="zh-CN"/>
        </w:rPr>
        <w:t>9、对维保范围内手动报警按钮的报警联动进行试验检测；</w:t>
      </w:r>
    </w:p>
    <w:p w14:paraId="62868101">
      <w:pPr>
        <w:pStyle w:val="3"/>
        <w:rPr>
          <w:rFonts w:hint="eastAsia"/>
          <w:lang w:val="en-US" w:eastAsia="zh-CN"/>
        </w:rPr>
      </w:pPr>
      <w:r>
        <w:rPr>
          <w:rFonts w:hint="eastAsia"/>
          <w:lang w:val="en-US" w:eastAsia="zh-CN"/>
        </w:rPr>
        <w:t>10、对维保范围内的火焰探测器进行模拟试验，检测报警功能</w:t>
      </w:r>
    </w:p>
    <w:p w14:paraId="22106EA8">
      <w:pPr>
        <w:pStyle w:val="3"/>
        <w:rPr>
          <w:rFonts w:hint="eastAsia"/>
          <w:lang w:val="en-US" w:eastAsia="zh-CN"/>
        </w:rPr>
      </w:pPr>
      <w:r>
        <w:rPr>
          <w:rFonts w:hint="eastAsia"/>
          <w:lang w:val="en-US" w:eastAsia="zh-CN"/>
        </w:rPr>
        <w:t>11、对维保范围内消火栓系统进行检测；</w:t>
      </w:r>
    </w:p>
    <w:p w14:paraId="1638D630">
      <w:pPr>
        <w:pStyle w:val="3"/>
        <w:rPr>
          <w:rFonts w:hint="eastAsia"/>
          <w:lang w:val="en-US" w:eastAsia="zh-CN"/>
        </w:rPr>
      </w:pPr>
      <w:r>
        <w:rPr>
          <w:rFonts w:hint="eastAsia"/>
          <w:lang w:val="en-US" w:eastAsia="zh-CN"/>
        </w:rPr>
        <w:t>12、对维保范围内报警器报警功能进行检测；</w:t>
      </w:r>
    </w:p>
    <w:p w14:paraId="367ED4A5">
      <w:pPr>
        <w:pStyle w:val="3"/>
        <w:rPr>
          <w:rFonts w:hint="eastAsia"/>
          <w:lang w:val="en-US" w:eastAsia="zh-CN"/>
        </w:rPr>
      </w:pPr>
      <w:r>
        <w:rPr>
          <w:rFonts w:hint="eastAsia"/>
          <w:lang w:val="en-US" w:eastAsia="zh-CN"/>
        </w:rPr>
        <w:t>13、对维保范围内灭火系统、控制电路，消火栓进行检测；</w:t>
      </w:r>
    </w:p>
    <w:p w14:paraId="25863935">
      <w:pPr>
        <w:pStyle w:val="3"/>
        <w:rPr>
          <w:rFonts w:hint="eastAsia"/>
          <w:lang w:val="en-US" w:eastAsia="zh-CN"/>
        </w:rPr>
      </w:pPr>
      <w:r>
        <w:rPr>
          <w:rFonts w:hint="eastAsia"/>
          <w:lang w:val="en-US" w:eastAsia="zh-CN"/>
        </w:rPr>
        <w:t>14、消防系统的维修和保养，故障办理，故障零件的改换。</w:t>
      </w:r>
    </w:p>
    <w:p w14:paraId="669CA00A">
      <w:pPr>
        <w:pStyle w:val="3"/>
        <w:rPr>
          <w:rFonts w:hint="eastAsia"/>
          <w:lang w:val="en-US" w:eastAsia="zh-CN"/>
        </w:rPr>
      </w:pPr>
      <w:r>
        <w:rPr>
          <w:rFonts w:hint="eastAsia"/>
          <w:lang w:val="en-US" w:eastAsia="zh-CN"/>
        </w:rPr>
        <w:t>15、定期检查更换水机、干粉灭火器压力和使用年限，建立相应灭火器档案。</w:t>
      </w:r>
    </w:p>
    <w:p w14:paraId="5DE2AD61">
      <w:pPr>
        <w:pStyle w:val="3"/>
        <w:rPr>
          <w:rFonts w:hint="eastAsia"/>
          <w:lang w:val="en-US" w:eastAsia="zh-CN"/>
        </w:rPr>
      </w:pPr>
      <w:r>
        <w:rPr>
          <w:rFonts w:hint="eastAsia"/>
          <w:lang w:val="en-US" w:eastAsia="zh-CN"/>
        </w:rPr>
        <w:t>16、每年组织两次口岸综合性消防演练，每次演练相应材料整理归档。</w:t>
      </w:r>
    </w:p>
    <w:p w14:paraId="55FE5577">
      <w:pPr>
        <w:pStyle w:val="3"/>
        <w:rPr>
          <w:rFonts w:hint="eastAsia"/>
          <w:lang w:val="en-US" w:eastAsia="zh-CN"/>
        </w:rPr>
      </w:pPr>
      <w:r>
        <w:rPr>
          <w:rFonts w:hint="eastAsia"/>
          <w:lang w:val="en-US" w:eastAsia="zh-CN"/>
        </w:rPr>
        <w:t>17、建立完善的消防维保档案。</w:t>
      </w:r>
    </w:p>
    <w:p w14:paraId="0819A96B">
      <w:pPr>
        <w:pStyle w:val="3"/>
        <w:rPr>
          <w:rFonts w:hint="default"/>
          <w:lang w:val="en-US" w:eastAsia="zh-CN"/>
        </w:rPr>
      </w:pPr>
      <w:r>
        <w:rPr>
          <w:rFonts w:hint="eastAsia"/>
          <w:lang w:val="en-US" w:eastAsia="zh-CN"/>
        </w:rPr>
        <w:t>18、消防维保费用包含在物业费中。</w:t>
      </w:r>
    </w:p>
    <w:p w14:paraId="7955721D">
      <w:pPr>
        <w:pStyle w:val="3"/>
        <w:rPr>
          <w:rFonts w:hint="default"/>
          <w:lang w:val="en-US" w:eastAsia="zh-CN"/>
        </w:rPr>
      </w:pPr>
      <w:r>
        <w:rPr>
          <w:rFonts w:hint="eastAsia"/>
          <w:lang w:val="en-US" w:eastAsia="zh-CN"/>
        </w:rPr>
        <w:t>六、高低压电维修保养及检测</w:t>
      </w:r>
    </w:p>
    <w:p w14:paraId="37CE9B31">
      <w:pPr>
        <w:pStyle w:val="3"/>
        <w:rPr>
          <w:rFonts w:hint="eastAsia"/>
          <w:lang w:val="en-US" w:eastAsia="zh-CN"/>
        </w:rPr>
      </w:pPr>
      <w:r>
        <w:rPr>
          <w:rFonts w:hint="eastAsia"/>
          <w:lang w:val="en-US" w:eastAsia="zh-CN"/>
        </w:rPr>
        <w:t>1、配备专业电工（持有电工资格证）在口岸区驻守，7*12小时在岗，确保要随叫随到。掌握口岸区电网布置现状，并配备必要维修工具、设备。每日检查情况签字交接、并有记录。</w:t>
      </w:r>
    </w:p>
    <w:p w14:paraId="257A8C55">
      <w:pPr>
        <w:pStyle w:val="3"/>
        <w:rPr>
          <w:rFonts w:hint="eastAsia"/>
          <w:lang w:val="en-US" w:eastAsia="zh-CN"/>
        </w:rPr>
      </w:pPr>
      <w:r>
        <w:rPr>
          <w:rFonts w:hint="eastAsia"/>
          <w:lang w:val="en-US" w:eastAsia="zh-CN"/>
        </w:rPr>
        <w:t>2、定时检查供电设备，按时维护机电设备，做好用电线路日常检修。及时更换易损用电配件。做好停电前通知工作，因天气原因或电力公司维修需要停电的，及时通知会受影响的驻口岸单位。</w:t>
      </w:r>
    </w:p>
    <w:p w14:paraId="51D0646E">
      <w:pPr>
        <w:pStyle w:val="3"/>
        <w:rPr>
          <w:rFonts w:hint="default"/>
          <w:lang w:val="en-US" w:eastAsia="zh-CN"/>
        </w:rPr>
      </w:pPr>
      <w:r>
        <w:rPr>
          <w:rFonts w:hint="eastAsia"/>
          <w:lang w:val="en-US" w:eastAsia="zh-CN"/>
        </w:rPr>
        <w:t>3、定期检修。变压器检修（每年2次），配电装置检修（每年一次），应急发电机检修（每月1次），电缆试验（每年2次），每月对各单体建筑的用电设施巡查一次,并由使用单位签字确认。变压器、电缆、发电机检修试验需具备专业资质公司进行检测，并出具检测报告。</w:t>
      </w:r>
    </w:p>
    <w:p w14:paraId="5D1C3B92">
      <w:pPr>
        <w:pStyle w:val="3"/>
        <w:rPr>
          <w:rFonts w:hint="eastAsia"/>
          <w:lang w:val="en-US" w:eastAsia="zh-CN"/>
        </w:rPr>
      </w:pPr>
      <w:r>
        <w:rPr>
          <w:rFonts w:hint="eastAsia"/>
          <w:lang w:val="en-US" w:eastAsia="zh-CN"/>
        </w:rPr>
        <w:t>4、各连接处无冒火花、发热等异常现象,指示灯、信号灯齐全,计量仪表正常。有检查记录,维修保养记录。</w:t>
      </w:r>
    </w:p>
    <w:p w14:paraId="3AB1A2D9">
      <w:pPr>
        <w:pStyle w:val="3"/>
        <w:rPr>
          <w:rFonts w:hint="default"/>
          <w:lang w:val="en-US" w:eastAsia="zh-CN"/>
        </w:rPr>
      </w:pPr>
      <w:r>
        <w:rPr>
          <w:rFonts w:hint="eastAsia"/>
          <w:lang w:val="en-US" w:eastAsia="zh-CN"/>
        </w:rPr>
        <w:t>5、每月需定期对口岸区所有高、低压相变、备用电及其他电力设施进行常规性维护，并由记录。</w:t>
      </w:r>
    </w:p>
    <w:p w14:paraId="0303B3C9">
      <w:pPr>
        <w:pStyle w:val="3"/>
        <w:rPr>
          <w:rFonts w:hint="eastAsia"/>
          <w:lang w:val="en-US" w:eastAsia="zh-CN"/>
        </w:rPr>
      </w:pPr>
      <w:r>
        <w:rPr>
          <w:rFonts w:hint="eastAsia"/>
          <w:lang w:val="en-US" w:eastAsia="zh-CN"/>
        </w:rPr>
        <w:t>6、日常用电检修</w:t>
      </w:r>
    </w:p>
    <w:p w14:paraId="52677FFD">
      <w:pPr>
        <w:pStyle w:val="3"/>
        <w:rPr>
          <w:rFonts w:hint="eastAsia"/>
          <w:lang w:val="en-US" w:eastAsia="zh-CN"/>
        </w:rPr>
      </w:pPr>
      <w:r>
        <w:rPr>
          <w:rFonts w:hint="eastAsia"/>
          <w:lang w:val="en-US" w:eastAsia="zh-CN"/>
        </w:rPr>
        <w:t>（1）每日电工需对口岸区所有电力设施进行日常巡检并按要求做好巡检登记尤其是遇特殊天气时，需特别关注所有电力设施，确保运行正常。</w:t>
      </w:r>
    </w:p>
    <w:p w14:paraId="788034A5">
      <w:pPr>
        <w:pStyle w:val="3"/>
        <w:rPr>
          <w:rFonts w:hint="eastAsia"/>
          <w:lang w:val="en-US" w:eastAsia="zh-CN"/>
        </w:rPr>
      </w:pPr>
      <w:r>
        <w:rPr>
          <w:rFonts w:hint="eastAsia"/>
          <w:lang w:val="en-US" w:eastAsia="zh-CN"/>
        </w:rPr>
        <w:t>（2）每日巡视掌握公用设备状况，发现有损坏、隐患，及时处理，并做好记录。</w:t>
      </w:r>
    </w:p>
    <w:p w14:paraId="1E03C32F">
      <w:pPr>
        <w:pStyle w:val="3"/>
        <w:rPr>
          <w:rFonts w:hint="eastAsia"/>
          <w:lang w:val="en-US" w:eastAsia="zh-CN"/>
        </w:rPr>
      </w:pPr>
      <w:r>
        <w:rPr>
          <w:rFonts w:hint="eastAsia"/>
          <w:lang w:val="en-US" w:eastAsia="zh-CN"/>
        </w:rPr>
        <w:t xml:space="preserve">（3）各种插座、插头、开关、灯座的故障维修和更换等。 </w:t>
      </w:r>
    </w:p>
    <w:p w14:paraId="0064A666">
      <w:pPr>
        <w:pStyle w:val="3"/>
        <w:rPr>
          <w:rFonts w:hint="eastAsia"/>
          <w:lang w:val="en-US" w:eastAsia="zh-CN"/>
        </w:rPr>
      </w:pPr>
      <w:r>
        <w:rPr>
          <w:rFonts w:hint="eastAsia"/>
          <w:lang w:val="en-US" w:eastAsia="zh-CN"/>
        </w:rPr>
        <w:t>（4）室内室外灯维修维护，灯泡更换、线路维修、灯杆修正。</w:t>
      </w:r>
    </w:p>
    <w:p w14:paraId="112B88B4">
      <w:pPr>
        <w:pStyle w:val="3"/>
        <w:rPr>
          <w:rFonts w:hint="default"/>
          <w:lang w:val="en-US" w:eastAsia="zh-CN"/>
        </w:rPr>
      </w:pPr>
      <w:r>
        <w:rPr>
          <w:rFonts w:hint="eastAsia"/>
          <w:lang w:val="en-US" w:eastAsia="zh-CN"/>
        </w:rPr>
        <w:t>7、设备维修保养及检测</w:t>
      </w:r>
    </w:p>
    <w:p w14:paraId="6894BC30">
      <w:pPr>
        <w:pStyle w:val="3"/>
        <w:rPr>
          <w:rFonts w:hint="eastAsia"/>
          <w:lang w:val="en-US" w:eastAsia="zh-CN"/>
        </w:rPr>
      </w:pPr>
      <w:r>
        <w:rPr>
          <w:rFonts w:hint="eastAsia"/>
          <w:lang w:val="en-US" w:eastAsia="zh-CN"/>
        </w:rPr>
        <w:t>（1）每日对7台变压器，2台电缆分接箱，1台柴油发电机组、配电房室、变频深井泵房检查一次，并做好记录。</w:t>
      </w:r>
    </w:p>
    <w:p w14:paraId="67ABD4B0">
      <w:pPr>
        <w:pStyle w:val="3"/>
        <w:rPr>
          <w:rFonts w:hint="eastAsia"/>
          <w:lang w:val="en-US" w:eastAsia="zh-CN"/>
        </w:rPr>
      </w:pPr>
      <w:r>
        <w:rPr>
          <w:rFonts w:hint="eastAsia"/>
          <w:lang w:val="en-US" w:eastAsia="zh-CN"/>
        </w:rPr>
        <w:t>（2）每日对10处15台采暖季启用的变频电磁锅炉每日进行4次巡检，并做好记录。</w:t>
      </w:r>
    </w:p>
    <w:p w14:paraId="153089E1">
      <w:pPr>
        <w:pStyle w:val="3"/>
        <w:rPr>
          <w:rFonts w:hint="eastAsia"/>
          <w:lang w:val="en-US" w:eastAsia="zh-CN"/>
        </w:rPr>
      </w:pPr>
      <w:r>
        <w:rPr>
          <w:rFonts w:hint="eastAsia"/>
          <w:lang w:val="en-US" w:eastAsia="zh-CN"/>
        </w:rPr>
        <w:t>（3）及时做好电采暖变压器的报停及开机工作。</w:t>
      </w:r>
    </w:p>
    <w:p w14:paraId="2C1C9BC9">
      <w:pPr>
        <w:pStyle w:val="3"/>
        <w:rPr>
          <w:rFonts w:hint="eastAsia"/>
          <w:lang w:val="en-US" w:eastAsia="zh-CN"/>
        </w:rPr>
      </w:pPr>
      <w:r>
        <w:rPr>
          <w:rFonts w:hint="eastAsia"/>
          <w:lang w:val="en-US" w:eastAsia="zh-CN"/>
        </w:rPr>
        <w:t>（4）具备高压用电设备元器件检测资质。每半年对高压电设备进行检测2次，每月对高压电设备巡护1次，并有检测报告及详细检查记录报口岸委存档。</w:t>
      </w:r>
    </w:p>
    <w:p w14:paraId="6E78ED1F">
      <w:pPr>
        <w:pStyle w:val="3"/>
        <w:rPr>
          <w:rFonts w:hint="eastAsia"/>
          <w:lang w:val="en-US" w:eastAsia="zh-CN"/>
        </w:rPr>
      </w:pPr>
      <w:r>
        <w:rPr>
          <w:rFonts w:hint="eastAsia"/>
          <w:lang w:val="en-US" w:eastAsia="zh-CN"/>
        </w:rPr>
        <w:t>（5）亮化设备定期维护检修，并做好记录。</w:t>
      </w:r>
    </w:p>
    <w:p w14:paraId="216EC2C3">
      <w:pPr>
        <w:pStyle w:val="3"/>
        <w:rPr>
          <w:rFonts w:hint="default"/>
          <w:lang w:val="en-US" w:eastAsia="zh-CN"/>
        </w:rPr>
      </w:pPr>
      <w:r>
        <w:rPr>
          <w:rFonts w:hint="eastAsia"/>
          <w:lang w:val="en-US" w:eastAsia="zh-CN"/>
        </w:rPr>
        <w:t>8、备用电源无法启用情况下，保障临时供电电源。</w:t>
      </w:r>
    </w:p>
    <w:p w14:paraId="38C39128">
      <w:pPr>
        <w:pStyle w:val="3"/>
        <w:rPr>
          <w:rFonts w:hint="eastAsia"/>
          <w:lang w:val="en-US" w:eastAsia="zh-CN"/>
        </w:rPr>
      </w:pPr>
      <w:r>
        <w:rPr>
          <w:rFonts w:hint="eastAsia"/>
          <w:lang w:val="en-US" w:eastAsia="zh-CN"/>
        </w:rPr>
        <w:t>9、因工程施工造成的线路损坏、改迁等，进行处理并及时向甲方提出合理化建议。</w:t>
      </w:r>
    </w:p>
    <w:p w14:paraId="070BF981">
      <w:pPr>
        <w:pStyle w:val="3"/>
        <w:rPr>
          <w:rFonts w:hint="eastAsia"/>
          <w:lang w:val="en-US" w:eastAsia="zh-CN"/>
        </w:rPr>
      </w:pPr>
      <w:r>
        <w:rPr>
          <w:rFonts w:hint="eastAsia"/>
          <w:lang w:val="en-US" w:eastAsia="zh-CN"/>
        </w:rPr>
        <w:t>10、遇大型活动，对用电设备功率进行估算，并制定临时用电方案并实施。</w:t>
      </w:r>
    </w:p>
    <w:p w14:paraId="5DC6745D">
      <w:pPr>
        <w:pStyle w:val="3"/>
        <w:rPr>
          <w:rFonts w:hint="default"/>
          <w:lang w:val="en-US" w:eastAsia="zh-CN"/>
        </w:rPr>
      </w:pPr>
      <w:r>
        <w:rPr>
          <w:rFonts w:hint="eastAsia"/>
          <w:lang w:val="en-US" w:eastAsia="zh-CN"/>
        </w:rPr>
        <w:t>11、小型的电力设施设备的维护保养由物业负责，中大型的维修保养由口岸委承担。</w:t>
      </w:r>
    </w:p>
    <w:p w14:paraId="334CEC8B">
      <w:pPr>
        <w:pStyle w:val="3"/>
        <w:rPr>
          <w:rFonts w:hint="default"/>
          <w:lang w:val="en-US" w:eastAsia="zh-CN"/>
        </w:rPr>
      </w:pPr>
      <w:r>
        <w:rPr>
          <w:rFonts w:hint="eastAsia"/>
          <w:lang w:val="en-US" w:eastAsia="zh-CN"/>
        </w:rPr>
        <w:t>七、弱电维修保养</w:t>
      </w:r>
    </w:p>
    <w:p w14:paraId="16649FF2">
      <w:pPr>
        <w:pStyle w:val="3"/>
        <w:rPr>
          <w:rFonts w:hint="default"/>
          <w:lang w:val="en-US" w:eastAsia="zh-CN"/>
        </w:rPr>
      </w:pPr>
      <w:r>
        <w:rPr>
          <w:rFonts w:hint="eastAsia"/>
          <w:lang w:val="en-US" w:eastAsia="zh-CN"/>
        </w:rPr>
        <w:t>1、弱电维保范围（口岸单体建筑内外部、限定区围网、监控、光缆、光钎等）</w:t>
      </w:r>
    </w:p>
    <w:p w14:paraId="60DDDF06">
      <w:pPr>
        <w:pStyle w:val="3"/>
        <w:rPr>
          <w:rFonts w:hint="eastAsia"/>
          <w:lang w:val="en-US" w:eastAsia="zh-CN"/>
        </w:rPr>
      </w:pPr>
      <w:r>
        <w:rPr>
          <w:rFonts w:hint="eastAsia"/>
          <w:lang w:val="en-US" w:eastAsia="zh-CN"/>
        </w:rPr>
        <w:t>2、定时检查弱电设备，按时维护口岸区弱电设备，能够判断故障，及时处理、维修一般故障，更换易损配件，做好线路日常检修。</w:t>
      </w:r>
    </w:p>
    <w:p w14:paraId="4CA6DD9B">
      <w:pPr>
        <w:pStyle w:val="3"/>
        <w:rPr>
          <w:rFonts w:hint="default"/>
          <w:lang w:val="en-US" w:eastAsia="zh-CN"/>
        </w:rPr>
      </w:pPr>
      <w:r>
        <w:rPr>
          <w:rFonts w:hint="eastAsia"/>
          <w:lang w:val="en-US" w:eastAsia="zh-CN"/>
        </w:rPr>
        <w:t>3、每周全面对口岸单体建筑及室外监控设施巡查一次,并做好巡查记录。</w:t>
      </w:r>
    </w:p>
    <w:p w14:paraId="2F95A68D">
      <w:pPr>
        <w:pStyle w:val="3"/>
        <w:rPr>
          <w:rFonts w:hint="eastAsia"/>
          <w:lang w:val="en-US" w:eastAsia="zh-CN"/>
        </w:rPr>
      </w:pPr>
      <w:r>
        <w:rPr>
          <w:rFonts w:hint="eastAsia"/>
          <w:lang w:val="en-US" w:eastAsia="zh-CN"/>
        </w:rPr>
        <w:t>4、物业服务合同总金额包含弱电维修保养费。</w:t>
      </w:r>
    </w:p>
    <w:p w14:paraId="16DE46F3">
      <w:pPr>
        <w:pStyle w:val="3"/>
        <w:rPr>
          <w:rFonts w:hint="eastAsia"/>
          <w:lang w:val="en-US" w:eastAsia="zh-CN"/>
        </w:rPr>
      </w:pPr>
      <w:r>
        <w:rPr>
          <w:rFonts w:hint="eastAsia"/>
          <w:lang w:val="en-US" w:eastAsia="zh-CN"/>
        </w:rPr>
        <w:t>八、电采暖维保</w:t>
      </w:r>
    </w:p>
    <w:p w14:paraId="2D9C6553">
      <w:pPr>
        <w:pStyle w:val="3"/>
        <w:rPr>
          <w:rFonts w:hint="eastAsia"/>
          <w:lang w:val="en-US" w:eastAsia="zh-CN"/>
        </w:rPr>
      </w:pPr>
      <w:r>
        <w:rPr>
          <w:rFonts w:hint="eastAsia"/>
          <w:lang w:val="en-US" w:eastAsia="zh-CN"/>
        </w:rPr>
        <w:t>1、口岸区电采暖在采暖季前完成所有设备的保养维护，有保养维护记录。</w:t>
      </w:r>
    </w:p>
    <w:p w14:paraId="62C90704">
      <w:pPr>
        <w:pStyle w:val="3"/>
        <w:rPr>
          <w:rFonts w:hint="eastAsia"/>
          <w:lang w:val="en-US" w:eastAsia="zh-CN"/>
        </w:rPr>
      </w:pPr>
      <w:r>
        <w:rPr>
          <w:rFonts w:hint="eastAsia"/>
          <w:lang w:val="en-US" w:eastAsia="zh-CN"/>
        </w:rPr>
        <w:t>2、口岸区采暖季专人巡护，每天4次（6小时间隔一次），有巡护记录。</w:t>
      </w:r>
    </w:p>
    <w:p w14:paraId="65923F0F">
      <w:pPr>
        <w:pStyle w:val="3"/>
        <w:rPr>
          <w:rFonts w:hint="eastAsia"/>
          <w:lang w:val="en-US" w:eastAsia="zh-CN"/>
        </w:rPr>
      </w:pPr>
      <w:r>
        <w:rPr>
          <w:rFonts w:hint="eastAsia"/>
          <w:lang w:val="en-US" w:eastAsia="zh-CN"/>
        </w:rPr>
        <w:t>3、采暖设备、水、电发现问题及时启用备用设备，已损坏的设备必须在当日维修。</w:t>
      </w:r>
    </w:p>
    <w:p w14:paraId="56F25D23">
      <w:pPr>
        <w:pStyle w:val="3"/>
        <w:rPr>
          <w:rFonts w:hint="default"/>
          <w:lang w:val="en-US" w:eastAsia="zh-CN"/>
        </w:rPr>
      </w:pPr>
      <w:r>
        <w:rPr>
          <w:rFonts w:hint="eastAsia"/>
          <w:lang w:val="en-US" w:eastAsia="zh-CN"/>
        </w:rPr>
        <w:t>4、物业服务合同总金额包含采暖维修保养费用。</w:t>
      </w:r>
    </w:p>
    <w:p w14:paraId="4BB64C9D">
      <w:pPr>
        <w:pStyle w:val="3"/>
        <w:rPr>
          <w:rFonts w:hint="eastAsia"/>
          <w:lang w:val="en-US" w:eastAsia="zh-CN"/>
        </w:rPr>
      </w:pPr>
      <w:r>
        <w:rPr>
          <w:rFonts w:hint="eastAsia"/>
          <w:lang w:val="en-US" w:eastAsia="zh-CN"/>
        </w:rPr>
        <w:t>九、单体建筑室、道路及内外供排水维护与管理</w:t>
      </w:r>
    </w:p>
    <w:p w14:paraId="12E25CE6">
      <w:pPr>
        <w:pStyle w:val="3"/>
        <w:rPr>
          <w:rFonts w:hint="eastAsia"/>
          <w:lang w:val="en-US" w:eastAsia="zh-CN"/>
        </w:rPr>
      </w:pPr>
      <w:r>
        <w:rPr>
          <w:rFonts w:hint="eastAsia"/>
          <w:lang w:val="en-US" w:eastAsia="zh-CN"/>
        </w:rPr>
        <w:t xml:space="preserve">1、每月检查1次房屋主体结构；房屋共用设施（屋面、供排水、门窗、玻璃、照明）每周全面检查一次；检查有记录，并将检查情况及时报告甲方。                      </w:t>
      </w:r>
    </w:p>
    <w:p w14:paraId="688342A0">
      <w:pPr>
        <w:pStyle w:val="3"/>
        <w:rPr>
          <w:rFonts w:hint="eastAsia"/>
          <w:lang w:val="en-US" w:eastAsia="zh-CN"/>
        </w:rPr>
      </w:pPr>
      <w:r>
        <w:rPr>
          <w:rFonts w:hint="eastAsia"/>
          <w:lang w:val="en-US" w:eastAsia="zh-CN"/>
        </w:rPr>
        <w:t xml:space="preserve">2、保持泵房清洁卫生、地面排水畅通；每半年对共用给水管道进行1次全面检查维修，并有检修记录。 </w:t>
      </w:r>
    </w:p>
    <w:p w14:paraId="6CD802DC">
      <w:pPr>
        <w:pStyle w:val="3"/>
        <w:rPr>
          <w:rFonts w:hint="eastAsia"/>
          <w:lang w:val="en-US" w:eastAsia="zh-CN"/>
        </w:rPr>
      </w:pPr>
      <w:r>
        <w:rPr>
          <w:rFonts w:hint="eastAsia"/>
          <w:lang w:val="en-US" w:eastAsia="zh-CN"/>
        </w:rPr>
        <w:t>3、每月清扫1次排水明沟内的泥沙、纸屑等垃圾，排水通畅，无积水；地下管井堵塞及时疏通。</w:t>
      </w:r>
    </w:p>
    <w:p w14:paraId="39DCB685">
      <w:pPr>
        <w:pStyle w:val="3"/>
        <w:rPr>
          <w:rFonts w:hint="eastAsia"/>
          <w:lang w:val="en-US" w:eastAsia="zh-CN"/>
        </w:rPr>
      </w:pPr>
      <w:r>
        <w:rPr>
          <w:rFonts w:hint="eastAsia"/>
          <w:lang w:val="en-US" w:eastAsia="zh-CN"/>
        </w:rPr>
        <w:t>4、避雷接地系统进行维护、在大雷雨过后及时对系统检查，发现严重腐蚀、松脱等立即更换或紧固 。</w:t>
      </w:r>
    </w:p>
    <w:p w14:paraId="698F6735">
      <w:pPr>
        <w:pStyle w:val="3"/>
        <w:rPr>
          <w:rFonts w:hint="eastAsia"/>
          <w:lang w:val="en-US" w:eastAsia="zh-CN"/>
        </w:rPr>
      </w:pPr>
      <w:r>
        <w:rPr>
          <w:rFonts w:hint="eastAsia"/>
          <w:lang w:val="en-US" w:eastAsia="zh-CN"/>
        </w:rPr>
        <w:t>5、加强道路维修与养护，保持道路畅通，路面平坦整齐，排水畅通，每年春、秋2次对口岸区整体污水管网疏通，保障整体管网排污通畅。平时及时做好日常疏通。</w:t>
      </w:r>
    </w:p>
    <w:p w14:paraId="1EADACA5">
      <w:pPr>
        <w:pStyle w:val="3"/>
        <w:rPr>
          <w:rFonts w:hint="eastAsia"/>
          <w:lang w:val="en-US" w:eastAsia="zh-CN"/>
        </w:rPr>
      </w:pPr>
      <w:r>
        <w:rPr>
          <w:rFonts w:hint="eastAsia"/>
          <w:lang w:val="en-US" w:eastAsia="zh-CN"/>
        </w:rPr>
        <w:t>十、维修服务</w:t>
      </w:r>
    </w:p>
    <w:p w14:paraId="6801F608">
      <w:pPr>
        <w:pStyle w:val="3"/>
        <w:rPr>
          <w:rFonts w:hint="eastAsia"/>
          <w:lang w:val="en-US" w:eastAsia="zh-CN"/>
        </w:rPr>
      </w:pPr>
      <w:r>
        <w:rPr>
          <w:rFonts w:hint="eastAsia"/>
          <w:lang w:val="en-US" w:eastAsia="zh-CN"/>
        </w:rPr>
        <w:t>1、设备维修维护</w:t>
      </w:r>
    </w:p>
    <w:p w14:paraId="154B054A">
      <w:pPr>
        <w:pStyle w:val="3"/>
        <w:rPr>
          <w:rFonts w:hint="eastAsia"/>
          <w:lang w:val="en-US" w:eastAsia="zh-CN"/>
        </w:rPr>
      </w:pPr>
      <w:r>
        <w:rPr>
          <w:rFonts w:hint="eastAsia"/>
          <w:lang w:val="en-US" w:eastAsia="zh-CN"/>
        </w:rPr>
        <w:t>（1）范围：地区口岸委管理区域设备维修维护。可维修维护更换的网路、高低压、消防、电采暖、桌椅、门、窗、锁、楼内扶手、吊顶、洁具、下水疏通、地砖、灯泡、灯管、插座等。室外可维修维护项目有栅栏、各类井盖、下水管网、路沿石、花砖路面、外墙保温、高空玻璃、路面保养维修等。</w:t>
      </w:r>
    </w:p>
    <w:p w14:paraId="728532BE">
      <w:pPr>
        <w:pStyle w:val="3"/>
        <w:rPr>
          <w:rFonts w:hint="eastAsia"/>
          <w:lang w:val="en-US" w:eastAsia="zh-CN"/>
        </w:rPr>
      </w:pPr>
      <w:r>
        <w:rPr>
          <w:rFonts w:hint="eastAsia"/>
          <w:lang w:val="en-US" w:eastAsia="zh-CN"/>
        </w:rPr>
        <w:t>（2）工作要求：着物业公司维修工工作服，维修人员对各类维修项目有3年以上工作经验，在岗时5分钟内到达现场进行排除故障且能及时进行维修处理。</w:t>
      </w:r>
    </w:p>
    <w:p w14:paraId="63EE0E6B">
      <w:pPr>
        <w:pStyle w:val="3"/>
        <w:rPr>
          <w:rFonts w:hint="default"/>
          <w:lang w:val="en-US" w:eastAsia="zh-CN"/>
        </w:rPr>
      </w:pPr>
      <w:r>
        <w:rPr>
          <w:rFonts w:hint="eastAsia"/>
          <w:lang w:val="en-US" w:eastAsia="zh-CN"/>
        </w:rPr>
        <w:t>（3）物业服务合同总金额包含共用设施设备维修维护费用。</w:t>
      </w:r>
    </w:p>
    <w:p w14:paraId="20C153A7">
      <w:pPr>
        <w:pStyle w:val="3"/>
        <w:rPr>
          <w:rFonts w:hint="eastAsia"/>
          <w:lang w:val="en-US" w:eastAsia="zh-CN"/>
        </w:rPr>
      </w:pPr>
      <w:r>
        <w:rPr>
          <w:rFonts w:hint="eastAsia"/>
          <w:lang w:val="en-US" w:eastAsia="zh-CN"/>
        </w:rPr>
        <w:t>2、中、大型维修</w:t>
      </w:r>
    </w:p>
    <w:p w14:paraId="408C511B">
      <w:pPr>
        <w:pStyle w:val="3"/>
        <w:rPr>
          <w:rFonts w:hint="eastAsia"/>
          <w:lang w:val="en-US" w:eastAsia="zh-CN"/>
        </w:rPr>
      </w:pPr>
      <w:r>
        <w:rPr>
          <w:rFonts w:hint="eastAsia"/>
          <w:lang w:val="en-US" w:eastAsia="zh-CN"/>
        </w:rPr>
        <w:t>（1）必须由具有专业维修资质或特种行业维修资质的单位维修的设施设备；</w:t>
      </w:r>
    </w:p>
    <w:p w14:paraId="4422BE2F">
      <w:pPr>
        <w:pStyle w:val="3"/>
        <w:rPr>
          <w:rFonts w:hint="eastAsia"/>
          <w:lang w:val="en-US" w:eastAsia="zh-CN"/>
        </w:rPr>
      </w:pPr>
      <w:r>
        <w:rPr>
          <w:rFonts w:hint="eastAsia"/>
          <w:lang w:val="en-US" w:eastAsia="zh-CN"/>
        </w:rPr>
        <w:t>（2）有专利技术保护的机电一体化设备或自动化设备，必须依靠制造商或特种设备维修单位方能维修的设施设备；</w:t>
      </w:r>
    </w:p>
    <w:p w14:paraId="0561CF6A">
      <w:pPr>
        <w:pStyle w:val="3"/>
        <w:rPr>
          <w:rFonts w:hint="eastAsia"/>
          <w:lang w:val="en-US" w:eastAsia="zh-CN"/>
        </w:rPr>
      </w:pPr>
      <w:r>
        <w:rPr>
          <w:rFonts w:hint="eastAsia"/>
          <w:lang w:val="en-US" w:eastAsia="zh-CN"/>
        </w:rPr>
        <w:t>（3）必须使用大、中型机电设备维修的设施设备；</w:t>
      </w:r>
    </w:p>
    <w:p w14:paraId="2B491974">
      <w:pPr>
        <w:pStyle w:val="3"/>
        <w:rPr>
          <w:rFonts w:hint="eastAsia"/>
          <w:lang w:val="en-US" w:eastAsia="zh-CN"/>
        </w:rPr>
      </w:pPr>
      <w:r>
        <w:rPr>
          <w:rFonts w:hint="eastAsia"/>
          <w:lang w:val="en-US" w:eastAsia="zh-CN"/>
        </w:rPr>
        <w:t>（4）干硬性或油性的墙面或地面面积&gt;20米²，维修工期&gt;5天，修缮用工&gt;5个人工定额（建筑定额2004）；</w:t>
      </w:r>
    </w:p>
    <w:p w14:paraId="3858CD6F">
      <w:pPr>
        <w:pStyle w:val="3"/>
        <w:rPr>
          <w:rFonts w:hint="eastAsia"/>
          <w:lang w:val="en-US" w:eastAsia="zh-CN"/>
        </w:rPr>
      </w:pPr>
      <w:r>
        <w:rPr>
          <w:rFonts w:hint="eastAsia"/>
          <w:lang w:val="en-US" w:eastAsia="zh-CN"/>
        </w:rPr>
        <w:t>（5）水硬性或胶粘性的墙面或地面面积&gt;5米²，维修工期&gt;5天，修缮用工&gt;5个人工定额（建筑定额2004）；</w:t>
      </w:r>
    </w:p>
    <w:p w14:paraId="537E01FA">
      <w:pPr>
        <w:pStyle w:val="3"/>
        <w:rPr>
          <w:rFonts w:hint="eastAsia"/>
          <w:lang w:val="en-US" w:eastAsia="zh-CN"/>
        </w:rPr>
      </w:pPr>
      <w:r>
        <w:rPr>
          <w:rFonts w:hint="eastAsia"/>
          <w:lang w:val="en-US" w:eastAsia="zh-CN"/>
        </w:rPr>
        <w:t>（6）室内外管线铺设长度&gt;100米，维修工期&gt;5天，修缮用工&gt;10个人工定额（建筑定额2004）。</w:t>
      </w:r>
    </w:p>
    <w:p w14:paraId="62A5368B">
      <w:pPr>
        <w:pStyle w:val="3"/>
        <w:rPr>
          <w:rFonts w:hint="default"/>
          <w:lang w:val="en-US" w:eastAsia="zh-CN"/>
        </w:rPr>
      </w:pPr>
      <w:r>
        <w:rPr>
          <w:rFonts w:hint="eastAsia"/>
          <w:lang w:val="en-US" w:eastAsia="zh-CN"/>
        </w:rPr>
        <w:t>7、2万元以下属小型维修工程，2万元以上、5万元以下属中型维修工程，5万元以上属大型维修工程，小型维修工程包含在总物业费中，中大型由甲乙双方共同确定工程实施工程量。</w:t>
      </w:r>
    </w:p>
    <w:p w14:paraId="117B9144">
      <w:pPr>
        <w:pStyle w:val="3"/>
        <w:rPr>
          <w:rFonts w:hint="eastAsia"/>
          <w:lang w:val="en-US" w:eastAsia="zh-CN"/>
        </w:rPr>
      </w:pPr>
      <w:r>
        <w:rPr>
          <w:rFonts w:hint="eastAsia"/>
          <w:lang w:val="en-US" w:eastAsia="zh-CN"/>
        </w:rPr>
        <w:t>8、中大型维修由甲方按程序确定维修单位或委托乙方实施，结算由甲方指定第三方机构进行工程量决算，以实际工程量决算价进行支付。</w:t>
      </w:r>
    </w:p>
    <w:p w14:paraId="45DEDC9C">
      <w:pPr>
        <w:pStyle w:val="3"/>
        <w:rPr>
          <w:rFonts w:hint="eastAsia"/>
          <w:lang w:val="en-US" w:eastAsia="zh-CN"/>
        </w:rPr>
      </w:pPr>
      <w:r>
        <w:rPr>
          <w:rFonts w:hint="eastAsia"/>
          <w:lang w:val="en-US" w:eastAsia="zh-CN"/>
        </w:rPr>
        <w:t>十一、安全及联合防控管理</w:t>
      </w:r>
    </w:p>
    <w:p w14:paraId="09E31808">
      <w:pPr>
        <w:pStyle w:val="3"/>
        <w:rPr>
          <w:rFonts w:hint="default"/>
          <w:lang w:val="en-US" w:eastAsia="zh-CN"/>
        </w:rPr>
      </w:pPr>
      <w:r>
        <w:rPr>
          <w:rFonts w:hint="eastAsia"/>
          <w:lang w:val="en-US" w:eastAsia="zh-CN"/>
        </w:rPr>
        <w:t>1、安全管理</w:t>
      </w:r>
    </w:p>
    <w:p w14:paraId="14D95879">
      <w:pPr>
        <w:pStyle w:val="3"/>
        <w:rPr>
          <w:rFonts w:hint="eastAsia"/>
          <w:lang w:val="en-US" w:eastAsia="zh-CN"/>
        </w:rPr>
      </w:pPr>
      <w:r>
        <w:rPr>
          <w:rFonts w:hint="eastAsia"/>
          <w:lang w:val="en-US" w:eastAsia="zh-CN"/>
        </w:rPr>
        <w:t>（1）乙方应有专职安全管理人员，并按照国家相关安全生产法律法规，定期对从业人员进行安全管理教育，并有培训记录；如果从业人员出现人身安全事故，均由乙方承担相应赔偿及法律责任。</w:t>
      </w:r>
    </w:p>
    <w:p w14:paraId="0DD6D961">
      <w:pPr>
        <w:pStyle w:val="3"/>
        <w:rPr>
          <w:rFonts w:hint="eastAsia"/>
          <w:lang w:val="en-US" w:eastAsia="zh-CN"/>
        </w:rPr>
      </w:pPr>
      <w:r>
        <w:rPr>
          <w:rFonts w:hint="eastAsia"/>
          <w:lang w:val="en-US" w:eastAsia="zh-CN"/>
        </w:rPr>
        <w:t>（2）乙方应有相应安全管理制度，从业人员严格按照相关制度、流程开展工作，对违规、违章操作发生的安全事故、设施设备损坏的，均由乙方承担相应赔偿及法律责任。</w:t>
      </w:r>
    </w:p>
    <w:p w14:paraId="53CB02AE">
      <w:pPr>
        <w:pStyle w:val="3"/>
        <w:rPr>
          <w:rFonts w:hint="eastAsia"/>
          <w:lang w:val="en-US" w:eastAsia="zh-CN"/>
        </w:rPr>
      </w:pPr>
      <w:r>
        <w:rPr>
          <w:rFonts w:hint="eastAsia"/>
          <w:lang w:val="en-US" w:eastAsia="zh-CN"/>
        </w:rPr>
        <w:t>（3）从业人员在日常巡查过程中，对隐患排查不仔细，造成安全事故、设施设备损坏的，均由乙方承担相应赔偿及法律责任。</w:t>
      </w:r>
    </w:p>
    <w:p w14:paraId="7B81F3A0">
      <w:pPr>
        <w:pStyle w:val="3"/>
        <w:rPr>
          <w:rFonts w:hint="eastAsia"/>
          <w:lang w:val="en-US" w:eastAsia="zh-CN"/>
        </w:rPr>
      </w:pPr>
      <w:r>
        <w:rPr>
          <w:rFonts w:hint="eastAsia"/>
          <w:lang w:val="en-US" w:eastAsia="zh-CN"/>
        </w:rPr>
        <w:t>（4）从业人员在日常检修过程中，对设施设备检修不彻底，造成安全事故、设施设备损坏的，均由乙方承担相应赔偿及法律责任。</w:t>
      </w:r>
    </w:p>
    <w:p w14:paraId="1598587A">
      <w:pPr>
        <w:pStyle w:val="3"/>
        <w:rPr>
          <w:rFonts w:hint="eastAsia"/>
          <w:lang w:val="en-US" w:eastAsia="zh-CN"/>
        </w:rPr>
      </w:pPr>
      <w:r>
        <w:rPr>
          <w:rFonts w:hint="eastAsia"/>
          <w:lang w:val="en-US" w:eastAsia="zh-CN"/>
        </w:rPr>
        <w:t>（5）物业从业人员因人为疏忽造成设备损坏、财产损坏所产生的损失全部由乙方负责赔偿，甲方不承担任何赔偿，并按照相关法律法规追究相关人员责任。</w:t>
      </w:r>
    </w:p>
    <w:p w14:paraId="62036496">
      <w:pPr>
        <w:pStyle w:val="3"/>
        <w:rPr>
          <w:rFonts w:hint="eastAsia"/>
          <w:lang w:val="en-US" w:eastAsia="zh-CN"/>
        </w:rPr>
      </w:pPr>
      <w:r>
        <w:rPr>
          <w:rFonts w:hint="eastAsia"/>
          <w:lang w:val="en-US" w:eastAsia="zh-CN"/>
        </w:rPr>
        <w:t>（6）值班人员（保安）在值班期间不得离岗、不得饮酒，闭关期间未得到甲方通知任何人员不得进入限定区域，乙方必须严格按此规定进行；如果未按规定执行出现法律纠纷，均由乙方承担相应赔偿及法律责任。</w:t>
      </w:r>
    </w:p>
    <w:p w14:paraId="10A5A603">
      <w:pPr>
        <w:pStyle w:val="3"/>
        <w:rPr>
          <w:rFonts w:hint="eastAsia"/>
          <w:lang w:val="en-US" w:eastAsia="zh-CN"/>
        </w:rPr>
      </w:pPr>
      <w:r>
        <w:rPr>
          <w:rFonts w:hint="eastAsia"/>
          <w:lang w:val="en-US" w:eastAsia="zh-CN"/>
        </w:rPr>
        <w:t>2、联合防控</w:t>
      </w:r>
    </w:p>
    <w:p w14:paraId="6AAA4E23">
      <w:pPr>
        <w:pStyle w:val="3"/>
        <w:rPr>
          <w:rFonts w:hint="eastAsia"/>
          <w:lang w:val="en-US" w:eastAsia="zh-CN"/>
        </w:rPr>
      </w:pPr>
      <w:r>
        <w:rPr>
          <w:rFonts w:hint="eastAsia"/>
          <w:lang w:val="en-US" w:eastAsia="zh-CN"/>
        </w:rPr>
        <w:t>（1）乙方配合口岸管理单位，做到内外各方联防联控常态化，落实口岸安全防范各项措施。</w:t>
      </w:r>
    </w:p>
    <w:p w14:paraId="219EE033">
      <w:pPr>
        <w:pStyle w:val="3"/>
        <w:rPr>
          <w:rFonts w:hint="eastAsia"/>
          <w:lang w:val="en-US" w:eastAsia="zh-CN"/>
        </w:rPr>
      </w:pPr>
      <w:r>
        <w:rPr>
          <w:rFonts w:hint="eastAsia"/>
          <w:lang w:val="en-US" w:eastAsia="zh-CN"/>
        </w:rPr>
        <w:t>（2）乙方依据自身职能优势，分析查找工作中的安全隐患，提出整改措施，补短板、强弱项。</w:t>
      </w:r>
    </w:p>
    <w:p w14:paraId="381B37FA">
      <w:pPr>
        <w:pStyle w:val="3"/>
        <w:rPr>
          <w:rFonts w:hint="eastAsia"/>
          <w:lang w:val="en-US" w:eastAsia="zh-CN"/>
        </w:rPr>
      </w:pPr>
      <w:r>
        <w:rPr>
          <w:rFonts w:hint="eastAsia"/>
          <w:lang w:val="en-US" w:eastAsia="zh-CN"/>
        </w:rPr>
        <w:t>（3）乙方应制定联合防控应急预案、应急处置预案、安全防范工作方案。</w:t>
      </w:r>
    </w:p>
    <w:p w14:paraId="629F8461">
      <w:pPr>
        <w:pStyle w:val="3"/>
        <w:rPr>
          <w:rFonts w:hint="eastAsia"/>
          <w:lang w:val="en-US" w:eastAsia="zh-CN"/>
        </w:rPr>
      </w:pPr>
      <w:r>
        <w:rPr>
          <w:rFonts w:hint="eastAsia"/>
          <w:lang w:val="en-US" w:eastAsia="zh-CN"/>
        </w:rPr>
        <w:t>（4）乙方加强口岸重点区域夜间值班，确保口岸区域安全稳定。</w:t>
      </w:r>
    </w:p>
    <w:p w14:paraId="0EFBF8C4">
      <w:pPr>
        <w:pStyle w:val="3"/>
        <w:rPr>
          <w:rFonts w:hint="eastAsia"/>
          <w:lang w:val="en-US" w:eastAsia="zh-CN"/>
        </w:rPr>
      </w:pPr>
      <w:r>
        <w:rPr>
          <w:rFonts w:hint="eastAsia"/>
          <w:lang w:val="en-US" w:eastAsia="zh-CN"/>
        </w:rPr>
        <w:t>十二、考核办法</w:t>
      </w:r>
    </w:p>
    <w:p w14:paraId="482B3D91">
      <w:pPr>
        <w:pStyle w:val="3"/>
        <w:rPr>
          <w:rFonts w:hint="eastAsia"/>
          <w:lang w:val="en-US" w:eastAsia="zh-CN"/>
        </w:rPr>
      </w:pPr>
      <w:r>
        <w:rPr>
          <w:rFonts w:hint="eastAsia"/>
          <w:lang w:val="en-US" w:eastAsia="zh-CN"/>
        </w:rPr>
        <w:t>（一）日常检查</w:t>
      </w:r>
    </w:p>
    <w:p w14:paraId="215F71F3">
      <w:pPr>
        <w:pStyle w:val="3"/>
        <w:rPr>
          <w:rFonts w:hint="eastAsia"/>
          <w:lang w:val="en-US" w:eastAsia="zh-CN"/>
        </w:rPr>
      </w:pPr>
      <w:r>
        <w:rPr>
          <w:rFonts w:hint="eastAsia"/>
          <w:lang w:val="en-US" w:eastAsia="zh-CN"/>
        </w:rPr>
        <w:t>甲方安排专人，每月不定期对乙方服务范围按照《物业服务考核指标》（后附）进行检查，次月月初汇总。</w:t>
      </w:r>
    </w:p>
    <w:p w14:paraId="30EA5AED">
      <w:pPr>
        <w:pStyle w:val="3"/>
        <w:rPr>
          <w:rFonts w:hint="eastAsia"/>
          <w:lang w:val="en-US" w:eastAsia="zh-CN"/>
        </w:rPr>
      </w:pPr>
      <w:r>
        <w:rPr>
          <w:rFonts w:hint="eastAsia"/>
          <w:lang w:val="en-US" w:eastAsia="zh-CN"/>
        </w:rPr>
        <w:t>（二）考核办法：物业服务考核指标</w:t>
      </w:r>
    </w:p>
    <w:p w14:paraId="7E8CC39A">
      <w:pPr>
        <w:pStyle w:val="3"/>
        <w:rPr>
          <w:rFonts w:hint="eastAsia"/>
          <w:lang w:val="en-US" w:eastAsia="zh-CN"/>
        </w:rPr>
      </w:pPr>
      <w:r>
        <w:rPr>
          <w:rFonts w:hint="eastAsia"/>
          <w:lang w:val="en-US" w:eastAsia="zh-CN"/>
        </w:rPr>
        <w:t>1、所有物业工作人员如违规操作、无证上岗、酒后上岗等情况发现一次扣除当月物业服务费总额的1%。</w:t>
      </w:r>
    </w:p>
    <w:p w14:paraId="30A9F854">
      <w:pPr>
        <w:pStyle w:val="3"/>
        <w:rPr>
          <w:rFonts w:hint="eastAsia"/>
          <w:lang w:val="en-US" w:eastAsia="zh-CN"/>
        </w:rPr>
      </w:pPr>
      <w:r>
        <w:rPr>
          <w:rFonts w:hint="eastAsia"/>
          <w:lang w:val="en-US" w:eastAsia="zh-CN"/>
        </w:rPr>
        <w:t>2、考核分值≥95分为合格，不扣减物业服务费；考核分值&lt;95分，扣除当月物业服务费总额的2%，每降1分，累加1%，低于90分扣除当月物业服务费总额的10%.联合检查考核采用以上考核办法。</w:t>
      </w:r>
    </w:p>
    <w:p w14:paraId="76542E2B">
      <w:pPr>
        <w:pStyle w:val="3"/>
        <w:rPr>
          <w:rFonts w:hint="eastAsia"/>
          <w:lang w:val="en-US" w:eastAsia="zh-CN"/>
        </w:rPr>
      </w:pPr>
      <w:r>
        <w:rPr>
          <w:rFonts w:hint="eastAsia"/>
          <w:lang w:val="en-US" w:eastAsia="zh-CN"/>
        </w:rPr>
        <w:t>3、如出现物业服务投诉事件，一经落实，一般有理由投诉，甲方有权扣除乙方当月物业合同总额0.5%/次，重大投诉或影响面大的投诉，扣除乙方当月物业合同总额1%- 3%/次。</w:t>
      </w:r>
    </w:p>
    <w:p w14:paraId="0DB4FF25">
      <w:pPr>
        <w:pStyle w:val="3"/>
        <w:rPr>
          <w:rFonts w:hint="eastAsia"/>
          <w:lang w:val="en-US" w:eastAsia="zh-CN"/>
        </w:rPr>
      </w:pPr>
      <w:r>
        <w:rPr>
          <w:rFonts w:hint="eastAsia"/>
          <w:lang w:val="en-US" w:eastAsia="zh-CN"/>
        </w:rPr>
        <w:t>4、如因管理不到位、违规操作、无证上岗、醉岗等情形发生严重事故、影响正常通关、国际层面造成不良影响的，由乙方承担一切法律责任，甲方有权单方面终止解除合同。</w:t>
      </w:r>
    </w:p>
    <w:p w14:paraId="43C53C1A">
      <w:pPr>
        <w:pStyle w:val="3"/>
        <w:rPr>
          <w:rFonts w:hint="eastAsia"/>
          <w:lang w:val="en-US" w:eastAsia="zh-CN"/>
        </w:rPr>
      </w:pPr>
      <w:r>
        <w:rPr>
          <w:rFonts w:hint="eastAsia"/>
          <w:lang w:val="en-US" w:eastAsia="zh-CN"/>
        </w:rPr>
        <w:t>5、根据甲乙双方签订的《物业服务合同》，为更好的实现合同目的，明确考核内容，双方就《物业服务合同》中考核内容，制定以下考核办法，遵照执行：</w:t>
      </w:r>
    </w:p>
    <w:p w14:paraId="3FF035AE">
      <w:pPr>
        <w:pStyle w:val="3"/>
        <w:rPr>
          <w:rFonts w:hint="eastAsia"/>
          <w:lang w:val="en-US" w:eastAsia="zh-CN"/>
        </w:rPr>
      </w:pPr>
      <w:r>
        <w:rPr>
          <w:rFonts w:hint="eastAsia"/>
          <w:lang w:val="en-US" w:eastAsia="zh-CN"/>
        </w:rPr>
        <w:t>（1）乙方必须根据甲方要求委派进驻人员，并办理相关手续，乙方向甲方提供服务人员劳动合同和缴纳工伤保险凭证：</w:t>
      </w:r>
    </w:p>
    <w:p w14:paraId="15B26693">
      <w:pPr>
        <w:pStyle w:val="3"/>
        <w:rPr>
          <w:rFonts w:hint="eastAsia"/>
          <w:lang w:val="en-US" w:eastAsia="zh-CN"/>
        </w:rPr>
      </w:pPr>
      <w:r>
        <w:rPr>
          <w:rFonts w:hint="eastAsia"/>
          <w:lang w:val="en-US" w:eastAsia="zh-CN"/>
        </w:rPr>
        <w:t>①未按照甲方规定的委派进驻人员上（离）岗流程、时间办理上（离）岗手续；</w:t>
      </w:r>
    </w:p>
    <w:p w14:paraId="3BEA6961">
      <w:pPr>
        <w:pStyle w:val="3"/>
        <w:rPr>
          <w:rFonts w:hint="eastAsia"/>
          <w:lang w:val="en-US" w:eastAsia="zh-CN"/>
        </w:rPr>
      </w:pPr>
      <w:r>
        <w:rPr>
          <w:rFonts w:hint="eastAsia"/>
          <w:lang w:val="en-US" w:eastAsia="zh-CN"/>
        </w:rPr>
        <w:t>②未经甲方同意或未办理上岗手续，擅自让委派人员进驻上岗工作；</w:t>
      </w:r>
    </w:p>
    <w:p w14:paraId="6F7B5250">
      <w:pPr>
        <w:pStyle w:val="3"/>
        <w:rPr>
          <w:rFonts w:hint="eastAsia"/>
          <w:lang w:val="en-US" w:eastAsia="zh-CN"/>
        </w:rPr>
      </w:pPr>
      <w:r>
        <w:rPr>
          <w:rFonts w:hint="eastAsia"/>
          <w:lang w:val="en-US" w:eastAsia="zh-CN"/>
        </w:rPr>
        <w:t>③乙方不得将未签订劳动合同和相关上岗手续不全的人员派驻甲方区域工作；</w:t>
      </w:r>
    </w:p>
    <w:p w14:paraId="2E9ED8F3">
      <w:pPr>
        <w:pStyle w:val="3"/>
        <w:rPr>
          <w:rFonts w:hint="eastAsia"/>
          <w:lang w:val="en-US" w:eastAsia="zh-CN"/>
        </w:rPr>
      </w:pPr>
      <w:r>
        <w:rPr>
          <w:rFonts w:hint="eastAsia"/>
          <w:lang w:val="en-US" w:eastAsia="zh-CN"/>
        </w:rPr>
        <w:t>④未及时将《上（离）岗通知书》传递至所服务区域的甲方负责人。</w:t>
      </w:r>
    </w:p>
    <w:p w14:paraId="453C0638">
      <w:pPr>
        <w:pStyle w:val="3"/>
        <w:rPr>
          <w:rFonts w:hint="eastAsia"/>
          <w:lang w:val="en-US" w:eastAsia="zh-CN"/>
        </w:rPr>
      </w:pPr>
      <w:r>
        <w:rPr>
          <w:rFonts w:hint="eastAsia"/>
          <w:lang w:val="en-US" w:eastAsia="zh-CN"/>
        </w:rPr>
        <w:t>乙方有本条第①②③款中行为的，甲方可以从乙方承包费中扣除乙方1000元/每人/每次。乙方有本条第④款中行为的，甲方可以从乙方承包费中扣除乙方100元/每人/每次。</w:t>
      </w:r>
    </w:p>
    <w:p w14:paraId="2E64BC3B">
      <w:pPr>
        <w:pStyle w:val="3"/>
        <w:rPr>
          <w:rFonts w:hint="eastAsia"/>
          <w:lang w:val="en-US" w:eastAsia="zh-CN"/>
        </w:rPr>
      </w:pPr>
      <w:r>
        <w:rPr>
          <w:rFonts w:hint="eastAsia"/>
          <w:lang w:val="en-US" w:eastAsia="zh-CN"/>
        </w:rPr>
        <w:t>（2）乙方必须按照甲方要求向甲方提供相关资料、文件，并符合国家法律规定。</w:t>
      </w:r>
    </w:p>
    <w:p w14:paraId="3D89ED9F">
      <w:pPr>
        <w:pStyle w:val="3"/>
        <w:rPr>
          <w:rFonts w:hint="eastAsia"/>
          <w:lang w:val="en-US" w:eastAsia="zh-CN"/>
        </w:rPr>
      </w:pPr>
      <w:r>
        <w:rPr>
          <w:rFonts w:hint="eastAsia"/>
          <w:lang w:val="en-US" w:eastAsia="zh-CN"/>
        </w:rPr>
        <w:t>①未在甲方规定的时间内向甲方提供乙方与委派进驻人员签订的劳动合同及其他相关资料，甲方可以按照乙方管理违约扣除乙方200元/每人/每次。</w:t>
      </w:r>
    </w:p>
    <w:p w14:paraId="7CD6D578">
      <w:pPr>
        <w:pStyle w:val="3"/>
        <w:rPr>
          <w:rFonts w:hint="eastAsia"/>
          <w:lang w:val="en-US" w:eastAsia="zh-CN"/>
        </w:rPr>
      </w:pPr>
      <w:r>
        <w:rPr>
          <w:rFonts w:hint="eastAsia"/>
          <w:lang w:val="en-US" w:eastAsia="zh-CN"/>
        </w:rPr>
        <w:t>②乙方与委派进驻人员签订的《劳动合同》违反法律规定，则由乙方承担用人单位责任，甲方可以按照乙方管理违约扣除乙方200元/每人/每次。</w:t>
      </w:r>
    </w:p>
    <w:p w14:paraId="4E1764AC">
      <w:pPr>
        <w:pStyle w:val="3"/>
        <w:rPr>
          <w:rFonts w:hint="eastAsia"/>
          <w:lang w:val="en-US" w:eastAsia="zh-CN"/>
        </w:rPr>
      </w:pPr>
      <w:r>
        <w:rPr>
          <w:rFonts w:hint="eastAsia"/>
          <w:lang w:val="en-US" w:eastAsia="zh-CN"/>
        </w:rPr>
        <w:t>③乙方向甲方所提供的委派进驻人员《劳动合同》复印件与原件不符，则由乙方承担用人单位责任。甲方可以按照乙方管理违约扣除乙方200元/每人/每次。</w:t>
      </w:r>
    </w:p>
    <w:p w14:paraId="2D0C31EC">
      <w:pPr>
        <w:pStyle w:val="3"/>
        <w:rPr>
          <w:rFonts w:hint="eastAsia"/>
          <w:lang w:val="en-US" w:eastAsia="zh-CN"/>
        </w:rPr>
      </w:pPr>
      <w:r>
        <w:rPr>
          <w:rFonts w:hint="eastAsia"/>
          <w:lang w:val="en-US" w:eastAsia="zh-CN"/>
        </w:rPr>
        <w:t>④乙方向甲方所提供的委派进驻人员档案已过期或是不真实，则由乙方承担用人单位责任，甲方可以按照乙方管理违约扣除乙方100元/每人/每次。</w:t>
      </w:r>
    </w:p>
    <w:p w14:paraId="40215693">
      <w:pPr>
        <w:pStyle w:val="3"/>
        <w:rPr>
          <w:rFonts w:hint="eastAsia"/>
          <w:lang w:val="en-US" w:eastAsia="zh-CN"/>
        </w:rPr>
      </w:pPr>
      <w:r>
        <w:rPr>
          <w:rFonts w:hint="eastAsia"/>
          <w:lang w:val="en-US" w:eastAsia="zh-CN"/>
        </w:rPr>
        <w:t>（3）因乙方未按时按量向其派驻人员发放工资，则由乙方承担用人单位责任和赔偿责任以及由此解除合同的赔偿金。如有发现则按照乙方管理违约扣除应发工资的2倍。因乙方违约由此造成的上访则由乙方承担用人单位责任以及赔偿责任。一经发生则甲方有权终止合同履行，由此产生的责任由乙方自行承担。</w:t>
      </w:r>
    </w:p>
    <w:p w14:paraId="01FA3488">
      <w:pPr>
        <w:pStyle w:val="3"/>
        <w:rPr>
          <w:rFonts w:hint="eastAsia"/>
          <w:lang w:val="en-US" w:eastAsia="zh-CN"/>
        </w:rPr>
      </w:pPr>
      <w:r>
        <w:rPr>
          <w:rFonts w:hint="eastAsia"/>
          <w:lang w:val="en-US" w:eastAsia="zh-CN"/>
        </w:rPr>
        <w:t>（4）乙方各区域的现场管理人员必须在岗，且该现场管理人员上岗必须持乙方的授权委托书或者认命书，违反一次甲方可扣除乙方1000元/每次。</w:t>
      </w:r>
    </w:p>
    <w:p w14:paraId="3CBBD122">
      <w:pPr>
        <w:pStyle w:val="3"/>
        <w:rPr>
          <w:rFonts w:hint="eastAsia"/>
          <w:lang w:val="en-US" w:eastAsia="zh-CN"/>
        </w:rPr>
      </w:pPr>
      <w:r>
        <w:rPr>
          <w:rFonts w:hint="eastAsia"/>
          <w:lang w:val="en-US" w:eastAsia="zh-CN"/>
        </w:rPr>
        <w:t>（5）物业服务公司应按时向其派驻甲方区域工作的人员发放工资、缴纳统筹、工伤等社会保险保障等。</w:t>
      </w:r>
    </w:p>
    <w:p w14:paraId="57BA9FB7">
      <w:pPr>
        <w:pStyle w:val="3"/>
        <w:rPr>
          <w:rFonts w:hint="eastAsia"/>
          <w:lang w:val="en-US" w:eastAsia="zh-CN"/>
        </w:rPr>
      </w:pPr>
      <w:r>
        <w:rPr>
          <w:rFonts w:hint="eastAsia"/>
          <w:lang w:val="en-US" w:eastAsia="zh-CN"/>
        </w:rPr>
        <w:t>（6）甲乙双方不定期召开联合办公会，用以协调双方物业服务和管理工作。联合办公会由甲方主办，乙方如有不参加或不按甲方要求提供相应资料，每次扣500元。</w:t>
      </w:r>
    </w:p>
    <w:p w14:paraId="1A95C7B8">
      <w:pPr>
        <w:pStyle w:val="3"/>
        <w:rPr>
          <w:rFonts w:hint="default"/>
          <w:lang w:val="en-US" w:eastAsia="zh-CN"/>
        </w:rPr>
      </w:pPr>
      <w:r>
        <w:rPr>
          <w:rFonts w:hint="eastAsia"/>
          <w:lang w:val="en-US" w:eastAsia="zh-CN"/>
        </w:rPr>
        <w:t>6、甲方根据合同内容和考核细则，每月对物业管理工作质量进行检查，每月初汇总检查情况，评定工作质量，按照《物业服务考核指标》和对乙方的当月物业服务工作进行考核评分，累计三次物业月考核低于95分，甲方有权终止合同。</w:t>
      </w:r>
    </w:p>
    <w:p w14:paraId="3D63293C">
      <w:pPr>
        <w:pStyle w:val="3"/>
        <w:rPr>
          <w:rFonts w:hint="eastAsia"/>
          <w:lang w:val="en-US" w:eastAsia="zh-CN"/>
        </w:rPr>
      </w:pPr>
      <w:r>
        <w:rPr>
          <w:rFonts w:hint="eastAsia"/>
          <w:lang w:val="en-US" w:eastAsia="zh-CN"/>
        </w:rPr>
        <w:t>7、乙方每月实际物业费=每月应付金额-业务考核扣款-其它扣款</w:t>
      </w:r>
    </w:p>
    <w:p w14:paraId="28F26591">
      <w:pPr>
        <w:pStyle w:val="3"/>
        <w:rPr>
          <w:rFonts w:hint="eastAsia"/>
          <w:lang w:val="en-US" w:eastAsia="zh-CN"/>
        </w:rPr>
      </w:pPr>
      <w:r>
        <w:rPr>
          <w:rFonts w:hint="eastAsia"/>
          <w:lang w:val="en-US" w:eastAsia="zh-CN"/>
        </w:rPr>
        <w:t>注：其它扣分项指投诉、联合检查考核、经济赔偿、物业人员工资发放等。</w:t>
      </w:r>
    </w:p>
    <w:p w14:paraId="0A69D9F8">
      <w:pPr>
        <w:pStyle w:val="3"/>
        <w:rPr>
          <w:rFonts w:hint="eastAsia"/>
          <w:lang w:val="en-US" w:eastAsia="zh-CN"/>
        </w:rPr>
      </w:pPr>
      <w:r>
        <w:rPr>
          <w:rFonts w:hint="eastAsia"/>
          <w:lang w:val="en-US" w:eastAsia="zh-CN"/>
        </w:rPr>
        <w:t>十三、物业结算</w:t>
      </w:r>
    </w:p>
    <w:p w14:paraId="2DB6A651">
      <w:pPr>
        <w:pStyle w:val="3"/>
        <w:rPr>
          <w:rFonts w:hint="default"/>
          <w:lang w:val="en-US" w:eastAsia="zh-CN"/>
        </w:rPr>
      </w:pPr>
      <w:r>
        <w:rPr>
          <w:rFonts w:hint="eastAsia"/>
        </w:rPr>
        <w:t>物业服务费的结算：合同签订后，前两月服务费预留作为保证金，物业服务费的结算根据月考核评定表结算，于第二月支付第一月的物业服务费，合同期满，按服务质量及考核评定结果支付余款，其中预留保证金不计算利息，按照合同约定方式予以免息支付。</w:t>
      </w:r>
    </w:p>
    <w:p w14:paraId="1C36EC6A">
      <w:pPr>
        <w:pStyle w:val="3"/>
        <w:rPr>
          <w:rFonts w:hint="eastAsia"/>
          <w:lang w:val="en-US" w:eastAsia="zh-CN"/>
        </w:rPr>
      </w:pPr>
      <w:r>
        <w:rPr>
          <w:rFonts w:hint="eastAsia"/>
          <w:lang w:val="en-US" w:eastAsia="zh-CN"/>
        </w:rPr>
        <w:t>十四、其他要求</w:t>
      </w:r>
    </w:p>
    <w:p w14:paraId="723698B9">
      <w:pPr>
        <w:pStyle w:val="3"/>
        <w:rPr>
          <w:rFonts w:hint="eastAsia"/>
          <w:lang w:val="en-US" w:eastAsia="zh-CN"/>
        </w:rPr>
      </w:pPr>
      <w:r>
        <w:rPr>
          <w:rFonts w:hint="eastAsia"/>
          <w:lang w:val="en-US" w:eastAsia="zh-CN"/>
        </w:rPr>
        <w:t xml:space="preserve">（1）所有物业工作人员统一着装,并要有明显标识，且现场有专门管理人员； </w:t>
      </w:r>
    </w:p>
    <w:p w14:paraId="0680A1A6">
      <w:pPr>
        <w:pStyle w:val="3"/>
        <w:rPr>
          <w:rFonts w:hint="eastAsia"/>
          <w:lang w:val="en-US" w:eastAsia="zh-CN"/>
        </w:rPr>
      </w:pPr>
      <w:r>
        <w:rPr>
          <w:rFonts w:hint="eastAsia"/>
          <w:lang w:val="en-US" w:eastAsia="zh-CN"/>
        </w:rPr>
        <w:t>（2）有完善的值班制度和交接班制度，工作有记录。急修服务半小时到位，1小时内修复，若不能，要有紧急处理措施，并做出解释，做出限时承诺。</w:t>
      </w:r>
    </w:p>
    <w:p w14:paraId="146056D4">
      <w:pPr>
        <w:pStyle w:val="3"/>
        <w:rPr>
          <w:rFonts w:hint="eastAsia"/>
          <w:lang w:val="en-US" w:eastAsia="zh-CN"/>
        </w:rPr>
      </w:pPr>
      <w:r>
        <w:rPr>
          <w:rFonts w:hint="eastAsia"/>
          <w:lang w:val="en-US" w:eastAsia="zh-CN"/>
        </w:rPr>
        <w:t>（3）设有甲方求助与报警电话，24小时有人值守，有紧急事故处理预案；</w:t>
      </w:r>
    </w:p>
    <w:p w14:paraId="1E2C4D00">
      <w:pPr>
        <w:pStyle w:val="3"/>
        <w:rPr>
          <w:rFonts w:hint="eastAsia"/>
          <w:lang w:val="en-US" w:eastAsia="zh-CN"/>
        </w:rPr>
      </w:pPr>
      <w:r>
        <w:rPr>
          <w:rFonts w:hint="eastAsia"/>
          <w:lang w:val="en-US" w:eastAsia="zh-CN"/>
        </w:rPr>
        <w:t>（4）重点区域：机房、配电室、消防控制室、监控室等地，必须由专人带领方可进入，物业公司无权带领任何人进入重点区域。</w:t>
      </w:r>
    </w:p>
    <w:p w14:paraId="4E991B25">
      <w:pPr>
        <w:pStyle w:val="3"/>
        <w:rPr>
          <w:rFonts w:hint="eastAsia"/>
          <w:lang w:val="en-US" w:eastAsia="zh-CN"/>
        </w:rPr>
      </w:pPr>
      <w:r>
        <w:rPr>
          <w:rFonts w:hint="eastAsia"/>
          <w:lang w:val="en-US" w:eastAsia="zh-CN"/>
        </w:rPr>
        <w:t>十五、注意事项</w:t>
      </w:r>
    </w:p>
    <w:p w14:paraId="27757D56">
      <w:pPr>
        <w:pStyle w:val="3"/>
        <w:rPr>
          <w:rFonts w:hint="eastAsia"/>
          <w:lang w:val="en-US" w:eastAsia="zh-CN"/>
        </w:rPr>
      </w:pPr>
      <w:r>
        <w:rPr>
          <w:rFonts w:hint="eastAsia"/>
          <w:lang w:val="en-US" w:eastAsia="zh-CN"/>
        </w:rPr>
        <w:t>巴克图口岸属国家一类口岸，口岸区域内划分军事管理区、边检限定区、海关作业区及其他区域，且由巴克图边防连、巴克图出入境边防检查站、塔城海关等部门分别管理，为此乙方作为物业从业人员在口岸区开展工作期间需注意以下事项，乙方承担法人法律责任和行政管理责任，乙方对物业服务人员承担连带责任：</w:t>
      </w:r>
    </w:p>
    <w:p w14:paraId="11402066">
      <w:pPr>
        <w:pStyle w:val="3"/>
        <w:rPr>
          <w:rFonts w:hint="eastAsia"/>
          <w:lang w:val="en-US" w:eastAsia="zh-CN"/>
        </w:rPr>
      </w:pPr>
      <w:r>
        <w:rPr>
          <w:rFonts w:hint="eastAsia"/>
          <w:lang w:val="en-US" w:eastAsia="zh-CN"/>
        </w:rPr>
        <w:t>（一）合同签订后，乙方应对物业服务人员到岗前到相关部门办理相关的备案登记手续并对经相关部门审查不符合要求的人员进行调岗，不得违法违规进行上岗。</w:t>
      </w:r>
    </w:p>
    <w:p w14:paraId="6B79447C">
      <w:pPr>
        <w:pStyle w:val="3"/>
        <w:rPr>
          <w:rFonts w:hint="eastAsia"/>
          <w:lang w:val="en-US" w:eastAsia="zh-CN"/>
        </w:rPr>
      </w:pPr>
      <w:r>
        <w:rPr>
          <w:rFonts w:hint="eastAsia"/>
          <w:lang w:val="en-US" w:eastAsia="zh-CN"/>
        </w:rPr>
        <w:t>（二）合同签订后，乙方应对所有从业人员进行安全教育，并安排专人做好人员管理。</w:t>
      </w:r>
    </w:p>
    <w:p w14:paraId="6BF00868">
      <w:pPr>
        <w:pStyle w:val="3"/>
        <w:rPr>
          <w:rFonts w:hint="eastAsia"/>
          <w:lang w:val="en-US" w:eastAsia="zh-CN"/>
        </w:rPr>
      </w:pPr>
      <w:r>
        <w:rPr>
          <w:rFonts w:hint="eastAsia"/>
          <w:lang w:val="en-US" w:eastAsia="zh-CN"/>
        </w:rPr>
        <w:t>（三）合同签订后，乙方准备所有从业人员身份证复印件、车辆行驶证复印件，分别交由巴克图边防派出所、巴克图出入境边防检查站及相关执法单位核实人员车辆身份，并向上级部门报备。</w:t>
      </w:r>
    </w:p>
    <w:p w14:paraId="68B90A72">
      <w:pPr>
        <w:pStyle w:val="3"/>
        <w:rPr>
          <w:rFonts w:hint="eastAsia"/>
          <w:lang w:val="en-US" w:eastAsia="zh-CN"/>
        </w:rPr>
      </w:pPr>
      <w:r>
        <w:rPr>
          <w:rFonts w:hint="eastAsia"/>
          <w:lang w:val="en-US" w:eastAsia="zh-CN"/>
        </w:rPr>
        <w:t>（四）合同签订后，乙方相关从业人员应按照甲方要求在指定的区域内活动，如因工作需要进入口岸区其他区域的，应提前与口岸委现场负责人说明事由，并由口岸委现场负责人带领进入。</w:t>
      </w:r>
    </w:p>
    <w:p w14:paraId="65650C9C">
      <w:pPr>
        <w:pStyle w:val="3"/>
        <w:rPr>
          <w:rFonts w:hint="eastAsia"/>
          <w:lang w:val="en-US" w:eastAsia="zh-CN"/>
        </w:rPr>
      </w:pPr>
      <w:r>
        <w:rPr>
          <w:rFonts w:hint="eastAsia"/>
          <w:lang w:val="en-US" w:eastAsia="zh-CN"/>
        </w:rPr>
        <w:t>（五）合同签订后，乙方应安排专人做好从业人员及车辆的日常管理工作，从业人员工作期间不得私自与出入境人员接触，从业人员及车辆未经允许不得进入限定区域、不得靠近边境线，不得拍照，否则巴克图边防派出所、巴克图出入境边防检查站、塔城海关等部门将按照国家有关法律法规对相关人员进行处理，并移交司法机关。</w:t>
      </w:r>
    </w:p>
    <w:p w14:paraId="61B1C9A2">
      <w:pPr>
        <w:pStyle w:val="3"/>
        <w:rPr>
          <w:rFonts w:hint="eastAsia"/>
          <w:lang w:val="en-US" w:eastAsia="zh-CN"/>
        </w:rPr>
      </w:pPr>
      <w:r>
        <w:rPr>
          <w:rFonts w:hint="eastAsia"/>
          <w:lang w:val="en-US" w:eastAsia="zh-CN"/>
        </w:rPr>
        <w:t>（六）合同签订后，乙方应服从巴克图边防派出所、巴克图出入境边防检查站、塔城海关等部门的正常管理，如遇问题应及时与口岸委现场负责人联系。</w:t>
      </w:r>
    </w:p>
    <w:p w14:paraId="7429D133">
      <w:pPr>
        <w:pStyle w:val="3"/>
        <w:rPr>
          <w:rFonts w:hint="eastAsia"/>
          <w:lang w:val="en-US" w:eastAsia="zh-CN"/>
        </w:rPr>
      </w:pPr>
      <w:r>
        <w:rPr>
          <w:rFonts w:hint="eastAsia"/>
          <w:lang w:val="en-US" w:eastAsia="zh-CN"/>
        </w:rPr>
        <w:t xml:space="preserve">（七）乙方相关从业人员需随身携带身份证，以便公安等部门备查。 </w:t>
      </w:r>
    </w:p>
    <w:p w14:paraId="0B211613">
      <w:pPr>
        <w:pStyle w:val="3"/>
        <w:rPr>
          <w:rFonts w:hint="eastAsia"/>
          <w:lang w:val="en-US" w:eastAsia="zh-CN"/>
        </w:rPr>
      </w:pPr>
      <w:r>
        <w:rPr>
          <w:rFonts w:hint="eastAsia"/>
          <w:lang w:val="en-US" w:eastAsia="zh-CN"/>
        </w:rPr>
        <w:t>十六、争议的解决</w:t>
      </w:r>
    </w:p>
    <w:p w14:paraId="5ACD2A8C">
      <w:pPr>
        <w:pStyle w:val="3"/>
        <w:rPr>
          <w:rFonts w:hint="eastAsia"/>
        </w:rPr>
      </w:pPr>
      <w:r>
        <w:rPr>
          <w:rFonts w:hint="eastAsia"/>
        </w:rPr>
        <w:t>合同执行过程中发生的任何争议，如双方不能通过友好协商解决，按相关法律法规处理并向甲方所在地的人民法院提起诉讼解决。除解除合同或者终止合同外，出现争议纠纷事项不得影响合同整体履行。</w:t>
      </w:r>
    </w:p>
    <w:p w14:paraId="59ADD7E9">
      <w:pPr>
        <w:pStyle w:val="3"/>
        <w:rPr>
          <w:rFonts w:hint="eastAsia"/>
          <w:lang w:val="en-US" w:eastAsia="zh-CN"/>
        </w:rPr>
      </w:pPr>
      <w:r>
        <w:rPr>
          <w:rFonts w:hint="eastAsia"/>
          <w:lang w:val="en-US" w:eastAsia="zh-CN"/>
        </w:rPr>
        <w:t>十七、不可抗力</w:t>
      </w:r>
    </w:p>
    <w:p w14:paraId="7E293F3C">
      <w:pPr>
        <w:pStyle w:val="3"/>
        <w:rPr>
          <w:rFonts w:hint="eastAsia"/>
        </w:rPr>
      </w:pPr>
      <w:r>
        <w:rPr>
          <w:rFonts w:hint="eastAsia"/>
        </w:rPr>
        <w:t>任何一方由于不可抗力原因不能履行合同时，应在不可抗力事件结束后</w:t>
      </w:r>
      <w:r>
        <w:rPr>
          <w:rFonts w:hint="eastAsia"/>
          <w:lang w:val="en-US" w:eastAsia="zh-CN"/>
        </w:rPr>
        <w:t>2个工作</w:t>
      </w:r>
      <w:r>
        <w:rPr>
          <w:rFonts w:hint="eastAsia"/>
        </w:rPr>
        <w:t>日</w:t>
      </w:r>
      <w:r>
        <w:rPr>
          <w:rFonts w:hint="eastAsia"/>
          <w:lang w:val="en-US" w:eastAsia="zh-CN"/>
        </w:rPr>
        <w:t>内向对方通报并提供不可抗力证明材料，以减轻可能给对方造成的损失，在取得有关机构的不可抗力证明或双方谅解确认后，允许延期履行或修订合同，并根据情况可部分或全部免于承担违约责任。</w:t>
      </w:r>
    </w:p>
    <w:p w14:paraId="5F07FFFE">
      <w:pPr>
        <w:pStyle w:val="3"/>
        <w:rPr>
          <w:rFonts w:hint="eastAsia"/>
          <w:lang w:val="en-US" w:eastAsia="zh-CN"/>
        </w:rPr>
      </w:pPr>
      <w:r>
        <w:rPr>
          <w:rFonts w:hint="eastAsia"/>
          <w:lang w:val="en-US" w:eastAsia="zh-CN"/>
        </w:rPr>
        <w:t>十八、税费</w:t>
      </w:r>
    </w:p>
    <w:p w14:paraId="5B6B62FC">
      <w:pPr>
        <w:pStyle w:val="3"/>
        <w:rPr>
          <w:rFonts w:hint="eastAsia"/>
          <w:lang w:val="en-US" w:eastAsia="zh-CN"/>
        </w:rPr>
      </w:pPr>
      <w:r>
        <w:rPr>
          <w:rFonts w:hint="eastAsia"/>
          <w:lang w:val="en-US" w:eastAsia="zh-CN"/>
        </w:rPr>
        <w:t>与本合同执行有关的一切税费均由乙方负担。</w:t>
      </w:r>
    </w:p>
    <w:p w14:paraId="51F2C3CD">
      <w:pPr>
        <w:pStyle w:val="3"/>
        <w:rPr>
          <w:rFonts w:hint="eastAsia"/>
          <w:lang w:val="en-US" w:eastAsia="zh-CN"/>
        </w:rPr>
      </w:pPr>
      <w:r>
        <w:rPr>
          <w:rFonts w:hint="eastAsia"/>
          <w:lang w:val="en-US" w:eastAsia="zh-CN"/>
        </w:rPr>
        <w:t>十九、物业服务地点</w:t>
      </w:r>
    </w:p>
    <w:p w14:paraId="1FB3173A">
      <w:pPr>
        <w:pStyle w:val="3"/>
        <w:rPr>
          <w:rFonts w:hint="eastAsia"/>
          <w:lang w:val="en-US" w:eastAsia="zh-CN"/>
        </w:rPr>
      </w:pPr>
      <w:r>
        <w:rPr>
          <w:rFonts w:hint="eastAsia"/>
          <w:lang w:val="en-US" w:eastAsia="zh-CN"/>
        </w:rPr>
        <w:t>塔城地区口岸管理委员会物业管理项目招标文件指定地点和合同约定服务范围。</w:t>
      </w:r>
    </w:p>
    <w:p w14:paraId="5DC42109">
      <w:pPr>
        <w:pStyle w:val="3"/>
        <w:rPr>
          <w:rFonts w:hint="eastAsia"/>
          <w:lang w:val="en-US" w:eastAsia="zh-CN"/>
        </w:rPr>
      </w:pPr>
      <w:r>
        <w:rPr>
          <w:rFonts w:hint="eastAsia"/>
          <w:lang w:val="en-US" w:eastAsia="zh-CN"/>
        </w:rPr>
        <w:t>二十、履行合同的时间</w:t>
      </w:r>
    </w:p>
    <w:p w14:paraId="54735C23">
      <w:pPr>
        <w:pStyle w:val="3"/>
        <w:rPr>
          <w:rFonts w:hint="eastAsia"/>
          <w:lang w:val="en-US" w:eastAsia="zh-CN"/>
        </w:rPr>
      </w:pPr>
      <w:r>
        <w:rPr>
          <w:rFonts w:hint="eastAsia"/>
          <w:lang w:val="en-US" w:eastAsia="zh-CN"/>
        </w:rPr>
        <w:t>合同签订后5日内全部物业人员到位、上岗工作。</w:t>
      </w:r>
    </w:p>
    <w:p w14:paraId="5DD213E8">
      <w:pPr>
        <w:pStyle w:val="3"/>
        <w:rPr>
          <w:rFonts w:hint="eastAsia"/>
          <w:lang w:val="en-US" w:eastAsia="zh-CN"/>
        </w:rPr>
      </w:pPr>
      <w:r>
        <w:rPr>
          <w:rFonts w:hint="eastAsia"/>
          <w:lang w:val="en-US" w:eastAsia="zh-CN"/>
        </w:rPr>
        <w:t>二十一、双方的责任、权利、义务</w:t>
      </w:r>
    </w:p>
    <w:p w14:paraId="02141562">
      <w:pPr>
        <w:pStyle w:val="3"/>
        <w:rPr>
          <w:rFonts w:hint="eastAsia"/>
          <w:lang w:val="en-US" w:eastAsia="zh-CN"/>
        </w:rPr>
      </w:pPr>
      <w:r>
        <w:rPr>
          <w:rFonts w:hint="eastAsia"/>
          <w:lang w:val="en-US" w:eastAsia="zh-CN"/>
        </w:rPr>
        <w:t>（1）甲方的责任、权利、义务：</w:t>
      </w:r>
    </w:p>
    <w:p w14:paraId="202B24CA">
      <w:pPr>
        <w:pStyle w:val="3"/>
        <w:rPr>
          <w:rFonts w:hint="eastAsia"/>
          <w:lang w:val="en-US" w:eastAsia="zh-CN"/>
        </w:rPr>
      </w:pPr>
      <w:r>
        <w:rPr>
          <w:rFonts w:hint="eastAsia"/>
          <w:lang w:val="en-US" w:eastAsia="zh-CN"/>
        </w:rPr>
        <w:t>1．代表和维护产权人、使用人的合法权益。</w:t>
      </w:r>
    </w:p>
    <w:p w14:paraId="56C270FD">
      <w:pPr>
        <w:pStyle w:val="3"/>
        <w:rPr>
          <w:rFonts w:hint="eastAsia"/>
          <w:lang w:val="en-US" w:eastAsia="zh-CN"/>
        </w:rPr>
      </w:pPr>
      <w:r>
        <w:rPr>
          <w:rFonts w:hint="eastAsia"/>
          <w:lang w:val="en-US" w:eastAsia="zh-CN"/>
        </w:rPr>
        <w:t>2．制定业主公约并监督物业产权人、使用人遵守公约。</w:t>
      </w:r>
    </w:p>
    <w:p w14:paraId="45F439F0">
      <w:pPr>
        <w:pStyle w:val="3"/>
        <w:rPr>
          <w:rFonts w:hint="eastAsia"/>
          <w:lang w:val="en-US" w:eastAsia="zh-CN"/>
        </w:rPr>
      </w:pPr>
      <w:r>
        <w:rPr>
          <w:rFonts w:hint="eastAsia"/>
          <w:lang w:val="en-US" w:eastAsia="zh-CN"/>
        </w:rPr>
        <w:t>3．审定乙方拟定的物业管理制度、年度计划、财政预决算。</w:t>
      </w:r>
    </w:p>
    <w:p w14:paraId="6E2B984D">
      <w:pPr>
        <w:pStyle w:val="3"/>
        <w:rPr>
          <w:rFonts w:hint="eastAsia"/>
          <w:lang w:val="en-US" w:eastAsia="zh-CN"/>
        </w:rPr>
      </w:pPr>
      <w:r>
        <w:rPr>
          <w:rFonts w:hint="eastAsia"/>
          <w:lang w:val="en-US" w:eastAsia="zh-CN"/>
        </w:rPr>
        <w:t>4．检查监督乙方管理工作的实施及制度执行情况。</w:t>
      </w:r>
    </w:p>
    <w:p w14:paraId="139D2CCC">
      <w:pPr>
        <w:pStyle w:val="3"/>
        <w:rPr>
          <w:rFonts w:hint="eastAsia"/>
          <w:lang w:val="en-US" w:eastAsia="zh-CN"/>
        </w:rPr>
      </w:pPr>
      <w:r>
        <w:rPr>
          <w:rFonts w:hint="eastAsia"/>
          <w:lang w:val="en-US" w:eastAsia="zh-CN"/>
        </w:rPr>
        <w:t>5．向乙方免费提供管理用房，工具设备存放用房，大型设备存放场地和服务人员必要的用房。</w:t>
      </w:r>
    </w:p>
    <w:p w14:paraId="1D1B2FAE">
      <w:pPr>
        <w:pStyle w:val="3"/>
        <w:rPr>
          <w:rFonts w:hint="eastAsia"/>
          <w:lang w:val="en-US" w:eastAsia="zh-CN"/>
        </w:rPr>
      </w:pPr>
      <w:r>
        <w:rPr>
          <w:rFonts w:hint="eastAsia"/>
          <w:lang w:val="en-US" w:eastAsia="zh-CN"/>
        </w:rPr>
        <w:t>6．向乙方提供物业管理所需的图纸、档案、资料。</w:t>
      </w:r>
    </w:p>
    <w:p w14:paraId="458A55F5">
      <w:pPr>
        <w:pStyle w:val="3"/>
        <w:rPr>
          <w:rFonts w:hint="eastAsia"/>
          <w:lang w:val="en-US" w:eastAsia="zh-CN"/>
        </w:rPr>
      </w:pPr>
      <w:r>
        <w:rPr>
          <w:rFonts w:hint="eastAsia"/>
          <w:lang w:val="en-US" w:eastAsia="zh-CN"/>
        </w:rPr>
        <w:t>7．负责保证按规定、按时拨付物业管理费。</w:t>
      </w:r>
    </w:p>
    <w:p w14:paraId="043173C0">
      <w:pPr>
        <w:pStyle w:val="3"/>
        <w:rPr>
          <w:rFonts w:hint="eastAsia"/>
          <w:lang w:val="en-US" w:eastAsia="zh-CN"/>
        </w:rPr>
      </w:pPr>
      <w:r>
        <w:rPr>
          <w:rFonts w:hint="eastAsia"/>
          <w:lang w:val="en-US" w:eastAsia="zh-CN"/>
        </w:rPr>
        <w:t>8．协助处理本合同生效前发生的管理遗留问题。</w:t>
      </w:r>
    </w:p>
    <w:p w14:paraId="2D825EE0">
      <w:pPr>
        <w:pStyle w:val="3"/>
        <w:rPr>
          <w:rFonts w:hint="eastAsia"/>
          <w:lang w:val="en-US" w:eastAsia="zh-CN"/>
        </w:rPr>
      </w:pPr>
      <w:r>
        <w:rPr>
          <w:rFonts w:hint="eastAsia"/>
          <w:lang w:val="en-US" w:eastAsia="zh-CN"/>
        </w:rPr>
        <w:t>9．协助乙方做好物业管理工作和宣传教育、文化活动。</w:t>
      </w:r>
    </w:p>
    <w:p w14:paraId="2336A7C8">
      <w:pPr>
        <w:pStyle w:val="3"/>
        <w:rPr>
          <w:rFonts w:hint="eastAsia"/>
          <w:lang w:val="en-US" w:eastAsia="zh-CN"/>
        </w:rPr>
      </w:pPr>
      <w:r>
        <w:rPr>
          <w:rFonts w:hint="eastAsia"/>
          <w:lang w:val="en-US" w:eastAsia="zh-CN"/>
        </w:rPr>
        <w:t>10．不得干涉乙方依法或依据本合同规定的内容所进行的管理和经营活动。</w:t>
      </w:r>
    </w:p>
    <w:p w14:paraId="3BD4F41D">
      <w:pPr>
        <w:pStyle w:val="3"/>
        <w:rPr>
          <w:rFonts w:hint="eastAsia"/>
          <w:lang w:val="en-US" w:eastAsia="zh-CN"/>
        </w:rPr>
      </w:pPr>
      <w:r>
        <w:rPr>
          <w:rFonts w:hint="eastAsia"/>
          <w:lang w:val="en-US" w:eastAsia="zh-CN"/>
        </w:rPr>
        <w:t>11．政策规定由甲方承担的其他责任。</w:t>
      </w:r>
    </w:p>
    <w:p w14:paraId="030154BE">
      <w:pPr>
        <w:pStyle w:val="3"/>
        <w:rPr>
          <w:rFonts w:hint="eastAsia"/>
          <w:lang w:val="en-US" w:eastAsia="zh-CN"/>
        </w:rPr>
      </w:pPr>
      <w:r>
        <w:rPr>
          <w:rFonts w:hint="eastAsia"/>
          <w:lang w:val="en-US" w:eastAsia="zh-CN"/>
        </w:rPr>
        <w:t>（2）乙方的责任、权利、义务：</w:t>
      </w:r>
    </w:p>
    <w:p w14:paraId="7D518B95">
      <w:pPr>
        <w:pStyle w:val="3"/>
        <w:rPr>
          <w:rFonts w:hint="eastAsia"/>
          <w:lang w:val="en-US" w:eastAsia="zh-CN"/>
        </w:rPr>
      </w:pPr>
      <w:r>
        <w:rPr>
          <w:rFonts w:hint="eastAsia"/>
          <w:lang w:val="en-US" w:eastAsia="zh-CN"/>
        </w:rPr>
        <w:t>1．根据有关法律、法规及本合同的约定，制定物业管理制度，自主开展各项管理经营活动。</w:t>
      </w:r>
    </w:p>
    <w:p w14:paraId="20D7475B">
      <w:pPr>
        <w:pStyle w:val="3"/>
        <w:rPr>
          <w:rFonts w:hint="eastAsia"/>
          <w:lang w:val="en-US" w:eastAsia="zh-CN"/>
        </w:rPr>
      </w:pPr>
      <w:r>
        <w:rPr>
          <w:rFonts w:hint="eastAsia"/>
          <w:lang w:val="en-US" w:eastAsia="zh-CN"/>
        </w:rPr>
        <w:t>2．遵守各项管理法规和合同规定的责任要求，根据甲方授权对物业实施综合管理，确保实现各项管理目标和经济指标，并承担相应责任，自觉接受政府部门和甲方检查监督。</w:t>
      </w:r>
    </w:p>
    <w:p w14:paraId="64FB3441">
      <w:pPr>
        <w:pStyle w:val="3"/>
        <w:rPr>
          <w:rFonts w:hint="eastAsia"/>
          <w:lang w:val="en-US" w:eastAsia="zh-CN"/>
        </w:rPr>
      </w:pPr>
      <w:r>
        <w:rPr>
          <w:rFonts w:hint="eastAsia"/>
          <w:lang w:val="en-US" w:eastAsia="zh-CN"/>
        </w:rPr>
        <w:t>3．根据需要制定维修方案，报甲方审议通过后组织实施。</w:t>
      </w:r>
    </w:p>
    <w:p w14:paraId="254A259F">
      <w:pPr>
        <w:pStyle w:val="3"/>
        <w:rPr>
          <w:rFonts w:hint="eastAsia"/>
          <w:lang w:val="en-US" w:eastAsia="zh-CN"/>
        </w:rPr>
      </w:pPr>
      <w:r>
        <w:rPr>
          <w:rFonts w:hint="eastAsia"/>
          <w:lang w:val="en-US" w:eastAsia="zh-CN"/>
        </w:rPr>
        <w:t>4．向甲方和物业使用权人告知物业使用的有关规定，并负责监督。</w:t>
      </w:r>
    </w:p>
    <w:p w14:paraId="0155763F">
      <w:pPr>
        <w:pStyle w:val="3"/>
        <w:rPr>
          <w:rFonts w:hint="eastAsia"/>
          <w:lang w:val="en-US" w:eastAsia="zh-CN"/>
        </w:rPr>
      </w:pPr>
      <w:r>
        <w:rPr>
          <w:rFonts w:hint="eastAsia"/>
          <w:lang w:val="en-US" w:eastAsia="zh-CN"/>
        </w:rPr>
        <w:t>5．不得将本物业的管理责任转让给第三方，也不得以此推卸责任并承担合同约定责任。</w:t>
      </w:r>
    </w:p>
    <w:p w14:paraId="5614CDCD">
      <w:pPr>
        <w:pStyle w:val="3"/>
        <w:rPr>
          <w:rFonts w:hint="eastAsia"/>
          <w:lang w:val="en-US" w:eastAsia="zh-CN"/>
        </w:rPr>
      </w:pPr>
      <w:r>
        <w:rPr>
          <w:rFonts w:hint="eastAsia"/>
          <w:lang w:val="en-US" w:eastAsia="zh-CN"/>
        </w:rPr>
        <w:t>6．对物业的设施、设备不得擅自占用和改变使用功能，如需在扩建或完善配套项目，须与甲方协商，经甲方同意后报有关部门批准方可实施。</w:t>
      </w:r>
    </w:p>
    <w:p w14:paraId="61CF06F9">
      <w:pPr>
        <w:pStyle w:val="3"/>
        <w:rPr>
          <w:rFonts w:hint="eastAsia"/>
          <w:lang w:val="en-US" w:eastAsia="zh-CN"/>
        </w:rPr>
      </w:pPr>
      <w:r>
        <w:rPr>
          <w:rFonts w:hint="eastAsia"/>
          <w:lang w:val="en-US" w:eastAsia="zh-CN"/>
        </w:rPr>
        <w:t>7．建立物业管理档案并负责及时记载有关变更情况。</w:t>
      </w:r>
    </w:p>
    <w:p w14:paraId="0244DE67">
      <w:pPr>
        <w:pStyle w:val="3"/>
      </w:pPr>
    </w:p>
    <w:p w14:paraId="2265773D">
      <w:pPr>
        <w:pStyle w:val="2"/>
        <w:spacing w:before="227" w:line="219" w:lineRule="auto"/>
        <w:ind w:left="482"/>
      </w:pPr>
      <w:r>
        <w:rPr>
          <w:spacing w:val="-3"/>
        </w:rPr>
        <w:t>第三条 双方的权利义务</w:t>
      </w:r>
    </w:p>
    <w:p w14:paraId="1A3B5A10">
      <w:pPr>
        <w:pStyle w:val="2"/>
        <w:spacing w:before="173" w:line="219" w:lineRule="auto"/>
        <w:ind w:left="567"/>
      </w:pPr>
      <w:r>
        <w:rPr>
          <w:spacing w:val="-14"/>
        </w:rPr>
        <w:t>(一)甲方的权利义务</w:t>
      </w:r>
    </w:p>
    <w:p w14:paraId="369213C0">
      <w:pPr>
        <w:pStyle w:val="2"/>
        <w:spacing w:before="173" w:line="219" w:lineRule="auto"/>
        <w:ind w:left="519"/>
      </w:pPr>
      <w:r>
        <w:rPr>
          <w:spacing w:val="-3"/>
        </w:rPr>
        <w:t>1.有权审定乙方编制的管理服务方案、人员编制、费用预算。</w:t>
      </w:r>
    </w:p>
    <w:p w14:paraId="46530943">
      <w:pPr>
        <w:pStyle w:val="2"/>
        <w:spacing w:before="170" w:line="230" w:lineRule="auto"/>
        <w:ind w:left="3" w:right="10" w:firstLine="484"/>
      </w:pPr>
      <w:r>
        <w:rPr>
          <w:spacing w:val="1"/>
        </w:rPr>
        <w:t>2.有权对乙方管理服务的质量进行监督，对不符合质量标准的管理服务有权建议</w:t>
      </w:r>
      <w:r>
        <w:rPr>
          <w:spacing w:val="17"/>
        </w:rPr>
        <w:t xml:space="preserve"> </w:t>
      </w:r>
      <w:r>
        <w:rPr>
          <w:spacing w:val="-3"/>
        </w:rPr>
        <w:t>整改，对不称职人员可以要求乙方更换。</w:t>
      </w:r>
    </w:p>
    <w:p w14:paraId="5095A598">
      <w:pPr>
        <w:pStyle w:val="2"/>
        <w:spacing w:before="174" w:line="232" w:lineRule="auto"/>
        <w:ind w:left="6" w:firstLine="485"/>
        <w:jc w:val="both"/>
      </w:pPr>
      <w:r>
        <w:rPr>
          <w:spacing w:val="2"/>
        </w:rPr>
        <w:t>3.为乙方的管理服务提供必要的工作条件及所必需的</w:t>
      </w:r>
      <w:r>
        <w:rPr>
          <w:spacing w:val="1"/>
        </w:rPr>
        <w:t>相关资料，包括办公用房、</w:t>
      </w:r>
      <w:r>
        <w:t xml:space="preserve"> </w:t>
      </w:r>
      <w:r>
        <w:rPr>
          <w:spacing w:val="1"/>
        </w:rPr>
        <w:t>设备工具库房(含相关工具、物料)、员工更衣及休息场所等设施和涉及本物业管理服</w:t>
      </w:r>
      <w:r>
        <w:rPr>
          <w:spacing w:val="14"/>
        </w:rPr>
        <w:t xml:space="preserve"> </w:t>
      </w:r>
      <w:r>
        <w:rPr>
          <w:spacing w:val="-1"/>
        </w:rPr>
        <w:t>务所需的验收图纸、资料等。为乙方的物业管理服务提供相应的协助和配合。</w:t>
      </w:r>
    </w:p>
    <w:p w14:paraId="2E52D5B9">
      <w:pPr>
        <w:pStyle w:val="2"/>
        <w:spacing w:before="173" w:line="301" w:lineRule="auto"/>
        <w:ind w:left="488" w:right="1925" w:hanging="7"/>
      </w:pPr>
      <w:r>
        <w:rPr>
          <w:spacing w:val="-6"/>
        </w:rPr>
        <w:t>4.按合同约定的费用及支付方式，按时支付物业管理服务费。5.</w:t>
      </w:r>
      <w:r>
        <w:rPr>
          <w:spacing w:val="4"/>
        </w:rPr>
        <w:t xml:space="preserve"> </w:t>
      </w:r>
      <w:r>
        <w:rPr>
          <w:spacing w:val="-3"/>
        </w:rPr>
        <w:t>按法律规定或经双方商定由甲方承担的其他责任和义务。</w:t>
      </w:r>
    </w:p>
    <w:p w14:paraId="195A3ED3">
      <w:pPr>
        <w:pStyle w:val="2"/>
        <w:spacing w:before="73" w:line="219" w:lineRule="auto"/>
        <w:ind w:left="567"/>
      </w:pPr>
      <w:r>
        <w:rPr>
          <w:spacing w:val="-14"/>
        </w:rPr>
        <w:t>(二)乙方的权利义务</w:t>
      </w:r>
    </w:p>
    <w:p w14:paraId="4F296610">
      <w:pPr>
        <w:pStyle w:val="2"/>
        <w:spacing w:before="170" w:line="230" w:lineRule="auto"/>
        <w:ind w:left="29" w:right="10" w:firstLine="489"/>
      </w:pPr>
      <w:r>
        <w:rPr>
          <w:spacing w:val="1"/>
        </w:rPr>
        <w:t>1.应根据法律、法规的规定及本合同约定，编制</w:t>
      </w:r>
      <w:r>
        <w:t xml:space="preserve">物业管理服务方案、人员编制和 </w:t>
      </w:r>
      <w:r>
        <w:rPr>
          <w:spacing w:val="-6"/>
        </w:rPr>
        <w:t>费用预算，报送甲方审定。</w:t>
      </w:r>
    </w:p>
    <w:p w14:paraId="1D3A5F80">
      <w:pPr>
        <w:pStyle w:val="2"/>
        <w:spacing w:before="175" w:line="233" w:lineRule="auto"/>
        <w:ind w:left="2" w:right="10" w:firstLine="485"/>
        <w:jc w:val="both"/>
      </w:pPr>
      <w:r>
        <w:rPr>
          <w:spacing w:val="1"/>
        </w:rPr>
        <w:t>2.保证从事本物业管理项目的人员具备相应的职业资格和应有的素质要求。如需</w:t>
      </w:r>
      <w:r>
        <w:rPr>
          <w:spacing w:val="17"/>
        </w:rPr>
        <w:t xml:space="preserve"> </w:t>
      </w:r>
      <w:r>
        <w:rPr>
          <w:spacing w:val="2"/>
        </w:rPr>
        <w:t>调整管理人员及技术骨干应事先通报甲方，对甲方</w:t>
      </w:r>
      <w:r>
        <w:rPr>
          <w:spacing w:val="1"/>
        </w:rPr>
        <w:t>提出认为不适合的在岗人员，乙方</w:t>
      </w:r>
      <w:r>
        <w:t xml:space="preserve"> </w:t>
      </w:r>
      <w:r>
        <w:rPr>
          <w:spacing w:val="-5"/>
        </w:rPr>
        <w:t>应作出相应调整。</w:t>
      </w:r>
    </w:p>
    <w:p w14:paraId="63034F3E">
      <w:pPr>
        <w:pStyle w:val="2"/>
        <w:spacing w:before="170" w:line="233" w:lineRule="auto"/>
        <w:ind w:left="3" w:right="8" w:firstLine="488"/>
        <w:jc w:val="both"/>
      </w:pPr>
      <w:r>
        <w:rPr>
          <w:spacing w:val="1"/>
        </w:rPr>
        <w:t>3.对管理服务涉及的专业性、技术性要求较高的工作内容，可另行委托第三方承</w:t>
      </w:r>
      <w:r>
        <w:rPr>
          <w:spacing w:val="15"/>
        </w:rPr>
        <w:t xml:space="preserve"> </w:t>
      </w:r>
      <w:r>
        <w:rPr>
          <w:spacing w:val="2"/>
        </w:rPr>
        <w:t>担，但应及时报甲方备案。委托的工作内容仅限于分</w:t>
      </w:r>
      <w:r>
        <w:rPr>
          <w:spacing w:val="1"/>
        </w:rPr>
        <w:t>项内容，整体管理服务项目不得</w:t>
      </w:r>
      <w:r>
        <w:t xml:space="preserve"> </w:t>
      </w:r>
      <w:r>
        <w:rPr>
          <w:spacing w:val="-5"/>
        </w:rPr>
        <w:t>转让给第三方。</w:t>
      </w:r>
    </w:p>
    <w:p w14:paraId="09BE257D">
      <w:pPr>
        <w:pStyle w:val="2"/>
        <w:spacing w:before="170" w:line="233" w:lineRule="auto"/>
        <w:ind w:left="3" w:right="5" w:firstLine="478"/>
        <w:jc w:val="both"/>
      </w:pPr>
      <w:r>
        <w:rPr>
          <w:spacing w:val="2"/>
        </w:rPr>
        <w:t>4.合同终止时，乙方应向甲方提交物业管理总结报告。在</w:t>
      </w:r>
      <w:r>
        <w:rPr>
          <w:spacing w:val="1"/>
        </w:rPr>
        <w:t>约定时间内向甲方移交</w:t>
      </w:r>
      <w:r>
        <w:t xml:space="preserve"> </w:t>
      </w:r>
      <w:r>
        <w:rPr>
          <w:spacing w:val="-13"/>
        </w:rPr>
        <w:t>房屋、物料、设备、工具、档案和图纸资料;所有移交的内容都应有清单并由双方签</w:t>
      </w:r>
      <w:r>
        <w:rPr>
          <w:spacing w:val="-14"/>
        </w:rPr>
        <w:t>收; 全</w:t>
      </w:r>
      <w:r>
        <w:t xml:space="preserve"> </w:t>
      </w:r>
      <w:r>
        <w:rPr>
          <w:spacing w:val="-3"/>
        </w:rPr>
        <w:t>部手续完成后签署物业移交确认书。</w:t>
      </w:r>
    </w:p>
    <w:p w14:paraId="367EB928">
      <w:pPr>
        <w:pStyle w:val="2"/>
        <w:spacing w:before="176" w:line="302" w:lineRule="auto"/>
        <w:ind w:left="482" w:right="2140" w:firstLine="9"/>
      </w:pPr>
      <w:r>
        <w:rPr>
          <w:spacing w:val="-6"/>
        </w:rPr>
        <w:t>5.按法律规定或经双方商定应由乙方承担的其他责任和义务。</w:t>
      </w:r>
      <w:r>
        <w:rPr>
          <w:spacing w:val="7"/>
        </w:rPr>
        <w:t xml:space="preserve"> </w:t>
      </w:r>
      <w:r>
        <w:rPr>
          <w:spacing w:val="-4"/>
        </w:rPr>
        <w:t>第四条  违约责任</w:t>
      </w:r>
    </w:p>
    <w:p w14:paraId="624CC456">
      <w:pPr>
        <w:pStyle w:val="2"/>
        <w:spacing w:before="68" w:line="233" w:lineRule="auto"/>
        <w:ind w:left="6" w:right="13" w:firstLine="561"/>
      </w:pPr>
      <w:r>
        <w:rPr>
          <w:spacing w:val="-1"/>
        </w:rPr>
        <w:t>(一)乙方未按合同约定的质量标准履行管理服务职责，但未给甲方造成损失的，</w:t>
      </w:r>
      <w:r>
        <w:rPr>
          <w:spacing w:val="7"/>
        </w:rPr>
        <w:t xml:space="preserve"> </w:t>
      </w:r>
      <w:r>
        <w:rPr>
          <w:spacing w:val="1"/>
        </w:rPr>
        <w:t>甲方可要求乙方整改，乙方达到管理服务质量标准后，甲方应支付相应的管理服务费</w:t>
      </w:r>
      <w:r>
        <w:rPr>
          <w:spacing w:val="15"/>
        </w:rPr>
        <w:t xml:space="preserve"> </w:t>
      </w:r>
      <w:r>
        <w:rPr>
          <w:spacing w:val="-6"/>
        </w:rPr>
        <w:t>用。</w:t>
      </w:r>
    </w:p>
    <w:p w14:paraId="1ADF4CE8">
      <w:pPr>
        <w:pStyle w:val="2"/>
        <w:spacing w:before="165" w:line="236" w:lineRule="auto"/>
        <w:ind w:left="4" w:right="3" w:firstLine="563"/>
      </w:pPr>
      <w:r>
        <w:rPr>
          <w:spacing w:val="-1"/>
        </w:rPr>
        <w:t>(二)乙方未按合同约定的质量标准履行管理服务职责，给甲方造成损失的，甲方</w:t>
      </w:r>
      <w:r>
        <w:rPr>
          <w:spacing w:val="12"/>
        </w:rPr>
        <w:t xml:space="preserve"> </w:t>
      </w:r>
      <w:r>
        <w:t>可要求乙方按实赔偿，每出现一次，甲方有权要求乙方支付合同金额总金额3%的违约</w:t>
      </w:r>
      <w:r>
        <w:rPr>
          <w:spacing w:val="4"/>
        </w:rPr>
        <w:t xml:space="preserve"> </w:t>
      </w:r>
      <w:r>
        <w:rPr>
          <w:spacing w:val="-13"/>
        </w:rPr>
        <w:t>金。出现三次，甲方有权直接解除合同，要求乙方支付合同总金额 10%违约金并承担赔 偿</w:t>
      </w:r>
      <w:r>
        <w:t xml:space="preserve"> </w:t>
      </w:r>
      <w:r>
        <w:rPr>
          <w:spacing w:val="-1"/>
        </w:rPr>
        <w:t>责任。因乙方管理服务质量问题导致甲方无法</w:t>
      </w:r>
      <w:r>
        <w:rPr>
          <w:spacing w:val="-2"/>
        </w:rPr>
        <w:t>实现合同目的的，甲方有权单方解除 合</w:t>
      </w:r>
      <w:r>
        <w:t xml:space="preserve"> </w:t>
      </w:r>
      <w:r>
        <w:rPr>
          <w:spacing w:val="-6"/>
        </w:rPr>
        <w:t>同，并要求乙方支付合同金额总金额 10%违约金。</w:t>
      </w:r>
    </w:p>
    <w:p w14:paraId="406E91CD">
      <w:pPr>
        <w:pStyle w:val="2"/>
        <w:spacing w:before="170" w:line="230" w:lineRule="auto"/>
        <w:ind w:left="49" w:right="8" w:firstLine="517"/>
      </w:pPr>
      <w:r>
        <w:rPr>
          <w:spacing w:val="-1"/>
        </w:rPr>
        <w:t>(三)因乙方原因导致重大火灾、失窃等事件的，甲方有权单方解除合同，并要求</w:t>
      </w:r>
      <w:r>
        <w:rPr>
          <w:spacing w:val="12"/>
        </w:rPr>
        <w:t xml:space="preserve"> </w:t>
      </w:r>
      <w:r>
        <w:rPr>
          <w:spacing w:val="-5"/>
        </w:rPr>
        <w:t>乙方赔偿相关损失，同时要求乙方支付合同金额总金额</w:t>
      </w:r>
      <w:r>
        <w:rPr>
          <w:spacing w:val="-52"/>
        </w:rPr>
        <w:t xml:space="preserve"> </w:t>
      </w:r>
      <w:r>
        <w:rPr>
          <w:spacing w:val="-5"/>
        </w:rPr>
        <w:t>20%违约金。</w:t>
      </w:r>
    </w:p>
    <w:p w14:paraId="7DE6D9D2">
      <w:pPr>
        <w:pStyle w:val="2"/>
        <w:spacing w:before="174" w:line="219" w:lineRule="auto"/>
        <w:ind w:left="567"/>
      </w:pPr>
      <w:r>
        <w:rPr>
          <w:spacing w:val="-14"/>
        </w:rPr>
        <w:t>(四)其他违约责任</w:t>
      </w:r>
    </w:p>
    <w:p w14:paraId="68D2A995">
      <w:pPr>
        <w:spacing w:line="219" w:lineRule="auto"/>
        <w:sectPr>
          <w:headerReference r:id="rId34" w:type="default"/>
          <w:footerReference r:id="rId35" w:type="default"/>
          <w:pgSz w:w="11906" w:h="16840"/>
          <w:pgMar w:top="208" w:right="1465" w:bottom="1216" w:left="1488" w:header="6" w:footer="1050" w:gutter="0"/>
          <w:pgNumType w:fmt="decimal"/>
          <w:cols w:space="720" w:num="1"/>
        </w:sectPr>
      </w:pPr>
    </w:p>
    <w:p w14:paraId="242B067C">
      <w:pPr>
        <w:spacing w:line="468" w:lineRule="auto"/>
        <w:rPr>
          <w:rFonts w:ascii="Arial"/>
          <w:sz w:val="21"/>
        </w:rPr>
      </w:pPr>
    </w:p>
    <w:p w14:paraId="5738BC38">
      <w:pPr>
        <w:pStyle w:val="2"/>
        <w:spacing w:before="78" w:line="219" w:lineRule="auto"/>
        <w:ind w:left="482"/>
      </w:pPr>
      <w:r>
        <w:rPr>
          <w:spacing w:val="-3"/>
        </w:rPr>
        <w:t>第五条 争议解决方式</w:t>
      </w:r>
    </w:p>
    <w:p w14:paraId="336BB54E">
      <w:pPr>
        <w:pStyle w:val="2"/>
        <w:spacing w:before="172" w:line="234" w:lineRule="auto"/>
        <w:ind w:left="5" w:right="21" w:firstLine="476"/>
        <w:jc w:val="both"/>
      </w:pPr>
      <w:r>
        <w:rPr>
          <w:spacing w:val="2"/>
        </w:rPr>
        <w:t>双方发生争议的，可协商解决，由于任何一方违</w:t>
      </w:r>
      <w:r>
        <w:rPr>
          <w:spacing w:val="1"/>
        </w:rPr>
        <w:t>约，导致本合同项下条款无法正</w:t>
      </w:r>
      <w:r>
        <w:t xml:space="preserve"> </w:t>
      </w:r>
      <w:r>
        <w:rPr>
          <w:spacing w:val="1"/>
        </w:rPr>
        <w:t>常履行或履行已无可能的，除赔偿损失、违约金外，履约方主张权利所产生的包括但</w:t>
      </w:r>
      <w:r>
        <w:rPr>
          <w:spacing w:val="18"/>
        </w:rPr>
        <w:t xml:space="preserve"> </w:t>
      </w:r>
      <w:r>
        <w:rPr>
          <w:spacing w:val="1"/>
        </w:rPr>
        <w:t>不限于诉讼、仲裁、鉴定、保全、保险、交通、送达、调查取证、律师费等均由违约</w:t>
      </w:r>
      <w:r>
        <w:rPr>
          <w:spacing w:val="18"/>
        </w:rPr>
        <w:t xml:space="preserve"> </w:t>
      </w:r>
      <w:r>
        <w:rPr>
          <w:spacing w:val="-6"/>
        </w:rPr>
        <w:t>方承担。</w:t>
      </w:r>
    </w:p>
    <w:p w14:paraId="28960781">
      <w:pPr>
        <w:pStyle w:val="2"/>
        <w:spacing w:before="172" w:line="219" w:lineRule="auto"/>
        <w:ind w:left="485"/>
      </w:pPr>
      <w:r>
        <w:rPr>
          <w:spacing w:val="-3"/>
        </w:rPr>
        <w:t>协商不成的，向甲方住所地有管辖权的法院起诉。</w:t>
      </w:r>
    </w:p>
    <w:p w14:paraId="249864B2">
      <w:pPr>
        <w:pStyle w:val="2"/>
        <w:spacing w:before="174" w:line="233" w:lineRule="auto"/>
        <w:ind w:left="2" w:right="16" w:firstLine="479"/>
        <w:jc w:val="both"/>
      </w:pPr>
      <w:r>
        <w:rPr>
          <w:spacing w:val="2"/>
        </w:rPr>
        <w:t>双方承诺合同所载明的信息及联系方式等均真实有效，</w:t>
      </w:r>
      <w:r>
        <w:rPr>
          <w:spacing w:val="1"/>
        </w:rPr>
        <w:t>能够准确送达各类文件及</w:t>
      </w:r>
      <w:r>
        <w:t xml:space="preserve"> </w:t>
      </w:r>
      <w:r>
        <w:rPr>
          <w:spacing w:val="-9"/>
        </w:rPr>
        <w:t>法律文书，如发生变化应提前3</w:t>
      </w:r>
      <w:r>
        <w:rPr>
          <w:spacing w:val="54"/>
        </w:rPr>
        <w:t xml:space="preserve"> </w:t>
      </w:r>
      <w:r>
        <w:rPr>
          <w:spacing w:val="-9"/>
        </w:rPr>
        <w:t>日通知对方，否则视为未变更，向该地址或联系方式 发</w:t>
      </w:r>
      <w:r>
        <w:t xml:space="preserve"> </w:t>
      </w:r>
      <w:r>
        <w:rPr>
          <w:spacing w:val="-3"/>
        </w:rPr>
        <w:t>送之一切文件均视为已送达。</w:t>
      </w:r>
    </w:p>
    <w:p w14:paraId="358494DC">
      <w:pPr>
        <w:pStyle w:val="2"/>
        <w:spacing w:before="170" w:line="219" w:lineRule="auto"/>
        <w:ind w:left="485"/>
      </w:pPr>
      <w:r>
        <w:rPr>
          <w:spacing w:val="-6"/>
        </w:rPr>
        <w:t>合同附件</w:t>
      </w:r>
    </w:p>
    <w:p w14:paraId="6C4E519C">
      <w:pPr>
        <w:pStyle w:val="2"/>
        <w:spacing w:before="175" w:line="229" w:lineRule="auto"/>
        <w:ind w:left="15" w:right="19" w:firstLine="552"/>
      </w:pPr>
      <w:r>
        <w:rPr>
          <w:spacing w:val="-1"/>
        </w:rPr>
        <w:t>(一)本项目招投标过程中的有关文件作为本合同的附件，与本合同具有同等法律</w:t>
      </w:r>
      <w:r>
        <w:rPr>
          <w:spacing w:val="12"/>
        </w:rPr>
        <w:t xml:space="preserve"> </w:t>
      </w:r>
      <w:r>
        <w:rPr>
          <w:spacing w:val="-4"/>
        </w:rPr>
        <w:t>效力。如招投标文件内容同本合同条款有不一致处，以本合同条款</w:t>
      </w:r>
      <w:r>
        <w:rPr>
          <w:spacing w:val="-5"/>
        </w:rPr>
        <w:t>为准。(详见附件)</w:t>
      </w:r>
    </w:p>
    <w:p w14:paraId="56371A3C">
      <w:pPr>
        <w:pStyle w:val="2"/>
        <w:spacing w:before="178" w:line="228" w:lineRule="auto"/>
        <w:ind w:left="7" w:firstLine="560"/>
      </w:pPr>
      <w:r>
        <w:t>(二)对本合同的未尽事宜，可经双方协商一致后另行签署补充协议。</w:t>
      </w:r>
      <w:r>
        <w:rPr>
          <w:spacing w:val="-1"/>
        </w:rPr>
        <w:t>补充协议作</w:t>
      </w:r>
      <w:r>
        <w:t xml:space="preserve"> </w:t>
      </w:r>
      <w:r>
        <w:rPr>
          <w:spacing w:val="-6"/>
        </w:rPr>
        <w:t>为本合同的组成部分，与本合同具有同等法律效力。补充协议内容与本合同不一致</w:t>
      </w:r>
      <w:r>
        <w:rPr>
          <w:spacing w:val="-7"/>
        </w:rPr>
        <w:t>处，</w:t>
      </w:r>
    </w:p>
    <w:p w14:paraId="12CB4A3C">
      <w:pPr>
        <w:pStyle w:val="2"/>
        <w:spacing w:before="55" w:line="302" w:lineRule="auto"/>
        <w:ind w:left="481" w:right="5973" w:hanging="474"/>
      </w:pPr>
      <w:r>
        <w:rPr>
          <w:spacing w:val="-10"/>
        </w:rPr>
        <w:t>从补充协议。(详见补充协议)</w:t>
      </w:r>
      <w:r>
        <w:rPr>
          <w:spacing w:val="1"/>
        </w:rPr>
        <w:t xml:space="preserve"> </w:t>
      </w:r>
      <w:r>
        <w:rPr>
          <w:spacing w:val="-3"/>
        </w:rPr>
        <w:t>第十二条  合同生效</w:t>
      </w:r>
    </w:p>
    <w:p w14:paraId="04DD0D5C">
      <w:pPr>
        <w:pStyle w:val="2"/>
        <w:spacing w:before="68" w:line="219" w:lineRule="auto"/>
        <w:ind w:left="485"/>
      </w:pPr>
      <w:r>
        <w:rPr>
          <w:spacing w:val="-3"/>
        </w:rPr>
        <w:t>本合同签订后经双方签字、盖章后生效。本合同一式</w:t>
      </w:r>
      <w:r>
        <w:rPr>
          <w:spacing w:val="39"/>
          <w:u w:val="single" w:color="auto"/>
        </w:rPr>
        <w:t xml:space="preserve">   </w:t>
      </w:r>
      <w:r>
        <w:rPr>
          <w:spacing w:val="-110"/>
        </w:rPr>
        <w:t xml:space="preserve"> </w:t>
      </w:r>
      <w:r>
        <w:rPr>
          <w:spacing w:val="-3"/>
        </w:rPr>
        <w:t>份，双方各执</w:t>
      </w:r>
      <w:r>
        <w:rPr>
          <w:spacing w:val="36"/>
          <w:u w:val="single" w:color="auto"/>
        </w:rPr>
        <w:t xml:space="preserve">   </w:t>
      </w:r>
      <w:r>
        <w:rPr>
          <w:spacing w:val="-108"/>
        </w:rPr>
        <w:t xml:space="preserve"> </w:t>
      </w:r>
      <w:r>
        <w:rPr>
          <w:spacing w:val="-3"/>
        </w:rPr>
        <w:t>份。</w:t>
      </w:r>
    </w:p>
    <w:p w14:paraId="0F6BE20B">
      <w:pPr>
        <w:spacing w:line="286" w:lineRule="auto"/>
        <w:rPr>
          <w:rFonts w:ascii="Arial"/>
          <w:sz w:val="21"/>
        </w:rPr>
      </w:pPr>
    </w:p>
    <w:p w14:paraId="4637129D">
      <w:pPr>
        <w:spacing w:line="286" w:lineRule="auto"/>
        <w:rPr>
          <w:rFonts w:ascii="Arial"/>
          <w:sz w:val="21"/>
        </w:rPr>
      </w:pPr>
    </w:p>
    <w:p w14:paraId="3296F171">
      <w:pPr>
        <w:spacing w:line="286" w:lineRule="auto"/>
        <w:rPr>
          <w:rFonts w:ascii="Arial"/>
          <w:sz w:val="21"/>
        </w:rPr>
      </w:pPr>
    </w:p>
    <w:p w14:paraId="2353DA28">
      <w:pPr>
        <w:spacing w:line="286" w:lineRule="auto"/>
        <w:rPr>
          <w:rFonts w:ascii="Arial"/>
          <w:sz w:val="21"/>
        </w:rPr>
      </w:pPr>
    </w:p>
    <w:p w14:paraId="7B72C10D">
      <w:pPr>
        <w:spacing w:line="287" w:lineRule="auto"/>
        <w:rPr>
          <w:rFonts w:ascii="Arial"/>
          <w:sz w:val="21"/>
        </w:rPr>
      </w:pPr>
    </w:p>
    <w:p w14:paraId="35121BFB">
      <w:pPr>
        <w:pStyle w:val="2"/>
        <w:spacing w:before="78" w:line="221" w:lineRule="auto"/>
        <w:ind w:left="544"/>
      </w:pPr>
      <w:r>
        <w:rPr>
          <w:spacing w:val="-10"/>
        </w:rPr>
        <w:t>甲方：                            乙方：</w:t>
      </w:r>
    </w:p>
    <w:p w14:paraId="3D4033B0">
      <w:pPr>
        <w:spacing w:line="257" w:lineRule="auto"/>
        <w:rPr>
          <w:rFonts w:ascii="Arial"/>
          <w:sz w:val="21"/>
        </w:rPr>
      </w:pPr>
    </w:p>
    <w:p w14:paraId="4E0385CB">
      <w:pPr>
        <w:spacing w:line="257" w:lineRule="auto"/>
        <w:rPr>
          <w:rFonts w:ascii="Arial"/>
          <w:sz w:val="21"/>
        </w:rPr>
      </w:pPr>
    </w:p>
    <w:p w14:paraId="1A2D95B1">
      <w:pPr>
        <w:pStyle w:val="2"/>
        <w:spacing w:before="78" w:line="229" w:lineRule="auto"/>
        <w:ind w:left="482"/>
      </w:pPr>
      <w:r>
        <w:rPr>
          <w:spacing w:val="-8"/>
        </w:rPr>
        <w:t>地址：</w:t>
      </w:r>
      <w:r>
        <w:rPr>
          <w:spacing w:val="4"/>
        </w:rPr>
        <w:t xml:space="preserve">                           </w:t>
      </w:r>
      <w:r>
        <w:rPr>
          <w:spacing w:val="-8"/>
        </w:rPr>
        <w:t>地址：</w:t>
      </w:r>
    </w:p>
    <w:p w14:paraId="39741E75">
      <w:pPr>
        <w:spacing w:line="249" w:lineRule="auto"/>
        <w:rPr>
          <w:rFonts w:ascii="Arial"/>
          <w:sz w:val="21"/>
        </w:rPr>
      </w:pPr>
    </w:p>
    <w:p w14:paraId="6312EB9F">
      <w:pPr>
        <w:spacing w:line="249" w:lineRule="auto"/>
        <w:rPr>
          <w:rFonts w:ascii="Arial"/>
          <w:sz w:val="21"/>
        </w:rPr>
      </w:pPr>
    </w:p>
    <w:p w14:paraId="6E442F2D">
      <w:pPr>
        <w:pStyle w:val="2"/>
        <w:spacing w:before="79" w:line="219" w:lineRule="auto"/>
        <w:ind w:left="485"/>
      </w:pPr>
      <w:r>
        <w:rPr>
          <w:spacing w:val="-5"/>
        </w:rPr>
        <w:t>法定代表人：</w:t>
      </w:r>
      <w:r>
        <w:t xml:space="preserve">                      </w:t>
      </w:r>
      <w:r>
        <w:rPr>
          <w:spacing w:val="-5"/>
        </w:rPr>
        <w:t>法定代表人：</w:t>
      </w:r>
    </w:p>
    <w:p w14:paraId="7F8B5013">
      <w:pPr>
        <w:spacing w:line="290" w:lineRule="auto"/>
        <w:rPr>
          <w:rFonts w:ascii="Arial"/>
          <w:sz w:val="21"/>
        </w:rPr>
      </w:pPr>
    </w:p>
    <w:p w14:paraId="00DCA7B8">
      <w:pPr>
        <w:spacing w:line="291" w:lineRule="auto"/>
        <w:rPr>
          <w:rFonts w:ascii="Arial"/>
          <w:sz w:val="21"/>
        </w:rPr>
      </w:pPr>
    </w:p>
    <w:p w14:paraId="2493D9EE">
      <w:pPr>
        <w:pStyle w:val="2"/>
        <w:spacing w:before="78" w:line="219" w:lineRule="auto"/>
        <w:ind w:left="481"/>
      </w:pPr>
      <w:r>
        <w:rPr>
          <w:spacing w:val="-5"/>
        </w:rPr>
        <w:t>委托代理人：</w:t>
      </w:r>
      <w:r>
        <w:t xml:space="preserve">                      </w:t>
      </w:r>
      <w:r>
        <w:rPr>
          <w:spacing w:val="-5"/>
        </w:rPr>
        <w:t>委托代理人：</w:t>
      </w:r>
    </w:p>
    <w:p w14:paraId="199C8421">
      <w:pPr>
        <w:spacing w:line="259" w:lineRule="auto"/>
        <w:rPr>
          <w:rFonts w:ascii="Arial"/>
          <w:sz w:val="21"/>
        </w:rPr>
      </w:pPr>
    </w:p>
    <w:p w14:paraId="69BDE49C">
      <w:pPr>
        <w:spacing w:line="260" w:lineRule="auto"/>
        <w:rPr>
          <w:rFonts w:ascii="Arial"/>
          <w:sz w:val="21"/>
        </w:rPr>
      </w:pPr>
    </w:p>
    <w:p w14:paraId="00A3D7F2">
      <w:pPr>
        <w:pStyle w:val="2"/>
        <w:spacing w:before="79" w:line="221" w:lineRule="auto"/>
        <w:ind w:left="539"/>
      </w:pPr>
      <w:r>
        <w:rPr>
          <w:spacing w:val="-19"/>
        </w:rPr>
        <w:t>电话：</w:t>
      </w:r>
      <w:r>
        <w:rPr>
          <w:spacing w:val="1"/>
        </w:rPr>
        <w:t xml:space="preserve">                        </w:t>
      </w:r>
      <w:r>
        <w:t xml:space="preserve">  </w:t>
      </w:r>
      <w:r>
        <w:rPr>
          <w:spacing w:val="-19"/>
        </w:rPr>
        <w:t>电话：</w:t>
      </w:r>
    </w:p>
    <w:p w14:paraId="7197E0A9">
      <w:pPr>
        <w:spacing w:line="257" w:lineRule="auto"/>
        <w:rPr>
          <w:rFonts w:ascii="Arial"/>
          <w:sz w:val="21"/>
        </w:rPr>
      </w:pPr>
    </w:p>
    <w:p w14:paraId="424FAB3F">
      <w:pPr>
        <w:spacing w:line="257" w:lineRule="auto"/>
        <w:rPr>
          <w:rFonts w:ascii="Arial"/>
          <w:sz w:val="21"/>
        </w:rPr>
      </w:pPr>
    </w:p>
    <w:p w14:paraId="6E17C83C">
      <w:pPr>
        <w:pStyle w:val="2"/>
        <w:spacing w:before="78" w:line="220" w:lineRule="auto"/>
        <w:ind w:left="485"/>
      </w:pPr>
      <w:r>
        <w:rPr>
          <w:spacing w:val="-7"/>
        </w:rPr>
        <w:t>开户银行：</w:t>
      </w:r>
      <w:r>
        <w:rPr>
          <w:spacing w:val="1"/>
        </w:rPr>
        <w:t xml:space="preserve">                        </w:t>
      </w:r>
      <w:r>
        <w:rPr>
          <w:spacing w:val="-7"/>
        </w:rPr>
        <w:t>开户银行：</w:t>
      </w:r>
    </w:p>
    <w:p w14:paraId="37968D3D">
      <w:pPr>
        <w:spacing w:line="260" w:lineRule="auto"/>
        <w:rPr>
          <w:rFonts w:ascii="Arial"/>
          <w:sz w:val="21"/>
        </w:rPr>
      </w:pPr>
    </w:p>
    <w:p w14:paraId="3B5B3ADE">
      <w:pPr>
        <w:spacing w:line="260" w:lineRule="auto"/>
        <w:rPr>
          <w:rFonts w:ascii="Arial"/>
          <w:sz w:val="21"/>
        </w:rPr>
      </w:pPr>
    </w:p>
    <w:p w14:paraId="13AECB8E">
      <w:pPr>
        <w:pStyle w:val="2"/>
        <w:spacing w:before="79" w:line="220" w:lineRule="auto"/>
        <w:ind w:left="501"/>
      </w:pPr>
      <w:r>
        <w:rPr>
          <w:spacing w:val="-8"/>
        </w:rPr>
        <w:t>帐号：                              帐号：</w:t>
      </w:r>
    </w:p>
    <w:p w14:paraId="58C5F4D5">
      <w:pPr>
        <w:spacing w:line="220" w:lineRule="auto"/>
        <w:sectPr>
          <w:headerReference r:id="rId36" w:type="default"/>
          <w:footerReference r:id="rId37" w:type="default"/>
          <w:pgSz w:w="11906" w:h="16840"/>
          <w:pgMar w:top="208" w:right="1454" w:bottom="1216" w:left="1488" w:header="6" w:footer="1050" w:gutter="0"/>
          <w:pgNumType w:fmt="decimal"/>
          <w:cols w:space="720" w:num="1"/>
        </w:sectPr>
      </w:pPr>
    </w:p>
    <w:p w14:paraId="490D9021">
      <w:pPr>
        <w:pStyle w:val="2"/>
        <w:spacing w:before="75" w:line="224" w:lineRule="auto"/>
        <w:ind w:left="106"/>
        <w:rPr>
          <w:sz w:val="31"/>
          <w:szCs w:val="31"/>
        </w:rPr>
      </w:pPr>
      <w:r>
        <w:rPr>
          <w:spacing w:val="7"/>
          <w:sz w:val="31"/>
          <w:szCs w:val="31"/>
        </w:rPr>
        <w:t>第七章  投标文件格式</w:t>
      </w:r>
    </w:p>
    <w:p w14:paraId="59EB574A">
      <w:pPr>
        <w:spacing w:line="261" w:lineRule="auto"/>
        <w:rPr>
          <w:rFonts w:ascii="Arial"/>
          <w:sz w:val="21"/>
        </w:rPr>
      </w:pPr>
    </w:p>
    <w:p w14:paraId="4A24A000">
      <w:pPr>
        <w:spacing w:line="261" w:lineRule="auto"/>
        <w:rPr>
          <w:rFonts w:ascii="Arial"/>
          <w:sz w:val="21"/>
        </w:rPr>
      </w:pPr>
    </w:p>
    <w:p w14:paraId="216CFCA0">
      <w:pPr>
        <w:spacing w:line="261" w:lineRule="auto"/>
        <w:rPr>
          <w:rFonts w:ascii="Arial"/>
          <w:sz w:val="21"/>
        </w:rPr>
      </w:pPr>
    </w:p>
    <w:p w14:paraId="5C94187D">
      <w:pPr>
        <w:spacing w:line="261" w:lineRule="auto"/>
        <w:rPr>
          <w:rFonts w:ascii="Arial"/>
          <w:sz w:val="21"/>
        </w:rPr>
      </w:pPr>
    </w:p>
    <w:p w14:paraId="232A9F11">
      <w:pPr>
        <w:spacing w:line="262" w:lineRule="auto"/>
        <w:rPr>
          <w:rFonts w:ascii="Arial"/>
          <w:sz w:val="21"/>
        </w:rPr>
      </w:pPr>
    </w:p>
    <w:p w14:paraId="1ECA15F2">
      <w:pPr>
        <w:spacing w:line="262" w:lineRule="auto"/>
        <w:rPr>
          <w:rFonts w:ascii="Arial"/>
          <w:sz w:val="21"/>
        </w:rPr>
      </w:pPr>
    </w:p>
    <w:p w14:paraId="28B61A5A">
      <w:pPr>
        <w:spacing w:line="262" w:lineRule="auto"/>
        <w:rPr>
          <w:rFonts w:ascii="Arial"/>
          <w:sz w:val="21"/>
        </w:rPr>
      </w:pPr>
    </w:p>
    <w:p w14:paraId="092AAA8D">
      <w:pPr>
        <w:spacing w:line="263" w:lineRule="auto"/>
        <w:jc w:val="center"/>
        <w:rPr>
          <w:rFonts w:ascii="宋体" w:hAnsi="宋体" w:eastAsia="宋体" w:cs="宋体"/>
          <w:b/>
          <w:bCs/>
          <w:snapToGrid w:val="0"/>
          <w:color w:val="000000"/>
          <w:spacing w:val="-39"/>
          <w:kern w:val="0"/>
          <w:sz w:val="83"/>
          <w:szCs w:val="83"/>
          <w:lang w:val="en-US" w:eastAsia="en-US" w:bidi="ar-SA"/>
        </w:rPr>
      </w:pPr>
      <w:r>
        <w:rPr>
          <w:rFonts w:ascii="宋体" w:hAnsi="宋体" w:eastAsia="宋体" w:cs="宋体"/>
          <w:b/>
          <w:bCs/>
          <w:snapToGrid w:val="0"/>
          <w:color w:val="000000"/>
          <w:spacing w:val="-39"/>
          <w:kern w:val="0"/>
          <w:sz w:val="83"/>
          <w:szCs w:val="83"/>
          <w:lang w:val="en-US" w:eastAsia="en-US" w:bidi="ar-SA"/>
        </w:rPr>
        <w:t>巴克图口岸公共物业服务项目</w:t>
      </w:r>
    </w:p>
    <w:p w14:paraId="192A88D6">
      <w:pPr>
        <w:spacing w:line="264" w:lineRule="auto"/>
        <w:rPr>
          <w:rFonts w:ascii="宋体" w:hAnsi="宋体" w:eastAsia="宋体" w:cs="宋体"/>
          <w:b/>
          <w:bCs/>
          <w:snapToGrid w:val="0"/>
          <w:color w:val="000000"/>
          <w:spacing w:val="-39"/>
          <w:kern w:val="0"/>
          <w:sz w:val="83"/>
          <w:szCs w:val="83"/>
          <w:lang w:val="en-US" w:eastAsia="en-US" w:bidi="ar-SA"/>
        </w:rPr>
      </w:pPr>
    </w:p>
    <w:p w14:paraId="4A1A207B">
      <w:pPr>
        <w:pStyle w:val="2"/>
        <w:spacing w:before="269" w:line="222" w:lineRule="auto"/>
        <w:ind w:left="2154"/>
        <w:rPr>
          <w:sz w:val="83"/>
          <w:szCs w:val="83"/>
        </w:rPr>
      </w:pPr>
      <w:r>
        <w:rPr>
          <w:b/>
          <w:bCs/>
          <w:spacing w:val="-39"/>
          <w:sz w:val="83"/>
          <w:szCs w:val="83"/>
        </w:rPr>
        <w:t>响</w:t>
      </w:r>
      <w:r>
        <w:rPr>
          <w:spacing w:val="44"/>
          <w:sz w:val="83"/>
          <w:szCs w:val="83"/>
        </w:rPr>
        <w:t xml:space="preserve"> </w:t>
      </w:r>
      <w:r>
        <w:rPr>
          <w:b/>
          <w:bCs/>
          <w:spacing w:val="-39"/>
          <w:sz w:val="83"/>
          <w:szCs w:val="83"/>
        </w:rPr>
        <w:t>应</w:t>
      </w:r>
      <w:r>
        <w:rPr>
          <w:spacing w:val="50"/>
          <w:sz w:val="83"/>
          <w:szCs w:val="83"/>
        </w:rPr>
        <w:t xml:space="preserve"> </w:t>
      </w:r>
      <w:r>
        <w:rPr>
          <w:b/>
          <w:bCs/>
          <w:spacing w:val="-39"/>
          <w:sz w:val="83"/>
          <w:szCs w:val="83"/>
        </w:rPr>
        <w:t>文</w:t>
      </w:r>
      <w:r>
        <w:rPr>
          <w:spacing w:val="39"/>
          <w:sz w:val="83"/>
          <w:szCs w:val="83"/>
        </w:rPr>
        <w:t xml:space="preserve"> </w:t>
      </w:r>
      <w:r>
        <w:rPr>
          <w:b/>
          <w:bCs/>
          <w:spacing w:val="-39"/>
          <w:sz w:val="83"/>
          <w:szCs w:val="83"/>
        </w:rPr>
        <w:t>件</w:t>
      </w:r>
    </w:p>
    <w:p w14:paraId="2016BBA4">
      <w:pPr>
        <w:pStyle w:val="2"/>
        <w:spacing w:before="209" w:line="219" w:lineRule="auto"/>
        <w:ind w:left="3662"/>
        <w:rPr>
          <w:sz w:val="30"/>
          <w:szCs w:val="30"/>
        </w:rPr>
      </w:pPr>
      <w:r>
        <w:rPr>
          <w:b/>
          <w:bCs/>
          <w:spacing w:val="-6"/>
          <w:sz w:val="30"/>
          <w:szCs w:val="30"/>
        </w:rPr>
        <w:t>项目编号：</w:t>
      </w:r>
    </w:p>
    <w:p w14:paraId="7F841C3C">
      <w:pPr>
        <w:spacing w:line="253" w:lineRule="auto"/>
        <w:rPr>
          <w:rFonts w:ascii="Arial"/>
          <w:sz w:val="21"/>
        </w:rPr>
      </w:pPr>
    </w:p>
    <w:p w14:paraId="7FBFFA8D">
      <w:pPr>
        <w:spacing w:line="253" w:lineRule="auto"/>
        <w:rPr>
          <w:rFonts w:ascii="Arial"/>
          <w:sz w:val="21"/>
        </w:rPr>
      </w:pPr>
    </w:p>
    <w:p w14:paraId="1B497AF4">
      <w:pPr>
        <w:spacing w:line="254" w:lineRule="auto"/>
        <w:rPr>
          <w:rFonts w:ascii="Arial"/>
          <w:sz w:val="21"/>
        </w:rPr>
      </w:pPr>
    </w:p>
    <w:p w14:paraId="7F7C40E5">
      <w:pPr>
        <w:spacing w:line="254" w:lineRule="auto"/>
        <w:rPr>
          <w:rFonts w:ascii="Arial"/>
          <w:sz w:val="21"/>
        </w:rPr>
      </w:pPr>
    </w:p>
    <w:p w14:paraId="1F6ED619">
      <w:pPr>
        <w:spacing w:line="254" w:lineRule="auto"/>
        <w:rPr>
          <w:rFonts w:ascii="Arial"/>
          <w:sz w:val="21"/>
        </w:rPr>
      </w:pPr>
    </w:p>
    <w:p w14:paraId="7942BA1B">
      <w:pPr>
        <w:spacing w:line="254" w:lineRule="auto"/>
        <w:rPr>
          <w:rFonts w:ascii="Arial"/>
          <w:sz w:val="21"/>
        </w:rPr>
      </w:pPr>
    </w:p>
    <w:p w14:paraId="2E7F6463">
      <w:pPr>
        <w:spacing w:line="254" w:lineRule="auto"/>
        <w:rPr>
          <w:rFonts w:ascii="Arial"/>
          <w:sz w:val="21"/>
        </w:rPr>
      </w:pPr>
    </w:p>
    <w:p w14:paraId="63C7C04B">
      <w:pPr>
        <w:spacing w:line="254" w:lineRule="auto"/>
        <w:rPr>
          <w:rFonts w:ascii="Arial"/>
          <w:sz w:val="21"/>
        </w:rPr>
      </w:pPr>
    </w:p>
    <w:p w14:paraId="2C7598D2">
      <w:pPr>
        <w:pStyle w:val="2"/>
        <w:spacing w:before="98" w:line="370" w:lineRule="auto"/>
        <w:ind w:left="1" w:hanging="1"/>
        <w:rPr>
          <w:sz w:val="30"/>
          <w:szCs w:val="30"/>
        </w:rPr>
      </w:pPr>
      <w:r>
        <w:rPr>
          <w:b/>
          <w:bCs/>
          <w:spacing w:val="-2"/>
          <w:sz w:val="30"/>
          <w:szCs w:val="30"/>
        </w:rPr>
        <w:t>供应商单位名称</w:t>
      </w:r>
      <w:r>
        <w:rPr>
          <w:b/>
          <w:bCs/>
          <w:spacing w:val="-55"/>
          <w:sz w:val="30"/>
          <w:szCs w:val="30"/>
        </w:rPr>
        <w:t>：</w:t>
      </w:r>
      <w:r>
        <w:rPr>
          <w:spacing w:val="1"/>
          <w:sz w:val="30"/>
          <w:szCs w:val="30"/>
          <w:u w:val="single" w:color="auto"/>
        </w:rPr>
        <w:t xml:space="preserve">                     </w:t>
      </w:r>
      <w:r>
        <w:rPr>
          <w:sz w:val="30"/>
          <w:szCs w:val="30"/>
          <w:u w:val="single" w:color="auto"/>
        </w:rPr>
        <w:t xml:space="preserve">             </w:t>
      </w:r>
      <w:r>
        <w:rPr>
          <w:b/>
          <w:bCs/>
          <w:spacing w:val="-55"/>
          <w:sz w:val="30"/>
          <w:szCs w:val="30"/>
        </w:rPr>
        <w:t>（</w:t>
      </w:r>
      <w:r>
        <w:rPr>
          <w:b/>
          <w:bCs/>
          <w:spacing w:val="-2"/>
          <w:sz w:val="30"/>
          <w:szCs w:val="30"/>
        </w:rPr>
        <w:t>盖公章）</w:t>
      </w:r>
      <w:r>
        <w:rPr>
          <w:spacing w:val="1"/>
          <w:sz w:val="30"/>
          <w:szCs w:val="30"/>
        </w:rPr>
        <w:t xml:space="preserve"> </w:t>
      </w:r>
      <w:r>
        <w:rPr>
          <w:b/>
          <w:bCs/>
          <w:spacing w:val="-2"/>
          <w:sz w:val="30"/>
          <w:szCs w:val="30"/>
        </w:rPr>
        <w:t>法定代表人或委托代理人</w:t>
      </w:r>
      <w:r>
        <w:rPr>
          <w:b/>
          <w:bCs/>
          <w:spacing w:val="-63"/>
          <w:w w:val="77"/>
          <w:sz w:val="30"/>
          <w:szCs w:val="30"/>
        </w:rPr>
        <w:t>：</w:t>
      </w:r>
      <w:r>
        <w:rPr>
          <w:sz w:val="30"/>
          <w:szCs w:val="30"/>
          <w:u w:val="single" w:color="auto"/>
        </w:rPr>
        <w:t xml:space="preserve">                       </w:t>
      </w:r>
      <w:r>
        <w:rPr>
          <w:b/>
          <w:bCs/>
          <w:spacing w:val="-63"/>
          <w:w w:val="77"/>
          <w:sz w:val="30"/>
          <w:szCs w:val="30"/>
        </w:rPr>
        <w:t>（</w:t>
      </w:r>
      <w:r>
        <w:rPr>
          <w:b/>
          <w:bCs/>
          <w:spacing w:val="-2"/>
          <w:sz w:val="30"/>
          <w:szCs w:val="30"/>
        </w:rPr>
        <w:t>签字或盖章）</w:t>
      </w:r>
    </w:p>
    <w:p w14:paraId="1B172DC0">
      <w:pPr>
        <w:spacing w:line="283" w:lineRule="auto"/>
        <w:rPr>
          <w:rFonts w:ascii="Arial"/>
          <w:sz w:val="21"/>
        </w:rPr>
      </w:pPr>
    </w:p>
    <w:p w14:paraId="6DAA2C09">
      <w:pPr>
        <w:spacing w:line="284" w:lineRule="auto"/>
        <w:rPr>
          <w:rFonts w:ascii="Arial"/>
          <w:sz w:val="21"/>
        </w:rPr>
      </w:pPr>
    </w:p>
    <w:p w14:paraId="1CF2F1CF">
      <w:pPr>
        <w:pStyle w:val="2"/>
        <w:spacing w:before="98" w:line="219" w:lineRule="auto"/>
        <w:ind w:left="2908"/>
        <w:rPr>
          <w:sz w:val="30"/>
          <w:szCs w:val="30"/>
        </w:rPr>
      </w:pPr>
      <w:r>
        <w:rPr>
          <w:b/>
          <w:bCs/>
          <w:spacing w:val="-12"/>
          <w:sz w:val="30"/>
          <w:szCs w:val="30"/>
        </w:rPr>
        <w:t>二</w:t>
      </w:r>
      <w:r>
        <w:rPr>
          <w:spacing w:val="-62"/>
          <w:sz w:val="30"/>
          <w:szCs w:val="30"/>
        </w:rPr>
        <w:t xml:space="preserve"> </w:t>
      </w:r>
      <w:r>
        <w:rPr>
          <w:b/>
          <w:bCs/>
          <w:spacing w:val="-12"/>
          <w:sz w:val="30"/>
          <w:szCs w:val="30"/>
        </w:rPr>
        <w:t>O</w:t>
      </w:r>
      <w:r>
        <w:rPr>
          <w:spacing w:val="-58"/>
          <w:sz w:val="30"/>
          <w:szCs w:val="30"/>
        </w:rPr>
        <w:t xml:space="preserve"> </w:t>
      </w:r>
      <w:r>
        <w:rPr>
          <w:b/>
          <w:bCs/>
          <w:spacing w:val="-12"/>
          <w:sz w:val="30"/>
          <w:szCs w:val="30"/>
        </w:rPr>
        <w:t>二五年</w:t>
      </w:r>
      <w:r>
        <w:rPr>
          <w:spacing w:val="6"/>
          <w:sz w:val="30"/>
          <w:szCs w:val="30"/>
        </w:rPr>
        <w:t xml:space="preserve">   </w:t>
      </w:r>
      <w:r>
        <w:rPr>
          <w:b/>
          <w:bCs/>
          <w:spacing w:val="-12"/>
          <w:sz w:val="30"/>
          <w:szCs w:val="30"/>
        </w:rPr>
        <w:t>月</w:t>
      </w:r>
      <w:r>
        <w:rPr>
          <w:spacing w:val="23"/>
          <w:sz w:val="30"/>
          <w:szCs w:val="30"/>
        </w:rPr>
        <w:t xml:space="preserve">   </w:t>
      </w:r>
      <w:r>
        <w:rPr>
          <w:b/>
          <w:bCs/>
          <w:spacing w:val="-12"/>
          <w:sz w:val="30"/>
          <w:szCs w:val="30"/>
        </w:rPr>
        <w:t>日</w:t>
      </w:r>
    </w:p>
    <w:p w14:paraId="7BFD0C35">
      <w:pPr>
        <w:spacing w:line="219" w:lineRule="auto"/>
        <w:rPr>
          <w:sz w:val="30"/>
          <w:szCs w:val="30"/>
        </w:rPr>
        <w:sectPr>
          <w:headerReference r:id="rId38" w:type="default"/>
          <w:footerReference r:id="rId39" w:type="default"/>
          <w:pgSz w:w="11906" w:h="16839"/>
          <w:pgMar w:top="1058" w:right="1521" w:bottom="1157" w:left="1451" w:header="855" w:footer="992" w:gutter="0"/>
          <w:pgNumType w:fmt="decimal"/>
          <w:cols w:space="720" w:num="1"/>
        </w:sectPr>
      </w:pPr>
    </w:p>
    <w:p w14:paraId="0EECBDC7">
      <w:pPr>
        <w:pStyle w:val="2"/>
        <w:spacing w:before="189" w:line="219" w:lineRule="auto"/>
        <w:ind w:left="25"/>
        <w:rPr>
          <w:sz w:val="30"/>
          <w:szCs w:val="30"/>
        </w:rPr>
      </w:pPr>
      <w:r>
        <w:rPr>
          <w:b/>
          <w:bCs/>
          <w:spacing w:val="-12"/>
          <w:sz w:val="30"/>
          <w:szCs w:val="30"/>
        </w:rPr>
        <w:t>附件一：</w:t>
      </w:r>
    </w:p>
    <w:p w14:paraId="7A2EF97D">
      <w:pPr>
        <w:pStyle w:val="2"/>
        <w:spacing w:before="268" w:line="220" w:lineRule="auto"/>
        <w:ind w:left="3963"/>
        <w:rPr>
          <w:sz w:val="30"/>
          <w:szCs w:val="30"/>
        </w:rPr>
      </w:pPr>
      <w:r>
        <w:rPr>
          <w:b/>
          <w:bCs/>
          <w:spacing w:val="-8"/>
          <w:sz w:val="30"/>
          <w:szCs w:val="30"/>
        </w:rPr>
        <w:t>投标函</w:t>
      </w:r>
    </w:p>
    <w:p w14:paraId="756D7266">
      <w:pPr>
        <w:pStyle w:val="2"/>
        <w:spacing w:before="251" w:line="219" w:lineRule="auto"/>
      </w:pPr>
      <w:r>
        <w:rPr>
          <w:rFonts w:hint="eastAsia"/>
          <w:spacing w:val="-1"/>
          <w:u w:val="single" w:color="auto"/>
        </w:rPr>
        <w:t>塔城地区政务服务与公共资源交易中心</w:t>
      </w:r>
      <w:r>
        <w:rPr>
          <w:spacing w:val="-1"/>
          <w:u w:val="single" w:color="auto"/>
        </w:rPr>
        <w:t>：</w:t>
      </w:r>
    </w:p>
    <w:p w14:paraId="0D5A4196">
      <w:pPr>
        <w:pStyle w:val="2"/>
        <w:spacing w:before="152" w:line="325" w:lineRule="auto"/>
        <w:ind w:left="1" w:right="35" w:firstLine="480"/>
      </w:pPr>
      <w:r>
        <w:rPr>
          <w:spacing w:val="-6"/>
        </w:rPr>
        <w:t xml:space="preserve">我方收到贵方 </w:t>
      </w:r>
      <w:r>
        <w:rPr>
          <w:spacing w:val="-6"/>
          <w:u w:val="single" w:color="auto"/>
        </w:rPr>
        <w:t xml:space="preserve">       </w:t>
      </w:r>
      <w:r>
        <w:rPr>
          <w:spacing w:val="-6"/>
        </w:rPr>
        <w:t>（项目名称、项目编号）的招标文</w:t>
      </w:r>
      <w:r>
        <w:rPr>
          <w:spacing w:val="-7"/>
        </w:rPr>
        <w:t>件，经仔细阅读和研究，</w:t>
      </w:r>
      <w:r>
        <w:t xml:space="preserve"> </w:t>
      </w:r>
      <w:r>
        <w:rPr>
          <w:spacing w:val="-2"/>
        </w:rPr>
        <w:t>我方决定参加投标。</w:t>
      </w:r>
    </w:p>
    <w:p w14:paraId="2C59EC3A">
      <w:pPr>
        <w:pStyle w:val="2"/>
        <w:spacing w:before="36" w:line="324" w:lineRule="auto"/>
        <w:ind w:left="1" w:right="97" w:firstLine="492"/>
      </w:pPr>
      <w:r>
        <w:rPr>
          <w:spacing w:val="1"/>
        </w:rPr>
        <w:t>l、我方愿意按照招标文件的一切要求，提供以上服务，同时负责维护、售后服</w:t>
      </w:r>
      <w:r>
        <w:t xml:space="preserve"> </w:t>
      </w:r>
      <w:r>
        <w:rPr>
          <w:spacing w:val="-7"/>
        </w:rPr>
        <w:t>务等，总价格及明细见《报价表》。</w:t>
      </w:r>
    </w:p>
    <w:p w14:paraId="364FAABC">
      <w:pPr>
        <w:pStyle w:val="2"/>
        <w:spacing w:before="35" w:line="280" w:lineRule="auto"/>
        <w:ind w:left="1" w:right="35" w:firstLine="480"/>
      </w:pPr>
      <w:r>
        <w:rPr>
          <w:spacing w:val="-4"/>
        </w:rPr>
        <w:t>2、如果我方的投标文件被接受，我方将严格履行招标文件中规定的每一项要求，</w:t>
      </w:r>
      <w:r>
        <w:rPr>
          <w:spacing w:val="12"/>
        </w:rPr>
        <w:t xml:space="preserve"> </w:t>
      </w:r>
      <w:r>
        <w:rPr>
          <w:spacing w:val="-1"/>
        </w:rPr>
        <w:t>按期、按质、按量履行服务义务。</w:t>
      </w:r>
    </w:p>
    <w:p w14:paraId="010D75DB">
      <w:pPr>
        <w:pStyle w:val="2"/>
        <w:spacing w:before="153" w:line="279" w:lineRule="auto"/>
        <w:ind w:right="97" w:firstLine="484"/>
      </w:pPr>
      <w:r>
        <w:rPr>
          <w:spacing w:val="-5"/>
        </w:rPr>
        <w:t>3、供应商已详细审查全部招标文件，包括所</w:t>
      </w:r>
      <w:r>
        <w:rPr>
          <w:spacing w:val="-6"/>
        </w:rPr>
        <w:t>有补充通知（如果有的话）。我们完</w:t>
      </w:r>
      <w:r>
        <w:t xml:space="preserve"> </w:t>
      </w:r>
      <w:r>
        <w:rPr>
          <w:spacing w:val="-1"/>
        </w:rPr>
        <w:t>全理解并同意放弃对这方面有不明、误解和质疑的权力。</w:t>
      </w:r>
    </w:p>
    <w:p w14:paraId="2EC3EE8D">
      <w:pPr>
        <w:pStyle w:val="2"/>
        <w:tabs>
          <w:tab w:val="left" w:pos="1430"/>
        </w:tabs>
        <w:spacing w:before="157" w:line="278" w:lineRule="auto"/>
        <w:ind w:left="590" w:right="277" w:firstLine="8"/>
      </w:pPr>
      <w:r>
        <w:t>4、我方同意按招标文件中的规定，本投标文件的有效</w:t>
      </w:r>
      <w:r>
        <w:rPr>
          <w:spacing w:val="-1"/>
        </w:rPr>
        <w:t>期为自投标截止之日起</w:t>
      </w:r>
      <w:r>
        <w:t xml:space="preserve"> </w:t>
      </w:r>
      <w:r>
        <w:rPr>
          <w:u w:val="single" w:color="auto"/>
        </w:rPr>
        <w:tab/>
      </w:r>
      <w:r>
        <w:rPr>
          <w:spacing w:val="-110"/>
        </w:rPr>
        <w:t xml:space="preserve"> </w:t>
      </w:r>
      <w:r>
        <w:t>个日历日，遵守本投标文件中的承诺且在此</w:t>
      </w:r>
      <w:r>
        <w:rPr>
          <w:spacing w:val="-1"/>
        </w:rPr>
        <w:t>期满之前均具有约束力。</w:t>
      </w:r>
    </w:p>
    <w:p w14:paraId="6A0B7E83">
      <w:pPr>
        <w:pStyle w:val="2"/>
        <w:spacing w:before="156" w:line="219" w:lineRule="auto"/>
        <w:ind w:left="604"/>
        <w:outlineLvl w:val="1"/>
      </w:pPr>
      <w:r>
        <w:rPr>
          <w:spacing w:val="-1"/>
        </w:rPr>
        <w:t>5、我方将按招标文件的规定履行合同责任和义务。</w:t>
      </w:r>
    </w:p>
    <w:p w14:paraId="69C58BB7">
      <w:pPr>
        <w:pStyle w:val="2"/>
        <w:spacing w:before="155" w:line="279" w:lineRule="auto"/>
        <w:ind w:left="2" w:right="97" w:firstLine="599"/>
      </w:pPr>
      <w:r>
        <w:rPr>
          <w:spacing w:val="-2"/>
        </w:rPr>
        <w:t>6、在规定的开标时间后，如果在投标有效期内撤回投标，同意投标保证</w:t>
      </w:r>
      <w:r>
        <w:rPr>
          <w:spacing w:val="-3"/>
        </w:rPr>
        <w:t>金将被</w:t>
      </w:r>
      <w:r>
        <w:t xml:space="preserve"> </w:t>
      </w:r>
      <w:r>
        <w:rPr>
          <w:spacing w:val="-3"/>
        </w:rPr>
        <w:t>贵方没收。</w:t>
      </w:r>
    </w:p>
    <w:p w14:paraId="140485D2">
      <w:pPr>
        <w:pStyle w:val="2"/>
        <w:spacing w:before="154" w:line="279" w:lineRule="auto"/>
        <w:ind w:left="2" w:right="97" w:firstLine="602"/>
      </w:pPr>
      <w:r>
        <w:rPr>
          <w:spacing w:val="-2"/>
        </w:rPr>
        <w:t>7、供应商同意提供按照贵方可能要求的与其投标有关的一切数</w:t>
      </w:r>
      <w:r>
        <w:rPr>
          <w:spacing w:val="-3"/>
        </w:rPr>
        <w:t>据或资料，完全</w:t>
      </w:r>
      <w:r>
        <w:t xml:space="preserve"> </w:t>
      </w:r>
      <w:r>
        <w:rPr>
          <w:spacing w:val="-1"/>
        </w:rPr>
        <w:t>理解贵方不一定接受最低报价的投标或收到的任何投标的约定。</w:t>
      </w:r>
    </w:p>
    <w:p w14:paraId="04A5DE99">
      <w:pPr>
        <w:pStyle w:val="2"/>
        <w:spacing w:before="156" w:line="279" w:lineRule="auto"/>
        <w:ind w:right="97" w:firstLine="600"/>
      </w:pPr>
      <w:r>
        <w:rPr>
          <w:spacing w:val="-2"/>
        </w:rPr>
        <w:t>8、我方在投标文件和投标中所作的承诺在开标后保持有效，不作任何更改</w:t>
      </w:r>
      <w:r>
        <w:rPr>
          <w:spacing w:val="-3"/>
        </w:rPr>
        <w:t>和变</w:t>
      </w:r>
      <w:r>
        <w:t xml:space="preserve"> </w:t>
      </w:r>
      <w:r>
        <w:rPr>
          <w:spacing w:val="-6"/>
        </w:rPr>
        <w:t>动。</w:t>
      </w:r>
    </w:p>
    <w:p w14:paraId="6A9C76B4">
      <w:pPr>
        <w:pStyle w:val="2"/>
        <w:spacing w:before="156" w:line="219" w:lineRule="auto"/>
        <w:ind w:left="600"/>
      </w:pPr>
      <w:r>
        <w:rPr>
          <w:spacing w:val="-1"/>
        </w:rPr>
        <w:t>9、我方愿意按招标文件的规定交纳</w:t>
      </w:r>
      <w:r>
        <w:rPr>
          <w:spacing w:val="-1"/>
          <w:u w:val="single" w:color="auto"/>
        </w:rPr>
        <w:t xml:space="preserve">         </w:t>
      </w:r>
      <w:r>
        <w:rPr>
          <w:spacing w:val="-99"/>
        </w:rPr>
        <w:t xml:space="preserve"> </w:t>
      </w:r>
      <w:r>
        <w:rPr>
          <w:spacing w:val="-1"/>
        </w:rPr>
        <w:t>元的投标保证金。</w:t>
      </w:r>
    </w:p>
    <w:p w14:paraId="08A70F5F">
      <w:pPr>
        <w:pStyle w:val="2"/>
        <w:spacing w:before="153" w:line="219" w:lineRule="auto"/>
        <w:ind w:left="617"/>
        <w:outlineLvl w:val="1"/>
      </w:pPr>
      <w:r>
        <w:rPr>
          <w:spacing w:val="-1"/>
        </w:rPr>
        <w:t>10、我方承诺投标文件中的证明材料真实、合法、</w:t>
      </w:r>
      <w:r>
        <w:rPr>
          <w:spacing w:val="-2"/>
        </w:rPr>
        <w:t>有效。</w:t>
      </w:r>
    </w:p>
    <w:p w14:paraId="760F27B7">
      <w:pPr>
        <w:pStyle w:val="2"/>
        <w:spacing w:before="158" w:line="331" w:lineRule="auto"/>
        <w:ind w:right="17" w:firstLine="616"/>
        <w:jc w:val="both"/>
      </w:pPr>
      <w:r>
        <w:rPr>
          <w:spacing w:val="1"/>
        </w:rPr>
        <w:t>11、若我方获得中标，我方保证按有关规定向贵方支付服务费。我方</w:t>
      </w:r>
      <w:r>
        <w:t xml:space="preserve">承诺接受 </w:t>
      </w:r>
      <w:r>
        <w:rPr>
          <w:spacing w:val="-6"/>
        </w:rPr>
        <w:t>招标文件及澄清修改部分（如有）的全部条款（包括投标文件递交截止时间、</w:t>
      </w:r>
      <w:r>
        <w:rPr>
          <w:spacing w:val="-7"/>
        </w:rPr>
        <w:t>保证金、</w:t>
      </w:r>
      <w:r>
        <w:t xml:space="preserve"> </w:t>
      </w:r>
      <w:r>
        <w:rPr>
          <w:spacing w:val="-2"/>
        </w:rPr>
        <w:t>资格评审条件、中标标准以及采购需求等其他所有条款）且无任何异议，现向贵公司</w:t>
      </w:r>
      <w:r>
        <w:rPr>
          <w:spacing w:val="2"/>
        </w:rPr>
        <w:t xml:space="preserve"> </w:t>
      </w:r>
      <w:r>
        <w:rPr>
          <w:spacing w:val="-2"/>
        </w:rPr>
        <w:t>提出承诺报价。</w:t>
      </w:r>
    </w:p>
    <w:p w14:paraId="07058A71">
      <w:pPr>
        <w:pStyle w:val="2"/>
        <w:spacing w:before="37" w:line="219" w:lineRule="auto"/>
        <w:ind w:left="480"/>
      </w:pPr>
      <w:r>
        <w:rPr>
          <w:spacing w:val="-1"/>
        </w:rPr>
        <w:t>所有有关标书的函电，请按下列地址联系：</w:t>
      </w:r>
    </w:p>
    <w:p w14:paraId="0BE380FC">
      <w:pPr>
        <w:pStyle w:val="2"/>
        <w:spacing w:before="155" w:line="229" w:lineRule="auto"/>
      </w:pPr>
      <w:r>
        <w:rPr>
          <w:spacing w:val="-17"/>
        </w:rPr>
        <w:t>地</w:t>
      </w:r>
      <w:r>
        <w:rPr>
          <w:spacing w:val="1"/>
        </w:rPr>
        <w:t xml:space="preserve">      </w:t>
      </w:r>
      <w:r>
        <w:rPr>
          <w:spacing w:val="-17"/>
        </w:rPr>
        <w:t>址</w:t>
      </w:r>
      <w:r>
        <w:rPr>
          <w:spacing w:val="-86"/>
        </w:rPr>
        <w:t xml:space="preserve"> </w:t>
      </w:r>
      <w:r>
        <w:rPr>
          <w:spacing w:val="-17"/>
        </w:rPr>
        <w:t>：</w:t>
      </w:r>
      <w:r>
        <w:rPr>
          <w:u w:val="single" w:color="auto"/>
        </w:rPr>
        <w:t xml:space="preserve">                 </w:t>
      </w:r>
    </w:p>
    <w:p w14:paraId="753F8221">
      <w:pPr>
        <w:pStyle w:val="2"/>
        <w:spacing w:before="142" w:line="221" w:lineRule="auto"/>
        <w:ind w:left="28"/>
      </w:pPr>
      <w:r>
        <w:rPr>
          <w:spacing w:val="-26"/>
        </w:rPr>
        <w:t>电</w:t>
      </w:r>
      <w:r>
        <w:rPr>
          <w:spacing w:val="1"/>
        </w:rPr>
        <w:t xml:space="preserve">      </w:t>
      </w:r>
      <w:r>
        <w:rPr>
          <w:spacing w:val="-26"/>
        </w:rPr>
        <w:t>话</w:t>
      </w:r>
      <w:r>
        <w:rPr>
          <w:spacing w:val="-87"/>
        </w:rPr>
        <w:t xml:space="preserve"> </w:t>
      </w:r>
      <w:r>
        <w:rPr>
          <w:spacing w:val="-26"/>
        </w:rPr>
        <w:t>：</w:t>
      </w:r>
      <w:r>
        <w:rPr>
          <w:u w:val="single" w:color="auto"/>
        </w:rPr>
        <w:t xml:space="preserve">                  </w:t>
      </w:r>
    </w:p>
    <w:p w14:paraId="6C0CED1E">
      <w:pPr>
        <w:pStyle w:val="2"/>
        <w:tabs>
          <w:tab w:val="left" w:pos="4430"/>
          <w:tab w:val="left" w:pos="4550"/>
        </w:tabs>
        <w:spacing w:before="155" w:line="329" w:lineRule="auto"/>
        <w:ind w:right="4357"/>
        <w:jc w:val="both"/>
      </w:pPr>
      <w:r>
        <w:rPr>
          <w:spacing w:val="-1"/>
        </w:rPr>
        <w:t xml:space="preserve">供应商名称（盖章） </w:t>
      </w:r>
      <w:r>
        <w:rPr>
          <w:u w:val="single" w:color="auto"/>
        </w:rPr>
        <w:tab/>
      </w:r>
      <w:r>
        <w:rPr>
          <w:u w:val="single" w:color="auto"/>
        </w:rPr>
        <w:tab/>
      </w:r>
      <w:r>
        <w:t xml:space="preserve"> </w:t>
      </w:r>
      <w:r>
        <w:rPr>
          <w:spacing w:val="-1"/>
        </w:rPr>
        <w:t>供应商授权代表（签字）</w:t>
      </w:r>
      <w:r>
        <w:rPr>
          <w:u w:val="single" w:color="auto"/>
        </w:rPr>
        <w:tab/>
      </w:r>
      <w:r>
        <w:t xml:space="preserve">  </w:t>
      </w:r>
      <w:r>
        <w:rPr>
          <w:spacing w:val="-11"/>
        </w:rPr>
        <w:t>日</w:t>
      </w:r>
      <w:r>
        <w:rPr>
          <w:spacing w:val="6"/>
        </w:rPr>
        <w:t xml:space="preserve">  </w:t>
      </w:r>
      <w:r>
        <w:rPr>
          <w:spacing w:val="-11"/>
        </w:rPr>
        <w:t>期</w:t>
      </w:r>
      <w:r>
        <w:t xml:space="preserve">   </w:t>
      </w:r>
      <w:r>
        <w:rPr>
          <w:u w:val="single" w:color="auto"/>
        </w:rPr>
        <w:t xml:space="preserve">                            </w:t>
      </w:r>
    </w:p>
    <w:p w14:paraId="61C1BC2D">
      <w:pPr>
        <w:spacing w:line="329" w:lineRule="auto"/>
        <w:sectPr>
          <w:headerReference r:id="rId40" w:type="default"/>
          <w:footerReference r:id="rId41" w:type="default"/>
          <w:pgSz w:w="11906" w:h="16839"/>
          <w:pgMar w:top="1058" w:right="1548" w:bottom="1156" w:left="1449" w:header="855" w:footer="992" w:gutter="0"/>
          <w:pgNumType w:fmt="decimal"/>
          <w:cols w:space="720" w:num="1"/>
        </w:sectPr>
      </w:pPr>
    </w:p>
    <w:p w14:paraId="42F525B3">
      <w:pPr>
        <w:pStyle w:val="2"/>
        <w:spacing w:before="189" w:line="219" w:lineRule="auto"/>
        <w:ind w:left="314"/>
        <w:rPr>
          <w:sz w:val="30"/>
          <w:szCs w:val="30"/>
        </w:rPr>
      </w:pPr>
      <w:r>
        <w:rPr>
          <w:b/>
          <w:bCs/>
          <w:spacing w:val="-12"/>
          <w:sz w:val="30"/>
          <w:szCs w:val="30"/>
        </w:rPr>
        <w:t>附件二：</w:t>
      </w:r>
    </w:p>
    <w:p w14:paraId="4663CF21">
      <w:pPr>
        <w:pStyle w:val="2"/>
        <w:spacing w:before="268" w:line="218" w:lineRule="auto"/>
        <w:ind w:left="3946"/>
        <w:rPr>
          <w:sz w:val="30"/>
          <w:szCs w:val="30"/>
        </w:rPr>
      </w:pPr>
      <w:r>
        <w:rPr>
          <w:b/>
          <w:bCs/>
          <w:spacing w:val="-5"/>
          <w:sz w:val="30"/>
          <w:szCs w:val="30"/>
        </w:rPr>
        <w:t>报价一览表</w:t>
      </w:r>
    </w:p>
    <w:p w14:paraId="7D7E034D">
      <w:pPr>
        <w:pStyle w:val="2"/>
        <w:spacing w:before="220" w:line="347" w:lineRule="auto"/>
        <w:ind w:left="292" w:right="7926" w:hanging="3"/>
      </w:pPr>
      <w:r>
        <w:rPr>
          <w:spacing w:val="-12"/>
        </w:rPr>
        <w:t>供应商名称：</w:t>
      </w:r>
      <w:r>
        <w:rPr>
          <w:spacing w:val="1"/>
        </w:rPr>
        <w:t xml:space="preserve"> </w:t>
      </w:r>
      <w:r>
        <w:rPr>
          <w:spacing w:val="-3"/>
        </w:rPr>
        <w:t>项目名称：</w:t>
      </w:r>
    </w:p>
    <w:p w14:paraId="7451BEEB">
      <w:pPr>
        <w:pStyle w:val="2"/>
        <w:spacing w:before="33" w:line="219" w:lineRule="auto"/>
        <w:ind w:left="293"/>
      </w:pPr>
      <w:r>
        <w:t>项目编号：                                                人民</w:t>
      </w:r>
      <w:r>
        <w:rPr>
          <w:spacing w:val="-1"/>
        </w:rPr>
        <w:t>币：元</w:t>
      </w:r>
    </w:p>
    <w:p w14:paraId="0301C2DA">
      <w:pPr>
        <w:spacing w:line="69" w:lineRule="exact"/>
      </w:pPr>
    </w:p>
    <w:tbl>
      <w:tblPr>
        <w:tblStyle w:val="13"/>
        <w:tblW w:w="95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54"/>
        <w:gridCol w:w="5338"/>
        <w:gridCol w:w="1288"/>
      </w:tblGrid>
      <w:tr w14:paraId="7446A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2954" w:type="dxa"/>
            <w:vAlign w:val="top"/>
          </w:tcPr>
          <w:p w14:paraId="1FE440B7">
            <w:pPr>
              <w:spacing w:line="285" w:lineRule="auto"/>
              <w:rPr>
                <w:rFonts w:ascii="Arial"/>
                <w:sz w:val="21"/>
              </w:rPr>
            </w:pPr>
          </w:p>
          <w:p w14:paraId="11CC7CE2">
            <w:pPr>
              <w:pStyle w:val="14"/>
              <w:spacing w:before="78" w:line="220" w:lineRule="auto"/>
              <w:ind w:left="1008"/>
            </w:pPr>
            <w:r>
              <w:rPr>
                <w:spacing w:val="-4"/>
              </w:rPr>
              <w:t>项目名称</w:t>
            </w:r>
          </w:p>
        </w:tc>
        <w:tc>
          <w:tcPr>
            <w:tcW w:w="5338" w:type="dxa"/>
            <w:vAlign w:val="top"/>
          </w:tcPr>
          <w:p w14:paraId="37E0FB39">
            <w:pPr>
              <w:spacing w:line="285" w:lineRule="auto"/>
              <w:rPr>
                <w:rFonts w:ascii="Arial"/>
                <w:sz w:val="21"/>
              </w:rPr>
            </w:pPr>
          </w:p>
          <w:p w14:paraId="5AACE4EC">
            <w:pPr>
              <w:pStyle w:val="14"/>
              <w:spacing w:before="78" w:line="218" w:lineRule="auto"/>
              <w:ind w:left="2197"/>
            </w:pPr>
            <w:r>
              <w:rPr>
                <w:spacing w:val="-4"/>
              </w:rPr>
              <w:t>投标总价</w:t>
            </w:r>
          </w:p>
        </w:tc>
        <w:tc>
          <w:tcPr>
            <w:tcW w:w="1288" w:type="dxa"/>
            <w:vAlign w:val="top"/>
          </w:tcPr>
          <w:p w14:paraId="20BC9758">
            <w:pPr>
              <w:spacing w:line="285" w:lineRule="auto"/>
              <w:rPr>
                <w:rFonts w:ascii="Arial"/>
                <w:sz w:val="21"/>
              </w:rPr>
            </w:pPr>
          </w:p>
          <w:p w14:paraId="212D2D13">
            <w:pPr>
              <w:pStyle w:val="14"/>
              <w:spacing w:before="78" w:line="221" w:lineRule="auto"/>
              <w:ind w:left="467"/>
            </w:pPr>
            <w:r>
              <w:rPr>
                <w:spacing w:val="-7"/>
              </w:rPr>
              <w:t>备注</w:t>
            </w:r>
          </w:p>
        </w:tc>
      </w:tr>
      <w:tr w14:paraId="772EA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2954" w:type="dxa"/>
            <w:vAlign w:val="top"/>
          </w:tcPr>
          <w:p w14:paraId="5F8B49C4">
            <w:pPr>
              <w:rPr>
                <w:rFonts w:ascii="Arial"/>
                <w:sz w:val="21"/>
              </w:rPr>
            </w:pPr>
          </w:p>
        </w:tc>
        <w:tc>
          <w:tcPr>
            <w:tcW w:w="5338" w:type="dxa"/>
            <w:vAlign w:val="top"/>
          </w:tcPr>
          <w:p w14:paraId="2E2698B5">
            <w:pPr>
              <w:rPr>
                <w:rFonts w:ascii="Arial"/>
                <w:sz w:val="21"/>
              </w:rPr>
            </w:pPr>
          </w:p>
        </w:tc>
        <w:tc>
          <w:tcPr>
            <w:tcW w:w="1288" w:type="dxa"/>
            <w:vAlign w:val="top"/>
          </w:tcPr>
          <w:p w14:paraId="53DA1BF2">
            <w:pPr>
              <w:rPr>
                <w:rFonts w:ascii="Arial"/>
                <w:sz w:val="21"/>
              </w:rPr>
            </w:pPr>
          </w:p>
        </w:tc>
      </w:tr>
      <w:tr w14:paraId="354DF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2954" w:type="dxa"/>
            <w:vAlign w:val="top"/>
          </w:tcPr>
          <w:p w14:paraId="0B31921D">
            <w:pPr>
              <w:pStyle w:val="14"/>
              <w:spacing w:before="270" w:line="219" w:lineRule="auto"/>
              <w:ind w:left="1004"/>
            </w:pPr>
            <w:r>
              <w:rPr>
                <w:spacing w:val="-3"/>
              </w:rPr>
              <w:t>服务期限</w:t>
            </w:r>
          </w:p>
        </w:tc>
        <w:tc>
          <w:tcPr>
            <w:tcW w:w="5338" w:type="dxa"/>
            <w:vAlign w:val="top"/>
          </w:tcPr>
          <w:p w14:paraId="7E3345F9">
            <w:pPr>
              <w:rPr>
                <w:rFonts w:ascii="Arial"/>
                <w:sz w:val="21"/>
              </w:rPr>
            </w:pPr>
          </w:p>
        </w:tc>
        <w:tc>
          <w:tcPr>
            <w:tcW w:w="1288" w:type="dxa"/>
            <w:vAlign w:val="top"/>
          </w:tcPr>
          <w:p w14:paraId="7FA15F8C">
            <w:pPr>
              <w:rPr>
                <w:rFonts w:ascii="Arial"/>
                <w:sz w:val="21"/>
              </w:rPr>
            </w:pPr>
          </w:p>
        </w:tc>
      </w:tr>
    </w:tbl>
    <w:p w14:paraId="4FA2F7D9">
      <w:pPr>
        <w:spacing w:line="251" w:lineRule="auto"/>
        <w:rPr>
          <w:rFonts w:ascii="Arial"/>
          <w:sz w:val="21"/>
        </w:rPr>
      </w:pPr>
    </w:p>
    <w:p w14:paraId="6BEAF136">
      <w:pPr>
        <w:spacing w:line="251" w:lineRule="auto"/>
        <w:rPr>
          <w:rFonts w:ascii="Arial"/>
          <w:sz w:val="21"/>
        </w:rPr>
      </w:pPr>
    </w:p>
    <w:p w14:paraId="61F232E5">
      <w:pPr>
        <w:pStyle w:val="2"/>
        <w:spacing w:before="79" w:line="219" w:lineRule="auto"/>
        <w:ind w:left="289"/>
      </w:pPr>
      <w:r>
        <w:rPr>
          <w:spacing w:val="3"/>
        </w:rPr>
        <w:t>供应商</w:t>
      </w:r>
      <w:r>
        <w:rPr>
          <w:spacing w:val="-59"/>
          <w:w w:val="92"/>
        </w:rPr>
        <w:t>：（</w:t>
      </w:r>
      <w:r>
        <w:rPr>
          <w:spacing w:val="3"/>
        </w:rPr>
        <w:t>单位盖章）</w:t>
      </w:r>
    </w:p>
    <w:p w14:paraId="723B033A">
      <w:pPr>
        <w:pStyle w:val="2"/>
        <w:spacing w:before="183" w:line="219" w:lineRule="auto"/>
        <w:ind w:left="290"/>
        <w:outlineLvl w:val="2"/>
      </w:pPr>
      <w:r>
        <w:rPr>
          <w:spacing w:val="1"/>
        </w:rPr>
        <w:t>法定代表人或授权委托人</w:t>
      </w:r>
      <w:r>
        <w:rPr>
          <w:spacing w:val="-60"/>
          <w:w w:val="94"/>
        </w:rPr>
        <w:t>：（</w:t>
      </w:r>
      <w:r>
        <w:rPr>
          <w:spacing w:val="1"/>
        </w:rPr>
        <w:t>签字或盖章）</w:t>
      </w:r>
    </w:p>
    <w:p w14:paraId="0BE63DFE">
      <w:pPr>
        <w:pStyle w:val="2"/>
        <w:tabs>
          <w:tab w:val="left" w:pos="6097"/>
        </w:tabs>
        <w:spacing w:before="184" w:line="219" w:lineRule="auto"/>
        <w:ind w:left="5964"/>
      </w:pPr>
      <w:r>
        <w:rPr>
          <w:u w:val="single" w:color="auto"/>
        </w:rPr>
        <w:tab/>
      </w:r>
      <w:r>
        <w:rPr>
          <w:spacing w:val="-4"/>
          <w:u w:val="single" w:color="auto"/>
        </w:rPr>
        <w:t>2025</w:t>
      </w:r>
      <w:r>
        <w:rPr>
          <w:spacing w:val="-45"/>
          <w:u w:val="single" w:color="auto"/>
        </w:rPr>
        <w:t xml:space="preserve"> </w:t>
      </w:r>
      <w:r>
        <w:rPr>
          <w:spacing w:val="-4"/>
        </w:rPr>
        <w:t>年</w:t>
      </w:r>
      <w:r>
        <w:rPr>
          <w:spacing w:val="-4"/>
          <w:u w:val="single" w:color="auto"/>
        </w:rPr>
        <w:t xml:space="preserve">    </w:t>
      </w:r>
      <w:r>
        <w:rPr>
          <w:spacing w:val="-104"/>
        </w:rPr>
        <w:t xml:space="preserve"> </w:t>
      </w:r>
      <w:r>
        <w:rPr>
          <w:spacing w:val="-4"/>
        </w:rPr>
        <w:t>月</w:t>
      </w:r>
      <w:r>
        <w:rPr>
          <w:spacing w:val="39"/>
          <w:u w:val="single" w:color="auto"/>
        </w:rPr>
        <w:t xml:space="preserve">   </w:t>
      </w:r>
      <w:r>
        <w:rPr>
          <w:spacing w:val="-66"/>
        </w:rPr>
        <w:t xml:space="preserve"> </w:t>
      </w:r>
      <w:r>
        <w:rPr>
          <w:spacing w:val="-4"/>
        </w:rPr>
        <w:t>日</w:t>
      </w:r>
    </w:p>
    <w:p w14:paraId="34A154D2">
      <w:pPr>
        <w:spacing w:line="219" w:lineRule="auto"/>
        <w:sectPr>
          <w:headerReference r:id="rId42" w:type="default"/>
          <w:footerReference r:id="rId43" w:type="default"/>
          <w:pgSz w:w="11906" w:h="16839"/>
          <w:pgMar w:top="1058" w:right="1160" w:bottom="1157" w:left="1160" w:header="855" w:footer="992" w:gutter="0"/>
          <w:pgNumType w:fmt="decimal"/>
          <w:cols w:space="720" w:num="1"/>
        </w:sectPr>
      </w:pPr>
    </w:p>
    <w:p w14:paraId="4ABD3B1C">
      <w:pPr>
        <w:pStyle w:val="2"/>
        <w:spacing w:before="189" w:line="219" w:lineRule="auto"/>
        <w:ind w:left="25"/>
        <w:rPr>
          <w:sz w:val="30"/>
          <w:szCs w:val="30"/>
        </w:rPr>
      </w:pPr>
      <w:r>
        <w:rPr>
          <w:b/>
          <w:bCs/>
          <w:spacing w:val="-12"/>
          <w:sz w:val="30"/>
          <w:szCs w:val="30"/>
        </w:rPr>
        <w:t>附件三：</w:t>
      </w:r>
    </w:p>
    <w:p w14:paraId="683CB114">
      <w:pPr>
        <w:pStyle w:val="2"/>
        <w:spacing w:before="268" w:line="219" w:lineRule="auto"/>
        <w:ind w:left="2907"/>
        <w:rPr>
          <w:sz w:val="30"/>
          <w:szCs w:val="30"/>
        </w:rPr>
      </w:pPr>
      <w:r>
        <w:rPr>
          <w:b/>
          <w:bCs/>
          <w:spacing w:val="-4"/>
          <w:sz w:val="30"/>
          <w:szCs w:val="30"/>
        </w:rPr>
        <w:t>法定代表人身份证明书</w:t>
      </w:r>
    </w:p>
    <w:p w14:paraId="4EF412F4">
      <w:pPr>
        <w:spacing w:line="302" w:lineRule="auto"/>
        <w:rPr>
          <w:rFonts w:ascii="Arial"/>
          <w:sz w:val="21"/>
        </w:rPr>
      </w:pPr>
    </w:p>
    <w:p w14:paraId="1DCFEA79">
      <w:pPr>
        <w:spacing w:line="303" w:lineRule="auto"/>
        <w:rPr>
          <w:rFonts w:ascii="Arial"/>
          <w:sz w:val="21"/>
        </w:rPr>
      </w:pPr>
    </w:p>
    <w:p w14:paraId="1A195AD8">
      <w:pPr>
        <w:pStyle w:val="2"/>
        <w:tabs>
          <w:tab w:val="left" w:pos="7310"/>
        </w:tabs>
        <w:spacing w:before="78" w:line="355" w:lineRule="auto"/>
        <w:ind w:right="1597" w:firstLine="1"/>
        <w:jc w:val="both"/>
      </w:pPr>
      <w:r>
        <w:rPr>
          <w:spacing w:val="-3"/>
        </w:rPr>
        <w:t>单位名称：</w:t>
      </w:r>
      <w:r>
        <w:rPr>
          <w:u w:val="single" w:color="auto"/>
        </w:rPr>
        <w:tab/>
      </w:r>
      <w:r>
        <w:t xml:space="preserve"> </w:t>
      </w:r>
      <w:r>
        <w:rPr>
          <w:spacing w:val="-2"/>
        </w:rPr>
        <w:t>企业类型：</w:t>
      </w:r>
      <w:r>
        <w:rPr>
          <w:u w:val="single" w:color="auto"/>
        </w:rPr>
        <w:tab/>
      </w:r>
      <w:r>
        <w:t xml:space="preserve"> </w:t>
      </w:r>
      <w:r>
        <w:rPr>
          <w:spacing w:val="-17"/>
        </w:rPr>
        <w:t>地</w:t>
      </w:r>
      <w:r>
        <w:rPr>
          <w:spacing w:val="2"/>
        </w:rPr>
        <w:t xml:space="preserve">    </w:t>
      </w:r>
      <w:r>
        <w:rPr>
          <w:spacing w:val="-17"/>
        </w:rPr>
        <w:t>址</w:t>
      </w:r>
      <w:r>
        <w:rPr>
          <w:spacing w:val="-88"/>
        </w:rPr>
        <w:t xml:space="preserve"> </w:t>
      </w:r>
      <w:r>
        <w:rPr>
          <w:spacing w:val="-17"/>
        </w:rPr>
        <w:t>：</w:t>
      </w:r>
      <w:r>
        <w:rPr>
          <w:u w:val="single" w:color="auto"/>
        </w:rPr>
        <w:tab/>
      </w:r>
      <w:r>
        <w:t xml:space="preserve"> </w:t>
      </w:r>
      <w:r>
        <w:rPr>
          <w:spacing w:val="-2"/>
        </w:rPr>
        <w:t>营业期限：</w:t>
      </w:r>
      <w:r>
        <w:rPr>
          <w:u w:val="single" w:color="auto"/>
        </w:rPr>
        <w:tab/>
      </w:r>
      <w:r>
        <w:t xml:space="preserve"> </w:t>
      </w:r>
      <w:r>
        <w:rPr>
          <w:spacing w:val="-2"/>
        </w:rPr>
        <w:t>成立时间：</w:t>
      </w:r>
      <w:r>
        <w:rPr>
          <w:u w:val="single" w:color="auto"/>
        </w:rPr>
        <w:t xml:space="preserve">                                                   </w:t>
      </w:r>
    </w:p>
    <w:p w14:paraId="17B65153">
      <w:pPr>
        <w:spacing w:line="419" w:lineRule="auto"/>
        <w:rPr>
          <w:rFonts w:ascii="Arial"/>
          <w:sz w:val="21"/>
        </w:rPr>
      </w:pPr>
    </w:p>
    <w:p w14:paraId="3EA116C0">
      <w:pPr>
        <w:pStyle w:val="2"/>
        <w:spacing w:before="78" w:line="347" w:lineRule="auto"/>
        <w:ind w:left="4" w:right="277" w:hanging="4"/>
      </w:pPr>
      <w:r>
        <w:rPr>
          <w:spacing w:val="-1"/>
        </w:rPr>
        <w:t>姓名：</w:t>
      </w:r>
      <w:r>
        <w:rPr>
          <w:spacing w:val="-1"/>
          <w:u w:val="single" w:color="auto"/>
        </w:rPr>
        <w:t xml:space="preserve">          </w:t>
      </w:r>
      <w:r>
        <w:rPr>
          <w:spacing w:val="-1"/>
        </w:rPr>
        <w:t xml:space="preserve">   性别</w:t>
      </w:r>
      <w:r>
        <w:rPr>
          <w:spacing w:val="-2"/>
        </w:rPr>
        <w:t>：</w:t>
      </w:r>
      <w:r>
        <w:rPr>
          <w:u w:val="single" w:color="auto"/>
        </w:rPr>
        <w:t xml:space="preserve">          </w:t>
      </w:r>
      <w:r>
        <w:rPr>
          <w:spacing w:val="3"/>
        </w:rPr>
        <w:t xml:space="preserve">   </w:t>
      </w:r>
      <w:r>
        <w:rPr>
          <w:spacing w:val="-2"/>
        </w:rPr>
        <w:t>年龄：</w:t>
      </w:r>
      <w:r>
        <w:rPr>
          <w:u w:val="single" w:color="auto"/>
        </w:rPr>
        <w:t xml:space="preserve">          </w:t>
      </w:r>
      <w:r>
        <w:rPr>
          <w:spacing w:val="6"/>
        </w:rPr>
        <w:t xml:space="preserve">  </w:t>
      </w:r>
      <w:r>
        <w:rPr>
          <w:spacing w:val="-2"/>
        </w:rPr>
        <w:t>职务：</w:t>
      </w:r>
      <w:r>
        <w:rPr>
          <w:u w:val="single" w:color="auto"/>
        </w:rPr>
        <w:t xml:space="preserve">          </w:t>
      </w:r>
      <w:r>
        <w:t xml:space="preserve"> </w:t>
      </w:r>
      <w:r>
        <w:rPr>
          <w:spacing w:val="-1"/>
        </w:rPr>
        <w:t xml:space="preserve">系 </w:t>
      </w:r>
      <w:r>
        <w:rPr>
          <w:spacing w:val="-1"/>
          <w:u w:val="single" w:color="auto"/>
        </w:rPr>
        <w:t xml:space="preserve">         （投标单位名称）               </w:t>
      </w:r>
      <w:r>
        <w:rPr>
          <w:spacing w:val="-91"/>
        </w:rPr>
        <w:t xml:space="preserve"> </w:t>
      </w:r>
      <w:r>
        <w:rPr>
          <w:spacing w:val="-1"/>
        </w:rPr>
        <w:t>的法定</w:t>
      </w:r>
      <w:r>
        <w:rPr>
          <w:spacing w:val="-2"/>
        </w:rPr>
        <w:t>代表人。</w:t>
      </w:r>
    </w:p>
    <w:p w14:paraId="0626965C">
      <w:pPr>
        <w:spacing w:line="422" w:lineRule="auto"/>
        <w:rPr>
          <w:rFonts w:ascii="Arial"/>
          <w:sz w:val="21"/>
        </w:rPr>
      </w:pPr>
    </w:p>
    <w:p w14:paraId="2FE0D16C">
      <w:pPr>
        <w:pStyle w:val="2"/>
        <w:spacing w:before="78" w:line="219" w:lineRule="auto"/>
      </w:pPr>
      <w:r>
        <w:rPr>
          <w:spacing w:val="-2"/>
        </w:rPr>
        <w:t>特此证明。</w:t>
      </w:r>
    </w:p>
    <w:p w14:paraId="6B859F8B">
      <w:pPr>
        <w:spacing w:line="284" w:lineRule="auto"/>
        <w:rPr>
          <w:rFonts w:ascii="Arial"/>
          <w:sz w:val="21"/>
        </w:rPr>
      </w:pPr>
    </w:p>
    <w:p w14:paraId="55D172E0">
      <w:pPr>
        <w:spacing w:line="284" w:lineRule="auto"/>
        <w:rPr>
          <w:rFonts w:ascii="Arial"/>
          <w:sz w:val="21"/>
        </w:rPr>
      </w:pPr>
    </w:p>
    <w:p w14:paraId="6B395420">
      <w:pPr>
        <w:pStyle w:val="2"/>
        <w:spacing w:before="78" w:line="219" w:lineRule="auto"/>
        <w:ind w:left="5280"/>
      </w:pPr>
      <w:r>
        <w:rPr>
          <w:spacing w:val="-2"/>
        </w:rPr>
        <w:t>供应商名称（盖章</w:t>
      </w:r>
      <w:r>
        <w:rPr>
          <w:spacing w:val="-63"/>
          <w:w w:val="99"/>
        </w:rPr>
        <w:t>）：</w:t>
      </w:r>
    </w:p>
    <w:p w14:paraId="69262C67">
      <w:pPr>
        <w:pStyle w:val="2"/>
        <w:spacing w:before="184" w:line="219" w:lineRule="auto"/>
        <w:ind w:left="5290"/>
      </w:pPr>
      <w:r>
        <w:rPr>
          <w:spacing w:val="-20"/>
        </w:rPr>
        <w:t>日</w:t>
      </w:r>
      <w:r>
        <w:rPr>
          <w:spacing w:val="6"/>
        </w:rPr>
        <w:t xml:space="preserve">  </w:t>
      </w:r>
      <w:r>
        <w:rPr>
          <w:spacing w:val="-20"/>
        </w:rPr>
        <w:t>期</w:t>
      </w:r>
      <w:r>
        <w:rPr>
          <w:spacing w:val="-89"/>
        </w:rPr>
        <w:t xml:space="preserve"> </w:t>
      </w:r>
      <w:r>
        <w:rPr>
          <w:spacing w:val="-20"/>
        </w:rPr>
        <w:t>：</w:t>
      </w:r>
      <w:r>
        <w:rPr>
          <w:spacing w:val="3"/>
        </w:rPr>
        <w:t xml:space="preserve">   </w:t>
      </w:r>
      <w:r>
        <w:rPr>
          <w:spacing w:val="-20"/>
        </w:rPr>
        <w:t>年</w:t>
      </w:r>
      <w:r>
        <w:rPr>
          <w:spacing w:val="8"/>
        </w:rPr>
        <w:t xml:space="preserve">  </w:t>
      </w:r>
      <w:r>
        <w:rPr>
          <w:spacing w:val="-20"/>
        </w:rPr>
        <w:t>月</w:t>
      </w:r>
      <w:r>
        <w:rPr>
          <w:spacing w:val="25"/>
        </w:rPr>
        <w:t xml:space="preserve">  </w:t>
      </w:r>
      <w:r>
        <w:rPr>
          <w:spacing w:val="-20"/>
        </w:rPr>
        <w:t>日</w:t>
      </w:r>
    </w:p>
    <w:p w14:paraId="22B3C0DE">
      <w:pPr>
        <w:pStyle w:val="2"/>
        <w:spacing w:before="183" w:line="219" w:lineRule="auto"/>
        <w:ind w:left="2"/>
      </w:pPr>
      <w:r>
        <w:rPr>
          <w:b/>
          <w:bCs/>
          <w:spacing w:val="-3"/>
        </w:rPr>
        <w:t>备注：后附法定代表人身份证正反面复印件。</w:t>
      </w:r>
    </w:p>
    <w:p w14:paraId="785C03F4">
      <w:pPr>
        <w:spacing w:line="219" w:lineRule="auto"/>
        <w:sectPr>
          <w:headerReference r:id="rId44" w:type="default"/>
          <w:footerReference r:id="rId45" w:type="default"/>
          <w:pgSz w:w="11906" w:h="16839"/>
          <w:pgMar w:top="1058" w:right="1548" w:bottom="1157" w:left="1449" w:header="855" w:footer="992" w:gutter="0"/>
          <w:pgNumType w:fmt="decimal"/>
          <w:cols w:space="720" w:num="1"/>
        </w:sectPr>
      </w:pPr>
    </w:p>
    <w:p w14:paraId="56EC572F">
      <w:pPr>
        <w:pStyle w:val="2"/>
        <w:spacing w:before="189" w:line="219" w:lineRule="auto"/>
        <w:ind w:left="144"/>
        <w:rPr>
          <w:sz w:val="30"/>
          <w:szCs w:val="30"/>
        </w:rPr>
      </w:pPr>
      <w:r>
        <w:rPr>
          <w:b/>
          <w:bCs/>
          <w:spacing w:val="-7"/>
          <w:sz w:val="30"/>
          <w:szCs w:val="30"/>
        </w:rPr>
        <w:t>附件四：</w:t>
      </w:r>
      <w:r>
        <w:rPr>
          <w:spacing w:val="1"/>
          <w:sz w:val="30"/>
          <w:szCs w:val="30"/>
        </w:rPr>
        <w:t xml:space="preserve">               </w:t>
      </w:r>
    </w:p>
    <w:p w14:paraId="431D7AFF">
      <w:pPr>
        <w:spacing w:line="251" w:lineRule="auto"/>
        <w:rPr>
          <w:rFonts w:ascii="Arial"/>
          <w:sz w:val="21"/>
        </w:rPr>
      </w:pPr>
    </w:p>
    <w:p w14:paraId="56708916">
      <w:pPr>
        <w:spacing w:line="251" w:lineRule="auto"/>
        <w:rPr>
          <w:rFonts w:ascii="Arial"/>
          <w:sz w:val="21"/>
        </w:rPr>
      </w:pPr>
    </w:p>
    <w:p w14:paraId="7277B916">
      <w:pPr>
        <w:spacing w:line="251" w:lineRule="auto"/>
        <w:rPr>
          <w:rFonts w:ascii="Arial"/>
          <w:sz w:val="21"/>
        </w:rPr>
      </w:pPr>
    </w:p>
    <w:p w14:paraId="1794A145">
      <w:pPr>
        <w:spacing w:line="251" w:lineRule="auto"/>
        <w:rPr>
          <w:rFonts w:ascii="Arial"/>
          <w:sz w:val="21"/>
        </w:rPr>
      </w:pPr>
    </w:p>
    <w:p w14:paraId="00A1E279">
      <w:pPr>
        <w:spacing w:line="251" w:lineRule="auto"/>
        <w:rPr>
          <w:rFonts w:ascii="Arial"/>
          <w:sz w:val="21"/>
        </w:rPr>
      </w:pPr>
    </w:p>
    <w:p w14:paraId="65A51E64">
      <w:pPr>
        <w:spacing w:line="251" w:lineRule="auto"/>
        <w:rPr>
          <w:rFonts w:ascii="Arial"/>
          <w:sz w:val="21"/>
        </w:rPr>
      </w:pPr>
    </w:p>
    <w:p w14:paraId="319D6941">
      <w:pPr>
        <w:spacing w:line="252" w:lineRule="auto"/>
        <w:rPr>
          <w:rFonts w:ascii="Arial"/>
          <w:sz w:val="21"/>
        </w:rPr>
      </w:pPr>
    </w:p>
    <w:p w14:paraId="72E6623D">
      <w:pPr>
        <w:spacing w:line="252" w:lineRule="auto"/>
        <w:rPr>
          <w:rFonts w:ascii="Arial"/>
          <w:sz w:val="21"/>
        </w:rPr>
      </w:pPr>
    </w:p>
    <w:p w14:paraId="67E08AED">
      <w:pPr>
        <w:spacing w:line="252" w:lineRule="auto"/>
        <w:rPr>
          <w:rFonts w:ascii="Arial"/>
          <w:sz w:val="21"/>
        </w:rPr>
      </w:pPr>
    </w:p>
    <w:p w14:paraId="43BB202C">
      <w:pPr>
        <w:spacing w:line="252" w:lineRule="auto"/>
        <w:rPr>
          <w:rFonts w:ascii="Arial"/>
          <w:sz w:val="21"/>
        </w:rPr>
      </w:pPr>
    </w:p>
    <w:p w14:paraId="68603B4C">
      <w:pPr>
        <w:spacing w:line="252" w:lineRule="auto"/>
        <w:rPr>
          <w:rFonts w:ascii="Arial"/>
          <w:sz w:val="21"/>
        </w:rPr>
      </w:pPr>
    </w:p>
    <w:p w14:paraId="1D1F9532">
      <w:pPr>
        <w:spacing w:line="252" w:lineRule="auto"/>
        <w:rPr>
          <w:rFonts w:ascii="Arial"/>
          <w:sz w:val="21"/>
        </w:rPr>
      </w:pPr>
    </w:p>
    <w:p w14:paraId="082D4066">
      <w:pPr>
        <w:spacing w:line="252" w:lineRule="auto"/>
        <w:rPr>
          <w:rFonts w:ascii="Arial"/>
          <w:sz w:val="21"/>
        </w:rPr>
      </w:pPr>
    </w:p>
    <w:p w14:paraId="4577E917">
      <w:pPr>
        <w:pStyle w:val="2"/>
        <w:spacing w:before="97" w:line="219" w:lineRule="auto"/>
        <w:ind w:left="144"/>
        <w:rPr>
          <w:sz w:val="30"/>
          <w:szCs w:val="30"/>
        </w:rPr>
      </w:pPr>
      <w:r>
        <w:rPr>
          <w:b/>
          <w:bCs/>
          <w:spacing w:val="-12"/>
          <w:sz w:val="30"/>
          <w:szCs w:val="30"/>
        </w:rPr>
        <w:t>附件五：</w:t>
      </w:r>
    </w:p>
    <w:p w14:paraId="10EE023D">
      <w:pPr>
        <w:pStyle w:val="2"/>
        <w:spacing w:before="268" w:line="218" w:lineRule="auto"/>
        <w:ind w:left="2126"/>
        <w:rPr>
          <w:sz w:val="30"/>
          <w:szCs w:val="30"/>
        </w:rPr>
      </w:pPr>
      <w:r>
        <w:rPr>
          <w:b/>
          <w:bCs/>
          <w:spacing w:val="-4"/>
          <w:sz w:val="30"/>
          <w:szCs w:val="30"/>
        </w:rPr>
        <w:t>投标报价明细表（本项目可不提供）</w:t>
      </w:r>
    </w:p>
    <w:p w14:paraId="1A5B6954">
      <w:pPr>
        <w:pStyle w:val="2"/>
        <w:spacing w:before="221" w:line="219" w:lineRule="auto"/>
        <w:ind w:left="123"/>
      </w:pPr>
      <w:r>
        <w:rPr>
          <w:spacing w:val="-1"/>
        </w:rPr>
        <w:t>项目名称：</w:t>
      </w:r>
      <w:r>
        <w:rPr>
          <w:spacing w:val="-1"/>
          <w:u w:val="single" w:color="auto"/>
        </w:rPr>
        <w:t xml:space="preserve">                       </w:t>
      </w:r>
      <w:r>
        <w:rPr>
          <w:spacing w:val="-1"/>
        </w:rPr>
        <w:t xml:space="preserve">        项目编号/包号：</w:t>
      </w:r>
      <w:r>
        <w:rPr>
          <w:spacing w:val="-1"/>
          <w:u w:val="single" w:color="auto"/>
        </w:rPr>
        <w:t xml:space="preserve">     </w:t>
      </w:r>
      <w:r>
        <w:rPr>
          <w:spacing w:val="-2"/>
          <w:u w:val="single" w:color="auto"/>
        </w:rPr>
        <w:t xml:space="preserve">             </w:t>
      </w:r>
    </w:p>
    <w:p w14:paraId="47EBE392">
      <w:pPr>
        <w:spacing w:line="69" w:lineRule="exact"/>
      </w:pPr>
    </w:p>
    <w:tbl>
      <w:tblPr>
        <w:tblStyle w:val="13"/>
        <w:tblW w:w="92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566"/>
        <w:gridCol w:w="1464"/>
        <w:gridCol w:w="811"/>
        <w:gridCol w:w="1004"/>
        <w:gridCol w:w="1041"/>
        <w:gridCol w:w="817"/>
        <w:gridCol w:w="855"/>
        <w:gridCol w:w="952"/>
      </w:tblGrid>
      <w:tr w14:paraId="43CB6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729" w:type="dxa"/>
            <w:vAlign w:val="top"/>
          </w:tcPr>
          <w:p w14:paraId="29F41BA9">
            <w:pPr>
              <w:spacing w:line="273" w:lineRule="auto"/>
              <w:rPr>
                <w:rFonts w:ascii="Arial"/>
                <w:sz w:val="21"/>
              </w:rPr>
            </w:pPr>
          </w:p>
          <w:p w14:paraId="5579FAE5">
            <w:pPr>
              <w:pStyle w:val="14"/>
              <w:spacing w:before="78" w:line="221" w:lineRule="auto"/>
              <w:ind w:left="130"/>
            </w:pPr>
            <w:r>
              <w:rPr>
                <w:spacing w:val="-5"/>
              </w:rPr>
              <w:t>序号</w:t>
            </w:r>
          </w:p>
        </w:tc>
        <w:tc>
          <w:tcPr>
            <w:tcW w:w="1566" w:type="dxa"/>
            <w:vAlign w:val="top"/>
          </w:tcPr>
          <w:p w14:paraId="13CE3743">
            <w:pPr>
              <w:spacing w:line="274" w:lineRule="auto"/>
              <w:rPr>
                <w:rFonts w:ascii="Arial"/>
                <w:sz w:val="21"/>
              </w:rPr>
            </w:pPr>
          </w:p>
          <w:p w14:paraId="5DC5ACA2">
            <w:pPr>
              <w:pStyle w:val="14"/>
              <w:spacing w:before="78" w:line="221" w:lineRule="auto"/>
              <w:ind w:left="552"/>
            </w:pPr>
            <w:r>
              <w:rPr>
                <w:spacing w:val="-7"/>
              </w:rPr>
              <w:t>名称</w:t>
            </w:r>
          </w:p>
        </w:tc>
        <w:tc>
          <w:tcPr>
            <w:tcW w:w="1464" w:type="dxa"/>
            <w:vAlign w:val="top"/>
          </w:tcPr>
          <w:p w14:paraId="4B3E2FA4">
            <w:pPr>
              <w:spacing w:line="274" w:lineRule="auto"/>
              <w:rPr>
                <w:rFonts w:ascii="Arial"/>
                <w:sz w:val="21"/>
              </w:rPr>
            </w:pPr>
          </w:p>
          <w:p w14:paraId="44091DD0">
            <w:pPr>
              <w:pStyle w:val="14"/>
              <w:spacing w:before="78" w:line="219" w:lineRule="auto"/>
              <w:ind w:left="144"/>
            </w:pPr>
            <w:r>
              <w:rPr>
                <w:spacing w:val="-4"/>
              </w:rPr>
              <w:t>型号和规格</w:t>
            </w:r>
          </w:p>
        </w:tc>
        <w:tc>
          <w:tcPr>
            <w:tcW w:w="811" w:type="dxa"/>
            <w:vAlign w:val="top"/>
          </w:tcPr>
          <w:p w14:paraId="65898DB4">
            <w:pPr>
              <w:spacing w:line="274" w:lineRule="auto"/>
              <w:rPr>
                <w:rFonts w:ascii="Arial"/>
                <w:sz w:val="21"/>
              </w:rPr>
            </w:pPr>
          </w:p>
          <w:p w14:paraId="78F7386E">
            <w:pPr>
              <w:pStyle w:val="14"/>
              <w:spacing w:before="78" w:line="219" w:lineRule="auto"/>
              <w:ind w:left="173"/>
            </w:pPr>
            <w:r>
              <w:rPr>
                <w:spacing w:val="-6"/>
              </w:rPr>
              <w:t>数量</w:t>
            </w:r>
          </w:p>
        </w:tc>
        <w:tc>
          <w:tcPr>
            <w:tcW w:w="1004" w:type="dxa"/>
            <w:vAlign w:val="top"/>
          </w:tcPr>
          <w:p w14:paraId="56D758E7">
            <w:pPr>
              <w:spacing w:line="274" w:lineRule="auto"/>
              <w:rPr>
                <w:rFonts w:ascii="Arial"/>
                <w:sz w:val="21"/>
              </w:rPr>
            </w:pPr>
          </w:p>
          <w:p w14:paraId="0E551920">
            <w:pPr>
              <w:pStyle w:val="14"/>
              <w:spacing w:before="78" w:line="219" w:lineRule="auto"/>
              <w:ind w:left="269"/>
            </w:pPr>
            <w:r>
              <w:rPr>
                <w:spacing w:val="-5"/>
              </w:rPr>
              <w:t>产地</w:t>
            </w:r>
          </w:p>
        </w:tc>
        <w:tc>
          <w:tcPr>
            <w:tcW w:w="1041" w:type="dxa"/>
            <w:vAlign w:val="top"/>
          </w:tcPr>
          <w:p w14:paraId="25332657">
            <w:pPr>
              <w:pStyle w:val="14"/>
              <w:spacing w:before="121" w:line="313" w:lineRule="auto"/>
              <w:ind w:left="290" w:right="157" w:hanging="121"/>
            </w:pPr>
            <w:r>
              <w:rPr>
                <w:spacing w:val="-4"/>
              </w:rPr>
              <w:t>制造商</w:t>
            </w:r>
            <w:r>
              <w:t xml:space="preserve"> </w:t>
            </w:r>
            <w:r>
              <w:rPr>
                <w:spacing w:val="-7"/>
              </w:rPr>
              <w:t>名称</w:t>
            </w:r>
          </w:p>
        </w:tc>
        <w:tc>
          <w:tcPr>
            <w:tcW w:w="817" w:type="dxa"/>
            <w:vAlign w:val="top"/>
          </w:tcPr>
          <w:p w14:paraId="076F2F62">
            <w:pPr>
              <w:spacing w:line="273" w:lineRule="auto"/>
              <w:rPr>
                <w:rFonts w:ascii="Arial"/>
                <w:sz w:val="21"/>
              </w:rPr>
            </w:pPr>
          </w:p>
          <w:p w14:paraId="287B5AD0">
            <w:pPr>
              <w:pStyle w:val="14"/>
              <w:spacing w:before="78" w:line="218" w:lineRule="auto"/>
              <w:ind w:left="177"/>
            </w:pPr>
            <w:r>
              <w:rPr>
                <w:spacing w:val="-6"/>
              </w:rPr>
              <w:t>单价</w:t>
            </w:r>
          </w:p>
        </w:tc>
        <w:tc>
          <w:tcPr>
            <w:tcW w:w="855" w:type="dxa"/>
            <w:vAlign w:val="top"/>
          </w:tcPr>
          <w:p w14:paraId="77D575B6">
            <w:pPr>
              <w:spacing w:line="273" w:lineRule="auto"/>
              <w:rPr>
                <w:rFonts w:ascii="Arial"/>
                <w:sz w:val="21"/>
              </w:rPr>
            </w:pPr>
          </w:p>
          <w:p w14:paraId="290BC9AC">
            <w:pPr>
              <w:pStyle w:val="14"/>
              <w:spacing w:before="78" w:line="218" w:lineRule="auto"/>
              <w:ind w:left="203"/>
            </w:pPr>
            <w:r>
              <w:rPr>
                <w:spacing w:val="-8"/>
              </w:rPr>
              <w:t>总价</w:t>
            </w:r>
          </w:p>
        </w:tc>
        <w:tc>
          <w:tcPr>
            <w:tcW w:w="952" w:type="dxa"/>
            <w:vAlign w:val="top"/>
          </w:tcPr>
          <w:p w14:paraId="162476CD">
            <w:pPr>
              <w:spacing w:line="273" w:lineRule="auto"/>
              <w:rPr>
                <w:rFonts w:ascii="Arial"/>
                <w:sz w:val="21"/>
              </w:rPr>
            </w:pPr>
          </w:p>
          <w:p w14:paraId="339B0AF1">
            <w:pPr>
              <w:pStyle w:val="14"/>
              <w:spacing w:before="78" w:line="221" w:lineRule="auto"/>
              <w:ind w:left="246"/>
            </w:pPr>
            <w:r>
              <w:rPr>
                <w:spacing w:val="-7"/>
              </w:rPr>
              <w:t>备注</w:t>
            </w:r>
          </w:p>
        </w:tc>
      </w:tr>
      <w:tr w14:paraId="7DAC4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29" w:type="dxa"/>
            <w:vAlign w:val="top"/>
          </w:tcPr>
          <w:p w14:paraId="61E063E6">
            <w:pPr>
              <w:pStyle w:val="14"/>
              <w:spacing w:before="153" w:line="184" w:lineRule="auto"/>
              <w:ind w:left="328"/>
            </w:pPr>
            <w:r>
              <w:t>1</w:t>
            </w:r>
          </w:p>
        </w:tc>
        <w:tc>
          <w:tcPr>
            <w:tcW w:w="1566" w:type="dxa"/>
            <w:vAlign w:val="top"/>
          </w:tcPr>
          <w:p w14:paraId="13556851">
            <w:pPr>
              <w:rPr>
                <w:rFonts w:ascii="Arial"/>
                <w:sz w:val="21"/>
              </w:rPr>
            </w:pPr>
          </w:p>
        </w:tc>
        <w:tc>
          <w:tcPr>
            <w:tcW w:w="1464" w:type="dxa"/>
            <w:vAlign w:val="top"/>
          </w:tcPr>
          <w:p w14:paraId="198C2FC1">
            <w:pPr>
              <w:rPr>
                <w:rFonts w:ascii="Arial"/>
                <w:sz w:val="21"/>
              </w:rPr>
            </w:pPr>
          </w:p>
        </w:tc>
        <w:tc>
          <w:tcPr>
            <w:tcW w:w="811" w:type="dxa"/>
            <w:vAlign w:val="top"/>
          </w:tcPr>
          <w:p w14:paraId="4073023E">
            <w:pPr>
              <w:rPr>
                <w:rFonts w:ascii="Arial"/>
                <w:sz w:val="21"/>
              </w:rPr>
            </w:pPr>
          </w:p>
        </w:tc>
        <w:tc>
          <w:tcPr>
            <w:tcW w:w="1004" w:type="dxa"/>
            <w:vAlign w:val="top"/>
          </w:tcPr>
          <w:p w14:paraId="22567F28">
            <w:pPr>
              <w:rPr>
                <w:rFonts w:ascii="Arial"/>
                <w:sz w:val="21"/>
              </w:rPr>
            </w:pPr>
          </w:p>
        </w:tc>
        <w:tc>
          <w:tcPr>
            <w:tcW w:w="1041" w:type="dxa"/>
            <w:vAlign w:val="top"/>
          </w:tcPr>
          <w:p w14:paraId="7ABB4B6E">
            <w:pPr>
              <w:rPr>
                <w:rFonts w:ascii="Arial"/>
                <w:sz w:val="21"/>
              </w:rPr>
            </w:pPr>
          </w:p>
        </w:tc>
        <w:tc>
          <w:tcPr>
            <w:tcW w:w="817" w:type="dxa"/>
            <w:vAlign w:val="top"/>
          </w:tcPr>
          <w:p w14:paraId="17C285A2">
            <w:pPr>
              <w:rPr>
                <w:rFonts w:ascii="Arial"/>
                <w:sz w:val="21"/>
              </w:rPr>
            </w:pPr>
          </w:p>
        </w:tc>
        <w:tc>
          <w:tcPr>
            <w:tcW w:w="855" w:type="dxa"/>
            <w:vAlign w:val="top"/>
          </w:tcPr>
          <w:p w14:paraId="178A632A">
            <w:pPr>
              <w:rPr>
                <w:rFonts w:ascii="Arial"/>
                <w:sz w:val="21"/>
              </w:rPr>
            </w:pPr>
          </w:p>
        </w:tc>
        <w:tc>
          <w:tcPr>
            <w:tcW w:w="952" w:type="dxa"/>
            <w:vAlign w:val="top"/>
          </w:tcPr>
          <w:p w14:paraId="41CB5D9E">
            <w:pPr>
              <w:rPr>
                <w:rFonts w:ascii="Arial"/>
                <w:sz w:val="21"/>
              </w:rPr>
            </w:pPr>
          </w:p>
        </w:tc>
      </w:tr>
      <w:tr w14:paraId="26849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29" w:type="dxa"/>
            <w:vAlign w:val="top"/>
          </w:tcPr>
          <w:p w14:paraId="508D798B">
            <w:pPr>
              <w:pStyle w:val="14"/>
              <w:spacing w:before="154" w:line="183" w:lineRule="auto"/>
              <w:ind w:left="313"/>
            </w:pPr>
            <w:r>
              <w:t>2</w:t>
            </w:r>
          </w:p>
        </w:tc>
        <w:tc>
          <w:tcPr>
            <w:tcW w:w="1566" w:type="dxa"/>
            <w:vAlign w:val="top"/>
          </w:tcPr>
          <w:p w14:paraId="2CAA373F">
            <w:pPr>
              <w:rPr>
                <w:rFonts w:ascii="Arial"/>
                <w:sz w:val="21"/>
              </w:rPr>
            </w:pPr>
          </w:p>
        </w:tc>
        <w:tc>
          <w:tcPr>
            <w:tcW w:w="1464" w:type="dxa"/>
            <w:vAlign w:val="top"/>
          </w:tcPr>
          <w:p w14:paraId="63AA6471">
            <w:pPr>
              <w:rPr>
                <w:rFonts w:ascii="Arial"/>
                <w:sz w:val="21"/>
              </w:rPr>
            </w:pPr>
          </w:p>
        </w:tc>
        <w:tc>
          <w:tcPr>
            <w:tcW w:w="811" w:type="dxa"/>
            <w:vAlign w:val="top"/>
          </w:tcPr>
          <w:p w14:paraId="2FD0710A">
            <w:pPr>
              <w:rPr>
                <w:rFonts w:ascii="Arial"/>
                <w:sz w:val="21"/>
              </w:rPr>
            </w:pPr>
          </w:p>
        </w:tc>
        <w:tc>
          <w:tcPr>
            <w:tcW w:w="1004" w:type="dxa"/>
            <w:vAlign w:val="top"/>
          </w:tcPr>
          <w:p w14:paraId="418FE154">
            <w:pPr>
              <w:rPr>
                <w:rFonts w:ascii="Arial"/>
                <w:sz w:val="21"/>
              </w:rPr>
            </w:pPr>
          </w:p>
        </w:tc>
        <w:tc>
          <w:tcPr>
            <w:tcW w:w="1041" w:type="dxa"/>
            <w:vAlign w:val="top"/>
          </w:tcPr>
          <w:p w14:paraId="36A65593">
            <w:pPr>
              <w:rPr>
                <w:rFonts w:ascii="Arial"/>
                <w:sz w:val="21"/>
              </w:rPr>
            </w:pPr>
          </w:p>
        </w:tc>
        <w:tc>
          <w:tcPr>
            <w:tcW w:w="817" w:type="dxa"/>
            <w:vAlign w:val="top"/>
          </w:tcPr>
          <w:p w14:paraId="4A65D648">
            <w:pPr>
              <w:rPr>
                <w:rFonts w:ascii="Arial"/>
                <w:sz w:val="21"/>
              </w:rPr>
            </w:pPr>
          </w:p>
        </w:tc>
        <w:tc>
          <w:tcPr>
            <w:tcW w:w="855" w:type="dxa"/>
            <w:vAlign w:val="top"/>
          </w:tcPr>
          <w:p w14:paraId="3CAB6A96">
            <w:pPr>
              <w:rPr>
                <w:rFonts w:ascii="Arial"/>
                <w:sz w:val="21"/>
              </w:rPr>
            </w:pPr>
          </w:p>
        </w:tc>
        <w:tc>
          <w:tcPr>
            <w:tcW w:w="952" w:type="dxa"/>
            <w:vAlign w:val="top"/>
          </w:tcPr>
          <w:p w14:paraId="46E05073">
            <w:pPr>
              <w:rPr>
                <w:rFonts w:ascii="Arial"/>
                <w:sz w:val="21"/>
              </w:rPr>
            </w:pPr>
          </w:p>
        </w:tc>
      </w:tr>
      <w:tr w14:paraId="6B9EC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29" w:type="dxa"/>
            <w:vAlign w:val="top"/>
          </w:tcPr>
          <w:p w14:paraId="1E422512">
            <w:pPr>
              <w:pStyle w:val="14"/>
              <w:spacing w:before="155" w:line="183" w:lineRule="auto"/>
              <w:ind w:left="315"/>
            </w:pPr>
            <w:r>
              <w:t>3</w:t>
            </w:r>
          </w:p>
        </w:tc>
        <w:tc>
          <w:tcPr>
            <w:tcW w:w="1566" w:type="dxa"/>
            <w:vAlign w:val="top"/>
          </w:tcPr>
          <w:p w14:paraId="3FF42650">
            <w:pPr>
              <w:rPr>
                <w:rFonts w:ascii="Arial"/>
                <w:sz w:val="21"/>
              </w:rPr>
            </w:pPr>
          </w:p>
        </w:tc>
        <w:tc>
          <w:tcPr>
            <w:tcW w:w="1464" w:type="dxa"/>
            <w:vAlign w:val="top"/>
          </w:tcPr>
          <w:p w14:paraId="379EA234">
            <w:pPr>
              <w:rPr>
                <w:rFonts w:ascii="Arial"/>
                <w:sz w:val="21"/>
              </w:rPr>
            </w:pPr>
          </w:p>
        </w:tc>
        <w:tc>
          <w:tcPr>
            <w:tcW w:w="811" w:type="dxa"/>
            <w:vAlign w:val="top"/>
          </w:tcPr>
          <w:p w14:paraId="777E0063">
            <w:pPr>
              <w:rPr>
                <w:rFonts w:ascii="Arial"/>
                <w:sz w:val="21"/>
              </w:rPr>
            </w:pPr>
          </w:p>
        </w:tc>
        <w:tc>
          <w:tcPr>
            <w:tcW w:w="1004" w:type="dxa"/>
            <w:vAlign w:val="top"/>
          </w:tcPr>
          <w:p w14:paraId="78F66960">
            <w:pPr>
              <w:rPr>
                <w:rFonts w:ascii="Arial"/>
                <w:sz w:val="21"/>
              </w:rPr>
            </w:pPr>
          </w:p>
        </w:tc>
        <w:tc>
          <w:tcPr>
            <w:tcW w:w="1041" w:type="dxa"/>
            <w:vAlign w:val="top"/>
          </w:tcPr>
          <w:p w14:paraId="678E9E19">
            <w:pPr>
              <w:rPr>
                <w:rFonts w:ascii="Arial"/>
                <w:sz w:val="21"/>
              </w:rPr>
            </w:pPr>
          </w:p>
        </w:tc>
        <w:tc>
          <w:tcPr>
            <w:tcW w:w="817" w:type="dxa"/>
            <w:vAlign w:val="top"/>
          </w:tcPr>
          <w:p w14:paraId="0DD89FB8">
            <w:pPr>
              <w:rPr>
                <w:rFonts w:ascii="Arial"/>
                <w:sz w:val="21"/>
              </w:rPr>
            </w:pPr>
          </w:p>
        </w:tc>
        <w:tc>
          <w:tcPr>
            <w:tcW w:w="855" w:type="dxa"/>
            <w:vAlign w:val="top"/>
          </w:tcPr>
          <w:p w14:paraId="42E79E7F">
            <w:pPr>
              <w:rPr>
                <w:rFonts w:ascii="Arial"/>
                <w:sz w:val="21"/>
              </w:rPr>
            </w:pPr>
          </w:p>
        </w:tc>
        <w:tc>
          <w:tcPr>
            <w:tcW w:w="952" w:type="dxa"/>
            <w:vAlign w:val="top"/>
          </w:tcPr>
          <w:p w14:paraId="14B597ED">
            <w:pPr>
              <w:rPr>
                <w:rFonts w:ascii="Arial"/>
                <w:sz w:val="21"/>
              </w:rPr>
            </w:pPr>
          </w:p>
        </w:tc>
      </w:tr>
      <w:tr w14:paraId="67FE0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29" w:type="dxa"/>
            <w:vAlign w:val="top"/>
          </w:tcPr>
          <w:p w14:paraId="095D881D">
            <w:pPr>
              <w:pStyle w:val="14"/>
              <w:spacing w:before="156" w:line="183" w:lineRule="auto"/>
              <w:ind w:left="310"/>
            </w:pPr>
            <w:r>
              <w:t>4</w:t>
            </w:r>
          </w:p>
        </w:tc>
        <w:tc>
          <w:tcPr>
            <w:tcW w:w="1566" w:type="dxa"/>
            <w:vAlign w:val="top"/>
          </w:tcPr>
          <w:p w14:paraId="2CF1815D">
            <w:pPr>
              <w:rPr>
                <w:rFonts w:ascii="Arial"/>
                <w:sz w:val="21"/>
              </w:rPr>
            </w:pPr>
          </w:p>
        </w:tc>
        <w:tc>
          <w:tcPr>
            <w:tcW w:w="1464" w:type="dxa"/>
            <w:vAlign w:val="top"/>
          </w:tcPr>
          <w:p w14:paraId="2E52413E">
            <w:pPr>
              <w:rPr>
                <w:rFonts w:ascii="Arial"/>
                <w:sz w:val="21"/>
              </w:rPr>
            </w:pPr>
          </w:p>
        </w:tc>
        <w:tc>
          <w:tcPr>
            <w:tcW w:w="811" w:type="dxa"/>
            <w:vAlign w:val="top"/>
          </w:tcPr>
          <w:p w14:paraId="2C297DF5">
            <w:pPr>
              <w:rPr>
                <w:rFonts w:ascii="Arial"/>
                <w:sz w:val="21"/>
              </w:rPr>
            </w:pPr>
          </w:p>
        </w:tc>
        <w:tc>
          <w:tcPr>
            <w:tcW w:w="1004" w:type="dxa"/>
            <w:vAlign w:val="top"/>
          </w:tcPr>
          <w:p w14:paraId="68ADB5A0">
            <w:pPr>
              <w:rPr>
                <w:rFonts w:ascii="Arial"/>
                <w:sz w:val="21"/>
              </w:rPr>
            </w:pPr>
          </w:p>
        </w:tc>
        <w:tc>
          <w:tcPr>
            <w:tcW w:w="1041" w:type="dxa"/>
            <w:vAlign w:val="top"/>
          </w:tcPr>
          <w:p w14:paraId="6ABD5D48">
            <w:pPr>
              <w:rPr>
                <w:rFonts w:ascii="Arial"/>
                <w:sz w:val="21"/>
              </w:rPr>
            </w:pPr>
          </w:p>
        </w:tc>
        <w:tc>
          <w:tcPr>
            <w:tcW w:w="817" w:type="dxa"/>
            <w:vAlign w:val="top"/>
          </w:tcPr>
          <w:p w14:paraId="2A02BEBA">
            <w:pPr>
              <w:rPr>
                <w:rFonts w:ascii="Arial"/>
                <w:sz w:val="21"/>
              </w:rPr>
            </w:pPr>
          </w:p>
        </w:tc>
        <w:tc>
          <w:tcPr>
            <w:tcW w:w="855" w:type="dxa"/>
            <w:vAlign w:val="top"/>
          </w:tcPr>
          <w:p w14:paraId="4CF06C0B">
            <w:pPr>
              <w:rPr>
                <w:rFonts w:ascii="Arial"/>
                <w:sz w:val="21"/>
              </w:rPr>
            </w:pPr>
          </w:p>
        </w:tc>
        <w:tc>
          <w:tcPr>
            <w:tcW w:w="952" w:type="dxa"/>
            <w:vAlign w:val="top"/>
          </w:tcPr>
          <w:p w14:paraId="3A951F8F">
            <w:pPr>
              <w:rPr>
                <w:rFonts w:ascii="Arial"/>
                <w:sz w:val="21"/>
              </w:rPr>
            </w:pPr>
          </w:p>
        </w:tc>
      </w:tr>
      <w:tr w14:paraId="070EA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vAlign w:val="top"/>
          </w:tcPr>
          <w:p w14:paraId="6E5959C4">
            <w:pPr>
              <w:pStyle w:val="14"/>
              <w:spacing w:before="158" w:line="182" w:lineRule="auto"/>
              <w:ind w:left="315"/>
            </w:pPr>
            <w:r>
              <w:t>5</w:t>
            </w:r>
          </w:p>
        </w:tc>
        <w:tc>
          <w:tcPr>
            <w:tcW w:w="1566" w:type="dxa"/>
            <w:vAlign w:val="top"/>
          </w:tcPr>
          <w:p w14:paraId="50DB2080">
            <w:pPr>
              <w:rPr>
                <w:rFonts w:ascii="Arial"/>
                <w:sz w:val="21"/>
              </w:rPr>
            </w:pPr>
          </w:p>
        </w:tc>
        <w:tc>
          <w:tcPr>
            <w:tcW w:w="1464" w:type="dxa"/>
            <w:vAlign w:val="top"/>
          </w:tcPr>
          <w:p w14:paraId="76E9D113">
            <w:pPr>
              <w:rPr>
                <w:rFonts w:ascii="Arial"/>
                <w:sz w:val="21"/>
              </w:rPr>
            </w:pPr>
          </w:p>
        </w:tc>
        <w:tc>
          <w:tcPr>
            <w:tcW w:w="811" w:type="dxa"/>
            <w:vAlign w:val="top"/>
          </w:tcPr>
          <w:p w14:paraId="54E899F7">
            <w:pPr>
              <w:rPr>
                <w:rFonts w:ascii="Arial"/>
                <w:sz w:val="21"/>
              </w:rPr>
            </w:pPr>
          </w:p>
        </w:tc>
        <w:tc>
          <w:tcPr>
            <w:tcW w:w="1004" w:type="dxa"/>
            <w:vAlign w:val="top"/>
          </w:tcPr>
          <w:p w14:paraId="036A5557">
            <w:pPr>
              <w:rPr>
                <w:rFonts w:ascii="Arial"/>
                <w:sz w:val="21"/>
              </w:rPr>
            </w:pPr>
          </w:p>
        </w:tc>
        <w:tc>
          <w:tcPr>
            <w:tcW w:w="1041" w:type="dxa"/>
            <w:vAlign w:val="top"/>
          </w:tcPr>
          <w:p w14:paraId="6BD47F28">
            <w:pPr>
              <w:rPr>
                <w:rFonts w:ascii="Arial"/>
                <w:sz w:val="21"/>
              </w:rPr>
            </w:pPr>
          </w:p>
        </w:tc>
        <w:tc>
          <w:tcPr>
            <w:tcW w:w="817" w:type="dxa"/>
            <w:vAlign w:val="top"/>
          </w:tcPr>
          <w:p w14:paraId="7E52F450">
            <w:pPr>
              <w:rPr>
                <w:rFonts w:ascii="Arial"/>
                <w:sz w:val="21"/>
              </w:rPr>
            </w:pPr>
          </w:p>
        </w:tc>
        <w:tc>
          <w:tcPr>
            <w:tcW w:w="855" w:type="dxa"/>
            <w:vAlign w:val="top"/>
          </w:tcPr>
          <w:p w14:paraId="0F603912">
            <w:pPr>
              <w:rPr>
                <w:rFonts w:ascii="Arial"/>
                <w:sz w:val="21"/>
              </w:rPr>
            </w:pPr>
          </w:p>
        </w:tc>
        <w:tc>
          <w:tcPr>
            <w:tcW w:w="952" w:type="dxa"/>
            <w:vAlign w:val="top"/>
          </w:tcPr>
          <w:p w14:paraId="4B4831F8">
            <w:pPr>
              <w:rPr>
                <w:rFonts w:ascii="Arial"/>
                <w:sz w:val="21"/>
              </w:rPr>
            </w:pPr>
          </w:p>
        </w:tc>
      </w:tr>
      <w:tr w14:paraId="33FCB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4570" w:type="dxa"/>
            <w:gridSpan w:val="4"/>
            <w:vAlign w:val="top"/>
          </w:tcPr>
          <w:p w14:paraId="5A1ED0EE">
            <w:pPr>
              <w:spacing w:line="274" w:lineRule="auto"/>
              <w:rPr>
                <w:rFonts w:ascii="Arial"/>
                <w:sz w:val="21"/>
              </w:rPr>
            </w:pPr>
          </w:p>
          <w:p w14:paraId="243D90AA">
            <w:pPr>
              <w:pStyle w:val="14"/>
              <w:spacing w:before="78" w:line="219" w:lineRule="auto"/>
              <w:ind w:left="1814"/>
            </w:pPr>
            <w:r>
              <w:rPr>
                <w:spacing w:val="-3"/>
              </w:rPr>
              <w:t>合计金额</w:t>
            </w:r>
          </w:p>
        </w:tc>
        <w:tc>
          <w:tcPr>
            <w:tcW w:w="3717" w:type="dxa"/>
            <w:gridSpan w:val="4"/>
            <w:vAlign w:val="top"/>
          </w:tcPr>
          <w:p w14:paraId="461B79C5">
            <w:pPr>
              <w:pStyle w:val="14"/>
              <w:spacing w:before="121" w:line="313" w:lineRule="auto"/>
              <w:ind w:left="119" w:right="2945" w:firstLine="3"/>
            </w:pPr>
            <w:r>
              <w:rPr>
                <w:spacing w:val="-26"/>
              </w:rPr>
              <w:t>小写：</w:t>
            </w:r>
            <w:r>
              <w:t xml:space="preserve"> </w:t>
            </w:r>
            <w:r>
              <w:rPr>
                <w:spacing w:val="-25"/>
              </w:rPr>
              <w:t>大写：</w:t>
            </w:r>
          </w:p>
        </w:tc>
        <w:tc>
          <w:tcPr>
            <w:tcW w:w="952" w:type="dxa"/>
            <w:vAlign w:val="top"/>
          </w:tcPr>
          <w:p w14:paraId="00994C41">
            <w:pPr>
              <w:rPr>
                <w:rFonts w:ascii="Arial"/>
                <w:sz w:val="21"/>
              </w:rPr>
            </w:pPr>
          </w:p>
        </w:tc>
      </w:tr>
    </w:tbl>
    <w:p w14:paraId="5F71ACF2">
      <w:pPr>
        <w:spacing w:line="251" w:lineRule="auto"/>
        <w:rPr>
          <w:rFonts w:ascii="Arial"/>
          <w:sz w:val="21"/>
        </w:rPr>
      </w:pPr>
    </w:p>
    <w:p w14:paraId="2204EFFB">
      <w:pPr>
        <w:spacing w:line="252" w:lineRule="auto"/>
        <w:rPr>
          <w:rFonts w:ascii="Arial"/>
          <w:sz w:val="21"/>
        </w:rPr>
      </w:pPr>
    </w:p>
    <w:p w14:paraId="38AFF7F3">
      <w:pPr>
        <w:pStyle w:val="2"/>
        <w:spacing w:before="78" w:line="346" w:lineRule="auto"/>
        <w:ind w:left="6839" w:right="1035" w:hanging="2399"/>
      </w:pPr>
      <w:r>
        <w:rPr>
          <w:spacing w:val="-1"/>
        </w:rPr>
        <w:t>法定代表人或授权委托人（签字</w:t>
      </w:r>
      <w:r>
        <w:rPr>
          <w:spacing w:val="-63"/>
          <w:w w:val="98"/>
        </w:rPr>
        <w:t>）：</w:t>
      </w:r>
      <w:r>
        <w:rPr>
          <w:spacing w:val="2"/>
        </w:rPr>
        <w:t xml:space="preserve"> </w:t>
      </w:r>
      <w:r>
        <w:rPr>
          <w:spacing w:val="-12"/>
        </w:rPr>
        <w:t>供应商盖章：</w:t>
      </w:r>
    </w:p>
    <w:p w14:paraId="3E235202">
      <w:pPr>
        <w:pStyle w:val="2"/>
        <w:spacing w:before="36" w:line="219" w:lineRule="auto"/>
        <w:ind w:left="5956"/>
      </w:pPr>
      <w:r>
        <w:rPr>
          <w:spacing w:val="-8"/>
        </w:rPr>
        <w:t>20</w:t>
      </w:r>
      <w:r>
        <w:rPr>
          <w:spacing w:val="40"/>
          <w:u w:val="single" w:color="auto"/>
        </w:rPr>
        <w:t xml:space="preserve">   </w:t>
      </w:r>
      <w:r>
        <w:rPr>
          <w:spacing w:val="-109"/>
        </w:rPr>
        <w:t xml:space="preserve"> </w:t>
      </w:r>
      <w:r>
        <w:rPr>
          <w:spacing w:val="-8"/>
        </w:rPr>
        <w:t>年</w:t>
      </w:r>
      <w:r>
        <w:rPr>
          <w:spacing w:val="60"/>
          <w:u w:val="single" w:color="auto"/>
        </w:rPr>
        <w:t xml:space="preserve">  </w:t>
      </w:r>
      <w:r>
        <w:rPr>
          <w:spacing w:val="-105"/>
        </w:rPr>
        <w:t xml:space="preserve"> </w:t>
      </w:r>
      <w:r>
        <w:rPr>
          <w:spacing w:val="-8"/>
        </w:rPr>
        <w:t>月</w:t>
      </w:r>
      <w:r>
        <w:rPr>
          <w:spacing w:val="40"/>
          <w:u w:val="single" w:color="auto"/>
        </w:rPr>
        <w:t xml:space="preserve">   </w:t>
      </w:r>
      <w:r>
        <w:rPr>
          <w:spacing w:val="-69"/>
        </w:rPr>
        <w:t xml:space="preserve"> </w:t>
      </w:r>
      <w:r>
        <w:rPr>
          <w:spacing w:val="-8"/>
        </w:rPr>
        <w:t>日</w:t>
      </w:r>
    </w:p>
    <w:p w14:paraId="74D4B18F">
      <w:pPr>
        <w:pStyle w:val="2"/>
        <w:spacing w:before="183" w:line="218" w:lineRule="auto"/>
        <w:ind w:left="119"/>
      </w:pPr>
      <w:r>
        <w:rPr>
          <w:b/>
          <w:bCs/>
          <w:spacing w:val="-3"/>
        </w:rPr>
        <w:t>注：上述报价包含一切由供应商承担的费用。</w:t>
      </w:r>
    </w:p>
    <w:p w14:paraId="10CD7726">
      <w:pPr>
        <w:spacing w:line="218" w:lineRule="auto"/>
        <w:sectPr>
          <w:headerReference r:id="rId46" w:type="default"/>
          <w:footerReference r:id="rId47" w:type="default"/>
          <w:pgSz w:w="11906" w:h="16839"/>
          <w:pgMar w:top="1058" w:right="1331" w:bottom="1156" w:left="1330" w:header="855" w:footer="992" w:gutter="0"/>
          <w:pgNumType w:fmt="decimal"/>
          <w:cols w:space="720" w:num="1"/>
        </w:sectPr>
      </w:pPr>
    </w:p>
    <w:p w14:paraId="54981128">
      <w:pPr>
        <w:pStyle w:val="2"/>
        <w:spacing w:before="189" w:line="219" w:lineRule="auto"/>
        <w:ind w:left="147"/>
        <w:rPr>
          <w:sz w:val="30"/>
          <w:szCs w:val="30"/>
        </w:rPr>
      </w:pPr>
      <w:r>
        <w:rPr>
          <w:b/>
          <w:bCs/>
          <w:spacing w:val="-12"/>
          <w:sz w:val="30"/>
          <w:szCs w:val="30"/>
        </w:rPr>
        <w:t>附件六：</w:t>
      </w:r>
    </w:p>
    <w:p w14:paraId="330AAAF0">
      <w:pPr>
        <w:pStyle w:val="2"/>
        <w:spacing w:before="269" w:line="219" w:lineRule="auto"/>
        <w:ind w:left="3485"/>
        <w:rPr>
          <w:sz w:val="30"/>
          <w:szCs w:val="30"/>
        </w:rPr>
      </w:pPr>
      <w:r>
        <w:rPr>
          <w:b/>
          <w:bCs/>
          <w:spacing w:val="-5"/>
          <w:sz w:val="30"/>
          <w:szCs w:val="30"/>
        </w:rPr>
        <w:t>商务条款偏离表</w:t>
      </w:r>
    </w:p>
    <w:p w14:paraId="295567FC">
      <w:pPr>
        <w:spacing w:line="253" w:lineRule="auto"/>
        <w:rPr>
          <w:rFonts w:ascii="Arial"/>
          <w:sz w:val="21"/>
        </w:rPr>
      </w:pPr>
    </w:p>
    <w:p w14:paraId="5950EBC7">
      <w:pPr>
        <w:spacing w:line="253" w:lineRule="auto"/>
        <w:rPr>
          <w:rFonts w:ascii="Arial"/>
          <w:sz w:val="21"/>
        </w:rPr>
      </w:pPr>
    </w:p>
    <w:p w14:paraId="23EDFA2A">
      <w:pPr>
        <w:spacing w:line="254" w:lineRule="auto"/>
        <w:rPr>
          <w:rFonts w:ascii="Arial"/>
          <w:sz w:val="21"/>
        </w:rPr>
      </w:pPr>
    </w:p>
    <w:p w14:paraId="69284781">
      <w:pPr>
        <w:pStyle w:val="2"/>
        <w:spacing w:before="78" w:line="219" w:lineRule="auto"/>
        <w:ind w:left="126"/>
      </w:pPr>
      <w:r>
        <w:rPr>
          <w:spacing w:val="-1"/>
        </w:rPr>
        <w:t>项目名称：</w:t>
      </w:r>
      <w:r>
        <w:rPr>
          <w:spacing w:val="-1"/>
          <w:u w:val="single" w:color="auto"/>
        </w:rPr>
        <w:t xml:space="preserve">                         </w:t>
      </w:r>
      <w:r>
        <w:rPr>
          <w:spacing w:val="-107"/>
        </w:rPr>
        <w:t xml:space="preserve"> </w:t>
      </w:r>
      <w:r>
        <w:rPr>
          <w:spacing w:val="-1"/>
        </w:rPr>
        <w:t>项目编号/包</w:t>
      </w:r>
      <w:r>
        <w:rPr>
          <w:spacing w:val="-2"/>
        </w:rPr>
        <w:t>号：</w:t>
      </w:r>
      <w:r>
        <w:rPr>
          <w:spacing w:val="-2"/>
          <w:u w:val="single" w:color="auto"/>
        </w:rPr>
        <w:t xml:space="preserve">                        </w:t>
      </w:r>
    </w:p>
    <w:p w14:paraId="64DC52E7">
      <w:pPr>
        <w:spacing w:line="69" w:lineRule="exact"/>
      </w:pPr>
    </w:p>
    <w:tbl>
      <w:tblPr>
        <w:tblStyle w:val="13"/>
        <w:tblW w:w="9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0"/>
        <w:gridCol w:w="2090"/>
        <w:gridCol w:w="1739"/>
        <w:gridCol w:w="1769"/>
        <w:gridCol w:w="1903"/>
        <w:gridCol w:w="1040"/>
      </w:tblGrid>
      <w:tr w14:paraId="07037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930" w:type="dxa"/>
            <w:vAlign w:val="top"/>
          </w:tcPr>
          <w:p w14:paraId="2FC87354">
            <w:pPr>
              <w:spacing w:line="253" w:lineRule="auto"/>
              <w:rPr>
                <w:rFonts w:ascii="Arial"/>
                <w:sz w:val="21"/>
              </w:rPr>
            </w:pPr>
          </w:p>
          <w:p w14:paraId="199AF025">
            <w:pPr>
              <w:spacing w:line="254" w:lineRule="auto"/>
              <w:rPr>
                <w:rFonts w:ascii="Arial"/>
                <w:sz w:val="21"/>
              </w:rPr>
            </w:pPr>
          </w:p>
          <w:p w14:paraId="2082802D">
            <w:pPr>
              <w:pStyle w:val="14"/>
              <w:spacing w:before="78" w:line="221" w:lineRule="auto"/>
              <w:ind w:left="231"/>
            </w:pPr>
            <w:r>
              <w:rPr>
                <w:spacing w:val="-5"/>
              </w:rPr>
              <w:t>序号</w:t>
            </w:r>
          </w:p>
        </w:tc>
        <w:tc>
          <w:tcPr>
            <w:tcW w:w="2090" w:type="dxa"/>
            <w:vAlign w:val="top"/>
          </w:tcPr>
          <w:p w14:paraId="226B0F8A">
            <w:pPr>
              <w:spacing w:line="274" w:lineRule="auto"/>
              <w:rPr>
                <w:rFonts w:ascii="Arial"/>
                <w:sz w:val="21"/>
              </w:rPr>
            </w:pPr>
          </w:p>
          <w:p w14:paraId="242A618E">
            <w:pPr>
              <w:pStyle w:val="14"/>
              <w:spacing w:before="78" w:line="219" w:lineRule="auto"/>
              <w:ind w:left="210"/>
            </w:pPr>
            <w:r>
              <w:rPr>
                <w:spacing w:val="-2"/>
              </w:rPr>
              <w:t>招标文件条目号</w:t>
            </w:r>
          </w:p>
          <w:p w14:paraId="3B6F1A96">
            <w:pPr>
              <w:pStyle w:val="14"/>
              <w:spacing w:before="183" w:line="221" w:lineRule="auto"/>
              <w:ind w:left="581"/>
            </w:pPr>
            <w:r>
              <w:rPr>
                <w:spacing w:val="-6"/>
              </w:rPr>
              <w:t>（页码）</w:t>
            </w:r>
          </w:p>
        </w:tc>
        <w:tc>
          <w:tcPr>
            <w:tcW w:w="1739" w:type="dxa"/>
            <w:vAlign w:val="top"/>
          </w:tcPr>
          <w:p w14:paraId="0A78AAF9">
            <w:pPr>
              <w:spacing w:line="273" w:lineRule="auto"/>
              <w:rPr>
                <w:rFonts w:ascii="Arial"/>
                <w:sz w:val="21"/>
              </w:rPr>
            </w:pPr>
          </w:p>
          <w:p w14:paraId="02657D72">
            <w:pPr>
              <w:pStyle w:val="14"/>
              <w:spacing w:before="78" w:line="347" w:lineRule="auto"/>
              <w:ind w:left="401" w:right="266" w:hanging="123"/>
            </w:pPr>
            <w:r>
              <w:rPr>
                <w:spacing w:val="-3"/>
              </w:rPr>
              <w:t>招标文件的</w:t>
            </w:r>
            <w:r>
              <w:rPr>
                <w:spacing w:val="3"/>
              </w:rPr>
              <w:t xml:space="preserve"> </w:t>
            </w:r>
            <w:r>
              <w:rPr>
                <w:spacing w:val="-4"/>
              </w:rPr>
              <w:t>商务条款</w:t>
            </w:r>
          </w:p>
        </w:tc>
        <w:tc>
          <w:tcPr>
            <w:tcW w:w="1769" w:type="dxa"/>
            <w:vAlign w:val="top"/>
          </w:tcPr>
          <w:p w14:paraId="583892C0">
            <w:pPr>
              <w:spacing w:line="273" w:lineRule="auto"/>
              <w:rPr>
                <w:rFonts w:ascii="Arial"/>
                <w:sz w:val="21"/>
              </w:rPr>
            </w:pPr>
          </w:p>
          <w:p w14:paraId="3CB80F24">
            <w:pPr>
              <w:pStyle w:val="14"/>
              <w:spacing w:before="78" w:line="347" w:lineRule="auto"/>
              <w:ind w:left="416" w:right="280" w:hanging="121"/>
            </w:pPr>
            <w:r>
              <w:rPr>
                <w:spacing w:val="-3"/>
              </w:rPr>
              <w:t>投标文件的</w:t>
            </w:r>
            <w:r>
              <w:rPr>
                <w:spacing w:val="1"/>
              </w:rPr>
              <w:t xml:space="preserve"> </w:t>
            </w:r>
            <w:r>
              <w:rPr>
                <w:spacing w:val="-4"/>
              </w:rPr>
              <w:t>商务条款</w:t>
            </w:r>
          </w:p>
        </w:tc>
        <w:tc>
          <w:tcPr>
            <w:tcW w:w="1903" w:type="dxa"/>
            <w:vAlign w:val="top"/>
          </w:tcPr>
          <w:p w14:paraId="2F14C27A">
            <w:pPr>
              <w:pStyle w:val="14"/>
              <w:spacing w:before="119" w:line="329" w:lineRule="auto"/>
              <w:ind w:left="179" w:right="107" w:hanging="60"/>
              <w:jc w:val="both"/>
            </w:pPr>
            <w:r>
              <w:rPr>
                <w:spacing w:val="-2"/>
              </w:rPr>
              <w:t>偏离情况（据实</w:t>
            </w:r>
            <w:r>
              <w:rPr>
                <w:spacing w:val="3"/>
              </w:rPr>
              <w:t xml:space="preserve"> </w:t>
            </w:r>
            <w:r>
              <w:rPr>
                <w:spacing w:val="-2"/>
              </w:rPr>
              <w:t>填写正偏离/负</w:t>
            </w:r>
            <w:r>
              <w:rPr>
                <w:spacing w:val="3"/>
              </w:rPr>
              <w:t xml:space="preserve"> </w:t>
            </w:r>
            <w:r>
              <w:rPr>
                <w:spacing w:val="-2"/>
              </w:rPr>
              <w:t>偏离/无偏离）</w:t>
            </w:r>
          </w:p>
        </w:tc>
        <w:tc>
          <w:tcPr>
            <w:tcW w:w="1040" w:type="dxa"/>
            <w:vAlign w:val="top"/>
          </w:tcPr>
          <w:p w14:paraId="35BFD57E">
            <w:pPr>
              <w:spacing w:line="254" w:lineRule="auto"/>
              <w:rPr>
                <w:rFonts w:ascii="Arial"/>
                <w:sz w:val="21"/>
              </w:rPr>
            </w:pPr>
          </w:p>
          <w:p w14:paraId="495247C4">
            <w:pPr>
              <w:spacing w:line="254" w:lineRule="auto"/>
              <w:rPr>
                <w:rFonts w:ascii="Arial"/>
                <w:sz w:val="21"/>
              </w:rPr>
            </w:pPr>
          </w:p>
          <w:p w14:paraId="177B3AF6">
            <w:pPr>
              <w:pStyle w:val="14"/>
              <w:spacing w:before="78" w:line="219" w:lineRule="auto"/>
              <w:ind w:left="290"/>
            </w:pPr>
            <w:r>
              <w:rPr>
                <w:spacing w:val="-7"/>
              </w:rPr>
              <w:t>说明</w:t>
            </w:r>
          </w:p>
        </w:tc>
      </w:tr>
      <w:tr w14:paraId="37828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30" w:type="dxa"/>
            <w:vAlign w:val="top"/>
          </w:tcPr>
          <w:p w14:paraId="48B4CC5A">
            <w:pPr>
              <w:rPr>
                <w:rFonts w:ascii="Arial"/>
                <w:sz w:val="21"/>
              </w:rPr>
            </w:pPr>
          </w:p>
        </w:tc>
        <w:tc>
          <w:tcPr>
            <w:tcW w:w="2090" w:type="dxa"/>
            <w:vAlign w:val="top"/>
          </w:tcPr>
          <w:p w14:paraId="451CD0E8">
            <w:pPr>
              <w:rPr>
                <w:rFonts w:ascii="Arial"/>
                <w:sz w:val="21"/>
              </w:rPr>
            </w:pPr>
          </w:p>
        </w:tc>
        <w:tc>
          <w:tcPr>
            <w:tcW w:w="1739" w:type="dxa"/>
            <w:vAlign w:val="top"/>
          </w:tcPr>
          <w:p w14:paraId="5DBFBC96">
            <w:pPr>
              <w:rPr>
                <w:rFonts w:ascii="Arial"/>
                <w:sz w:val="21"/>
              </w:rPr>
            </w:pPr>
          </w:p>
        </w:tc>
        <w:tc>
          <w:tcPr>
            <w:tcW w:w="1769" w:type="dxa"/>
            <w:vAlign w:val="top"/>
          </w:tcPr>
          <w:p w14:paraId="7F1D930D">
            <w:pPr>
              <w:rPr>
                <w:rFonts w:ascii="Arial"/>
                <w:sz w:val="21"/>
              </w:rPr>
            </w:pPr>
          </w:p>
        </w:tc>
        <w:tc>
          <w:tcPr>
            <w:tcW w:w="1903" w:type="dxa"/>
            <w:vAlign w:val="top"/>
          </w:tcPr>
          <w:p w14:paraId="5C1EDF43">
            <w:pPr>
              <w:rPr>
                <w:rFonts w:ascii="Arial"/>
                <w:sz w:val="21"/>
              </w:rPr>
            </w:pPr>
          </w:p>
        </w:tc>
        <w:tc>
          <w:tcPr>
            <w:tcW w:w="1040" w:type="dxa"/>
            <w:vAlign w:val="top"/>
          </w:tcPr>
          <w:p w14:paraId="2DEBF3B6">
            <w:pPr>
              <w:rPr>
                <w:rFonts w:ascii="Arial"/>
                <w:sz w:val="21"/>
              </w:rPr>
            </w:pPr>
          </w:p>
        </w:tc>
      </w:tr>
      <w:tr w14:paraId="1C68C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30" w:type="dxa"/>
            <w:vAlign w:val="top"/>
          </w:tcPr>
          <w:p w14:paraId="719F0A1B">
            <w:pPr>
              <w:rPr>
                <w:rFonts w:ascii="Arial"/>
                <w:sz w:val="21"/>
              </w:rPr>
            </w:pPr>
          </w:p>
        </w:tc>
        <w:tc>
          <w:tcPr>
            <w:tcW w:w="2090" w:type="dxa"/>
            <w:vAlign w:val="top"/>
          </w:tcPr>
          <w:p w14:paraId="36EEBDF3">
            <w:pPr>
              <w:rPr>
                <w:rFonts w:ascii="Arial"/>
                <w:sz w:val="21"/>
              </w:rPr>
            </w:pPr>
          </w:p>
        </w:tc>
        <w:tc>
          <w:tcPr>
            <w:tcW w:w="1739" w:type="dxa"/>
            <w:vAlign w:val="top"/>
          </w:tcPr>
          <w:p w14:paraId="1459DBD3">
            <w:pPr>
              <w:rPr>
                <w:rFonts w:ascii="Arial"/>
                <w:sz w:val="21"/>
              </w:rPr>
            </w:pPr>
          </w:p>
        </w:tc>
        <w:tc>
          <w:tcPr>
            <w:tcW w:w="1769" w:type="dxa"/>
            <w:vAlign w:val="top"/>
          </w:tcPr>
          <w:p w14:paraId="512E752E">
            <w:pPr>
              <w:rPr>
                <w:rFonts w:ascii="Arial"/>
                <w:sz w:val="21"/>
              </w:rPr>
            </w:pPr>
          </w:p>
        </w:tc>
        <w:tc>
          <w:tcPr>
            <w:tcW w:w="1903" w:type="dxa"/>
            <w:vAlign w:val="top"/>
          </w:tcPr>
          <w:p w14:paraId="2F226A7F">
            <w:pPr>
              <w:rPr>
                <w:rFonts w:ascii="Arial"/>
                <w:sz w:val="21"/>
              </w:rPr>
            </w:pPr>
          </w:p>
        </w:tc>
        <w:tc>
          <w:tcPr>
            <w:tcW w:w="1040" w:type="dxa"/>
            <w:vAlign w:val="top"/>
          </w:tcPr>
          <w:p w14:paraId="162DAEB5">
            <w:pPr>
              <w:rPr>
                <w:rFonts w:ascii="Arial"/>
                <w:sz w:val="21"/>
              </w:rPr>
            </w:pPr>
          </w:p>
        </w:tc>
      </w:tr>
      <w:tr w14:paraId="65208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30" w:type="dxa"/>
            <w:vAlign w:val="top"/>
          </w:tcPr>
          <w:p w14:paraId="1855FE36">
            <w:pPr>
              <w:rPr>
                <w:rFonts w:ascii="Arial"/>
                <w:sz w:val="21"/>
              </w:rPr>
            </w:pPr>
          </w:p>
        </w:tc>
        <w:tc>
          <w:tcPr>
            <w:tcW w:w="2090" w:type="dxa"/>
            <w:vAlign w:val="top"/>
          </w:tcPr>
          <w:p w14:paraId="4DBEA047">
            <w:pPr>
              <w:rPr>
                <w:rFonts w:ascii="Arial"/>
                <w:sz w:val="21"/>
              </w:rPr>
            </w:pPr>
          </w:p>
        </w:tc>
        <w:tc>
          <w:tcPr>
            <w:tcW w:w="1739" w:type="dxa"/>
            <w:vAlign w:val="top"/>
          </w:tcPr>
          <w:p w14:paraId="29A491AF">
            <w:pPr>
              <w:rPr>
                <w:rFonts w:ascii="Arial"/>
                <w:sz w:val="21"/>
              </w:rPr>
            </w:pPr>
          </w:p>
        </w:tc>
        <w:tc>
          <w:tcPr>
            <w:tcW w:w="1769" w:type="dxa"/>
            <w:vAlign w:val="top"/>
          </w:tcPr>
          <w:p w14:paraId="707496DA">
            <w:pPr>
              <w:rPr>
                <w:rFonts w:ascii="Arial"/>
                <w:sz w:val="21"/>
              </w:rPr>
            </w:pPr>
          </w:p>
        </w:tc>
        <w:tc>
          <w:tcPr>
            <w:tcW w:w="1903" w:type="dxa"/>
            <w:vAlign w:val="top"/>
          </w:tcPr>
          <w:p w14:paraId="099DB644">
            <w:pPr>
              <w:rPr>
                <w:rFonts w:ascii="Arial"/>
                <w:sz w:val="21"/>
              </w:rPr>
            </w:pPr>
          </w:p>
        </w:tc>
        <w:tc>
          <w:tcPr>
            <w:tcW w:w="1040" w:type="dxa"/>
            <w:vAlign w:val="top"/>
          </w:tcPr>
          <w:p w14:paraId="1A475114">
            <w:pPr>
              <w:rPr>
                <w:rFonts w:ascii="Arial"/>
                <w:sz w:val="21"/>
              </w:rPr>
            </w:pPr>
          </w:p>
        </w:tc>
      </w:tr>
      <w:tr w14:paraId="78D9F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30" w:type="dxa"/>
            <w:vAlign w:val="top"/>
          </w:tcPr>
          <w:p w14:paraId="7D3F3725">
            <w:pPr>
              <w:rPr>
                <w:rFonts w:ascii="Arial"/>
                <w:sz w:val="21"/>
              </w:rPr>
            </w:pPr>
          </w:p>
        </w:tc>
        <w:tc>
          <w:tcPr>
            <w:tcW w:w="2090" w:type="dxa"/>
            <w:vAlign w:val="top"/>
          </w:tcPr>
          <w:p w14:paraId="7C508B0A">
            <w:pPr>
              <w:rPr>
                <w:rFonts w:ascii="Arial"/>
                <w:sz w:val="21"/>
              </w:rPr>
            </w:pPr>
          </w:p>
        </w:tc>
        <w:tc>
          <w:tcPr>
            <w:tcW w:w="1739" w:type="dxa"/>
            <w:vAlign w:val="top"/>
          </w:tcPr>
          <w:p w14:paraId="58CA097D">
            <w:pPr>
              <w:rPr>
                <w:rFonts w:ascii="Arial"/>
                <w:sz w:val="21"/>
              </w:rPr>
            </w:pPr>
          </w:p>
        </w:tc>
        <w:tc>
          <w:tcPr>
            <w:tcW w:w="1769" w:type="dxa"/>
            <w:vAlign w:val="top"/>
          </w:tcPr>
          <w:p w14:paraId="53255057">
            <w:pPr>
              <w:rPr>
                <w:rFonts w:ascii="Arial"/>
                <w:sz w:val="21"/>
              </w:rPr>
            </w:pPr>
          </w:p>
        </w:tc>
        <w:tc>
          <w:tcPr>
            <w:tcW w:w="1903" w:type="dxa"/>
            <w:vAlign w:val="top"/>
          </w:tcPr>
          <w:p w14:paraId="3B8FB069">
            <w:pPr>
              <w:rPr>
                <w:rFonts w:ascii="Arial"/>
                <w:sz w:val="21"/>
              </w:rPr>
            </w:pPr>
          </w:p>
        </w:tc>
        <w:tc>
          <w:tcPr>
            <w:tcW w:w="1040" w:type="dxa"/>
            <w:vAlign w:val="top"/>
          </w:tcPr>
          <w:p w14:paraId="445E91DE">
            <w:pPr>
              <w:rPr>
                <w:rFonts w:ascii="Arial"/>
                <w:sz w:val="21"/>
              </w:rPr>
            </w:pPr>
          </w:p>
        </w:tc>
      </w:tr>
      <w:tr w14:paraId="37E92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30" w:type="dxa"/>
            <w:vAlign w:val="top"/>
          </w:tcPr>
          <w:p w14:paraId="6AFF8C6C">
            <w:pPr>
              <w:rPr>
                <w:rFonts w:ascii="Arial"/>
                <w:sz w:val="21"/>
              </w:rPr>
            </w:pPr>
          </w:p>
        </w:tc>
        <w:tc>
          <w:tcPr>
            <w:tcW w:w="2090" w:type="dxa"/>
            <w:vAlign w:val="top"/>
          </w:tcPr>
          <w:p w14:paraId="38F0AA7B">
            <w:pPr>
              <w:rPr>
                <w:rFonts w:ascii="Arial"/>
                <w:sz w:val="21"/>
              </w:rPr>
            </w:pPr>
          </w:p>
        </w:tc>
        <w:tc>
          <w:tcPr>
            <w:tcW w:w="1739" w:type="dxa"/>
            <w:vAlign w:val="top"/>
          </w:tcPr>
          <w:p w14:paraId="0FDC36ED">
            <w:pPr>
              <w:rPr>
                <w:rFonts w:ascii="Arial"/>
                <w:sz w:val="21"/>
              </w:rPr>
            </w:pPr>
          </w:p>
        </w:tc>
        <w:tc>
          <w:tcPr>
            <w:tcW w:w="1769" w:type="dxa"/>
            <w:vAlign w:val="top"/>
          </w:tcPr>
          <w:p w14:paraId="0EF99CA6">
            <w:pPr>
              <w:rPr>
                <w:rFonts w:ascii="Arial"/>
                <w:sz w:val="21"/>
              </w:rPr>
            </w:pPr>
          </w:p>
        </w:tc>
        <w:tc>
          <w:tcPr>
            <w:tcW w:w="1903" w:type="dxa"/>
            <w:vAlign w:val="top"/>
          </w:tcPr>
          <w:p w14:paraId="3452A9E0">
            <w:pPr>
              <w:rPr>
                <w:rFonts w:ascii="Arial"/>
                <w:sz w:val="21"/>
              </w:rPr>
            </w:pPr>
          </w:p>
        </w:tc>
        <w:tc>
          <w:tcPr>
            <w:tcW w:w="1040" w:type="dxa"/>
            <w:vAlign w:val="top"/>
          </w:tcPr>
          <w:p w14:paraId="7DC04EC5">
            <w:pPr>
              <w:rPr>
                <w:rFonts w:ascii="Arial"/>
                <w:sz w:val="21"/>
              </w:rPr>
            </w:pPr>
          </w:p>
        </w:tc>
      </w:tr>
      <w:tr w14:paraId="7188F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30" w:type="dxa"/>
            <w:vAlign w:val="top"/>
          </w:tcPr>
          <w:p w14:paraId="40A560FB">
            <w:pPr>
              <w:rPr>
                <w:rFonts w:ascii="Arial"/>
                <w:sz w:val="21"/>
              </w:rPr>
            </w:pPr>
          </w:p>
        </w:tc>
        <w:tc>
          <w:tcPr>
            <w:tcW w:w="2090" w:type="dxa"/>
            <w:vAlign w:val="top"/>
          </w:tcPr>
          <w:p w14:paraId="6FE48FAB">
            <w:pPr>
              <w:rPr>
                <w:rFonts w:ascii="Arial"/>
                <w:sz w:val="21"/>
              </w:rPr>
            </w:pPr>
          </w:p>
        </w:tc>
        <w:tc>
          <w:tcPr>
            <w:tcW w:w="1739" w:type="dxa"/>
            <w:vAlign w:val="top"/>
          </w:tcPr>
          <w:p w14:paraId="6034F517">
            <w:pPr>
              <w:rPr>
                <w:rFonts w:ascii="Arial"/>
                <w:sz w:val="21"/>
              </w:rPr>
            </w:pPr>
          </w:p>
        </w:tc>
        <w:tc>
          <w:tcPr>
            <w:tcW w:w="1769" w:type="dxa"/>
            <w:vAlign w:val="top"/>
          </w:tcPr>
          <w:p w14:paraId="1970366E">
            <w:pPr>
              <w:rPr>
                <w:rFonts w:ascii="Arial"/>
                <w:sz w:val="21"/>
              </w:rPr>
            </w:pPr>
          </w:p>
        </w:tc>
        <w:tc>
          <w:tcPr>
            <w:tcW w:w="1903" w:type="dxa"/>
            <w:vAlign w:val="top"/>
          </w:tcPr>
          <w:p w14:paraId="11D13F9C">
            <w:pPr>
              <w:rPr>
                <w:rFonts w:ascii="Arial"/>
                <w:sz w:val="21"/>
              </w:rPr>
            </w:pPr>
          </w:p>
        </w:tc>
        <w:tc>
          <w:tcPr>
            <w:tcW w:w="1040" w:type="dxa"/>
            <w:vAlign w:val="top"/>
          </w:tcPr>
          <w:p w14:paraId="7346ACCF">
            <w:pPr>
              <w:rPr>
                <w:rFonts w:ascii="Arial"/>
                <w:sz w:val="21"/>
              </w:rPr>
            </w:pPr>
          </w:p>
        </w:tc>
      </w:tr>
      <w:tr w14:paraId="67A9D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30" w:type="dxa"/>
            <w:vAlign w:val="top"/>
          </w:tcPr>
          <w:p w14:paraId="66CB0D8D">
            <w:pPr>
              <w:rPr>
                <w:rFonts w:ascii="Arial"/>
                <w:sz w:val="21"/>
              </w:rPr>
            </w:pPr>
          </w:p>
        </w:tc>
        <w:tc>
          <w:tcPr>
            <w:tcW w:w="2090" w:type="dxa"/>
            <w:vAlign w:val="top"/>
          </w:tcPr>
          <w:p w14:paraId="34798A78">
            <w:pPr>
              <w:rPr>
                <w:rFonts w:ascii="Arial"/>
                <w:sz w:val="21"/>
              </w:rPr>
            </w:pPr>
          </w:p>
        </w:tc>
        <w:tc>
          <w:tcPr>
            <w:tcW w:w="1739" w:type="dxa"/>
            <w:vAlign w:val="top"/>
          </w:tcPr>
          <w:p w14:paraId="4FD1C238">
            <w:pPr>
              <w:rPr>
                <w:rFonts w:ascii="Arial"/>
                <w:sz w:val="21"/>
              </w:rPr>
            </w:pPr>
          </w:p>
        </w:tc>
        <w:tc>
          <w:tcPr>
            <w:tcW w:w="1769" w:type="dxa"/>
            <w:vAlign w:val="top"/>
          </w:tcPr>
          <w:p w14:paraId="69A7FE3A">
            <w:pPr>
              <w:rPr>
                <w:rFonts w:ascii="Arial"/>
                <w:sz w:val="21"/>
              </w:rPr>
            </w:pPr>
          </w:p>
        </w:tc>
        <w:tc>
          <w:tcPr>
            <w:tcW w:w="1903" w:type="dxa"/>
            <w:vAlign w:val="top"/>
          </w:tcPr>
          <w:p w14:paraId="7A56947F">
            <w:pPr>
              <w:rPr>
                <w:rFonts w:ascii="Arial"/>
                <w:sz w:val="21"/>
              </w:rPr>
            </w:pPr>
          </w:p>
        </w:tc>
        <w:tc>
          <w:tcPr>
            <w:tcW w:w="1040" w:type="dxa"/>
            <w:vAlign w:val="top"/>
          </w:tcPr>
          <w:p w14:paraId="2417C6B7">
            <w:pPr>
              <w:rPr>
                <w:rFonts w:ascii="Arial"/>
                <w:sz w:val="21"/>
              </w:rPr>
            </w:pPr>
          </w:p>
        </w:tc>
      </w:tr>
    </w:tbl>
    <w:p w14:paraId="0E9A9CC4">
      <w:pPr>
        <w:spacing w:line="346" w:lineRule="auto"/>
        <w:rPr>
          <w:rFonts w:ascii="Arial"/>
          <w:sz w:val="21"/>
        </w:rPr>
      </w:pPr>
    </w:p>
    <w:p w14:paraId="6FF12B9B">
      <w:pPr>
        <w:pStyle w:val="2"/>
        <w:spacing w:before="78" w:line="347" w:lineRule="auto"/>
        <w:ind w:left="110" w:right="603" w:firstLine="11"/>
      </w:pPr>
      <w:r>
        <w:t>注：1、本偏离表是评审最重要的直观材料和主要依据，供</w:t>
      </w:r>
      <w:r>
        <w:rPr>
          <w:spacing w:val="-1"/>
        </w:rPr>
        <w:t>应商应当予以填写，表中</w:t>
      </w:r>
      <w:r>
        <w:t xml:space="preserve"> </w:t>
      </w:r>
      <w:r>
        <w:rPr>
          <w:spacing w:val="-9"/>
        </w:rPr>
        <w:t>“偏离情况</w:t>
      </w:r>
      <w:r>
        <w:rPr>
          <w:spacing w:val="-83"/>
        </w:rPr>
        <w:t xml:space="preserve"> </w:t>
      </w:r>
      <w:r>
        <w:rPr>
          <w:spacing w:val="-9"/>
        </w:rPr>
        <w:t>”一栏应填以“正偏离</w:t>
      </w:r>
      <w:r>
        <w:rPr>
          <w:spacing w:val="-88"/>
        </w:rPr>
        <w:t xml:space="preserve"> </w:t>
      </w:r>
      <w:r>
        <w:rPr>
          <w:spacing w:val="-9"/>
        </w:rPr>
        <w:t>”或“负偏离</w:t>
      </w:r>
      <w:r>
        <w:rPr>
          <w:spacing w:val="-88"/>
        </w:rPr>
        <w:t xml:space="preserve"> </w:t>
      </w:r>
      <w:r>
        <w:rPr>
          <w:spacing w:val="-9"/>
        </w:rPr>
        <w:t>”“无偏离</w:t>
      </w:r>
      <w:r>
        <w:rPr>
          <w:spacing w:val="-88"/>
        </w:rPr>
        <w:t xml:space="preserve"> </w:t>
      </w:r>
      <w:r>
        <w:rPr>
          <w:spacing w:val="-9"/>
        </w:rPr>
        <w:t>”。</w:t>
      </w:r>
    </w:p>
    <w:p w14:paraId="54526A5F">
      <w:pPr>
        <w:pStyle w:val="2"/>
        <w:spacing w:before="34" w:line="219" w:lineRule="auto"/>
        <w:ind w:left="125"/>
        <w:outlineLvl w:val="1"/>
      </w:pPr>
      <w:r>
        <w:rPr>
          <w:spacing w:val="-1"/>
        </w:rPr>
        <w:t>2、供应商对于偏离情况请如实列出，否则根据情况承担相应后果。</w:t>
      </w:r>
    </w:p>
    <w:p w14:paraId="4DE5A5E9">
      <w:pPr>
        <w:spacing w:line="284" w:lineRule="auto"/>
        <w:rPr>
          <w:rFonts w:ascii="Arial"/>
          <w:sz w:val="21"/>
        </w:rPr>
      </w:pPr>
    </w:p>
    <w:p w14:paraId="72EC8B88">
      <w:pPr>
        <w:spacing w:line="285" w:lineRule="auto"/>
        <w:rPr>
          <w:rFonts w:ascii="Arial"/>
          <w:sz w:val="21"/>
        </w:rPr>
      </w:pPr>
    </w:p>
    <w:p w14:paraId="65476466">
      <w:pPr>
        <w:pStyle w:val="2"/>
        <w:spacing w:before="78" w:line="219" w:lineRule="auto"/>
        <w:ind w:left="122"/>
      </w:pPr>
      <w:r>
        <w:rPr>
          <w:spacing w:val="-1"/>
        </w:rPr>
        <w:t>供应商授权代表（签字</w:t>
      </w:r>
      <w:r>
        <w:rPr>
          <w:spacing w:val="-62"/>
          <w:w w:val="97"/>
        </w:rPr>
        <w:t>）：</w:t>
      </w:r>
      <w:r>
        <w:rPr>
          <w:spacing w:val="18"/>
        </w:rPr>
        <w:t xml:space="preserve"> </w:t>
      </w:r>
      <w:r>
        <w:rPr>
          <w:u w:val="single" w:color="auto"/>
        </w:rPr>
        <w:t xml:space="preserve">             </w:t>
      </w:r>
    </w:p>
    <w:p w14:paraId="2FDBF0C0">
      <w:pPr>
        <w:pStyle w:val="2"/>
        <w:spacing w:before="183" w:line="219" w:lineRule="auto"/>
        <w:ind w:left="122"/>
      </w:pPr>
      <w:r>
        <w:rPr>
          <w:spacing w:val="-2"/>
        </w:rPr>
        <w:t>供应商名称（盖章</w:t>
      </w:r>
      <w:r>
        <w:rPr>
          <w:spacing w:val="-58"/>
        </w:rPr>
        <w:t>）：</w:t>
      </w:r>
      <w:r>
        <w:rPr>
          <w:u w:val="single" w:color="auto"/>
        </w:rPr>
        <w:t xml:space="preserve">               </w:t>
      </w:r>
    </w:p>
    <w:p w14:paraId="17BD666F">
      <w:pPr>
        <w:pStyle w:val="2"/>
        <w:spacing w:before="184" w:line="220" w:lineRule="auto"/>
        <w:ind w:left="163"/>
        <w:outlineLvl w:val="2"/>
      </w:pPr>
      <w:r>
        <w:rPr>
          <w:spacing w:val="-31"/>
        </w:rPr>
        <w:t>日</w:t>
      </w:r>
      <w:r>
        <w:rPr>
          <w:spacing w:val="3"/>
        </w:rPr>
        <w:t xml:space="preserve">    </w:t>
      </w:r>
      <w:r>
        <w:rPr>
          <w:spacing w:val="-31"/>
        </w:rPr>
        <w:t>期</w:t>
      </w:r>
      <w:r>
        <w:rPr>
          <w:spacing w:val="-90"/>
        </w:rPr>
        <w:t xml:space="preserve"> </w:t>
      </w:r>
      <w:r>
        <w:rPr>
          <w:spacing w:val="-31"/>
        </w:rPr>
        <w:t>：</w:t>
      </w:r>
      <w:r>
        <w:rPr>
          <w:u w:val="single" w:color="auto"/>
        </w:rPr>
        <w:t xml:space="preserve">                   </w:t>
      </w:r>
    </w:p>
    <w:p w14:paraId="01DA9BAF">
      <w:pPr>
        <w:spacing w:line="220" w:lineRule="auto"/>
        <w:sectPr>
          <w:headerReference r:id="rId48" w:type="default"/>
          <w:footerReference r:id="rId49" w:type="default"/>
          <w:pgSz w:w="11906" w:h="16839"/>
          <w:pgMar w:top="1058" w:right="1102" w:bottom="1155" w:left="1327" w:header="855" w:footer="992" w:gutter="0"/>
          <w:pgNumType w:fmt="decimal"/>
          <w:cols w:space="720" w:num="1"/>
        </w:sectPr>
      </w:pPr>
    </w:p>
    <w:p w14:paraId="46673C72">
      <w:pPr>
        <w:pStyle w:val="2"/>
        <w:spacing w:before="189" w:line="219" w:lineRule="auto"/>
        <w:ind w:left="147"/>
        <w:rPr>
          <w:sz w:val="30"/>
          <w:szCs w:val="30"/>
        </w:rPr>
      </w:pPr>
      <w:r>
        <w:rPr>
          <w:b/>
          <w:bCs/>
          <w:spacing w:val="-15"/>
          <w:sz w:val="30"/>
          <w:szCs w:val="30"/>
        </w:rPr>
        <w:t>附件七</w:t>
      </w:r>
    </w:p>
    <w:p w14:paraId="7E151ED1">
      <w:pPr>
        <w:pStyle w:val="2"/>
        <w:spacing w:before="268" w:line="219" w:lineRule="auto"/>
        <w:ind w:left="3478"/>
        <w:rPr>
          <w:sz w:val="30"/>
          <w:szCs w:val="30"/>
        </w:rPr>
      </w:pPr>
      <w:r>
        <w:rPr>
          <w:b/>
          <w:bCs/>
          <w:spacing w:val="-4"/>
          <w:sz w:val="30"/>
          <w:szCs w:val="30"/>
        </w:rPr>
        <w:t>采购需求偏离表</w:t>
      </w:r>
    </w:p>
    <w:p w14:paraId="0094C99C">
      <w:pPr>
        <w:pStyle w:val="2"/>
        <w:spacing w:before="219" w:line="219" w:lineRule="auto"/>
        <w:ind w:left="126"/>
      </w:pPr>
      <w:r>
        <w:rPr>
          <w:spacing w:val="-1"/>
        </w:rPr>
        <w:t>项目名称：</w:t>
      </w:r>
      <w:r>
        <w:rPr>
          <w:spacing w:val="-1"/>
          <w:u w:val="single" w:color="auto"/>
        </w:rPr>
        <w:t xml:space="preserve">                         </w:t>
      </w:r>
      <w:r>
        <w:rPr>
          <w:spacing w:val="-1"/>
        </w:rPr>
        <w:t xml:space="preserve"> 项目编号/包号：</w:t>
      </w:r>
      <w:r>
        <w:rPr>
          <w:spacing w:val="-1"/>
          <w:u w:val="single" w:color="auto"/>
        </w:rPr>
        <w:t xml:space="preserve">          </w:t>
      </w:r>
      <w:r>
        <w:rPr>
          <w:spacing w:val="-2"/>
          <w:u w:val="single" w:color="auto"/>
        </w:rPr>
        <w:t xml:space="preserve">             </w:t>
      </w:r>
    </w:p>
    <w:p w14:paraId="4096F7F8">
      <w:pPr>
        <w:spacing w:line="69" w:lineRule="exact"/>
      </w:pPr>
    </w:p>
    <w:tbl>
      <w:tblPr>
        <w:tblStyle w:val="13"/>
        <w:tblW w:w="95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1"/>
        <w:gridCol w:w="1739"/>
        <w:gridCol w:w="1331"/>
        <w:gridCol w:w="1463"/>
        <w:gridCol w:w="1115"/>
        <w:gridCol w:w="1080"/>
        <w:gridCol w:w="1044"/>
        <w:gridCol w:w="977"/>
      </w:tblGrid>
      <w:tr w14:paraId="1D01D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91" w:type="dxa"/>
            <w:vMerge w:val="restart"/>
            <w:tcBorders>
              <w:bottom w:val="nil"/>
            </w:tcBorders>
            <w:vAlign w:val="top"/>
          </w:tcPr>
          <w:p w14:paraId="06AF52B3">
            <w:pPr>
              <w:spacing w:line="245" w:lineRule="auto"/>
              <w:rPr>
                <w:rFonts w:ascii="Arial"/>
                <w:sz w:val="21"/>
              </w:rPr>
            </w:pPr>
          </w:p>
          <w:p w14:paraId="1A61BFA3">
            <w:pPr>
              <w:spacing w:line="245" w:lineRule="auto"/>
              <w:rPr>
                <w:rFonts w:ascii="Arial"/>
                <w:sz w:val="21"/>
              </w:rPr>
            </w:pPr>
          </w:p>
          <w:p w14:paraId="27C5731B">
            <w:pPr>
              <w:spacing w:line="246" w:lineRule="auto"/>
              <w:rPr>
                <w:rFonts w:ascii="Arial"/>
                <w:sz w:val="21"/>
              </w:rPr>
            </w:pPr>
          </w:p>
          <w:p w14:paraId="4E9F9593">
            <w:pPr>
              <w:pStyle w:val="14"/>
              <w:spacing w:before="78" w:line="221" w:lineRule="auto"/>
              <w:ind w:left="161"/>
            </w:pPr>
            <w:r>
              <w:rPr>
                <w:spacing w:val="-5"/>
              </w:rPr>
              <w:t>序号</w:t>
            </w:r>
          </w:p>
        </w:tc>
        <w:tc>
          <w:tcPr>
            <w:tcW w:w="1739" w:type="dxa"/>
            <w:vMerge w:val="restart"/>
            <w:tcBorders>
              <w:bottom w:val="nil"/>
            </w:tcBorders>
            <w:vAlign w:val="top"/>
          </w:tcPr>
          <w:p w14:paraId="37465D16">
            <w:pPr>
              <w:spacing w:line="252" w:lineRule="auto"/>
              <w:rPr>
                <w:rFonts w:ascii="Arial"/>
                <w:sz w:val="21"/>
              </w:rPr>
            </w:pPr>
          </w:p>
          <w:p w14:paraId="3270F348">
            <w:pPr>
              <w:spacing w:line="252" w:lineRule="auto"/>
              <w:rPr>
                <w:rFonts w:ascii="Arial"/>
                <w:sz w:val="21"/>
              </w:rPr>
            </w:pPr>
          </w:p>
          <w:p w14:paraId="0419E72F">
            <w:pPr>
              <w:pStyle w:val="14"/>
              <w:spacing w:before="78" w:line="347" w:lineRule="auto"/>
              <w:ind w:left="159" w:right="149" w:hanging="4"/>
            </w:pPr>
            <w:r>
              <w:rPr>
                <w:spacing w:val="-2"/>
              </w:rPr>
              <w:t>招标文件条目</w:t>
            </w:r>
            <w:r>
              <w:t xml:space="preserve"> </w:t>
            </w:r>
            <w:r>
              <w:rPr>
                <w:spacing w:val="-3"/>
              </w:rPr>
              <w:t>号（或页码）</w:t>
            </w:r>
          </w:p>
        </w:tc>
        <w:tc>
          <w:tcPr>
            <w:tcW w:w="1331" w:type="dxa"/>
            <w:vMerge w:val="restart"/>
            <w:tcBorders>
              <w:bottom w:val="nil"/>
            </w:tcBorders>
            <w:vAlign w:val="top"/>
          </w:tcPr>
          <w:p w14:paraId="6C595983">
            <w:pPr>
              <w:spacing w:line="252" w:lineRule="auto"/>
              <w:rPr>
                <w:rFonts w:ascii="Arial"/>
                <w:sz w:val="21"/>
              </w:rPr>
            </w:pPr>
          </w:p>
          <w:p w14:paraId="50719D2C">
            <w:pPr>
              <w:spacing w:line="252" w:lineRule="auto"/>
              <w:rPr>
                <w:rFonts w:ascii="Arial"/>
                <w:sz w:val="21"/>
              </w:rPr>
            </w:pPr>
          </w:p>
          <w:p w14:paraId="61592E51">
            <w:pPr>
              <w:pStyle w:val="14"/>
              <w:spacing w:before="78" w:line="347" w:lineRule="auto"/>
              <w:ind w:left="432" w:right="184" w:hanging="240"/>
            </w:pPr>
            <w:r>
              <w:rPr>
                <w:spacing w:val="-3"/>
              </w:rPr>
              <w:t>招标文件</w:t>
            </w:r>
            <w:r>
              <w:t xml:space="preserve"> </w:t>
            </w:r>
            <w:r>
              <w:rPr>
                <w:spacing w:val="-6"/>
              </w:rPr>
              <w:t>要求</w:t>
            </w:r>
          </w:p>
        </w:tc>
        <w:tc>
          <w:tcPr>
            <w:tcW w:w="1463" w:type="dxa"/>
            <w:vMerge w:val="restart"/>
            <w:tcBorders>
              <w:bottom w:val="nil"/>
            </w:tcBorders>
            <w:vAlign w:val="top"/>
          </w:tcPr>
          <w:p w14:paraId="7B3229F1">
            <w:pPr>
              <w:spacing w:line="245" w:lineRule="auto"/>
              <w:rPr>
                <w:rFonts w:ascii="Arial"/>
                <w:sz w:val="21"/>
              </w:rPr>
            </w:pPr>
          </w:p>
          <w:p w14:paraId="5133AC1B">
            <w:pPr>
              <w:spacing w:line="246" w:lineRule="auto"/>
              <w:rPr>
                <w:rFonts w:ascii="Arial"/>
                <w:sz w:val="21"/>
              </w:rPr>
            </w:pPr>
          </w:p>
          <w:p w14:paraId="15913795">
            <w:pPr>
              <w:spacing w:line="246" w:lineRule="auto"/>
              <w:rPr>
                <w:rFonts w:ascii="Arial"/>
                <w:sz w:val="21"/>
              </w:rPr>
            </w:pPr>
          </w:p>
          <w:p w14:paraId="3BE47EC0">
            <w:pPr>
              <w:pStyle w:val="14"/>
              <w:spacing w:before="78" w:line="219" w:lineRule="auto"/>
              <w:ind w:left="271"/>
            </w:pPr>
            <w:r>
              <w:rPr>
                <w:spacing w:val="-6"/>
              </w:rPr>
              <w:t>响应内容</w:t>
            </w:r>
          </w:p>
        </w:tc>
        <w:tc>
          <w:tcPr>
            <w:tcW w:w="3239" w:type="dxa"/>
            <w:gridSpan w:val="3"/>
            <w:vAlign w:val="top"/>
          </w:tcPr>
          <w:p w14:paraId="0E20BDFE">
            <w:pPr>
              <w:pStyle w:val="14"/>
              <w:spacing w:before="121" w:line="219" w:lineRule="auto"/>
              <w:ind w:left="668"/>
            </w:pPr>
            <w:r>
              <w:rPr>
                <w:spacing w:val="-1"/>
              </w:rPr>
              <w:t>偏离情况（据实填写）</w:t>
            </w:r>
          </w:p>
        </w:tc>
        <w:tc>
          <w:tcPr>
            <w:tcW w:w="977" w:type="dxa"/>
            <w:vMerge w:val="restart"/>
            <w:tcBorders>
              <w:bottom w:val="nil"/>
            </w:tcBorders>
            <w:vAlign w:val="top"/>
          </w:tcPr>
          <w:p w14:paraId="61D686D4">
            <w:pPr>
              <w:spacing w:line="245" w:lineRule="auto"/>
              <w:rPr>
                <w:rFonts w:ascii="Arial"/>
                <w:sz w:val="21"/>
              </w:rPr>
            </w:pPr>
          </w:p>
          <w:p w14:paraId="08055D77">
            <w:pPr>
              <w:spacing w:line="246" w:lineRule="auto"/>
              <w:rPr>
                <w:rFonts w:ascii="Arial"/>
                <w:sz w:val="21"/>
              </w:rPr>
            </w:pPr>
          </w:p>
          <w:p w14:paraId="7624ED62">
            <w:pPr>
              <w:spacing w:line="246" w:lineRule="auto"/>
              <w:rPr>
                <w:rFonts w:ascii="Arial"/>
                <w:sz w:val="21"/>
              </w:rPr>
            </w:pPr>
          </w:p>
          <w:p w14:paraId="362EDBF4">
            <w:pPr>
              <w:pStyle w:val="14"/>
              <w:spacing w:before="78" w:line="219" w:lineRule="auto"/>
              <w:ind w:left="360"/>
            </w:pPr>
            <w:r>
              <w:rPr>
                <w:spacing w:val="-7"/>
              </w:rPr>
              <w:t>说明</w:t>
            </w:r>
          </w:p>
        </w:tc>
      </w:tr>
      <w:tr w14:paraId="1E800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2" w:hRule="atLeast"/>
        </w:trPr>
        <w:tc>
          <w:tcPr>
            <w:tcW w:w="791" w:type="dxa"/>
            <w:vMerge w:val="continue"/>
            <w:tcBorders>
              <w:top w:val="nil"/>
            </w:tcBorders>
            <w:vAlign w:val="top"/>
          </w:tcPr>
          <w:p w14:paraId="4F6BE39E">
            <w:pPr>
              <w:rPr>
                <w:rFonts w:ascii="Arial"/>
                <w:sz w:val="21"/>
              </w:rPr>
            </w:pPr>
          </w:p>
        </w:tc>
        <w:tc>
          <w:tcPr>
            <w:tcW w:w="1739" w:type="dxa"/>
            <w:vMerge w:val="continue"/>
            <w:tcBorders>
              <w:top w:val="nil"/>
            </w:tcBorders>
            <w:vAlign w:val="top"/>
          </w:tcPr>
          <w:p w14:paraId="2BC78CF0">
            <w:pPr>
              <w:rPr>
                <w:rFonts w:ascii="Arial"/>
                <w:sz w:val="21"/>
              </w:rPr>
            </w:pPr>
          </w:p>
        </w:tc>
        <w:tc>
          <w:tcPr>
            <w:tcW w:w="1331" w:type="dxa"/>
            <w:vMerge w:val="continue"/>
            <w:tcBorders>
              <w:top w:val="nil"/>
            </w:tcBorders>
            <w:vAlign w:val="top"/>
          </w:tcPr>
          <w:p w14:paraId="78EBC211">
            <w:pPr>
              <w:rPr>
                <w:rFonts w:ascii="Arial"/>
                <w:sz w:val="21"/>
              </w:rPr>
            </w:pPr>
          </w:p>
        </w:tc>
        <w:tc>
          <w:tcPr>
            <w:tcW w:w="1463" w:type="dxa"/>
            <w:vMerge w:val="continue"/>
            <w:tcBorders>
              <w:top w:val="nil"/>
            </w:tcBorders>
            <w:vAlign w:val="top"/>
          </w:tcPr>
          <w:p w14:paraId="621048AF">
            <w:pPr>
              <w:rPr>
                <w:rFonts w:ascii="Arial"/>
                <w:sz w:val="21"/>
              </w:rPr>
            </w:pPr>
          </w:p>
        </w:tc>
        <w:tc>
          <w:tcPr>
            <w:tcW w:w="1115" w:type="dxa"/>
            <w:vAlign w:val="top"/>
          </w:tcPr>
          <w:p w14:paraId="11292382">
            <w:pPr>
              <w:spacing w:line="246" w:lineRule="auto"/>
              <w:rPr>
                <w:rFonts w:ascii="Arial"/>
                <w:sz w:val="21"/>
              </w:rPr>
            </w:pPr>
          </w:p>
          <w:p w14:paraId="6DDBC966">
            <w:pPr>
              <w:spacing w:line="247" w:lineRule="auto"/>
              <w:rPr>
                <w:rFonts w:ascii="Arial"/>
                <w:sz w:val="21"/>
              </w:rPr>
            </w:pPr>
          </w:p>
          <w:p w14:paraId="05CDCFC8">
            <w:pPr>
              <w:pStyle w:val="14"/>
              <w:spacing w:before="78" w:line="219" w:lineRule="auto"/>
              <w:ind w:left="209"/>
            </w:pPr>
            <w:r>
              <w:rPr>
                <w:spacing w:val="-5"/>
              </w:rPr>
              <w:t>正偏离</w:t>
            </w:r>
          </w:p>
        </w:tc>
        <w:tc>
          <w:tcPr>
            <w:tcW w:w="1080" w:type="dxa"/>
            <w:vAlign w:val="top"/>
          </w:tcPr>
          <w:p w14:paraId="05E1504B">
            <w:pPr>
              <w:spacing w:line="246" w:lineRule="auto"/>
              <w:rPr>
                <w:rFonts w:ascii="Arial"/>
                <w:sz w:val="21"/>
              </w:rPr>
            </w:pPr>
          </w:p>
          <w:p w14:paraId="70AD524D">
            <w:pPr>
              <w:spacing w:line="247" w:lineRule="auto"/>
              <w:rPr>
                <w:rFonts w:ascii="Arial"/>
                <w:sz w:val="21"/>
              </w:rPr>
            </w:pPr>
          </w:p>
          <w:p w14:paraId="55047182">
            <w:pPr>
              <w:pStyle w:val="14"/>
              <w:spacing w:before="78" w:line="219" w:lineRule="auto"/>
              <w:ind w:left="191"/>
            </w:pPr>
            <w:r>
              <w:rPr>
                <w:spacing w:val="-4"/>
              </w:rPr>
              <w:t>无偏离</w:t>
            </w:r>
          </w:p>
        </w:tc>
        <w:tc>
          <w:tcPr>
            <w:tcW w:w="1044" w:type="dxa"/>
            <w:vAlign w:val="top"/>
          </w:tcPr>
          <w:p w14:paraId="22AA90B7">
            <w:pPr>
              <w:spacing w:line="246" w:lineRule="auto"/>
              <w:rPr>
                <w:rFonts w:ascii="Arial"/>
                <w:sz w:val="21"/>
              </w:rPr>
            </w:pPr>
          </w:p>
          <w:p w14:paraId="753CEFAA">
            <w:pPr>
              <w:spacing w:line="247" w:lineRule="auto"/>
              <w:rPr>
                <w:rFonts w:ascii="Arial"/>
                <w:sz w:val="21"/>
              </w:rPr>
            </w:pPr>
          </w:p>
          <w:p w14:paraId="0B19206C">
            <w:pPr>
              <w:pStyle w:val="14"/>
              <w:spacing w:before="78" w:line="219" w:lineRule="auto"/>
              <w:ind w:left="179"/>
            </w:pPr>
            <w:r>
              <w:rPr>
                <w:spacing w:val="-7"/>
              </w:rPr>
              <w:t>负偏离</w:t>
            </w:r>
          </w:p>
        </w:tc>
        <w:tc>
          <w:tcPr>
            <w:tcW w:w="977" w:type="dxa"/>
            <w:vMerge w:val="continue"/>
            <w:tcBorders>
              <w:top w:val="nil"/>
            </w:tcBorders>
            <w:vAlign w:val="top"/>
          </w:tcPr>
          <w:p w14:paraId="3D84426C">
            <w:pPr>
              <w:rPr>
                <w:rFonts w:ascii="Arial"/>
                <w:sz w:val="21"/>
              </w:rPr>
            </w:pPr>
          </w:p>
        </w:tc>
      </w:tr>
      <w:tr w14:paraId="6D212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trPr>
        <w:tc>
          <w:tcPr>
            <w:tcW w:w="791" w:type="dxa"/>
            <w:vAlign w:val="top"/>
          </w:tcPr>
          <w:p w14:paraId="3E6A4934">
            <w:pPr>
              <w:rPr>
                <w:rFonts w:ascii="Arial"/>
                <w:sz w:val="21"/>
              </w:rPr>
            </w:pPr>
          </w:p>
        </w:tc>
        <w:tc>
          <w:tcPr>
            <w:tcW w:w="1739" w:type="dxa"/>
            <w:vAlign w:val="top"/>
          </w:tcPr>
          <w:p w14:paraId="723134E3">
            <w:pPr>
              <w:rPr>
                <w:rFonts w:ascii="Arial"/>
                <w:sz w:val="21"/>
              </w:rPr>
            </w:pPr>
          </w:p>
        </w:tc>
        <w:tc>
          <w:tcPr>
            <w:tcW w:w="1331" w:type="dxa"/>
            <w:vAlign w:val="top"/>
          </w:tcPr>
          <w:p w14:paraId="004D2F3A">
            <w:pPr>
              <w:rPr>
                <w:rFonts w:ascii="Arial"/>
                <w:sz w:val="21"/>
              </w:rPr>
            </w:pPr>
          </w:p>
        </w:tc>
        <w:tc>
          <w:tcPr>
            <w:tcW w:w="1463" w:type="dxa"/>
            <w:vAlign w:val="top"/>
          </w:tcPr>
          <w:p w14:paraId="50CFD502">
            <w:pPr>
              <w:rPr>
                <w:rFonts w:ascii="Arial"/>
                <w:sz w:val="21"/>
              </w:rPr>
            </w:pPr>
          </w:p>
        </w:tc>
        <w:tc>
          <w:tcPr>
            <w:tcW w:w="1115" w:type="dxa"/>
            <w:vAlign w:val="top"/>
          </w:tcPr>
          <w:p w14:paraId="3F2B6926">
            <w:pPr>
              <w:rPr>
                <w:rFonts w:ascii="Arial"/>
                <w:sz w:val="21"/>
              </w:rPr>
            </w:pPr>
          </w:p>
        </w:tc>
        <w:tc>
          <w:tcPr>
            <w:tcW w:w="1080" w:type="dxa"/>
            <w:vAlign w:val="top"/>
          </w:tcPr>
          <w:p w14:paraId="287B096A">
            <w:pPr>
              <w:rPr>
                <w:rFonts w:ascii="Arial"/>
                <w:sz w:val="21"/>
              </w:rPr>
            </w:pPr>
          </w:p>
        </w:tc>
        <w:tc>
          <w:tcPr>
            <w:tcW w:w="1044" w:type="dxa"/>
            <w:vAlign w:val="top"/>
          </w:tcPr>
          <w:p w14:paraId="4843AF3E">
            <w:pPr>
              <w:rPr>
                <w:rFonts w:ascii="Arial"/>
                <w:sz w:val="21"/>
              </w:rPr>
            </w:pPr>
          </w:p>
        </w:tc>
        <w:tc>
          <w:tcPr>
            <w:tcW w:w="977" w:type="dxa"/>
            <w:vAlign w:val="top"/>
          </w:tcPr>
          <w:p w14:paraId="05F0A19D">
            <w:pPr>
              <w:rPr>
                <w:rFonts w:ascii="Arial"/>
                <w:sz w:val="21"/>
              </w:rPr>
            </w:pPr>
          </w:p>
        </w:tc>
      </w:tr>
      <w:tr w14:paraId="5002A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trPr>
        <w:tc>
          <w:tcPr>
            <w:tcW w:w="791" w:type="dxa"/>
            <w:vAlign w:val="top"/>
          </w:tcPr>
          <w:p w14:paraId="2042AC22">
            <w:pPr>
              <w:rPr>
                <w:rFonts w:ascii="Arial"/>
                <w:sz w:val="21"/>
              </w:rPr>
            </w:pPr>
          </w:p>
        </w:tc>
        <w:tc>
          <w:tcPr>
            <w:tcW w:w="1739" w:type="dxa"/>
            <w:vAlign w:val="top"/>
          </w:tcPr>
          <w:p w14:paraId="074F2F69">
            <w:pPr>
              <w:rPr>
                <w:rFonts w:ascii="Arial"/>
                <w:sz w:val="21"/>
              </w:rPr>
            </w:pPr>
          </w:p>
        </w:tc>
        <w:tc>
          <w:tcPr>
            <w:tcW w:w="1331" w:type="dxa"/>
            <w:vAlign w:val="top"/>
          </w:tcPr>
          <w:p w14:paraId="19532D62">
            <w:pPr>
              <w:rPr>
                <w:rFonts w:ascii="Arial"/>
                <w:sz w:val="21"/>
              </w:rPr>
            </w:pPr>
          </w:p>
        </w:tc>
        <w:tc>
          <w:tcPr>
            <w:tcW w:w="1463" w:type="dxa"/>
            <w:vAlign w:val="top"/>
          </w:tcPr>
          <w:p w14:paraId="5AFE83A9">
            <w:pPr>
              <w:rPr>
                <w:rFonts w:ascii="Arial"/>
                <w:sz w:val="21"/>
              </w:rPr>
            </w:pPr>
          </w:p>
        </w:tc>
        <w:tc>
          <w:tcPr>
            <w:tcW w:w="1115" w:type="dxa"/>
            <w:vAlign w:val="top"/>
          </w:tcPr>
          <w:p w14:paraId="508DC383">
            <w:pPr>
              <w:rPr>
                <w:rFonts w:ascii="Arial"/>
                <w:sz w:val="21"/>
              </w:rPr>
            </w:pPr>
          </w:p>
        </w:tc>
        <w:tc>
          <w:tcPr>
            <w:tcW w:w="1080" w:type="dxa"/>
            <w:vAlign w:val="top"/>
          </w:tcPr>
          <w:p w14:paraId="280D9D60">
            <w:pPr>
              <w:rPr>
                <w:rFonts w:ascii="Arial"/>
                <w:sz w:val="21"/>
              </w:rPr>
            </w:pPr>
          </w:p>
        </w:tc>
        <w:tc>
          <w:tcPr>
            <w:tcW w:w="1044" w:type="dxa"/>
            <w:vAlign w:val="top"/>
          </w:tcPr>
          <w:p w14:paraId="11BA625F">
            <w:pPr>
              <w:rPr>
                <w:rFonts w:ascii="Arial"/>
                <w:sz w:val="21"/>
              </w:rPr>
            </w:pPr>
          </w:p>
        </w:tc>
        <w:tc>
          <w:tcPr>
            <w:tcW w:w="977" w:type="dxa"/>
            <w:vAlign w:val="top"/>
          </w:tcPr>
          <w:p w14:paraId="7632548D">
            <w:pPr>
              <w:rPr>
                <w:rFonts w:ascii="Arial"/>
                <w:sz w:val="21"/>
              </w:rPr>
            </w:pPr>
          </w:p>
        </w:tc>
      </w:tr>
      <w:tr w14:paraId="0BF48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trPr>
        <w:tc>
          <w:tcPr>
            <w:tcW w:w="791" w:type="dxa"/>
            <w:vAlign w:val="top"/>
          </w:tcPr>
          <w:p w14:paraId="0141063C">
            <w:pPr>
              <w:rPr>
                <w:rFonts w:ascii="Arial"/>
                <w:sz w:val="21"/>
              </w:rPr>
            </w:pPr>
          </w:p>
        </w:tc>
        <w:tc>
          <w:tcPr>
            <w:tcW w:w="1739" w:type="dxa"/>
            <w:vAlign w:val="top"/>
          </w:tcPr>
          <w:p w14:paraId="1523BB40">
            <w:pPr>
              <w:rPr>
                <w:rFonts w:ascii="Arial"/>
                <w:sz w:val="21"/>
              </w:rPr>
            </w:pPr>
          </w:p>
        </w:tc>
        <w:tc>
          <w:tcPr>
            <w:tcW w:w="1331" w:type="dxa"/>
            <w:vAlign w:val="top"/>
          </w:tcPr>
          <w:p w14:paraId="2E88A571">
            <w:pPr>
              <w:rPr>
                <w:rFonts w:ascii="Arial"/>
                <w:sz w:val="21"/>
              </w:rPr>
            </w:pPr>
          </w:p>
        </w:tc>
        <w:tc>
          <w:tcPr>
            <w:tcW w:w="1463" w:type="dxa"/>
            <w:vAlign w:val="top"/>
          </w:tcPr>
          <w:p w14:paraId="4ADF6CCC">
            <w:pPr>
              <w:rPr>
                <w:rFonts w:ascii="Arial"/>
                <w:sz w:val="21"/>
              </w:rPr>
            </w:pPr>
          </w:p>
        </w:tc>
        <w:tc>
          <w:tcPr>
            <w:tcW w:w="1115" w:type="dxa"/>
            <w:vAlign w:val="top"/>
          </w:tcPr>
          <w:p w14:paraId="7C35A8A0">
            <w:pPr>
              <w:rPr>
                <w:rFonts w:ascii="Arial"/>
                <w:sz w:val="21"/>
              </w:rPr>
            </w:pPr>
          </w:p>
        </w:tc>
        <w:tc>
          <w:tcPr>
            <w:tcW w:w="1080" w:type="dxa"/>
            <w:vAlign w:val="top"/>
          </w:tcPr>
          <w:p w14:paraId="1B467BC4">
            <w:pPr>
              <w:rPr>
                <w:rFonts w:ascii="Arial"/>
                <w:sz w:val="21"/>
              </w:rPr>
            </w:pPr>
          </w:p>
        </w:tc>
        <w:tc>
          <w:tcPr>
            <w:tcW w:w="1044" w:type="dxa"/>
            <w:vAlign w:val="top"/>
          </w:tcPr>
          <w:p w14:paraId="1176BA74">
            <w:pPr>
              <w:rPr>
                <w:rFonts w:ascii="Arial"/>
                <w:sz w:val="21"/>
              </w:rPr>
            </w:pPr>
          </w:p>
        </w:tc>
        <w:tc>
          <w:tcPr>
            <w:tcW w:w="977" w:type="dxa"/>
            <w:vAlign w:val="top"/>
          </w:tcPr>
          <w:p w14:paraId="64919F66">
            <w:pPr>
              <w:rPr>
                <w:rFonts w:ascii="Arial"/>
                <w:sz w:val="21"/>
              </w:rPr>
            </w:pPr>
          </w:p>
        </w:tc>
      </w:tr>
      <w:tr w14:paraId="5BF89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791" w:type="dxa"/>
            <w:vAlign w:val="top"/>
          </w:tcPr>
          <w:p w14:paraId="3DA7167E">
            <w:pPr>
              <w:rPr>
                <w:rFonts w:ascii="Arial"/>
                <w:sz w:val="21"/>
              </w:rPr>
            </w:pPr>
          </w:p>
        </w:tc>
        <w:tc>
          <w:tcPr>
            <w:tcW w:w="1739" w:type="dxa"/>
            <w:vAlign w:val="top"/>
          </w:tcPr>
          <w:p w14:paraId="1B6C3A94">
            <w:pPr>
              <w:rPr>
                <w:rFonts w:ascii="Arial"/>
                <w:sz w:val="21"/>
              </w:rPr>
            </w:pPr>
          </w:p>
        </w:tc>
        <w:tc>
          <w:tcPr>
            <w:tcW w:w="1331" w:type="dxa"/>
            <w:vAlign w:val="top"/>
          </w:tcPr>
          <w:p w14:paraId="6C172B92">
            <w:pPr>
              <w:rPr>
                <w:rFonts w:ascii="Arial"/>
                <w:sz w:val="21"/>
              </w:rPr>
            </w:pPr>
          </w:p>
        </w:tc>
        <w:tc>
          <w:tcPr>
            <w:tcW w:w="1463" w:type="dxa"/>
            <w:vAlign w:val="top"/>
          </w:tcPr>
          <w:p w14:paraId="033AC18B">
            <w:pPr>
              <w:rPr>
                <w:rFonts w:ascii="Arial"/>
                <w:sz w:val="21"/>
              </w:rPr>
            </w:pPr>
          </w:p>
        </w:tc>
        <w:tc>
          <w:tcPr>
            <w:tcW w:w="1115" w:type="dxa"/>
            <w:vAlign w:val="top"/>
          </w:tcPr>
          <w:p w14:paraId="28DDDB88">
            <w:pPr>
              <w:rPr>
                <w:rFonts w:ascii="Arial"/>
                <w:sz w:val="21"/>
              </w:rPr>
            </w:pPr>
          </w:p>
        </w:tc>
        <w:tc>
          <w:tcPr>
            <w:tcW w:w="1080" w:type="dxa"/>
            <w:vAlign w:val="top"/>
          </w:tcPr>
          <w:p w14:paraId="3A055370">
            <w:pPr>
              <w:rPr>
                <w:rFonts w:ascii="Arial"/>
                <w:sz w:val="21"/>
              </w:rPr>
            </w:pPr>
          </w:p>
        </w:tc>
        <w:tc>
          <w:tcPr>
            <w:tcW w:w="1044" w:type="dxa"/>
            <w:vAlign w:val="top"/>
          </w:tcPr>
          <w:p w14:paraId="7ED8C99D">
            <w:pPr>
              <w:rPr>
                <w:rFonts w:ascii="Arial"/>
                <w:sz w:val="21"/>
              </w:rPr>
            </w:pPr>
          </w:p>
        </w:tc>
        <w:tc>
          <w:tcPr>
            <w:tcW w:w="977" w:type="dxa"/>
            <w:vAlign w:val="top"/>
          </w:tcPr>
          <w:p w14:paraId="6BF332DB">
            <w:pPr>
              <w:rPr>
                <w:rFonts w:ascii="Arial"/>
                <w:sz w:val="21"/>
              </w:rPr>
            </w:pPr>
          </w:p>
        </w:tc>
      </w:tr>
      <w:tr w14:paraId="4401E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791" w:type="dxa"/>
            <w:vAlign w:val="top"/>
          </w:tcPr>
          <w:p w14:paraId="6C8E7F6C">
            <w:pPr>
              <w:rPr>
                <w:rFonts w:ascii="Arial"/>
                <w:sz w:val="21"/>
              </w:rPr>
            </w:pPr>
          </w:p>
        </w:tc>
        <w:tc>
          <w:tcPr>
            <w:tcW w:w="1739" w:type="dxa"/>
            <w:vAlign w:val="top"/>
          </w:tcPr>
          <w:p w14:paraId="4C6D97C5">
            <w:pPr>
              <w:rPr>
                <w:rFonts w:ascii="Arial"/>
                <w:sz w:val="21"/>
              </w:rPr>
            </w:pPr>
          </w:p>
        </w:tc>
        <w:tc>
          <w:tcPr>
            <w:tcW w:w="1331" w:type="dxa"/>
            <w:vAlign w:val="top"/>
          </w:tcPr>
          <w:p w14:paraId="7CD7D01A">
            <w:pPr>
              <w:rPr>
                <w:rFonts w:ascii="Arial"/>
                <w:sz w:val="21"/>
              </w:rPr>
            </w:pPr>
          </w:p>
        </w:tc>
        <w:tc>
          <w:tcPr>
            <w:tcW w:w="1463" w:type="dxa"/>
            <w:vAlign w:val="top"/>
          </w:tcPr>
          <w:p w14:paraId="4ED106E9">
            <w:pPr>
              <w:rPr>
                <w:rFonts w:ascii="Arial"/>
                <w:sz w:val="21"/>
              </w:rPr>
            </w:pPr>
          </w:p>
        </w:tc>
        <w:tc>
          <w:tcPr>
            <w:tcW w:w="1115" w:type="dxa"/>
            <w:vAlign w:val="top"/>
          </w:tcPr>
          <w:p w14:paraId="26647F15">
            <w:pPr>
              <w:rPr>
                <w:rFonts w:ascii="Arial"/>
                <w:sz w:val="21"/>
              </w:rPr>
            </w:pPr>
          </w:p>
        </w:tc>
        <w:tc>
          <w:tcPr>
            <w:tcW w:w="1080" w:type="dxa"/>
            <w:vAlign w:val="top"/>
          </w:tcPr>
          <w:p w14:paraId="3C18E7C9">
            <w:pPr>
              <w:rPr>
                <w:rFonts w:ascii="Arial"/>
                <w:sz w:val="21"/>
              </w:rPr>
            </w:pPr>
          </w:p>
        </w:tc>
        <w:tc>
          <w:tcPr>
            <w:tcW w:w="1044" w:type="dxa"/>
            <w:vAlign w:val="top"/>
          </w:tcPr>
          <w:p w14:paraId="55139A64">
            <w:pPr>
              <w:rPr>
                <w:rFonts w:ascii="Arial"/>
                <w:sz w:val="21"/>
              </w:rPr>
            </w:pPr>
          </w:p>
        </w:tc>
        <w:tc>
          <w:tcPr>
            <w:tcW w:w="977" w:type="dxa"/>
            <w:vAlign w:val="top"/>
          </w:tcPr>
          <w:p w14:paraId="75B8623D">
            <w:pPr>
              <w:rPr>
                <w:rFonts w:ascii="Arial"/>
                <w:sz w:val="21"/>
              </w:rPr>
            </w:pPr>
          </w:p>
        </w:tc>
      </w:tr>
    </w:tbl>
    <w:p w14:paraId="35356C10">
      <w:pPr>
        <w:pStyle w:val="2"/>
        <w:spacing w:before="111" w:line="355" w:lineRule="auto"/>
        <w:ind w:left="121" w:right="610"/>
        <w:jc w:val="both"/>
      </w:pPr>
      <w:r>
        <w:rPr>
          <w:spacing w:val="1"/>
        </w:rPr>
        <w:t>注：1、本偏离表是评审供应商技术方案最重要的直观材料和主要依据，供应商须针</w:t>
      </w:r>
      <w:r>
        <w:rPr>
          <w:spacing w:val="15"/>
        </w:rPr>
        <w:t xml:space="preserve"> </w:t>
      </w:r>
      <w:r>
        <w:rPr>
          <w:spacing w:val="-3"/>
        </w:rPr>
        <w:t>对本招标文件采购需求中的要求是否满足填写偏离表，表中“偏离情况</w:t>
      </w:r>
      <w:r>
        <w:rPr>
          <w:spacing w:val="-79"/>
        </w:rPr>
        <w:t xml:space="preserve"> </w:t>
      </w:r>
      <w:r>
        <w:rPr>
          <w:spacing w:val="-3"/>
        </w:rPr>
        <w:t>”一栏应据实</w:t>
      </w:r>
      <w:r>
        <w:t xml:space="preserve"> </w:t>
      </w:r>
      <w:r>
        <w:rPr>
          <w:spacing w:val="-11"/>
        </w:rPr>
        <w:t>填写“正偏离</w:t>
      </w:r>
      <w:r>
        <w:rPr>
          <w:spacing w:val="-81"/>
        </w:rPr>
        <w:t xml:space="preserve"> </w:t>
      </w:r>
      <w:r>
        <w:rPr>
          <w:spacing w:val="-11"/>
        </w:rPr>
        <w:t>”、“负偏离</w:t>
      </w:r>
      <w:r>
        <w:rPr>
          <w:spacing w:val="-85"/>
        </w:rPr>
        <w:t xml:space="preserve"> </w:t>
      </w:r>
      <w:r>
        <w:rPr>
          <w:spacing w:val="-11"/>
        </w:rPr>
        <w:t>”或“无偏离</w:t>
      </w:r>
      <w:r>
        <w:rPr>
          <w:spacing w:val="-86"/>
        </w:rPr>
        <w:t xml:space="preserve"> </w:t>
      </w:r>
      <w:r>
        <w:rPr>
          <w:spacing w:val="-11"/>
        </w:rPr>
        <w:t>”。供应商应注意在本表中的所报货物和服务</w:t>
      </w:r>
      <w:r>
        <w:t xml:space="preserve"> </w:t>
      </w:r>
      <w:r>
        <w:rPr>
          <w:spacing w:val="-2"/>
        </w:rPr>
        <w:t>的技术应答与招标文件采购需求部分序号、采购需求部分要求做到逐条响应，否则由</w:t>
      </w:r>
      <w:r>
        <w:rPr>
          <w:spacing w:val="4"/>
        </w:rPr>
        <w:t xml:space="preserve"> </w:t>
      </w:r>
      <w:r>
        <w:rPr>
          <w:spacing w:val="-1"/>
        </w:rPr>
        <w:t>此造成评审小组无法认定的情形由供应商自行承担后果。</w:t>
      </w:r>
    </w:p>
    <w:p w14:paraId="0F51FE4B">
      <w:pPr>
        <w:pStyle w:val="2"/>
        <w:spacing w:before="35" w:line="219" w:lineRule="auto"/>
        <w:ind w:left="605"/>
        <w:outlineLvl w:val="1"/>
      </w:pPr>
      <w:r>
        <w:rPr>
          <w:spacing w:val="-1"/>
        </w:rPr>
        <w:t>2、供应商对于偏离情况请如实列出，否则根据情况承担相应后果。</w:t>
      </w:r>
    </w:p>
    <w:p w14:paraId="672D3ACB">
      <w:pPr>
        <w:spacing w:line="326" w:lineRule="auto"/>
        <w:rPr>
          <w:rFonts w:ascii="Arial"/>
          <w:sz w:val="21"/>
        </w:rPr>
      </w:pPr>
    </w:p>
    <w:p w14:paraId="5CD6A9A3">
      <w:pPr>
        <w:spacing w:line="327" w:lineRule="auto"/>
        <w:rPr>
          <w:rFonts w:ascii="Arial"/>
          <w:sz w:val="21"/>
        </w:rPr>
      </w:pPr>
    </w:p>
    <w:p w14:paraId="66A535E7">
      <w:pPr>
        <w:pStyle w:val="2"/>
        <w:spacing w:before="78" w:line="219" w:lineRule="auto"/>
        <w:ind w:left="602"/>
      </w:pPr>
      <w:r>
        <w:rPr>
          <w:spacing w:val="-1"/>
        </w:rPr>
        <w:t>供应商授权代表（签字</w:t>
      </w:r>
      <w:r>
        <w:rPr>
          <w:spacing w:val="-62"/>
          <w:w w:val="97"/>
        </w:rPr>
        <w:t>）：</w:t>
      </w:r>
      <w:r>
        <w:rPr>
          <w:spacing w:val="18"/>
        </w:rPr>
        <w:t xml:space="preserve"> </w:t>
      </w:r>
      <w:r>
        <w:rPr>
          <w:u w:val="single" w:color="auto"/>
        </w:rPr>
        <w:t xml:space="preserve">             </w:t>
      </w:r>
    </w:p>
    <w:p w14:paraId="5A37E149">
      <w:pPr>
        <w:pStyle w:val="2"/>
        <w:spacing w:before="184" w:line="347" w:lineRule="auto"/>
        <w:ind w:left="643" w:right="4872" w:hanging="41"/>
      </w:pPr>
      <w:r>
        <w:rPr>
          <w:spacing w:val="-2"/>
        </w:rPr>
        <w:t>供应商名称（盖章</w:t>
      </w:r>
      <w:r>
        <w:rPr>
          <w:spacing w:val="-58"/>
        </w:rPr>
        <w:t>）：</w:t>
      </w:r>
      <w:r>
        <w:rPr>
          <w:u w:val="single" w:color="auto"/>
        </w:rPr>
        <w:t xml:space="preserve">               </w:t>
      </w:r>
      <w:r>
        <w:rPr>
          <w:spacing w:val="1"/>
        </w:rPr>
        <w:t xml:space="preserve"> </w:t>
      </w:r>
      <w:r>
        <w:rPr>
          <w:spacing w:val="-31"/>
        </w:rPr>
        <w:t>日</w:t>
      </w:r>
      <w:r>
        <w:rPr>
          <w:spacing w:val="3"/>
        </w:rPr>
        <w:t xml:space="preserve">    </w:t>
      </w:r>
      <w:r>
        <w:rPr>
          <w:spacing w:val="-31"/>
        </w:rPr>
        <w:t>期</w:t>
      </w:r>
      <w:r>
        <w:rPr>
          <w:spacing w:val="-90"/>
        </w:rPr>
        <w:t xml:space="preserve"> </w:t>
      </w:r>
      <w:r>
        <w:rPr>
          <w:spacing w:val="-31"/>
        </w:rPr>
        <w:t>：</w:t>
      </w:r>
      <w:r>
        <w:rPr>
          <w:u w:val="single" w:color="auto"/>
        </w:rPr>
        <w:t xml:space="preserve">                   </w:t>
      </w:r>
    </w:p>
    <w:p w14:paraId="72DB98D7">
      <w:pPr>
        <w:spacing w:line="347" w:lineRule="auto"/>
        <w:sectPr>
          <w:headerReference r:id="rId50" w:type="default"/>
          <w:footerReference r:id="rId51" w:type="default"/>
          <w:pgSz w:w="11906" w:h="16839"/>
          <w:pgMar w:top="1058" w:right="1033" w:bottom="1157" w:left="1327" w:header="855" w:footer="992" w:gutter="0"/>
          <w:pgNumType w:fmt="decimal"/>
          <w:cols w:space="720" w:num="1"/>
        </w:sectPr>
      </w:pPr>
    </w:p>
    <w:p w14:paraId="2FB8C48D">
      <w:pPr>
        <w:pStyle w:val="2"/>
        <w:spacing w:before="189" w:line="219" w:lineRule="auto"/>
        <w:ind w:left="402"/>
        <w:rPr>
          <w:sz w:val="30"/>
          <w:szCs w:val="30"/>
        </w:rPr>
      </w:pPr>
      <w:r>
        <w:rPr>
          <w:b/>
          <w:bCs/>
          <w:spacing w:val="-12"/>
          <w:sz w:val="30"/>
          <w:szCs w:val="30"/>
        </w:rPr>
        <w:t>附件八：</w:t>
      </w:r>
    </w:p>
    <w:p w14:paraId="6836359B">
      <w:pPr>
        <w:pStyle w:val="2"/>
        <w:spacing w:before="268" w:line="219" w:lineRule="auto"/>
        <w:ind w:left="3585"/>
        <w:outlineLvl w:val="0"/>
        <w:rPr>
          <w:sz w:val="30"/>
          <w:szCs w:val="30"/>
        </w:rPr>
      </w:pPr>
      <w:r>
        <w:rPr>
          <w:b/>
          <w:bCs/>
          <w:spacing w:val="-4"/>
          <w:sz w:val="30"/>
          <w:szCs w:val="30"/>
        </w:rPr>
        <w:t>供应商基本情况表</w:t>
      </w:r>
    </w:p>
    <w:p w14:paraId="29DA3AD9">
      <w:pPr>
        <w:spacing w:line="105" w:lineRule="exact"/>
      </w:pPr>
    </w:p>
    <w:tbl>
      <w:tblPr>
        <w:tblStyle w:val="13"/>
        <w:tblW w:w="9756"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1"/>
        <w:gridCol w:w="1174"/>
        <w:gridCol w:w="1246"/>
        <w:gridCol w:w="1369"/>
        <w:gridCol w:w="1457"/>
        <w:gridCol w:w="417"/>
        <w:gridCol w:w="608"/>
        <w:gridCol w:w="1804"/>
      </w:tblGrid>
      <w:tr w14:paraId="636FF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681" w:type="dxa"/>
            <w:tcBorders>
              <w:top w:val="single" w:color="000000" w:sz="2" w:space="0"/>
              <w:left w:val="single" w:color="000000" w:sz="2" w:space="0"/>
            </w:tcBorders>
            <w:vAlign w:val="top"/>
          </w:tcPr>
          <w:p w14:paraId="1E9E5293">
            <w:pPr>
              <w:pStyle w:val="14"/>
              <w:spacing w:before="149" w:line="219" w:lineRule="auto"/>
              <w:ind w:left="247"/>
            </w:pPr>
            <w:r>
              <w:rPr>
                <w:spacing w:val="-2"/>
              </w:rPr>
              <w:t>供应商名称</w:t>
            </w:r>
          </w:p>
        </w:tc>
        <w:tc>
          <w:tcPr>
            <w:tcW w:w="8075" w:type="dxa"/>
            <w:gridSpan w:val="7"/>
            <w:tcBorders>
              <w:top w:val="single" w:color="000000" w:sz="2" w:space="0"/>
              <w:right w:val="single" w:color="000000" w:sz="2" w:space="0"/>
            </w:tcBorders>
            <w:vAlign w:val="top"/>
          </w:tcPr>
          <w:p w14:paraId="5B49DBC8">
            <w:pPr>
              <w:rPr>
                <w:rFonts w:ascii="Arial"/>
                <w:sz w:val="21"/>
              </w:rPr>
            </w:pPr>
          </w:p>
        </w:tc>
      </w:tr>
      <w:tr w14:paraId="3A9DC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81" w:type="dxa"/>
            <w:tcBorders>
              <w:left w:val="single" w:color="000000" w:sz="2" w:space="0"/>
            </w:tcBorders>
            <w:vAlign w:val="top"/>
          </w:tcPr>
          <w:p w14:paraId="7AA531BC">
            <w:pPr>
              <w:pStyle w:val="14"/>
              <w:spacing w:before="142" w:line="221" w:lineRule="auto"/>
              <w:ind w:left="367"/>
            </w:pPr>
            <w:r>
              <w:rPr>
                <w:spacing w:val="-3"/>
              </w:rPr>
              <w:t>注册地址</w:t>
            </w:r>
          </w:p>
        </w:tc>
        <w:tc>
          <w:tcPr>
            <w:tcW w:w="3789" w:type="dxa"/>
            <w:gridSpan w:val="3"/>
            <w:vAlign w:val="top"/>
          </w:tcPr>
          <w:p w14:paraId="45586226">
            <w:pPr>
              <w:rPr>
                <w:rFonts w:ascii="Arial"/>
                <w:sz w:val="21"/>
              </w:rPr>
            </w:pPr>
          </w:p>
        </w:tc>
        <w:tc>
          <w:tcPr>
            <w:tcW w:w="1457" w:type="dxa"/>
            <w:vAlign w:val="top"/>
          </w:tcPr>
          <w:p w14:paraId="3750F498">
            <w:pPr>
              <w:pStyle w:val="14"/>
              <w:spacing w:before="143" w:line="219" w:lineRule="auto"/>
              <w:ind w:left="271"/>
            </w:pPr>
            <w:r>
              <w:rPr>
                <w:spacing w:val="-7"/>
              </w:rPr>
              <w:t>邮政编码</w:t>
            </w:r>
          </w:p>
        </w:tc>
        <w:tc>
          <w:tcPr>
            <w:tcW w:w="2829" w:type="dxa"/>
            <w:gridSpan w:val="3"/>
            <w:tcBorders>
              <w:right w:val="single" w:color="000000" w:sz="2" w:space="0"/>
            </w:tcBorders>
            <w:vAlign w:val="top"/>
          </w:tcPr>
          <w:p w14:paraId="20D677E1">
            <w:pPr>
              <w:rPr>
                <w:rFonts w:ascii="Arial"/>
                <w:sz w:val="21"/>
              </w:rPr>
            </w:pPr>
          </w:p>
        </w:tc>
      </w:tr>
      <w:tr w14:paraId="50204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681" w:type="dxa"/>
            <w:vMerge w:val="restart"/>
            <w:tcBorders>
              <w:left w:val="single" w:color="000000" w:sz="2" w:space="0"/>
              <w:bottom w:val="nil"/>
            </w:tcBorders>
            <w:vAlign w:val="top"/>
          </w:tcPr>
          <w:p w14:paraId="7D909176">
            <w:pPr>
              <w:spacing w:line="260" w:lineRule="auto"/>
              <w:rPr>
                <w:rFonts w:ascii="Arial"/>
                <w:sz w:val="21"/>
              </w:rPr>
            </w:pPr>
          </w:p>
          <w:p w14:paraId="62A03909">
            <w:pPr>
              <w:pStyle w:val="14"/>
              <w:spacing w:before="78" w:line="221" w:lineRule="auto"/>
              <w:ind w:left="368"/>
            </w:pPr>
            <w:r>
              <w:rPr>
                <w:spacing w:val="-3"/>
              </w:rPr>
              <w:t>联系方式</w:t>
            </w:r>
          </w:p>
        </w:tc>
        <w:tc>
          <w:tcPr>
            <w:tcW w:w="1174" w:type="dxa"/>
            <w:vAlign w:val="top"/>
          </w:tcPr>
          <w:p w14:paraId="5946B7CE">
            <w:pPr>
              <w:pStyle w:val="14"/>
              <w:spacing w:before="134" w:line="221" w:lineRule="auto"/>
              <w:ind w:left="230"/>
            </w:pPr>
            <w:r>
              <w:rPr>
                <w:spacing w:val="-4"/>
              </w:rPr>
              <w:t>联系人</w:t>
            </w:r>
          </w:p>
        </w:tc>
        <w:tc>
          <w:tcPr>
            <w:tcW w:w="2615" w:type="dxa"/>
            <w:gridSpan w:val="2"/>
            <w:vAlign w:val="top"/>
          </w:tcPr>
          <w:p w14:paraId="51D8F991">
            <w:pPr>
              <w:rPr>
                <w:rFonts w:ascii="Arial"/>
                <w:sz w:val="21"/>
              </w:rPr>
            </w:pPr>
          </w:p>
        </w:tc>
        <w:tc>
          <w:tcPr>
            <w:tcW w:w="1457" w:type="dxa"/>
            <w:vAlign w:val="top"/>
          </w:tcPr>
          <w:p w14:paraId="7C70840B">
            <w:pPr>
              <w:pStyle w:val="14"/>
              <w:spacing w:before="134" w:line="221" w:lineRule="auto"/>
              <w:ind w:left="522"/>
            </w:pPr>
            <w:r>
              <w:rPr>
                <w:spacing w:val="-19"/>
              </w:rPr>
              <w:t>电话</w:t>
            </w:r>
          </w:p>
        </w:tc>
        <w:tc>
          <w:tcPr>
            <w:tcW w:w="2829" w:type="dxa"/>
            <w:gridSpan w:val="3"/>
            <w:tcBorders>
              <w:right w:val="single" w:color="000000" w:sz="2" w:space="0"/>
            </w:tcBorders>
            <w:vAlign w:val="top"/>
          </w:tcPr>
          <w:p w14:paraId="4B5168BD">
            <w:pPr>
              <w:rPr>
                <w:rFonts w:ascii="Arial"/>
                <w:sz w:val="21"/>
              </w:rPr>
            </w:pPr>
          </w:p>
        </w:tc>
      </w:tr>
      <w:tr w14:paraId="773EB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681" w:type="dxa"/>
            <w:vMerge w:val="continue"/>
            <w:tcBorders>
              <w:top w:val="nil"/>
              <w:left w:val="single" w:color="000000" w:sz="2" w:space="0"/>
            </w:tcBorders>
            <w:vAlign w:val="top"/>
          </w:tcPr>
          <w:p w14:paraId="178FC6C0">
            <w:pPr>
              <w:rPr>
                <w:rFonts w:ascii="Arial"/>
                <w:sz w:val="21"/>
              </w:rPr>
            </w:pPr>
          </w:p>
        </w:tc>
        <w:tc>
          <w:tcPr>
            <w:tcW w:w="1174" w:type="dxa"/>
            <w:vAlign w:val="top"/>
          </w:tcPr>
          <w:p w14:paraId="28EF55AF">
            <w:pPr>
              <w:pStyle w:val="14"/>
              <w:spacing w:before="111" w:line="218" w:lineRule="auto"/>
              <w:ind w:left="347"/>
            </w:pPr>
            <w:r>
              <w:rPr>
                <w:spacing w:val="-4"/>
              </w:rPr>
              <w:t>传真</w:t>
            </w:r>
          </w:p>
        </w:tc>
        <w:tc>
          <w:tcPr>
            <w:tcW w:w="2615" w:type="dxa"/>
            <w:gridSpan w:val="2"/>
            <w:vAlign w:val="top"/>
          </w:tcPr>
          <w:p w14:paraId="5B8B0875">
            <w:pPr>
              <w:rPr>
                <w:rFonts w:ascii="Arial"/>
                <w:sz w:val="21"/>
              </w:rPr>
            </w:pPr>
          </w:p>
        </w:tc>
        <w:tc>
          <w:tcPr>
            <w:tcW w:w="1457" w:type="dxa"/>
            <w:vAlign w:val="top"/>
          </w:tcPr>
          <w:p w14:paraId="44806BA2">
            <w:pPr>
              <w:pStyle w:val="14"/>
              <w:spacing w:before="111" w:line="218" w:lineRule="auto"/>
              <w:ind w:left="512"/>
            </w:pPr>
            <w:r>
              <w:rPr>
                <w:spacing w:val="-15"/>
              </w:rPr>
              <w:t>网址</w:t>
            </w:r>
          </w:p>
        </w:tc>
        <w:tc>
          <w:tcPr>
            <w:tcW w:w="2829" w:type="dxa"/>
            <w:gridSpan w:val="3"/>
            <w:tcBorders>
              <w:right w:val="single" w:color="000000" w:sz="2" w:space="0"/>
            </w:tcBorders>
            <w:vAlign w:val="top"/>
          </w:tcPr>
          <w:p w14:paraId="6D1C631F">
            <w:pPr>
              <w:rPr>
                <w:rFonts w:ascii="Arial"/>
                <w:sz w:val="21"/>
              </w:rPr>
            </w:pPr>
          </w:p>
        </w:tc>
      </w:tr>
      <w:tr w14:paraId="270EE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1681" w:type="dxa"/>
            <w:tcBorders>
              <w:left w:val="single" w:color="000000" w:sz="2" w:space="0"/>
            </w:tcBorders>
            <w:vAlign w:val="top"/>
          </w:tcPr>
          <w:p w14:paraId="728FB4FA">
            <w:pPr>
              <w:pStyle w:val="14"/>
              <w:spacing w:before="112" w:line="262" w:lineRule="auto"/>
              <w:ind w:left="610" w:right="235" w:hanging="362"/>
            </w:pPr>
            <w:r>
              <w:rPr>
                <w:spacing w:val="-3"/>
              </w:rPr>
              <w:t>本公司所属</w:t>
            </w:r>
            <w:r>
              <w:rPr>
                <w:spacing w:val="3"/>
              </w:rPr>
              <w:t xml:space="preserve"> </w:t>
            </w:r>
            <w:r>
              <w:rPr>
                <w:spacing w:val="-7"/>
              </w:rPr>
              <w:t>行业</w:t>
            </w:r>
          </w:p>
        </w:tc>
        <w:tc>
          <w:tcPr>
            <w:tcW w:w="8075" w:type="dxa"/>
            <w:gridSpan w:val="7"/>
            <w:tcBorders>
              <w:right w:val="single" w:color="000000" w:sz="2" w:space="0"/>
            </w:tcBorders>
            <w:vAlign w:val="top"/>
          </w:tcPr>
          <w:p w14:paraId="08A4B031">
            <w:pPr>
              <w:rPr>
                <w:rFonts w:ascii="Arial"/>
                <w:sz w:val="21"/>
              </w:rPr>
            </w:pPr>
          </w:p>
        </w:tc>
      </w:tr>
      <w:tr w14:paraId="7A3CC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81" w:type="dxa"/>
            <w:tcBorders>
              <w:left w:val="single" w:color="000000" w:sz="2" w:space="0"/>
            </w:tcBorders>
            <w:vAlign w:val="top"/>
          </w:tcPr>
          <w:p w14:paraId="04CD7C23">
            <w:pPr>
              <w:pStyle w:val="14"/>
              <w:spacing w:before="145" w:line="219" w:lineRule="auto"/>
              <w:ind w:left="248"/>
            </w:pPr>
            <w:r>
              <w:rPr>
                <w:spacing w:val="-3"/>
              </w:rPr>
              <w:t>法定代表人</w:t>
            </w:r>
          </w:p>
        </w:tc>
        <w:tc>
          <w:tcPr>
            <w:tcW w:w="1174" w:type="dxa"/>
            <w:vAlign w:val="top"/>
          </w:tcPr>
          <w:p w14:paraId="7104D326">
            <w:pPr>
              <w:pStyle w:val="14"/>
              <w:spacing w:before="145" w:line="219" w:lineRule="auto"/>
              <w:ind w:left="349"/>
            </w:pPr>
            <w:r>
              <w:rPr>
                <w:spacing w:val="-5"/>
              </w:rPr>
              <w:t>姓名</w:t>
            </w:r>
          </w:p>
        </w:tc>
        <w:tc>
          <w:tcPr>
            <w:tcW w:w="1246" w:type="dxa"/>
            <w:vAlign w:val="top"/>
          </w:tcPr>
          <w:p w14:paraId="61130455">
            <w:pPr>
              <w:rPr>
                <w:rFonts w:ascii="Arial"/>
                <w:sz w:val="21"/>
              </w:rPr>
            </w:pPr>
          </w:p>
        </w:tc>
        <w:tc>
          <w:tcPr>
            <w:tcW w:w="1369" w:type="dxa"/>
            <w:vAlign w:val="top"/>
          </w:tcPr>
          <w:p w14:paraId="189273E9">
            <w:pPr>
              <w:pStyle w:val="14"/>
              <w:spacing w:before="145" w:line="219" w:lineRule="auto"/>
              <w:ind w:left="210"/>
            </w:pPr>
            <w:r>
              <w:rPr>
                <w:spacing w:val="-3"/>
              </w:rPr>
              <w:t>技术职称</w:t>
            </w:r>
          </w:p>
        </w:tc>
        <w:tc>
          <w:tcPr>
            <w:tcW w:w="1457" w:type="dxa"/>
            <w:vAlign w:val="top"/>
          </w:tcPr>
          <w:p w14:paraId="1544AAC5">
            <w:pPr>
              <w:rPr>
                <w:rFonts w:ascii="Arial"/>
                <w:sz w:val="21"/>
              </w:rPr>
            </w:pPr>
          </w:p>
        </w:tc>
        <w:tc>
          <w:tcPr>
            <w:tcW w:w="1025" w:type="dxa"/>
            <w:gridSpan w:val="2"/>
            <w:vAlign w:val="top"/>
          </w:tcPr>
          <w:p w14:paraId="33FFDB97">
            <w:pPr>
              <w:pStyle w:val="14"/>
              <w:spacing w:before="145" w:line="221" w:lineRule="auto"/>
              <w:ind w:left="305"/>
            </w:pPr>
            <w:r>
              <w:rPr>
                <w:spacing w:val="-19"/>
              </w:rPr>
              <w:t>电话</w:t>
            </w:r>
          </w:p>
        </w:tc>
        <w:tc>
          <w:tcPr>
            <w:tcW w:w="1804" w:type="dxa"/>
            <w:tcBorders>
              <w:right w:val="single" w:color="000000" w:sz="2" w:space="0"/>
            </w:tcBorders>
            <w:vAlign w:val="top"/>
          </w:tcPr>
          <w:p w14:paraId="1945FC34">
            <w:pPr>
              <w:rPr>
                <w:rFonts w:ascii="Arial"/>
                <w:sz w:val="21"/>
              </w:rPr>
            </w:pPr>
          </w:p>
        </w:tc>
      </w:tr>
      <w:tr w14:paraId="45561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681" w:type="dxa"/>
            <w:tcBorders>
              <w:left w:val="single" w:color="000000" w:sz="2" w:space="0"/>
            </w:tcBorders>
            <w:vAlign w:val="top"/>
          </w:tcPr>
          <w:p w14:paraId="0862B44D">
            <w:pPr>
              <w:pStyle w:val="14"/>
              <w:spacing w:before="134" w:line="219" w:lineRule="auto"/>
              <w:ind w:left="251"/>
            </w:pPr>
            <w:r>
              <w:rPr>
                <w:spacing w:val="-3"/>
              </w:rPr>
              <w:t>项目负责人</w:t>
            </w:r>
          </w:p>
        </w:tc>
        <w:tc>
          <w:tcPr>
            <w:tcW w:w="1174" w:type="dxa"/>
            <w:vAlign w:val="top"/>
          </w:tcPr>
          <w:p w14:paraId="7C381BB4">
            <w:pPr>
              <w:pStyle w:val="14"/>
              <w:spacing w:before="134" w:line="219" w:lineRule="auto"/>
              <w:ind w:left="349"/>
            </w:pPr>
            <w:r>
              <w:rPr>
                <w:spacing w:val="-5"/>
              </w:rPr>
              <w:t>姓名</w:t>
            </w:r>
          </w:p>
        </w:tc>
        <w:tc>
          <w:tcPr>
            <w:tcW w:w="1246" w:type="dxa"/>
            <w:vAlign w:val="top"/>
          </w:tcPr>
          <w:p w14:paraId="0A9F03A7">
            <w:pPr>
              <w:rPr>
                <w:rFonts w:ascii="Arial"/>
                <w:sz w:val="21"/>
              </w:rPr>
            </w:pPr>
          </w:p>
        </w:tc>
        <w:tc>
          <w:tcPr>
            <w:tcW w:w="1369" w:type="dxa"/>
            <w:vAlign w:val="top"/>
          </w:tcPr>
          <w:p w14:paraId="42D32BBF">
            <w:pPr>
              <w:pStyle w:val="14"/>
              <w:spacing w:before="134" w:line="219" w:lineRule="auto"/>
              <w:ind w:left="210"/>
            </w:pPr>
            <w:r>
              <w:rPr>
                <w:spacing w:val="-3"/>
              </w:rPr>
              <w:t>技术职称</w:t>
            </w:r>
          </w:p>
        </w:tc>
        <w:tc>
          <w:tcPr>
            <w:tcW w:w="1457" w:type="dxa"/>
            <w:vAlign w:val="top"/>
          </w:tcPr>
          <w:p w14:paraId="64C43624">
            <w:pPr>
              <w:rPr>
                <w:rFonts w:ascii="Arial"/>
                <w:sz w:val="21"/>
              </w:rPr>
            </w:pPr>
          </w:p>
        </w:tc>
        <w:tc>
          <w:tcPr>
            <w:tcW w:w="1025" w:type="dxa"/>
            <w:gridSpan w:val="2"/>
            <w:vAlign w:val="top"/>
          </w:tcPr>
          <w:p w14:paraId="23579EC9">
            <w:pPr>
              <w:pStyle w:val="14"/>
              <w:spacing w:before="134" w:line="221" w:lineRule="auto"/>
              <w:ind w:left="305"/>
            </w:pPr>
            <w:r>
              <w:rPr>
                <w:spacing w:val="-19"/>
              </w:rPr>
              <w:t>电话</w:t>
            </w:r>
          </w:p>
        </w:tc>
        <w:tc>
          <w:tcPr>
            <w:tcW w:w="1804" w:type="dxa"/>
            <w:tcBorders>
              <w:right w:val="single" w:color="000000" w:sz="2" w:space="0"/>
            </w:tcBorders>
            <w:vAlign w:val="top"/>
          </w:tcPr>
          <w:p w14:paraId="73DBBB0B">
            <w:pPr>
              <w:rPr>
                <w:rFonts w:ascii="Arial"/>
                <w:sz w:val="21"/>
              </w:rPr>
            </w:pPr>
          </w:p>
        </w:tc>
      </w:tr>
      <w:tr w14:paraId="221D9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681" w:type="dxa"/>
            <w:tcBorders>
              <w:left w:val="single" w:color="000000" w:sz="2" w:space="0"/>
              <w:bottom w:val="single" w:color="000000" w:sz="2" w:space="0"/>
            </w:tcBorders>
            <w:vAlign w:val="top"/>
          </w:tcPr>
          <w:p w14:paraId="112303EF">
            <w:pPr>
              <w:pStyle w:val="14"/>
              <w:spacing w:before="134" w:line="221" w:lineRule="auto"/>
              <w:ind w:left="369"/>
            </w:pPr>
            <w:r>
              <w:rPr>
                <w:spacing w:val="-3"/>
              </w:rPr>
              <w:t>成立时间</w:t>
            </w:r>
          </w:p>
        </w:tc>
        <w:tc>
          <w:tcPr>
            <w:tcW w:w="2420" w:type="dxa"/>
            <w:gridSpan w:val="2"/>
            <w:tcBorders>
              <w:bottom w:val="single" w:color="000000" w:sz="2" w:space="0"/>
            </w:tcBorders>
            <w:vAlign w:val="top"/>
          </w:tcPr>
          <w:p w14:paraId="29B7F6A4">
            <w:pPr>
              <w:rPr>
                <w:rFonts w:ascii="Arial"/>
                <w:sz w:val="21"/>
              </w:rPr>
            </w:pPr>
          </w:p>
        </w:tc>
        <w:tc>
          <w:tcPr>
            <w:tcW w:w="5655" w:type="dxa"/>
            <w:gridSpan w:val="5"/>
            <w:tcBorders>
              <w:bottom w:val="single" w:color="000000" w:sz="2" w:space="0"/>
              <w:right w:val="single" w:color="000000" w:sz="2" w:space="0"/>
            </w:tcBorders>
            <w:vAlign w:val="top"/>
          </w:tcPr>
          <w:p w14:paraId="5C367C85">
            <w:pPr>
              <w:pStyle w:val="14"/>
              <w:spacing w:before="135" w:line="219" w:lineRule="auto"/>
              <w:ind w:left="116"/>
            </w:pPr>
            <w:r>
              <w:rPr>
                <w:spacing w:val="-2"/>
              </w:rPr>
              <w:t>从业人员人数：</w:t>
            </w:r>
          </w:p>
        </w:tc>
      </w:tr>
      <w:tr w14:paraId="6E98C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1681" w:type="dxa"/>
            <w:tcBorders>
              <w:top w:val="single" w:color="000000" w:sz="2" w:space="0"/>
              <w:left w:val="single" w:color="000000" w:sz="2" w:space="0"/>
            </w:tcBorders>
            <w:vAlign w:val="top"/>
          </w:tcPr>
          <w:p w14:paraId="5D232ACF">
            <w:pPr>
              <w:pStyle w:val="14"/>
              <w:spacing w:before="149" w:line="280" w:lineRule="auto"/>
              <w:ind w:left="606" w:right="115" w:hanging="473"/>
            </w:pPr>
            <w:r>
              <w:rPr>
                <w:spacing w:val="-3"/>
              </w:rPr>
              <w:t>统一社会信用</w:t>
            </w:r>
            <w:r>
              <w:rPr>
                <w:spacing w:val="1"/>
              </w:rPr>
              <w:t xml:space="preserve"> </w:t>
            </w:r>
            <w:r>
              <w:rPr>
                <w:spacing w:val="-5"/>
              </w:rPr>
              <w:t>代码</w:t>
            </w:r>
          </w:p>
        </w:tc>
        <w:tc>
          <w:tcPr>
            <w:tcW w:w="2420" w:type="dxa"/>
            <w:gridSpan w:val="2"/>
            <w:tcBorders>
              <w:top w:val="single" w:color="000000" w:sz="2" w:space="0"/>
            </w:tcBorders>
            <w:vAlign w:val="top"/>
          </w:tcPr>
          <w:p w14:paraId="4978434F">
            <w:pPr>
              <w:rPr>
                <w:rFonts w:ascii="Arial"/>
                <w:sz w:val="21"/>
              </w:rPr>
            </w:pPr>
          </w:p>
        </w:tc>
        <w:tc>
          <w:tcPr>
            <w:tcW w:w="1369" w:type="dxa"/>
            <w:vMerge w:val="restart"/>
            <w:tcBorders>
              <w:top w:val="single" w:color="000000" w:sz="2" w:space="0"/>
              <w:bottom w:val="nil"/>
            </w:tcBorders>
            <w:vAlign w:val="top"/>
          </w:tcPr>
          <w:p w14:paraId="7820677F">
            <w:pPr>
              <w:rPr>
                <w:rFonts w:ascii="Arial"/>
                <w:sz w:val="21"/>
              </w:rPr>
            </w:pPr>
          </w:p>
        </w:tc>
        <w:tc>
          <w:tcPr>
            <w:tcW w:w="1874" w:type="dxa"/>
            <w:gridSpan w:val="2"/>
            <w:tcBorders>
              <w:top w:val="single" w:color="000000" w:sz="2" w:space="0"/>
            </w:tcBorders>
            <w:vAlign w:val="top"/>
          </w:tcPr>
          <w:p w14:paraId="28957883">
            <w:pPr>
              <w:spacing w:line="276" w:lineRule="auto"/>
              <w:rPr>
                <w:rFonts w:ascii="Arial"/>
                <w:sz w:val="21"/>
              </w:rPr>
            </w:pPr>
          </w:p>
          <w:p w14:paraId="6E93E8A7">
            <w:pPr>
              <w:pStyle w:val="14"/>
              <w:spacing w:before="78" w:line="219" w:lineRule="auto"/>
              <w:ind w:left="229"/>
            </w:pPr>
            <w:r>
              <w:rPr>
                <w:spacing w:val="-3"/>
              </w:rPr>
              <w:t>高级职称人员</w:t>
            </w:r>
          </w:p>
        </w:tc>
        <w:tc>
          <w:tcPr>
            <w:tcW w:w="2412" w:type="dxa"/>
            <w:gridSpan w:val="2"/>
            <w:tcBorders>
              <w:top w:val="single" w:color="000000" w:sz="2" w:space="0"/>
              <w:right w:val="single" w:color="000000" w:sz="2" w:space="0"/>
            </w:tcBorders>
            <w:vAlign w:val="top"/>
          </w:tcPr>
          <w:p w14:paraId="2A189DFC">
            <w:pPr>
              <w:rPr>
                <w:rFonts w:ascii="Arial"/>
                <w:sz w:val="21"/>
              </w:rPr>
            </w:pPr>
          </w:p>
        </w:tc>
      </w:tr>
      <w:tr w14:paraId="5E812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681" w:type="dxa"/>
            <w:tcBorders>
              <w:left w:val="single" w:color="000000" w:sz="2" w:space="0"/>
            </w:tcBorders>
            <w:vAlign w:val="top"/>
          </w:tcPr>
          <w:p w14:paraId="4DBD31B4">
            <w:pPr>
              <w:pStyle w:val="14"/>
              <w:spacing w:before="135" w:line="221" w:lineRule="auto"/>
              <w:ind w:left="367"/>
            </w:pPr>
            <w:r>
              <w:rPr>
                <w:spacing w:val="-3"/>
              </w:rPr>
              <w:t>注册资金</w:t>
            </w:r>
          </w:p>
        </w:tc>
        <w:tc>
          <w:tcPr>
            <w:tcW w:w="2420" w:type="dxa"/>
            <w:gridSpan w:val="2"/>
            <w:vAlign w:val="top"/>
          </w:tcPr>
          <w:p w14:paraId="7AACAE78">
            <w:pPr>
              <w:rPr>
                <w:rFonts w:ascii="Arial"/>
                <w:sz w:val="21"/>
              </w:rPr>
            </w:pPr>
          </w:p>
        </w:tc>
        <w:tc>
          <w:tcPr>
            <w:tcW w:w="1369" w:type="dxa"/>
            <w:vMerge w:val="continue"/>
            <w:tcBorders>
              <w:top w:val="nil"/>
              <w:bottom w:val="nil"/>
            </w:tcBorders>
            <w:vAlign w:val="top"/>
          </w:tcPr>
          <w:p w14:paraId="174DADA8">
            <w:pPr>
              <w:rPr>
                <w:rFonts w:ascii="Arial"/>
                <w:sz w:val="21"/>
              </w:rPr>
            </w:pPr>
          </w:p>
        </w:tc>
        <w:tc>
          <w:tcPr>
            <w:tcW w:w="1874" w:type="dxa"/>
            <w:gridSpan w:val="2"/>
            <w:vAlign w:val="top"/>
          </w:tcPr>
          <w:p w14:paraId="2D8E06C8">
            <w:pPr>
              <w:pStyle w:val="14"/>
              <w:spacing w:before="135" w:line="220" w:lineRule="auto"/>
              <w:ind w:left="245"/>
            </w:pPr>
            <w:r>
              <w:rPr>
                <w:spacing w:val="-6"/>
              </w:rPr>
              <w:t>中级职称人员</w:t>
            </w:r>
          </w:p>
        </w:tc>
        <w:tc>
          <w:tcPr>
            <w:tcW w:w="2412" w:type="dxa"/>
            <w:gridSpan w:val="2"/>
            <w:tcBorders>
              <w:right w:val="single" w:color="000000" w:sz="2" w:space="0"/>
            </w:tcBorders>
            <w:vAlign w:val="top"/>
          </w:tcPr>
          <w:p w14:paraId="6343172C">
            <w:pPr>
              <w:rPr>
                <w:rFonts w:ascii="Arial"/>
                <w:sz w:val="21"/>
              </w:rPr>
            </w:pPr>
          </w:p>
        </w:tc>
      </w:tr>
      <w:tr w14:paraId="20C79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81" w:type="dxa"/>
            <w:tcBorders>
              <w:left w:val="single" w:color="000000" w:sz="2" w:space="0"/>
            </w:tcBorders>
            <w:vAlign w:val="top"/>
          </w:tcPr>
          <w:p w14:paraId="5D1F9C0E">
            <w:pPr>
              <w:pStyle w:val="14"/>
              <w:spacing w:before="146" w:line="220" w:lineRule="auto"/>
              <w:ind w:left="368"/>
            </w:pPr>
            <w:r>
              <w:rPr>
                <w:spacing w:val="-3"/>
              </w:rPr>
              <w:t>开户银行</w:t>
            </w:r>
          </w:p>
        </w:tc>
        <w:tc>
          <w:tcPr>
            <w:tcW w:w="2420" w:type="dxa"/>
            <w:gridSpan w:val="2"/>
            <w:vAlign w:val="top"/>
          </w:tcPr>
          <w:p w14:paraId="6E434789">
            <w:pPr>
              <w:rPr>
                <w:rFonts w:ascii="Arial"/>
                <w:sz w:val="21"/>
              </w:rPr>
            </w:pPr>
          </w:p>
        </w:tc>
        <w:tc>
          <w:tcPr>
            <w:tcW w:w="1369" w:type="dxa"/>
            <w:vMerge w:val="continue"/>
            <w:tcBorders>
              <w:top w:val="nil"/>
              <w:bottom w:val="nil"/>
            </w:tcBorders>
            <w:vAlign w:val="top"/>
          </w:tcPr>
          <w:p w14:paraId="6FD51228">
            <w:pPr>
              <w:rPr>
                <w:rFonts w:ascii="Arial"/>
                <w:sz w:val="21"/>
              </w:rPr>
            </w:pPr>
          </w:p>
        </w:tc>
        <w:tc>
          <w:tcPr>
            <w:tcW w:w="1874" w:type="dxa"/>
            <w:gridSpan w:val="2"/>
            <w:vAlign w:val="top"/>
          </w:tcPr>
          <w:p w14:paraId="056E5D6C">
            <w:pPr>
              <w:pStyle w:val="14"/>
              <w:spacing w:before="146" w:line="221" w:lineRule="auto"/>
              <w:ind w:left="221"/>
            </w:pPr>
            <w:r>
              <w:rPr>
                <w:spacing w:val="-2"/>
              </w:rPr>
              <w:t>初级职称人员</w:t>
            </w:r>
          </w:p>
        </w:tc>
        <w:tc>
          <w:tcPr>
            <w:tcW w:w="2412" w:type="dxa"/>
            <w:gridSpan w:val="2"/>
            <w:tcBorders>
              <w:right w:val="single" w:color="000000" w:sz="2" w:space="0"/>
            </w:tcBorders>
            <w:vAlign w:val="top"/>
          </w:tcPr>
          <w:p w14:paraId="2930925C">
            <w:pPr>
              <w:rPr>
                <w:rFonts w:ascii="Arial"/>
                <w:sz w:val="21"/>
              </w:rPr>
            </w:pPr>
          </w:p>
        </w:tc>
      </w:tr>
      <w:tr w14:paraId="25946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681" w:type="dxa"/>
            <w:tcBorders>
              <w:left w:val="single" w:color="000000" w:sz="2" w:space="0"/>
              <w:bottom w:val="single" w:color="000000" w:sz="2" w:space="0"/>
            </w:tcBorders>
            <w:vAlign w:val="top"/>
          </w:tcPr>
          <w:p w14:paraId="537660D5">
            <w:pPr>
              <w:pStyle w:val="14"/>
              <w:spacing w:before="134" w:line="221" w:lineRule="auto"/>
              <w:ind w:left="611"/>
            </w:pPr>
            <w:r>
              <w:rPr>
                <w:spacing w:val="-7"/>
              </w:rPr>
              <w:t>账号</w:t>
            </w:r>
          </w:p>
        </w:tc>
        <w:tc>
          <w:tcPr>
            <w:tcW w:w="2420" w:type="dxa"/>
            <w:gridSpan w:val="2"/>
            <w:tcBorders>
              <w:bottom w:val="single" w:color="000000" w:sz="2" w:space="0"/>
            </w:tcBorders>
            <w:vAlign w:val="top"/>
          </w:tcPr>
          <w:p w14:paraId="3EF3ED4E">
            <w:pPr>
              <w:rPr>
                <w:rFonts w:ascii="Arial"/>
                <w:sz w:val="21"/>
              </w:rPr>
            </w:pPr>
          </w:p>
        </w:tc>
        <w:tc>
          <w:tcPr>
            <w:tcW w:w="1369" w:type="dxa"/>
            <w:vMerge w:val="continue"/>
            <w:tcBorders>
              <w:top w:val="nil"/>
              <w:bottom w:val="single" w:color="000000" w:sz="2" w:space="0"/>
            </w:tcBorders>
            <w:vAlign w:val="top"/>
          </w:tcPr>
          <w:p w14:paraId="2DD44673">
            <w:pPr>
              <w:rPr>
                <w:rFonts w:ascii="Arial"/>
                <w:sz w:val="21"/>
              </w:rPr>
            </w:pPr>
          </w:p>
        </w:tc>
        <w:tc>
          <w:tcPr>
            <w:tcW w:w="1874" w:type="dxa"/>
            <w:gridSpan w:val="2"/>
            <w:tcBorders>
              <w:bottom w:val="single" w:color="000000" w:sz="2" w:space="0"/>
            </w:tcBorders>
            <w:vAlign w:val="top"/>
          </w:tcPr>
          <w:p w14:paraId="27B8D2D4">
            <w:pPr>
              <w:pStyle w:val="14"/>
              <w:spacing w:before="135" w:line="220" w:lineRule="auto"/>
              <w:ind w:left="703"/>
            </w:pPr>
            <w:r>
              <w:rPr>
                <w:spacing w:val="-6"/>
              </w:rPr>
              <w:t>其他</w:t>
            </w:r>
          </w:p>
        </w:tc>
        <w:tc>
          <w:tcPr>
            <w:tcW w:w="2412" w:type="dxa"/>
            <w:gridSpan w:val="2"/>
            <w:tcBorders>
              <w:bottom w:val="single" w:color="000000" w:sz="2" w:space="0"/>
              <w:right w:val="single" w:color="000000" w:sz="2" w:space="0"/>
            </w:tcBorders>
            <w:vAlign w:val="top"/>
          </w:tcPr>
          <w:p w14:paraId="6BF76AE9">
            <w:pPr>
              <w:rPr>
                <w:rFonts w:ascii="Arial"/>
                <w:sz w:val="21"/>
              </w:rPr>
            </w:pPr>
          </w:p>
        </w:tc>
      </w:tr>
      <w:tr w14:paraId="5E781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5" w:hRule="atLeast"/>
        </w:trPr>
        <w:tc>
          <w:tcPr>
            <w:tcW w:w="1681" w:type="dxa"/>
            <w:tcBorders>
              <w:top w:val="single" w:color="000000" w:sz="2" w:space="0"/>
              <w:left w:val="single" w:color="000000" w:sz="2" w:space="0"/>
            </w:tcBorders>
            <w:vAlign w:val="top"/>
          </w:tcPr>
          <w:p w14:paraId="23099AC5">
            <w:pPr>
              <w:spacing w:line="346" w:lineRule="auto"/>
              <w:rPr>
                <w:rFonts w:ascii="Arial"/>
                <w:sz w:val="21"/>
              </w:rPr>
            </w:pPr>
          </w:p>
          <w:p w14:paraId="77E48879">
            <w:pPr>
              <w:pStyle w:val="14"/>
              <w:spacing w:before="78" w:line="293" w:lineRule="auto"/>
              <w:ind w:left="611" w:right="235" w:hanging="365"/>
            </w:pPr>
            <w:r>
              <w:rPr>
                <w:spacing w:val="-2"/>
              </w:rPr>
              <w:t>近三年财务</w:t>
            </w:r>
            <w:r>
              <w:t xml:space="preserve"> </w:t>
            </w:r>
            <w:r>
              <w:rPr>
                <w:spacing w:val="-8"/>
              </w:rPr>
              <w:t>简况</w:t>
            </w:r>
          </w:p>
        </w:tc>
        <w:tc>
          <w:tcPr>
            <w:tcW w:w="8075" w:type="dxa"/>
            <w:gridSpan w:val="7"/>
            <w:tcBorders>
              <w:top w:val="single" w:color="000000" w:sz="2" w:space="0"/>
              <w:right w:val="single" w:color="000000" w:sz="2" w:space="0"/>
            </w:tcBorders>
            <w:vAlign w:val="top"/>
          </w:tcPr>
          <w:p w14:paraId="4CEEEA6B">
            <w:pPr>
              <w:spacing w:line="226" w:lineRule="exact"/>
            </w:pPr>
          </w:p>
          <w:tbl>
            <w:tblPr>
              <w:tblStyle w:val="13"/>
              <w:tblW w:w="7132" w:type="dxa"/>
              <w:tblInd w:w="112"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130"/>
              <w:gridCol w:w="1918"/>
              <w:gridCol w:w="2037"/>
              <w:gridCol w:w="1047"/>
            </w:tblGrid>
            <w:tr w14:paraId="5DE1BE7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0" w:hRule="atLeast"/>
              </w:trPr>
              <w:tc>
                <w:tcPr>
                  <w:tcW w:w="2130" w:type="dxa"/>
                  <w:vAlign w:val="top"/>
                </w:tcPr>
                <w:p w14:paraId="5701E396">
                  <w:pPr>
                    <w:pStyle w:val="14"/>
                    <w:spacing w:line="219" w:lineRule="auto"/>
                  </w:pPr>
                  <w:r>
                    <w:rPr>
                      <w:spacing w:val="-2"/>
                    </w:rPr>
                    <w:t>2022年度净资产：</w:t>
                  </w:r>
                </w:p>
              </w:tc>
              <w:tc>
                <w:tcPr>
                  <w:tcW w:w="1918" w:type="dxa"/>
                  <w:vAlign w:val="top"/>
                </w:tcPr>
                <w:p w14:paraId="7AB3B708">
                  <w:pPr>
                    <w:pStyle w:val="14"/>
                    <w:spacing w:line="219" w:lineRule="auto"/>
                    <w:ind w:left="397"/>
                  </w:pPr>
                  <w:r>
                    <w:rPr>
                      <w:spacing w:val="-4"/>
                    </w:rPr>
                    <w:t>资产总额：</w:t>
                  </w:r>
                </w:p>
              </w:tc>
              <w:tc>
                <w:tcPr>
                  <w:tcW w:w="2037" w:type="dxa"/>
                  <w:vAlign w:val="top"/>
                </w:tcPr>
                <w:p w14:paraId="5963A278">
                  <w:pPr>
                    <w:pStyle w:val="14"/>
                    <w:spacing w:line="219" w:lineRule="auto"/>
                    <w:ind w:left="516"/>
                  </w:pPr>
                  <w:r>
                    <w:rPr>
                      <w:spacing w:val="-4"/>
                    </w:rPr>
                    <w:t>营业收入：</w:t>
                  </w:r>
                </w:p>
              </w:tc>
              <w:tc>
                <w:tcPr>
                  <w:tcW w:w="1047" w:type="dxa"/>
                  <w:vAlign w:val="top"/>
                </w:tcPr>
                <w:p w14:paraId="0EA8AD39">
                  <w:pPr>
                    <w:pStyle w:val="14"/>
                    <w:spacing w:line="220" w:lineRule="auto"/>
                    <w:jc w:val="right"/>
                  </w:pPr>
                  <w:r>
                    <w:rPr>
                      <w:spacing w:val="-29"/>
                      <w:w w:val="86"/>
                    </w:rPr>
                    <w:t>利润：</w:t>
                  </w:r>
                </w:p>
              </w:tc>
            </w:tr>
            <w:tr w14:paraId="2E4EA43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1" w:hRule="atLeast"/>
              </w:trPr>
              <w:tc>
                <w:tcPr>
                  <w:tcW w:w="2130" w:type="dxa"/>
                  <w:vAlign w:val="top"/>
                </w:tcPr>
                <w:p w14:paraId="45209FDE">
                  <w:pPr>
                    <w:pStyle w:val="14"/>
                    <w:spacing w:before="81" w:line="219" w:lineRule="auto"/>
                  </w:pPr>
                  <w:r>
                    <w:rPr>
                      <w:spacing w:val="-2"/>
                    </w:rPr>
                    <w:t>2023年度净资产：</w:t>
                  </w:r>
                </w:p>
              </w:tc>
              <w:tc>
                <w:tcPr>
                  <w:tcW w:w="1918" w:type="dxa"/>
                  <w:vAlign w:val="top"/>
                </w:tcPr>
                <w:p w14:paraId="7E552C41">
                  <w:pPr>
                    <w:pStyle w:val="14"/>
                    <w:spacing w:before="81" w:line="219" w:lineRule="auto"/>
                    <w:ind w:left="397"/>
                  </w:pPr>
                  <w:r>
                    <w:rPr>
                      <w:spacing w:val="-4"/>
                    </w:rPr>
                    <w:t>资产总额：</w:t>
                  </w:r>
                </w:p>
              </w:tc>
              <w:tc>
                <w:tcPr>
                  <w:tcW w:w="2037" w:type="dxa"/>
                  <w:vAlign w:val="top"/>
                </w:tcPr>
                <w:p w14:paraId="25DBF77C">
                  <w:pPr>
                    <w:pStyle w:val="14"/>
                    <w:spacing w:before="81" w:line="219" w:lineRule="auto"/>
                    <w:ind w:left="516"/>
                  </w:pPr>
                  <w:r>
                    <w:rPr>
                      <w:spacing w:val="-4"/>
                    </w:rPr>
                    <w:t>营业收入：</w:t>
                  </w:r>
                </w:p>
              </w:tc>
              <w:tc>
                <w:tcPr>
                  <w:tcW w:w="1047" w:type="dxa"/>
                  <w:vAlign w:val="top"/>
                </w:tcPr>
                <w:p w14:paraId="6F67CD18">
                  <w:pPr>
                    <w:pStyle w:val="14"/>
                    <w:spacing w:before="80" w:line="220" w:lineRule="auto"/>
                    <w:jc w:val="right"/>
                  </w:pPr>
                  <w:r>
                    <w:rPr>
                      <w:spacing w:val="-29"/>
                      <w:w w:val="86"/>
                    </w:rPr>
                    <w:t>利润：</w:t>
                  </w:r>
                </w:p>
              </w:tc>
            </w:tr>
            <w:tr w14:paraId="18539EF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0" w:hRule="atLeast"/>
              </w:trPr>
              <w:tc>
                <w:tcPr>
                  <w:tcW w:w="2130" w:type="dxa"/>
                  <w:vAlign w:val="top"/>
                </w:tcPr>
                <w:p w14:paraId="7B7FE64A">
                  <w:pPr>
                    <w:pStyle w:val="14"/>
                    <w:spacing w:before="81" w:line="176" w:lineRule="auto"/>
                  </w:pPr>
                  <w:r>
                    <w:rPr>
                      <w:spacing w:val="-2"/>
                    </w:rPr>
                    <w:t>2024年度净资产：</w:t>
                  </w:r>
                </w:p>
              </w:tc>
              <w:tc>
                <w:tcPr>
                  <w:tcW w:w="1918" w:type="dxa"/>
                  <w:vAlign w:val="top"/>
                </w:tcPr>
                <w:p w14:paraId="057D7999">
                  <w:pPr>
                    <w:pStyle w:val="14"/>
                    <w:spacing w:before="81" w:line="176" w:lineRule="auto"/>
                    <w:ind w:left="397"/>
                  </w:pPr>
                  <w:r>
                    <w:rPr>
                      <w:spacing w:val="-4"/>
                    </w:rPr>
                    <w:t>资产总额：</w:t>
                  </w:r>
                </w:p>
              </w:tc>
              <w:tc>
                <w:tcPr>
                  <w:tcW w:w="2037" w:type="dxa"/>
                  <w:vAlign w:val="top"/>
                </w:tcPr>
                <w:p w14:paraId="1DBE805A">
                  <w:pPr>
                    <w:pStyle w:val="14"/>
                    <w:spacing w:before="81" w:line="176" w:lineRule="auto"/>
                    <w:ind w:left="516"/>
                  </w:pPr>
                  <w:r>
                    <w:rPr>
                      <w:spacing w:val="-4"/>
                    </w:rPr>
                    <w:t>营业收入：</w:t>
                  </w:r>
                </w:p>
              </w:tc>
              <w:tc>
                <w:tcPr>
                  <w:tcW w:w="1047" w:type="dxa"/>
                  <w:vAlign w:val="top"/>
                </w:tcPr>
                <w:p w14:paraId="7C148BCA">
                  <w:pPr>
                    <w:pStyle w:val="14"/>
                    <w:spacing w:before="81" w:line="176" w:lineRule="auto"/>
                    <w:jc w:val="right"/>
                  </w:pPr>
                  <w:r>
                    <w:rPr>
                      <w:spacing w:val="-29"/>
                      <w:w w:val="86"/>
                    </w:rPr>
                    <w:t>利润：</w:t>
                  </w:r>
                </w:p>
              </w:tc>
            </w:tr>
          </w:tbl>
          <w:p w14:paraId="0CECBE6F">
            <w:pPr>
              <w:spacing w:line="147" w:lineRule="exact"/>
              <w:rPr>
                <w:rFonts w:ascii="Arial"/>
                <w:sz w:val="12"/>
              </w:rPr>
            </w:pPr>
          </w:p>
        </w:tc>
      </w:tr>
      <w:tr w14:paraId="755CD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1681" w:type="dxa"/>
            <w:tcBorders>
              <w:left w:val="single" w:color="000000" w:sz="2" w:space="0"/>
              <w:bottom w:val="single" w:color="000000" w:sz="2" w:space="0"/>
            </w:tcBorders>
            <w:vAlign w:val="top"/>
          </w:tcPr>
          <w:p w14:paraId="4274A668">
            <w:pPr>
              <w:spacing w:line="305" w:lineRule="auto"/>
              <w:rPr>
                <w:rFonts w:ascii="Arial"/>
                <w:sz w:val="21"/>
              </w:rPr>
            </w:pPr>
          </w:p>
          <w:p w14:paraId="6A87F057">
            <w:pPr>
              <w:spacing w:line="305" w:lineRule="auto"/>
              <w:rPr>
                <w:rFonts w:ascii="Arial"/>
                <w:sz w:val="21"/>
              </w:rPr>
            </w:pPr>
          </w:p>
          <w:p w14:paraId="504C831B">
            <w:pPr>
              <w:pStyle w:val="14"/>
              <w:spacing w:before="78" w:line="220" w:lineRule="auto"/>
              <w:ind w:left="369"/>
            </w:pPr>
            <w:r>
              <w:rPr>
                <w:spacing w:val="-3"/>
              </w:rPr>
              <w:t>经营范围</w:t>
            </w:r>
          </w:p>
        </w:tc>
        <w:tc>
          <w:tcPr>
            <w:tcW w:w="8075" w:type="dxa"/>
            <w:gridSpan w:val="7"/>
            <w:tcBorders>
              <w:bottom w:val="single" w:color="000000" w:sz="2" w:space="0"/>
              <w:right w:val="single" w:color="000000" w:sz="2" w:space="0"/>
            </w:tcBorders>
            <w:vAlign w:val="top"/>
          </w:tcPr>
          <w:p w14:paraId="1C486F51">
            <w:pPr>
              <w:rPr>
                <w:rFonts w:ascii="Arial"/>
                <w:sz w:val="21"/>
              </w:rPr>
            </w:pPr>
          </w:p>
        </w:tc>
      </w:tr>
      <w:tr w14:paraId="38E43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1" w:hRule="atLeast"/>
        </w:trPr>
        <w:tc>
          <w:tcPr>
            <w:tcW w:w="1681" w:type="dxa"/>
            <w:tcBorders>
              <w:top w:val="single" w:color="000000" w:sz="2" w:space="0"/>
              <w:left w:val="single" w:color="000000" w:sz="2" w:space="0"/>
              <w:bottom w:val="single" w:color="000000" w:sz="2" w:space="0"/>
            </w:tcBorders>
            <w:vAlign w:val="top"/>
          </w:tcPr>
          <w:p w14:paraId="37F629BB">
            <w:pPr>
              <w:spacing w:line="306" w:lineRule="auto"/>
              <w:rPr>
                <w:rFonts w:ascii="Arial"/>
                <w:sz w:val="21"/>
              </w:rPr>
            </w:pPr>
          </w:p>
          <w:p w14:paraId="6104C0DF">
            <w:pPr>
              <w:spacing w:line="307" w:lineRule="auto"/>
              <w:rPr>
                <w:rFonts w:ascii="Arial"/>
                <w:sz w:val="21"/>
              </w:rPr>
            </w:pPr>
          </w:p>
          <w:p w14:paraId="1839BED8">
            <w:pPr>
              <w:pStyle w:val="14"/>
              <w:spacing w:before="78" w:line="221" w:lineRule="auto"/>
              <w:ind w:left="600"/>
            </w:pPr>
            <w:r>
              <w:rPr>
                <w:spacing w:val="-7"/>
              </w:rPr>
              <w:t>备注</w:t>
            </w:r>
          </w:p>
        </w:tc>
        <w:tc>
          <w:tcPr>
            <w:tcW w:w="8075" w:type="dxa"/>
            <w:gridSpan w:val="7"/>
            <w:tcBorders>
              <w:top w:val="single" w:color="000000" w:sz="2" w:space="0"/>
              <w:bottom w:val="single" w:color="000000" w:sz="2" w:space="0"/>
              <w:right w:val="single" w:color="000000" w:sz="2" w:space="0"/>
            </w:tcBorders>
            <w:vAlign w:val="top"/>
          </w:tcPr>
          <w:p w14:paraId="45CFECF5">
            <w:pPr>
              <w:rPr>
                <w:rFonts w:ascii="Arial"/>
                <w:sz w:val="21"/>
              </w:rPr>
            </w:pPr>
          </w:p>
        </w:tc>
      </w:tr>
    </w:tbl>
    <w:p w14:paraId="052126C7">
      <w:pPr>
        <w:rPr>
          <w:rFonts w:ascii="Arial"/>
          <w:sz w:val="21"/>
        </w:rPr>
      </w:pPr>
    </w:p>
    <w:p w14:paraId="327194B4">
      <w:pPr>
        <w:rPr>
          <w:rFonts w:ascii="Arial" w:hAnsi="Arial" w:eastAsia="Arial" w:cs="Arial"/>
          <w:sz w:val="21"/>
          <w:szCs w:val="21"/>
        </w:rPr>
        <w:sectPr>
          <w:headerReference r:id="rId52" w:type="default"/>
          <w:footerReference r:id="rId53" w:type="default"/>
          <w:pgSz w:w="11906" w:h="16839"/>
          <w:pgMar w:top="1058" w:right="1072" w:bottom="1155" w:left="1072" w:header="855" w:footer="992" w:gutter="0"/>
          <w:pgNumType w:fmt="decimal"/>
          <w:cols w:space="720" w:num="1"/>
        </w:sectPr>
      </w:pPr>
    </w:p>
    <w:p w14:paraId="6E209B9C">
      <w:pPr>
        <w:pStyle w:val="2"/>
        <w:spacing w:before="189" w:line="219" w:lineRule="auto"/>
        <w:ind w:left="35"/>
        <w:rPr>
          <w:sz w:val="30"/>
          <w:szCs w:val="30"/>
        </w:rPr>
      </w:pPr>
      <w:r>
        <w:rPr>
          <w:b/>
          <w:bCs/>
          <w:spacing w:val="-12"/>
          <w:sz w:val="30"/>
          <w:szCs w:val="30"/>
        </w:rPr>
        <w:t>附表九：</w:t>
      </w:r>
    </w:p>
    <w:p w14:paraId="5C821A0E">
      <w:pPr>
        <w:pStyle w:val="2"/>
        <w:spacing w:before="269" w:line="219" w:lineRule="auto"/>
        <w:ind w:left="3531"/>
        <w:outlineLvl w:val="0"/>
        <w:rPr>
          <w:sz w:val="30"/>
          <w:szCs w:val="30"/>
        </w:rPr>
      </w:pPr>
      <w:r>
        <w:rPr>
          <w:b/>
          <w:bCs/>
          <w:spacing w:val="-7"/>
          <w:sz w:val="30"/>
          <w:szCs w:val="30"/>
        </w:rPr>
        <w:t>资格证明文件</w:t>
      </w:r>
    </w:p>
    <w:p w14:paraId="4AB87DFC">
      <w:pPr>
        <w:pStyle w:val="2"/>
        <w:spacing w:before="217" w:line="219" w:lineRule="auto"/>
        <w:ind w:left="28"/>
      </w:pPr>
      <w:r>
        <w:rPr>
          <w:b/>
          <w:bCs/>
          <w:spacing w:val="-3"/>
        </w:rPr>
        <w:t>附件</w:t>
      </w:r>
      <w:r>
        <w:rPr>
          <w:spacing w:val="-50"/>
        </w:rPr>
        <w:t xml:space="preserve"> </w:t>
      </w:r>
      <w:r>
        <w:rPr>
          <w:b/>
          <w:bCs/>
          <w:spacing w:val="-3"/>
        </w:rPr>
        <w:t>9-1</w:t>
      </w:r>
      <w:r>
        <w:rPr>
          <w:spacing w:val="-47"/>
        </w:rPr>
        <w:t xml:space="preserve"> </w:t>
      </w:r>
      <w:r>
        <w:rPr>
          <w:b/>
          <w:bCs/>
          <w:spacing w:val="-3"/>
        </w:rPr>
        <w:t>有效的企业法人营业执照复印件（</w:t>
      </w:r>
      <w:r>
        <w:rPr>
          <w:b/>
          <w:bCs/>
          <w:spacing w:val="-4"/>
        </w:rPr>
        <w:t>复印件须加盖供应商公章</w:t>
      </w:r>
      <w:r>
        <w:rPr>
          <w:b/>
          <w:bCs/>
          <w:spacing w:val="-62"/>
          <w:w w:val="97"/>
        </w:rPr>
        <w:t>）；</w:t>
      </w:r>
    </w:p>
    <w:p w14:paraId="08D90E73">
      <w:pPr>
        <w:spacing w:line="269" w:lineRule="auto"/>
        <w:rPr>
          <w:rFonts w:ascii="Arial"/>
          <w:sz w:val="21"/>
        </w:rPr>
      </w:pPr>
    </w:p>
    <w:p w14:paraId="6653B8E8">
      <w:pPr>
        <w:spacing w:line="269" w:lineRule="auto"/>
        <w:rPr>
          <w:rFonts w:ascii="Arial"/>
          <w:sz w:val="21"/>
        </w:rPr>
      </w:pPr>
    </w:p>
    <w:p w14:paraId="03860887">
      <w:pPr>
        <w:spacing w:line="269" w:lineRule="auto"/>
        <w:rPr>
          <w:rFonts w:ascii="Arial"/>
          <w:sz w:val="21"/>
        </w:rPr>
      </w:pPr>
    </w:p>
    <w:p w14:paraId="12FBE24C">
      <w:pPr>
        <w:spacing w:line="269" w:lineRule="auto"/>
        <w:rPr>
          <w:rFonts w:ascii="Arial"/>
          <w:sz w:val="21"/>
        </w:rPr>
      </w:pPr>
    </w:p>
    <w:p w14:paraId="77E45A39">
      <w:pPr>
        <w:spacing w:line="269" w:lineRule="auto"/>
        <w:rPr>
          <w:rFonts w:ascii="Arial"/>
          <w:sz w:val="21"/>
        </w:rPr>
      </w:pPr>
    </w:p>
    <w:p w14:paraId="790080E9">
      <w:pPr>
        <w:pStyle w:val="2"/>
        <w:spacing w:before="78" w:line="219" w:lineRule="auto"/>
        <w:ind w:left="28"/>
        <w:outlineLvl w:val="0"/>
      </w:pPr>
      <w:r>
        <w:rPr>
          <w:b/>
          <w:bCs/>
          <w:spacing w:val="-4"/>
        </w:rPr>
        <w:t>附件</w:t>
      </w:r>
      <w:r>
        <w:rPr>
          <w:spacing w:val="-49"/>
        </w:rPr>
        <w:t xml:space="preserve"> </w:t>
      </w:r>
      <w:r>
        <w:rPr>
          <w:b/>
          <w:bCs/>
          <w:spacing w:val="-4"/>
        </w:rPr>
        <w:t>9-2</w:t>
      </w:r>
      <w:r>
        <w:rPr>
          <w:spacing w:val="-4"/>
        </w:rPr>
        <w:t xml:space="preserve"> </w:t>
      </w:r>
      <w:r>
        <w:rPr>
          <w:b/>
          <w:bCs/>
          <w:spacing w:val="-4"/>
        </w:rPr>
        <w:t>法定代表人授权书格式</w:t>
      </w:r>
    </w:p>
    <w:p w14:paraId="4226DD15">
      <w:pPr>
        <w:spacing w:line="286" w:lineRule="auto"/>
        <w:rPr>
          <w:rFonts w:ascii="Arial"/>
          <w:sz w:val="21"/>
        </w:rPr>
      </w:pPr>
    </w:p>
    <w:p w14:paraId="545029C7">
      <w:pPr>
        <w:spacing w:line="286" w:lineRule="auto"/>
        <w:rPr>
          <w:rFonts w:ascii="Arial"/>
          <w:sz w:val="21"/>
        </w:rPr>
      </w:pPr>
    </w:p>
    <w:p w14:paraId="2B2908FB">
      <w:pPr>
        <w:pStyle w:val="2"/>
        <w:tabs>
          <w:tab w:val="left" w:pos="135"/>
        </w:tabs>
        <w:spacing w:before="78" w:line="353" w:lineRule="auto"/>
        <w:ind w:right="97" w:firstLine="564"/>
        <w:jc w:val="both"/>
      </w:pPr>
      <w:r>
        <w:rPr>
          <w:spacing w:val="-3"/>
        </w:rPr>
        <w:t>本授权书声明：注册于</w:t>
      </w:r>
      <w:r>
        <w:rPr>
          <w:spacing w:val="-3"/>
          <w:u w:val="single" w:color="auto"/>
        </w:rPr>
        <w:t>（地区的名称）</w:t>
      </w:r>
      <w:r>
        <w:rPr>
          <w:spacing w:val="-3"/>
        </w:rPr>
        <w:t>的（</w:t>
      </w:r>
      <w:r>
        <w:rPr>
          <w:spacing w:val="-88"/>
        </w:rPr>
        <w:t xml:space="preserve"> </w:t>
      </w:r>
      <w:r>
        <w:rPr>
          <w:spacing w:val="-103"/>
          <w:u w:val="single" w:color="auto"/>
        </w:rPr>
        <w:t xml:space="preserve"> </w:t>
      </w:r>
      <w:r>
        <w:rPr>
          <w:spacing w:val="-3"/>
          <w:u w:val="single" w:color="auto"/>
        </w:rPr>
        <w:t>公司名称</w:t>
      </w:r>
      <w:r>
        <w:rPr>
          <w:spacing w:val="-48"/>
          <w:u w:val="single" w:color="auto"/>
        </w:rPr>
        <w:t>），</w:t>
      </w:r>
      <w:r>
        <w:rPr>
          <w:spacing w:val="-3"/>
        </w:rPr>
        <w:t>在下面签字的法人代表</w:t>
      </w:r>
      <w:r>
        <w:t xml:space="preserve"> </w:t>
      </w:r>
      <w:r>
        <w:rPr>
          <w:u w:val="single" w:color="auto"/>
        </w:rPr>
        <w:tab/>
      </w:r>
      <w:r>
        <w:rPr>
          <w:spacing w:val="-3"/>
          <w:u w:val="single" w:color="auto"/>
        </w:rPr>
        <w:t>（姓名、职务、身份证号码</w:t>
      </w:r>
      <w:r>
        <w:rPr>
          <w:spacing w:val="-46"/>
          <w:u w:val="single" w:color="auto"/>
        </w:rPr>
        <w:t>），</w:t>
      </w:r>
      <w:r>
        <w:rPr>
          <w:spacing w:val="-3"/>
        </w:rPr>
        <w:t>代表本公司授权在下面签字的</w:t>
      </w:r>
      <w:r>
        <w:rPr>
          <w:spacing w:val="-3"/>
          <w:u w:val="single" w:color="auto"/>
        </w:rPr>
        <w:t>（被授权人的姓名、职</w:t>
      </w:r>
      <w:r>
        <w:t xml:space="preserve"> </w:t>
      </w:r>
      <w:r>
        <w:rPr>
          <w:spacing w:val="2"/>
          <w:u w:val="single" w:color="auto"/>
        </w:rPr>
        <w:t>务、身份证号码）</w:t>
      </w:r>
      <w:r>
        <w:rPr>
          <w:spacing w:val="2"/>
        </w:rPr>
        <w:t>为本公司的合法代理人，就</w:t>
      </w:r>
      <w:r>
        <w:rPr>
          <w:spacing w:val="2"/>
          <w:u w:val="single" w:color="auto"/>
        </w:rPr>
        <w:t>（</w:t>
      </w:r>
      <w:r>
        <w:rPr>
          <w:spacing w:val="1"/>
          <w:u w:val="single" w:color="auto"/>
        </w:rPr>
        <w:t>项目名称/编号）</w:t>
      </w:r>
      <w:r>
        <w:rPr>
          <w:spacing w:val="1"/>
        </w:rPr>
        <w:t>的投标，以本公司</w:t>
      </w:r>
      <w:r>
        <w:t xml:space="preserve"> </w:t>
      </w:r>
      <w:r>
        <w:rPr>
          <w:spacing w:val="-1"/>
        </w:rPr>
        <w:t>的名义处理一切与之有关的事务。</w:t>
      </w:r>
    </w:p>
    <w:p w14:paraId="3D3F7780">
      <w:pPr>
        <w:pStyle w:val="2"/>
        <w:spacing w:before="34" w:line="219" w:lineRule="auto"/>
        <w:ind w:left="444"/>
      </w:pPr>
      <w:r>
        <w:rPr>
          <w:spacing w:val="-4"/>
        </w:rPr>
        <w:t>本授权书于</w:t>
      </w:r>
      <w:r>
        <w:rPr>
          <w:spacing w:val="-33"/>
        </w:rPr>
        <w:t xml:space="preserve"> </w:t>
      </w:r>
      <w:r>
        <w:rPr>
          <w:spacing w:val="-4"/>
        </w:rPr>
        <w:t>20</w:t>
      </w:r>
      <w:r>
        <w:rPr>
          <w:spacing w:val="-4"/>
          <w:u w:val="single" w:color="auto"/>
        </w:rPr>
        <w:t xml:space="preserve">   </w:t>
      </w:r>
      <w:r>
        <w:rPr>
          <w:spacing w:val="-109"/>
        </w:rPr>
        <w:t xml:space="preserve"> </w:t>
      </w:r>
      <w:r>
        <w:rPr>
          <w:spacing w:val="-4"/>
        </w:rPr>
        <w:t>年</w:t>
      </w:r>
      <w:r>
        <w:rPr>
          <w:spacing w:val="-4"/>
          <w:u w:val="single" w:color="auto"/>
        </w:rPr>
        <w:t xml:space="preserve">   </w:t>
      </w:r>
      <w:r>
        <w:rPr>
          <w:spacing w:val="-105"/>
        </w:rPr>
        <w:t xml:space="preserve"> </w:t>
      </w:r>
      <w:r>
        <w:rPr>
          <w:spacing w:val="-4"/>
        </w:rPr>
        <w:t>月</w:t>
      </w:r>
      <w:r>
        <w:rPr>
          <w:spacing w:val="-4"/>
          <w:u w:val="single" w:color="auto"/>
        </w:rPr>
        <w:t xml:space="preserve">   </w:t>
      </w:r>
      <w:r>
        <w:rPr>
          <w:spacing w:val="-69"/>
        </w:rPr>
        <w:t xml:space="preserve"> </w:t>
      </w:r>
      <w:r>
        <w:rPr>
          <w:spacing w:val="-4"/>
        </w:rPr>
        <w:t>日签字生效，特此声明。</w:t>
      </w:r>
    </w:p>
    <w:p w14:paraId="511AE630">
      <w:pPr>
        <w:spacing w:line="284" w:lineRule="auto"/>
        <w:rPr>
          <w:rFonts w:ascii="Arial"/>
          <w:sz w:val="21"/>
        </w:rPr>
      </w:pPr>
    </w:p>
    <w:p w14:paraId="5570BC27">
      <w:pPr>
        <w:spacing w:line="285" w:lineRule="auto"/>
        <w:rPr>
          <w:rFonts w:ascii="Arial"/>
          <w:sz w:val="21"/>
        </w:rPr>
      </w:pPr>
    </w:p>
    <w:p w14:paraId="5F106F31">
      <w:pPr>
        <w:pStyle w:val="2"/>
        <w:spacing w:before="78" w:line="347" w:lineRule="auto"/>
        <w:ind w:left="443" w:right="5543"/>
      </w:pPr>
      <w:r>
        <w:rPr>
          <w:spacing w:val="-1"/>
        </w:rPr>
        <w:t>法定代表人（盖章或签字</w:t>
      </w:r>
      <w:r>
        <w:rPr>
          <w:spacing w:val="-54"/>
          <w:w w:val="84"/>
        </w:rPr>
        <w:t>）：</w:t>
      </w:r>
      <w:r>
        <w:rPr>
          <w:spacing w:val="4"/>
        </w:rPr>
        <w:t xml:space="preserve"> </w:t>
      </w:r>
      <w:r>
        <w:rPr>
          <w:spacing w:val="-2"/>
        </w:rPr>
        <w:t>被授权人（签字</w:t>
      </w:r>
      <w:r>
        <w:rPr>
          <w:spacing w:val="-63"/>
          <w:w w:val="98"/>
        </w:rPr>
        <w:t>）：</w:t>
      </w:r>
    </w:p>
    <w:p w14:paraId="0398C2FD">
      <w:pPr>
        <w:pStyle w:val="2"/>
        <w:spacing w:before="34" w:line="219" w:lineRule="auto"/>
        <w:ind w:left="496"/>
      </w:pPr>
      <w:r>
        <w:rPr>
          <w:spacing w:val="-12"/>
        </w:rPr>
        <w:t>公</w:t>
      </w:r>
      <w:r>
        <w:rPr>
          <w:spacing w:val="3"/>
        </w:rPr>
        <w:t xml:space="preserve">      </w:t>
      </w:r>
      <w:r>
        <w:rPr>
          <w:spacing w:val="-12"/>
        </w:rPr>
        <w:t>章：</w:t>
      </w:r>
    </w:p>
    <w:p w14:paraId="1B1DAF92">
      <w:pPr>
        <w:pStyle w:val="2"/>
        <w:spacing w:before="184" w:line="219" w:lineRule="auto"/>
        <w:ind w:left="4455"/>
      </w:pPr>
      <w:r>
        <w:rPr>
          <w:spacing w:val="-2"/>
        </w:rPr>
        <w:t>授权日期：20</w:t>
      </w:r>
      <w:r>
        <w:rPr>
          <w:spacing w:val="-2"/>
          <w:u w:val="single" w:color="auto"/>
        </w:rPr>
        <w:t xml:space="preserve">   </w:t>
      </w:r>
      <w:r>
        <w:rPr>
          <w:spacing w:val="-107"/>
        </w:rPr>
        <w:t xml:space="preserve"> </w:t>
      </w:r>
      <w:r>
        <w:rPr>
          <w:spacing w:val="-2"/>
        </w:rPr>
        <w:t>年</w:t>
      </w:r>
      <w:r>
        <w:rPr>
          <w:spacing w:val="-2"/>
          <w:u w:val="single" w:color="auto"/>
        </w:rPr>
        <w:t xml:space="preserve">   </w:t>
      </w:r>
      <w:r>
        <w:rPr>
          <w:spacing w:val="-105"/>
        </w:rPr>
        <w:t xml:space="preserve"> </w:t>
      </w:r>
      <w:r>
        <w:rPr>
          <w:spacing w:val="-2"/>
        </w:rPr>
        <w:t>月</w:t>
      </w:r>
      <w:r>
        <w:rPr>
          <w:spacing w:val="-2"/>
          <w:u w:val="single" w:color="auto"/>
        </w:rPr>
        <w:t xml:space="preserve">   </w:t>
      </w:r>
      <w:r>
        <w:rPr>
          <w:spacing w:val="-69"/>
        </w:rPr>
        <w:t xml:space="preserve"> </w:t>
      </w:r>
      <w:r>
        <w:rPr>
          <w:spacing w:val="-2"/>
        </w:rPr>
        <w:t>日</w:t>
      </w:r>
    </w:p>
    <w:p w14:paraId="16E0F702">
      <w:pPr>
        <w:spacing w:line="284" w:lineRule="auto"/>
        <w:rPr>
          <w:rFonts w:ascii="Arial"/>
          <w:sz w:val="21"/>
        </w:rPr>
      </w:pPr>
    </w:p>
    <w:p w14:paraId="728F8C8B">
      <w:pPr>
        <w:spacing w:line="284" w:lineRule="auto"/>
        <w:rPr>
          <w:rFonts w:ascii="Arial"/>
          <w:sz w:val="21"/>
        </w:rPr>
      </w:pPr>
    </w:p>
    <w:p w14:paraId="38116D10">
      <w:pPr>
        <w:pStyle w:val="2"/>
        <w:spacing w:before="79" w:line="219" w:lineRule="auto"/>
        <w:ind w:left="9"/>
      </w:pPr>
      <w:r>
        <w:rPr>
          <w:b/>
          <w:bCs/>
          <w:spacing w:val="-2"/>
        </w:rPr>
        <w:t>注：1、法定代表人本人作为公司代理人参加的，可不提供此项证明文件。</w:t>
      </w:r>
    </w:p>
    <w:p w14:paraId="36AEB342">
      <w:pPr>
        <w:pStyle w:val="2"/>
        <w:spacing w:before="183" w:line="219" w:lineRule="auto"/>
        <w:ind w:left="492"/>
      </w:pPr>
      <w:r>
        <w:rPr>
          <w:b/>
          <w:bCs/>
          <w:spacing w:val="-2"/>
        </w:rPr>
        <w:t>2、授权书上须附有法定代表人和委托代理人的居民身份证复印件，否则</w:t>
      </w:r>
      <w:r>
        <w:rPr>
          <w:b/>
          <w:bCs/>
          <w:spacing w:val="-3"/>
        </w:rPr>
        <w:t>无效。</w:t>
      </w:r>
    </w:p>
    <w:p w14:paraId="5C70A3BF">
      <w:pPr>
        <w:spacing w:line="219" w:lineRule="auto"/>
        <w:sectPr>
          <w:headerReference r:id="rId54" w:type="default"/>
          <w:footerReference r:id="rId55" w:type="default"/>
          <w:pgSz w:w="11906" w:h="16839"/>
          <w:pgMar w:top="1058" w:right="1548" w:bottom="1157" w:left="1440" w:header="855" w:footer="992" w:gutter="0"/>
          <w:pgNumType w:fmt="decimal"/>
          <w:cols w:space="720" w:num="1"/>
        </w:sectPr>
      </w:pPr>
    </w:p>
    <w:p w14:paraId="0DEFB113">
      <w:pPr>
        <w:pStyle w:val="2"/>
        <w:spacing w:before="140" w:line="351" w:lineRule="auto"/>
        <w:ind w:left="2" w:right="97" w:firstLine="17"/>
        <w:jc w:val="both"/>
      </w:pPr>
      <w:r>
        <w:rPr>
          <w:b/>
          <w:bCs/>
          <w:spacing w:val="-5"/>
        </w:rPr>
        <w:t>附件</w:t>
      </w:r>
      <w:r>
        <w:rPr>
          <w:spacing w:val="-37"/>
        </w:rPr>
        <w:t xml:space="preserve"> </w:t>
      </w:r>
      <w:r>
        <w:rPr>
          <w:b/>
          <w:bCs/>
          <w:spacing w:val="-5"/>
        </w:rPr>
        <w:t>9-3</w:t>
      </w:r>
      <w:r>
        <w:rPr>
          <w:spacing w:val="-49"/>
        </w:rPr>
        <w:t xml:space="preserve"> </w:t>
      </w:r>
      <w:r>
        <w:rPr>
          <w:b/>
          <w:bCs/>
          <w:spacing w:val="-4"/>
        </w:rPr>
        <w:t>提供会计师事务所出具的 2024 年度经会计师事务所出具的财务审计报告复印件或银行在开标日前</w:t>
      </w:r>
      <w:r>
        <w:rPr>
          <w:rFonts w:hint="eastAsia"/>
          <w:b/>
          <w:bCs/>
          <w:spacing w:val="-4"/>
          <w:lang w:val="en-US" w:eastAsia="zh-CN"/>
        </w:rPr>
        <w:t>三</w:t>
      </w:r>
      <w:r>
        <w:rPr>
          <w:b/>
          <w:bCs/>
          <w:spacing w:val="-4"/>
        </w:rPr>
        <w:t>个月内开具的资信证明或健全的财务会计制度</w:t>
      </w:r>
    </w:p>
    <w:p w14:paraId="5F2F5D2D">
      <w:pPr>
        <w:pStyle w:val="2"/>
        <w:spacing w:before="35" w:line="218" w:lineRule="auto"/>
        <w:ind w:left="4"/>
      </w:pPr>
      <w:r>
        <w:t>说明：1）财务审计报告必须是经会计师事务</w:t>
      </w:r>
      <w:r>
        <w:rPr>
          <w:spacing w:val="-1"/>
        </w:rPr>
        <w:t>所出具的完整的财务审计报告。</w:t>
      </w:r>
    </w:p>
    <w:p w14:paraId="4FE9792A">
      <w:pPr>
        <w:pStyle w:val="2"/>
        <w:spacing w:before="183" w:line="290" w:lineRule="auto"/>
        <w:ind w:left="3" w:right="97" w:firstLine="720"/>
      </w:pPr>
      <w:r>
        <w:rPr>
          <w:spacing w:val="1"/>
        </w:rPr>
        <w:t>2）银行资信证明应能说明该供应商与银行之间业务往来正常，企业信誉良好</w:t>
      </w:r>
      <w:r>
        <w:rPr>
          <w:spacing w:val="12"/>
        </w:rPr>
        <w:t xml:space="preserve"> </w:t>
      </w:r>
      <w:r>
        <w:rPr>
          <w:spacing w:val="-1"/>
        </w:rPr>
        <w:t>等。银行出具的存款证明不能替代银行资信证明，存款证明无效。</w:t>
      </w:r>
    </w:p>
    <w:p w14:paraId="41AFD60C">
      <w:pPr>
        <w:pStyle w:val="2"/>
        <w:spacing w:before="181" w:line="290" w:lineRule="auto"/>
        <w:ind w:left="725" w:right="97"/>
      </w:pPr>
      <w:r>
        <w:rPr>
          <w:spacing w:val="-2"/>
        </w:rPr>
        <w:t>3）银行资信证明可提供原件（附在投标文件正本中</w:t>
      </w:r>
      <w:r>
        <w:rPr>
          <w:spacing w:val="-62"/>
          <w:w w:val="98"/>
        </w:rPr>
        <w:t>），</w:t>
      </w:r>
      <w:r>
        <w:rPr>
          <w:spacing w:val="-2"/>
        </w:rPr>
        <w:t>也可提供银行在开标日</w:t>
      </w:r>
      <w:r>
        <w:rPr>
          <w:spacing w:val="4"/>
        </w:rPr>
        <w:t xml:space="preserve"> </w:t>
      </w:r>
      <w:r>
        <w:rPr>
          <w:spacing w:val="-3"/>
        </w:rPr>
        <w:t>前</w:t>
      </w:r>
      <w:r>
        <w:rPr>
          <w:spacing w:val="-36"/>
        </w:rPr>
        <w:t xml:space="preserve"> </w:t>
      </w:r>
      <w:r>
        <w:rPr>
          <w:rFonts w:hint="eastAsia"/>
          <w:spacing w:val="-3"/>
          <w:lang w:val="en-US" w:eastAsia="zh-CN"/>
        </w:rPr>
        <w:t>3</w:t>
      </w:r>
      <w:r>
        <w:rPr>
          <w:spacing w:val="-3"/>
        </w:rPr>
        <w:t>个月内开具资信证明的复印件。</w:t>
      </w:r>
    </w:p>
    <w:p w14:paraId="10965788">
      <w:pPr>
        <w:pStyle w:val="2"/>
        <w:spacing w:before="106" w:line="219" w:lineRule="auto"/>
        <w:ind w:left="720"/>
      </w:pPr>
      <w:r>
        <w:rPr>
          <w:spacing w:val="-1"/>
        </w:rPr>
        <w:t>4）提供健全的财务会计制度。</w:t>
      </w:r>
    </w:p>
    <w:p w14:paraId="4EBD6789">
      <w:pPr>
        <w:spacing w:line="245" w:lineRule="auto"/>
        <w:rPr>
          <w:rFonts w:ascii="Arial"/>
          <w:sz w:val="21"/>
        </w:rPr>
      </w:pPr>
    </w:p>
    <w:p w14:paraId="6FD0127C">
      <w:pPr>
        <w:spacing w:line="246" w:lineRule="auto"/>
        <w:rPr>
          <w:rFonts w:ascii="Arial"/>
          <w:sz w:val="21"/>
        </w:rPr>
      </w:pPr>
    </w:p>
    <w:p w14:paraId="70D7D3FB">
      <w:pPr>
        <w:pStyle w:val="2"/>
        <w:spacing w:before="78" w:line="219" w:lineRule="auto"/>
        <w:ind w:left="20"/>
        <w:outlineLvl w:val="0"/>
      </w:pPr>
      <w:r>
        <w:rPr>
          <w:b/>
          <w:bCs/>
          <w:spacing w:val="-3"/>
        </w:rPr>
        <w:t>附件</w:t>
      </w:r>
      <w:r>
        <w:rPr>
          <w:spacing w:val="-50"/>
        </w:rPr>
        <w:t xml:space="preserve"> </w:t>
      </w:r>
      <w:r>
        <w:rPr>
          <w:b/>
          <w:bCs/>
          <w:spacing w:val="-3"/>
        </w:rPr>
        <w:t>9-4</w:t>
      </w:r>
      <w:r>
        <w:rPr>
          <w:spacing w:val="-44"/>
        </w:rPr>
        <w:t xml:space="preserve"> </w:t>
      </w:r>
      <w:r>
        <w:rPr>
          <w:b/>
          <w:bCs/>
          <w:spacing w:val="-3"/>
        </w:rPr>
        <w:t>具备履行合同所必需的设备和专业</w:t>
      </w:r>
      <w:r>
        <w:rPr>
          <w:b/>
          <w:bCs/>
          <w:spacing w:val="-4"/>
        </w:rPr>
        <w:t>技术能力承诺（格式自拟）</w:t>
      </w:r>
    </w:p>
    <w:p w14:paraId="19F8E168">
      <w:pPr>
        <w:spacing w:line="284" w:lineRule="auto"/>
        <w:rPr>
          <w:rFonts w:ascii="Arial"/>
          <w:sz w:val="21"/>
        </w:rPr>
      </w:pPr>
    </w:p>
    <w:p w14:paraId="75243C39">
      <w:pPr>
        <w:spacing w:line="285" w:lineRule="auto"/>
        <w:rPr>
          <w:rFonts w:ascii="Arial"/>
          <w:sz w:val="21"/>
        </w:rPr>
      </w:pPr>
    </w:p>
    <w:p w14:paraId="5AFB3CC4">
      <w:pPr>
        <w:pStyle w:val="2"/>
        <w:spacing w:before="78" w:line="219" w:lineRule="auto"/>
        <w:ind w:left="20"/>
        <w:outlineLvl w:val="0"/>
      </w:pPr>
      <w:r>
        <w:rPr>
          <w:b/>
          <w:bCs/>
          <w:spacing w:val="-4"/>
        </w:rPr>
        <w:t>附件</w:t>
      </w:r>
      <w:r>
        <w:rPr>
          <w:spacing w:val="-45"/>
        </w:rPr>
        <w:t xml:space="preserve"> </w:t>
      </w:r>
      <w:r>
        <w:rPr>
          <w:b/>
          <w:bCs/>
          <w:spacing w:val="-4"/>
        </w:rPr>
        <w:t>9-5</w:t>
      </w:r>
      <w:r>
        <w:rPr>
          <w:spacing w:val="-48"/>
        </w:rPr>
        <w:t xml:space="preserve"> </w:t>
      </w:r>
      <w:r>
        <w:rPr>
          <w:b/>
          <w:bCs/>
          <w:spacing w:val="-4"/>
        </w:rPr>
        <w:t>有依法缴纳税收和社会保障资金的良好记录</w:t>
      </w:r>
    </w:p>
    <w:p w14:paraId="637541D0">
      <w:pPr>
        <w:pStyle w:val="2"/>
        <w:spacing w:before="184" w:line="351" w:lineRule="auto"/>
        <w:ind w:left="2" w:right="97" w:firstLine="479"/>
      </w:pPr>
      <w:r>
        <w:rPr>
          <w:spacing w:val="-2"/>
        </w:rPr>
        <w:t>供应商应提供开标前</w:t>
      </w:r>
      <w:r>
        <w:rPr>
          <w:rFonts w:hint="eastAsia"/>
          <w:spacing w:val="-2"/>
          <w:lang w:val="en-US" w:eastAsia="zh-CN"/>
        </w:rPr>
        <w:t>三</w:t>
      </w:r>
      <w:r>
        <w:rPr>
          <w:spacing w:val="-2"/>
        </w:rPr>
        <w:t>个月（不含开标当月）任意一个月的缴纳社会保障资金的</w:t>
      </w:r>
      <w:r>
        <w:t xml:space="preserve"> </w:t>
      </w:r>
      <w:r>
        <w:rPr>
          <w:spacing w:val="-2"/>
        </w:rPr>
        <w:t>有效票据凭证；若供应商逐年交纳社会保障资金的，须提供参加本次政府采购活动上</w:t>
      </w:r>
      <w:r>
        <w:rPr>
          <w:spacing w:val="2"/>
        </w:rPr>
        <w:t xml:space="preserve"> </w:t>
      </w:r>
      <w:r>
        <w:rPr>
          <w:spacing w:val="-4"/>
        </w:rPr>
        <w:t>年度缴纳社会保障资金的有效票据凭证复印件。（须</w:t>
      </w:r>
      <w:r>
        <w:rPr>
          <w:spacing w:val="-5"/>
        </w:rPr>
        <w:t>加盖供应商公章）</w:t>
      </w:r>
    </w:p>
    <w:p w14:paraId="5D8D696E">
      <w:pPr>
        <w:pStyle w:val="2"/>
        <w:spacing w:before="36" w:line="346" w:lineRule="auto"/>
        <w:ind w:right="97" w:firstLine="481"/>
      </w:pPr>
      <w:r>
        <w:rPr>
          <w:spacing w:val="-2"/>
        </w:rPr>
        <w:t>注：依法不需要缴纳社会保障资金的供应商，须提供相应文件证明其依法不需要</w:t>
      </w:r>
      <w:r>
        <w:t xml:space="preserve"> </w:t>
      </w:r>
      <w:r>
        <w:rPr>
          <w:spacing w:val="-1"/>
        </w:rPr>
        <w:t>缴纳社会保障资金。不足一年的新公司从成立月份起算。</w:t>
      </w:r>
    </w:p>
    <w:p w14:paraId="32318E90">
      <w:pPr>
        <w:pStyle w:val="2"/>
        <w:spacing w:before="35" w:line="351" w:lineRule="auto"/>
        <w:ind w:left="1" w:right="97" w:firstLine="480"/>
      </w:pPr>
      <w:r>
        <w:rPr>
          <w:spacing w:val="-2"/>
        </w:rPr>
        <w:t>供应商应提供开标前</w:t>
      </w:r>
      <w:r>
        <w:rPr>
          <w:rFonts w:hint="eastAsia"/>
          <w:spacing w:val="-2"/>
          <w:lang w:val="en-US" w:eastAsia="zh-CN"/>
        </w:rPr>
        <w:t>三</w:t>
      </w:r>
      <w:r>
        <w:rPr>
          <w:spacing w:val="-2"/>
        </w:rPr>
        <w:t>个月（不含开标当月）任意一个月依法纳税（法人单位必</w:t>
      </w:r>
      <w:r>
        <w:t xml:space="preserve"> </w:t>
      </w:r>
      <w:r>
        <w:rPr>
          <w:spacing w:val="-8"/>
        </w:rPr>
        <w:t>须为增值税或企业所得税）证明（银行缴费凭证或税务机关开具的证明</w:t>
      </w:r>
      <w:r>
        <w:rPr>
          <w:spacing w:val="-9"/>
        </w:rPr>
        <w:t>）复印件。（须</w:t>
      </w:r>
      <w:r>
        <w:t xml:space="preserve"> </w:t>
      </w:r>
      <w:r>
        <w:rPr>
          <w:spacing w:val="-2"/>
        </w:rPr>
        <w:t>加盖供应商公章）</w:t>
      </w:r>
    </w:p>
    <w:p w14:paraId="1AD1374C">
      <w:pPr>
        <w:pStyle w:val="2"/>
        <w:spacing w:before="35" w:line="219" w:lineRule="auto"/>
        <w:ind w:left="481"/>
      </w:pPr>
      <w:r>
        <w:rPr>
          <w:spacing w:val="-2"/>
        </w:rPr>
        <w:t>注：依法免税或零报税的供应商，须提供相应文件证明其依法免税证明文件或纳</w:t>
      </w:r>
    </w:p>
    <w:p w14:paraId="641026BD">
      <w:pPr>
        <w:pStyle w:val="2"/>
        <w:spacing w:before="185" w:line="219" w:lineRule="auto"/>
        <w:outlineLvl w:val="0"/>
      </w:pPr>
      <w:r>
        <w:rPr>
          <w:spacing w:val="-1"/>
        </w:rPr>
        <w:t>税申报表复印件。不足一年的新公司从成立年份起算。</w:t>
      </w:r>
    </w:p>
    <w:p w14:paraId="265B50EE">
      <w:pPr>
        <w:spacing w:line="219" w:lineRule="auto"/>
        <w:sectPr>
          <w:headerReference r:id="rId56" w:type="default"/>
          <w:footerReference r:id="rId57" w:type="default"/>
          <w:pgSz w:w="11906" w:h="16839"/>
          <w:pgMar w:top="1058" w:right="1548" w:bottom="1157" w:left="1447" w:header="855" w:footer="992" w:gutter="0"/>
          <w:pgNumType w:fmt="decimal"/>
          <w:cols w:space="720" w:num="1"/>
        </w:sectPr>
      </w:pPr>
    </w:p>
    <w:p w14:paraId="49A8FB91">
      <w:pPr>
        <w:spacing w:line="417" w:lineRule="auto"/>
        <w:rPr>
          <w:rFonts w:ascii="Arial"/>
          <w:sz w:val="21"/>
        </w:rPr>
      </w:pPr>
    </w:p>
    <w:p w14:paraId="56CECF4D">
      <w:pPr>
        <w:pStyle w:val="2"/>
        <w:spacing w:before="29" w:line="219" w:lineRule="auto"/>
        <w:ind w:left="140"/>
      </w:pPr>
      <w:r>
        <w:rPr>
          <w:b/>
          <w:bCs/>
          <w:spacing w:val="-4"/>
        </w:rPr>
        <w:t>附件9-6</w:t>
      </w:r>
      <w:r>
        <w:rPr>
          <w:spacing w:val="-4"/>
        </w:rPr>
        <w:t xml:space="preserve"> </w:t>
      </w:r>
      <w:r>
        <w:rPr>
          <w:b/>
          <w:bCs/>
          <w:spacing w:val="-4"/>
        </w:rPr>
        <w:t>供应商声明函</w:t>
      </w:r>
    </w:p>
    <w:p w14:paraId="2A52BEC7">
      <w:pPr>
        <w:spacing w:line="336" w:lineRule="auto"/>
        <w:rPr>
          <w:rFonts w:ascii="Arial"/>
          <w:sz w:val="21"/>
        </w:rPr>
      </w:pPr>
    </w:p>
    <w:p w14:paraId="6D362A63">
      <w:pPr>
        <w:pStyle w:val="2"/>
        <w:tabs>
          <w:tab w:val="left" w:pos="730"/>
        </w:tabs>
        <w:spacing w:before="78" w:line="219" w:lineRule="auto"/>
        <w:ind w:left="594"/>
      </w:pPr>
      <w:r>
        <w:rPr>
          <w:u w:val="single" w:color="auto"/>
        </w:rPr>
        <w:tab/>
      </w:r>
      <w:r>
        <w:rPr>
          <w:b/>
          <w:bCs/>
          <w:spacing w:val="-25"/>
          <w:u w:val="single" w:color="auto"/>
        </w:rPr>
        <w:t>（采购人名称</w:t>
      </w:r>
      <w:r>
        <w:rPr>
          <w:b/>
          <w:bCs/>
          <w:spacing w:val="-2"/>
          <w:u w:val="single" w:color="auto"/>
        </w:rPr>
        <w:t>）</w:t>
      </w:r>
      <w:r>
        <w:rPr>
          <w:spacing w:val="3"/>
          <w:u w:val="single" w:color="auto"/>
        </w:rPr>
        <w:t xml:space="preserve"> </w:t>
      </w:r>
      <w:r>
        <w:rPr>
          <w:spacing w:val="1"/>
        </w:rPr>
        <w:t xml:space="preserve"> </w:t>
      </w:r>
      <w:r>
        <w:rPr>
          <w:b/>
          <w:bCs/>
          <w:spacing w:val="-2"/>
        </w:rPr>
        <w:t>：</w:t>
      </w:r>
    </w:p>
    <w:p w14:paraId="306016C5">
      <w:pPr>
        <w:pStyle w:val="2"/>
        <w:spacing w:before="183" w:line="219" w:lineRule="auto"/>
        <w:ind w:left="603"/>
      </w:pPr>
      <w:r>
        <w:rPr>
          <w:spacing w:val="-1"/>
        </w:rPr>
        <w:t>在参加本次项目投标中，我单位承诺：</w:t>
      </w:r>
    </w:p>
    <w:p w14:paraId="01A2D1C0">
      <w:pPr>
        <w:pStyle w:val="2"/>
        <w:spacing w:before="183" w:line="313" w:lineRule="auto"/>
        <w:ind w:left="122" w:right="823" w:firstLine="497"/>
      </w:pPr>
      <w:r>
        <w:rPr>
          <w:spacing w:val="1"/>
        </w:rPr>
        <w:t>1、我单位参与采购活动前三年内在经营活动中没有因违法经营受到刑</w:t>
      </w:r>
      <w:r>
        <w:t xml:space="preserve">事处罚或 </w:t>
      </w:r>
      <w:r>
        <w:rPr>
          <w:spacing w:val="-2"/>
        </w:rPr>
        <w:t>者责令停产停业、吊销许可证或者执照、较大数额罚款等行政处罚（如果因违法经营</w:t>
      </w:r>
      <w:r>
        <w:rPr>
          <w:spacing w:val="3"/>
        </w:rPr>
        <w:t xml:space="preserve"> </w:t>
      </w:r>
      <w:r>
        <w:rPr>
          <w:spacing w:val="-1"/>
        </w:rPr>
        <w:t>被禁止在一定期限内参加政府采购活动，期限已经届满）</w:t>
      </w:r>
    </w:p>
    <w:p w14:paraId="65F3DF5D">
      <w:pPr>
        <w:pStyle w:val="2"/>
        <w:spacing w:before="182" w:line="290" w:lineRule="auto"/>
        <w:ind w:left="123" w:right="915" w:firstLine="450"/>
      </w:pPr>
      <w:r>
        <w:rPr>
          <w:spacing w:val="-1"/>
        </w:rPr>
        <w:t>2、与我单位存在“单位负责人为同一人或者存在直接</w:t>
      </w:r>
      <w:r>
        <w:rPr>
          <w:spacing w:val="-2"/>
        </w:rPr>
        <w:t>控股、管理关系</w:t>
      </w:r>
      <w:r>
        <w:rPr>
          <w:spacing w:val="-88"/>
        </w:rPr>
        <w:t xml:space="preserve"> </w:t>
      </w:r>
      <w:r>
        <w:rPr>
          <w:spacing w:val="-2"/>
        </w:rPr>
        <w:t>”的其他</w:t>
      </w:r>
      <w:r>
        <w:t xml:space="preserve"> </w:t>
      </w:r>
      <w:r>
        <w:rPr>
          <w:spacing w:val="-2"/>
        </w:rPr>
        <w:t>法人单位信息如下（如有须填写，如没有须填“/</w:t>
      </w:r>
      <w:r>
        <w:rPr>
          <w:spacing w:val="-87"/>
        </w:rPr>
        <w:t xml:space="preserve"> </w:t>
      </w:r>
      <w:r>
        <w:rPr>
          <w:spacing w:val="-2"/>
        </w:rPr>
        <w:t>”</w:t>
      </w:r>
      <w:r>
        <w:rPr>
          <w:spacing w:val="-49"/>
          <w:w w:val="77"/>
        </w:rPr>
        <w:t>）：</w:t>
      </w:r>
    </w:p>
    <w:p w14:paraId="20FEEE5D">
      <w:pPr>
        <w:spacing w:line="69" w:lineRule="exact"/>
      </w:pPr>
    </w:p>
    <w:tbl>
      <w:tblPr>
        <w:tblStyle w:val="13"/>
        <w:tblW w:w="97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5383"/>
        <w:gridCol w:w="3405"/>
      </w:tblGrid>
      <w:tr w14:paraId="4A625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63" w:type="dxa"/>
            <w:vAlign w:val="top"/>
          </w:tcPr>
          <w:p w14:paraId="1323C5EC">
            <w:pPr>
              <w:pStyle w:val="14"/>
              <w:spacing w:before="120" w:line="221" w:lineRule="auto"/>
              <w:ind w:left="248"/>
            </w:pPr>
            <w:r>
              <w:rPr>
                <w:spacing w:val="-5"/>
              </w:rPr>
              <w:t>序号</w:t>
            </w:r>
          </w:p>
        </w:tc>
        <w:tc>
          <w:tcPr>
            <w:tcW w:w="5383" w:type="dxa"/>
            <w:vAlign w:val="top"/>
          </w:tcPr>
          <w:p w14:paraId="69C7A11E">
            <w:pPr>
              <w:pStyle w:val="14"/>
              <w:spacing w:before="120" w:line="220" w:lineRule="auto"/>
              <w:ind w:left="2220"/>
            </w:pPr>
            <w:r>
              <w:rPr>
                <w:spacing w:val="-3"/>
              </w:rPr>
              <w:t>单位名称</w:t>
            </w:r>
          </w:p>
        </w:tc>
        <w:tc>
          <w:tcPr>
            <w:tcW w:w="3405" w:type="dxa"/>
            <w:vAlign w:val="top"/>
          </w:tcPr>
          <w:p w14:paraId="3C29C412">
            <w:pPr>
              <w:pStyle w:val="14"/>
              <w:spacing w:before="120" w:line="220" w:lineRule="auto"/>
              <w:ind w:left="1227"/>
            </w:pPr>
            <w:r>
              <w:rPr>
                <w:spacing w:val="-3"/>
              </w:rPr>
              <w:t>相互关系</w:t>
            </w:r>
          </w:p>
        </w:tc>
      </w:tr>
      <w:tr w14:paraId="3365D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63" w:type="dxa"/>
            <w:vAlign w:val="top"/>
          </w:tcPr>
          <w:p w14:paraId="4DEB962B">
            <w:pPr>
              <w:pStyle w:val="14"/>
              <w:spacing w:before="154" w:line="184" w:lineRule="auto"/>
              <w:ind w:left="446"/>
            </w:pPr>
            <w:r>
              <w:t>1</w:t>
            </w:r>
          </w:p>
        </w:tc>
        <w:tc>
          <w:tcPr>
            <w:tcW w:w="5383" w:type="dxa"/>
            <w:vAlign w:val="top"/>
          </w:tcPr>
          <w:p w14:paraId="09153E50">
            <w:pPr>
              <w:rPr>
                <w:rFonts w:ascii="Arial"/>
                <w:sz w:val="21"/>
              </w:rPr>
            </w:pPr>
          </w:p>
        </w:tc>
        <w:tc>
          <w:tcPr>
            <w:tcW w:w="3405" w:type="dxa"/>
            <w:vAlign w:val="top"/>
          </w:tcPr>
          <w:p w14:paraId="2CC930DB">
            <w:pPr>
              <w:rPr>
                <w:rFonts w:ascii="Arial"/>
                <w:sz w:val="21"/>
              </w:rPr>
            </w:pPr>
          </w:p>
        </w:tc>
      </w:tr>
      <w:tr w14:paraId="70B5F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63" w:type="dxa"/>
            <w:vAlign w:val="top"/>
          </w:tcPr>
          <w:p w14:paraId="699E00CE">
            <w:pPr>
              <w:pStyle w:val="14"/>
              <w:spacing w:before="155" w:line="183" w:lineRule="auto"/>
              <w:ind w:left="432"/>
            </w:pPr>
            <w:r>
              <w:t>2</w:t>
            </w:r>
          </w:p>
        </w:tc>
        <w:tc>
          <w:tcPr>
            <w:tcW w:w="5383" w:type="dxa"/>
            <w:vAlign w:val="top"/>
          </w:tcPr>
          <w:p w14:paraId="574E7B04">
            <w:pPr>
              <w:rPr>
                <w:rFonts w:ascii="Arial"/>
                <w:sz w:val="21"/>
              </w:rPr>
            </w:pPr>
          </w:p>
        </w:tc>
        <w:tc>
          <w:tcPr>
            <w:tcW w:w="3405" w:type="dxa"/>
            <w:vAlign w:val="top"/>
          </w:tcPr>
          <w:p w14:paraId="6EFBF3EC">
            <w:pPr>
              <w:rPr>
                <w:rFonts w:ascii="Arial"/>
                <w:sz w:val="21"/>
              </w:rPr>
            </w:pPr>
          </w:p>
        </w:tc>
      </w:tr>
      <w:tr w14:paraId="0EE51C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63" w:type="dxa"/>
            <w:vAlign w:val="top"/>
          </w:tcPr>
          <w:p w14:paraId="63B603FD">
            <w:pPr>
              <w:pStyle w:val="14"/>
              <w:spacing w:before="295" w:line="99" w:lineRule="exact"/>
              <w:ind w:left="315"/>
            </w:pPr>
            <w:r>
              <w:rPr>
                <w:position w:val="1"/>
              </w:rPr>
              <w:t>...</w:t>
            </w:r>
          </w:p>
        </w:tc>
        <w:tc>
          <w:tcPr>
            <w:tcW w:w="5383" w:type="dxa"/>
            <w:vAlign w:val="top"/>
          </w:tcPr>
          <w:p w14:paraId="7DFEF054">
            <w:pPr>
              <w:rPr>
                <w:rFonts w:ascii="Arial"/>
                <w:sz w:val="21"/>
              </w:rPr>
            </w:pPr>
          </w:p>
        </w:tc>
        <w:tc>
          <w:tcPr>
            <w:tcW w:w="3405" w:type="dxa"/>
            <w:vAlign w:val="top"/>
          </w:tcPr>
          <w:p w14:paraId="50695486">
            <w:pPr>
              <w:rPr>
                <w:rFonts w:ascii="Arial"/>
                <w:sz w:val="21"/>
              </w:rPr>
            </w:pPr>
          </w:p>
        </w:tc>
      </w:tr>
    </w:tbl>
    <w:p w14:paraId="4DCDCEBF">
      <w:pPr>
        <w:pStyle w:val="2"/>
        <w:spacing w:before="115" w:line="346" w:lineRule="auto"/>
        <w:ind w:left="122" w:right="823" w:firstLine="364"/>
      </w:pPr>
      <w:r>
        <w:rPr>
          <w:spacing w:val="-2"/>
        </w:rPr>
        <w:t>3、我单位不是为采购项目提供整体设计、规范编制或者项目管理、监理</w:t>
      </w:r>
      <w:r>
        <w:rPr>
          <w:spacing w:val="-3"/>
        </w:rPr>
        <w:t>、检测等</w:t>
      </w:r>
      <w:r>
        <w:t xml:space="preserve"> </w:t>
      </w:r>
      <w:r>
        <w:rPr>
          <w:spacing w:val="-2"/>
        </w:rPr>
        <w:t>服务的供应商。</w:t>
      </w:r>
    </w:p>
    <w:p w14:paraId="3550D5BA">
      <w:pPr>
        <w:pStyle w:val="2"/>
        <w:spacing w:before="36" w:line="351" w:lineRule="auto"/>
        <w:ind w:left="122" w:right="823" w:firstLine="480"/>
      </w:pPr>
      <w:r>
        <w:t>若采购人或采购代理机构在本项目采购过程中发现</w:t>
      </w:r>
      <w:r>
        <w:rPr>
          <w:spacing w:val="-1"/>
        </w:rPr>
        <w:t>我单位存在违反上述承诺的</w:t>
      </w:r>
      <w:r>
        <w:t xml:space="preserve">  </w:t>
      </w:r>
      <w:r>
        <w:rPr>
          <w:spacing w:val="-2"/>
        </w:rPr>
        <w:t>事项，我单位将自动失去本项目的成交资格，并承担因此引起的一切后果及虚假投标</w:t>
      </w:r>
      <w:r>
        <w:rPr>
          <w:spacing w:val="3"/>
        </w:rPr>
        <w:t xml:space="preserve"> </w:t>
      </w:r>
      <w:r>
        <w:rPr>
          <w:spacing w:val="-4"/>
        </w:rPr>
        <w:t>责任。</w:t>
      </w:r>
    </w:p>
    <w:p w14:paraId="20D86372">
      <w:pPr>
        <w:spacing w:line="263" w:lineRule="auto"/>
        <w:rPr>
          <w:rFonts w:ascii="Arial"/>
          <w:sz w:val="21"/>
        </w:rPr>
      </w:pPr>
    </w:p>
    <w:p w14:paraId="5ACBD788">
      <w:pPr>
        <w:spacing w:line="263" w:lineRule="auto"/>
        <w:rPr>
          <w:rFonts w:ascii="Arial"/>
          <w:sz w:val="21"/>
        </w:rPr>
      </w:pPr>
    </w:p>
    <w:p w14:paraId="52F732B6">
      <w:pPr>
        <w:spacing w:line="263" w:lineRule="auto"/>
        <w:rPr>
          <w:rFonts w:ascii="Arial"/>
          <w:sz w:val="21"/>
        </w:rPr>
      </w:pPr>
    </w:p>
    <w:p w14:paraId="791AB243">
      <w:pPr>
        <w:spacing w:line="263" w:lineRule="auto"/>
        <w:rPr>
          <w:rFonts w:ascii="Arial"/>
          <w:sz w:val="21"/>
        </w:rPr>
      </w:pPr>
    </w:p>
    <w:p w14:paraId="5A2D256C">
      <w:pPr>
        <w:spacing w:line="263" w:lineRule="auto"/>
        <w:rPr>
          <w:rFonts w:ascii="Arial"/>
          <w:sz w:val="21"/>
        </w:rPr>
      </w:pPr>
    </w:p>
    <w:p w14:paraId="56EC6EF8">
      <w:pPr>
        <w:pStyle w:val="2"/>
        <w:spacing w:before="79" w:line="219" w:lineRule="auto"/>
        <w:ind w:left="602"/>
      </w:pPr>
      <w:r>
        <w:rPr>
          <w:spacing w:val="4"/>
        </w:rPr>
        <w:t>供应商</w:t>
      </w:r>
      <w:r>
        <w:rPr>
          <w:spacing w:val="-59"/>
          <w:w w:val="92"/>
        </w:rPr>
        <w:t>：（</w:t>
      </w:r>
      <w:r>
        <w:rPr>
          <w:spacing w:val="4"/>
        </w:rPr>
        <w:t>公章）</w:t>
      </w:r>
    </w:p>
    <w:p w14:paraId="50D2C3C5">
      <w:pPr>
        <w:pStyle w:val="2"/>
        <w:spacing w:before="184" w:line="219" w:lineRule="auto"/>
        <w:ind w:left="601"/>
      </w:pPr>
      <w:r>
        <w:rPr>
          <w:spacing w:val="-1"/>
        </w:rPr>
        <w:t>授权代表人(签字)：</w:t>
      </w:r>
    </w:p>
    <w:p w14:paraId="687AE1F4">
      <w:pPr>
        <w:pStyle w:val="2"/>
        <w:spacing w:before="184" w:line="219" w:lineRule="auto"/>
        <w:ind w:left="643"/>
      </w:pPr>
      <w:r>
        <w:rPr>
          <w:spacing w:val="-20"/>
        </w:rPr>
        <w:t>日</w:t>
      </w:r>
      <w:r>
        <w:rPr>
          <w:spacing w:val="3"/>
        </w:rPr>
        <w:t xml:space="preserve">    </w:t>
      </w:r>
      <w:r>
        <w:rPr>
          <w:spacing w:val="-20"/>
        </w:rPr>
        <w:t>期</w:t>
      </w:r>
      <w:r>
        <w:rPr>
          <w:spacing w:val="-89"/>
        </w:rPr>
        <w:t xml:space="preserve"> </w:t>
      </w:r>
      <w:r>
        <w:rPr>
          <w:spacing w:val="-20"/>
        </w:rPr>
        <w:t>：</w:t>
      </w:r>
      <w:r>
        <w:rPr>
          <w:spacing w:val="3"/>
        </w:rPr>
        <w:t xml:space="preserve">   </w:t>
      </w:r>
      <w:r>
        <w:rPr>
          <w:spacing w:val="-20"/>
        </w:rPr>
        <w:t>年</w:t>
      </w:r>
      <w:r>
        <w:rPr>
          <w:spacing w:val="8"/>
        </w:rPr>
        <w:t xml:space="preserve">  </w:t>
      </w:r>
      <w:r>
        <w:rPr>
          <w:spacing w:val="-20"/>
        </w:rPr>
        <w:t>月</w:t>
      </w:r>
      <w:r>
        <w:rPr>
          <w:spacing w:val="25"/>
        </w:rPr>
        <w:t xml:space="preserve">  </w:t>
      </w:r>
      <w:r>
        <w:rPr>
          <w:spacing w:val="-20"/>
        </w:rPr>
        <w:t>日</w:t>
      </w:r>
    </w:p>
    <w:p w14:paraId="510D07A8">
      <w:pPr>
        <w:spacing w:line="219" w:lineRule="auto"/>
        <w:sectPr>
          <w:headerReference r:id="rId58" w:type="default"/>
          <w:footerReference r:id="rId59" w:type="default"/>
          <w:pgSz w:w="11906" w:h="16839"/>
          <w:pgMar w:top="400" w:right="822" w:bottom="1157" w:left="1327" w:header="0" w:footer="992" w:gutter="0"/>
          <w:pgNumType w:fmt="decimal"/>
          <w:cols w:space="720" w:num="1"/>
        </w:sectPr>
      </w:pPr>
    </w:p>
    <w:p w14:paraId="4D075EB0">
      <w:pPr>
        <w:pStyle w:val="2"/>
        <w:spacing w:before="63" w:line="219" w:lineRule="auto"/>
        <w:ind w:left="19"/>
      </w:pPr>
      <w:r>
        <w:rPr>
          <w:b/>
          <w:bCs/>
          <w:spacing w:val="-4"/>
        </w:rPr>
        <w:t>附件9-7</w:t>
      </w:r>
      <w:r>
        <w:rPr>
          <w:spacing w:val="-4"/>
        </w:rPr>
        <w:t xml:space="preserve"> </w:t>
      </w:r>
      <w:r>
        <w:rPr>
          <w:b/>
          <w:bCs/>
          <w:spacing w:val="-4"/>
        </w:rPr>
        <w:t>信用信息查询</w:t>
      </w:r>
    </w:p>
    <w:p w14:paraId="7BD12841">
      <w:pPr>
        <w:pStyle w:val="2"/>
        <w:spacing w:before="105" w:line="353" w:lineRule="auto"/>
        <w:ind w:firstLine="480"/>
        <w:jc w:val="both"/>
      </w:pPr>
      <w:r>
        <w:rPr>
          <w:spacing w:val="-2"/>
        </w:rPr>
        <w:t>供应商未在“信用中国网站（www.creditchina.gov.cn）中</w:t>
      </w:r>
      <w:r>
        <w:rPr>
          <w:spacing w:val="-3"/>
        </w:rPr>
        <w:t>列入失信被执行人和重</w:t>
      </w:r>
      <w:r>
        <w:t xml:space="preserve"> 大税收违法案件当事人名单的供应商，未在为中国政府采购网（www.ccg</w:t>
      </w:r>
      <w:r>
        <w:rPr>
          <w:spacing w:val="-1"/>
        </w:rPr>
        <w:t>p.gov.cn）政</w:t>
      </w:r>
      <w:r>
        <w:t xml:space="preserve"> </w:t>
      </w:r>
      <w:r>
        <w:rPr>
          <w:spacing w:val="-3"/>
        </w:rPr>
        <w:t>府采购严重违法失信行为记录名单中被财政部门禁止参加政府采购活动的供应商（以代</w:t>
      </w:r>
      <w:r>
        <w:rPr>
          <w:spacing w:val="10"/>
        </w:rPr>
        <w:t xml:space="preserve"> </w:t>
      </w:r>
      <w:r>
        <w:rPr>
          <w:spacing w:val="-9"/>
        </w:rPr>
        <w:t>理机构查询结果为准）。</w:t>
      </w:r>
    </w:p>
    <w:p w14:paraId="3EC2D3A5">
      <w:pPr>
        <w:spacing w:line="353" w:lineRule="auto"/>
        <w:sectPr>
          <w:headerReference r:id="rId60" w:type="default"/>
          <w:footerReference r:id="rId61" w:type="default"/>
          <w:pgSz w:w="11906" w:h="16839"/>
          <w:pgMar w:top="1058" w:right="1439" w:bottom="1157" w:left="1448" w:header="855" w:footer="992" w:gutter="0"/>
          <w:pgNumType w:fmt="decimal"/>
          <w:cols w:space="720" w:num="1"/>
        </w:sectPr>
      </w:pPr>
    </w:p>
    <w:p w14:paraId="21A425E4">
      <w:pPr>
        <w:pStyle w:val="2"/>
        <w:spacing w:before="189" w:line="219" w:lineRule="auto"/>
        <w:ind w:left="275"/>
        <w:rPr>
          <w:b/>
          <w:bCs/>
          <w:color w:val="C00000"/>
          <w:spacing w:val="-12"/>
          <w:sz w:val="30"/>
          <w:szCs w:val="30"/>
        </w:rPr>
      </w:pPr>
      <w:r>
        <w:rPr>
          <w:b/>
          <w:bCs/>
          <w:color w:val="C00000"/>
          <w:spacing w:val="-12"/>
          <w:sz w:val="30"/>
          <w:szCs w:val="30"/>
        </w:rPr>
        <w:t>附件十：</w:t>
      </w:r>
    </w:p>
    <w:p w14:paraId="7F68C3BB">
      <w:pPr>
        <w:pStyle w:val="5"/>
        <w:rPr>
          <w:rStyle w:val="15"/>
          <w:rFonts w:ascii="宋体" w:hAnsi="宋体" w:cs="Times New Roman" w:eastAsiaTheme="majorEastAsia"/>
          <w:sz w:val="32"/>
          <w:szCs w:val="32"/>
        </w:rPr>
      </w:pPr>
      <w:r>
        <w:rPr>
          <w:rStyle w:val="15"/>
          <w:rFonts w:hint="eastAsia" w:ascii="宋体" w:hAnsi="宋体" w:cs="Times New Roman" w:eastAsiaTheme="majorEastAsia"/>
          <w:sz w:val="32"/>
          <w:szCs w:val="32"/>
        </w:rPr>
        <w:t>拟投入本项目服务人员以及其他人员汇总表</w:t>
      </w:r>
    </w:p>
    <w:p w14:paraId="03C6EE0E">
      <w:pPr>
        <w:spacing w:line="360" w:lineRule="auto"/>
        <w:rPr>
          <w:rFonts w:ascii="宋体" w:hAnsi="宋体" w:cs="宋体"/>
          <w:szCs w:val="21"/>
        </w:rPr>
      </w:pPr>
      <w:r>
        <w:rPr>
          <w:rFonts w:hint="eastAsia" w:ascii="宋体" w:hAnsi="宋体" w:cs="宋体"/>
          <w:szCs w:val="21"/>
        </w:rPr>
        <w:t>供应商名称：</w:t>
      </w:r>
    </w:p>
    <w:p w14:paraId="2E97580A">
      <w:pPr>
        <w:spacing w:line="360" w:lineRule="auto"/>
        <w:rPr>
          <w:rFonts w:ascii="宋体" w:hAnsi="宋体" w:cs="宋体"/>
          <w:szCs w:val="21"/>
        </w:rPr>
      </w:pPr>
      <w:r>
        <w:rPr>
          <w:rFonts w:hint="eastAsia" w:ascii="宋体" w:hAnsi="宋体" w:cs="宋体"/>
          <w:szCs w:val="21"/>
        </w:rPr>
        <w:t>项目名称：</w:t>
      </w:r>
    </w:p>
    <w:tbl>
      <w:tblPr>
        <w:tblStyle w:val="13"/>
        <w:tblW w:w="91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5"/>
        <w:gridCol w:w="1493"/>
        <w:gridCol w:w="1090"/>
        <w:gridCol w:w="1223"/>
        <w:gridCol w:w="1225"/>
        <w:gridCol w:w="1312"/>
        <w:gridCol w:w="1979"/>
      </w:tblGrid>
      <w:tr w14:paraId="75072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795" w:type="dxa"/>
            <w:textDirection w:val="tbRlV"/>
            <w:vAlign w:val="top"/>
          </w:tcPr>
          <w:p w14:paraId="4D11B00C">
            <w:pPr>
              <w:pStyle w:val="14"/>
              <w:spacing w:before="219" w:line="210" w:lineRule="auto"/>
              <w:ind w:left="200"/>
            </w:pPr>
            <w:r>
              <w:rPr>
                <w:spacing w:val="-1"/>
              </w:rPr>
              <w:t>序</w:t>
            </w:r>
            <w:r>
              <w:rPr>
                <w:spacing w:val="10"/>
              </w:rPr>
              <w:t xml:space="preserve">  </w:t>
            </w:r>
            <w:r>
              <w:rPr>
                <w:spacing w:val="-1"/>
              </w:rPr>
              <w:t>号</w:t>
            </w:r>
          </w:p>
        </w:tc>
        <w:tc>
          <w:tcPr>
            <w:tcW w:w="1493" w:type="dxa"/>
            <w:vAlign w:val="top"/>
          </w:tcPr>
          <w:p w14:paraId="78B110C8">
            <w:pPr>
              <w:spacing w:line="370" w:lineRule="auto"/>
              <w:rPr>
                <w:rFonts w:ascii="Arial"/>
                <w:sz w:val="21"/>
              </w:rPr>
            </w:pPr>
          </w:p>
          <w:p w14:paraId="70150E3F">
            <w:pPr>
              <w:pStyle w:val="14"/>
              <w:spacing w:before="78" w:line="219" w:lineRule="auto"/>
              <w:ind w:left="406"/>
            </w:pPr>
            <w:r>
              <w:rPr>
                <w:spacing w:val="-5"/>
              </w:rPr>
              <w:t>姓名</w:t>
            </w:r>
          </w:p>
        </w:tc>
        <w:tc>
          <w:tcPr>
            <w:tcW w:w="1090" w:type="dxa"/>
            <w:vAlign w:val="top"/>
          </w:tcPr>
          <w:p w14:paraId="7F1F1F65">
            <w:pPr>
              <w:spacing w:line="370" w:lineRule="auto"/>
              <w:rPr>
                <w:rFonts w:ascii="Arial"/>
                <w:sz w:val="21"/>
              </w:rPr>
            </w:pPr>
          </w:p>
          <w:p w14:paraId="00751180">
            <w:pPr>
              <w:pStyle w:val="14"/>
              <w:spacing w:before="78" w:line="220" w:lineRule="auto"/>
              <w:ind w:left="235"/>
            </w:pPr>
            <w:r>
              <w:rPr>
                <w:spacing w:val="-7"/>
              </w:rPr>
              <w:t>性别</w:t>
            </w:r>
          </w:p>
        </w:tc>
        <w:tc>
          <w:tcPr>
            <w:tcW w:w="1223" w:type="dxa"/>
            <w:vAlign w:val="top"/>
          </w:tcPr>
          <w:p w14:paraId="72FDD312">
            <w:pPr>
              <w:spacing w:line="370" w:lineRule="auto"/>
              <w:rPr>
                <w:rFonts w:ascii="Arial"/>
                <w:sz w:val="21"/>
              </w:rPr>
            </w:pPr>
          </w:p>
          <w:p w14:paraId="44B15E02">
            <w:pPr>
              <w:pStyle w:val="14"/>
              <w:spacing w:before="78" w:line="219" w:lineRule="auto"/>
              <w:ind w:left="293"/>
            </w:pPr>
            <w:r>
              <w:rPr>
                <w:spacing w:val="-6"/>
              </w:rPr>
              <w:t>年龄</w:t>
            </w:r>
          </w:p>
        </w:tc>
        <w:tc>
          <w:tcPr>
            <w:tcW w:w="1225" w:type="dxa"/>
            <w:vAlign w:val="top"/>
          </w:tcPr>
          <w:p w14:paraId="2268B4CB">
            <w:pPr>
              <w:spacing w:line="370" w:lineRule="auto"/>
              <w:rPr>
                <w:rFonts w:ascii="Arial"/>
                <w:sz w:val="21"/>
              </w:rPr>
            </w:pPr>
          </w:p>
          <w:p w14:paraId="379C4B15">
            <w:pPr>
              <w:pStyle w:val="14"/>
              <w:spacing w:before="78" w:line="221" w:lineRule="auto"/>
              <w:ind w:left="294"/>
            </w:pPr>
            <w:r>
              <w:rPr>
                <w:spacing w:val="-6"/>
              </w:rPr>
              <w:t>职称</w:t>
            </w:r>
          </w:p>
        </w:tc>
        <w:tc>
          <w:tcPr>
            <w:tcW w:w="1312" w:type="dxa"/>
            <w:vAlign w:val="top"/>
          </w:tcPr>
          <w:p w14:paraId="39D65C71">
            <w:pPr>
              <w:pStyle w:val="14"/>
              <w:spacing w:before="200" w:line="307" w:lineRule="auto"/>
              <w:ind w:left="330" w:right="320"/>
            </w:pPr>
            <w:r>
              <w:rPr>
                <w:spacing w:val="-5"/>
              </w:rPr>
              <w:t>所学</w:t>
            </w:r>
            <w:r>
              <w:t xml:space="preserve"> </w:t>
            </w:r>
            <w:r>
              <w:rPr>
                <w:spacing w:val="-6"/>
              </w:rPr>
              <w:t>专业</w:t>
            </w:r>
          </w:p>
        </w:tc>
        <w:tc>
          <w:tcPr>
            <w:tcW w:w="1979" w:type="dxa"/>
            <w:vAlign w:val="top"/>
          </w:tcPr>
          <w:p w14:paraId="168A15EB">
            <w:pPr>
              <w:pStyle w:val="14"/>
              <w:spacing w:before="200" w:line="307" w:lineRule="auto"/>
              <w:ind w:left="257" w:right="127" w:hanging="120"/>
            </w:pPr>
            <w:r>
              <w:rPr>
                <w:spacing w:val="-2"/>
              </w:rPr>
              <w:t>拟在本项目中</w:t>
            </w:r>
            <w:r>
              <w:rPr>
                <w:spacing w:val="1"/>
              </w:rPr>
              <w:t xml:space="preserve"> </w:t>
            </w:r>
            <w:r>
              <w:rPr>
                <w:spacing w:val="-3"/>
              </w:rPr>
              <w:t>担任的工作</w:t>
            </w:r>
          </w:p>
        </w:tc>
      </w:tr>
      <w:tr w14:paraId="27513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795" w:type="dxa"/>
            <w:vAlign w:val="top"/>
          </w:tcPr>
          <w:p w14:paraId="52DD7997">
            <w:pPr>
              <w:rPr>
                <w:rFonts w:ascii="Arial"/>
                <w:sz w:val="21"/>
              </w:rPr>
            </w:pPr>
          </w:p>
        </w:tc>
        <w:tc>
          <w:tcPr>
            <w:tcW w:w="1493" w:type="dxa"/>
            <w:vAlign w:val="top"/>
          </w:tcPr>
          <w:p w14:paraId="653D848D">
            <w:pPr>
              <w:rPr>
                <w:rFonts w:ascii="Arial"/>
                <w:sz w:val="21"/>
              </w:rPr>
            </w:pPr>
          </w:p>
        </w:tc>
        <w:tc>
          <w:tcPr>
            <w:tcW w:w="1090" w:type="dxa"/>
            <w:vAlign w:val="top"/>
          </w:tcPr>
          <w:p w14:paraId="268D4251">
            <w:pPr>
              <w:rPr>
                <w:rFonts w:ascii="Arial"/>
                <w:sz w:val="21"/>
              </w:rPr>
            </w:pPr>
          </w:p>
        </w:tc>
        <w:tc>
          <w:tcPr>
            <w:tcW w:w="1223" w:type="dxa"/>
            <w:vAlign w:val="top"/>
          </w:tcPr>
          <w:p w14:paraId="6FCE79E6">
            <w:pPr>
              <w:rPr>
                <w:rFonts w:ascii="Arial"/>
                <w:sz w:val="21"/>
              </w:rPr>
            </w:pPr>
          </w:p>
        </w:tc>
        <w:tc>
          <w:tcPr>
            <w:tcW w:w="1225" w:type="dxa"/>
            <w:vAlign w:val="top"/>
          </w:tcPr>
          <w:p w14:paraId="7EAB14C1">
            <w:pPr>
              <w:rPr>
                <w:rFonts w:ascii="Arial"/>
                <w:sz w:val="21"/>
              </w:rPr>
            </w:pPr>
          </w:p>
        </w:tc>
        <w:tc>
          <w:tcPr>
            <w:tcW w:w="1312" w:type="dxa"/>
            <w:vAlign w:val="top"/>
          </w:tcPr>
          <w:p w14:paraId="4C18A16E">
            <w:pPr>
              <w:rPr>
                <w:rFonts w:ascii="Arial"/>
                <w:sz w:val="21"/>
              </w:rPr>
            </w:pPr>
          </w:p>
        </w:tc>
        <w:tc>
          <w:tcPr>
            <w:tcW w:w="1979" w:type="dxa"/>
            <w:vAlign w:val="top"/>
          </w:tcPr>
          <w:p w14:paraId="73B573E9">
            <w:pPr>
              <w:rPr>
                <w:rFonts w:ascii="Arial"/>
                <w:sz w:val="21"/>
              </w:rPr>
            </w:pPr>
          </w:p>
        </w:tc>
      </w:tr>
      <w:tr w14:paraId="4AC49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795" w:type="dxa"/>
            <w:vAlign w:val="top"/>
          </w:tcPr>
          <w:p w14:paraId="47675E77">
            <w:pPr>
              <w:rPr>
                <w:rFonts w:ascii="Arial"/>
                <w:sz w:val="21"/>
              </w:rPr>
            </w:pPr>
          </w:p>
        </w:tc>
        <w:tc>
          <w:tcPr>
            <w:tcW w:w="1493" w:type="dxa"/>
            <w:vAlign w:val="top"/>
          </w:tcPr>
          <w:p w14:paraId="05ED6B60">
            <w:pPr>
              <w:rPr>
                <w:rFonts w:ascii="Arial"/>
                <w:sz w:val="21"/>
              </w:rPr>
            </w:pPr>
          </w:p>
        </w:tc>
        <w:tc>
          <w:tcPr>
            <w:tcW w:w="1090" w:type="dxa"/>
            <w:vAlign w:val="top"/>
          </w:tcPr>
          <w:p w14:paraId="4D4FD1BA">
            <w:pPr>
              <w:rPr>
                <w:rFonts w:ascii="Arial"/>
                <w:sz w:val="21"/>
              </w:rPr>
            </w:pPr>
          </w:p>
        </w:tc>
        <w:tc>
          <w:tcPr>
            <w:tcW w:w="1223" w:type="dxa"/>
            <w:vAlign w:val="top"/>
          </w:tcPr>
          <w:p w14:paraId="298171A6">
            <w:pPr>
              <w:rPr>
                <w:rFonts w:ascii="Arial"/>
                <w:sz w:val="21"/>
              </w:rPr>
            </w:pPr>
          </w:p>
        </w:tc>
        <w:tc>
          <w:tcPr>
            <w:tcW w:w="1225" w:type="dxa"/>
            <w:vAlign w:val="top"/>
          </w:tcPr>
          <w:p w14:paraId="400443B9">
            <w:pPr>
              <w:rPr>
                <w:rFonts w:ascii="Arial"/>
                <w:sz w:val="21"/>
              </w:rPr>
            </w:pPr>
          </w:p>
        </w:tc>
        <w:tc>
          <w:tcPr>
            <w:tcW w:w="1312" w:type="dxa"/>
            <w:vAlign w:val="top"/>
          </w:tcPr>
          <w:p w14:paraId="7FABC93F">
            <w:pPr>
              <w:rPr>
                <w:rFonts w:ascii="Arial"/>
                <w:sz w:val="21"/>
              </w:rPr>
            </w:pPr>
          </w:p>
        </w:tc>
        <w:tc>
          <w:tcPr>
            <w:tcW w:w="1979" w:type="dxa"/>
            <w:vAlign w:val="top"/>
          </w:tcPr>
          <w:p w14:paraId="3B2BCAAD">
            <w:pPr>
              <w:rPr>
                <w:rFonts w:ascii="Arial"/>
                <w:sz w:val="21"/>
              </w:rPr>
            </w:pPr>
          </w:p>
        </w:tc>
      </w:tr>
      <w:tr w14:paraId="75E80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795" w:type="dxa"/>
            <w:vAlign w:val="top"/>
          </w:tcPr>
          <w:p w14:paraId="6E1F8CB5">
            <w:pPr>
              <w:rPr>
                <w:rFonts w:ascii="Arial"/>
                <w:sz w:val="21"/>
              </w:rPr>
            </w:pPr>
          </w:p>
        </w:tc>
        <w:tc>
          <w:tcPr>
            <w:tcW w:w="1493" w:type="dxa"/>
            <w:vAlign w:val="top"/>
          </w:tcPr>
          <w:p w14:paraId="2E69A189">
            <w:pPr>
              <w:rPr>
                <w:rFonts w:ascii="Arial"/>
                <w:sz w:val="21"/>
              </w:rPr>
            </w:pPr>
          </w:p>
        </w:tc>
        <w:tc>
          <w:tcPr>
            <w:tcW w:w="1090" w:type="dxa"/>
            <w:vAlign w:val="top"/>
          </w:tcPr>
          <w:p w14:paraId="08E3F465">
            <w:pPr>
              <w:rPr>
                <w:rFonts w:ascii="Arial"/>
                <w:sz w:val="21"/>
              </w:rPr>
            </w:pPr>
          </w:p>
        </w:tc>
        <w:tc>
          <w:tcPr>
            <w:tcW w:w="1223" w:type="dxa"/>
            <w:vAlign w:val="top"/>
          </w:tcPr>
          <w:p w14:paraId="7A4C24F9">
            <w:pPr>
              <w:rPr>
                <w:rFonts w:ascii="Arial"/>
                <w:sz w:val="21"/>
              </w:rPr>
            </w:pPr>
          </w:p>
        </w:tc>
        <w:tc>
          <w:tcPr>
            <w:tcW w:w="1225" w:type="dxa"/>
            <w:vAlign w:val="top"/>
          </w:tcPr>
          <w:p w14:paraId="4466BC2E">
            <w:pPr>
              <w:rPr>
                <w:rFonts w:ascii="Arial"/>
                <w:sz w:val="21"/>
              </w:rPr>
            </w:pPr>
          </w:p>
        </w:tc>
        <w:tc>
          <w:tcPr>
            <w:tcW w:w="1312" w:type="dxa"/>
            <w:vAlign w:val="top"/>
          </w:tcPr>
          <w:p w14:paraId="22865F8C">
            <w:pPr>
              <w:rPr>
                <w:rFonts w:ascii="Arial"/>
                <w:sz w:val="21"/>
              </w:rPr>
            </w:pPr>
          </w:p>
        </w:tc>
        <w:tc>
          <w:tcPr>
            <w:tcW w:w="1979" w:type="dxa"/>
            <w:vAlign w:val="top"/>
          </w:tcPr>
          <w:p w14:paraId="1CCD5152">
            <w:pPr>
              <w:rPr>
                <w:rFonts w:ascii="Arial"/>
                <w:sz w:val="21"/>
              </w:rPr>
            </w:pPr>
          </w:p>
        </w:tc>
      </w:tr>
      <w:tr w14:paraId="12955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795" w:type="dxa"/>
            <w:vAlign w:val="top"/>
          </w:tcPr>
          <w:p w14:paraId="2BA050E1">
            <w:pPr>
              <w:rPr>
                <w:rFonts w:ascii="Arial"/>
                <w:sz w:val="21"/>
              </w:rPr>
            </w:pPr>
          </w:p>
        </w:tc>
        <w:tc>
          <w:tcPr>
            <w:tcW w:w="1493" w:type="dxa"/>
            <w:vAlign w:val="top"/>
          </w:tcPr>
          <w:p w14:paraId="09C42943">
            <w:pPr>
              <w:rPr>
                <w:rFonts w:ascii="Arial"/>
                <w:sz w:val="21"/>
              </w:rPr>
            </w:pPr>
          </w:p>
        </w:tc>
        <w:tc>
          <w:tcPr>
            <w:tcW w:w="1090" w:type="dxa"/>
            <w:vAlign w:val="top"/>
          </w:tcPr>
          <w:p w14:paraId="4AE54DBD">
            <w:pPr>
              <w:rPr>
                <w:rFonts w:ascii="Arial"/>
                <w:sz w:val="21"/>
              </w:rPr>
            </w:pPr>
          </w:p>
        </w:tc>
        <w:tc>
          <w:tcPr>
            <w:tcW w:w="1223" w:type="dxa"/>
            <w:vAlign w:val="top"/>
          </w:tcPr>
          <w:p w14:paraId="2CEA70EB">
            <w:pPr>
              <w:rPr>
                <w:rFonts w:ascii="Arial"/>
                <w:sz w:val="21"/>
              </w:rPr>
            </w:pPr>
          </w:p>
        </w:tc>
        <w:tc>
          <w:tcPr>
            <w:tcW w:w="1225" w:type="dxa"/>
            <w:vAlign w:val="top"/>
          </w:tcPr>
          <w:p w14:paraId="6C790B8E">
            <w:pPr>
              <w:rPr>
                <w:rFonts w:ascii="Arial"/>
                <w:sz w:val="21"/>
              </w:rPr>
            </w:pPr>
          </w:p>
        </w:tc>
        <w:tc>
          <w:tcPr>
            <w:tcW w:w="1312" w:type="dxa"/>
            <w:vAlign w:val="top"/>
          </w:tcPr>
          <w:p w14:paraId="1F4B7C4B">
            <w:pPr>
              <w:rPr>
                <w:rFonts w:ascii="Arial"/>
                <w:sz w:val="21"/>
              </w:rPr>
            </w:pPr>
          </w:p>
        </w:tc>
        <w:tc>
          <w:tcPr>
            <w:tcW w:w="1979" w:type="dxa"/>
            <w:vAlign w:val="top"/>
          </w:tcPr>
          <w:p w14:paraId="54C75ADA">
            <w:pPr>
              <w:rPr>
                <w:rFonts w:ascii="Arial"/>
                <w:sz w:val="21"/>
              </w:rPr>
            </w:pPr>
          </w:p>
        </w:tc>
      </w:tr>
      <w:tr w14:paraId="3101F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95" w:type="dxa"/>
            <w:vAlign w:val="top"/>
          </w:tcPr>
          <w:p w14:paraId="6B084CE3">
            <w:pPr>
              <w:rPr>
                <w:rFonts w:ascii="Arial"/>
                <w:sz w:val="21"/>
              </w:rPr>
            </w:pPr>
          </w:p>
        </w:tc>
        <w:tc>
          <w:tcPr>
            <w:tcW w:w="1493" w:type="dxa"/>
            <w:vAlign w:val="top"/>
          </w:tcPr>
          <w:p w14:paraId="4F029420">
            <w:pPr>
              <w:rPr>
                <w:rFonts w:ascii="Arial"/>
                <w:sz w:val="21"/>
              </w:rPr>
            </w:pPr>
          </w:p>
        </w:tc>
        <w:tc>
          <w:tcPr>
            <w:tcW w:w="1090" w:type="dxa"/>
            <w:vAlign w:val="top"/>
          </w:tcPr>
          <w:p w14:paraId="16BF463A">
            <w:pPr>
              <w:rPr>
                <w:rFonts w:ascii="Arial"/>
                <w:sz w:val="21"/>
              </w:rPr>
            </w:pPr>
          </w:p>
        </w:tc>
        <w:tc>
          <w:tcPr>
            <w:tcW w:w="1223" w:type="dxa"/>
            <w:vAlign w:val="top"/>
          </w:tcPr>
          <w:p w14:paraId="73FD8072">
            <w:pPr>
              <w:rPr>
                <w:rFonts w:ascii="Arial"/>
                <w:sz w:val="21"/>
              </w:rPr>
            </w:pPr>
          </w:p>
        </w:tc>
        <w:tc>
          <w:tcPr>
            <w:tcW w:w="1225" w:type="dxa"/>
            <w:vAlign w:val="top"/>
          </w:tcPr>
          <w:p w14:paraId="3E70647E">
            <w:pPr>
              <w:rPr>
                <w:rFonts w:ascii="Arial"/>
                <w:sz w:val="21"/>
              </w:rPr>
            </w:pPr>
          </w:p>
        </w:tc>
        <w:tc>
          <w:tcPr>
            <w:tcW w:w="1312" w:type="dxa"/>
            <w:vAlign w:val="top"/>
          </w:tcPr>
          <w:p w14:paraId="0DCCB3F7">
            <w:pPr>
              <w:rPr>
                <w:rFonts w:ascii="Arial"/>
                <w:sz w:val="21"/>
              </w:rPr>
            </w:pPr>
          </w:p>
        </w:tc>
        <w:tc>
          <w:tcPr>
            <w:tcW w:w="1979" w:type="dxa"/>
            <w:vAlign w:val="top"/>
          </w:tcPr>
          <w:p w14:paraId="12CFB21D">
            <w:pPr>
              <w:rPr>
                <w:rFonts w:ascii="Arial"/>
                <w:sz w:val="21"/>
              </w:rPr>
            </w:pPr>
          </w:p>
        </w:tc>
      </w:tr>
      <w:tr w14:paraId="7625E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95" w:type="dxa"/>
            <w:vAlign w:val="top"/>
          </w:tcPr>
          <w:p w14:paraId="66A1CEDA">
            <w:pPr>
              <w:rPr>
                <w:rFonts w:ascii="Arial"/>
                <w:sz w:val="21"/>
              </w:rPr>
            </w:pPr>
          </w:p>
        </w:tc>
        <w:tc>
          <w:tcPr>
            <w:tcW w:w="1493" w:type="dxa"/>
            <w:vAlign w:val="top"/>
          </w:tcPr>
          <w:p w14:paraId="4B1DD09F">
            <w:pPr>
              <w:rPr>
                <w:rFonts w:ascii="Arial"/>
                <w:sz w:val="21"/>
              </w:rPr>
            </w:pPr>
          </w:p>
        </w:tc>
        <w:tc>
          <w:tcPr>
            <w:tcW w:w="1090" w:type="dxa"/>
            <w:vAlign w:val="top"/>
          </w:tcPr>
          <w:p w14:paraId="561C4F6E">
            <w:pPr>
              <w:rPr>
                <w:rFonts w:ascii="Arial"/>
                <w:sz w:val="21"/>
              </w:rPr>
            </w:pPr>
          </w:p>
        </w:tc>
        <w:tc>
          <w:tcPr>
            <w:tcW w:w="1223" w:type="dxa"/>
            <w:vAlign w:val="top"/>
          </w:tcPr>
          <w:p w14:paraId="3A664489">
            <w:pPr>
              <w:rPr>
                <w:rFonts w:ascii="Arial"/>
                <w:sz w:val="21"/>
              </w:rPr>
            </w:pPr>
          </w:p>
        </w:tc>
        <w:tc>
          <w:tcPr>
            <w:tcW w:w="1225" w:type="dxa"/>
            <w:vAlign w:val="top"/>
          </w:tcPr>
          <w:p w14:paraId="34B05231">
            <w:pPr>
              <w:rPr>
                <w:rFonts w:ascii="Arial"/>
                <w:sz w:val="21"/>
              </w:rPr>
            </w:pPr>
          </w:p>
        </w:tc>
        <w:tc>
          <w:tcPr>
            <w:tcW w:w="1312" w:type="dxa"/>
            <w:vAlign w:val="top"/>
          </w:tcPr>
          <w:p w14:paraId="73AB85ED">
            <w:pPr>
              <w:rPr>
                <w:rFonts w:ascii="Arial"/>
                <w:sz w:val="21"/>
              </w:rPr>
            </w:pPr>
          </w:p>
        </w:tc>
        <w:tc>
          <w:tcPr>
            <w:tcW w:w="1979" w:type="dxa"/>
            <w:vAlign w:val="top"/>
          </w:tcPr>
          <w:p w14:paraId="03EB7955">
            <w:pPr>
              <w:rPr>
                <w:rFonts w:ascii="Arial"/>
                <w:sz w:val="21"/>
              </w:rPr>
            </w:pPr>
          </w:p>
        </w:tc>
      </w:tr>
      <w:tr w14:paraId="132B2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95" w:type="dxa"/>
            <w:vAlign w:val="top"/>
          </w:tcPr>
          <w:p w14:paraId="591ECD9D">
            <w:pPr>
              <w:rPr>
                <w:rFonts w:ascii="Arial"/>
                <w:sz w:val="21"/>
              </w:rPr>
            </w:pPr>
          </w:p>
        </w:tc>
        <w:tc>
          <w:tcPr>
            <w:tcW w:w="1493" w:type="dxa"/>
            <w:vAlign w:val="top"/>
          </w:tcPr>
          <w:p w14:paraId="2435993B">
            <w:pPr>
              <w:rPr>
                <w:rFonts w:ascii="Arial"/>
                <w:sz w:val="21"/>
              </w:rPr>
            </w:pPr>
          </w:p>
        </w:tc>
        <w:tc>
          <w:tcPr>
            <w:tcW w:w="1090" w:type="dxa"/>
            <w:vAlign w:val="top"/>
          </w:tcPr>
          <w:p w14:paraId="3F300C3E">
            <w:pPr>
              <w:rPr>
                <w:rFonts w:ascii="Arial"/>
                <w:sz w:val="21"/>
              </w:rPr>
            </w:pPr>
          </w:p>
        </w:tc>
        <w:tc>
          <w:tcPr>
            <w:tcW w:w="1223" w:type="dxa"/>
            <w:vAlign w:val="top"/>
          </w:tcPr>
          <w:p w14:paraId="34647754">
            <w:pPr>
              <w:rPr>
                <w:rFonts w:ascii="Arial"/>
                <w:sz w:val="21"/>
              </w:rPr>
            </w:pPr>
          </w:p>
        </w:tc>
        <w:tc>
          <w:tcPr>
            <w:tcW w:w="1225" w:type="dxa"/>
            <w:vAlign w:val="top"/>
          </w:tcPr>
          <w:p w14:paraId="143FE21B">
            <w:pPr>
              <w:rPr>
                <w:rFonts w:ascii="Arial"/>
                <w:sz w:val="21"/>
              </w:rPr>
            </w:pPr>
          </w:p>
        </w:tc>
        <w:tc>
          <w:tcPr>
            <w:tcW w:w="1312" w:type="dxa"/>
            <w:vAlign w:val="top"/>
          </w:tcPr>
          <w:p w14:paraId="573ED7F0">
            <w:pPr>
              <w:rPr>
                <w:rFonts w:ascii="Arial"/>
                <w:sz w:val="21"/>
              </w:rPr>
            </w:pPr>
          </w:p>
        </w:tc>
        <w:tc>
          <w:tcPr>
            <w:tcW w:w="1979" w:type="dxa"/>
            <w:vAlign w:val="top"/>
          </w:tcPr>
          <w:p w14:paraId="644C7F41">
            <w:pPr>
              <w:rPr>
                <w:rFonts w:ascii="Arial"/>
                <w:sz w:val="21"/>
              </w:rPr>
            </w:pPr>
          </w:p>
        </w:tc>
      </w:tr>
      <w:tr w14:paraId="1E630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95" w:type="dxa"/>
            <w:vAlign w:val="top"/>
          </w:tcPr>
          <w:p w14:paraId="401F0EDE">
            <w:pPr>
              <w:rPr>
                <w:rFonts w:ascii="Arial"/>
                <w:sz w:val="21"/>
              </w:rPr>
            </w:pPr>
          </w:p>
        </w:tc>
        <w:tc>
          <w:tcPr>
            <w:tcW w:w="1493" w:type="dxa"/>
            <w:vAlign w:val="top"/>
          </w:tcPr>
          <w:p w14:paraId="76D1E868">
            <w:pPr>
              <w:rPr>
                <w:rFonts w:ascii="Arial"/>
                <w:sz w:val="21"/>
              </w:rPr>
            </w:pPr>
          </w:p>
        </w:tc>
        <w:tc>
          <w:tcPr>
            <w:tcW w:w="1090" w:type="dxa"/>
            <w:vAlign w:val="top"/>
          </w:tcPr>
          <w:p w14:paraId="665BE10D">
            <w:pPr>
              <w:rPr>
                <w:rFonts w:ascii="Arial"/>
                <w:sz w:val="21"/>
              </w:rPr>
            </w:pPr>
          </w:p>
        </w:tc>
        <w:tc>
          <w:tcPr>
            <w:tcW w:w="1223" w:type="dxa"/>
            <w:vAlign w:val="top"/>
          </w:tcPr>
          <w:p w14:paraId="794DECE1">
            <w:pPr>
              <w:rPr>
                <w:rFonts w:ascii="Arial"/>
                <w:sz w:val="21"/>
              </w:rPr>
            </w:pPr>
          </w:p>
        </w:tc>
        <w:tc>
          <w:tcPr>
            <w:tcW w:w="1225" w:type="dxa"/>
            <w:vAlign w:val="top"/>
          </w:tcPr>
          <w:p w14:paraId="43F0155A">
            <w:pPr>
              <w:rPr>
                <w:rFonts w:ascii="Arial"/>
                <w:sz w:val="21"/>
              </w:rPr>
            </w:pPr>
          </w:p>
        </w:tc>
        <w:tc>
          <w:tcPr>
            <w:tcW w:w="1312" w:type="dxa"/>
            <w:vAlign w:val="top"/>
          </w:tcPr>
          <w:p w14:paraId="2505116D">
            <w:pPr>
              <w:rPr>
                <w:rFonts w:ascii="Arial"/>
                <w:sz w:val="21"/>
              </w:rPr>
            </w:pPr>
          </w:p>
        </w:tc>
        <w:tc>
          <w:tcPr>
            <w:tcW w:w="1979" w:type="dxa"/>
            <w:vAlign w:val="top"/>
          </w:tcPr>
          <w:p w14:paraId="52F62B7E">
            <w:pPr>
              <w:rPr>
                <w:rFonts w:ascii="Arial"/>
                <w:sz w:val="21"/>
              </w:rPr>
            </w:pPr>
          </w:p>
        </w:tc>
      </w:tr>
      <w:tr w14:paraId="1627F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795" w:type="dxa"/>
            <w:vAlign w:val="top"/>
          </w:tcPr>
          <w:p w14:paraId="5E4703A2">
            <w:pPr>
              <w:rPr>
                <w:rFonts w:ascii="Arial"/>
                <w:sz w:val="21"/>
              </w:rPr>
            </w:pPr>
          </w:p>
        </w:tc>
        <w:tc>
          <w:tcPr>
            <w:tcW w:w="1493" w:type="dxa"/>
            <w:vAlign w:val="top"/>
          </w:tcPr>
          <w:p w14:paraId="02B52AF3">
            <w:pPr>
              <w:rPr>
                <w:rFonts w:ascii="Arial"/>
                <w:sz w:val="21"/>
              </w:rPr>
            </w:pPr>
          </w:p>
        </w:tc>
        <w:tc>
          <w:tcPr>
            <w:tcW w:w="1090" w:type="dxa"/>
            <w:vAlign w:val="top"/>
          </w:tcPr>
          <w:p w14:paraId="3D26CB6C">
            <w:pPr>
              <w:rPr>
                <w:rFonts w:ascii="Arial"/>
                <w:sz w:val="21"/>
              </w:rPr>
            </w:pPr>
          </w:p>
        </w:tc>
        <w:tc>
          <w:tcPr>
            <w:tcW w:w="1223" w:type="dxa"/>
            <w:vAlign w:val="top"/>
          </w:tcPr>
          <w:p w14:paraId="1F42C588">
            <w:pPr>
              <w:rPr>
                <w:rFonts w:ascii="Arial"/>
                <w:sz w:val="21"/>
              </w:rPr>
            </w:pPr>
          </w:p>
        </w:tc>
        <w:tc>
          <w:tcPr>
            <w:tcW w:w="1225" w:type="dxa"/>
            <w:vAlign w:val="top"/>
          </w:tcPr>
          <w:p w14:paraId="3388CEB9">
            <w:pPr>
              <w:rPr>
                <w:rFonts w:ascii="Arial"/>
                <w:sz w:val="21"/>
              </w:rPr>
            </w:pPr>
          </w:p>
        </w:tc>
        <w:tc>
          <w:tcPr>
            <w:tcW w:w="1312" w:type="dxa"/>
            <w:vAlign w:val="top"/>
          </w:tcPr>
          <w:p w14:paraId="77BA2797">
            <w:pPr>
              <w:rPr>
                <w:rFonts w:ascii="Arial"/>
                <w:sz w:val="21"/>
              </w:rPr>
            </w:pPr>
          </w:p>
        </w:tc>
        <w:tc>
          <w:tcPr>
            <w:tcW w:w="1979" w:type="dxa"/>
            <w:vAlign w:val="top"/>
          </w:tcPr>
          <w:p w14:paraId="7E2A6019">
            <w:pPr>
              <w:rPr>
                <w:rFonts w:ascii="Arial"/>
                <w:sz w:val="21"/>
              </w:rPr>
            </w:pPr>
          </w:p>
        </w:tc>
      </w:tr>
    </w:tbl>
    <w:p w14:paraId="171C0270">
      <w:pPr>
        <w:pStyle w:val="2"/>
        <w:spacing w:before="115" w:line="219" w:lineRule="auto"/>
        <w:ind w:left="122"/>
      </w:pPr>
      <w:r>
        <w:rPr>
          <w:spacing w:val="-2"/>
        </w:rPr>
        <w:t>注：后附证明材料。</w:t>
      </w:r>
    </w:p>
    <w:p w14:paraId="25021AC6">
      <w:pPr>
        <w:spacing w:line="241" w:lineRule="auto"/>
        <w:rPr>
          <w:rFonts w:ascii="Arial"/>
          <w:sz w:val="21"/>
        </w:rPr>
      </w:pPr>
    </w:p>
    <w:p w14:paraId="0F2943F6">
      <w:pPr>
        <w:spacing w:line="241" w:lineRule="auto"/>
        <w:rPr>
          <w:rFonts w:ascii="Arial"/>
          <w:sz w:val="21"/>
        </w:rPr>
      </w:pPr>
    </w:p>
    <w:p w14:paraId="41AE073D">
      <w:pPr>
        <w:spacing w:line="242" w:lineRule="auto"/>
        <w:rPr>
          <w:rFonts w:ascii="Arial"/>
          <w:sz w:val="21"/>
        </w:rPr>
      </w:pPr>
    </w:p>
    <w:p w14:paraId="412E72CC">
      <w:pPr>
        <w:pStyle w:val="2"/>
        <w:spacing w:before="79" w:line="347" w:lineRule="auto"/>
        <w:ind w:left="541" w:right="6789"/>
      </w:pPr>
      <w:r>
        <w:rPr>
          <w:spacing w:val="-2"/>
        </w:rPr>
        <w:t>供应商名称（盖章</w:t>
      </w:r>
      <w:r>
        <w:rPr>
          <w:spacing w:val="-55"/>
          <w:w w:val="86"/>
        </w:rPr>
        <w:t>）：</w:t>
      </w:r>
      <w:r>
        <w:rPr>
          <w:spacing w:val="2"/>
        </w:rPr>
        <w:t xml:space="preserve"> </w:t>
      </w:r>
      <w:r>
        <w:rPr>
          <w:spacing w:val="-2"/>
        </w:rPr>
        <w:t>授权代表人（签字</w:t>
      </w:r>
      <w:r>
        <w:rPr>
          <w:spacing w:val="-55"/>
          <w:w w:val="86"/>
        </w:rPr>
        <w:t>）：</w:t>
      </w:r>
    </w:p>
    <w:p w14:paraId="18439129">
      <w:pPr>
        <w:pStyle w:val="2"/>
        <w:spacing w:before="35" w:line="219" w:lineRule="auto"/>
        <w:ind w:left="643"/>
        <w:outlineLvl w:val="0"/>
      </w:pPr>
      <w:r>
        <w:rPr>
          <w:spacing w:val="-15"/>
        </w:rPr>
        <w:t>日</w:t>
      </w:r>
      <w:r>
        <w:rPr>
          <w:spacing w:val="6"/>
        </w:rPr>
        <w:t xml:space="preserve">  </w:t>
      </w:r>
      <w:r>
        <w:rPr>
          <w:spacing w:val="-15"/>
        </w:rPr>
        <w:t>期:</w:t>
      </w:r>
      <w:r>
        <w:rPr>
          <w:spacing w:val="1"/>
        </w:rPr>
        <w:t xml:space="preserve">      </w:t>
      </w:r>
      <w:r>
        <w:rPr>
          <w:spacing w:val="-15"/>
        </w:rPr>
        <w:t>年</w:t>
      </w:r>
      <w:r>
        <w:rPr>
          <w:spacing w:val="5"/>
        </w:rPr>
        <w:t xml:space="preserve">    </w:t>
      </w:r>
      <w:r>
        <w:rPr>
          <w:spacing w:val="-15"/>
        </w:rPr>
        <w:t>月</w:t>
      </w:r>
      <w:r>
        <w:rPr>
          <w:spacing w:val="12"/>
        </w:rPr>
        <w:t xml:space="preserve">    </w:t>
      </w:r>
      <w:r>
        <w:rPr>
          <w:spacing w:val="-15"/>
        </w:rPr>
        <w:t>日</w:t>
      </w:r>
    </w:p>
    <w:p w14:paraId="0554E0A4">
      <w:pPr>
        <w:spacing w:line="440" w:lineRule="exact"/>
        <w:rPr>
          <w:rFonts w:ascii="宋体" w:hAnsi="宋体" w:cs="宋体"/>
          <w:szCs w:val="21"/>
        </w:rPr>
      </w:pPr>
    </w:p>
    <w:p w14:paraId="00F6B9A2">
      <w:pPr>
        <w:pStyle w:val="10"/>
        <w:rPr>
          <w:rFonts w:ascii="宋体" w:hAnsi="宋体" w:cs="宋体"/>
          <w:szCs w:val="21"/>
        </w:rPr>
      </w:pPr>
    </w:p>
    <w:p w14:paraId="00FAA5CB">
      <w:pPr>
        <w:pStyle w:val="10"/>
        <w:rPr>
          <w:rFonts w:ascii="宋体" w:hAnsi="宋体" w:cs="宋体"/>
          <w:szCs w:val="21"/>
        </w:rPr>
      </w:pPr>
    </w:p>
    <w:p w14:paraId="54A63F46">
      <w:pPr>
        <w:spacing w:line="360" w:lineRule="auto"/>
        <w:rPr>
          <w:rFonts w:ascii="宋体" w:hAnsi="宋体" w:cs="宋体"/>
          <w:b/>
          <w:bCs/>
          <w:szCs w:val="21"/>
        </w:rPr>
      </w:pPr>
      <w:r>
        <w:rPr>
          <w:rFonts w:hint="eastAsia" w:ascii="宋体" w:hAnsi="宋体" w:cs="宋体"/>
          <w:b/>
          <w:sz w:val="24"/>
        </w:rPr>
        <w:t>注：</w:t>
      </w:r>
      <w:r>
        <w:rPr>
          <w:rFonts w:hint="eastAsia" w:ascii="宋体" w:hAnsi="宋体" w:cs="宋体"/>
          <w:b/>
          <w:bCs/>
          <w:szCs w:val="21"/>
        </w:rPr>
        <w:t>供应商需随此表附上人员的身份证、职称证、</w:t>
      </w:r>
      <w:r>
        <w:rPr>
          <w:rFonts w:ascii="宋体" w:hAnsi="宋体" w:cs="宋体"/>
          <w:b/>
          <w:bCs/>
          <w:szCs w:val="21"/>
        </w:rPr>
        <w:t>社保</w:t>
      </w:r>
      <w:r>
        <w:rPr>
          <w:rFonts w:hint="eastAsia" w:ascii="宋体" w:hAnsi="宋体" w:cs="宋体"/>
          <w:b/>
          <w:bCs/>
          <w:szCs w:val="21"/>
        </w:rPr>
        <w:t>证明等相关资料的复印件。</w:t>
      </w:r>
    </w:p>
    <w:p w14:paraId="01E013B7">
      <w:pPr>
        <w:pStyle w:val="3"/>
        <w:rPr>
          <w:b/>
          <w:bCs/>
          <w:spacing w:val="-12"/>
          <w:sz w:val="30"/>
          <w:szCs w:val="30"/>
        </w:rPr>
      </w:pPr>
    </w:p>
    <w:p w14:paraId="3E0E2ABA">
      <w:pPr>
        <w:pStyle w:val="4"/>
        <w:rPr>
          <w:b/>
          <w:bCs/>
          <w:spacing w:val="-12"/>
          <w:sz w:val="30"/>
          <w:szCs w:val="30"/>
        </w:rPr>
      </w:pPr>
    </w:p>
    <w:p w14:paraId="5394EC75">
      <w:pPr>
        <w:pStyle w:val="4"/>
        <w:rPr>
          <w:b/>
          <w:bCs/>
          <w:spacing w:val="-12"/>
          <w:sz w:val="30"/>
          <w:szCs w:val="30"/>
        </w:rPr>
      </w:pPr>
    </w:p>
    <w:p w14:paraId="43CA6F7C">
      <w:pPr>
        <w:pStyle w:val="4"/>
        <w:rPr>
          <w:b/>
          <w:bCs/>
          <w:spacing w:val="-12"/>
          <w:sz w:val="30"/>
          <w:szCs w:val="30"/>
        </w:rPr>
      </w:pPr>
    </w:p>
    <w:p w14:paraId="1FA26D9F">
      <w:pPr>
        <w:pStyle w:val="4"/>
        <w:rPr>
          <w:b/>
          <w:bCs/>
          <w:spacing w:val="-12"/>
          <w:sz w:val="30"/>
          <w:szCs w:val="30"/>
        </w:rPr>
      </w:pPr>
    </w:p>
    <w:p w14:paraId="5CF30C20">
      <w:pPr>
        <w:pStyle w:val="4"/>
        <w:rPr>
          <w:b/>
          <w:bCs/>
          <w:spacing w:val="-12"/>
          <w:sz w:val="30"/>
          <w:szCs w:val="30"/>
        </w:rPr>
      </w:pPr>
    </w:p>
    <w:p w14:paraId="72D4BC95">
      <w:pPr>
        <w:pStyle w:val="4"/>
        <w:rPr>
          <w:b/>
          <w:bCs/>
          <w:spacing w:val="-12"/>
          <w:sz w:val="30"/>
          <w:szCs w:val="30"/>
        </w:rPr>
      </w:pPr>
    </w:p>
    <w:p w14:paraId="4DEDCE71">
      <w:pPr>
        <w:pStyle w:val="4"/>
        <w:rPr>
          <w:b/>
          <w:bCs/>
          <w:spacing w:val="-12"/>
          <w:sz w:val="30"/>
          <w:szCs w:val="30"/>
        </w:rPr>
      </w:pPr>
    </w:p>
    <w:p w14:paraId="1BB2B99A">
      <w:pPr>
        <w:pStyle w:val="4"/>
        <w:rPr>
          <w:b/>
          <w:bCs/>
          <w:spacing w:val="-12"/>
          <w:sz w:val="30"/>
          <w:szCs w:val="30"/>
        </w:rPr>
      </w:pPr>
    </w:p>
    <w:p w14:paraId="0823118E">
      <w:pPr>
        <w:pStyle w:val="2"/>
        <w:spacing w:before="189" w:line="219" w:lineRule="auto"/>
        <w:ind w:left="541"/>
        <w:rPr>
          <w:sz w:val="30"/>
          <w:szCs w:val="30"/>
        </w:rPr>
      </w:pPr>
      <w:r>
        <w:rPr>
          <w:b/>
          <w:bCs/>
          <w:spacing w:val="-10"/>
          <w:sz w:val="30"/>
          <w:szCs w:val="30"/>
        </w:rPr>
        <w:t>附件十一：</w:t>
      </w:r>
    </w:p>
    <w:p w14:paraId="17EB681E">
      <w:pPr>
        <w:pStyle w:val="2"/>
        <w:spacing w:before="248" w:line="219" w:lineRule="auto"/>
        <w:ind w:left="3422"/>
        <w:outlineLvl w:val="0"/>
        <w:rPr>
          <w:sz w:val="30"/>
          <w:szCs w:val="30"/>
        </w:rPr>
      </w:pPr>
      <w:r>
        <w:rPr>
          <w:b/>
          <w:bCs/>
          <w:spacing w:val="-4"/>
          <w:sz w:val="30"/>
          <w:szCs w:val="30"/>
        </w:rPr>
        <w:t>拟派项目负责人情况表</w:t>
      </w:r>
    </w:p>
    <w:tbl>
      <w:tblPr>
        <w:tblStyle w:val="13"/>
        <w:tblW w:w="100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6"/>
        <w:gridCol w:w="1684"/>
        <w:gridCol w:w="1019"/>
        <w:gridCol w:w="1547"/>
        <w:gridCol w:w="1854"/>
        <w:gridCol w:w="2594"/>
      </w:tblGrid>
      <w:tr w14:paraId="77F15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trPr>
        <w:tc>
          <w:tcPr>
            <w:tcW w:w="1336" w:type="dxa"/>
            <w:vAlign w:val="top"/>
          </w:tcPr>
          <w:p w14:paraId="39914B07">
            <w:pPr>
              <w:spacing w:line="373" w:lineRule="auto"/>
              <w:rPr>
                <w:rFonts w:ascii="Arial"/>
                <w:sz w:val="21"/>
              </w:rPr>
            </w:pPr>
          </w:p>
          <w:p w14:paraId="5D68460D">
            <w:pPr>
              <w:pStyle w:val="14"/>
              <w:spacing w:before="78" w:line="219" w:lineRule="auto"/>
              <w:ind w:left="314"/>
            </w:pPr>
            <w:r>
              <w:rPr>
                <w:spacing w:val="-5"/>
              </w:rPr>
              <w:t>姓</w:t>
            </w:r>
            <w:r>
              <w:rPr>
                <w:spacing w:val="6"/>
              </w:rPr>
              <w:t xml:space="preserve">  </w:t>
            </w:r>
            <w:r>
              <w:rPr>
                <w:spacing w:val="-5"/>
              </w:rPr>
              <w:t>名</w:t>
            </w:r>
          </w:p>
        </w:tc>
        <w:tc>
          <w:tcPr>
            <w:tcW w:w="1684" w:type="dxa"/>
            <w:vAlign w:val="top"/>
          </w:tcPr>
          <w:p w14:paraId="3C389A5A">
            <w:pPr>
              <w:rPr>
                <w:rFonts w:ascii="Arial"/>
                <w:sz w:val="21"/>
              </w:rPr>
            </w:pPr>
          </w:p>
        </w:tc>
        <w:tc>
          <w:tcPr>
            <w:tcW w:w="1019" w:type="dxa"/>
            <w:vAlign w:val="top"/>
          </w:tcPr>
          <w:p w14:paraId="727D5383">
            <w:pPr>
              <w:spacing w:line="373" w:lineRule="auto"/>
              <w:rPr>
                <w:rFonts w:ascii="Arial"/>
                <w:sz w:val="21"/>
              </w:rPr>
            </w:pPr>
          </w:p>
          <w:p w14:paraId="2AB549D9">
            <w:pPr>
              <w:pStyle w:val="14"/>
              <w:spacing w:before="78" w:line="219" w:lineRule="auto"/>
              <w:ind w:left="276"/>
            </w:pPr>
            <w:r>
              <w:rPr>
                <w:spacing w:val="-6"/>
              </w:rPr>
              <w:t>年龄</w:t>
            </w:r>
          </w:p>
        </w:tc>
        <w:tc>
          <w:tcPr>
            <w:tcW w:w="1547" w:type="dxa"/>
            <w:vAlign w:val="top"/>
          </w:tcPr>
          <w:p w14:paraId="49608FB5">
            <w:pPr>
              <w:rPr>
                <w:rFonts w:ascii="Arial"/>
                <w:sz w:val="21"/>
              </w:rPr>
            </w:pPr>
          </w:p>
        </w:tc>
        <w:tc>
          <w:tcPr>
            <w:tcW w:w="1854" w:type="dxa"/>
            <w:vAlign w:val="top"/>
          </w:tcPr>
          <w:p w14:paraId="4BF7B571">
            <w:pPr>
              <w:spacing w:line="373" w:lineRule="auto"/>
              <w:rPr>
                <w:rFonts w:ascii="Arial"/>
                <w:sz w:val="21"/>
              </w:rPr>
            </w:pPr>
          </w:p>
          <w:p w14:paraId="51BD84D6">
            <w:pPr>
              <w:pStyle w:val="14"/>
              <w:spacing w:before="78" w:line="219" w:lineRule="auto"/>
              <w:ind w:left="341"/>
            </w:pPr>
            <w:r>
              <w:rPr>
                <w:spacing w:val="-4"/>
              </w:rPr>
              <w:t>身份证号码</w:t>
            </w:r>
          </w:p>
        </w:tc>
        <w:tc>
          <w:tcPr>
            <w:tcW w:w="2594" w:type="dxa"/>
            <w:vAlign w:val="top"/>
          </w:tcPr>
          <w:p w14:paraId="1722D779">
            <w:pPr>
              <w:rPr>
                <w:rFonts w:ascii="Arial"/>
                <w:sz w:val="21"/>
              </w:rPr>
            </w:pPr>
          </w:p>
        </w:tc>
      </w:tr>
      <w:tr w14:paraId="17ED6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1336" w:type="dxa"/>
            <w:vAlign w:val="top"/>
          </w:tcPr>
          <w:p w14:paraId="0A5AEFFB">
            <w:pPr>
              <w:spacing w:line="311" w:lineRule="auto"/>
              <w:rPr>
                <w:rFonts w:ascii="Arial"/>
                <w:sz w:val="21"/>
              </w:rPr>
            </w:pPr>
          </w:p>
          <w:p w14:paraId="30D0E221">
            <w:pPr>
              <w:pStyle w:val="14"/>
              <w:spacing w:before="78" w:line="221" w:lineRule="auto"/>
              <w:ind w:left="315"/>
            </w:pPr>
            <w:r>
              <w:rPr>
                <w:spacing w:val="-6"/>
              </w:rPr>
              <w:t>职</w:t>
            </w:r>
            <w:r>
              <w:rPr>
                <w:spacing w:val="4"/>
              </w:rPr>
              <w:t xml:space="preserve">  </w:t>
            </w:r>
            <w:r>
              <w:rPr>
                <w:spacing w:val="-6"/>
              </w:rPr>
              <w:t>称</w:t>
            </w:r>
          </w:p>
        </w:tc>
        <w:tc>
          <w:tcPr>
            <w:tcW w:w="1684" w:type="dxa"/>
            <w:vAlign w:val="top"/>
          </w:tcPr>
          <w:p w14:paraId="25944E10">
            <w:pPr>
              <w:rPr>
                <w:rFonts w:ascii="Arial"/>
                <w:sz w:val="21"/>
              </w:rPr>
            </w:pPr>
          </w:p>
        </w:tc>
        <w:tc>
          <w:tcPr>
            <w:tcW w:w="1019" w:type="dxa"/>
            <w:vAlign w:val="top"/>
          </w:tcPr>
          <w:p w14:paraId="1FB19BCA">
            <w:pPr>
              <w:spacing w:line="311" w:lineRule="auto"/>
              <w:rPr>
                <w:rFonts w:ascii="Arial"/>
                <w:sz w:val="21"/>
              </w:rPr>
            </w:pPr>
          </w:p>
          <w:p w14:paraId="7093D1FF">
            <w:pPr>
              <w:pStyle w:val="14"/>
              <w:spacing w:before="78" w:line="219" w:lineRule="auto"/>
              <w:ind w:left="276"/>
            </w:pPr>
            <w:r>
              <w:rPr>
                <w:spacing w:val="-6"/>
              </w:rPr>
              <w:t>职务</w:t>
            </w:r>
          </w:p>
        </w:tc>
        <w:tc>
          <w:tcPr>
            <w:tcW w:w="1547" w:type="dxa"/>
            <w:vAlign w:val="top"/>
          </w:tcPr>
          <w:p w14:paraId="0E07816C">
            <w:pPr>
              <w:rPr>
                <w:rFonts w:ascii="Arial"/>
                <w:sz w:val="21"/>
              </w:rPr>
            </w:pPr>
          </w:p>
        </w:tc>
        <w:tc>
          <w:tcPr>
            <w:tcW w:w="1854" w:type="dxa"/>
            <w:vAlign w:val="top"/>
          </w:tcPr>
          <w:p w14:paraId="6B40C13A">
            <w:pPr>
              <w:spacing w:line="311" w:lineRule="auto"/>
              <w:rPr>
                <w:rFonts w:ascii="Arial"/>
                <w:sz w:val="21"/>
              </w:rPr>
            </w:pPr>
          </w:p>
          <w:p w14:paraId="2B2B7AD1">
            <w:pPr>
              <w:pStyle w:val="14"/>
              <w:spacing w:before="78" w:line="221" w:lineRule="auto"/>
              <w:ind w:left="455"/>
            </w:pPr>
            <w:r>
              <w:rPr>
                <w:spacing w:val="-3"/>
              </w:rPr>
              <w:t>联系电话</w:t>
            </w:r>
          </w:p>
        </w:tc>
        <w:tc>
          <w:tcPr>
            <w:tcW w:w="2594" w:type="dxa"/>
            <w:vAlign w:val="top"/>
          </w:tcPr>
          <w:p w14:paraId="4A9FFD17">
            <w:pPr>
              <w:rPr>
                <w:rFonts w:ascii="Arial"/>
                <w:sz w:val="21"/>
              </w:rPr>
            </w:pPr>
          </w:p>
        </w:tc>
      </w:tr>
      <w:tr w14:paraId="2CF9F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3" w:hRule="atLeast"/>
        </w:trPr>
        <w:tc>
          <w:tcPr>
            <w:tcW w:w="1336" w:type="dxa"/>
            <w:vAlign w:val="top"/>
          </w:tcPr>
          <w:p w14:paraId="328F6EDF">
            <w:pPr>
              <w:spacing w:line="318" w:lineRule="auto"/>
              <w:rPr>
                <w:rFonts w:ascii="Arial"/>
                <w:sz w:val="21"/>
              </w:rPr>
            </w:pPr>
          </w:p>
          <w:p w14:paraId="255AC2FD">
            <w:pPr>
              <w:pStyle w:val="14"/>
              <w:spacing w:before="78" w:line="326" w:lineRule="auto"/>
              <w:ind w:left="196" w:right="186"/>
            </w:pPr>
            <w:r>
              <w:rPr>
                <w:spacing w:val="-3"/>
              </w:rPr>
              <w:t>现所在机</w:t>
            </w:r>
            <w:r>
              <w:t xml:space="preserve"> </w:t>
            </w:r>
            <w:r>
              <w:rPr>
                <w:spacing w:val="-4"/>
              </w:rPr>
              <w:t>构或部门</w:t>
            </w:r>
          </w:p>
        </w:tc>
        <w:tc>
          <w:tcPr>
            <w:tcW w:w="4250" w:type="dxa"/>
            <w:gridSpan w:val="3"/>
            <w:vAlign w:val="top"/>
          </w:tcPr>
          <w:p w14:paraId="36CFFC94">
            <w:pPr>
              <w:rPr>
                <w:rFonts w:ascii="Arial"/>
                <w:sz w:val="21"/>
              </w:rPr>
            </w:pPr>
          </w:p>
        </w:tc>
        <w:tc>
          <w:tcPr>
            <w:tcW w:w="1854" w:type="dxa"/>
            <w:vAlign w:val="top"/>
          </w:tcPr>
          <w:p w14:paraId="460DB47F">
            <w:pPr>
              <w:spacing w:line="268" w:lineRule="auto"/>
              <w:rPr>
                <w:rFonts w:ascii="Arial"/>
                <w:sz w:val="21"/>
              </w:rPr>
            </w:pPr>
          </w:p>
          <w:p w14:paraId="2FF29BD4">
            <w:pPr>
              <w:spacing w:line="268" w:lineRule="auto"/>
              <w:rPr>
                <w:rFonts w:ascii="Arial"/>
                <w:sz w:val="21"/>
              </w:rPr>
            </w:pPr>
          </w:p>
          <w:p w14:paraId="5967599D">
            <w:pPr>
              <w:pStyle w:val="14"/>
              <w:spacing w:before="78" w:line="219" w:lineRule="auto"/>
              <w:ind w:left="214"/>
            </w:pPr>
            <w:r>
              <w:rPr>
                <w:spacing w:val="-2"/>
              </w:rPr>
              <w:t>相关工作年限</w:t>
            </w:r>
          </w:p>
        </w:tc>
        <w:tc>
          <w:tcPr>
            <w:tcW w:w="2594" w:type="dxa"/>
            <w:vAlign w:val="top"/>
          </w:tcPr>
          <w:p w14:paraId="62C79384">
            <w:pPr>
              <w:rPr>
                <w:rFonts w:ascii="Arial"/>
                <w:sz w:val="21"/>
              </w:rPr>
            </w:pPr>
          </w:p>
        </w:tc>
      </w:tr>
    </w:tbl>
    <w:p w14:paraId="1FD4693C">
      <w:pPr>
        <w:spacing w:line="250" w:lineRule="auto"/>
        <w:rPr>
          <w:rFonts w:ascii="Arial"/>
          <w:sz w:val="21"/>
        </w:rPr>
      </w:pPr>
    </w:p>
    <w:p w14:paraId="5DC9E46D">
      <w:pPr>
        <w:spacing w:line="251" w:lineRule="auto"/>
        <w:rPr>
          <w:rFonts w:ascii="Arial"/>
          <w:sz w:val="21"/>
        </w:rPr>
      </w:pPr>
    </w:p>
    <w:p w14:paraId="1C1BE7FA">
      <w:pPr>
        <w:pStyle w:val="2"/>
        <w:spacing w:before="78" w:line="347" w:lineRule="auto"/>
        <w:ind w:left="935" w:right="6893"/>
      </w:pPr>
      <w:r>
        <w:rPr>
          <w:spacing w:val="-2"/>
        </w:rPr>
        <w:t>供应商名称（盖章</w:t>
      </w:r>
      <w:r>
        <w:rPr>
          <w:spacing w:val="-55"/>
          <w:w w:val="86"/>
        </w:rPr>
        <w:t>）：</w:t>
      </w:r>
      <w:r>
        <w:rPr>
          <w:spacing w:val="2"/>
        </w:rPr>
        <w:t xml:space="preserve"> </w:t>
      </w:r>
      <w:r>
        <w:rPr>
          <w:spacing w:val="-2"/>
        </w:rPr>
        <w:t>授权代表人（签字</w:t>
      </w:r>
      <w:r>
        <w:rPr>
          <w:spacing w:val="-55"/>
          <w:w w:val="86"/>
        </w:rPr>
        <w:t>）：</w:t>
      </w:r>
    </w:p>
    <w:p w14:paraId="7EF0EAEA">
      <w:pPr>
        <w:pStyle w:val="2"/>
        <w:spacing w:before="35" w:line="219" w:lineRule="auto"/>
        <w:ind w:left="1037"/>
        <w:outlineLvl w:val="0"/>
      </w:pPr>
      <w:r>
        <w:rPr>
          <w:spacing w:val="-15"/>
        </w:rPr>
        <w:t>日</w:t>
      </w:r>
      <w:r>
        <w:rPr>
          <w:spacing w:val="6"/>
        </w:rPr>
        <w:t xml:space="preserve">  </w:t>
      </w:r>
      <w:r>
        <w:rPr>
          <w:spacing w:val="-15"/>
        </w:rPr>
        <w:t>期:</w:t>
      </w:r>
      <w:r>
        <w:rPr>
          <w:spacing w:val="1"/>
        </w:rPr>
        <w:t xml:space="preserve">      </w:t>
      </w:r>
      <w:r>
        <w:rPr>
          <w:spacing w:val="-15"/>
        </w:rPr>
        <w:t>年</w:t>
      </w:r>
      <w:r>
        <w:rPr>
          <w:spacing w:val="5"/>
        </w:rPr>
        <w:t xml:space="preserve">    </w:t>
      </w:r>
      <w:r>
        <w:rPr>
          <w:spacing w:val="-15"/>
        </w:rPr>
        <w:t>月</w:t>
      </w:r>
      <w:r>
        <w:rPr>
          <w:spacing w:val="12"/>
        </w:rPr>
        <w:t xml:space="preserve">    </w:t>
      </w:r>
      <w:r>
        <w:rPr>
          <w:spacing w:val="-15"/>
        </w:rPr>
        <w:t>日</w:t>
      </w:r>
    </w:p>
    <w:p w14:paraId="3173687D">
      <w:pPr>
        <w:spacing w:line="219" w:lineRule="auto"/>
        <w:sectPr>
          <w:headerReference r:id="rId62" w:type="default"/>
          <w:footerReference r:id="rId63" w:type="default"/>
          <w:pgSz w:w="11906" w:h="16839"/>
          <w:pgMar w:top="1058" w:right="933" w:bottom="1157" w:left="933" w:header="855" w:footer="992" w:gutter="0"/>
          <w:pgNumType w:fmt="decimal"/>
          <w:cols w:space="720" w:num="1"/>
        </w:sectPr>
      </w:pPr>
    </w:p>
    <w:p w14:paraId="163D7141">
      <w:pPr>
        <w:pStyle w:val="2"/>
        <w:spacing w:before="189" w:line="219" w:lineRule="auto"/>
        <w:ind w:left="31"/>
        <w:rPr>
          <w:sz w:val="30"/>
          <w:szCs w:val="30"/>
        </w:rPr>
      </w:pPr>
      <w:r>
        <w:rPr>
          <w:b/>
          <w:bCs/>
          <w:spacing w:val="-10"/>
          <w:sz w:val="30"/>
          <w:szCs w:val="30"/>
        </w:rPr>
        <w:t>附件十</w:t>
      </w:r>
      <w:r>
        <w:rPr>
          <w:rFonts w:hint="eastAsia"/>
          <w:b/>
          <w:bCs/>
          <w:spacing w:val="-10"/>
          <w:sz w:val="30"/>
          <w:szCs w:val="30"/>
          <w:lang w:val="en-US" w:eastAsia="zh-CN"/>
        </w:rPr>
        <w:t>二</w:t>
      </w:r>
      <w:r>
        <w:rPr>
          <w:b/>
          <w:bCs/>
          <w:spacing w:val="-10"/>
          <w:sz w:val="30"/>
          <w:szCs w:val="30"/>
        </w:rPr>
        <w:t>：</w:t>
      </w:r>
    </w:p>
    <w:p w14:paraId="553A9633">
      <w:pPr>
        <w:pStyle w:val="2"/>
        <w:spacing w:before="151" w:line="219" w:lineRule="auto"/>
        <w:ind w:left="2968"/>
        <w:rPr>
          <w:sz w:val="30"/>
          <w:szCs w:val="30"/>
        </w:rPr>
      </w:pPr>
      <w:r>
        <w:rPr>
          <w:b/>
          <w:bCs/>
          <w:spacing w:val="-6"/>
          <w:sz w:val="30"/>
          <w:szCs w:val="30"/>
        </w:rPr>
        <w:t>中小企业声明函（服务）</w:t>
      </w:r>
    </w:p>
    <w:p w14:paraId="466ADEAA">
      <w:pPr>
        <w:spacing w:line="333" w:lineRule="auto"/>
        <w:rPr>
          <w:rFonts w:ascii="Arial"/>
          <w:sz w:val="21"/>
        </w:rPr>
      </w:pPr>
    </w:p>
    <w:p w14:paraId="24D83DF5">
      <w:pPr>
        <w:pStyle w:val="2"/>
        <w:spacing w:before="78" w:line="355" w:lineRule="auto"/>
        <w:ind w:left="6" w:right="97" w:firstLine="480"/>
        <w:jc w:val="both"/>
      </w:pPr>
      <w:r>
        <w:rPr>
          <w:spacing w:val="-4"/>
        </w:rPr>
        <w:t>本公司（联合体）郑重声明，根据《政府采购促进中小企业发展管理办法》（财</w:t>
      </w:r>
      <w:r>
        <w:rPr>
          <w:spacing w:val="8"/>
        </w:rPr>
        <w:t xml:space="preserve"> </w:t>
      </w:r>
      <w:r>
        <w:rPr>
          <w:spacing w:val="-4"/>
        </w:rPr>
        <w:t>库〔2020〕46</w:t>
      </w:r>
      <w:r>
        <w:rPr>
          <w:spacing w:val="-32"/>
        </w:rPr>
        <w:t xml:space="preserve"> </w:t>
      </w:r>
      <w:r>
        <w:rPr>
          <w:spacing w:val="-4"/>
        </w:rPr>
        <w:t>号）的规定，本公司（联合体）参加（单位名称）的（项目名称）采购</w:t>
      </w:r>
      <w:r>
        <w:t xml:space="preserve"> </w:t>
      </w:r>
      <w:r>
        <w:rPr>
          <w:spacing w:val="-2"/>
        </w:rPr>
        <w:t>活动，工程的施工单位全部为符合政策要求的中小企业（或者：服务全部由符合政策</w:t>
      </w:r>
      <w:r>
        <w:rPr>
          <w:spacing w:val="2"/>
        </w:rPr>
        <w:t xml:space="preserve"> </w:t>
      </w:r>
      <w:r>
        <w:rPr>
          <w:spacing w:val="-4"/>
        </w:rPr>
        <w:t>要求的中小企业承接）。相关企业（含联合体中的中小企业、签订分包意向协议的中</w:t>
      </w:r>
      <w:r>
        <w:rPr>
          <w:spacing w:val="16"/>
        </w:rPr>
        <w:t xml:space="preserve"> </w:t>
      </w:r>
      <w:r>
        <w:rPr>
          <w:spacing w:val="-1"/>
        </w:rPr>
        <w:t>小企业）的具体情况如下：</w:t>
      </w:r>
    </w:p>
    <w:p w14:paraId="32C41C46">
      <w:pPr>
        <w:pStyle w:val="2"/>
        <w:spacing w:before="154" w:line="351" w:lineRule="auto"/>
        <w:ind w:left="4" w:right="97" w:firstLine="498"/>
        <w:jc w:val="both"/>
      </w:pPr>
      <w:r>
        <w:rPr>
          <w:spacing w:val="-3"/>
        </w:rPr>
        <w:t>1.（标的名称</w:t>
      </w:r>
      <w:r>
        <w:rPr>
          <w:spacing w:val="-58"/>
        </w:rPr>
        <w:t>），</w:t>
      </w:r>
      <w:r>
        <w:rPr>
          <w:spacing w:val="-3"/>
        </w:rPr>
        <w:t>属于（采购文件中明确的所属行业</w:t>
      </w:r>
      <w:r>
        <w:rPr>
          <w:spacing w:val="-58"/>
        </w:rPr>
        <w:t>）；</w:t>
      </w:r>
      <w:r>
        <w:rPr>
          <w:spacing w:val="-3"/>
        </w:rPr>
        <w:t>承建（承接）企业为（企</w:t>
      </w:r>
      <w:r>
        <w:rPr>
          <w:spacing w:val="2"/>
        </w:rPr>
        <w:t xml:space="preserve"> </w:t>
      </w:r>
      <w:r>
        <w:rPr>
          <w:spacing w:val="-2"/>
        </w:rPr>
        <w:t>业名称</w:t>
      </w:r>
      <w:r>
        <w:rPr>
          <w:spacing w:val="-45"/>
        </w:rPr>
        <w:t>），</w:t>
      </w:r>
      <w:r>
        <w:rPr>
          <w:spacing w:val="-2"/>
        </w:rPr>
        <w:t>从业人员</w:t>
      </w:r>
      <w:r>
        <w:rPr>
          <w:spacing w:val="-2"/>
          <w:u w:val="single" w:color="auto"/>
        </w:rPr>
        <w:t xml:space="preserve">    </w:t>
      </w:r>
      <w:r>
        <w:rPr>
          <w:spacing w:val="-108"/>
        </w:rPr>
        <w:t xml:space="preserve"> </w:t>
      </w:r>
      <w:r>
        <w:rPr>
          <w:spacing w:val="-2"/>
        </w:rPr>
        <w:t>人，营业收入为</w:t>
      </w:r>
      <w:r>
        <w:rPr>
          <w:spacing w:val="-2"/>
          <w:u w:val="single" w:color="auto"/>
        </w:rPr>
        <w:t xml:space="preserve">    </w:t>
      </w:r>
      <w:r>
        <w:rPr>
          <w:spacing w:val="-105"/>
        </w:rPr>
        <w:t xml:space="preserve"> </w:t>
      </w:r>
      <w:r>
        <w:rPr>
          <w:spacing w:val="-2"/>
        </w:rPr>
        <w:t>万元，资产总额为</w:t>
      </w:r>
      <w:r>
        <w:rPr>
          <w:spacing w:val="-2"/>
          <w:u w:val="single" w:color="auto"/>
        </w:rPr>
        <w:t xml:space="preserve">    </w:t>
      </w:r>
      <w:r>
        <w:rPr>
          <w:spacing w:val="-105"/>
        </w:rPr>
        <w:t xml:space="preserve"> </w:t>
      </w:r>
      <w:r>
        <w:rPr>
          <w:spacing w:val="-2"/>
        </w:rPr>
        <w:t>万元，属于（中</w:t>
      </w:r>
      <w:r>
        <w:t xml:space="preserve"> </w:t>
      </w:r>
      <w:r>
        <w:rPr>
          <w:spacing w:val="-1"/>
        </w:rPr>
        <w:t>型企业、小型企业、微型企业</w:t>
      </w:r>
      <w:r>
        <w:rPr>
          <w:spacing w:val="-63"/>
          <w:w w:val="98"/>
        </w:rPr>
        <w:t>）；</w:t>
      </w:r>
    </w:p>
    <w:p w14:paraId="02CDC299">
      <w:pPr>
        <w:pStyle w:val="2"/>
        <w:spacing w:before="155" w:line="351" w:lineRule="auto"/>
        <w:ind w:left="4" w:right="97" w:firstLine="483"/>
        <w:jc w:val="both"/>
      </w:pPr>
      <w:r>
        <w:rPr>
          <w:spacing w:val="-4"/>
        </w:rPr>
        <w:t>2.</w:t>
      </w:r>
      <w:r>
        <w:rPr>
          <w:spacing w:val="-20"/>
        </w:rPr>
        <w:t xml:space="preserve"> </w:t>
      </w:r>
      <w:r>
        <w:rPr>
          <w:spacing w:val="-4"/>
        </w:rPr>
        <w:t>（标的名称</w:t>
      </w:r>
      <w:r>
        <w:rPr>
          <w:spacing w:val="-62"/>
          <w:w w:val="97"/>
        </w:rPr>
        <w:t>），</w:t>
      </w:r>
      <w:r>
        <w:rPr>
          <w:spacing w:val="-4"/>
        </w:rPr>
        <w:t>属于（采购文件中明确的所属行业</w:t>
      </w:r>
      <w:r>
        <w:rPr>
          <w:spacing w:val="-62"/>
          <w:w w:val="97"/>
        </w:rPr>
        <w:t>）；</w:t>
      </w:r>
      <w:r>
        <w:rPr>
          <w:spacing w:val="-4"/>
        </w:rPr>
        <w:t>承建（承接）</w:t>
      </w:r>
      <w:r>
        <w:rPr>
          <w:spacing w:val="-5"/>
        </w:rPr>
        <w:t>企业为（企</w:t>
      </w:r>
      <w:r>
        <w:t xml:space="preserve"> </w:t>
      </w:r>
      <w:r>
        <w:rPr>
          <w:spacing w:val="-2"/>
        </w:rPr>
        <w:t>业名称</w:t>
      </w:r>
      <w:r>
        <w:rPr>
          <w:spacing w:val="-45"/>
        </w:rPr>
        <w:t>），</w:t>
      </w:r>
      <w:r>
        <w:rPr>
          <w:spacing w:val="-2"/>
        </w:rPr>
        <w:t>从业人员</w:t>
      </w:r>
      <w:r>
        <w:rPr>
          <w:spacing w:val="-2"/>
          <w:u w:val="single" w:color="auto"/>
        </w:rPr>
        <w:t xml:space="preserve">    </w:t>
      </w:r>
      <w:r>
        <w:rPr>
          <w:spacing w:val="-108"/>
        </w:rPr>
        <w:t xml:space="preserve"> </w:t>
      </w:r>
      <w:r>
        <w:rPr>
          <w:spacing w:val="-2"/>
        </w:rPr>
        <w:t>人，营业收入为</w:t>
      </w:r>
      <w:r>
        <w:rPr>
          <w:spacing w:val="-2"/>
          <w:u w:val="single" w:color="auto"/>
        </w:rPr>
        <w:t xml:space="preserve">    </w:t>
      </w:r>
      <w:r>
        <w:rPr>
          <w:spacing w:val="-105"/>
        </w:rPr>
        <w:t xml:space="preserve"> </w:t>
      </w:r>
      <w:r>
        <w:rPr>
          <w:spacing w:val="-2"/>
        </w:rPr>
        <w:t>万元，资产总额为</w:t>
      </w:r>
      <w:r>
        <w:rPr>
          <w:spacing w:val="-2"/>
          <w:u w:val="single" w:color="auto"/>
        </w:rPr>
        <w:t xml:space="preserve">    </w:t>
      </w:r>
      <w:r>
        <w:rPr>
          <w:spacing w:val="-105"/>
        </w:rPr>
        <w:t xml:space="preserve"> </w:t>
      </w:r>
      <w:r>
        <w:rPr>
          <w:spacing w:val="-2"/>
        </w:rPr>
        <w:t>万元，属于（中</w:t>
      </w:r>
      <w:r>
        <w:t xml:space="preserve"> </w:t>
      </w:r>
      <w:r>
        <w:rPr>
          <w:spacing w:val="-1"/>
        </w:rPr>
        <w:t>型企业、小型企业、微型企业</w:t>
      </w:r>
      <w:r>
        <w:rPr>
          <w:spacing w:val="-63"/>
          <w:w w:val="98"/>
        </w:rPr>
        <w:t>）；</w:t>
      </w:r>
    </w:p>
    <w:p w14:paraId="5CC95D77">
      <w:pPr>
        <w:pStyle w:val="2"/>
        <w:spacing w:before="154" w:line="378" w:lineRule="exact"/>
        <w:ind w:left="500"/>
      </w:pPr>
      <w:r>
        <w:rPr>
          <w:spacing w:val="-13"/>
          <w:position w:val="3"/>
        </w:rPr>
        <w:t>……</w:t>
      </w:r>
    </w:p>
    <w:p w14:paraId="506C7D16">
      <w:pPr>
        <w:pStyle w:val="2"/>
        <w:spacing w:before="209" w:line="347" w:lineRule="auto"/>
        <w:ind w:left="4" w:right="97" w:firstLine="508"/>
      </w:pPr>
      <w:r>
        <w:rPr>
          <w:spacing w:val="-3"/>
        </w:rPr>
        <w:t>以上企业，不属于大企业的分支机构，不存在控股股东为大企业的情形，也不存</w:t>
      </w:r>
      <w:r>
        <w:rPr>
          <w:spacing w:val="7"/>
        </w:rPr>
        <w:t xml:space="preserve"> </w:t>
      </w:r>
      <w:r>
        <w:rPr>
          <w:spacing w:val="-1"/>
        </w:rPr>
        <w:t>在与大企业的负责人为同一人的情形。</w:t>
      </w:r>
    </w:p>
    <w:p w14:paraId="75127B49">
      <w:pPr>
        <w:pStyle w:val="2"/>
        <w:spacing w:before="154" w:line="439" w:lineRule="auto"/>
        <w:ind w:left="5768" w:right="797" w:hanging="5282"/>
      </w:pPr>
      <w:r>
        <w:rPr>
          <w:spacing w:val="-2"/>
        </w:rPr>
        <w:t>本企业对上述声明内容的真实性负责。如有虚假，将依法承担相应责任。</w:t>
      </w:r>
      <w:r>
        <w:rPr>
          <w:spacing w:val="12"/>
        </w:rPr>
        <w:t xml:space="preserve"> </w:t>
      </w:r>
      <w:r>
        <w:rPr>
          <w:spacing w:val="-2"/>
        </w:rPr>
        <w:t>企业名称（盖章</w:t>
      </w:r>
      <w:r>
        <w:rPr>
          <w:spacing w:val="-62"/>
          <w:w w:val="97"/>
        </w:rPr>
        <w:t>）：</w:t>
      </w:r>
    </w:p>
    <w:p w14:paraId="4FC4B095">
      <w:pPr>
        <w:pStyle w:val="2"/>
        <w:spacing w:before="36" w:line="220" w:lineRule="auto"/>
        <w:ind w:left="5806"/>
      </w:pPr>
      <w:r>
        <w:rPr>
          <w:spacing w:val="-17"/>
        </w:rPr>
        <w:t>日期：</w:t>
      </w:r>
    </w:p>
    <w:p w14:paraId="1E186F60">
      <w:pPr>
        <w:pStyle w:val="2"/>
        <w:spacing w:before="234" w:line="220" w:lineRule="auto"/>
        <w:ind w:left="446"/>
        <w:rPr>
          <w:sz w:val="22"/>
          <w:szCs w:val="22"/>
        </w:rPr>
      </w:pPr>
      <w:r>
        <w:rPr>
          <w:spacing w:val="-4"/>
          <w:sz w:val="22"/>
          <w:szCs w:val="22"/>
        </w:rPr>
        <w:t>说明：</w:t>
      </w:r>
    </w:p>
    <w:p w14:paraId="049A3F85">
      <w:pPr>
        <w:pStyle w:val="2"/>
        <w:spacing w:before="169" w:line="253" w:lineRule="auto"/>
        <w:ind w:left="3" w:right="94" w:firstLine="17"/>
        <w:jc w:val="both"/>
        <w:rPr>
          <w:sz w:val="22"/>
          <w:szCs w:val="22"/>
        </w:rPr>
      </w:pPr>
      <w:r>
        <w:rPr>
          <w:spacing w:val="-3"/>
          <w:sz w:val="22"/>
          <w:szCs w:val="22"/>
        </w:rPr>
        <w:t>1、填写前请认真阅读《工业和信息化部、国家统计局、国家发展和改革委员会、财政部关于</w:t>
      </w:r>
      <w:r>
        <w:rPr>
          <w:spacing w:val="9"/>
          <w:sz w:val="22"/>
          <w:szCs w:val="22"/>
        </w:rPr>
        <w:t xml:space="preserve"> </w:t>
      </w:r>
      <w:r>
        <w:rPr>
          <w:spacing w:val="-4"/>
          <w:sz w:val="22"/>
          <w:szCs w:val="22"/>
        </w:rPr>
        <w:t>印发中小企业划型标准规定的通知》（工信部联企业[2011]300</w:t>
      </w:r>
      <w:r>
        <w:rPr>
          <w:spacing w:val="-29"/>
          <w:sz w:val="22"/>
          <w:szCs w:val="22"/>
        </w:rPr>
        <w:t xml:space="preserve"> </w:t>
      </w:r>
      <w:r>
        <w:rPr>
          <w:spacing w:val="-4"/>
          <w:sz w:val="22"/>
          <w:szCs w:val="22"/>
        </w:rPr>
        <w:t>号）和《政府采购促进中小企</w:t>
      </w:r>
      <w:r>
        <w:rPr>
          <w:sz w:val="22"/>
          <w:szCs w:val="22"/>
        </w:rPr>
        <w:t xml:space="preserve"> </w:t>
      </w:r>
      <w:r>
        <w:rPr>
          <w:spacing w:val="-5"/>
          <w:sz w:val="22"/>
          <w:szCs w:val="22"/>
        </w:rPr>
        <w:t>业发展管理办法》（财库﹝2020﹞46 号）相关规定。</w:t>
      </w:r>
    </w:p>
    <w:p w14:paraId="41BC749A">
      <w:pPr>
        <w:pStyle w:val="2"/>
        <w:spacing w:before="153" w:line="219" w:lineRule="auto"/>
        <w:ind w:left="7"/>
        <w:outlineLvl w:val="1"/>
        <w:rPr>
          <w:sz w:val="22"/>
          <w:szCs w:val="22"/>
        </w:rPr>
      </w:pPr>
      <w:r>
        <w:rPr>
          <w:spacing w:val="-1"/>
          <w:sz w:val="22"/>
          <w:szCs w:val="22"/>
        </w:rPr>
        <w:t>2、未按上述要求提供、填写的，评审时不予以考虑。</w:t>
      </w:r>
    </w:p>
    <w:p w14:paraId="3D83C2B7">
      <w:pPr>
        <w:pStyle w:val="2"/>
        <w:spacing w:before="171" w:line="220" w:lineRule="auto"/>
        <w:jc w:val="right"/>
        <w:rPr>
          <w:sz w:val="22"/>
          <w:szCs w:val="22"/>
        </w:rPr>
      </w:pPr>
      <w:r>
        <w:rPr>
          <w:spacing w:val="-6"/>
          <w:sz w:val="22"/>
          <w:szCs w:val="22"/>
        </w:rPr>
        <w:t>3、从业人员、营业收入、资产总额填报上一年度数据，无上一年度数据的新成立企业可不填。</w:t>
      </w:r>
    </w:p>
    <w:p w14:paraId="0E1CFF46">
      <w:pPr>
        <w:pStyle w:val="2"/>
        <w:spacing w:before="160" w:line="218" w:lineRule="auto"/>
        <w:outlineLvl w:val="0"/>
      </w:pPr>
      <w:r>
        <w:rPr>
          <w:rFonts w:ascii="Times New Roman" w:hAnsi="Times New Roman" w:eastAsia="Times New Roman" w:cs="Times New Roman"/>
          <w:spacing w:val="-1"/>
        </w:rPr>
        <w:t>4</w:t>
      </w:r>
      <w:r>
        <w:rPr>
          <w:rFonts w:ascii="Times New Roman" w:hAnsi="Times New Roman" w:eastAsia="Times New Roman" w:cs="Times New Roman"/>
          <w:spacing w:val="-33"/>
        </w:rPr>
        <w:t xml:space="preserve"> </w:t>
      </w:r>
      <w:r>
        <w:rPr>
          <w:spacing w:val="-1"/>
        </w:rPr>
        <w:t>、成交的供应商的《中小企业声明函》将作为成交结果公告一并公示。</w:t>
      </w:r>
    </w:p>
    <w:p w14:paraId="2A0C742C">
      <w:pPr>
        <w:spacing w:line="218" w:lineRule="auto"/>
        <w:sectPr>
          <w:headerReference r:id="rId64" w:type="default"/>
          <w:footerReference r:id="rId65" w:type="default"/>
          <w:pgSz w:w="11906" w:h="16839"/>
          <w:pgMar w:top="1058" w:right="1548" w:bottom="1157" w:left="1443" w:header="855" w:footer="992" w:gutter="0"/>
          <w:pgNumType w:fmt="decimal"/>
          <w:cols w:space="720" w:num="1"/>
        </w:sectPr>
      </w:pPr>
    </w:p>
    <w:p w14:paraId="7BD45AD5">
      <w:pPr>
        <w:pStyle w:val="2"/>
        <w:spacing w:before="190" w:line="219" w:lineRule="auto"/>
        <w:ind w:left="3304"/>
        <w:rPr>
          <w:sz w:val="30"/>
          <w:szCs w:val="30"/>
        </w:rPr>
      </w:pPr>
      <w:r>
        <w:rPr>
          <w:b/>
          <w:bCs/>
          <w:spacing w:val="-4"/>
          <w:sz w:val="30"/>
          <w:szCs w:val="30"/>
        </w:rPr>
        <w:t>监狱企业声明函（二）</w:t>
      </w:r>
    </w:p>
    <w:p w14:paraId="17E407C0">
      <w:pPr>
        <w:pStyle w:val="2"/>
        <w:spacing w:before="219" w:line="346" w:lineRule="auto"/>
        <w:ind w:left="1" w:right="157" w:firstLine="480"/>
      </w:pPr>
      <w:r>
        <w:rPr>
          <w:spacing w:val="-4"/>
        </w:rPr>
        <w:t>本公司郑重声明，根据《关于政府采购支持监狱企业发展有关问题的通知》（财</w:t>
      </w:r>
      <w:r>
        <w:rPr>
          <w:spacing w:val="8"/>
        </w:rPr>
        <w:t xml:space="preserve"> </w:t>
      </w:r>
      <w:r>
        <w:rPr>
          <w:spacing w:val="-1"/>
        </w:rPr>
        <w:t>库[2014]68</w:t>
      </w:r>
      <w:r>
        <w:rPr>
          <w:spacing w:val="-45"/>
        </w:rPr>
        <w:t xml:space="preserve"> </w:t>
      </w:r>
      <w:r>
        <w:rPr>
          <w:spacing w:val="-1"/>
        </w:rPr>
        <w:t>号）的规定，本公司为监狱</w:t>
      </w:r>
      <w:r>
        <w:rPr>
          <w:spacing w:val="-2"/>
        </w:rPr>
        <w:t>企业。</w:t>
      </w:r>
    </w:p>
    <w:p w14:paraId="452D45FD">
      <w:pPr>
        <w:pStyle w:val="2"/>
        <w:spacing w:before="36" w:line="346" w:lineRule="auto"/>
        <w:ind w:left="1" w:right="97" w:firstLine="960"/>
      </w:pPr>
      <w:r>
        <w:rPr>
          <w:spacing w:val="-2"/>
        </w:rPr>
        <w:t>本公司参加</w:t>
      </w:r>
      <w:r>
        <w:rPr>
          <w:spacing w:val="-2"/>
          <w:u w:val="single" w:color="auto"/>
        </w:rPr>
        <w:t xml:space="preserve">      </w:t>
      </w:r>
      <w:r>
        <w:rPr>
          <w:spacing w:val="-109"/>
        </w:rPr>
        <w:t xml:space="preserve"> </w:t>
      </w:r>
      <w:r>
        <w:rPr>
          <w:spacing w:val="-2"/>
        </w:rPr>
        <w:t>单位的</w:t>
      </w:r>
      <w:r>
        <w:rPr>
          <w:spacing w:val="-2"/>
          <w:u w:val="single" w:color="auto"/>
        </w:rPr>
        <w:t xml:space="preserve">      </w:t>
      </w:r>
      <w:r>
        <w:rPr>
          <w:spacing w:val="-107"/>
        </w:rPr>
        <w:t xml:space="preserve"> </w:t>
      </w:r>
      <w:r>
        <w:rPr>
          <w:spacing w:val="-2"/>
        </w:rPr>
        <w:t>项</w:t>
      </w:r>
      <w:r>
        <w:rPr>
          <w:spacing w:val="-3"/>
        </w:rPr>
        <w:t>目采购活动，采购活动提供本企业（填写</w:t>
      </w:r>
      <w:r>
        <w:t xml:space="preserve"> </w:t>
      </w:r>
      <w:r>
        <w:rPr>
          <w:spacing w:val="-5"/>
        </w:rPr>
        <w:t>制造的货物，由本企业承担工程、提供服务）。</w:t>
      </w:r>
    </w:p>
    <w:p w14:paraId="397E97BF">
      <w:pPr>
        <w:pStyle w:val="2"/>
        <w:spacing w:before="34" w:line="219" w:lineRule="auto"/>
        <w:ind w:left="961"/>
      </w:pPr>
      <w:r>
        <w:rPr>
          <w:spacing w:val="-1"/>
        </w:rPr>
        <w:t>本条所称货物不包括使用大型企业注册商标的货物和服务。</w:t>
      </w:r>
    </w:p>
    <w:p w14:paraId="5C233681">
      <w:pPr>
        <w:pStyle w:val="2"/>
        <w:spacing w:before="183" w:line="219" w:lineRule="auto"/>
        <w:ind w:left="841"/>
      </w:pPr>
      <w:r>
        <w:rPr>
          <w:spacing w:val="-1"/>
        </w:rPr>
        <w:t>本公司对上述声明的真实性负责。如有虚假，将依法承担相应责任。</w:t>
      </w:r>
    </w:p>
    <w:p w14:paraId="5E2573D4">
      <w:pPr>
        <w:spacing w:line="267" w:lineRule="auto"/>
        <w:rPr>
          <w:rFonts w:ascii="Arial"/>
          <w:sz w:val="21"/>
        </w:rPr>
      </w:pPr>
    </w:p>
    <w:p w14:paraId="0CED326A">
      <w:pPr>
        <w:spacing w:line="267" w:lineRule="auto"/>
        <w:rPr>
          <w:rFonts w:ascii="Arial"/>
          <w:sz w:val="21"/>
        </w:rPr>
      </w:pPr>
    </w:p>
    <w:p w14:paraId="0CA8FD6A">
      <w:pPr>
        <w:pStyle w:val="2"/>
        <w:spacing w:before="78" w:line="219" w:lineRule="auto"/>
        <w:ind w:left="484"/>
      </w:pPr>
      <w:r>
        <w:rPr>
          <w:spacing w:val="-2"/>
        </w:rPr>
        <w:t>企业名称（盖公章</w:t>
      </w:r>
      <w:r>
        <w:rPr>
          <w:spacing w:val="-62"/>
          <w:w w:val="97"/>
        </w:rPr>
        <w:t>）：</w:t>
      </w:r>
    </w:p>
    <w:p w14:paraId="70FB52F8">
      <w:pPr>
        <w:pStyle w:val="2"/>
        <w:spacing w:before="184" w:line="347" w:lineRule="auto"/>
        <w:ind w:left="521" w:right="3697" w:hanging="40"/>
      </w:pPr>
      <w:r>
        <w:rPr>
          <w:spacing w:val="-4"/>
        </w:rPr>
        <w:t>法定代表人（负责人）或其授权代表(签字)：</w:t>
      </w:r>
      <w:r>
        <w:rPr>
          <w:spacing w:val="12"/>
        </w:rPr>
        <w:t xml:space="preserve"> </w:t>
      </w:r>
      <w:r>
        <w:rPr>
          <w:spacing w:val="-17"/>
        </w:rPr>
        <w:t>日期：</w:t>
      </w:r>
    </w:p>
    <w:p w14:paraId="7503CE3E">
      <w:pPr>
        <w:pStyle w:val="2"/>
        <w:spacing w:before="83" w:line="219" w:lineRule="auto"/>
        <w:ind w:left="2547"/>
        <w:outlineLvl w:val="0"/>
        <w:rPr>
          <w:sz w:val="30"/>
          <w:szCs w:val="30"/>
        </w:rPr>
      </w:pPr>
      <w:r>
        <w:rPr>
          <w:b/>
          <w:bCs/>
          <w:spacing w:val="-4"/>
          <w:sz w:val="30"/>
          <w:szCs w:val="30"/>
        </w:rPr>
        <w:t>残疾人福利性单位声明函（三）</w:t>
      </w:r>
    </w:p>
    <w:p w14:paraId="13282078">
      <w:pPr>
        <w:pStyle w:val="2"/>
        <w:spacing w:before="220" w:line="351" w:lineRule="auto"/>
        <w:ind w:right="97" w:firstLine="481"/>
        <w:jc w:val="both"/>
      </w:pPr>
      <w:r>
        <w:rPr>
          <w:spacing w:val="-2"/>
        </w:rPr>
        <w:t>本单位郑重声明，根据《财政部、民政部、中国残疾人联合会关于促进残疾</w:t>
      </w:r>
      <w:r>
        <w:rPr>
          <w:spacing w:val="-3"/>
        </w:rPr>
        <w:t>人就</w:t>
      </w:r>
      <w:r>
        <w:t xml:space="preserve"> </w:t>
      </w:r>
      <w:r>
        <w:rPr>
          <w:spacing w:val="-1"/>
        </w:rPr>
        <w:t>业政府采购政策的通知》（财库〔2017〕141</w:t>
      </w:r>
      <w:r>
        <w:rPr>
          <w:spacing w:val="-30"/>
        </w:rPr>
        <w:t xml:space="preserve"> </w:t>
      </w:r>
      <w:r>
        <w:rPr>
          <w:spacing w:val="-1"/>
        </w:rPr>
        <w:t>号）的规定，本单位为符合条件的残疾</w:t>
      </w:r>
      <w:r>
        <w:t xml:space="preserve"> </w:t>
      </w:r>
      <w:r>
        <w:rPr>
          <w:spacing w:val="-2"/>
        </w:rPr>
        <w:t>人福利性单位。</w:t>
      </w:r>
    </w:p>
    <w:p w14:paraId="23E12BA9">
      <w:pPr>
        <w:spacing w:line="420" w:lineRule="auto"/>
        <w:rPr>
          <w:rFonts w:ascii="Arial"/>
          <w:sz w:val="21"/>
        </w:rPr>
      </w:pPr>
    </w:p>
    <w:p w14:paraId="09A573C9">
      <w:pPr>
        <w:pStyle w:val="2"/>
        <w:spacing w:before="78" w:line="347" w:lineRule="auto"/>
        <w:ind w:left="20" w:right="97" w:firstLine="461"/>
      </w:pPr>
      <w:r>
        <w:rPr>
          <w:spacing w:val="-2"/>
        </w:rPr>
        <w:t>本单位参加</w:t>
      </w:r>
      <w:r>
        <w:rPr>
          <w:spacing w:val="-2"/>
          <w:u w:val="single" w:color="auto"/>
        </w:rPr>
        <w:t>（采购代理机构）</w:t>
      </w:r>
      <w:r>
        <w:rPr>
          <w:spacing w:val="-2"/>
        </w:rPr>
        <w:t>的</w:t>
      </w:r>
      <w:r>
        <w:rPr>
          <w:spacing w:val="-2"/>
          <w:u w:val="single" w:color="auto"/>
        </w:rPr>
        <w:t>（项目名称和采购编号）</w:t>
      </w:r>
      <w:r>
        <w:rPr>
          <w:spacing w:val="-2"/>
        </w:rPr>
        <w:t>采购活动，提供本</w:t>
      </w:r>
      <w:r>
        <w:rPr>
          <w:spacing w:val="-3"/>
        </w:rPr>
        <w:t>单位</w:t>
      </w:r>
      <w:r>
        <w:t xml:space="preserve"> </w:t>
      </w:r>
      <w:r>
        <w:rPr>
          <w:spacing w:val="-8"/>
        </w:rPr>
        <w:t>的服务。</w:t>
      </w:r>
    </w:p>
    <w:p w14:paraId="272B61E7">
      <w:pPr>
        <w:pStyle w:val="2"/>
        <w:spacing w:before="34" w:line="219" w:lineRule="auto"/>
        <w:ind w:left="481"/>
      </w:pPr>
      <w:r>
        <w:rPr>
          <w:spacing w:val="-1"/>
        </w:rPr>
        <w:t>本单位对上述声明的真实性负责。如有虚假，将依法承担相应责任。</w:t>
      </w:r>
    </w:p>
    <w:p w14:paraId="622DAC21">
      <w:pPr>
        <w:spacing w:line="284" w:lineRule="auto"/>
        <w:rPr>
          <w:rFonts w:ascii="Arial"/>
          <w:sz w:val="21"/>
        </w:rPr>
      </w:pPr>
    </w:p>
    <w:p w14:paraId="1FE28BE7">
      <w:pPr>
        <w:spacing w:line="285" w:lineRule="auto"/>
        <w:rPr>
          <w:rFonts w:ascii="Arial"/>
          <w:sz w:val="21"/>
        </w:rPr>
      </w:pPr>
    </w:p>
    <w:p w14:paraId="7D4D7839">
      <w:pPr>
        <w:pStyle w:val="2"/>
        <w:spacing w:before="79" w:line="219" w:lineRule="auto"/>
        <w:ind w:left="4920"/>
      </w:pPr>
      <w:r>
        <w:rPr>
          <w:spacing w:val="-2"/>
        </w:rPr>
        <w:t>供应商（盖章</w:t>
      </w:r>
      <w:r>
        <w:t>）：</w:t>
      </w:r>
    </w:p>
    <w:p w14:paraId="63633B98">
      <w:pPr>
        <w:pStyle w:val="2"/>
        <w:spacing w:before="184" w:line="347" w:lineRule="auto"/>
        <w:ind w:left="4961" w:right="1177" w:hanging="41"/>
      </w:pPr>
      <w:r>
        <w:rPr>
          <w:spacing w:val="-1"/>
        </w:rPr>
        <w:t>供应商授权代表（签字</w:t>
      </w:r>
      <w:r>
        <w:rPr>
          <w:spacing w:val="-31"/>
        </w:rPr>
        <w:t>）：</w:t>
      </w:r>
      <w:r>
        <w:rPr>
          <w:spacing w:val="1"/>
        </w:rPr>
        <w:t xml:space="preserve"> </w:t>
      </w:r>
      <w:r>
        <w:rPr>
          <w:spacing w:val="-21"/>
        </w:rPr>
        <w:t>日</w:t>
      </w:r>
      <w:r>
        <w:rPr>
          <w:spacing w:val="6"/>
        </w:rPr>
        <w:t xml:space="preserve">  </w:t>
      </w:r>
      <w:r>
        <w:rPr>
          <w:spacing w:val="-21"/>
        </w:rPr>
        <w:t>期：</w:t>
      </w:r>
    </w:p>
    <w:p w14:paraId="6875DF31">
      <w:pPr>
        <w:spacing w:line="420" w:lineRule="auto"/>
        <w:rPr>
          <w:rFonts w:ascii="Arial"/>
          <w:sz w:val="21"/>
        </w:rPr>
      </w:pPr>
    </w:p>
    <w:p w14:paraId="782A8BE7">
      <w:pPr>
        <w:pStyle w:val="2"/>
        <w:spacing w:before="79" w:line="219" w:lineRule="auto"/>
      </w:pPr>
      <w:r>
        <w:rPr>
          <w:b/>
          <w:bCs/>
          <w:spacing w:val="-2"/>
        </w:rPr>
        <w:t>注：不符合上述情形的供应商无须提供上述声明函</w:t>
      </w:r>
      <w:r>
        <w:rPr>
          <w:b/>
          <w:bCs/>
          <w:spacing w:val="-3"/>
        </w:rPr>
        <w:t>件。</w:t>
      </w:r>
    </w:p>
    <w:p w14:paraId="11EF0CD0">
      <w:pPr>
        <w:spacing w:line="219" w:lineRule="auto"/>
        <w:sectPr>
          <w:headerReference r:id="rId66" w:type="default"/>
          <w:footerReference r:id="rId67" w:type="default"/>
          <w:pgSz w:w="11906" w:h="16839"/>
          <w:pgMar w:top="1058" w:right="1548" w:bottom="1157" w:left="1448" w:header="855" w:footer="992" w:gutter="0"/>
          <w:pgNumType w:fmt="decimal"/>
          <w:cols w:space="720" w:num="1"/>
        </w:sectPr>
      </w:pPr>
    </w:p>
    <w:p w14:paraId="6963BB1F">
      <w:pPr>
        <w:pStyle w:val="2"/>
        <w:spacing w:before="189" w:line="219" w:lineRule="auto"/>
        <w:rPr>
          <w:sz w:val="30"/>
          <w:szCs w:val="30"/>
        </w:rPr>
      </w:pPr>
      <w:r>
        <w:rPr>
          <w:b/>
          <w:bCs/>
          <w:spacing w:val="-10"/>
          <w:sz w:val="30"/>
          <w:szCs w:val="30"/>
        </w:rPr>
        <w:t>附件十</w:t>
      </w:r>
      <w:r>
        <w:rPr>
          <w:rFonts w:hint="eastAsia"/>
          <w:b/>
          <w:bCs/>
          <w:spacing w:val="-10"/>
          <w:sz w:val="30"/>
          <w:szCs w:val="30"/>
          <w:lang w:val="en-US" w:eastAsia="zh-CN"/>
        </w:rPr>
        <w:t>三</w:t>
      </w:r>
      <w:r>
        <w:rPr>
          <w:b/>
          <w:bCs/>
          <w:spacing w:val="-10"/>
          <w:sz w:val="30"/>
          <w:szCs w:val="30"/>
        </w:rPr>
        <w:t>：</w:t>
      </w:r>
    </w:p>
    <w:p w14:paraId="26E066B2">
      <w:pPr>
        <w:pStyle w:val="2"/>
        <w:spacing w:before="268" w:line="219" w:lineRule="auto"/>
        <w:ind w:left="2880"/>
        <w:outlineLvl w:val="0"/>
        <w:rPr>
          <w:sz w:val="30"/>
          <w:szCs w:val="30"/>
        </w:rPr>
      </w:pPr>
      <w:r>
        <w:rPr>
          <w:b/>
          <w:bCs/>
          <w:spacing w:val="-4"/>
          <w:sz w:val="30"/>
          <w:szCs w:val="30"/>
        </w:rPr>
        <w:t>供应商服务承诺及方案</w:t>
      </w:r>
    </w:p>
    <w:p w14:paraId="38FA233A">
      <w:pPr>
        <w:spacing w:line="281" w:lineRule="auto"/>
        <w:rPr>
          <w:rFonts w:ascii="Arial"/>
          <w:sz w:val="21"/>
        </w:rPr>
      </w:pPr>
    </w:p>
    <w:p w14:paraId="1EA66242">
      <w:pPr>
        <w:spacing w:line="282" w:lineRule="auto"/>
        <w:rPr>
          <w:rFonts w:ascii="Arial"/>
          <w:sz w:val="21"/>
        </w:rPr>
      </w:pPr>
    </w:p>
    <w:p w14:paraId="4EA9C620">
      <w:pPr>
        <w:spacing w:line="282" w:lineRule="auto"/>
        <w:rPr>
          <w:rFonts w:ascii="Arial"/>
          <w:sz w:val="21"/>
        </w:rPr>
      </w:pPr>
    </w:p>
    <w:p w14:paraId="6BD7002E">
      <w:pPr>
        <w:spacing w:line="282" w:lineRule="auto"/>
        <w:rPr>
          <w:rFonts w:ascii="Arial"/>
          <w:sz w:val="21"/>
        </w:rPr>
      </w:pPr>
    </w:p>
    <w:p w14:paraId="72A282DF">
      <w:pPr>
        <w:spacing w:line="282" w:lineRule="auto"/>
        <w:rPr>
          <w:rFonts w:ascii="Arial"/>
          <w:sz w:val="21"/>
        </w:rPr>
      </w:pPr>
    </w:p>
    <w:p w14:paraId="41435EEB">
      <w:pPr>
        <w:pStyle w:val="2"/>
        <w:spacing w:before="98" w:line="219" w:lineRule="auto"/>
        <w:rPr>
          <w:sz w:val="30"/>
          <w:szCs w:val="30"/>
        </w:rPr>
      </w:pPr>
      <w:r>
        <w:rPr>
          <w:b/>
          <w:bCs/>
          <w:spacing w:val="-10"/>
          <w:sz w:val="30"/>
          <w:szCs w:val="30"/>
        </w:rPr>
        <w:t>附件十</w:t>
      </w:r>
      <w:r>
        <w:rPr>
          <w:rFonts w:hint="eastAsia"/>
          <w:b/>
          <w:bCs/>
          <w:spacing w:val="-10"/>
          <w:sz w:val="30"/>
          <w:szCs w:val="30"/>
          <w:lang w:val="en-US" w:eastAsia="zh-CN"/>
        </w:rPr>
        <w:t>四</w:t>
      </w:r>
      <w:r>
        <w:rPr>
          <w:b/>
          <w:bCs/>
          <w:spacing w:val="-10"/>
          <w:sz w:val="30"/>
          <w:szCs w:val="30"/>
        </w:rPr>
        <w:t>：</w:t>
      </w:r>
    </w:p>
    <w:p w14:paraId="45D1933E">
      <w:pPr>
        <w:pStyle w:val="2"/>
        <w:spacing w:before="268" w:line="219" w:lineRule="auto"/>
        <w:ind w:left="2580"/>
        <w:outlineLvl w:val="0"/>
        <w:rPr>
          <w:sz w:val="30"/>
          <w:szCs w:val="30"/>
        </w:rPr>
      </w:pPr>
      <w:r>
        <w:rPr>
          <w:b/>
          <w:bCs/>
          <w:spacing w:val="-4"/>
          <w:sz w:val="30"/>
          <w:szCs w:val="30"/>
        </w:rPr>
        <w:t>供应商自行提交的其他文件</w:t>
      </w:r>
    </w:p>
    <w:sectPr>
      <w:headerReference r:id="rId68" w:type="default"/>
      <w:footerReference r:id="rId69" w:type="default"/>
      <w:pgSz w:w="11906" w:h="16839"/>
      <w:pgMar w:top="1058" w:right="1548" w:bottom="1157" w:left="1475" w:header="855" w:footer="99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21787">
    <w:pPr>
      <w:pStyle w:val="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2F2BE">
    <w:pPr>
      <w:spacing w:line="169" w:lineRule="auto"/>
      <w:ind w:left="4582"/>
      <w:rPr>
        <w:rFonts w:ascii="Calibri" w:hAnsi="Calibri" w:eastAsia="Calibri" w:cs="Calibri"/>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03644">
    <w:pPr>
      <w:spacing w:line="168" w:lineRule="auto"/>
      <w:ind w:left="4582"/>
      <w:rPr>
        <w:rFonts w:ascii="Calibri" w:hAnsi="Calibri" w:eastAsia="Calibri" w:cs="Calibri"/>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53A72">
    <w:pPr>
      <w:spacing w:line="169" w:lineRule="auto"/>
      <w:ind w:left="4582"/>
      <w:rPr>
        <w:rFonts w:ascii="Calibri" w:hAnsi="Calibri" w:eastAsia="Calibri" w:cs="Calibri"/>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B56CF">
    <w:pPr>
      <w:spacing w:line="169" w:lineRule="auto"/>
      <w:ind w:left="4582"/>
      <w:rPr>
        <w:rFonts w:ascii="Calibri" w:hAnsi="Calibri" w:eastAsia="Calibri" w:cs="Calibri"/>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3A741">
    <w:pPr>
      <w:spacing w:line="169" w:lineRule="auto"/>
      <w:ind w:left="4573"/>
      <w:rPr>
        <w:rFonts w:ascii="Calibri" w:hAnsi="Calibri" w:eastAsia="Calibri" w:cs="Calibri"/>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2DB31">
    <w:pPr>
      <w:spacing w:line="169" w:lineRule="auto"/>
      <w:ind w:left="4406"/>
      <w:rPr>
        <w:rFonts w:ascii="Calibri" w:hAnsi="Calibri" w:eastAsia="Calibri" w:cs="Calibri"/>
        <w:sz w:val="18"/>
        <w:szCs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54CDD">
    <w:pPr>
      <w:spacing w:line="169" w:lineRule="auto"/>
      <w:ind w:left="4377"/>
      <w:rPr>
        <w:rFonts w:ascii="Calibri" w:hAnsi="Calibri" w:eastAsia="Calibri" w:cs="Calibri"/>
        <w:sz w:val="18"/>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30119">
    <w:pPr>
      <w:spacing w:line="169" w:lineRule="auto"/>
      <w:ind w:left="4381"/>
      <w:rPr>
        <w:rFonts w:ascii="Calibri" w:hAnsi="Calibri" w:eastAsia="Calibri" w:cs="Calibri"/>
        <w:sz w:val="18"/>
        <w:szCs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6C0E8">
    <w:pPr>
      <w:spacing w:line="169" w:lineRule="auto"/>
      <w:ind w:left="4412"/>
      <w:rPr>
        <w:rFonts w:ascii="Calibri" w:hAnsi="Calibri" w:eastAsia="Calibri" w:cs="Calibri"/>
        <w:sz w:val="18"/>
        <w:szCs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CB10B">
    <w:pPr>
      <w:spacing w:line="169" w:lineRule="auto"/>
      <w:ind w:left="4417"/>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1B9BF">
    <w:pPr>
      <w:spacing w:line="169" w:lineRule="auto"/>
      <w:ind w:left="4624"/>
      <w:rPr>
        <w:rFonts w:ascii="Calibri" w:hAnsi="Calibri" w:eastAsia="Calibri" w:cs="Calibri"/>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57FDB">
    <w:pPr>
      <w:spacing w:line="168" w:lineRule="auto"/>
      <w:ind w:left="4420"/>
      <w:rPr>
        <w:rFonts w:ascii="Calibri" w:hAnsi="Calibri" w:eastAsia="Calibri" w:cs="Calibri"/>
        <w:sz w:val="18"/>
        <w:szCs w:val="18"/>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212C7">
    <w:pPr>
      <w:spacing w:line="169" w:lineRule="auto"/>
      <w:ind w:left="4709"/>
      <w:rPr>
        <w:rFonts w:ascii="Calibri" w:hAnsi="Calibri" w:eastAsia="Calibri" w:cs="Calibri"/>
        <w:sz w:val="18"/>
        <w:szCs w:val="18"/>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E1E58">
    <w:pPr>
      <w:spacing w:line="169" w:lineRule="auto"/>
      <w:ind w:left="4420"/>
      <w:rPr>
        <w:rFonts w:ascii="Calibri" w:hAnsi="Calibri" w:eastAsia="Calibri" w:cs="Calibri"/>
        <w:sz w:val="18"/>
        <w:szCs w:val="18"/>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79E93">
    <w:pPr>
      <w:spacing w:line="168" w:lineRule="auto"/>
      <w:ind w:left="4539"/>
      <w:rPr>
        <w:rFonts w:ascii="Calibri" w:hAnsi="Calibri" w:eastAsia="Calibri" w:cs="Calibri"/>
        <w:sz w:val="18"/>
        <w:szCs w:val="18"/>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A9DB5">
    <w:pPr>
      <w:spacing w:line="167" w:lineRule="auto"/>
      <w:ind w:left="4542"/>
      <w:rPr>
        <w:rFonts w:ascii="Calibri" w:hAnsi="Calibri" w:eastAsia="Calibri" w:cs="Calibri"/>
        <w:sz w:val="18"/>
        <w:szCs w:val="18"/>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7C118">
    <w:pPr>
      <w:spacing w:line="169" w:lineRule="auto"/>
      <w:ind w:left="4542"/>
      <w:rPr>
        <w:rFonts w:ascii="Calibri" w:hAnsi="Calibri" w:eastAsia="Calibri" w:cs="Calibri"/>
        <w:sz w:val="18"/>
        <w:szCs w:val="18"/>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8748A">
    <w:pPr>
      <w:spacing w:line="167" w:lineRule="auto"/>
      <w:ind w:left="4797"/>
      <w:rPr>
        <w:rFonts w:ascii="Calibri" w:hAnsi="Calibri" w:eastAsia="Calibri" w:cs="Calibri"/>
        <w:sz w:val="18"/>
        <w:szCs w:val="18"/>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BED0F">
    <w:pPr>
      <w:spacing w:line="169" w:lineRule="auto"/>
      <w:ind w:left="4429"/>
      <w:rPr>
        <w:rFonts w:ascii="Calibri" w:hAnsi="Calibri" w:eastAsia="Calibri" w:cs="Calibri"/>
        <w:sz w:val="18"/>
        <w:szCs w:val="18"/>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AB246">
    <w:pPr>
      <w:spacing w:line="169" w:lineRule="auto"/>
      <w:ind w:left="4422"/>
      <w:rPr>
        <w:rFonts w:ascii="Calibri" w:hAnsi="Calibri" w:eastAsia="Calibri" w:cs="Calibri"/>
        <w:sz w:val="18"/>
        <w:szCs w:val="18"/>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20147">
    <w:pPr>
      <w:spacing w:line="169" w:lineRule="auto"/>
      <w:ind w:left="4542"/>
      <w:rPr>
        <w:rFonts w:ascii="Calibri" w:hAnsi="Calibri" w:eastAsia="Calibri" w:cs="Calibr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C3A42">
    <w:pPr>
      <w:spacing w:line="169" w:lineRule="auto"/>
      <w:ind w:left="4846"/>
      <w:rPr>
        <w:rFonts w:ascii="Calibri" w:hAnsi="Calibri" w:eastAsia="Calibri" w:cs="Calibri"/>
        <w:sz w:val="18"/>
        <w:szCs w:val="18"/>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2D57F">
    <w:pPr>
      <w:spacing w:line="169" w:lineRule="auto"/>
      <w:ind w:left="4421"/>
      <w:rPr>
        <w:rFonts w:ascii="Calibri" w:hAnsi="Calibri" w:eastAsia="Calibri" w:cs="Calibri"/>
        <w:sz w:val="18"/>
        <w:szCs w:val="18"/>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6E4B8">
    <w:pPr>
      <w:spacing w:line="169" w:lineRule="auto"/>
      <w:ind w:left="4936"/>
      <w:rPr>
        <w:rFonts w:ascii="Calibri" w:hAnsi="Calibri" w:eastAsia="Calibri" w:cs="Calibri"/>
        <w:sz w:val="18"/>
        <w:szCs w:val="18"/>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D3E50">
    <w:pPr>
      <w:spacing w:line="169" w:lineRule="auto"/>
      <w:ind w:left="4426"/>
      <w:rPr>
        <w:rFonts w:ascii="Calibri" w:hAnsi="Calibri" w:eastAsia="Calibri" w:cs="Calibri"/>
        <w:sz w:val="18"/>
        <w:szCs w:val="18"/>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25E02">
    <w:pPr>
      <w:spacing w:line="169" w:lineRule="auto"/>
      <w:ind w:left="4421"/>
      <w:rPr>
        <w:rFonts w:ascii="Calibri" w:hAnsi="Calibri" w:eastAsia="Calibri" w:cs="Calibri"/>
        <w:sz w:val="18"/>
        <w:szCs w:val="18"/>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1D1CA">
    <w:pPr>
      <w:spacing w:line="169" w:lineRule="auto"/>
      <w:ind w:left="4395"/>
      <w:rPr>
        <w:rFonts w:ascii="Calibri" w:hAnsi="Calibri" w:eastAsia="Calibri" w:cs="Calibri"/>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4AB10">
    <w:pPr>
      <w:spacing w:line="169" w:lineRule="auto"/>
      <w:ind w:left="4582"/>
      <w:rPr>
        <w:rFonts w:ascii="Calibri" w:hAnsi="Calibri" w:eastAsia="Calibri" w:cs="Calibri"/>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939DF">
    <w:pPr>
      <w:spacing w:line="168" w:lineRule="auto"/>
      <w:ind w:left="4582"/>
      <w:rPr>
        <w:rFonts w:ascii="Calibri" w:hAnsi="Calibri" w:eastAsia="Calibri" w:cs="Calibri"/>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F433C">
    <w:pPr>
      <w:spacing w:line="169" w:lineRule="auto"/>
      <w:ind w:left="4582"/>
      <w:rPr>
        <w:rFonts w:ascii="Calibri" w:hAnsi="Calibri" w:eastAsia="Calibri" w:cs="Calibri"/>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E2725">
    <w:pPr>
      <w:spacing w:line="169" w:lineRule="auto"/>
      <w:ind w:left="4582"/>
      <w:rPr>
        <w:rFonts w:ascii="Calibri" w:hAnsi="Calibri" w:eastAsia="Calibri" w:cs="Calibri"/>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5CC18">
    <w:pPr>
      <w:spacing w:line="168" w:lineRule="auto"/>
      <w:ind w:left="4582"/>
      <w:rPr>
        <w:rFonts w:ascii="Calibri" w:hAnsi="Calibri" w:eastAsia="Calibri" w:cs="Calibri"/>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D20D8">
    <w:pPr>
      <w:spacing w:line="168" w:lineRule="auto"/>
      <w:ind w:left="4582"/>
      <w:rPr>
        <w:rFonts w:ascii="Calibri" w:hAnsi="Calibri" w:eastAsia="Calibri" w:cs="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C41A3">
    <w:pPr>
      <w:pStyle w:val="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EAAA6">
    <w:pPr>
      <w:pStyle w:val="9"/>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11C66">
    <w:pPr>
      <w:pStyle w:val="2"/>
      <w:tabs>
        <w:tab w:val="left" w:pos="6315"/>
      </w:tabs>
      <w:spacing w:before="22" w:line="174" w:lineRule="auto"/>
      <w:rPr>
        <w:sz w:val="18"/>
        <w:szCs w:val="1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E564">
    <w:pPr>
      <w:pStyle w:val="2"/>
      <w:tabs>
        <w:tab w:val="left" w:pos="6149"/>
      </w:tabs>
      <w:spacing w:before="22" w:line="174" w:lineRule="auto"/>
      <w:rPr>
        <w:sz w:val="18"/>
        <w:szCs w:val="1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5E25F">
    <w:pPr>
      <w:pStyle w:val="2"/>
      <w:tabs>
        <w:tab w:val="left" w:pos="6119"/>
      </w:tabs>
      <w:spacing w:before="22" w:line="174" w:lineRule="auto"/>
      <w:rPr>
        <w:sz w:val="18"/>
        <w:szCs w:val="1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508A9">
    <w:pPr>
      <w:pStyle w:val="2"/>
      <w:tabs>
        <w:tab w:val="left" w:pos="6119"/>
      </w:tabs>
      <w:spacing w:before="22" w:line="174" w:lineRule="auto"/>
      <w:rPr>
        <w:sz w:val="18"/>
        <w:szCs w:val="18"/>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28549">
    <w:pPr>
      <w:pStyle w:val="2"/>
      <w:tabs>
        <w:tab w:val="left" w:pos="6119"/>
      </w:tabs>
      <w:spacing w:before="22" w:line="174" w:lineRule="auto"/>
      <w:rPr>
        <w:sz w:val="18"/>
        <w:szCs w:val="18"/>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23F9A">
    <w:pPr>
      <w:pStyle w:val="2"/>
      <w:tabs>
        <w:tab w:val="left" w:pos="6155"/>
      </w:tabs>
      <w:spacing w:before="22" w:line="174" w:lineRule="auto"/>
      <w:rPr>
        <w:sz w:val="18"/>
        <w:szCs w:val="18"/>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41866">
    <w:pPr>
      <w:pStyle w:val="2"/>
      <w:tabs>
        <w:tab w:val="left" w:pos="6157"/>
      </w:tabs>
      <w:spacing w:before="22" w:line="174" w:lineRule="auto"/>
      <w:rPr>
        <w:sz w:val="18"/>
        <w:szCs w:val="18"/>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30DE1">
    <w:pPr>
      <w:pStyle w:val="2"/>
      <w:tabs>
        <w:tab w:val="left" w:pos="6447"/>
      </w:tabs>
      <w:spacing w:before="22" w:line="174" w:lineRule="auto"/>
      <w:rPr>
        <w:sz w:val="18"/>
        <w:szCs w:val="18"/>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BFC1F">
    <w:pPr>
      <w:pStyle w:val="2"/>
      <w:tabs>
        <w:tab w:val="left" w:pos="6157"/>
      </w:tabs>
      <w:spacing w:before="22" w:line="174" w:lineRule="auto"/>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8305B">
    <w:pPr>
      <w:pStyle w:val="2"/>
      <w:pBdr>
        <w:bottom w:val="none" w:color="auto" w:sz="0" w:space="0"/>
      </w:pBdr>
      <w:spacing w:before="22" w:line="219" w:lineRule="auto"/>
      <w:ind w:left="6479"/>
      <w:rPr>
        <w:sz w:val="18"/>
        <w:szCs w:val="1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A919D">
    <w:pPr>
      <w:pStyle w:val="2"/>
      <w:tabs>
        <w:tab w:val="left" w:pos="6277"/>
      </w:tabs>
      <w:spacing w:before="22" w:line="174" w:lineRule="auto"/>
      <w:rPr>
        <w:sz w:val="18"/>
        <w:szCs w:val="18"/>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0DCD7">
    <w:pPr>
      <w:pStyle w:val="2"/>
      <w:tabs>
        <w:tab w:val="left" w:pos="6280"/>
      </w:tabs>
      <w:spacing w:before="22" w:line="174" w:lineRule="auto"/>
      <w:rPr>
        <w:sz w:val="18"/>
        <w:szCs w:val="18"/>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8347A">
    <w:pPr>
      <w:pStyle w:val="2"/>
      <w:tabs>
        <w:tab w:val="left" w:pos="6280"/>
      </w:tabs>
      <w:spacing w:before="22" w:line="174" w:lineRule="auto"/>
      <w:rPr>
        <w:sz w:val="18"/>
        <w:szCs w:val="18"/>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0C009">
    <w:pPr>
      <w:pStyle w:val="2"/>
      <w:tabs>
        <w:tab w:val="left" w:pos="6535"/>
      </w:tabs>
      <w:spacing w:before="22" w:line="174" w:lineRule="auto"/>
      <w:rPr>
        <w:sz w:val="18"/>
        <w:szCs w:val="18"/>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6EF90">
    <w:pPr>
      <w:pStyle w:val="2"/>
      <w:tabs>
        <w:tab w:val="left" w:pos="6167"/>
      </w:tabs>
      <w:spacing w:before="22" w:line="174" w:lineRule="auto"/>
      <w:rPr>
        <w:sz w:val="18"/>
        <w:szCs w:val="18"/>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E8FA8">
    <w:pPr>
      <w:pStyle w:val="2"/>
      <w:tabs>
        <w:tab w:val="left" w:pos="6160"/>
      </w:tabs>
      <w:spacing w:before="22" w:line="174" w:lineRule="auto"/>
      <w:rPr>
        <w:sz w:val="18"/>
        <w:szCs w:val="18"/>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BE11F">
    <w:pPr>
      <w:spacing w:line="14" w:lineRule="auto"/>
      <w:rPr>
        <w:rFonts w:ascii="Arial"/>
        <w:sz w:val="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3B272">
    <w:pPr>
      <w:pStyle w:val="9"/>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41EE8">
    <w:pPr>
      <w:pStyle w:val="2"/>
      <w:tabs>
        <w:tab w:val="left" w:pos="6674"/>
      </w:tabs>
      <w:spacing w:before="22" w:line="174" w:lineRule="auto"/>
      <w:ind w:left="554"/>
      <w:rPr>
        <w:sz w:val="18"/>
        <w:szCs w:val="18"/>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A842C">
    <w:pPr>
      <w:pStyle w:val="2"/>
      <w:tabs>
        <w:tab w:val="left" w:pos="6162"/>
      </w:tabs>
      <w:spacing w:before="22" w:line="174" w:lineRule="auto"/>
      <w:ind w:left="44"/>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5A5CD">
    <w:pPr>
      <w:pBdr>
        <w:bottom w:val="none" w:color="auto" w:sz="0" w:space="0"/>
      </w:pBdr>
      <w:spacing w:line="14" w:lineRule="auto"/>
      <w:rPr>
        <w:rFonts w:ascii="Arial"/>
        <w:sz w:val="2"/>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97C09">
    <w:pPr>
      <w:pStyle w:val="2"/>
      <w:tabs>
        <w:tab w:val="left" w:pos="6159"/>
      </w:tabs>
      <w:spacing w:before="22" w:line="174" w:lineRule="auto"/>
      <w:ind w:left="39"/>
      <w:rPr>
        <w:sz w:val="18"/>
        <w:szCs w:val="18"/>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18C2D">
    <w:pPr>
      <w:pStyle w:val="2"/>
      <w:tabs>
        <w:tab w:val="left" w:pos="6132"/>
      </w:tabs>
      <w:spacing w:before="22" w:line="174" w:lineRule="auto"/>
      <w:ind w:left="12"/>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89152">
    <w:pPr>
      <w:pStyle w:val="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D2654">
    <w:pPr>
      <w:pStyle w:val="2"/>
      <w:spacing w:before="22" w:line="219" w:lineRule="auto"/>
      <w:ind w:left="6479"/>
      <w:rPr>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42FD6">
    <w:pPr>
      <w:pStyle w:val="2"/>
      <w:spacing w:before="22" w:line="219" w:lineRule="auto"/>
      <w:ind w:left="6479"/>
      <w:rPr>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1B643">
    <w:pPr>
      <w:pStyle w:val="2"/>
      <w:spacing w:before="22" w:line="219" w:lineRule="auto"/>
      <w:ind w:left="6479"/>
      <w:rPr>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13C9F">
    <w:pPr>
      <w:pStyle w:val="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DF355">
    <w:pPr>
      <w:pStyle w:val="2"/>
      <w:spacing w:before="22" w:line="219" w:lineRule="auto"/>
      <w:ind w:left="6479"/>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35DCC"/>
    <w:multiLevelType w:val="singleLevel"/>
    <w:tmpl w:val="08A35DCC"/>
    <w:lvl w:ilvl="0" w:tentative="0">
      <w:start w:val="5"/>
      <w:numFmt w:val="decimal"/>
      <w:suff w:val="nothing"/>
      <w:lvlText w:val="%1、"/>
      <w:lvlJc w:val="left"/>
    </w:lvl>
  </w:abstractNum>
  <w:abstractNum w:abstractNumId="1">
    <w:nsid w:val="27D8A301"/>
    <w:multiLevelType w:val="singleLevel"/>
    <w:tmpl w:val="27D8A301"/>
    <w:lvl w:ilvl="0" w:tentative="0">
      <w:start w:val="3"/>
      <w:numFmt w:val="chineseCounting"/>
      <w:suff w:val="nothing"/>
      <w:lvlText w:val="%1、"/>
      <w:lvlJc w:val="left"/>
      <w:rPr>
        <w:rFonts w:hint="eastAsia"/>
      </w:rPr>
    </w:lvl>
  </w:abstractNum>
  <w:abstractNum w:abstractNumId="2">
    <w:nsid w:val="775B9D7A"/>
    <w:multiLevelType w:val="singleLevel"/>
    <w:tmpl w:val="775B9D7A"/>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305CE7"/>
    <w:rsid w:val="00F05477"/>
    <w:rsid w:val="014A2DD9"/>
    <w:rsid w:val="01C963F3"/>
    <w:rsid w:val="02445A7A"/>
    <w:rsid w:val="025B2DC4"/>
    <w:rsid w:val="02AE7397"/>
    <w:rsid w:val="02D8576A"/>
    <w:rsid w:val="03247659"/>
    <w:rsid w:val="033E4BBF"/>
    <w:rsid w:val="03D472D2"/>
    <w:rsid w:val="04003C23"/>
    <w:rsid w:val="055A48DF"/>
    <w:rsid w:val="05C07B0D"/>
    <w:rsid w:val="06035C4C"/>
    <w:rsid w:val="06053772"/>
    <w:rsid w:val="0620235A"/>
    <w:rsid w:val="065B7836"/>
    <w:rsid w:val="07035429"/>
    <w:rsid w:val="07C03DF5"/>
    <w:rsid w:val="089B03BE"/>
    <w:rsid w:val="08BA6A96"/>
    <w:rsid w:val="096B4234"/>
    <w:rsid w:val="097E5D15"/>
    <w:rsid w:val="098945C9"/>
    <w:rsid w:val="09905A49"/>
    <w:rsid w:val="0A7B04A7"/>
    <w:rsid w:val="0AAB0D8C"/>
    <w:rsid w:val="0AF0679F"/>
    <w:rsid w:val="0B786794"/>
    <w:rsid w:val="0BF70001"/>
    <w:rsid w:val="0EB14497"/>
    <w:rsid w:val="0EC3241C"/>
    <w:rsid w:val="0F5A4B2F"/>
    <w:rsid w:val="0F76748F"/>
    <w:rsid w:val="10321608"/>
    <w:rsid w:val="103435D2"/>
    <w:rsid w:val="10392996"/>
    <w:rsid w:val="107734BE"/>
    <w:rsid w:val="112A00F8"/>
    <w:rsid w:val="113413B0"/>
    <w:rsid w:val="113D64B6"/>
    <w:rsid w:val="12176D07"/>
    <w:rsid w:val="125515DD"/>
    <w:rsid w:val="13315BA7"/>
    <w:rsid w:val="135A334F"/>
    <w:rsid w:val="13C06F2A"/>
    <w:rsid w:val="13FF7A53"/>
    <w:rsid w:val="14A800EA"/>
    <w:rsid w:val="15D742BF"/>
    <w:rsid w:val="167E13BC"/>
    <w:rsid w:val="175400B6"/>
    <w:rsid w:val="17A032FB"/>
    <w:rsid w:val="17C76AD9"/>
    <w:rsid w:val="19BE215E"/>
    <w:rsid w:val="19DB4ABE"/>
    <w:rsid w:val="19EE47F1"/>
    <w:rsid w:val="1A3441CE"/>
    <w:rsid w:val="1A4268EB"/>
    <w:rsid w:val="1AD5775F"/>
    <w:rsid w:val="1C273FEB"/>
    <w:rsid w:val="1C717AD9"/>
    <w:rsid w:val="1CC161ED"/>
    <w:rsid w:val="1D324227"/>
    <w:rsid w:val="1D6D3C7F"/>
    <w:rsid w:val="1FAA11BB"/>
    <w:rsid w:val="204C04C4"/>
    <w:rsid w:val="20B6593D"/>
    <w:rsid w:val="2116462E"/>
    <w:rsid w:val="21635AC5"/>
    <w:rsid w:val="21D95D87"/>
    <w:rsid w:val="21FC703C"/>
    <w:rsid w:val="22FA4207"/>
    <w:rsid w:val="238C6E29"/>
    <w:rsid w:val="2455546D"/>
    <w:rsid w:val="24C81D82"/>
    <w:rsid w:val="24C90335"/>
    <w:rsid w:val="2561056D"/>
    <w:rsid w:val="268C786C"/>
    <w:rsid w:val="270F3FF9"/>
    <w:rsid w:val="27800A53"/>
    <w:rsid w:val="2786250D"/>
    <w:rsid w:val="27893DAB"/>
    <w:rsid w:val="27B84691"/>
    <w:rsid w:val="27D14741"/>
    <w:rsid w:val="283E4B96"/>
    <w:rsid w:val="28836A4D"/>
    <w:rsid w:val="29EA6657"/>
    <w:rsid w:val="2A522B7B"/>
    <w:rsid w:val="2B342280"/>
    <w:rsid w:val="2BAC0068"/>
    <w:rsid w:val="2C3A38C6"/>
    <w:rsid w:val="2CE657FC"/>
    <w:rsid w:val="2D0B7011"/>
    <w:rsid w:val="2E8B665B"/>
    <w:rsid w:val="2ED704FD"/>
    <w:rsid w:val="3029612C"/>
    <w:rsid w:val="30E65DCB"/>
    <w:rsid w:val="3199108F"/>
    <w:rsid w:val="31D71BB7"/>
    <w:rsid w:val="34607C42"/>
    <w:rsid w:val="34F36D08"/>
    <w:rsid w:val="34FC3E0F"/>
    <w:rsid w:val="35373099"/>
    <w:rsid w:val="355754E9"/>
    <w:rsid w:val="35ED7BFB"/>
    <w:rsid w:val="367F4CF7"/>
    <w:rsid w:val="38871C41"/>
    <w:rsid w:val="391A0D07"/>
    <w:rsid w:val="391D07F7"/>
    <w:rsid w:val="3AB64A60"/>
    <w:rsid w:val="3ABC7B9C"/>
    <w:rsid w:val="3AE315CD"/>
    <w:rsid w:val="3B253993"/>
    <w:rsid w:val="3B7D732B"/>
    <w:rsid w:val="3BDD426E"/>
    <w:rsid w:val="3C1F03E3"/>
    <w:rsid w:val="3C544530"/>
    <w:rsid w:val="3D9170BE"/>
    <w:rsid w:val="3DEB0EC4"/>
    <w:rsid w:val="3EAF3CA0"/>
    <w:rsid w:val="3F1E7670"/>
    <w:rsid w:val="3FEC4A80"/>
    <w:rsid w:val="40EB0C82"/>
    <w:rsid w:val="41654AEA"/>
    <w:rsid w:val="43030A5E"/>
    <w:rsid w:val="4436276D"/>
    <w:rsid w:val="486C0E54"/>
    <w:rsid w:val="4A281CEF"/>
    <w:rsid w:val="4AC00FE3"/>
    <w:rsid w:val="4AC565F9"/>
    <w:rsid w:val="4B2772B4"/>
    <w:rsid w:val="4B8A1D1C"/>
    <w:rsid w:val="4DD76D6F"/>
    <w:rsid w:val="4E1B3100"/>
    <w:rsid w:val="4E8862BB"/>
    <w:rsid w:val="4EB66985"/>
    <w:rsid w:val="51491D32"/>
    <w:rsid w:val="5237584C"/>
    <w:rsid w:val="52741030"/>
    <w:rsid w:val="52E765B1"/>
    <w:rsid w:val="53E2021C"/>
    <w:rsid w:val="548B3542"/>
    <w:rsid w:val="55313209"/>
    <w:rsid w:val="55FF50B5"/>
    <w:rsid w:val="56187F25"/>
    <w:rsid w:val="563F3703"/>
    <w:rsid w:val="57D83E10"/>
    <w:rsid w:val="58450D79"/>
    <w:rsid w:val="58A261CC"/>
    <w:rsid w:val="58DC348C"/>
    <w:rsid w:val="596D67DA"/>
    <w:rsid w:val="5A753B98"/>
    <w:rsid w:val="5A8042EB"/>
    <w:rsid w:val="5B101B12"/>
    <w:rsid w:val="5B10566E"/>
    <w:rsid w:val="5B1C2265"/>
    <w:rsid w:val="5CA42512"/>
    <w:rsid w:val="5D79399F"/>
    <w:rsid w:val="5D8A5BAC"/>
    <w:rsid w:val="5E1D07CE"/>
    <w:rsid w:val="5EC155FD"/>
    <w:rsid w:val="5F125E59"/>
    <w:rsid w:val="5F3A0F0C"/>
    <w:rsid w:val="60193217"/>
    <w:rsid w:val="60F33A68"/>
    <w:rsid w:val="6166248C"/>
    <w:rsid w:val="61720E31"/>
    <w:rsid w:val="61C80A51"/>
    <w:rsid w:val="623C4F9B"/>
    <w:rsid w:val="62FB30A8"/>
    <w:rsid w:val="63396F7C"/>
    <w:rsid w:val="638C3D00"/>
    <w:rsid w:val="63A92B04"/>
    <w:rsid w:val="63FA510E"/>
    <w:rsid w:val="647B624F"/>
    <w:rsid w:val="647B7471"/>
    <w:rsid w:val="66754F1F"/>
    <w:rsid w:val="66C537B1"/>
    <w:rsid w:val="6712276E"/>
    <w:rsid w:val="677D0530"/>
    <w:rsid w:val="68012F0F"/>
    <w:rsid w:val="68060525"/>
    <w:rsid w:val="680E73DA"/>
    <w:rsid w:val="689E5598"/>
    <w:rsid w:val="6B7834E8"/>
    <w:rsid w:val="6C0A61C1"/>
    <w:rsid w:val="6C871509"/>
    <w:rsid w:val="6DE07122"/>
    <w:rsid w:val="6E3000AA"/>
    <w:rsid w:val="6E4E0530"/>
    <w:rsid w:val="6F40431D"/>
    <w:rsid w:val="705C33D8"/>
    <w:rsid w:val="709F1517"/>
    <w:rsid w:val="74956EB9"/>
    <w:rsid w:val="750C445E"/>
    <w:rsid w:val="75630D65"/>
    <w:rsid w:val="75986535"/>
    <w:rsid w:val="75A1188D"/>
    <w:rsid w:val="75A849CA"/>
    <w:rsid w:val="77955421"/>
    <w:rsid w:val="78197E01"/>
    <w:rsid w:val="78250553"/>
    <w:rsid w:val="788B62D2"/>
    <w:rsid w:val="79637BE0"/>
    <w:rsid w:val="797F0137"/>
    <w:rsid w:val="79825532"/>
    <w:rsid w:val="7A170370"/>
    <w:rsid w:val="7AA5597C"/>
    <w:rsid w:val="7B09415C"/>
    <w:rsid w:val="7B8A691F"/>
    <w:rsid w:val="7C7B2E38"/>
    <w:rsid w:val="7CDB38D7"/>
    <w:rsid w:val="7D3F20B7"/>
    <w:rsid w:val="7DD02D0F"/>
    <w:rsid w:val="7DD50326"/>
    <w:rsid w:val="7ECF746B"/>
    <w:rsid w:val="7F1B445E"/>
    <w:rsid w:val="7F9347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5">
    <w:name w:val="heading 2"/>
    <w:basedOn w:val="1"/>
    <w:next w:val="1"/>
    <w:unhideWhenUsed/>
    <w:qFormat/>
    <w:uiPriority w:val="0"/>
    <w:pPr>
      <w:keepNext/>
      <w:keepLines/>
      <w:spacing w:before="260" w:after="260" w:line="416" w:lineRule="auto"/>
      <w:jc w:val="center"/>
      <w:outlineLvl w:val="1"/>
    </w:pPr>
    <w:rPr>
      <w:rFonts w:ascii="宋体" w:hAnsi="宋体" w:cs="Times New Roman" w:eastAsiaTheme="majorEastAsia"/>
      <w:b/>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宋体" w:hAnsi="宋体" w:eastAsia="宋体" w:cs="宋体"/>
      <w:sz w:val="24"/>
      <w:szCs w:val="24"/>
      <w:lang w:val="en-US" w:eastAsia="en-US" w:bidi="ar-SA"/>
    </w:rPr>
  </w:style>
  <w:style w:type="paragraph" w:styleId="3">
    <w:name w:val="Body Text First Indent"/>
    <w:basedOn w:val="2"/>
    <w:next w:val="4"/>
    <w:unhideWhenUsed/>
    <w:qFormat/>
    <w:uiPriority w:val="99"/>
    <w:pPr>
      <w:spacing w:after="120" w:line="240" w:lineRule="auto"/>
      <w:ind w:firstLine="420" w:firstLineChars="100"/>
    </w:pPr>
  </w:style>
  <w:style w:type="paragraph" w:styleId="4">
    <w:name w:val="List"/>
    <w:basedOn w:val="1"/>
    <w:qFormat/>
    <w:uiPriority w:val="0"/>
    <w:pPr>
      <w:ind w:left="200" w:hanging="200" w:hangingChars="200"/>
    </w:pPr>
  </w:style>
  <w:style w:type="paragraph" w:styleId="6">
    <w:name w:val="Normal Indent"/>
    <w:basedOn w:val="1"/>
    <w:next w:val="1"/>
    <w:qFormat/>
    <w:uiPriority w:val="0"/>
    <w:pPr>
      <w:ind w:firstLine="420" w:firstLineChars="200"/>
    </w:pPr>
  </w:style>
  <w:style w:type="paragraph" w:styleId="7">
    <w:name w:val="toa heading"/>
    <w:basedOn w:val="1"/>
    <w:next w:val="1"/>
    <w:qFormat/>
    <w:uiPriority w:val="0"/>
    <w:pPr>
      <w:spacing w:before="120"/>
    </w:pPr>
    <w:rPr>
      <w:rFonts w:ascii="Arial" w:hAnsi="Arial" w:cs="Arial"/>
      <w:sz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unhideWhenUsed/>
    <w:qFormat/>
    <w:uiPriority w:val="99"/>
    <w:rPr>
      <w:rFonts w:ascii="Courier New" w:hAnsi="Courier New" w:cs="Courier New"/>
      <w:sz w:val="20"/>
      <w:szCs w:val="20"/>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4"/>
      <w:szCs w:val="24"/>
      <w:lang w:val="en-US" w:eastAsia="en-US" w:bidi="ar-SA"/>
    </w:rPr>
  </w:style>
  <w:style w:type="character" w:customStyle="1" w:styleId="15">
    <w:name w:val="NormalCharacter"/>
    <w:semiHidden/>
    <w:qFormat/>
    <w:uiPriority w:val="0"/>
    <w:rPr>
      <w:rFonts w:ascii="Calibri" w:hAnsi="Calibri" w:eastAsia="宋体" w:cstheme="minorBidi"/>
      <w:kern w:val="2"/>
      <w:sz w:val="21"/>
      <w:szCs w:val="24"/>
      <w:lang w:val="en-US" w:eastAsia="zh-CN" w:bidi="ar-SA"/>
    </w:rPr>
  </w:style>
  <w:style w:type="paragraph" w:customStyle="1" w:styleId="1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7">
    <w:name w:val="UserStyle_15"/>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2" Type="http://schemas.openxmlformats.org/officeDocument/2006/relationships/fontTable" Target="fontTable.xml"/><Relationship Id="rId71" Type="http://schemas.openxmlformats.org/officeDocument/2006/relationships/numbering" Target="numbering.xml"/><Relationship Id="rId70" Type="http://schemas.openxmlformats.org/officeDocument/2006/relationships/theme" Target="theme/theme1.xml"/><Relationship Id="rId7" Type="http://schemas.openxmlformats.org/officeDocument/2006/relationships/header" Target="header2.xml"/><Relationship Id="rId69" Type="http://schemas.openxmlformats.org/officeDocument/2006/relationships/footer" Target="footer34.xml"/><Relationship Id="rId68" Type="http://schemas.openxmlformats.org/officeDocument/2006/relationships/header" Target="header31.xml"/><Relationship Id="rId67" Type="http://schemas.openxmlformats.org/officeDocument/2006/relationships/footer" Target="footer33.xml"/><Relationship Id="rId66" Type="http://schemas.openxmlformats.org/officeDocument/2006/relationships/header" Target="header30.xml"/><Relationship Id="rId65" Type="http://schemas.openxmlformats.org/officeDocument/2006/relationships/footer" Target="footer32.xml"/><Relationship Id="rId64" Type="http://schemas.openxmlformats.org/officeDocument/2006/relationships/header" Target="header29.xml"/><Relationship Id="rId63" Type="http://schemas.openxmlformats.org/officeDocument/2006/relationships/footer" Target="footer31.xml"/><Relationship Id="rId62" Type="http://schemas.openxmlformats.org/officeDocument/2006/relationships/header" Target="header28.xml"/><Relationship Id="rId61" Type="http://schemas.openxmlformats.org/officeDocument/2006/relationships/footer" Target="footer30.xml"/><Relationship Id="rId60" Type="http://schemas.openxmlformats.org/officeDocument/2006/relationships/header" Target="header27.xml"/><Relationship Id="rId6" Type="http://schemas.openxmlformats.org/officeDocument/2006/relationships/footer" Target="footer1.xml"/><Relationship Id="rId59" Type="http://schemas.openxmlformats.org/officeDocument/2006/relationships/footer" Target="footer29.xml"/><Relationship Id="rId58" Type="http://schemas.openxmlformats.org/officeDocument/2006/relationships/header" Target="header26.xml"/><Relationship Id="rId57" Type="http://schemas.openxmlformats.org/officeDocument/2006/relationships/footer" Target="footer28.xml"/><Relationship Id="rId56" Type="http://schemas.openxmlformats.org/officeDocument/2006/relationships/header" Target="header25.xml"/><Relationship Id="rId55" Type="http://schemas.openxmlformats.org/officeDocument/2006/relationships/footer" Target="footer27.xml"/><Relationship Id="rId54" Type="http://schemas.openxmlformats.org/officeDocument/2006/relationships/header" Target="header24.xml"/><Relationship Id="rId53" Type="http://schemas.openxmlformats.org/officeDocument/2006/relationships/footer" Target="footer26.xml"/><Relationship Id="rId52" Type="http://schemas.openxmlformats.org/officeDocument/2006/relationships/header" Target="header23.xml"/><Relationship Id="rId51" Type="http://schemas.openxmlformats.org/officeDocument/2006/relationships/footer" Target="footer25.xml"/><Relationship Id="rId50" Type="http://schemas.openxmlformats.org/officeDocument/2006/relationships/header" Target="header22.xml"/><Relationship Id="rId5" Type="http://schemas.openxmlformats.org/officeDocument/2006/relationships/header" Target="header1.xml"/><Relationship Id="rId49" Type="http://schemas.openxmlformats.org/officeDocument/2006/relationships/footer" Target="footer24.xml"/><Relationship Id="rId48" Type="http://schemas.openxmlformats.org/officeDocument/2006/relationships/header" Target="header21.xml"/><Relationship Id="rId47" Type="http://schemas.openxmlformats.org/officeDocument/2006/relationships/footer" Target="footer23.xml"/><Relationship Id="rId46" Type="http://schemas.openxmlformats.org/officeDocument/2006/relationships/header" Target="header20.xml"/><Relationship Id="rId45" Type="http://schemas.openxmlformats.org/officeDocument/2006/relationships/footer" Target="footer22.xml"/><Relationship Id="rId44" Type="http://schemas.openxmlformats.org/officeDocument/2006/relationships/header" Target="header19.xml"/><Relationship Id="rId43" Type="http://schemas.openxmlformats.org/officeDocument/2006/relationships/footer" Target="footer21.xml"/><Relationship Id="rId42" Type="http://schemas.openxmlformats.org/officeDocument/2006/relationships/header" Target="header18.xml"/><Relationship Id="rId41" Type="http://schemas.openxmlformats.org/officeDocument/2006/relationships/footer" Target="footer20.xml"/><Relationship Id="rId40" Type="http://schemas.openxmlformats.org/officeDocument/2006/relationships/header" Target="header17.xml"/><Relationship Id="rId4" Type="http://schemas.openxmlformats.org/officeDocument/2006/relationships/endnotes" Target="endnotes.xml"/><Relationship Id="rId39" Type="http://schemas.openxmlformats.org/officeDocument/2006/relationships/footer" Target="footer19.xml"/><Relationship Id="rId38" Type="http://schemas.openxmlformats.org/officeDocument/2006/relationships/header" Target="header16.xml"/><Relationship Id="rId37" Type="http://schemas.openxmlformats.org/officeDocument/2006/relationships/footer" Target="footer18.xml"/><Relationship Id="rId36" Type="http://schemas.openxmlformats.org/officeDocument/2006/relationships/header" Target="header15.xml"/><Relationship Id="rId35" Type="http://schemas.openxmlformats.org/officeDocument/2006/relationships/footer" Target="footer17.xml"/><Relationship Id="rId34" Type="http://schemas.openxmlformats.org/officeDocument/2006/relationships/header" Target="header14.xml"/><Relationship Id="rId33" Type="http://schemas.openxmlformats.org/officeDocument/2006/relationships/footer" Target="footer16.xml"/><Relationship Id="rId32" Type="http://schemas.openxmlformats.org/officeDocument/2006/relationships/header" Target="header13.xml"/><Relationship Id="rId31" Type="http://schemas.openxmlformats.org/officeDocument/2006/relationships/footer" Target="footer15.xml"/><Relationship Id="rId30" Type="http://schemas.openxmlformats.org/officeDocument/2006/relationships/header" Target="header12.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header" Target="header11.xml"/><Relationship Id="rId27" Type="http://schemas.openxmlformats.org/officeDocument/2006/relationships/footer" Target="footer13.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69</Pages>
  <Words>2525</Words>
  <Characters>2923</Characters>
  <TotalTime>19</TotalTime>
  <ScaleCrop>false</ScaleCrop>
  <LinksUpToDate>false</LinksUpToDate>
  <CharactersWithSpaces>3086</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2025-04-29T23:43:00Z</dcterms:created>
  <dc:creator>hp</dc:creator>
  <cp:lastModifiedBy>咸鱼.</cp:lastModifiedBy>
  <dcterms:modified xsi:type="dcterms:W3CDTF">2025-05-23T08:15:52Z</dcterms:modified>
  <dc:title>乌鲁木齐市公安局重点路段卡口系统采购项目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2025-05-01T11:42:16Z</vt:filetime>
  </property>
  <property fmtid="{D5CDD505-2E9C-101B-9397-08002B2CF9AE}" pid="4" name="KSOTemplateDocerSaveRecord">
    <vt:lpwstr>eyJoZGlkIjoiNjM1NjY1NjNhODJhNWNiYzQ2ZjA2NTA4Mzc4YTZjYmQiLCJ1c2VySWQiOiI0MjUxNDI0OTYifQ==</vt:lpwstr>
  </property>
  <property fmtid="{D5CDD505-2E9C-101B-9397-08002B2CF9AE}" pid="5" name="KSOProductBuildVer">
    <vt:lpwstr>2052-12.1.0.21171</vt:lpwstr>
  </property>
  <property fmtid="{D5CDD505-2E9C-101B-9397-08002B2CF9AE}" pid="6" name="ICV">
    <vt:lpwstr>5BAE128004334D0EB4A7E2386BA8163E_13</vt:lpwstr>
  </property>
</Properties>
</file>