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insoku w:val="0"/>
        <w:overflowPunct w:val="0"/>
        <w:spacing w:before="61" w:line="280" w:lineRule="exact"/>
        <w:ind w:right="58"/>
        <w:jc w:val="center"/>
        <w:rPr>
          <w:rFonts w:hAnsi="宋体"/>
          <w:b/>
          <w:bCs/>
          <w:sz w:val="28"/>
        </w:rPr>
      </w:pPr>
      <w:r>
        <w:rPr>
          <w:rFonts w:hint="eastAsia" w:hAnsi="宋体"/>
          <w:b/>
          <w:bCs/>
          <w:sz w:val="28"/>
        </w:rPr>
        <w:t>工程量清单计价格式说明</w:t>
      </w:r>
    </w:p>
    <w:p>
      <w:pPr>
        <w:pStyle w:val="2"/>
        <w:kinsoku w:val="0"/>
        <w:overflowPunct w:val="0"/>
        <w:spacing w:before="66" w:line="400" w:lineRule="exact"/>
        <w:ind w:left="358"/>
        <w:rPr>
          <w:rFonts w:hAnsi="宋体"/>
          <w:b/>
          <w:bCs/>
          <w:sz w:val="24"/>
          <w:szCs w:val="24"/>
        </w:rPr>
      </w:pPr>
      <w:r>
        <w:rPr>
          <w:rFonts w:hint="eastAsia" w:hAnsi="宋体"/>
          <w:b/>
          <w:bCs/>
          <w:sz w:val="24"/>
          <w:szCs w:val="24"/>
        </w:rPr>
        <w:t>一、</w:t>
      </w:r>
      <w:r>
        <w:rPr>
          <w:rFonts w:hAnsi="宋体"/>
          <w:b/>
          <w:bCs/>
          <w:sz w:val="24"/>
          <w:szCs w:val="24"/>
        </w:rPr>
        <w:t xml:space="preserve"> </w:t>
      </w:r>
      <w:r>
        <w:rPr>
          <w:rFonts w:hint="eastAsia" w:hAnsi="宋体"/>
          <w:b/>
          <w:bCs/>
          <w:sz w:val="24"/>
          <w:szCs w:val="24"/>
        </w:rPr>
        <w:t>投标报价说明</w:t>
      </w:r>
    </w:p>
    <w:p>
      <w:pPr>
        <w:pStyle w:val="2"/>
        <w:kinsoku w:val="0"/>
        <w:overflowPunct w:val="0"/>
        <w:spacing w:before="179" w:line="400" w:lineRule="exact"/>
        <w:ind w:left="778"/>
        <w:rPr>
          <w:rFonts w:hAnsi="宋体"/>
          <w:b/>
          <w:bCs/>
          <w:sz w:val="24"/>
          <w:szCs w:val="24"/>
        </w:rPr>
      </w:pPr>
      <w:r>
        <w:rPr>
          <w:rFonts w:hint="eastAsia" w:hAnsi="宋体"/>
          <w:b/>
          <w:bCs/>
          <w:sz w:val="24"/>
          <w:szCs w:val="24"/>
        </w:rPr>
        <w:t>（一）、工程量清单报价表组成</w:t>
      </w:r>
    </w:p>
    <w:p>
      <w:pPr>
        <w:pStyle w:val="2"/>
        <w:kinsoku w:val="0"/>
        <w:overflowPunct w:val="0"/>
        <w:spacing w:line="400" w:lineRule="exact"/>
        <w:ind w:left="778"/>
        <w:rPr>
          <w:rFonts w:hAnsi="宋体"/>
          <w:sz w:val="24"/>
          <w:szCs w:val="24"/>
        </w:rPr>
      </w:pPr>
      <w:r>
        <w:rPr>
          <w:rFonts w:hint="eastAsia" w:hAnsi="宋体"/>
          <w:sz w:val="24"/>
          <w:szCs w:val="24"/>
        </w:rPr>
        <w:t>工程量清单报价表由以下表格组成：</w:t>
      </w:r>
    </w:p>
    <w:p>
      <w:pPr>
        <w:pStyle w:val="7"/>
        <w:numPr>
          <w:ilvl w:val="0"/>
          <w:numId w:val="1"/>
        </w:numPr>
        <w:tabs>
          <w:tab w:val="left" w:pos="1146"/>
        </w:tabs>
        <w:kinsoku w:val="0"/>
        <w:overflowPunct w:val="0"/>
        <w:spacing w:line="400" w:lineRule="exact"/>
        <w:ind w:hanging="314"/>
        <w:rPr>
          <w:rFonts w:hAnsi="宋体"/>
        </w:rPr>
      </w:pPr>
      <w:r>
        <w:rPr>
          <w:rFonts w:hint="eastAsia" w:hAnsi="宋体"/>
        </w:rPr>
        <w:t>投标总价。</w:t>
      </w:r>
    </w:p>
    <w:p>
      <w:pPr>
        <w:pStyle w:val="7"/>
        <w:numPr>
          <w:ilvl w:val="0"/>
          <w:numId w:val="1"/>
        </w:numPr>
        <w:tabs>
          <w:tab w:val="left" w:pos="1146"/>
        </w:tabs>
        <w:kinsoku w:val="0"/>
        <w:overflowPunct w:val="0"/>
        <w:spacing w:line="400" w:lineRule="exact"/>
        <w:ind w:hanging="314"/>
        <w:rPr>
          <w:rFonts w:hAnsi="宋体"/>
        </w:rPr>
      </w:pPr>
      <w:r>
        <w:rPr>
          <w:rFonts w:hint="eastAsia" w:hAnsi="宋体"/>
        </w:rPr>
        <w:t>工程项目总价表。</w:t>
      </w:r>
    </w:p>
    <w:p>
      <w:pPr>
        <w:pStyle w:val="7"/>
        <w:numPr>
          <w:ilvl w:val="0"/>
          <w:numId w:val="1"/>
        </w:numPr>
        <w:tabs>
          <w:tab w:val="left" w:pos="1146"/>
        </w:tabs>
        <w:kinsoku w:val="0"/>
        <w:overflowPunct w:val="0"/>
        <w:spacing w:line="400" w:lineRule="exact"/>
        <w:ind w:hanging="314"/>
        <w:rPr>
          <w:rFonts w:hAnsi="宋体"/>
        </w:rPr>
      </w:pPr>
      <w:r>
        <w:rPr>
          <w:rFonts w:hint="eastAsia" w:hAnsi="宋体"/>
        </w:rPr>
        <w:t>分类分项工程量清单计价表。</w:t>
      </w:r>
    </w:p>
    <w:p>
      <w:pPr>
        <w:pStyle w:val="7"/>
        <w:numPr>
          <w:ilvl w:val="0"/>
          <w:numId w:val="1"/>
        </w:numPr>
        <w:tabs>
          <w:tab w:val="left" w:pos="1146"/>
        </w:tabs>
        <w:kinsoku w:val="0"/>
        <w:overflowPunct w:val="0"/>
        <w:spacing w:before="1" w:line="400" w:lineRule="exact"/>
        <w:ind w:hanging="314"/>
        <w:rPr>
          <w:rFonts w:hAnsi="宋体"/>
        </w:rPr>
      </w:pPr>
      <w:r>
        <w:rPr>
          <w:rFonts w:hint="eastAsia" w:hAnsi="宋体"/>
        </w:rPr>
        <w:t>措施项目清单计价表。</w:t>
      </w:r>
    </w:p>
    <w:p>
      <w:pPr>
        <w:pStyle w:val="7"/>
        <w:numPr>
          <w:ilvl w:val="0"/>
          <w:numId w:val="1"/>
        </w:numPr>
        <w:tabs>
          <w:tab w:val="left" w:pos="1146"/>
        </w:tabs>
        <w:kinsoku w:val="0"/>
        <w:overflowPunct w:val="0"/>
        <w:spacing w:line="400" w:lineRule="exact"/>
        <w:ind w:hanging="314"/>
        <w:rPr>
          <w:rFonts w:hAnsi="宋体"/>
        </w:rPr>
      </w:pPr>
      <w:r>
        <w:rPr>
          <w:rFonts w:hint="eastAsia" w:hAnsi="宋体"/>
        </w:rPr>
        <w:t>其它项目清单计价表。</w:t>
      </w:r>
    </w:p>
    <w:p>
      <w:pPr>
        <w:pStyle w:val="7"/>
        <w:numPr>
          <w:ilvl w:val="0"/>
          <w:numId w:val="1"/>
        </w:numPr>
        <w:tabs>
          <w:tab w:val="left" w:pos="1146"/>
        </w:tabs>
        <w:kinsoku w:val="0"/>
        <w:overflowPunct w:val="0"/>
        <w:spacing w:line="400" w:lineRule="exact"/>
        <w:ind w:hanging="314"/>
        <w:rPr>
          <w:rFonts w:hAnsi="宋体"/>
        </w:rPr>
      </w:pPr>
      <w:r>
        <w:rPr>
          <w:rFonts w:hint="eastAsia" w:hAnsi="宋体"/>
        </w:rPr>
        <w:t>零星工作项目清单计价表</w:t>
      </w:r>
    </w:p>
    <w:p>
      <w:pPr>
        <w:pStyle w:val="7"/>
        <w:numPr>
          <w:ilvl w:val="0"/>
          <w:numId w:val="1"/>
        </w:numPr>
        <w:tabs>
          <w:tab w:val="left" w:pos="1146"/>
        </w:tabs>
        <w:kinsoku w:val="0"/>
        <w:overflowPunct w:val="0"/>
        <w:spacing w:line="400" w:lineRule="exact"/>
        <w:ind w:hanging="314"/>
        <w:rPr>
          <w:rFonts w:hAnsi="宋体"/>
        </w:rPr>
      </w:pPr>
      <w:r>
        <w:rPr>
          <w:rFonts w:hint="eastAsia" w:hAnsi="宋体"/>
        </w:rPr>
        <w:t>工程单价费</w:t>
      </w:r>
      <w:r>
        <w:rPr>
          <w:rFonts w:hAnsi="宋体"/>
        </w:rPr>
        <w:t>(</w:t>
      </w:r>
      <w:r>
        <w:rPr>
          <w:rFonts w:hint="eastAsia" w:hAnsi="宋体"/>
        </w:rPr>
        <w:t>税</w:t>
      </w:r>
      <w:r>
        <w:rPr>
          <w:rFonts w:hAnsi="宋体"/>
        </w:rPr>
        <w:t>)</w:t>
      </w:r>
      <w:r>
        <w:rPr>
          <w:rFonts w:hint="eastAsia" w:hAnsi="宋体"/>
        </w:rPr>
        <w:t>率汇总表。</w:t>
      </w:r>
    </w:p>
    <w:p>
      <w:pPr>
        <w:pStyle w:val="7"/>
        <w:numPr>
          <w:ilvl w:val="0"/>
          <w:numId w:val="1"/>
        </w:numPr>
        <w:tabs>
          <w:tab w:val="left" w:pos="1146"/>
        </w:tabs>
        <w:kinsoku w:val="0"/>
        <w:overflowPunct w:val="0"/>
        <w:spacing w:line="400" w:lineRule="exact"/>
        <w:ind w:hanging="314"/>
        <w:rPr>
          <w:rFonts w:hAnsi="宋体"/>
        </w:rPr>
      </w:pPr>
      <w:r>
        <w:rPr>
          <w:rFonts w:hint="eastAsia" w:hAnsi="宋体"/>
        </w:rPr>
        <w:t>招标人供应材料价格表。</w:t>
      </w:r>
    </w:p>
    <w:p>
      <w:pPr>
        <w:pStyle w:val="7"/>
        <w:numPr>
          <w:ilvl w:val="0"/>
          <w:numId w:val="1"/>
        </w:numPr>
        <w:tabs>
          <w:tab w:val="left" w:pos="1146"/>
        </w:tabs>
        <w:kinsoku w:val="0"/>
        <w:overflowPunct w:val="0"/>
        <w:spacing w:line="400" w:lineRule="exact"/>
        <w:ind w:hanging="314"/>
        <w:rPr>
          <w:rFonts w:hAnsi="宋体"/>
        </w:rPr>
      </w:pPr>
      <w:r>
        <w:rPr>
          <w:rFonts w:hint="eastAsia" w:hAnsi="宋体"/>
        </w:rPr>
        <w:t>招标人提供施工设备表。</w:t>
      </w:r>
    </w:p>
    <w:p>
      <w:pPr>
        <w:pStyle w:val="7"/>
        <w:numPr>
          <w:ilvl w:val="0"/>
          <w:numId w:val="1"/>
        </w:numPr>
        <w:tabs>
          <w:tab w:val="left" w:pos="1146"/>
        </w:tabs>
        <w:kinsoku w:val="0"/>
        <w:overflowPunct w:val="0"/>
        <w:spacing w:line="400" w:lineRule="exact"/>
        <w:ind w:hanging="314"/>
        <w:rPr>
          <w:rFonts w:hint="eastAsia" w:hAnsi="宋体"/>
        </w:rPr>
      </w:pPr>
      <w:r>
        <w:rPr>
          <w:rFonts w:hint="eastAsia" w:hAnsi="宋体"/>
        </w:rPr>
        <w:t>工程单价汇总表。</w:t>
      </w:r>
    </w:p>
    <w:p>
      <w:pPr>
        <w:pStyle w:val="7"/>
        <w:numPr>
          <w:ilvl w:val="0"/>
          <w:numId w:val="1"/>
        </w:numPr>
        <w:tabs>
          <w:tab w:val="left" w:pos="1146"/>
        </w:tabs>
        <w:kinsoku w:val="0"/>
        <w:overflowPunct w:val="0"/>
        <w:spacing w:line="400" w:lineRule="exact"/>
        <w:ind w:hanging="314"/>
        <w:rPr>
          <w:rFonts w:hAnsi="宋体"/>
        </w:rPr>
      </w:pPr>
      <w:r>
        <w:rPr>
          <w:rFonts w:hint="eastAsia" w:hAnsi="宋体"/>
        </w:rPr>
        <w:t>投标人生产电、风、水、砂石基础单价汇总表。</w:t>
      </w:r>
    </w:p>
    <w:p>
      <w:pPr>
        <w:pStyle w:val="7"/>
        <w:numPr>
          <w:ilvl w:val="0"/>
          <w:numId w:val="1"/>
        </w:numPr>
        <w:tabs>
          <w:tab w:val="left" w:pos="1146"/>
        </w:tabs>
        <w:kinsoku w:val="0"/>
        <w:overflowPunct w:val="0"/>
        <w:spacing w:line="400" w:lineRule="exact"/>
        <w:ind w:hanging="314"/>
        <w:rPr>
          <w:rFonts w:hAnsi="宋体"/>
        </w:rPr>
      </w:pPr>
      <w:r>
        <w:rPr>
          <w:rFonts w:hint="eastAsia" w:hAnsi="宋体"/>
        </w:rPr>
        <w:t>投标人生产混凝土配合比材料费表。</w:t>
      </w:r>
    </w:p>
    <w:p>
      <w:pPr>
        <w:pStyle w:val="7"/>
        <w:numPr>
          <w:ilvl w:val="0"/>
          <w:numId w:val="1"/>
        </w:numPr>
        <w:tabs>
          <w:tab w:val="left" w:pos="1093"/>
        </w:tabs>
        <w:kinsoku w:val="0"/>
        <w:overflowPunct w:val="0"/>
        <w:spacing w:line="400" w:lineRule="exact"/>
        <w:ind w:left="1092" w:hanging="261"/>
        <w:rPr>
          <w:rFonts w:hAnsi="宋体"/>
        </w:rPr>
      </w:pPr>
      <w:r>
        <w:rPr>
          <w:rFonts w:hint="eastAsia" w:hAnsi="宋体"/>
        </w:rPr>
        <w:t>投标人自行采购主要材料预算价格汇总表。</w:t>
      </w:r>
    </w:p>
    <w:p>
      <w:pPr>
        <w:pStyle w:val="7"/>
        <w:numPr>
          <w:ilvl w:val="0"/>
          <w:numId w:val="1"/>
        </w:numPr>
        <w:tabs>
          <w:tab w:val="left" w:pos="1093"/>
        </w:tabs>
        <w:kinsoku w:val="0"/>
        <w:overflowPunct w:val="0"/>
        <w:spacing w:before="1" w:line="400" w:lineRule="exact"/>
        <w:ind w:left="1092" w:hanging="261"/>
        <w:rPr>
          <w:rFonts w:hAnsi="宋体"/>
        </w:rPr>
      </w:pPr>
      <w:r>
        <w:rPr>
          <w:rFonts w:hint="eastAsia" w:hAnsi="宋体"/>
        </w:rPr>
        <w:t>投标人自备施工机械台时</w:t>
      </w:r>
      <w:r>
        <w:rPr>
          <w:rFonts w:hAnsi="宋体"/>
        </w:rPr>
        <w:t>(</w:t>
      </w:r>
      <w:r>
        <w:rPr>
          <w:rFonts w:hint="eastAsia" w:hAnsi="宋体"/>
        </w:rPr>
        <w:t>班</w:t>
      </w:r>
      <w:r>
        <w:rPr>
          <w:rFonts w:hAnsi="宋体"/>
        </w:rPr>
        <w:t>)</w:t>
      </w:r>
      <w:r>
        <w:rPr>
          <w:rFonts w:hint="eastAsia" w:hAnsi="宋体"/>
        </w:rPr>
        <w:t>费汇总表。</w:t>
      </w:r>
    </w:p>
    <w:p>
      <w:pPr>
        <w:pStyle w:val="7"/>
        <w:numPr>
          <w:ilvl w:val="0"/>
          <w:numId w:val="1"/>
        </w:numPr>
        <w:tabs>
          <w:tab w:val="left" w:pos="1093"/>
        </w:tabs>
        <w:kinsoku w:val="0"/>
        <w:overflowPunct w:val="0"/>
        <w:spacing w:line="400" w:lineRule="exact"/>
        <w:ind w:left="1092" w:hanging="261"/>
        <w:rPr>
          <w:rFonts w:hAnsi="宋体"/>
        </w:rPr>
      </w:pPr>
      <w:r>
        <w:rPr>
          <w:rFonts w:hint="eastAsia" w:hAnsi="宋体"/>
        </w:rPr>
        <w:t>措施项目分类分项工程分解表。</w:t>
      </w:r>
    </w:p>
    <w:p>
      <w:pPr>
        <w:pStyle w:val="7"/>
        <w:numPr>
          <w:ilvl w:val="0"/>
          <w:numId w:val="1"/>
        </w:numPr>
        <w:tabs>
          <w:tab w:val="left" w:pos="1093"/>
        </w:tabs>
        <w:kinsoku w:val="0"/>
        <w:overflowPunct w:val="0"/>
        <w:spacing w:line="400" w:lineRule="exact"/>
        <w:ind w:left="1092" w:hanging="261"/>
        <w:rPr>
          <w:rFonts w:hAnsi="宋体"/>
        </w:rPr>
      </w:pPr>
      <w:r>
        <w:rPr>
          <w:rFonts w:hint="eastAsia" w:hAnsi="宋体"/>
        </w:rPr>
        <w:t>工程单价计算表。</w:t>
      </w:r>
    </w:p>
    <w:p>
      <w:pPr>
        <w:pStyle w:val="7"/>
        <w:numPr>
          <w:ilvl w:val="0"/>
          <w:numId w:val="1"/>
        </w:numPr>
        <w:tabs>
          <w:tab w:val="left" w:pos="1093"/>
        </w:tabs>
        <w:kinsoku w:val="0"/>
        <w:overflowPunct w:val="0"/>
        <w:spacing w:line="400" w:lineRule="exact"/>
        <w:ind w:left="1092" w:hanging="261"/>
        <w:rPr>
          <w:rFonts w:hAnsi="宋体"/>
        </w:rPr>
      </w:pPr>
      <w:r>
        <w:rPr>
          <w:rFonts w:hint="eastAsia" w:hAnsi="宋体"/>
        </w:rPr>
        <w:t>人工费单价汇总表。</w:t>
      </w:r>
      <w:r>
        <w:rPr>
          <w:rFonts w:hint="eastAsia" w:hAnsi="宋体"/>
          <w:lang w:val="en-US" w:eastAsia="zh-CN"/>
        </w:rPr>
        <w:t xml:space="preserve"> </w:t>
      </w:r>
      <w:bookmarkStart w:id="0" w:name="_GoBack"/>
      <w:bookmarkEnd w:id="0"/>
    </w:p>
    <w:p>
      <w:pPr>
        <w:pStyle w:val="2"/>
        <w:kinsoku w:val="0"/>
        <w:overflowPunct w:val="0"/>
        <w:spacing w:line="400" w:lineRule="exact"/>
        <w:ind w:left="778"/>
        <w:rPr>
          <w:rFonts w:hAnsi="宋体"/>
          <w:b/>
          <w:bCs/>
          <w:sz w:val="24"/>
          <w:szCs w:val="24"/>
        </w:rPr>
      </w:pPr>
      <w:r>
        <w:rPr>
          <w:rFonts w:hint="eastAsia" w:hAnsi="宋体"/>
          <w:b/>
          <w:bCs/>
          <w:sz w:val="24"/>
          <w:szCs w:val="24"/>
        </w:rPr>
        <w:t>（二）、工程量清单报价表填写规定</w:t>
      </w:r>
    </w:p>
    <w:p>
      <w:pPr>
        <w:pStyle w:val="7"/>
        <w:numPr>
          <w:ilvl w:val="0"/>
          <w:numId w:val="2"/>
        </w:numPr>
        <w:tabs>
          <w:tab w:val="left" w:pos="1148"/>
        </w:tabs>
        <w:kinsoku w:val="0"/>
        <w:overflowPunct w:val="0"/>
        <w:spacing w:line="400" w:lineRule="exact"/>
        <w:ind w:right="414" w:firstLine="473"/>
        <w:jc w:val="both"/>
        <w:rPr>
          <w:rFonts w:hAnsi="宋体"/>
        </w:rPr>
      </w:pPr>
      <w:r>
        <w:rPr>
          <w:rFonts w:hint="eastAsia" w:hAnsi="宋体"/>
        </w:rPr>
        <w:t>除招标文件另有规定外，投标人不得随意增加、删除或涂改招标文件工程量清单中的任何内容。工程量清单中所列的所有需要填写的单价和合价，投标人均应填写；未填写的单价和合计，视为已包含在工程量清单的其它单价和合价中。</w:t>
      </w:r>
    </w:p>
    <w:p>
      <w:pPr>
        <w:pStyle w:val="7"/>
        <w:numPr>
          <w:ilvl w:val="0"/>
          <w:numId w:val="2"/>
        </w:numPr>
        <w:tabs>
          <w:tab w:val="left" w:pos="1148"/>
        </w:tabs>
        <w:kinsoku w:val="0"/>
        <w:overflowPunct w:val="0"/>
        <w:spacing w:before="158" w:line="400" w:lineRule="exact"/>
        <w:ind w:right="414" w:firstLine="473"/>
        <w:jc w:val="both"/>
        <w:rPr>
          <w:rFonts w:hAnsi="宋体"/>
        </w:rPr>
      </w:pPr>
      <w:r>
        <w:rPr>
          <w:rFonts w:hint="eastAsia" w:hAnsi="宋体"/>
        </w:rPr>
        <w:t>工程量清单中的工程单价是完成工程量清单中一个质量合格的规定计量单位项目所需的直</w:t>
      </w:r>
      <w:r>
        <w:rPr>
          <w:rFonts w:hint="eastAsia" w:hAnsi="宋体"/>
          <w:spacing w:val="-8"/>
        </w:rPr>
        <w:t>接费</w:t>
      </w:r>
      <w:r>
        <w:rPr>
          <w:rFonts w:hint="eastAsia" w:hAnsi="宋体"/>
        </w:rPr>
        <w:t>（</w:t>
      </w:r>
      <w:r>
        <w:rPr>
          <w:rFonts w:hint="eastAsia" w:hAnsi="宋体"/>
          <w:spacing w:val="-7"/>
        </w:rPr>
        <w:t>包括人工费、材料费、机械使用费和季节、夜间、高原、风沙等原因增加的直接费</w:t>
      </w:r>
      <w:r>
        <w:rPr>
          <w:rFonts w:hint="eastAsia" w:hAnsi="宋体"/>
          <w:spacing w:val="-104"/>
        </w:rPr>
        <w:t>）</w:t>
      </w:r>
      <w:r>
        <w:rPr>
          <w:rFonts w:hint="eastAsia" w:hAnsi="宋体"/>
          <w:spacing w:val="-5"/>
        </w:rPr>
        <w:t>、施工管理费、企业利润和税金，并考虑到风险因素。投标人应根据规定的工程单价组成内容，按招标文件和《水利工程工程量清单计价规范</w:t>
      </w:r>
      <w:r>
        <w:rPr>
          <w:rFonts w:hint="eastAsia" w:hAnsi="宋体"/>
          <w:spacing w:val="-125"/>
        </w:rPr>
        <w:t>》</w:t>
      </w:r>
      <w:r>
        <w:rPr>
          <w:rFonts w:hint="eastAsia" w:hAnsi="宋体"/>
        </w:rPr>
        <w:t>（</w:t>
      </w:r>
      <w:r>
        <w:rPr>
          <w:rFonts w:hAnsi="宋体"/>
        </w:rPr>
        <w:t>GB50501-2007</w:t>
      </w:r>
      <w:r>
        <w:rPr>
          <w:rFonts w:hint="eastAsia" w:hAnsi="宋体"/>
        </w:rPr>
        <w:t>）</w:t>
      </w:r>
      <w:r>
        <w:rPr>
          <w:rFonts w:hint="eastAsia" w:hAnsi="宋体"/>
          <w:spacing w:val="-22"/>
        </w:rPr>
        <w:t>附录</w:t>
      </w:r>
      <w:r>
        <w:rPr>
          <w:rFonts w:hAnsi="宋体"/>
          <w:spacing w:val="-22"/>
        </w:rPr>
        <w:t xml:space="preserve"> </w:t>
      </w:r>
      <w:r>
        <w:rPr>
          <w:rFonts w:hAnsi="宋体"/>
        </w:rPr>
        <w:t>A</w:t>
      </w:r>
      <w:r>
        <w:rPr>
          <w:rFonts w:hAnsi="宋体"/>
          <w:spacing w:val="-25"/>
        </w:rPr>
        <w:t xml:space="preserve"> </w:t>
      </w:r>
      <w:r>
        <w:rPr>
          <w:rFonts w:hint="eastAsia" w:hAnsi="宋体"/>
          <w:spacing w:val="-25"/>
        </w:rPr>
        <w:t>和附录</w:t>
      </w:r>
      <w:r>
        <w:rPr>
          <w:rFonts w:hAnsi="宋体"/>
          <w:spacing w:val="-25"/>
        </w:rPr>
        <w:t xml:space="preserve"> </w:t>
      </w:r>
      <w:r>
        <w:rPr>
          <w:rFonts w:hAnsi="宋体"/>
        </w:rPr>
        <w:t>B</w:t>
      </w:r>
      <w:r>
        <w:rPr>
          <w:rFonts w:hAnsi="宋体"/>
          <w:spacing w:val="-11"/>
        </w:rPr>
        <w:t xml:space="preserve"> </w:t>
      </w:r>
      <w:r>
        <w:rPr>
          <w:rFonts w:hint="eastAsia" w:hAnsi="宋体"/>
          <w:spacing w:val="-11"/>
        </w:rPr>
        <w:t>中的“主要工作内容”确定工程单价。除另有规定外，对有效工程量以外的超挖、超填工程量，施工附加量，加工、运输损耗量</w:t>
      </w:r>
      <w:r>
        <w:rPr>
          <w:rFonts w:hint="eastAsia" w:hAnsi="宋体"/>
        </w:rPr>
        <w:t>等，所消耗的人工、材料和机械费用，均应摊入相应工程量的工程单价内。</w:t>
      </w:r>
    </w:p>
    <w:p>
      <w:pPr>
        <w:pStyle w:val="7"/>
        <w:numPr>
          <w:ilvl w:val="0"/>
          <w:numId w:val="2"/>
        </w:numPr>
        <w:tabs>
          <w:tab w:val="left" w:pos="1146"/>
        </w:tabs>
        <w:kinsoku w:val="0"/>
        <w:overflowPunct w:val="0"/>
        <w:spacing w:line="400" w:lineRule="exact"/>
        <w:ind w:left="1145" w:hanging="314"/>
        <w:rPr>
          <w:rFonts w:hAnsi="宋体"/>
        </w:rPr>
      </w:pPr>
      <w:r>
        <w:rPr>
          <w:rFonts w:hint="eastAsia" w:hAnsi="宋体"/>
        </w:rPr>
        <w:t>投标金额（价格）均应以人民币表示。</w:t>
      </w:r>
    </w:p>
    <w:p>
      <w:pPr>
        <w:pStyle w:val="7"/>
        <w:numPr>
          <w:ilvl w:val="0"/>
          <w:numId w:val="2"/>
        </w:numPr>
        <w:tabs>
          <w:tab w:val="left" w:pos="1146"/>
        </w:tabs>
        <w:kinsoku w:val="0"/>
        <w:overflowPunct w:val="0"/>
        <w:spacing w:line="400" w:lineRule="exact"/>
        <w:ind w:left="1145" w:hanging="314"/>
        <w:rPr>
          <w:rFonts w:hAnsi="宋体"/>
        </w:rPr>
      </w:pPr>
      <w:r>
        <w:rPr>
          <w:rFonts w:hint="eastAsia" w:hAnsi="宋体"/>
        </w:rPr>
        <w:t>投标总价应按工程项目总价表合计金额填写。</w:t>
      </w:r>
    </w:p>
    <w:p>
      <w:pPr>
        <w:pStyle w:val="7"/>
        <w:numPr>
          <w:ilvl w:val="0"/>
          <w:numId w:val="2"/>
        </w:numPr>
        <w:tabs>
          <w:tab w:val="left" w:pos="1148"/>
        </w:tabs>
        <w:kinsoku w:val="0"/>
        <w:overflowPunct w:val="0"/>
        <w:spacing w:line="400" w:lineRule="exact"/>
        <w:ind w:right="414" w:firstLine="473"/>
        <w:rPr>
          <w:rFonts w:hAnsi="宋体"/>
        </w:rPr>
      </w:pPr>
      <w:r>
        <w:rPr>
          <w:rFonts w:hint="eastAsia" w:hAnsi="宋体"/>
        </w:rPr>
        <w:t>工程项目总价表中一级项目名称按招标文件工程项目总价表中相应名称填写，并按分类分项工程量清单计价表中相应项目合计金额填写。</w:t>
      </w:r>
    </w:p>
    <w:p>
      <w:pPr>
        <w:pStyle w:val="7"/>
        <w:numPr>
          <w:ilvl w:val="0"/>
          <w:numId w:val="2"/>
        </w:numPr>
        <w:tabs>
          <w:tab w:val="left" w:pos="1148"/>
        </w:tabs>
        <w:kinsoku w:val="0"/>
        <w:overflowPunct w:val="0"/>
        <w:spacing w:line="400" w:lineRule="exact"/>
        <w:ind w:right="414" w:firstLine="473"/>
        <w:jc w:val="both"/>
        <w:rPr>
          <w:rFonts w:hAnsi="宋体"/>
        </w:rPr>
      </w:pPr>
      <w:r>
        <w:rPr>
          <w:rFonts w:hint="eastAsia" w:hAnsi="宋体"/>
        </w:rPr>
        <w:t>分类分项工程量清单计价表中的序号、项目编码、项目名称、计量单位、工程数量和合同技术条款章节号，按招标文件分类分项工程量清单计价表中的相应内容填写，并填写相应项目的单价和合价。</w:t>
      </w:r>
    </w:p>
    <w:p>
      <w:pPr>
        <w:pStyle w:val="7"/>
        <w:numPr>
          <w:ilvl w:val="0"/>
          <w:numId w:val="2"/>
        </w:numPr>
        <w:tabs>
          <w:tab w:val="left" w:pos="1148"/>
        </w:tabs>
        <w:kinsoku w:val="0"/>
        <w:overflowPunct w:val="0"/>
        <w:spacing w:line="400" w:lineRule="exact"/>
        <w:ind w:right="414" w:firstLine="473"/>
        <w:rPr>
          <w:rFonts w:hAnsi="宋体"/>
        </w:rPr>
      </w:pPr>
      <w:r>
        <w:rPr>
          <w:rFonts w:hint="eastAsia" w:hAnsi="宋体"/>
        </w:rPr>
        <w:t>措施项目清单计价表中的序号、项目名称按招标文件措施项目清单计价表中的相应内容填写，并填写相应措施项目的金额和合计金额。</w:t>
      </w:r>
    </w:p>
    <w:p>
      <w:pPr>
        <w:pStyle w:val="7"/>
        <w:numPr>
          <w:ilvl w:val="0"/>
          <w:numId w:val="2"/>
        </w:numPr>
        <w:tabs>
          <w:tab w:val="left" w:pos="1148"/>
        </w:tabs>
        <w:kinsoku w:val="0"/>
        <w:overflowPunct w:val="0"/>
        <w:spacing w:line="400" w:lineRule="exact"/>
        <w:ind w:right="414" w:firstLine="473"/>
        <w:rPr>
          <w:rFonts w:hAnsi="宋体"/>
        </w:rPr>
      </w:pPr>
      <w:r>
        <w:rPr>
          <w:rFonts w:hint="eastAsia" w:hAnsi="宋体"/>
        </w:rPr>
        <w:t>其它项目清单计价表中的序号、项目名称、金额，按招标文件其它项目清单中的相应内容填写。</w:t>
      </w:r>
    </w:p>
    <w:p>
      <w:pPr>
        <w:pStyle w:val="7"/>
        <w:numPr>
          <w:ilvl w:val="0"/>
          <w:numId w:val="2"/>
        </w:numPr>
        <w:tabs>
          <w:tab w:val="left" w:pos="1148"/>
        </w:tabs>
        <w:kinsoku w:val="0"/>
        <w:overflowPunct w:val="0"/>
        <w:spacing w:line="400" w:lineRule="exact"/>
        <w:ind w:right="414" w:firstLine="473"/>
        <w:rPr>
          <w:rFonts w:hAnsi="宋体"/>
        </w:rPr>
      </w:pPr>
      <w:r>
        <w:rPr>
          <w:rFonts w:hint="eastAsia" w:hAnsi="宋体"/>
        </w:rPr>
        <w:t>计日工项目计价表的序号、人工、材料、机械的名称、型号规格以及计量单位，按招标文件计日工项目计价表中相应内容填写，并填写相应项目单价。</w:t>
      </w:r>
    </w:p>
    <w:p>
      <w:pPr>
        <w:pStyle w:val="7"/>
        <w:numPr>
          <w:ilvl w:val="0"/>
          <w:numId w:val="2"/>
        </w:numPr>
        <w:tabs>
          <w:tab w:val="left" w:pos="1252"/>
        </w:tabs>
        <w:kinsoku w:val="0"/>
        <w:overflowPunct w:val="0"/>
        <w:spacing w:line="400" w:lineRule="exact"/>
        <w:ind w:left="1251" w:hanging="420"/>
        <w:rPr>
          <w:rFonts w:hAnsi="宋体"/>
        </w:rPr>
      </w:pPr>
      <w:r>
        <w:rPr>
          <w:rFonts w:hint="eastAsia" w:hAnsi="宋体"/>
        </w:rPr>
        <w:t>辅助表格填写。</w:t>
      </w:r>
    </w:p>
    <w:p>
      <w:pPr>
        <w:pStyle w:val="2"/>
        <w:kinsoku w:val="0"/>
        <w:overflowPunct w:val="0"/>
        <w:spacing w:line="400" w:lineRule="exact"/>
        <w:ind w:left="831"/>
        <w:rPr>
          <w:rFonts w:hAnsi="宋体"/>
          <w:sz w:val="24"/>
          <w:szCs w:val="24"/>
        </w:rPr>
      </w:pPr>
      <w:r>
        <w:rPr>
          <w:rFonts w:hint="eastAsia" w:hAnsi="宋体"/>
          <w:sz w:val="24"/>
          <w:szCs w:val="24"/>
        </w:rPr>
        <w:t>（</w:t>
      </w:r>
      <w:r>
        <w:rPr>
          <w:rFonts w:hAnsi="宋体"/>
          <w:sz w:val="24"/>
          <w:szCs w:val="24"/>
        </w:rPr>
        <w:t>1</w:t>
      </w:r>
      <w:r>
        <w:rPr>
          <w:rFonts w:hint="eastAsia" w:hAnsi="宋体"/>
          <w:sz w:val="24"/>
          <w:szCs w:val="24"/>
        </w:rPr>
        <w:t>）工程单价汇总表，按工程单价计算表中的相应内容、价格</w:t>
      </w:r>
      <w:r>
        <w:rPr>
          <w:rFonts w:hAnsi="宋体"/>
          <w:sz w:val="24"/>
          <w:szCs w:val="24"/>
        </w:rPr>
        <w:t>(</w:t>
      </w:r>
      <w:r>
        <w:rPr>
          <w:rFonts w:hint="eastAsia" w:hAnsi="宋体"/>
          <w:sz w:val="24"/>
          <w:szCs w:val="24"/>
        </w:rPr>
        <w:t>费率</w:t>
      </w:r>
      <w:r>
        <w:rPr>
          <w:rFonts w:hAnsi="宋体"/>
          <w:sz w:val="24"/>
          <w:szCs w:val="24"/>
        </w:rPr>
        <w:t>)</w:t>
      </w:r>
      <w:r>
        <w:rPr>
          <w:rFonts w:hint="eastAsia" w:hAnsi="宋体"/>
          <w:sz w:val="24"/>
          <w:szCs w:val="24"/>
        </w:rPr>
        <w:t>填写。</w:t>
      </w:r>
    </w:p>
    <w:p>
      <w:pPr>
        <w:pStyle w:val="2"/>
        <w:kinsoku w:val="0"/>
        <w:overflowPunct w:val="0"/>
        <w:spacing w:line="400" w:lineRule="exact"/>
        <w:ind w:left="831"/>
        <w:rPr>
          <w:rFonts w:hAnsi="宋体"/>
          <w:sz w:val="24"/>
          <w:szCs w:val="24"/>
        </w:rPr>
      </w:pPr>
      <w:r>
        <w:rPr>
          <w:rFonts w:hint="eastAsia" w:hAnsi="宋体"/>
          <w:sz w:val="24"/>
          <w:szCs w:val="24"/>
        </w:rPr>
        <w:t>（</w:t>
      </w:r>
      <w:r>
        <w:rPr>
          <w:rFonts w:hAnsi="宋体"/>
          <w:sz w:val="24"/>
          <w:szCs w:val="24"/>
        </w:rPr>
        <w:t xml:space="preserve">2) </w:t>
      </w:r>
      <w:r>
        <w:rPr>
          <w:rFonts w:hint="eastAsia" w:hAnsi="宋体"/>
          <w:sz w:val="24"/>
          <w:szCs w:val="24"/>
        </w:rPr>
        <w:t>工程单价费</w:t>
      </w:r>
      <w:r>
        <w:rPr>
          <w:rFonts w:hAnsi="宋体"/>
          <w:sz w:val="24"/>
          <w:szCs w:val="24"/>
        </w:rPr>
        <w:t>(</w:t>
      </w:r>
      <w:r>
        <w:rPr>
          <w:rFonts w:hint="eastAsia" w:hAnsi="宋体"/>
          <w:sz w:val="24"/>
          <w:szCs w:val="24"/>
        </w:rPr>
        <w:t>税</w:t>
      </w:r>
      <w:r>
        <w:rPr>
          <w:rFonts w:hAnsi="宋体"/>
          <w:sz w:val="24"/>
          <w:szCs w:val="24"/>
        </w:rPr>
        <w:t>)</w:t>
      </w:r>
      <w:r>
        <w:rPr>
          <w:rFonts w:hint="eastAsia" w:hAnsi="宋体"/>
          <w:sz w:val="24"/>
          <w:szCs w:val="24"/>
        </w:rPr>
        <w:t>率汇总表，按工程单价计算表中的相应费</w:t>
      </w:r>
      <w:r>
        <w:rPr>
          <w:rFonts w:hAnsi="宋体"/>
          <w:sz w:val="24"/>
          <w:szCs w:val="24"/>
        </w:rPr>
        <w:t>(</w:t>
      </w:r>
      <w:r>
        <w:rPr>
          <w:rFonts w:hint="eastAsia" w:hAnsi="宋体"/>
          <w:sz w:val="24"/>
          <w:szCs w:val="24"/>
        </w:rPr>
        <w:t>税</w:t>
      </w:r>
      <w:r>
        <w:rPr>
          <w:rFonts w:hAnsi="宋体"/>
          <w:sz w:val="24"/>
          <w:szCs w:val="24"/>
        </w:rPr>
        <w:t>)</w:t>
      </w:r>
      <w:r>
        <w:rPr>
          <w:rFonts w:hint="eastAsia" w:hAnsi="宋体"/>
          <w:sz w:val="24"/>
          <w:szCs w:val="24"/>
        </w:rPr>
        <w:t>率填写。</w:t>
      </w:r>
    </w:p>
    <w:p>
      <w:pPr>
        <w:pStyle w:val="2"/>
        <w:kinsoku w:val="0"/>
        <w:overflowPunct w:val="0"/>
        <w:spacing w:line="400" w:lineRule="exact"/>
        <w:ind w:left="358" w:right="419" w:firstLine="472"/>
        <w:rPr>
          <w:rFonts w:hAnsi="宋体"/>
          <w:sz w:val="24"/>
          <w:szCs w:val="24"/>
        </w:rPr>
      </w:pPr>
      <w:r>
        <w:rPr>
          <w:rFonts w:hint="eastAsia" w:hAnsi="宋体"/>
          <w:sz w:val="24"/>
          <w:szCs w:val="24"/>
        </w:rPr>
        <w:t>（</w:t>
      </w:r>
      <w:r>
        <w:rPr>
          <w:rFonts w:hAnsi="宋体"/>
          <w:sz w:val="24"/>
          <w:szCs w:val="24"/>
        </w:rPr>
        <w:t xml:space="preserve">3) </w:t>
      </w:r>
      <w:r>
        <w:rPr>
          <w:rFonts w:hint="eastAsia" w:hAnsi="宋体"/>
          <w:sz w:val="24"/>
          <w:szCs w:val="24"/>
        </w:rPr>
        <w:t>投标人生产电、风、水、砂石基础单价汇总表，按基础单价分析计算成果的相应内容、价格填写，并附相应基础单价的分析计算书。</w:t>
      </w:r>
    </w:p>
    <w:p>
      <w:pPr>
        <w:pStyle w:val="2"/>
        <w:kinsoku w:val="0"/>
        <w:overflowPunct w:val="0"/>
        <w:spacing w:line="400" w:lineRule="exact"/>
        <w:ind w:left="358" w:right="414" w:firstLine="472"/>
        <w:jc w:val="both"/>
        <w:rPr>
          <w:rFonts w:hAnsi="宋体"/>
          <w:spacing w:val="-11"/>
          <w:sz w:val="24"/>
          <w:szCs w:val="24"/>
        </w:rPr>
      </w:pPr>
      <w:r>
        <w:rPr>
          <w:rFonts w:hint="eastAsia" w:hAnsi="宋体"/>
          <w:sz w:val="24"/>
          <w:szCs w:val="24"/>
        </w:rPr>
        <w:t>（</w:t>
      </w:r>
      <w:r>
        <w:rPr>
          <w:rFonts w:hAnsi="宋体"/>
          <w:sz w:val="24"/>
          <w:szCs w:val="24"/>
        </w:rPr>
        <w:t xml:space="preserve">4) </w:t>
      </w:r>
      <w:r>
        <w:rPr>
          <w:rFonts w:hint="eastAsia" w:hAnsi="宋体"/>
          <w:sz w:val="24"/>
          <w:szCs w:val="24"/>
        </w:rPr>
        <w:t>投标人生产混凝土配合比材料费表，按表中工程部位、混凝土强度等级（附抗渗、抗冻等级</w:t>
      </w:r>
      <w:r>
        <w:rPr>
          <w:rFonts w:hint="eastAsia" w:hAnsi="宋体"/>
          <w:spacing w:val="-104"/>
          <w:sz w:val="24"/>
          <w:szCs w:val="24"/>
        </w:rPr>
        <w:t>）</w:t>
      </w:r>
      <w:r>
        <w:rPr>
          <w:rFonts w:hint="eastAsia" w:hAnsi="宋体"/>
          <w:spacing w:val="-11"/>
          <w:sz w:val="24"/>
          <w:szCs w:val="24"/>
        </w:rPr>
        <w:t>、水泥强度等级、级配、水灰比、相应材料用量和单价填写，填写的单价必须与工程单价计算表中采用的相应混凝土材料单价一致。</w:t>
      </w:r>
    </w:p>
    <w:p>
      <w:pPr>
        <w:pStyle w:val="2"/>
        <w:kinsoku w:val="0"/>
        <w:overflowPunct w:val="0"/>
        <w:spacing w:line="400" w:lineRule="exact"/>
        <w:ind w:left="358" w:right="419" w:firstLine="472"/>
        <w:rPr>
          <w:rFonts w:hAnsi="宋体"/>
          <w:sz w:val="24"/>
          <w:szCs w:val="24"/>
        </w:rPr>
      </w:pPr>
      <w:r>
        <w:rPr>
          <w:rFonts w:hint="eastAsia" w:hAnsi="宋体"/>
          <w:sz w:val="24"/>
          <w:szCs w:val="24"/>
        </w:rPr>
        <w:t>（</w:t>
      </w:r>
      <w:r>
        <w:rPr>
          <w:rFonts w:hAnsi="宋体"/>
          <w:sz w:val="24"/>
          <w:szCs w:val="24"/>
        </w:rPr>
        <w:t xml:space="preserve">5) </w:t>
      </w:r>
      <w:r>
        <w:rPr>
          <w:rFonts w:hint="eastAsia" w:hAnsi="宋体"/>
          <w:sz w:val="24"/>
          <w:szCs w:val="24"/>
        </w:rPr>
        <w:t>投标人自行采购主要材料预算价格汇总表，按表中的序号、材料名称、型号规格、计量单位和预算价填写，填写的预算价必须与工程单价计算表中采用的相应材料预算价格一致。</w:t>
      </w:r>
    </w:p>
    <w:p>
      <w:pPr>
        <w:pStyle w:val="2"/>
        <w:kinsoku w:val="0"/>
        <w:overflowPunct w:val="0"/>
        <w:spacing w:line="400" w:lineRule="exact"/>
        <w:ind w:left="358" w:right="415" w:firstLine="472"/>
        <w:jc w:val="both"/>
        <w:rPr>
          <w:rFonts w:hAnsi="宋体"/>
          <w:sz w:val="24"/>
          <w:szCs w:val="24"/>
        </w:rPr>
      </w:pPr>
      <w:r>
        <w:rPr>
          <w:rFonts w:hint="eastAsia" w:hAnsi="宋体"/>
          <w:sz w:val="24"/>
          <w:szCs w:val="24"/>
        </w:rPr>
        <w:t>（</w:t>
      </w:r>
      <w:r>
        <w:rPr>
          <w:rFonts w:hAnsi="宋体"/>
          <w:sz w:val="24"/>
          <w:szCs w:val="24"/>
        </w:rPr>
        <w:t xml:space="preserve">6) </w:t>
      </w:r>
      <w:r>
        <w:rPr>
          <w:rFonts w:hint="eastAsia" w:hAnsi="宋体"/>
          <w:sz w:val="24"/>
          <w:szCs w:val="24"/>
        </w:rPr>
        <w:t>投标人自备施工机械台时</w:t>
      </w:r>
      <w:r>
        <w:rPr>
          <w:rFonts w:hAnsi="宋体"/>
          <w:sz w:val="24"/>
          <w:szCs w:val="24"/>
        </w:rPr>
        <w:t>(</w:t>
      </w:r>
      <w:r>
        <w:rPr>
          <w:rFonts w:hint="eastAsia" w:hAnsi="宋体"/>
          <w:sz w:val="24"/>
          <w:szCs w:val="24"/>
        </w:rPr>
        <w:t>班</w:t>
      </w:r>
      <w:r>
        <w:rPr>
          <w:rFonts w:hAnsi="宋体"/>
          <w:sz w:val="24"/>
          <w:szCs w:val="24"/>
        </w:rPr>
        <w:t>)</w:t>
      </w:r>
      <w:r>
        <w:rPr>
          <w:rFonts w:hint="eastAsia" w:hAnsi="宋体"/>
          <w:sz w:val="24"/>
          <w:szCs w:val="24"/>
        </w:rPr>
        <w:t>费汇总表，按表中的序号、机械名称、型号规格、一类费用和二类费用填写，填写的台时</w:t>
      </w:r>
      <w:r>
        <w:rPr>
          <w:rFonts w:hAnsi="宋体"/>
          <w:sz w:val="24"/>
          <w:szCs w:val="24"/>
        </w:rPr>
        <w:t>(</w:t>
      </w:r>
      <w:r>
        <w:rPr>
          <w:rFonts w:hint="eastAsia" w:hAnsi="宋体"/>
          <w:sz w:val="24"/>
          <w:szCs w:val="24"/>
        </w:rPr>
        <w:t>班</w:t>
      </w:r>
      <w:r>
        <w:rPr>
          <w:rFonts w:hAnsi="宋体"/>
          <w:sz w:val="24"/>
          <w:szCs w:val="24"/>
        </w:rPr>
        <w:t>)</w:t>
      </w:r>
      <w:r>
        <w:rPr>
          <w:rFonts w:hint="eastAsia" w:hAnsi="宋体"/>
          <w:sz w:val="24"/>
          <w:szCs w:val="24"/>
        </w:rPr>
        <w:t>费合计金额必须与工程单价计算表中相应的施工机械台时</w:t>
      </w:r>
      <w:r>
        <w:rPr>
          <w:rFonts w:hAnsi="宋体"/>
          <w:sz w:val="24"/>
          <w:szCs w:val="24"/>
        </w:rPr>
        <w:t>(</w:t>
      </w:r>
      <w:r>
        <w:rPr>
          <w:rFonts w:hint="eastAsia" w:hAnsi="宋体"/>
          <w:sz w:val="24"/>
          <w:szCs w:val="24"/>
        </w:rPr>
        <w:t>班</w:t>
      </w:r>
      <w:r>
        <w:rPr>
          <w:rFonts w:hAnsi="宋体"/>
          <w:sz w:val="24"/>
          <w:szCs w:val="24"/>
        </w:rPr>
        <w:t xml:space="preserve">)   </w:t>
      </w:r>
      <w:r>
        <w:rPr>
          <w:rFonts w:hint="eastAsia" w:hAnsi="宋体"/>
          <w:sz w:val="24"/>
          <w:szCs w:val="24"/>
        </w:rPr>
        <w:t>费单价一致。</w:t>
      </w:r>
    </w:p>
    <w:p>
      <w:pPr>
        <w:pStyle w:val="2"/>
        <w:kinsoku w:val="0"/>
        <w:overflowPunct w:val="0"/>
        <w:spacing w:line="400" w:lineRule="exact"/>
        <w:ind w:left="358" w:right="419" w:firstLine="472"/>
        <w:rPr>
          <w:rFonts w:hAnsi="宋体"/>
          <w:sz w:val="24"/>
          <w:szCs w:val="24"/>
        </w:rPr>
      </w:pPr>
      <w:r>
        <w:rPr>
          <w:rFonts w:hint="eastAsia" w:hAnsi="宋体"/>
          <w:sz w:val="24"/>
          <w:szCs w:val="24"/>
        </w:rPr>
        <w:t>（</w:t>
      </w:r>
      <w:r>
        <w:rPr>
          <w:rFonts w:hAnsi="宋体"/>
          <w:sz w:val="24"/>
          <w:szCs w:val="24"/>
        </w:rPr>
        <w:t xml:space="preserve">7) </w:t>
      </w:r>
      <w:r>
        <w:rPr>
          <w:rFonts w:hint="eastAsia" w:hAnsi="宋体"/>
          <w:sz w:val="24"/>
          <w:szCs w:val="24"/>
        </w:rPr>
        <w:t>投标人应参照分类工程量清单计价表格式编制总价项目分类分项工程分解表，每个总价项目分类分项工程一份。</w:t>
      </w:r>
    </w:p>
    <w:p>
      <w:pPr>
        <w:pStyle w:val="2"/>
        <w:kinsoku w:val="0"/>
        <w:overflowPunct w:val="0"/>
        <w:spacing w:line="400" w:lineRule="exact"/>
        <w:ind w:left="831"/>
        <w:rPr>
          <w:rFonts w:hAnsi="宋体"/>
          <w:sz w:val="24"/>
          <w:szCs w:val="24"/>
        </w:rPr>
      </w:pPr>
      <w:r>
        <w:rPr>
          <w:rFonts w:hint="eastAsia" w:hAnsi="宋体"/>
          <w:sz w:val="24"/>
          <w:szCs w:val="24"/>
        </w:rPr>
        <w:t>（</w:t>
      </w:r>
      <w:r>
        <w:rPr>
          <w:rFonts w:hAnsi="宋体"/>
          <w:sz w:val="24"/>
          <w:szCs w:val="24"/>
        </w:rPr>
        <w:t>8</w:t>
      </w:r>
      <w:r>
        <w:rPr>
          <w:rFonts w:hint="eastAsia" w:hAnsi="宋体"/>
          <w:sz w:val="24"/>
          <w:szCs w:val="24"/>
        </w:rPr>
        <w:t>）投标金额大于或等于投标总标价万分之五的工程项目，必须编报工程单价计算表。工程单价计算表，按表中的施工方法、序号、名称、型号规格、计量单位、数量、单价、合价填写，填写的人工、材料和机械等基础价格，必须与人工费价汇总表、基础材料单价汇总表、主要材料预算价格的汇总表及施工机械台时</w:t>
      </w:r>
      <w:r>
        <w:rPr>
          <w:rFonts w:hAnsi="宋体"/>
          <w:sz w:val="24"/>
          <w:szCs w:val="24"/>
        </w:rPr>
        <w:t>(</w:t>
      </w:r>
      <w:r>
        <w:rPr>
          <w:rFonts w:hint="eastAsia" w:hAnsi="宋体"/>
          <w:sz w:val="24"/>
          <w:szCs w:val="24"/>
        </w:rPr>
        <w:t>班</w:t>
      </w:r>
      <w:r>
        <w:rPr>
          <w:rFonts w:hAnsi="宋体"/>
          <w:sz w:val="24"/>
          <w:szCs w:val="24"/>
        </w:rPr>
        <w:t>)</w:t>
      </w:r>
      <w:r>
        <w:rPr>
          <w:rFonts w:hint="eastAsia" w:hAnsi="宋体"/>
          <w:sz w:val="24"/>
          <w:szCs w:val="24"/>
        </w:rPr>
        <w:t>费汇总表中的单价相一致，填写的其他直接费、间接费、企业利润和税金等费</w:t>
      </w:r>
      <w:r>
        <w:rPr>
          <w:rFonts w:hAnsi="宋体"/>
          <w:sz w:val="24"/>
          <w:szCs w:val="24"/>
        </w:rPr>
        <w:t>(</w:t>
      </w:r>
      <w:r>
        <w:rPr>
          <w:rFonts w:hint="eastAsia" w:hAnsi="宋体"/>
          <w:sz w:val="24"/>
          <w:szCs w:val="24"/>
        </w:rPr>
        <w:t>税</w:t>
      </w:r>
      <w:r>
        <w:rPr>
          <w:rFonts w:hAnsi="宋体"/>
          <w:sz w:val="24"/>
          <w:szCs w:val="24"/>
        </w:rPr>
        <w:t>)</w:t>
      </w:r>
      <w:r>
        <w:rPr>
          <w:rFonts w:hint="eastAsia" w:hAnsi="宋体"/>
          <w:sz w:val="24"/>
          <w:szCs w:val="24"/>
        </w:rPr>
        <w:t>率必须与工程单价费</w:t>
      </w:r>
      <w:r>
        <w:rPr>
          <w:rFonts w:hAnsi="宋体"/>
          <w:sz w:val="24"/>
          <w:szCs w:val="24"/>
        </w:rPr>
        <w:t>(</w:t>
      </w:r>
      <w:r>
        <w:rPr>
          <w:rFonts w:hint="eastAsia" w:hAnsi="宋体"/>
          <w:sz w:val="24"/>
          <w:szCs w:val="24"/>
        </w:rPr>
        <w:t>税</w:t>
      </w:r>
      <w:r>
        <w:rPr>
          <w:rFonts w:hAnsi="宋体"/>
          <w:sz w:val="24"/>
          <w:szCs w:val="24"/>
        </w:rPr>
        <w:t>)</w:t>
      </w:r>
      <w:r>
        <w:rPr>
          <w:rFonts w:hint="eastAsia" w:hAnsi="宋体"/>
          <w:sz w:val="24"/>
          <w:szCs w:val="24"/>
        </w:rPr>
        <w:t>率汇总表中的费</w:t>
      </w:r>
      <w:r>
        <w:rPr>
          <w:rFonts w:hAnsi="宋体"/>
          <w:sz w:val="24"/>
          <w:szCs w:val="24"/>
        </w:rPr>
        <w:t>(</w:t>
      </w:r>
      <w:r>
        <w:rPr>
          <w:rFonts w:hint="eastAsia" w:hAnsi="宋体"/>
          <w:sz w:val="24"/>
          <w:szCs w:val="24"/>
        </w:rPr>
        <w:t>税</w:t>
      </w:r>
      <w:r>
        <w:rPr>
          <w:rFonts w:hAnsi="宋体"/>
          <w:sz w:val="24"/>
          <w:szCs w:val="24"/>
        </w:rPr>
        <w:t>)</w:t>
      </w:r>
      <w:r>
        <w:rPr>
          <w:rFonts w:hint="eastAsia" w:hAnsi="宋体"/>
          <w:sz w:val="24"/>
          <w:szCs w:val="24"/>
        </w:rPr>
        <w:t>率相一致。</w:t>
      </w:r>
    </w:p>
    <w:p>
      <w:pPr>
        <w:pStyle w:val="2"/>
        <w:kinsoku w:val="0"/>
        <w:overflowPunct w:val="0"/>
        <w:spacing w:line="400" w:lineRule="exact"/>
        <w:ind w:left="358" w:right="417" w:firstLine="472"/>
        <w:jc w:val="both"/>
        <w:rPr>
          <w:rFonts w:hAnsi="宋体"/>
          <w:sz w:val="24"/>
          <w:szCs w:val="24"/>
        </w:rPr>
      </w:pPr>
      <w:r>
        <w:rPr>
          <w:rFonts w:hint="eastAsia" w:hAnsi="宋体"/>
          <w:sz w:val="24"/>
          <w:szCs w:val="24"/>
        </w:rPr>
        <w:t>（</w:t>
      </w:r>
      <w:r>
        <w:rPr>
          <w:rFonts w:hAnsi="宋体"/>
          <w:sz w:val="24"/>
          <w:szCs w:val="24"/>
        </w:rPr>
        <w:t>9</w:t>
      </w:r>
      <w:r>
        <w:rPr>
          <w:rFonts w:hint="eastAsia" w:hAnsi="宋体"/>
          <w:sz w:val="24"/>
          <w:szCs w:val="24"/>
        </w:rPr>
        <w:t>）人工费单价汇总表应按人工费单价计算表的内容、价格填写，并附相应的人工费单价计算表。</w:t>
      </w:r>
    </w:p>
    <w:p>
      <w:pPr>
        <w:pStyle w:val="2"/>
        <w:kinsoku w:val="0"/>
        <w:overflowPunct w:val="0"/>
        <w:spacing w:line="400" w:lineRule="exact"/>
        <w:ind w:left="778"/>
        <w:rPr>
          <w:rFonts w:hAnsi="宋体"/>
          <w:b/>
          <w:bCs/>
          <w:sz w:val="24"/>
          <w:szCs w:val="24"/>
        </w:rPr>
      </w:pPr>
      <w:r>
        <w:rPr>
          <w:rFonts w:hint="eastAsia" w:hAnsi="宋体"/>
          <w:b/>
          <w:bCs/>
          <w:sz w:val="24"/>
          <w:szCs w:val="24"/>
        </w:rPr>
        <w:t>（三）投标报价</w:t>
      </w:r>
    </w:p>
    <w:p>
      <w:pPr>
        <w:pStyle w:val="2"/>
        <w:kinsoku w:val="0"/>
        <w:overflowPunct w:val="0"/>
        <w:spacing w:line="400" w:lineRule="exact"/>
        <w:ind w:left="358" w:right="417" w:firstLine="472"/>
        <w:rPr>
          <w:rFonts w:hAnsi="宋体"/>
          <w:sz w:val="24"/>
          <w:szCs w:val="24"/>
        </w:rPr>
      </w:pPr>
      <w:r>
        <w:rPr>
          <w:rFonts w:hint="eastAsia" w:hAnsi="宋体"/>
          <w:sz w:val="24"/>
          <w:szCs w:val="24"/>
        </w:rPr>
        <w:t>（1）工程量清单报价应与投标须知、合同条款、技术条款和图纸等招标文件一起参照阅读。</w:t>
      </w:r>
    </w:p>
    <w:p>
      <w:pPr>
        <w:pStyle w:val="2"/>
        <w:kinsoku w:val="0"/>
        <w:overflowPunct w:val="0"/>
        <w:spacing w:line="400" w:lineRule="exact"/>
        <w:ind w:left="358" w:right="417" w:firstLine="472"/>
        <w:rPr>
          <w:rFonts w:hAnsi="宋体"/>
          <w:sz w:val="24"/>
          <w:szCs w:val="24"/>
        </w:rPr>
      </w:pPr>
      <w:r>
        <w:rPr>
          <w:rFonts w:hint="eastAsia" w:hAnsi="宋体"/>
          <w:sz w:val="24"/>
          <w:szCs w:val="24"/>
        </w:rPr>
        <w:t>（</w:t>
      </w:r>
      <w:r>
        <w:rPr>
          <w:rFonts w:hAnsi="宋体"/>
          <w:sz w:val="24"/>
          <w:szCs w:val="24"/>
        </w:rPr>
        <w:t>2</w:t>
      </w:r>
      <w:r>
        <w:rPr>
          <w:rFonts w:hint="eastAsia" w:hAnsi="宋体"/>
          <w:sz w:val="24"/>
          <w:szCs w:val="24"/>
        </w:rPr>
        <w:t>）除合同另有规定外，工程量清单中的单价和合价包括由承包人承担的直接费、间接费、税金等全部费用和要求获得的利润以及应由承包人承担的义务、责任和风险所发生的一切费用。</w:t>
      </w:r>
    </w:p>
    <w:p>
      <w:pPr>
        <w:pStyle w:val="2"/>
        <w:kinsoku w:val="0"/>
        <w:overflowPunct w:val="0"/>
        <w:spacing w:line="400" w:lineRule="exact"/>
        <w:ind w:left="358" w:right="416" w:firstLine="472"/>
        <w:jc w:val="both"/>
        <w:rPr>
          <w:rFonts w:hAnsi="宋体"/>
          <w:sz w:val="24"/>
          <w:szCs w:val="24"/>
        </w:rPr>
      </w:pPr>
      <w:r>
        <w:rPr>
          <w:rFonts w:hint="eastAsia" w:hAnsi="宋体"/>
          <w:sz w:val="24"/>
          <w:szCs w:val="24"/>
        </w:rPr>
        <w:t>（</w:t>
      </w:r>
      <w:r>
        <w:rPr>
          <w:rFonts w:hAnsi="宋体"/>
          <w:sz w:val="24"/>
          <w:szCs w:val="24"/>
        </w:rPr>
        <w:t>3</w:t>
      </w:r>
      <w:r>
        <w:rPr>
          <w:rFonts w:hint="eastAsia" w:hAnsi="宋体"/>
          <w:sz w:val="24"/>
          <w:szCs w:val="24"/>
        </w:rPr>
        <w:t>）符合合同规定的全部费用和利润都应包括在工程量清单所列的各项目中，合同规定应由承包人承担而在工程量清单中未详细列出的项目，其费用和利润应认为已包括在其他有关项目的单价和合价中。投标人不应在工程量清单中自行增加新的项目或修改项目名称。</w:t>
      </w:r>
    </w:p>
    <w:p>
      <w:pPr>
        <w:pStyle w:val="2"/>
        <w:kinsoku w:val="0"/>
        <w:overflowPunct w:val="0"/>
        <w:spacing w:line="400" w:lineRule="exact"/>
        <w:ind w:left="358" w:right="414" w:firstLine="472"/>
        <w:jc w:val="both"/>
        <w:rPr>
          <w:rFonts w:hAnsi="宋体"/>
          <w:spacing w:val="-10"/>
          <w:sz w:val="24"/>
          <w:szCs w:val="24"/>
        </w:rPr>
      </w:pPr>
      <w:r>
        <w:rPr>
          <w:rFonts w:hint="eastAsia" w:hAnsi="宋体"/>
          <w:spacing w:val="-5"/>
          <w:sz w:val="24"/>
          <w:szCs w:val="24"/>
        </w:rPr>
        <w:t>（</w:t>
      </w:r>
      <w:r>
        <w:rPr>
          <w:rFonts w:hAnsi="宋体"/>
          <w:spacing w:val="-5"/>
          <w:sz w:val="24"/>
          <w:szCs w:val="24"/>
        </w:rPr>
        <w:t>4</w:t>
      </w:r>
      <w:r>
        <w:rPr>
          <w:rFonts w:hint="eastAsia" w:hAnsi="宋体"/>
          <w:spacing w:val="-5"/>
          <w:sz w:val="24"/>
          <w:szCs w:val="24"/>
        </w:rPr>
        <w:t>）</w:t>
      </w:r>
      <w:r>
        <w:rPr>
          <w:rFonts w:hint="eastAsia" w:hAnsi="宋体"/>
          <w:spacing w:val="-6"/>
          <w:sz w:val="24"/>
          <w:szCs w:val="24"/>
        </w:rPr>
        <w:t>除合同另有规定外，在投标截止日前</w:t>
      </w:r>
      <w:r>
        <w:rPr>
          <w:rFonts w:hAnsi="宋体"/>
          <w:spacing w:val="-6"/>
          <w:sz w:val="24"/>
          <w:szCs w:val="24"/>
        </w:rPr>
        <w:t xml:space="preserve"> </w:t>
      </w:r>
      <w:r>
        <w:rPr>
          <w:rFonts w:hAnsi="宋体"/>
          <w:sz w:val="24"/>
          <w:szCs w:val="24"/>
        </w:rPr>
        <w:t>28</w:t>
      </w:r>
      <w:r>
        <w:rPr>
          <w:rFonts w:hAnsi="宋体"/>
          <w:spacing w:val="-10"/>
          <w:sz w:val="24"/>
          <w:szCs w:val="24"/>
        </w:rPr>
        <w:t xml:space="preserve"> </w:t>
      </w:r>
      <w:r>
        <w:rPr>
          <w:rFonts w:hint="eastAsia" w:hAnsi="宋体"/>
          <w:spacing w:val="-10"/>
          <w:sz w:val="24"/>
          <w:szCs w:val="24"/>
        </w:rPr>
        <w:t>天当时所依据的国家法律、行政法规、国务院有关部门（包括水行政部门）的规章以及工程所在地的省、自治区、直辖市的地方法规和规章中规定应由承包人缴纳的税金和其他费用均应计入单价、合价和总报价中。</w:t>
      </w:r>
    </w:p>
    <w:p>
      <w:pPr>
        <w:pStyle w:val="2"/>
        <w:kinsoku w:val="0"/>
        <w:overflowPunct w:val="0"/>
        <w:spacing w:line="400" w:lineRule="exact"/>
        <w:ind w:left="358" w:right="312" w:firstLine="472"/>
        <w:rPr>
          <w:rFonts w:hAnsi="宋体"/>
          <w:spacing w:val="-10"/>
          <w:sz w:val="24"/>
          <w:szCs w:val="24"/>
        </w:rPr>
      </w:pPr>
      <w:r>
        <w:rPr>
          <w:rFonts w:hint="eastAsia" w:hAnsi="宋体"/>
          <w:sz w:val="24"/>
          <w:szCs w:val="24"/>
        </w:rPr>
        <w:t>（</w:t>
      </w:r>
      <w:r>
        <w:rPr>
          <w:rFonts w:hAnsi="宋体"/>
          <w:sz w:val="24"/>
          <w:szCs w:val="24"/>
        </w:rPr>
        <w:t>5</w:t>
      </w:r>
      <w:r>
        <w:rPr>
          <w:rFonts w:hint="eastAsia" w:hAnsi="宋体"/>
          <w:sz w:val="24"/>
          <w:szCs w:val="24"/>
        </w:rPr>
        <w:t>）工程量清单中的“单价”和“合价”栏均应由投标人填报，投标人还应填报投标报价汇</w:t>
      </w:r>
      <w:r>
        <w:rPr>
          <w:rFonts w:hint="eastAsia" w:hAnsi="宋体"/>
          <w:spacing w:val="-10"/>
          <w:sz w:val="24"/>
          <w:szCs w:val="24"/>
        </w:rPr>
        <w:t>总表，并在其结尾处填写投标总报价。报价货币为人民币。若投标人对某些项目未填报单价和合价，则应认为已包括在其他项目的单价和合价以及投标总报价内。</w:t>
      </w:r>
    </w:p>
    <w:p>
      <w:pPr>
        <w:pStyle w:val="2"/>
        <w:kinsoku w:val="0"/>
        <w:overflowPunct w:val="0"/>
        <w:spacing w:line="400" w:lineRule="exact"/>
        <w:ind w:left="358" w:right="417" w:firstLine="472"/>
        <w:rPr>
          <w:rFonts w:hAnsi="宋体"/>
          <w:sz w:val="24"/>
          <w:szCs w:val="24"/>
        </w:rPr>
      </w:pPr>
      <w:r>
        <w:rPr>
          <w:rFonts w:hint="eastAsia" w:hAnsi="宋体"/>
          <w:sz w:val="24"/>
          <w:szCs w:val="24"/>
        </w:rPr>
        <w:t>（</w:t>
      </w:r>
      <w:r>
        <w:rPr>
          <w:rFonts w:hAnsi="宋体"/>
          <w:sz w:val="24"/>
          <w:szCs w:val="24"/>
        </w:rPr>
        <w:t>6</w:t>
      </w:r>
      <w:r>
        <w:rPr>
          <w:rFonts w:hint="eastAsia" w:hAnsi="宋体"/>
          <w:sz w:val="24"/>
          <w:szCs w:val="24"/>
        </w:rPr>
        <w:t>）除合同另有规定外，本标投标人报价时应考虑合同实施期间人工费及自购的材料和设备物价变化风险，合同实施期间不因物价波动而调整合同价格。</w:t>
      </w:r>
    </w:p>
    <w:p>
      <w:pPr>
        <w:pStyle w:val="2"/>
        <w:kinsoku w:val="0"/>
        <w:overflowPunct w:val="0"/>
        <w:spacing w:line="400" w:lineRule="exact"/>
        <w:ind w:left="358" w:right="417" w:firstLine="472"/>
        <w:rPr>
          <w:rFonts w:hAnsi="宋体"/>
          <w:sz w:val="24"/>
          <w:szCs w:val="24"/>
        </w:rPr>
      </w:pPr>
      <w:r>
        <w:rPr>
          <w:rFonts w:hint="eastAsia" w:hAnsi="宋体"/>
          <w:sz w:val="24"/>
          <w:szCs w:val="24"/>
        </w:rPr>
        <w:t>（</w:t>
      </w:r>
      <w:r>
        <w:rPr>
          <w:rFonts w:hAnsi="宋体"/>
          <w:sz w:val="24"/>
          <w:szCs w:val="24"/>
        </w:rPr>
        <w:t>7</w:t>
      </w:r>
      <w:r>
        <w:rPr>
          <w:rFonts w:hint="eastAsia" w:hAnsi="宋体"/>
          <w:sz w:val="24"/>
          <w:szCs w:val="24"/>
        </w:rPr>
        <w:t>）工程量清单中的各项目的工作内容和要求及其计量和支付的规定详见《技术条款》有关部分及本《商务文件》有关条款。</w:t>
      </w:r>
    </w:p>
    <w:p>
      <w:pPr>
        <w:pStyle w:val="2"/>
        <w:kinsoku w:val="0"/>
        <w:overflowPunct w:val="0"/>
        <w:spacing w:line="400" w:lineRule="exact"/>
        <w:ind w:left="358" w:right="417" w:firstLine="472"/>
        <w:rPr>
          <w:rFonts w:hAnsi="宋体"/>
          <w:sz w:val="24"/>
          <w:szCs w:val="24"/>
        </w:rPr>
      </w:pPr>
      <w:r>
        <w:rPr>
          <w:rFonts w:hAnsi="宋体"/>
          <w:sz w:val="24"/>
          <w:szCs w:val="24"/>
        </w:rPr>
        <w:t xml:space="preserve"> (</w:t>
      </w:r>
      <w:r>
        <w:rPr>
          <w:rFonts w:hint="eastAsia" w:hAnsi="宋体"/>
          <w:sz w:val="24"/>
          <w:szCs w:val="24"/>
        </w:rPr>
        <w:t>8</w:t>
      </w:r>
      <w:r>
        <w:rPr>
          <w:rFonts w:hAnsi="宋体"/>
          <w:sz w:val="24"/>
          <w:szCs w:val="24"/>
        </w:rPr>
        <w:t>)</w:t>
      </w:r>
      <w:r>
        <w:rPr>
          <w:rFonts w:hint="eastAsia" w:hAnsi="宋体"/>
          <w:spacing w:val="-5"/>
          <w:sz w:val="24"/>
          <w:szCs w:val="24"/>
        </w:rPr>
        <w:t>工程单价计算，如下表主材价格限价计入工程单价计取相关费用，与投标时限价材料预算</w:t>
      </w:r>
      <w:r>
        <w:rPr>
          <w:rFonts w:hint="eastAsia" w:hAnsi="宋体"/>
          <w:spacing w:val="-13"/>
          <w:sz w:val="24"/>
          <w:szCs w:val="24"/>
        </w:rPr>
        <w:t>价格的价差只计取税金，计入工程单价，见</w:t>
      </w:r>
      <w:r>
        <w:rPr>
          <w:rFonts w:hAnsi="宋体"/>
          <w:spacing w:val="-13"/>
          <w:sz w:val="24"/>
          <w:szCs w:val="24"/>
        </w:rPr>
        <w:t xml:space="preserve"> </w:t>
      </w:r>
      <w:r>
        <w:rPr>
          <w:rFonts w:hAnsi="宋体"/>
          <w:sz w:val="24"/>
          <w:szCs w:val="24"/>
        </w:rPr>
        <w:t>1.2.14</w:t>
      </w:r>
      <w:r>
        <w:rPr>
          <w:rFonts w:hAnsi="宋体"/>
          <w:spacing w:val="-11"/>
          <w:sz w:val="24"/>
          <w:szCs w:val="24"/>
        </w:rPr>
        <w:t xml:space="preserve"> </w:t>
      </w:r>
      <w:r>
        <w:rPr>
          <w:rFonts w:hint="eastAsia" w:hAnsi="宋体"/>
          <w:spacing w:val="-11"/>
          <w:sz w:val="24"/>
          <w:szCs w:val="24"/>
        </w:rPr>
        <w:t>工程单价计算表。限价材料耗量必须填入工程单</w:t>
      </w:r>
      <w:r>
        <w:rPr>
          <w:rFonts w:hint="eastAsia" w:hAnsi="宋体"/>
          <w:sz w:val="24"/>
          <w:szCs w:val="24"/>
        </w:rPr>
        <w:t>价中。</w:t>
      </w:r>
    </w:p>
    <w:p>
      <w:pPr>
        <w:pStyle w:val="2"/>
        <w:kinsoku w:val="0"/>
        <w:overflowPunct w:val="0"/>
        <w:spacing w:before="122"/>
        <w:ind w:right="53"/>
        <w:jc w:val="center"/>
        <w:rPr>
          <w:rFonts w:hAnsi="宋体"/>
          <w:b/>
          <w:bCs/>
          <w:sz w:val="28"/>
          <w:szCs w:val="28"/>
        </w:rPr>
      </w:pPr>
      <w:r>
        <w:rPr>
          <w:rFonts w:hint="eastAsia" w:hAnsi="宋体"/>
          <w:b/>
          <w:bCs/>
          <w:sz w:val="28"/>
          <w:szCs w:val="28"/>
        </w:rPr>
        <w:t>主材价格限价计费表</w:t>
      </w:r>
    </w:p>
    <w:tbl>
      <w:tblPr>
        <w:tblStyle w:val="5"/>
        <w:tblW w:w="0" w:type="auto"/>
        <w:tblInd w:w="2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87"/>
        <w:gridCol w:w="3658"/>
        <w:gridCol w:w="1298"/>
        <w:gridCol w:w="1744"/>
        <w:gridCol w:w="1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trPr>
        <w:tc>
          <w:tcPr>
            <w:tcW w:w="987" w:type="dxa"/>
            <w:vAlign w:val="center"/>
          </w:tcPr>
          <w:p>
            <w:pPr>
              <w:pStyle w:val="8"/>
              <w:kinsoku w:val="0"/>
              <w:overflowPunct w:val="0"/>
              <w:jc w:val="center"/>
              <w:rPr>
                <w:rFonts w:hAnsi="宋体"/>
                <w:sz w:val="21"/>
                <w:szCs w:val="21"/>
              </w:rPr>
            </w:pPr>
            <w:r>
              <w:rPr>
                <w:rFonts w:hint="eastAsia" w:hAnsi="宋体"/>
                <w:sz w:val="21"/>
                <w:szCs w:val="21"/>
              </w:rPr>
              <w:t>序号</w:t>
            </w:r>
          </w:p>
        </w:tc>
        <w:tc>
          <w:tcPr>
            <w:tcW w:w="3658" w:type="dxa"/>
            <w:vAlign w:val="center"/>
          </w:tcPr>
          <w:p>
            <w:pPr>
              <w:pStyle w:val="8"/>
              <w:tabs>
                <w:tab w:val="left" w:pos="760"/>
              </w:tabs>
              <w:kinsoku w:val="0"/>
              <w:overflowPunct w:val="0"/>
              <w:spacing w:before="107"/>
              <w:ind w:left="25"/>
              <w:jc w:val="center"/>
              <w:rPr>
                <w:rFonts w:hAnsi="宋体"/>
                <w:sz w:val="21"/>
                <w:szCs w:val="21"/>
              </w:rPr>
            </w:pPr>
            <w:r>
              <w:rPr>
                <w:rFonts w:hint="eastAsia" w:hAnsi="宋体"/>
                <w:sz w:val="21"/>
                <w:szCs w:val="21"/>
              </w:rPr>
              <w:t>名</w:t>
            </w:r>
            <w:r>
              <w:rPr>
                <w:rFonts w:hAnsi="宋体"/>
                <w:sz w:val="21"/>
                <w:szCs w:val="21"/>
              </w:rPr>
              <w:tab/>
            </w:r>
            <w:r>
              <w:rPr>
                <w:rFonts w:hint="eastAsia" w:hAnsi="宋体"/>
                <w:sz w:val="21"/>
                <w:szCs w:val="21"/>
              </w:rPr>
              <w:t>称</w:t>
            </w:r>
          </w:p>
        </w:tc>
        <w:tc>
          <w:tcPr>
            <w:tcW w:w="1298" w:type="dxa"/>
            <w:vAlign w:val="center"/>
          </w:tcPr>
          <w:p>
            <w:pPr>
              <w:pStyle w:val="8"/>
              <w:kinsoku w:val="0"/>
              <w:overflowPunct w:val="0"/>
              <w:jc w:val="center"/>
              <w:rPr>
                <w:rFonts w:hAnsi="宋体"/>
                <w:sz w:val="21"/>
                <w:szCs w:val="21"/>
              </w:rPr>
            </w:pPr>
            <w:r>
              <w:rPr>
                <w:rFonts w:hint="eastAsia" w:hAnsi="宋体"/>
                <w:sz w:val="21"/>
                <w:szCs w:val="21"/>
              </w:rPr>
              <w:t>单</w:t>
            </w:r>
            <w:r>
              <w:rPr>
                <w:rFonts w:hAnsi="宋体"/>
                <w:sz w:val="21"/>
                <w:szCs w:val="21"/>
              </w:rPr>
              <w:t xml:space="preserve"> </w:t>
            </w:r>
            <w:r>
              <w:rPr>
                <w:rFonts w:hint="eastAsia" w:hAnsi="宋体"/>
                <w:sz w:val="21"/>
                <w:szCs w:val="21"/>
              </w:rPr>
              <w:t>位</w:t>
            </w:r>
          </w:p>
        </w:tc>
        <w:tc>
          <w:tcPr>
            <w:tcW w:w="1744" w:type="dxa"/>
            <w:vAlign w:val="center"/>
          </w:tcPr>
          <w:p>
            <w:pPr>
              <w:pStyle w:val="8"/>
              <w:kinsoku w:val="0"/>
              <w:overflowPunct w:val="0"/>
              <w:spacing w:before="107"/>
              <w:ind w:left="346" w:right="320"/>
              <w:jc w:val="center"/>
              <w:rPr>
                <w:rFonts w:hAnsi="宋体"/>
                <w:sz w:val="21"/>
                <w:szCs w:val="21"/>
              </w:rPr>
            </w:pPr>
            <w:r>
              <w:rPr>
                <w:rFonts w:hint="eastAsia" w:hAnsi="宋体"/>
                <w:sz w:val="21"/>
                <w:szCs w:val="21"/>
              </w:rPr>
              <w:t>限价</w:t>
            </w:r>
            <w:r>
              <w:rPr>
                <w:rFonts w:hAnsi="宋体"/>
                <w:sz w:val="21"/>
                <w:szCs w:val="21"/>
              </w:rPr>
              <w:t>(</w:t>
            </w:r>
            <w:r>
              <w:rPr>
                <w:rFonts w:hint="eastAsia" w:hAnsi="宋体"/>
                <w:sz w:val="21"/>
                <w:szCs w:val="21"/>
              </w:rPr>
              <w:t>元</w:t>
            </w:r>
            <w:r>
              <w:rPr>
                <w:rFonts w:hAnsi="宋体"/>
                <w:sz w:val="21"/>
                <w:szCs w:val="21"/>
              </w:rPr>
              <w:t>)</w:t>
            </w:r>
          </w:p>
        </w:tc>
        <w:tc>
          <w:tcPr>
            <w:tcW w:w="1599" w:type="dxa"/>
            <w:vAlign w:val="center"/>
          </w:tcPr>
          <w:p>
            <w:pPr>
              <w:pStyle w:val="8"/>
              <w:tabs>
                <w:tab w:val="left" w:pos="455"/>
              </w:tabs>
              <w:kinsoku w:val="0"/>
              <w:overflowPunct w:val="0"/>
              <w:spacing w:before="107"/>
              <w:ind w:left="35"/>
              <w:jc w:val="center"/>
              <w:rPr>
                <w:rFonts w:hAnsi="宋体"/>
                <w:sz w:val="21"/>
                <w:szCs w:val="21"/>
              </w:rPr>
            </w:pPr>
            <w:r>
              <w:rPr>
                <w:rFonts w:hint="eastAsia" w:hAnsi="宋体"/>
                <w:sz w:val="21"/>
                <w:szCs w:val="21"/>
              </w:rPr>
              <w:t>备</w:t>
            </w:r>
            <w:r>
              <w:rPr>
                <w:rFonts w:hAnsi="宋体"/>
                <w:sz w:val="21"/>
                <w:szCs w:val="21"/>
              </w:rPr>
              <w:tab/>
            </w:r>
            <w:r>
              <w:rPr>
                <w:rFonts w:hint="eastAsia" w:hAnsi="宋体"/>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trPr>
        <w:tc>
          <w:tcPr>
            <w:tcW w:w="987" w:type="dxa"/>
          </w:tcPr>
          <w:p>
            <w:pPr>
              <w:pStyle w:val="8"/>
              <w:kinsoku w:val="0"/>
              <w:overflowPunct w:val="0"/>
              <w:spacing w:before="106"/>
              <w:ind w:left="20"/>
              <w:jc w:val="center"/>
              <w:rPr>
                <w:rFonts w:hAnsi="宋体"/>
                <w:w w:val="99"/>
                <w:sz w:val="21"/>
                <w:szCs w:val="21"/>
              </w:rPr>
            </w:pPr>
            <w:r>
              <w:rPr>
                <w:rFonts w:hAnsi="宋体"/>
                <w:w w:val="99"/>
                <w:sz w:val="21"/>
                <w:szCs w:val="21"/>
              </w:rPr>
              <w:t>1</w:t>
            </w:r>
          </w:p>
        </w:tc>
        <w:tc>
          <w:tcPr>
            <w:tcW w:w="3658" w:type="dxa"/>
          </w:tcPr>
          <w:p>
            <w:pPr>
              <w:pStyle w:val="8"/>
              <w:kinsoku w:val="0"/>
              <w:overflowPunct w:val="0"/>
              <w:spacing w:before="106"/>
              <w:ind w:left="117"/>
              <w:rPr>
                <w:rFonts w:hAnsi="宋体"/>
                <w:sz w:val="21"/>
                <w:szCs w:val="21"/>
              </w:rPr>
            </w:pPr>
            <w:r>
              <w:rPr>
                <w:rFonts w:hint="eastAsia" w:hAnsi="宋体"/>
                <w:sz w:val="21"/>
                <w:szCs w:val="21"/>
              </w:rPr>
              <w:t>汽油</w:t>
            </w:r>
          </w:p>
        </w:tc>
        <w:tc>
          <w:tcPr>
            <w:tcW w:w="1298" w:type="dxa"/>
          </w:tcPr>
          <w:p>
            <w:pPr>
              <w:pStyle w:val="8"/>
              <w:kinsoku w:val="0"/>
              <w:overflowPunct w:val="0"/>
              <w:spacing w:before="106"/>
              <w:ind w:left="29"/>
              <w:jc w:val="center"/>
              <w:rPr>
                <w:rFonts w:hAnsi="宋体"/>
                <w:w w:val="99"/>
                <w:sz w:val="21"/>
                <w:szCs w:val="21"/>
              </w:rPr>
            </w:pPr>
            <w:r>
              <w:rPr>
                <w:rFonts w:hAnsi="宋体"/>
                <w:w w:val="99"/>
                <w:sz w:val="21"/>
                <w:szCs w:val="21"/>
              </w:rPr>
              <w:t>t</w:t>
            </w:r>
          </w:p>
        </w:tc>
        <w:tc>
          <w:tcPr>
            <w:tcW w:w="1744" w:type="dxa"/>
          </w:tcPr>
          <w:p>
            <w:pPr>
              <w:pStyle w:val="8"/>
              <w:kinsoku w:val="0"/>
              <w:overflowPunct w:val="0"/>
              <w:spacing w:before="106"/>
              <w:ind w:left="346" w:right="318"/>
              <w:jc w:val="center"/>
              <w:rPr>
                <w:rFonts w:hAnsi="宋体"/>
                <w:sz w:val="21"/>
                <w:szCs w:val="21"/>
              </w:rPr>
            </w:pPr>
            <w:r>
              <w:rPr>
                <w:rFonts w:hAnsi="宋体"/>
                <w:sz w:val="21"/>
                <w:szCs w:val="21"/>
              </w:rPr>
              <w:t>3075</w:t>
            </w:r>
          </w:p>
        </w:tc>
        <w:tc>
          <w:tcPr>
            <w:tcW w:w="1599" w:type="dxa"/>
          </w:tcPr>
          <w:p>
            <w:pPr>
              <w:pStyle w:val="8"/>
              <w:kinsoku w:val="0"/>
              <w:overflowPunct w:val="0"/>
              <w:spacing w:before="106"/>
              <w:ind w:left="35" w:right="98"/>
              <w:jc w:val="center"/>
              <w:rPr>
                <w:rFonts w:hAnsi="宋体"/>
                <w:sz w:val="21"/>
                <w:szCs w:val="21"/>
              </w:rPr>
            </w:pPr>
            <w:r>
              <w:rPr>
                <w:rFonts w:hint="eastAsia" w:hAnsi="宋体"/>
                <w:sz w:val="21"/>
                <w:szCs w:val="21"/>
              </w:rPr>
              <w:t>税前价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trPr>
        <w:tc>
          <w:tcPr>
            <w:tcW w:w="987" w:type="dxa"/>
          </w:tcPr>
          <w:p>
            <w:pPr>
              <w:pStyle w:val="8"/>
              <w:kinsoku w:val="0"/>
              <w:overflowPunct w:val="0"/>
              <w:spacing w:before="106"/>
              <w:ind w:left="20"/>
              <w:jc w:val="center"/>
              <w:rPr>
                <w:rFonts w:hAnsi="宋体"/>
                <w:w w:val="99"/>
                <w:sz w:val="21"/>
                <w:szCs w:val="21"/>
              </w:rPr>
            </w:pPr>
            <w:r>
              <w:rPr>
                <w:rFonts w:hAnsi="宋体"/>
                <w:w w:val="99"/>
                <w:sz w:val="21"/>
                <w:szCs w:val="21"/>
              </w:rPr>
              <w:t>2</w:t>
            </w:r>
          </w:p>
        </w:tc>
        <w:tc>
          <w:tcPr>
            <w:tcW w:w="3658" w:type="dxa"/>
          </w:tcPr>
          <w:p>
            <w:pPr>
              <w:pStyle w:val="8"/>
              <w:kinsoku w:val="0"/>
              <w:overflowPunct w:val="0"/>
              <w:spacing w:before="106"/>
              <w:ind w:left="117"/>
              <w:rPr>
                <w:rFonts w:hAnsi="宋体"/>
                <w:sz w:val="21"/>
                <w:szCs w:val="21"/>
              </w:rPr>
            </w:pPr>
            <w:r>
              <w:rPr>
                <w:rFonts w:hint="eastAsia" w:hAnsi="宋体"/>
                <w:sz w:val="21"/>
                <w:szCs w:val="21"/>
              </w:rPr>
              <w:t>柴油</w:t>
            </w:r>
          </w:p>
        </w:tc>
        <w:tc>
          <w:tcPr>
            <w:tcW w:w="1298" w:type="dxa"/>
          </w:tcPr>
          <w:p>
            <w:pPr>
              <w:pStyle w:val="8"/>
              <w:kinsoku w:val="0"/>
              <w:overflowPunct w:val="0"/>
              <w:spacing w:before="106"/>
              <w:ind w:left="29"/>
              <w:jc w:val="center"/>
              <w:rPr>
                <w:rFonts w:hAnsi="宋体"/>
                <w:w w:val="99"/>
                <w:sz w:val="21"/>
                <w:szCs w:val="21"/>
              </w:rPr>
            </w:pPr>
            <w:r>
              <w:rPr>
                <w:rFonts w:hAnsi="宋体"/>
                <w:w w:val="99"/>
                <w:sz w:val="21"/>
                <w:szCs w:val="21"/>
              </w:rPr>
              <w:t>t</w:t>
            </w:r>
          </w:p>
        </w:tc>
        <w:tc>
          <w:tcPr>
            <w:tcW w:w="1744" w:type="dxa"/>
          </w:tcPr>
          <w:p>
            <w:pPr>
              <w:pStyle w:val="8"/>
              <w:kinsoku w:val="0"/>
              <w:overflowPunct w:val="0"/>
              <w:spacing w:before="106"/>
              <w:ind w:left="346" w:right="318"/>
              <w:jc w:val="center"/>
              <w:rPr>
                <w:rFonts w:hAnsi="宋体"/>
                <w:sz w:val="21"/>
                <w:szCs w:val="21"/>
              </w:rPr>
            </w:pPr>
            <w:r>
              <w:rPr>
                <w:rFonts w:hAnsi="宋体"/>
                <w:sz w:val="21"/>
                <w:szCs w:val="21"/>
              </w:rPr>
              <w:t>2990</w:t>
            </w:r>
          </w:p>
        </w:tc>
        <w:tc>
          <w:tcPr>
            <w:tcW w:w="1599" w:type="dxa"/>
          </w:tcPr>
          <w:p>
            <w:pPr>
              <w:pStyle w:val="8"/>
              <w:kinsoku w:val="0"/>
              <w:overflowPunct w:val="0"/>
              <w:spacing w:before="106"/>
              <w:ind w:left="35" w:right="98"/>
              <w:jc w:val="center"/>
              <w:rPr>
                <w:rFonts w:hAnsi="宋体"/>
                <w:sz w:val="21"/>
                <w:szCs w:val="21"/>
              </w:rPr>
            </w:pPr>
            <w:r>
              <w:rPr>
                <w:rFonts w:hint="eastAsia" w:hAnsi="宋体"/>
                <w:sz w:val="21"/>
                <w:szCs w:val="21"/>
              </w:rPr>
              <w:t>税前价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trPr>
        <w:tc>
          <w:tcPr>
            <w:tcW w:w="987" w:type="dxa"/>
          </w:tcPr>
          <w:p>
            <w:pPr>
              <w:pStyle w:val="8"/>
              <w:kinsoku w:val="0"/>
              <w:overflowPunct w:val="0"/>
              <w:spacing w:before="108"/>
              <w:ind w:left="20"/>
              <w:jc w:val="center"/>
              <w:rPr>
                <w:rFonts w:hAnsi="宋体"/>
                <w:w w:val="99"/>
                <w:sz w:val="21"/>
                <w:szCs w:val="21"/>
              </w:rPr>
            </w:pPr>
            <w:r>
              <w:rPr>
                <w:rFonts w:hAnsi="宋体"/>
                <w:w w:val="99"/>
                <w:sz w:val="21"/>
                <w:szCs w:val="21"/>
              </w:rPr>
              <w:t>3</w:t>
            </w:r>
          </w:p>
        </w:tc>
        <w:tc>
          <w:tcPr>
            <w:tcW w:w="3658" w:type="dxa"/>
          </w:tcPr>
          <w:p>
            <w:pPr>
              <w:pStyle w:val="8"/>
              <w:kinsoku w:val="0"/>
              <w:overflowPunct w:val="0"/>
              <w:spacing w:before="108"/>
              <w:ind w:left="117"/>
              <w:rPr>
                <w:rFonts w:hAnsi="宋体"/>
                <w:sz w:val="21"/>
                <w:szCs w:val="21"/>
              </w:rPr>
            </w:pPr>
            <w:r>
              <w:rPr>
                <w:rFonts w:hint="eastAsia" w:hAnsi="宋体"/>
                <w:sz w:val="21"/>
                <w:szCs w:val="21"/>
              </w:rPr>
              <w:t>水泥</w:t>
            </w:r>
          </w:p>
        </w:tc>
        <w:tc>
          <w:tcPr>
            <w:tcW w:w="1298" w:type="dxa"/>
          </w:tcPr>
          <w:p>
            <w:pPr>
              <w:pStyle w:val="8"/>
              <w:kinsoku w:val="0"/>
              <w:overflowPunct w:val="0"/>
              <w:spacing w:before="108"/>
              <w:ind w:left="29"/>
              <w:jc w:val="center"/>
              <w:rPr>
                <w:rFonts w:hAnsi="宋体"/>
                <w:w w:val="99"/>
                <w:sz w:val="21"/>
                <w:szCs w:val="21"/>
              </w:rPr>
            </w:pPr>
            <w:r>
              <w:rPr>
                <w:rFonts w:hAnsi="宋体"/>
                <w:w w:val="99"/>
                <w:sz w:val="21"/>
                <w:szCs w:val="21"/>
              </w:rPr>
              <w:t>t</w:t>
            </w:r>
          </w:p>
        </w:tc>
        <w:tc>
          <w:tcPr>
            <w:tcW w:w="1744" w:type="dxa"/>
          </w:tcPr>
          <w:p>
            <w:pPr>
              <w:pStyle w:val="8"/>
              <w:kinsoku w:val="0"/>
              <w:overflowPunct w:val="0"/>
              <w:spacing w:before="108"/>
              <w:ind w:left="346" w:right="320"/>
              <w:jc w:val="center"/>
              <w:rPr>
                <w:rFonts w:hAnsi="宋体"/>
                <w:sz w:val="21"/>
                <w:szCs w:val="21"/>
              </w:rPr>
            </w:pPr>
            <w:r>
              <w:rPr>
                <w:rFonts w:hAnsi="宋体"/>
                <w:sz w:val="21"/>
                <w:szCs w:val="21"/>
              </w:rPr>
              <w:t>255</w:t>
            </w:r>
          </w:p>
        </w:tc>
        <w:tc>
          <w:tcPr>
            <w:tcW w:w="1599" w:type="dxa"/>
          </w:tcPr>
          <w:p>
            <w:pPr>
              <w:pStyle w:val="8"/>
              <w:kinsoku w:val="0"/>
              <w:overflowPunct w:val="0"/>
              <w:spacing w:before="108"/>
              <w:ind w:left="35" w:right="98"/>
              <w:jc w:val="center"/>
              <w:rPr>
                <w:rFonts w:hAnsi="宋体"/>
                <w:sz w:val="21"/>
                <w:szCs w:val="21"/>
              </w:rPr>
            </w:pPr>
            <w:r>
              <w:rPr>
                <w:rFonts w:hint="eastAsia" w:hAnsi="宋体"/>
                <w:sz w:val="21"/>
                <w:szCs w:val="21"/>
              </w:rPr>
              <w:t>税前价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trPr>
        <w:tc>
          <w:tcPr>
            <w:tcW w:w="987" w:type="dxa"/>
          </w:tcPr>
          <w:p>
            <w:pPr>
              <w:pStyle w:val="8"/>
              <w:kinsoku w:val="0"/>
              <w:overflowPunct w:val="0"/>
              <w:spacing w:before="100"/>
              <w:ind w:left="20"/>
              <w:jc w:val="center"/>
              <w:rPr>
                <w:rFonts w:hAnsi="宋体"/>
                <w:w w:val="99"/>
                <w:sz w:val="21"/>
                <w:szCs w:val="21"/>
              </w:rPr>
            </w:pPr>
            <w:r>
              <w:rPr>
                <w:rFonts w:hAnsi="宋体"/>
                <w:w w:val="99"/>
                <w:sz w:val="21"/>
                <w:szCs w:val="21"/>
              </w:rPr>
              <w:t>4</w:t>
            </w:r>
          </w:p>
        </w:tc>
        <w:tc>
          <w:tcPr>
            <w:tcW w:w="3658" w:type="dxa"/>
          </w:tcPr>
          <w:p>
            <w:pPr>
              <w:pStyle w:val="8"/>
              <w:kinsoku w:val="0"/>
              <w:overflowPunct w:val="0"/>
              <w:spacing w:before="100"/>
              <w:ind w:left="117"/>
              <w:rPr>
                <w:rFonts w:hAnsi="宋体"/>
                <w:sz w:val="21"/>
                <w:szCs w:val="21"/>
              </w:rPr>
            </w:pPr>
            <w:r>
              <w:rPr>
                <w:rFonts w:hint="eastAsia" w:hAnsi="宋体"/>
                <w:sz w:val="21"/>
                <w:szCs w:val="21"/>
              </w:rPr>
              <w:t>钢筋</w:t>
            </w:r>
          </w:p>
        </w:tc>
        <w:tc>
          <w:tcPr>
            <w:tcW w:w="1298" w:type="dxa"/>
          </w:tcPr>
          <w:p>
            <w:pPr>
              <w:pStyle w:val="8"/>
              <w:kinsoku w:val="0"/>
              <w:overflowPunct w:val="0"/>
              <w:spacing w:before="100"/>
              <w:ind w:left="29"/>
              <w:jc w:val="center"/>
              <w:rPr>
                <w:rFonts w:hAnsi="宋体"/>
                <w:w w:val="99"/>
                <w:sz w:val="21"/>
                <w:szCs w:val="21"/>
              </w:rPr>
            </w:pPr>
            <w:r>
              <w:rPr>
                <w:rFonts w:hAnsi="宋体"/>
                <w:w w:val="99"/>
                <w:sz w:val="21"/>
                <w:szCs w:val="21"/>
              </w:rPr>
              <w:t>t</w:t>
            </w:r>
          </w:p>
        </w:tc>
        <w:tc>
          <w:tcPr>
            <w:tcW w:w="1744" w:type="dxa"/>
          </w:tcPr>
          <w:p>
            <w:pPr>
              <w:pStyle w:val="8"/>
              <w:kinsoku w:val="0"/>
              <w:overflowPunct w:val="0"/>
              <w:spacing w:before="100"/>
              <w:ind w:left="346" w:right="318"/>
              <w:jc w:val="center"/>
              <w:rPr>
                <w:rFonts w:hAnsi="宋体"/>
                <w:sz w:val="21"/>
                <w:szCs w:val="21"/>
              </w:rPr>
            </w:pPr>
            <w:r>
              <w:rPr>
                <w:rFonts w:hAnsi="宋体"/>
                <w:sz w:val="21"/>
                <w:szCs w:val="21"/>
              </w:rPr>
              <w:t>2560</w:t>
            </w:r>
          </w:p>
        </w:tc>
        <w:tc>
          <w:tcPr>
            <w:tcW w:w="1599" w:type="dxa"/>
          </w:tcPr>
          <w:p>
            <w:pPr>
              <w:pStyle w:val="8"/>
              <w:kinsoku w:val="0"/>
              <w:overflowPunct w:val="0"/>
              <w:spacing w:before="100"/>
              <w:ind w:left="35" w:right="98"/>
              <w:jc w:val="center"/>
              <w:rPr>
                <w:rFonts w:hAnsi="宋体"/>
                <w:sz w:val="21"/>
                <w:szCs w:val="21"/>
              </w:rPr>
            </w:pPr>
            <w:r>
              <w:rPr>
                <w:rFonts w:hint="eastAsia" w:hAnsi="宋体"/>
                <w:sz w:val="21"/>
                <w:szCs w:val="21"/>
              </w:rPr>
              <w:t>税前价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8" w:hRule="atLeast"/>
        </w:trPr>
        <w:tc>
          <w:tcPr>
            <w:tcW w:w="987" w:type="dxa"/>
          </w:tcPr>
          <w:p>
            <w:pPr>
              <w:pStyle w:val="8"/>
              <w:kinsoku w:val="0"/>
              <w:overflowPunct w:val="0"/>
              <w:spacing w:before="98"/>
              <w:ind w:left="20"/>
              <w:jc w:val="center"/>
              <w:rPr>
                <w:rFonts w:hAnsi="宋体"/>
                <w:w w:val="99"/>
                <w:sz w:val="21"/>
                <w:szCs w:val="21"/>
              </w:rPr>
            </w:pPr>
            <w:r>
              <w:rPr>
                <w:rFonts w:hAnsi="宋体"/>
                <w:w w:val="99"/>
                <w:sz w:val="21"/>
                <w:szCs w:val="21"/>
              </w:rPr>
              <w:t>5</w:t>
            </w:r>
          </w:p>
        </w:tc>
        <w:tc>
          <w:tcPr>
            <w:tcW w:w="3658" w:type="dxa"/>
          </w:tcPr>
          <w:p>
            <w:pPr>
              <w:pStyle w:val="8"/>
              <w:kinsoku w:val="0"/>
              <w:overflowPunct w:val="0"/>
              <w:spacing w:before="98"/>
              <w:ind w:left="117"/>
              <w:rPr>
                <w:rFonts w:hAnsi="宋体"/>
                <w:sz w:val="21"/>
                <w:szCs w:val="21"/>
              </w:rPr>
            </w:pPr>
            <w:r>
              <w:rPr>
                <w:rFonts w:hint="eastAsia" w:hAnsi="宋体"/>
                <w:sz w:val="21"/>
                <w:szCs w:val="21"/>
              </w:rPr>
              <w:t>砂石料</w:t>
            </w:r>
          </w:p>
        </w:tc>
        <w:tc>
          <w:tcPr>
            <w:tcW w:w="1298" w:type="dxa"/>
          </w:tcPr>
          <w:p>
            <w:pPr>
              <w:pStyle w:val="8"/>
              <w:kinsoku w:val="0"/>
              <w:overflowPunct w:val="0"/>
              <w:spacing w:before="103"/>
              <w:ind w:left="374" w:right="346"/>
              <w:jc w:val="center"/>
              <w:rPr>
                <w:rFonts w:hAnsi="宋体"/>
                <w:w w:val="106"/>
                <w:sz w:val="21"/>
                <w:szCs w:val="21"/>
              </w:rPr>
            </w:pPr>
            <w:r>
              <w:rPr>
                <w:rFonts w:hAnsi="宋体"/>
                <w:spacing w:val="-2"/>
                <w:w w:val="99"/>
                <w:position w:val="-11"/>
                <w:sz w:val="21"/>
                <w:szCs w:val="21"/>
              </w:rPr>
              <w:t>m</w:t>
            </w:r>
            <w:r>
              <w:rPr>
                <w:rFonts w:hAnsi="宋体"/>
                <w:w w:val="106"/>
                <w:sz w:val="21"/>
                <w:szCs w:val="21"/>
              </w:rPr>
              <w:t>3</w:t>
            </w:r>
          </w:p>
        </w:tc>
        <w:tc>
          <w:tcPr>
            <w:tcW w:w="1744" w:type="dxa"/>
          </w:tcPr>
          <w:p>
            <w:pPr>
              <w:pStyle w:val="8"/>
              <w:kinsoku w:val="0"/>
              <w:overflowPunct w:val="0"/>
              <w:spacing w:before="98"/>
              <w:ind w:left="346" w:right="320"/>
              <w:jc w:val="center"/>
              <w:rPr>
                <w:rFonts w:hAnsi="宋体"/>
                <w:sz w:val="21"/>
                <w:szCs w:val="21"/>
              </w:rPr>
            </w:pPr>
            <w:r>
              <w:rPr>
                <w:rFonts w:hAnsi="宋体"/>
                <w:sz w:val="21"/>
                <w:szCs w:val="21"/>
              </w:rPr>
              <w:t>70</w:t>
            </w:r>
          </w:p>
        </w:tc>
        <w:tc>
          <w:tcPr>
            <w:tcW w:w="1599" w:type="dxa"/>
          </w:tcPr>
          <w:p>
            <w:pPr>
              <w:pStyle w:val="8"/>
              <w:kinsoku w:val="0"/>
              <w:overflowPunct w:val="0"/>
              <w:spacing w:before="98"/>
              <w:ind w:left="35" w:right="98"/>
              <w:jc w:val="center"/>
              <w:rPr>
                <w:rFonts w:hAnsi="宋体"/>
                <w:sz w:val="21"/>
                <w:szCs w:val="21"/>
              </w:rPr>
            </w:pPr>
            <w:r>
              <w:rPr>
                <w:rFonts w:hint="eastAsia" w:hAnsi="宋体"/>
                <w:sz w:val="21"/>
                <w:szCs w:val="21"/>
              </w:rPr>
              <w:t>税前价</w:t>
            </w:r>
          </w:p>
        </w:tc>
      </w:tr>
    </w:tbl>
    <w:p>
      <w:pPr>
        <w:pStyle w:val="2"/>
        <w:kinsoku w:val="0"/>
        <w:overflowPunct w:val="0"/>
        <w:spacing w:before="122"/>
        <w:ind w:right="53"/>
        <w:rPr>
          <w:rFonts w:hAnsi="宋体"/>
          <w:b/>
          <w:bCs/>
        </w:rPr>
        <w:sectPr>
          <w:pgSz w:w="11910" w:h="16840"/>
          <w:pgMar w:top="1418" w:right="1134" w:bottom="1134" w:left="1134" w:header="882" w:footer="929" w:gutter="0"/>
          <w:cols w:space="720" w:num="1"/>
        </w:sectPr>
      </w:pPr>
    </w:p>
    <w:p>
      <w:pPr>
        <w:rPr>
          <w:b/>
          <w:bC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404"/>
    <w:multiLevelType w:val="multilevel"/>
    <w:tmpl w:val="00000404"/>
    <w:lvl w:ilvl="0" w:tentative="0">
      <w:start w:val="1"/>
      <w:numFmt w:val="decimal"/>
      <w:lvlText w:val="%1"/>
      <w:lvlJc w:val="left"/>
      <w:pPr>
        <w:ind w:left="1145" w:hanging="315"/>
      </w:pPr>
      <w:rPr>
        <w:rFonts w:ascii="宋体" w:hAnsi="Times New Roman" w:cs="宋体"/>
        <w:b w:val="0"/>
        <w:bCs w:val="0"/>
        <w:w w:val="99"/>
        <w:sz w:val="24"/>
        <w:szCs w:val="24"/>
      </w:rPr>
    </w:lvl>
    <w:lvl w:ilvl="1" w:tentative="0">
      <w:start w:val="0"/>
      <w:numFmt w:val="bullet"/>
      <w:lvlText w:val="•"/>
      <w:lvlJc w:val="left"/>
      <w:pPr>
        <w:ind w:left="2006" w:hanging="315"/>
      </w:pPr>
    </w:lvl>
    <w:lvl w:ilvl="2" w:tentative="0">
      <w:start w:val="0"/>
      <w:numFmt w:val="bullet"/>
      <w:lvlText w:val="•"/>
      <w:lvlJc w:val="left"/>
      <w:pPr>
        <w:ind w:left="2873" w:hanging="315"/>
      </w:pPr>
    </w:lvl>
    <w:lvl w:ilvl="3" w:tentative="0">
      <w:start w:val="0"/>
      <w:numFmt w:val="bullet"/>
      <w:lvlText w:val="•"/>
      <w:lvlJc w:val="left"/>
      <w:pPr>
        <w:ind w:left="3739" w:hanging="315"/>
      </w:pPr>
    </w:lvl>
    <w:lvl w:ilvl="4" w:tentative="0">
      <w:start w:val="0"/>
      <w:numFmt w:val="bullet"/>
      <w:lvlText w:val="•"/>
      <w:lvlJc w:val="left"/>
      <w:pPr>
        <w:ind w:left="4606" w:hanging="315"/>
      </w:pPr>
    </w:lvl>
    <w:lvl w:ilvl="5" w:tentative="0">
      <w:start w:val="0"/>
      <w:numFmt w:val="bullet"/>
      <w:lvlText w:val="•"/>
      <w:lvlJc w:val="left"/>
      <w:pPr>
        <w:ind w:left="5473" w:hanging="315"/>
      </w:pPr>
    </w:lvl>
    <w:lvl w:ilvl="6" w:tentative="0">
      <w:start w:val="0"/>
      <w:numFmt w:val="bullet"/>
      <w:lvlText w:val="•"/>
      <w:lvlJc w:val="left"/>
      <w:pPr>
        <w:ind w:left="6339" w:hanging="315"/>
      </w:pPr>
    </w:lvl>
    <w:lvl w:ilvl="7" w:tentative="0">
      <w:start w:val="0"/>
      <w:numFmt w:val="bullet"/>
      <w:lvlText w:val="•"/>
      <w:lvlJc w:val="left"/>
      <w:pPr>
        <w:ind w:left="7206" w:hanging="315"/>
      </w:pPr>
    </w:lvl>
    <w:lvl w:ilvl="8" w:tentative="0">
      <w:start w:val="0"/>
      <w:numFmt w:val="bullet"/>
      <w:lvlText w:val="•"/>
      <w:lvlJc w:val="left"/>
      <w:pPr>
        <w:ind w:left="8072" w:hanging="315"/>
      </w:pPr>
    </w:lvl>
  </w:abstractNum>
  <w:abstractNum w:abstractNumId="1">
    <w:nsid w:val="00000405"/>
    <w:multiLevelType w:val="multilevel"/>
    <w:tmpl w:val="00000405"/>
    <w:lvl w:ilvl="0" w:tentative="0">
      <w:start w:val="1"/>
      <w:numFmt w:val="decimal"/>
      <w:lvlText w:val="%1."/>
      <w:lvlJc w:val="left"/>
      <w:pPr>
        <w:ind w:left="358" w:hanging="317"/>
      </w:pPr>
      <w:rPr>
        <w:rFonts w:ascii="宋体" w:hAnsi="宋体" w:eastAsia="宋体" w:cs="宋体"/>
        <w:b w:val="0"/>
        <w:bCs w:val="0"/>
        <w:spacing w:val="0"/>
        <w:w w:val="99"/>
        <w:sz w:val="24"/>
        <w:szCs w:val="24"/>
      </w:rPr>
    </w:lvl>
    <w:lvl w:ilvl="1" w:tentative="0">
      <w:start w:val="0"/>
      <w:numFmt w:val="bullet"/>
      <w:lvlText w:val="•"/>
      <w:lvlJc w:val="left"/>
      <w:pPr>
        <w:ind w:left="1460" w:hanging="317"/>
      </w:pPr>
    </w:lvl>
    <w:lvl w:ilvl="2" w:tentative="0">
      <w:start w:val="0"/>
      <w:numFmt w:val="bullet"/>
      <w:lvlText w:val="•"/>
      <w:lvlJc w:val="left"/>
      <w:pPr>
        <w:ind w:left="2387" w:hanging="317"/>
      </w:pPr>
    </w:lvl>
    <w:lvl w:ilvl="3" w:tentative="0">
      <w:start w:val="0"/>
      <w:numFmt w:val="bullet"/>
      <w:lvlText w:val="•"/>
      <w:lvlJc w:val="left"/>
      <w:pPr>
        <w:ind w:left="3314" w:hanging="317"/>
      </w:pPr>
    </w:lvl>
    <w:lvl w:ilvl="4" w:tentative="0">
      <w:start w:val="0"/>
      <w:numFmt w:val="bullet"/>
      <w:lvlText w:val="•"/>
      <w:lvlJc w:val="left"/>
      <w:pPr>
        <w:ind w:left="4242" w:hanging="317"/>
      </w:pPr>
    </w:lvl>
    <w:lvl w:ilvl="5" w:tentative="0">
      <w:start w:val="0"/>
      <w:numFmt w:val="bullet"/>
      <w:lvlText w:val="•"/>
      <w:lvlJc w:val="left"/>
      <w:pPr>
        <w:ind w:left="5169" w:hanging="317"/>
      </w:pPr>
    </w:lvl>
    <w:lvl w:ilvl="6" w:tentative="0">
      <w:start w:val="0"/>
      <w:numFmt w:val="bullet"/>
      <w:lvlText w:val="•"/>
      <w:lvlJc w:val="left"/>
      <w:pPr>
        <w:ind w:left="6096" w:hanging="317"/>
      </w:pPr>
    </w:lvl>
    <w:lvl w:ilvl="7" w:tentative="0">
      <w:start w:val="0"/>
      <w:numFmt w:val="bullet"/>
      <w:lvlText w:val="•"/>
      <w:lvlJc w:val="left"/>
      <w:pPr>
        <w:ind w:left="7024" w:hanging="317"/>
      </w:pPr>
    </w:lvl>
    <w:lvl w:ilvl="8" w:tentative="0">
      <w:start w:val="0"/>
      <w:numFmt w:val="bullet"/>
      <w:lvlText w:val="•"/>
      <w:lvlJc w:val="left"/>
      <w:pPr>
        <w:ind w:left="7951" w:hanging="317"/>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NjZTdjNDBmODkyZjhhZjMwNjE3ZGY0MWNmOGEwOWEifQ=="/>
  </w:docVars>
  <w:rsids>
    <w:rsidRoot w:val="3AE07A52"/>
    <w:rsid w:val="00105F48"/>
    <w:rsid w:val="00383E2A"/>
    <w:rsid w:val="00755AA7"/>
    <w:rsid w:val="008E6A45"/>
    <w:rsid w:val="00975167"/>
    <w:rsid w:val="00BD6DAA"/>
    <w:rsid w:val="00C3469B"/>
    <w:rsid w:val="00E574F1"/>
    <w:rsid w:val="00FB18B5"/>
    <w:rsid w:val="1E93189F"/>
    <w:rsid w:val="3AE07A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adjustRightInd w:val="0"/>
    </w:pPr>
    <w:rPr>
      <w:rFonts w:ascii="宋体" w:hAnsi="Times New Roman" w:eastAsia="宋体" w:cs="宋体"/>
      <w:sz w:val="2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rPr>
      <w:sz w:val="21"/>
      <w:szCs w:val="21"/>
    </w:rPr>
  </w:style>
  <w:style w:type="paragraph" w:styleId="3">
    <w:name w:val="footer"/>
    <w:basedOn w:val="1"/>
    <w:unhideWhenUsed/>
    <w:qFormat/>
    <w:uiPriority w:val="99"/>
    <w:pPr>
      <w:tabs>
        <w:tab w:val="center" w:pos="4153"/>
        <w:tab w:val="right" w:pos="8306"/>
      </w:tabs>
      <w:snapToGrid w:val="0"/>
    </w:pPr>
    <w:rPr>
      <w:sz w:val="18"/>
      <w:szCs w:val="18"/>
    </w:rPr>
  </w:style>
  <w:style w:type="paragraph" w:styleId="4">
    <w:name w:val="header"/>
    <w:basedOn w:val="1"/>
    <w:link w:val="9"/>
    <w:uiPriority w:val="0"/>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1"/>
    <w:pPr>
      <w:ind w:left="1145" w:hanging="314"/>
    </w:pPr>
    <w:rPr>
      <w:sz w:val="24"/>
      <w:szCs w:val="24"/>
    </w:rPr>
  </w:style>
  <w:style w:type="paragraph" w:customStyle="1" w:styleId="8">
    <w:name w:val="Table Paragraph"/>
    <w:basedOn w:val="1"/>
    <w:qFormat/>
    <w:uiPriority w:val="1"/>
    <w:rPr>
      <w:sz w:val="24"/>
      <w:szCs w:val="24"/>
    </w:rPr>
  </w:style>
  <w:style w:type="character" w:customStyle="1" w:styleId="9">
    <w:name w:val="页眉 字符"/>
    <w:basedOn w:val="6"/>
    <w:link w:val="4"/>
    <w:uiPriority w:val="0"/>
    <w:rPr>
      <w:rFonts w:ascii="宋体" w:hAnsi="Times New Roman" w:cs="宋体"/>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384</Words>
  <Characters>2189</Characters>
  <Lines>18</Lines>
  <Paragraphs>5</Paragraphs>
  <TotalTime>4</TotalTime>
  <ScaleCrop>false</ScaleCrop>
  <LinksUpToDate>false</LinksUpToDate>
  <CharactersWithSpaces>2568</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2022-03-05T02:36:00Z</dcterms:created>
  <dc:creator>Administrator</dc:creator>
  <cp:lastModifiedBy>漫步归零</cp:lastModifiedBy>
  <dcterms:modified xsi:type="dcterms:W3CDTF">2024-03-07T02:24:07Z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A33F77F66D8A4CF386ED6A4F1EB3DF80_12</vt:lpwstr>
  </property>
</Properties>
</file>