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72D810">
      <w:pPr>
        <w:spacing w:line="360" w:lineRule="auto"/>
        <w:jc w:val="center"/>
        <w:rPr>
          <w:rFonts w:ascii="宋体"/>
          <w:b/>
          <w:color w:val="auto"/>
          <w:sz w:val="24"/>
          <w:szCs w:val="22"/>
        </w:rPr>
      </w:pPr>
      <w:r>
        <w:rPr>
          <w:rFonts w:hint="eastAsia" w:ascii="宋体" w:hAnsi="宋体"/>
          <w:b/>
          <w:color w:val="auto"/>
          <w:sz w:val="28"/>
          <w:szCs w:val="22"/>
          <w:lang w:val="en-US" w:eastAsia="zh-CN"/>
        </w:rPr>
        <w:t>2025年城乡义务教育农村校舍安全保障长效机制建设项目（玉镇、萨场）招标控制价</w:t>
      </w:r>
      <w:r>
        <w:rPr>
          <w:rFonts w:hint="eastAsia" w:ascii="宋体" w:hAnsi="宋体"/>
          <w:b/>
          <w:color w:val="auto"/>
          <w:sz w:val="28"/>
          <w:szCs w:val="22"/>
        </w:rPr>
        <w:t>编制说明</w:t>
      </w:r>
    </w:p>
    <w:p w14:paraId="111D6314">
      <w:pPr>
        <w:keepNext w:val="0"/>
        <w:keepLines w:val="0"/>
        <w:pageBreakBefore w:val="0"/>
        <w:kinsoku/>
        <w:wordWrap/>
        <w:overflowPunct/>
        <w:topLinePunct w:val="0"/>
        <w:autoSpaceDE/>
        <w:autoSpaceDN/>
        <w:bidi w:val="0"/>
        <w:adjustRightInd/>
        <w:snapToGrid/>
        <w:spacing w:line="520" w:lineRule="exact"/>
        <w:ind w:firstLine="422" w:firstLineChars="200"/>
        <w:textAlignment w:val="auto"/>
        <w:rPr>
          <w:rFonts w:ascii="宋体"/>
          <w:b/>
          <w:bCs/>
          <w:color w:val="auto"/>
          <w:szCs w:val="21"/>
        </w:rPr>
      </w:pPr>
      <w:r>
        <w:rPr>
          <w:rFonts w:hint="eastAsia" w:ascii="宋体" w:hAnsi="宋体"/>
          <w:b/>
          <w:bCs/>
          <w:color w:val="auto"/>
          <w:szCs w:val="21"/>
        </w:rPr>
        <w:t>一、工程概况</w:t>
      </w:r>
    </w:p>
    <w:p w14:paraId="74BE0620">
      <w:pPr>
        <w:keepNext w:val="0"/>
        <w:keepLines w:val="0"/>
        <w:pageBreakBefore w:val="0"/>
        <w:kinsoku/>
        <w:wordWrap/>
        <w:overflowPunct/>
        <w:topLinePunct w:val="0"/>
        <w:autoSpaceDE/>
        <w:autoSpaceDN/>
        <w:bidi w:val="0"/>
        <w:adjustRightInd/>
        <w:snapToGrid/>
        <w:spacing w:line="520" w:lineRule="exact"/>
        <w:ind w:firstLine="420" w:firstLineChars="200"/>
        <w:jc w:val="left"/>
        <w:textAlignment w:val="auto"/>
        <w:rPr>
          <w:rFonts w:hint="eastAsia" w:ascii="宋体" w:hAnsi="宋体"/>
          <w:szCs w:val="21"/>
          <w:highlight w:val="none"/>
          <w:lang w:val="en-US" w:eastAsia="zh-CN"/>
        </w:rPr>
      </w:pPr>
      <w:r>
        <w:rPr>
          <w:rFonts w:hint="eastAsia" w:ascii="宋体" w:hAnsi="宋体"/>
          <w:szCs w:val="21"/>
          <w:lang w:val="en-US" w:eastAsia="zh-CN"/>
        </w:rPr>
        <w:t>本工程位</w:t>
      </w:r>
      <w:r>
        <w:rPr>
          <w:rFonts w:hint="eastAsia" w:ascii="宋体" w:hAnsi="宋体"/>
          <w:szCs w:val="21"/>
          <w:highlight w:val="none"/>
          <w:lang w:val="en-US" w:eastAsia="zh-CN"/>
        </w:rPr>
        <w:t>于额敏县，</w:t>
      </w:r>
      <w:r>
        <w:rPr>
          <w:rFonts w:hint="eastAsia" w:ascii="宋体" w:hAnsi="宋体" w:cs="Times New Roman"/>
          <w:szCs w:val="21"/>
          <w:highlight w:val="none"/>
          <w:lang w:val="en-US" w:eastAsia="zh-CN"/>
        </w:rPr>
        <w:t>建设规模及</w:t>
      </w:r>
      <w:r>
        <w:rPr>
          <w:rFonts w:hint="eastAsia" w:ascii="宋体" w:hAnsi="宋体"/>
          <w:szCs w:val="21"/>
          <w:highlight w:val="none"/>
          <w:lang w:val="en-US" w:eastAsia="zh-CN"/>
        </w:rPr>
        <w:t>内容：玉什喀拉苏镇寄宿制学校:屋面防水更新、暖气管网改造、围墙新建、警卫室改造。额敏县萨尔也木勒牧场寄宿制学校:新建大理石门洞及铝合金悬浮伸缩大门。</w:t>
      </w:r>
    </w:p>
    <w:p w14:paraId="5D326760">
      <w:pPr>
        <w:keepNext w:val="0"/>
        <w:keepLines w:val="0"/>
        <w:pageBreakBefore w:val="0"/>
        <w:kinsoku/>
        <w:wordWrap/>
        <w:overflowPunct/>
        <w:topLinePunct w:val="0"/>
        <w:autoSpaceDE/>
        <w:autoSpaceDN/>
        <w:bidi w:val="0"/>
        <w:adjustRightInd/>
        <w:snapToGrid/>
        <w:spacing w:line="520" w:lineRule="exact"/>
        <w:ind w:firstLine="420" w:firstLineChars="200"/>
        <w:jc w:val="left"/>
        <w:textAlignment w:val="auto"/>
        <w:rPr>
          <w:rFonts w:hint="eastAsia" w:ascii="宋体" w:hAnsi="宋体"/>
          <w:szCs w:val="21"/>
          <w:highlight w:val="none"/>
          <w:lang w:val="en-US" w:eastAsia="zh-CN"/>
        </w:rPr>
      </w:pPr>
      <w:r>
        <w:rPr>
          <w:rFonts w:hint="eastAsia" w:ascii="宋体" w:hAnsi="宋体"/>
          <w:szCs w:val="21"/>
          <w:highlight w:val="none"/>
          <w:lang w:val="en-US" w:eastAsia="zh-CN"/>
        </w:rPr>
        <w:t>项目总投资：804万元；（本标段81万元）。</w:t>
      </w:r>
    </w:p>
    <w:p w14:paraId="46ECDE32">
      <w:pPr>
        <w:keepNext w:val="0"/>
        <w:keepLines w:val="0"/>
        <w:pageBreakBefore w:val="0"/>
        <w:kinsoku/>
        <w:wordWrap/>
        <w:overflowPunct/>
        <w:topLinePunct w:val="0"/>
        <w:autoSpaceDE/>
        <w:autoSpaceDN/>
        <w:bidi w:val="0"/>
        <w:adjustRightInd/>
        <w:snapToGrid/>
        <w:spacing w:line="520" w:lineRule="exact"/>
        <w:ind w:firstLine="420" w:firstLineChars="200"/>
        <w:jc w:val="left"/>
        <w:textAlignment w:val="auto"/>
        <w:rPr>
          <w:rFonts w:hint="eastAsia" w:ascii="宋体" w:hAnsi="宋体" w:cs="Times New Roman"/>
          <w:szCs w:val="21"/>
          <w:highlight w:val="none"/>
          <w:lang w:val="en-US" w:eastAsia="zh-CN"/>
        </w:rPr>
      </w:pPr>
      <w:r>
        <w:rPr>
          <w:rFonts w:hint="eastAsia" w:ascii="宋体" w:hAnsi="宋体"/>
          <w:szCs w:val="21"/>
          <w:highlight w:val="none"/>
          <w:lang w:val="en-US" w:eastAsia="zh-CN"/>
        </w:rPr>
        <w:t>资金来源</w:t>
      </w:r>
      <w:r>
        <w:rPr>
          <w:rFonts w:hint="eastAsia" w:ascii="宋体" w:hAnsi="宋体" w:cs="Times New Roman"/>
          <w:szCs w:val="21"/>
          <w:highlight w:val="none"/>
          <w:lang w:val="en-US" w:eastAsia="zh-CN"/>
        </w:rPr>
        <w:t>：2025年城乡义务教育补助资金。</w:t>
      </w:r>
    </w:p>
    <w:p w14:paraId="4103AFD5">
      <w:pPr>
        <w:keepNext w:val="0"/>
        <w:keepLines w:val="0"/>
        <w:pageBreakBefore w:val="0"/>
        <w:kinsoku/>
        <w:wordWrap/>
        <w:overflowPunct/>
        <w:topLinePunct w:val="0"/>
        <w:autoSpaceDE/>
        <w:autoSpaceDN/>
        <w:bidi w:val="0"/>
        <w:adjustRightInd/>
        <w:snapToGrid/>
        <w:spacing w:line="520" w:lineRule="exact"/>
        <w:ind w:firstLine="422" w:firstLineChars="200"/>
        <w:jc w:val="left"/>
        <w:textAlignment w:val="auto"/>
        <w:rPr>
          <w:rFonts w:hint="eastAsia" w:ascii="宋体" w:hAnsi="宋体"/>
          <w:b/>
          <w:bCs/>
          <w:color w:val="auto"/>
          <w:szCs w:val="21"/>
        </w:rPr>
      </w:pPr>
      <w:r>
        <w:rPr>
          <w:rFonts w:hint="eastAsia" w:ascii="宋体" w:hAnsi="宋体"/>
          <w:b/>
          <w:bCs/>
          <w:color w:val="auto"/>
          <w:szCs w:val="21"/>
        </w:rPr>
        <w:t>二、编制范围</w:t>
      </w:r>
    </w:p>
    <w:p w14:paraId="568A3D34">
      <w:pPr>
        <w:pStyle w:val="5"/>
        <w:keepNext w:val="0"/>
        <w:keepLines w:val="0"/>
        <w:widowControl/>
        <w:suppressLineNumbers w:val="0"/>
        <w:spacing w:before="0" w:beforeAutospacing="0" w:after="0" w:afterAutospacing="0" w:line="360" w:lineRule="auto"/>
        <w:ind w:left="0" w:right="0"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本报告编制范围为甲方提供的拟建工程量清单。</w:t>
      </w:r>
    </w:p>
    <w:p w14:paraId="7E5CA196">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422" w:firstLineChars="200"/>
        <w:jc w:val="left"/>
        <w:textAlignment w:val="auto"/>
        <w:rPr>
          <w:rFonts w:hint="eastAsia" w:ascii="宋体" w:hAnsi="宋体"/>
          <w:b/>
          <w:bCs/>
          <w:color w:val="auto"/>
          <w:szCs w:val="21"/>
        </w:rPr>
      </w:pPr>
      <w:r>
        <w:rPr>
          <w:rFonts w:hint="eastAsia" w:ascii="宋体" w:hAnsi="宋体"/>
          <w:b/>
          <w:bCs/>
          <w:color w:val="auto"/>
          <w:szCs w:val="21"/>
          <w:lang w:val="en-US" w:eastAsia="zh-CN"/>
        </w:rPr>
        <w:t>三、</w:t>
      </w:r>
      <w:r>
        <w:rPr>
          <w:rFonts w:hint="eastAsia" w:ascii="宋体" w:hAnsi="宋体"/>
          <w:b/>
          <w:bCs/>
          <w:color w:val="auto"/>
          <w:szCs w:val="21"/>
        </w:rPr>
        <w:t>编制依据</w:t>
      </w:r>
    </w:p>
    <w:p w14:paraId="60A83873">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szCs w:val="21"/>
        </w:rPr>
      </w:pPr>
      <w:r>
        <w:rPr>
          <w:rFonts w:ascii="宋体" w:hAnsi="宋体" w:cs="宋体"/>
          <w:kern w:val="0"/>
          <w:szCs w:val="21"/>
        </w:rPr>
        <w:t>1</w:t>
      </w:r>
      <w:r>
        <w:rPr>
          <w:rFonts w:hint="eastAsia" w:ascii="宋体" w:hAnsi="宋体" w:cs="宋体"/>
          <w:kern w:val="0"/>
          <w:szCs w:val="21"/>
        </w:rPr>
        <w:t>、《建设工程工程量清单计价规范》（</w:t>
      </w:r>
      <w:r>
        <w:rPr>
          <w:rFonts w:ascii="宋体" w:hAnsi="宋体" w:cs="宋体"/>
          <w:kern w:val="0"/>
          <w:szCs w:val="21"/>
        </w:rPr>
        <w:t>GB50500-2013</w:t>
      </w:r>
      <w:r>
        <w:rPr>
          <w:rFonts w:hint="eastAsia" w:ascii="宋体" w:hAnsi="宋体" w:cs="宋体"/>
          <w:kern w:val="0"/>
          <w:szCs w:val="21"/>
        </w:rPr>
        <w:t>）；《房屋建筑与装饰工程工程量计算规范》（</w:t>
      </w:r>
      <w:r>
        <w:rPr>
          <w:rFonts w:ascii="宋体" w:hAnsi="宋体" w:cs="宋体"/>
          <w:kern w:val="0"/>
          <w:szCs w:val="21"/>
        </w:rPr>
        <w:t>GB50854-2013</w:t>
      </w:r>
      <w:r>
        <w:rPr>
          <w:rFonts w:hint="eastAsia" w:ascii="宋体" w:hAnsi="宋体" w:cs="宋体"/>
          <w:kern w:val="0"/>
          <w:szCs w:val="21"/>
        </w:rPr>
        <w:t>）《通用安装工程工程量计算规范》（</w:t>
      </w:r>
      <w:r>
        <w:rPr>
          <w:rFonts w:ascii="宋体" w:hAnsi="宋体" w:cs="宋体"/>
          <w:kern w:val="0"/>
          <w:szCs w:val="21"/>
        </w:rPr>
        <w:t>GB50856-2013</w:t>
      </w:r>
      <w:r>
        <w:rPr>
          <w:rFonts w:hint="eastAsia" w:ascii="宋体" w:hAnsi="宋体" w:cs="宋体"/>
          <w:kern w:val="0"/>
          <w:szCs w:val="21"/>
        </w:rPr>
        <w:t>）；《市政工程工程量计算规范》（</w:t>
      </w:r>
      <w:r>
        <w:rPr>
          <w:rFonts w:ascii="宋体" w:hAnsi="宋体" w:cs="宋体"/>
          <w:kern w:val="0"/>
          <w:szCs w:val="21"/>
        </w:rPr>
        <w:t>GB50857-2013</w:t>
      </w:r>
      <w:r>
        <w:rPr>
          <w:rFonts w:hint="eastAsia" w:ascii="宋体" w:hAnsi="宋体" w:cs="宋体"/>
          <w:kern w:val="0"/>
          <w:szCs w:val="21"/>
        </w:rPr>
        <w:t>）</w:t>
      </w:r>
      <w:r>
        <w:rPr>
          <w:rFonts w:hint="eastAsia" w:ascii="宋体" w:hAnsi="宋体" w:cs="宋体"/>
          <w:kern w:val="0"/>
          <w:szCs w:val="21"/>
          <w:lang w:eastAsia="zh-CN"/>
        </w:rPr>
        <w:t>；</w:t>
      </w:r>
      <w:r>
        <w:rPr>
          <w:rFonts w:hint="eastAsia" w:ascii="宋体" w:hAnsi="宋体" w:cs="宋体"/>
          <w:color w:val="auto"/>
          <w:kern w:val="0"/>
          <w:szCs w:val="21"/>
        </w:rPr>
        <w:t>《园林绿化工程工程量计算规范》（</w:t>
      </w:r>
      <w:r>
        <w:rPr>
          <w:rFonts w:ascii="宋体" w:hAnsi="宋体" w:cs="宋体"/>
          <w:color w:val="auto"/>
          <w:kern w:val="0"/>
          <w:szCs w:val="21"/>
        </w:rPr>
        <w:t>GB50858-2013</w:t>
      </w:r>
      <w:r>
        <w:rPr>
          <w:rFonts w:hint="eastAsia" w:ascii="宋体" w:hAnsi="宋体" w:cs="宋体"/>
          <w:color w:val="auto"/>
          <w:kern w:val="0"/>
          <w:szCs w:val="21"/>
        </w:rPr>
        <w:t>）</w:t>
      </w:r>
      <w:r>
        <w:rPr>
          <w:rFonts w:hint="eastAsia" w:ascii="宋体" w:hAnsi="宋体"/>
          <w:szCs w:val="21"/>
        </w:rPr>
        <w:t>及所附工程量计算规则和相关解释。</w:t>
      </w:r>
    </w:p>
    <w:p w14:paraId="76A9E015">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ascii="宋体"/>
          <w:szCs w:val="21"/>
        </w:rPr>
      </w:pPr>
      <w:r>
        <w:rPr>
          <w:rFonts w:ascii="宋体" w:hAnsi="宋体"/>
          <w:szCs w:val="21"/>
        </w:rPr>
        <w:t>2</w:t>
      </w:r>
      <w:r>
        <w:rPr>
          <w:rFonts w:hint="eastAsia" w:ascii="宋体" w:hAnsi="宋体"/>
          <w:szCs w:val="21"/>
        </w:rPr>
        <w:t>、国家或省级、行业建设主管部门颁发的计价定额和计价办法。</w:t>
      </w:r>
    </w:p>
    <w:p w14:paraId="1B133576">
      <w:pPr>
        <w:pStyle w:val="5"/>
        <w:keepNext w:val="0"/>
        <w:keepLines w:val="0"/>
        <w:widowControl/>
        <w:suppressLineNumbers w:val="0"/>
        <w:spacing w:before="0" w:beforeAutospacing="0" w:after="0" w:afterAutospacing="0" w:line="360" w:lineRule="auto"/>
        <w:ind w:left="0" w:right="0" w:firstLine="480" w:firstLineChars="200"/>
        <w:rPr>
          <w:rFonts w:hint="eastAsia" w:ascii="宋体" w:hAnsi="宋体"/>
          <w:szCs w:val="21"/>
          <w:highlight w:val="none"/>
        </w:rPr>
      </w:pPr>
      <w:r>
        <w:rPr>
          <w:rFonts w:ascii="宋体" w:hAnsi="宋体"/>
          <w:szCs w:val="21"/>
        </w:rPr>
        <w:t>3</w:t>
      </w:r>
      <w:r>
        <w:rPr>
          <w:rFonts w:hint="eastAsia" w:ascii="宋体" w:hAnsi="宋体"/>
          <w:szCs w:val="21"/>
        </w:rPr>
        <w:t>、</w:t>
      </w:r>
      <w:r>
        <w:rPr>
          <w:rFonts w:hint="eastAsia" w:ascii="宋体" w:hAnsi="宋体" w:eastAsia="宋体" w:cs="Times New Roman"/>
          <w:color w:val="auto"/>
          <w:kern w:val="2"/>
          <w:sz w:val="21"/>
          <w:szCs w:val="21"/>
          <w:highlight w:val="none"/>
          <w:lang w:val="en-US" w:eastAsia="zh-CN" w:bidi="ar-SA"/>
        </w:rPr>
        <w:t>本报告编制范围为甲方提供的拟建工程量清单。</w:t>
      </w:r>
    </w:p>
    <w:p w14:paraId="2D0F10C8">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ascii="宋体"/>
          <w:szCs w:val="21"/>
        </w:rPr>
      </w:pPr>
      <w:r>
        <w:rPr>
          <w:rFonts w:ascii="宋体" w:hAnsi="宋体"/>
          <w:szCs w:val="21"/>
        </w:rPr>
        <w:t>4</w:t>
      </w:r>
      <w:r>
        <w:rPr>
          <w:rFonts w:hint="eastAsia" w:ascii="宋体" w:hAnsi="宋体"/>
          <w:szCs w:val="21"/>
        </w:rPr>
        <w:t>、拟定的</w:t>
      </w:r>
      <w:r>
        <w:rPr>
          <w:rFonts w:hint="eastAsia" w:ascii="宋体" w:hAnsi="宋体"/>
          <w:szCs w:val="21"/>
          <w:lang w:val="en-US" w:eastAsia="zh-CN"/>
        </w:rPr>
        <w:t>招标文件、</w:t>
      </w:r>
      <w:r>
        <w:rPr>
          <w:rFonts w:hint="eastAsia" w:ascii="宋体" w:hAnsi="宋体"/>
          <w:szCs w:val="21"/>
        </w:rPr>
        <w:t>工程量清单及有关计价的要求。</w:t>
      </w:r>
    </w:p>
    <w:p w14:paraId="680F2C9E">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Cambria"/>
          <w:szCs w:val="21"/>
          <w:lang w:val="en-US" w:eastAsia="zh-CN"/>
        </w:rPr>
      </w:pPr>
      <w:r>
        <w:rPr>
          <w:rFonts w:ascii="宋体" w:hAnsi="宋体"/>
          <w:szCs w:val="21"/>
        </w:rPr>
        <w:t>5</w:t>
      </w:r>
      <w:r>
        <w:rPr>
          <w:rFonts w:hint="eastAsia" w:ascii="宋体" w:hAnsi="宋体"/>
          <w:szCs w:val="21"/>
        </w:rPr>
        <w:t>、与本工程有</w:t>
      </w:r>
      <w:r>
        <w:rPr>
          <w:rFonts w:hint="eastAsia" w:ascii="宋体" w:hAnsi="宋体" w:cs="Cambria"/>
          <w:szCs w:val="21"/>
          <w:lang w:val="en-US" w:eastAsia="zh-CN"/>
        </w:rPr>
        <w:t>关的标准（包括标准图集）、规范、技术资料。</w:t>
      </w:r>
    </w:p>
    <w:p w14:paraId="0727FD6D">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Cambria"/>
          <w:szCs w:val="21"/>
          <w:lang w:val="en-US" w:eastAsia="zh-CN"/>
        </w:rPr>
      </w:pPr>
      <w:r>
        <w:rPr>
          <w:rFonts w:hint="eastAsia" w:ascii="宋体" w:hAnsi="宋体" w:cs="Cambria"/>
          <w:szCs w:val="21"/>
          <w:lang w:val="en-US" w:eastAsia="zh-CN"/>
        </w:rPr>
        <w:t>6、施工现场情况、工程特点及常规施工方案。</w:t>
      </w:r>
    </w:p>
    <w:p w14:paraId="6819CFB4">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Cambria"/>
          <w:szCs w:val="21"/>
          <w:lang w:val="en-US" w:eastAsia="zh-CN"/>
        </w:rPr>
      </w:pPr>
      <w:r>
        <w:rPr>
          <w:rFonts w:hint="eastAsia" w:ascii="宋体" w:hAnsi="宋体" w:cs="Cambria"/>
          <w:szCs w:val="21"/>
          <w:lang w:val="en-US" w:eastAsia="zh-CN"/>
        </w:rPr>
        <w:t>7、其他有关文件、资料。</w:t>
      </w:r>
    </w:p>
    <w:p w14:paraId="7057C237">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422" w:firstLineChars="200"/>
        <w:jc w:val="left"/>
        <w:textAlignment w:val="auto"/>
        <w:rPr>
          <w:rFonts w:hint="default" w:ascii="宋体" w:hAnsi="宋体"/>
          <w:b/>
          <w:bCs/>
          <w:color w:val="auto"/>
          <w:szCs w:val="21"/>
          <w:lang w:val="en-US" w:eastAsia="zh-CN"/>
        </w:rPr>
      </w:pPr>
      <w:r>
        <w:rPr>
          <w:rFonts w:hint="eastAsia" w:ascii="宋体" w:hAnsi="宋体"/>
          <w:b/>
          <w:bCs/>
          <w:color w:val="auto"/>
          <w:szCs w:val="21"/>
          <w:lang w:val="en-US" w:eastAsia="zh-CN"/>
        </w:rPr>
        <w:t>四、计价依据</w:t>
      </w:r>
    </w:p>
    <w:p w14:paraId="1EF73CA2">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Cambria"/>
          <w:szCs w:val="21"/>
          <w:lang w:val="en-US" w:eastAsia="zh-CN"/>
        </w:rPr>
      </w:pPr>
      <w:r>
        <w:rPr>
          <w:rFonts w:hint="eastAsia" w:ascii="宋体" w:hAnsi="宋体" w:cs="Cambria"/>
          <w:szCs w:val="21"/>
          <w:lang w:val="en-US" w:eastAsia="zh-CN"/>
        </w:rPr>
        <w:t xml:space="preserve"> 1、定额依据：2022版《新疆维吾尔自治区房屋建筑与装饰工程消耗量定额》、2022版《通用安装工程消耗量定额》、2022版《新疆维吾尔自治区安装工程补充消耗量定额》、2022版《新疆市政工程消耗量定额》、</w:t>
      </w:r>
      <w:r>
        <w:rPr>
          <w:rFonts w:hint="eastAsia" w:ascii="宋体" w:hAnsi="宋体"/>
          <w:bCs/>
          <w:color w:val="auto"/>
          <w:szCs w:val="21"/>
        </w:rPr>
        <w:t>2015年《新疆维吾尔自治区</w:t>
      </w:r>
      <w:r>
        <w:rPr>
          <w:rFonts w:hint="eastAsia" w:ascii="宋体" w:hAnsi="宋体"/>
          <w:bCs/>
          <w:color w:val="auto"/>
          <w:szCs w:val="21"/>
          <w:lang w:eastAsia="zh-CN"/>
        </w:rPr>
        <w:t>园林绿化</w:t>
      </w:r>
      <w:r>
        <w:rPr>
          <w:rFonts w:hint="eastAsia" w:ascii="宋体" w:hAnsi="宋体"/>
          <w:bCs/>
          <w:color w:val="auto"/>
          <w:szCs w:val="21"/>
        </w:rPr>
        <w:t>消耗量定额》</w:t>
      </w:r>
      <w:r>
        <w:rPr>
          <w:rFonts w:hint="eastAsia" w:ascii="宋体" w:hAnsi="宋体" w:cs="Cambria"/>
          <w:szCs w:val="21"/>
          <w:lang w:val="en-US" w:eastAsia="zh-CN"/>
        </w:rPr>
        <w:t>及所附工程量计算规则和相关解释，单位估价表选用相应的消耗量定额塔城地区扣税单位估价汇总表。</w:t>
      </w:r>
    </w:p>
    <w:p w14:paraId="67512362">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Cambria"/>
          <w:color w:val="auto"/>
          <w:szCs w:val="21"/>
        </w:rPr>
      </w:pPr>
      <w:r>
        <w:rPr>
          <w:rFonts w:hint="eastAsia" w:ascii="宋体" w:hAnsi="宋体" w:cs="Cambria"/>
          <w:szCs w:val="21"/>
          <w:lang w:val="en-US" w:eastAsia="zh-CN"/>
        </w:rPr>
        <w:t>2、费用定额依据：</w:t>
      </w:r>
      <w:bookmarkStart w:id="0" w:name="OLE_LINK5"/>
      <w:bookmarkStart w:id="1" w:name="OLE_LINK4"/>
      <w:r>
        <w:rPr>
          <w:rFonts w:hint="eastAsia" w:ascii="宋体" w:hAnsi="宋体" w:cs="Cambria"/>
          <w:szCs w:val="21"/>
          <w:lang w:val="en-US" w:eastAsia="zh-CN"/>
        </w:rPr>
        <w:t>塔城地区住房和城乡建设局发布（塔地住建发[2016]57号）《关于建筑业营业税改增值税调整塔城地区建设工程计价</w:t>
      </w:r>
      <w:r>
        <w:rPr>
          <w:rFonts w:hint="eastAsia" w:ascii="宋体" w:hAnsi="宋体" w:cs="Cambria"/>
          <w:color w:val="auto"/>
          <w:szCs w:val="21"/>
        </w:rPr>
        <w:t>依据的实施意见</w:t>
      </w:r>
      <w:r>
        <w:rPr>
          <w:rFonts w:hint="eastAsia" w:ascii="宋体" w:hAnsi="宋体" w:cs="Cambria"/>
          <w:b/>
          <w:color w:val="auto"/>
          <w:szCs w:val="21"/>
        </w:rPr>
        <w:t>》</w:t>
      </w:r>
      <w:r>
        <w:rPr>
          <w:rFonts w:hint="eastAsia" w:ascii="宋体" w:hAnsi="宋体" w:cs="Cambria"/>
          <w:b/>
          <w:color w:val="auto"/>
          <w:szCs w:val="21"/>
          <w:lang w:val="en-US" w:eastAsia="zh-CN"/>
        </w:rPr>
        <w:t xml:space="preserve"> </w:t>
      </w:r>
      <w:r>
        <w:rPr>
          <w:rFonts w:hint="eastAsia" w:ascii="宋体" w:hAnsi="宋体" w:cs="Cambria"/>
          <w:color w:val="auto"/>
          <w:szCs w:val="21"/>
        </w:rPr>
        <w:t>附件</w:t>
      </w:r>
      <w:r>
        <w:rPr>
          <w:rFonts w:ascii="宋体" w:hAnsi="宋体" w:cs="Cambria"/>
          <w:color w:val="auto"/>
          <w:szCs w:val="21"/>
        </w:rPr>
        <w:t>1</w:t>
      </w:r>
      <w:r>
        <w:rPr>
          <w:rFonts w:hint="eastAsia" w:ascii="宋体" w:hAnsi="宋体" w:cs="Cambria"/>
          <w:color w:val="auto"/>
          <w:szCs w:val="21"/>
        </w:rPr>
        <w:t>建设工程费用调整表。</w:t>
      </w:r>
    </w:p>
    <w:bookmarkEnd w:id="0"/>
    <w:bookmarkEnd w:id="1"/>
    <w:p w14:paraId="0C573F23">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bCs/>
          <w:szCs w:val="21"/>
        </w:rPr>
      </w:pPr>
      <w:r>
        <w:rPr>
          <w:rFonts w:hint="eastAsia" w:ascii="宋体" w:hAnsi="宋体" w:cs="Cambria"/>
          <w:szCs w:val="21"/>
          <w:lang w:val="en-US" w:eastAsia="zh-CN"/>
        </w:rPr>
        <w:t>3、建筑工程扬尘污染防治等措施费用依据塔城地区建设局、发改委、财政局、环保局联合发布《关于对塔城地区建筑工程扬尘污染防治等措施增加费计取规定的通知</w:t>
      </w:r>
      <w:r>
        <w:rPr>
          <w:rFonts w:hint="eastAsia" w:ascii="宋体" w:hAnsi="宋体" w:cs="Cambria"/>
          <w:color w:val="auto"/>
          <w:szCs w:val="21"/>
          <w:lang w:val="en-US" w:eastAsia="zh-CN"/>
        </w:rPr>
        <w:t>（塔地住建发【2020】76号）》执行</w:t>
      </w:r>
    </w:p>
    <w:p w14:paraId="582FBA23">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szCs w:val="21"/>
        </w:rPr>
      </w:pPr>
      <w:r>
        <w:rPr>
          <w:rFonts w:hint="eastAsia" w:ascii="宋体" w:hAnsi="宋体"/>
          <w:bCs/>
          <w:szCs w:val="21"/>
          <w:lang w:val="en-US" w:eastAsia="zh-CN"/>
        </w:rPr>
        <w:t>4</w:t>
      </w:r>
      <w:r>
        <w:rPr>
          <w:rFonts w:hint="eastAsia" w:ascii="宋体" w:hAnsi="宋体"/>
          <w:bCs/>
          <w:szCs w:val="21"/>
        </w:rPr>
        <w:t>、单</w:t>
      </w:r>
      <w:r>
        <w:rPr>
          <w:rFonts w:hint="eastAsia" w:ascii="宋体" w:hAnsi="宋体"/>
          <w:szCs w:val="21"/>
        </w:rPr>
        <w:t>位估价表依据：《新疆维吾尔自治区房屋建筑与装饰工程消耗量定额2022年塔城地区单位估价表》、《通用安装工程及新疆维吾尔自治区安装工程补充消耗量定额2022年塔城地区单位估价表》</w:t>
      </w:r>
      <w:r>
        <w:rPr>
          <w:rFonts w:hint="eastAsia" w:ascii="宋体" w:hAnsi="宋体"/>
          <w:szCs w:val="21"/>
          <w:lang w:eastAsia="zh-CN"/>
        </w:rPr>
        <w:t>、《</w:t>
      </w:r>
      <w:r>
        <w:rPr>
          <w:rFonts w:hint="eastAsia" w:ascii="宋体" w:hAnsi="宋体"/>
          <w:szCs w:val="21"/>
          <w:lang w:val="en-US" w:eastAsia="zh-CN"/>
        </w:rPr>
        <w:t>新疆市政工程消耗量定额2022年塔城地区单位估价表</w:t>
      </w:r>
      <w:r>
        <w:rPr>
          <w:rFonts w:hint="eastAsia" w:ascii="宋体" w:hAnsi="宋体"/>
          <w:szCs w:val="21"/>
          <w:lang w:eastAsia="zh-CN"/>
        </w:rPr>
        <w:t>》、</w:t>
      </w:r>
      <w:r>
        <w:rPr>
          <w:rFonts w:hint="eastAsia"/>
          <w:bCs/>
          <w:color w:val="auto"/>
          <w:szCs w:val="21"/>
        </w:rPr>
        <w:t>《新疆</w:t>
      </w:r>
      <w:r>
        <w:rPr>
          <w:rFonts w:hint="eastAsia"/>
          <w:bCs/>
          <w:color w:val="auto"/>
          <w:szCs w:val="21"/>
          <w:lang w:val="en-US" w:eastAsia="zh-CN"/>
        </w:rPr>
        <w:t>抗震加固</w:t>
      </w:r>
      <w:r>
        <w:rPr>
          <w:rFonts w:hint="eastAsia"/>
          <w:bCs/>
          <w:color w:val="auto"/>
          <w:szCs w:val="21"/>
        </w:rPr>
        <w:t>工程</w:t>
      </w:r>
      <w:r>
        <w:rPr>
          <w:rFonts w:hint="eastAsia"/>
          <w:bCs/>
          <w:color w:val="auto"/>
          <w:szCs w:val="21"/>
          <w:lang w:val="en-US" w:eastAsia="zh-CN"/>
        </w:rPr>
        <w:t>计价</w:t>
      </w:r>
      <w:r>
        <w:rPr>
          <w:rFonts w:hint="eastAsia"/>
          <w:bCs/>
          <w:color w:val="auto"/>
          <w:szCs w:val="21"/>
        </w:rPr>
        <w:t>定额201</w:t>
      </w:r>
      <w:r>
        <w:rPr>
          <w:rFonts w:hint="eastAsia"/>
          <w:bCs/>
          <w:color w:val="auto"/>
          <w:szCs w:val="21"/>
          <w:lang w:val="en-US" w:eastAsia="zh-CN"/>
        </w:rPr>
        <w:t>0</w:t>
      </w:r>
      <w:r>
        <w:rPr>
          <w:rFonts w:hint="eastAsia"/>
          <w:bCs/>
          <w:color w:val="auto"/>
          <w:szCs w:val="21"/>
        </w:rPr>
        <w:t>年塔城地区单位估价表》</w:t>
      </w:r>
      <w:r>
        <w:rPr>
          <w:rFonts w:hint="eastAsia" w:ascii="宋体" w:hAnsi="宋体"/>
          <w:szCs w:val="21"/>
        </w:rPr>
        <w:t>。</w:t>
      </w:r>
    </w:p>
    <w:p w14:paraId="1DDE9684">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rPr>
      </w:pPr>
      <w:r>
        <w:rPr>
          <w:rFonts w:hint="eastAsia" w:ascii="宋体" w:hAnsi="宋体"/>
          <w:szCs w:val="21"/>
          <w:lang w:val="en-US" w:eastAsia="zh-CN"/>
        </w:rPr>
        <w:t>6</w:t>
      </w:r>
      <w:r>
        <w:rPr>
          <w:rFonts w:hint="eastAsia" w:ascii="宋体" w:hAnsi="宋体"/>
          <w:szCs w:val="21"/>
        </w:rPr>
        <w:t>、材料费调差：塔城地区住房和城乡建设局发布</w:t>
      </w:r>
      <w:r>
        <w:rPr>
          <w:rFonts w:hint="eastAsia" w:ascii="宋体" w:hAnsi="宋体"/>
          <w:szCs w:val="21"/>
          <w:lang w:eastAsia="zh-CN"/>
        </w:rPr>
        <w:t>的</w:t>
      </w:r>
      <w:r>
        <w:rPr>
          <w:rFonts w:hint="eastAsia" w:ascii="宋体" w:hAnsi="宋体"/>
          <w:szCs w:val="21"/>
        </w:rPr>
        <w:t>《关于发布额敏（县）</w:t>
      </w:r>
      <w:r>
        <w:rPr>
          <w:rFonts w:ascii="宋体" w:hAnsi="宋体"/>
          <w:szCs w:val="21"/>
        </w:rPr>
        <w:t>20</w:t>
      </w:r>
      <w:r>
        <w:rPr>
          <w:rFonts w:hint="eastAsia" w:ascii="宋体" w:hAnsi="宋体"/>
          <w:szCs w:val="21"/>
          <w:lang w:val="en-US" w:eastAsia="zh-CN"/>
        </w:rPr>
        <w:t>25</w:t>
      </w:r>
      <w:r>
        <w:rPr>
          <w:rFonts w:hint="eastAsia" w:ascii="宋体" w:hAnsi="宋体"/>
          <w:szCs w:val="21"/>
        </w:rPr>
        <w:t>年</w:t>
      </w:r>
      <w:r>
        <w:rPr>
          <w:rFonts w:hint="eastAsia" w:ascii="宋体" w:hAnsi="宋体"/>
          <w:szCs w:val="21"/>
          <w:lang w:val="en-US" w:eastAsia="zh-CN"/>
        </w:rPr>
        <w:t>3</w:t>
      </w:r>
      <w:r>
        <w:rPr>
          <w:rFonts w:hint="eastAsia" w:ascii="宋体" w:hAnsi="宋体"/>
          <w:szCs w:val="21"/>
        </w:rPr>
        <w:t>月份建设工程价格信息的通知》及附件二调整</w:t>
      </w:r>
      <w:r>
        <w:rPr>
          <w:rFonts w:ascii="宋体" w:hAnsi="宋体"/>
          <w:szCs w:val="21"/>
        </w:rPr>
        <w:t>(</w:t>
      </w:r>
      <w:r>
        <w:rPr>
          <w:rFonts w:hint="eastAsia" w:ascii="宋体" w:hAnsi="宋体"/>
          <w:szCs w:val="21"/>
        </w:rPr>
        <w:t>材料价格为综合信息价</w:t>
      </w:r>
      <w:r>
        <w:rPr>
          <w:rFonts w:ascii="宋体" w:hAnsi="宋体"/>
          <w:szCs w:val="21"/>
        </w:rPr>
        <w:t>)</w:t>
      </w:r>
      <w:r>
        <w:rPr>
          <w:rFonts w:hint="eastAsia" w:ascii="宋体" w:hAnsi="宋体"/>
          <w:szCs w:val="21"/>
        </w:rPr>
        <w:t>未发布信息价的材料价格按市场价计入。</w:t>
      </w:r>
    </w:p>
    <w:p w14:paraId="092E92CF">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rPr>
      </w:pPr>
      <w:r>
        <w:rPr>
          <w:rFonts w:hint="eastAsia" w:ascii="宋体" w:hAnsi="宋体"/>
          <w:szCs w:val="21"/>
          <w:lang w:val="en-US" w:eastAsia="zh-CN"/>
        </w:rPr>
        <w:t>7</w:t>
      </w:r>
      <w:r>
        <w:rPr>
          <w:rFonts w:hint="eastAsia" w:ascii="宋体" w:hAnsi="宋体"/>
          <w:szCs w:val="21"/>
        </w:rPr>
        <w:t>、人工工资单价的调整:</w:t>
      </w:r>
      <w:r>
        <w:rPr>
          <w:rFonts w:hint="eastAsia" w:ascii="宋体" w:hAnsi="宋体"/>
          <w:szCs w:val="21"/>
          <w:lang w:val="en-US" w:eastAsia="zh-CN"/>
        </w:rPr>
        <w:t>新疆市政工程消耗量定额2022年塔城地区单位估价表</w:t>
      </w:r>
      <w:r>
        <w:rPr>
          <w:rFonts w:hint="eastAsia" w:ascii="宋体" w:hAnsi="宋体"/>
          <w:szCs w:val="21"/>
        </w:rPr>
        <w:t>，</w:t>
      </w:r>
      <w:r>
        <w:rPr>
          <w:rFonts w:hint="eastAsia" w:ascii="宋体" w:hAnsi="宋体"/>
          <w:szCs w:val="21"/>
          <w:lang w:val="en-US" w:eastAsia="zh-CN"/>
        </w:rPr>
        <w:t>一类人</w:t>
      </w:r>
      <w:r>
        <w:rPr>
          <w:rFonts w:hint="eastAsia" w:ascii="宋体" w:hAnsi="宋体"/>
          <w:szCs w:val="21"/>
        </w:rPr>
        <w:t>工</w:t>
      </w:r>
      <w:r>
        <w:rPr>
          <w:rFonts w:hint="eastAsia" w:ascii="宋体" w:hAnsi="宋体"/>
          <w:szCs w:val="21"/>
          <w:lang w:val="en-US" w:eastAsia="zh-CN"/>
        </w:rPr>
        <w:t>104</w:t>
      </w:r>
      <w:r>
        <w:rPr>
          <w:rFonts w:hint="eastAsia" w:ascii="宋体" w:hAnsi="宋体"/>
          <w:szCs w:val="21"/>
        </w:rPr>
        <w:t>元/工日，</w:t>
      </w:r>
      <w:r>
        <w:rPr>
          <w:rFonts w:hint="eastAsia" w:ascii="宋体" w:hAnsi="宋体"/>
          <w:szCs w:val="21"/>
          <w:lang w:val="en-US" w:eastAsia="zh-CN"/>
        </w:rPr>
        <w:t>二类</w:t>
      </w:r>
      <w:r>
        <w:rPr>
          <w:rFonts w:hint="eastAsia" w:ascii="宋体" w:hAnsi="宋体"/>
          <w:szCs w:val="21"/>
        </w:rPr>
        <w:t>人工</w:t>
      </w:r>
      <w:r>
        <w:rPr>
          <w:rFonts w:hint="eastAsia" w:ascii="宋体" w:hAnsi="宋体"/>
          <w:szCs w:val="21"/>
          <w:lang w:val="en-US" w:eastAsia="zh-CN"/>
        </w:rPr>
        <w:t>132</w:t>
      </w:r>
      <w:r>
        <w:rPr>
          <w:rFonts w:hint="eastAsia" w:ascii="宋体" w:hAnsi="宋体"/>
          <w:szCs w:val="21"/>
        </w:rPr>
        <w:t>元/工日，</w:t>
      </w:r>
      <w:r>
        <w:rPr>
          <w:rFonts w:hint="eastAsia" w:ascii="宋体" w:hAnsi="宋体"/>
          <w:szCs w:val="21"/>
          <w:lang w:val="en-US" w:eastAsia="zh-CN"/>
        </w:rPr>
        <w:t>机上</w:t>
      </w:r>
      <w:r>
        <w:rPr>
          <w:rFonts w:hint="eastAsia" w:ascii="宋体" w:hAnsi="宋体"/>
          <w:szCs w:val="21"/>
        </w:rPr>
        <w:t>人工</w:t>
      </w:r>
      <w:r>
        <w:rPr>
          <w:rFonts w:hint="eastAsia" w:ascii="宋体" w:hAnsi="宋体"/>
          <w:szCs w:val="21"/>
          <w:lang w:val="en-US" w:eastAsia="zh-CN"/>
        </w:rPr>
        <w:t>132</w:t>
      </w:r>
      <w:r>
        <w:rPr>
          <w:rFonts w:hint="eastAsia" w:ascii="宋体" w:hAnsi="宋体"/>
          <w:szCs w:val="21"/>
        </w:rPr>
        <w:t>元/工日</w:t>
      </w:r>
      <w:r>
        <w:rPr>
          <w:rFonts w:hint="eastAsia" w:ascii="宋体" w:hAnsi="宋体"/>
          <w:szCs w:val="21"/>
          <w:lang w:eastAsia="zh-CN"/>
        </w:rPr>
        <w:t>，</w:t>
      </w:r>
      <w:r>
        <w:rPr>
          <w:rFonts w:hint="eastAsia" w:ascii="宋体" w:hAnsi="宋体"/>
          <w:szCs w:val="21"/>
          <w:lang w:val="en-US" w:eastAsia="zh-CN"/>
        </w:rPr>
        <w:t>三类人工150元/工日</w:t>
      </w:r>
      <w:r>
        <w:rPr>
          <w:rFonts w:hint="eastAsia" w:ascii="宋体" w:hAnsi="宋体"/>
          <w:szCs w:val="21"/>
        </w:rPr>
        <w:t>。</w:t>
      </w:r>
    </w:p>
    <w:p w14:paraId="2FB6D3F2">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rPr>
      </w:pPr>
      <w:r>
        <w:rPr>
          <w:rFonts w:hint="eastAsia" w:ascii="宋体" w:hAnsi="宋体"/>
          <w:color w:val="auto"/>
          <w:szCs w:val="21"/>
          <w:lang w:val="en-US" w:eastAsia="zh-CN"/>
        </w:rPr>
        <w:t>抗震加固消耗量定额</w:t>
      </w:r>
      <w:r>
        <w:rPr>
          <w:rFonts w:hint="eastAsia" w:ascii="宋体" w:hAnsi="宋体"/>
          <w:color w:val="auto"/>
          <w:szCs w:val="21"/>
          <w:lang w:eastAsia="zh-CN"/>
        </w:rPr>
        <w:t>中</w:t>
      </w:r>
      <w:r>
        <w:rPr>
          <w:rFonts w:hint="eastAsia" w:ascii="宋体" w:hAnsi="宋体"/>
          <w:color w:val="auto"/>
          <w:szCs w:val="21"/>
        </w:rPr>
        <w:t>人工工资单价的调整</w:t>
      </w:r>
      <w:r>
        <w:rPr>
          <w:rFonts w:hint="eastAsia" w:ascii="宋体" w:hAnsi="宋体"/>
          <w:color w:val="auto"/>
          <w:szCs w:val="21"/>
          <w:lang w:val="en-US" w:eastAsia="zh-CN"/>
        </w:rPr>
        <w:t>执行</w:t>
      </w:r>
      <w:r>
        <w:rPr>
          <w:rFonts w:hint="eastAsia" w:ascii="宋体" w:hAnsi="宋体"/>
          <w:color w:val="auto"/>
          <w:szCs w:val="21"/>
        </w:rPr>
        <w:t>塔城地区住房和城乡建设局和塔城地区发展和改革委员会发布</w:t>
      </w:r>
      <w:r>
        <w:rPr>
          <w:rFonts w:ascii="宋体" w:hAnsi="宋体"/>
          <w:color w:val="auto"/>
          <w:szCs w:val="21"/>
        </w:rPr>
        <w:t>(</w:t>
      </w:r>
      <w:r>
        <w:rPr>
          <w:rFonts w:hint="eastAsia" w:ascii="宋体" w:hAnsi="宋体"/>
          <w:color w:val="auto"/>
          <w:szCs w:val="21"/>
        </w:rPr>
        <w:t>塔地住建发</w:t>
      </w:r>
      <w:r>
        <w:rPr>
          <w:rFonts w:ascii="宋体" w:hAnsi="宋体"/>
          <w:color w:val="auto"/>
          <w:szCs w:val="21"/>
        </w:rPr>
        <w:t>)[20</w:t>
      </w:r>
      <w:r>
        <w:rPr>
          <w:rFonts w:hint="eastAsia" w:ascii="宋体" w:hAnsi="宋体"/>
          <w:color w:val="auto"/>
          <w:szCs w:val="21"/>
          <w:lang w:val="en-US" w:eastAsia="zh-CN"/>
        </w:rPr>
        <w:t>20</w:t>
      </w:r>
      <w:r>
        <w:rPr>
          <w:rFonts w:ascii="宋体" w:hAnsi="宋体"/>
          <w:color w:val="auto"/>
          <w:szCs w:val="21"/>
        </w:rPr>
        <w:t>]</w:t>
      </w:r>
      <w:r>
        <w:rPr>
          <w:rFonts w:hint="eastAsia" w:ascii="宋体" w:hAnsi="宋体"/>
          <w:color w:val="auto"/>
          <w:szCs w:val="21"/>
          <w:lang w:val="en-US" w:eastAsia="zh-CN"/>
        </w:rPr>
        <w:t>95</w:t>
      </w:r>
      <w:r>
        <w:rPr>
          <w:rFonts w:hint="eastAsia" w:ascii="宋体" w:hAnsi="宋体"/>
          <w:color w:val="auto"/>
          <w:szCs w:val="21"/>
        </w:rPr>
        <w:t>号文，土建工程人工</w:t>
      </w:r>
      <w:r>
        <w:rPr>
          <w:rFonts w:ascii="宋体" w:hAnsi="宋体"/>
          <w:color w:val="auto"/>
          <w:szCs w:val="21"/>
        </w:rPr>
        <w:t>8</w:t>
      </w:r>
      <w:r>
        <w:rPr>
          <w:rFonts w:hint="eastAsia" w:ascii="宋体" w:hAnsi="宋体"/>
          <w:color w:val="auto"/>
          <w:szCs w:val="21"/>
          <w:lang w:val="en-US" w:eastAsia="zh-CN"/>
        </w:rPr>
        <w:t>9.24</w:t>
      </w:r>
      <w:r>
        <w:rPr>
          <w:rFonts w:hint="eastAsia" w:ascii="宋体" w:hAnsi="宋体"/>
          <w:color w:val="auto"/>
          <w:szCs w:val="21"/>
        </w:rPr>
        <w:t>元</w:t>
      </w:r>
      <w:r>
        <w:rPr>
          <w:rFonts w:ascii="宋体" w:hAnsi="宋体"/>
          <w:color w:val="auto"/>
          <w:szCs w:val="21"/>
        </w:rPr>
        <w:t>/</w:t>
      </w:r>
      <w:r>
        <w:rPr>
          <w:rFonts w:hint="eastAsia" w:ascii="宋体" w:hAnsi="宋体"/>
          <w:color w:val="auto"/>
          <w:szCs w:val="21"/>
        </w:rPr>
        <w:t>工日，</w:t>
      </w:r>
      <w:r>
        <w:rPr>
          <w:rFonts w:hint="eastAsia" w:ascii="宋体" w:hAnsi="宋体"/>
          <w:color w:val="auto"/>
          <w:szCs w:val="21"/>
          <w:lang w:eastAsia="zh-CN"/>
        </w:rPr>
        <w:t>装饰装修工程人工</w:t>
      </w:r>
      <w:r>
        <w:rPr>
          <w:rFonts w:hint="eastAsia" w:ascii="宋体" w:hAnsi="宋体"/>
          <w:color w:val="auto"/>
          <w:szCs w:val="21"/>
          <w:lang w:val="en-US" w:eastAsia="zh-CN"/>
        </w:rPr>
        <w:t>98.16元/工日，</w:t>
      </w:r>
      <w:r>
        <w:rPr>
          <w:rFonts w:hint="eastAsia" w:ascii="宋体" w:hAnsi="宋体"/>
          <w:color w:val="auto"/>
          <w:lang w:eastAsia="zh-CN"/>
        </w:rPr>
        <w:t>安装</w:t>
      </w:r>
      <w:r>
        <w:rPr>
          <w:rFonts w:hint="eastAsia" w:ascii="宋体" w:hAnsi="宋体"/>
          <w:color w:val="auto"/>
        </w:rPr>
        <w:t>工程人工</w:t>
      </w:r>
      <w:r>
        <w:rPr>
          <w:rFonts w:hint="eastAsia" w:ascii="宋体" w:hAnsi="宋体"/>
          <w:color w:val="auto"/>
          <w:lang w:val="en-US" w:eastAsia="zh-CN"/>
        </w:rPr>
        <w:t>91.02</w:t>
      </w:r>
      <w:r>
        <w:rPr>
          <w:rFonts w:hint="eastAsia" w:ascii="宋体" w:hAnsi="宋体"/>
          <w:color w:val="auto"/>
        </w:rPr>
        <w:t>元</w:t>
      </w:r>
      <w:r>
        <w:rPr>
          <w:rFonts w:ascii="宋体" w:hAnsi="宋体"/>
          <w:color w:val="auto"/>
        </w:rPr>
        <w:t>/</w:t>
      </w:r>
      <w:r>
        <w:rPr>
          <w:rFonts w:hint="eastAsia" w:ascii="宋体" w:hAnsi="宋体"/>
          <w:color w:val="auto"/>
        </w:rPr>
        <w:t>工日</w:t>
      </w:r>
      <w:r>
        <w:rPr>
          <w:rFonts w:hint="eastAsia" w:ascii="宋体" w:hAnsi="宋体"/>
          <w:color w:val="auto"/>
          <w:szCs w:val="21"/>
        </w:rPr>
        <w:t>，施工机械机上人工</w:t>
      </w:r>
      <w:r>
        <w:rPr>
          <w:rFonts w:hint="eastAsia" w:ascii="宋体" w:hAnsi="宋体"/>
          <w:color w:val="auto"/>
          <w:szCs w:val="21"/>
          <w:lang w:val="en-US" w:eastAsia="zh-CN"/>
        </w:rPr>
        <w:t>91.02</w:t>
      </w:r>
      <w:r>
        <w:rPr>
          <w:rFonts w:hint="eastAsia" w:ascii="宋体" w:hAnsi="宋体"/>
          <w:color w:val="auto"/>
          <w:szCs w:val="21"/>
        </w:rPr>
        <w:t>元</w:t>
      </w:r>
      <w:r>
        <w:rPr>
          <w:rFonts w:ascii="宋体" w:hAnsi="宋体"/>
          <w:color w:val="auto"/>
          <w:szCs w:val="21"/>
        </w:rPr>
        <w:t>/</w:t>
      </w:r>
      <w:r>
        <w:rPr>
          <w:rFonts w:hint="eastAsia" w:ascii="宋体" w:hAnsi="宋体"/>
          <w:color w:val="auto"/>
          <w:szCs w:val="21"/>
        </w:rPr>
        <w:t>工日。</w:t>
      </w:r>
    </w:p>
    <w:p w14:paraId="63991E2B">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ascii="宋体"/>
          <w:szCs w:val="21"/>
        </w:rPr>
      </w:pPr>
      <w:r>
        <w:rPr>
          <w:rFonts w:hint="eastAsia" w:ascii="宋体" w:hAnsi="宋体"/>
          <w:szCs w:val="21"/>
          <w:lang w:val="en-US" w:eastAsia="zh-CN"/>
        </w:rPr>
        <w:t>8</w:t>
      </w:r>
      <w:r>
        <w:rPr>
          <w:rFonts w:hint="eastAsia" w:ascii="宋体" w:hAnsi="宋体"/>
          <w:szCs w:val="21"/>
        </w:rPr>
        <w:t>、税金调整执行塔地住建发【</w:t>
      </w:r>
      <w:r>
        <w:rPr>
          <w:rFonts w:ascii="宋体" w:hAnsi="宋体"/>
          <w:szCs w:val="21"/>
        </w:rPr>
        <w:t>201</w:t>
      </w:r>
      <w:r>
        <w:rPr>
          <w:rFonts w:hint="eastAsia" w:ascii="宋体" w:hAnsi="宋体"/>
          <w:szCs w:val="21"/>
          <w:lang w:val="en-US" w:eastAsia="zh-CN"/>
        </w:rPr>
        <w:t>9</w:t>
      </w:r>
      <w:r>
        <w:rPr>
          <w:rFonts w:hint="eastAsia" w:ascii="宋体" w:hAnsi="宋体"/>
          <w:szCs w:val="21"/>
        </w:rPr>
        <w:t>】</w:t>
      </w:r>
      <w:r>
        <w:rPr>
          <w:rFonts w:hint="eastAsia" w:ascii="宋体" w:hAnsi="宋体"/>
          <w:szCs w:val="21"/>
          <w:lang w:val="en-US" w:eastAsia="zh-CN"/>
        </w:rPr>
        <w:t>71</w:t>
      </w:r>
      <w:r>
        <w:rPr>
          <w:rFonts w:hint="eastAsia" w:ascii="宋体" w:hAnsi="宋体"/>
          <w:szCs w:val="21"/>
        </w:rPr>
        <w:t>号，税率为</w:t>
      </w:r>
      <w:r>
        <w:rPr>
          <w:rFonts w:hint="eastAsia" w:ascii="宋体" w:hAnsi="宋体"/>
          <w:szCs w:val="21"/>
          <w:lang w:val="en-US" w:eastAsia="zh-CN"/>
        </w:rPr>
        <w:t>9</w:t>
      </w:r>
      <w:r>
        <w:rPr>
          <w:rFonts w:ascii="宋体" w:hAnsi="宋体"/>
          <w:szCs w:val="21"/>
        </w:rPr>
        <w:t>%</w:t>
      </w:r>
      <w:r>
        <w:rPr>
          <w:rFonts w:hint="eastAsia" w:ascii="宋体" w:hAnsi="宋体"/>
          <w:szCs w:val="21"/>
        </w:rPr>
        <w:t>。</w:t>
      </w:r>
    </w:p>
    <w:p w14:paraId="0536D7D7">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rPr>
      </w:pPr>
      <w:r>
        <w:rPr>
          <w:rFonts w:hint="eastAsia" w:ascii="宋体" w:hAnsi="宋体"/>
          <w:szCs w:val="21"/>
          <w:lang w:val="en-US" w:eastAsia="zh-CN"/>
        </w:rPr>
        <w:t>9</w:t>
      </w:r>
      <w:r>
        <w:rPr>
          <w:rFonts w:hint="eastAsia" w:ascii="宋体" w:hAnsi="宋体"/>
          <w:szCs w:val="21"/>
        </w:rPr>
        <w:t>、本工程材料风险</w:t>
      </w:r>
      <w:r>
        <w:rPr>
          <w:rFonts w:hint="eastAsia" w:ascii="宋体" w:hAnsi="宋体"/>
          <w:szCs w:val="21"/>
          <w:lang w:eastAsia="zh-CN"/>
        </w:rPr>
        <w:t>记取执行</w:t>
      </w:r>
      <w:r>
        <w:rPr>
          <w:rFonts w:hint="eastAsia" w:ascii="宋体" w:hAnsi="宋体"/>
          <w:szCs w:val="21"/>
        </w:rPr>
        <w:t>文件依据《关于建筑材料价格风险费用计取的指导意见》（新建标[2008]4号）。</w:t>
      </w:r>
    </w:p>
    <w:p w14:paraId="54D6CE27">
      <w:pPr>
        <w:keepNext w:val="0"/>
        <w:keepLines w:val="0"/>
        <w:pageBreakBefore w:val="0"/>
        <w:kinsoku/>
        <w:wordWrap/>
        <w:overflowPunct/>
        <w:topLinePunct w:val="0"/>
        <w:autoSpaceDE/>
        <w:autoSpaceDN/>
        <w:bidi w:val="0"/>
        <w:adjustRightInd/>
        <w:snapToGrid/>
        <w:spacing w:line="440" w:lineRule="exact"/>
        <w:ind w:left="0" w:leftChars="0" w:firstLine="420" w:firstLineChars="200"/>
        <w:textAlignment w:val="auto"/>
        <w:rPr>
          <w:rFonts w:hint="default" w:ascii="宋体" w:hAnsi="宋体" w:cs="Times New Roman"/>
          <w:szCs w:val="21"/>
          <w:lang w:val="en-US" w:eastAsia="zh-CN"/>
        </w:rPr>
      </w:pPr>
      <w:r>
        <w:rPr>
          <w:rFonts w:hint="eastAsia" w:ascii="宋体" w:hAnsi="宋体"/>
          <w:szCs w:val="21"/>
          <w:lang w:val="en-US" w:eastAsia="zh-CN"/>
        </w:rPr>
        <w:t>10、</w:t>
      </w:r>
      <w:r>
        <w:rPr>
          <w:rFonts w:hint="eastAsia" w:ascii="宋体" w:hAnsi="宋体"/>
          <w:szCs w:val="21"/>
        </w:rPr>
        <w:t>本</w:t>
      </w:r>
      <w:r>
        <w:rPr>
          <w:rFonts w:hint="eastAsia" w:ascii="宋体" w:hAnsi="宋体" w:eastAsia="宋体" w:cs="Times New Roman"/>
          <w:kern w:val="2"/>
          <w:sz w:val="21"/>
          <w:szCs w:val="21"/>
          <w:lang w:val="en-US" w:eastAsia="zh-CN" w:bidi="ar-SA"/>
        </w:rPr>
        <w:t>工程</w:t>
      </w:r>
      <w:r>
        <w:rPr>
          <w:rFonts w:hint="eastAsia" w:ascii="宋体" w:hAnsi="宋体" w:cs="Times New Roman"/>
          <w:kern w:val="2"/>
          <w:sz w:val="21"/>
          <w:szCs w:val="21"/>
          <w:lang w:val="en-US" w:eastAsia="zh-CN" w:bidi="ar-SA"/>
        </w:rPr>
        <w:t>共</w:t>
      </w:r>
      <w:r>
        <w:rPr>
          <w:rFonts w:hint="eastAsia" w:ascii="宋体" w:hAnsi="宋体" w:eastAsia="宋体" w:cs="Times New Roman"/>
          <w:kern w:val="2"/>
          <w:sz w:val="21"/>
          <w:szCs w:val="21"/>
          <w:lang w:val="en-US" w:eastAsia="zh-CN" w:bidi="ar-SA"/>
        </w:rPr>
        <w:t>计入暂列</w:t>
      </w:r>
      <w:r>
        <w:rPr>
          <w:rFonts w:hint="eastAsia" w:ascii="宋体" w:hAnsi="宋体" w:cs="Times New Roman"/>
          <w:szCs w:val="21"/>
          <w:lang w:val="en-US" w:eastAsia="zh-CN"/>
        </w:rPr>
        <w:t>金50000元。</w:t>
      </w:r>
    </w:p>
    <w:p w14:paraId="0D1B490E">
      <w:pPr>
        <w:keepNext w:val="0"/>
        <w:keepLines w:val="0"/>
        <w:pageBreakBefore w:val="0"/>
        <w:kinsoku/>
        <w:wordWrap/>
        <w:overflowPunct/>
        <w:topLinePunct w:val="0"/>
        <w:autoSpaceDE/>
        <w:autoSpaceDN/>
        <w:bidi w:val="0"/>
        <w:adjustRightInd/>
        <w:snapToGrid/>
        <w:spacing w:line="440" w:lineRule="exact"/>
        <w:ind w:left="0" w:leftChars="0" w:firstLine="420" w:firstLineChars="200"/>
        <w:textAlignment w:val="auto"/>
        <w:rPr>
          <w:rFonts w:hint="default" w:ascii="宋体" w:hAnsi="宋体" w:cs="Times New Roman"/>
          <w:szCs w:val="21"/>
          <w:lang w:val="en-US" w:eastAsia="zh-CN"/>
        </w:rPr>
      </w:pPr>
      <w:r>
        <w:rPr>
          <w:rFonts w:hint="eastAsia" w:ascii="宋体" w:hAnsi="宋体" w:cs="Times New Roman"/>
          <w:szCs w:val="21"/>
          <w:lang w:val="en-US" w:eastAsia="zh-CN"/>
        </w:rPr>
        <w:t>11、本工程共计入专业工程暂估价58000元。</w:t>
      </w:r>
    </w:p>
    <w:p w14:paraId="76B65853">
      <w:pPr>
        <w:keepNext w:val="0"/>
        <w:keepLines w:val="0"/>
        <w:pageBreakBefore w:val="0"/>
        <w:kinsoku/>
        <w:wordWrap/>
        <w:overflowPunct/>
        <w:topLinePunct w:val="0"/>
        <w:autoSpaceDE/>
        <w:autoSpaceDN/>
        <w:bidi w:val="0"/>
        <w:adjustRightInd/>
        <w:snapToGrid/>
        <w:spacing w:line="440" w:lineRule="exact"/>
        <w:ind w:left="0" w:leftChars="0" w:firstLine="420" w:firstLineChars="200"/>
        <w:textAlignment w:val="auto"/>
        <w:rPr>
          <w:rFonts w:hint="default" w:ascii="宋体" w:hAnsi="宋体" w:cs="Times New Roman"/>
          <w:szCs w:val="21"/>
          <w:lang w:val="en-US" w:eastAsia="zh-CN"/>
        </w:rPr>
      </w:pPr>
      <w:r>
        <w:rPr>
          <w:rFonts w:hint="eastAsia" w:ascii="宋体" w:hAnsi="宋体" w:cs="Times New Roman"/>
          <w:szCs w:val="21"/>
          <w:lang w:val="en-US" w:eastAsia="zh-CN"/>
        </w:rPr>
        <w:t>12、本工程未计入材料暂估价。</w:t>
      </w:r>
    </w:p>
    <w:p w14:paraId="7F6E13A6">
      <w:pPr>
        <w:keepNext w:val="0"/>
        <w:keepLines w:val="0"/>
        <w:pageBreakBefore w:val="0"/>
        <w:kinsoku/>
        <w:wordWrap/>
        <w:overflowPunct/>
        <w:topLinePunct w:val="0"/>
        <w:autoSpaceDE/>
        <w:autoSpaceDN/>
        <w:bidi w:val="0"/>
        <w:adjustRightInd/>
        <w:snapToGrid/>
        <w:spacing w:line="520" w:lineRule="exact"/>
        <w:ind w:firstLine="422" w:firstLineChars="200"/>
        <w:textAlignment w:val="auto"/>
        <w:rPr>
          <w:rFonts w:hint="eastAsia" w:ascii="宋体" w:hAnsi="宋体"/>
          <w:b/>
          <w:bCs/>
          <w:color w:val="auto"/>
          <w:szCs w:val="21"/>
        </w:rPr>
      </w:pPr>
      <w:r>
        <w:rPr>
          <w:rFonts w:hint="eastAsia" w:ascii="宋体" w:hAnsi="宋体"/>
          <w:b/>
          <w:bCs/>
          <w:color w:val="auto"/>
          <w:lang w:val="en-US" w:eastAsia="zh-CN"/>
        </w:rPr>
        <w:t>五</w:t>
      </w:r>
      <w:r>
        <w:rPr>
          <w:rFonts w:hint="eastAsia" w:ascii="宋体" w:hAnsi="宋体"/>
          <w:b/>
          <w:bCs/>
          <w:color w:val="auto"/>
          <w:szCs w:val="21"/>
          <w:lang w:eastAsia="zh-CN"/>
        </w:rPr>
        <w:t>、</w:t>
      </w:r>
      <w:r>
        <w:rPr>
          <w:rFonts w:hint="eastAsia" w:ascii="宋体" w:hAnsi="宋体"/>
          <w:b/>
          <w:bCs/>
          <w:color w:val="auto"/>
          <w:szCs w:val="21"/>
        </w:rPr>
        <w:t xml:space="preserve">其他 </w:t>
      </w:r>
    </w:p>
    <w:p w14:paraId="2BFBA55A">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lang w:val="en-US" w:eastAsia="zh-CN"/>
        </w:rPr>
      </w:pPr>
      <w:r>
        <w:rPr>
          <w:rFonts w:hint="eastAsia" w:ascii="宋体" w:hAnsi="宋体"/>
          <w:szCs w:val="21"/>
          <w:lang w:val="en-US" w:eastAsia="zh-CN"/>
        </w:rPr>
        <w:t>1、本项目招标控制价为786180.08元（大写：柒拾捌万陆仟壹佰捌拾元零捌分）</w:t>
      </w:r>
    </w:p>
    <w:p w14:paraId="551F6923">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lang w:val="en-US" w:eastAsia="zh-CN"/>
        </w:rPr>
      </w:pPr>
      <w:bookmarkStart w:id="2" w:name="_GoBack"/>
      <w:bookmarkEnd w:id="2"/>
    </w:p>
    <w:p w14:paraId="0C974240">
      <w:pPr>
        <w:keepNext w:val="0"/>
        <w:keepLines w:val="0"/>
        <w:pageBreakBefore w:val="0"/>
        <w:kinsoku/>
        <w:wordWrap/>
        <w:overflowPunct/>
        <w:topLinePunct w:val="0"/>
        <w:autoSpaceDE/>
        <w:autoSpaceDN/>
        <w:bidi w:val="0"/>
        <w:adjustRightInd/>
        <w:snapToGrid/>
        <w:spacing w:line="520" w:lineRule="exact"/>
        <w:jc w:val="right"/>
        <w:textAlignment w:val="auto"/>
        <w:rPr>
          <w:rFonts w:hint="eastAsia" w:ascii="宋体" w:hAnsi="宋体"/>
          <w:color w:val="auto"/>
          <w:sz w:val="24"/>
          <w:szCs w:val="24"/>
          <w:lang w:val="en-US" w:eastAsia="zh-CN"/>
        </w:rPr>
      </w:pPr>
      <w:r>
        <w:rPr>
          <w:rFonts w:hint="eastAsia" w:ascii="宋体" w:hAnsi="宋体"/>
          <w:color w:val="auto"/>
          <w:sz w:val="24"/>
          <w:szCs w:val="24"/>
          <w:lang w:eastAsia="zh-CN"/>
        </w:rPr>
        <w:t>新疆</w:t>
      </w:r>
      <w:r>
        <w:rPr>
          <w:rFonts w:hint="eastAsia" w:ascii="宋体" w:hAnsi="宋体"/>
          <w:color w:val="auto"/>
          <w:sz w:val="24"/>
          <w:szCs w:val="24"/>
          <w:lang w:val="en-US" w:eastAsia="zh-CN"/>
        </w:rPr>
        <w:t>民盛</w:t>
      </w:r>
      <w:r>
        <w:rPr>
          <w:rFonts w:hint="eastAsia" w:ascii="宋体" w:hAnsi="宋体"/>
          <w:color w:val="auto"/>
          <w:sz w:val="24"/>
          <w:szCs w:val="24"/>
          <w:lang w:eastAsia="zh-CN"/>
        </w:rPr>
        <w:t>工程管理</w:t>
      </w:r>
      <w:r>
        <w:rPr>
          <w:rFonts w:hint="eastAsia" w:ascii="宋体" w:hAnsi="宋体"/>
          <w:color w:val="auto"/>
          <w:sz w:val="24"/>
          <w:szCs w:val="24"/>
          <w:lang w:val="en-US" w:eastAsia="zh-CN"/>
        </w:rPr>
        <w:t>服务</w:t>
      </w:r>
      <w:r>
        <w:rPr>
          <w:rFonts w:hint="eastAsia" w:ascii="宋体" w:hAnsi="宋体"/>
          <w:color w:val="auto"/>
          <w:sz w:val="24"/>
          <w:szCs w:val="24"/>
          <w:lang w:eastAsia="zh-CN"/>
        </w:rPr>
        <w:t>有限责任公司</w:t>
      </w:r>
      <w:r>
        <w:rPr>
          <w:rFonts w:hint="eastAsia" w:ascii="宋体" w:hAnsi="宋体"/>
          <w:color w:val="auto"/>
          <w:sz w:val="24"/>
          <w:szCs w:val="24"/>
          <w:lang w:val="en-US" w:eastAsia="zh-CN"/>
        </w:rPr>
        <w:t xml:space="preserve">                     </w:t>
      </w:r>
    </w:p>
    <w:p w14:paraId="75CAEC8B">
      <w:pPr>
        <w:keepNext w:val="0"/>
        <w:keepLines w:val="0"/>
        <w:pageBreakBefore w:val="0"/>
        <w:kinsoku/>
        <w:wordWrap w:val="0"/>
        <w:overflowPunct/>
        <w:topLinePunct w:val="0"/>
        <w:autoSpaceDE/>
        <w:autoSpaceDN/>
        <w:bidi w:val="0"/>
        <w:adjustRightInd/>
        <w:snapToGrid/>
        <w:spacing w:line="520" w:lineRule="exact"/>
        <w:jc w:val="right"/>
        <w:textAlignment w:val="auto"/>
        <w:rPr>
          <w:rFonts w:hint="default" w:ascii="宋体" w:hAnsi="宋体"/>
          <w:color w:val="auto"/>
          <w:sz w:val="24"/>
          <w:szCs w:val="24"/>
          <w:lang w:val="en-US" w:eastAsia="zh-CN"/>
        </w:rPr>
      </w:pPr>
      <w:r>
        <w:rPr>
          <w:rFonts w:hint="eastAsia" w:ascii="宋体" w:hAnsi="宋体"/>
          <w:color w:val="auto"/>
          <w:sz w:val="24"/>
          <w:szCs w:val="24"/>
          <w:lang w:val="en-US" w:eastAsia="zh-CN"/>
        </w:rPr>
        <w:t xml:space="preserve">2025年5月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kNjRhOTJhMzU0YmU2OGE0MThlMjgyYWJlZTYxNDAifQ=="/>
  </w:docVars>
  <w:rsids>
    <w:rsidRoot w:val="003A0A7D"/>
    <w:rsid w:val="000064B0"/>
    <w:rsid w:val="00030A5C"/>
    <w:rsid w:val="00053DDC"/>
    <w:rsid w:val="00072467"/>
    <w:rsid w:val="000E2823"/>
    <w:rsid w:val="000F7F19"/>
    <w:rsid w:val="0010170E"/>
    <w:rsid w:val="001078F9"/>
    <w:rsid w:val="00136F87"/>
    <w:rsid w:val="00146615"/>
    <w:rsid w:val="0015023D"/>
    <w:rsid w:val="00173C26"/>
    <w:rsid w:val="00192709"/>
    <w:rsid w:val="001A3810"/>
    <w:rsid w:val="001C470A"/>
    <w:rsid w:val="001C52A0"/>
    <w:rsid w:val="001E1D49"/>
    <w:rsid w:val="001E616C"/>
    <w:rsid w:val="002476C1"/>
    <w:rsid w:val="0026359C"/>
    <w:rsid w:val="00294678"/>
    <w:rsid w:val="00305DE5"/>
    <w:rsid w:val="00330775"/>
    <w:rsid w:val="00332CF3"/>
    <w:rsid w:val="0033750C"/>
    <w:rsid w:val="003616A9"/>
    <w:rsid w:val="00362751"/>
    <w:rsid w:val="00385582"/>
    <w:rsid w:val="003A0A7D"/>
    <w:rsid w:val="003A54D3"/>
    <w:rsid w:val="003C5537"/>
    <w:rsid w:val="003C57FF"/>
    <w:rsid w:val="003D3F4A"/>
    <w:rsid w:val="003D5A8C"/>
    <w:rsid w:val="003E29CE"/>
    <w:rsid w:val="003E622D"/>
    <w:rsid w:val="003E74B1"/>
    <w:rsid w:val="003F1C1C"/>
    <w:rsid w:val="00421887"/>
    <w:rsid w:val="00423442"/>
    <w:rsid w:val="0044471B"/>
    <w:rsid w:val="0045518D"/>
    <w:rsid w:val="0045690A"/>
    <w:rsid w:val="00464D45"/>
    <w:rsid w:val="004850D1"/>
    <w:rsid w:val="004A39BD"/>
    <w:rsid w:val="004D760F"/>
    <w:rsid w:val="004E3DC4"/>
    <w:rsid w:val="004E5F39"/>
    <w:rsid w:val="00504170"/>
    <w:rsid w:val="00541BEE"/>
    <w:rsid w:val="00543B40"/>
    <w:rsid w:val="0054754C"/>
    <w:rsid w:val="00547685"/>
    <w:rsid w:val="00556398"/>
    <w:rsid w:val="005622BF"/>
    <w:rsid w:val="0056345C"/>
    <w:rsid w:val="00581B9A"/>
    <w:rsid w:val="005873D4"/>
    <w:rsid w:val="00591900"/>
    <w:rsid w:val="00595D75"/>
    <w:rsid w:val="005B2671"/>
    <w:rsid w:val="005C3CE1"/>
    <w:rsid w:val="005D203A"/>
    <w:rsid w:val="005E28AB"/>
    <w:rsid w:val="005F04B7"/>
    <w:rsid w:val="00611F7E"/>
    <w:rsid w:val="006211BB"/>
    <w:rsid w:val="00623AD8"/>
    <w:rsid w:val="006323AF"/>
    <w:rsid w:val="00646C47"/>
    <w:rsid w:val="00654471"/>
    <w:rsid w:val="006549A0"/>
    <w:rsid w:val="00685B89"/>
    <w:rsid w:val="006875F6"/>
    <w:rsid w:val="00691FBB"/>
    <w:rsid w:val="006C69FC"/>
    <w:rsid w:val="006E7D10"/>
    <w:rsid w:val="0070604A"/>
    <w:rsid w:val="007069CE"/>
    <w:rsid w:val="00726171"/>
    <w:rsid w:val="00760CC4"/>
    <w:rsid w:val="0077746F"/>
    <w:rsid w:val="007A277B"/>
    <w:rsid w:val="007B49A1"/>
    <w:rsid w:val="007C1B28"/>
    <w:rsid w:val="007C45DF"/>
    <w:rsid w:val="007C6A6A"/>
    <w:rsid w:val="007F393E"/>
    <w:rsid w:val="00802B65"/>
    <w:rsid w:val="0081382E"/>
    <w:rsid w:val="008308ED"/>
    <w:rsid w:val="008562AB"/>
    <w:rsid w:val="00865009"/>
    <w:rsid w:val="008A0545"/>
    <w:rsid w:val="008D4808"/>
    <w:rsid w:val="008E7EEB"/>
    <w:rsid w:val="00931984"/>
    <w:rsid w:val="00931FA5"/>
    <w:rsid w:val="00947CB0"/>
    <w:rsid w:val="00960471"/>
    <w:rsid w:val="00971031"/>
    <w:rsid w:val="0097120D"/>
    <w:rsid w:val="00971D27"/>
    <w:rsid w:val="0097475A"/>
    <w:rsid w:val="009A5026"/>
    <w:rsid w:val="009A5B3A"/>
    <w:rsid w:val="009B3F23"/>
    <w:rsid w:val="009B40A4"/>
    <w:rsid w:val="009C3451"/>
    <w:rsid w:val="009D0605"/>
    <w:rsid w:val="009D3534"/>
    <w:rsid w:val="009E5992"/>
    <w:rsid w:val="009F0F26"/>
    <w:rsid w:val="00A13201"/>
    <w:rsid w:val="00A42837"/>
    <w:rsid w:val="00A573C3"/>
    <w:rsid w:val="00A8747D"/>
    <w:rsid w:val="00A94801"/>
    <w:rsid w:val="00A97E1D"/>
    <w:rsid w:val="00B05702"/>
    <w:rsid w:val="00B4734C"/>
    <w:rsid w:val="00B5557C"/>
    <w:rsid w:val="00B64711"/>
    <w:rsid w:val="00BA3CC1"/>
    <w:rsid w:val="00BC3A47"/>
    <w:rsid w:val="00BC7F77"/>
    <w:rsid w:val="00BD05C9"/>
    <w:rsid w:val="00BF7639"/>
    <w:rsid w:val="00BF79B8"/>
    <w:rsid w:val="00C21B5F"/>
    <w:rsid w:val="00C311BC"/>
    <w:rsid w:val="00C84D64"/>
    <w:rsid w:val="00C918C9"/>
    <w:rsid w:val="00C93F6D"/>
    <w:rsid w:val="00CA5D44"/>
    <w:rsid w:val="00CB6944"/>
    <w:rsid w:val="00CD2CAE"/>
    <w:rsid w:val="00CE0288"/>
    <w:rsid w:val="00D002F5"/>
    <w:rsid w:val="00D51D10"/>
    <w:rsid w:val="00D6448A"/>
    <w:rsid w:val="00D6675D"/>
    <w:rsid w:val="00D67ACF"/>
    <w:rsid w:val="00D713C7"/>
    <w:rsid w:val="00D734AA"/>
    <w:rsid w:val="00D90F3F"/>
    <w:rsid w:val="00DB33C1"/>
    <w:rsid w:val="00DD70AB"/>
    <w:rsid w:val="00E11994"/>
    <w:rsid w:val="00E20230"/>
    <w:rsid w:val="00E2399A"/>
    <w:rsid w:val="00E3748A"/>
    <w:rsid w:val="00E51CB9"/>
    <w:rsid w:val="00E656C1"/>
    <w:rsid w:val="00E81C07"/>
    <w:rsid w:val="00EA10A5"/>
    <w:rsid w:val="00EA65EF"/>
    <w:rsid w:val="00EC2956"/>
    <w:rsid w:val="00ED157C"/>
    <w:rsid w:val="00EF079A"/>
    <w:rsid w:val="00F147AB"/>
    <w:rsid w:val="00F26E0B"/>
    <w:rsid w:val="00F434BF"/>
    <w:rsid w:val="00F9487E"/>
    <w:rsid w:val="00FB77E5"/>
    <w:rsid w:val="00FF3D0F"/>
    <w:rsid w:val="015E5754"/>
    <w:rsid w:val="01BF6747"/>
    <w:rsid w:val="01D90FF3"/>
    <w:rsid w:val="02742D25"/>
    <w:rsid w:val="03517A50"/>
    <w:rsid w:val="03FC16A4"/>
    <w:rsid w:val="040F7385"/>
    <w:rsid w:val="0485020D"/>
    <w:rsid w:val="04F326B9"/>
    <w:rsid w:val="050B4CE8"/>
    <w:rsid w:val="05AF540B"/>
    <w:rsid w:val="075A0C72"/>
    <w:rsid w:val="08160049"/>
    <w:rsid w:val="084018A2"/>
    <w:rsid w:val="08BE6FB3"/>
    <w:rsid w:val="0957242D"/>
    <w:rsid w:val="09C15448"/>
    <w:rsid w:val="0A963E9C"/>
    <w:rsid w:val="0AC153CD"/>
    <w:rsid w:val="0BFC55EF"/>
    <w:rsid w:val="0C596EFE"/>
    <w:rsid w:val="0DC113DE"/>
    <w:rsid w:val="0DCB64A0"/>
    <w:rsid w:val="0F284664"/>
    <w:rsid w:val="0FC44D9A"/>
    <w:rsid w:val="0FEE72E8"/>
    <w:rsid w:val="109E6287"/>
    <w:rsid w:val="125E28C0"/>
    <w:rsid w:val="126E2E7A"/>
    <w:rsid w:val="12742637"/>
    <w:rsid w:val="12F67EEA"/>
    <w:rsid w:val="134B3116"/>
    <w:rsid w:val="14C80E2F"/>
    <w:rsid w:val="153D27CA"/>
    <w:rsid w:val="15521584"/>
    <w:rsid w:val="16016D6B"/>
    <w:rsid w:val="161E0125"/>
    <w:rsid w:val="16685453"/>
    <w:rsid w:val="1688382D"/>
    <w:rsid w:val="17966E26"/>
    <w:rsid w:val="194F4FD8"/>
    <w:rsid w:val="19AF7F98"/>
    <w:rsid w:val="19BC2D93"/>
    <w:rsid w:val="19E66A7E"/>
    <w:rsid w:val="19FE36CC"/>
    <w:rsid w:val="1A837F8E"/>
    <w:rsid w:val="1AFA0A84"/>
    <w:rsid w:val="1C2A76E9"/>
    <w:rsid w:val="1C567F64"/>
    <w:rsid w:val="1D00042F"/>
    <w:rsid w:val="1D6653E4"/>
    <w:rsid w:val="1DD2202A"/>
    <w:rsid w:val="1EB97897"/>
    <w:rsid w:val="1F6B1A10"/>
    <w:rsid w:val="1FD00694"/>
    <w:rsid w:val="2023059E"/>
    <w:rsid w:val="20564E91"/>
    <w:rsid w:val="2105158D"/>
    <w:rsid w:val="22555A6D"/>
    <w:rsid w:val="22CB727F"/>
    <w:rsid w:val="2368694F"/>
    <w:rsid w:val="2373298F"/>
    <w:rsid w:val="243B2A42"/>
    <w:rsid w:val="255F4B51"/>
    <w:rsid w:val="258862E1"/>
    <w:rsid w:val="25F438FA"/>
    <w:rsid w:val="25F940E3"/>
    <w:rsid w:val="2614042C"/>
    <w:rsid w:val="26915F9D"/>
    <w:rsid w:val="26F2197A"/>
    <w:rsid w:val="26F460F1"/>
    <w:rsid w:val="28430BE5"/>
    <w:rsid w:val="29740D18"/>
    <w:rsid w:val="29E62526"/>
    <w:rsid w:val="2B1E787C"/>
    <w:rsid w:val="2C035114"/>
    <w:rsid w:val="2CA97195"/>
    <w:rsid w:val="2D4A6342"/>
    <w:rsid w:val="2E816999"/>
    <w:rsid w:val="2E9164A0"/>
    <w:rsid w:val="2F3C1703"/>
    <w:rsid w:val="2F544DAB"/>
    <w:rsid w:val="301B005F"/>
    <w:rsid w:val="30F03EC6"/>
    <w:rsid w:val="31CA2CB1"/>
    <w:rsid w:val="32B220E5"/>
    <w:rsid w:val="32F163A0"/>
    <w:rsid w:val="32FF64B8"/>
    <w:rsid w:val="33AD1B0D"/>
    <w:rsid w:val="35357D2D"/>
    <w:rsid w:val="362A7130"/>
    <w:rsid w:val="37BF0817"/>
    <w:rsid w:val="3951224F"/>
    <w:rsid w:val="39DE7719"/>
    <w:rsid w:val="3B164BD3"/>
    <w:rsid w:val="3B2E52E4"/>
    <w:rsid w:val="3C2D3E3E"/>
    <w:rsid w:val="3C480EBB"/>
    <w:rsid w:val="3D4B11F6"/>
    <w:rsid w:val="3DC85A81"/>
    <w:rsid w:val="3FE44304"/>
    <w:rsid w:val="4024701D"/>
    <w:rsid w:val="43631912"/>
    <w:rsid w:val="439D2C94"/>
    <w:rsid w:val="43B835F7"/>
    <w:rsid w:val="44FF2E19"/>
    <w:rsid w:val="47F51C8B"/>
    <w:rsid w:val="48942F22"/>
    <w:rsid w:val="48C22171"/>
    <w:rsid w:val="49567AC4"/>
    <w:rsid w:val="4A8C56EF"/>
    <w:rsid w:val="4C30799A"/>
    <w:rsid w:val="4DB92865"/>
    <w:rsid w:val="4E3B3736"/>
    <w:rsid w:val="4E7749B4"/>
    <w:rsid w:val="4FBA3709"/>
    <w:rsid w:val="505D08B0"/>
    <w:rsid w:val="506D265B"/>
    <w:rsid w:val="50DE75DE"/>
    <w:rsid w:val="52734B96"/>
    <w:rsid w:val="52E56EC7"/>
    <w:rsid w:val="5323490A"/>
    <w:rsid w:val="53705506"/>
    <w:rsid w:val="53E43008"/>
    <w:rsid w:val="54B908A2"/>
    <w:rsid w:val="553B20C4"/>
    <w:rsid w:val="55990883"/>
    <w:rsid w:val="55A27CD6"/>
    <w:rsid w:val="57D416BE"/>
    <w:rsid w:val="57F054D5"/>
    <w:rsid w:val="59130835"/>
    <w:rsid w:val="5AC22A4B"/>
    <w:rsid w:val="5C1A1659"/>
    <w:rsid w:val="5C542807"/>
    <w:rsid w:val="5D916F3A"/>
    <w:rsid w:val="5DA03097"/>
    <w:rsid w:val="5DA1280B"/>
    <w:rsid w:val="5E7B6ABD"/>
    <w:rsid w:val="5F726FC0"/>
    <w:rsid w:val="618F1FCE"/>
    <w:rsid w:val="626C253F"/>
    <w:rsid w:val="6271362C"/>
    <w:rsid w:val="662B6FB5"/>
    <w:rsid w:val="67BB4C26"/>
    <w:rsid w:val="687765EE"/>
    <w:rsid w:val="69AF51D8"/>
    <w:rsid w:val="69BA2075"/>
    <w:rsid w:val="69C735F2"/>
    <w:rsid w:val="69E03AB5"/>
    <w:rsid w:val="6AAF721D"/>
    <w:rsid w:val="6B445CF6"/>
    <w:rsid w:val="6BCE0875"/>
    <w:rsid w:val="6C486057"/>
    <w:rsid w:val="6C772D9A"/>
    <w:rsid w:val="6C8A02CC"/>
    <w:rsid w:val="6D185F40"/>
    <w:rsid w:val="6E7335BA"/>
    <w:rsid w:val="6F490CF7"/>
    <w:rsid w:val="6F71228E"/>
    <w:rsid w:val="70804370"/>
    <w:rsid w:val="71554FDF"/>
    <w:rsid w:val="71E6122A"/>
    <w:rsid w:val="724B6623"/>
    <w:rsid w:val="735243C3"/>
    <w:rsid w:val="73AD0960"/>
    <w:rsid w:val="74083EA0"/>
    <w:rsid w:val="749D6A35"/>
    <w:rsid w:val="74FE794D"/>
    <w:rsid w:val="758E160B"/>
    <w:rsid w:val="767361D9"/>
    <w:rsid w:val="77170575"/>
    <w:rsid w:val="777E3EB8"/>
    <w:rsid w:val="786654A6"/>
    <w:rsid w:val="78EC6564"/>
    <w:rsid w:val="79335B93"/>
    <w:rsid w:val="794E124B"/>
    <w:rsid w:val="7A915F79"/>
    <w:rsid w:val="7AD947DD"/>
    <w:rsid w:val="7B972B66"/>
    <w:rsid w:val="7CBF0A7A"/>
    <w:rsid w:val="7EB42711"/>
    <w:rsid w:val="7F5759C7"/>
    <w:rsid w:val="7F805FF3"/>
    <w:rsid w:val="7F90393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0"/>
    <w:autoRedefine/>
    <w:semiHidden/>
    <w:unhideWhenUsed/>
    <w:qFormat/>
    <w:uiPriority w:val="99"/>
    <w:rPr>
      <w:sz w:val="18"/>
      <w:szCs w:val="18"/>
    </w:rPr>
  </w:style>
  <w:style w:type="paragraph" w:styleId="3">
    <w:name w:val="footer"/>
    <w:basedOn w:val="1"/>
    <w:link w:val="9"/>
    <w:autoRedefine/>
    <w:semiHidden/>
    <w:qFormat/>
    <w:uiPriority w:val="99"/>
    <w:pPr>
      <w:tabs>
        <w:tab w:val="center" w:pos="4153"/>
        <w:tab w:val="right" w:pos="8306"/>
      </w:tabs>
      <w:snapToGrid w:val="0"/>
      <w:jc w:val="left"/>
    </w:pPr>
    <w:rPr>
      <w:sz w:val="18"/>
      <w:szCs w:val="18"/>
    </w:rPr>
  </w:style>
  <w:style w:type="paragraph" w:styleId="4">
    <w:name w:val="header"/>
    <w:basedOn w:val="1"/>
    <w:link w:val="8"/>
    <w:autoRedefine/>
    <w:semiHidden/>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unhideWhenUsed/>
    <w:qFormat/>
    <w:uiPriority w:val="99"/>
    <w:pPr>
      <w:spacing w:beforeAutospacing="1" w:afterAutospacing="1"/>
      <w:jc w:val="left"/>
    </w:pPr>
    <w:rPr>
      <w:kern w:val="0"/>
      <w:sz w:val="24"/>
    </w:rPr>
  </w:style>
  <w:style w:type="character" w:customStyle="1" w:styleId="8">
    <w:name w:val="页眉 Char"/>
    <w:link w:val="4"/>
    <w:autoRedefine/>
    <w:semiHidden/>
    <w:qFormat/>
    <w:locked/>
    <w:uiPriority w:val="99"/>
    <w:rPr>
      <w:rFonts w:cs="Times New Roman"/>
      <w:kern w:val="2"/>
      <w:sz w:val="18"/>
      <w:szCs w:val="18"/>
    </w:rPr>
  </w:style>
  <w:style w:type="character" w:customStyle="1" w:styleId="9">
    <w:name w:val="页脚 Char"/>
    <w:link w:val="3"/>
    <w:autoRedefine/>
    <w:semiHidden/>
    <w:qFormat/>
    <w:locked/>
    <w:uiPriority w:val="99"/>
    <w:rPr>
      <w:rFonts w:cs="Times New Roman"/>
      <w:kern w:val="2"/>
      <w:sz w:val="18"/>
      <w:szCs w:val="18"/>
    </w:rPr>
  </w:style>
  <w:style w:type="character" w:customStyle="1" w:styleId="10">
    <w:name w:val="批注框文本 Char"/>
    <w:link w:val="2"/>
    <w:autoRedefine/>
    <w:semiHidden/>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0</Company>
  <Pages>2</Pages>
  <Words>1363</Words>
  <Characters>1536</Characters>
  <Lines>9</Lines>
  <Paragraphs>2</Paragraphs>
  <TotalTime>0</TotalTime>
  <ScaleCrop>false</ScaleCrop>
  <LinksUpToDate>false</LinksUpToDate>
  <CharactersWithSpaces>1563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2016-06-18T04:57:00Z</dcterms:created>
  <dc:creator>admin</dc:creator>
  <cp:lastModifiedBy>，，，</cp:lastModifiedBy>
  <cp:lastPrinted>2022-03-11T11:34:00Z</cp:lastPrinted>
  <dcterms:modified xsi:type="dcterms:W3CDTF">2025-05-20T06:13:55Z</dcterms:modified>
  <dc:title>xxx工程招标控制价编制说明</dc:title>
  <cp:revision>289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D3DDC88AE2164E1FB143A39F3DFAB8BB_13</vt:lpwstr>
  </property>
  <property fmtid="{D5CDD505-2E9C-101B-9397-08002B2CF9AE}" pid="4" name="KSOTemplateDocerSaveRecord">
    <vt:lpwstr>eyJoZGlkIjoiN2NkNjRhOTJhMzU0YmU2OGE0MThlMjgyYWJlZTYxNDAiLCJ1c2VySWQiOiIzMjcwMjc5MjcifQ==</vt:lpwstr>
  </property>
</Properties>
</file>