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楷体_GB2312" w:eastAsia="宋体"/>
          <w:b/>
          <w:color w:val="auto"/>
          <w:sz w:val="72"/>
          <w:highlight w:val="none"/>
          <w:lang w:val="en-US" w:eastAsia="zh-CN"/>
        </w:rPr>
      </w:pPr>
      <w:r>
        <w:rPr>
          <w:rFonts w:hint="eastAsia" w:ascii="楷体_GB2312"/>
          <w:b/>
          <w:color w:val="auto"/>
          <w:sz w:val="72"/>
          <w:highlight w:val="none"/>
          <w:lang w:val="en-US" w:eastAsia="zh-CN"/>
        </w:rPr>
        <w:t xml:space="preserve">  </w:t>
      </w:r>
    </w:p>
    <w:p>
      <w:pPr>
        <w:jc w:val="center"/>
        <w:rPr>
          <w:rFonts w:hint="eastAsia" w:ascii="楷体_GB2312"/>
          <w:b/>
          <w:color w:val="auto"/>
          <w:sz w:val="72"/>
          <w:highlight w:val="none"/>
        </w:rPr>
      </w:pPr>
    </w:p>
    <w:p>
      <w:pPr>
        <w:jc w:val="center"/>
        <w:rPr>
          <w:rFonts w:hint="eastAsia" w:ascii="楷体_GB2312"/>
          <w:b/>
          <w:color w:val="auto"/>
          <w:sz w:val="72"/>
          <w:highlight w:val="none"/>
        </w:rPr>
      </w:pPr>
    </w:p>
    <w:p>
      <w:pPr>
        <w:jc w:val="center"/>
        <w:rPr>
          <w:rFonts w:hint="eastAsia" w:ascii="楷体_GB2312"/>
          <w:b/>
          <w:color w:val="auto"/>
          <w:sz w:val="72"/>
          <w:highlight w:val="none"/>
        </w:rPr>
      </w:pPr>
      <w:r>
        <w:rPr>
          <w:rFonts w:hint="eastAsia" w:ascii="楷体_GB2312"/>
          <w:b/>
          <w:color w:val="auto"/>
          <w:sz w:val="72"/>
          <w:highlight w:val="none"/>
        </w:rPr>
        <w:t>政  府  采  购</w:t>
      </w:r>
    </w:p>
    <w:p>
      <w:pPr>
        <w:jc w:val="center"/>
        <w:rPr>
          <w:rFonts w:hint="eastAsia" w:ascii="楷体_GB2312"/>
          <w:b/>
          <w:color w:val="auto"/>
          <w:sz w:val="100"/>
          <w:highlight w:val="none"/>
        </w:rPr>
      </w:pPr>
      <w:r>
        <w:rPr>
          <w:rFonts w:hint="eastAsia" w:ascii="楷体_GB2312"/>
          <w:b/>
          <w:color w:val="auto"/>
          <w:sz w:val="100"/>
          <w:highlight w:val="none"/>
        </w:rPr>
        <w:t>招　标　文　件</w:t>
      </w:r>
    </w:p>
    <w:p>
      <w:pPr>
        <w:rPr>
          <w:rFonts w:hint="eastAsia"/>
          <w:b/>
          <w:bCs/>
          <w:color w:val="auto"/>
          <w:sz w:val="32"/>
          <w:szCs w:val="32"/>
          <w:highlight w:val="none"/>
        </w:rPr>
      </w:pPr>
    </w:p>
    <w:p>
      <w:pPr>
        <w:rPr>
          <w:rFonts w:hint="eastAsia"/>
          <w:b/>
          <w:bCs/>
          <w:color w:val="auto"/>
          <w:sz w:val="32"/>
          <w:szCs w:val="32"/>
          <w:highlight w:val="none"/>
        </w:rPr>
      </w:pPr>
    </w:p>
    <w:p>
      <w:pPr>
        <w:rPr>
          <w:rFonts w:hint="eastAsia"/>
          <w:b/>
          <w:bCs/>
          <w:color w:val="auto"/>
          <w:sz w:val="32"/>
          <w:szCs w:val="32"/>
          <w:highlight w:val="none"/>
        </w:rPr>
      </w:pPr>
    </w:p>
    <w:p>
      <w:pPr>
        <w:pStyle w:val="11"/>
        <w:rPr>
          <w:rFonts w:hint="eastAsia"/>
          <w:color w:val="auto"/>
          <w:highlight w:val="none"/>
        </w:rPr>
      </w:pPr>
    </w:p>
    <w:p>
      <w:pPr>
        <w:ind w:left="2073" w:leftChars="330" w:hanging="1380" w:hangingChars="491"/>
        <w:rPr>
          <w:rFonts w:hint="eastAsia" w:ascii="楷体_GB2312"/>
          <w:b/>
          <w:bCs/>
          <w:color w:val="auto"/>
          <w:sz w:val="28"/>
          <w:szCs w:val="28"/>
          <w:highlight w:val="none"/>
          <w:lang w:val="en-US" w:eastAsia="zh-CN"/>
        </w:rPr>
      </w:pPr>
    </w:p>
    <w:p>
      <w:pPr>
        <w:ind w:left="2073" w:leftChars="330" w:hanging="1380" w:hangingChars="491"/>
        <w:rPr>
          <w:rFonts w:hint="eastAsia" w:ascii="楷体_GB2312"/>
          <w:b/>
          <w:bCs/>
          <w:color w:val="auto"/>
          <w:sz w:val="28"/>
          <w:szCs w:val="28"/>
          <w:highlight w:val="none"/>
          <w:lang w:val="en-US" w:eastAsia="zh-CN"/>
        </w:rPr>
      </w:pPr>
    </w:p>
    <w:p>
      <w:pPr>
        <w:jc w:val="center"/>
        <w:rPr>
          <w:rFonts w:hint="eastAsia" w:ascii="楷体_GB2312"/>
          <w:b/>
          <w:bCs/>
          <w:color w:val="auto"/>
          <w:sz w:val="36"/>
          <w:highlight w:val="none"/>
        </w:rPr>
      </w:pPr>
    </w:p>
    <w:p>
      <w:pPr>
        <w:rPr>
          <w:rFonts w:hint="eastAsia"/>
          <w:b/>
          <w:color w:val="auto"/>
          <w:sz w:val="30"/>
          <w:szCs w:val="30"/>
          <w:highlight w:val="none"/>
        </w:rPr>
      </w:pPr>
    </w:p>
    <w:p>
      <w:pPr>
        <w:rPr>
          <w:rFonts w:hint="eastAsia"/>
          <w:b/>
          <w:color w:val="auto"/>
          <w:sz w:val="30"/>
          <w:szCs w:val="30"/>
          <w:highlight w:val="none"/>
        </w:rPr>
      </w:pPr>
    </w:p>
    <w:p>
      <w:pPr>
        <w:rPr>
          <w:rFonts w:hint="eastAsia"/>
          <w:b/>
          <w:color w:val="auto"/>
          <w:sz w:val="30"/>
          <w:szCs w:val="30"/>
          <w:highlight w:val="none"/>
        </w:rPr>
      </w:pPr>
    </w:p>
    <w:p>
      <w:pPr>
        <w:pStyle w:val="11"/>
        <w:ind w:left="0" w:leftChars="0" w:firstLine="0" w:firstLineChars="0"/>
        <w:rPr>
          <w:rFonts w:hint="eastAsia"/>
          <w:b/>
          <w:color w:val="auto"/>
          <w:sz w:val="30"/>
          <w:szCs w:val="30"/>
          <w:highlight w:val="none"/>
        </w:rPr>
      </w:pPr>
    </w:p>
    <w:p>
      <w:pPr>
        <w:pStyle w:val="11"/>
        <w:ind w:left="0" w:leftChars="0" w:firstLine="0" w:firstLineChars="0"/>
        <w:rPr>
          <w:rFonts w:hint="eastAsia"/>
          <w:b/>
          <w:color w:val="auto"/>
          <w:sz w:val="30"/>
          <w:szCs w:val="30"/>
          <w:highlight w:val="none"/>
        </w:rPr>
      </w:pPr>
    </w:p>
    <w:p>
      <w:pPr>
        <w:pStyle w:val="11"/>
        <w:ind w:left="0" w:leftChars="0" w:firstLine="0" w:firstLineChars="0"/>
        <w:rPr>
          <w:rFonts w:hint="eastAsia"/>
          <w:b/>
          <w:color w:val="auto"/>
          <w:sz w:val="30"/>
          <w:szCs w:val="30"/>
          <w:highlight w:val="none"/>
        </w:rPr>
      </w:pPr>
    </w:p>
    <w:p>
      <w:pPr>
        <w:rPr>
          <w:rFonts w:hint="eastAsia"/>
          <w:b/>
          <w:color w:val="auto"/>
          <w:sz w:val="30"/>
          <w:szCs w:val="30"/>
          <w:highlight w:val="none"/>
        </w:rPr>
      </w:pPr>
    </w:p>
    <w:p>
      <w:pPr>
        <w:jc w:val="center"/>
        <w:rPr>
          <w:rFonts w:hint="eastAsia"/>
          <w:b/>
          <w:color w:val="auto"/>
          <w:sz w:val="30"/>
          <w:szCs w:val="30"/>
          <w:highlight w:val="none"/>
          <w:lang w:eastAsia="zh-CN"/>
        </w:rPr>
      </w:pPr>
      <w:r>
        <w:rPr>
          <w:rFonts w:hint="eastAsia"/>
          <w:b/>
          <w:color w:val="auto"/>
          <w:sz w:val="30"/>
          <w:szCs w:val="30"/>
          <w:highlight w:val="none"/>
        </w:rPr>
        <w:t>招标代理：</w:t>
      </w:r>
      <w:r>
        <w:rPr>
          <w:rFonts w:hint="eastAsia"/>
          <w:b/>
          <w:color w:val="auto"/>
          <w:sz w:val="30"/>
          <w:szCs w:val="30"/>
          <w:highlight w:val="none"/>
          <w:lang w:eastAsia="zh-CN"/>
        </w:rPr>
        <w:t>新疆楷源工程项目管理有限责任公司</w:t>
      </w:r>
    </w:p>
    <w:p>
      <w:pPr>
        <w:pStyle w:val="6"/>
        <w:rPr>
          <w:rFonts w:hint="eastAsia"/>
          <w:b/>
          <w:color w:val="auto"/>
          <w:sz w:val="30"/>
          <w:szCs w:val="30"/>
          <w:highlight w:val="none"/>
          <w:lang w:val="en-US" w:eastAsia="zh-CN"/>
        </w:rPr>
      </w:pPr>
      <w:r>
        <w:rPr>
          <w:rFonts w:hint="eastAsia"/>
          <w:b/>
          <w:color w:val="auto"/>
          <w:sz w:val="30"/>
          <w:szCs w:val="30"/>
          <w:highlight w:val="none"/>
          <w:lang w:val="en-US" w:eastAsia="zh-CN"/>
        </w:rPr>
        <w:t xml:space="preserve">           采购单位：皮山县教育局</w:t>
      </w:r>
    </w:p>
    <w:p>
      <w:pPr>
        <w:jc w:val="center"/>
        <w:rPr>
          <w:rFonts w:hint="default"/>
          <w:lang w:val="en-US" w:eastAsia="zh-CN"/>
        </w:rPr>
      </w:pPr>
      <w:r>
        <w:rPr>
          <w:rFonts w:hint="eastAsia"/>
          <w:b/>
          <w:color w:val="auto"/>
          <w:sz w:val="30"/>
          <w:szCs w:val="30"/>
          <w:highlight w:val="none"/>
          <w:lang w:val="en-US" w:eastAsia="zh-CN"/>
        </w:rPr>
        <w:t>2020年04月</w:t>
      </w:r>
    </w:p>
    <w:p>
      <w:pPr>
        <w:rPr>
          <w:rFonts w:hint="eastAsia"/>
          <w:b/>
          <w:color w:val="auto"/>
          <w:sz w:val="30"/>
          <w:szCs w:val="30"/>
          <w:highlight w:val="none"/>
        </w:rPr>
      </w:pPr>
    </w:p>
    <w:p>
      <w:pPr>
        <w:rPr>
          <w:rFonts w:hint="eastAsia"/>
          <w:b/>
          <w:color w:val="auto"/>
          <w:sz w:val="30"/>
          <w:szCs w:val="30"/>
          <w:highlight w:val="none"/>
        </w:rPr>
      </w:pPr>
    </w:p>
    <w:p>
      <w:pPr>
        <w:rPr>
          <w:rFonts w:hint="eastAsia"/>
          <w:b/>
          <w:color w:val="auto"/>
          <w:sz w:val="30"/>
          <w:szCs w:val="30"/>
          <w:highlight w:val="none"/>
        </w:rPr>
      </w:pPr>
    </w:p>
    <w:p>
      <w:pPr>
        <w:autoSpaceDE w:val="0"/>
        <w:autoSpaceDN w:val="0"/>
        <w:jc w:val="center"/>
        <w:rPr>
          <w:rFonts w:hint="eastAsia" w:ascii="宋体" w:hAnsi="宋体" w:cs="宋体"/>
          <w:bCs/>
          <w:color w:val="auto"/>
          <w:sz w:val="44"/>
          <w:szCs w:val="44"/>
          <w:highlight w:val="none"/>
          <w:lang w:val="zh-CN"/>
        </w:rPr>
      </w:pPr>
    </w:p>
    <w:p>
      <w:pPr>
        <w:autoSpaceDE w:val="0"/>
        <w:autoSpaceDN w:val="0"/>
        <w:jc w:val="center"/>
        <w:rPr>
          <w:rFonts w:hint="eastAsia" w:ascii="宋体" w:hAnsi="宋体" w:cs="宋体"/>
          <w:bCs/>
          <w:color w:val="auto"/>
          <w:sz w:val="44"/>
          <w:szCs w:val="44"/>
          <w:highlight w:val="none"/>
          <w:lang w:val="zh-CN"/>
        </w:rPr>
      </w:pPr>
    </w:p>
    <w:p>
      <w:pPr>
        <w:autoSpaceDE w:val="0"/>
        <w:autoSpaceDN w:val="0"/>
        <w:jc w:val="center"/>
        <w:rPr>
          <w:rFonts w:hint="eastAsia" w:ascii="宋体" w:hAnsi="宋体"/>
          <w:bCs/>
          <w:color w:val="auto"/>
          <w:sz w:val="44"/>
          <w:szCs w:val="44"/>
          <w:highlight w:val="none"/>
          <w:lang w:val="zh-CN"/>
        </w:rPr>
      </w:pPr>
      <w:r>
        <w:rPr>
          <w:rFonts w:hint="eastAsia" w:ascii="宋体" w:hAnsi="宋体" w:cs="宋体"/>
          <w:bCs/>
          <w:color w:val="auto"/>
          <w:sz w:val="44"/>
          <w:szCs w:val="44"/>
          <w:highlight w:val="none"/>
          <w:lang w:val="zh-CN"/>
        </w:rPr>
        <w:t>招标文件</w:t>
      </w:r>
    </w:p>
    <w:p>
      <w:pPr>
        <w:autoSpaceDE w:val="0"/>
        <w:autoSpaceDN w:val="0"/>
        <w:adjustRightInd w:val="0"/>
        <w:ind w:left="4375" w:leftChars="150" w:hanging="4060" w:hangingChars="1450"/>
        <w:rPr>
          <w:rFonts w:hint="eastAsia" w:ascii="宋体" w:hAnsi="宋体" w:cs="宋体"/>
          <w:bCs/>
          <w:color w:val="auto"/>
          <w:kern w:val="0"/>
          <w:sz w:val="28"/>
          <w:szCs w:val="28"/>
          <w:highlight w:val="none"/>
          <w:lang w:val="zh-CN"/>
        </w:rPr>
      </w:pPr>
    </w:p>
    <w:p>
      <w:pPr>
        <w:autoSpaceDE w:val="0"/>
        <w:autoSpaceDN w:val="0"/>
        <w:adjustRightInd w:val="0"/>
        <w:ind w:left="4375" w:leftChars="150" w:hanging="4060" w:hangingChars="1450"/>
        <w:rPr>
          <w:rFonts w:hint="eastAsia" w:ascii="宋体" w:hAnsi="宋体" w:cs="宋体"/>
          <w:bCs/>
          <w:color w:val="auto"/>
          <w:kern w:val="0"/>
          <w:sz w:val="28"/>
          <w:szCs w:val="28"/>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480" w:lineRule="auto"/>
        <w:ind w:left="1959" w:leftChars="133" w:hanging="1680" w:hangingChars="600"/>
        <w:textAlignment w:val="auto"/>
        <w:rPr>
          <w:rFonts w:hint="eastAsia"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zh-CN" w:eastAsia="zh-CN"/>
        </w:rPr>
        <w:t>项</w:t>
      </w:r>
      <w:r>
        <w:rPr>
          <w:rFonts w:hint="eastAsia" w:ascii="宋体" w:hAnsi="宋体" w:cs="宋体"/>
          <w:bCs/>
          <w:color w:val="auto"/>
          <w:sz w:val="28"/>
          <w:szCs w:val="28"/>
          <w:highlight w:val="none"/>
          <w:lang w:val="en-US" w:eastAsia="zh-CN"/>
        </w:rPr>
        <w:t xml:space="preserve"> </w:t>
      </w:r>
      <w:r>
        <w:rPr>
          <w:rFonts w:hint="eastAsia" w:ascii="宋体" w:hAnsi="宋体" w:cs="宋体"/>
          <w:bCs/>
          <w:color w:val="auto"/>
          <w:sz w:val="28"/>
          <w:szCs w:val="28"/>
          <w:highlight w:val="none"/>
          <w:lang w:val="zh-CN" w:eastAsia="zh-CN"/>
        </w:rPr>
        <w:t>目</w:t>
      </w:r>
      <w:r>
        <w:rPr>
          <w:rFonts w:hint="eastAsia" w:ascii="宋体" w:hAnsi="宋体" w:cs="宋体"/>
          <w:bCs/>
          <w:color w:val="auto"/>
          <w:sz w:val="28"/>
          <w:szCs w:val="28"/>
          <w:highlight w:val="none"/>
          <w:lang w:val="en-US" w:eastAsia="zh-CN"/>
        </w:rPr>
        <w:t xml:space="preserve"> </w:t>
      </w:r>
      <w:r>
        <w:rPr>
          <w:rFonts w:hint="eastAsia" w:ascii="宋体" w:hAnsi="宋体" w:cs="宋体"/>
          <w:bCs/>
          <w:color w:val="auto"/>
          <w:sz w:val="28"/>
          <w:szCs w:val="28"/>
          <w:highlight w:val="none"/>
          <w:lang w:val="zh-CN" w:eastAsia="zh-CN"/>
        </w:rPr>
        <w:t>名</w:t>
      </w:r>
      <w:r>
        <w:rPr>
          <w:rFonts w:hint="eastAsia" w:ascii="宋体" w:hAnsi="宋体" w:cs="宋体"/>
          <w:bCs/>
          <w:color w:val="auto"/>
          <w:sz w:val="28"/>
          <w:szCs w:val="28"/>
          <w:highlight w:val="none"/>
          <w:lang w:val="en-US" w:eastAsia="zh-CN"/>
        </w:rPr>
        <w:t xml:space="preserve"> </w:t>
      </w:r>
      <w:r>
        <w:rPr>
          <w:rFonts w:hint="eastAsia" w:ascii="宋体" w:hAnsi="宋体" w:cs="宋体"/>
          <w:bCs/>
          <w:color w:val="auto"/>
          <w:sz w:val="28"/>
          <w:szCs w:val="28"/>
          <w:highlight w:val="none"/>
          <w:lang w:val="zh-CN" w:eastAsia="zh-CN"/>
        </w:rPr>
        <w:t>称：2020年皮山县教育系统学校食堂所需食材采购项目（包二）</w:t>
      </w:r>
    </w:p>
    <w:p>
      <w:pPr>
        <w:keepNext w:val="0"/>
        <w:keepLines w:val="0"/>
        <w:pageBreakBefore w:val="0"/>
        <w:widowControl w:val="0"/>
        <w:kinsoku/>
        <w:wordWrap/>
        <w:overflowPunct/>
        <w:topLinePunct w:val="0"/>
        <w:autoSpaceDE w:val="0"/>
        <w:autoSpaceDN w:val="0"/>
        <w:bidi w:val="0"/>
        <w:adjustRightInd w:val="0"/>
        <w:snapToGrid/>
        <w:spacing w:line="480" w:lineRule="auto"/>
        <w:ind w:left="1959" w:leftChars="133" w:hanging="1680" w:hangingChars="600"/>
        <w:textAlignment w:val="auto"/>
        <w:rPr>
          <w:rFonts w:hint="eastAsia" w:ascii="宋体" w:hAnsi="宋体" w:cs="宋体"/>
          <w:bCs/>
          <w:color w:val="auto"/>
          <w:sz w:val="28"/>
          <w:szCs w:val="28"/>
          <w:highlight w:val="none"/>
          <w:lang w:val="zh-CN"/>
        </w:rPr>
      </w:pPr>
      <w:r>
        <w:rPr>
          <w:rFonts w:hint="eastAsia" w:ascii="宋体" w:hAnsi="宋体" w:cs="宋体"/>
          <w:bCs/>
          <w:color w:val="auto"/>
          <w:sz w:val="28"/>
          <w:szCs w:val="28"/>
          <w:highlight w:val="none"/>
          <w:lang w:val="zh-CN"/>
        </w:rPr>
        <w:t>招 标 人（盖章）：</w:t>
      </w:r>
      <w:r>
        <w:rPr>
          <w:rFonts w:hint="eastAsia" w:ascii="宋体" w:hAnsi="宋体" w:cs="宋体"/>
          <w:bCs/>
          <w:color w:val="auto"/>
          <w:sz w:val="28"/>
          <w:szCs w:val="28"/>
          <w:highlight w:val="none"/>
          <w:lang w:val="en-US" w:eastAsia="zh-CN"/>
        </w:rPr>
        <w:t>皮山县教育局</w:t>
      </w:r>
    </w:p>
    <w:p>
      <w:pPr>
        <w:keepNext w:val="0"/>
        <w:keepLines w:val="0"/>
        <w:pageBreakBefore w:val="0"/>
        <w:widowControl w:val="0"/>
        <w:kinsoku/>
        <w:wordWrap/>
        <w:overflowPunct/>
        <w:topLinePunct w:val="0"/>
        <w:autoSpaceDE w:val="0"/>
        <w:autoSpaceDN w:val="0"/>
        <w:bidi w:val="0"/>
        <w:adjustRightInd w:val="0"/>
        <w:snapToGrid/>
        <w:spacing w:line="480" w:lineRule="auto"/>
        <w:ind w:left="4375" w:leftChars="150" w:hanging="4060" w:hangingChars="1450"/>
        <w:textAlignment w:val="auto"/>
        <w:rPr>
          <w:rFonts w:hint="default"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lang w:val="zh-CN"/>
        </w:rPr>
        <w:t>联 系 人：</w:t>
      </w:r>
      <w:r>
        <w:rPr>
          <w:rFonts w:hint="eastAsia" w:ascii="宋体" w:hAnsi="宋体" w:cs="宋体"/>
          <w:bCs/>
          <w:color w:val="auto"/>
          <w:sz w:val="28"/>
          <w:szCs w:val="28"/>
          <w:highlight w:val="none"/>
          <w:lang w:val="zh-CN" w:eastAsia="zh-CN"/>
        </w:rPr>
        <w:t>王亚平</w:t>
      </w:r>
    </w:p>
    <w:p>
      <w:pPr>
        <w:keepNext w:val="0"/>
        <w:keepLines w:val="0"/>
        <w:pageBreakBefore w:val="0"/>
        <w:widowControl w:val="0"/>
        <w:kinsoku/>
        <w:wordWrap/>
        <w:overflowPunct/>
        <w:topLinePunct w:val="0"/>
        <w:autoSpaceDE w:val="0"/>
        <w:autoSpaceDN w:val="0"/>
        <w:bidi w:val="0"/>
        <w:adjustRightInd w:val="0"/>
        <w:snapToGrid/>
        <w:spacing w:line="480" w:lineRule="auto"/>
        <w:ind w:left="4375" w:leftChars="150" w:hanging="4060" w:hangingChars="1450"/>
        <w:textAlignment w:val="auto"/>
        <w:rPr>
          <w:rFonts w:hint="eastAsia" w:ascii="宋体" w:hAnsi="宋体" w:cs="宋体"/>
          <w:bCs/>
          <w:color w:val="auto"/>
          <w:sz w:val="28"/>
          <w:szCs w:val="28"/>
          <w:highlight w:val="none"/>
          <w:lang w:val="en-US"/>
        </w:rPr>
      </w:pPr>
      <w:r>
        <w:rPr>
          <w:rFonts w:hint="eastAsia" w:ascii="宋体" w:hAnsi="宋体" w:cs="宋体"/>
          <w:bCs/>
          <w:color w:val="auto"/>
          <w:sz w:val="28"/>
          <w:szCs w:val="28"/>
          <w:highlight w:val="none"/>
          <w:lang w:val="zh-CN"/>
        </w:rPr>
        <w:t>电    话：0903-6427567</w:t>
      </w:r>
    </w:p>
    <w:p>
      <w:pPr>
        <w:keepNext w:val="0"/>
        <w:keepLines w:val="0"/>
        <w:pageBreakBefore w:val="0"/>
        <w:widowControl w:val="0"/>
        <w:kinsoku/>
        <w:wordWrap/>
        <w:overflowPunct/>
        <w:topLinePunct w:val="0"/>
        <w:autoSpaceDE w:val="0"/>
        <w:autoSpaceDN w:val="0"/>
        <w:bidi w:val="0"/>
        <w:adjustRightInd w:val="0"/>
        <w:snapToGrid/>
        <w:spacing w:line="480" w:lineRule="auto"/>
        <w:ind w:left="4375" w:leftChars="150" w:hanging="4060" w:hangingChars="1450"/>
        <w:textAlignment w:val="auto"/>
        <w:rPr>
          <w:rFonts w:hint="eastAsia"/>
          <w:color w:val="auto"/>
          <w:highlight w:val="none"/>
          <w:lang w:val="zh-CN"/>
        </w:rPr>
      </w:pPr>
      <w:r>
        <w:rPr>
          <w:rFonts w:hint="eastAsia" w:ascii="宋体" w:hAnsi="宋体" w:cs="宋体"/>
          <w:bCs/>
          <w:color w:val="auto"/>
          <w:sz w:val="28"/>
          <w:szCs w:val="28"/>
          <w:highlight w:val="none"/>
          <w:lang w:val="zh-CN"/>
        </w:rPr>
        <w:t>详细地址：皮山县新城区</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textAlignment w:val="auto"/>
        <w:rPr>
          <w:rFonts w:hint="eastAsia" w:ascii="宋体" w:hAnsi="宋体"/>
          <w:bCs/>
          <w:color w:val="auto"/>
          <w:sz w:val="28"/>
          <w:szCs w:val="28"/>
          <w:highlight w:val="none"/>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textAlignment w:val="auto"/>
        <w:rPr>
          <w:rFonts w:hint="eastAsia" w:ascii="宋体" w:hAnsi="宋体"/>
          <w:bCs/>
          <w:color w:val="auto"/>
          <w:sz w:val="28"/>
          <w:szCs w:val="28"/>
          <w:highlight w:val="none"/>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textAlignment w:val="auto"/>
        <w:rPr>
          <w:rFonts w:hint="eastAsia" w:ascii="宋体" w:hAnsi="宋体"/>
          <w:bCs/>
          <w:color w:val="auto"/>
          <w:sz w:val="28"/>
          <w:szCs w:val="28"/>
          <w:highlight w:val="none"/>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textAlignment w:val="auto"/>
        <w:rPr>
          <w:rFonts w:hint="eastAsia" w:ascii="宋体" w:hAnsi="宋体"/>
          <w:bCs/>
          <w:color w:val="auto"/>
          <w:sz w:val="28"/>
          <w:szCs w:val="28"/>
          <w:highlight w:val="none"/>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textAlignment w:val="auto"/>
        <w:rPr>
          <w:rFonts w:hint="eastAsia" w:ascii="宋体" w:hAnsi="宋体"/>
          <w:bCs/>
          <w:color w:val="auto"/>
          <w:sz w:val="28"/>
          <w:szCs w:val="28"/>
          <w:highlight w:val="none"/>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textAlignment w:val="auto"/>
        <w:rPr>
          <w:rFonts w:hint="eastAsia" w:ascii="宋体" w:hAnsi="宋体"/>
          <w:bCs/>
          <w:color w:val="auto"/>
          <w:sz w:val="28"/>
          <w:szCs w:val="28"/>
          <w:highlight w:val="none"/>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textAlignment w:val="auto"/>
        <w:rPr>
          <w:rFonts w:hint="eastAsia" w:ascii="宋体" w:hAnsi="宋体"/>
          <w:bCs/>
          <w:color w:val="auto"/>
          <w:sz w:val="28"/>
          <w:szCs w:val="28"/>
          <w:highlight w:val="none"/>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textAlignment w:val="auto"/>
        <w:rPr>
          <w:rFonts w:hint="eastAsia" w:ascii="宋体" w:hAnsi="宋体"/>
          <w:bCs/>
          <w:color w:val="auto"/>
          <w:sz w:val="28"/>
          <w:szCs w:val="28"/>
          <w:highlight w:val="none"/>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textAlignment w:val="auto"/>
        <w:rPr>
          <w:rFonts w:hint="eastAsia" w:ascii="宋体" w:hAnsi="宋体"/>
          <w:bCs/>
          <w:color w:val="auto"/>
          <w:sz w:val="28"/>
          <w:szCs w:val="28"/>
          <w:highlight w:val="none"/>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textAlignment w:val="auto"/>
        <w:rPr>
          <w:rFonts w:hint="eastAsia" w:ascii="宋体" w:hAnsi="宋体"/>
          <w:bCs/>
          <w:color w:val="auto"/>
          <w:sz w:val="28"/>
          <w:szCs w:val="28"/>
          <w:highlight w:val="none"/>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textAlignment w:val="auto"/>
        <w:rPr>
          <w:rFonts w:hint="eastAsia" w:ascii="宋体" w:hAnsi="宋体"/>
          <w:bCs/>
          <w:color w:val="auto"/>
          <w:sz w:val="28"/>
          <w:szCs w:val="28"/>
          <w:highlight w:val="none"/>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textAlignment w:val="auto"/>
        <w:rPr>
          <w:rFonts w:hint="eastAsia" w:ascii="宋体" w:hAnsi="宋体" w:cs="宋体"/>
          <w:bCs/>
          <w:color w:val="auto"/>
          <w:sz w:val="28"/>
          <w:szCs w:val="28"/>
          <w:highlight w:val="none"/>
          <w:lang w:val="zh-CN"/>
        </w:rPr>
      </w:pPr>
      <w:r>
        <w:rPr>
          <w:rFonts w:hint="eastAsia" w:ascii="宋体" w:hAnsi="宋体"/>
          <w:bCs/>
          <w:color w:val="auto"/>
          <w:sz w:val="28"/>
          <w:szCs w:val="28"/>
          <w:highlight w:val="none"/>
          <w:u w:val="single"/>
          <w:lang w:val="en-US" w:eastAsia="zh-CN"/>
        </w:rPr>
        <w:t xml:space="preserve">                                                  </w:t>
      </w:r>
      <w:r>
        <w:rPr>
          <w:rFonts w:hint="eastAsia" w:ascii="宋体" w:hAnsi="宋体"/>
          <w:bCs/>
          <w:color w:val="auto"/>
          <w:sz w:val="28"/>
          <w:szCs w:val="28"/>
          <w:highlight w:val="none"/>
          <w:u w:val="none"/>
          <w:lang w:val="en-US" w:eastAsia="zh-CN"/>
        </w:rPr>
        <w:t xml:space="preserve">                </w:t>
      </w:r>
      <w:r>
        <w:rPr>
          <w:rFonts w:hint="eastAsia" w:ascii="宋体" w:hAnsi="宋体"/>
          <w:bCs/>
          <w:color w:val="auto"/>
          <w:sz w:val="28"/>
          <w:szCs w:val="28"/>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auto"/>
        <w:ind w:left="4375" w:leftChars="150" w:hanging="4060" w:hangingChars="1450"/>
        <w:textAlignment w:val="auto"/>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lang w:val="zh-CN"/>
        </w:rPr>
        <w:t>招标代理机构</w:t>
      </w:r>
      <w:r>
        <w:rPr>
          <w:rFonts w:hint="eastAsia" w:ascii="宋体" w:hAnsi="宋体" w:cs="宋体"/>
          <w:color w:val="auto"/>
          <w:sz w:val="28"/>
          <w:szCs w:val="28"/>
          <w:highlight w:val="none"/>
          <w:lang w:val="zh-CN"/>
        </w:rPr>
        <w:t>（盖章）</w:t>
      </w:r>
      <w:r>
        <w:rPr>
          <w:rFonts w:hint="eastAsia" w:ascii="宋体" w:hAnsi="宋体" w:cs="宋体"/>
          <w:bCs/>
          <w:color w:val="auto"/>
          <w:sz w:val="28"/>
          <w:szCs w:val="28"/>
          <w:highlight w:val="none"/>
          <w:lang w:val="zh-CN"/>
        </w:rPr>
        <w:t>：</w:t>
      </w:r>
      <w:r>
        <w:rPr>
          <w:rFonts w:hint="eastAsia" w:ascii="宋体" w:hAnsi="宋体" w:cs="宋体"/>
          <w:bCs/>
          <w:color w:val="auto"/>
          <w:sz w:val="28"/>
          <w:szCs w:val="28"/>
          <w:highlight w:val="none"/>
          <w:lang w:eastAsia="zh-CN"/>
        </w:rPr>
        <w:t>新疆楷源工程项目管理有限责任公司</w:t>
      </w:r>
    </w:p>
    <w:p>
      <w:pPr>
        <w:keepNext w:val="0"/>
        <w:keepLines w:val="0"/>
        <w:pageBreakBefore w:val="0"/>
        <w:widowControl w:val="0"/>
        <w:kinsoku/>
        <w:wordWrap/>
        <w:overflowPunct/>
        <w:topLinePunct w:val="0"/>
        <w:autoSpaceDE w:val="0"/>
        <w:autoSpaceDN w:val="0"/>
        <w:bidi w:val="0"/>
        <w:adjustRightInd w:val="0"/>
        <w:snapToGrid/>
        <w:spacing w:line="480" w:lineRule="auto"/>
        <w:ind w:left="315" w:leftChars="150"/>
        <w:textAlignment w:val="auto"/>
        <w:rPr>
          <w:rFonts w:hint="default" w:ascii="宋体" w:hAnsi="宋体" w:eastAsia="宋体"/>
          <w:bCs/>
          <w:color w:val="auto"/>
          <w:sz w:val="28"/>
          <w:szCs w:val="28"/>
          <w:highlight w:val="none"/>
          <w:lang w:val="en-US" w:eastAsia="zh-CN"/>
        </w:rPr>
      </w:pPr>
      <w:r>
        <w:rPr>
          <w:rFonts w:hint="eastAsia" w:ascii="宋体" w:hAnsi="宋体" w:cs="宋体"/>
          <w:bCs/>
          <w:color w:val="auto"/>
          <w:kern w:val="0"/>
          <w:sz w:val="28"/>
          <w:szCs w:val="28"/>
          <w:highlight w:val="none"/>
          <w:lang w:val="zh-CN"/>
        </w:rPr>
        <w:t>项目负责人</w:t>
      </w:r>
      <w:r>
        <w:rPr>
          <w:rFonts w:hint="eastAsia" w:ascii="宋体" w:hAnsi="宋体" w:cs="宋体"/>
          <w:bCs/>
          <w:color w:val="auto"/>
          <w:sz w:val="28"/>
          <w:szCs w:val="28"/>
          <w:highlight w:val="none"/>
          <w:lang w:val="zh-CN"/>
        </w:rPr>
        <w:t>：侯雪萍</w:t>
      </w:r>
    </w:p>
    <w:tbl>
      <w:tblPr>
        <w:tblStyle w:val="32"/>
        <w:tblpPr w:leftFromText="180" w:rightFromText="180" w:vertAnchor="text" w:tblpX="10201" w:tblpY="377"/>
        <w:tblOverlap w:val="never"/>
        <w:tblW w:w="1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302" w:type="dxa"/>
          </w:tcPr>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宋体" w:hAnsi="宋体" w:cs="宋体"/>
                <w:bCs/>
                <w:color w:val="auto"/>
                <w:kern w:val="0"/>
                <w:sz w:val="28"/>
                <w:szCs w:val="28"/>
                <w:highlight w:val="none"/>
                <w:vertAlign w:val="baseline"/>
                <w:lang w:val="zh-CN"/>
              </w:rPr>
            </w:pPr>
          </w:p>
        </w:tc>
      </w:tr>
    </w:tbl>
    <w:p>
      <w:pPr>
        <w:keepNext w:val="0"/>
        <w:keepLines w:val="0"/>
        <w:pageBreakBefore w:val="0"/>
        <w:widowControl w:val="0"/>
        <w:kinsoku/>
        <w:wordWrap/>
        <w:overflowPunct/>
        <w:topLinePunct w:val="0"/>
        <w:autoSpaceDE w:val="0"/>
        <w:autoSpaceDN w:val="0"/>
        <w:bidi w:val="0"/>
        <w:adjustRightInd w:val="0"/>
        <w:snapToGrid/>
        <w:spacing w:line="480" w:lineRule="auto"/>
        <w:ind w:left="315" w:leftChars="150"/>
        <w:textAlignment w:val="auto"/>
        <w:rPr>
          <w:rFonts w:hint="eastAsia" w:ascii="宋体" w:hAnsi="宋体" w:cs="宋体"/>
          <w:bCs/>
          <w:color w:val="auto"/>
          <w:sz w:val="28"/>
          <w:szCs w:val="28"/>
          <w:highlight w:val="none"/>
          <w:lang w:val="en-US" w:eastAsia="zh-CN"/>
        </w:rPr>
      </w:pPr>
      <w:r>
        <w:rPr>
          <w:rFonts w:hint="eastAsia" w:ascii="宋体" w:hAnsi="宋体" w:cs="宋体"/>
          <w:bCs/>
          <w:color w:val="auto"/>
          <w:kern w:val="0"/>
          <w:sz w:val="28"/>
          <w:szCs w:val="28"/>
          <w:highlight w:val="none"/>
          <w:lang w:val="zh-CN"/>
        </w:rPr>
        <w:t>电    话</w:t>
      </w:r>
      <w:r>
        <w:rPr>
          <w:rFonts w:hint="eastAsia" w:ascii="宋体" w:hAnsi="宋体" w:cs="宋体"/>
          <w:bCs/>
          <w:color w:val="auto"/>
          <w:sz w:val="28"/>
          <w:szCs w:val="28"/>
          <w:highlight w:val="none"/>
          <w:lang w:val="zh-CN"/>
        </w:rPr>
        <w:t>：</w:t>
      </w:r>
      <w:r>
        <w:rPr>
          <w:rFonts w:hint="eastAsia" w:ascii="宋体" w:hAnsi="宋体" w:cs="宋体"/>
          <w:bCs/>
          <w:color w:val="auto"/>
          <w:sz w:val="28"/>
          <w:szCs w:val="28"/>
          <w:highlight w:val="none"/>
          <w:lang w:val="en-US" w:eastAsia="zh-CN"/>
        </w:rPr>
        <w:t>0903-2513255</w:t>
      </w:r>
    </w:p>
    <w:p>
      <w:pPr>
        <w:keepNext w:val="0"/>
        <w:keepLines w:val="0"/>
        <w:pageBreakBefore w:val="0"/>
        <w:widowControl w:val="0"/>
        <w:kinsoku/>
        <w:wordWrap/>
        <w:overflowPunct/>
        <w:topLinePunct w:val="0"/>
        <w:autoSpaceDE w:val="0"/>
        <w:autoSpaceDN w:val="0"/>
        <w:bidi w:val="0"/>
        <w:adjustRightInd w:val="0"/>
        <w:snapToGrid/>
        <w:spacing w:line="480" w:lineRule="auto"/>
        <w:ind w:left="315" w:leftChars="150"/>
        <w:textAlignment w:val="auto"/>
        <w:rPr>
          <w:rFonts w:hint="eastAsia" w:ascii="宋体" w:hAnsi="宋体" w:cs="宋体"/>
          <w:bCs/>
          <w:color w:val="auto"/>
          <w:sz w:val="28"/>
          <w:szCs w:val="28"/>
          <w:highlight w:val="none"/>
          <w:lang w:val="zh-CN" w:eastAsia="zh-CN"/>
        </w:rPr>
      </w:pPr>
      <w:r>
        <w:rPr>
          <w:rFonts w:hint="eastAsia" w:ascii="宋体" w:hAnsi="宋体" w:cs="宋体"/>
          <w:bCs/>
          <w:color w:val="auto"/>
          <w:kern w:val="0"/>
          <w:sz w:val="28"/>
          <w:szCs w:val="28"/>
          <w:highlight w:val="none"/>
          <w:lang w:val="zh-CN"/>
        </w:rPr>
        <w:t>详细地址</w:t>
      </w:r>
      <w:r>
        <w:rPr>
          <w:rFonts w:hint="eastAsia" w:ascii="宋体" w:hAnsi="宋体" w:cs="宋体"/>
          <w:bCs/>
          <w:color w:val="auto"/>
          <w:sz w:val="28"/>
          <w:szCs w:val="28"/>
          <w:highlight w:val="none"/>
          <w:lang w:val="zh-CN"/>
        </w:rPr>
        <w:t>：和田市玉都国际广场玉座11楼</w:t>
      </w:r>
      <w:r>
        <w:rPr>
          <w:rFonts w:hint="eastAsia" w:ascii="宋体" w:hAnsi="宋体" w:cs="宋体"/>
          <w:bCs/>
          <w:color w:val="auto"/>
          <w:sz w:val="28"/>
          <w:szCs w:val="28"/>
          <w:highlight w:val="none"/>
          <w:lang w:val="zh-CN" w:eastAsia="zh-CN"/>
        </w:rPr>
        <w:t> </w:t>
      </w:r>
    </w:p>
    <w:p>
      <w:pPr>
        <w:rPr>
          <w:rFonts w:hint="eastAsia" w:ascii="宋体" w:hAnsi="宋体"/>
          <w:b/>
          <w:bCs/>
          <w:color w:val="auto"/>
          <w:sz w:val="28"/>
          <w:szCs w:val="28"/>
          <w:highlight w:val="none"/>
        </w:rPr>
      </w:pPr>
      <w:r>
        <w:rPr>
          <w:rFonts w:hint="eastAsia" w:ascii="宋体" w:hAnsi="宋体"/>
          <w:b/>
          <w:bCs/>
          <w:color w:val="auto"/>
          <w:sz w:val="28"/>
          <w:szCs w:val="28"/>
          <w:highlight w:val="none"/>
          <w:lang w:val="en-US" w:eastAsia="zh-CN"/>
        </w:rPr>
        <w:br w:type="page"/>
      </w:r>
      <w:r>
        <w:rPr>
          <w:rFonts w:hint="eastAsia" w:ascii="宋体" w:hAnsi="宋体"/>
          <w:b/>
          <w:bCs/>
          <w:color w:val="auto"/>
          <w:sz w:val="28"/>
          <w:szCs w:val="28"/>
          <w:highlight w:val="none"/>
          <w:lang w:val="en-US" w:eastAsia="zh-CN"/>
        </w:rPr>
        <w:t>采购办</w:t>
      </w:r>
      <w:r>
        <w:rPr>
          <w:rFonts w:hint="eastAsia" w:ascii="宋体" w:hAnsi="宋体"/>
          <w:b/>
          <w:bCs/>
          <w:color w:val="auto"/>
          <w:sz w:val="28"/>
          <w:szCs w:val="28"/>
          <w:highlight w:val="none"/>
        </w:rPr>
        <w:t>备案登记栏</w:t>
      </w:r>
    </w:p>
    <w:p>
      <w:pPr>
        <w:jc w:val="left"/>
        <w:rPr>
          <w:rFonts w:hint="eastAsia"/>
          <w:color w:val="auto"/>
          <w:highlight w:val="none"/>
          <w:lang w:val="en-US" w:eastAsia="zh-CN"/>
        </w:rPr>
      </w:pPr>
    </w:p>
    <w:tbl>
      <w:tblPr>
        <w:tblStyle w:val="31"/>
        <w:tblW w:w="8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4" w:hRule="atLeast"/>
        </w:trPr>
        <w:tc>
          <w:tcPr>
            <w:tcW w:w="8477" w:type="dxa"/>
            <w:noWrap w:val="0"/>
            <w:vAlign w:val="top"/>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sz w:val="24"/>
                <w:szCs w:val="32"/>
              </w:rPr>
            </w:pPr>
            <w:r>
              <w:rPr>
                <w:rFonts w:hint="eastAsia"/>
                <w:sz w:val="24"/>
                <w:szCs w:val="32"/>
              </w:rPr>
              <w:t>本招标文件已报备</w:t>
            </w:r>
          </w:p>
          <w:p>
            <w:pPr>
              <w:jc w:val="center"/>
              <w:rPr>
                <w:rFonts w:hint="eastAsia"/>
                <w:sz w:val="24"/>
                <w:szCs w:val="32"/>
              </w:rPr>
            </w:pPr>
          </w:p>
          <w:p>
            <w:pPr>
              <w:jc w:val="center"/>
              <w:rPr>
                <w:rFonts w:hint="eastAsia"/>
                <w:sz w:val="24"/>
                <w:szCs w:val="32"/>
              </w:rPr>
            </w:pPr>
          </w:p>
          <w:p>
            <w:pPr>
              <w:jc w:val="center"/>
              <w:rPr>
                <w:rFonts w:hint="eastAsia"/>
                <w:sz w:val="24"/>
                <w:szCs w:val="32"/>
              </w:rPr>
            </w:pPr>
          </w:p>
          <w:p>
            <w:pPr>
              <w:jc w:val="center"/>
              <w:rPr>
                <w:rFonts w:hint="eastAsia"/>
                <w:sz w:val="24"/>
                <w:szCs w:val="32"/>
              </w:rPr>
            </w:pPr>
          </w:p>
          <w:p>
            <w:pPr>
              <w:jc w:val="center"/>
              <w:rPr>
                <w:rFonts w:hint="eastAsia"/>
                <w:sz w:val="24"/>
                <w:szCs w:val="32"/>
              </w:rPr>
            </w:pPr>
          </w:p>
          <w:p>
            <w:pPr>
              <w:jc w:val="center"/>
              <w:rPr>
                <w:rFonts w:hint="eastAsia"/>
                <w:sz w:val="24"/>
                <w:szCs w:val="32"/>
              </w:rPr>
            </w:pPr>
          </w:p>
          <w:p>
            <w:pPr>
              <w:pStyle w:val="6"/>
              <w:rPr>
                <w:rFonts w:hint="eastAsia"/>
                <w:sz w:val="40"/>
                <w:szCs w:val="40"/>
              </w:rPr>
            </w:pPr>
          </w:p>
          <w:p>
            <w:pPr>
              <w:rPr>
                <w:rFonts w:hint="eastAsia"/>
                <w:sz w:val="24"/>
                <w:szCs w:val="32"/>
              </w:rPr>
            </w:pPr>
          </w:p>
          <w:p>
            <w:pPr>
              <w:pStyle w:val="6"/>
              <w:rPr>
                <w:rFonts w:hint="eastAsia"/>
                <w:sz w:val="40"/>
                <w:szCs w:val="40"/>
              </w:rPr>
            </w:pPr>
          </w:p>
          <w:p>
            <w:pPr>
              <w:rPr>
                <w:rFonts w:hint="eastAsia"/>
                <w:sz w:val="24"/>
                <w:szCs w:val="32"/>
              </w:rPr>
            </w:pPr>
          </w:p>
          <w:p>
            <w:pPr>
              <w:pStyle w:val="6"/>
              <w:rPr>
                <w:rFonts w:hint="eastAsia"/>
                <w:sz w:val="40"/>
                <w:szCs w:val="40"/>
              </w:rPr>
            </w:pPr>
          </w:p>
          <w:p>
            <w:pPr>
              <w:jc w:val="center"/>
              <w:rPr>
                <w:rFonts w:hint="eastAsia"/>
                <w:sz w:val="24"/>
                <w:szCs w:val="32"/>
              </w:rPr>
            </w:pPr>
          </w:p>
          <w:p>
            <w:pPr>
              <w:rPr>
                <w:rFonts w:hint="eastAsia"/>
                <w:sz w:val="24"/>
                <w:szCs w:val="32"/>
              </w:rPr>
            </w:pPr>
          </w:p>
          <w:p>
            <w:pPr>
              <w:jc w:val="both"/>
              <w:rPr>
                <w:rFonts w:hint="eastAsia"/>
                <w:sz w:val="24"/>
                <w:szCs w:val="32"/>
                <w:lang w:eastAsia="zh-CN"/>
              </w:rPr>
            </w:pPr>
            <w:r>
              <w:rPr>
                <w:rFonts w:hint="eastAsia"/>
                <w:sz w:val="24"/>
                <w:szCs w:val="32"/>
                <w:lang w:val="en-US" w:eastAsia="zh-CN"/>
              </w:rPr>
              <w:t>项目</w:t>
            </w:r>
            <w:r>
              <w:rPr>
                <w:rFonts w:hint="eastAsia"/>
                <w:sz w:val="24"/>
                <w:szCs w:val="32"/>
              </w:rPr>
              <w:t>名称：</w:t>
            </w:r>
            <w:r>
              <w:rPr>
                <w:rFonts w:hint="eastAsia"/>
                <w:sz w:val="24"/>
                <w:szCs w:val="32"/>
                <w:lang w:val="zh-CN" w:eastAsia="zh-CN"/>
              </w:rPr>
              <w:t>2020年皮山县教育系统学校食堂所需食材采购项目（包二）</w:t>
            </w:r>
          </w:p>
          <w:p>
            <w:pPr>
              <w:pStyle w:val="6"/>
              <w:rPr>
                <w:rFonts w:hint="eastAsia"/>
                <w:sz w:val="40"/>
                <w:szCs w:val="40"/>
                <w:lang w:eastAsia="zh-CN"/>
              </w:rPr>
            </w:pPr>
          </w:p>
          <w:p>
            <w:pPr>
              <w:rPr>
                <w:rFonts w:hint="eastAsia"/>
                <w:sz w:val="24"/>
                <w:szCs w:val="32"/>
                <w:lang w:eastAsia="zh-CN"/>
              </w:rPr>
            </w:pPr>
          </w:p>
          <w:p>
            <w:pPr>
              <w:rPr>
                <w:rFonts w:hint="eastAsia"/>
                <w:sz w:val="40"/>
                <w:szCs w:val="40"/>
              </w:rPr>
            </w:pPr>
            <w:r>
              <w:rPr>
                <w:rFonts w:hint="eastAsia"/>
                <w:sz w:val="24"/>
                <w:szCs w:val="32"/>
              </w:rPr>
              <w:t>备案日期：</w:t>
            </w:r>
            <w:r>
              <w:rPr>
                <w:rFonts w:hint="eastAsia"/>
                <w:sz w:val="24"/>
                <w:szCs w:val="32"/>
                <w:lang w:val="en-US" w:eastAsia="zh-CN"/>
              </w:rPr>
              <w:t>2020年4月</w:t>
            </w:r>
          </w:p>
          <w:p>
            <w:pPr>
              <w:rPr>
                <w:rFonts w:hint="eastAsia"/>
              </w:rPr>
            </w:pPr>
          </w:p>
          <w:p>
            <w:pPr>
              <w:pStyle w:val="6"/>
              <w:rPr>
                <w:rFonts w:hint="eastAsia"/>
              </w:rPr>
            </w:pPr>
          </w:p>
        </w:tc>
      </w:tr>
    </w:tbl>
    <w:p>
      <w:pPr>
        <w:ind w:right="4" w:rightChars="2"/>
        <w:jc w:val="center"/>
        <w:rPr>
          <w:rFonts w:hint="eastAsia" w:ascii="宋体" w:hAnsi="宋体"/>
          <w:b/>
          <w:color w:val="auto"/>
          <w:sz w:val="44"/>
          <w:highlight w:val="none"/>
        </w:rPr>
      </w:pPr>
    </w:p>
    <w:p>
      <w:pPr>
        <w:ind w:right="4" w:rightChars="2"/>
        <w:jc w:val="center"/>
        <w:rPr>
          <w:rFonts w:ascii="宋体"/>
          <w:b/>
          <w:color w:val="auto"/>
          <w:sz w:val="44"/>
          <w:highlight w:val="none"/>
        </w:rPr>
      </w:pPr>
      <w:r>
        <w:rPr>
          <w:rFonts w:hint="eastAsia" w:ascii="宋体" w:hAnsi="宋体"/>
          <w:b/>
          <w:color w:val="auto"/>
          <w:sz w:val="44"/>
          <w:highlight w:val="none"/>
        </w:rPr>
        <w:br w:type="page"/>
      </w:r>
      <w:r>
        <w:rPr>
          <w:rFonts w:hint="eastAsia" w:ascii="宋体" w:hAnsi="宋体"/>
          <w:b/>
          <w:color w:val="auto"/>
          <w:sz w:val="44"/>
          <w:highlight w:val="none"/>
        </w:rPr>
        <w:t>目　　录</w:t>
      </w:r>
    </w:p>
    <w:p>
      <w:pPr>
        <w:rPr>
          <w:rFonts w:ascii="宋体"/>
          <w:color w:val="auto"/>
          <w:sz w:val="24"/>
          <w:highlight w:val="none"/>
        </w:rPr>
      </w:pPr>
    </w:p>
    <w:p>
      <w:pPr>
        <w:spacing w:line="360" w:lineRule="auto"/>
        <w:rPr>
          <w:rFonts w:ascii="宋体"/>
          <w:color w:val="auto"/>
          <w:sz w:val="24"/>
          <w:highlight w:val="none"/>
        </w:rPr>
      </w:pPr>
      <w:r>
        <w:rPr>
          <w:rFonts w:hint="eastAsia" w:ascii="宋体" w:hAnsi="宋体"/>
          <w:color w:val="auto"/>
          <w:sz w:val="24"/>
          <w:highlight w:val="none"/>
        </w:rPr>
        <w:t>第一部分　采购公告</w:t>
      </w:r>
    </w:p>
    <w:p>
      <w:pPr>
        <w:spacing w:line="360" w:lineRule="auto"/>
        <w:rPr>
          <w:rFonts w:ascii="宋体"/>
          <w:color w:val="auto"/>
          <w:sz w:val="24"/>
          <w:highlight w:val="none"/>
        </w:rPr>
      </w:pPr>
      <w:r>
        <w:rPr>
          <w:rFonts w:hint="eastAsia" w:ascii="宋体" w:hAnsi="宋体"/>
          <w:color w:val="auto"/>
          <w:sz w:val="24"/>
          <w:highlight w:val="none"/>
        </w:rPr>
        <w:t>第二部分　投标须知</w:t>
      </w:r>
    </w:p>
    <w:p>
      <w:pPr>
        <w:spacing w:line="360" w:lineRule="auto"/>
        <w:ind w:firstLine="420"/>
        <w:rPr>
          <w:rFonts w:ascii="宋体"/>
          <w:bCs/>
          <w:color w:val="auto"/>
          <w:sz w:val="24"/>
          <w:highlight w:val="none"/>
        </w:rPr>
      </w:pPr>
      <w:r>
        <w:rPr>
          <w:rFonts w:ascii="宋体" w:hAnsi="宋体"/>
          <w:bCs/>
          <w:color w:val="auto"/>
          <w:sz w:val="24"/>
          <w:highlight w:val="none"/>
        </w:rPr>
        <w:t>A</w:t>
      </w:r>
      <w:r>
        <w:rPr>
          <w:rFonts w:hint="eastAsia" w:ascii="宋体" w:hAnsi="宋体"/>
          <w:bCs/>
          <w:color w:val="auto"/>
          <w:sz w:val="24"/>
          <w:highlight w:val="none"/>
        </w:rPr>
        <w:t>　说明及注意事项</w:t>
      </w:r>
    </w:p>
    <w:p>
      <w:pPr>
        <w:spacing w:line="360" w:lineRule="auto"/>
        <w:ind w:firstLine="63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．适用范围</w:t>
      </w:r>
    </w:p>
    <w:p>
      <w:pPr>
        <w:spacing w:line="360" w:lineRule="auto"/>
        <w:ind w:firstLine="630"/>
        <w:rPr>
          <w:rFonts w:asci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．定义</w:t>
      </w:r>
    </w:p>
    <w:p>
      <w:pPr>
        <w:spacing w:line="360" w:lineRule="auto"/>
        <w:ind w:firstLine="630"/>
        <w:rPr>
          <w:rFonts w:ascii="宋体"/>
          <w:bCs/>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．合格的投标人</w:t>
      </w:r>
    </w:p>
    <w:p>
      <w:pPr>
        <w:spacing w:line="360" w:lineRule="auto"/>
        <w:ind w:firstLine="630"/>
        <w:rPr>
          <w:rFonts w:ascii="宋体"/>
          <w:bCs/>
          <w:color w:val="auto"/>
          <w:sz w:val="24"/>
          <w:highlight w:val="none"/>
        </w:rPr>
      </w:pPr>
      <w:r>
        <w:rPr>
          <w:rFonts w:ascii="宋体" w:hAnsi="宋体"/>
          <w:bCs/>
          <w:color w:val="auto"/>
          <w:sz w:val="24"/>
          <w:highlight w:val="none"/>
        </w:rPr>
        <w:t>4</w:t>
      </w:r>
      <w:r>
        <w:rPr>
          <w:rFonts w:hint="eastAsia" w:ascii="宋体" w:hAnsi="宋体"/>
          <w:bCs/>
          <w:color w:val="auto"/>
          <w:sz w:val="24"/>
          <w:highlight w:val="none"/>
        </w:rPr>
        <w:t>．联合体投标</w:t>
      </w:r>
    </w:p>
    <w:p>
      <w:pPr>
        <w:spacing w:line="360" w:lineRule="auto"/>
        <w:ind w:firstLine="630"/>
        <w:rPr>
          <w:rFonts w:ascii="宋体"/>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rPr>
        <w:t>．投标保证金</w:t>
      </w:r>
    </w:p>
    <w:p>
      <w:pPr>
        <w:spacing w:line="360" w:lineRule="auto"/>
        <w:ind w:firstLine="630"/>
        <w:rPr>
          <w:rFonts w:ascii="宋体"/>
          <w:bCs/>
          <w:color w:val="auto"/>
          <w:sz w:val="24"/>
          <w:highlight w:val="none"/>
        </w:rPr>
      </w:pPr>
      <w:r>
        <w:rPr>
          <w:rFonts w:ascii="宋体" w:hAnsi="宋体"/>
          <w:bCs/>
          <w:color w:val="auto"/>
          <w:sz w:val="24"/>
          <w:highlight w:val="none"/>
        </w:rPr>
        <w:t>6</w:t>
      </w:r>
      <w:r>
        <w:rPr>
          <w:rFonts w:hint="eastAsia" w:ascii="宋体" w:hAnsi="宋体"/>
          <w:bCs/>
          <w:color w:val="auto"/>
          <w:sz w:val="24"/>
          <w:highlight w:val="none"/>
        </w:rPr>
        <w:t>．投标有效期</w:t>
      </w:r>
    </w:p>
    <w:p>
      <w:pPr>
        <w:spacing w:line="360" w:lineRule="auto"/>
        <w:ind w:firstLine="630"/>
        <w:rPr>
          <w:rFonts w:ascii="宋体"/>
          <w:bCs/>
          <w:color w:val="auto"/>
          <w:sz w:val="24"/>
          <w:highlight w:val="none"/>
        </w:rPr>
      </w:pPr>
      <w:r>
        <w:rPr>
          <w:rFonts w:ascii="宋体" w:hAnsi="宋体"/>
          <w:bCs/>
          <w:color w:val="auto"/>
          <w:sz w:val="24"/>
          <w:highlight w:val="none"/>
        </w:rPr>
        <w:t>7</w:t>
      </w:r>
      <w:r>
        <w:rPr>
          <w:rFonts w:hint="eastAsia" w:ascii="宋体" w:hAnsi="宋体"/>
          <w:bCs/>
          <w:color w:val="auto"/>
          <w:sz w:val="24"/>
          <w:highlight w:val="none"/>
        </w:rPr>
        <w:t>．招标文件的澄清</w:t>
      </w:r>
    </w:p>
    <w:p>
      <w:pPr>
        <w:spacing w:line="360" w:lineRule="auto"/>
        <w:ind w:firstLine="630"/>
        <w:rPr>
          <w:rFonts w:ascii="宋体"/>
          <w:bCs/>
          <w:color w:val="auto"/>
          <w:sz w:val="24"/>
          <w:highlight w:val="none"/>
        </w:rPr>
      </w:pPr>
      <w:r>
        <w:rPr>
          <w:rFonts w:ascii="宋体" w:hAnsi="宋体"/>
          <w:bCs/>
          <w:color w:val="auto"/>
          <w:sz w:val="24"/>
          <w:highlight w:val="none"/>
        </w:rPr>
        <w:t>8</w:t>
      </w:r>
      <w:r>
        <w:rPr>
          <w:rFonts w:hint="eastAsia" w:ascii="宋体" w:hAnsi="宋体"/>
          <w:bCs/>
          <w:color w:val="auto"/>
          <w:sz w:val="24"/>
          <w:highlight w:val="none"/>
        </w:rPr>
        <w:t>．招标文件的澄清</w:t>
      </w:r>
    </w:p>
    <w:p>
      <w:pPr>
        <w:spacing w:line="360" w:lineRule="auto"/>
        <w:ind w:firstLine="630"/>
        <w:rPr>
          <w:rFonts w:ascii="宋体"/>
          <w:bCs/>
          <w:color w:val="auto"/>
          <w:sz w:val="24"/>
          <w:highlight w:val="none"/>
        </w:rPr>
      </w:pPr>
      <w:r>
        <w:rPr>
          <w:rFonts w:ascii="宋体" w:hAnsi="宋体"/>
          <w:bCs/>
          <w:color w:val="auto"/>
          <w:sz w:val="24"/>
          <w:highlight w:val="none"/>
        </w:rPr>
        <w:t>9</w:t>
      </w:r>
      <w:r>
        <w:rPr>
          <w:rFonts w:hint="eastAsia" w:ascii="宋体" w:hAnsi="宋体"/>
          <w:bCs/>
          <w:color w:val="auto"/>
          <w:sz w:val="24"/>
          <w:highlight w:val="none"/>
        </w:rPr>
        <w:t>．投标费用</w:t>
      </w:r>
    </w:p>
    <w:p>
      <w:pPr>
        <w:spacing w:line="360" w:lineRule="auto"/>
        <w:ind w:firstLine="420"/>
        <w:rPr>
          <w:rFonts w:ascii="宋体"/>
          <w:bCs/>
          <w:color w:val="auto"/>
          <w:sz w:val="24"/>
          <w:highlight w:val="none"/>
        </w:rPr>
      </w:pPr>
      <w:r>
        <w:rPr>
          <w:rFonts w:ascii="宋体" w:hAnsi="宋体"/>
          <w:bCs/>
          <w:color w:val="auto"/>
          <w:sz w:val="24"/>
          <w:highlight w:val="none"/>
        </w:rPr>
        <w:t>B</w:t>
      </w:r>
      <w:r>
        <w:rPr>
          <w:rFonts w:hint="eastAsia" w:ascii="宋体" w:hAnsi="宋体"/>
          <w:bCs/>
          <w:color w:val="auto"/>
          <w:sz w:val="24"/>
          <w:highlight w:val="none"/>
        </w:rPr>
        <w:t>　投标文件的编写</w:t>
      </w:r>
    </w:p>
    <w:p>
      <w:pPr>
        <w:spacing w:line="360" w:lineRule="auto"/>
        <w:ind w:firstLine="630"/>
        <w:rPr>
          <w:rFonts w:ascii="宋体"/>
          <w:bCs/>
          <w:color w:val="auto"/>
          <w:sz w:val="24"/>
          <w:highlight w:val="none"/>
        </w:rPr>
      </w:pPr>
      <w:r>
        <w:rPr>
          <w:rFonts w:ascii="宋体" w:hAnsi="宋体"/>
          <w:bCs/>
          <w:color w:val="auto"/>
          <w:sz w:val="24"/>
          <w:highlight w:val="none"/>
        </w:rPr>
        <w:t>10</w:t>
      </w:r>
      <w:r>
        <w:rPr>
          <w:rFonts w:hint="eastAsia" w:ascii="宋体" w:hAnsi="宋体"/>
          <w:bCs/>
          <w:color w:val="auto"/>
          <w:sz w:val="24"/>
          <w:highlight w:val="none"/>
        </w:rPr>
        <w:t>．一般要求</w:t>
      </w:r>
    </w:p>
    <w:p>
      <w:pPr>
        <w:spacing w:line="360" w:lineRule="auto"/>
        <w:ind w:firstLine="630"/>
        <w:rPr>
          <w:rFonts w:ascii="宋体"/>
          <w:bCs/>
          <w:color w:val="auto"/>
          <w:sz w:val="24"/>
          <w:highlight w:val="none"/>
        </w:rPr>
      </w:pPr>
      <w:r>
        <w:rPr>
          <w:rFonts w:ascii="宋体" w:hAnsi="宋体"/>
          <w:bCs/>
          <w:color w:val="auto"/>
          <w:sz w:val="24"/>
          <w:highlight w:val="none"/>
        </w:rPr>
        <w:t>11</w:t>
      </w:r>
      <w:r>
        <w:rPr>
          <w:rFonts w:hint="eastAsia" w:ascii="宋体" w:hAnsi="宋体"/>
          <w:bCs/>
          <w:color w:val="auto"/>
          <w:sz w:val="24"/>
          <w:highlight w:val="none"/>
        </w:rPr>
        <w:t>．投标文件由以下部分构成</w:t>
      </w:r>
    </w:p>
    <w:p>
      <w:pPr>
        <w:spacing w:line="360" w:lineRule="auto"/>
        <w:ind w:firstLine="630"/>
        <w:rPr>
          <w:rFonts w:ascii="宋体"/>
          <w:bCs/>
          <w:color w:val="auto"/>
          <w:sz w:val="24"/>
          <w:highlight w:val="none"/>
        </w:rPr>
      </w:pPr>
      <w:r>
        <w:rPr>
          <w:rFonts w:ascii="宋体" w:hAnsi="宋体"/>
          <w:bCs/>
          <w:color w:val="auto"/>
          <w:sz w:val="24"/>
          <w:highlight w:val="none"/>
        </w:rPr>
        <w:t>12</w:t>
      </w:r>
      <w:r>
        <w:rPr>
          <w:rFonts w:hint="eastAsia" w:ascii="宋体" w:hAnsi="宋体"/>
          <w:bCs/>
          <w:color w:val="auto"/>
          <w:sz w:val="24"/>
          <w:highlight w:val="none"/>
        </w:rPr>
        <w:t>．报价</w:t>
      </w:r>
    </w:p>
    <w:p>
      <w:pPr>
        <w:spacing w:line="360" w:lineRule="auto"/>
        <w:ind w:firstLine="630"/>
        <w:rPr>
          <w:rFonts w:ascii="宋体"/>
          <w:bCs/>
          <w:color w:val="auto"/>
          <w:sz w:val="24"/>
          <w:highlight w:val="none"/>
        </w:rPr>
      </w:pPr>
      <w:r>
        <w:rPr>
          <w:rFonts w:ascii="宋体" w:hAnsi="宋体"/>
          <w:bCs/>
          <w:color w:val="auto"/>
          <w:sz w:val="24"/>
          <w:highlight w:val="none"/>
        </w:rPr>
        <w:t>13</w:t>
      </w:r>
      <w:r>
        <w:rPr>
          <w:rFonts w:hint="eastAsia" w:ascii="宋体" w:hAnsi="宋体"/>
          <w:bCs/>
          <w:color w:val="auto"/>
          <w:sz w:val="24"/>
          <w:highlight w:val="none"/>
        </w:rPr>
        <w:t>．投标文件的签署及规定</w:t>
      </w:r>
    </w:p>
    <w:p>
      <w:pPr>
        <w:spacing w:line="360" w:lineRule="auto"/>
        <w:ind w:firstLine="420"/>
        <w:rPr>
          <w:rFonts w:ascii="宋体"/>
          <w:bCs/>
          <w:color w:val="auto"/>
          <w:sz w:val="24"/>
          <w:highlight w:val="none"/>
        </w:rPr>
      </w:pPr>
      <w:r>
        <w:rPr>
          <w:rFonts w:ascii="宋体" w:hAnsi="宋体"/>
          <w:bCs/>
          <w:color w:val="auto"/>
          <w:sz w:val="24"/>
          <w:highlight w:val="none"/>
        </w:rPr>
        <w:t>C</w:t>
      </w:r>
      <w:r>
        <w:rPr>
          <w:rFonts w:hint="eastAsia" w:ascii="宋体" w:hAnsi="宋体"/>
          <w:bCs/>
          <w:color w:val="auto"/>
          <w:sz w:val="24"/>
          <w:highlight w:val="none"/>
        </w:rPr>
        <w:t>　投标文件的递交</w:t>
      </w:r>
    </w:p>
    <w:p>
      <w:pPr>
        <w:spacing w:line="360" w:lineRule="auto"/>
        <w:ind w:firstLine="630"/>
        <w:rPr>
          <w:rFonts w:ascii="宋体"/>
          <w:bCs/>
          <w:color w:val="auto"/>
          <w:sz w:val="24"/>
          <w:highlight w:val="none"/>
        </w:rPr>
      </w:pPr>
      <w:r>
        <w:rPr>
          <w:rFonts w:ascii="宋体" w:hAnsi="宋体"/>
          <w:bCs/>
          <w:color w:val="auto"/>
          <w:sz w:val="24"/>
          <w:highlight w:val="none"/>
        </w:rPr>
        <w:t>14</w:t>
      </w:r>
      <w:r>
        <w:rPr>
          <w:rFonts w:hint="eastAsia" w:ascii="宋体" w:hAnsi="宋体"/>
          <w:bCs/>
          <w:color w:val="auto"/>
          <w:sz w:val="24"/>
          <w:highlight w:val="none"/>
        </w:rPr>
        <w:t>．投标文件的密封和标记</w:t>
      </w:r>
    </w:p>
    <w:p>
      <w:pPr>
        <w:spacing w:line="360" w:lineRule="auto"/>
        <w:ind w:firstLine="630"/>
        <w:rPr>
          <w:rFonts w:ascii="宋体"/>
          <w:bCs/>
          <w:color w:val="auto"/>
          <w:sz w:val="24"/>
          <w:highlight w:val="none"/>
        </w:rPr>
      </w:pPr>
      <w:r>
        <w:rPr>
          <w:rFonts w:ascii="宋体" w:hAnsi="宋体"/>
          <w:bCs/>
          <w:color w:val="auto"/>
          <w:sz w:val="24"/>
          <w:highlight w:val="none"/>
        </w:rPr>
        <w:t>15</w:t>
      </w:r>
      <w:r>
        <w:rPr>
          <w:rFonts w:hint="eastAsia" w:ascii="宋体" w:hAnsi="宋体"/>
          <w:bCs/>
          <w:color w:val="auto"/>
          <w:sz w:val="24"/>
          <w:highlight w:val="none"/>
        </w:rPr>
        <w:t>．投标文件的递交</w:t>
      </w:r>
    </w:p>
    <w:p>
      <w:pPr>
        <w:spacing w:line="360" w:lineRule="auto"/>
        <w:ind w:firstLine="630"/>
        <w:rPr>
          <w:rFonts w:ascii="宋体"/>
          <w:bCs/>
          <w:color w:val="auto"/>
          <w:sz w:val="24"/>
          <w:highlight w:val="none"/>
        </w:rPr>
      </w:pPr>
      <w:r>
        <w:rPr>
          <w:rFonts w:ascii="宋体" w:hAnsi="宋体"/>
          <w:bCs/>
          <w:color w:val="auto"/>
          <w:sz w:val="24"/>
          <w:highlight w:val="none"/>
        </w:rPr>
        <w:t>16</w:t>
      </w:r>
      <w:r>
        <w:rPr>
          <w:rFonts w:hint="eastAsia" w:ascii="宋体" w:hAnsi="宋体"/>
          <w:bCs/>
          <w:color w:val="auto"/>
          <w:sz w:val="24"/>
          <w:highlight w:val="none"/>
        </w:rPr>
        <w:t>．投标文件的修改</w:t>
      </w:r>
    </w:p>
    <w:p>
      <w:pPr>
        <w:spacing w:line="360" w:lineRule="auto"/>
        <w:ind w:firstLine="630"/>
        <w:rPr>
          <w:rFonts w:ascii="宋体"/>
          <w:bCs/>
          <w:color w:val="auto"/>
          <w:sz w:val="24"/>
          <w:highlight w:val="none"/>
        </w:rPr>
      </w:pPr>
      <w:r>
        <w:rPr>
          <w:rFonts w:ascii="宋体" w:hAnsi="宋体"/>
          <w:bCs/>
          <w:color w:val="auto"/>
          <w:sz w:val="24"/>
          <w:highlight w:val="none"/>
        </w:rPr>
        <w:t>17</w:t>
      </w:r>
      <w:r>
        <w:rPr>
          <w:rFonts w:hint="eastAsia" w:ascii="宋体" w:hAnsi="宋体"/>
          <w:bCs/>
          <w:color w:val="auto"/>
          <w:sz w:val="24"/>
          <w:highlight w:val="none"/>
        </w:rPr>
        <w:t>．投标文件的撤回、修改、补充</w:t>
      </w:r>
    </w:p>
    <w:p>
      <w:pPr>
        <w:spacing w:line="360" w:lineRule="auto"/>
        <w:ind w:firstLine="630"/>
        <w:rPr>
          <w:rFonts w:ascii="宋体"/>
          <w:bCs/>
          <w:color w:val="auto"/>
          <w:sz w:val="24"/>
          <w:highlight w:val="none"/>
        </w:rPr>
      </w:pPr>
      <w:r>
        <w:rPr>
          <w:rFonts w:ascii="宋体" w:hAnsi="宋体"/>
          <w:bCs/>
          <w:color w:val="auto"/>
          <w:sz w:val="24"/>
          <w:highlight w:val="none"/>
        </w:rPr>
        <w:t>18</w:t>
      </w:r>
      <w:r>
        <w:rPr>
          <w:rFonts w:hint="eastAsia" w:ascii="宋体" w:hAnsi="宋体"/>
          <w:bCs/>
          <w:color w:val="auto"/>
          <w:sz w:val="24"/>
          <w:highlight w:val="none"/>
        </w:rPr>
        <w:t>．迟到的投标文件</w:t>
      </w:r>
    </w:p>
    <w:p>
      <w:pPr>
        <w:spacing w:line="360" w:lineRule="auto"/>
        <w:ind w:firstLine="420"/>
        <w:rPr>
          <w:rFonts w:ascii="宋体"/>
          <w:bCs/>
          <w:color w:val="auto"/>
          <w:sz w:val="24"/>
          <w:highlight w:val="none"/>
        </w:rPr>
      </w:pPr>
      <w:r>
        <w:rPr>
          <w:rFonts w:ascii="宋体" w:hAnsi="宋体"/>
          <w:bCs/>
          <w:color w:val="auto"/>
          <w:sz w:val="24"/>
          <w:highlight w:val="none"/>
        </w:rPr>
        <w:t>D</w:t>
      </w:r>
      <w:r>
        <w:rPr>
          <w:rFonts w:hint="eastAsia" w:ascii="宋体" w:hAnsi="宋体"/>
          <w:bCs/>
          <w:color w:val="auto"/>
          <w:sz w:val="24"/>
          <w:highlight w:val="none"/>
        </w:rPr>
        <w:t>　开标和评标</w:t>
      </w:r>
    </w:p>
    <w:p>
      <w:pPr>
        <w:spacing w:line="360" w:lineRule="auto"/>
        <w:ind w:firstLine="630"/>
        <w:rPr>
          <w:rFonts w:ascii="宋体"/>
          <w:bCs/>
          <w:color w:val="auto"/>
          <w:sz w:val="24"/>
          <w:highlight w:val="none"/>
        </w:rPr>
      </w:pPr>
      <w:r>
        <w:rPr>
          <w:rFonts w:ascii="宋体" w:hAnsi="宋体"/>
          <w:bCs/>
          <w:color w:val="auto"/>
          <w:sz w:val="24"/>
          <w:highlight w:val="none"/>
        </w:rPr>
        <w:t>19</w:t>
      </w:r>
      <w:r>
        <w:rPr>
          <w:rFonts w:hint="eastAsia" w:ascii="宋体" w:hAnsi="宋体"/>
          <w:bCs/>
          <w:color w:val="auto"/>
          <w:sz w:val="24"/>
          <w:highlight w:val="none"/>
        </w:rPr>
        <w:t>．开标</w:t>
      </w:r>
    </w:p>
    <w:p>
      <w:pPr>
        <w:spacing w:line="360" w:lineRule="auto"/>
        <w:ind w:firstLine="630"/>
        <w:rPr>
          <w:rFonts w:ascii="宋体"/>
          <w:bCs/>
          <w:color w:val="auto"/>
          <w:sz w:val="24"/>
          <w:highlight w:val="none"/>
        </w:rPr>
      </w:pPr>
      <w:r>
        <w:rPr>
          <w:rFonts w:ascii="宋体" w:hAnsi="宋体"/>
          <w:bCs/>
          <w:color w:val="auto"/>
          <w:sz w:val="24"/>
          <w:highlight w:val="none"/>
        </w:rPr>
        <w:t>20</w:t>
      </w:r>
      <w:r>
        <w:rPr>
          <w:rFonts w:hint="eastAsia" w:ascii="宋体" w:hAnsi="宋体"/>
          <w:bCs/>
          <w:color w:val="auto"/>
          <w:sz w:val="24"/>
          <w:highlight w:val="none"/>
        </w:rPr>
        <w:t>．评标委员会组成及职责</w:t>
      </w:r>
    </w:p>
    <w:p>
      <w:pPr>
        <w:spacing w:line="360" w:lineRule="auto"/>
        <w:ind w:firstLine="63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．评标委员会履行的义务</w:t>
      </w:r>
    </w:p>
    <w:p>
      <w:pPr>
        <w:spacing w:line="360" w:lineRule="auto"/>
        <w:ind w:firstLine="63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．评标工作程序</w:t>
      </w:r>
    </w:p>
    <w:p>
      <w:pPr>
        <w:spacing w:line="360" w:lineRule="auto"/>
        <w:ind w:firstLine="63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．评标过程的保密性</w:t>
      </w:r>
    </w:p>
    <w:p>
      <w:pPr>
        <w:spacing w:line="360" w:lineRule="auto"/>
        <w:ind w:firstLine="420"/>
        <w:rPr>
          <w:rFonts w:ascii="宋体"/>
          <w:bCs/>
          <w:color w:val="auto"/>
          <w:sz w:val="24"/>
          <w:highlight w:val="none"/>
        </w:rPr>
      </w:pPr>
      <w:r>
        <w:rPr>
          <w:rFonts w:ascii="宋体" w:hAnsi="宋体"/>
          <w:bCs/>
          <w:color w:val="auto"/>
          <w:sz w:val="24"/>
          <w:highlight w:val="none"/>
        </w:rPr>
        <w:t>E</w:t>
      </w:r>
      <w:r>
        <w:rPr>
          <w:rFonts w:hint="eastAsia" w:ascii="宋体" w:hAnsi="宋体"/>
          <w:bCs/>
          <w:color w:val="auto"/>
          <w:sz w:val="24"/>
          <w:highlight w:val="none"/>
        </w:rPr>
        <w:t>　评标文件及标准</w:t>
      </w:r>
    </w:p>
    <w:p>
      <w:pPr>
        <w:spacing w:line="360" w:lineRule="auto"/>
        <w:ind w:firstLine="630"/>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．评标方法</w:t>
      </w:r>
    </w:p>
    <w:p>
      <w:pPr>
        <w:spacing w:line="360" w:lineRule="auto"/>
        <w:ind w:firstLine="630"/>
        <w:rPr>
          <w:rFonts w:ascii="宋体"/>
          <w:bCs/>
          <w:color w:val="auto"/>
          <w:sz w:val="24"/>
          <w:highlight w:val="none"/>
        </w:rPr>
      </w:pPr>
      <w:r>
        <w:rPr>
          <w:rFonts w:ascii="宋体" w:hAnsi="宋体"/>
          <w:bCs/>
          <w:color w:val="auto"/>
          <w:sz w:val="24"/>
          <w:highlight w:val="none"/>
        </w:rPr>
        <w:t>25</w:t>
      </w:r>
      <w:r>
        <w:rPr>
          <w:rFonts w:hint="eastAsia" w:ascii="宋体" w:hAnsi="宋体"/>
          <w:bCs/>
          <w:color w:val="auto"/>
          <w:sz w:val="24"/>
          <w:highlight w:val="none"/>
        </w:rPr>
        <w:t>．授受和拒绝任何或所有投标的权力</w:t>
      </w:r>
    </w:p>
    <w:p>
      <w:pPr>
        <w:spacing w:line="360" w:lineRule="auto"/>
        <w:ind w:firstLine="420"/>
        <w:rPr>
          <w:rFonts w:ascii="宋体"/>
          <w:bCs/>
          <w:color w:val="auto"/>
          <w:sz w:val="24"/>
          <w:highlight w:val="none"/>
        </w:rPr>
      </w:pPr>
      <w:r>
        <w:rPr>
          <w:rFonts w:ascii="宋体" w:hAnsi="宋体"/>
          <w:bCs/>
          <w:color w:val="auto"/>
          <w:sz w:val="24"/>
          <w:highlight w:val="none"/>
        </w:rPr>
        <w:t>F</w:t>
      </w:r>
      <w:r>
        <w:rPr>
          <w:rFonts w:hint="eastAsia" w:ascii="宋体" w:hAnsi="宋体"/>
          <w:bCs/>
          <w:color w:val="auto"/>
          <w:sz w:val="24"/>
          <w:highlight w:val="none"/>
        </w:rPr>
        <w:t>　中标及合同签订</w:t>
      </w:r>
    </w:p>
    <w:p>
      <w:pPr>
        <w:spacing w:line="360" w:lineRule="auto"/>
        <w:ind w:firstLine="630"/>
        <w:rPr>
          <w:rFonts w:ascii="宋体"/>
          <w:bCs/>
          <w:color w:val="auto"/>
          <w:sz w:val="24"/>
          <w:highlight w:val="none"/>
        </w:rPr>
      </w:pPr>
      <w:r>
        <w:rPr>
          <w:rFonts w:ascii="宋体" w:hAnsi="宋体"/>
          <w:bCs/>
          <w:color w:val="auto"/>
          <w:sz w:val="24"/>
          <w:highlight w:val="none"/>
        </w:rPr>
        <w:t>26</w:t>
      </w:r>
      <w:r>
        <w:rPr>
          <w:rFonts w:hint="eastAsia" w:ascii="宋体" w:hAnsi="宋体"/>
          <w:bCs/>
          <w:color w:val="auto"/>
          <w:sz w:val="24"/>
          <w:highlight w:val="none"/>
        </w:rPr>
        <w:t>．中标通知</w:t>
      </w:r>
    </w:p>
    <w:p>
      <w:pPr>
        <w:spacing w:line="360" w:lineRule="auto"/>
        <w:ind w:firstLine="630"/>
        <w:rPr>
          <w:rFonts w:ascii="宋体"/>
          <w:bCs/>
          <w:color w:val="auto"/>
          <w:sz w:val="24"/>
          <w:highlight w:val="none"/>
        </w:rPr>
      </w:pPr>
      <w:r>
        <w:rPr>
          <w:rFonts w:ascii="宋体" w:hAnsi="宋体"/>
          <w:bCs/>
          <w:color w:val="auto"/>
          <w:sz w:val="24"/>
          <w:highlight w:val="none"/>
        </w:rPr>
        <w:t>27</w:t>
      </w:r>
      <w:r>
        <w:rPr>
          <w:rFonts w:hint="eastAsia" w:ascii="宋体" w:hAnsi="宋体"/>
          <w:bCs/>
          <w:color w:val="auto"/>
          <w:sz w:val="24"/>
          <w:highlight w:val="none"/>
        </w:rPr>
        <w:t>．合同签订</w:t>
      </w:r>
    </w:p>
    <w:p>
      <w:pPr>
        <w:spacing w:line="360" w:lineRule="auto"/>
        <w:ind w:firstLine="420"/>
        <w:rPr>
          <w:rFonts w:ascii="宋体"/>
          <w:bCs/>
          <w:color w:val="auto"/>
          <w:sz w:val="24"/>
          <w:highlight w:val="none"/>
        </w:rPr>
      </w:pPr>
      <w:r>
        <w:rPr>
          <w:rFonts w:ascii="宋体" w:hAnsi="宋体"/>
          <w:bCs/>
          <w:color w:val="auto"/>
          <w:sz w:val="24"/>
          <w:highlight w:val="none"/>
        </w:rPr>
        <w:t>G</w:t>
      </w:r>
      <w:r>
        <w:rPr>
          <w:rFonts w:hint="eastAsia" w:ascii="宋体" w:hAnsi="宋体"/>
          <w:bCs/>
          <w:color w:val="auto"/>
          <w:sz w:val="24"/>
          <w:highlight w:val="none"/>
        </w:rPr>
        <w:t>　法律责任</w:t>
      </w:r>
    </w:p>
    <w:p>
      <w:pPr>
        <w:spacing w:line="360" w:lineRule="auto"/>
        <w:ind w:firstLine="630"/>
        <w:rPr>
          <w:rFonts w:ascii="宋体"/>
          <w:bCs/>
          <w:color w:val="auto"/>
          <w:sz w:val="24"/>
          <w:highlight w:val="none"/>
        </w:rPr>
      </w:pPr>
      <w:r>
        <w:rPr>
          <w:rFonts w:ascii="宋体" w:hAnsi="宋体"/>
          <w:bCs/>
          <w:color w:val="auto"/>
          <w:sz w:val="24"/>
          <w:highlight w:val="none"/>
        </w:rPr>
        <w:t>28</w:t>
      </w:r>
      <w:r>
        <w:rPr>
          <w:rFonts w:hint="eastAsia" w:ascii="宋体" w:hAnsi="宋体"/>
          <w:bCs/>
          <w:color w:val="auto"/>
          <w:sz w:val="24"/>
          <w:highlight w:val="none"/>
        </w:rPr>
        <w:t>．法律责任</w:t>
      </w:r>
    </w:p>
    <w:p>
      <w:pPr>
        <w:spacing w:line="360" w:lineRule="auto"/>
        <w:ind w:firstLine="420"/>
        <w:rPr>
          <w:rFonts w:ascii="宋体"/>
          <w:bCs/>
          <w:color w:val="auto"/>
          <w:sz w:val="24"/>
          <w:highlight w:val="none"/>
        </w:rPr>
      </w:pPr>
      <w:r>
        <w:rPr>
          <w:rFonts w:ascii="宋体" w:hAnsi="宋体"/>
          <w:bCs/>
          <w:color w:val="auto"/>
          <w:sz w:val="24"/>
          <w:highlight w:val="none"/>
        </w:rPr>
        <w:t>H</w:t>
      </w:r>
      <w:r>
        <w:rPr>
          <w:rFonts w:hint="eastAsia" w:ascii="宋体" w:hAnsi="宋体"/>
          <w:bCs/>
          <w:color w:val="auto"/>
          <w:sz w:val="24"/>
          <w:highlight w:val="none"/>
        </w:rPr>
        <w:t>　验收</w:t>
      </w:r>
    </w:p>
    <w:p>
      <w:pPr>
        <w:spacing w:line="360" w:lineRule="auto"/>
        <w:ind w:firstLine="630"/>
        <w:rPr>
          <w:rFonts w:ascii="宋体"/>
          <w:bCs/>
          <w:color w:val="auto"/>
          <w:sz w:val="24"/>
          <w:highlight w:val="none"/>
        </w:rPr>
      </w:pPr>
      <w:r>
        <w:rPr>
          <w:rFonts w:ascii="宋体" w:hAnsi="宋体"/>
          <w:bCs/>
          <w:color w:val="auto"/>
          <w:sz w:val="24"/>
          <w:highlight w:val="none"/>
        </w:rPr>
        <w:t>29</w:t>
      </w:r>
      <w:r>
        <w:rPr>
          <w:rFonts w:hint="eastAsia" w:ascii="宋体" w:hAnsi="宋体"/>
          <w:bCs/>
          <w:color w:val="auto"/>
          <w:sz w:val="24"/>
          <w:highlight w:val="none"/>
        </w:rPr>
        <w:t>．货物验收</w:t>
      </w:r>
    </w:p>
    <w:p>
      <w:pPr>
        <w:spacing w:line="360" w:lineRule="auto"/>
        <w:ind w:firstLine="420"/>
        <w:rPr>
          <w:rFonts w:ascii="宋体"/>
          <w:bCs/>
          <w:color w:val="auto"/>
          <w:sz w:val="24"/>
          <w:highlight w:val="none"/>
        </w:rPr>
      </w:pPr>
      <w:r>
        <w:rPr>
          <w:rFonts w:ascii="宋体" w:hAnsi="宋体"/>
          <w:bCs/>
          <w:color w:val="auto"/>
          <w:sz w:val="24"/>
          <w:highlight w:val="none"/>
        </w:rPr>
        <w:t>I</w:t>
      </w:r>
      <w:r>
        <w:rPr>
          <w:rFonts w:hint="eastAsia" w:ascii="宋体" w:hAnsi="宋体"/>
          <w:bCs/>
          <w:color w:val="auto"/>
          <w:sz w:val="24"/>
          <w:highlight w:val="none"/>
        </w:rPr>
        <w:t>　质疑与投诉</w:t>
      </w:r>
    </w:p>
    <w:p>
      <w:pPr>
        <w:spacing w:line="360" w:lineRule="auto"/>
        <w:ind w:firstLine="630"/>
        <w:rPr>
          <w:rFonts w:ascii="宋体"/>
          <w:bCs/>
          <w:color w:val="auto"/>
          <w:sz w:val="24"/>
          <w:highlight w:val="none"/>
        </w:rPr>
      </w:pPr>
      <w:r>
        <w:rPr>
          <w:rFonts w:ascii="宋体" w:hAnsi="宋体"/>
          <w:bCs/>
          <w:color w:val="auto"/>
          <w:sz w:val="24"/>
          <w:highlight w:val="none"/>
        </w:rPr>
        <w:t>30</w:t>
      </w:r>
      <w:r>
        <w:rPr>
          <w:rFonts w:hint="eastAsia" w:ascii="宋体" w:hAnsi="宋体"/>
          <w:bCs/>
          <w:color w:val="auto"/>
          <w:sz w:val="24"/>
          <w:highlight w:val="none"/>
        </w:rPr>
        <w:t>．质疑</w:t>
      </w:r>
    </w:p>
    <w:p>
      <w:pPr>
        <w:spacing w:line="360" w:lineRule="auto"/>
        <w:ind w:firstLine="63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．投诉</w:t>
      </w:r>
    </w:p>
    <w:p>
      <w:pPr>
        <w:spacing w:line="360" w:lineRule="auto"/>
        <w:rPr>
          <w:rFonts w:ascii="宋体"/>
          <w:color w:val="auto"/>
          <w:sz w:val="24"/>
          <w:highlight w:val="none"/>
        </w:rPr>
      </w:pPr>
      <w:r>
        <w:rPr>
          <w:rFonts w:hint="eastAsia" w:ascii="宋体" w:hAnsi="宋体"/>
          <w:color w:val="auto"/>
          <w:sz w:val="24"/>
          <w:highlight w:val="none"/>
        </w:rPr>
        <w:t>第三部分　清单及说明</w:t>
      </w:r>
    </w:p>
    <w:p>
      <w:pPr>
        <w:spacing w:line="360" w:lineRule="auto"/>
        <w:rPr>
          <w:rFonts w:ascii="宋体"/>
          <w:color w:val="auto"/>
          <w:sz w:val="24"/>
          <w:highlight w:val="none"/>
        </w:rPr>
      </w:pPr>
      <w:r>
        <w:rPr>
          <w:rFonts w:hint="eastAsia" w:ascii="宋体" w:hAnsi="宋体"/>
          <w:color w:val="auto"/>
          <w:sz w:val="24"/>
          <w:highlight w:val="none"/>
        </w:rPr>
        <w:t>第四部分　采购合同（范本）</w:t>
      </w:r>
    </w:p>
    <w:p>
      <w:pPr>
        <w:spacing w:line="360" w:lineRule="auto"/>
        <w:rPr>
          <w:rFonts w:hint="eastAsia" w:ascii="宋体" w:hAnsi="宋体"/>
          <w:color w:val="auto"/>
          <w:sz w:val="24"/>
          <w:highlight w:val="none"/>
        </w:rPr>
      </w:pPr>
      <w:r>
        <w:rPr>
          <w:rFonts w:hint="eastAsia" w:ascii="宋体" w:hAnsi="宋体"/>
          <w:color w:val="auto"/>
          <w:sz w:val="24"/>
          <w:highlight w:val="none"/>
        </w:rPr>
        <w:t>第五部分　投标文件内容及格式</w:t>
      </w:r>
    </w:p>
    <w:p>
      <w:pPr>
        <w:pStyle w:val="2"/>
        <w:numPr>
          <w:ilvl w:val="1"/>
          <w:numId w:val="0"/>
        </w:numPr>
        <w:tabs>
          <w:tab w:val="clear" w:pos="420"/>
        </w:tabs>
        <w:ind w:leftChars="0"/>
        <w:rPr>
          <w:rFonts w:hint="eastAsia" w:ascii="宋体" w:hAnsi="宋体"/>
          <w:color w:val="auto"/>
          <w:sz w:val="24"/>
          <w:highlight w:val="none"/>
        </w:rPr>
      </w:pPr>
    </w:p>
    <w:p>
      <w:pPr>
        <w:pStyle w:val="2"/>
        <w:numPr>
          <w:ilvl w:val="1"/>
          <w:numId w:val="0"/>
        </w:numPr>
        <w:tabs>
          <w:tab w:val="clear" w:pos="420"/>
        </w:tabs>
        <w:ind w:leftChars="0"/>
        <w:rPr>
          <w:rFonts w:hint="eastAsia" w:ascii="宋体" w:hAnsi="宋体"/>
          <w:color w:val="auto"/>
          <w:sz w:val="24"/>
          <w:highlight w:val="none"/>
        </w:rPr>
      </w:pPr>
    </w:p>
    <w:p>
      <w:pPr>
        <w:pStyle w:val="2"/>
        <w:numPr>
          <w:ilvl w:val="1"/>
          <w:numId w:val="0"/>
        </w:numPr>
        <w:tabs>
          <w:tab w:val="clear" w:pos="420"/>
        </w:tabs>
        <w:ind w:leftChars="0"/>
        <w:rPr>
          <w:rFonts w:hint="eastAsia" w:ascii="宋体" w:hAnsi="宋体"/>
          <w:color w:val="auto"/>
          <w:sz w:val="24"/>
          <w:highlight w:val="none"/>
        </w:rPr>
      </w:pPr>
    </w:p>
    <w:p>
      <w:pPr>
        <w:pStyle w:val="2"/>
        <w:numPr>
          <w:ilvl w:val="1"/>
          <w:numId w:val="0"/>
        </w:numPr>
        <w:tabs>
          <w:tab w:val="clear" w:pos="420"/>
        </w:tabs>
        <w:ind w:leftChars="0"/>
        <w:rPr>
          <w:rFonts w:hint="eastAsia" w:ascii="宋体" w:hAnsi="宋体"/>
          <w:color w:val="auto"/>
          <w:sz w:val="24"/>
          <w:highlight w:val="none"/>
        </w:rPr>
      </w:pPr>
    </w:p>
    <w:p>
      <w:pPr>
        <w:pStyle w:val="2"/>
        <w:numPr>
          <w:ilvl w:val="1"/>
          <w:numId w:val="0"/>
        </w:numPr>
        <w:tabs>
          <w:tab w:val="clear" w:pos="420"/>
        </w:tabs>
        <w:ind w:leftChars="0"/>
        <w:rPr>
          <w:rFonts w:hint="eastAsia" w:ascii="宋体" w:hAnsi="宋体"/>
          <w:color w:val="auto"/>
          <w:sz w:val="24"/>
          <w:highlight w:val="none"/>
        </w:rPr>
      </w:pPr>
    </w:p>
    <w:p>
      <w:pPr>
        <w:pStyle w:val="2"/>
        <w:numPr>
          <w:ilvl w:val="1"/>
          <w:numId w:val="0"/>
        </w:numPr>
        <w:tabs>
          <w:tab w:val="clear" w:pos="420"/>
        </w:tabs>
        <w:ind w:leftChars="0"/>
        <w:rPr>
          <w:rFonts w:hint="eastAsia" w:ascii="宋体" w:hAnsi="宋体"/>
          <w:color w:val="auto"/>
          <w:sz w:val="24"/>
          <w:highlight w:val="none"/>
        </w:rPr>
      </w:pPr>
    </w:p>
    <w:p>
      <w:pPr>
        <w:pStyle w:val="2"/>
        <w:numPr>
          <w:ilvl w:val="1"/>
          <w:numId w:val="0"/>
        </w:numPr>
        <w:tabs>
          <w:tab w:val="clear" w:pos="420"/>
        </w:tabs>
        <w:ind w:leftChars="0"/>
        <w:rPr>
          <w:rFonts w:hint="eastAsia" w:ascii="宋体" w:hAnsi="宋体"/>
          <w:color w:val="auto"/>
          <w:sz w:val="24"/>
          <w:highlight w:val="none"/>
        </w:rPr>
      </w:pPr>
    </w:p>
    <w:p>
      <w:pPr>
        <w:spacing w:line="500" w:lineRule="exact"/>
        <w:jc w:val="center"/>
        <w:rPr>
          <w:rFonts w:hint="eastAsia" w:ascii="宋体" w:hAnsi="宋体"/>
          <w:b/>
          <w:color w:val="auto"/>
          <w:sz w:val="28"/>
          <w:szCs w:val="28"/>
          <w:highlight w:val="none"/>
        </w:rPr>
        <w:sectPr>
          <w:headerReference r:id="rId5" w:type="default"/>
          <w:footerReference r:id="rId6" w:type="default"/>
          <w:pgSz w:w="11907" w:h="16840"/>
          <w:pgMar w:top="1474" w:right="1814" w:bottom="1474" w:left="1814" w:header="851" w:footer="851" w:gutter="0"/>
          <w:pgNumType w:fmt="decimal"/>
          <w:cols w:space="720" w:num="1"/>
          <w:docGrid w:linePitch="462" w:charSpace="0"/>
        </w:sectPr>
      </w:pPr>
    </w:p>
    <w:p>
      <w:pPr>
        <w:spacing w:line="500" w:lineRule="exact"/>
        <w:jc w:val="center"/>
        <w:rPr>
          <w:rFonts w:hint="eastAsia" w:ascii="宋体" w:hAnsi="宋体" w:cs="宋体"/>
          <w:b/>
          <w:bCs/>
          <w:color w:val="auto"/>
          <w:sz w:val="36"/>
          <w:szCs w:val="36"/>
          <w:highlight w:val="none"/>
          <w:lang w:val="en-US" w:eastAsia="zh-CN"/>
        </w:rPr>
      </w:pPr>
      <w:r>
        <w:rPr>
          <w:rFonts w:hint="eastAsia" w:ascii="宋体" w:hAnsi="宋体"/>
          <w:b/>
          <w:color w:val="auto"/>
          <w:sz w:val="28"/>
          <w:szCs w:val="28"/>
          <w:highlight w:val="none"/>
        </w:rPr>
        <w:t>第一部分</w:t>
      </w:r>
      <w:r>
        <w:rPr>
          <w:rFonts w:ascii="宋体" w:hAnsi="宋体"/>
          <w:b/>
          <w:color w:val="auto"/>
          <w:sz w:val="28"/>
          <w:szCs w:val="28"/>
          <w:highlight w:val="none"/>
        </w:rPr>
        <w:t xml:space="preserve">   </w:t>
      </w:r>
      <w:r>
        <w:rPr>
          <w:rFonts w:hint="eastAsia" w:ascii="宋体" w:hAnsi="宋体"/>
          <w:b/>
          <w:color w:val="auto"/>
          <w:sz w:val="28"/>
          <w:szCs w:val="28"/>
          <w:highlight w:val="none"/>
        </w:rPr>
        <w:t>采购公告</w:t>
      </w:r>
    </w:p>
    <w:p>
      <w:pPr>
        <w:jc w:val="center"/>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2020年皮山县教育系统学校食堂所需食材采购项目公开招标公告</w:t>
      </w:r>
    </w:p>
    <w:p>
      <w:pPr>
        <w:widowControl/>
        <w:spacing w:after="75"/>
        <w:jc w:val="left"/>
        <w:rPr>
          <w:rFonts w:ascii="宋体" w:hAnsi="宋体" w:cs="宋体"/>
          <w:color w:val="000000"/>
        </w:rPr>
      </w:pPr>
      <w:r>
        <w:rPr>
          <w:rFonts w:ascii="宋体" w:hAnsi="宋体" w:cs="宋体"/>
          <w:color w:val="000000" w:themeColor="text1"/>
          <w:highlight w:val="none"/>
          <w14:textFill>
            <w14:solidFill>
              <w14:schemeClr w14:val="tx1"/>
            </w14:solidFill>
          </w14:textFill>
        </w:rPr>
        <w:t xml:space="preserve">一、招标项目编号： </w:t>
      </w:r>
      <w:r>
        <w:rPr>
          <w:rFonts w:ascii="宋体" w:hAnsi="宋体" w:cs="宋体"/>
          <w:color w:val="FF0000"/>
          <w:highlight w:val="none"/>
        </w:rPr>
        <w:t>PSXZC20</w:t>
      </w:r>
      <w:r>
        <w:rPr>
          <w:rFonts w:hint="eastAsia" w:ascii="宋体" w:hAnsi="宋体" w:cs="宋体"/>
          <w:color w:val="FF0000"/>
          <w:highlight w:val="none"/>
          <w:lang w:val="en-US" w:eastAsia="zh-CN"/>
        </w:rPr>
        <w:t>20</w:t>
      </w:r>
      <w:r>
        <w:rPr>
          <w:rFonts w:ascii="宋体" w:hAnsi="宋体" w:cs="宋体"/>
          <w:color w:val="FF0000"/>
          <w:highlight w:val="none"/>
        </w:rPr>
        <w:t>-</w:t>
      </w:r>
      <w:r>
        <w:rPr>
          <w:rFonts w:hint="eastAsia" w:ascii="宋体" w:hAnsi="宋体" w:cs="宋体"/>
          <w:color w:val="FF0000"/>
          <w:highlight w:val="none"/>
          <w:lang w:val="en-US" w:eastAsia="zh-CN"/>
        </w:rPr>
        <w:t>016</w:t>
      </w:r>
    </w:p>
    <w:p>
      <w:pPr>
        <w:widowControl/>
        <w:spacing w:before="75" w:after="75"/>
        <w:jc w:val="left"/>
        <w:rPr>
          <w:rFonts w:ascii="宋体" w:hAnsi="宋体" w:cs="宋体"/>
          <w:color w:val="auto"/>
        </w:rPr>
      </w:pPr>
      <w:r>
        <w:rPr>
          <w:rFonts w:ascii="宋体" w:hAnsi="宋体" w:cs="宋体"/>
          <w:color w:val="000000"/>
        </w:rPr>
        <w:t>二、采购组织类型：分散采购-分散委托</w:t>
      </w:r>
      <w:r>
        <w:rPr>
          <w:rFonts w:ascii="宋体" w:hAnsi="宋体" w:cs="宋体"/>
          <w:color w:val="auto"/>
        </w:rPr>
        <w:t>中介 </w:t>
      </w:r>
    </w:p>
    <w:p>
      <w:pPr>
        <w:widowControl/>
        <w:spacing w:before="75" w:after="75"/>
        <w:jc w:val="left"/>
        <w:rPr>
          <w:rFonts w:ascii="宋体" w:hAnsi="宋体" w:cs="宋体"/>
          <w:color w:val="auto"/>
        </w:rPr>
      </w:pPr>
      <w:r>
        <w:rPr>
          <w:rFonts w:ascii="宋体" w:hAnsi="宋体" w:cs="宋体"/>
          <w:color w:val="auto"/>
        </w:rPr>
        <w:t>三、招标项目概况</w:t>
      </w:r>
    </w:p>
    <w:tbl>
      <w:tblPr>
        <w:tblStyle w:val="31"/>
        <w:tblW w:w="7902" w:type="dxa"/>
        <w:jc w:val="center"/>
        <w:tblInd w:w="-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24"/>
        <w:gridCol w:w="1413"/>
        <w:gridCol w:w="712"/>
        <w:gridCol w:w="712"/>
        <w:gridCol w:w="1016"/>
        <w:gridCol w:w="897"/>
        <w:gridCol w:w="1071"/>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97" w:hRule="atLeast"/>
          <w:jc w:val="center"/>
        </w:trPr>
        <w:tc>
          <w:tcPr>
            <w:tcW w:w="824" w:type="dxa"/>
            <w:noWrap w:val="0"/>
            <w:tcMar>
              <w:top w:w="75" w:type="dxa"/>
              <w:left w:w="150" w:type="dxa"/>
              <w:bottom w:w="75" w:type="dxa"/>
              <w:right w:w="150" w:type="dxa"/>
            </w:tcMar>
            <w:vAlign w:val="center"/>
          </w:tcPr>
          <w:p>
            <w:pPr>
              <w:widowControl/>
              <w:spacing w:after="150"/>
              <w:jc w:val="center"/>
              <w:rPr>
                <w:rFonts w:ascii="宋体" w:hAnsi="宋体" w:cs="宋体"/>
                <w:color w:val="auto"/>
              </w:rPr>
            </w:pPr>
            <w:r>
              <w:rPr>
                <w:rFonts w:ascii="宋体" w:hAnsi="宋体" w:cs="宋体"/>
                <w:color w:val="auto"/>
              </w:rPr>
              <w:t>标项序号</w:t>
            </w:r>
          </w:p>
        </w:tc>
        <w:tc>
          <w:tcPr>
            <w:tcW w:w="1413" w:type="dxa"/>
            <w:noWrap w:val="0"/>
            <w:tcMar>
              <w:top w:w="75" w:type="dxa"/>
              <w:left w:w="150" w:type="dxa"/>
              <w:bottom w:w="75" w:type="dxa"/>
              <w:right w:w="150" w:type="dxa"/>
            </w:tcMar>
            <w:vAlign w:val="center"/>
          </w:tcPr>
          <w:p>
            <w:pPr>
              <w:widowControl/>
              <w:spacing w:after="150"/>
              <w:jc w:val="center"/>
              <w:rPr>
                <w:rFonts w:ascii="宋体" w:hAnsi="宋体" w:cs="宋体"/>
                <w:color w:val="auto"/>
              </w:rPr>
            </w:pPr>
            <w:r>
              <w:rPr>
                <w:rFonts w:ascii="宋体" w:hAnsi="宋体" w:cs="宋体"/>
                <w:color w:val="auto"/>
              </w:rPr>
              <w:t>标项名称</w:t>
            </w:r>
          </w:p>
        </w:tc>
        <w:tc>
          <w:tcPr>
            <w:tcW w:w="712" w:type="dxa"/>
            <w:noWrap w:val="0"/>
            <w:tcMar>
              <w:top w:w="75" w:type="dxa"/>
              <w:left w:w="150" w:type="dxa"/>
              <w:bottom w:w="75" w:type="dxa"/>
              <w:right w:w="150" w:type="dxa"/>
            </w:tcMar>
            <w:vAlign w:val="center"/>
          </w:tcPr>
          <w:p>
            <w:pPr>
              <w:widowControl/>
              <w:spacing w:after="150"/>
              <w:jc w:val="center"/>
              <w:rPr>
                <w:rFonts w:hint="eastAsia" w:ascii="宋体" w:hAnsi="宋体" w:eastAsia="宋体" w:cs="宋体"/>
                <w:color w:val="auto"/>
                <w:lang w:eastAsia="zh-CN"/>
              </w:rPr>
            </w:pPr>
            <w:r>
              <w:rPr>
                <w:rFonts w:hint="eastAsia" w:ascii="宋体" w:hAnsi="宋体" w:cs="宋体"/>
                <w:color w:val="auto"/>
                <w:lang w:eastAsia="zh-CN"/>
              </w:rPr>
              <w:t>品名</w:t>
            </w:r>
          </w:p>
        </w:tc>
        <w:tc>
          <w:tcPr>
            <w:tcW w:w="712" w:type="dxa"/>
            <w:noWrap w:val="0"/>
            <w:tcMar>
              <w:top w:w="75" w:type="dxa"/>
              <w:left w:w="150" w:type="dxa"/>
              <w:bottom w:w="75" w:type="dxa"/>
              <w:right w:w="150" w:type="dxa"/>
            </w:tcMar>
            <w:vAlign w:val="center"/>
          </w:tcPr>
          <w:p>
            <w:pPr>
              <w:widowControl/>
              <w:spacing w:after="150"/>
              <w:jc w:val="center"/>
              <w:rPr>
                <w:rFonts w:hint="eastAsia" w:ascii="宋体" w:hAnsi="宋体" w:eastAsia="宋体" w:cs="宋体"/>
                <w:color w:val="auto"/>
                <w:lang w:eastAsia="zh-CN"/>
              </w:rPr>
            </w:pPr>
            <w:r>
              <w:rPr>
                <w:rFonts w:hint="eastAsia" w:ascii="宋体" w:hAnsi="宋体" w:cs="宋体"/>
                <w:color w:val="auto"/>
                <w:lang w:eastAsia="zh-CN"/>
              </w:rPr>
              <w:t>规格</w:t>
            </w:r>
          </w:p>
        </w:tc>
        <w:tc>
          <w:tcPr>
            <w:tcW w:w="1016" w:type="dxa"/>
            <w:noWrap w:val="0"/>
            <w:tcMar>
              <w:top w:w="75" w:type="dxa"/>
              <w:left w:w="150" w:type="dxa"/>
              <w:bottom w:w="75" w:type="dxa"/>
              <w:right w:w="150" w:type="dxa"/>
            </w:tcMar>
            <w:vAlign w:val="center"/>
          </w:tcPr>
          <w:p>
            <w:pPr>
              <w:widowControl/>
              <w:spacing w:after="150"/>
              <w:jc w:val="center"/>
              <w:rPr>
                <w:rFonts w:hint="eastAsia" w:ascii="宋体" w:hAnsi="宋体" w:eastAsia="宋体" w:cs="宋体"/>
                <w:color w:val="auto"/>
                <w:lang w:eastAsia="zh-CN"/>
              </w:rPr>
            </w:pPr>
            <w:r>
              <w:rPr>
                <w:rFonts w:hint="eastAsia" w:ascii="宋体" w:hAnsi="宋体" w:cs="宋体"/>
                <w:color w:val="auto"/>
                <w:lang w:eastAsia="zh-CN"/>
              </w:rPr>
              <w:t>数量</w:t>
            </w:r>
          </w:p>
        </w:tc>
        <w:tc>
          <w:tcPr>
            <w:tcW w:w="897" w:type="dxa"/>
            <w:noWrap w:val="0"/>
            <w:tcMar>
              <w:top w:w="75" w:type="dxa"/>
              <w:left w:w="150" w:type="dxa"/>
              <w:bottom w:w="75" w:type="dxa"/>
              <w:right w:w="150" w:type="dxa"/>
            </w:tcMar>
            <w:vAlign w:val="center"/>
          </w:tcPr>
          <w:p>
            <w:pPr>
              <w:widowControl/>
              <w:spacing w:after="150"/>
              <w:jc w:val="both"/>
              <w:rPr>
                <w:rFonts w:hint="eastAsia" w:ascii="宋体" w:hAnsi="宋体" w:eastAsia="宋体" w:cs="宋体"/>
                <w:color w:val="auto"/>
                <w:lang w:eastAsia="zh-CN"/>
              </w:rPr>
            </w:pPr>
            <w:r>
              <w:rPr>
                <w:rFonts w:hint="eastAsia" w:ascii="宋体" w:hAnsi="宋体" w:cs="宋体"/>
                <w:color w:val="auto"/>
                <w:lang w:eastAsia="zh-CN"/>
              </w:rPr>
              <w:t>预算单价（元）</w:t>
            </w:r>
          </w:p>
        </w:tc>
        <w:tc>
          <w:tcPr>
            <w:tcW w:w="1071" w:type="dxa"/>
            <w:noWrap w:val="0"/>
            <w:tcMar>
              <w:top w:w="75" w:type="dxa"/>
              <w:left w:w="150" w:type="dxa"/>
              <w:bottom w:w="75" w:type="dxa"/>
              <w:right w:w="150" w:type="dxa"/>
            </w:tcMar>
            <w:vAlign w:val="center"/>
          </w:tcPr>
          <w:p>
            <w:pPr>
              <w:widowControl/>
              <w:spacing w:after="150"/>
              <w:jc w:val="center"/>
              <w:rPr>
                <w:rFonts w:hint="eastAsia" w:ascii="宋体" w:hAnsi="宋体" w:cs="宋体"/>
                <w:color w:val="auto"/>
                <w:lang w:eastAsia="zh-CN"/>
              </w:rPr>
            </w:pPr>
            <w:r>
              <w:rPr>
                <w:rFonts w:hint="eastAsia" w:ascii="宋体" w:hAnsi="宋体" w:cs="宋体"/>
                <w:color w:val="auto"/>
                <w:lang w:val="en-US" w:eastAsia="zh-CN"/>
              </w:rPr>
              <w:t>预算金额（万元）</w:t>
            </w:r>
          </w:p>
        </w:tc>
        <w:tc>
          <w:tcPr>
            <w:tcW w:w="1257" w:type="dxa"/>
            <w:noWrap w:val="0"/>
            <w:tcMar>
              <w:top w:w="75" w:type="dxa"/>
              <w:left w:w="150" w:type="dxa"/>
              <w:bottom w:w="75" w:type="dxa"/>
              <w:right w:w="150" w:type="dxa"/>
            </w:tcMar>
            <w:vAlign w:val="center"/>
          </w:tcPr>
          <w:p>
            <w:pPr>
              <w:widowControl/>
              <w:spacing w:after="150"/>
              <w:jc w:val="center"/>
              <w:rPr>
                <w:rFonts w:ascii="宋体" w:hAnsi="宋体" w:cs="宋体"/>
                <w:color w:val="auto"/>
              </w:rPr>
            </w:pPr>
            <w:r>
              <w:rPr>
                <w:rFonts w:ascii="宋体" w:hAnsi="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21" w:hRule="atLeast"/>
          <w:jc w:val="center"/>
        </w:trPr>
        <w:tc>
          <w:tcPr>
            <w:tcW w:w="824" w:type="dxa"/>
            <w:noWrap w:val="0"/>
            <w:tcMar>
              <w:top w:w="75" w:type="dxa"/>
              <w:left w:w="150" w:type="dxa"/>
              <w:bottom w:w="75" w:type="dxa"/>
              <w:right w:w="150" w:type="dxa"/>
            </w:tcMar>
            <w:vAlign w:val="center"/>
          </w:tcPr>
          <w:p>
            <w:pPr>
              <w:widowControl/>
              <w:spacing w:after="150"/>
              <w:jc w:val="center"/>
              <w:rPr>
                <w:rFonts w:ascii="宋体" w:hAnsi="宋体" w:cs="宋体"/>
                <w:color w:val="auto"/>
              </w:rPr>
            </w:pPr>
            <w:r>
              <w:rPr>
                <w:rFonts w:ascii="宋体" w:hAnsi="宋体" w:cs="宋体"/>
                <w:color w:val="auto"/>
              </w:rPr>
              <w:t>1</w:t>
            </w:r>
          </w:p>
        </w:tc>
        <w:tc>
          <w:tcPr>
            <w:tcW w:w="1413" w:type="dxa"/>
            <w:noWrap w:val="0"/>
            <w:tcMar>
              <w:top w:w="75" w:type="dxa"/>
              <w:left w:w="150" w:type="dxa"/>
              <w:bottom w:w="75" w:type="dxa"/>
              <w:right w:w="150" w:type="dxa"/>
            </w:tcMar>
            <w:vAlign w:val="center"/>
          </w:tcPr>
          <w:p>
            <w:pPr>
              <w:widowControl/>
              <w:spacing w:after="150"/>
              <w:jc w:val="center"/>
              <w:rPr>
                <w:rFonts w:hint="eastAsia" w:ascii="宋体" w:hAnsi="宋体" w:eastAsia="宋体" w:cs="宋体"/>
                <w:color w:val="000000"/>
                <w:highlight w:val="none"/>
                <w:lang w:val="en-US" w:eastAsia="zh-CN"/>
              </w:rPr>
            </w:pPr>
            <w:r>
              <w:rPr>
                <w:rFonts w:hint="eastAsia" w:ascii="宋体" w:hAnsi="宋体" w:cs="宋体"/>
                <w:color w:val="000000"/>
                <w:highlight w:val="none"/>
                <w:lang w:val="zh-CN" w:eastAsia="zh-CN"/>
              </w:rPr>
              <w:t>2020年皮山县教育系统学校食堂所需食材采购项目</w:t>
            </w:r>
            <w:r>
              <w:rPr>
                <w:rFonts w:hint="eastAsia" w:ascii="宋体" w:hAnsi="宋体" w:cs="宋体"/>
                <w:color w:val="000000"/>
                <w:highlight w:val="none"/>
                <w:lang w:val="en-US" w:eastAsia="zh-CN"/>
              </w:rPr>
              <w:t>(包一）</w:t>
            </w:r>
          </w:p>
        </w:tc>
        <w:tc>
          <w:tcPr>
            <w:tcW w:w="712" w:type="dxa"/>
            <w:noWrap w:val="0"/>
            <w:tcMar>
              <w:top w:w="75" w:type="dxa"/>
              <w:left w:w="150" w:type="dxa"/>
              <w:bottom w:w="75" w:type="dxa"/>
              <w:right w:w="150" w:type="dxa"/>
            </w:tcMar>
            <w:vAlign w:val="center"/>
          </w:tcPr>
          <w:p>
            <w:pPr>
              <w:widowControl/>
              <w:numPr>
                <w:ilvl w:val="0"/>
                <w:numId w:val="0"/>
              </w:numPr>
              <w:spacing w:after="150"/>
              <w:jc w:val="left"/>
              <w:rPr>
                <w:rFonts w:hint="eastAsia" w:ascii="宋体" w:hAnsi="宋体" w:cs="宋体"/>
                <w:color w:val="000000"/>
                <w:sz w:val="20"/>
                <w:szCs w:val="22"/>
                <w:highlight w:val="none"/>
                <w:lang w:val="en-US" w:eastAsia="zh-CN"/>
              </w:rPr>
            </w:pPr>
            <w:r>
              <w:rPr>
                <w:rFonts w:hint="eastAsia" w:ascii="仿宋_GB2312" w:hAnsi="Tahoma" w:eastAsia="仿宋_GB2312" w:cs="仿宋_GB2312"/>
                <w:i w:val="0"/>
                <w:color w:val="000000"/>
                <w:kern w:val="0"/>
                <w:sz w:val="20"/>
                <w:szCs w:val="20"/>
                <w:u w:val="none"/>
                <w:lang w:val="en-US" w:eastAsia="zh-CN" w:bidi="ar"/>
              </w:rPr>
              <w:t>新鲜苹果</w:t>
            </w:r>
          </w:p>
        </w:tc>
        <w:tc>
          <w:tcPr>
            <w:tcW w:w="712" w:type="dxa"/>
            <w:noWrap w:val="0"/>
            <w:tcMar>
              <w:top w:w="75" w:type="dxa"/>
              <w:left w:w="150" w:type="dxa"/>
              <w:bottom w:w="75" w:type="dxa"/>
              <w:right w:w="150" w:type="dxa"/>
            </w:tcMar>
            <w:vAlign w:val="center"/>
          </w:tcPr>
          <w:p>
            <w:pPr>
              <w:widowControl/>
              <w:numPr>
                <w:ilvl w:val="0"/>
                <w:numId w:val="0"/>
              </w:numPr>
              <w:spacing w:after="150"/>
              <w:jc w:val="left"/>
              <w:rPr>
                <w:rFonts w:hint="eastAsia" w:ascii="宋体" w:hAnsi="宋体" w:cs="宋体"/>
                <w:color w:val="000000"/>
                <w:sz w:val="20"/>
                <w:szCs w:val="22"/>
                <w:highlight w:val="none"/>
                <w:lang w:val="en-US" w:eastAsia="zh-CN"/>
              </w:rPr>
            </w:pPr>
            <w:r>
              <w:rPr>
                <w:rFonts w:hint="eastAsia" w:ascii="宋体" w:hAnsi="宋体" w:cs="宋体"/>
                <w:color w:val="000000"/>
                <w:sz w:val="20"/>
                <w:szCs w:val="22"/>
                <w:highlight w:val="none"/>
                <w:lang w:val="en-US" w:eastAsia="zh-CN"/>
              </w:rPr>
              <w:t>公斤</w:t>
            </w:r>
          </w:p>
        </w:tc>
        <w:tc>
          <w:tcPr>
            <w:tcW w:w="1016" w:type="dxa"/>
            <w:noWrap w:val="0"/>
            <w:tcMar>
              <w:top w:w="75" w:type="dxa"/>
              <w:left w:w="150" w:type="dxa"/>
              <w:bottom w:w="75" w:type="dxa"/>
              <w:right w:w="150" w:type="dxa"/>
            </w:tcMar>
            <w:vAlign w:val="center"/>
          </w:tcPr>
          <w:p>
            <w:pPr>
              <w:widowControl/>
              <w:numPr>
                <w:ilvl w:val="0"/>
                <w:numId w:val="0"/>
              </w:numPr>
              <w:spacing w:after="150"/>
              <w:jc w:val="left"/>
              <w:rPr>
                <w:rFonts w:hint="eastAsia" w:ascii="宋体" w:hAnsi="宋体" w:cs="宋体"/>
                <w:color w:val="000000"/>
                <w:sz w:val="20"/>
                <w:szCs w:val="22"/>
                <w:highlight w:val="none"/>
                <w:lang w:val="en-US" w:eastAsia="zh-CN"/>
              </w:rPr>
            </w:pPr>
            <w:r>
              <w:rPr>
                <w:rFonts w:hint="eastAsia" w:ascii="宋体" w:hAnsi="宋体" w:cs="宋体"/>
                <w:color w:val="000000"/>
                <w:sz w:val="20"/>
                <w:szCs w:val="22"/>
                <w:highlight w:val="none"/>
                <w:lang w:val="en-US" w:eastAsia="zh-CN"/>
              </w:rPr>
              <w:t>122120</w:t>
            </w:r>
          </w:p>
        </w:tc>
        <w:tc>
          <w:tcPr>
            <w:tcW w:w="897" w:type="dxa"/>
            <w:noWrap w:val="0"/>
            <w:tcMar>
              <w:top w:w="75" w:type="dxa"/>
              <w:left w:w="150" w:type="dxa"/>
              <w:bottom w:w="75" w:type="dxa"/>
              <w:right w:w="150" w:type="dxa"/>
            </w:tcMar>
            <w:vAlign w:val="center"/>
          </w:tcPr>
          <w:p>
            <w:pPr>
              <w:widowControl/>
              <w:numPr>
                <w:ilvl w:val="0"/>
                <w:numId w:val="0"/>
              </w:numPr>
              <w:spacing w:after="150"/>
              <w:jc w:val="left"/>
              <w:rPr>
                <w:rFonts w:hint="eastAsia" w:ascii="宋体" w:hAnsi="宋体" w:cs="宋体"/>
                <w:color w:val="000000"/>
                <w:sz w:val="20"/>
                <w:szCs w:val="22"/>
                <w:highlight w:val="none"/>
                <w:lang w:val="en-US" w:eastAsia="zh-CN"/>
              </w:rPr>
            </w:pPr>
            <w:r>
              <w:rPr>
                <w:rFonts w:hint="eastAsia" w:ascii="宋体" w:hAnsi="宋体" w:cs="宋体"/>
                <w:color w:val="000000"/>
                <w:sz w:val="20"/>
                <w:szCs w:val="22"/>
                <w:highlight w:val="none"/>
                <w:lang w:val="en-US" w:eastAsia="zh-CN"/>
              </w:rPr>
              <w:t>5</w:t>
            </w:r>
          </w:p>
        </w:tc>
        <w:tc>
          <w:tcPr>
            <w:tcW w:w="1071" w:type="dxa"/>
            <w:noWrap w:val="0"/>
            <w:tcMar>
              <w:top w:w="75" w:type="dxa"/>
              <w:left w:w="150" w:type="dxa"/>
              <w:bottom w:w="75" w:type="dxa"/>
              <w:right w:w="150" w:type="dxa"/>
            </w:tcMar>
            <w:vAlign w:val="center"/>
          </w:tcPr>
          <w:p>
            <w:pPr>
              <w:widowControl/>
              <w:spacing w:after="150"/>
              <w:jc w:val="center"/>
              <w:rPr>
                <w:rFonts w:hint="eastAsia" w:ascii="宋体" w:hAnsi="宋体" w:cs="宋体"/>
                <w:color w:val="auto"/>
                <w:lang w:val="en-US" w:eastAsia="zh-CN"/>
              </w:rPr>
            </w:pPr>
            <w:r>
              <w:rPr>
                <w:rFonts w:hint="eastAsia" w:ascii="宋体" w:hAnsi="宋体" w:cs="宋体"/>
                <w:color w:val="auto"/>
                <w:lang w:val="en-US" w:eastAsia="zh-CN"/>
              </w:rPr>
              <w:t>61.06</w:t>
            </w:r>
          </w:p>
        </w:tc>
        <w:tc>
          <w:tcPr>
            <w:tcW w:w="1257" w:type="dxa"/>
            <w:noWrap w:val="0"/>
            <w:tcMar>
              <w:top w:w="75" w:type="dxa"/>
              <w:left w:w="150" w:type="dxa"/>
              <w:bottom w:w="75" w:type="dxa"/>
              <w:right w:w="150" w:type="dxa"/>
            </w:tcMar>
            <w:vAlign w:val="center"/>
          </w:tcPr>
          <w:p>
            <w:pPr>
              <w:widowControl/>
              <w:spacing w:after="150"/>
              <w:jc w:val="center"/>
              <w:rPr>
                <w:rFonts w:hint="eastAsia" w:ascii="宋体" w:hAnsi="宋体" w:eastAsia="宋体" w:cs="宋体"/>
                <w:color w:val="000000"/>
                <w:highlight w:val="none"/>
                <w:lang w:eastAsia="zh-CN"/>
              </w:rPr>
            </w:pPr>
            <w:r>
              <w:rPr>
                <w:rFonts w:hint="eastAsia" w:ascii="宋体" w:hAnsi="宋体" w:cs="宋体"/>
                <w:color w:val="000000"/>
                <w:highlight w:val="none"/>
                <w:lang w:val="en-US" w:eastAsia="zh-CN"/>
              </w:rPr>
              <w:t>具体数量、规格、技术参数详见招标文件。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44" w:hRule="atLeast"/>
          <w:jc w:val="center"/>
        </w:trPr>
        <w:tc>
          <w:tcPr>
            <w:tcW w:w="824" w:type="dxa"/>
            <w:noWrap w:val="0"/>
            <w:tcMar>
              <w:top w:w="75" w:type="dxa"/>
              <w:left w:w="150" w:type="dxa"/>
              <w:bottom w:w="75" w:type="dxa"/>
              <w:right w:w="150" w:type="dxa"/>
            </w:tcMar>
            <w:vAlign w:val="center"/>
          </w:tcPr>
          <w:p>
            <w:pPr>
              <w:widowControl/>
              <w:spacing w:after="150"/>
              <w:jc w:val="center"/>
              <w:rPr>
                <w:rFonts w:hint="eastAsia" w:ascii="宋体" w:hAnsi="宋体" w:eastAsia="宋体" w:cs="宋体"/>
                <w:color w:val="auto"/>
                <w:lang w:val="en-US" w:eastAsia="zh-CN"/>
              </w:rPr>
            </w:pPr>
            <w:r>
              <w:rPr>
                <w:rFonts w:hint="eastAsia" w:ascii="宋体" w:hAnsi="宋体" w:cs="宋体"/>
                <w:color w:val="auto"/>
                <w:lang w:val="en-US" w:eastAsia="zh-CN"/>
              </w:rPr>
              <w:t>2</w:t>
            </w:r>
          </w:p>
        </w:tc>
        <w:tc>
          <w:tcPr>
            <w:tcW w:w="1413" w:type="dxa"/>
            <w:noWrap w:val="0"/>
            <w:tcMar>
              <w:top w:w="75" w:type="dxa"/>
              <w:left w:w="150" w:type="dxa"/>
              <w:bottom w:w="75" w:type="dxa"/>
              <w:right w:w="150" w:type="dxa"/>
            </w:tcMar>
            <w:vAlign w:val="center"/>
          </w:tcPr>
          <w:p>
            <w:pPr>
              <w:widowControl/>
              <w:spacing w:after="150"/>
              <w:jc w:val="center"/>
              <w:rPr>
                <w:rFonts w:hint="eastAsia" w:ascii="宋体" w:hAnsi="宋体" w:cs="宋体"/>
                <w:color w:val="000000"/>
                <w:highlight w:val="none"/>
                <w:lang w:val="zh-CN" w:eastAsia="zh-CN"/>
              </w:rPr>
            </w:pPr>
            <w:r>
              <w:rPr>
                <w:rFonts w:hint="eastAsia" w:ascii="宋体" w:hAnsi="宋体" w:cs="宋体"/>
                <w:color w:val="000000"/>
                <w:highlight w:val="none"/>
                <w:lang w:val="zh-CN" w:eastAsia="zh-CN"/>
              </w:rPr>
              <w:t>2020年皮山县教育系统学校食堂所需食材采购项目</w:t>
            </w:r>
            <w:r>
              <w:rPr>
                <w:rFonts w:hint="eastAsia" w:ascii="宋体" w:hAnsi="宋体" w:cs="宋体"/>
                <w:color w:val="000000"/>
                <w:highlight w:val="none"/>
                <w:lang w:val="en-US" w:eastAsia="zh-CN"/>
              </w:rPr>
              <w:t>(包二）</w:t>
            </w:r>
          </w:p>
        </w:tc>
        <w:tc>
          <w:tcPr>
            <w:tcW w:w="712" w:type="dxa"/>
            <w:noWrap w:val="0"/>
            <w:tcMar>
              <w:top w:w="75" w:type="dxa"/>
              <w:left w:w="150" w:type="dxa"/>
              <w:bottom w:w="75" w:type="dxa"/>
              <w:right w:w="150" w:type="dxa"/>
            </w:tcMar>
            <w:vAlign w:val="center"/>
          </w:tcPr>
          <w:p>
            <w:pPr>
              <w:widowControl/>
              <w:numPr>
                <w:ilvl w:val="0"/>
                <w:numId w:val="0"/>
              </w:numPr>
              <w:spacing w:after="150"/>
              <w:jc w:val="left"/>
              <w:rPr>
                <w:rFonts w:hint="eastAsia" w:ascii="宋体" w:hAnsi="宋体" w:cs="宋体"/>
                <w:color w:val="000000"/>
                <w:highlight w:val="none"/>
                <w:lang w:val="en-US" w:eastAsia="zh-CN"/>
              </w:rPr>
            </w:pPr>
            <w:r>
              <w:rPr>
                <w:rFonts w:hint="eastAsia" w:ascii="宋体" w:hAnsi="宋体" w:cs="宋体"/>
                <w:color w:val="000000"/>
                <w:highlight w:val="none"/>
                <w:lang w:val="en-US" w:eastAsia="zh-CN"/>
              </w:rPr>
              <w:t>学生奶</w:t>
            </w:r>
          </w:p>
        </w:tc>
        <w:tc>
          <w:tcPr>
            <w:tcW w:w="712" w:type="dxa"/>
            <w:noWrap w:val="0"/>
            <w:tcMar>
              <w:top w:w="75" w:type="dxa"/>
              <w:left w:w="150" w:type="dxa"/>
              <w:bottom w:w="75" w:type="dxa"/>
              <w:right w:w="150" w:type="dxa"/>
            </w:tcMar>
            <w:vAlign w:val="center"/>
          </w:tcPr>
          <w:p>
            <w:pPr>
              <w:widowControl/>
              <w:numPr>
                <w:ilvl w:val="0"/>
                <w:numId w:val="0"/>
              </w:numPr>
              <w:spacing w:after="150"/>
              <w:jc w:val="left"/>
              <w:rPr>
                <w:rFonts w:hint="eastAsia" w:ascii="宋体" w:hAnsi="宋体" w:cs="宋体"/>
                <w:color w:val="000000"/>
                <w:highlight w:val="none"/>
                <w:lang w:val="en-US" w:eastAsia="zh-CN"/>
              </w:rPr>
            </w:pPr>
            <w:r>
              <w:rPr>
                <w:rFonts w:hint="eastAsia" w:ascii="仿宋_GB2312" w:hAnsi="Tahoma" w:eastAsia="仿宋_GB2312" w:cs="仿宋_GB2312"/>
                <w:i w:val="0"/>
                <w:color w:val="000000"/>
                <w:kern w:val="0"/>
                <w:sz w:val="20"/>
                <w:szCs w:val="20"/>
                <w:u w:val="none"/>
                <w:lang w:val="en-US" w:eastAsia="zh-CN" w:bidi="ar"/>
              </w:rPr>
              <w:t>大于200ml/盒</w:t>
            </w:r>
          </w:p>
        </w:tc>
        <w:tc>
          <w:tcPr>
            <w:tcW w:w="1016"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cs="宋体"/>
                <w:color w:val="000000"/>
                <w:highlight w:val="none"/>
                <w:lang w:val="en-US" w:eastAsia="zh-CN"/>
              </w:rPr>
            </w:pPr>
            <w:r>
              <w:rPr>
                <w:rFonts w:hint="eastAsia" w:ascii="仿宋_GB2312" w:hAnsi="宋体" w:eastAsia="仿宋_GB2312" w:cs="仿宋_GB2312"/>
                <w:i w:val="0"/>
                <w:color w:val="000000"/>
                <w:kern w:val="0"/>
                <w:sz w:val="20"/>
                <w:szCs w:val="20"/>
                <w:u w:val="none"/>
                <w:lang w:val="en-US" w:eastAsia="zh-CN" w:bidi="ar"/>
              </w:rPr>
              <w:t>4372160</w:t>
            </w:r>
          </w:p>
        </w:tc>
        <w:tc>
          <w:tcPr>
            <w:tcW w:w="897" w:type="dxa"/>
            <w:noWrap w:val="0"/>
            <w:tcMar>
              <w:top w:w="75" w:type="dxa"/>
              <w:left w:w="150" w:type="dxa"/>
              <w:bottom w:w="75" w:type="dxa"/>
              <w:right w:w="150" w:type="dxa"/>
            </w:tcMar>
            <w:vAlign w:val="center"/>
          </w:tcPr>
          <w:p>
            <w:pPr>
              <w:widowControl/>
              <w:numPr>
                <w:ilvl w:val="0"/>
                <w:numId w:val="0"/>
              </w:numPr>
              <w:spacing w:after="150"/>
              <w:jc w:val="left"/>
              <w:rPr>
                <w:rFonts w:hint="eastAsia" w:ascii="宋体" w:hAnsi="宋体" w:cs="宋体"/>
                <w:color w:val="000000"/>
                <w:highlight w:val="none"/>
                <w:lang w:val="en-US" w:eastAsia="zh-CN"/>
              </w:rPr>
            </w:pPr>
            <w:r>
              <w:rPr>
                <w:rFonts w:hint="eastAsia" w:ascii="宋体" w:hAnsi="宋体" w:cs="宋体"/>
                <w:color w:val="000000"/>
                <w:highlight w:val="none"/>
                <w:lang w:val="en-US" w:eastAsia="zh-CN"/>
              </w:rPr>
              <w:t>2</w:t>
            </w:r>
          </w:p>
        </w:tc>
        <w:tc>
          <w:tcPr>
            <w:tcW w:w="1071" w:type="dxa"/>
            <w:noWrap w:val="0"/>
            <w:tcMar>
              <w:top w:w="75" w:type="dxa"/>
              <w:left w:w="150" w:type="dxa"/>
              <w:bottom w:w="75" w:type="dxa"/>
              <w:right w:w="150" w:type="dxa"/>
            </w:tcMar>
            <w:vAlign w:val="center"/>
          </w:tcPr>
          <w:p>
            <w:pPr>
              <w:widowControl/>
              <w:spacing w:after="150"/>
              <w:jc w:val="center"/>
              <w:rPr>
                <w:rFonts w:hint="eastAsia" w:ascii="宋体" w:hAnsi="宋体" w:cs="宋体"/>
                <w:color w:val="auto"/>
                <w:lang w:val="en-US" w:eastAsia="zh-CN"/>
              </w:rPr>
            </w:pPr>
            <w:r>
              <w:rPr>
                <w:rFonts w:hint="eastAsia" w:ascii="宋体" w:hAnsi="宋体" w:cs="宋体"/>
                <w:color w:val="auto"/>
                <w:lang w:val="en-US" w:eastAsia="zh-CN"/>
              </w:rPr>
              <w:t>874.43</w:t>
            </w:r>
          </w:p>
        </w:tc>
        <w:tc>
          <w:tcPr>
            <w:tcW w:w="1257" w:type="dxa"/>
            <w:noWrap w:val="0"/>
            <w:tcMar>
              <w:top w:w="75" w:type="dxa"/>
              <w:left w:w="150" w:type="dxa"/>
              <w:bottom w:w="75" w:type="dxa"/>
              <w:right w:w="150" w:type="dxa"/>
            </w:tcMar>
            <w:vAlign w:val="center"/>
          </w:tcPr>
          <w:p>
            <w:pPr>
              <w:widowControl/>
              <w:spacing w:after="150"/>
              <w:jc w:val="center"/>
              <w:rPr>
                <w:rFonts w:hint="eastAsia" w:ascii="宋体" w:hAnsi="宋体" w:cs="宋体"/>
                <w:color w:val="000000"/>
                <w:highlight w:val="none"/>
                <w:lang w:val="en-US" w:eastAsia="zh-CN"/>
              </w:rPr>
            </w:pPr>
            <w:r>
              <w:rPr>
                <w:rFonts w:hint="eastAsia" w:ascii="宋体" w:hAnsi="宋体" w:cs="宋体"/>
                <w:color w:val="000000"/>
                <w:highlight w:val="none"/>
                <w:lang w:val="en-US" w:eastAsia="zh-CN"/>
              </w:rPr>
              <w:t>具体数量、规格、技术参数详见招标文件。</w:t>
            </w:r>
          </w:p>
        </w:tc>
      </w:tr>
    </w:tbl>
    <w:p>
      <w:pPr>
        <w:widowControl/>
        <w:spacing w:before="75" w:after="75"/>
        <w:jc w:val="left"/>
        <w:rPr>
          <w:rFonts w:ascii="宋体" w:hAnsi="宋体" w:cs="宋体"/>
          <w:color w:val="auto"/>
        </w:rPr>
      </w:pPr>
      <w:r>
        <w:rPr>
          <w:rFonts w:ascii="宋体" w:hAnsi="宋体" w:cs="宋体"/>
          <w:color w:val="auto"/>
        </w:rPr>
        <w:t>四、投标供应商资格要求:</w:t>
      </w:r>
    </w:p>
    <w:p>
      <w:pPr>
        <w:widowControl/>
        <w:spacing w:before="75" w:after="75"/>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1、供应商必须符合《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widowControl/>
        <w:spacing w:before="75" w:after="75"/>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2、报名需提供：</w:t>
      </w:r>
    </w:p>
    <w:p>
      <w:pPr>
        <w:pStyle w:val="2"/>
        <w:numPr>
          <w:ilvl w:val="1"/>
          <w:numId w:val="0"/>
        </w:numPr>
        <w:ind w:left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（1）经年审合格（五证合一</w:t>
      </w:r>
      <w:r>
        <w:rPr>
          <w:rFonts w:hint="eastAsia" w:cs="宋体"/>
          <w:color w:val="auto"/>
          <w:highlight w:val="none"/>
          <w:lang w:val="en-US" w:eastAsia="zh-CN"/>
        </w:rPr>
        <w:t>、三证合一</w:t>
      </w:r>
      <w:r>
        <w:rPr>
          <w:rFonts w:hint="eastAsia" w:ascii="宋体" w:hAnsi="宋体" w:cs="宋体"/>
          <w:color w:val="auto"/>
          <w:highlight w:val="none"/>
          <w:lang w:val="en-US" w:eastAsia="zh-CN"/>
        </w:rPr>
        <w:t>）的营业执照（须有相应的经营范围）</w:t>
      </w:r>
    </w:p>
    <w:p>
      <w:pPr>
        <w:pStyle w:val="2"/>
        <w:numPr>
          <w:ilvl w:val="1"/>
          <w:numId w:val="0"/>
        </w:numPr>
        <w:ind w:left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2）（学生奶）投标人必须具备食品经营许可证（原件）“中国学生饮用奶定点生产企业”证书、标牌或具备新疆维吾尔自治区奶业办公室出具给中国奶业协会的推荐函（由新疆维吾尔自治区畜牧厅、教育厅、质量技术监督局联合下发文件中所包含企业）,并具有行业《生产许可证》（不是生产厂家直接投标的，提供复印件加盖公司鲜红公章）；</w:t>
      </w:r>
      <w:bookmarkStart w:id="174" w:name="_GoBack"/>
      <w:bookmarkEnd w:id="174"/>
      <w:r>
        <w:rPr>
          <w:rFonts w:hint="eastAsia" w:ascii="宋体" w:hAnsi="宋体" w:cs="宋体"/>
          <w:color w:val="auto"/>
          <w:highlight w:val="none"/>
          <w:lang w:val="en-US" w:eastAsia="zh-CN"/>
        </w:rPr>
        <w:t>近期产品质量检测报告及相应资质证明文件；</w:t>
      </w:r>
    </w:p>
    <w:p>
      <w:pPr>
        <w:widowControl/>
        <w:spacing w:before="75" w:after="75"/>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(3)驾驶员及配送人员健康证;原件</w:t>
      </w:r>
    </w:p>
    <w:p>
      <w:pPr>
        <w:widowControl/>
        <w:spacing w:before="75" w:after="75"/>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（4）提供配送车辆的机动车辆行驶证；（原件）</w:t>
      </w:r>
    </w:p>
    <w:p>
      <w:pPr>
        <w:widowControl/>
        <w:spacing w:before="75" w:after="75"/>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5）法定代表人投标需携带法定代表人证明书（原件）及法定代表人身份证（原件），委托代理人投标需携带法定代表人授权委托书（原件）及委托代理人身份证（原件）、委托代理人必须是投标单位的正式员工、需提供社保部门出具最少近一个月的缴纳社保证明（社保缴费凭证及个人明细表）；</w:t>
      </w:r>
    </w:p>
    <w:p>
      <w:pPr>
        <w:widowControl/>
        <w:spacing w:before="75" w:after="75"/>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3、近三年内（本项目投标截止期前）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将拒绝其参加本次政府采购活动；</w:t>
      </w:r>
    </w:p>
    <w:p>
      <w:pPr>
        <w:widowControl/>
        <w:spacing w:before="75" w:after="75"/>
        <w:jc w:val="left"/>
        <w:rPr>
          <w:rFonts w:hint="eastAsia" w:ascii="宋体" w:hAnsi="宋体" w:cs="宋体"/>
          <w:color w:val="auto"/>
          <w:highlight w:val="none"/>
        </w:rPr>
      </w:pPr>
      <w:r>
        <w:rPr>
          <w:rFonts w:hint="eastAsia" w:ascii="宋体" w:hAnsi="宋体" w:cs="宋体"/>
          <w:color w:val="auto"/>
          <w:highlight w:val="none"/>
          <w:lang w:val="en-US" w:eastAsia="zh-CN"/>
        </w:rPr>
        <w:t>4、企业负责人为同一人或者存在直接控股、管理关系的不同投标人，不得参加同一合同项下的政府采购活</w:t>
      </w:r>
      <w:r>
        <w:rPr>
          <w:rFonts w:hint="eastAsia" w:ascii="宋体" w:hAnsi="宋体" w:cs="宋体"/>
          <w:color w:val="auto"/>
          <w:highlight w:val="none"/>
        </w:rPr>
        <w:t>动。否则，皆取消投标资格；</w:t>
      </w:r>
    </w:p>
    <w:p>
      <w:pPr>
        <w:widowControl/>
        <w:spacing w:before="75" w:after="75"/>
        <w:jc w:val="left"/>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 xml:space="preserve">、本项目不接受联合体投标。 </w:t>
      </w:r>
    </w:p>
    <w:p>
      <w:pPr>
        <w:widowControl/>
        <w:spacing w:before="75" w:after="75"/>
        <w:jc w:val="left"/>
        <w:rPr>
          <w:rFonts w:hint="eastAsia" w:ascii="宋体" w:hAnsi="宋体" w:cs="宋体"/>
          <w:color w:val="auto"/>
          <w:highlight w:val="none"/>
          <w:lang w:val="en-US" w:eastAsia="zh-CN"/>
        </w:rPr>
      </w:pPr>
      <w:r>
        <w:rPr>
          <w:rFonts w:hint="eastAsia" w:ascii="宋体" w:hAnsi="宋体" w:cs="宋体"/>
          <w:color w:val="auto"/>
          <w:highlight w:val="none"/>
          <w:lang w:eastAsia="zh-CN"/>
        </w:rPr>
        <w:t>五、招标文件的报名/发售时间、地址、售价:</w:t>
      </w:r>
      <w:r>
        <w:rPr>
          <w:rFonts w:hint="eastAsia" w:ascii="宋体" w:hAnsi="宋体" w:cs="宋体"/>
          <w:color w:val="auto"/>
          <w:highlight w:val="none"/>
          <w:lang w:val="en-US" w:eastAsia="zh-CN"/>
        </w:rPr>
        <w:t>200元</w:t>
      </w:r>
    </w:p>
    <w:p>
      <w:pPr>
        <w:widowControl/>
        <w:spacing w:before="75" w:after="75"/>
        <w:jc w:val="left"/>
        <w:rPr>
          <w:rFonts w:hint="default" w:ascii="宋体" w:hAnsi="宋体" w:cs="宋体"/>
          <w:color w:val="auto"/>
          <w:highlight w:val="none"/>
          <w:lang w:val="en-US" w:eastAsia="zh-CN"/>
        </w:rPr>
      </w:pPr>
      <w:r>
        <w:rPr>
          <w:rFonts w:hint="eastAsia" w:ascii="宋体" w:hAnsi="宋体" w:cs="宋体"/>
          <w:color w:val="auto"/>
          <w:highlight w:val="none"/>
          <w:lang w:eastAsia="zh-CN"/>
        </w:rPr>
        <w:t>1．报名（发售／获取）时间：</w:t>
      </w:r>
      <w:r>
        <w:rPr>
          <w:rFonts w:hint="eastAsia" w:ascii="宋体" w:hAnsi="宋体" w:cs="宋体"/>
          <w:color w:val="auto"/>
          <w:highlight w:val="none"/>
          <w:lang w:val="en-US" w:eastAsia="zh-CN"/>
        </w:rPr>
        <w:t>2020-4-27至2020-5-17（全天）</w:t>
      </w:r>
    </w:p>
    <w:p>
      <w:pPr>
        <w:widowControl/>
        <w:spacing w:before="75" w:after="75"/>
        <w:jc w:val="left"/>
        <w:rPr>
          <w:rFonts w:hint="eastAsia" w:ascii="宋体" w:hAnsi="宋体" w:cs="宋体"/>
          <w:color w:val="auto"/>
          <w:highlight w:val="none"/>
          <w:lang w:eastAsia="zh-CN"/>
        </w:rPr>
      </w:pPr>
      <w:r>
        <w:rPr>
          <w:rFonts w:hint="eastAsia" w:ascii="宋体" w:hAnsi="宋体" w:cs="宋体"/>
          <w:color w:val="auto"/>
          <w:highlight w:val="none"/>
          <w:lang w:eastAsia="zh-CN"/>
        </w:rPr>
        <w:t>2．</w:t>
      </w:r>
      <w:r>
        <w:rPr>
          <w:rFonts w:hint="eastAsia" w:ascii="宋体" w:hAnsi="宋体" w:cs="宋体"/>
          <w:color w:val="auto"/>
          <w:highlight w:val="none"/>
          <w:lang w:val="en-US" w:eastAsia="zh-CN"/>
        </w:rPr>
        <w:t>报名（发售／获取）地址：在新疆政府采购网该采购公告附件中的招标（采购）文件可直接下载。</w:t>
      </w:r>
    </w:p>
    <w:p>
      <w:pPr>
        <w:widowControl/>
        <w:spacing w:before="75" w:after="75"/>
        <w:jc w:val="left"/>
        <w:rPr>
          <w:rFonts w:hint="eastAsia" w:ascii="宋体" w:hAnsi="宋体" w:cs="宋体"/>
          <w:color w:val="auto"/>
          <w:highlight w:val="none"/>
          <w:lang w:eastAsia="zh-CN"/>
        </w:rPr>
      </w:pPr>
      <w:r>
        <w:rPr>
          <w:rFonts w:hint="eastAsia" w:ascii="宋体" w:hAnsi="宋体" w:cs="宋体"/>
          <w:color w:val="auto"/>
          <w:highlight w:val="none"/>
          <w:lang w:eastAsia="zh-CN"/>
        </w:rPr>
        <w:t>3．标书售价(元)：200</w:t>
      </w:r>
      <w:r>
        <w:rPr>
          <w:rFonts w:hint="eastAsia" w:ascii="宋体" w:hAnsi="宋体" w:cs="宋体"/>
          <w:color w:val="auto"/>
          <w:highlight w:val="none"/>
          <w:lang w:val="en-US" w:eastAsia="zh-CN"/>
        </w:rPr>
        <w:t>/份</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开标现场缴纳招标文件费</w:t>
      </w:r>
      <w:r>
        <w:rPr>
          <w:rFonts w:hint="eastAsia" w:ascii="宋体" w:hAnsi="宋体" w:cs="宋体"/>
          <w:color w:val="auto"/>
          <w:highlight w:val="none"/>
          <w:lang w:eastAsia="zh-CN"/>
        </w:rPr>
        <w:t>）。</w:t>
      </w:r>
    </w:p>
    <w:p>
      <w:pPr>
        <w:widowControl/>
        <w:spacing w:before="75" w:after="75"/>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4.投标人购买标书时应提交的资料：无，在开标时一并进行资格审核。</w:t>
      </w:r>
    </w:p>
    <w:p>
      <w:pPr>
        <w:widowControl/>
        <w:spacing w:before="75" w:after="75"/>
        <w:jc w:val="left"/>
        <w:rPr>
          <w:rFonts w:hint="eastAsia" w:ascii="宋体" w:hAnsi="宋体" w:cs="宋体"/>
          <w:color w:val="auto"/>
          <w:highlight w:val="none"/>
          <w:lang w:val="en-US" w:eastAsia="zh-CN"/>
        </w:rPr>
      </w:pPr>
      <w:r>
        <w:rPr>
          <w:rFonts w:ascii="宋体" w:hAnsi="宋体" w:cs="宋体"/>
          <w:color w:val="auto"/>
          <w:highlight w:val="none"/>
        </w:rPr>
        <w:t>六、投标截止时间：</w:t>
      </w:r>
      <w:r>
        <w:rPr>
          <w:rFonts w:hint="eastAsia" w:ascii="宋体" w:hAnsi="宋体" w:cs="宋体"/>
          <w:color w:val="auto"/>
          <w:highlight w:val="none"/>
          <w:lang w:eastAsia="zh-CN"/>
        </w:rPr>
        <w:t>2020-5-18 12:00:00</w:t>
      </w:r>
    </w:p>
    <w:p>
      <w:pPr>
        <w:widowControl/>
        <w:spacing w:before="75" w:after="75"/>
        <w:jc w:val="left"/>
        <w:rPr>
          <w:rFonts w:hint="eastAsia" w:ascii="宋体" w:hAnsi="宋体" w:cs="宋体"/>
          <w:color w:val="auto"/>
          <w:highlight w:val="none"/>
          <w:lang w:eastAsia="zh-CN"/>
        </w:rPr>
      </w:pPr>
      <w:r>
        <w:rPr>
          <w:rFonts w:ascii="宋体" w:hAnsi="宋体" w:cs="宋体"/>
          <w:color w:val="auto"/>
          <w:highlight w:val="none"/>
        </w:rPr>
        <w:t>七、投标地址：皮山县政府投资交易中心四楼开标二室（新城区东经2路南端）</w:t>
      </w:r>
      <w:r>
        <w:rPr>
          <w:rFonts w:hint="eastAsia" w:ascii="宋体" w:hAnsi="宋体" w:cs="宋体"/>
          <w:color w:val="auto"/>
          <w:highlight w:val="none"/>
          <w:lang w:eastAsia="zh-CN"/>
        </w:rPr>
        <w:t>。</w:t>
      </w:r>
    </w:p>
    <w:p>
      <w:pPr>
        <w:widowControl/>
        <w:spacing w:before="75" w:after="75"/>
        <w:jc w:val="left"/>
        <w:rPr>
          <w:rFonts w:ascii="宋体" w:hAnsi="宋体" w:cs="宋体"/>
          <w:color w:val="auto"/>
          <w:highlight w:val="none"/>
        </w:rPr>
      </w:pPr>
      <w:r>
        <w:rPr>
          <w:rFonts w:ascii="宋体" w:hAnsi="宋体" w:cs="宋体"/>
          <w:color w:val="auto"/>
          <w:highlight w:val="none"/>
        </w:rPr>
        <w:t>八、开标时间：</w:t>
      </w:r>
      <w:r>
        <w:rPr>
          <w:rFonts w:hint="eastAsia" w:ascii="宋体" w:hAnsi="宋体" w:cs="宋体"/>
          <w:color w:val="auto"/>
          <w:highlight w:val="none"/>
          <w:lang w:eastAsia="zh-CN"/>
        </w:rPr>
        <w:t>2020-5-18 12:00:00</w:t>
      </w:r>
      <w:r>
        <w:rPr>
          <w:rFonts w:ascii="宋体" w:hAnsi="宋体" w:cs="宋体"/>
          <w:color w:val="auto"/>
          <w:highlight w:val="none"/>
        </w:rPr>
        <w:t> </w:t>
      </w:r>
    </w:p>
    <w:p>
      <w:pPr>
        <w:widowControl/>
        <w:spacing w:before="75" w:after="75"/>
        <w:jc w:val="left"/>
        <w:rPr>
          <w:rFonts w:ascii="宋体" w:hAnsi="宋体" w:cs="宋体"/>
          <w:color w:val="auto"/>
          <w:highlight w:val="none"/>
        </w:rPr>
      </w:pPr>
      <w:r>
        <w:rPr>
          <w:rFonts w:ascii="宋体" w:hAnsi="宋体" w:cs="宋体"/>
          <w:color w:val="auto"/>
          <w:highlight w:val="none"/>
        </w:rPr>
        <w:t>九、开标地址：皮山县政府投资交易中心四楼开标二室（新城区东经2路南端） </w:t>
      </w:r>
    </w:p>
    <w:p>
      <w:pPr>
        <w:widowControl/>
        <w:spacing w:before="75" w:after="75"/>
        <w:jc w:val="left"/>
        <w:rPr>
          <w:rFonts w:ascii="宋体" w:hAnsi="宋体" w:cs="宋体"/>
          <w:color w:val="auto"/>
          <w:highlight w:val="none"/>
        </w:rPr>
      </w:pPr>
      <w:r>
        <w:rPr>
          <w:rFonts w:ascii="宋体" w:hAnsi="宋体" w:cs="宋体"/>
          <w:color w:val="auto"/>
          <w:highlight w:val="none"/>
        </w:rPr>
        <w:t>十、投标保证金：</w:t>
      </w:r>
    </w:p>
    <w:tbl>
      <w:tblPr>
        <w:tblStyle w:val="31"/>
        <w:tblpPr w:leftFromText="180" w:rightFromText="180" w:vertAnchor="text" w:horzAnchor="page" w:tblpX="1453" w:tblpY="426"/>
        <w:tblOverlap w:val="never"/>
        <w:tblW w:w="9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11"/>
        <w:gridCol w:w="1203"/>
        <w:gridCol w:w="1016"/>
        <w:gridCol w:w="906"/>
        <w:gridCol w:w="1652"/>
        <w:gridCol w:w="3469"/>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58" w:hRule="atLeast"/>
        </w:trPr>
        <w:tc>
          <w:tcPr>
            <w:tcW w:w="511" w:type="dxa"/>
            <w:noWrap w:val="0"/>
            <w:tcMar>
              <w:top w:w="75" w:type="dxa"/>
              <w:left w:w="150" w:type="dxa"/>
              <w:bottom w:w="75" w:type="dxa"/>
              <w:right w:w="150" w:type="dxa"/>
            </w:tcMar>
            <w:vAlign w:val="center"/>
          </w:tcPr>
          <w:p>
            <w:pPr>
              <w:widowControl/>
              <w:spacing w:before="75" w:after="75"/>
              <w:jc w:val="left"/>
              <w:rPr>
                <w:rFonts w:ascii="宋体" w:hAnsi="宋体" w:cs="宋体"/>
                <w:color w:val="auto"/>
              </w:rPr>
            </w:pPr>
            <w:r>
              <w:rPr>
                <w:rFonts w:ascii="宋体" w:hAnsi="宋体" w:cs="宋体"/>
                <w:color w:val="auto"/>
              </w:rPr>
              <w:t>序号</w:t>
            </w:r>
          </w:p>
        </w:tc>
        <w:tc>
          <w:tcPr>
            <w:tcW w:w="1203" w:type="dxa"/>
            <w:noWrap w:val="0"/>
            <w:tcMar>
              <w:top w:w="75" w:type="dxa"/>
              <w:left w:w="150" w:type="dxa"/>
              <w:bottom w:w="75" w:type="dxa"/>
              <w:right w:w="150" w:type="dxa"/>
            </w:tcMar>
            <w:vAlign w:val="center"/>
          </w:tcPr>
          <w:p>
            <w:pPr>
              <w:widowControl/>
              <w:spacing w:before="75" w:after="75"/>
              <w:jc w:val="left"/>
              <w:rPr>
                <w:rFonts w:ascii="宋体" w:hAnsi="宋体" w:cs="宋体"/>
                <w:color w:val="auto"/>
              </w:rPr>
            </w:pPr>
            <w:r>
              <w:rPr>
                <w:rFonts w:ascii="宋体" w:hAnsi="宋体" w:cs="宋体"/>
                <w:color w:val="auto"/>
              </w:rPr>
              <w:t>标项名称</w:t>
            </w:r>
          </w:p>
        </w:tc>
        <w:tc>
          <w:tcPr>
            <w:tcW w:w="1016" w:type="dxa"/>
            <w:noWrap w:val="0"/>
            <w:tcMar>
              <w:top w:w="75" w:type="dxa"/>
              <w:left w:w="150" w:type="dxa"/>
              <w:bottom w:w="75" w:type="dxa"/>
              <w:right w:w="150" w:type="dxa"/>
            </w:tcMar>
            <w:vAlign w:val="center"/>
          </w:tcPr>
          <w:p>
            <w:pPr>
              <w:widowControl/>
              <w:spacing w:before="75" w:after="75"/>
              <w:jc w:val="left"/>
              <w:rPr>
                <w:rFonts w:ascii="宋体" w:hAnsi="宋体" w:cs="宋体"/>
                <w:color w:val="auto"/>
              </w:rPr>
            </w:pPr>
            <w:r>
              <w:rPr>
                <w:rFonts w:ascii="宋体" w:hAnsi="宋体" w:cs="宋体"/>
                <w:color w:val="auto"/>
              </w:rPr>
              <w:t>投标保证金金额（元）</w:t>
            </w:r>
          </w:p>
        </w:tc>
        <w:tc>
          <w:tcPr>
            <w:tcW w:w="906" w:type="dxa"/>
            <w:noWrap w:val="0"/>
            <w:tcMar>
              <w:top w:w="75" w:type="dxa"/>
              <w:left w:w="150" w:type="dxa"/>
              <w:bottom w:w="75" w:type="dxa"/>
              <w:right w:w="150" w:type="dxa"/>
            </w:tcMar>
            <w:vAlign w:val="center"/>
          </w:tcPr>
          <w:p>
            <w:pPr>
              <w:widowControl/>
              <w:spacing w:before="75" w:after="75"/>
              <w:jc w:val="left"/>
              <w:rPr>
                <w:rFonts w:ascii="宋体" w:hAnsi="宋体" w:cs="宋体"/>
                <w:color w:val="auto"/>
              </w:rPr>
            </w:pPr>
            <w:r>
              <w:rPr>
                <w:rFonts w:ascii="宋体" w:hAnsi="宋体" w:cs="宋体"/>
                <w:color w:val="auto"/>
              </w:rPr>
              <w:t>开户银行</w:t>
            </w:r>
          </w:p>
        </w:tc>
        <w:tc>
          <w:tcPr>
            <w:tcW w:w="1652" w:type="dxa"/>
            <w:noWrap w:val="0"/>
            <w:tcMar>
              <w:top w:w="75" w:type="dxa"/>
              <w:left w:w="150" w:type="dxa"/>
              <w:bottom w:w="75" w:type="dxa"/>
              <w:right w:w="150" w:type="dxa"/>
            </w:tcMar>
            <w:vAlign w:val="center"/>
          </w:tcPr>
          <w:p>
            <w:pPr>
              <w:widowControl/>
              <w:spacing w:before="75" w:after="75"/>
              <w:jc w:val="left"/>
              <w:rPr>
                <w:rFonts w:ascii="宋体" w:hAnsi="宋体" w:cs="宋体"/>
                <w:color w:val="auto"/>
              </w:rPr>
            </w:pPr>
            <w:r>
              <w:rPr>
                <w:rFonts w:ascii="宋体" w:hAnsi="宋体" w:cs="宋体"/>
                <w:color w:val="auto"/>
              </w:rPr>
              <w:t>收款账号</w:t>
            </w:r>
          </w:p>
        </w:tc>
        <w:tc>
          <w:tcPr>
            <w:tcW w:w="3469" w:type="dxa"/>
            <w:noWrap w:val="0"/>
            <w:tcMar>
              <w:top w:w="75" w:type="dxa"/>
              <w:left w:w="150" w:type="dxa"/>
              <w:bottom w:w="75" w:type="dxa"/>
              <w:right w:w="150" w:type="dxa"/>
            </w:tcMar>
            <w:vAlign w:val="center"/>
          </w:tcPr>
          <w:p>
            <w:pPr>
              <w:widowControl/>
              <w:spacing w:before="75" w:after="75"/>
              <w:jc w:val="left"/>
              <w:rPr>
                <w:rFonts w:ascii="宋体" w:hAnsi="宋体" w:cs="宋体"/>
                <w:color w:val="auto"/>
              </w:rPr>
            </w:pPr>
            <w:r>
              <w:rPr>
                <w:rFonts w:ascii="宋体" w:hAnsi="宋体" w:cs="宋体"/>
                <w:color w:val="auto"/>
              </w:rPr>
              <w:t>交付方式</w:t>
            </w:r>
          </w:p>
        </w:tc>
        <w:tc>
          <w:tcPr>
            <w:tcW w:w="1000" w:type="dxa"/>
            <w:noWrap w:val="0"/>
            <w:tcMar>
              <w:top w:w="75" w:type="dxa"/>
              <w:left w:w="150" w:type="dxa"/>
              <w:bottom w:w="75" w:type="dxa"/>
              <w:right w:w="150" w:type="dxa"/>
            </w:tcMar>
            <w:vAlign w:val="center"/>
          </w:tcPr>
          <w:p>
            <w:pPr>
              <w:widowControl/>
              <w:spacing w:before="75" w:after="75"/>
              <w:jc w:val="left"/>
              <w:rPr>
                <w:rFonts w:ascii="宋体" w:hAnsi="宋体" w:cs="宋体"/>
                <w:color w:val="auto"/>
              </w:rPr>
            </w:pPr>
            <w:r>
              <w:rPr>
                <w:rFonts w:ascii="宋体" w:hAnsi="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946" w:hRule="atLeast"/>
        </w:trPr>
        <w:tc>
          <w:tcPr>
            <w:tcW w:w="511" w:type="dxa"/>
            <w:noWrap w:val="0"/>
            <w:tcMar>
              <w:top w:w="75" w:type="dxa"/>
              <w:left w:w="150" w:type="dxa"/>
              <w:bottom w:w="75" w:type="dxa"/>
              <w:right w:w="150" w:type="dxa"/>
            </w:tcMar>
            <w:vAlign w:val="center"/>
          </w:tcPr>
          <w:p>
            <w:pPr>
              <w:widowControl/>
              <w:spacing w:before="75" w:after="75"/>
              <w:jc w:val="left"/>
              <w:rPr>
                <w:rFonts w:ascii="宋体" w:hAnsi="宋体" w:cs="宋体"/>
                <w:color w:val="auto"/>
              </w:rPr>
            </w:pPr>
            <w:r>
              <w:rPr>
                <w:rFonts w:ascii="宋体" w:hAnsi="宋体" w:cs="宋体"/>
                <w:color w:val="auto"/>
              </w:rPr>
              <w:t>1</w:t>
            </w:r>
          </w:p>
        </w:tc>
        <w:tc>
          <w:tcPr>
            <w:tcW w:w="1203" w:type="dxa"/>
            <w:noWrap w:val="0"/>
            <w:tcMar>
              <w:top w:w="75" w:type="dxa"/>
              <w:left w:w="150" w:type="dxa"/>
              <w:bottom w:w="75" w:type="dxa"/>
              <w:right w:w="150" w:type="dxa"/>
            </w:tcMar>
            <w:vAlign w:val="center"/>
          </w:tcPr>
          <w:p>
            <w:pPr>
              <w:widowControl/>
              <w:spacing w:before="75" w:after="75"/>
              <w:jc w:val="left"/>
              <w:rPr>
                <w:rFonts w:hint="eastAsia" w:ascii="宋体" w:hAnsi="宋体" w:cs="宋体"/>
                <w:color w:val="auto"/>
                <w:lang w:eastAsia="zh-CN"/>
              </w:rPr>
            </w:pPr>
            <w:r>
              <w:rPr>
                <w:rFonts w:hint="eastAsia" w:ascii="宋体" w:hAnsi="宋体" w:cs="宋体"/>
                <w:color w:val="auto"/>
                <w:lang w:val="zh-CN" w:eastAsia="zh-CN"/>
              </w:rPr>
              <w:t>2020年皮山县教育系统学校食堂所需食材采购项目</w:t>
            </w:r>
            <w:r>
              <w:rPr>
                <w:rFonts w:hint="eastAsia" w:ascii="宋体" w:hAnsi="宋体" w:cs="宋体"/>
                <w:color w:val="auto"/>
                <w:lang w:val="en-US" w:eastAsia="zh-CN"/>
              </w:rPr>
              <w:t>(包一）</w:t>
            </w:r>
          </w:p>
        </w:tc>
        <w:tc>
          <w:tcPr>
            <w:tcW w:w="1016" w:type="dxa"/>
            <w:noWrap w:val="0"/>
            <w:tcMar>
              <w:top w:w="75" w:type="dxa"/>
              <w:left w:w="150" w:type="dxa"/>
              <w:bottom w:w="75" w:type="dxa"/>
              <w:right w:w="150" w:type="dxa"/>
            </w:tcMar>
            <w:vAlign w:val="center"/>
          </w:tcPr>
          <w:p>
            <w:pPr>
              <w:widowControl/>
              <w:spacing w:before="75" w:after="75"/>
              <w:jc w:val="left"/>
              <w:rPr>
                <w:rFonts w:hint="default" w:ascii="宋体" w:hAnsi="宋体" w:cs="宋体"/>
                <w:color w:val="auto"/>
                <w:lang w:val="en-US" w:eastAsia="zh-CN"/>
              </w:rPr>
            </w:pPr>
            <w:r>
              <w:rPr>
                <w:rFonts w:hint="eastAsia" w:ascii="宋体" w:hAnsi="宋体" w:cs="宋体"/>
                <w:color w:val="auto"/>
                <w:lang w:val="en-US" w:eastAsia="zh-CN"/>
              </w:rPr>
              <w:t>12000</w:t>
            </w:r>
          </w:p>
        </w:tc>
        <w:tc>
          <w:tcPr>
            <w:tcW w:w="906" w:type="dxa"/>
            <w:vMerge w:val="restart"/>
            <w:noWrap w:val="0"/>
            <w:tcMar>
              <w:top w:w="75" w:type="dxa"/>
              <w:left w:w="150" w:type="dxa"/>
              <w:bottom w:w="75" w:type="dxa"/>
              <w:right w:w="150" w:type="dxa"/>
            </w:tcMar>
            <w:vAlign w:val="center"/>
          </w:tcPr>
          <w:p>
            <w:pPr>
              <w:widowControl/>
              <w:spacing w:before="75" w:after="75"/>
              <w:jc w:val="left"/>
              <w:rPr>
                <w:rFonts w:ascii="宋体" w:hAnsi="宋体" w:cs="宋体"/>
                <w:color w:val="auto"/>
              </w:rPr>
            </w:pPr>
            <w:r>
              <w:rPr>
                <w:rFonts w:hint="eastAsia" w:ascii="宋体" w:hAnsi="宋体" w:cs="宋体"/>
                <w:color w:val="auto"/>
                <w:lang w:eastAsia="zh-CN"/>
              </w:rPr>
              <w:t>新</w:t>
            </w:r>
            <w:r>
              <w:rPr>
                <w:rFonts w:hint="eastAsia" w:ascii="宋体" w:hAnsi="宋体" w:cs="宋体"/>
                <w:color w:val="auto"/>
              </w:rPr>
              <w:t>疆皮山县农村信用合作联社</w:t>
            </w:r>
          </w:p>
        </w:tc>
        <w:tc>
          <w:tcPr>
            <w:tcW w:w="1652" w:type="dxa"/>
            <w:vMerge w:val="restart"/>
            <w:noWrap w:val="0"/>
            <w:tcMar>
              <w:top w:w="75" w:type="dxa"/>
              <w:left w:w="150" w:type="dxa"/>
              <w:bottom w:w="75" w:type="dxa"/>
              <w:right w:w="150" w:type="dxa"/>
            </w:tcMar>
            <w:vAlign w:val="center"/>
          </w:tcPr>
          <w:p>
            <w:pPr>
              <w:widowControl/>
              <w:spacing w:before="75" w:after="75"/>
              <w:jc w:val="left"/>
              <w:rPr>
                <w:rFonts w:hint="eastAsia" w:ascii="宋体" w:hAnsi="宋体" w:cs="宋体"/>
                <w:color w:val="auto"/>
                <w:lang w:val="en-US" w:eastAsia="zh-CN"/>
              </w:rPr>
            </w:pPr>
            <w:r>
              <w:rPr>
                <w:rFonts w:ascii="宋体" w:hAnsi="宋体" w:cs="宋体"/>
                <w:color w:val="auto"/>
              </w:rPr>
              <w:t>878010012010101011990</w:t>
            </w:r>
          </w:p>
        </w:tc>
        <w:tc>
          <w:tcPr>
            <w:tcW w:w="3469" w:type="dxa"/>
            <w:vMerge w:val="restart"/>
            <w:noWrap w:val="0"/>
            <w:tcMar>
              <w:top w:w="75" w:type="dxa"/>
              <w:left w:w="150" w:type="dxa"/>
              <w:bottom w:w="75" w:type="dxa"/>
              <w:right w:w="150" w:type="dxa"/>
            </w:tcMar>
            <w:vAlign w:val="center"/>
          </w:tcPr>
          <w:p>
            <w:pPr>
              <w:widowControl/>
              <w:spacing w:before="75" w:after="75"/>
              <w:jc w:val="left"/>
              <w:rPr>
                <w:rFonts w:hint="default" w:ascii="宋体" w:hAnsi="宋体" w:cs="宋体"/>
                <w:color w:val="auto"/>
                <w:lang w:val="en-US" w:eastAsia="zh-CN"/>
              </w:rPr>
            </w:pPr>
            <w:r>
              <w:rPr>
                <w:rFonts w:hint="default" w:ascii="宋体" w:hAnsi="宋体" w:cs="宋体"/>
                <w:color w:val="auto"/>
                <w:lang w:val="en-US" w:eastAsia="zh-CN"/>
              </w:rPr>
              <w:t>1、由投标人基本账户汇出，且不得以分公司的名义转账； 2、投标保证金需在2020年5月17日20：00前到账，超过时间则不予认可； 3、投标单位须在汇款单备注栏标明：XXX项目XXX包段（标段）或项目编号； 4、账户名称：皮山县政府投资交易中心，行号：402896400017</w:t>
            </w:r>
          </w:p>
        </w:tc>
        <w:tc>
          <w:tcPr>
            <w:tcW w:w="1000" w:type="dxa"/>
            <w:vMerge w:val="restart"/>
            <w:noWrap w:val="0"/>
            <w:tcMar>
              <w:top w:w="75" w:type="dxa"/>
              <w:left w:w="150" w:type="dxa"/>
              <w:bottom w:w="75" w:type="dxa"/>
              <w:right w:w="150" w:type="dxa"/>
            </w:tcMar>
            <w:vAlign w:val="center"/>
          </w:tcPr>
          <w:p>
            <w:pPr>
              <w:widowControl/>
              <w:spacing w:before="75" w:after="75"/>
              <w:jc w:val="left"/>
              <w:rPr>
                <w:rFonts w:hint="eastAsia" w:ascii="宋体" w:hAnsi="宋体" w:cs="宋体"/>
                <w:color w:val="auto"/>
                <w:lang w:eastAsia="zh-CN"/>
              </w:rPr>
            </w:pPr>
            <w:r>
              <w:rPr>
                <w:rFonts w:hint="eastAsia" w:ascii="宋体" w:hAnsi="宋体" w:cs="宋体"/>
                <w:color w:val="auto"/>
                <w:lang w:eastAsia="zh-CN"/>
              </w:rPr>
              <w:t>投标保证金通过基本账户一笔汇出，分笔汇出银行系统将不予统计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47" w:hRule="atLeast"/>
        </w:trPr>
        <w:tc>
          <w:tcPr>
            <w:tcW w:w="511" w:type="dxa"/>
            <w:noWrap w:val="0"/>
            <w:tcMar>
              <w:top w:w="75" w:type="dxa"/>
              <w:left w:w="150" w:type="dxa"/>
              <w:bottom w:w="75" w:type="dxa"/>
              <w:right w:w="150" w:type="dxa"/>
            </w:tcMar>
            <w:vAlign w:val="center"/>
          </w:tcPr>
          <w:p>
            <w:pPr>
              <w:widowControl/>
              <w:spacing w:before="75" w:after="75"/>
              <w:jc w:val="left"/>
              <w:rPr>
                <w:rFonts w:hint="eastAsia" w:ascii="宋体" w:hAnsi="宋体" w:cs="宋体"/>
                <w:color w:val="auto"/>
                <w:lang w:val="en-US" w:eastAsia="zh-CN"/>
              </w:rPr>
            </w:pPr>
            <w:r>
              <w:rPr>
                <w:rFonts w:hint="eastAsia" w:ascii="宋体" w:hAnsi="宋体" w:cs="宋体"/>
                <w:color w:val="auto"/>
                <w:lang w:val="en-US" w:eastAsia="zh-CN"/>
              </w:rPr>
              <w:t>2</w:t>
            </w:r>
          </w:p>
        </w:tc>
        <w:tc>
          <w:tcPr>
            <w:tcW w:w="1203" w:type="dxa"/>
            <w:noWrap w:val="0"/>
            <w:tcMar>
              <w:top w:w="75" w:type="dxa"/>
              <w:left w:w="150" w:type="dxa"/>
              <w:bottom w:w="75" w:type="dxa"/>
              <w:right w:w="150" w:type="dxa"/>
            </w:tcMar>
            <w:vAlign w:val="center"/>
          </w:tcPr>
          <w:p>
            <w:pPr>
              <w:widowControl/>
              <w:spacing w:before="75" w:after="75"/>
              <w:jc w:val="left"/>
              <w:rPr>
                <w:rFonts w:hint="eastAsia" w:ascii="宋体" w:hAnsi="宋体" w:cs="宋体"/>
                <w:color w:val="auto"/>
                <w:lang w:val="zh-CN" w:eastAsia="zh-CN"/>
              </w:rPr>
            </w:pPr>
            <w:r>
              <w:rPr>
                <w:rFonts w:hint="eastAsia" w:ascii="宋体" w:hAnsi="宋体" w:cs="宋体"/>
                <w:color w:val="auto"/>
                <w:lang w:val="zh-CN" w:eastAsia="zh-CN"/>
              </w:rPr>
              <w:t>2020年皮山县教育系统学校食堂所需食材采购项目</w:t>
            </w:r>
            <w:r>
              <w:rPr>
                <w:rFonts w:hint="eastAsia" w:ascii="宋体" w:hAnsi="宋体" w:cs="宋体"/>
                <w:color w:val="auto"/>
                <w:lang w:val="en-US" w:eastAsia="zh-CN"/>
              </w:rPr>
              <w:t>(包二）</w:t>
            </w:r>
          </w:p>
        </w:tc>
        <w:tc>
          <w:tcPr>
            <w:tcW w:w="1016" w:type="dxa"/>
            <w:noWrap w:val="0"/>
            <w:tcMar>
              <w:top w:w="75" w:type="dxa"/>
              <w:left w:w="150" w:type="dxa"/>
              <w:bottom w:w="75" w:type="dxa"/>
              <w:right w:w="150" w:type="dxa"/>
            </w:tcMar>
            <w:vAlign w:val="center"/>
          </w:tcPr>
          <w:p>
            <w:pPr>
              <w:widowControl/>
              <w:spacing w:before="75" w:after="75"/>
              <w:jc w:val="left"/>
              <w:rPr>
                <w:rFonts w:hint="eastAsia" w:ascii="宋体" w:hAnsi="宋体" w:cs="宋体"/>
                <w:color w:val="auto"/>
                <w:lang w:val="en-US" w:eastAsia="zh-CN"/>
              </w:rPr>
            </w:pPr>
            <w:r>
              <w:rPr>
                <w:rFonts w:hint="eastAsia" w:ascii="宋体" w:hAnsi="宋体" w:cs="宋体"/>
                <w:color w:val="auto"/>
                <w:lang w:val="en-US" w:eastAsia="zh-CN"/>
              </w:rPr>
              <w:t>170000</w:t>
            </w:r>
          </w:p>
        </w:tc>
        <w:tc>
          <w:tcPr>
            <w:tcW w:w="906" w:type="dxa"/>
            <w:vMerge w:val="continue"/>
            <w:noWrap w:val="0"/>
            <w:tcMar>
              <w:top w:w="75" w:type="dxa"/>
              <w:left w:w="150" w:type="dxa"/>
              <w:bottom w:w="75" w:type="dxa"/>
              <w:right w:w="150" w:type="dxa"/>
            </w:tcMar>
            <w:vAlign w:val="center"/>
          </w:tcPr>
          <w:p>
            <w:pPr>
              <w:widowControl/>
              <w:spacing w:before="75" w:after="75"/>
              <w:jc w:val="left"/>
              <w:rPr>
                <w:rFonts w:hint="eastAsia" w:ascii="宋体" w:hAnsi="宋体" w:cs="宋体"/>
                <w:color w:val="auto"/>
                <w:lang w:eastAsia="zh-CN"/>
              </w:rPr>
            </w:pPr>
          </w:p>
        </w:tc>
        <w:tc>
          <w:tcPr>
            <w:tcW w:w="1652" w:type="dxa"/>
            <w:vMerge w:val="continue"/>
            <w:noWrap w:val="0"/>
            <w:tcMar>
              <w:top w:w="75" w:type="dxa"/>
              <w:left w:w="150" w:type="dxa"/>
              <w:bottom w:w="75" w:type="dxa"/>
              <w:right w:w="150" w:type="dxa"/>
            </w:tcMar>
            <w:vAlign w:val="center"/>
          </w:tcPr>
          <w:p>
            <w:pPr>
              <w:widowControl/>
              <w:spacing w:before="75" w:after="75"/>
              <w:jc w:val="left"/>
              <w:rPr>
                <w:rFonts w:ascii="宋体" w:hAnsi="宋体" w:cs="宋体"/>
                <w:color w:val="auto"/>
              </w:rPr>
            </w:pPr>
          </w:p>
        </w:tc>
        <w:tc>
          <w:tcPr>
            <w:tcW w:w="3469" w:type="dxa"/>
            <w:vMerge w:val="continue"/>
            <w:noWrap w:val="0"/>
            <w:tcMar>
              <w:top w:w="75" w:type="dxa"/>
              <w:left w:w="150" w:type="dxa"/>
              <w:bottom w:w="75" w:type="dxa"/>
              <w:right w:w="150" w:type="dxa"/>
            </w:tcMar>
            <w:vAlign w:val="center"/>
          </w:tcPr>
          <w:p>
            <w:pPr>
              <w:widowControl/>
              <w:spacing w:before="75" w:after="75"/>
              <w:jc w:val="left"/>
              <w:rPr>
                <w:rFonts w:hint="eastAsia" w:ascii="宋体" w:hAnsi="宋体" w:cs="宋体"/>
                <w:color w:val="auto"/>
                <w:lang w:eastAsia="zh-CN"/>
              </w:rPr>
            </w:pPr>
          </w:p>
        </w:tc>
        <w:tc>
          <w:tcPr>
            <w:tcW w:w="1000" w:type="dxa"/>
            <w:vMerge w:val="continue"/>
            <w:noWrap w:val="0"/>
            <w:tcMar>
              <w:top w:w="75" w:type="dxa"/>
              <w:left w:w="150" w:type="dxa"/>
              <w:bottom w:w="75" w:type="dxa"/>
              <w:right w:w="150" w:type="dxa"/>
            </w:tcMar>
            <w:vAlign w:val="center"/>
          </w:tcPr>
          <w:p>
            <w:pPr>
              <w:widowControl/>
              <w:spacing w:before="75" w:after="75"/>
              <w:jc w:val="left"/>
              <w:rPr>
                <w:rFonts w:hint="eastAsia" w:ascii="宋体" w:hAnsi="宋体" w:cs="宋体"/>
                <w:color w:val="auto"/>
                <w:lang w:eastAsia="zh-CN"/>
              </w:rPr>
            </w:pPr>
          </w:p>
        </w:tc>
      </w:tr>
    </w:tbl>
    <w:p>
      <w:pPr>
        <w:widowControl/>
        <w:spacing w:before="75" w:after="75"/>
        <w:jc w:val="left"/>
        <w:rPr>
          <w:rFonts w:ascii="宋体" w:hAnsi="宋体" w:cs="宋体"/>
          <w:color w:val="auto"/>
        </w:rPr>
      </w:pPr>
    </w:p>
    <w:p>
      <w:pPr>
        <w:widowControl/>
        <w:spacing w:before="75" w:after="75"/>
        <w:jc w:val="left"/>
        <w:rPr>
          <w:rFonts w:ascii="宋体" w:hAnsi="宋体" w:cs="宋体"/>
          <w:color w:val="auto"/>
        </w:rPr>
      </w:pPr>
      <w:r>
        <w:rPr>
          <w:rFonts w:ascii="宋体" w:hAnsi="宋体" w:cs="宋体"/>
          <w:color w:val="auto"/>
        </w:rPr>
        <w:t>十一、其他事项：</w:t>
      </w:r>
    </w:p>
    <w:p>
      <w:pPr>
        <w:widowControl/>
        <w:spacing w:before="75" w:after="75"/>
        <w:jc w:val="left"/>
        <w:rPr>
          <w:rFonts w:hint="eastAsia" w:ascii="宋体" w:hAnsi="宋体" w:cs="宋体"/>
          <w:color w:val="auto"/>
          <w:lang w:val="en-US" w:eastAsia="zh-CN"/>
        </w:rPr>
      </w:pPr>
      <w:r>
        <w:rPr>
          <w:rFonts w:hint="eastAsia" w:ascii="宋体" w:hAnsi="宋体" w:cs="宋体"/>
          <w:color w:val="auto"/>
          <w:lang w:val="en-US" w:eastAsia="zh-CN"/>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widowControl/>
        <w:spacing w:before="75" w:after="75"/>
        <w:jc w:val="left"/>
        <w:rPr>
          <w:rFonts w:hint="eastAsia" w:ascii="宋体" w:hAnsi="宋体" w:cs="宋体"/>
          <w:color w:val="auto"/>
          <w:lang w:val="en-US" w:eastAsia="zh-CN"/>
        </w:rPr>
      </w:pPr>
      <w:r>
        <w:rPr>
          <w:rFonts w:hint="eastAsia" w:ascii="宋体" w:hAnsi="宋体" w:cs="宋体"/>
          <w:color w:val="auto"/>
          <w:lang w:val="en-US" w:eastAsia="zh-CN"/>
        </w:rPr>
        <w:t>2、采购项目需要落实的政府采购政策：</w:t>
      </w:r>
    </w:p>
    <w:p>
      <w:pPr>
        <w:widowControl/>
        <w:spacing w:before="75" w:after="75"/>
        <w:jc w:val="left"/>
        <w:rPr>
          <w:rFonts w:hint="eastAsia" w:ascii="宋体" w:hAnsi="宋体" w:cs="宋体"/>
          <w:color w:val="auto"/>
          <w:lang w:val="en-US" w:eastAsia="zh-CN"/>
        </w:rPr>
      </w:pPr>
      <w:r>
        <w:rPr>
          <w:rFonts w:hint="eastAsia" w:ascii="宋体" w:hAnsi="宋体" w:cs="宋体"/>
          <w:color w:val="auto"/>
          <w:lang w:val="en-US" w:eastAsia="zh-CN"/>
        </w:rPr>
        <w:t>1、根据财政部、工业和信息化部关于印发《政府采购促进中小企业发展暂行办法》的通知(财库[2011]181号)。</w:t>
      </w:r>
    </w:p>
    <w:p>
      <w:pPr>
        <w:widowControl/>
        <w:spacing w:before="75" w:after="75"/>
        <w:jc w:val="left"/>
        <w:rPr>
          <w:rFonts w:hint="eastAsia" w:ascii="宋体" w:hAnsi="宋体" w:cs="宋体"/>
          <w:color w:val="auto"/>
          <w:lang w:val="en-US" w:eastAsia="zh-CN"/>
        </w:rPr>
      </w:pPr>
      <w:r>
        <w:rPr>
          <w:rFonts w:hint="eastAsia" w:ascii="宋体" w:hAnsi="宋体" w:cs="宋体"/>
          <w:color w:val="auto"/>
          <w:lang w:val="en-US" w:eastAsia="zh-CN"/>
        </w:rPr>
        <w:t>2、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等政府采购政策。</w:t>
      </w:r>
    </w:p>
    <w:p>
      <w:pPr>
        <w:widowControl/>
        <w:spacing w:before="75" w:after="75"/>
        <w:jc w:val="left"/>
        <w:rPr>
          <w:rFonts w:hint="eastAsia" w:ascii="宋体" w:hAnsi="宋体" w:cs="宋体"/>
          <w:color w:val="auto"/>
          <w:lang w:val="en-US" w:eastAsia="zh-CN"/>
        </w:rPr>
      </w:pPr>
      <w:r>
        <w:rPr>
          <w:rFonts w:hint="eastAsia" w:ascii="宋体" w:hAnsi="宋体" w:cs="宋体"/>
          <w:color w:val="auto"/>
          <w:lang w:val="en-US" w:eastAsia="zh-CN"/>
        </w:rPr>
        <w:t>3、《财政部 发展改革委 生态环境部 市场监管总局 关于调整优化节能产品、环境标志产品政府采购执行机制的通知》（财库〔2019〕9号）。 </w:t>
      </w:r>
    </w:p>
    <w:p>
      <w:pPr>
        <w:widowControl/>
        <w:spacing w:before="75" w:after="75"/>
        <w:jc w:val="left"/>
        <w:rPr>
          <w:rFonts w:hint="eastAsia" w:ascii="宋体" w:hAnsi="宋体" w:cs="宋体"/>
          <w:color w:val="auto"/>
          <w:lang w:val="en-US" w:eastAsia="zh-CN"/>
        </w:rPr>
      </w:pPr>
      <w:r>
        <w:rPr>
          <w:rFonts w:hint="eastAsia" w:ascii="宋体" w:hAnsi="宋体" w:cs="宋体"/>
          <w:color w:val="auto"/>
          <w:lang w:val="en-US" w:eastAsia="zh-CN"/>
        </w:rPr>
        <w:t>十二、联系方式</w:t>
      </w:r>
    </w:p>
    <w:p>
      <w:pPr>
        <w:widowControl/>
        <w:spacing w:before="75" w:after="75"/>
        <w:jc w:val="left"/>
        <w:rPr>
          <w:rFonts w:hint="eastAsia" w:ascii="宋体" w:hAnsi="宋体" w:cs="宋体"/>
          <w:color w:val="auto"/>
          <w:lang w:val="en-US" w:eastAsia="zh-CN"/>
        </w:rPr>
      </w:pPr>
      <w:r>
        <w:rPr>
          <w:rFonts w:hint="eastAsia" w:ascii="宋体" w:hAnsi="宋体" w:cs="宋体"/>
          <w:color w:val="auto"/>
          <w:lang w:val="en-US" w:eastAsia="zh-CN"/>
        </w:rPr>
        <w:t>1、采购代理机构名称：新疆楷源工程项目管理有限责任公司</w:t>
      </w:r>
    </w:p>
    <w:p>
      <w:pPr>
        <w:widowControl/>
        <w:spacing w:before="75" w:after="75"/>
        <w:jc w:val="left"/>
        <w:rPr>
          <w:rFonts w:hint="eastAsia" w:ascii="宋体" w:hAnsi="宋体" w:cs="宋体"/>
          <w:color w:val="auto"/>
          <w:lang w:val="en-US" w:eastAsia="zh-CN"/>
        </w:rPr>
      </w:pPr>
      <w:r>
        <w:rPr>
          <w:rFonts w:hint="eastAsia" w:ascii="宋体" w:hAnsi="宋体" w:cs="宋体"/>
          <w:color w:val="auto"/>
          <w:lang w:val="en-US" w:eastAsia="zh-CN"/>
        </w:rPr>
        <w:t>联系人：侯雪萍          邮箱：</w:t>
      </w:r>
      <w:r>
        <w:rPr>
          <w:rFonts w:hint="eastAsia" w:ascii="宋体" w:hAnsi="宋体" w:cs="宋体"/>
          <w:color w:val="auto"/>
          <w:lang w:val="en-US" w:eastAsia="zh-CN"/>
        </w:rPr>
        <w:fldChar w:fldCharType="begin"/>
      </w:r>
      <w:r>
        <w:rPr>
          <w:rFonts w:hint="eastAsia" w:ascii="宋体" w:hAnsi="宋体" w:cs="宋体"/>
          <w:color w:val="auto"/>
          <w:lang w:val="en-US" w:eastAsia="zh-CN"/>
        </w:rPr>
        <w:instrText xml:space="preserve"> HYPERLINK "mailto:563093851@qq.com" </w:instrText>
      </w:r>
      <w:r>
        <w:rPr>
          <w:rFonts w:hint="eastAsia" w:ascii="宋体" w:hAnsi="宋体" w:cs="宋体"/>
          <w:color w:val="auto"/>
          <w:lang w:val="en-US" w:eastAsia="zh-CN"/>
        </w:rPr>
        <w:fldChar w:fldCharType="separate"/>
      </w:r>
      <w:r>
        <w:rPr>
          <w:rFonts w:hint="eastAsia" w:ascii="宋体" w:hAnsi="宋体" w:cs="宋体"/>
          <w:color w:val="auto"/>
          <w:lang w:val="en-US" w:eastAsia="zh-CN"/>
        </w:rPr>
        <w:t>563093851@qq.com</w:t>
      </w:r>
      <w:r>
        <w:rPr>
          <w:rFonts w:hint="eastAsia" w:ascii="宋体" w:hAnsi="宋体" w:cs="宋体"/>
          <w:color w:val="auto"/>
          <w:lang w:val="en-US" w:eastAsia="zh-CN"/>
        </w:rPr>
        <w:fldChar w:fldCharType="end"/>
      </w:r>
    </w:p>
    <w:p>
      <w:pPr>
        <w:widowControl/>
        <w:spacing w:before="75" w:after="75"/>
        <w:jc w:val="left"/>
        <w:rPr>
          <w:rFonts w:hint="eastAsia" w:ascii="宋体" w:hAnsi="宋体" w:cs="宋体"/>
          <w:color w:val="auto"/>
          <w:lang w:val="en-US" w:eastAsia="zh-CN"/>
        </w:rPr>
      </w:pPr>
      <w:r>
        <w:rPr>
          <w:rFonts w:hint="eastAsia" w:ascii="宋体" w:hAnsi="宋体" w:cs="宋体"/>
          <w:color w:val="auto"/>
          <w:lang w:val="en-US" w:eastAsia="zh-CN"/>
        </w:rPr>
        <w:t>地址：和田市玉都国际广场玉座11楼</w:t>
      </w:r>
    </w:p>
    <w:p>
      <w:pPr>
        <w:widowControl/>
        <w:spacing w:before="75" w:after="75"/>
        <w:jc w:val="left"/>
        <w:rPr>
          <w:rFonts w:hint="eastAsia" w:ascii="宋体" w:hAnsi="宋体" w:cs="宋体"/>
          <w:color w:val="auto"/>
          <w:lang w:val="en-US" w:eastAsia="zh-CN"/>
        </w:rPr>
      </w:pPr>
      <w:r>
        <w:rPr>
          <w:rFonts w:hint="eastAsia" w:ascii="宋体" w:hAnsi="宋体" w:cs="宋体"/>
          <w:color w:val="auto"/>
          <w:lang w:val="en-US" w:eastAsia="zh-CN"/>
        </w:rPr>
        <w:t>2、采购人名称：皮山县教育局</w:t>
      </w:r>
    </w:p>
    <w:p>
      <w:pPr>
        <w:widowControl/>
        <w:spacing w:before="75" w:after="75"/>
        <w:jc w:val="left"/>
        <w:rPr>
          <w:rFonts w:hint="eastAsia" w:ascii="宋体" w:hAnsi="宋体" w:cs="宋体"/>
          <w:color w:val="auto"/>
          <w:lang w:val="en-US" w:eastAsia="zh-CN"/>
        </w:rPr>
      </w:pPr>
      <w:r>
        <w:rPr>
          <w:rFonts w:hint="eastAsia" w:ascii="宋体" w:hAnsi="宋体" w:cs="宋体"/>
          <w:color w:val="auto"/>
          <w:lang w:val="en-US" w:eastAsia="zh-CN"/>
        </w:rPr>
        <w:t>联系人：王亚平                     电话：0903-6427567</w:t>
      </w:r>
    </w:p>
    <w:p>
      <w:pPr>
        <w:widowControl/>
        <w:spacing w:before="75" w:after="75"/>
        <w:jc w:val="left"/>
        <w:rPr>
          <w:rFonts w:hint="eastAsia" w:ascii="宋体" w:hAnsi="宋体" w:cs="宋体"/>
          <w:color w:val="auto"/>
          <w:lang w:val="en-US" w:eastAsia="zh-CN"/>
        </w:rPr>
      </w:pPr>
      <w:r>
        <w:rPr>
          <w:rFonts w:hint="eastAsia" w:ascii="宋体" w:hAnsi="宋体" w:cs="宋体"/>
          <w:color w:val="auto"/>
          <w:lang w:val="en-US" w:eastAsia="zh-CN"/>
        </w:rPr>
        <w:t>3、同级政府采购监督管理部门名称：皮山县政府采购办 </w:t>
      </w:r>
    </w:p>
    <w:p>
      <w:pPr>
        <w:widowControl/>
        <w:spacing w:before="75" w:after="75"/>
        <w:jc w:val="left"/>
        <w:rPr>
          <w:rFonts w:hint="eastAsia" w:ascii="宋体" w:hAnsi="宋体" w:cs="宋体"/>
          <w:color w:val="auto"/>
          <w:lang w:val="en-US" w:eastAsia="zh-CN"/>
        </w:rPr>
      </w:pPr>
      <w:r>
        <w:rPr>
          <w:rFonts w:hint="eastAsia" w:ascii="宋体" w:hAnsi="宋体" w:cs="宋体"/>
          <w:color w:val="auto"/>
          <w:lang w:val="en-US" w:eastAsia="zh-CN"/>
        </w:rPr>
        <w:t>联系人：张勇                  监督投诉电话：0903-7864616 ​</w:t>
      </w:r>
    </w:p>
    <w:p>
      <w:pPr>
        <w:widowControl/>
        <w:spacing w:before="75" w:after="75"/>
        <w:jc w:val="left"/>
        <w:rPr>
          <w:rFonts w:hint="eastAsia" w:ascii="宋体" w:hAnsi="宋体" w:cs="宋体"/>
          <w:color w:val="auto"/>
          <w:lang w:val="en-US" w:eastAsia="zh-CN"/>
        </w:rPr>
      </w:pPr>
      <w:r>
        <w:rPr>
          <w:rFonts w:hint="eastAsia" w:ascii="宋体" w:hAnsi="宋体" w:cs="宋体"/>
          <w:color w:val="auto"/>
          <w:lang w:val="en-US" w:eastAsia="zh-CN"/>
        </w:rPr>
        <w:t>皮山县教育局                新疆楷源工程项目管理有限责任公司</w:t>
      </w:r>
    </w:p>
    <w:p>
      <w:pPr>
        <w:widowControl/>
        <w:spacing w:before="75" w:after="75"/>
        <w:jc w:val="left"/>
        <w:rPr>
          <w:rFonts w:hint="eastAsia" w:ascii="宋体" w:hAnsi="宋体" w:cs="宋体"/>
          <w:color w:val="auto"/>
          <w:lang w:val="en-US" w:eastAsia="zh-CN"/>
        </w:rPr>
      </w:pPr>
      <w:r>
        <w:rPr>
          <w:rFonts w:hint="eastAsia" w:ascii="宋体" w:hAnsi="宋体" w:cs="宋体"/>
          <w:color w:val="auto"/>
          <w:lang w:val="en-US" w:eastAsia="zh-CN"/>
        </w:rPr>
        <w:t>2020年4月27日                               2020年4月27日</w:t>
      </w:r>
    </w:p>
    <w:p>
      <w:pPr>
        <w:pStyle w:val="6"/>
        <w:rPr>
          <w:rFonts w:hint="eastAsia" w:ascii="宋体" w:hAnsi="宋体" w:cs="宋体"/>
          <w:color w:val="auto"/>
          <w:lang w:val="en-US" w:eastAsia="zh-CN"/>
        </w:rPr>
      </w:pPr>
    </w:p>
    <w:p>
      <w:pPr>
        <w:rPr>
          <w:rFonts w:hint="eastAsia" w:ascii="宋体" w:hAnsi="宋体" w:cs="宋体"/>
          <w:color w:val="auto"/>
          <w:lang w:val="en-US" w:eastAsia="zh-CN"/>
        </w:rPr>
      </w:pPr>
    </w:p>
    <w:p>
      <w:pPr>
        <w:pStyle w:val="6"/>
        <w:rPr>
          <w:rFonts w:hint="eastAsia" w:ascii="宋体" w:hAnsi="宋体" w:cs="宋体"/>
          <w:color w:val="auto"/>
          <w:lang w:val="en-US" w:eastAsia="zh-CN"/>
        </w:rPr>
      </w:pPr>
    </w:p>
    <w:p>
      <w:pPr>
        <w:rPr>
          <w:rFonts w:hint="eastAsia" w:ascii="宋体" w:hAnsi="宋体" w:cs="宋体"/>
          <w:color w:val="auto"/>
          <w:lang w:val="en-US" w:eastAsia="zh-CN"/>
        </w:rPr>
      </w:pPr>
    </w:p>
    <w:p>
      <w:pPr>
        <w:pStyle w:val="6"/>
        <w:rPr>
          <w:rFonts w:hint="eastAsia" w:ascii="宋体" w:hAnsi="宋体" w:cs="宋体"/>
          <w:color w:val="auto"/>
          <w:lang w:val="en-US" w:eastAsia="zh-CN"/>
        </w:rPr>
      </w:pPr>
    </w:p>
    <w:p>
      <w:pPr>
        <w:rPr>
          <w:rFonts w:hint="eastAsia" w:ascii="宋体" w:hAnsi="宋体" w:cs="宋体"/>
          <w:color w:val="auto"/>
          <w:lang w:val="en-US" w:eastAsia="zh-CN"/>
        </w:rPr>
      </w:pPr>
    </w:p>
    <w:p>
      <w:pPr>
        <w:rPr>
          <w:rFonts w:hint="eastAsia"/>
          <w:lang w:val="en-US" w:eastAsia="zh-CN"/>
        </w:rPr>
      </w:pPr>
    </w:p>
    <w:p>
      <w:pPr>
        <w:pStyle w:val="6"/>
        <w:rPr>
          <w:rFonts w:hint="eastAsia"/>
          <w:lang w:val="en-US" w:eastAsia="zh-CN"/>
        </w:rPr>
      </w:pPr>
    </w:p>
    <w:p>
      <w:pPr>
        <w:pStyle w:val="11"/>
        <w:ind w:left="0" w:leftChars="0" w:firstLine="0" w:firstLineChars="0"/>
        <w:jc w:val="center"/>
        <w:rPr>
          <w:rFonts w:hint="eastAsia" w:hAnsi="宋体" w:cs="宋体"/>
          <w:b/>
          <w:bCs/>
          <w:color w:val="FF0000"/>
          <w:sz w:val="32"/>
          <w:szCs w:val="22"/>
          <w:highlight w:val="none"/>
          <w:lang w:val="en-US" w:eastAsia="zh-CN"/>
        </w:rPr>
      </w:pPr>
    </w:p>
    <w:p>
      <w:pPr>
        <w:pStyle w:val="11"/>
        <w:ind w:left="0" w:leftChars="0" w:firstLine="0" w:firstLineChars="0"/>
        <w:jc w:val="center"/>
        <w:rPr>
          <w:rFonts w:hint="eastAsia" w:hAnsi="宋体" w:cs="宋体"/>
          <w:b/>
          <w:bCs/>
          <w:color w:val="FF0000"/>
          <w:sz w:val="32"/>
          <w:szCs w:val="22"/>
          <w:highlight w:val="none"/>
          <w:lang w:val="en-US" w:eastAsia="zh-CN"/>
        </w:rPr>
      </w:pPr>
    </w:p>
    <w:p>
      <w:pPr>
        <w:pStyle w:val="11"/>
        <w:ind w:left="0" w:leftChars="0" w:firstLine="0" w:firstLineChars="0"/>
        <w:jc w:val="center"/>
        <w:rPr>
          <w:rFonts w:hint="eastAsia" w:hAnsi="宋体" w:cs="宋体"/>
          <w:b/>
          <w:bCs/>
          <w:color w:val="FF0000"/>
          <w:sz w:val="32"/>
          <w:szCs w:val="22"/>
          <w:highlight w:val="none"/>
          <w:lang w:val="en-US" w:eastAsia="zh-CN"/>
        </w:rPr>
      </w:pPr>
      <w:r>
        <w:rPr>
          <w:rFonts w:hint="eastAsia" w:hAnsi="宋体" w:cs="宋体"/>
          <w:b/>
          <w:bCs/>
          <w:color w:val="FF0000"/>
          <w:sz w:val="32"/>
          <w:szCs w:val="22"/>
          <w:highlight w:val="none"/>
          <w:lang w:val="en-US" w:eastAsia="zh-CN"/>
        </w:rPr>
        <w:t>特别提醒：</w:t>
      </w:r>
    </w:p>
    <w:p>
      <w:pPr>
        <w:spacing w:line="360" w:lineRule="auto"/>
        <w:jc w:val="left"/>
        <w:rPr>
          <w:rFonts w:hint="eastAsia" w:ascii="宋体" w:hAnsi="宋体"/>
          <w:b/>
          <w:color w:val="FF0000"/>
          <w:sz w:val="24"/>
          <w:szCs w:val="24"/>
          <w:highlight w:val="none"/>
        </w:rPr>
      </w:pPr>
      <w:r>
        <w:rPr>
          <w:rFonts w:hint="eastAsia" w:ascii="宋体" w:hAnsi="宋体"/>
          <w:b/>
          <w:color w:val="FF0000"/>
          <w:sz w:val="24"/>
          <w:szCs w:val="24"/>
          <w:highlight w:val="none"/>
        </w:rPr>
        <w:t>1、投标企业请认真核实营业执照经营范围，开标时监督小组将严格按照营业执照经营范围核实，无经营范围的企业一切责任将由贵公司自行承担。</w:t>
      </w:r>
    </w:p>
    <w:p>
      <w:pPr>
        <w:spacing w:line="360" w:lineRule="auto"/>
        <w:jc w:val="left"/>
        <w:rPr>
          <w:rFonts w:hint="eastAsia" w:ascii="宋体" w:hAnsi="宋体"/>
          <w:b/>
          <w:color w:val="FF0000"/>
          <w:sz w:val="24"/>
          <w:szCs w:val="24"/>
          <w:highlight w:val="none"/>
        </w:rPr>
      </w:pPr>
      <w:r>
        <w:rPr>
          <w:rFonts w:hint="eastAsia" w:ascii="宋体" w:hAnsi="宋体"/>
          <w:b/>
          <w:color w:val="FF0000"/>
          <w:sz w:val="24"/>
          <w:szCs w:val="24"/>
          <w:highlight w:val="none"/>
          <w:lang w:val="en-US" w:eastAsia="zh-CN"/>
        </w:rPr>
        <w:t>2、</w:t>
      </w:r>
      <w:r>
        <w:rPr>
          <w:rFonts w:hint="eastAsia" w:ascii="宋体" w:hAnsi="宋体"/>
          <w:b/>
          <w:color w:val="FF0000"/>
          <w:sz w:val="24"/>
          <w:szCs w:val="24"/>
          <w:highlight w:val="none"/>
        </w:rPr>
        <w:t>由投标人基本账户汇出（投标保证金需一笔汇出，分笔汇出银行系统将不予统计），且不得以分公司的名义转账，投标保证金需在</w:t>
      </w:r>
      <w:r>
        <w:rPr>
          <w:rFonts w:hint="eastAsia" w:ascii="宋体" w:hAnsi="宋体"/>
          <w:b/>
          <w:color w:val="FF0000"/>
          <w:sz w:val="24"/>
          <w:szCs w:val="24"/>
          <w:highlight w:val="none"/>
          <w:lang w:eastAsia="zh-CN"/>
        </w:rPr>
        <w:t>2020年05月1</w:t>
      </w:r>
      <w:r>
        <w:rPr>
          <w:rFonts w:hint="eastAsia" w:ascii="宋体" w:hAnsi="宋体"/>
          <w:b/>
          <w:color w:val="FF0000"/>
          <w:sz w:val="24"/>
          <w:szCs w:val="24"/>
          <w:highlight w:val="none"/>
          <w:lang w:val="en-US" w:eastAsia="zh-CN"/>
        </w:rPr>
        <w:t>7</w:t>
      </w:r>
      <w:r>
        <w:rPr>
          <w:rFonts w:hint="eastAsia" w:ascii="宋体" w:hAnsi="宋体"/>
          <w:b/>
          <w:color w:val="FF0000"/>
          <w:sz w:val="24"/>
          <w:szCs w:val="24"/>
          <w:highlight w:val="none"/>
          <w:lang w:eastAsia="zh-CN"/>
        </w:rPr>
        <w:t>日20：00前到账</w:t>
      </w:r>
      <w:r>
        <w:rPr>
          <w:rFonts w:hint="eastAsia" w:ascii="宋体" w:hAnsi="宋体"/>
          <w:b/>
          <w:color w:val="FF0000"/>
          <w:sz w:val="24"/>
          <w:szCs w:val="24"/>
          <w:highlight w:val="none"/>
        </w:rPr>
        <w:t>，超过时间则不予认可。投标单位须在汇款单备注栏标明：XXX项目XXX包段（标段）或采购项目编号。该项目不换取保证金收据，由银行出具投标企业保证金缴纳情况。晚于规定时间缴纳保证金的企业一切责任将由贵公司自行承担。</w:t>
      </w:r>
    </w:p>
    <w:p>
      <w:pPr>
        <w:spacing w:line="360" w:lineRule="auto"/>
        <w:jc w:val="left"/>
        <w:rPr>
          <w:rFonts w:hint="eastAsia" w:ascii="宋体" w:hAnsi="宋体"/>
          <w:b/>
          <w:color w:val="FF0000"/>
          <w:sz w:val="24"/>
          <w:szCs w:val="24"/>
          <w:highlight w:val="none"/>
        </w:rPr>
      </w:pPr>
      <w:r>
        <w:rPr>
          <w:rFonts w:hint="eastAsia" w:ascii="宋体" w:hAnsi="宋体"/>
          <w:b/>
          <w:color w:val="FF0000"/>
          <w:sz w:val="24"/>
          <w:szCs w:val="24"/>
          <w:highlight w:val="none"/>
          <w:lang w:val="en-US" w:eastAsia="zh-CN"/>
        </w:rPr>
        <w:t>3、</w:t>
      </w:r>
      <w:r>
        <w:rPr>
          <w:rFonts w:hint="eastAsia" w:ascii="宋体" w:hAnsi="宋体"/>
          <w:b/>
          <w:color w:val="FF0000"/>
          <w:sz w:val="24"/>
          <w:szCs w:val="24"/>
          <w:highlight w:val="none"/>
        </w:rPr>
        <w:t>投标企业下载招标文件后请仔细阅读，如对招标文件内容有质疑，投标人应在投标截止10日前按招标文件中载明的邮箱：</w:t>
      </w:r>
      <w:r>
        <w:rPr>
          <w:rFonts w:hint="eastAsia" w:ascii="宋体" w:hAnsi="宋体"/>
          <w:b/>
          <w:color w:val="FF0000"/>
          <w:sz w:val="24"/>
          <w:szCs w:val="24"/>
          <w:highlight w:val="none"/>
          <w:lang w:val="en-US" w:eastAsia="zh-CN"/>
        </w:rPr>
        <w:fldChar w:fldCharType="begin"/>
      </w:r>
      <w:r>
        <w:rPr>
          <w:rFonts w:hint="eastAsia" w:ascii="宋体" w:hAnsi="宋体"/>
          <w:b/>
          <w:color w:val="FF0000"/>
          <w:sz w:val="24"/>
          <w:szCs w:val="24"/>
          <w:highlight w:val="none"/>
          <w:lang w:val="en-US" w:eastAsia="zh-CN"/>
        </w:rPr>
        <w:instrText xml:space="preserve"> HYPERLINK "mailto:563093851@qq.com地址，以书面形式通知招标人。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 </w:instrText>
      </w:r>
      <w:r>
        <w:rPr>
          <w:rFonts w:hint="eastAsia" w:ascii="宋体" w:hAnsi="宋体"/>
          <w:b/>
          <w:color w:val="FF0000"/>
          <w:sz w:val="24"/>
          <w:szCs w:val="24"/>
          <w:highlight w:val="none"/>
          <w:lang w:val="en-US" w:eastAsia="zh-CN"/>
        </w:rPr>
        <w:fldChar w:fldCharType="separate"/>
      </w:r>
      <w:r>
        <w:rPr>
          <w:rFonts w:hint="eastAsia" w:ascii="宋体" w:hAnsi="宋体"/>
          <w:b/>
          <w:color w:val="FF0000"/>
          <w:sz w:val="24"/>
          <w:szCs w:val="24"/>
          <w:highlight w:val="none"/>
          <w:lang w:val="en-US" w:eastAsia="zh-CN"/>
        </w:rPr>
        <w:t>563093851@qq.com</w:t>
      </w:r>
      <w:r>
        <w:rPr>
          <w:rFonts w:hint="eastAsia" w:ascii="宋体" w:hAnsi="宋体"/>
          <w:b/>
          <w:color w:val="FF0000"/>
          <w:sz w:val="24"/>
          <w:szCs w:val="24"/>
          <w:highlight w:val="none"/>
        </w:rPr>
        <w:t>地址，以书面形式通知招标人。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r>
        <w:rPr>
          <w:rFonts w:hint="eastAsia" w:ascii="宋体" w:hAnsi="宋体"/>
          <w:b/>
          <w:color w:val="FF0000"/>
          <w:sz w:val="24"/>
          <w:szCs w:val="24"/>
          <w:highlight w:val="none"/>
          <w:lang w:val="en-US" w:eastAsia="zh-CN"/>
        </w:rPr>
        <w:fldChar w:fldCharType="end"/>
      </w:r>
    </w:p>
    <w:p>
      <w:pPr>
        <w:spacing w:line="360" w:lineRule="auto"/>
        <w:jc w:val="left"/>
        <w:rPr>
          <w:rFonts w:hint="eastAsia" w:ascii="宋体" w:hAnsi="宋体"/>
          <w:b/>
          <w:color w:val="FF0000"/>
          <w:sz w:val="24"/>
          <w:szCs w:val="24"/>
          <w:highlight w:val="none"/>
        </w:rPr>
      </w:pPr>
      <w:r>
        <w:rPr>
          <w:rFonts w:hint="eastAsia" w:ascii="宋体" w:hAnsi="宋体"/>
          <w:b/>
          <w:color w:val="FF0000"/>
          <w:sz w:val="24"/>
          <w:szCs w:val="24"/>
          <w:highlight w:val="none"/>
          <w:lang w:val="en-US" w:eastAsia="zh-CN"/>
        </w:rPr>
        <w:t>4、</w:t>
      </w:r>
      <w:r>
        <w:rPr>
          <w:rFonts w:hint="eastAsia" w:ascii="宋体" w:hAnsi="宋体"/>
          <w:b/>
          <w:color w:val="FF0000"/>
          <w:sz w:val="24"/>
          <w:szCs w:val="24"/>
          <w:highlight w:val="none"/>
        </w:rPr>
        <w:t>为确保投标保证金的及时退还，评标结束后投标企业需提供保证金汇款凭证、开户许可证复印件、收据并注明开户行行号、联系方式（加盖公司鲜公章）交至皮山县政府投资交易中心财务室办理。（注：废标项目投标保证金在后续项</w:t>
      </w:r>
      <w:r>
        <w:rPr>
          <w:rFonts w:hint="eastAsia" w:ascii="宋体" w:hAnsi="宋体"/>
          <w:b/>
          <w:color w:val="FF0000"/>
          <w:sz w:val="24"/>
          <w:szCs w:val="24"/>
          <w:highlight w:val="none"/>
          <w:lang w:eastAsia="zh-CN"/>
        </w:rPr>
        <w:t>目</w:t>
      </w:r>
      <w:r>
        <w:rPr>
          <w:rFonts w:hint="eastAsia" w:ascii="宋体" w:hAnsi="宋体"/>
          <w:b/>
          <w:color w:val="FF0000"/>
          <w:sz w:val="24"/>
          <w:szCs w:val="24"/>
          <w:highlight w:val="none"/>
        </w:rPr>
        <w:t>再次招标时银行系统不做统计，请投标企业及时办理退款）。</w:t>
      </w:r>
    </w:p>
    <w:p>
      <w:pPr>
        <w:spacing w:line="360" w:lineRule="auto"/>
        <w:jc w:val="center"/>
        <w:rPr>
          <w:rFonts w:hint="eastAsia" w:ascii="宋体" w:hAnsi="宋体"/>
          <w:b/>
          <w:color w:val="FF0000"/>
          <w:sz w:val="24"/>
          <w:szCs w:val="24"/>
          <w:highlight w:val="none"/>
        </w:rPr>
      </w:pPr>
    </w:p>
    <w:p>
      <w:pPr>
        <w:spacing w:line="360" w:lineRule="auto"/>
        <w:jc w:val="center"/>
        <w:rPr>
          <w:rFonts w:hint="eastAsia" w:ascii="宋体" w:hAnsi="宋体"/>
          <w:b/>
          <w:color w:val="auto"/>
          <w:sz w:val="24"/>
          <w:szCs w:val="24"/>
          <w:highlight w:val="none"/>
        </w:rPr>
      </w:pPr>
    </w:p>
    <w:p>
      <w:pPr>
        <w:spacing w:line="360" w:lineRule="auto"/>
        <w:jc w:val="center"/>
        <w:rPr>
          <w:rFonts w:hint="eastAsia" w:ascii="宋体" w:hAnsi="宋体"/>
          <w:b/>
          <w:color w:val="auto"/>
          <w:sz w:val="24"/>
          <w:szCs w:val="24"/>
          <w:highlight w:val="none"/>
        </w:rPr>
      </w:pPr>
    </w:p>
    <w:p>
      <w:pPr>
        <w:spacing w:line="360" w:lineRule="auto"/>
        <w:jc w:val="center"/>
        <w:rPr>
          <w:rFonts w:hint="eastAsia" w:ascii="宋体" w:hAnsi="宋体"/>
          <w:b/>
          <w:color w:val="auto"/>
          <w:sz w:val="24"/>
          <w:szCs w:val="24"/>
          <w:highlight w:val="none"/>
        </w:rPr>
      </w:pPr>
    </w:p>
    <w:p>
      <w:pPr>
        <w:pStyle w:val="6"/>
        <w:rPr>
          <w:rFonts w:hint="eastAsia" w:ascii="宋体" w:hAnsi="宋体"/>
          <w:b/>
          <w:color w:val="auto"/>
          <w:sz w:val="24"/>
          <w:szCs w:val="24"/>
          <w:highlight w:val="none"/>
        </w:rPr>
      </w:pPr>
    </w:p>
    <w:p>
      <w:pPr>
        <w:spacing w:line="360" w:lineRule="auto"/>
        <w:jc w:val="both"/>
        <w:rPr>
          <w:rFonts w:hint="eastAsia" w:ascii="宋体" w:hAnsi="宋体"/>
          <w:b/>
          <w:color w:val="auto"/>
          <w:sz w:val="28"/>
          <w:szCs w:val="28"/>
          <w:highlight w:val="none"/>
        </w:rPr>
      </w:pPr>
    </w:p>
    <w:p>
      <w:pPr>
        <w:spacing w:line="360" w:lineRule="auto"/>
        <w:jc w:val="both"/>
        <w:rPr>
          <w:rFonts w:hint="eastAsia" w:ascii="宋体" w:hAnsi="宋体"/>
          <w:b/>
          <w:color w:val="auto"/>
          <w:sz w:val="28"/>
          <w:szCs w:val="28"/>
          <w:highlight w:val="none"/>
        </w:rPr>
      </w:pPr>
    </w:p>
    <w:p>
      <w:pPr>
        <w:pStyle w:val="2"/>
        <w:widowControl w:val="0"/>
        <w:numPr>
          <w:ilvl w:val="1"/>
          <w:numId w:val="0"/>
        </w:numPr>
        <w:adjustRightInd w:val="0"/>
        <w:snapToGrid w:val="0"/>
        <w:jc w:val="both"/>
        <w:rPr>
          <w:rFonts w:hint="eastAsia" w:ascii="宋体" w:hAnsi="宋体"/>
          <w:b/>
          <w:color w:val="auto"/>
          <w:sz w:val="28"/>
          <w:szCs w:val="28"/>
          <w:highlight w:val="none"/>
        </w:rPr>
      </w:pPr>
    </w:p>
    <w:p>
      <w:pPr>
        <w:pStyle w:val="2"/>
        <w:widowControl w:val="0"/>
        <w:numPr>
          <w:ilvl w:val="1"/>
          <w:numId w:val="0"/>
        </w:numPr>
        <w:adjustRightInd w:val="0"/>
        <w:snapToGrid w:val="0"/>
        <w:jc w:val="both"/>
        <w:rPr>
          <w:rFonts w:hint="eastAsia" w:ascii="宋体" w:hAnsi="宋体"/>
          <w:b/>
          <w:color w:val="auto"/>
          <w:sz w:val="28"/>
          <w:szCs w:val="28"/>
          <w:highlight w:val="none"/>
        </w:rPr>
      </w:pPr>
    </w:p>
    <w:p>
      <w:pPr>
        <w:pStyle w:val="2"/>
        <w:widowControl w:val="0"/>
        <w:numPr>
          <w:ilvl w:val="1"/>
          <w:numId w:val="0"/>
        </w:numPr>
        <w:adjustRightInd w:val="0"/>
        <w:snapToGrid w:val="0"/>
        <w:jc w:val="both"/>
        <w:rPr>
          <w:rFonts w:hint="eastAsia" w:ascii="宋体" w:hAnsi="宋体"/>
          <w:b/>
          <w:color w:val="auto"/>
          <w:sz w:val="28"/>
          <w:szCs w:val="28"/>
          <w:highlight w:val="none"/>
        </w:rPr>
      </w:pPr>
    </w:p>
    <w:p>
      <w:pPr>
        <w:pStyle w:val="2"/>
        <w:widowControl w:val="0"/>
        <w:numPr>
          <w:ilvl w:val="1"/>
          <w:numId w:val="0"/>
        </w:numPr>
        <w:adjustRightInd w:val="0"/>
        <w:snapToGrid w:val="0"/>
        <w:jc w:val="both"/>
        <w:rPr>
          <w:rFonts w:hint="eastAsia" w:ascii="宋体" w:hAnsi="宋体"/>
          <w:b/>
          <w:color w:val="auto"/>
          <w:sz w:val="28"/>
          <w:szCs w:val="28"/>
          <w:highlight w:val="none"/>
        </w:rPr>
      </w:pPr>
    </w:p>
    <w:p>
      <w:pPr>
        <w:pStyle w:val="2"/>
        <w:widowControl w:val="0"/>
        <w:numPr>
          <w:ilvl w:val="1"/>
          <w:numId w:val="0"/>
        </w:numPr>
        <w:adjustRightInd w:val="0"/>
        <w:snapToGrid w:val="0"/>
        <w:jc w:val="both"/>
        <w:rPr>
          <w:rFonts w:hint="eastAsia" w:ascii="宋体" w:hAnsi="宋体"/>
          <w:b/>
          <w:color w:val="auto"/>
          <w:sz w:val="28"/>
          <w:szCs w:val="28"/>
          <w:highlight w:val="none"/>
        </w:rPr>
      </w:pPr>
    </w:p>
    <w:p>
      <w:pPr>
        <w:spacing w:line="360" w:lineRule="auto"/>
        <w:jc w:val="both"/>
        <w:rPr>
          <w:rFonts w:ascii="宋体"/>
          <w:b/>
          <w:color w:val="auto"/>
          <w:sz w:val="28"/>
          <w:szCs w:val="28"/>
          <w:highlight w:val="none"/>
        </w:rPr>
      </w:pPr>
      <w:r>
        <w:rPr>
          <w:rFonts w:hint="eastAsia" w:ascii="宋体" w:hAnsi="宋体"/>
          <w:b/>
          <w:color w:val="auto"/>
          <w:sz w:val="28"/>
          <w:szCs w:val="28"/>
          <w:highlight w:val="none"/>
        </w:rPr>
        <w:t>第二部分</w:t>
      </w:r>
      <w:r>
        <w:rPr>
          <w:rFonts w:ascii="宋体" w:hAnsi="宋体"/>
          <w:b/>
          <w:color w:val="auto"/>
          <w:sz w:val="28"/>
          <w:szCs w:val="28"/>
          <w:highlight w:val="none"/>
        </w:rPr>
        <w:t xml:space="preserve">  </w:t>
      </w:r>
      <w:r>
        <w:rPr>
          <w:rFonts w:hint="eastAsia" w:ascii="宋体" w:hAnsi="宋体"/>
          <w:b/>
          <w:color w:val="auto"/>
          <w:sz w:val="28"/>
          <w:szCs w:val="28"/>
          <w:highlight w:val="none"/>
        </w:rPr>
        <w:t>投标须知前附表</w:t>
      </w:r>
    </w:p>
    <w:tbl>
      <w:tblPr>
        <w:tblStyle w:val="31"/>
        <w:tblW w:w="951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23"/>
        <w:gridCol w:w="1497"/>
        <w:gridCol w:w="71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823" w:type="dxa"/>
            <w:tcBorders>
              <w:top w:val="single" w:color="auto" w:sz="12" w:space="0"/>
            </w:tcBorders>
            <w:vAlign w:val="center"/>
          </w:tcPr>
          <w:p>
            <w:pPr>
              <w:spacing w:line="360" w:lineRule="exact"/>
              <w:jc w:val="center"/>
              <w:rPr>
                <w:rFonts w:ascii="宋体"/>
                <w:b/>
                <w:color w:val="auto"/>
                <w:sz w:val="24"/>
                <w:highlight w:val="none"/>
              </w:rPr>
            </w:pPr>
            <w:r>
              <w:rPr>
                <w:rFonts w:hint="eastAsia" w:ascii="宋体" w:hAnsi="宋体"/>
                <w:b/>
                <w:color w:val="auto"/>
                <w:sz w:val="24"/>
                <w:highlight w:val="none"/>
              </w:rPr>
              <w:t>序号</w:t>
            </w:r>
          </w:p>
        </w:tc>
        <w:tc>
          <w:tcPr>
            <w:tcW w:w="1497" w:type="dxa"/>
            <w:tcBorders>
              <w:top w:val="single" w:color="auto" w:sz="12" w:space="0"/>
              <w:right w:val="single" w:color="auto" w:sz="4" w:space="0"/>
            </w:tcBorders>
            <w:vAlign w:val="center"/>
          </w:tcPr>
          <w:p>
            <w:pPr>
              <w:spacing w:line="360" w:lineRule="exact"/>
              <w:jc w:val="center"/>
              <w:rPr>
                <w:rFonts w:ascii="宋体"/>
                <w:b/>
                <w:color w:val="auto"/>
                <w:sz w:val="24"/>
                <w:highlight w:val="none"/>
              </w:rPr>
            </w:pPr>
            <w:r>
              <w:rPr>
                <w:rFonts w:hint="eastAsia" w:ascii="宋体" w:hAnsi="宋体"/>
                <w:b/>
                <w:color w:val="auto"/>
                <w:sz w:val="24"/>
                <w:highlight w:val="none"/>
              </w:rPr>
              <w:t>条款名称</w:t>
            </w:r>
          </w:p>
        </w:tc>
        <w:tc>
          <w:tcPr>
            <w:tcW w:w="7198" w:type="dxa"/>
            <w:tcBorders>
              <w:top w:val="single" w:color="auto" w:sz="12" w:space="0"/>
              <w:left w:val="single" w:color="auto" w:sz="4" w:space="0"/>
            </w:tcBorders>
            <w:vAlign w:val="center"/>
          </w:tcPr>
          <w:p>
            <w:pPr>
              <w:spacing w:line="360" w:lineRule="exact"/>
              <w:jc w:val="center"/>
              <w:rPr>
                <w:rFonts w:ascii="宋体"/>
                <w:b/>
                <w:color w:val="auto"/>
                <w:sz w:val="24"/>
                <w:highlight w:val="none"/>
              </w:rPr>
            </w:pPr>
            <w:r>
              <w:rPr>
                <w:rFonts w:hint="eastAsia" w:ascii="宋体" w:hAnsi="宋体"/>
                <w:b/>
                <w:color w:val="auto"/>
                <w:sz w:val="24"/>
                <w:highlight w:val="none"/>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087" w:hRule="atLeast"/>
          <w:jc w:val="center"/>
        </w:trPr>
        <w:tc>
          <w:tcPr>
            <w:tcW w:w="823" w:type="dxa"/>
            <w:vAlign w:val="center"/>
          </w:tcPr>
          <w:p>
            <w:pPr>
              <w:spacing w:line="360" w:lineRule="exact"/>
              <w:jc w:val="center"/>
              <w:rPr>
                <w:rFonts w:ascii="宋体"/>
                <w:color w:val="auto"/>
                <w:sz w:val="24"/>
                <w:highlight w:val="none"/>
              </w:rPr>
            </w:pPr>
            <w:r>
              <w:rPr>
                <w:rFonts w:ascii="宋体" w:hAnsi="宋体"/>
                <w:color w:val="auto"/>
                <w:sz w:val="24"/>
                <w:highlight w:val="none"/>
              </w:rPr>
              <w:t>1</w:t>
            </w:r>
          </w:p>
        </w:tc>
        <w:tc>
          <w:tcPr>
            <w:tcW w:w="1497" w:type="dxa"/>
            <w:tcBorders>
              <w:right w:val="single" w:color="auto" w:sz="4" w:space="0"/>
            </w:tcBorders>
            <w:vAlign w:val="center"/>
          </w:tcPr>
          <w:p>
            <w:pPr>
              <w:spacing w:beforeLines="10" w:afterLines="10" w:line="360" w:lineRule="exact"/>
              <w:jc w:val="center"/>
              <w:rPr>
                <w:rFonts w:ascii="宋体"/>
                <w:color w:val="auto"/>
                <w:sz w:val="24"/>
                <w:szCs w:val="24"/>
                <w:highlight w:val="none"/>
              </w:rPr>
            </w:pPr>
            <w:r>
              <w:rPr>
                <w:rFonts w:hint="eastAsia" w:ascii="宋体" w:hAnsi="宋体"/>
                <w:color w:val="auto"/>
                <w:sz w:val="24"/>
                <w:szCs w:val="24"/>
                <w:highlight w:val="none"/>
              </w:rPr>
              <w:t>采购人</w:t>
            </w:r>
          </w:p>
        </w:tc>
        <w:tc>
          <w:tcPr>
            <w:tcW w:w="7198" w:type="dxa"/>
            <w:tcBorders>
              <w:left w:val="single" w:color="auto" w:sz="4" w:space="0"/>
            </w:tcBorders>
            <w:vAlign w:val="center"/>
          </w:tcPr>
          <w:p>
            <w:pPr>
              <w:spacing w:beforeLines="10" w:afterLines="10" w:line="360" w:lineRule="exact"/>
              <w:rPr>
                <w:rFonts w:hint="eastAsia" w:asci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名</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称：</w:t>
            </w:r>
            <w:r>
              <w:rPr>
                <w:rFonts w:hint="eastAsia" w:ascii="宋体" w:hAnsi="宋体" w:cs="宋体"/>
                <w:color w:val="auto"/>
                <w:kern w:val="0"/>
                <w:sz w:val="24"/>
                <w:szCs w:val="24"/>
                <w:highlight w:val="none"/>
                <w:lang w:val="en-US" w:eastAsia="zh-CN"/>
              </w:rPr>
              <w:t>皮山县教育局</w:t>
            </w:r>
          </w:p>
          <w:p>
            <w:pPr>
              <w:spacing w:beforeLines="10" w:afterLines="10" w:line="36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联系人</w:t>
            </w:r>
            <w:r>
              <w:rPr>
                <w:rFonts w:ascii="宋体" w:hAnsi="宋体" w:cs="宋体"/>
                <w:color w:val="auto"/>
                <w:kern w:val="0"/>
                <w:sz w:val="24"/>
                <w:szCs w:val="24"/>
                <w:highlight w:val="none"/>
              </w:rPr>
              <w:t xml:space="preserve">: </w:t>
            </w:r>
            <w:r>
              <w:rPr>
                <w:rFonts w:hint="eastAsia" w:ascii="宋体" w:hAnsi="宋体" w:cs="宋体"/>
                <w:color w:val="auto"/>
                <w:sz w:val="24"/>
                <w:szCs w:val="24"/>
                <w:lang w:val="en-US" w:eastAsia="zh-CN"/>
              </w:rPr>
              <w:t>王亚平</w:t>
            </w:r>
            <w:r>
              <w:rPr>
                <w:rFonts w:hint="eastAsia" w:ascii="宋体" w:hAnsi="宋体" w:cs="宋体"/>
                <w:color w:val="auto"/>
                <w:kern w:val="0"/>
                <w:sz w:val="24"/>
                <w:szCs w:val="24"/>
                <w:highlight w:val="none"/>
              </w:rPr>
              <w:t xml:space="preserve">      </w:t>
            </w:r>
          </w:p>
          <w:p>
            <w:pPr>
              <w:spacing w:beforeLines="10" w:afterLines="10" w:line="360" w:lineRule="exact"/>
              <w:rPr>
                <w:rFonts w:hint="eastAsia" w:ascii="宋体" w:eastAsia="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联系</w:t>
            </w:r>
            <w:r>
              <w:rPr>
                <w:rFonts w:hint="eastAsia" w:ascii="宋体" w:hAnsi="宋体" w:cs="宋体"/>
                <w:color w:val="auto"/>
                <w:kern w:val="0"/>
                <w:sz w:val="24"/>
                <w:szCs w:val="24"/>
                <w:highlight w:val="none"/>
              </w:rPr>
              <w:t>电话：</w:t>
            </w:r>
            <w:r>
              <w:rPr>
                <w:rFonts w:hint="eastAsia" w:ascii="宋体" w:hAnsi="宋体" w:cs="宋体"/>
                <w:color w:val="auto"/>
                <w:kern w:val="0"/>
                <w:sz w:val="24"/>
                <w:szCs w:val="24"/>
                <w:highlight w:val="none"/>
                <w:lang w:eastAsia="zh-CN"/>
              </w:rPr>
              <w:t>0903-6427567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632" w:hRule="atLeast"/>
          <w:jc w:val="center"/>
        </w:trPr>
        <w:tc>
          <w:tcPr>
            <w:tcW w:w="823" w:type="dxa"/>
            <w:vAlign w:val="center"/>
          </w:tcPr>
          <w:p>
            <w:pPr>
              <w:spacing w:line="360" w:lineRule="exact"/>
              <w:jc w:val="center"/>
              <w:rPr>
                <w:rFonts w:ascii="宋体"/>
                <w:color w:val="auto"/>
                <w:sz w:val="24"/>
                <w:highlight w:val="none"/>
              </w:rPr>
            </w:pPr>
            <w:r>
              <w:rPr>
                <w:rFonts w:ascii="宋体" w:hAnsi="宋体"/>
                <w:color w:val="auto"/>
                <w:sz w:val="24"/>
                <w:highlight w:val="none"/>
              </w:rPr>
              <w:t>2</w:t>
            </w:r>
          </w:p>
        </w:tc>
        <w:tc>
          <w:tcPr>
            <w:tcW w:w="1497" w:type="dxa"/>
            <w:tcBorders>
              <w:right w:val="single" w:color="auto" w:sz="4" w:space="0"/>
            </w:tcBorders>
            <w:vAlign w:val="center"/>
          </w:tcPr>
          <w:p>
            <w:pPr>
              <w:spacing w:beforeLines="10" w:afterLines="10" w:line="360" w:lineRule="exact"/>
              <w:jc w:val="center"/>
              <w:rPr>
                <w:rFonts w:ascii="宋体"/>
                <w:color w:val="auto"/>
                <w:sz w:val="24"/>
                <w:szCs w:val="24"/>
                <w:highlight w:val="none"/>
              </w:rPr>
            </w:pPr>
            <w:r>
              <w:rPr>
                <w:rFonts w:hint="eastAsia" w:ascii="宋体" w:hAnsi="宋体"/>
                <w:color w:val="auto"/>
                <w:sz w:val="24"/>
                <w:szCs w:val="24"/>
                <w:highlight w:val="none"/>
              </w:rPr>
              <w:t>代理机构</w:t>
            </w:r>
          </w:p>
        </w:tc>
        <w:tc>
          <w:tcPr>
            <w:tcW w:w="7198" w:type="dxa"/>
            <w:tcBorders>
              <w:left w:val="single" w:color="auto" w:sz="4" w:space="0"/>
            </w:tcBorders>
            <w:vAlign w:val="center"/>
          </w:tcPr>
          <w:p>
            <w:pPr>
              <w:spacing w:beforeLines="10" w:afterLines="10" w:line="36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lang w:eastAsia="zh-CN"/>
              </w:rPr>
              <w:t>新疆楷源工程项目管理有限责任公司</w:t>
            </w:r>
          </w:p>
          <w:p>
            <w:pPr>
              <w:spacing w:beforeLines="10" w:afterLines="10"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lang w:eastAsia="zh-CN"/>
              </w:rPr>
              <w:t>和田市玉都国际广场玉座11楼</w:t>
            </w:r>
          </w:p>
          <w:p>
            <w:pPr>
              <w:spacing w:beforeLines="10" w:afterLines="10" w:line="36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lang w:eastAsia="zh-CN"/>
              </w:rPr>
              <w:t>侯雪萍</w:t>
            </w:r>
          </w:p>
          <w:p>
            <w:pPr>
              <w:spacing w:beforeLines="10" w:afterLines="10" w:line="36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sz w:val="24"/>
                <w:szCs w:val="24"/>
                <w:lang w:eastAsia="zh-CN"/>
              </w:rPr>
              <w:t>0903-2513255</w:t>
            </w:r>
          </w:p>
          <w:p>
            <w:pPr>
              <w:spacing w:beforeLines="10" w:afterLines="10" w:line="360" w:lineRule="exact"/>
              <w:rPr>
                <w:rFonts w:hint="default" w:eastAsia="宋体"/>
                <w:sz w:val="24"/>
                <w:szCs w:val="24"/>
                <w:lang w:val="en-US" w:eastAsia="zh-CN"/>
              </w:rPr>
            </w:pPr>
            <w:r>
              <w:rPr>
                <w:rFonts w:hint="eastAsia" w:asciiTheme="minorEastAsia" w:hAnsiTheme="minorEastAsia" w:eastAsiaTheme="minorEastAsia" w:cstheme="minorEastAsia"/>
                <w:sz w:val="24"/>
                <w:szCs w:val="24"/>
                <w:lang w:val="en-US" w:eastAsia="zh-CN"/>
              </w:rPr>
              <w:t>邮  箱：563093851@qq.com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65" w:hRule="atLeast"/>
          <w:jc w:val="center"/>
        </w:trPr>
        <w:tc>
          <w:tcPr>
            <w:tcW w:w="823" w:type="dxa"/>
            <w:vAlign w:val="center"/>
          </w:tcPr>
          <w:p>
            <w:pPr>
              <w:spacing w:line="360" w:lineRule="exact"/>
              <w:jc w:val="center"/>
              <w:rPr>
                <w:rFonts w:hint="eastAsia" w:ascii="宋体"/>
                <w:color w:val="auto"/>
                <w:sz w:val="24"/>
                <w:highlight w:val="none"/>
                <w:lang w:val="en-US" w:eastAsia="zh-CN"/>
              </w:rPr>
            </w:pPr>
            <w:r>
              <w:rPr>
                <w:rFonts w:hint="eastAsia" w:ascii="宋体"/>
                <w:color w:val="auto"/>
                <w:sz w:val="24"/>
                <w:highlight w:val="none"/>
                <w:lang w:val="en-US" w:eastAsia="zh-CN"/>
              </w:rPr>
              <w:t>3</w:t>
            </w:r>
          </w:p>
        </w:tc>
        <w:tc>
          <w:tcPr>
            <w:tcW w:w="1497" w:type="dxa"/>
            <w:tcBorders>
              <w:right w:val="single" w:color="auto" w:sz="4" w:space="0"/>
            </w:tcBorders>
            <w:vAlign w:val="center"/>
          </w:tcPr>
          <w:p>
            <w:pPr>
              <w:spacing w:line="360" w:lineRule="exact"/>
              <w:jc w:val="center"/>
              <w:rPr>
                <w:rFonts w:hint="eastAsia" w:ascii="宋体"/>
                <w:color w:val="auto"/>
                <w:sz w:val="24"/>
                <w:highlight w:val="none"/>
                <w:lang w:val="en-US" w:eastAsia="zh-CN"/>
              </w:rPr>
            </w:pPr>
            <w:r>
              <w:rPr>
                <w:rFonts w:hint="eastAsia" w:ascii="宋体"/>
                <w:color w:val="auto"/>
                <w:sz w:val="24"/>
                <w:highlight w:val="none"/>
                <w:lang w:val="en-US" w:eastAsia="zh-CN"/>
              </w:rPr>
              <w:t>采购项目名称</w:t>
            </w:r>
          </w:p>
        </w:tc>
        <w:tc>
          <w:tcPr>
            <w:tcW w:w="7198" w:type="dxa"/>
            <w:tcBorders>
              <w:left w:val="single" w:color="auto" w:sz="4" w:space="0"/>
            </w:tcBorders>
            <w:vAlign w:val="center"/>
          </w:tcPr>
          <w:p>
            <w:pPr>
              <w:spacing w:line="360" w:lineRule="exact"/>
              <w:jc w:val="left"/>
              <w:rPr>
                <w:rFonts w:hint="eastAsia" w:ascii="宋体"/>
                <w:color w:val="auto"/>
                <w:sz w:val="24"/>
                <w:highlight w:val="none"/>
                <w:lang w:val="en-US" w:eastAsia="zh-CN"/>
              </w:rPr>
            </w:pPr>
            <w:r>
              <w:rPr>
                <w:rFonts w:hint="eastAsia" w:ascii="宋体"/>
                <w:color w:val="auto"/>
                <w:sz w:val="24"/>
                <w:highlight w:val="none"/>
                <w:lang w:val="en-US" w:eastAsia="zh-CN"/>
              </w:rPr>
              <w:t>2020年皮山县教育系统学校食堂所需食材采购项目（包二）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48" w:hRule="atLeast"/>
          <w:jc w:val="center"/>
        </w:trPr>
        <w:tc>
          <w:tcPr>
            <w:tcW w:w="823" w:type="dxa"/>
            <w:vAlign w:val="center"/>
          </w:tcPr>
          <w:p>
            <w:pPr>
              <w:spacing w:line="360" w:lineRule="exact"/>
              <w:jc w:val="center"/>
              <w:rPr>
                <w:rFonts w:hint="eastAsia" w:ascii="宋体" w:eastAsia="宋体"/>
                <w:color w:val="auto"/>
                <w:sz w:val="24"/>
                <w:highlight w:val="none"/>
                <w:lang w:val="en-US" w:eastAsia="zh-CN"/>
              </w:rPr>
            </w:pPr>
            <w:r>
              <w:rPr>
                <w:rFonts w:hint="eastAsia" w:ascii="宋体"/>
                <w:color w:val="auto"/>
                <w:sz w:val="24"/>
                <w:highlight w:val="none"/>
                <w:lang w:val="en-US" w:eastAsia="zh-CN"/>
              </w:rPr>
              <w:t>4</w:t>
            </w:r>
          </w:p>
        </w:tc>
        <w:tc>
          <w:tcPr>
            <w:tcW w:w="1497" w:type="dxa"/>
            <w:tcBorders>
              <w:right w:val="single" w:color="auto" w:sz="4" w:space="0"/>
            </w:tcBorders>
            <w:vAlign w:val="center"/>
          </w:tcPr>
          <w:p>
            <w:pPr>
              <w:tabs>
                <w:tab w:val="left" w:pos="900"/>
              </w:tabs>
              <w:spacing w:beforeLines="10" w:afterLines="10" w:line="360" w:lineRule="exact"/>
              <w:jc w:val="center"/>
              <w:rPr>
                <w:rFonts w:ascii="宋体"/>
                <w:color w:val="auto"/>
                <w:sz w:val="24"/>
                <w:highlight w:val="none"/>
              </w:rPr>
            </w:pPr>
            <w:r>
              <w:rPr>
                <w:rFonts w:hint="eastAsia" w:ascii="宋体" w:hAnsi="宋体"/>
                <w:color w:val="auto"/>
                <w:sz w:val="24"/>
                <w:highlight w:val="none"/>
              </w:rPr>
              <w:t>资金来源</w:t>
            </w:r>
          </w:p>
        </w:tc>
        <w:tc>
          <w:tcPr>
            <w:tcW w:w="7198" w:type="dxa"/>
            <w:tcBorders>
              <w:left w:val="single" w:color="auto" w:sz="4" w:space="0"/>
            </w:tcBorders>
            <w:vAlign w:val="center"/>
          </w:tcPr>
          <w:p>
            <w:pPr>
              <w:widowControl/>
              <w:spacing w:line="240" w:lineRule="auto"/>
              <w:jc w:val="left"/>
              <w:rPr>
                <w:rFonts w:hint="default" w:ascii="宋体" w:eastAsia="宋体" w:cs="宋体"/>
                <w:color w:val="auto"/>
                <w:kern w:val="0"/>
                <w:sz w:val="24"/>
                <w:highlight w:val="none"/>
                <w:lang w:val="en-US" w:eastAsia="zh-CN"/>
              </w:rPr>
            </w:pPr>
            <w:r>
              <w:rPr>
                <w:rFonts w:hint="eastAsia" w:ascii="新宋体" w:hAnsi="新宋体" w:eastAsia="新宋体" w:cs="宋体"/>
                <w:bCs/>
                <w:color w:val="000000" w:themeColor="text1"/>
                <w:kern w:val="0"/>
                <w:sz w:val="24"/>
                <w:highlight w:val="none"/>
                <w:lang w:val="en-US" w:eastAsia="zh-CN"/>
                <w14:textFill>
                  <w14:solidFill>
                    <w14:schemeClr w14:val="tx1"/>
                  </w14:solidFill>
                </w14:textFill>
              </w:rPr>
              <w:t>中央农村义务教育营养改善计划资金、中央、自治区幼儿园伙食补助资金、中央、自治区义务教育寄宿生生活补助资金。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48" w:hRule="atLeast"/>
          <w:jc w:val="center"/>
        </w:trPr>
        <w:tc>
          <w:tcPr>
            <w:tcW w:w="823" w:type="dxa"/>
            <w:vAlign w:val="center"/>
          </w:tcPr>
          <w:p>
            <w:pPr>
              <w:spacing w:line="360" w:lineRule="exact"/>
              <w:jc w:val="center"/>
              <w:rPr>
                <w:rFonts w:hint="eastAsia" w:ascii="宋体"/>
                <w:color w:val="auto"/>
                <w:sz w:val="24"/>
                <w:highlight w:val="none"/>
                <w:lang w:val="en-US" w:eastAsia="zh-CN"/>
              </w:rPr>
            </w:pPr>
            <w:r>
              <w:rPr>
                <w:rFonts w:hint="eastAsia" w:ascii="宋体"/>
                <w:color w:val="auto"/>
                <w:sz w:val="24"/>
                <w:highlight w:val="none"/>
                <w:lang w:val="en-US" w:eastAsia="zh-CN"/>
              </w:rPr>
              <w:t>5</w:t>
            </w:r>
          </w:p>
        </w:tc>
        <w:tc>
          <w:tcPr>
            <w:tcW w:w="1497" w:type="dxa"/>
            <w:tcBorders>
              <w:right w:val="single" w:color="auto" w:sz="4" w:space="0"/>
            </w:tcBorders>
            <w:vAlign w:val="center"/>
          </w:tcPr>
          <w:p>
            <w:pPr>
              <w:tabs>
                <w:tab w:val="left" w:pos="900"/>
              </w:tabs>
              <w:spacing w:beforeLines="10" w:afterLines="10" w:line="360" w:lineRule="exact"/>
              <w:jc w:val="center"/>
              <w:rPr>
                <w:rFonts w:hint="eastAsia" w:ascii="宋体" w:hAnsi="宋体"/>
                <w:color w:val="auto"/>
                <w:sz w:val="24"/>
                <w:highlight w:val="none"/>
              </w:rPr>
            </w:pPr>
            <w:r>
              <w:rPr>
                <w:rFonts w:hint="eastAsia" w:ascii="宋体" w:hAnsi="宋体"/>
                <w:color w:val="auto"/>
                <w:sz w:val="24"/>
              </w:rPr>
              <w:t>采购内容</w:t>
            </w:r>
          </w:p>
        </w:tc>
        <w:tc>
          <w:tcPr>
            <w:tcW w:w="7198" w:type="dxa"/>
            <w:tcBorders>
              <w:left w:val="single" w:color="auto" w:sz="4" w:space="0"/>
            </w:tcBorders>
            <w:vAlign w:val="center"/>
          </w:tcPr>
          <w:p>
            <w:pPr>
              <w:widowControl/>
              <w:spacing w:line="240" w:lineRule="auto"/>
              <w:jc w:val="left"/>
              <w:rPr>
                <w:rFonts w:hint="eastAsia" w:ascii="新宋体" w:hAnsi="新宋体" w:eastAsia="新宋体" w:cs="宋体"/>
                <w:bCs/>
                <w:color w:val="000000" w:themeColor="text1"/>
                <w:kern w:val="0"/>
                <w:sz w:val="24"/>
                <w:highlight w:val="none"/>
                <w:lang w:val="en-US" w:eastAsia="zh-CN"/>
                <w14:textFill>
                  <w14:solidFill>
                    <w14:schemeClr w14:val="tx1"/>
                  </w14:solidFill>
                </w14:textFill>
              </w:rPr>
            </w:pPr>
            <w:r>
              <w:rPr>
                <w:rFonts w:hint="eastAsia" w:ascii="新宋体" w:hAnsi="新宋体" w:eastAsia="新宋体" w:cs="宋体"/>
                <w:bCs/>
                <w:color w:val="000000" w:themeColor="text1"/>
                <w:kern w:val="0"/>
                <w:sz w:val="24"/>
                <w:highlight w:val="none"/>
                <w:lang w:val="en-US" w:eastAsia="zh-CN"/>
                <w14:textFill>
                  <w14:solidFill>
                    <w14:schemeClr w14:val="tx1"/>
                  </w14:solidFill>
                </w14:textFill>
              </w:rPr>
              <w:t>学生奶，具体数量、规格、参数详见招标文件。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88" w:hRule="atLeast"/>
          <w:jc w:val="center"/>
        </w:trPr>
        <w:tc>
          <w:tcPr>
            <w:tcW w:w="823" w:type="dxa"/>
            <w:vAlign w:val="center"/>
          </w:tcPr>
          <w:p>
            <w:pPr>
              <w:spacing w:line="360" w:lineRule="exact"/>
              <w:jc w:val="center"/>
              <w:rPr>
                <w:rFonts w:hint="eastAsia" w:ascii="宋体" w:eastAsia="宋体"/>
                <w:color w:val="auto"/>
                <w:sz w:val="24"/>
                <w:highlight w:val="none"/>
                <w:lang w:eastAsia="zh-CN"/>
              </w:rPr>
            </w:pPr>
            <w:r>
              <w:rPr>
                <w:rFonts w:hint="eastAsia" w:ascii="宋体" w:hAnsi="宋体"/>
                <w:color w:val="auto"/>
                <w:sz w:val="24"/>
                <w:highlight w:val="none"/>
                <w:lang w:val="en-US" w:eastAsia="zh-CN"/>
              </w:rPr>
              <w:t>6</w:t>
            </w:r>
          </w:p>
        </w:tc>
        <w:tc>
          <w:tcPr>
            <w:tcW w:w="1497" w:type="dxa"/>
            <w:tcBorders>
              <w:right w:val="single" w:color="auto" w:sz="4" w:space="0"/>
            </w:tcBorders>
            <w:vAlign w:val="center"/>
          </w:tcPr>
          <w:p>
            <w:pPr>
              <w:tabs>
                <w:tab w:val="left" w:pos="900"/>
              </w:tabs>
              <w:spacing w:beforeLines="10" w:afterLines="10" w:line="360" w:lineRule="exact"/>
              <w:jc w:val="center"/>
              <w:rPr>
                <w:rFonts w:ascii="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采购</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控制</w:t>
            </w:r>
            <w:r>
              <w:rPr>
                <w:rFonts w:hint="eastAsia" w:ascii="宋体" w:hAnsi="宋体" w:cs="宋体"/>
                <w:color w:val="000000" w:themeColor="text1"/>
                <w:kern w:val="0"/>
                <w:sz w:val="24"/>
                <w:highlight w:val="none"/>
                <w:shd w:val="clear" w:color="auto" w:fill="auto"/>
                <w14:textFill>
                  <w14:solidFill>
                    <w14:schemeClr w14:val="tx1"/>
                  </w14:solidFill>
                </w14:textFill>
              </w:rPr>
              <w:t>价</w:t>
            </w:r>
          </w:p>
        </w:tc>
        <w:tc>
          <w:tcPr>
            <w:tcW w:w="7198" w:type="dxa"/>
            <w:tcBorders>
              <w:left w:val="single" w:color="auto" w:sz="4" w:space="0"/>
            </w:tcBorders>
            <w:vAlign w:val="center"/>
          </w:tcPr>
          <w:p>
            <w:pPr>
              <w:tabs>
                <w:tab w:val="left" w:pos="900"/>
              </w:tabs>
              <w:spacing w:beforeLines="10" w:afterLines="10" w:line="360" w:lineRule="exact"/>
              <w:rPr>
                <w:rFonts w:hint="default" w:ascii="宋体" w:eastAsia="宋体" w:cs="宋体"/>
                <w:color w:val="000000" w:themeColor="text1"/>
                <w:kern w:val="0"/>
                <w:sz w:val="24"/>
                <w:highlight w:val="none"/>
                <w:shd w:val="clear" w:color="auto" w:fill="auto"/>
                <w:lang w:val="en-US" w:eastAsia="zh-CN"/>
                <w14:textFill>
                  <w14:solidFill>
                    <w14:schemeClr w14:val="tx1"/>
                  </w14:solidFill>
                </w14:textFill>
              </w:rPr>
            </w:pPr>
            <w:r>
              <w:rPr>
                <w:rFonts w:hint="eastAsia" w:ascii="新宋体" w:hAnsi="新宋体" w:eastAsia="新宋体" w:cs="宋体"/>
                <w:bCs/>
                <w:color w:val="000000" w:themeColor="text1"/>
                <w:kern w:val="0"/>
                <w:sz w:val="24"/>
                <w:highlight w:val="none"/>
                <w:lang w:val="en-US" w:eastAsia="zh-CN"/>
                <w14:textFill>
                  <w14:solidFill>
                    <w14:schemeClr w14:val="tx1"/>
                  </w14:solidFill>
                </w14:textFill>
              </w:rPr>
              <w:t>874.43万元（此采购金额为最高限价，如超过预算价的报价为无效报价且每个分项不得超过每项单价的限价，详见采购清单）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83" w:hRule="atLeast"/>
          <w:jc w:val="center"/>
        </w:trPr>
        <w:tc>
          <w:tcPr>
            <w:tcW w:w="823" w:type="dxa"/>
            <w:vAlign w:val="center"/>
          </w:tcPr>
          <w:p>
            <w:pPr>
              <w:spacing w:line="360" w:lineRule="exact"/>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7</w:t>
            </w:r>
          </w:p>
        </w:tc>
        <w:tc>
          <w:tcPr>
            <w:tcW w:w="1497" w:type="dxa"/>
            <w:tcBorders>
              <w:right w:val="single" w:color="auto" w:sz="4" w:space="0"/>
            </w:tcBorders>
            <w:vAlign w:val="center"/>
          </w:tcPr>
          <w:p>
            <w:pPr>
              <w:tabs>
                <w:tab w:val="left" w:pos="900"/>
              </w:tabs>
              <w:spacing w:beforeLines="10" w:afterLines="10" w:line="360" w:lineRule="exact"/>
              <w:jc w:val="center"/>
              <w:rPr>
                <w:rFonts w:hint="default" w:ascii="宋体" w:hAnsi="宋体" w:eastAsia="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付款方式</w:t>
            </w:r>
          </w:p>
        </w:tc>
        <w:tc>
          <w:tcPr>
            <w:tcW w:w="7198" w:type="dxa"/>
            <w:tcBorders>
              <w:left w:val="single" w:color="auto" w:sz="4" w:space="0"/>
            </w:tcBorders>
            <w:vAlign w:val="center"/>
          </w:tcPr>
          <w:p>
            <w:pPr>
              <w:tabs>
                <w:tab w:val="left" w:pos="900"/>
              </w:tabs>
              <w:spacing w:beforeLines="10" w:afterLines="10" w:line="360" w:lineRule="exact"/>
              <w:rPr>
                <w:rFonts w:hint="default" w:ascii="宋体" w:cs="宋体"/>
                <w:color w:val="000000" w:themeColor="text1"/>
                <w:kern w:val="0"/>
                <w:sz w:val="24"/>
                <w:highlight w:val="none"/>
                <w:shd w:val="clear" w:color="auto" w:fill="auto"/>
                <w:lang w:val="en-US" w:eastAsia="zh-CN"/>
                <w14:textFill>
                  <w14:solidFill>
                    <w14:schemeClr w14:val="tx1"/>
                  </w14:solidFill>
                </w14:textFill>
              </w:rPr>
            </w:pPr>
            <w:r>
              <w:rPr>
                <w:rFonts w:hint="eastAsia" w:ascii="宋体" w:hAnsi="宋体"/>
                <w:bCs/>
                <w:color w:val="000000" w:themeColor="text1"/>
                <w:sz w:val="24"/>
                <w:highlight w:val="none"/>
                <w:shd w:val="clear" w:color="auto" w:fill="auto"/>
                <w:lang w:val="en-US" w:eastAsia="zh-CN"/>
                <w14:textFill>
                  <w14:solidFill>
                    <w14:schemeClr w14:val="tx1"/>
                  </w14:solidFill>
                </w14:textFill>
              </w:rPr>
              <w:t>签订合同约定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823" w:type="dxa"/>
            <w:vAlign w:val="center"/>
          </w:tcPr>
          <w:p>
            <w:pPr>
              <w:spacing w:line="360" w:lineRule="exact"/>
              <w:jc w:val="center"/>
              <w:rPr>
                <w:rFonts w:hint="eastAsia" w:ascii="宋体" w:eastAsia="宋体"/>
                <w:color w:val="auto"/>
                <w:sz w:val="24"/>
                <w:highlight w:val="none"/>
                <w:lang w:eastAsia="zh-CN"/>
              </w:rPr>
            </w:pPr>
            <w:r>
              <w:rPr>
                <w:rFonts w:hint="eastAsia" w:ascii="宋体" w:hAnsi="宋体"/>
                <w:color w:val="auto"/>
                <w:sz w:val="24"/>
                <w:highlight w:val="none"/>
                <w:lang w:val="en-US" w:eastAsia="zh-CN"/>
              </w:rPr>
              <w:t>8</w:t>
            </w:r>
          </w:p>
        </w:tc>
        <w:tc>
          <w:tcPr>
            <w:tcW w:w="1497" w:type="dxa"/>
            <w:tcBorders>
              <w:right w:val="single" w:color="auto" w:sz="4" w:space="0"/>
            </w:tcBorders>
            <w:vAlign w:val="center"/>
          </w:tcPr>
          <w:p>
            <w:pPr>
              <w:spacing w:line="360" w:lineRule="exact"/>
              <w:jc w:val="center"/>
              <w:rPr>
                <w:rFonts w:ascii="宋体"/>
                <w:color w:val="auto"/>
                <w:sz w:val="24"/>
                <w:highlight w:val="none"/>
                <w:u w:val="single"/>
              </w:rPr>
            </w:pPr>
            <w:r>
              <w:rPr>
                <w:rFonts w:hint="eastAsia" w:ascii="宋体" w:hAnsi="宋体" w:cs="宋体"/>
                <w:color w:val="auto"/>
                <w:kern w:val="0"/>
                <w:sz w:val="24"/>
                <w:highlight w:val="none"/>
              </w:rPr>
              <w:t>采购方式</w:t>
            </w:r>
          </w:p>
        </w:tc>
        <w:tc>
          <w:tcPr>
            <w:tcW w:w="7198" w:type="dxa"/>
            <w:tcBorders>
              <w:left w:val="single" w:color="auto" w:sz="4" w:space="0"/>
            </w:tcBorders>
            <w:vAlign w:val="center"/>
          </w:tcPr>
          <w:p>
            <w:pPr>
              <w:spacing w:line="360" w:lineRule="exact"/>
              <w:jc w:val="left"/>
              <w:rPr>
                <w:rFonts w:ascii="宋体"/>
                <w:color w:val="auto"/>
                <w:sz w:val="24"/>
                <w:highlight w:val="none"/>
                <w:u w:val="single"/>
              </w:rPr>
            </w:pPr>
            <w:r>
              <w:rPr>
                <w:rFonts w:hint="eastAsia" w:ascii="宋体" w:hAnsi="宋体"/>
                <w:color w:val="auto"/>
                <w:sz w:val="24"/>
                <w:highlight w:val="none"/>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64" w:hRule="atLeast"/>
          <w:jc w:val="center"/>
        </w:trPr>
        <w:tc>
          <w:tcPr>
            <w:tcW w:w="823" w:type="dxa"/>
            <w:vAlign w:val="center"/>
          </w:tcPr>
          <w:p>
            <w:pPr>
              <w:spacing w:line="360" w:lineRule="exact"/>
              <w:jc w:val="center"/>
              <w:rPr>
                <w:rFonts w:hint="eastAsia" w:ascii="宋体" w:eastAsia="宋体"/>
                <w:color w:val="auto"/>
                <w:sz w:val="24"/>
                <w:highlight w:val="none"/>
                <w:lang w:eastAsia="zh-CN"/>
              </w:rPr>
            </w:pPr>
            <w:r>
              <w:rPr>
                <w:rFonts w:hint="eastAsia" w:ascii="宋体" w:hAnsi="宋体"/>
                <w:color w:val="auto"/>
                <w:sz w:val="24"/>
                <w:highlight w:val="none"/>
                <w:lang w:val="en-US" w:eastAsia="zh-CN"/>
              </w:rPr>
              <w:t>9</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评标方法</w:t>
            </w:r>
          </w:p>
        </w:tc>
        <w:tc>
          <w:tcPr>
            <w:tcW w:w="7198" w:type="dxa"/>
            <w:tcBorders>
              <w:left w:val="single" w:color="auto" w:sz="4" w:space="0"/>
            </w:tcBorders>
            <w:vAlign w:val="center"/>
          </w:tcPr>
          <w:p>
            <w:pPr>
              <w:spacing w:line="360" w:lineRule="exact"/>
              <w:jc w:val="left"/>
              <w:rPr>
                <w:rFonts w:ascii="宋体"/>
                <w:color w:val="auto"/>
                <w:sz w:val="24"/>
                <w:highlight w:val="none"/>
              </w:rPr>
            </w:pPr>
            <w:r>
              <w:rPr>
                <w:rFonts w:hint="eastAsia" w:ascii="宋体"/>
                <w:color w:val="auto"/>
                <w:sz w:val="24"/>
                <w:highlight w:val="none"/>
                <w:lang w:val="en-US" w:eastAsia="zh-CN"/>
              </w:rPr>
              <w:t>最低投标价法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823" w:type="dxa"/>
            <w:vAlign w:val="center"/>
          </w:tcPr>
          <w:p>
            <w:pPr>
              <w:spacing w:line="360" w:lineRule="exact"/>
              <w:jc w:val="center"/>
              <w:rPr>
                <w:rFonts w:hint="eastAsia" w:ascii="宋体" w:eastAsia="宋体"/>
                <w:color w:val="auto"/>
                <w:sz w:val="24"/>
                <w:highlight w:val="none"/>
                <w:lang w:val="en-US" w:eastAsia="zh-CN"/>
              </w:rPr>
            </w:pPr>
            <w:r>
              <w:rPr>
                <w:rFonts w:hint="eastAsia" w:ascii="宋体" w:hAnsi="宋体"/>
                <w:color w:val="auto"/>
                <w:sz w:val="24"/>
                <w:highlight w:val="none"/>
                <w:lang w:val="en-US" w:eastAsia="zh-CN"/>
              </w:rPr>
              <w:t>10</w:t>
            </w:r>
          </w:p>
        </w:tc>
        <w:tc>
          <w:tcPr>
            <w:tcW w:w="1497" w:type="dxa"/>
            <w:tcBorders>
              <w:right w:val="single" w:color="auto" w:sz="4" w:space="0"/>
            </w:tcBorders>
            <w:vAlign w:val="center"/>
          </w:tcPr>
          <w:p>
            <w:pPr>
              <w:spacing w:line="360" w:lineRule="exact"/>
              <w:jc w:val="center"/>
              <w:rPr>
                <w:rFonts w:hint="default" w:ascii="宋体" w:eastAsia="宋体"/>
                <w:color w:val="auto"/>
                <w:sz w:val="24"/>
                <w:highlight w:val="none"/>
                <w:lang w:val="en-US" w:eastAsia="zh-CN"/>
              </w:rPr>
            </w:pPr>
            <w:r>
              <w:rPr>
                <w:rFonts w:hint="eastAsia" w:ascii="宋体" w:hAnsi="宋体"/>
                <w:color w:val="auto"/>
                <w:sz w:val="24"/>
                <w:highlight w:val="none"/>
                <w:lang w:val="en-US" w:eastAsia="zh-CN"/>
              </w:rPr>
              <w:t>供货地点</w:t>
            </w:r>
          </w:p>
        </w:tc>
        <w:tc>
          <w:tcPr>
            <w:tcW w:w="7198" w:type="dxa"/>
            <w:tcBorders>
              <w:left w:val="single" w:color="auto" w:sz="4" w:space="0"/>
            </w:tcBorders>
            <w:vAlign w:val="center"/>
          </w:tcPr>
          <w:p>
            <w:pPr>
              <w:spacing w:line="360" w:lineRule="exact"/>
              <w:rPr>
                <w:rFonts w:ascii="宋体"/>
                <w:color w:val="auto"/>
                <w:sz w:val="24"/>
                <w:highlight w:val="none"/>
              </w:rPr>
            </w:pPr>
            <w:r>
              <w:rPr>
                <w:rFonts w:hint="eastAsia" w:ascii="宋体" w:hAnsi="宋体"/>
                <w:color w:val="auto"/>
                <w:sz w:val="24"/>
                <w:highlight w:val="none"/>
                <w:lang w:val="en-US" w:eastAsia="zh-CN"/>
              </w:rPr>
              <w:t>皮山县</w:t>
            </w:r>
            <w:r>
              <w:rPr>
                <w:rFonts w:hint="eastAsia" w:ascii="宋体" w:hAnsi="宋体"/>
                <w:color w:val="auto"/>
                <w:sz w:val="24"/>
                <w:highlight w:val="none"/>
              </w:rPr>
              <w:t>（</w:t>
            </w:r>
            <w:r>
              <w:rPr>
                <w:rFonts w:hint="eastAsia" w:ascii="宋体" w:hAnsi="宋体"/>
                <w:color w:val="auto"/>
                <w:sz w:val="24"/>
                <w:highlight w:val="none"/>
                <w:lang w:val="en-US" w:eastAsia="zh-CN"/>
              </w:rPr>
              <w:t>皮山县教育局指定</w:t>
            </w:r>
            <w:r>
              <w:rPr>
                <w:rFonts w:hint="eastAsia" w:ascii="宋体" w:hAnsi="宋体"/>
                <w:color w:val="auto"/>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2" w:hRule="atLeast"/>
          <w:jc w:val="center"/>
        </w:trPr>
        <w:tc>
          <w:tcPr>
            <w:tcW w:w="823" w:type="dxa"/>
            <w:vAlign w:val="center"/>
          </w:tcPr>
          <w:p>
            <w:pPr>
              <w:spacing w:line="360" w:lineRule="exact"/>
              <w:jc w:val="center"/>
              <w:rPr>
                <w:rFonts w:hint="default" w:asci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1497" w:type="dxa"/>
            <w:tcBorders>
              <w:right w:val="single" w:color="auto" w:sz="4" w:space="0"/>
            </w:tcBorders>
            <w:vAlign w:val="center"/>
          </w:tcPr>
          <w:p>
            <w:pPr>
              <w:spacing w:line="360" w:lineRule="exact"/>
              <w:jc w:val="center"/>
              <w:rPr>
                <w:rFonts w:hint="default" w:ascii="宋体" w:eastAsia="宋体"/>
                <w:color w:val="auto"/>
                <w:sz w:val="24"/>
                <w:highlight w:val="none"/>
                <w:lang w:val="en-US" w:eastAsia="zh-CN"/>
              </w:rPr>
            </w:pPr>
            <w:r>
              <w:rPr>
                <w:rFonts w:hint="eastAsia" w:ascii="宋体" w:hAnsi="宋体"/>
                <w:color w:val="auto"/>
                <w:sz w:val="24"/>
                <w:highlight w:val="none"/>
                <w:lang w:val="en-US" w:eastAsia="zh-CN"/>
              </w:rPr>
              <w:t>供货期</w:t>
            </w:r>
          </w:p>
        </w:tc>
        <w:tc>
          <w:tcPr>
            <w:tcW w:w="7198" w:type="dxa"/>
            <w:tcBorders>
              <w:left w:val="single" w:color="auto" w:sz="4" w:space="0"/>
            </w:tcBorders>
            <w:vAlign w:val="center"/>
          </w:tcPr>
          <w:p>
            <w:pPr>
              <w:spacing w:line="360" w:lineRule="exact"/>
              <w:jc w:val="left"/>
              <w:rPr>
                <w:rFonts w:hint="default" w:ascii="宋体" w:eastAsia="宋体"/>
                <w:color w:val="auto"/>
                <w:sz w:val="24"/>
                <w:highlight w:val="none"/>
                <w:lang w:val="en-US" w:eastAsia="zh-CN"/>
              </w:rPr>
            </w:pPr>
            <w:r>
              <w:rPr>
                <w:rFonts w:hint="eastAsia" w:ascii="宋体"/>
                <w:color w:val="auto"/>
                <w:sz w:val="24"/>
                <w:highlight w:val="none"/>
                <w:lang w:val="en-US" w:eastAsia="zh-CN"/>
              </w:rPr>
              <w:t>（具体供货时间以合同签订为准）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22" w:hRule="atLeast"/>
          <w:jc w:val="center"/>
        </w:trPr>
        <w:tc>
          <w:tcPr>
            <w:tcW w:w="823" w:type="dxa"/>
            <w:vAlign w:val="center"/>
          </w:tcPr>
          <w:p>
            <w:pPr>
              <w:spacing w:line="360" w:lineRule="exact"/>
              <w:jc w:val="center"/>
              <w:rPr>
                <w:rFonts w:hint="eastAsia" w:ascii="宋体" w:eastAsia="宋体"/>
                <w:color w:val="auto"/>
                <w:sz w:val="24"/>
                <w:highlight w:val="none"/>
                <w:lang w:val="en-US" w:eastAsia="zh-CN"/>
              </w:rPr>
            </w:pPr>
            <w:r>
              <w:rPr>
                <w:rFonts w:hint="eastAsia" w:ascii="宋体" w:hAnsi="宋体"/>
                <w:color w:val="auto"/>
                <w:sz w:val="24"/>
                <w:highlight w:val="none"/>
                <w:lang w:val="en-US" w:eastAsia="zh-CN"/>
              </w:rPr>
              <w:t>12</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考察现场、标前答疑会</w:t>
            </w:r>
          </w:p>
        </w:tc>
        <w:tc>
          <w:tcPr>
            <w:tcW w:w="7198" w:type="dxa"/>
            <w:tcBorders>
              <w:left w:val="single" w:color="auto" w:sz="4" w:space="0"/>
            </w:tcBorders>
            <w:vAlign w:val="center"/>
          </w:tcPr>
          <w:p>
            <w:pPr>
              <w:spacing w:line="360" w:lineRule="exact"/>
              <w:jc w:val="left"/>
              <w:rPr>
                <w:rFonts w:ascii="宋体"/>
                <w:color w:val="auto"/>
                <w:sz w:val="24"/>
                <w:highlight w:val="none"/>
              </w:rPr>
            </w:pPr>
            <w:r>
              <w:rPr>
                <w:rFonts w:hint="eastAsia" w:ascii="宋体" w:hAnsi="宋体"/>
                <w:color w:val="auto"/>
                <w:sz w:val="24"/>
                <w:highlight w:val="none"/>
              </w:rPr>
              <w:t>招标采购单位认为有必要，另行书面通知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071" w:hRule="atLeast"/>
          <w:jc w:val="center"/>
        </w:trPr>
        <w:tc>
          <w:tcPr>
            <w:tcW w:w="823" w:type="dxa"/>
            <w:vAlign w:val="center"/>
          </w:tcPr>
          <w:p>
            <w:pPr>
              <w:spacing w:line="360" w:lineRule="exact"/>
              <w:jc w:val="center"/>
              <w:rPr>
                <w:rFonts w:hint="default" w:ascii="宋体" w:eastAsia="宋体"/>
                <w:color w:val="auto"/>
                <w:sz w:val="24"/>
                <w:highlight w:val="none"/>
                <w:lang w:val="en-US" w:eastAsia="zh-CN"/>
              </w:rPr>
            </w:pPr>
            <w:r>
              <w:rPr>
                <w:rFonts w:hint="eastAsia" w:ascii="宋体" w:hAnsi="宋体"/>
                <w:color w:val="auto"/>
                <w:sz w:val="24"/>
                <w:highlight w:val="none"/>
                <w:lang w:val="en-US" w:eastAsia="zh-CN"/>
              </w:rPr>
              <w:t>13</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投标人对招标文件提出质疑的时间</w:t>
            </w:r>
          </w:p>
        </w:tc>
        <w:tc>
          <w:tcPr>
            <w:tcW w:w="7198" w:type="dxa"/>
            <w:tcBorders>
              <w:left w:val="single" w:color="auto" w:sz="4" w:space="0"/>
            </w:tcBorders>
            <w:vAlign w:val="center"/>
          </w:tcPr>
          <w:p>
            <w:pPr>
              <w:spacing w:line="360" w:lineRule="exact"/>
              <w:jc w:val="left"/>
              <w:rPr>
                <w:rFonts w:ascii="宋体"/>
                <w:color w:val="auto"/>
                <w:sz w:val="24"/>
                <w:highlight w:val="none"/>
              </w:rPr>
            </w:pPr>
            <w:r>
              <w:rPr>
                <w:rFonts w:hint="eastAsia" w:ascii="宋体" w:hAnsi="宋体"/>
                <w:color w:val="auto"/>
                <w:sz w:val="24"/>
                <w:highlight w:val="none"/>
              </w:rPr>
              <w:t>自招标文件发售时间起的七个工作日内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070" w:hRule="atLeast"/>
          <w:jc w:val="center"/>
        </w:trPr>
        <w:tc>
          <w:tcPr>
            <w:tcW w:w="823" w:type="dxa"/>
            <w:vAlign w:val="center"/>
          </w:tcPr>
          <w:p>
            <w:pPr>
              <w:spacing w:line="360" w:lineRule="exact"/>
              <w:jc w:val="center"/>
              <w:rPr>
                <w:rFonts w:hint="eastAsia" w:ascii="宋体" w:eastAsia="宋体"/>
                <w:color w:val="auto"/>
                <w:sz w:val="24"/>
                <w:highlight w:val="none"/>
                <w:lang w:val="en-US" w:eastAsia="zh-CN"/>
              </w:rPr>
            </w:pPr>
            <w:r>
              <w:rPr>
                <w:rFonts w:ascii="宋体" w:hAnsi="宋体"/>
                <w:color w:val="auto"/>
                <w:sz w:val="24"/>
                <w:highlight w:val="none"/>
              </w:rPr>
              <w:t>1</w:t>
            </w:r>
            <w:r>
              <w:rPr>
                <w:rFonts w:hint="eastAsia" w:ascii="宋体" w:hAnsi="宋体"/>
                <w:color w:val="auto"/>
                <w:sz w:val="24"/>
                <w:highlight w:val="none"/>
                <w:lang w:val="en-US" w:eastAsia="zh-CN"/>
              </w:rPr>
              <w:t>4</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构成招标文件的其他文件</w:t>
            </w:r>
          </w:p>
        </w:tc>
        <w:tc>
          <w:tcPr>
            <w:tcW w:w="7198" w:type="dxa"/>
            <w:tcBorders>
              <w:left w:val="single" w:color="auto" w:sz="4" w:space="0"/>
            </w:tcBorders>
            <w:vAlign w:val="center"/>
          </w:tcPr>
          <w:p>
            <w:pPr>
              <w:spacing w:line="360" w:lineRule="auto"/>
              <w:rPr>
                <w:rFonts w:ascii="宋体"/>
                <w:color w:val="auto"/>
                <w:sz w:val="24"/>
                <w:highlight w:val="none"/>
              </w:rPr>
            </w:pPr>
            <w:r>
              <w:rPr>
                <w:rFonts w:hint="eastAsia" w:ascii="宋体" w:hAnsi="宋体"/>
                <w:bCs/>
                <w:color w:val="auto"/>
                <w:sz w:val="24"/>
                <w:highlight w:val="none"/>
              </w:rPr>
              <w:t>招标文件的澄清、修改书及有关补充通知为招标文件的有效组成部分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823" w:type="dxa"/>
            <w:vAlign w:val="center"/>
          </w:tcPr>
          <w:p>
            <w:pPr>
              <w:spacing w:line="360" w:lineRule="exact"/>
              <w:jc w:val="center"/>
              <w:rPr>
                <w:rFonts w:hint="eastAsia" w:ascii="宋体" w:eastAsia="宋体"/>
                <w:color w:val="auto"/>
                <w:sz w:val="24"/>
                <w:highlight w:val="none"/>
                <w:lang w:val="en-US" w:eastAsia="zh-CN"/>
              </w:rPr>
            </w:pPr>
            <w:r>
              <w:rPr>
                <w:rFonts w:ascii="宋体" w:hAnsi="宋体"/>
                <w:color w:val="auto"/>
                <w:sz w:val="24"/>
                <w:highlight w:val="none"/>
              </w:rPr>
              <w:t>1</w:t>
            </w:r>
            <w:r>
              <w:rPr>
                <w:rFonts w:hint="eastAsia" w:ascii="宋体" w:hAnsi="宋体"/>
                <w:color w:val="auto"/>
                <w:sz w:val="24"/>
                <w:highlight w:val="none"/>
                <w:lang w:val="en-US" w:eastAsia="zh-CN"/>
              </w:rPr>
              <w:t>5</w:t>
            </w:r>
          </w:p>
        </w:tc>
        <w:tc>
          <w:tcPr>
            <w:tcW w:w="1497" w:type="dxa"/>
            <w:tcBorders>
              <w:right w:val="single" w:color="auto" w:sz="4" w:space="0"/>
            </w:tcBorders>
            <w:vAlign w:val="center"/>
          </w:tcPr>
          <w:p>
            <w:pPr>
              <w:spacing w:line="360" w:lineRule="exact"/>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投标截止时间</w:t>
            </w:r>
          </w:p>
        </w:tc>
        <w:tc>
          <w:tcPr>
            <w:tcW w:w="7198" w:type="dxa"/>
            <w:tcBorders>
              <w:left w:val="single" w:color="auto" w:sz="4" w:space="0"/>
            </w:tcBorders>
            <w:vAlign w:val="center"/>
          </w:tcPr>
          <w:p>
            <w:pPr>
              <w:spacing w:line="360" w:lineRule="auto"/>
              <w:ind w:left="714" w:leftChars="1" w:hanging="712" w:hangingChars="297"/>
              <w:rPr>
                <w:rFonts w:hint="eastAsia" w:ascii="宋体" w:eastAsia="宋体"/>
                <w:bCs/>
                <w:color w:val="000000" w:themeColor="text1"/>
                <w:sz w:val="24"/>
                <w:highlight w:val="none"/>
                <w:lang w:eastAsia="zh-CN"/>
                <w14:textFill>
                  <w14:solidFill>
                    <w14:schemeClr w14:val="tx1"/>
                  </w14:solidFill>
                </w14:textFill>
              </w:rPr>
            </w:pPr>
            <w:r>
              <w:rPr>
                <w:rFonts w:hint="eastAsia" w:ascii="宋体"/>
                <w:bCs/>
                <w:color w:val="000000" w:themeColor="text1"/>
                <w:sz w:val="24"/>
                <w:highlight w:val="none"/>
                <w:lang w:eastAsia="zh-CN"/>
                <w14:textFill>
                  <w14:solidFill>
                    <w14:schemeClr w14:val="tx1"/>
                  </w14:solidFill>
                </w14:textFill>
              </w:rPr>
              <w:t>2020年05月18日12:00</w:t>
            </w:r>
            <w:r>
              <w:rPr>
                <w:rFonts w:hint="eastAsia" w:ascii="宋体" w:eastAsia="宋体"/>
                <w:bCs/>
                <w:color w:val="000000" w:themeColor="text1"/>
                <w:sz w:val="24"/>
                <w:highlight w:val="none"/>
                <w:lang w:eastAsia="zh-CN"/>
                <w14:textFill>
                  <w14:solidFill>
                    <w14:schemeClr w14:val="tx1"/>
                  </w14:solidFill>
                </w14:textFill>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12" w:hRule="atLeast"/>
          <w:jc w:val="center"/>
        </w:trPr>
        <w:tc>
          <w:tcPr>
            <w:tcW w:w="823" w:type="dxa"/>
            <w:vAlign w:val="center"/>
          </w:tcPr>
          <w:p>
            <w:pPr>
              <w:spacing w:line="360" w:lineRule="exact"/>
              <w:jc w:val="center"/>
              <w:rPr>
                <w:rFonts w:hint="eastAsia" w:ascii="宋体" w:eastAsia="宋体"/>
                <w:color w:val="auto"/>
                <w:sz w:val="24"/>
                <w:highlight w:val="none"/>
                <w:lang w:val="en-US" w:eastAsia="zh-CN"/>
              </w:rPr>
            </w:pPr>
            <w:r>
              <w:rPr>
                <w:rFonts w:ascii="宋体" w:hAnsi="宋体"/>
                <w:color w:val="auto"/>
                <w:sz w:val="24"/>
                <w:highlight w:val="none"/>
              </w:rPr>
              <w:t>1</w:t>
            </w:r>
            <w:r>
              <w:rPr>
                <w:rFonts w:hint="eastAsia" w:ascii="宋体" w:hAnsi="宋体"/>
                <w:color w:val="auto"/>
                <w:sz w:val="24"/>
                <w:highlight w:val="none"/>
                <w:lang w:val="en-US" w:eastAsia="zh-CN"/>
              </w:rPr>
              <w:t>6</w:t>
            </w:r>
          </w:p>
        </w:tc>
        <w:tc>
          <w:tcPr>
            <w:tcW w:w="1497" w:type="dxa"/>
            <w:tcBorders>
              <w:right w:val="single" w:color="auto" w:sz="4" w:space="0"/>
            </w:tcBorders>
            <w:vAlign w:val="center"/>
          </w:tcPr>
          <w:p>
            <w:pPr>
              <w:spacing w:line="360" w:lineRule="exact"/>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投标有效期</w:t>
            </w:r>
          </w:p>
        </w:tc>
        <w:tc>
          <w:tcPr>
            <w:tcW w:w="7198" w:type="dxa"/>
            <w:tcBorders>
              <w:left w:val="single" w:color="auto" w:sz="4" w:space="0"/>
            </w:tcBorders>
            <w:vAlign w:val="center"/>
          </w:tcPr>
          <w:p>
            <w:pPr>
              <w:spacing w:line="360" w:lineRule="auto"/>
              <w:ind w:left="714" w:leftChars="1" w:hanging="712" w:hangingChars="297"/>
              <w:rPr>
                <w:rFonts w:asci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30</w:t>
            </w:r>
            <w:r>
              <w:rPr>
                <w:rFonts w:hint="eastAsia" w:ascii="宋体" w:hAnsi="宋体"/>
                <w:bCs/>
                <w:color w:val="000000" w:themeColor="text1"/>
                <w:sz w:val="24"/>
                <w:highlight w:val="none"/>
                <w14:textFill>
                  <w14:solidFill>
                    <w14:schemeClr w14:val="tx1"/>
                  </w14:solidFill>
                </w14:textFill>
              </w:rPr>
              <w:t>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75" w:hRule="atLeast"/>
          <w:jc w:val="center"/>
        </w:trPr>
        <w:tc>
          <w:tcPr>
            <w:tcW w:w="823" w:type="dxa"/>
            <w:vAlign w:val="center"/>
          </w:tcPr>
          <w:p>
            <w:pPr>
              <w:spacing w:line="360" w:lineRule="exact"/>
              <w:jc w:val="center"/>
              <w:rPr>
                <w:rFonts w:hint="eastAsia" w:ascii="宋体" w:eastAsia="宋体"/>
                <w:color w:val="auto"/>
                <w:sz w:val="24"/>
                <w:highlight w:val="none"/>
                <w:lang w:val="en-US" w:eastAsia="zh-CN"/>
              </w:rPr>
            </w:pPr>
            <w:r>
              <w:rPr>
                <w:rFonts w:ascii="宋体" w:hAnsi="宋体"/>
                <w:color w:val="auto"/>
                <w:sz w:val="24"/>
                <w:highlight w:val="none"/>
              </w:rPr>
              <w:t>1</w:t>
            </w:r>
            <w:r>
              <w:rPr>
                <w:rFonts w:hint="eastAsia" w:ascii="宋体" w:hAnsi="宋体"/>
                <w:color w:val="auto"/>
                <w:sz w:val="24"/>
                <w:highlight w:val="none"/>
                <w:lang w:val="en-US" w:eastAsia="zh-CN"/>
              </w:rPr>
              <w:t>7</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投标保证金</w:t>
            </w:r>
          </w:p>
        </w:tc>
        <w:tc>
          <w:tcPr>
            <w:tcW w:w="7198" w:type="dxa"/>
            <w:tcBorders>
              <w:left w:val="single" w:color="auto" w:sz="4" w:space="0"/>
            </w:tcBorders>
            <w:vAlign w:val="center"/>
          </w:tcPr>
          <w:p>
            <w:pPr>
              <w:spacing w:line="360" w:lineRule="exact"/>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投标保证金的形式：转账、汇款</w:t>
            </w:r>
          </w:p>
          <w:p>
            <w:pPr>
              <w:spacing w:line="360" w:lineRule="exact"/>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投标保证金的金额：170000元（壹拾柒万元整）</w:t>
            </w:r>
          </w:p>
          <w:p>
            <w:pPr>
              <w:spacing w:line="360" w:lineRule="exact"/>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投标保证金缴纳账户：</w:t>
            </w:r>
          </w:p>
          <w:p>
            <w:pPr>
              <w:spacing w:line="360" w:lineRule="exact"/>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账户名称：皮山县政府投资交易中心</w:t>
            </w:r>
          </w:p>
          <w:p>
            <w:pPr>
              <w:spacing w:line="360" w:lineRule="exact"/>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帐号：8780 1001 2010 1010 11990</w:t>
            </w:r>
          </w:p>
          <w:p>
            <w:pPr>
              <w:spacing w:line="360" w:lineRule="exact"/>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开户银行：新疆皮山县农村信用合作联社</w:t>
            </w:r>
          </w:p>
          <w:p>
            <w:pPr>
              <w:spacing w:line="360" w:lineRule="exact"/>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行号：402896400017</w:t>
            </w:r>
          </w:p>
          <w:p>
            <w:pPr>
              <w:spacing w:line="360" w:lineRule="exact"/>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注：1、由投标人基本账户汇出，且不得以分公司的名义转账；</w:t>
            </w:r>
          </w:p>
          <w:p>
            <w:pPr>
              <w:spacing w:line="360" w:lineRule="exact"/>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 2、投标保证金需在2020年5月17日20：00前到账，超过时间则不予认可； </w:t>
            </w:r>
          </w:p>
          <w:p>
            <w:pPr>
              <w:spacing w:line="360" w:lineRule="exact"/>
              <w:jc w:val="left"/>
              <w:rPr>
                <w:rFonts w:hint="default"/>
                <w:lang w:val="en-US"/>
              </w:rPr>
            </w:pPr>
            <w:r>
              <w:rPr>
                <w:rFonts w:hint="eastAsia" w:ascii="宋体" w:hAnsi="宋体"/>
                <w:color w:val="auto"/>
                <w:sz w:val="24"/>
                <w:highlight w:val="none"/>
                <w:lang w:val="en-US" w:eastAsia="zh-CN"/>
              </w:rPr>
              <w:t>3、投标单位须在汇款单备注栏标明：XXX项目XXX包段（标段）或项目编号；投标保证金通过基本账户一笔汇出，分笔汇出银行系统将不予统计。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54" w:hRule="atLeast"/>
          <w:jc w:val="center"/>
        </w:trPr>
        <w:tc>
          <w:tcPr>
            <w:tcW w:w="823" w:type="dxa"/>
            <w:vAlign w:val="center"/>
          </w:tcPr>
          <w:p>
            <w:pPr>
              <w:spacing w:line="360" w:lineRule="exact"/>
              <w:jc w:val="center"/>
              <w:rPr>
                <w:rFonts w:hint="eastAsia" w:ascii="宋体" w:eastAsia="宋体"/>
                <w:color w:val="auto"/>
                <w:sz w:val="24"/>
                <w:highlight w:val="none"/>
                <w:lang w:val="en-US" w:eastAsia="zh-CN"/>
              </w:rPr>
            </w:pPr>
            <w:r>
              <w:rPr>
                <w:rFonts w:ascii="宋体" w:hAnsi="宋体"/>
                <w:color w:val="auto"/>
                <w:sz w:val="24"/>
                <w:highlight w:val="none"/>
              </w:rPr>
              <w:t>1</w:t>
            </w:r>
            <w:r>
              <w:rPr>
                <w:rFonts w:hint="eastAsia" w:ascii="宋体" w:hAnsi="宋体"/>
                <w:color w:val="auto"/>
                <w:sz w:val="24"/>
                <w:highlight w:val="none"/>
                <w:lang w:val="en-US" w:eastAsia="zh-CN"/>
              </w:rPr>
              <w:t>8</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备选投标方案和报价</w:t>
            </w:r>
          </w:p>
        </w:tc>
        <w:tc>
          <w:tcPr>
            <w:tcW w:w="7198" w:type="dxa"/>
            <w:tcBorders>
              <w:left w:val="single" w:color="auto" w:sz="4" w:space="0"/>
            </w:tcBorders>
            <w:vAlign w:val="center"/>
          </w:tcPr>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不接受备选投标方案和多个报价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03" w:hRule="atLeast"/>
          <w:jc w:val="center"/>
        </w:trPr>
        <w:tc>
          <w:tcPr>
            <w:tcW w:w="823" w:type="dxa"/>
            <w:vAlign w:val="center"/>
          </w:tcPr>
          <w:p>
            <w:pPr>
              <w:spacing w:line="360" w:lineRule="exact"/>
              <w:jc w:val="center"/>
              <w:rPr>
                <w:rFonts w:hint="default" w:ascii="宋体" w:eastAsia="宋体"/>
                <w:color w:val="auto"/>
                <w:sz w:val="24"/>
                <w:highlight w:val="none"/>
                <w:lang w:val="en-US" w:eastAsia="zh-CN"/>
              </w:rPr>
            </w:pPr>
            <w:r>
              <w:rPr>
                <w:rFonts w:hint="eastAsia" w:ascii="宋体"/>
                <w:color w:val="auto"/>
                <w:sz w:val="24"/>
                <w:highlight w:val="none"/>
                <w:lang w:val="en-US" w:eastAsia="zh-CN"/>
              </w:rPr>
              <w:t>19</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签字盖章</w:t>
            </w:r>
          </w:p>
        </w:tc>
        <w:tc>
          <w:tcPr>
            <w:tcW w:w="7198" w:type="dxa"/>
            <w:tcBorders>
              <w:left w:val="single" w:color="auto" w:sz="4" w:space="0"/>
            </w:tcBorders>
            <w:vAlign w:val="center"/>
          </w:tcPr>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投标人必须按照招标文件的规定和要求签字、盖章（法人代表的签字</w:t>
            </w:r>
          </w:p>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可用具有法定效力的签字章）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823" w:type="dxa"/>
            <w:vAlign w:val="center"/>
          </w:tcPr>
          <w:p>
            <w:pPr>
              <w:spacing w:line="360" w:lineRule="exact"/>
              <w:jc w:val="center"/>
              <w:rPr>
                <w:rFonts w:hint="default" w:ascii="宋体" w:eastAsia="宋体"/>
                <w:color w:val="auto"/>
                <w:sz w:val="24"/>
                <w:highlight w:val="none"/>
                <w:lang w:val="en-US" w:eastAsia="zh-CN"/>
              </w:rPr>
            </w:pPr>
            <w:r>
              <w:rPr>
                <w:rFonts w:hint="eastAsia" w:ascii="宋体"/>
                <w:color w:val="auto"/>
                <w:sz w:val="24"/>
                <w:highlight w:val="none"/>
                <w:lang w:val="en-US" w:eastAsia="zh-CN"/>
              </w:rPr>
              <w:t>20</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ascii="宋体"/>
                <w:color w:val="auto"/>
                <w:sz w:val="24"/>
                <w:highlight w:val="none"/>
              </w:rPr>
              <w:t>资格要求</w:t>
            </w:r>
          </w:p>
        </w:tc>
        <w:tc>
          <w:tcPr>
            <w:tcW w:w="7198" w:type="dxa"/>
            <w:tcBorders>
              <w:left w:val="single" w:color="auto" w:sz="4" w:space="0"/>
            </w:tcBorders>
            <w:vAlign w:val="center"/>
          </w:tcPr>
          <w:p>
            <w:pPr>
              <w:widowControl/>
              <w:spacing w:before="75" w:after="75"/>
              <w:jc w:val="both"/>
              <w:rPr>
                <w:rFonts w:hint="default" w:ascii="宋体" w:hAnsi="宋体" w:cs="宋体"/>
                <w:color w:val="auto"/>
                <w:highlight w:val="none"/>
                <w:lang w:val="en-US" w:eastAsia="zh-CN"/>
              </w:rPr>
            </w:pPr>
            <w:r>
              <w:rPr>
                <w:rFonts w:hint="eastAsia" w:ascii="宋体" w:hAnsi="宋体" w:cs="宋体"/>
                <w:color w:val="auto"/>
                <w:highlight w:val="none"/>
                <w:lang w:val="en-US" w:eastAsia="zh-CN"/>
              </w:rPr>
              <w:t>（1）经年审合格（五证合一、三证合一）的营业执照（须有相应的经营范围）</w:t>
            </w:r>
          </w:p>
          <w:p>
            <w:pPr>
              <w:widowControl/>
              <w:spacing w:before="75" w:after="75"/>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（2）食品经营许可证（原件）</w:t>
            </w:r>
          </w:p>
          <w:p>
            <w:pPr>
              <w:widowControl/>
              <w:spacing w:before="75" w:after="75"/>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投标人必须具备“中国学生饮用奶定点生产企业”证书、标牌或具备新疆维吾尔自治区奶业办公室出具给中国奶业协会的推荐函（由新疆维吾尔自治区畜牧厅、教育厅、质量技术监督局联合下发文件中所包含企业）,并具有行业《生产许可证》、近期产品质量检测报告及相应资质证明文</w:t>
            </w:r>
            <w:r>
              <w:rPr>
                <w:rFonts w:hint="eastAsia" w:ascii="宋体" w:hAnsi="宋体" w:cs="宋体"/>
                <w:color w:val="auto"/>
                <w:highlight w:val="none"/>
                <w:lang w:val="en-US" w:eastAsia="zh-CN"/>
              </w:rPr>
              <w:t>件</w:t>
            </w:r>
          </w:p>
          <w:p>
            <w:pPr>
              <w:widowControl/>
              <w:spacing w:before="75" w:after="75"/>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驾驶员</w:t>
            </w:r>
            <w:r>
              <w:rPr>
                <w:rFonts w:hint="eastAsia" w:ascii="宋体" w:hAnsi="宋体" w:eastAsia="宋体" w:cs="宋体"/>
                <w:color w:val="auto"/>
                <w:highlight w:val="none"/>
                <w:lang w:val="en-US" w:eastAsia="zh-CN"/>
              </w:rPr>
              <w:t>及配送人员健康证;原件</w:t>
            </w:r>
          </w:p>
          <w:p>
            <w:pPr>
              <w:widowControl/>
              <w:spacing w:before="75" w:after="75"/>
              <w:jc w:val="both"/>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提供配送车辆的机动车辆行驶证；（原件）</w:t>
            </w:r>
          </w:p>
          <w:p>
            <w:pPr>
              <w:widowControl/>
              <w:spacing w:before="75" w:after="75"/>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法定代表人投标需携带法定代表人证明书（原件）及法定代表人身份证（原件），委托代理人投标需携带法定代表人授权委托书（原件）及委托代理人身份证（原件）、委托代理人必须是投标单位的正式员工、需提供社保部门出具最少近一个月的缴纳社保证明（社保缴费凭证及个人明细表）；</w:t>
            </w:r>
          </w:p>
          <w:p>
            <w:pPr>
              <w:widowControl/>
              <w:spacing w:before="75" w:after="75"/>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7）近三年内（本项目投标截止期前）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将拒绝其参加本次政府采购活动；</w:t>
            </w:r>
          </w:p>
          <w:p>
            <w:pPr>
              <w:widowControl/>
              <w:spacing w:before="75" w:after="75"/>
              <w:jc w:val="both"/>
              <w:rPr>
                <w:rFonts w:hint="eastAsia" w:ascii="宋体" w:hAnsi="宋体" w:cs="宋体"/>
                <w:color w:val="auto"/>
                <w:highlight w:val="none"/>
              </w:rPr>
            </w:pPr>
            <w:r>
              <w:rPr>
                <w:rFonts w:hint="eastAsia" w:ascii="宋体" w:hAnsi="宋体" w:cs="宋体"/>
                <w:color w:val="auto"/>
                <w:highlight w:val="none"/>
                <w:lang w:val="en-US" w:eastAsia="zh-CN"/>
              </w:rPr>
              <w:t>（8）企业负责人为同一人或者存在直接控股、管理关系的不同投标人，不得参加同一合同项下的政府采购活</w:t>
            </w:r>
            <w:r>
              <w:rPr>
                <w:rFonts w:hint="eastAsia" w:ascii="宋体" w:hAnsi="宋体" w:cs="宋体"/>
                <w:color w:val="auto"/>
                <w:highlight w:val="none"/>
              </w:rPr>
              <w:t>动。否则，皆取消投标资格；</w:t>
            </w:r>
          </w:p>
          <w:p>
            <w:pPr>
              <w:widowControl/>
              <w:spacing w:before="75" w:after="75"/>
              <w:jc w:val="both"/>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9</w:t>
            </w:r>
            <w:r>
              <w:rPr>
                <w:rFonts w:hint="eastAsia" w:ascii="宋体" w:hAnsi="宋体" w:cs="宋体"/>
                <w:color w:val="auto"/>
                <w:highlight w:val="none"/>
                <w:lang w:eastAsia="zh-CN"/>
              </w:rPr>
              <w:t>）</w:t>
            </w:r>
            <w:r>
              <w:rPr>
                <w:rFonts w:hint="eastAsia" w:ascii="宋体" w:hAnsi="宋体" w:cs="宋体"/>
                <w:color w:val="auto"/>
                <w:highlight w:val="none"/>
              </w:rPr>
              <w:t xml:space="preserve">本项目不接受联合体投标。 </w:t>
            </w:r>
          </w:p>
          <w:p>
            <w:pPr>
              <w:widowControl/>
              <w:numPr>
                <w:ilvl w:val="0"/>
                <w:numId w:val="0"/>
              </w:numPr>
              <w:autoSpaceDE w:val="0"/>
              <w:autoSpaceDN w:val="0"/>
              <w:jc w:val="left"/>
              <w:rPr>
                <w:rFonts w:hint="eastAsia" w:ascii="宋体" w:eastAsia="宋体"/>
                <w:color w:val="auto"/>
                <w:kern w:val="0"/>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93" w:hRule="atLeast"/>
          <w:jc w:val="center"/>
        </w:trPr>
        <w:tc>
          <w:tcPr>
            <w:tcW w:w="823" w:type="dxa"/>
            <w:vAlign w:val="center"/>
          </w:tcPr>
          <w:p>
            <w:pPr>
              <w:spacing w:line="360" w:lineRule="exact"/>
              <w:jc w:val="center"/>
              <w:rPr>
                <w:rFonts w:hint="default" w:ascii="宋体" w:eastAsia="宋体"/>
                <w:color w:val="auto"/>
                <w:sz w:val="24"/>
                <w:highlight w:val="none"/>
                <w:lang w:val="en-US" w:eastAsia="zh-CN"/>
              </w:rPr>
            </w:pPr>
            <w:r>
              <w:rPr>
                <w:rFonts w:hint="eastAsia" w:ascii="宋体"/>
                <w:color w:val="auto"/>
                <w:sz w:val="24"/>
                <w:highlight w:val="none"/>
                <w:lang w:val="en-US" w:eastAsia="zh-CN"/>
              </w:rPr>
              <w:t>21</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ascii="宋体"/>
                <w:color w:val="auto"/>
                <w:sz w:val="24"/>
                <w:highlight w:val="none"/>
              </w:rPr>
              <w:t>投标文件</w:t>
            </w:r>
          </w:p>
        </w:tc>
        <w:tc>
          <w:tcPr>
            <w:tcW w:w="7198" w:type="dxa"/>
            <w:tcBorders>
              <w:left w:val="single" w:color="auto" w:sz="4" w:space="0"/>
            </w:tcBorders>
            <w:vAlign w:val="center"/>
          </w:tcPr>
          <w:p>
            <w:pPr>
              <w:spacing w:line="360" w:lineRule="auto"/>
              <w:jc w:val="both"/>
            </w:pPr>
            <w:r>
              <w:rPr>
                <w:rFonts w:hint="eastAsia"/>
              </w:rPr>
              <w:t>纸质版</w:t>
            </w:r>
            <w:r>
              <w:t>一套（包括资格类文件和投标主要文件）：一式伍份（正本1份、副本</w:t>
            </w:r>
            <w:r>
              <w:rPr>
                <w:rFonts w:hint="eastAsia"/>
                <w:lang w:val="en-US" w:eastAsia="zh-CN"/>
              </w:rPr>
              <w:t>4</w:t>
            </w:r>
            <w:r>
              <w:t>份）</w:t>
            </w:r>
            <w:r>
              <w:rPr>
                <w:rFonts w:hint="eastAsia"/>
              </w:rPr>
              <w:t>电子版一套（与纸质版相一致）：U盘一份。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662" w:hRule="atLeast"/>
          <w:jc w:val="center"/>
        </w:trPr>
        <w:tc>
          <w:tcPr>
            <w:tcW w:w="823" w:type="dxa"/>
            <w:vAlign w:val="center"/>
          </w:tcPr>
          <w:p>
            <w:pPr>
              <w:spacing w:line="360" w:lineRule="exact"/>
              <w:jc w:val="center"/>
              <w:rPr>
                <w:rFonts w:hint="default" w:ascii="宋体" w:eastAsia="宋体"/>
                <w:color w:val="auto"/>
                <w:sz w:val="24"/>
                <w:highlight w:val="none"/>
                <w:lang w:val="en-US" w:eastAsia="zh-CN"/>
              </w:rPr>
            </w:pPr>
            <w:r>
              <w:rPr>
                <w:rFonts w:hint="eastAsia" w:ascii="宋体" w:hAnsi="宋体"/>
                <w:color w:val="auto"/>
                <w:sz w:val="24"/>
                <w:highlight w:val="none"/>
                <w:lang w:val="en-US" w:eastAsia="zh-CN"/>
              </w:rPr>
              <w:t>22</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投标文件封面的标注</w:t>
            </w:r>
          </w:p>
        </w:tc>
        <w:tc>
          <w:tcPr>
            <w:tcW w:w="7198" w:type="dxa"/>
            <w:tcBorders>
              <w:left w:val="single" w:color="auto" w:sz="4" w:space="0"/>
            </w:tcBorders>
            <w:vAlign w:val="center"/>
          </w:tcPr>
          <w:p>
            <w:pPr>
              <w:spacing w:line="280" w:lineRule="exact"/>
              <w:rPr>
                <w:rFonts w:ascii="Tahoma" w:hAnsi="Tahoma" w:cs="Tahoma"/>
                <w:szCs w:val="21"/>
              </w:rPr>
            </w:pPr>
            <w:r>
              <w:rPr>
                <w:rFonts w:ascii="Tahoma" w:hAnsi="Tahoma" w:cs="Tahoma"/>
                <w:szCs w:val="21"/>
              </w:rPr>
              <w:t>项目名称：</w:t>
            </w:r>
            <w:r>
              <w:rPr>
                <w:rFonts w:ascii="Tahoma" w:hAnsi="Tahoma" w:cs="Tahoma"/>
                <w:szCs w:val="21"/>
                <w:u w:val="single"/>
              </w:rPr>
              <w:t xml:space="preserve">                   本采购项目、包段全称                         </w:t>
            </w:r>
          </w:p>
          <w:p>
            <w:pPr>
              <w:spacing w:line="280" w:lineRule="exact"/>
              <w:rPr>
                <w:rFonts w:ascii="Tahoma" w:hAnsi="Tahoma" w:cs="Tahoma"/>
                <w:szCs w:val="21"/>
              </w:rPr>
            </w:pPr>
            <w:r>
              <w:rPr>
                <w:rFonts w:ascii="Tahoma" w:hAnsi="Tahoma" w:cs="Tahoma"/>
                <w:szCs w:val="21"/>
              </w:rPr>
              <w:t>项目编号：</w:t>
            </w:r>
            <w:r>
              <w:rPr>
                <w:rFonts w:ascii="Tahoma" w:hAnsi="Tahoma" w:cs="Tahoma"/>
                <w:szCs w:val="21"/>
                <w:u w:val="single"/>
              </w:rPr>
              <w:t xml:space="preserve">                      本采购项目编号                            </w:t>
            </w:r>
          </w:p>
          <w:p>
            <w:pPr>
              <w:snapToGrid w:val="0"/>
              <w:spacing w:line="280" w:lineRule="exact"/>
              <w:rPr>
                <w:rFonts w:ascii="Tahoma" w:hAnsi="Tahoma" w:cs="Tahoma"/>
                <w:szCs w:val="21"/>
              </w:rPr>
            </w:pPr>
            <w:r>
              <w:rPr>
                <w:rFonts w:ascii="Tahoma" w:hAnsi="Tahoma" w:cs="Tahoma"/>
                <w:szCs w:val="21"/>
              </w:rPr>
              <w:t>投标文件：在</w:t>
            </w:r>
            <w:r>
              <w:rPr>
                <w:rFonts w:ascii="Tahoma" w:hAnsi="Tahoma" w:cs="Tahoma"/>
                <w:szCs w:val="21"/>
                <w:u w:val="single"/>
              </w:rPr>
              <w:t xml:space="preserve">            </w:t>
            </w:r>
            <w:r>
              <w:rPr>
                <w:rFonts w:ascii="Tahoma" w:hAnsi="Tahoma" w:cs="Tahoma"/>
                <w:szCs w:val="21"/>
              </w:rPr>
              <w:t>年</w:t>
            </w:r>
            <w:r>
              <w:rPr>
                <w:rFonts w:ascii="Tahoma" w:hAnsi="Tahoma" w:cs="Tahoma"/>
                <w:szCs w:val="21"/>
                <w:u w:val="single"/>
              </w:rPr>
              <w:t xml:space="preserve">      </w:t>
            </w:r>
            <w:r>
              <w:rPr>
                <w:rFonts w:ascii="Tahoma" w:hAnsi="Tahoma" w:cs="Tahoma"/>
                <w:szCs w:val="21"/>
              </w:rPr>
              <w:t>月</w:t>
            </w:r>
            <w:r>
              <w:rPr>
                <w:rFonts w:ascii="Tahoma" w:hAnsi="Tahoma" w:cs="Tahoma"/>
                <w:szCs w:val="21"/>
                <w:u w:val="single"/>
              </w:rPr>
              <w:t xml:space="preserve">     </w:t>
            </w:r>
            <w:r>
              <w:rPr>
                <w:rFonts w:ascii="Tahoma" w:hAnsi="Tahoma" w:cs="Tahoma"/>
                <w:szCs w:val="21"/>
              </w:rPr>
              <w:t>日</w:t>
            </w:r>
            <w:r>
              <w:rPr>
                <w:rFonts w:ascii="Tahoma" w:hAnsi="Tahoma" w:cs="Tahoma"/>
                <w:szCs w:val="21"/>
                <w:u w:val="single"/>
              </w:rPr>
              <w:t xml:space="preserve">      </w:t>
            </w:r>
            <w:r>
              <w:rPr>
                <w:rFonts w:ascii="Tahoma" w:hAnsi="Tahoma" w:cs="Tahoma"/>
                <w:szCs w:val="21"/>
              </w:rPr>
              <w:t>时</w:t>
            </w:r>
            <w:r>
              <w:rPr>
                <w:rFonts w:ascii="Tahoma" w:hAnsi="Tahoma" w:cs="Tahoma"/>
                <w:szCs w:val="21"/>
                <w:u w:val="single"/>
              </w:rPr>
              <w:t xml:space="preserve">       </w:t>
            </w:r>
            <w:r>
              <w:rPr>
                <w:rFonts w:ascii="Tahoma" w:hAnsi="Tahoma" w:cs="Tahoma"/>
                <w:szCs w:val="21"/>
              </w:rPr>
              <w:t>分前不得开启</w:t>
            </w:r>
          </w:p>
          <w:p>
            <w:pPr>
              <w:snapToGrid w:val="0"/>
              <w:spacing w:line="280" w:lineRule="exact"/>
              <w:rPr>
                <w:rFonts w:ascii="Tahoma" w:hAnsi="Tahoma" w:cs="Tahoma"/>
                <w:szCs w:val="21"/>
                <w:u w:val="single"/>
              </w:rPr>
            </w:pPr>
            <w:r>
              <w:rPr>
                <w:rFonts w:ascii="Tahoma" w:hAnsi="Tahoma" w:cs="Tahoma"/>
                <w:szCs w:val="21"/>
              </w:rPr>
              <w:t>投标人名称：</w:t>
            </w:r>
            <w:r>
              <w:rPr>
                <w:rFonts w:ascii="Tahoma" w:hAnsi="Tahoma" w:cs="Tahoma"/>
                <w:szCs w:val="21"/>
                <w:u w:val="single"/>
              </w:rPr>
              <w:t xml:space="preserve">                 供应商全称（加盖公章）                       </w:t>
            </w:r>
          </w:p>
          <w:p>
            <w:pPr>
              <w:snapToGrid w:val="0"/>
              <w:spacing w:line="260" w:lineRule="exact"/>
              <w:rPr>
                <w:rFonts w:ascii="宋体"/>
                <w:bCs/>
                <w:color w:val="auto"/>
                <w:sz w:val="24"/>
                <w:highlight w:val="none"/>
              </w:rPr>
            </w:pPr>
            <w:r>
              <w:rPr>
                <w:rFonts w:ascii="Tahoma" w:hAnsi="Tahoma" w:cs="Tahoma"/>
                <w:szCs w:val="21"/>
              </w:rPr>
              <w:t>日期：</w:t>
            </w:r>
            <w:r>
              <w:rPr>
                <w:rFonts w:ascii="Tahoma" w:hAnsi="Tahoma" w:cs="Tahoma"/>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823" w:type="dxa"/>
            <w:vAlign w:val="center"/>
          </w:tcPr>
          <w:p>
            <w:pPr>
              <w:numPr>
                <w:ilvl w:val="0"/>
                <w:numId w:val="0"/>
              </w:numPr>
              <w:spacing w:line="360" w:lineRule="exact"/>
              <w:ind w:leftChars="0"/>
              <w:jc w:val="center"/>
              <w:rPr>
                <w:rFonts w:hint="eastAsia" w:ascii="宋体" w:eastAsia="宋体"/>
                <w:color w:val="auto"/>
                <w:sz w:val="24"/>
                <w:highlight w:val="none"/>
                <w:lang w:val="en-US" w:eastAsia="zh-CN"/>
              </w:rPr>
            </w:pPr>
            <w:r>
              <w:rPr>
                <w:rFonts w:ascii="宋体" w:hAnsi="宋体"/>
                <w:color w:val="auto"/>
                <w:sz w:val="24"/>
                <w:highlight w:val="none"/>
              </w:rPr>
              <w:t>2</w:t>
            </w:r>
            <w:r>
              <w:rPr>
                <w:rFonts w:hint="eastAsia" w:ascii="宋体" w:hAnsi="宋体"/>
                <w:color w:val="auto"/>
                <w:sz w:val="24"/>
                <w:highlight w:val="none"/>
                <w:lang w:val="en-US" w:eastAsia="zh-CN"/>
              </w:rPr>
              <w:t>3</w:t>
            </w:r>
          </w:p>
        </w:tc>
        <w:tc>
          <w:tcPr>
            <w:tcW w:w="1497" w:type="dxa"/>
            <w:tcBorders>
              <w:right w:val="single" w:color="auto" w:sz="4" w:space="0"/>
            </w:tcBorders>
            <w:vAlign w:val="center"/>
          </w:tcPr>
          <w:p>
            <w:pPr>
              <w:numPr>
                <w:ilvl w:val="0"/>
                <w:numId w:val="0"/>
              </w:numPr>
              <w:spacing w:line="360" w:lineRule="exact"/>
              <w:ind w:leftChars="0"/>
              <w:jc w:val="center"/>
              <w:rPr>
                <w:rFonts w:ascii="宋体"/>
                <w:color w:val="auto"/>
                <w:sz w:val="24"/>
                <w:highlight w:val="none"/>
              </w:rPr>
            </w:pPr>
            <w:r>
              <w:rPr>
                <w:rFonts w:hint="eastAsia" w:ascii="宋体" w:hAnsi="宋体"/>
                <w:color w:val="000000" w:themeColor="text1"/>
                <w:kern w:val="0"/>
                <w:sz w:val="24"/>
                <w:highlight w:val="none"/>
                <w14:textFill>
                  <w14:solidFill>
                    <w14:schemeClr w14:val="tx1"/>
                  </w14:solidFill>
                </w14:textFill>
              </w:rPr>
              <w:t>投标文件的密封</w:t>
            </w:r>
          </w:p>
        </w:tc>
        <w:tc>
          <w:tcPr>
            <w:tcW w:w="7198" w:type="dxa"/>
            <w:tcBorders>
              <w:left w:val="single" w:color="auto" w:sz="4" w:space="0"/>
            </w:tcBorders>
            <w:vAlign w:val="center"/>
          </w:tcPr>
          <w:p>
            <w:pPr>
              <w:spacing w:line="260" w:lineRule="exact"/>
            </w:pPr>
            <w:r>
              <w:rPr>
                <w:rFonts w:hint="eastAsia"/>
                <w:lang w:val="zh-CN"/>
              </w:rPr>
              <w:t>正本、副本、电子版U盘、各类证书原件分别用非透明文件袋密封。所有投标文件一律采用死页胶装的方式，否则按废标处理。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8" w:hRule="atLeast"/>
          <w:jc w:val="center"/>
        </w:trPr>
        <w:tc>
          <w:tcPr>
            <w:tcW w:w="823" w:type="dxa"/>
            <w:vAlign w:val="center"/>
          </w:tcPr>
          <w:p>
            <w:pPr>
              <w:numPr>
                <w:ilvl w:val="0"/>
                <w:numId w:val="0"/>
              </w:numPr>
              <w:spacing w:line="360" w:lineRule="exact"/>
              <w:ind w:leftChars="0"/>
              <w:jc w:val="center"/>
              <w:rPr>
                <w:rFonts w:hint="eastAsia" w:ascii="宋体" w:eastAsia="宋体"/>
                <w:color w:val="auto"/>
                <w:sz w:val="24"/>
                <w:highlight w:val="none"/>
                <w:lang w:val="en-US" w:eastAsia="zh-CN"/>
              </w:rPr>
            </w:pPr>
            <w:r>
              <w:rPr>
                <w:rFonts w:ascii="宋体" w:hAnsi="宋体"/>
                <w:color w:val="auto"/>
                <w:sz w:val="24"/>
                <w:highlight w:val="none"/>
              </w:rPr>
              <w:t>2</w:t>
            </w:r>
            <w:r>
              <w:rPr>
                <w:rFonts w:hint="eastAsia" w:ascii="宋体" w:hAnsi="宋体"/>
                <w:color w:val="auto"/>
                <w:sz w:val="24"/>
                <w:highlight w:val="none"/>
                <w:lang w:val="en-US" w:eastAsia="zh-CN"/>
              </w:rPr>
              <w:t>4</w:t>
            </w:r>
          </w:p>
        </w:tc>
        <w:tc>
          <w:tcPr>
            <w:tcW w:w="1497" w:type="dxa"/>
            <w:tcBorders>
              <w:right w:val="single" w:color="auto" w:sz="4" w:space="0"/>
            </w:tcBorders>
            <w:vAlign w:val="center"/>
          </w:tcPr>
          <w:p>
            <w:pPr>
              <w:numPr>
                <w:ilvl w:val="0"/>
                <w:numId w:val="0"/>
              </w:numPr>
              <w:spacing w:line="360" w:lineRule="exact"/>
              <w:ind w:leftChars="0"/>
              <w:jc w:val="center"/>
              <w:rPr>
                <w:rFonts w:hint="eastAsia" w:ascii="宋体" w:eastAsia="宋体"/>
                <w:color w:val="auto"/>
                <w:sz w:val="24"/>
                <w:highlight w:val="none"/>
                <w:lang w:eastAsia="zh-CN"/>
              </w:rPr>
            </w:pPr>
            <w:r>
              <w:rPr>
                <w:rFonts w:hint="eastAsia" w:ascii="宋体"/>
                <w:color w:val="auto"/>
                <w:sz w:val="24"/>
                <w:highlight w:val="none"/>
              </w:rPr>
              <w:t>投标文件</w:t>
            </w:r>
            <w:r>
              <w:rPr>
                <w:rFonts w:hint="eastAsia" w:ascii="宋体"/>
                <w:color w:val="auto"/>
                <w:sz w:val="24"/>
                <w:highlight w:val="none"/>
                <w:lang w:eastAsia="zh-CN"/>
              </w:rPr>
              <w:t>递交</w:t>
            </w:r>
          </w:p>
        </w:tc>
        <w:tc>
          <w:tcPr>
            <w:tcW w:w="7198" w:type="dxa"/>
            <w:tcBorders>
              <w:left w:val="single" w:color="auto" w:sz="4" w:space="0"/>
            </w:tcBorders>
            <w:vAlign w:val="center"/>
          </w:tcPr>
          <w:p>
            <w:pPr>
              <w:numPr>
                <w:ilvl w:val="0"/>
                <w:numId w:val="0"/>
              </w:numPr>
              <w:spacing w:line="360" w:lineRule="auto"/>
              <w:ind w:leftChars="0"/>
              <w:jc w:val="both"/>
              <w:rPr>
                <w:rFonts w:ascii="宋体"/>
                <w:bCs/>
                <w:color w:val="auto"/>
                <w:sz w:val="24"/>
                <w:highlight w:val="none"/>
              </w:rPr>
            </w:pPr>
            <w:r>
              <w:rPr>
                <w:rFonts w:hint="eastAsia" w:ascii="宋体" w:hAnsi="宋体"/>
                <w:color w:val="auto"/>
                <w:sz w:val="24"/>
                <w:highlight w:val="none"/>
              </w:rPr>
              <w:t>皮山县政府投资交易中心四楼开标二室（新城区东经二路南端）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48" w:hRule="atLeast"/>
          <w:jc w:val="center"/>
        </w:trPr>
        <w:tc>
          <w:tcPr>
            <w:tcW w:w="823" w:type="dxa"/>
            <w:vAlign w:val="center"/>
          </w:tcPr>
          <w:p>
            <w:pPr>
              <w:spacing w:line="360" w:lineRule="exact"/>
              <w:jc w:val="center"/>
              <w:rPr>
                <w:rFonts w:hint="eastAsia" w:ascii="宋体" w:hAnsi="宋体" w:eastAsia="宋体"/>
                <w:color w:val="auto"/>
                <w:sz w:val="24"/>
                <w:highlight w:val="none"/>
                <w:lang w:val="en-US" w:eastAsia="zh-CN"/>
              </w:rPr>
            </w:pPr>
            <w:r>
              <w:rPr>
                <w:rFonts w:ascii="宋体" w:hAnsi="宋体"/>
                <w:color w:val="auto"/>
                <w:sz w:val="24"/>
                <w:highlight w:val="none"/>
              </w:rPr>
              <w:t>2</w:t>
            </w:r>
            <w:r>
              <w:rPr>
                <w:rFonts w:hint="eastAsia" w:ascii="宋体" w:hAnsi="宋体"/>
                <w:color w:val="auto"/>
                <w:sz w:val="24"/>
                <w:highlight w:val="none"/>
                <w:lang w:val="en-US" w:eastAsia="zh-CN"/>
              </w:rPr>
              <w:t>5</w:t>
            </w:r>
          </w:p>
        </w:tc>
        <w:tc>
          <w:tcPr>
            <w:tcW w:w="1497" w:type="dxa"/>
            <w:tcBorders>
              <w:right w:val="single" w:color="auto" w:sz="4" w:space="0"/>
            </w:tcBorders>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评标委员的组建</w:t>
            </w:r>
          </w:p>
        </w:tc>
        <w:tc>
          <w:tcPr>
            <w:tcW w:w="7198" w:type="dxa"/>
            <w:tcBorders>
              <w:left w:val="single" w:color="auto" w:sz="4" w:space="0"/>
            </w:tcBorders>
            <w:vAlign w:val="center"/>
          </w:tcPr>
          <w:p>
            <w:pPr>
              <w:spacing w:line="360" w:lineRule="exact"/>
              <w:jc w:val="left"/>
              <w:rPr>
                <w:rFonts w:hint="eastAsia" w:ascii="宋体" w:hAnsi="宋体"/>
                <w:color w:val="auto"/>
                <w:sz w:val="24"/>
                <w:highlight w:val="none"/>
                <w:lang w:eastAsia="zh-CN"/>
              </w:rPr>
            </w:pPr>
            <w:r>
              <w:rPr>
                <w:rFonts w:hint="eastAsia" w:ascii="宋体" w:hAnsi="宋体"/>
                <w:color w:val="auto"/>
                <w:sz w:val="24"/>
                <w:highlight w:val="none"/>
              </w:rPr>
              <w:t>评标委员会构成：</w:t>
            </w:r>
            <w:r>
              <w:rPr>
                <w:rFonts w:hint="eastAsia" w:ascii="宋体" w:hAnsi="宋体"/>
                <w:color w:val="auto"/>
                <w:sz w:val="24"/>
                <w:highlight w:val="none"/>
                <w:lang w:val="en-US" w:eastAsia="zh-CN"/>
              </w:rPr>
              <w:t>5</w:t>
            </w:r>
            <w:r>
              <w:rPr>
                <w:rFonts w:hint="eastAsia" w:ascii="宋体" w:hAnsi="宋体"/>
                <w:color w:val="auto"/>
                <w:sz w:val="24"/>
                <w:highlight w:val="none"/>
              </w:rPr>
              <w:t>人或</w:t>
            </w:r>
            <w:r>
              <w:rPr>
                <w:rFonts w:ascii="宋体" w:hAnsi="宋体"/>
                <w:color w:val="auto"/>
                <w:sz w:val="24"/>
                <w:highlight w:val="none"/>
              </w:rPr>
              <w:t>5</w:t>
            </w:r>
            <w:r>
              <w:rPr>
                <w:rFonts w:hint="eastAsia" w:ascii="宋体" w:hAnsi="宋体"/>
                <w:color w:val="auto"/>
                <w:sz w:val="24"/>
                <w:highlight w:val="none"/>
              </w:rPr>
              <w:t>人以上单数组成，业主专家</w:t>
            </w:r>
            <w:r>
              <w:rPr>
                <w:rFonts w:ascii="宋体" w:hAnsi="宋体"/>
                <w:color w:val="auto"/>
                <w:sz w:val="24"/>
                <w:highlight w:val="none"/>
              </w:rPr>
              <w:t>1</w:t>
            </w:r>
            <w:r>
              <w:rPr>
                <w:rFonts w:hint="eastAsia" w:ascii="宋体" w:hAnsi="宋体"/>
                <w:color w:val="auto"/>
                <w:sz w:val="24"/>
                <w:highlight w:val="none"/>
              </w:rPr>
              <w:t>人；评标</w:t>
            </w:r>
            <w:r>
              <w:rPr>
                <w:rFonts w:hint="eastAsia" w:ascii="宋体" w:hAnsi="宋体"/>
                <w:color w:val="auto"/>
                <w:sz w:val="24"/>
                <w:highlight w:val="none"/>
                <w:lang w:eastAsia="zh-CN"/>
              </w:rPr>
              <w:t>专家</w:t>
            </w:r>
            <w:r>
              <w:rPr>
                <w:rFonts w:hint="eastAsia" w:ascii="宋体" w:hAnsi="宋体"/>
                <w:color w:val="auto"/>
                <w:sz w:val="24"/>
                <w:highlight w:val="none"/>
              </w:rPr>
              <w:t>确定方式：由</w:t>
            </w:r>
            <w:r>
              <w:rPr>
                <w:rFonts w:hint="eastAsia" w:ascii="宋体" w:hAnsi="宋体"/>
                <w:color w:val="auto"/>
                <w:sz w:val="24"/>
                <w:highlight w:val="none"/>
                <w:lang w:val="en-US" w:eastAsia="zh-CN"/>
              </w:rPr>
              <w:t>招标代理在开标前48小时在新疆维吾尔自治区政府采购</w:t>
            </w:r>
            <w:r>
              <w:rPr>
                <w:rFonts w:hint="eastAsia" w:ascii="宋体" w:hAnsi="宋体"/>
                <w:color w:val="auto"/>
                <w:sz w:val="24"/>
                <w:highlight w:val="none"/>
              </w:rPr>
              <w:t>专家库中随机抽取此次评标专家</w:t>
            </w:r>
            <w:r>
              <w:rPr>
                <w:rFonts w:hint="eastAsia" w:ascii="宋体" w:hAnsi="宋体"/>
                <w:color w:val="auto"/>
                <w:sz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143" w:hRule="atLeast"/>
          <w:jc w:val="center"/>
        </w:trPr>
        <w:tc>
          <w:tcPr>
            <w:tcW w:w="823" w:type="dxa"/>
            <w:vAlign w:val="center"/>
          </w:tcPr>
          <w:p>
            <w:pPr>
              <w:spacing w:line="360" w:lineRule="exact"/>
              <w:jc w:val="center"/>
              <w:rPr>
                <w:rFonts w:hint="eastAsia" w:ascii="宋体" w:hAnsi="宋体" w:eastAsia="宋体"/>
                <w:color w:val="auto"/>
                <w:sz w:val="24"/>
                <w:highlight w:val="none"/>
                <w:lang w:val="en-US" w:eastAsia="zh-CN"/>
              </w:rPr>
            </w:pPr>
            <w:r>
              <w:rPr>
                <w:rFonts w:ascii="宋体" w:hAnsi="宋体"/>
                <w:color w:val="auto"/>
                <w:sz w:val="24"/>
                <w:highlight w:val="none"/>
              </w:rPr>
              <w:t>2</w:t>
            </w:r>
            <w:r>
              <w:rPr>
                <w:rFonts w:hint="eastAsia" w:ascii="宋体" w:hAnsi="宋体"/>
                <w:color w:val="auto"/>
                <w:sz w:val="24"/>
                <w:highlight w:val="none"/>
                <w:lang w:val="en-US" w:eastAsia="zh-CN"/>
              </w:rPr>
              <w:t>6</w:t>
            </w:r>
          </w:p>
        </w:tc>
        <w:tc>
          <w:tcPr>
            <w:tcW w:w="1497" w:type="dxa"/>
            <w:tcBorders>
              <w:right w:val="single" w:color="auto" w:sz="4" w:space="0"/>
            </w:tcBorders>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开标时间和地点</w:t>
            </w:r>
          </w:p>
        </w:tc>
        <w:tc>
          <w:tcPr>
            <w:tcW w:w="7198" w:type="dxa"/>
            <w:tcBorders>
              <w:left w:val="single" w:color="auto" w:sz="4" w:space="0"/>
            </w:tcBorders>
            <w:vAlign w:val="center"/>
          </w:tcPr>
          <w:p>
            <w:pPr>
              <w:spacing w:line="360" w:lineRule="exact"/>
              <w:jc w:val="left"/>
              <w:rPr>
                <w:rFonts w:ascii="宋体" w:hAnsi="宋体"/>
                <w:color w:val="auto"/>
                <w:sz w:val="24"/>
                <w:highlight w:val="none"/>
              </w:rPr>
            </w:pPr>
            <w:r>
              <w:rPr>
                <w:rFonts w:hint="eastAsia" w:ascii="宋体" w:hAnsi="宋体"/>
                <w:color w:val="auto"/>
                <w:sz w:val="24"/>
                <w:highlight w:val="none"/>
              </w:rPr>
              <w:t>开标时间：</w:t>
            </w:r>
            <w:r>
              <w:rPr>
                <w:rFonts w:hint="eastAsia" w:ascii="宋体" w:hAnsi="宋体"/>
                <w:color w:val="auto"/>
                <w:sz w:val="24"/>
                <w:highlight w:val="none"/>
                <w:lang w:eastAsia="zh-CN"/>
              </w:rPr>
              <w:t>2020年05月18日12:00（北京时间）</w:t>
            </w:r>
            <w:r>
              <w:rPr>
                <w:rFonts w:hint="eastAsia" w:ascii="宋体" w:hAnsi="宋体"/>
                <w:color w:val="auto"/>
                <w:sz w:val="24"/>
                <w:highlight w:val="none"/>
              </w:rPr>
              <w:t>开标地点：</w:t>
            </w:r>
            <w:r>
              <w:rPr>
                <w:rFonts w:hint="eastAsia" w:ascii="宋体" w:hAnsi="宋体"/>
                <w:color w:val="auto"/>
                <w:sz w:val="24"/>
                <w:highlight w:val="none"/>
                <w:lang w:eastAsia="zh-CN"/>
              </w:rPr>
              <w:t>皮山县政府投资交易中心四楼开标二室（新城区东经二路南端）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57" w:hRule="atLeast"/>
          <w:jc w:val="center"/>
        </w:trPr>
        <w:tc>
          <w:tcPr>
            <w:tcW w:w="823" w:type="dxa"/>
            <w:vAlign w:val="center"/>
          </w:tcPr>
          <w:p>
            <w:pPr>
              <w:spacing w:line="360" w:lineRule="exact"/>
              <w:jc w:val="center"/>
              <w:rPr>
                <w:rFonts w:hint="eastAsia" w:ascii="宋体" w:eastAsia="宋体"/>
                <w:color w:val="auto"/>
                <w:sz w:val="24"/>
                <w:highlight w:val="none"/>
                <w:lang w:val="en-US" w:eastAsia="zh-CN"/>
              </w:rPr>
            </w:pPr>
            <w:r>
              <w:rPr>
                <w:rFonts w:ascii="宋体" w:hAnsi="宋体"/>
                <w:color w:val="auto"/>
                <w:sz w:val="24"/>
                <w:highlight w:val="none"/>
              </w:rPr>
              <w:t>2</w:t>
            </w:r>
            <w:r>
              <w:rPr>
                <w:rFonts w:hint="eastAsia" w:ascii="宋体" w:hAnsi="宋体"/>
                <w:color w:val="auto"/>
                <w:sz w:val="24"/>
                <w:highlight w:val="none"/>
                <w:lang w:val="en-US" w:eastAsia="zh-CN"/>
              </w:rPr>
              <w:t>7</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关于操作说明</w:t>
            </w:r>
          </w:p>
        </w:tc>
        <w:tc>
          <w:tcPr>
            <w:tcW w:w="7198" w:type="dxa"/>
            <w:tcBorders>
              <w:left w:val="single" w:color="auto" w:sz="4" w:space="0"/>
            </w:tcBorders>
            <w:vAlign w:val="center"/>
          </w:tcPr>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投标单位所提供关于</w:t>
            </w:r>
            <w:r>
              <w:rPr>
                <w:rFonts w:hint="eastAsia" w:ascii="宋体" w:hAnsi="宋体"/>
                <w:bCs/>
                <w:color w:val="auto"/>
                <w:sz w:val="24"/>
                <w:highlight w:val="none"/>
                <w:lang w:eastAsia="zh-CN"/>
              </w:rPr>
              <w:t>货物</w:t>
            </w:r>
            <w:r>
              <w:rPr>
                <w:rFonts w:hint="eastAsia" w:ascii="宋体" w:hAnsi="宋体"/>
                <w:bCs/>
                <w:color w:val="auto"/>
                <w:sz w:val="24"/>
                <w:highlight w:val="none"/>
              </w:rPr>
              <w:t>的操作说明如果是英文必须附翻译后中文</w:t>
            </w:r>
          </w:p>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83" w:hRule="atLeast"/>
          <w:jc w:val="center"/>
        </w:trPr>
        <w:tc>
          <w:tcPr>
            <w:tcW w:w="823" w:type="dxa"/>
            <w:tcBorders>
              <w:bottom w:val="single" w:color="auto" w:sz="4" w:space="0"/>
            </w:tcBorders>
            <w:vAlign w:val="center"/>
          </w:tcPr>
          <w:p>
            <w:pPr>
              <w:spacing w:line="360" w:lineRule="exact"/>
              <w:jc w:val="center"/>
              <w:rPr>
                <w:rFonts w:hint="eastAsia" w:ascii="宋体" w:eastAsia="宋体"/>
                <w:color w:val="auto"/>
                <w:sz w:val="24"/>
                <w:highlight w:val="none"/>
                <w:lang w:val="en-US" w:eastAsia="zh-CN"/>
              </w:rPr>
            </w:pPr>
            <w:r>
              <w:rPr>
                <w:rFonts w:ascii="宋体" w:hAnsi="宋体"/>
                <w:color w:val="auto"/>
                <w:sz w:val="24"/>
                <w:highlight w:val="none"/>
              </w:rPr>
              <w:t>2</w:t>
            </w:r>
            <w:r>
              <w:rPr>
                <w:rFonts w:hint="eastAsia" w:ascii="宋体" w:hAnsi="宋体"/>
                <w:color w:val="auto"/>
                <w:sz w:val="24"/>
                <w:highlight w:val="none"/>
                <w:lang w:val="en-US" w:eastAsia="zh-CN"/>
              </w:rPr>
              <w:t>8</w:t>
            </w:r>
          </w:p>
        </w:tc>
        <w:tc>
          <w:tcPr>
            <w:tcW w:w="1497" w:type="dxa"/>
            <w:tcBorders>
              <w:bottom w:val="single" w:color="auto" w:sz="4" w:space="0"/>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关于运距补充说明</w:t>
            </w:r>
          </w:p>
        </w:tc>
        <w:tc>
          <w:tcPr>
            <w:tcW w:w="7198" w:type="dxa"/>
            <w:tcBorders>
              <w:left w:val="single" w:color="auto" w:sz="4" w:space="0"/>
              <w:bottom w:val="single" w:color="auto" w:sz="4" w:space="0"/>
            </w:tcBorders>
            <w:vAlign w:val="center"/>
          </w:tcPr>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业主指定地点或合同中指定地点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2" w:hRule="atLeast"/>
          <w:jc w:val="center"/>
        </w:trPr>
        <w:tc>
          <w:tcPr>
            <w:tcW w:w="823" w:type="dxa"/>
            <w:tcBorders>
              <w:top w:val="single" w:color="auto" w:sz="4" w:space="0"/>
            </w:tcBorders>
            <w:vAlign w:val="center"/>
          </w:tcPr>
          <w:p>
            <w:pPr>
              <w:spacing w:line="36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29</w:t>
            </w:r>
          </w:p>
        </w:tc>
        <w:tc>
          <w:tcPr>
            <w:tcW w:w="1497" w:type="dxa"/>
            <w:tcBorders>
              <w:top w:val="single" w:color="auto" w:sz="4" w:space="0"/>
              <w:right w:val="single" w:color="auto" w:sz="4" w:space="0"/>
            </w:tcBorders>
            <w:vAlign w:val="center"/>
          </w:tcPr>
          <w:p>
            <w:pPr>
              <w:jc w:val="center"/>
              <w:rPr>
                <w:rFonts w:hint="eastAsia" w:ascii="宋体" w:hAnsi="宋体"/>
                <w:color w:val="auto"/>
                <w:sz w:val="24"/>
                <w:highlight w:val="none"/>
              </w:rPr>
            </w:pPr>
            <w:r>
              <w:rPr>
                <w:rFonts w:hint="eastAsia" w:ascii="宋体" w:hAnsi="宋体"/>
                <w:color w:val="auto"/>
                <w:sz w:val="24"/>
                <w:highlight w:val="none"/>
              </w:rPr>
              <w:t>履约保证金</w:t>
            </w:r>
          </w:p>
        </w:tc>
        <w:tc>
          <w:tcPr>
            <w:tcW w:w="7198"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宋体" w:hAnsi="宋体" w:eastAsia="宋体"/>
                <w:bCs/>
                <w:color w:val="auto"/>
                <w:sz w:val="24"/>
                <w:highlight w:val="none"/>
                <w:lang w:val="en-US" w:eastAsia="zh-CN"/>
              </w:rPr>
            </w:pPr>
            <w:r>
              <w:rPr>
                <w:rFonts w:hint="eastAsia" w:ascii="宋体" w:hAnsi="宋体"/>
                <w:color w:val="auto"/>
                <w:sz w:val="24"/>
                <w:highlight w:val="none"/>
                <w:lang w:val="en-US" w:eastAsia="zh-CN"/>
              </w:rPr>
              <w:t>合同签订前缴纳不得高于中标价的10%履约保证金（具体缴纳事宜由甲乙双方签订合同约定）。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477" w:hRule="atLeast"/>
          <w:jc w:val="center"/>
        </w:trPr>
        <w:tc>
          <w:tcPr>
            <w:tcW w:w="823" w:type="dxa"/>
            <w:vAlign w:val="center"/>
          </w:tcPr>
          <w:p>
            <w:pPr>
              <w:spacing w:line="360" w:lineRule="exact"/>
              <w:jc w:val="center"/>
              <w:rPr>
                <w:rFonts w:hint="default" w:ascii="宋体" w:eastAsia="宋体"/>
                <w:color w:val="auto"/>
                <w:sz w:val="24"/>
                <w:highlight w:val="none"/>
                <w:lang w:val="en-US" w:eastAsia="zh-CN"/>
              </w:rPr>
            </w:pPr>
            <w:r>
              <w:rPr>
                <w:rFonts w:hint="eastAsia" w:ascii="宋体"/>
                <w:color w:val="auto"/>
                <w:sz w:val="24"/>
                <w:highlight w:val="none"/>
                <w:lang w:val="en-US" w:eastAsia="zh-CN"/>
              </w:rPr>
              <w:t>30</w:t>
            </w:r>
          </w:p>
        </w:tc>
        <w:tc>
          <w:tcPr>
            <w:tcW w:w="1497" w:type="dxa"/>
            <w:tcBorders>
              <w:right w:val="single" w:color="auto" w:sz="4" w:space="0"/>
            </w:tcBorders>
            <w:vAlign w:val="center"/>
          </w:tcPr>
          <w:p>
            <w:pPr>
              <w:spacing w:line="360" w:lineRule="exact"/>
              <w:jc w:val="center"/>
              <w:rPr>
                <w:rFonts w:ascii="宋体"/>
                <w:color w:val="auto"/>
                <w:sz w:val="24"/>
                <w:highlight w:val="none"/>
              </w:rPr>
            </w:pPr>
            <w:r>
              <w:rPr>
                <w:rFonts w:hint="eastAsia" w:ascii="宋体" w:hAnsi="宋体"/>
                <w:color w:val="auto"/>
                <w:sz w:val="24"/>
                <w:highlight w:val="none"/>
              </w:rPr>
              <w:t>其他说明</w:t>
            </w:r>
          </w:p>
        </w:tc>
        <w:tc>
          <w:tcPr>
            <w:tcW w:w="7198" w:type="dxa"/>
            <w:tcBorders>
              <w:left w:val="single" w:color="auto" w:sz="4" w:space="0"/>
            </w:tcBorders>
            <w:vAlign w:val="center"/>
          </w:tcPr>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特别提醒：</w:t>
            </w:r>
          </w:p>
          <w:p>
            <w:pPr>
              <w:spacing w:line="360" w:lineRule="auto"/>
              <w:ind w:left="714" w:leftChars="1" w:hanging="712" w:hangingChars="297"/>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、所有投标人的报价高于采购预算额度视为无效报价（即作否决投</w:t>
            </w:r>
          </w:p>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标处理）。</w:t>
            </w:r>
          </w:p>
          <w:p>
            <w:pPr>
              <w:spacing w:line="360" w:lineRule="auto"/>
              <w:ind w:left="714" w:leftChars="1" w:hanging="712" w:hangingChars="297"/>
              <w:rPr>
                <w:rFonts w:asci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、所有投标人的报价明显低于其他投标报价或者在设有标底时明显</w:t>
            </w:r>
          </w:p>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低于标底，使得其投标报价可能低于其个别成本的，应当要求该投标</w:t>
            </w:r>
          </w:p>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人作出书面说明并提供相应证明材料。投标人不能合理或者不能提供</w:t>
            </w:r>
          </w:p>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相应证明材料的，由评标委员会认定该投标人以低于成本报价竞标，</w:t>
            </w:r>
          </w:p>
          <w:p>
            <w:pPr>
              <w:spacing w:line="360" w:lineRule="auto"/>
              <w:ind w:left="714" w:leftChars="1" w:hanging="712" w:hangingChars="297"/>
              <w:rPr>
                <w:rFonts w:ascii="宋体"/>
                <w:bCs/>
                <w:color w:val="auto"/>
                <w:sz w:val="24"/>
                <w:highlight w:val="none"/>
              </w:rPr>
            </w:pPr>
            <w:r>
              <w:rPr>
                <w:rFonts w:hint="eastAsia" w:ascii="宋体" w:hAnsi="宋体"/>
                <w:bCs/>
                <w:color w:val="auto"/>
                <w:sz w:val="24"/>
                <w:highlight w:val="none"/>
              </w:rPr>
              <w:t>其投标视为无效标处理。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105" w:hRule="atLeast"/>
          <w:jc w:val="center"/>
        </w:trPr>
        <w:tc>
          <w:tcPr>
            <w:tcW w:w="823" w:type="dxa"/>
            <w:vAlign w:val="center"/>
          </w:tcPr>
          <w:p>
            <w:pPr>
              <w:spacing w:line="360" w:lineRule="exact"/>
              <w:jc w:val="center"/>
              <w:rPr>
                <w:rFonts w:hint="default"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31</w:t>
            </w:r>
          </w:p>
        </w:tc>
        <w:tc>
          <w:tcPr>
            <w:tcW w:w="1497" w:type="dxa"/>
            <w:tcBorders>
              <w:right w:val="single" w:color="auto" w:sz="4" w:space="0"/>
            </w:tcBorders>
            <w:vAlign w:val="center"/>
          </w:tcPr>
          <w:p>
            <w:pPr>
              <w:spacing w:line="360" w:lineRule="exact"/>
              <w:jc w:val="center"/>
              <w:rPr>
                <w:rFonts w:hint="eastAsia"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补充说明</w:t>
            </w:r>
          </w:p>
        </w:tc>
        <w:tc>
          <w:tcPr>
            <w:tcW w:w="7198" w:type="dxa"/>
            <w:tcBorders>
              <w:left w:val="single" w:color="auto" w:sz="4" w:space="0"/>
            </w:tcBorders>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after="75" w:line="280" w:lineRule="exact"/>
              <w:ind w:firstLine="422" w:firstLineChars="200"/>
              <w:jc w:val="left"/>
              <w:textAlignment w:val="auto"/>
              <w:rPr>
                <w:rFonts w:hint="eastAsia" w:ascii="宋体" w:hAnsi="宋体" w:eastAsia="宋体"/>
                <w:b/>
                <w:bCs/>
                <w:color w:val="auto"/>
                <w:sz w:val="24"/>
                <w:highlight w:val="yellow"/>
                <w:lang w:val="en-US" w:eastAsia="zh-CN"/>
              </w:rPr>
            </w:pPr>
            <w:r>
              <w:rPr>
                <w:rFonts w:hint="eastAsia" w:ascii="宋体" w:hAnsi="宋体" w:cs="宋体"/>
                <w:b/>
                <w:bCs/>
                <w:color w:val="auto"/>
                <w:highlight w:val="none"/>
              </w:rPr>
              <w:t>采购项目需要落实的政府采购政策</w:t>
            </w:r>
            <w:r>
              <w:rPr>
                <w:rFonts w:hint="eastAsia" w:ascii="宋体" w:hAnsi="宋体" w:cs="宋体"/>
                <w:b/>
                <w:bCs/>
                <w:color w:val="auto"/>
                <w:highlight w:val="none"/>
                <w:lang w:eastAsia="zh-CN"/>
              </w:rPr>
              <w:t>：</w:t>
            </w:r>
            <w:r>
              <w:rPr>
                <w:rFonts w:ascii="宋体" w:hAnsi="宋体" w:cs="宋体"/>
                <w:b/>
                <w:bCs/>
                <w:color w:val="auto"/>
                <w:highlight w:val="none"/>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宋体" w:hAnsi="宋体" w:cs="宋体"/>
                <w:b/>
                <w:bCs/>
                <w:color w:val="auto"/>
                <w:highlight w:val="none"/>
                <w:lang w:val="en-US" w:eastAsia="zh-CN"/>
              </w:rPr>
              <w:t>等政府采购政策</w:t>
            </w:r>
            <w:r>
              <w:rPr>
                <w:rFonts w:ascii="宋体" w:hAnsi="宋体" w:cs="宋体"/>
                <w:b/>
                <w:bCs/>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9518" w:type="dxa"/>
            <w:gridSpan w:val="3"/>
            <w:tcBorders>
              <w:bottom w:val="single" w:color="auto" w:sz="12" w:space="0"/>
            </w:tcBorders>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after="75" w:line="280" w:lineRule="exact"/>
              <w:ind w:firstLine="402" w:firstLineChars="200"/>
              <w:jc w:val="left"/>
              <w:textAlignment w:val="auto"/>
              <w:rPr>
                <w:rFonts w:hint="eastAsia" w:ascii="宋体" w:hAnsi="宋体"/>
                <w:b/>
                <w:bCs/>
                <w:color w:val="auto"/>
                <w:sz w:val="24"/>
                <w:highlight w:val="none"/>
                <w:lang w:val="en-US" w:eastAsia="zh-CN"/>
              </w:rPr>
            </w:pPr>
            <w:r>
              <w:rPr>
                <w:rFonts w:hint="eastAsia" w:ascii="宋体" w:hAnsi="宋体"/>
                <w:b/>
                <w:bCs/>
                <w:color w:val="auto"/>
                <w:sz w:val="20"/>
                <w:szCs w:val="20"/>
                <w:highlight w:val="none"/>
                <w:lang w:val="en-US" w:eastAsia="zh-CN"/>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pPr>
        <w:spacing w:line="440" w:lineRule="exact"/>
        <w:rPr>
          <w:rFonts w:ascii="宋体"/>
          <w:b/>
          <w:color w:val="auto"/>
          <w:sz w:val="24"/>
          <w:highlight w:val="none"/>
        </w:rPr>
      </w:pPr>
      <w:r>
        <w:rPr>
          <w:rFonts w:hint="eastAsia" w:ascii="宋体"/>
          <w:color w:val="auto"/>
          <w:sz w:val="24"/>
          <w:highlight w:val="none"/>
        </w:rPr>
        <w:t>备注：本须知前附表的条款号是与后面招标文件的内容相对应，如有矛盾，应以投标须知前附表为准。</w:t>
      </w:r>
    </w:p>
    <w:p>
      <w:pPr>
        <w:spacing w:line="360" w:lineRule="auto"/>
        <w:jc w:val="both"/>
        <w:rPr>
          <w:rFonts w:ascii="宋体" w:hAnsi="宋体"/>
          <w:b/>
          <w:color w:val="auto"/>
          <w:sz w:val="24"/>
          <w:highlight w:val="none"/>
        </w:rPr>
      </w:pPr>
    </w:p>
    <w:p>
      <w:pPr>
        <w:spacing w:line="360" w:lineRule="auto"/>
        <w:jc w:val="both"/>
        <w:rPr>
          <w:rFonts w:ascii="宋体"/>
          <w:b/>
          <w:color w:val="auto"/>
          <w:sz w:val="24"/>
          <w:highlight w:val="none"/>
        </w:rPr>
      </w:pPr>
      <w:r>
        <w:rPr>
          <w:rFonts w:ascii="宋体" w:hAnsi="宋体"/>
          <w:b/>
          <w:color w:val="auto"/>
          <w:sz w:val="24"/>
          <w:highlight w:val="none"/>
        </w:rPr>
        <w:t xml:space="preserve">A   </w:t>
      </w:r>
      <w:r>
        <w:rPr>
          <w:rFonts w:hint="eastAsia" w:ascii="宋体" w:hAnsi="宋体"/>
          <w:b/>
          <w:color w:val="auto"/>
          <w:sz w:val="24"/>
          <w:highlight w:val="none"/>
        </w:rPr>
        <w:t>说明及注意事项</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适用范围</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1.1</w:t>
      </w:r>
      <w:r>
        <w:rPr>
          <w:rFonts w:ascii="宋体" w:hAnsi="宋体"/>
          <w:color w:val="auto"/>
          <w:sz w:val="24"/>
          <w:highlight w:val="none"/>
        </w:rPr>
        <w:tab/>
      </w:r>
      <w:r>
        <w:rPr>
          <w:rFonts w:hint="eastAsia" w:ascii="宋体" w:hAnsi="宋体"/>
          <w:color w:val="auto"/>
          <w:sz w:val="24"/>
          <w:highlight w:val="none"/>
        </w:rPr>
        <w:t>本招标文件仅适用于本</w:t>
      </w:r>
      <w:r>
        <w:rPr>
          <w:rFonts w:hint="eastAsia" w:ascii="宋体" w:hAnsi="宋体"/>
          <w:color w:val="auto"/>
          <w:sz w:val="24"/>
          <w:highlight w:val="none"/>
          <w:lang w:val="en-US" w:eastAsia="zh-CN"/>
        </w:rPr>
        <w:t>招标公告</w:t>
      </w:r>
      <w:r>
        <w:rPr>
          <w:rFonts w:hint="eastAsia" w:ascii="宋体" w:hAnsi="宋体"/>
          <w:color w:val="auto"/>
          <w:sz w:val="24"/>
          <w:highlight w:val="none"/>
        </w:rPr>
        <w:t>中所述的招标项目。</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2</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定义</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2.1</w:t>
      </w:r>
      <w:r>
        <w:rPr>
          <w:rFonts w:ascii="宋体" w:hAnsi="宋体"/>
          <w:color w:val="auto"/>
          <w:sz w:val="24"/>
          <w:highlight w:val="none"/>
        </w:rPr>
        <w:tab/>
      </w:r>
      <w:r>
        <w:rPr>
          <w:rFonts w:hint="eastAsia" w:ascii="宋体" w:hAnsi="宋体"/>
          <w:color w:val="auto"/>
          <w:sz w:val="24"/>
          <w:highlight w:val="none"/>
        </w:rPr>
        <w:t>“招标人”系指</w:t>
      </w:r>
      <w:r>
        <w:rPr>
          <w:rFonts w:hint="eastAsia" w:ascii="宋体" w:hAnsi="宋体"/>
          <w:color w:val="auto"/>
          <w:sz w:val="24"/>
          <w:highlight w:val="none"/>
          <w:lang w:val="en-US" w:eastAsia="zh-CN"/>
        </w:rPr>
        <w:t>皮山县教育局</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2.2</w:t>
      </w:r>
      <w:r>
        <w:rPr>
          <w:rFonts w:ascii="宋体" w:hAnsi="宋体"/>
          <w:color w:val="auto"/>
          <w:sz w:val="24"/>
          <w:highlight w:val="none"/>
        </w:rPr>
        <w:tab/>
      </w:r>
      <w:r>
        <w:rPr>
          <w:rFonts w:hint="eastAsia" w:ascii="宋体" w:hAnsi="宋体"/>
          <w:color w:val="auto"/>
          <w:sz w:val="24"/>
          <w:highlight w:val="none"/>
        </w:rPr>
        <w:t>“投标人”系指向招标人提交投标文件的制造商或供应商；</w:t>
      </w:r>
    </w:p>
    <w:p>
      <w:pPr>
        <w:spacing w:line="360" w:lineRule="auto"/>
        <w:ind w:left="714" w:leftChars="1" w:hanging="712" w:hangingChars="297"/>
        <w:jc w:val="left"/>
        <w:rPr>
          <w:rFonts w:hint="eastAsia" w:ascii="宋体" w:eastAsia="宋体"/>
          <w:color w:val="auto"/>
          <w:sz w:val="24"/>
          <w:highlight w:val="none"/>
          <w:lang w:eastAsia="zh-CN"/>
        </w:rPr>
      </w:pPr>
      <w:r>
        <w:rPr>
          <w:rFonts w:ascii="宋体" w:hAnsi="宋体"/>
          <w:color w:val="auto"/>
          <w:sz w:val="24"/>
          <w:highlight w:val="none"/>
        </w:rPr>
        <w:t>2.3</w:t>
      </w:r>
      <w:r>
        <w:rPr>
          <w:rFonts w:ascii="宋体" w:hAnsi="宋体"/>
          <w:color w:val="auto"/>
          <w:sz w:val="24"/>
          <w:highlight w:val="none"/>
        </w:rPr>
        <w:tab/>
      </w:r>
      <w:r>
        <w:rPr>
          <w:rFonts w:hint="eastAsia" w:ascii="宋体" w:hAnsi="宋体"/>
          <w:color w:val="auto"/>
          <w:sz w:val="24"/>
          <w:highlight w:val="none"/>
        </w:rPr>
        <w:t>“采购人”系指实际购买使用标的物的单位即</w:t>
      </w:r>
      <w:r>
        <w:rPr>
          <w:rFonts w:hint="eastAsia" w:ascii="宋体" w:hAnsi="宋体"/>
          <w:color w:val="auto"/>
          <w:sz w:val="24"/>
          <w:highlight w:val="none"/>
          <w:lang w:val="en-US" w:eastAsia="zh-CN"/>
        </w:rPr>
        <w:t>皮山县教育局</w:t>
      </w:r>
    </w:p>
    <w:p>
      <w:pPr>
        <w:spacing w:line="360" w:lineRule="auto"/>
        <w:ind w:left="714" w:leftChars="1" w:hanging="712" w:hangingChars="297"/>
        <w:jc w:val="left"/>
        <w:rPr>
          <w:rFonts w:ascii="宋体" w:cs="宋体"/>
          <w:color w:val="FF0000"/>
          <w:kern w:val="0"/>
          <w:sz w:val="24"/>
          <w:highlight w:val="yellow"/>
        </w:rPr>
      </w:pPr>
      <w:r>
        <w:rPr>
          <w:rFonts w:ascii="宋体" w:hAnsi="宋体"/>
          <w:color w:val="auto"/>
          <w:sz w:val="24"/>
          <w:highlight w:val="none"/>
        </w:rPr>
        <w:t xml:space="preserve">2.4   </w:t>
      </w:r>
      <w:r>
        <w:rPr>
          <w:rFonts w:hint="eastAsia" w:ascii="宋体" w:hAnsi="宋体"/>
          <w:color w:val="auto"/>
          <w:sz w:val="24"/>
          <w:highlight w:val="none"/>
        </w:rPr>
        <w:t>“采购项目”</w:t>
      </w:r>
      <w:r>
        <w:rPr>
          <w:rFonts w:hint="eastAsia" w:ascii="宋体" w:hAnsi="宋体"/>
          <w:color w:val="000000" w:themeColor="text1"/>
          <w:spacing w:val="-18"/>
          <w:sz w:val="24"/>
          <w:highlight w:val="none"/>
          <w14:textFill>
            <w14:solidFill>
              <w14:schemeClr w14:val="tx1"/>
            </w14:solidFill>
          </w14:textFill>
        </w:rPr>
        <w:t>“</w:t>
      </w:r>
      <w:r>
        <w:rPr>
          <w:rFonts w:hint="eastAsia" w:ascii="宋体" w:hAnsi="宋体"/>
          <w:color w:val="000000" w:themeColor="text1"/>
          <w:spacing w:val="-18"/>
          <w:sz w:val="24"/>
          <w:highlight w:val="none"/>
          <w:lang w:val="en-US" w:eastAsia="zh-CN"/>
          <w14:textFill>
            <w14:solidFill>
              <w14:schemeClr w14:val="tx1"/>
            </w14:solidFill>
          </w14:textFill>
        </w:rPr>
        <w:t>2020年皮山县教育系统学校食堂所需食材采购项目</w:t>
      </w:r>
      <w:r>
        <w:rPr>
          <w:rFonts w:hint="eastAsia" w:ascii="宋体" w:hAnsi="宋体" w:cs="宋体"/>
          <w:bCs/>
          <w:color w:val="000000" w:themeColor="text1"/>
          <w:kern w:val="0"/>
          <w:sz w:val="24"/>
          <w:highlight w:val="none"/>
          <w14:textFill>
            <w14:solidFill>
              <w14:schemeClr w14:val="tx1"/>
            </w14:solidFill>
          </w14:textFill>
        </w:rPr>
        <w:t>”</w:t>
      </w:r>
    </w:p>
    <w:p>
      <w:pPr>
        <w:spacing w:line="360" w:lineRule="auto"/>
        <w:rPr>
          <w:rFonts w:ascii="宋体"/>
          <w:color w:val="auto"/>
          <w:sz w:val="24"/>
          <w:highlight w:val="none"/>
        </w:rPr>
      </w:pPr>
      <w:r>
        <w:rPr>
          <w:rFonts w:ascii="宋体" w:hAnsi="宋体"/>
          <w:color w:val="auto"/>
          <w:sz w:val="24"/>
          <w:highlight w:val="none"/>
        </w:rPr>
        <w:t>2.5</w:t>
      </w:r>
      <w:r>
        <w:rPr>
          <w:rFonts w:ascii="宋体" w:hAnsi="宋体"/>
          <w:color w:val="auto"/>
          <w:sz w:val="24"/>
          <w:highlight w:val="none"/>
        </w:rPr>
        <w:tab/>
      </w:r>
      <w:r>
        <w:rPr>
          <w:rFonts w:ascii="宋体" w:hAnsi="宋体"/>
          <w:color w:val="auto"/>
          <w:sz w:val="24"/>
          <w:highlight w:val="none"/>
        </w:rPr>
        <w:t xml:space="preserve">  </w:t>
      </w:r>
      <w:r>
        <w:rPr>
          <w:rFonts w:hint="eastAsia" w:ascii="宋体" w:hAnsi="宋体"/>
          <w:color w:val="auto"/>
          <w:sz w:val="24"/>
          <w:highlight w:val="none"/>
        </w:rPr>
        <w:t>“服务”系指招标文件规定投标人须承担的运输、安装、技术服务、售后服务和其它类似的义务。</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合格的投标人</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3.1</w:t>
      </w:r>
      <w:r>
        <w:rPr>
          <w:rFonts w:ascii="宋体" w:hAnsi="宋体"/>
          <w:color w:val="auto"/>
          <w:sz w:val="24"/>
          <w:highlight w:val="none"/>
        </w:rPr>
        <w:tab/>
      </w:r>
      <w:r>
        <w:rPr>
          <w:rFonts w:hint="eastAsia" w:ascii="宋体" w:hAnsi="宋体"/>
          <w:color w:val="auto"/>
          <w:sz w:val="24"/>
          <w:highlight w:val="none"/>
        </w:rPr>
        <w:t>具有独立法人资格，且有独立承担民事责任的能力，有相关的经营范围。</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3.2</w:t>
      </w:r>
      <w:r>
        <w:rPr>
          <w:rFonts w:ascii="宋体" w:hAnsi="宋体"/>
          <w:color w:val="auto"/>
          <w:sz w:val="24"/>
          <w:highlight w:val="none"/>
        </w:rPr>
        <w:tab/>
      </w:r>
      <w:r>
        <w:rPr>
          <w:rFonts w:hint="eastAsia" w:ascii="宋体" w:hAnsi="宋体"/>
          <w:color w:val="auto"/>
          <w:sz w:val="24"/>
          <w:highlight w:val="none"/>
        </w:rPr>
        <w:t>遵守国家法律、行政法规，具有良好的信誉和诚实的商业道德，有依法缴纳税收和社会保障资金的良好记录</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3.3</w:t>
      </w:r>
      <w:r>
        <w:rPr>
          <w:rFonts w:ascii="宋体" w:hAnsi="宋体"/>
          <w:color w:val="auto"/>
          <w:sz w:val="24"/>
          <w:highlight w:val="none"/>
        </w:rPr>
        <w:tab/>
      </w:r>
      <w:r>
        <w:rPr>
          <w:rFonts w:hint="eastAsia" w:ascii="宋体" w:hAnsi="宋体"/>
          <w:color w:val="auto"/>
          <w:sz w:val="24"/>
          <w:highlight w:val="none"/>
        </w:rPr>
        <w:t>承诺履行中华人民共和国政府采购有关规定；</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3.4</w:t>
      </w:r>
      <w:r>
        <w:rPr>
          <w:rFonts w:ascii="宋体" w:hAnsi="宋体"/>
          <w:color w:val="auto"/>
          <w:sz w:val="24"/>
          <w:highlight w:val="none"/>
        </w:rPr>
        <w:tab/>
      </w:r>
      <w:r>
        <w:rPr>
          <w:rFonts w:hint="eastAsia" w:ascii="宋体" w:hAnsi="宋体"/>
          <w:color w:val="auto"/>
          <w:sz w:val="24"/>
          <w:highlight w:val="none"/>
        </w:rPr>
        <w:t>具有履行合同的能力和良好的履行合同的记录，及履行合同所必需的设备和专业技术能力</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3.5</w:t>
      </w:r>
      <w:r>
        <w:rPr>
          <w:rFonts w:ascii="宋体" w:hAnsi="宋体"/>
          <w:color w:val="auto"/>
          <w:sz w:val="24"/>
          <w:highlight w:val="none"/>
        </w:rPr>
        <w:tab/>
      </w:r>
      <w:r>
        <w:rPr>
          <w:rFonts w:hint="eastAsia" w:ascii="宋体" w:hAnsi="宋体"/>
          <w:color w:val="auto"/>
          <w:sz w:val="24"/>
          <w:highlight w:val="none"/>
        </w:rPr>
        <w:t>良好的资金、财务状况健全的财务会计制度</w:t>
      </w:r>
    </w:p>
    <w:p>
      <w:pPr>
        <w:spacing w:line="360" w:lineRule="auto"/>
        <w:ind w:left="691" w:leftChars="1" w:hanging="689" w:hangingChars="297"/>
        <w:rPr>
          <w:rFonts w:ascii="宋体"/>
          <w:color w:val="auto"/>
          <w:spacing w:val="-4"/>
          <w:sz w:val="24"/>
          <w:highlight w:val="none"/>
        </w:rPr>
      </w:pPr>
      <w:r>
        <w:rPr>
          <w:rFonts w:ascii="宋体" w:hAnsi="宋体"/>
          <w:color w:val="auto"/>
          <w:spacing w:val="-4"/>
          <w:sz w:val="24"/>
          <w:highlight w:val="none"/>
        </w:rPr>
        <w:t>3.6</w:t>
      </w:r>
      <w:r>
        <w:rPr>
          <w:rFonts w:ascii="宋体" w:hAnsi="宋体"/>
          <w:color w:val="auto"/>
          <w:spacing w:val="-4"/>
          <w:sz w:val="24"/>
          <w:highlight w:val="none"/>
        </w:rPr>
        <w:tab/>
      </w:r>
      <w:r>
        <w:rPr>
          <w:rFonts w:hint="eastAsia" w:ascii="宋体" w:hAnsi="宋体"/>
          <w:color w:val="auto"/>
          <w:spacing w:val="-4"/>
          <w:sz w:val="24"/>
          <w:highlight w:val="none"/>
        </w:rPr>
        <w:t>生产或销售的产品符合中国政府规定的相应技术标准和环保标准；</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3.7</w:t>
      </w:r>
      <w:r>
        <w:rPr>
          <w:rFonts w:ascii="宋体" w:hAnsi="宋体"/>
          <w:color w:val="auto"/>
          <w:sz w:val="24"/>
          <w:highlight w:val="none"/>
        </w:rPr>
        <w:tab/>
      </w:r>
      <w:r>
        <w:rPr>
          <w:rFonts w:hint="eastAsia" w:ascii="宋体" w:hAnsi="宋体"/>
          <w:color w:val="auto"/>
          <w:sz w:val="24"/>
          <w:highlight w:val="none"/>
        </w:rPr>
        <w:t>参加政府采购活动</w:t>
      </w:r>
      <w:r>
        <w:rPr>
          <w:rFonts w:hint="eastAsia" w:ascii="宋体" w:hAnsi="宋体"/>
          <w:color w:val="auto"/>
          <w:sz w:val="24"/>
          <w:highlight w:val="none"/>
          <w:lang w:val="en-US" w:eastAsia="zh-CN"/>
        </w:rPr>
        <w:t>近</w:t>
      </w:r>
      <w:r>
        <w:rPr>
          <w:rFonts w:hint="eastAsia" w:ascii="宋体" w:hAnsi="宋体"/>
          <w:color w:val="auto"/>
          <w:sz w:val="24"/>
          <w:highlight w:val="none"/>
        </w:rPr>
        <w:t>三年内，在经营活动中没有重大违法记录。</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3.8</w:t>
      </w:r>
      <w:r>
        <w:rPr>
          <w:rFonts w:ascii="宋体" w:hAnsi="宋体"/>
          <w:color w:val="auto"/>
          <w:sz w:val="24"/>
          <w:highlight w:val="none"/>
        </w:rPr>
        <w:tab/>
      </w:r>
      <w:r>
        <w:rPr>
          <w:rFonts w:hint="eastAsia" w:ascii="宋体" w:hAnsi="宋体"/>
          <w:color w:val="auto"/>
          <w:sz w:val="24"/>
          <w:highlight w:val="none"/>
        </w:rPr>
        <w:t>满足本招标文件规定的要求。</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9</w:t>
      </w:r>
      <w:r>
        <w:rPr>
          <w:rFonts w:ascii="宋体" w:hAnsi="宋体"/>
          <w:color w:val="auto"/>
          <w:sz w:val="24"/>
          <w:highlight w:val="none"/>
        </w:rPr>
        <w:tab/>
      </w:r>
      <w:r>
        <w:rPr>
          <w:rFonts w:hint="eastAsia" w:ascii="宋体" w:hAnsi="宋体"/>
          <w:color w:val="auto"/>
          <w:sz w:val="24"/>
          <w:highlight w:val="none"/>
        </w:rPr>
        <w:t>财政部及省级人民政府规定的其它条件。</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4.</w:t>
      </w:r>
      <w:r>
        <w:rPr>
          <w:rFonts w:ascii="宋体" w:hAnsi="宋体"/>
          <w:b/>
          <w:bCs/>
          <w:color w:val="auto"/>
          <w:sz w:val="24"/>
          <w:highlight w:val="none"/>
        </w:rPr>
        <w:tab/>
      </w:r>
      <w:r>
        <w:rPr>
          <w:rFonts w:hint="eastAsia" w:ascii="宋体" w:hAnsi="宋体"/>
          <w:b/>
          <w:bCs/>
          <w:color w:val="auto"/>
          <w:sz w:val="24"/>
          <w:highlight w:val="none"/>
        </w:rPr>
        <w:t>联合体投标</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4.1</w:t>
      </w:r>
      <w:r>
        <w:rPr>
          <w:rFonts w:ascii="宋体" w:hAnsi="宋体"/>
          <w:color w:val="auto"/>
          <w:sz w:val="24"/>
          <w:szCs w:val="20"/>
          <w:highlight w:val="none"/>
        </w:rPr>
        <w:tab/>
      </w:r>
      <w:r>
        <w:rPr>
          <w:rFonts w:hint="eastAsia" w:ascii="宋体" w:hAnsi="宋体"/>
          <w:color w:val="auto"/>
          <w:sz w:val="24"/>
          <w:szCs w:val="20"/>
          <w:highlight w:val="none"/>
        </w:rPr>
        <w:t>两个以上供应商可以组成一个投标联合体，以一个投标人的身份投标。</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4.2</w:t>
      </w:r>
      <w:r>
        <w:rPr>
          <w:rFonts w:ascii="宋体" w:hAnsi="宋体"/>
          <w:color w:val="auto"/>
          <w:sz w:val="24"/>
          <w:szCs w:val="20"/>
          <w:highlight w:val="none"/>
        </w:rPr>
        <w:tab/>
      </w:r>
      <w:r>
        <w:rPr>
          <w:rFonts w:hint="eastAsia" w:ascii="宋体" w:hAnsi="宋体"/>
          <w:color w:val="auto"/>
          <w:sz w:val="24"/>
          <w:szCs w:val="20"/>
          <w:highlight w:val="none"/>
        </w:rPr>
        <w:t>以联合体形式参加投标的，联合体各方均应当符合政府采购法第二十三条规定的条件和前面第</w:t>
      </w:r>
      <w:r>
        <w:rPr>
          <w:rFonts w:ascii="宋体" w:hAnsi="宋体"/>
          <w:color w:val="auto"/>
          <w:sz w:val="24"/>
          <w:szCs w:val="20"/>
          <w:highlight w:val="none"/>
        </w:rPr>
        <w:t>3</w:t>
      </w:r>
      <w:r>
        <w:rPr>
          <w:rFonts w:hint="eastAsia" w:ascii="宋体" w:hAnsi="宋体"/>
          <w:color w:val="auto"/>
          <w:sz w:val="24"/>
          <w:szCs w:val="20"/>
          <w:highlight w:val="none"/>
        </w:rPr>
        <w:t>条的内容。根据采购项目的特殊要求规定投标人特定条件的，联合体应符合采购人规定的特定条件。</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4.3</w:t>
      </w:r>
      <w:r>
        <w:rPr>
          <w:rFonts w:ascii="宋体" w:hAnsi="宋体"/>
          <w:color w:val="auto"/>
          <w:sz w:val="24"/>
          <w:szCs w:val="20"/>
          <w:highlight w:val="none"/>
        </w:rPr>
        <w:tab/>
      </w:r>
      <w:r>
        <w:rPr>
          <w:rFonts w:hint="eastAsia" w:ascii="宋体" w:hAnsi="宋体"/>
          <w:color w:val="auto"/>
          <w:sz w:val="24"/>
          <w:szCs w:val="20"/>
          <w:highlight w:val="none"/>
        </w:rPr>
        <w:t>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w:t>
      </w:r>
    </w:p>
    <w:p>
      <w:pPr>
        <w:spacing w:line="360" w:lineRule="auto"/>
        <w:ind w:left="714" w:leftChars="1" w:hanging="712" w:hangingChars="297"/>
        <w:rPr>
          <w:rFonts w:ascii="宋体" w:cs="Arial Unicode MS"/>
          <w:color w:val="auto"/>
          <w:sz w:val="24"/>
          <w:highlight w:val="none"/>
        </w:rPr>
      </w:pPr>
      <w:r>
        <w:rPr>
          <w:rFonts w:ascii="宋体" w:hAnsi="宋体" w:cs="Arial Unicode MS"/>
          <w:color w:val="auto"/>
          <w:sz w:val="24"/>
          <w:highlight w:val="none"/>
        </w:rPr>
        <w:t xml:space="preserve">4.4  </w:t>
      </w:r>
      <w:r>
        <w:rPr>
          <w:rFonts w:ascii="宋体" w:hAnsi="宋体" w:cs="Arial Unicode MS"/>
          <w:b/>
          <w:color w:val="auto"/>
          <w:sz w:val="24"/>
          <w:highlight w:val="none"/>
        </w:rPr>
        <w:t xml:space="preserve"> </w:t>
      </w:r>
      <w:r>
        <w:rPr>
          <w:rFonts w:hint="eastAsia" w:ascii="宋体" w:hAnsi="宋体" w:cs="Arial Unicode MS"/>
          <w:b/>
          <w:color w:val="auto"/>
          <w:sz w:val="24"/>
          <w:highlight w:val="none"/>
        </w:rPr>
        <w:t>本项目不接受联合投标体。</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5</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投标保证金</w:t>
      </w:r>
    </w:p>
    <w:p>
      <w:pPr>
        <w:spacing w:line="360" w:lineRule="auto"/>
        <w:ind w:left="714" w:leftChars="1" w:hanging="712" w:hangingChars="297"/>
        <w:rPr>
          <w:rFonts w:hint="eastAsia" w:ascii="宋体" w:hAnsi="宋体"/>
          <w:color w:val="auto"/>
          <w:sz w:val="24"/>
          <w:highlight w:val="none"/>
        </w:rPr>
      </w:pPr>
      <w:r>
        <w:rPr>
          <w:rFonts w:ascii="宋体" w:hAnsi="宋体"/>
          <w:color w:val="auto"/>
          <w:sz w:val="24"/>
          <w:highlight w:val="none"/>
        </w:rPr>
        <w:t>5.1</w:t>
      </w:r>
      <w:r>
        <w:rPr>
          <w:rFonts w:ascii="宋体" w:hAnsi="宋体"/>
          <w:color w:val="auto"/>
          <w:sz w:val="24"/>
          <w:highlight w:val="none"/>
        </w:rPr>
        <w:tab/>
      </w:r>
      <w:r>
        <w:rPr>
          <w:rFonts w:hint="eastAsia" w:ascii="宋体" w:hAnsi="宋体"/>
          <w:color w:val="auto"/>
          <w:sz w:val="24"/>
          <w:highlight w:val="none"/>
        </w:rPr>
        <w:t>投标保证金的形式：转账</w:t>
      </w:r>
    </w:p>
    <w:p>
      <w:pPr>
        <w:spacing w:line="360" w:lineRule="auto"/>
        <w:ind w:left="720" w:leftChars="343" w:firstLine="4" w:firstLineChars="2"/>
        <w:rPr>
          <w:rFonts w:hint="eastAsia" w:ascii="宋体" w:hAnsi="宋体"/>
          <w:color w:val="auto"/>
          <w:sz w:val="24"/>
          <w:highlight w:val="none"/>
        </w:rPr>
      </w:pPr>
      <w:r>
        <w:rPr>
          <w:rFonts w:hint="eastAsia" w:ascii="宋体" w:hAnsi="宋体"/>
          <w:color w:val="auto"/>
          <w:sz w:val="24"/>
          <w:highlight w:val="none"/>
        </w:rPr>
        <w:t>投标保证金的金额：</w:t>
      </w:r>
      <w:r>
        <w:rPr>
          <w:rFonts w:hint="eastAsia" w:ascii="宋体" w:hAnsi="宋体"/>
          <w:color w:val="auto"/>
          <w:sz w:val="24"/>
          <w:highlight w:val="none"/>
          <w:lang w:val="en-US" w:eastAsia="zh-CN"/>
        </w:rPr>
        <w:t>170000</w:t>
      </w:r>
      <w:r>
        <w:rPr>
          <w:rFonts w:hint="eastAsia" w:ascii="宋体" w:hAnsi="宋体"/>
          <w:color w:val="auto"/>
          <w:sz w:val="24"/>
          <w:highlight w:val="none"/>
        </w:rPr>
        <w:t>(</w:t>
      </w:r>
      <w:r>
        <w:rPr>
          <w:rFonts w:hint="eastAsia" w:ascii="宋体" w:hAnsi="宋体"/>
          <w:color w:val="auto"/>
          <w:sz w:val="24"/>
          <w:highlight w:val="none"/>
          <w:lang w:val="en-US" w:eastAsia="zh-CN"/>
        </w:rPr>
        <w:t>壹拾柒万元整</w:t>
      </w:r>
      <w:r>
        <w:rPr>
          <w:rFonts w:hint="eastAsia" w:ascii="宋体" w:hAnsi="宋体"/>
          <w:color w:val="auto"/>
          <w:sz w:val="24"/>
          <w:highlight w:val="none"/>
        </w:rPr>
        <w:t>)</w:t>
      </w:r>
    </w:p>
    <w:p>
      <w:pPr>
        <w:spacing w:line="360" w:lineRule="auto"/>
        <w:ind w:left="720" w:leftChars="343" w:firstLine="4" w:firstLineChars="2"/>
        <w:rPr>
          <w:rFonts w:hint="eastAsia" w:ascii="宋体" w:hAnsi="宋体"/>
          <w:color w:val="auto"/>
          <w:sz w:val="24"/>
          <w:highlight w:val="none"/>
        </w:rPr>
      </w:pPr>
      <w:r>
        <w:rPr>
          <w:rFonts w:hint="eastAsia" w:ascii="宋体" w:hAnsi="宋体"/>
          <w:color w:val="auto"/>
          <w:sz w:val="24"/>
          <w:highlight w:val="none"/>
        </w:rPr>
        <w:t>投标保证金缴纳账户：</w:t>
      </w:r>
    </w:p>
    <w:p>
      <w:pPr>
        <w:spacing w:line="360" w:lineRule="auto"/>
        <w:ind w:left="720" w:leftChars="343" w:firstLine="4" w:firstLineChars="2"/>
        <w:rPr>
          <w:rFonts w:hint="eastAsia" w:ascii="宋体" w:hAnsi="宋体"/>
          <w:color w:val="auto"/>
          <w:sz w:val="24"/>
          <w:highlight w:val="none"/>
        </w:rPr>
      </w:pPr>
      <w:r>
        <w:rPr>
          <w:rFonts w:hint="eastAsia" w:ascii="宋体" w:hAnsi="宋体"/>
          <w:color w:val="auto"/>
          <w:sz w:val="24"/>
          <w:highlight w:val="none"/>
        </w:rPr>
        <w:t>账户名称：皮山县政府投资交易中心</w:t>
      </w:r>
    </w:p>
    <w:p>
      <w:pPr>
        <w:spacing w:line="360" w:lineRule="auto"/>
        <w:ind w:left="720" w:leftChars="343" w:firstLine="4" w:firstLineChars="2"/>
        <w:rPr>
          <w:rFonts w:hint="eastAsia" w:ascii="宋体" w:hAnsi="宋体"/>
          <w:color w:val="auto"/>
          <w:sz w:val="24"/>
          <w:highlight w:val="none"/>
        </w:rPr>
      </w:pPr>
      <w:r>
        <w:rPr>
          <w:rFonts w:hint="eastAsia" w:ascii="宋体" w:hAnsi="宋体"/>
          <w:color w:val="auto"/>
          <w:sz w:val="24"/>
          <w:highlight w:val="none"/>
        </w:rPr>
        <w:t>帐号：8780</w:t>
      </w:r>
      <w:r>
        <w:rPr>
          <w:rFonts w:hint="eastAsia" w:ascii="宋体" w:hAnsi="宋体"/>
          <w:color w:val="auto"/>
          <w:sz w:val="24"/>
          <w:highlight w:val="none"/>
          <w:lang w:val="en-US" w:eastAsia="zh-CN"/>
        </w:rPr>
        <w:t xml:space="preserve"> </w:t>
      </w:r>
      <w:r>
        <w:rPr>
          <w:rFonts w:hint="eastAsia" w:ascii="宋体" w:hAnsi="宋体"/>
          <w:color w:val="auto"/>
          <w:sz w:val="24"/>
          <w:highlight w:val="none"/>
        </w:rPr>
        <w:t>1001</w:t>
      </w:r>
      <w:r>
        <w:rPr>
          <w:rFonts w:hint="eastAsia" w:ascii="宋体" w:hAnsi="宋体"/>
          <w:color w:val="auto"/>
          <w:sz w:val="24"/>
          <w:highlight w:val="none"/>
          <w:lang w:val="en-US" w:eastAsia="zh-CN"/>
        </w:rPr>
        <w:t xml:space="preserve"> </w:t>
      </w:r>
      <w:r>
        <w:rPr>
          <w:rFonts w:hint="eastAsia" w:ascii="宋体" w:hAnsi="宋体"/>
          <w:color w:val="auto"/>
          <w:sz w:val="24"/>
          <w:highlight w:val="none"/>
        </w:rPr>
        <w:t>2010</w:t>
      </w:r>
      <w:r>
        <w:rPr>
          <w:rFonts w:hint="eastAsia" w:ascii="宋体" w:hAnsi="宋体"/>
          <w:color w:val="auto"/>
          <w:sz w:val="24"/>
          <w:highlight w:val="none"/>
          <w:lang w:val="en-US" w:eastAsia="zh-CN"/>
        </w:rPr>
        <w:t xml:space="preserve"> </w:t>
      </w:r>
      <w:r>
        <w:rPr>
          <w:rFonts w:hint="eastAsia" w:ascii="宋体" w:hAnsi="宋体"/>
          <w:color w:val="auto"/>
          <w:sz w:val="24"/>
          <w:highlight w:val="none"/>
        </w:rPr>
        <w:t>1010</w:t>
      </w:r>
      <w:r>
        <w:rPr>
          <w:rFonts w:hint="eastAsia" w:ascii="宋体" w:hAnsi="宋体"/>
          <w:color w:val="auto"/>
          <w:sz w:val="24"/>
          <w:highlight w:val="none"/>
          <w:lang w:val="en-US" w:eastAsia="zh-CN"/>
        </w:rPr>
        <w:t xml:space="preserve"> </w:t>
      </w:r>
      <w:r>
        <w:rPr>
          <w:rFonts w:hint="eastAsia" w:ascii="宋体" w:hAnsi="宋体"/>
          <w:color w:val="auto"/>
          <w:sz w:val="24"/>
          <w:highlight w:val="none"/>
        </w:rPr>
        <w:t>11990</w:t>
      </w:r>
    </w:p>
    <w:p>
      <w:pPr>
        <w:spacing w:line="360" w:lineRule="auto"/>
        <w:ind w:left="720" w:leftChars="343" w:firstLine="4" w:firstLineChars="2"/>
        <w:rPr>
          <w:rFonts w:hint="eastAsia" w:ascii="宋体" w:hAnsi="宋体"/>
          <w:color w:val="auto"/>
          <w:sz w:val="24"/>
          <w:highlight w:val="none"/>
        </w:rPr>
      </w:pPr>
      <w:r>
        <w:rPr>
          <w:rFonts w:hint="eastAsia" w:ascii="宋体" w:hAnsi="宋体"/>
          <w:color w:val="auto"/>
          <w:sz w:val="24"/>
          <w:highlight w:val="none"/>
        </w:rPr>
        <w:t>开户银行：新疆皮山县农村信用合作联社</w:t>
      </w:r>
    </w:p>
    <w:p>
      <w:pPr>
        <w:spacing w:line="360" w:lineRule="auto"/>
        <w:ind w:left="720" w:leftChars="343" w:firstLine="4" w:firstLineChars="2"/>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auto"/>
          <w:sz w:val="24"/>
          <w:highlight w:val="none"/>
        </w:rPr>
        <w:t>注：投标保证金在</w:t>
      </w:r>
      <w:r>
        <w:rPr>
          <w:rFonts w:hint="eastAsia" w:ascii="宋体" w:hAnsi="宋体"/>
          <w:color w:val="auto"/>
          <w:sz w:val="24"/>
          <w:highlight w:val="none"/>
          <w:lang w:val="en-US" w:eastAsia="zh-CN"/>
        </w:rPr>
        <w:t>下载</w:t>
      </w:r>
      <w:r>
        <w:rPr>
          <w:rFonts w:hint="eastAsia" w:ascii="宋体" w:hAnsi="宋体"/>
          <w:color w:val="auto"/>
          <w:sz w:val="24"/>
          <w:highlight w:val="none"/>
        </w:rPr>
        <w:t>招标文件后的第二日，由投标单位的基本账户转至皮山县政府采购办指定账户，保证金截至时</w:t>
      </w:r>
      <w:r>
        <w:rPr>
          <w:rFonts w:hint="eastAsia" w:ascii="宋体" w:hAnsi="宋体"/>
          <w:color w:val="000000" w:themeColor="text1"/>
          <w:sz w:val="24"/>
          <w:highlight w:val="none"/>
          <w14:textFill>
            <w14:solidFill>
              <w14:schemeClr w14:val="tx1"/>
            </w14:solidFill>
          </w14:textFill>
        </w:rPr>
        <w:t>间为</w:t>
      </w:r>
      <w:r>
        <w:rPr>
          <w:rFonts w:hint="eastAsia" w:ascii="宋体" w:hAnsi="宋体"/>
          <w:color w:val="000000" w:themeColor="text1"/>
          <w:sz w:val="24"/>
          <w:highlight w:val="none"/>
          <w:lang w:eastAsia="zh-CN"/>
          <w14:textFill>
            <w14:solidFill>
              <w14:schemeClr w14:val="tx1"/>
            </w14:solidFill>
          </w14:textFill>
        </w:rPr>
        <w:t>2020年05月17日20:00（（北京时间）</w:t>
      </w:r>
    </w:p>
    <w:p>
      <w:pPr>
        <w:spacing w:line="360" w:lineRule="auto"/>
        <w:rPr>
          <w:rFonts w:ascii="宋体"/>
          <w:color w:val="auto"/>
          <w:sz w:val="24"/>
          <w:highlight w:val="none"/>
        </w:rPr>
      </w:pPr>
      <w:r>
        <w:rPr>
          <w:rFonts w:ascii="宋体" w:hAnsi="宋体"/>
          <w:color w:val="auto"/>
          <w:sz w:val="24"/>
          <w:highlight w:val="none"/>
        </w:rPr>
        <w:t>5.2</w:t>
      </w:r>
      <w:r>
        <w:rPr>
          <w:rFonts w:ascii="宋体" w:hAnsi="宋体"/>
          <w:color w:val="auto"/>
          <w:sz w:val="24"/>
          <w:highlight w:val="none"/>
        </w:rPr>
        <w:tab/>
      </w:r>
      <w:r>
        <w:rPr>
          <w:rFonts w:hint="eastAsia" w:ascii="宋体" w:hAnsi="宋体"/>
          <w:color w:val="auto"/>
          <w:sz w:val="24"/>
          <w:highlight w:val="none"/>
        </w:rPr>
        <w:t>招标人不接受非银行款项以外的有价证券抵押、货物抵押、存单抵押、往来款项抵押等形式作为投标保证金；</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5.3</w:t>
      </w:r>
      <w:r>
        <w:rPr>
          <w:rFonts w:ascii="宋体"/>
          <w:color w:val="auto"/>
          <w:sz w:val="24"/>
          <w:highlight w:val="none"/>
        </w:rPr>
        <w:tab/>
      </w:r>
      <w:r>
        <w:rPr>
          <w:rFonts w:hint="eastAsia" w:ascii="宋体" w:hAnsi="宋体"/>
          <w:color w:val="auto"/>
          <w:sz w:val="24"/>
          <w:szCs w:val="20"/>
          <w:highlight w:val="none"/>
        </w:rPr>
        <w:t>联合体投标的，可以由联合体中的一方或者共同提交投标保证金，以一方名义提交投标保证金的，对联合体各方均具有约束力。</w:t>
      </w:r>
      <w:r>
        <w:rPr>
          <w:rFonts w:ascii="宋体" w:hAnsi="宋体"/>
          <w:color w:val="auto"/>
          <w:sz w:val="24"/>
          <w:highlight w:val="none"/>
        </w:rPr>
        <w:t xml:space="preserve"> </w:t>
      </w:r>
    </w:p>
    <w:p>
      <w:pPr>
        <w:spacing w:line="360" w:lineRule="auto"/>
        <w:ind w:left="714" w:leftChars="1" w:hanging="712" w:hangingChars="297"/>
        <w:rPr>
          <w:rFonts w:hint="eastAsia" w:ascii="宋体" w:eastAsia="宋体"/>
          <w:color w:val="auto"/>
          <w:sz w:val="24"/>
          <w:highlight w:val="none"/>
          <w:lang w:eastAsia="zh-CN"/>
        </w:rPr>
      </w:pPr>
      <w:r>
        <w:rPr>
          <w:rFonts w:ascii="宋体" w:hAnsi="宋体"/>
          <w:color w:val="auto"/>
          <w:sz w:val="24"/>
          <w:highlight w:val="none"/>
        </w:rPr>
        <w:t>5.4</w:t>
      </w:r>
      <w:r>
        <w:rPr>
          <w:rFonts w:ascii="宋体"/>
          <w:color w:val="auto"/>
          <w:sz w:val="24"/>
          <w:highlight w:val="none"/>
        </w:rPr>
        <w:tab/>
      </w:r>
      <w:r>
        <w:rPr>
          <w:rFonts w:hint="eastAsia" w:ascii="宋体" w:hAnsi="宋体"/>
          <w:color w:val="auto"/>
          <w:sz w:val="24"/>
          <w:highlight w:val="none"/>
        </w:rPr>
        <w:t>中标人的投标保证金，在签订采购合同后，</w:t>
      </w:r>
      <w:r>
        <w:rPr>
          <w:rFonts w:hint="eastAsia" w:ascii="宋体" w:hAnsi="宋体"/>
          <w:color w:val="auto"/>
          <w:sz w:val="24"/>
          <w:highlight w:val="none"/>
          <w:lang w:val="en-US" w:eastAsia="zh-CN"/>
        </w:rPr>
        <w:t>7</w:t>
      </w:r>
      <w:r>
        <w:rPr>
          <w:rFonts w:hint="eastAsia" w:ascii="宋体" w:hAnsi="宋体"/>
          <w:color w:val="auto"/>
          <w:sz w:val="24"/>
          <w:highlight w:val="none"/>
        </w:rPr>
        <w:t>个工作日内无息退还</w:t>
      </w:r>
      <w:r>
        <w:rPr>
          <w:rFonts w:hint="eastAsia" w:ascii="宋体" w:hAnsi="宋体"/>
          <w:color w:val="auto"/>
          <w:sz w:val="24"/>
          <w:highlight w:val="none"/>
          <w:lang w:eastAsia="zh-CN"/>
        </w:rPr>
        <w:t>。</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6</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投标有效期</w:t>
      </w:r>
    </w:p>
    <w:p>
      <w:pPr>
        <w:spacing w:line="360" w:lineRule="auto"/>
        <w:ind w:left="714" w:leftChars="1" w:hanging="712" w:hangingChars="297"/>
        <w:rPr>
          <w:rFonts w:ascii="宋体"/>
          <w:color w:val="000000" w:themeColor="text1"/>
          <w:sz w:val="24"/>
          <w:highlight w:val="none"/>
          <w14:textFill>
            <w14:solidFill>
              <w14:schemeClr w14:val="tx1"/>
            </w14:solidFill>
          </w14:textFill>
        </w:rPr>
      </w:pPr>
      <w:r>
        <w:rPr>
          <w:rFonts w:ascii="宋体" w:hAnsi="宋体"/>
          <w:color w:val="auto"/>
          <w:sz w:val="24"/>
          <w:highlight w:val="none"/>
        </w:rPr>
        <w:t>6.1</w:t>
      </w:r>
      <w:r>
        <w:rPr>
          <w:rFonts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从投标截止起，投标报价的有效期为</w:t>
      </w:r>
      <w:r>
        <w:rPr>
          <w:rFonts w:hint="eastAsia" w:ascii="宋体" w:hAnsi="宋体"/>
          <w:color w:val="000000" w:themeColor="text1"/>
          <w:sz w:val="24"/>
          <w:highlight w:val="none"/>
          <w:lang w:val="en-US" w:eastAsia="zh-CN"/>
          <w14:textFill>
            <w14:solidFill>
              <w14:schemeClr w14:val="tx1"/>
            </w14:solidFill>
          </w14:textFill>
        </w:rPr>
        <w:t>30</w:t>
      </w:r>
      <w:r>
        <w:rPr>
          <w:rFonts w:hint="eastAsia" w:ascii="宋体" w:hAnsi="宋体"/>
          <w:color w:val="000000" w:themeColor="text1"/>
          <w:sz w:val="24"/>
          <w:highlight w:val="none"/>
          <w14:textFill>
            <w14:solidFill>
              <w14:schemeClr w14:val="tx1"/>
            </w14:solidFill>
          </w14:textFill>
        </w:rPr>
        <w:t>天；</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6.2</w:t>
      </w:r>
      <w:r>
        <w:rPr>
          <w:rFonts w:ascii="宋体" w:hAnsi="宋体"/>
          <w:color w:val="auto"/>
          <w:sz w:val="24"/>
          <w:highlight w:val="none"/>
        </w:rPr>
        <w:tab/>
      </w:r>
      <w:r>
        <w:rPr>
          <w:rFonts w:hint="eastAsia" w:ascii="宋体" w:hAnsi="宋体"/>
          <w:color w:val="auto"/>
          <w:sz w:val="24"/>
          <w:highlight w:val="none"/>
        </w:rPr>
        <w:t>特殊情况下，在投标有效期满之前，招标人可以以书面形式要求投标人同意延长投标有效期。投标人可以以书面形式拒绝或接受上述要求。对于接受该要求的投标人，招标人既不要求也不允许其修改投标文件。</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7</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招标文件的澄清</w:t>
      </w:r>
    </w:p>
    <w:p>
      <w:pPr>
        <w:spacing w:line="360" w:lineRule="auto"/>
        <w:ind w:left="714" w:leftChars="1" w:hanging="712" w:hangingChars="297"/>
        <w:rPr>
          <w:rFonts w:ascii="宋体"/>
          <w:b/>
          <w:bCs/>
          <w:color w:val="auto"/>
          <w:sz w:val="24"/>
          <w:highlight w:val="none"/>
        </w:rPr>
      </w:pPr>
      <w:r>
        <w:rPr>
          <w:rFonts w:ascii="宋体" w:hAnsi="宋体"/>
          <w:color w:val="auto"/>
          <w:sz w:val="24"/>
          <w:highlight w:val="none"/>
        </w:rPr>
        <w:t>7.1</w:t>
      </w:r>
      <w:r>
        <w:rPr>
          <w:rFonts w:ascii="宋体" w:hAnsi="宋体"/>
          <w:color w:val="auto"/>
          <w:sz w:val="24"/>
          <w:highlight w:val="none"/>
        </w:rPr>
        <w:tab/>
      </w:r>
      <w:r>
        <w:rPr>
          <w:rFonts w:hint="eastAsia" w:ascii="宋体" w:hAnsi="宋体"/>
          <w:color w:val="auto"/>
          <w:sz w:val="24"/>
          <w:highlight w:val="none"/>
        </w:rPr>
        <w:t>澄清是指招标人对招标文件中的遗漏、词义表述不清或对比较复杂的事项进行说明；</w:t>
      </w:r>
    </w:p>
    <w:p>
      <w:pPr>
        <w:shd w:val="clear" w:fill="FFFFFF" w:themeFill="background1"/>
        <w:spacing w:line="360" w:lineRule="auto"/>
        <w:ind w:left="714" w:leftChars="1" w:hanging="712" w:hangingChars="297"/>
        <w:rPr>
          <w:rFonts w:ascii="宋体"/>
          <w:color w:val="auto"/>
          <w:sz w:val="24"/>
          <w:highlight w:val="none"/>
        </w:rPr>
      </w:pPr>
      <w:r>
        <w:rPr>
          <w:rFonts w:ascii="宋体" w:hAnsi="宋体"/>
          <w:color w:val="auto"/>
          <w:sz w:val="24"/>
          <w:highlight w:val="none"/>
        </w:rPr>
        <w:t>7.2</w:t>
      </w:r>
      <w:r>
        <w:rPr>
          <w:rFonts w:ascii="宋体" w:hAnsi="宋体"/>
          <w:color w:val="auto"/>
          <w:sz w:val="24"/>
          <w:highlight w:val="none"/>
        </w:rPr>
        <w:tab/>
      </w:r>
      <w:r>
        <w:rPr>
          <w:rFonts w:hint="eastAsia" w:ascii="宋体" w:hAnsi="宋体"/>
          <w:color w:val="000000" w:themeColor="text1"/>
          <w:sz w:val="24"/>
          <w:highlight w:val="none"/>
          <w14:textFill>
            <w14:solidFill>
              <w14:schemeClr w14:val="tx1"/>
            </w14:solidFill>
          </w14:textFill>
        </w:rPr>
        <w:t>投标人对招标文件如有疑点，可要求澄清。如对招标文件内容有质疑，投标人应在投标截止10</w:t>
      </w:r>
      <w:r>
        <w:rPr>
          <w:rFonts w:ascii="宋体" w:hAnsi="宋体"/>
          <w:color w:val="000000" w:themeColor="text1"/>
          <w:sz w:val="24"/>
          <w:highlight w:val="none"/>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前按招标文件中载明的邮箱：</w:t>
      </w:r>
      <w:r>
        <w:rPr>
          <w:rFonts w:hint="eastAsia" w:ascii="宋体" w:hAnsi="宋体"/>
          <w:color w:val="000000" w:themeColor="text1"/>
          <w:sz w:val="24"/>
          <w:highlight w:val="none"/>
          <w:lang w:val="en-US" w:eastAsia="zh-CN"/>
          <w14:textFill>
            <w14:solidFill>
              <w14:schemeClr w14:val="tx1"/>
            </w14:solidFill>
          </w14:textFill>
        </w:rPr>
        <w:t>563093851@qq.com</w:t>
      </w:r>
      <w:r>
        <w:rPr>
          <w:rFonts w:hint="eastAsia" w:ascii="宋体" w:hAnsi="宋体"/>
          <w:color w:val="000000" w:themeColor="text1"/>
          <w:sz w:val="24"/>
          <w:highlight w:val="none"/>
          <w14:textFill>
            <w14:solidFill>
              <w14:schemeClr w14:val="tx1"/>
            </w14:solidFill>
          </w14:textFill>
        </w:rPr>
        <w:t>地址，以</w:t>
      </w:r>
      <w:r>
        <w:rPr>
          <w:rFonts w:hint="eastAsia" w:ascii="宋体" w:hAnsi="宋体"/>
          <w:color w:val="000000" w:themeColor="text1"/>
          <w:sz w:val="24"/>
          <w:highlight w:val="none"/>
          <w:lang w:val="en-US" w:eastAsia="zh-CN"/>
          <w14:textFill>
            <w14:solidFill>
              <w14:schemeClr w14:val="tx1"/>
            </w14:solidFill>
          </w14:textFill>
        </w:rPr>
        <w:t>PDF电子件</w:t>
      </w:r>
      <w:r>
        <w:rPr>
          <w:rFonts w:hint="eastAsia" w:ascii="宋体" w:hAnsi="宋体"/>
          <w:color w:val="000000" w:themeColor="text1"/>
          <w:sz w:val="24"/>
          <w:highlight w:val="none"/>
          <w14:textFill>
            <w14:solidFill>
              <w14:schemeClr w14:val="tx1"/>
            </w14:solidFill>
          </w14:textFill>
        </w:rPr>
        <w:t>形式通知招标人。招标人认为必要时，将（澄清）修改后的公告发布在新疆政府采购网，敬请投标企业及时关注。</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招标文件的修改</w:t>
      </w:r>
    </w:p>
    <w:p>
      <w:pPr>
        <w:spacing w:line="360" w:lineRule="auto"/>
        <w:ind w:left="714" w:leftChars="1" w:hanging="712" w:hangingChars="297"/>
        <w:rPr>
          <w:rFonts w:ascii="宋体" w:hAnsi="宋体"/>
          <w:b w:val="0"/>
          <w:bCs w:val="0"/>
          <w:color w:val="auto"/>
          <w:sz w:val="24"/>
          <w:highlight w:val="none"/>
        </w:rPr>
      </w:pPr>
      <w:r>
        <w:rPr>
          <w:rFonts w:ascii="宋体" w:hAnsi="宋体"/>
          <w:b w:val="0"/>
          <w:bCs w:val="0"/>
          <w:color w:val="auto"/>
          <w:sz w:val="24"/>
          <w:highlight w:val="none"/>
        </w:rPr>
        <w:t>8.1</w:t>
      </w:r>
      <w:r>
        <w:rPr>
          <w:rFonts w:ascii="宋体" w:hAnsi="宋体"/>
          <w:b w:val="0"/>
          <w:bCs w:val="0"/>
          <w:color w:val="auto"/>
          <w:sz w:val="24"/>
          <w:highlight w:val="none"/>
        </w:rPr>
        <w:tab/>
      </w:r>
      <w:r>
        <w:rPr>
          <w:rFonts w:hint="eastAsia" w:ascii="宋体" w:hAnsi="宋体"/>
          <w:b w:val="0"/>
          <w:bCs w:val="0"/>
          <w:color w:val="auto"/>
          <w:sz w:val="24"/>
          <w:highlight w:val="none"/>
        </w:rPr>
        <w:t>在投标截止前，招标人可主动地或在解答投标人提出的澄清问题时对招标文件进行修改；</w:t>
      </w:r>
    </w:p>
    <w:p>
      <w:pPr>
        <w:spacing w:line="360" w:lineRule="auto"/>
        <w:ind w:left="714" w:leftChars="1" w:hanging="712" w:hangingChars="297"/>
        <w:rPr>
          <w:rFonts w:ascii="宋体" w:hAnsi="宋体"/>
          <w:b w:val="0"/>
          <w:bCs w:val="0"/>
          <w:color w:val="auto"/>
          <w:sz w:val="24"/>
          <w:highlight w:val="none"/>
        </w:rPr>
      </w:pPr>
      <w:r>
        <w:rPr>
          <w:rFonts w:ascii="宋体" w:hAnsi="宋体"/>
          <w:b w:val="0"/>
          <w:bCs w:val="0"/>
          <w:color w:val="auto"/>
          <w:sz w:val="24"/>
          <w:highlight w:val="none"/>
        </w:rPr>
        <w:t>8.2</w:t>
      </w:r>
      <w:r>
        <w:rPr>
          <w:rFonts w:ascii="宋体" w:hAnsi="宋体"/>
          <w:b w:val="0"/>
          <w:bCs w:val="0"/>
          <w:color w:val="auto"/>
          <w:sz w:val="24"/>
          <w:highlight w:val="none"/>
        </w:rPr>
        <w:tab/>
      </w:r>
      <w:r>
        <w:rPr>
          <w:rFonts w:hint="eastAsia" w:ascii="宋体" w:hAnsi="宋体"/>
          <w:b w:val="0"/>
          <w:bCs w:val="0"/>
          <w:color w:val="auto"/>
          <w:sz w:val="24"/>
          <w:highlight w:val="none"/>
        </w:rPr>
        <w:t>招标文件的修改内容称为修改文件，是招标文件的组成部分。如有修改文件，招标人应当在提交投标文件截止时间十五日前，在新疆政府采购网</w:t>
      </w:r>
      <w:r>
        <w:rPr>
          <w:rFonts w:hint="eastAsia" w:ascii="宋体" w:hAnsi="宋体"/>
          <w:b w:val="0"/>
          <w:bCs w:val="0"/>
          <w:color w:val="auto"/>
          <w:sz w:val="24"/>
          <w:highlight w:val="none"/>
          <w:lang w:eastAsia="zh-CN"/>
        </w:rPr>
        <w:t>上</w:t>
      </w:r>
      <w:r>
        <w:rPr>
          <w:rFonts w:hint="eastAsia" w:ascii="宋体" w:hAnsi="宋体"/>
          <w:b w:val="0"/>
          <w:bCs w:val="0"/>
          <w:color w:val="auto"/>
          <w:sz w:val="24"/>
          <w:highlight w:val="none"/>
        </w:rPr>
        <w:t>发布媒体上发布更正公告，并以书面形式（包括信函、传真）告知所有招标文件的收受人。投标人则应以传真、信函等书面形式确认已收到修改文件；</w:t>
      </w:r>
    </w:p>
    <w:p>
      <w:pPr>
        <w:spacing w:line="360" w:lineRule="auto"/>
        <w:ind w:left="714" w:leftChars="1" w:hanging="712" w:hangingChars="297"/>
        <w:rPr>
          <w:rFonts w:ascii="宋体" w:hAnsi="宋体"/>
          <w:b w:val="0"/>
          <w:bCs w:val="0"/>
          <w:color w:val="auto"/>
          <w:sz w:val="24"/>
          <w:highlight w:val="none"/>
        </w:rPr>
      </w:pPr>
      <w:r>
        <w:rPr>
          <w:rFonts w:ascii="宋体" w:hAnsi="宋体"/>
          <w:b w:val="0"/>
          <w:bCs w:val="0"/>
          <w:color w:val="auto"/>
          <w:sz w:val="24"/>
          <w:highlight w:val="none"/>
        </w:rPr>
        <w:t>8.3</w:t>
      </w:r>
      <w:r>
        <w:rPr>
          <w:rFonts w:ascii="宋体" w:hAnsi="宋体"/>
          <w:b w:val="0"/>
          <w:bCs w:val="0"/>
          <w:color w:val="auto"/>
          <w:sz w:val="24"/>
          <w:highlight w:val="none"/>
        </w:rPr>
        <w:tab/>
      </w:r>
      <w:r>
        <w:rPr>
          <w:rFonts w:hint="eastAsia" w:ascii="宋体" w:hAnsi="宋体"/>
          <w:b w:val="0"/>
          <w:bCs w:val="0"/>
          <w:color w:val="auto"/>
          <w:sz w:val="24"/>
          <w:highlight w:val="none"/>
        </w:rPr>
        <w:t>为使投标人有充分时间对招标文件进行研究，招标人可酌情延长投标截止日期，但至少应当在提交投标文件的截止时间三日前，将变更时间书面通知所有招标文件收受人，并在新疆政府采购网</w:t>
      </w:r>
      <w:r>
        <w:rPr>
          <w:rFonts w:hint="eastAsia" w:ascii="宋体" w:hAnsi="宋体"/>
          <w:b w:val="0"/>
          <w:bCs w:val="0"/>
          <w:color w:val="auto"/>
          <w:sz w:val="24"/>
          <w:highlight w:val="none"/>
          <w:lang w:eastAsia="zh-CN"/>
        </w:rPr>
        <w:t>上</w:t>
      </w:r>
      <w:r>
        <w:rPr>
          <w:rFonts w:hint="eastAsia" w:ascii="宋体" w:hAnsi="宋体"/>
          <w:b w:val="0"/>
          <w:bCs w:val="0"/>
          <w:color w:val="auto"/>
          <w:sz w:val="24"/>
          <w:highlight w:val="none"/>
        </w:rPr>
        <w:t>发布变更公告。</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投标费用</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9.1</w:t>
      </w:r>
      <w:r>
        <w:rPr>
          <w:rFonts w:ascii="宋体" w:hAnsi="宋体"/>
          <w:color w:val="auto"/>
          <w:sz w:val="24"/>
          <w:highlight w:val="none"/>
        </w:rPr>
        <w:tab/>
      </w:r>
      <w:r>
        <w:rPr>
          <w:rFonts w:hint="eastAsia" w:ascii="宋体" w:hAnsi="宋体"/>
          <w:color w:val="auto"/>
          <w:sz w:val="24"/>
          <w:highlight w:val="none"/>
        </w:rPr>
        <w:t>投标人参加投标，无论投标结果如何，投标人自行承担所有与投标有关的全部费用</w:t>
      </w:r>
    </w:p>
    <w:p>
      <w:pPr>
        <w:spacing w:line="360" w:lineRule="auto"/>
        <w:rPr>
          <w:rFonts w:hint="eastAsia"/>
          <w:color w:val="auto"/>
          <w:sz w:val="24"/>
          <w:highlight w:val="none"/>
        </w:rPr>
      </w:pPr>
      <w:r>
        <w:rPr>
          <w:rFonts w:ascii="宋体" w:hAnsi="宋体"/>
          <w:color w:val="auto"/>
          <w:sz w:val="24"/>
          <w:highlight w:val="none"/>
        </w:rPr>
        <w:t xml:space="preserve">9.2   </w:t>
      </w:r>
      <w:r>
        <w:rPr>
          <w:rFonts w:hint="eastAsia" w:ascii="宋体" w:hAnsi="宋体"/>
          <w:color w:val="auto"/>
          <w:sz w:val="24"/>
          <w:highlight w:val="none"/>
        </w:rPr>
        <w:t>本项目招标文件</w:t>
      </w:r>
      <w:r>
        <w:rPr>
          <w:rFonts w:hint="eastAsia"/>
          <w:color w:val="auto"/>
          <w:sz w:val="24"/>
          <w:highlight w:val="none"/>
        </w:rPr>
        <w:t>每份售价人民币</w:t>
      </w:r>
      <w:r>
        <w:rPr>
          <w:color w:val="auto"/>
          <w:sz w:val="24"/>
          <w:highlight w:val="none"/>
        </w:rPr>
        <w:t>200.00</w:t>
      </w:r>
      <w:r>
        <w:rPr>
          <w:rFonts w:hint="eastAsia"/>
          <w:color w:val="auto"/>
          <w:sz w:val="24"/>
          <w:highlight w:val="none"/>
        </w:rPr>
        <w:t>元</w:t>
      </w:r>
      <w:r>
        <w:rPr>
          <w:rFonts w:hint="eastAsia"/>
          <w:color w:val="auto"/>
          <w:sz w:val="24"/>
          <w:highlight w:val="none"/>
          <w:lang w:val="en-US" w:eastAsia="zh-CN"/>
        </w:rPr>
        <w:t xml:space="preserve">/份 </w:t>
      </w:r>
      <w:r>
        <w:rPr>
          <w:rFonts w:hint="eastAsia"/>
          <w:color w:val="auto"/>
          <w:sz w:val="24"/>
          <w:highlight w:val="none"/>
        </w:rPr>
        <w:t>（贰佰元整）</w:t>
      </w:r>
      <w:r>
        <w:rPr>
          <w:rFonts w:hint="eastAsia"/>
          <w:color w:val="auto"/>
          <w:sz w:val="24"/>
          <w:highlight w:val="none"/>
          <w:lang w:eastAsia="zh-CN"/>
        </w:rPr>
        <w:t>（</w:t>
      </w:r>
      <w:r>
        <w:rPr>
          <w:rFonts w:hint="eastAsia"/>
          <w:color w:val="auto"/>
          <w:sz w:val="24"/>
          <w:highlight w:val="none"/>
          <w:lang w:val="en-US" w:eastAsia="zh-CN"/>
        </w:rPr>
        <w:t>开标现场缴纳招标文件费</w:t>
      </w:r>
      <w:r>
        <w:rPr>
          <w:rFonts w:hint="eastAsia"/>
          <w:color w:val="auto"/>
          <w:sz w:val="24"/>
          <w:highlight w:val="none"/>
          <w:lang w:eastAsia="zh-CN"/>
        </w:rPr>
        <w:t>）</w:t>
      </w:r>
      <w:r>
        <w:rPr>
          <w:rFonts w:hint="eastAsia"/>
          <w:color w:val="auto"/>
          <w:sz w:val="24"/>
          <w:highlight w:val="none"/>
        </w:rPr>
        <w:t>。</w:t>
      </w:r>
    </w:p>
    <w:p>
      <w:pPr>
        <w:spacing w:line="360" w:lineRule="auto"/>
        <w:rPr>
          <w:rFonts w:ascii="宋体"/>
          <w:color w:val="auto"/>
          <w:sz w:val="24"/>
          <w:highlight w:val="none"/>
        </w:rPr>
      </w:pPr>
      <w:r>
        <w:rPr>
          <w:rFonts w:ascii="宋体" w:hAnsi="宋体"/>
          <w:color w:val="auto"/>
          <w:sz w:val="24"/>
          <w:highlight w:val="none"/>
        </w:rPr>
        <w:t xml:space="preserve">9.3  </w:t>
      </w:r>
      <w:r>
        <w:rPr>
          <w:rFonts w:hint="eastAsia" w:ascii="宋体" w:hAnsi="宋体"/>
          <w:color w:val="auto"/>
          <w:sz w:val="24"/>
          <w:highlight w:val="none"/>
        </w:rPr>
        <w:t>本项目招标代理费</w:t>
      </w:r>
      <w:r>
        <w:rPr>
          <w:rFonts w:hint="eastAsia" w:ascii="宋体" w:hAnsi="宋体"/>
          <w:color w:val="auto"/>
          <w:sz w:val="24"/>
          <w:highlight w:val="none"/>
          <w:lang w:val="en-US" w:eastAsia="zh-CN"/>
        </w:rPr>
        <w:t>与采购人签订合同约定</w:t>
      </w:r>
      <w:r>
        <w:rPr>
          <w:rFonts w:hint="eastAsia" w:ascii="宋体" w:hAnsi="宋体"/>
          <w:color w:val="auto"/>
          <w:sz w:val="24"/>
          <w:highlight w:val="none"/>
        </w:rPr>
        <w:t>。</w:t>
      </w:r>
    </w:p>
    <w:p>
      <w:pPr>
        <w:spacing w:line="360" w:lineRule="auto"/>
        <w:ind w:left="482" w:leftChars="1" w:hanging="480" w:hangingChars="200"/>
        <w:rPr>
          <w:rFonts w:ascii="宋体"/>
          <w:color w:val="auto"/>
          <w:sz w:val="24"/>
          <w:highlight w:val="none"/>
        </w:rPr>
      </w:pPr>
      <w:r>
        <w:rPr>
          <w:rFonts w:ascii="宋体" w:hAnsi="宋体"/>
          <w:color w:val="auto"/>
          <w:sz w:val="24"/>
          <w:highlight w:val="none"/>
        </w:rPr>
        <w:t>9.</w:t>
      </w:r>
      <w:r>
        <w:rPr>
          <w:rFonts w:hint="eastAsia" w:ascii="宋体" w:hAnsi="宋体"/>
          <w:color w:val="auto"/>
          <w:sz w:val="24"/>
          <w:highlight w:val="none"/>
          <w:lang w:val="en-US" w:eastAsia="zh-CN"/>
        </w:rPr>
        <w:t>4</w:t>
      </w:r>
      <w:r>
        <w:rPr>
          <w:rFonts w:ascii="宋体" w:hAnsi="宋体"/>
          <w:color w:val="auto"/>
          <w:sz w:val="24"/>
          <w:highlight w:val="none"/>
        </w:rPr>
        <w:t xml:space="preserve">  </w:t>
      </w:r>
      <w:r>
        <w:rPr>
          <w:rFonts w:hint="eastAsia" w:ascii="宋体" w:hAnsi="宋体"/>
          <w:color w:val="auto"/>
          <w:sz w:val="24"/>
          <w:highlight w:val="none"/>
        </w:rPr>
        <w:t>应</w:t>
      </w:r>
      <w:r>
        <w:rPr>
          <w:rFonts w:hint="eastAsia" w:ascii="宋体" w:hAnsi="宋体"/>
          <w:color w:val="auto"/>
          <w:sz w:val="24"/>
          <w:highlight w:val="none"/>
          <w:lang w:val="en-US" w:eastAsia="zh-CN"/>
        </w:rPr>
        <w:t>招</w:t>
      </w:r>
      <w:r>
        <w:rPr>
          <w:rFonts w:hint="eastAsia" w:ascii="宋体" w:hAnsi="宋体"/>
          <w:color w:val="auto"/>
          <w:sz w:val="24"/>
          <w:highlight w:val="none"/>
        </w:rPr>
        <w:t>标人要求不组织踏勘项目现场。</w:t>
      </w:r>
    </w:p>
    <w:p>
      <w:pPr>
        <w:numPr>
          <w:ilvl w:val="0"/>
          <w:numId w:val="0"/>
        </w:numPr>
        <w:spacing w:line="360" w:lineRule="auto"/>
        <w:ind w:left="723" w:leftChars="0" w:hanging="723" w:hangingChars="300"/>
        <w:jc w:val="left"/>
        <w:rPr>
          <w:rFonts w:ascii="宋体"/>
          <w:b/>
          <w:color w:val="auto"/>
          <w:sz w:val="24"/>
          <w:highlight w:val="none"/>
        </w:rPr>
      </w:pPr>
      <w:r>
        <w:rPr>
          <w:rFonts w:ascii="宋体" w:hAnsi="宋体"/>
          <w:b/>
          <w:color w:val="auto"/>
          <w:sz w:val="24"/>
          <w:highlight w:val="none"/>
        </w:rPr>
        <w:t>9.</w:t>
      </w:r>
      <w:r>
        <w:rPr>
          <w:rFonts w:hint="eastAsia" w:ascii="宋体" w:hAnsi="宋体"/>
          <w:b/>
          <w:color w:val="auto"/>
          <w:sz w:val="24"/>
          <w:highlight w:val="none"/>
          <w:lang w:val="en-US" w:eastAsia="zh-CN"/>
        </w:rPr>
        <w:t xml:space="preserve">5  </w:t>
      </w:r>
      <w:r>
        <w:rPr>
          <w:rFonts w:hint="eastAsia" w:ascii="宋体" w:hAnsi="宋体"/>
          <w:b/>
          <w:color w:val="auto"/>
          <w:sz w:val="24"/>
          <w:highlight w:val="none"/>
        </w:rPr>
        <w:t>本项目采购概算价为：</w:t>
      </w:r>
      <w:r>
        <w:rPr>
          <w:rFonts w:hint="eastAsia" w:ascii="宋体" w:hAnsi="宋体"/>
          <w:b/>
          <w:color w:val="auto"/>
          <w:sz w:val="24"/>
          <w:highlight w:val="none"/>
          <w:lang w:val="en-US" w:eastAsia="zh-CN"/>
        </w:rPr>
        <w:t>874.43万元</w:t>
      </w:r>
      <w:r>
        <w:rPr>
          <w:rFonts w:hint="eastAsia" w:ascii="宋体" w:hAnsi="宋体"/>
          <w:b/>
          <w:color w:val="auto"/>
          <w:sz w:val="24"/>
          <w:highlight w:val="none"/>
          <w:lang w:eastAsia="zh-CN"/>
        </w:rPr>
        <w:t>，</w:t>
      </w:r>
      <w:r>
        <w:rPr>
          <w:rFonts w:hint="eastAsia" w:ascii="宋体" w:hAnsi="宋体"/>
          <w:b/>
          <w:color w:val="auto"/>
          <w:sz w:val="24"/>
          <w:highlight w:val="none"/>
        </w:rPr>
        <w:t>投标人投标报价超出此采购概算价废标处理。</w:t>
      </w:r>
      <w:r>
        <w:rPr>
          <w:rFonts w:ascii="宋体" w:hAnsi="宋体"/>
          <w:b/>
          <w:color w:val="auto"/>
          <w:sz w:val="24"/>
          <w:highlight w:val="none"/>
        </w:rPr>
        <w:br w:type="page"/>
      </w:r>
      <w:r>
        <w:rPr>
          <w:rFonts w:hint="eastAsia" w:ascii="宋体" w:hAnsi="宋体"/>
          <w:b/>
          <w:color w:val="auto"/>
          <w:sz w:val="24"/>
          <w:highlight w:val="none"/>
          <w:lang w:val="en-US" w:eastAsia="zh-CN"/>
        </w:rPr>
        <w:t xml:space="preserve">               </w:t>
      </w:r>
      <w:r>
        <w:rPr>
          <w:rFonts w:ascii="宋体" w:hAnsi="宋体"/>
          <w:b/>
          <w:color w:val="auto"/>
          <w:sz w:val="24"/>
          <w:highlight w:val="none"/>
        </w:rPr>
        <w:t xml:space="preserve">B   </w:t>
      </w:r>
      <w:r>
        <w:rPr>
          <w:rFonts w:hint="eastAsia" w:ascii="宋体" w:hAnsi="宋体"/>
          <w:b/>
          <w:color w:val="auto"/>
          <w:sz w:val="24"/>
          <w:highlight w:val="none"/>
        </w:rPr>
        <w:t>投标文件的编写</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一般要求</w:t>
      </w:r>
    </w:p>
    <w:p>
      <w:pPr>
        <w:spacing w:line="360" w:lineRule="auto"/>
        <w:ind w:left="714" w:leftChars="1" w:hanging="712" w:hangingChars="297"/>
        <w:rPr>
          <w:rFonts w:ascii="宋体" w:hAnsi="宋体"/>
          <w:b w:val="0"/>
          <w:bCs w:val="0"/>
          <w:color w:val="auto"/>
          <w:sz w:val="24"/>
          <w:highlight w:val="none"/>
        </w:rPr>
      </w:pPr>
      <w:r>
        <w:rPr>
          <w:rFonts w:ascii="宋体" w:hAnsi="宋体"/>
          <w:b w:val="0"/>
          <w:bCs w:val="0"/>
          <w:color w:val="auto"/>
          <w:sz w:val="24"/>
          <w:highlight w:val="none"/>
        </w:rPr>
        <w:t>10.1</w:t>
      </w:r>
      <w:r>
        <w:rPr>
          <w:rFonts w:ascii="宋体" w:hAnsi="宋体"/>
          <w:b w:val="0"/>
          <w:bCs w:val="0"/>
          <w:color w:val="auto"/>
          <w:sz w:val="24"/>
          <w:highlight w:val="none"/>
        </w:rPr>
        <w:tab/>
      </w:r>
      <w:r>
        <w:rPr>
          <w:rFonts w:hint="eastAsia" w:ascii="宋体" w:hAnsi="宋体"/>
          <w:b w:val="0"/>
          <w:bCs w:val="0"/>
          <w:color w:val="auto"/>
          <w:sz w:val="24"/>
          <w:highlight w:val="none"/>
        </w:rPr>
        <w:t>投标人应仔细阅读招标文件的所有内容，按招标文件的要求提供投标文件，并保证所提供的全部资料真实有效；</w:t>
      </w:r>
    </w:p>
    <w:p>
      <w:pPr>
        <w:spacing w:line="360" w:lineRule="auto"/>
        <w:ind w:left="714" w:leftChars="1" w:hanging="712" w:hangingChars="297"/>
        <w:rPr>
          <w:rFonts w:ascii="宋体" w:hAnsi="宋体"/>
          <w:b w:val="0"/>
          <w:bCs w:val="0"/>
          <w:color w:val="auto"/>
          <w:sz w:val="24"/>
          <w:highlight w:val="none"/>
        </w:rPr>
      </w:pPr>
      <w:r>
        <w:rPr>
          <w:rFonts w:ascii="宋体" w:hAnsi="宋体"/>
          <w:b w:val="0"/>
          <w:bCs w:val="0"/>
          <w:color w:val="auto"/>
          <w:sz w:val="24"/>
          <w:highlight w:val="none"/>
        </w:rPr>
        <w:t>10.2</w:t>
      </w:r>
      <w:r>
        <w:rPr>
          <w:rFonts w:ascii="宋体" w:hAnsi="宋体"/>
          <w:b w:val="0"/>
          <w:bCs w:val="0"/>
          <w:color w:val="auto"/>
          <w:sz w:val="24"/>
          <w:highlight w:val="none"/>
        </w:rPr>
        <w:tab/>
      </w:r>
      <w:r>
        <w:rPr>
          <w:rFonts w:hint="eastAsia" w:ascii="宋体" w:hAnsi="宋体"/>
          <w:b w:val="0"/>
          <w:bCs w:val="0"/>
          <w:color w:val="auto"/>
          <w:sz w:val="24"/>
          <w:highlight w:val="none"/>
        </w:rPr>
        <w:t>投标文件的语言文字为中文汉字，外语或少数民族文字，必须译成中文汉字；</w:t>
      </w:r>
    </w:p>
    <w:p>
      <w:pPr>
        <w:spacing w:line="360" w:lineRule="auto"/>
        <w:ind w:left="714" w:leftChars="1" w:hanging="712" w:hangingChars="297"/>
        <w:rPr>
          <w:rFonts w:ascii="宋体" w:hAnsi="宋体"/>
          <w:b w:val="0"/>
          <w:bCs w:val="0"/>
          <w:color w:val="auto"/>
          <w:sz w:val="24"/>
          <w:highlight w:val="none"/>
        </w:rPr>
      </w:pPr>
      <w:r>
        <w:rPr>
          <w:rFonts w:ascii="宋体" w:hAnsi="宋体"/>
          <w:b w:val="0"/>
          <w:bCs w:val="0"/>
          <w:color w:val="auto"/>
          <w:sz w:val="24"/>
          <w:highlight w:val="none"/>
        </w:rPr>
        <w:t>10.3</w:t>
      </w:r>
      <w:r>
        <w:rPr>
          <w:rFonts w:ascii="宋体" w:hAnsi="宋体"/>
          <w:b w:val="0"/>
          <w:bCs w:val="0"/>
          <w:color w:val="auto"/>
          <w:sz w:val="24"/>
          <w:highlight w:val="none"/>
        </w:rPr>
        <w:tab/>
      </w:r>
      <w:r>
        <w:rPr>
          <w:rFonts w:hint="eastAsia" w:ascii="宋体" w:hAnsi="宋体"/>
          <w:b w:val="0"/>
          <w:bCs w:val="0"/>
          <w:color w:val="auto"/>
          <w:sz w:val="24"/>
          <w:highlight w:val="none"/>
        </w:rPr>
        <w:t>投标文件的书面内容不得有模糊不清、加行、涂抹或改写；</w:t>
      </w:r>
    </w:p>
    <w:p>
      <w:pPr>
        <w:spacing w:line="360" w:lineRule="auto"/>
        <w:ind w:left="714" w:leftChars="1" w:hanging="712" w:hangingChars="297"/>
        <w:rPr>
          <w:rFonts w:hint="eastAsia" w:ascii="宋体" w:hAnsi="宋体"/>
          <w:b w:val="0"/>
          <w:bCs w:val="0"/>
          <w:color w:val="auto"/>
          <w:sz w:val="24"/>
          <w:highlight w:val="none"/>
        </w:rPr>
      </w:pPr>
      <w:r>
        <w:rPr>
          <w:rFonts w:ascii="宋体" w:hAnsi="宋体"/>
          <w:b w:val="0"/>
          <w:bCs w:val="0"/>
          <w:color w:val="auto"/>
          <w:sz w:val="24"/>
          <w:highlight w:val="none"/>
        </w:rPr>
        <w:t>10.4</w:t>
      </w:r>
      <w:r>
        <w:rPr>
          <w:rFonts w:ascii="宋体" w:hAnsi="宋体"/>
          <w:b w:val="0"/>
          <w:bCs w:val="0"/>
          <w:color w:val="auto"/>
          <w:sz w:val="24"/>
          <w:highlight w:val="none"/>
        </w:rPr>
        <w:tab/>
      </w:r>
      <w:r>
        <w:rPr>
          <w:rFonts w:hint="eastAsia" w:ascii="宋体" w:hAnsi="宋体"/>
          <w:b w:val="0"/>
          <w:bCs w:val="0"/>
          <w:color w:val="auto"/>
          <w:sz w:val="24"/>
          <w:highlight w:val="none"/>
        </w:rPr>
        <w:t>投标文件纸质版一套（包括资格类文件和投标主要文件）：一式伍份（正本1份、副本</w:t>
      </w:r>
      <w:r>
        <w:rPr>
          <w:rFonts w:hint="eastAsia" w:ascii="宋体" w:hAnsi="宋体"/>
          <w:b w:val="0"/>
          <w:bCs w:val="0"/>
          <w:color w:val="auto"/>
          <w:sz w:val="24"/>
          <w:highlight w:val="none"/>
          <w:lang w:val="en-US" w:eastAsia="zh-CN"/>
        </w:rPr>
        <w:t>4</w:t>
      </w:r>
      <w:r>
        <w:rPr>
          <w:rFonts w:hint="eastAsia" w:ascii="宋体" w:hAnsi="宋体"/>
          <w:b w:val="0"/>
          <w:bCs w:val="0"/>
          <w:color w:val="auto"/>
          <w:sz w:val="24"/>
          <w:highlight w:val="none"/>
        </w:rPr>
        <w:t>份）电子版一套（与纸质版相一致）：U盘一份。</w:t>
      </w:r>
    </w:p>
    <w:p>
      <w:pPr>
        <w:spacing w:line="360" w:lineRule="auto"/>
        <w:ind w:left="718" w:leftChars="1" w:hanging="716" w:hangingChars="297"/>
        <w:rPr>
          <w:rFonts w:hint="eastAsia" w:ascii="宋体" w:hAnsi="宋体"/>
          <w:b w:val="0"/>
          <w:bCs w:val="0"/>
          <w:color w:val="auto"/>
          <w:sz w:val="24"/>
          <w:highlight w:val="none"/>
          <w:lang w:val="en-US" w:eastAsia="zh-CN"/>
        </w:rPr>
      </w:pPr>
      <w:r>
        <w:rPr>
          <w:rFonts w:ascii="宋体" w:hAnsi="宋体"/>
          <w:b/>
          <w:bCs/>
          <w:color w:val="auto"/>
          <w:sz w:val="24"/>
          <w:highlight w:val="none"/>
        </w:rPr>
        <w:t>11</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val="0"/>
          <w:bCs w:val="0"/>
          <w:color w:val="auto"/>
          <w:sz w:val="24"/>
          <w:highlight w:val="none"/>
          <w:lang w:val="en-US" w:eastAsia="zh-CN"/>
        </w:rPr>
        <w:t>投标文件由以下部分构成</w:t>
      </w:r>
    </w:p>
    <w:p>
      <w:pPr>
        <w:spacing w:line="360" w:lineRule="auto"/>
        <w:ind w:left="714" w:leftChars="1" w:hanging="712" w:hangingChars="297"/>
        <w:rPr>
          <w:rFonts w:ascii="宋体"/>
          <w:b/>
          <w:color w:val="auto"/>
          <w:sz w:val="24"/>
          <w:highlight w:val="none"/>
        </w:rPr>
      </w:pPr>
      <w:r>
        <w:rPr>
          <w:rFonts w:hint="eastAsia" w:ascii="宋体" w:hAnsi="宋体"/>
          <w:color w:val="auto"/>
          <w:sz w:val="24"/>
          <w:highlight w:val="none"/>
        </w:rPr>
        <w:t>11.1</w:t>
      </w:r>
      <w:r>
        <w:rPr>
          <w:rFonts w:hint="eastAsia" w:ascii="宋体" w:hAnsi="宋体"/>
          <w:color w:val="auto"/>
          <w:sz w:val="24"/>
          <w:highlight w:val="none"/>
        </w:rPr>
        <w:tab/>
      </w:r>
      <w:r>
        <w:rPr>
          <w:rFonts w:hint="eastAsia" w:ascii="宋体" w:hAnsi="宋体"/>
          <w:color w:val="auto"/>
          <w:sz w:val="24"/>
          <w:highlight w:val="none"/>
        </w:rPr>
        <w:t>投标文件由商务部分、技术部分、价格部分和其他部分组成主要包括：投标函、投标报价表、规格响应表、产品配置清单、质量保证承诺书及售后服务承诺书、主要经营业绩、投标资格证明文件以及投标人认为需要加以说明的其他内容等。详见本招标文件第五部分投标文件的内容及格式。签字盖章后</w:t>
      </w:r>
      <w:r>
        <w:rPr>
          <w:rFonts w:hint="eastAsia" w:ascii="宋体" w:hAnsi="宋体"/>
          <w:b/>
          <w:color w:val="auto"/>
          <w:sz w:val="24"/>
          <w:highlight w:val="none"/>
        </w:rPr>
        <w:t>，将投标文件采用</w:t>
      </w:r>
      <w:r>
        <w:rPr>
          <w:rFonts w:hint="eastAsia" w:ascii="宋体" w:hAnsi="宋体"/>
          <w:b/>
          <w:color w:val="auto"/>
          <w:sz w:val="24"/>
          <w:highlight w:val="none"/>
          <w:u w:val="single"/>
        </w:rPr>
        <w:t>死页胶装方式</w:t>
      </w:r>
      <w:r>
        <w:rPr>
          <w:rFonts w:hint="eastAsia" w:ascii="宋体" w:hAnsi="宋体"/>
          <w:b/>
          <w:color w:val="auto"/>
          <w:sz w:val="24"/>
          <w:highlight w:val="none"/>
        </w:rPr>
        <w:t>装订成册</w:t>
      </w:r>
      <w:r>
        <w:rPr>
          <w:rFonts w:ascii="宋体"/>
          <w:b/>
          <w:color w:val="auto"/>
          <w:sz w:val="24"/>
          <w:highlight w:val="none"/>
        </w:rPr>
        <w:t>,</w:t>
      </w:r>
      <w:r>
        <w:rPr>
          <w:rFonts w:hint="eastAsia" w:ascii="宋体" w:hAnsi="宋体"/>
          <w:b/>
          <w:color w:val="auto"/>
          <w:sz w:val="24"/>
          <w:highlight w:val="none"/>
        </w:rPr>
        <w:t>装订应牢固、不易拆散和换页，不得采用活页装订，否则按无效标处理。</w:t>
      </w:r>
    </w:p>
    <w:p>
      <w:pPr>
        <w:spacing w:line="360" w:lineRule="auto"/>
        <w:ind w:left="718" w:leftChars="1" w:hanging="716" w:hangingChars="297"/>
        <w:rPr>
          <w:rFonts w:ascii="宋体"/>
          <w:b/>
          <w:color w:val="auto"/>
          <w:sz w:val="24"/>
          <w:highlight w:val="none"/>
        </w:rPr>
      </w:pP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报价</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12.1</w:t>
      </w:r>
      <w:r>
        <w:rPr>
          <w:rFonts w:ascii="宋体" w:hAnsi="宋体"/>
          <w:color w:val="auto"/>
          <w:sz w:val="24"/>
          <w:highlight w:val="none"/>
        </w:rPr>
        <w:tab/>
      </w:r>
      <w:r>
        <w:rPr>
          <w:rFonts w:hint="eastAsia" w:ascii="宋体" w:hAnsi="宋体"/>
          <w:color w:val="auto"/>
          <w:sz w:val="24"/>
          <w:highlight w:val="none"/>
        </w:rPr>
        <w:t>除招标文件中另有规定外，计量单位为我国法定计量单位；</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12.2</w:t>
      </w:r>
      <w:r>
        <w:rPr>
          <w:rFonts w:ascii="宋体" w:hAnsi="宋体"/>
          <w:color w:val="auto"/>
          <w:sz w:val="24"/>
          <w:highlight w:val="none"/>
        </w:rPr>
        <w:tab/>
      </w:r>
      <w:r>
        <w:rPr>
          <w:rFonts w:hint="eastAsia" w:ascii="宋体" w:hAnsi="宋体"/>
          <w:color w:val="auto"/>
          <w:sz w:val="24"/>
          <w:highlight w:val="none"/>
        </w:rPr>
        <w:t>投标报价、货款一律使用人民币，以“元”为单位；</w:t>
      </w:r>
    </w:p>
    <w:p>
      <w:pPr>
        <w:spacing w:line="360" w:lineRule="auto"/>
        <w:ind w:left="714" w:leftChars="1" w:hanging="712" w:hangingChars="297"/>
        <w:rPr>
          <w:rFonts w:hint="eastAsia" w:ascii="宋体" w:hAnsi="宋体"/>
          <w:color w:val="000000" w:themeColor="text1"/>
          <w:sz w:val="24"/>
          <w:highlight w:val="none"/>
          <w14:textFill>
            <w14:solidFill>
              <w14:schemeClr w14:val="tx1"/>
            </w14:solidFill>
          </w14:textFill>
        </w:rPr>
      </w:pPr>
      <w:r>
        <w:rPr>
          <w:rFonts w:ascii="宋体" w:hAnsi="宋体"/>
          <w:color w:val="auto"/>
          <w:sz w:val="24"/>
          <w:highlight w:val="none"/>
        </w:rPr>
        <w:t>12.3</w:t>
      </w:r>
      <w:r>
        <w:rPr>
          <w:rFonts w:ascii="宋体" w:hAnsi="宋体"/>
          <w:color w:val="auto"/>
          <w:sz w:val="24"/>
          <w:highlight w:val="none"/>
        </w:rPr>
        <w:tab/>
      </w:r>
      <w:r>
        <w:rPr>
          <w:rFonts w:hint="eastAsia" w:ascii="宋体" w:hAnsi="宋体"/>
          <w:b/>
          <w:color w:val="auto"/>
          <w:sz w:val="24"/>
          <w:highlight w:val="none"/>
        </w:rPr>
        <w:t>投标报价</w:t>
      </w:r>
      <w:r>
        <w:rPr>
          <w:rFonts w:hint="eastAsia" w:ascii="宋体" w:hAnsi="宋体"/>
          <w:color w:val="000000" w:themeColor="text1"/>
          <w:sz w:val="24"/>
          <w:highlight w:val="none"/>
          <w14:textFill>
            <w14:solidFill>
              <w14:schemeClr w14:val="tx1"/>
            </w14:solidFill>
          </w14:textFill>
        </w:rPr>
        <w:t>为本次招标的货物，从采购、运输、卸货至指定地点、验收合格、交付使用及售后服务等的人民币报价。综合单价包括了货物采购、运输、现场检验试验，因质量问题引起的更换、技术指导和培训、成品保护、投标人的利润、税金、政策性文件的规定以及包括原材料涨价等合同明示或暗示的所有一切风险、责任和义务的费用。以及投标人认为现场现有预留、预埋需要增加工作内容的，本次报价必须考虑。</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12.4</w:t>
      </w:r>
      <w:r>
        <w:rPr>
          <w:rFonts w:ascii="宋体" w:hAnsi="宋体"/>
          <w:color w:val="auto"/>
          <w:sz w:val="24"/>
          <w:highlight w:val="none"/>
        </w:rPr>
        <w:tab/>
      </w:r>
      <w:r>
        <w:rPr>
          <w:rFonts w:hint="eastAsia" w:ascii="宋体" w:hAnsi="宋体"/>
          <w:b/>
          <w:bCs/>
          <w:color w:val="auto"/>
          <w:sz w:val="24"/>
          <w:highlight w:val="none"/>
        </w:rPr>
        <w:t>投标人对每一标的只允许有一个报价</w:t>
      </w:r>
      <w:r>
        <w:rPr>
          <w:rFonts w:hint="eastAsia" w:ascii="宋体" w:hAnsi="宋体"/>
          <w:color w:val="auto"/>
          <w:sz w:val="24"/>
          <w:highlight w:val="none"/>
        </w:rPr>
        <w:t>，如有优惠折扣等，即在投标承诺书中注明，并做到投标承诺书的总价与投标报价表中的总价一致；</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12.5</w:t>
      </w:r>
      <w:r>
        <w:rPr>
          <w:rFonts w:ascii="宋体" w:hAnsi="宋体"/>
          <w:color w:val="auto"/>
          <w:sz w:val="24"/>
          <w:highlight w:val="none"/>
        </w:rPr>
        <w:tab/>
      </w:r>
      <w:r>
        <w:rPr>
          <w:rFonts w:hint="eastAsia" w:ascii="宋体" w:hAnsi="宋体"/>
          <w:color w:val="auto"/>
          <w:sz w:val="24"/>
          <w:highlight w:val="none"/>
        </w:rPr>
        <w:t>除非本招标文件约定，对同一标的项目允许提供备选方案而出现二个或以上的报价外，投标人对同一个标的项目有选择的报价，将被拒绝。</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投标文件的签署及规定</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13.1</w:t>
      </w:r>
      <w:r>
        <w:rPr>
          <w:rFonts w:ascii="宋体" w:hAnsi="宋体"/>
          <w:color w:val="auto"/>
          <w:sz w:val="24"/>
          <w:highlight w:val="none"/>
        </w:rPr>
        <w:tab/>
      </w:r>
      <w:r>
        <w:rPr>
          <w:rFonts w:hint="eastAsia" w:ascii="宋体" w:hAnsi="宋体"/>
          <w:color w:val="auto"/>
          <w:sz w:val="24"/>
          <w:highlight w:val="none"/>
        </w:rPr>
        <w:t>投标人应印制投标文件</w:t>
      </w:r>
      <w:r>
        <w:rPr>
          <w:rFonts w:hint="eastAsia" w:ascii="宋体" w:hAnsi="宋体"/>
          <w:b/>
          <w:color w:val="auto"/>
          <w:sz w:val="24"/>
          <w:highlight w:val="none"/>
        </w:rPr>
        <w:t>正本壹份、副本肆份</w:t>
      </w:r>
      <w:r>
        <w:rPr>
          <w:rFonts w:hint="eastAsia" w:ascii="宋体" w:hAnsi="宋体"/>
          <w:color w:val="auto"/>
          <w:sz w:val="24"/>
          <w:highlight w:val="none"/>
        </w:rPr>
        <w:t>。每一份投标文件注明“正本”或“副本”字样。一旦正本与副本有差异，以正本为准。</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13.2</w:t>
      </w:r>
      <w:r>
        <w:rPr>
          <w:rFonts w:ascii="宋体" w:hAnsi="宋体"/>
          <w:color w:val="auto"/>
          <w:sz w:val="24"/>
          <w:highlight w:val="none"/>
        </w:rPr>
        <w:tab/>
      </w:r>
      <w:r>
        <w:rPr>
          <w:rFonts w:hint="eastAsia" w:ascii="宋体" w:hAnsi="宋体"/>
          <w:color w:val="auto"/>
          <w:sz w:val="24"/>
          <w:highlight w:val="none"/>
        </w:rPr>
        <w:t>投标人如在招标文件提供的格式样本上或格式样本复印件上填写数据和文字作为投标书的，其投标将被拒绝。</w:t>
      </w:r>
    </w:p>
    <w:p>
      <w:pPr>
        <w:spacing w:line="360" w:lineRule="auto"/>
        <w:ind w:left="714" w:leftChars="1" w:hanging="712" w:hangingChars="297"/>
        <w:jc w:val="center"/>
        <w:rPr>
          <w:rFonts w:hint="eastAsia" w:ascii="宋体" w:hAnsi="宋体"/>
          <w:color w:val="auto"/>
          <w:sz w:val="24"/>
          <w:highlight w:val="none"/>
        </w:rPr>
      </w:pPr>
      <w:r>
        <w:rPr>
          <w:rFonts w:ascii="宋体" w:hAnsi="宋体"/>
          <w:color w:val="auto"/>
          <w:sz w:val="24"/>
          <w:highlight w:val="none"/>
        </w:rPr>
        <w:t>13.3</w:t>
      </w:r>
      <w:r>
        <w:rPr>
          <w:rFonts w:ascii="宋体" w:hAnsi="宋体"/>
          <w:color w:val="auto"/>
          <w:sz w:val="24"/>
          <w:highlight w:val="none"/>
        </w:rPr>
        <w:tab/>
      </w:r>
      <w:r>
        <w:rPr>
          <w:rFonts w:hint="eastAsia" w:ascii="宋体" w:hAnsi="宋体"/>
          <w:color w:val="auto"/>
          <w:sz w:val="24"/>
          <w:highlight w:val="none"/>
        </w:rPr>
        <w:t>投标文件正本和副本须由投标人法人代表或由法人代表正式授权的投标人代表签字，按规定必须逐页盖章。否则将被视为无效投标。</w:t>
      </w:r>
    </w:p>
    <w:p>
      <w:pPr>
        <w:spacing w:line="360" w:lineRule="auto"/>
        <w:ind w:left="718" w:leftChars="1" w:hanging="716" w:hangingChars="297"/>
        <w:jc w:val="center"/>
        <w:rPr>
          <w:rFonts w:ascii="宋体"/>
          <w:b/>
          <w:color w:val="auto"/>
          <w:sz w:val="24"/>
          <w:highlight w:val="none"/>
        </w:rPr>
      </w:pPr>
      <w:r>
        <w:rPr>
          <w:rFonts w:ascii="宋体" w:hAnsi="宋体"/>
          <w:b/>
          <w:color w:val="auto"/>
          <w:sz w:val="24"/>
          <w:highlight w:val="none"/>
        </w:rPr>
        <w:t xml:space="preserve">C   </w:t>
      </w:r>
      <w:r>
        <w:rPr>
          <w:rFonts w:hint="eastAsia" w:ascii="宋体" w:hAnsi="宋体"/>
          <w:b/>
          <w:color w:val="auto"/>
          <w:sz w:val="24"/>
          <w:highlight w:val="none"/>
        </w:rPr>
        <w:t>投标文件的递交</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投标文件的密封和标记</w:t>
      </w:r>
    </w:p>
    <w:p>
      <w:pPr>
        <w:spacing w:line="360" w:lineRule="auto"/>
        <w:ind w:left="714" w:leftChars="1" w:hanging="712" w:hangingChars="297"/>
        <w:jc w:val="left"/>
        <w:rPr>
          <w:rFonts w:hint="eastAsia" w:ascii="宋体" w:hAnsi="宋体"/>
          <w:color w:val="auto"/>
          <w:sz w:val="24"/>
          <w:highlight w:val="none"/>
        </w:rPr>
      </w:pPr>
      <w:r>
        <w:rPr>
          <w:rFonts w:hint="eastAsia" w:ascii="宋体" w:hAnsi="宋体"/>
          <w:color w:val="auto"/>
          <w:sz w:val="24"/>
          <w:highlight w:val="none"/>
        </w:rPr>
        <w:t>14.1</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投标人应将投标文件“正本”、” 副本”、</w:t>
      </w:r>
      <w:r>
        <w:rPr>
          <w:rFonts w:hint="eastAsia" w:ascii="宋体" w:hAnsi="宋体"/>
          <w:color w:val="auto"/>
          <w:sz w:val="24"/>
          <w:highlight w:val="none"/>
          <w:lang w:eastAsia="zh-CN"/>
        </w:rPr>
        <w:t>“各类证件</w:t>
      </w:r>
      <w:r>
        <w:rPr>
          <w:rFonts w:hint="eastAsia" w:ascii="宋体" w:hAnsi="宋体"/>
          <w:color w:val="auto"/>
          <w:sz w:val="24"/>
          <w:highlight w:val="none"/>
          <w:lang w:val="en-US" w:eastAsia="zh-CN"/>
        </w:rPr>
        <w:t>原件及复印件</w:t>
      </w:r>
      <w:r>
        <w:rPr>
          <w:rFonts w:hint="eastAsia" w:ascii="宋体" w:hAnsi="宋体"/>
          <w:color w:val="auto"/>
          <w:sz w:val="24"/>
          <w:highlight w:val="none"/>
          <w:lang w:eastAsia="zh-CN"/>
        </w:rPr>
        <w:t>”</w:t>
      </w:r>
      <w:r>
        <w:rPr>
          <w:rFonts w:hint="eastAsia" w:ascii="宋体" w:hAnsi="宋体"/>
          <w:color w:val="auto"/>
          <w:sz w:val="24"/>
          <w:highlight w:val="none"/>
        </w:rPr>
        <w:t>分别密封，在密封袋上注明项目名称、单位名称、地址、邮政编码、联系人、联系电话及正本”、” 副本”、</w:t>
      </w:r>
      <w:r>
        <w:rPr>
          <w:rFonts w:hint="eastAsia" w:ascii="宋体" w:hAnsi="宋体"/>
          <w:color w:val="auto"/>
          <w:sz w:val="24"/>
          <w:highlight w:val="none"/>
          <w:lang w:eastAsia="zh-CN"/>
        </w:rPr>
        <w:t>“各类证件</w:t>
      </w:r>
      <w:r>
        <w:rPr>
          <w:rFonts w:hint="eastAsia" w:ascii="宋体" w:hAnsi="宋体"/>
          <w:color w:val="auto"/>
          <w:sz w:val="24"/>
          <w:highlight w:val="none"/>
          <w:lang w:val="en-US" w:eastAsia="zh-CN"/>
        </w:rPr>
        <w:t>原件及复印件</w:t>
      </w:r>
      <w:r>
        <w:rPr>
          <w:rFonts w:hint="eastAsia" w:ascii="宋体" w:hAnsi="宋体"/>
          <w:color w:val="auto"/>
          <w:sz w:val="24"/>
          <w:highlight w:val="none"/>
          <w:lang w:eastAsia="zh-CN"/>
        </w:rPr>
        <w:t>”</w:t>
      </w:r>
      <w:r>
        <w:rPr>
          <w:rFonts w:hint="eastAsia" w:ascii="宋体" w:hAnsi="宋体"/>
          <w:color w:val="auto"/>
          <w:sz w:val="24"/>
          <w:highlight w:val="none"/>
        </w:rPr>
        <w:t>等字样，密封袋须加盖法人公章或投标专用章以及法定代表人或委托代理人印章，并应确保密封完好，加盖骑缝章。</w:t>
      </w:r>
      <w:r>
        <w:rPr>
          <w:rFonts w:hint="eastAsia" w:ascii="宋体" w:hAnsi="宋体"/>
          <w:color w:val="auto"/>
          <w:sz w:val="24"/>
          <w:highlight w:val="none"/>
          <w:lang w:val="en-US" w:eastAsia="zh-CN"/>
        </w:rPr>
        <w:t xml:space="preserve">                                           </w:t>
      </w:r>
    </w:p>
    <w:p>
      <w:pPr>
        <w:spacing w:line="360" w:lineRule="auto"/>
        <w:ind w:left="714" w:leftChars="1" w:hanging="712" w:hangingChars="297"/>
        <w:jc w:val="left"/>
        <w:rPr>
          <w:rFonts w:hint="eastAsia" w:ascii="宋体" w:hAnsi="宋体"/>
          <w:color w:val="auto"/>
          <w:sz w:val="24"/>
          <w:highlight w:val="none"/>
        </w:rPr>
      </w:pPr>
      <w:r>
        <w:rPr>
          <w:rFonts w:hint="eastAsia" w:ascii="宋体" w:hAnsi="宋体"/>
          <w:color w:val="auto"/>
          <w:sz w:val="24"/>
          <w:highlight w:val="none"/>
        </w:rPr>
        <w:t>14.</w:t>
      </w:r>
      <w:r>
        <w:rPr>
          <w:rFonts w:hint="eastAsia" w:ascii="宋体" w:hAnsi="宋体"/>
          <w:color w:val="auto"/>
          <w:sz w:val="24"/>
          <w:highlight w:val="none"/>
          <w:lang w:val="en-US" w:eastAsia="zh-CN"/>
        </w:rPr>
        <w:t>2</w:t>
      </w:r>
      <w:r>
        <w:rPr>
          <w:rFonts w:hint="eastAsia" w:ascii="宋体" w:hAnsi="宋体"/>
          <w:color w:val="auto"/>
          <w:sz w:val="24"/>
          <w:highlight w:val="none"/>
        </w:rPr>
        <w:tab/>
      </w:r>
      <w:r>
        <w:rPr>
          <w:rFonts w:hint="eastAsia" w:ascii="宋体" w:hAnsi="宋体"/>
          <w:color w:val="auto"/>
          <w:sz w:val="24"/>
          <w:highlight w:val="none"/>
        </w:rPr>
        <w:t>每一密封袋上注明“于</w:t>
      </w:r>
      <w:r>
        <w:rPr>
          <w:rFonts w:hint="eastAsia" w:ascii="宋体" w:hAnsi="宋体"/>
          <w:color w:val="auto"/>
          <w:sz w:val="24"/>
          <w:highlight w:val="none"/>
          <w:lang w:eastAsia="zh-CN"/>
        </w:rPr>
        <w:t>2020年05月18日12:00</w:t>
      </w:r>
      <w:r>
        <w:rPr>
          <w:rFonts w:hint="eastAsia" w:ascii="宋体" w:hAnsi="宋体"/>
          <w:color w:val="auto"/>
          <w:sz w:val="24"/>
          <w:highlight w:val="none"/>
        </w:rPr>
        <w:t>开标之前不准启封”字样。</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投标文件的修改</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16.1</w:t>
      </w:r>
      <w:r>
        <w:rPr>
          <w:rFonts w:ascii="宋体" w:hAnsi="宋体"/>
          <w:color w:val="auto"/>
          <w:sz w:val="24"/>
          <w:highlight w:val="none"/>
        </w:rPr>
        <w:tab/>
      </w:r>
      <w:r>
        <w:rPr>
          <w:rFonts w:hint="eastAsia" w:ascii="宋体" w:hAnsi="宋体"/>
          <w:color w:val="auto"/>
          <w:sz w:val="24"/>
          <w:highlight w:val="none"/>
        </w:rPr>
        <w:t>投标人递交投标文件后，可以修改投标文件，但必须在规定的投标截止时间前，用书面形式将修改文本送交招标人。修改文本同样用密封袋密封，注明“修改文件”字样，并按第</w:t>
      </w:r>
      <w:r>
        <w:rPr>
          <w:rFonts w:ascii="宋体" w:hAnsi="宋体"/>
          <w:color w:val="auto"/>
          <w:sz w:val="24"/>
          <w:highlight w:val="none"/>
        </w:rPr>
        <w:t>13.3</w:t>
      </w:r>
      <w:r>
        <w:rPr>
          <w:rFonts w:hint="eastAsia" w:ascii="宋体" w:hAnsi="宋体"/>
          <w:color w:val="auto"/>
          <w:sz w:val="24"/>
          <w:highlight w:val="none"/>
        </w:rPr>
        <w:t>条和第</w:t>
      </w:r>
      <w:r>
        <w:rPr>
          <w:rFonts w:ascii="宋体" w:hAnsi="宋体"/>
          <w:color w:val="auto"/>
          <w:sz w:val="24"/>
          <w:highlight w:val="none"/>
        </w:rPr>
        <w:t>14.1</w:t>
      </w:r>
      <w:r>
        <w:rPr>
          <w:rFonts w:hint="eastAsia" w:ascii="宋体" w:hAnsi="宋体"/>
          <w:color w:val="auto"/>
          <w:sz w:val="24"/>
          <w:highlight w:val="none"/>
        </w:rPr>
        <w:t>条以及第</w:t>
      </w:r>
      <w:r>
        <w:rPr>
          <w:rFonts w:ascii="宋体" w:hAnsi="宋体"/>
          <w:color w:val="auto"/>
          <w:sz w:val="24"/>
          <w:highlight w:val="none"/>
        </w:rPr>
        <w:t>14.3</w:t>
      </w:r>
      <w:r>
        <w:rPr>
          <w:rFonts w:hint="eastAsia" w:ascii="宋体" w:hAnsi="宋体"/>
          <w:color w:val="auto"/>
          <w:sz w:val="24"/>
          <w:highlight w:val="none"/>
        </w:rPr>
        <w:t>条要求签署盖章。修改文件是投标文件的组成部分。</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投标文件的撤回、修改、补充</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17.1</w:t>
      </w:r>
      <w:r>
        <w:rPr>
          <w:rFonts w:ascii="宋体" w:hAnsi="宋体"/>
          <w:color w:val="auto"/>
          <w:sz w:val="24"/>
          <w:highlight w:val="none"/>
        </w:rPr>
        <w:tab/>
      </w:r>
      <w:r>
        <w:rPr>
          <w:rFonts w:hint="eastAsia" w:ascii="宋体" w:hAnsi="宋体"/>
          <w:color w:val="auto"/>
          <w:sz w:val="24"/>
          <w:highlight w:val="none"/>
        </w:rPr>
        <w:t>投标人递交投标文件后，可以撤回、修改、补充投标文件，但必须在投标截止时间之前撤回、修改、补充；</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17.2</w:t>
      </w:r>
      <w:r>
        <w:rPr>
          <w:rFonts w:ascii="宋体" w:hAnsi="宋体"/>
          <w:color w:val="auto"/>
          <w:sz w:val="24"/>
          <w:highlight w:val="none"/>
        </w:rPr>
        <w:tab/>
      </w:r>
      <w:r>
        <w:rPr>
          <w:rFonts w:hint="eastAsia" w:ascii="宋体" w:hAnsi="宋体"/>
          <w:color w:val="auto"/>
          <w:sz w:val="24"/>
          <w:highlight w:val="none"/>
        </w:rPr>
        <w:t>投标人撤回、修改、补充投标文件时，须向招标人出示加盖有单位公章的公函，或由法人代表本人（出示法人代表证明）、法人代表授权人（出示法人代表授权证明）签字；</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17.3</w:t>
      </w:r>
      <w:r>
        <w:rPr>
          <w:rFonts w:ascii="宋体" w:hAnsi="宋体"/>
          <w:color w:val="auto"/>
          <w:sz w:val="24"/>
          <w:highlight w:val="none"/>
        </w:rPr>
        <w:tab/>
      </w:r>
      <w:r>
        <w:rPr>
          <w:rFonts w:hint="eastAsia" w:ascii="宋体" w:hAnsi="宋体"/>
          <w:color w:val="auto"/>
          <w:sz w:val="24"/>
          <w:highlight w:val="none"/>
        </w:rPr>
        <w:t>投标截止后，开标前投标人不得撤回和修改补充投标文件。开标后的投标文件不得撤回。但开标前，书面通行知放弃投标的投标文件除外。</w:t>
      </w:r>
    </w:p>
    <w:p>
      <w:pPr>
        <w:spacing w:line="360" w:lineRule="auto"/>
        <w:ind w:left="714" w:leftChars="1" w:hanging="712" w:hangingChars="297"/>
        <w:rPr>
          <w:rFonts w:ascii="宋体" w:hAnsi="宋体"/>
          <w:b w:val="0"/>
          <w:bCs w:val="0"/>
          <w:color w:val="auto"/>
          <w:sz w:val="24"/>
          <w:highlight w:val="none"/>
        </w:rPr>
      </w:pPr>
      <w:r>
        <w:rPr>
          <w:rFonts w:hint="eastAsia" w:ascii="宋体" w:hAnsi="宋体"/>
          <w:b w:val="0"/>
          <w:bCs w:val="0"/>
          <w:color w:val="auto"/>
          <w:sz w:val="24"/>
          <w:highlight w:val="none"/>
        </w:rPr>
        <w:t>。</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迟到的投标文件</w:t>
      </w:r>
    </w:p>
    <w:p>
      <w:pPr>
        <w:spacing w:line="360" w:lineRule="auto"/>
        <w:ind w:left="714" w:leftChars="1" w:hanging="712" w:hangingChars="297"/>
        <w:rPr>
          <w:rFonts w:ascii="宋体"/>
          <w:b/>
          <w:color w:val="auto"/>
          <w:sz w:val="24"/>
          <w:highlight w:val="none"/>
        </w:rPr>
      </w:pPr>
      <w:r>
        <w:rPr>
          <w:rFonts w:ascii="宋体" w:hAnsi="宋体"/>
          <w:color w:val="auto"/>
          <w:sz w:val="24"/>
          <w:highlight w:val="none"/>
        </w:rPr>
        <w:t>18.1</w:t>
      </w:r>
      <w:r>
        <w:rPr>
          <w:rFonts w:ascii="宋体" w:hAnsi="宋体"/>
          <w:color w:val="auto"/>
          <w:sz w:val="24"/>
          <w:highlight w:val="none"/>
        </w:rPr>
        <w:tab/>
      </w:r>
      <w:r>
        <w:rPr>
          <w:rFonts w:hint="eastAsia" w:ascii="宋体" w:hAnsi="宋体"/>
          <w:color w:val="auto"/>
          <w:sz w:val="24"/>
          <w:highlight w:val="none"/>
        </w:rPr>
        <w:t>招标人将拒绝接收在投标截止时间后送到的投标文件。</w:t>
      </w:r>
    </w:p>
    <w:p>
      <w:pPr>
        <w:spacing w:line="360" w:lineRule="auto"/>
        <w:ind w:left="718" w:leftChars="1" w:hanging="716" w:hangingChars="297"/>
        <w:jc w:val="center"/>
        <w:rPr>
          <w:rFonts w:ascii="宋体"/>
          <w:b/>
          <w:color w:val="auto"/>
          <w:sz w:val="24"/>
          <w:highlight w:val="none"/>
        </w:rPr>
      </w:pPr>
    </w:p>
    <w:p>
      <w:pPr>
        <w:spacing w:line="360" w:lineRule="auto"/>
        <w:ind w:left="718" w:leftChars="1" w:hanging="716" w:hangingChars="297"/>
        <w:jc w:val="center"/>
        <w:rPr>
          <w:rFonts w:ascii="宋体"/>
          <w:b/>
          <w:color w:val="auto"/>
          <w:sz w:val="24"/>
          <w:highlight w:val="none"/>
        </w:rPr>
      </w:pPr>
      <w:r>
        <w:rPr>
          <w:rFonts w:ascii="宋体" w:hAnsi="宋体"/>
          <w:b/>
          <w:color w:val="auto"/>
          <w:sz w:val="24"/>
          <w:highlight w:val="none"/>
        </w:rPr>
        <w:t xml:space="preserve">D   </w:t>
      </w:r>
      <w:r>
        <w:rPr>
          <w:rFonts w:hint="eastAsia" w:ascii="宋体" w:hAnsi="宋体"/>
          <w:b/>
          <w:color w:val="auto"/>
          <w:sz w:val="24"/>
          <w:highlight w:val="none"/>
        </w:rPr>
        <w:t>开标和评标</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开标</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19.1</w:t>
      </w:r>
      <w:r>
        <w:rPr>
          <w:rFonts w:ascii="宋体" w:hAnsi="宋体"/>
          <w:color w:val="auto"/>
          <w:sz w:val="24"/>
          <w:highlight w:val="none"/>
        </w:rPr>
        <w:tab/>
      </w:r>
      <w:r>
        <w:rPr>
          <w:rFonts w:hint="eastAsia" w:ascii="宋体" w:hAnsi="宋体"/>
          <w:color w:val="auto"/>
          <w:sz w:val="24"/>
          <w:highlight w:val="none"/>
        </w:rPr>
        <w:t>招标人按采购公告中规定的时间和地点公开开标。投标人必须由法人代表或法人代表授权人、技术代表</w:t>
      </w:r>
      <w:r>
        <w:rPr>
          <w:rFonts w:ascii="宋体" w:hAnsi="宋体"/>
          <w:color w:val="auto"/>
          <w:sz w:val="24"/>
          <w:highlight w:val="none"/>
        </w:rPr>
        <w:t>1</w:t>
      </w:r>
      <w:r>
        <w:rPr>
          <w:rFonts w:asci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名参加开标会。</w:t>
      </w:r>
    </w:p>
    <w:p>
      <w:pPr>
        <w:spacing w:line="360" w:lineRule="auto"/>
        <w:jc w:val="left"/>
        <w:rPr>
          <w:rFonts w:hint="eastAsia" w:ascii="宋体" w:hAnsi="宋体"/>
          <w:color w:val="auto"/>
          <w:sz w:val="24"/>
          <w:highlight w:val="none"/>
        </w:rPr>
      </w:pPr>
      <w:r>
        <w:rPr>
          <w:rFonts w:ascii="宋体" w:hAnsi="宋体"/>
          <w:color w:val="auto"/>
          <w:sz w:val="24"/>
          <w:highlight w:val="none"/>
        </w:rPr>
        <w:t xml:space="preserve">19.2  </w:t>
      </w:r>
      <w:r>
        <w:rPr>
          <w:rFonts w:hint="eastAsia" w:ascii="宋体" w:hAnsi="宋体"/>
          <w:color w:val="auto"/>
          <w:sz w:val="24"/>
          <w:highlight w:val="none"/>
        </w:rPr>
        <w:t>投标人当众查验投标文件的密封状况，经监委、投标人确认无误后，由</w:t>
      </w:r>
    </w:p>
    <w:p>
      <w:pPr>
        <w:spacing w:line="360" w:lineRule="auto"/>
        <w:ind w:left="239" w:leftChars="114" w:firstLine="480" w:firstLineChars="200"/>
        <w:jc w:val="left"/>
        <w:rPr>
          <w:rFonts w:hint="eastAsia" w:ascii="宋体" w:hAnsi="宋体"/>
          <w:color w:val="auto"/>
          <w:sz w:val="24"/>
          <w:highlight w:val="none"/>
        </w:rPr>
      </w:pPr>
      <w:r>
        <w:rPr>
          <w:rFonts w:hint="eastAsia" w:ascii="宋体" w:hAnsi="宋体"/>
          <w:color w:val="auto"/>
          <w:sz w:val="24"/>
          <w:highlight w:val="none"/>
        </w:rPr>
        <w:t>招标工作人员根据递交标书的正顺序依次当众拆封，宣读投标人名称，</w:t>
      </w:r>
    </w:p>
    <w:p>
      <w:pPr>
        <w:spacing w:line="360" w:lineRule="auto"/>
        <w:ind w:left="239" w:leftChars="114" w:firstLine="480" w:firstLineChars="200"/>
        <w:jc w:val="left"/>
        <w:rPr>
          <w:rFonts w:hint="eastAsia" w:ascii="宋体" w:hAnsi="宋体"/>
          <w:color w:val="auto"/>
          <w:sz w:val="24"/>
          <w:highlight w:val="none"/>
        </w:rPr>
      </w:pPr>
      <w:r>
        <w:rPr>
          <w:rFonts w:hint="eastAsia" w:ascii="宋体" w:hAnsi="宋体"/>
          <w:color w:val="auto"/>
          <w:sz w:val="24"/>
          <w:highlight w:val="none"/>
        </w:rPr>
        <w:t>投标价格、招标文件允许提供的备选投标方案</w:t>
      </w:r>
      <w:r>
        <w:rPr>
          <w:rFonts w:ascii="宋体" w:hAnsi="宋体"/>
          <w:color w:val="auto"/>
          <w:sz w:val="24"/>
          <w:highlight w:val="none"/>
        </w:rPr>
        <w:t>(</w:t>
      </w:r>
      <w:r>
        <w:rPr>
          <w:rFonts w:hint="eastAsia" w:ascii="宋体" w:hAnsi="宋体"/>
          <w:color w:val="auto"/>
          <w:sz w:val="24"/>
          <w:highlight w:val="none"/>
        </w:rPr>
        <w:t>如有</w:t>
      </w:r>
      <w:r>
        <w:rPr>
          <w:rFonts w:ascii="宋体" w:hAnsi="宋体"/>
          <w:color w:val="auto"/>
          <w:sz w:val="24"/>
          <w:highlight w:val="none"/>
        </w:rPr>
        <w:t>)</w:t>
      </w:r>
      <w:r>
        <w:rPr>
          <w:rFonts w:hint="eastAsia" w:ascii="宋体" w:hAnsi="宋体"/>
          <w:color w:val="auto"/>
          <w:sz w:val="24"/>
          <w:highlight w:val="none"/>
        </w:rPr>
        <w:t>以及投标文件的其他</w:t>
      </w:r>
    </w:p>
    <w:p>
      <w:pPr>
        <w:spacing w:line="360" w:lineRule="auto"/>
        <w:ind w:left="239" w:leftChars="114" w:firstLine="480" w:firstLineChars="200"/>
        <w:jc w:val="left"/>
        <w:rPr>
          <w:rFonts w:ascii="宋体"/>
          <w:color w:val="auto"/>
          <w:sz w:val="24"/>
          <w:highlight w:val="none"/>
        </w:rPr>
      </w:pPr>
      <w:r>
        <w:rPr>
          <w:rFonts w:hint="eastAsia" w:ascii="宋体" w:hAnsi="宋体"/>
          <w:color w:val="auto"/>
          <w:sz w:val="24"/>
          <w:highlight w:val="none"/>
        </w:rPr>
        <w:t>主要内容。</w:t>
      </w:r>
    </w:p>
    <w:p>
      <w:pPr>
        <w:spacing w:line="448" w:lineRule="atLeast"/>
        <w:ind w:left="714" w:leftChars="1" w:hanging="712" w:hangingChars="297"/>
        <w:rPr>
          <w:rFonts w:ascii="宋体" w:cs="Arial Unicode MS"/>
          <w:color w:val="auto"/>
          <w:sz w:val="24"/>
          <w:highlight w:val="none"/>
        </w:rPr>
      </w:pPr>
      <w:r>
        <w:rPr>
          <w:rFonts w:ascii="宋体" w:hAnsi="宋体"/>
          <w:color w:val="auto"/>
          <w:sz w:val="24"/>
          <w:szCs w:val="20"/>
          <w:highlight w:val="none"/>
        </w:rPr>
        <w:t>19.3</w:t>
      </w:r>
      <w:r>
        <w:rPr>
          <w:rFonts w:ascii="宋体" w:hAnsi="宋体"/>
          <w:color w:val="auto"/>
          <w:sz w:val="24"/>
          <w:szCs w:val="20"/>
          <w:highlight w:val="none"/>
        </w:rPr>
        <w:tab/>
      </w:r>
      <w:r>
        <w:rPr>
          <w:rFonts w:hint="eastAsia" w:ascii="宋体" w:hAnsi="宋体"/>
          <w:color w:val="auto"/>
          <w:sz w:val="24"/>
          <w:szCs w:val="20"/>
          <w:highlight w:val="none"/>
        </w:rPr>
        <w:t>未宣读的投标价格、招标文件允许提供的备选投标方案</w:t>
      </w:r>
      <w:r>
        <w:rPr>
          <w:rFonts w:ascii="宋体" w:hAnsi="宋体"/>
          <w:color w:val="auto"/>
          <w:sz w:val="24"/>
          <w:szCs w:val="20"/>
          <w:highlight w:val="none"/>
        </w:rPr>
        <w:t>(</w:t>
      </w:r>
      <w:r>
        <w:rPr>
          <w:rFonts w:hint="eastAsia" w:ascii="宋体" w:hAnsi="宋体"/>
          <w:color w:val="auto"/>
          <w:sz w:val="24"/>
          <w:szCs w:val="20"/>
          <w:highlight w:val="none"/>
        </w:rPr>
        <w:t>如有的话</w:t>
      </w:r>
      <w:r>
        <w:rPr>
          <w:rFonts w:ascii="宋体" w:hAnsi="宋体"/>
          <w:color w:val="auto"/>
          <w:sz w:val="24"/>
          <w:szCs w:val="20"/>
          <w:highlight w:val="none"/>
        </w:rPr>
        <w:t>)</w:t>
      </w:r>
      <w:r>
        <w:rPr>
          <w:rFonts w:hint="eastAsia" w:ascii="宋体" w:hAnsi="宋体"/>
          <w:color w:val="auto"/>
          <w:sz w:val="24"/>
          <w:szCs w:val="20"/>
          <w:highlight w:val="none"/>
        </w:rPr>
        <w:t>等实质内容，评标时不予承认。</w:t>
      </w:r>
    </w:p>
    <w:p>
      <w:pPr>
        <w:spacing w:line="448" w:lineRule="atLeast"/>
        <w:ind w:left="714" w:leftChars="1" w:hanging="712" w:hangingChars="297"/>
        <w:rPr>
          <w:rFonts w:ascii="宋体" w:cs="Arial Unicode MS"/>
          <w:color w:val="auto"/>
          <w:sz w:val="24"/>
          <w:highlight w:val="none"/>
        </w:rPr>
      </w:pPr>
      <w:r>
        <w:rPr>
          <w:rFonts w:ascii="宋体" w:hAnsi="宋体"/>
          <w:color w:val="auto"/>
          <w:sz w:val="24"/>
          <w:szCs w:val="20"/>
          <w:highlight w:val="none"/>
        </w:rPr>
        <w:t>19.4</w:t>
      </w:r>
      <w:r>
        <w:rPr>
          <w:rFonts w:ascii="宋体" w:hAnsi="宋体"/>
          <w:color w:val="auto"/>
          <w:sz w:val="24"/>
          <w:szCs w:val="20"/>
          <w:highlight w:val="none"/>
        </w:rPr>
        <w:tab/>
      </w:r>
      <w:r>
        <w:rPr>
          <w:rFonts w:hint="eastAsia" w:ascii="宋体" w:hAnsi="宋体"/>
          <w:color w:val="000000" w:themeColor="text1"/>
          <w:sz w:val="24"/>
          <w:szCs w:val="20"/>
          <w:highlight w:val="none"/>
          <w14:textFill>
            <w14:solidFill>
              <w14:schemeClr w14:val="tx1"/>
            </w14:solidFill>
          </w14:textFill>
        </w:rPr>
        <w:t>开标时，投标文件的大写金额和小写金额不一致的，以大写金额为准；对不同文字文本投标文件的解释发生异议的，以中文文本为准。</w:t>
      </w:r>
    </w:p>
    <w:p>
      <w:pPr>
        <w:spacing w:line="448" w:lineRule="atLeast"/>
        <w:ind w:left="714" w:leftChars="1" w:hanging="712" w:hangingChars="297"/>
        <w:rPr>
          <w:rFonts w:ascii="宋体" w:cs="Arial Unicode MS"/>
          <w:color w:val="auto"/>
          <w:sz w:val="24"/>
          <w:highlight w:val="none"/>
        </w:rPr>
      </w:pPr>
      <w:r>
        <w:rPr>
          <w:rFonts w:ascii="宋体" w:hAnsi="宋体"/>
          <w:color w:val="auto"/>
          <w:sz w:val="24"/>
          <w:szCs w:val="20"/>
          <w:highlight w:val="none"/>
        </w:rPr>
        <w:t>19.5</w:t>
      </w:r>
      <w:r>
        <w:rPr>
          <w:rFonts w:ascii="宋体" w:hAnsi="宋体"/>
          <w:color w:val="auto"/>
          <w:sz w:val="24"/>
          <w:szCs w:val="20"/>
          <w:highlight w:val="none"/>
        </w:rPr>
        <w:tab/>
      </w:r>
      <w:r>
        <w:rPr>
          <w:rFonts w:hint="eastAsia" w:ascii="宋体" w:hAnsi="宋体"/>
          <w:color w:val="auto"/>
          <w:sz w:val="24"/>
          <w:szCs w:val="20"/>
          <w:highlight w:val="none"/>
        </w:rPr>
        <w:t>开标过程由招标人指定专人负责记录，并存档备查。</w:t>
      </w:r>
    </w:p>
    <w:p>
      <w:pPr>
        <w:spacing w:line="448" w:lineRule="atLeast"/>
        <w:ind w:left="714" w:leftChars="1" w:hanging="712" w:hangingChars="297"/>
        <w:rPr>
          <w:rFonts w:ascii="宋体"/>
          <w:color w:val="auto"/>
          <w:sz w:val="24"/>
          <w:szCs w:val="20"/>
          <w:highlight w:val="none"/>
        </w:rPr>
      </w:pPr>
      <w:r>
        <w:rPr>
          <w:rFonts w:ascii="宋体" w:hAnsi="宋体"/>
          <w:color w:val="auto"/>
          <w:sz w:val="24"/>
          <w:szCs w:val="20"/>
          <w:highlight w:val="none"/>
        </w:rPr>
        <w:t>19.6</w:t>
      </w:r>
      <w:r>
        <w:rPr>
          <w:rFonts w:ascii="宋体" w:hAnsi="宋体"/>
          <w:color w:val="auto"/>
          <w:sz w:val="24"/>
          <w:szCs w:val="20"/>
          <w:highlight w:val="none"/>
        </w:rPr>
        <w:tab/>
      </w:r>
      <w:r>
        <w:rPr>
          <w:rFonts w:hint="eastAsia" w:ascii="宋体" w:hAnsi="宋体"/>
          <w:color w:val="auto"/>
          <w:sz w:val="24"/>
          <w:szCs w:val="20"/>
          <w:highlight w:val="none"/>
        </w:rPr>
        <w:t>开、评标期间，出现符合专业条件的供应商或者对招标文件作出实质响应的供应商不足三家情形的，除采购任务取消情形外，招标人将报财政部门后按照以下原则处理：</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（一）招标文件没有不合理条款、招标公告时间及程序符合规定的，同意采取竞争性谈判、询价或者单一来源方式采购；</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（二）招标文件存在不合理条款的，招标公告时间及程序不符合规定的，应予废标，并由招标人依法重新招标。</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19.7</w:t>
      </w:r>
      <w:r>
        <w:rPr>
          <w:rFonts w:ascii="宋体" w:hAnsi="宋体"/>
          <w:color w:val="auto"/>
          <w:sz w:val="24"/>
          <w:highlight w:val="none"/>
        </w:rPr>
        <w:tab/>
      </w:r>
      <w:r>
        <w:rPr>
          <w:rFonts w:hint="eastAsia" w:ascii="宋体" w:hAnsi="宋体"/>
          <w:color w:val="auto"/>
          <w:sz w:val="24"/>
          <w:highlight w:val="none"/>
        </w:rPr>
        <w:t>有下列情形之一的，视为无效投标处理：</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（一）应交未交投标保证金的；</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（二）</w:t>
      </w:r>
      <w:r>
        <w:rPr>
          <w:rFonts w:hint="eastAsia" w:ascii="宋体" w:hAnsi="宋体"/>
          <w:color w:val="000000" w:themeColor="text1"/>
          <w:sz w:val="24"/>
          <w:szCs w:val="20"/>
          <w:highlight w:val="none"/>
          <w14:textFill>
            <w14:solidFill>
              <w14:schemeClr w14:val="tx1"/>
            </w14:solidFill>
          </w14:textFill>
        </w:rPr>
        <w:t>未按照招标文件规定要求</w:t>
      </w:r>
      <w:r>
        <w:rPr>
          <w:rFonts w:hint="eastAsia" w:ascii="宋体" w:hAnsi="宋体"/>
          <w:color w:val="000000" w:themeColor="text1"/>
          <w:sz w:val="24"/>
          <w:szCs w:val="20"/>
          <w:highlight w:val="none"/>
          <w:lang w:eastAsia="zh-CN"/>
          <w14:textFill>
            <w14:solidFill>
              <w14:schemeClr w14:val="tx1"/>
            </w14:solidFill>
          </w14:textFill>
        </w:rPr>
        <w:t>以</w:t>
      </w:r>
      <w:r>
        <w:rPr>
          <w:rFonts w:hint="eastAsia" w:ascii="宋体" w:hAnsi="宋体"/>
          <w:color w:val="000000" w:themeColor="text1"/>
          <w:sz w:val="24"/>
          <w:szCs w:val="20"/>
          <w:highlight w:val="none"/>
          <w:lang w:val="en-US" w:eastAsia="zh-CN"/>
          <w14:textFill>
            <w14:solidFill>
              <w14:schemeClr w14:val="tx1"/>
            </w14:solidFill>
          </w14:textFill>
        </w:rPr>
        <w:t>PDF格式并加密</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并注明项目名称及项目编号</w:t>
      </w:r>
      <w:r>
        <w:rPr>
          <w:rFonts w:hint="eastAsia" w:ascii="宋体" w:hAnsi="宋体"/>
          <w:color w:val="000000" w:themeColor="text1"/>
          <w:sz w:val="24"/>
          <w:szCs w:val="20"/>
          <w:highlight w:val="none"/>
          <w14:textFill>
            <w14:solidFill>
              <w14:schemeClr w14:val="tx1"/>
            </w14:solidFill>
          </w14:textFill>
        </w:rPr>
        <w:t>、签署、盖章的</w:t>
      </w:r>
      <w:r>
        <w:rPr>
          <w:rFonts w:hint="eastAsia" w:ascii="宋体" w:hAnsi="宋体"/>
          <w:color w:val="auto"/>
          <w:sz w:val="24"/>
          <w:szCs w:val="20"/>
          <w:highlight w:val="none"/>
        </w:rPr>
        <w:t>；</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（三）不具备招标文件中规定资格要求的；</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（四）不符合法律、法规和招标文件中规定的其他实质性要求的。</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19.8</w:t>
      </w:r>
      <w:r>
        <w:rPr>
          <w:rFonts w:ascii="宋体" w:hAnsi="宋体"/>
          <w:color w:val="auto"/>
          <w:sz w:val="24"/>
          <w:szCs w:val="20"/>
          <w:highlight w:val="none"/>
        </w:rPr>
        <w:tab/>
      </w:r>
      <w:r>
        <w:rPr>
          <w:rFonts w:hint="eastAsia" w:ascii="宋体" w:hAnsi="宋体"/>
          <w:color w:val="auto"/>
          <w:sz w:val="24"/>
          <w:szCs w:val="20"/>
          <w:highlight w:val="none"/>
        </w:rPr>
        <w:t>有下列情形之一的，作废标处理：</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ascii="宋体" w:hAnsi="宋体"/>
          <w:color w:val="auto"/>
          <w:sz w:val="24"/>
          <w:szCs w:val="20"/>
          <w:highlight w:val="none"/>
        </w:rPr>
        <w:t>(</w:t>
      </w:r>
      <w:r>
        <w:rPr>
          <w:rFonts w:hint="eastAsia" w:ascii="宋体" w:hAnsi="宋体"/>
          <w:color w:val="auto"/>
          <w:sz w:val="24"/>
          <w:szCs w:val="20"/>
          <w:highlight w:val="none"/>
        </w:rPr>
        <w:t>一</w:t>
      </w:r>
      <w:r>
        <w:rPr>
          <w:rFonts w:ascii="宋体" w:hAnsi="宋体"/>
          <w:color w:val="auto"/>
          <w:sz w:val="24"/>
          <w:szCs w:val="20"/>
          <w:highlight w:val="none"/>
        </w:rPr>
        <w:t xml:space="preserve">) </w:t>
      </w:r>
      <w:r>
        <w:rPr>
          <w:rFonts w:hint="eastAsia" w:ascii="宋体" w:hAnsi="宋体"/>
          <w:color w:val="auto"/>
          <w:sz w:val="24"/>
          <w:szCs w:val="20"/>
          <w:highlight w:val="none"/>
        </w:rPr>
        <w:t>出现</w:t>
      </w:r>
      <w:r>
        <w:rPr>
          <w:rFonts w:ascii="宋体" w:hAnsi="宋体"/>
          <w:color w:val="auto"/>
          <w:sz w:val="24"/>
          <w:szCs w:val="20"/>
          <w:highlight w:val="none"/>
        </w:rPr>
        <w:t>10</w:t>
      </w:r>
      <w:r>
        <w:rPr>
          <w:rFonts w:hint="eastAsia" w:ascii="宋体" w:hAnsi="宋体"/>
          <w:color w:val="auto"/>
          <w:sz w:val="24"/>
          <w:szCs w:val="20"/>
          <w:highlight w:val="none"/>
        </w:rPr>
        <w:t>条、</w:t>
      </w:r>
      <w:r>
        <w:rPr>
          <w:rFonts w:ascii="宋体" w:hAnsi="宋体"/>
          <w:color w:val="auto"/>
          <w:sz w:val="24"/>
          <w:szCs w:val="20"/>
          <w:highlight w:val="none"/>
        </w:rPr>
        <w:t>11.2</w:t>
      </w:r>
      <w:r>
        <w:rPr>
          <w:rFonts w:hint="eastAsia" w:ascii="宋体" w:hAnsi="宋体"/>
          <w:color w:val="auto"/>
          <w:sz w:val="24"/>
          <w:szCs w:val="20"/>
          <w:highlight w:val="none"/>
        </w:rPr>
        <w:t>、</w:t>
      </w:r>
      <w:r>
        <w:rPr>
          <w:rFonts w:ascii="宋体" w:hAnsi="宋体"/>
          <w:color w:val="auto"/>
          <w:sz w:val="24"/>
          <w:szCs w:val="20"/>
          <w:highlight w:val="none"/>
        </w:rPr>
        <w:t>13.3</w:t>
      </w:r>
      <w:r>
        <w:rPr>
          <w:rFonts w:hint="eastAsia" w:ascii="宋体" w:hAnsi="宋体"/>
          <w:color w:val="auto"/>
          <w:sz w:val="24"/>
          <w:szCs w:val="20"/>
          <w:highlight w:val="none"/>
        </w:rPr>
        <w:t>、</w:t>
      </w:r>
      <w:r>
        <w:rPr>
          <w:rFonts w:ascii="宋体" w:hAnsi="宋体"/>
          <w:color w:val="auto"/>
          <w:sz w:val="24"/>
          <w:szCs w:val="20"/>
          <w:highlight w:val="none"/>
        </w:rPr>
        <w:t>19.6</w:t>
      </w:r>
      <w:r>
        <w:rPr>
          <w:rFonts w:hint="eastAsia" w:ascii="宋体" w:hAnsi="宋体"/>
          <w:color w:val="auto"/>
          <w:sz w:val="24"/>
          <w:szCs w:val="20"/>
          <w:highlight w:val="none"/>
        </w:rPr>
        <w:t>条第</w:t>
      </w:r>
      <w:r>
        <w:rPr>
          <w:rFonts w:ascii="宋体" w:hAnsi="宋体"/>
          <w:color w:val="auto"/>
          <w:sz w:val="24"/>
          <w:szCs w:val="20"/>
          <w:highlight w:val="none"/>
        </w:rPr>
        <w:t>(</w:t>
      </w:r>
      <w:r>
        <w:rPr>
          <w:rFonts w:hint="eastAsia" w:ascii="宋体" w:hAnsi="宋体"/>
          <w:color w:val="auto"/>
          <w:sz w:val="24"/>
          <w:szCs w:val="20"/>
          <w:highlight w:val="none"/>
        </w:rPr>
        <w:t>二</w:t>
      </w:r>
      <w:r>
        <w:rPr>
          <w:rFonts w:ascii="宋体" w:hAnsi="宋体"/>
          <w:color w:val="auto"/>
          <w:sz w:val="24"/>
          <w:szCs w:val="20"/>
          <w:highlight w:val="none"/>
        </w:rPr>
        <w:t>)</w:t>
      </w:r>
      <w:r>
        <w:rPr>
          <w:rFonts w:hint="eastAsia" w:ascii="宋体" w:hAnsi="宋体"/>
          <w:color w:val="auto"/>
          <w:sz w:val="24"/>
          <w:szCs w:val="20"/>
          <w:highlight w:val="none"/>
        </w:rPr>
        <w:t>款情形的；；</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ascii="宋体" w:hAnsi="宋体"/>
          <w:color w:val="auto"/>
          <w:sz w:val="24"/>
          <w:szCs w:val="20"/>
          <w:highlight w:val="none"/>
        </w:rPr>
        <w:t>(</w:t>
      </w:r>
      <w:r>
        <w:rPr>
          <w:rFonts w:hint="eastAsia" w:ascii="宋体" w:hAnsi="宋体"/>
          <w:color w:val="auto"/>
          <w:sz w:val="24"/>
          <w:szCs w:val="20"/>
          <w:highlight w:val="none"/>
        </w:rPr>
        <w:t>二</w:t>
      </w:r>
      <w:r>
        <w:rPr>
          <w:rFonts w:ascii="宋体" w:hAnsi="宋体"/>
          <w:color w:val="auto"/>
          <w:sz w:val="24"/>
          <w:szCs w:val="20"/>
          <w:highlight w:val="none"/>
        </w:rPr>
        <w:t>)</w:t>
      </w:r>
      <w:r>
        <w:rPr>
          <w:rFonts w:hint="eastAsia" w:ascii="宋体" w:hAnsi="宋体"/>
          <w:color w:val="auto"/>
          <w:sz w:val="24"/>
          <w:szCs w:val="20"/>
          <w:highlight w:val="none"/>
        </w:rPr>
        <w:t>出现影响采购公正的违法、违规行为的；</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ascii="宋体" w:hAnsi="宋体"/>
          <w:color w:val="auto"/>
          <w:sz w:val="24"/>
          <w:szCs w:val="20"/>
          <w:highlight w:val="none"/>
        </w:rPr>
        <w:t>(</w:t>
      </w:r>
      <w:r>
        <w:rPr>
          <w:rFonts w:hint="eastAsia" w:ascii="宋体" w:hAnsi="宋体"/>
          <w:color w:val="auto"/>
          <w:sz w:val="24"/>
          <w:szCs w:val="20"/>
          <w:highlight w:val="none"/>
        </w:rPr>
        <w:t>三</w:t>
      </w:r>
      <w:r>
        <w:rPr>
          <w:rFonts w:ascii="宋体" w:hAnsi="宋体"/>
          <w:color w:val="auto"/>
          <w:sz w:val="24"/>
          <w:szCs w:val="20"/>
          <w:highlight w:val="none"/>
        </w:rPr>
        <w:t>)</w:t>
      </w:r>
      <w:r>
        <w:rPr>
          <w:rFonts w:hint="eastAsia" w:ascii="宋体" w:hAnsi="宋体"/>
          <w:color w:val="auto"/>
          <w:sz w:val="24"/>
          <w:szCs w:val="20"/>
          <w:highlight w:val="none"/>
        </w:rPr>
        <w:t>投标人的报价均超过了采购预算，采购人不能支付的；</w:t>
      </w:r>
    </w:p>
    <w:p>
      <w:pPr>
        <w:spacing w:line="360" w:lineRule="auto"/>
        <w:ind w:left="714" w:leftChars="340"/>
        <w:rPr>
          <w:rFonts w:ascii="宋体"/>
          <w:color w:val="auto"/>
          <w:sz w:val="24"/>
          <w:szCs w:val="20"/>
          <w:highlight w:val="none"/>
        </w:rPr>
      </w:pPr>
      <w:r>
        <w:rPr>
          <w:rFonts w:ascii="宋体" w:hAnsi="宋体"/>
          <w:color w:val="auto"/>
          <w:sz w:val="24"/>
          <w:szCs w:val="20"/>
          <w:highlight w:val="none"/>
        </w:rPr>
        <w:t>(</w:t>
      </w:r>
      <w:r>
        <w:rPr>
          <w:rFonts w:hint="eastAsia" w:ascii="宋体" w:hAnsi="宋体"/>
          <w:color w:val="auto"/>
          <w:sz w:val="24"/>
          <w:szCs w:val="20"/>
          <w:highlight w:val="none"/>
        </w:rPr>
        <w:t>四</w:t>
      </w:r>
      <w:r>
        <w:rPr>
          <w:rFonts w:ascii="宋体" w:hAnsi="宋体"/>
          <w:color w:val="auto"/>
          <w:sz w:val="24"/>
          <w:szCs w:val="20"/>
          <w:highlight w:val="none"/>
        </w:rPr>
        <w:t>)</w:t>
      </w:r>
      <w:r>
        <w:rPr>
          <w:rFonts w:hint="eastAsia" w:ascii="宋体" w:hAnsi="宋体"/>
          <w:color w:val="auto"/>
          <w:sz w:val="24"/>
          <w:szCs w:val="20"/>
          <w:highlight w:val="none"/>
        </w:rPr>
        <w:t>因重大变故，采购任务取消的。</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评标委员会组成及职责</w:t>
      </w:r>
    </w:p>
    <w:p>
      <w:pPr>
        <w:spacing w:line="448" w:lineRule="atLeast"/>
        <w:ind w:left="714" w:leftChars="1" w:hanging="712" w:hangingChars="297"/>
        <w:rPr>
          <w:rFonts w:ascii="宋体"/>
          <w:color w:val="auto"/>
          <w:sz w:val="24"/>
          <w:szCs w:val="20"/>
          <w:highlight w:val="none"/>
        </w:rPr>
      </w:pPr>
      <w:r>
        <w:rPr>
          <w:rFonts w:ascii="宋体" w:hAnsi="宋体"/>
          <w:color w:val="auto"/>
          <w:sz w:val="24"/>
          <w:highlight w:val="none"/>
        </w:rPr>
        <w:t>20.1</w:t>
      </w:r>
      <w:r>
        <w:rPr>
          <w:rFonts w:ascii="宋体" w:hAnsi="宋体"/>
          <w:color w:val="auto"/>
          <w:sz w:val="24"/>
          <w:highlight w:val="none"/>
        </w:rPr>
        <w:tab/>
      </w:r>
      <w:r>
        <w:rPr>
          <w:rFonts w:hint="eastAsia" w:ascii="宋体" w:hAnsi="宋体"/>
          <w:color w:val="auto"/>
          <w:sz w:val="24"/>
          <w:szCs w:val="20"/>
          <w:highlight w:val="none"/>
        </w:rPr>
        <w:t>评标工作由招标人负责组织组成评标委员会。评标委员会由采购人代表和有关技术、经济等方面的专家组成，成员人数应当为五人以上（含</w:t>
      </w:r>
      <w:r>
        <w:rPr>
          <w:rFonts w:ascii="宋体" w:hAnsi="宋体"/>
          <w:color w:val="auto"/>
          <w:sz w:val="24"/>
          <w:szCs w:val="20"/>
          <w:highlight w:val="none"/>
        </w:rPr>
        <w:t>5</w:t>
      </w:r>
      <w:r>
        <w:rPr>
          <w:rFonts w:hint="eastAsia" w:ascii="宋体" w:hAnsi="宋体"/>
          <w:color w:val="auto"/>
          <w:sz w:val="24"/>
          <w:szCs w:val="20"/>
          <w:highlight w:val="none"/>
        </w:rPr>
        <w:t>人）单数。其中，技术、经济等方面的专家不得少于成员总数的三分之二。开标前随机抽取确定，并在招标结果确定前保密。</w:t>
      </w:r>
    </w:p>
    <w:p>
      <w:pPr>
        <w:spacing w:line="448" w:lineRule="atLeast"/>
        <w:ind w:left="714" w:leftChars="1" w:hanging="712" w:hangingChars="297"/>
        <w:rPr>
          <w:rFonts w:ascii="宋体" w:cs="Arial Unicode MS"/>
          <w:color w:val="auto"/>
          <w:sz w:val="24"/>
          <w:highlight w:val="none"/>
        </w:rPr>
      </w:pPr>
      <w:r>
        <w:rPr>
          <w:rFonts w:ascii="宋体" w:hAnsi="宋体"/>
          <w:color w:val="auto"/>
          <w:sz w:val="24"/>
          <w:szCs w:val="20"/>
          <w:highlight w:val="none"/>
        </w:rPr>
        <w:t>20.2</w:t>
      </w:r>
      <w:r>
        <w:rPr>
          <w:rFonts w:ascii="宋体" w:hAnsi="宋体"/>
          <w:color w:val="auto"/>
          <w:sz w:val="24"/>
          <w:szCs w:val="20"/>
          <w:highlight w:val="none"/>
        </w:rPr>
        <w:tab/>
      </w:r>
      <w:r>
        <w:rPr>
          <w:rFonts w:hint="eastAsia" w:ascii="宋体" w:hAnsi="宋体"/>
          <w:color w:val="auto"/>
          <w:sz w:val="24"/>
          <w:szCs w:val="20"/>
          <w:highlight w:val="none"/>
        </w:rPr>
        <w:t>评标事务由评标委员会负责，并独立履行下列职责：</w:t>
      </w:r>
    </w:p>
    <w:p>
      <w:pPr>
        <w:spacing w:line="448" w:lineRule="atLeast"/>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hint="eastAsia" w:ascii="宋体" w:hAnsi="宋体"/>
          <w:color w:val="auto"/>
          <w:sz w:val="24"/>
          <w:szCs w:val="20"/>
          <w:highlight w:val="none"/>
        </w:rPr>
        <w:t>（一）审查投标文件是否符合招标文件要求，并作出评价；</w:t>
      </w:r>
    </w:p>
    <w:p>
      <w:pPr>
        <w:spacing w:line="448" w:lineRule="atLeast"/>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hint="eastAsia" w:ascii="宋体" w:hAnsi="宋体"/>
          <w:color w:val="auto"/>
          <w:sz w:val="24"/>
          <w:szCs w:val="20"/>
          <w:highlight w:val="none"/>
        </w:rPr>
        <w:t>（二）要求投标人对投标文件有关事项作出解释或者澄清；</w:t>
      </w:r>
    </w:p>
    <w:p>
      <w:pPr>
        <w:spacing w:line="448" w:lineRule="atLeast"/>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hint="eastAsia" w:ascii="宋体" w:hAnsi="宋体"/>
          <w:color w:val="auto"/>
          <w:sz w:val="24"/>
          <w:szCs w:val="20"/>
          <w:highlight w:val="none"/>
        </w:rPr>
        <w:t>（三）推荐中标候选供应商名单，或者受招标人委托按照事先确定的办法直接确定中标人；</w:t>
      </w:r>
    </w:p>
    <w:p>
      <w:pPr>
        <w:spacing w:line="448" w:lineRule="atLeast"/>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hint="eastAsia" w:ascii="宋体" w:hAnsi="宋体"/>
          <w:color w:val="auto"/>
          <w:sz w:val="24"/>
          <w:szCs w:val="20"/>
          <w:highlight w:val="none"/>
        </w:rPr>
        <w:t>（四）向招标人或者有关部门报告非法干预评标工作的行为。</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评标委员会履行的义务</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（一）遵纪守法，客观、公正、廉洁地履行职责；</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（二）按照招标文件规定的评标方法和评标标准进行评标，对评审意见承担个人责任；</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（三）对评标过程和结果，以及供应商的商业秘密保密；</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（四）参与评标报告的起草；</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（五）配合财政部门的投诉处理工作；</w:t>
      </w:r>
    </w:p>
    <w:p>
      <w:pPr>
        <w:spacing w:line="360" w:lineRule="auto"/>
        <w:ind w:left="714" w:leftChars="1" w:hanging="712" w:hangingChars="297"/>
        <w:rPr>
          <w:rFonts w:ascii="宋体"/>
          <w:b/>
          <w:bC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（六）配合招标采购单位答复投标供应商提出的质疑。</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评标工作程序</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评标应当遵循下列工作程序：</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hint="eastAsia" w:ascii="宋体" w:hAnsi="宋体"/>
          <w:color w:val="auto"/>
          <w:sz w:val="24"/>
          <w:szCs w:val="20"/>
          <w:highlight w:val="none"/>
        </w:rPr>
        <w:t>（一）投标文件初审。初审分为资格性检查和响应性检查。</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ascii="宋体" w:hAnsi="宋体"/>
          <w:color w:val="auto"/>
          <w:sz w:val="24"/>
          <w:szCs w:val="20"/>
          <w:highlight w:val="none"/>
        </w:rPr>
        <w:t>1</w:t>
      </w:r>
      <w:r>
        <w:rPr>
          <w:rFonts w:hint="eastAsia" w:ascii="宋体" w:hAnsi="宋体"/>
          <w:color w:val="auto"/>
          <w:sz w:val="24"/>
          <w:szCs w:val="20"/>
          <w:highlight w:val="none"/>
        </w:rPr>
        <w:t>、资格性检查。依据法律法规和招标文件的规定，对投标人提供的资格证明文件、投标保证金等进行审查，以确定投标人是否具备投标资格</w:t>
      </w:r>
      <w:r>
        <w:rPr>
          <w:rFonts w:hint="eastAsia" w:ascii="宋体" w:hAnsi="宋体"/>
          <w:b/>
          <w:color w:val="auto"/>
          <w:sz w:val="24"/>
          <w:szCs w:val="20"/>
          <w:highlight w:val="none"/>
        </w:rPr>
        <w:t>（不接受二次提交证明文件资料）</w:t>
      </w:r>
      <w:r>
        <w:rPr>
          <w:rFonts w:hint="eastAsia" w:ascii="宋体" w:hAnsi="宋体"/>
          <w:color w:val="auto"/>
          <w:sz w:val="24"/>
          <w:szCs w:val="20"/>
          <w:highlight w:val="none"/>
        </w:rPr>
        <w:t>。如果确定投标人无资格或无能力履行合同，其投标将被拒绝。</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ascii="宋体" w:hAnsi="宋体"/>
          <w:color w:val="auto"/>
          <w:sz w:val="24"/>
          <w:szCs w:val="20"/>
          <w:highlight w:val="none"/>
        </w:rPr>
        <w:t>2</w:t>
      </w:r>
      <w:r>
        <w:rPr>
          <w:rFonts w:hint="eastAsia" w:ascii="宋体" w:hAnsi="宋体"/>
          <w:color w:val="auto"/>
          <w:sz w:val="24"/>
          <w:szCs w:val="20"/>
          <w:highlight w:val="none"/>
        </w:rPr>
        <w:t>、响应性检查。依据招标文件的规定，从投标文件的有效性、完整性和对招标文件的响应程度进行审查，以确定是否对招标文件的实质性要求作出响应。</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实质性响应的投标是指投标符合招标文件的所有条款、条件和规定，且没有重大偏离或保留。重大偏离或保留系指将会影响到招标文件中标的清单及技术参数的要求，或限制了采购人权力和投标人义务的规定，而纠正这些偏离将影响到其他投标人的公平竞争地位。</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招标人将拒绝被确定为非实质性响应的投标人。</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hint="eastAsia" w:ascii="宋体" w:hAnsi="宋体"/>
          <w:color w:val="auto"/>
          <w:sz w:val="24"/>
          <w:szCs w:val="20"/>
          <w:highlight w:val="none"/>
        </w:rPr>
        <w:t>（二）澄清有关问题。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hint="eastAsia" w:ascii="宋体" w:hAnsi="宋体"/>
          <w:color w:val="auto"/>
          <w:sz w:val="24"/>
          <w:szCs w:val="20"/>
          <w:highlight w:val="none"/>
        </w:rPr>
        <w:t>（三）比较与评价。按规定的评标方法和标准，对资格性检查和符合性检查合格的投标文件进行商务和技术评估，综合比较与评价。</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hint="eastAsia" w:ascii="宋体" w:hAnsi="宋体"/>
          <w:color w:val="auto"/>
          <w:sz w:val="24"/>
          <w:szCs w:val="20"/>
          <w:highlight w:val="none"/>
        </w:rPr>
        <w:t>（四）推荐中标候选供应商名单。中标候选供应商数量根据采购需要确定，并按顺序排列。</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ascii="宋体" w:hAnsi="宋体"/>
          <w:color w:val="auto"/>
          <w:sz w:val="24"/>
          <w:szCs w:val="20"/>
          <w:highlight w:val="none"/>
        </w:rPr>
        <w:t>(</w:t>
      </w:r>
      <w:r>
        <w:rPr>
          <w:rFonts w:hint="eastAsia" w:ascii="宋体" w:hAnsi="宋体"/>
          <w:color w:val="auto"/>
          <w:sz w:val="24"/>
          <w:szCs w:val="20"/>
          <w:highlight w:val="none"/>
        </w:rPr>
        <w:t>五</w:t>
      </w:r>
      <w:r>
        <w:rPr>
          <w:rFonts w:ascii="宋体" w:hAnsi="宋体"/>
          <w:color w:val="auto"/>
          <w:sz w:val="24"/>
          <w:szCs w:val="20"/>
          <w:highlight w:val="none"/>
        </w:rPr>
        <w:t>)</w:t>
      </w:r>
      <w:r>
        <w:rPr>
          <w:rFonts w:hint="eastAsia" w:ascii="宋体" w:hAnsi="宋体"/>
          <w:color w:val="auto"/>
          <w:sz w:val="24"/>
          <w:szCs w:val="20"/>
          <w:highlight w:val="none"/>
        </w:rPr>
        <w:t>编写评标报告。评标报告是评标委员会根据全体评标成员签字的原始评标记录和评标结果编写的报告，其主要内容包括：</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ascii="宋体" w:hAnsi="宋体"/>
          <w:color w:val="auto"/>
          <w:sz w:val="24"/>
          <w:szCs w:val="20"/>
          <w:highlight w:val="none"/>
        </w:rPr>
        <w:t>1</w:t>
      </w:r>
      <w:r>
        <w:rPr>
          <w:rFonts w:hint="eastAsia" w:ascii="宋体" w:hAnsi="宋体"/>
          <w:color w:val="auto"/>
          <w:sz w:val="24"/>
          <w:szCs w:val="20"/>
          <w:highlight w:val="none"/>
        </w:rPr>
        <w:t>、招标公告刊登的媒体名称、开标日期和地点；</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ascii="宋体" w:hAnsi="宋体"/>
          <w:color w:val="auto"/>
          <w:sz w:val="24"/>
          <w:szCs w:val="20"/>
          <w:highlight w:val="none"/>
        </w:rPr>
        <w:t>2</w:t>
      </w:r>
      <w:r>
        <w:rPr>
          <w:rFonts w:hint="eastAsia" w:ascii="宋体" w:hAnsi="宋体"/>
          <w:color w:val="auto"/>
          <w:sz w:val="24"/>
          <w:szCs w:val="20"/>
          <w:highlight w:val="none"/>
        </w:rPr>
        <w:t>、购买招标文件的投标人名单和评标委员会成员名单；</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ascii="宋体" w:hAnsi="宋体"/>
          <w:color w:val="auto"/>
          <w:sz w:val="24"/>
          <w:szCs w:val="20"/>
          <w:highlight w:val="none"/>
        </w:rPr>
        <w:t>3</w:t>
      </w:r>
      <w:r>
        <w:rPr>
          <w:rFonts w:hint="eastAsia" w:ascii="宋体" w:hAnsi="宋体"/>
          <w:color w:val="auto"/>
          <w:sz w:val="24"/>
          <w:szCs w:val="20"/>
          <w:highlight w:val="none"/>
        </w:rPr>
        <w:t>、评标方法和标准；</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ascii="宋体" w:hAnsi="宋体"/>
          <w:color w:val="auto"/>
          <w:sz w:val="24"/>
          <w:szCs w:val="20"/>
          <w:highlight w:val="none"/>
        </w:rPr>
        <w:t>4</w:t>
      </w:r>
      <w:r>
        <w:rPr>
          <w:rFonts w:hint="eastAsia" w:ascii="宋体" w:hAnsi="宋体"/>
          <w:color w:val="auto"/>
          <w:sz w:val="24"/>
          <w:szCs w:val="20"/>
          <w:highlight w:val="none"/>
        </w:rPr>
        <w:t>、开标记录和评标情况及说明，包括投标无效投标人名单及原因；</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ascii="宋体" w:hAnsi="宋体"/>
          <w:color w:val="auto"/>
          <w:sz w:val="24"/>
          <w:szCs w:val="20"/>
          <w:highlight w:val="none"/>
        </w:rPr>
        <w:t>5</w:t>
      </w:r>
      <w:r>
        <w:rPr>
          <w:rFonts w:hint="eastAsia" w:ascii="宋体" w:hAnsi="宋体"/>
          <w:color w:val="auto"/>
          <w:sz w:val="24"/>
          <w:szCs w:val="20"/>
          <w:highlight w:val="none"/>
        </w:rPr>
        <w:t>、评标结果和中标候选供应商排序表；</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ascii="宋体" w:hAnsi="宋体"/>
          <w:color w:val="auto"/>
          <w:sz w:val="24"/>
          <w:szCs w:val="20"/>
          <w:highlight w:val="none"/>
        </w:rPr>
        <w:t>6</w:t>
      </w:r>
      <w:r>
        <w:rPr>
          <w:rFonts w:hint="eastAsia" w:ascii="宋体" w:hAnsi="宋体"/>
          <w:color w:val="auto"/>
          <w:sz w:val="24"/>
          <w:szCs w:val="20"/>
          <w:highlight w:val="none"/>
        </w:rPr>
        <w:t>、评标委员会的授标建议。</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color w:val="auto"/>
          <w:sz w:val="24"/>
          <w:szCs w:val="20"/>
          <w:highlight w:val="none"/>
        </w:rPr>
        <w:tab/>
      </w:r>
      <w:r>
        <w:rPr>
          <w:rFonts w:hint="eastAsia" w:ascii="宋体" w:hAnsi="宋体"/>
          <w:color w:val="auto"/>
          <w:sz w:val="24"/>
          <w:szCs w:val="20"/>
          <w:highlight w:val="none"/>
        </w:rPr>
        <w:t>在评标中，不得改变已规定的评标标准、方法和中标条件。</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23.</w:t>
      </w:r>
      <w:r>
        <w:rPr>
          <w:rFonts w:ascii="宋体" w:hAnsi="宋体"/>
          <w:b/>
          <w:bCs/>
          <w:color w:val="auto"/>
          <w:sz w:val="24"/>
          <w:highlight w:val="none"/>
        </w:rPr>
        <w:tab/>
      </w:r>
      <w:r>
        <w:rPr>
          <w:rFonts w:hint="eastAsia" w:ascii="宋体" w:hAnsi="宋体"/>
          <w:b/>
          <w:bCs/>
          <w:color w:val="auto"/>
          <w:sz w:val="24"/>
          <w:highlight w:val="none"/>
        </w:rPr>
        <w:t>评标过程的保密性</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23.1</w:t>
      </w:r>
      <w:r>
        <w:rPr>
          <w:rFonts w:ascii="宋体" w:hAnsi="宋体"/>
          <w:color w:val="auto"/>
          <w:sz w:val="24"/>
          <w:highlight w:val="none"/>
        </w:rPr>
        <w:tab/>
      </w:r>
      <w:r>
        <w:rPr>
          <w:rFonts w:hint="eastAsia" w:ascii="宋体" w:hAnsi="宋体"/>
          <w:color w:val="auto"/>
          <w:sz w:val="24"/>
          <w:highlight w:val="none"/>
        </w:rPr>
        <w:t>在评标过程中和评标结束后，评委会的研究情况和所有投标人的商业秘密都属于保密内容；</w:t>
      </w:r>
    </w:p>
    <w:p>
      <w:pPr>
        <w:spacing w:line="360" w:lineRule="auto"/>
        <w:ind w:left="714" w:leftChars="1" w:hanging="712" w:hangingChars="297"/>
        <w:rPr>
          <w:rFonts w:ascii="宋体"/>
          <w:color w:val="auto"/>
          <w:spacing w:val="-2"/>
          <w:sz w:val="24"/>
          <w:highlight w:val="none"/>
        </w:rPr>
      </w:pPr>
      <w:r>
        <w:rPr>
          <w:rFonts w:ascii="宋体" w:hAnsi="宋体"/>
          <w:color w:val="auto"/>
          <w:sz w:val="24"/>
          <w:highlight w:val="none"/>
        </w:rPr>
        <w:t>23.2</w:t>
      </w:r>
      <w:r>
        <w:rPr>
          <w:rFonts w:ascii="宋体" w:hAnsi="宋体"/>
          <w:color w:val="auto"/>
          <w:sz w:val="24"/>
          <w:highlight w:val="none"/>
        </w:rPr>
        <w:tab/>
      </w:r>
      <w:r>
        <w:rPr>
          <w:rFonts w:hint="eastAsia" w:ascii="宋体" w:hAnsi="宋体"/>
          <w:color w:val="auto"/>
          <w:spacing w:val="-2"/>
          <w:sz w:val="24"/>
          <w:highlight w:val="none"/>
        </w:rPr>
        <w:t>有关投标文件的审查、澄清、评估和比较以及有关授予合同的意向一切情况都不得透露给任何投标人或与上述评标工作无关的人员；</w:t>
      </w:r>
    </w:p>
    <w:p>
      <w:pPr>
        <w:spacing w:line="360" w:lineRule="auto"/>
        <w:ind w:left="714" w:leftChars="1" w:hanging="712" w:hangingChars="297"/>
        <w:rPr>
          <w:rFonts w:ascii="宋体" w:hAnsi="宋体"/>
          <w:b/>
          <w:color w:val="auto"/>
          <w:sz w:val="24"/>
          <w:highlight w:val="none"/>
        </w:rPr>
      </w:pPr>
      <w:r>
        <w:rPr>
          <w:rFonts w:ascii="宋体" w:hAnsi="宋体"/>
          <w:color w:val="auto"/>
          <w:sz w:val="24"/>
          <w:highlight w:val="none"/>
        </w:rPr>
        <w:t>23.3</w:t>
      </w:r>
      <w:r>
        <w:rPr>
          <w:rFonts w:ascii="宋体" w:hAnsi="宋体"/>
          <w:color w:val="auto"/>
          <w:sz w:val="24"/>
          <w:highlight w:val="none"/>
        </w:rPr>
        <w:tab/>
      </w:r>
      <w:r>
        <w:rPr>
          <w:rFonts w:hint="eastAsia" w:ascii="宋体" w:hAnsi="宋体"/>
          <w:color w:val="auto"/>
          <w:sz w:val="24"/>
          <w:highlight w:val="none"/>
        </w:rPr>
        <w:t>投标人不得干扰招标人的评标活动，否则将撤消其投标资格，并没收其投标保证金。</w:t>
      </w:r>
    </w:p>
    <w:p>
      <w:pPr>
        <w:spacing w:line="360" w:lineRule="auto"/>
        <w:ind w:left="718" w:leftChars="1" w:hanging="716" w:hangingChars="297"/>
        <w:rPr>
          <w:rFonts w:ascii="宋体"/>
          <w:b/>
          <w:color w:val="auto"/>
          <w:sz w:val="24"/>
          <w:highlight w:val="none"/>
        </w:rPr>
      </w:pPr>
      <w:r>
        <w:rPr>
          <w:rFonts w:ascii="宋体" w:hAnsi="宋体"/>
          <w:b/>
          <w:color w:val="auto"/>
          <w:sz w:val="24"/>
          <w:highlight w:val="none"/>
        </w:rPr>
        <w:t xml:space="preserve">E   </w:t>
      </w:r>
      <w:r>
        <w:rPr>
          <w:rFonts w:hint="eastAsia" w:ascii="宋体" w:hAnsi="宋体"/>
          <w:b/>
          <w:color w:val="auto"/>
          <w:sz w:val="24"/>
          <w:highlight w:val="none"/>
        </w:rPr>
        <w:t>评标方法及标准</w:t>
      </w:r>
    </w:p>
    <w:p>
      <w:pPr>
        <w:spacing w:line="360" w:lineRule="auto"/>
        <w:ind w:left="714" w:leftChars="1" w:hanging="712" w:hangingChars="297"/>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w:t>
      </w:r>
      <w:r>
        <w:rPr>
          <w:rFonts w:ascii="宋体"/>
          <w:bCs/>
          <w:color w:val="auto"/>
          <w:sz w:val="24"/>
          <w:highlight w:val="none"/>
        </w:rPr>
        <w:tab/>
      </w:r>
      <w:r>
        <w:rPr>
          <w:rFonts w:hint="eastAsia" w:ascii="宋体" w:hAnsi="宋体"/>
          <w:bCs/>
          <w:color w:val="auto"/>
          <w:sz w:val="24"/>
          <w:highlight w:val="none"/>
        </w:rPr>
        <w:t>评标方法（</w:t>
      </w:r>
      <w:r>
        <w:rPr>
          <w:rFonts w:hint="eastAsia" w:ascii="宋体" w:hAnsi="宋体"/>
          <w:bCs/>
          <w:color w:val="auto"/>
          <w:sz w:val="24"/>
          <w:highlight w:val="none"/>
          <w:lang w:val="en-US" w:eastAsia="zh-CN"/>
        </w:rPr>
        <w:t>最低投标价法</w:t>
      </w:r>
      <w:r>
        <w:rPr>
          <w:rFonts w:hint="eastAsia" w:ascii="宋体" w:hAnsi="宋体"/>
          <w:bCs/>
          <w:color w:val="auto"/>
          <w:sz w:val="24"/>
          <w:highlight w:val="none"/>
        </w:rPr>
        <w:t>）</w:t>
      </w:r>
    </w:p>
    <w:p>
      <w:pPr>
        <w:spacing w:line="360" w:lineRule="auto"/>
        <w:ind w:left="714" w:leftChars="1" w:hanging="712" w:hangingChars="297"/>
        <w:rPr>
          <w:rFonts w:hint="eastAsia" w:ascii="宋体" w:hAnsi="宋体"/>
          <w:color w:val="auto"/>
          <w:sz w:val="24"/>
          <w:highlight w:val="none"/>
        </w:rPr>
      </w:pPr>
      <w:r>
        <w:rPr>
          <w:rFonts w:ascii="宋体" w:hAnsi="宋体"/>
          <w:color w:val="auto"/>
          <w:sz w:val="24"/>
          <w:highlight w:val="none"/>
        </w:rPr>
        <w:t>24.1</w:t>
      </w:r>
      <w:r>
        <w:rPr>
          <w:rFonts w:ascii="宋体" w:hAnsi="宋体"/>
          <w:color w:val="auto"/>
          <w:sz w:val="24"/>
          <w:highlight w:val="none"/>
        </w:rPr>
        <w:tab/>
      </w:r>
      <w:r>
        <w:rPr>
          <w:rFonts w:hint="eastAsia" w:ascii="宋体" w:hAnsi="宋体"/>
          <w:color w:val="auto"/>
          <w:sz w:val="24"/>
          <w:highlight w:val="none"/>
          <w:lang w:val="en-US" w:eastAsia="zh-CN"/>
        </w:rPr>
        <w:t>最低投标价法</w:t>
      </w:r>
      <w:r>
        <w:rPr>
          <w:rFonts w:hint="eastAsia" w:ascii="宋体" w:hAnsi="宋体"/>
          <w:color w:val="auto"/>
          <w:sz w:val="24"/>
          <w:highlight w:val="none"/>
        </w:rPr>
        <w:t>，评标委员会按照招标文件中规定的各项因素进行综合评审后，在全部满足招标文件实质性要求前提下，依据统一的价格要素评定最低报价，按投标报价由低到高顺序排列，以提出最低报价的投标人作为中标候选供应商或者中标供应商。报价相同的，由采购人或者采购人委托评标委员会按照招标文件规定的方式确定一个参加评标的投标人，招标文件未规定的采取随机抽取方式确定，其他投标无效。</w:t>
      </w:r>
    </w:p>
    <w:p>
      <w:pPr>
        <w:spacing w:line="360" w:lineRule="auto"/>
        <w:ind w:left="714" w:leftChars="1" w:hanging="712" w:hangingChars="297"/>
        <w:rPr>
          <w:rFonts w:ascii="宋体"/>
          <w:color w:val="auto"/>
          <w:sz w:val="24"/>
          <w:highlight w:val="none"/>
        </w:rPr>
      </w:pPr>
    </w:p>
    <w:p>
      <w:pPr>
        <w:spacing w:line="360" w:lineRule="auto"/>
        <w:rPr>
          <w:rFonts w:ascii="宋体"/>
          <w:color w:val="auto"/>
          <w:sz w:val="24"/>
          <w:szCs w:val="20"/>
          <w:highlight w:val="none"/>
        </w:rPr>
      </w:pPr>
      <w:r>
        <w:rPr>
          <w:rFonts w:ascii="宋体" w:hAnsi="宋体"/>
          <w:color w:val="auto"/>
          <w:sz w:val="24"/>
          <w:szCs w:val="20"/>
          <w:highlight w:val="none"/>
        </w:rPr>
        <w:t>24.2</w:t>
      </w:r>
      <w:r>
        <w:rPr>
          <w:rFonts w:ascii="宋体" w:hAnsi="宋体"/>
          <w:color w:val="auto"/>
          <w:sz w:val="24"/>
          <w:szCs w:val="20"/>
          <w:highlight w:val="none"/>
        </w:rPr>
        <w:tab/>
      </w:r>
      <w:r>
        <w:rPr>
          <w:rFonts w:hint="eastAsia" w:ascii="宋体" w:hAnsi="宋体"/>
          <w:color w:val="auto"/>
          <w:sz w:val="24"/>
          <w:szCs w:val="20"/>
          <w:highlight w:val="none"/>
        </w:rPr>
        <w:t>评标标准</w:t>
      </w:r>
    </w:p>
    <w:tbl>
      <w:tblPr>
        <w:tblStyle w:val="31"/>
        <w:tblW w:w="93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703"/>
        <w:gridCol w:w="6593"/>
        <w:gridCol w:w="612"/>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88" w:type="dxa"/>
            <w:vAlign w:val="center"/>
          </w:tcPr>
          <w:p>
            <w:pPr>
              <w:autoSpaceDE w:val="0"/>
              <w:autoSpaceDN w:val="0"/>
              <w:spacing w:line="0" w:lineRule="atLeast"/>
              <w:jc w:val="center"/>
              <w:rPr>
                <w:color w:val="FF0000"/>
                <w:sz w:val="18"/>
                <w:szCs w:val="18"/>
                <w:highlight w:val="none"/>
              </w:rPr>
            </w:pPr>
            <w:r>
              <w:rPr>
                <w:color w:val="FF0000"/>
                <w:sz w:val="18"/>
                <w:szCs w:val="18"/>
                <w:highlight w:val="none"/>
              </w:rPr>
              <w:t>项目</w:t>
            </w:r>
          </w:p>
        </w:tc>
        <w:tc>
          <w:tcPr>
            <w:tcW w:w="703" w:type="dxa"/>
            <w:vAlign w:val="center"/>
          </w:tcPr>
          <w:p>
            <w:pPr>
              <w:autoSpaceDE w:val="0"/>
              <w:autoSpaceDN w:val="0"/>
              <w:spacing w:line="0" w:lineRule="atLeast"/>
              <w:jc w:val="center"/>
              <w:rPr>
                <w:rFonts w:hint="eastAsia"/>
                <w:color w:val="FF0000"/>
                <w:sz w:val="18"/>
                <w:szCs w:val="18"/>
                <w:highlight w:val="none"/>
              </w:rPr>
            </w:pPr>
            <w:r>
              <w:rPr>
                <w:rFonts w:hint="eastAsia"/>
                <w:color w:val="FF0000"/>
                <w:sz w:val="18"/>
                <w:szCs w:val="18"/>
                <w:highlight w:val="none"/>
              </w:rPr>
              <w:t>序号</w:t>
            </w:r>
          </w:p>
        </w:tc>
        <w:tc>
          <w:tcPr>
            <w:tcW w:w="6593" w:type="dxa"/>
            <w:vAlign w:val="center"/>
          </w:tcPr>
          <w:p>
            <w:pPr>
              <w:autoSpaceDE w:val="0"/>
              <w:autoSpaceDN w:val="0"/>
              <w:spacing w:line="0" w:lineRule="atLeast"/>
              <w:jc w:val="center"/>
              <w:rPr>
                <w:color w:val="FF0000"/>
                <w:sz w:val="18"/>
                <w:szCs w:val="18"/>
                <w:highlight w:val="none"/>
              </w:rPr>
            </w:pPr>
            <w:r>
              <w:rPr>
                <w:color w:val="FF0000"/>
                <w:sz w:val="18"/>
                <w:szCs w:val="18"/>
                <w:highlight w:val="none"/>
              </w:rPr>
              <w:t>评审内容</w:t>
            </w:r>
          </w:p>
        </w:tc>
        <w:tc>
          <w:tcPr>
            <w:tcW w:w="1397" w:type="dxa"/>
            <w:gridSpan w:val="2"/>
            <w:vAlign w:val="center"/>
          </w:tcPr>
          <w:p>
            <w:pPr>
              <w:autoSpaceDE w:val="0"/>
              <w:autoSpaceDN w:val="0"/>
              <w:spacing w:line="0" w:lineRule="atLeast"/>
              <w:jc w:val="center"/>
              <w:rPr>
                <w:color w:val="FF0000"/>
                <w:sz w:val="18"/>
                <w:szCs w:val="18"/>
                <w:highlight w:val="none"/>
              </w:rPr>
            </w:pPr>
            <w:r>
              <w:rPr>
                <w:color w:val="FF0000"/>
                <w:sz w:val="18"/>
                <w:szCs w:val="18"/>
                <w:highlight w:val="none"/>
              </w:rPr>
              <w:t>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88" w:type="dxa"/>
            <w:vMerge w:val="restart"/>
            <w:vAlign w:val="center"/>
          </w:tcPr>
          <w:p>
            <w:pPr>
              <w:autoSpaceDE w:val="0"/>
              <w:autoSpaceDN w:val="0"/>
              <w:spacing w:line="0" w:lineRule="atLeast"/>
              <w:jc w:val="center"/>
              <w:rPr>
                <w:color w:val="FF0000"/>
                <w:sz w:val="18"/>
                <w:szCs w:val="18"/>
                <w:highlight w:val="none"/>
              </w:rPr>
            </w:pPr>
            <w:r>
              <w:rPr>
                <w:rFonts w:hint="eastAsia"/>
                <w:color w:val="FF0000"/>
                <w:sz w:val="18"/>
                <w:szCs w:val="18"/>
                <w:highlight w:val="none"/>
              </w:rPr>
              <w:t>资格审查</w:t>
            </w:r>
          </w:p>
        </w:tc>
        <w:tc>
          <w:tcPr>
            <w:tcW w:w="703" w:type="dxa"/>
            <w:vAlign w:val="center"/>
          </w:tcPr>
          <w:p>
            <w:pPr>
              <w:autoSpaceDE w:val="0"/>
              <w:autoSpaceDN w:val="0"/>
              <w:spacing w:line="0" w:lineRule="atLeast"/>
              <w:jc w:val="center"/>
              <w:rPr>
                <w:color w:val="FF0000"/>
                <w:sz w:val="18"/>
                <w:szCs w:val="18"/>
                <w:highlight w:val="none"/>
              </w:rPr>
            </w:pPr>
          </w:p>
        </w:tc>
        <w:tc>
          <w:tcPr>
            <w:tcW w:w="6593" w:type="dxa"/>
            <w:vAlign w:val="center"/>
          </w:tcPr>
          <w:p>
            <w:pPr>
              <w:autoSpaceDE w:val="0"/>
              <w:autoSpaceDN w:val="0"/>
              <w:spacing w:line="0" w:lineRule="atLeast"/>
              <w:rPr>
                <w:color w:val="FF0000"/>
                <w:sz w:val="18"/>
                <w:szCs w:val="18"/>
                <w:highlight w:val="none"/>
              </w:rPr>
            </w:pPr>
          </w:p>
        </w:tc>
        <w:tc>
          <w:tcPr>
            <w:tcW w:w="612" w:type="dxa"/>
            <w:vAlign w:val="center"/>
          </w:tcPr>
          <w:p>
            <w:pPr>
              <w:autoSpaceDE w:val="0"/>
              <w:autoSpaceDN w:val="0"/>
              <w:spacing w:line="0" w:lineRule="atLeast"/>
              <w:jc w:val="center"/>
              <w:rPr>
                <w:color w:val="FF0000"/>
                <w:sz w:val="18"/>
                <w:szCs w:val="18"/>
                <w:highlight w:val="none"/>
              </w:rPr>
            </w:pPr>
            <w:r>
              <w:rPr>
                <w:rFonts w:hint="eastAsia"/>
                <w:color w:val="FF0000"/>
                <w:sz w:val="18"/>
                <w:szCs w:val="18"/>
                <w:highlight w:val="none"/>
              </w:rPr>
              <w:t>通过</w:t>
            </w:r>
          </w:p>
        </w:tc>
        <w:tc>
          <w:tcPr>
            <w:tcW w:w="785" w:type="dxa"/>
            <w:vAlign w:val="center"/>
          </w:tcPr>
          <w:p>
            <w:pPr>
              <w:autoSpaceDE w:val="0"/>
              <w:autoSpaceDN w:val="0"/>
              <w:spacing w:line="0" w:lineRule="atLeast"/>
              <w:jc w:val="center"/>
              <w:rPr>
                <w:color w:val="FF0000"/>
                <w:sz w:val="18"/>
                <w:szCs w:val="18"/>
                <w:highlight w:val="none"/>
              </w:rPr>
            </w:pPr>
            <w:r>
              <w:rPr>
                <w:rFonts w:hint="eastAsia"/>
                <w:color w:val="FF0000"/>
                <w:sz w:val="18"/>
                <w:szCs w:val="18"/>
                <w:highlight w:val="none"/>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88" w:type="dxa"/>
            <w:vMerge w:val="continue"/>
            <w:vAlign w:val="center"/>
          </w:tcPr>
          <w:p>
            <w:pPr>
              <w:autoSpaceDE w:val="0"/>
              <w:autoSpaceDN w:val="0"/>
              <w:spacing w:line="0" w:lineRule="atLeast"/>
              <w:jc w:val="center"/>
              <w:rPr>
                <w:rFonts w:hint="eastAsia"/>
                <w:color w:val="FF0000"/>
                <w:sz w:val="18"/>
                <w:szCs w:val="18"/>
                <w:highlight w:val="none"/>
              </w:rPr>
            </w:pPr>
          </w:p>
        </w:tc>
        <w:tc>
          <w:tcPr>
            <w:tcW w:w="703" w:type="dxa"/>
            <w:vAlign w:val="center"/>
          </w:tcPr>
          <w:p>
            <w:pPr>
              <w:autoSpaceDE w:val="0"/>
              <w:autoSpaceDN w:val="0"/>
              <w:spacing w:line="0" w:lineRule="atLeast"/>
              <w:jc w:val="center"/>
              <w:rPr>
                <w:rFonts w:hint="eastAsia"/>
                <w:color w:val="FF0000"/>
                <w:sz w:val="18"/>
                <w:szCs w:val="18"/>
                <w:highlight w:val="none"/>
              </w:rPr>
            </w:pPr>
            <w:r>
              <w:rPr>
                <w:rFonts w:hint="eastAsia"/>
                <w:color w:val="FF0000"/>
                <w:sz w:val="18"/>
                <w:szCs w:val="18"/>
                <w:highlight w:val="none"/>
              </w:rPr>
              <w:t>1</w:t>
            </w:r>
          </w:p>
        </w:tc>
        <w:tc>
          <w:tcPr>
            <w:tcW w:w="6593" w:type="dxa"/>
            <w:vAlign w:val="center"/>
          </w:tcPr>
          <w:p>
            <w:pPr>
              <w:widowControl/>
              <w:rPr>
                <w:rFonts w:ascii="宋体" w:hAnsi="宋体" w:cs="宋体"/>
                <w:color w:val="FF0000"/>
                <w:kern w:val="0"/>
                <w:sz w:val="18"/>
                <w:szCs w:val="18"/>
                <w:highlight w:val="none"/>
              </w:rPr>
            </w:pPr>
            <w:r>
              <w:rPr>
                <w:rFonts w:hint="eastAsia" w:ascii="宋体" w:hAnsi="宋体" w:cs="宋体"/>
                <w:color w:val="FF0000"/>
                <w:kern w:val="0"/>
                <w:sz w:val="18"/>
                <w:szCs w:val="18"/>
                <w:highlight w:val="none"/>
              </w:rPr>
              <w:t>是否提供合格的企业法人营业执照（或</w:t>
            </w:r>
            <w:r>
              <w:rPr>
                <w:rFonts w:hint="eastAsia" w:ascii="宋体" w:hAnsi="宋体" w:cs="宋体"/>
                <w:color w:val="FF0000"/>
                <w:kern w:val="0"/>
                <w:sz w:val="18"/>
                <w:szCs w:val="18"/>
                <w:highlight w:val="none"/>
                <w:lang w:eastAsia="zh-CN"/>
              </w:rPr>
              <w:t>五</w:t>
            </w:r>
            <w:r>
              <w:rPr>
                <w:rFonts w:hint="eastAsia" w:ascii="宋体" w:hAnsi="宋体" w:cs="宋体"/>
                <w:color w:val="FF0000"/>
                <w:kern w:val="0"/>
                <w:sz w:val="18"/>
                <w:szCs w:val="18"/>
                <w:highlight w:val="none"/>
              </w:rPr>
              <w:t>证合一</w:t>
            </w:r>
            <w:r>
              <w:rPr>
                <w:rFonts w:hint="eastAsia" w:ascii="宋体" w:hAnsi="宋体" w:cs="宋体"/>
                <w:color w:val="FF0000"/>
                <w:kern w:val="0"/>
                <w:sz w:val="18"/>
                <w:szCs w:val="18"/>
                <w:highlight w:val="none"/>
                <w:lang w:eastAsia="zh-CN"/>
              </w:rPr>
              <w:t>、三证合一、</w:t>
            </w:r>
            <w:r>
              <w:rPr>
                <w:rFonts w:hint="eastAsia" w:ascii="宋体" w:hAnsi="宋体" w:cs="宋体"/>
                <w:color w:val="FF0000"/>
                <w:kern w:val="0"/>
                <w:sz w:val="18"/>
                <w:szCs w:val="18"/>
                <w:highlight w:val="none"/>
              </w:rPr>
              <w:t>须有相应经营范围）；</w:t>
            </w:r>
          </w:p>
        </w:tc>
        <w:tc>
          <w:tcPr>
            <w:tcW w:w="612" w:type="dxa"/>
            <w:vAlign w:val="top"/>
          </w:tcPr>
          <w:p>
            <w:pPr>
              <w:autoSpaceDE w:val="0"/>
              <w:autoSpaceDN w:val="0"/>
              <w:spacing w:line="0" w:lineRule="atLeast"/>
              <w:jc w:val="left"/>
              <w:rPr>
                <w:color w:val="FF0000"/>
                <w:sz w:val="18"/>
                <w:szCs w:val="18"/>
                <w:highlight w:val="none"/>
              </w:rPr>
            </w:pPr>
          </w:p>
        </w:tc>
        <w:tc>
          <w:tcPr>
            <w:tcW w:w="785" w:type="dxa"/>
            <w:vAlign w:val="top"/>
          </w:tcPr>
          <w:p>
            <w:pPr>
              <w:autoSpaceDE w:val="0"/>
              <w:autoSpaceDN w:val="0"/>
              <w:spacing w:line="0" w:lineRule="atLeast"/>
              <w:jc w:val="left"/>
              <w:rPr>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jc w:val="center"/>
        </w:trPr>
        <w:tc>
          <w:tcPr>
            <w:tcW w:w="688" w:type="dxa"/>
            <w:vMerge w:val="continue"/>
            <w:vAlign w:val="center"/>
          </w:tcPr>
          <w:p>
            <w:pPr>
              <w:widowControl/>
              <w:spacing w:line="0" w:lineRule="atLeast"/>
              <w:jc w:val="left"/>
              <w:rPr>
                <w:color w:val="FF0000"/>
                <w:sz w:val="18"/>
                <w:szCs w:val="18"/>
                <w:highlight w:val="none"/>
              </w:rPr>
            </w:pPr>
          </w:p>
        </w:tc>
        <w:tc>
          <w:tcPr>
            <w:tcW w:w="703" w:type="dxa"/>
            <w:vAlign w:val="center"/>
          </w:tcPr>
          <w:p>
            <w:pPr>
              <w:autoSpaceDE w:val="0"/>
              <w:autoSpaceDN w:val="0"/>
              <w:spacing w:line="0" w:lineRule="atLeast"/>
              <w:jc w:val="center"/>
              <w:rPr>
                <w:rFonts w:hint="eastAsia"/>
                <w:color w:val="FF0000"/>
                <w:sz w:val="18"/>
                <w:szCs w:val="18"/>
                <w:highlight w:val="none"/>
              </w:rPr>
            </w:pPr>
            <w:r>
              <w:rPr>
                <w:rFonts w:hint="eastAsia"/>
                <w:color w:val="FF0000"/>
                <w:sz w:val="18"/>
                <w:szCs w:val="18"/>
                <w:highlight w:val="none"/>
              </w:rPr>
              <w:t>2</w:t>
            </w:r>
          </w:p>
        </w:tc>
        <w:tc>
          <w:tcPr>
            <w:tcW w:w="6593" w:type="dxa"/>
            <w:vAlign w:val="center"/>
          </w:tcPr>
          <w:p>
            <w:pPr>
              <w:widowControl/>
              <w:rPr>
                <w:rFonts w:ascii="宋体" w:hAnsi="宋体" w:cs="宋体"/>
                <w:color w:val="FF0000"/>
                <w:kern w:val="0"/>
                <w:sz w:val="18"/>
                <w:szCs w:val="18"/>
                <w:highlight w:val="none"/>
              </w:rPr>
            </w:pPr>
            <w:r>
              <w:rPr>
                <w:rFonts w:hint="eastAsia" w:ascii="宋体" w:hAnsi="宋体" w:cs="宋体"/>
                <w:color w:val="FF0000"/>
                <w:kern w:val="0"/>
                <w:sz w:val="18"/>
                <w:szCs w:val="18"/>
                <w:highlight w:val="none"/>
                <w:lang w:eastAsia="zh-CN"/>
              </w:rPr>
              <w:t>投标文件是否按照规定进行胶装、标记的；</w:t>
            </w:r>
          </w:p>
        </w:tc>
        <w:tc>
          <w:tcPr>
            <w:tcW w:w="612" w:type="dxa"/>
            <w:vAlign w:val="top"/>
          </w:tcPr>
          <w:p>
            <w:pPr>
              <w:autoSpaceDE w:val="0"/>
              <w:autoSpaceDN w:val="0"/>
              <w:spacing w:line="0" w:lineRule="atLeast"/>
              <w:jc w:val="left"/>
              <w:rPr>
                <w:color w:val="FF0000"/>
                <w:sz w:val="18"/>
                <w:szCs w:val="18"/>
                <w:highlight w:val="none"/>
              </w:rPr>
            </w:pPr>
          </w:p>
        </w:tc>
        <w:tc>
          <w:tcPr>
            <w:tcW w:w="785" w:type="dxa"/>
            <w:vAlign w:val="top"/>
          </w:tcPr>
          <w:p>
            <w:pPr>
              <w:autoSpaceDE w:val="0"/>
              <w:autoSpaceDN w:val="0"/>
              <w:spacing w:line="0" w:lineRule="atLeast"/>
              <w:jc w:val="left"/>
              <w:rPr>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6" w:hRule="atLeast"/>
          <w:jc w:val="center"/>
        </w:trPr>
        <w:tc>
          <w:tcPr>
            <w:tcW w:w="688" w:type="dxa"/>
            <w:vMerge w:val="continue"/>
            <w:vAlign w:val="center"/>
          </w:tcPr>
          <w:p>
            <w:pPr>
              <w:widowControl/>
              <w:spacing w:line="0" w:lineRule="atLeast"/>
              <w:jc w:val="left"/>
              <w:rPr>
                <w:color w:val="FF0000"/>
                <w:sz w:val="18"/>
                <w:szCs w:val="18"/>
                <w:highlight w:val="none"/>
              </w:rPr>
            </w:pPr>
          </w:p>
        </w:tc>
        <w:tc>
          <w:tcPr>
            <w:tcW w:w="703" w:type="dxa"/>
            <w:vAlign w:val="center"/>
          </w:tcPr>
          <w:p>
            <w:pPr>
              <w:autoSpaceDE w:val="0"/>
              <w:autoSpaceDN w:val="0"/>
              <w:spacing w:line="0" w:lineRule="atLeast"/>
              <w:jc w:val="center"/>
              <w:rPr>
                <w:rFonts w:hint="eastAsia" w:eastAsia="宋体"/>
                <w:color w:val="FF0000"/>
                <w:sz w:val="18"/>
                <w:szCs w:val="18"/>
                <w:highlight w:val="none"/>
                <w:lang w:val="en-US" w:eastAsia="zh-CN"/>
              </w:rPr>
            </w:pPr>
            <w:r>
              <w:rPr>
                <w:rFonts w:hint="eastAsia"/>
                <w:color w:val="FF0000"/>
                <w:sz w:val="18"/>
                <w:szCs w:val="18"/>
                <w:highlight w:val="none"/>
                <w:lang w:val="en-US" w:eastAsia="zh-CN"/>
              </w:rPr>
              <w:t>3</w:t>
            </w:r>
          </w:p>
        </w:tc>
        <w:tc>
          <w:tcPr>
            <w:tcW w:w="6593" w:type="dxa"/>
            <w:vAlign w:val="center"/>
          </w:tcPr>
          <w:p>
            <w:pPr>
              <w:pStyle w:val="2"/>
              <w:numPr>
                <w:ilvl w:val="1"/>
                <w:numId w:val="0"/>
              </w:numPr>
              <w:ind w:leftChars="0"/>
              <w:rPr>
                <w:rFonts w:hint="eastAsia" w:ascii="宋体" w:hAnsi="宋体" w:cs="宋体"/>
                <w:color w:val="FF0000"/>
                <w:kern w:val="0"/>
                <w:sz w:val="18"/>
                <w:szCs w:val="18"/>
                <w:highlight w:val="none"/>
                <w:lang w:eastAsia="zh-CN"/>
              </w:rPr>
            </w:pPr>
            <w:r>
              <w:rPr>
                <w:rFonts w:hint="eastAsia" w:ascii="宋体" w:hAnsi="宋体" w:eastAsia="宋体" w:cs="宋体"/>
                <w:color w:val="FF0000"/>
                <w:kern w:val="0"/>
                <w:sz w:val="18"/>
                <w:szCs w:val="18"/>
                <w:highlight w:val="none"/>
                <w:lang w:val="en-US" w:eastAsia="zh-CN" w:bidi="ar-SA"/>
              </w:rPr>
              <w:t>食品经营许可证、生产许可证（不是生产厂家直接投标的，提供复印件加盖公司鲜红公章）；近期产品质量检测报告及相应资质证明文件；</w:t>
            </w:r>
          </w:p>
        </w:tc>
        <w:tc>
          <w:tcPr>
            <w:tcW w:w="612" w:type="dxa"/>
            <w:vAlign w:val="top"/>
          </w:tcPr>
          <w:p>
            <w:pPr>
              <w:autoSpaceDE w:val="0"/>
              <w:autoSpaceDN w:val="0"/>
              <w:spacing w:line="0" w:lineRule="atLeast"/>
              <w:jc w:val="left"/>
              <w:rPr>
                <w:color w:val="FF0000"/>
                <w:sz w:val="18"/>
                <w:szCs w:val="18"/>
                <w:highlight w:val="none"/>
              </w:rPr>
            </w:pPr>
          </w:p>
        </w:tc>
        <w:tc>
          <w:tcPr>
            <w:tcW w:w="785" w:type="dxa"/>
            <w:vAlign w:val="top"/>
          </w:tcPr>
          <w:p>
            <w:pPr>
              <w:autoSpaceDE w:val="0"/>
              <w:autoSpaceDN w:val="0"/>
              <w:spacing w:line="0" w:lineRule="atLeast"/>
              <w:jc w:val="left"/>
              <w:rPr>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1" w:hRule="atLeast"/>
          <w:jc w:val="center"/>
        </w:trPr>
        <w:tc>
          <w:tcPr>
            <w:tcW w:w="688" w:type="dxa"/>
            <w:vMerge w:val="continue"/>
            <w:vAlign w:val="center"/>
          </w:tcPr>
          <w:p>
            <w:pPr>
              <w:widowControl/>
              <w:spacing w:line="0" w:lineRule="atLeast"/>
              <w:jc w:val="left"/>
              <w:rPr>
                <w:color w:val="FF0000"/>
                <w:sz w:val="18"/>
                <w:szCs w:val="18"/>
                <w:highlight w:val="none"/>
              </w:rPr>
            </w:pPr>
          </w:p>
        </w:tc>
        <w:tc>
          <w:tcPr>
            <w:tcW w:w="703" w:type="dxa"/>
            <w:vAlign w:val="center"/>
          </w:tcPr>
          <w:p>
            <w:pPr>
              <w:autoSpaceDE w:val="0"/>
              <w:autoSpaceDN w:val="0"/>
              <w:spacing w:line="0" w:lineRule="atLeast"/>
              <w:jc w:val="center"/>
              <w:rPr>
                <w:rFonts w:hint="eastAsia"/>
                <w:color w:val="FF0000"/>
                <w:sz w:val="18"/>
                <w:szCs w:val="18"/>
                <w:highlight w:val="none"/>
                <w:lang w:val="en-US" w:eastAsia="zh-CN"/>
              </w:rPr>
            </w:pPr>
            <w:r>
              <w:rPr>
                <w:rFonts w:hint="eastAsia"/>
                <w:color w:val="FF0000"/>
                <w:sz w:val="18"/>
                <w:szCs w:val="18"/>
                <w:highlight w:val="none"/>
                <w:lang w:val="en-US" w:eastAsia="zh-CN"/>
              </w:rPr>
              <w:t>4</w:t>
            </w:r>
          </w:p>
        </w:tc>
        <w:tc>
          <w:tcPr>
            <w:tcW w:w="6593" w:type="dxa"/>
            <w:vAlign w:val="center"/>
          </w:tcPr>
          <w:p>
            <w:pPr>
              <w:pStyle w:val="2"/>
              <w:numPr>
                <w:ilvl w:val="1"/>
                <w:numId w:val="0"/>
              </w:numPr>
              <w:ind w:leftChars="0"/>
              <w:rPr>
                <w:rFonts w:hint="eastAsia" w:ascii="宋体" w:hAnsi="宋体" w:eastAsia="宋体" w:cs="宋体"/>
                <w:color w:val="FF0000"/>
                <w:kern w:val="0"/>
                <w:sz w:val="18"/>
                <w:szCs w:val="18"/>
                <w:highlight w:val="none"/>
                <w:lang w:val="en-US" w:eastAsia="zh-CN" w:bidi="ar-SA"/>
              </w:rPr>
            </w:pPr>
            <w:r>
              <w:rPr>
                <w:rFonts w:hint="eastAsia" w:ascii="宋体" w:hAnsi="宋体" w:eastAsia="宋体" w:cs="宋体"/>
                <w:color w:val="FF0000"/>
                <w:kern w:val="0"/>
                <w:sz w:val="18"/>
                <w:szCs w:val="18"/>
                <w:highlight w:val="none"/>
                <w:lang w:val="en-US" w:eastAsia="zh-CN" w:bidi="ar-SA"/>
              </w:rPr>
              <w:t>“中国学生饮用奶定点生产企业”证书、标牌或具备新疆维吾尔自治区奶业办公室出具给中国奶业协会的推荐函（由新疆维吾尔自治区畜牧厅、教育厅、质量技术监督局联合下发文件中所包含企业）,并具有行业《生产许可证》、近期产品质量检测报告及相应资质证明文件；</w:t>
            </w:r>
          </w:p>
        </w:tc>
        <w:tc>
          <w:tcPr>
            <w:tcW w:w="612" w:type="dxa"/>
            <w:vAlign w:val="top"/>
          </w:tcPr>
          <w:p>
            <w:pPr>
              <w:autoSpaceDE w:val="0"/>
              <w:autoSpaceDN w:val="0"/>
              <w:spacing w:line="0" w:lineRule="atLeast"/>
              <w:jc w:val="left"/>
              <w:rPr>
                <w:color w:val="FF0000"/>
                <w:sz w:val="18"/>
                <w:szCs w:val="18"/>
                <w:highlight w:val="none"/>
              </w:rPr>
            </w:pPr>
          </w:p>
        </w:tc>
        <w:tc>
          <w:tcPr>
            <w:tcW w:w="785" w:type="dxa"/>
            <w:vAlign w:val="top"/>
          </w:tcPr>
          <w:p>
            <w:pPr>
              <w:autoSpaceDE w:val="0"/>
              <w:autoSpaceDN w:val="0"/>
              <w:spacing w:line="0" w:lineRule="atLeast"/>
              <w:jc w:val="left"/>
              <w:rPr>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688" w:type="dxa"/>
            <w:vMerge w:val="continue"/>
            <w:vAlign w:val="center"/>
          </w:tcPr>
          <w:p>
            <w:pPr>
              <w:widowControl/>
              <w:spacing w:line="0" w:lineRule="atLeast"/>
              <w:jc w:val="left"/>
              <w:rPr>
                <w:color w:val="FF0000"/>
                <w:sz w:val="18"/>
                <w:szCs w:val="18"/>
                <w:highlight w:val="none"/>
              </w:rPr>
            </w:pPr>
          </w:p>
        </w:tc>
        <w:tc>
          <w:tcPr>
            <w:tcW w:w="703" w:type="dxa"/>
            <w:vAlign w:val="center"/>
          </w:tcPr>
          <w:p>
            <w:pPr>
              <w:autoSpaceDE w:val="0"/>
              <w:autoSpaceDN w:val="0"/>
              <w:spacing w:line="0" w:lineRule="atLeast"/>
              <w:jc w:val="center"/>
              <w:rPr>
                <w:rFonts w:hint="eastAsia"/>
                <w:color w:val="FF0000"/>
                <w:sz w:val="18"/>
                <w:szCs w:val="18"/>
                <w:highlight w:val="none"/>
                <w:lang w:val="en-US" w:eastAsia="zh-CN"/>
              </w:rPr>
            </w:pPr>
            <w:r>
              <w:rPr>
                <w:rFonts w:hint="eastAsia"/>
                <w:color w:val="FF0000"/>
                <w:sz w:val="18"/>
                <w:szCs w:val="18"/>
                <w:highlight w:val="none"/>
                <w:lang w:val="en-US" w:eastAsia="zh-CN"/>
              </w:rPr>
              <w:t>5</w:t>
            </w:r>
          </w:p>
        </w:tc>
        <w:tc>
          <w:tcPr>
            <w:tcW w:w="6593" w:type="dxa"/>
            <w:vAlign w:val="center"/>
          </w:tcPr>
          <w:p>
            <w:pPr>
              <w:widowControl/>
              <w:rPr>
                <w:rFonts w:hint="eastAsia" w:ascii="宋体" w:hAnsi="宋体" w:cs="宋体"/>
                <w:color w:val="FF0000"/>
                <w:kern w:val="0"/>
                <w:sz w:val="18"/>
                <w:szCs w:val="18"/>
                <w:highlight w:val="none"/>
                <w:lang w:eastAsia="zh-CN"/>
              </w:rPr>
            </w:pPr>
            <w:r>
              <w:rPr>
                <w:rFonts w:hint="eastAsia" w:ascii="宋体" w:hAnsi="宋体" w:cs="宋体"/>
                <w:color w:val="FF0000"/>
                <w:kern w:val="0"/>
                <w:sz w:val="18"/>
                <w:szCs w:val="18"/>
                <w:highlight w:val="none"/>
                <w:lang w:val="en-US" w:eastAsia="zh-CN"/>
              </w:rPr>
              <w:t>提供配送车辆的机动车辆行驶证，驾驶员及配送人员健康证</w:t>
            </w:r>
          </w:p>
        </w:tc>
        <w:tc>
          <w:tcPr>
            <w:tcW w:w="612" w:type="dxa"/>
            <w:vAlign w:val="top"/>
          </w:tcPr>
          <w:p>
            <w:pPr>
              <w:autoSpaceDE w:val="0"/>
              <w:autoSpaceDN w:val="0"/>
              <w:spacing w:line="0" w:lineRule="atLeast"/>
              <w:jc w:val="left"/>
              <w:rPr>
                <w:color w:val="FF0000"/>
                <w:sz w:val="18"/>
                <w:szCs w:val="18"/>
                <w:highlight w:val="none"/>
              </w:rPr>
            </w:pPr>
          </w:p>
        </w:tc>
        <w:tc>
          <w:tcPr>
            <w:tcW w:w="785" w:type="dxa"/>
            <w:vAlign w:val="top"/>
          </w:tcPr>
          <w:p>
            <w:pPr>
              <w:autoSpaceDE w:val="0"/>
              <w:autoSpaceDN w:val="0"/>
              <w:spacing w:line="0" w:lineRule="atLeast"/>
              <w:jc w:val="left"/>
              <w:rPr>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88" w:type="dxa"/>
            <w:vMerge w:val="continue"/>
            <w:vAlign w:val="center"/>
          </w:tcPr>
          <w:p>
            <w:pPr>
              <w:widowControl/>
              <w:spacing w:line="0" w:lineRule="atLeast"/>
              <w:jc w:val="left"/>
              <w:rPr>
                <w:color w:val="FF0000"/>
                <w:sz w:val="18"/>
                <w:szCs w:val="18"/>
                <w:highlight w:val="none"/>
              </w:rPr>
            </w:pPr>
          </w:p>
        </w:tc>
        <w:tc>
          <w:tcPr>
            <w:tcW w:w="703" w:type="dxa"/>
            <w:vMerge w:val="restart"/>
            <w:vAlign w:val="center"/>
          </w:tcPr>
          <w:p>
            <w:pPr>
              <w:autoSpaceDE w:val="0"/>
              <w:autoSpaceDN w:val="0"/>
              <w:spacing w:line="0" w:lineRule="atLeast"/>
              <w:jc w:val="center"/>
              <w:rPr>
                <w:rFonts w:hint="default"/>
                <w:color w:val="FF0000"/>
                <w:sz w:val="18"/>
                <w:szCs w:val="18"/>
                <w:highlight w:val="none"/>
                <w:lang w:val="en-US" w:eastAsia="zh-CN"/>
              </w:rPr>
            </w:pPr>
            <w:r>
              <w:rPr>
                <w:rFonts w:hint="eastAsia"/>
                <w:color w:val="FF0000"/>
                <w:sz w:val="18"/>
                <w:szCs w:val="18"/>
                <w:highlight w:val="none"/>
                <w:lang w:val="en-US" w:eastAsia="zh-CN"/>
              </w:rPr>
              <w:t>5</w:t>
            </w:r>
          </w:p>
        </w:tc>
        <w:tc>
          <w:tcPr>
            <w:tcW w:w="6593" w:type="dxa"/>
            <w:vAlign w:val="center"/>
          </w:tcPr>
          <w:p>
            <w:pPr>
              <w:autoSpaceDE w:val="0"/>
              <w:autoSpaceDN w:val="0"/>
              <w:spacing w:line="240" w:lineRule="atLeast"/>
              <w:rPr>
                <w:color w:val="FF0000"/>
                <w:sz w:val="18"/>
                <w:szCs w:val="18"/>
                <w:highlight w:val="none"/>
              </w:rPr>
            </w:pPr>
            <w:r>
              <w:rPr>
                <w:rFonts w:hint="eastAsia"/>
                <w:color w:val="FF0000"/>
                <w:sz w:val="18"/>
                <w:szCs w:val="18"/>
                <w:highlight w:val="none"/>
              </w:rPr>
              <w:t>符合《政府采购法》第二十二条规定的条件</w:t>
            </w:r>
          </w:p>
          <w:p>
            <w:pPr>
              <w:autoSpaceDE w:val="0"/>
              <w:autoSpaceDN w:val="0"/>
              <w:spacing w:line="240" w:lineRule="atLeast"/>
              <w:rPr>
                <w:rFonts w:hint="eastAsia" w:ascii="宋体" w:hAnsi="宋体" w:cs="宋体"/>
                <w:color w:val="FF0000"/>
                <w:kern w:val="0"/>
                <w:sz w:val="18"/>
                <w:szCs w:val="18"/>
                <w:highlight w:val="none"/>
                <w:lang w:eastAsia="zh-CN"/>
              </w:rPr>
            </w:pPr>
            <w:r>
              <w:rPr>
                <w:rFonts w:hint="eastAsia"/>
                <w:color w:val="FF0000"/>
                <w:sz w:val="18"/>
                <w:szCs w:val="18"/>
                <w:highlight w:val="none"/>
              </w:rPr>
              <w:t>（一）具有独立承担民事责任的能力；</w:t>
            </w:r>
          </w:p>
        </w:tc>
        <w:tc>
          <w:tcPr>
            <w:tcW w:w="612" w:type="dxa"/>
            <w:vAlign w:val="top"/>
          </w:tcPr>
          <w:p>
            <w:pPr>
              <w:autoSpaceDE w:val="0"/>
              <w:autoSpaceDN w:val="0"/>
              <w:spacing w:line="0" w:lineRule="atLeast"/>
              <w:jc w:val="left"/>
              <w:rPr>
                <w:color w:val="FF0000"/>
                <w:sz w:val="18"/>
                <w:szCs w:val="18"/>
                <w:highlight w:val="none"/>
              </w:rPr>
            </w:pPr>
          </w:p>
        </w:tc>
        <w:tc>
          <w:tcPr>
            <w:tcW w:w="785" w:type="dxa"/>
            <w:vAlign w:val="top"/>
          </w:tcPr>
          <w:p>
            <w:pPr>
              <w:autoSpaceDE w:val="0"/>
              <w:autoSpaceDN w:val="0"/>
              <w:spacing w:line="0" w:lineRule="atLeast"/>
              <w:jc w:val="left"/>
              <w:rPr>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88" w:type="dxa"/>
            <w:vMerge w:val="continue"/>
            <w:vAlign w:val="center"/>
          </w:tcPr>
          <w:p>
            <w:pPr>
              <w:widowControl/>
              <w:spacing w:line="0" w:lineRule="atLeast"/>
              <w:jc w:val="left"/>
              <w:rPr>
                <w:color w:val="FF0000"/>
                <w:sz w:val="18"/>
                <w:szCs w:val="18"/>
                <w:highlight w:val="none"/>
              </w:rPr>
            </w:pPr>
          </w:p>
        </w:tc>
        <w:tc>
          <w:tcPr>
            <w:tcW w:w="703" w:type="dxa"/>
            <w:vMerge w:val="continue"/>
            <w:vAlign w:val="center"/>
          </w:tcPr>
          <w:p>
            <w:pPr>
              <w:autoSpaceDE w:val="0"/>
              <w:autoSpaceDN w:val="0"/>
              <w:spacing w:line="0" w:lineRule="atLeast"/>
              <w:jc w:val="center"/>
              <w:rPr>
                <w:rFonts w:hint="eastAsia"/>
                <w:color w:val="FF0000"/>
                <w:sz w:val="18"/>
                <w:szCs w:val="18"/>
                <w:highlight w:val="none"/>
                <w:lang w:val="en-US" w:eastAsia="zh-CN"/>
              </w:rPr>
            </w:pPr>
          </w:p>
        </w:tc>
        <w:tc>
          <w:tcPr>
            <w:tcW w:w="6593" w:type="dxa"/>
            <w:vAlign w:val="center"/>
          </w:tcPr>
          <w:p>
            <w:pPr>
              <w:autoSpaceDE w:val="0"/>
              <w:autoSpaceDN w:val="0"/>
              <w:spacing w:line="240" w:lineRule="atLeast"/>
              <w:rPr>
                <w:rFonts w:hint="eastAsia" w:ascii="宋体" w:hAnsi="宋体" w:cs="宋体"/>
                <w:color w:val="FF0000"/>
                <w:kern w:val="0"/>
                <w:sz w:val="18"/>
                <w:szCs w:val="18"/>
                <w:highlight w:val="none"/>
                <w:lang w:eastAsia="zh-CN"/>
              </w:rPr>
            </w:pPr>
            <w:r>
              <w:rPr>
                <w:rFonts w:hint="eastAsia"/>
                <w:color w:val="FF0000"/>
                <w:sz w:val="18"/>
                <w:szCs w:val="18"/>
                <w:highlight w:val="none"/>
              </w:rPr>
              <w:t>（二）具有良好的商业信誉和健全的</w:t>
            </w:r>
            <w:r>
              <w:rPr>
                <w:color w:val="FF0000"/>
                <w:highlight w:val="none"/>
              </w:rPr>
              <w:fldChar w:fldCharType="begin"/>
            </w:r>
            <w:r>
              <w:rPr>
                <w:color w:val="FF0000"/>
                <w:highlight w:val="none"/>
              </w:rPr>
              <w:instrText xml:space="preserve"> HYPERLINK "https://www.baidu.com/s?wd=财务会计制度&amp;tn=SE_PcZhidaonwhc_ngpagmjz&amp;rsv_dl=gh_pc_zhidao" </w:instrText>
            </w:r>
            <w:r>
              <w:rPr>
                <w:color w:val="FF0000"/>
                <w:highlight w:val="none"/>
              </w:rPr>
              <w:fldChar w:fldCharType="separate"/>
            </w:r>
            <w:r>
              <w:rPr>
                <w:rFonts w:hint="eastAsia"/>
                <w:color w:val="FF0000"/>
                <w:sz w:val="18"/>
                <w:szCs w:val="18"/>
                <w:highlight w:val="none"/>
              </w:rPr>
              <w:t>财务会计制度</w:t>
            </w:r>
            <w:r>
              <w:rPr>
                <w:rFonts w:hint="eastAsia"/>
                <w:color w:val="FF0000"/>
                <w:sz w:val="18"/>
                <w:szCs w:val="18"/>
                <w:highlight w:val="none"/>
              </w:rPr>
              <w:fldChar w:fldCharType="end"/>
            </w:r>
            <w:r>
              <w:rPr>
                <w:rFonts w:hint="eastAsia"/>
                <w:color w:val="FF0000"/>
                <w:sz w:val="18"/>
                <w:szCs w:val="18"/>
                <w:highlight w:val="none"/>
              </w:rPr>
              <w:t>；</w:t>
            </w:r>
          </w:p>
        </w:tc>
        <w:tc>
          <w:tcPr>
            <w:tcW w:w="612" w:type="dxa"/>
            <w:vAlign w:val="top"/>
          </w:tcPr>
          <w:p>
            <w:pPr>
              <w:autoSpaceDE w:val="0"/>
              <w:autoSpaceDN w:val="0"/>
              <w:spacing w:line="0" w:lineRule="atLeast"/>
              <w:jc w:val="left"/>
              <w:rPr>
                <w:color w:val="FF0000"/>
                <w:sz w:val="18"/>
                <w:szCs w:val="18"/>
                <w:highlight w:val="none"/>
              </w:rPr>
            </w:pPr>
          </w:p>
        </w:tc>
        <w:tc>
          <w:tcPr>
            <w:tcW w:w="785" w:type="dxa"/>
            <w:vAlign w:val="top"/>
          </w:tcPr>
          <w:p>
            <w:pPr>
              <w:autoSpaceDE w:val="0"/>
              <w:autoSpaceDN w:val="0"/>
              <w:spacing w:line="0" w:lineRule="atLeast"/>
              <w:jc w:val="left"/>
              <w:rPr>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88" w:type="dxa"/>
            <w:vMerge w:val="continue"/>
            <w:vAlign w:val="center"/>
          </w:tcPr>
          <w:p>
            <w:pPr>
              <w:widowControl/>
              <w:spacing w:line="0" w:lineRule="atLeast"/>
              <w:jc w:val="left"/>
              <w:rPr>
                <w:color w:val="FF0000"/>
                <w:sz w:val="18"/>
                <w:szCs w:val="18"/>
                <w:highlight w:val="none"/>
              </w:rPr>
            </w:pPr>
          </w:p>
        </w:tc>
        <w:tc>
          <w:tcPr>
            <w:tcW w:w="703" w:type="dxa"/>
            <w:vMerge w:val="continue"/>
            <w:vAlign w:val="center"/>
          </w:tcPr>
          <w:p>
            <w:pPr>
              <w:autoSpaceDE w:val="0"/>
              <w:autoSpaceDN w:val="0"/>
              <w:spacing w:line="0" w:lineRule="atLeast"/>
              <w:jc w:val="center"/>
              <w:rPr>
                <w:rFonts w:hint="eastAsia"/>
                <w:color w:val="FF0000"/>
                <w:sz w:val="18"/>
                <w:szCs w:val="18"/>
                <w:highlight w:val="none"/>
                <w:lang w:val="en-US" w:eastAsia="zh-CN"/>
              </w:rPr>
            </w:pPr>
          </w:p>
        </w:tc>
        <w:tc>
          <w:tcPr>
            <w:tcW w:w="6593" w:type="dxa"/>
            <w:vAlign w:val="center"/>
          </w:tcPr>
          <w:p>
            <w:pPr>
              <w:autoSpaceDE w:val="0"/>
              <w:autoSpaceDN w:val="0"/>
              <w:spacing w:line="240" w:lineRule="atLeast"/>
              <w:rPr>
                <w:rFonts w:hint="eastAsia" w:ascii="宋体" w:hAnsi="宋体" w:cs="宋体"/>
                <w:color w:val="FF0000"/>
                <w:kern w:val="0"/>
                <w:sz w:val="18"/>
                <w:szCs w:val="18"/>
                <w:highlight w:val="none"/>
                <w:lang w:eastAsia="zh-CN"/>
              </w:rPr>
            </w:pPr>
            <w:r>
              <w:rPr>
                <w:rFonts w:hint="eastAsia"/>
                <w:color w:val="FF0000"/>
                <w:sz w:val="18"/>
                <w:szCs w:val="18"/>
                <w:highlight w:val="none"/>
              </w:rPr>
              <w:t>（三）具有履行合同所必需的设备和专业技术能力；</w:t>
            </w:r>
          </w:p>
        </w:tc>
        <w:tc>
          <w:tcPr>
            <w:tcW w:w="612" w:type="dxa"/>
            <w:vAlign w:val="top"/>
          </w:tcPr>
          <w:p>
            <w:pPr>
              <w:autoSpaceDE w:val="0"/>
              <w:autoSpaceDN w:val="0"/>
              <w:spacing w:line="0" w:lineRule="atLeast"/>
              <w:jc w:val="left"/>
              <w:rPr>
                <w:color w:val="FF0000"/>
                <w:sz w:val="18"/>
                <w:szCs w:val="18"/>
                <w:highlight w:val="none"/>
              </w:rPr>
            </w:pPr>
          </w:p>
        </w:tc>
        <w:tc>
          <w:tcPr>
            <w:tcW w:w="785" w:type="dxa"/>
            <w:vAlign w:val="top"/>
          </w:tcPr>
          <w:p>
            <w:pPr>
              <w:autoSpaceDE w:val="0"/>
              <w:autoSpaceDN w:val="0"/>
              <w:spacing w:line="0" w:lineRule="atLeast"/>
              <w:jc w:val="left"/>
              <w:rPr>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88" w:type="dxa"/>
            <w:vMerge w:val="continue"/>
            <w:vAlign w:val="center"/>
          </w:tcPr>
          <w:p>
            <w:pPr>
              <w:widowControl/>
              <w:spacing w:line="0" w:lineRule="atLeast"/>
              <w:jc w:val="left"/>
              <w:rPr>
                <w:color w:val="FF0000"/>
                <w:sz w:val="18"/>
                <w:szCs w:val="18"/>
                <w:highlight w:val="none"/>
              </w:rPr>
            </w:pPr>
          </w:p>
        </w:tc>
        <w:tc>
          <w:tcPr>
            <w:tcW w:w="703" w:type="dxa"/>
            <w:vMerge w:val="continue"/>
            <w:vAlign w:val="center"/>
          </w:tcPr>
          <w:p>
            <w:pPr>
              <w:autoSpaceDE w:val="0"/>
              <w:autoSpaceDN w:val="0"/>
              <w:spacing w:line="0" w:lineRule="atLeast"/>
              <w:jc w:val="center"/>
              <w:rPr>
                <w:rFonts w:hint="eastAsia"/>
                <w:color w:val="FF0000"/>
                <w:sz w:val="18"/>
                <w:szCs w:val="18"/>
                <w:highlight w:val="none"/>
                <w:lang w:val="en-US" w:eastAsia="zh-CN"/>
              </w:rPr>
            </w:pPr>
          </w:p>
        </w:tc>
        <w:tc>
          <w:tcPr>
            <w:tcW w:w="6593" w:type="dxa"/>
            <w:vAlign w:val="center"/>
          </w:tcPr>
          <w:p>
            <w:pPr>
              <w:autoSpaceDE w:val="0"/>
              <w:autoSpaceDN w:val="0"/>
              <w:spacing w:line="240" w:lineRule="atLeast"/>
              <w:rPr>
                <w:rFonts w:hint="eastAsia" w:ascii="宋体" w:hAnsi="宋体" w:cs="宋体"/>
                <w:color w:val="FF0000"/>
                <w:kern w:val="0"/>
                <w:sz w:val="18"/>
                <w:szCs w:val="18"/>
                <w:highlight w:val="none"/>
                <w:lang w:eastAsia="zh-CN"/>
              </w:rPr>
            </w:pPr>
            <w:r>
              <w:rPr>
                <w:rFonts w:hint="eastAsia"/>
                <w:color w:val="FF0000"/>
                <w:sz w:val="18"/>
                <w:szCs w:val="18"/>
                <w:highlight w:val="none"/>
              </w:rPr>
              <w:t>（四）有依法缴纳税收和</w:t>
            </w:r>
            <w:r>
              <w:rPr>
                <w:color w:val="FF0000"/>
                <w:highlight w:val="none"/>
              </w:rPr>
              <w:fldChar w:fldCharType="begin"/>
            </w:r>
            <w:r>
              <w:rPr>
                <w:color w:val="FF0000"/>
                <w:highlight w:val="none"/>
              </w:rPr>
              <w:instrText xml:space="preserve"> HYPERLINK "https://www.baidu.com/s?wd=社会保障资金&amp;tn=SE_PcZhidaonwhc_ngpagmjz&amp;rsv_dl=gh_pc_zhidao" </w:instrText>
            </w:r>
            <w:r>
              <w:rPr>
                <w:color w:val="FF0000"/>
                <w:highlight w:val="none"/>
              </w:rPr>
              <w:fldChar w:fldCharType="separate"/>
            </w:r>
            <w:r>
              <w:rPr>
                <w:rFonts w:hint="eastAsia"/>
                <w:color w:val="FF0000"/>
                <w:sz w:val="18"/>
                <w:szCs w:val="18"/>
                <w:highlight w:val="none"/>
              </w:rPr>
              <w:t>社会保障资金</w:t>
            </w:r>
            <w:r>
              <w:rPr>
                <w:rFonts w:hint="eastAsia"/>
                <w:color w:val="FF0000"/>
                <w:sz w:val="18"/>
                <w:szCs w:val="18"/>
                <w:highlight w:val="none"/>
              </w:rPr>
              <w:fldChar w:fldCharType="end"/>
            </w:r>
            <w:r>
              <w:rPr>
                <w:rFonts w:hint="eastAsia"/>
                <w:color w:val="FF0000"/>
                <w:sz w:val="18"/>
                <w:szCs w:val="18"/>
                <w:highlight w:val="none"/>
              </w:rPr>
              <w:t>的良好记录；</w:t>
            </w:r>
          </w:p>
        </w:tc>
        <w:tc>
          <w:tcPr>
            <w:tcW w:w="612" w:type="dxa"/>
            <w:vAlign w:val="top"/>
          </w:tcPr>
          <w:p>
            <w:pPr>
              <w:autoSpaceDE w:val="0"/>
              <w:autoSpaceDN w:val="0"/>
              <w:spacing w:line="0" w:lineRule="atLeast"/>
              <w:jc w:val="left"/>
              <w:rPr>
                <w:color w:val="FF0000"/>
                <w:sz w:val="18"/>
                <w:szCs w:val="18"/>
                <w:highlight w:val="none"/>
              </w:rPr>
            </w:pPr>
          </w:p>
        </w:tc>
        <w:tc>
          <w:tcPr>
            <w:tcW w:w="785" w:type="dxa"/>
            <w:vAlign w:val="top"/>
          </w:tcPr>
          <w:p>
            <w:pPr>
              <w:autoSpaceDE w:val="0"/>
              <w:autoSpaceDN w:val="0"/>
              <w:spacing w:line="0" w:lineRule="atLeast"/>
              <w:jc w:val="left"/>
              <w:rPr>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88" w:type="dxa"/>
            <w:vMerge w:val="continue"/>
            <w:vAlign w:val="center"/>
          </w:tcPr>
          <w:p>
            <w:pPr>
              <w:widowControl/>
              <w:spacing w:line="0" w:lineRule="atLeast"/>
              <w:jc w:val="left"/>
              <w:rPr>
                <w:color w:val="FF0000"/>
                <w:sz w:val="18"/>
                <w:szCs w:val="18"/>
                <w:highlight w:val="none"/>
              </w:rPr>
            </w:pPr>
          </w:p>
        </w:tc>
        <w:tc>
          <w:tcPr>
            <w:tcW w:w="703" w:type="dxa"/>
            <w:vMerge w:val="continue"/>
            <w:vAlign w:val="center"/>
          </w:tcPr>
          <w:p>
            <w:pPr>
              <w:autoSpaceDE w:val="0"/>
              <w:autoSpaceDN w:val="0"/>
              <w:spacing w:line="0" w:lineRule="atLeast"/>
              <w:jc w:val="center"/>
              <w:rPr>
                <w:rFonts w:hint="eastAsia"/>
                <w:color w:val="FF0000"/>
                <w:sz w:val="18"/>
                <w:szCs w:val="18"/>
                <w:highlight w:val="none"/>
                <w:lang w:val="en-US" w:eastAsia="zh-CN"/>
              </w:rPr>
            </w:pPr>
          </w:p>
        </w:tc>
        <w:tc>
          <w:tcPr>
            <w:tcW w:w="6593" w:type="dxa"/>
            <w:vAlign w:val="center"/>
          </w:tcPr>
          <w:p>
            <w:pPr>
              <w:autoSpaceDE w:val="0"/>
              <w:autoSpaceDN w:val="0"/>
              <w:spacing w:line="240" w:lineRule="atLeast"/>
              <w:rPr>
                <w:rFonts w:hint="eastAsia" w:ascii="宋体" w:hAnsi="宋体" w:cs="宋体"/>
                <w:color w:val="FF0000"/>
                <w:kern w:val="0"/>
                <w:sz w:val="18"/>
                <w:szCs w:val="18"/>
                <w:highlight w:val="none"/>
                <w:lang w:eastAsia="zh-CN"/>
              </w:rPr>
            </w:pPr>
            <w:r>
              <w:rPr>
                <w:rFonts w:hint="eastAsia"/>
                <w:color w:val="FF0000"/>
                <w:sz w:val="18"/>
                <w:szCs w:val="18"/>
                <w:highlight w:val="none"/>
              </w:rPr>
              <w:t>（五）参加政府采购活动前三年内，在经营活动中没有重大违法记录；</w:t>
            </w:r>
          </w:p>
        </w:tc>
        <w:tc>
          <w:tcPr>
            <w:tcW w:w="612" w:type="dxa"/>
            <w:vAlign w:val="top"/>
          </w:tcPr>
          <w:p>
            <w:pPr>
              <w:autoSpaceDE w:val="0"/>
              <w:autoSpaceDN w:val="0"/>
              <w:spacing w:line="0" w:lineRule="atLeast"/>
              <w:jc w:val="left"/>
              <w:rPr>
                <w:color w:val="FF0000"/>
                <w:sz w:val="18"/>
                <w:szCs w:val="18"/>
                <w:highlight w:val="none"/>
              </w:rPr>
            </w:pPr>
          </w:p>
        </w:tc>
        <w:tc>
          <w:tcPr>
            <w:tcW w:w="785" w:type="dxa"/>
            <w:vAlign w:val="top"/>
          </w:tcPr>
          <w:p>
            <w:pPr>
              <w:autoSpaceDE w:val="0"/>
              <w:autoSpaceDN w:val="0"/>
              <w:spacing w:line="0" w:lineRule="atLeast"/>
              <w:jc w:val="left"/>
              <w:rPr>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88" w:type="dxa"/>
            <w:vMerge w:val="continue"/>
            <w:vAlign w:val="center"/>
          </w:tcPr>
          <w:p>
            <w:pPr>
              <w:widowControl/>
              <w:spacing w:line="0" w:lineRule="atLeast"/>
              <w:jc w:val="left"/>
              <w:rPr>
                <w:color w:val="FF0000"/>
                <w:sz w:val="18"/>
                <w:szCs w:val="18"/>
                <w:highlight w:val="none"/>
              </w:rPr>
            </w:pPr>
          </w:p>
        </w:tc>
        <w:tc>
          <w:tcPr>
            <w:tcW w:w="703" w:type="dxa"/>
            <w:vAlign w:val="center"/>
          </w:tcPr>
          <w:p>
            <w:pPr>
              <w:autoSpaceDE w:val="0"/>
              <w:autoSpaceDN w:val="0"/>
              <w:spacing w:line="0" w:lineRule="atLeast"/>
              <w:jc w:val="center"/>
              <w:rPr>
                <w:rFonts w:hint="default"/>
                <w:color w:val="FF0000"/>
                <w:sz w:val="18"/>
                <w:szCs w:val="18"/>
                <w:highlight w:val="none"/>
                <w:lang w:val="en-US" w:eastAsia="zh-CN"/>
              </w:rPr>
            </w:pPr>
            <w:r>
              <w:rPr>
                <w:rFonts w:hint="eastAsia"/>
                <w:color w:val="FF0000"/>
                <w:sz w:val="18"/>
                <w:szCs w:val="18"/>
                <w:highlight w:val="none"/>
                <w:lang w:val="en-US" w:eastAsia="zh-CN"/>
              </w:rPr>
              <w:t>6</w:t>
            </w:r>
          </w:p>
        </w:tc>
        <w:tc>
          <w:tcPr>
            <w:tcW w:w="6593" w:type="dxa"/>
            <w:vAlign w:val="center"/>
          </w:tcPr>
          <w:p>
            <w:pPr>
              <w:autoSpaceDE w:val="0"/>
              <w:autoSpaceDN w:val="0"/>
              <w:spacing w:line="240" w:lineRule="atLeast"/>
              <w:rPr>
                <w:rFonts w:hint="default" w:eastAsia="宋体"/>
                <w:color w:val="FF0000"/>
                <w:sz w:val="18"/>
                <w:szCs w:val="18"/>
                <w:highlight w:val="none"/>
                <w:lang w:val="en-US" w:eastAsia="zh-CN"/>
              </w:rPr>
            </w:pPr>
            <w:r>
              <w:rPr>
                <w:rFonts w:hint="eastAsia"/>
                <w:color w:val="FF0000"/>
                <w:sz w:val="18"/>
                <w:szCs w:val="18"/>
                <w:highlight w:val="none"/>
                <w:lang w:val="en-US" w:eastAsia="zh-CN"/>
              </w:rPr>
              <w:t>是否在规定日期内缴纳投标保证金</w:t>
            </w:r>
          </w:p>
        </w:tc>
        <w:tc>
          <w:tcPr>
            <w:tcW w:w="612" w:type="dxa"/>
            <w:vAlign w:val="top"/>
          </w:tcPr>
          <w:p>
            <w:pPr>
              <w:autoSpaceDE w:val="0"/>
              <w:autoSpaceDN w:val="0"/>
              <w:spacing w:line="0" w:lineRule="atLeast"/>
              <w:jc w:val="left"/>
              <w:rPr>
                <w:color w:val="FF0000"/>
                <w:sz w:val="18"/>
                <w:szCs w:val="18"/>
                <w:highlight w:val="none"/>
              </w:rPr>
            </w:pPr>
          </w:p>
        </w:tc>
        <w:tc>
          <w:tcPr>
            <w:tcW w:w="785" w:type="dxa"/>
            <w:vAlign w:val="top"/>
          </w:tcPr>
          <w:p>
            <w:pPr>
              <w:autoSpaceDE w:val="0"/>
              <w:autoSpaceDN w:val="0"/>
              <w:spacing w:line="0" w:lineRule="atLeast"/>
              <w:jc w:val="left"/>
              <w:rPr>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88" w:type="dxa"/>
            <w:vMerge w:val="restart"/>
            <w:vAlign w:val="center"/>
          </w:tcPr>
          <w:p>
            <w:pPr>
              <w:autoSpaceDE w:val="0"/>
              <w:autoSpaceDN w:val="0"/>
              <w:spacing w:line="0" w:lineRule="atLeast"/>
              <w:jc w:val="center"/>
              <w:rPr>
                <w:color w:val="FF0000"/>
                <w:sz w:val="18"/>
                <w:szCs w:val="18"/>
                <w:highlight w:val="none"/>
              </w:rPr>
            </w:pPr>
            <w:r>
              <w:rPr>
                <w:color w:val="FF0000"/>
                <w:sz w:val="18"/>
                <w:szCs w:val="18"/>
                <w:highlight w:val="none"/>
              </w:rPr>
              <w:t>响应性</w:t>
            </w:r>
          </w:p>
          <w:p>
            <w:pPr>
              <w:autoSpaceDE w:val="0"/>
              <w:autoSpaceDN w:val="0"/>
              <w:spacing w:line="0" w:lineRule="atLeast"/>
              <w:jc w:val="center"/>
              <w:rPr>
                <w:color w:val="FF0000"/>
                <w:sz w:val="18"/>
                <w:szCs w:val="18"/>
                <w:highlight w:val="none"/>
              </w:rPr>
            </w:pPr>
            <w:r>
              <w:rPr>
                <w:color w:val="FF0000"/>
                <w:sz w:val="18"/>
                <w:szCs w:val="18"/>
                <w:highlight w:val="none"/>
              </w:rPr>
              <w:t>评审</w:t>
            </w:r>
          </w:p>
        </w:tc>
        <w:tc>
          <w:tcPr>
            <w:tcW w:w="703" w:type="dxa"/>
            <w:vAlign w:val="center"/>
          </w:tcPr>
          <w:p>
            <w:pPr>
              <w:autoSpaceDE w:val="0"/>
              <w:autoSpaceDN w:val="0"/>
              <w:spacing w:line="0" w:lineRule="atLeast"/>
              <w:jc w:val="center"/>
              <w:rPr>
                <w:color w:val="FF0000"/>
                <w:sz w:val="18"/>
                <w:szCs w:val="18"/>
                <w:highlight w:val="none"/>
              </w:rPr>
            </w:pPr>
            <w:r>
              <w:rPr>
                <w:color w:val="FF0000"/>
                <w:sz w:val="18"/>
                <w:szCs w:val="18"/>
                <w:highlight w:val="none"/>
              </w:rPr>
              <w:t>1</w:t>
            </w:r>
          </w:p>
        </w:tc>
        <w:tc>
          <w:tcPr>
            <w:tcW w:w="6593" w:type="dxa"/>
            <w:vAlign w:val="center"/>
          </w:tcPr>
          <w:p>
            <w:pPr>
              <w:autoSpaceDE w:val="0"/>
              <w:autoSpaceDN w:val="0"/>
              <w:spacing w:line="0" w:lineRule="atLeast"/>
              <w:rPr>
                <w:color w:val="FF0000"/>
                <w:sz w:val="18"/>
                <w:szCs w:val="18"/>
                <w:highlight w:val="none"/>
              </w:rPr>
            </w:pPr>
            <w:r>
              <w:rPr>
                <w:color w:val="FF0000"/>
                <w:sz w:val="18"/>
                <w:szCs w:val="18"/>
                <w:highlight w:val="none"/>
              </w:rPr>
              <w:t>投标文件是否有投标单位法定代表人或其</w:t>
            </w:r>
            <w:r>
              <w:rPr>
                <w:rFonts w:hint="eastAsia"/>
                <w:color w:val="FF0000"/>
                <w:sz w:val="18"/>
                <w:szCs w:val="18"/>
                <w:highlight w:val="none"/>
              </w:rPr>
              <w:t>委托代理人（签字或签章）</w:t>
            </w:r>
            <w:r>
              <w:rPr>
                <w:color w:val="FF0000"/>
                <w:sz w:val="18"/>
                <w:szCs w:val="18"/>
                <w:highlight w:val="none"/>
              </w:rPr>
              <w:t>和加盖了投标单位的</w:t>
            </w:r>
            <w:r>
              <w:rPr>
                <w:rFonts w:hint="eastAsia"/>
                <w:color w:val="FF0000"/>
                <w:sz w:val="18"/>
                <w:szCs w:val="18"/>
                <w:highlight w:val="none"/>
              </w:rPr>
              <w:t>盖章，投标文件的装订是否符合招标文件要求；</w:t>
            </w:r>
          </w:p>
        </w:tc>
        <w:tc>
          <w:tcPr>
            <w:tcW w:w="612" w:type="dxa"/>
            <w:vAlign w:val="top"/>
          </w:tcPr>
          <w:p>
            <w:pPr>
              <w:autoSpaceDE w:val="0"/>
              <w:autoSpaceDN w:val="0"/>
              <w:spacing w:line="0" w:lineRule="atLeast"/>
              <w:jc w:val="left"/>
              <w:rPr>
                <w:color w:val="FF0000"/>
                <w:sz w:val="18"/>
                <w:szCs w:val="18"/>
                <w:highlight w:val="none"/>
              </w:rPr>
            </w:pPr>
          </w:p>
        </w:tc>
        <w:tc>
          <w:tcPr>
            <w:tcW w:w="785" w:type="dxa"/>
            <w:vAlign w:val="top"/>
          </w:tcPr>
          <w:p>
            <w:pPr>
              <w:autoSpaceDE w:val="0"/>
              <w:autoSpaceDN w:val="0"/>
              <w:spacing w:line="0" w:lineRule="atLeast"/>
              <w:jc w:val="left"/>
              <w:rPr>
                <w:rFonts w:hint="eastAsia"/>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88" w:type="dxa"/>
            <w:vMerge w:val="continue"/>
            <w:vAlign w:val="center"/>
          </w:tcPr>
          <w:p>
            <w:pPr>
              <w:widowControl/>
              <w:spacing w:line="0" w:lineRule="atLeast"/>
              <w:jc w:val="left"/>
              <w:rPr>
                <w:color w:val="FF0000"/>
                <w:sz w:val="18"/>
                <w:szCs w:val="18"/>
                <w:highlight w:val="none"/>
              </w:rPr>
            </w:pPr>
          </w:p>
        </w:tc>
        <w:tc>
          <w:tcPr>
            <w:tcW w:w="703" w:type="dxa"/>
            <w:vAlign w:val="center"/>
          </w:tcPr>
          <w:p>
            <w:pPr>
              <w:autoSpaceDE w:val="0"/>
              <w:autoSpaceDN w:val="0"/>
              <w:spacing w:line="0" w:lineRule="atLeast"/>
              <w:jc w:val="center"/>
              <w:rPr>
                <w:rFonts w:hint="eastAsia" w:eastAsia="宋体"/>
                <w:color w:val="FF0000"/>
                <w:sz w:val="18"/>
                <w:szCs w:val="18"/>
                <w:highlight w:val="none"/>
                <w:lang w:eastAsia="zh-CN"/>
              </w:rPr>
            </w:pPr>
            <w:r>
              <w:rPr>
                <w:rFonts w:hint="eastAsia"/>
                <w:color w:val="FF0000"/>
                <w:sz w:val="18"/>
                <w:szCs w:val="18"/>
                <w:highlight w:val="none"/>
                <w:lang w:val="en-US" w:eastAsia="zh-CN"/>
              </w:rPr>
              <w:t>2</w:t>
            </w:r>
          </w:p>
        </w:tc>
        <w:tc>
          <w:tcPr>
            <w:tcW w:w="6593" w:type="dxa"/>
            <w:vAlign w:val="center"/>
          </w:tcPr>
          <w:p>
            <w:pPr>
              <w:autoSpaceDE w:val="0"/>
              <w:autoSpaceDN w:val="0"/>
              <w:spacing w:line="0" w:lineRule="atLeast"/>
              <w:rPr>
                <w:color w:val="FF0000"/>
                <w:sz w:val="18"/>
                <w:szCs w:val="18"/>
                <w:highlight w:val="none"/>
              </w:rPr>
            </w:pPr>
            <w:r>
              <w:rPr>
                <w:color w:val="FF0000"/>
                <w:sz w:val="18"/>
                <w:szCs w:val="18"/>
                <w:highlight w:val="none"/>
              </w:rPr>
              <w:t>投标人是否对同一招标项目做出两个以上报价而未明确效力</w:t>
            </w:r>
            <w:r>
              <w:rPr>
                <w:rFonts w:hint="eastAsia"/>
                <w:color w:val="FF0000"/>
                <w:sz w:val="18"/>
                <w:szCs w:val="18"/>
                <w:highlight w:val="none"/>
              </w:rPr>
              <w:t>；</w:t>
            </w:r>
          </w:p>
        </w:tc>
        <w:tc>
          <w:tcPr>
            <w:tcW w:w="612" w:type="dxa"/>
            <w:vAlign w:val="top"/>
          </w:tcPr>
          <w:p>
            <w:pPr>
              <w:autoSpaceDE w:val="0"/>
              <w:autoSpaceDN w:val="0"/>
              <w:spacing w:line="0" w:lineRule="atLeast"/>
              <w:jc w:val="left"/>
              <w:rPr>
                <w:color w:val="FF0000"/>
                <w:sz w:val="18"/>
                <w:szCs w:val="18"/>
                <w:highlight w:val="none"/>
              </w:rPr>
            </w:pPr>
          </w:p>
        </w:tc>
        <w:tc>
          <w:tcPr>
            <w:tcW w:w="785" w:type="dxa"/>
            <w:vAlign w:val="top"/>
          </w:tcPr>
          <w:p>
            <w:pPr>
              <w:autoSpaceDE w:val="0"/>
              <w:autoSpaceDN w:val="0"/>
              <w:spacing w:line="0" w:lineRule="atLeast"/>
              <w:jc w:val="left"/>
              <w:rPr>
                <w:rFonts w:hint="eastAsia"/>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88" w:type="dxa"/>
            <w:vMerge w:val="continue"/>
            <w:vAlign w:val="center"/>
          </w:tcPr>
          <w:p>
            <w:pPr>
              <w:widowControl/>
              <w:spacing w:line="0" w:lineRule="atLeast"/>
              <w:jc w:val="left"/>
              <w:rPr>
                <w:color w:val="FF0000"/>
                <w:sz w:val="18"/>
                <w:szCs w:val="18"/>
                <w:highlight w:val="none"/>
              </w:rPr>
            </w:pPr>
          </w:p>
        </w:tc>
        <w:tc>
          <w:tcPr>
            <w:tcW w:w="703" w:type="dxa"/>
            <w:vAlign w:val="center"/>
          </w:tcPr>
          <w:p>
            <w:pPr>
              <w:autoSpaceDE w:val="0"/>
              <w:autoSpaceDN w:val="0"/>
              <w:spacing w:line="0" w:lineRule="atLeast"/>
              <w:jc w:val="center"/>
              <w:rPr>
                <w:rFonts w:hint="eastAsia" w:eastAsia="宋体"/>
                <w:color w:val="FF0000"/>
                <w:sz w:val="18"/>
                <w:szCs w:val="18"/>
                <w:highlight w:val="none"/>
                <w:lang w:eastAsia="zh-CN"/>
              </w:rPr>
            </w:pPr>
            <w:r>
              <w:rPr>
                <w:rFonts w:hint="eastAsia"/>
                <w:color w:val="FF0000"/>
                <w:sz w:val="18"/>
                <w:szCs w:val="18"/>
                <w:highlight w:val="none"/>
                <w:lang w:val="en-US" w:eastAsia="zh-CN"/>
              </w:rPr>
              <w:t>3</w:t>
            </w:r>
          </w:p>
        </w:tc>
        <w:tc>
          <w:tcPr>
            <w:tcW w:w="6593" w:type="dxa"/>
            <w:vAlign w:val="center"/>
          </w:tcPr>
          <w:p>
            <w:pPr>
              <w:autoSpaceDE w:val="0"/>
              <w:autoSpaceDN w:val="0"/>
              <w:spacing w:line="0" w:lineRule="atLeast"/>
              <w:rPr>
                <w:color w:val="FF0000"/>
                <w:sz w:val="18"/>
                <w:szCs w:val="18"/>
                <w:highlight w:val="none"/>
              </w:rPr>
            </w:pPr>
            <w:r>
              <w:rPr>
                <w:color w:val="FF0000"/>
                <w:sz w:val="18"/>
                <w:szCs w:val="18"/>
                <w:highlight w:val="none"/>
              </w:rPr>
              <w:t>技术性能、技术参数是否满足招标文件要求</w:t>
            </w:r>
            <w:r>
              <w:rPr>
                <w:rFonts w:hint="eastAsia"/>
                <w:color w:val="FF0000"/>
                <w:sz w:val="18"/>
                <w:szCs w:val="18"/>
                <w:highlight w:val="none"/>
              </w:rPr>
              <w:t>；</w:t>
            </w:r>
          </w:p>
        </w:tc>
        <w:tc>
          <w:tcPr>
            <w:tcW w:w="612" w:type="dxa"/>
            <w:vAlign w:val="top"/>
          </w:tcPr>
          <w:p>
            <w:pPr>
              <w:autoSpaceDE w:val="0"/>
              <w:autoSpaceDN w:val="0"/>
              <w:spacing w:line="0" w:lineRule="atLeast"/>
              <w:jc w:val="left"/>
              <w:rPr>
                <w:color w:val="FF0000"/>
                <w:sz w:val="18"/>
                <w:szCs w:val="18"/>
                <w:highlight w:val="none"/>
              </w:rPr>
            </w:pPr>
          </w:p>
        </w:tc>
        <w:tc>
          <w:tcPr>
            <w:tcW w:w="785" w:type="dxa"/>
            <w:vAlign w:val="top"/>
          </w:tcPr>
          <w:p>
            <w:pPr>
              <w:autoSpaceDE w:val="0"/>
              <w:autoSpaceDN w:val="0"/>
              <w:spacing w:line="0" w:lineRule="atLeast"/>
              <w:jc w:val="left"/>
              <w:rPr>
                <w:rFonts w:hint="eastAsia"/>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88" w:type="dxa"/>
            <w:vMerge w:val="continue"/>
            <w:vAlign w:val="center"/>
          </w:tcPr>
          <w:p>
            <w:pPr>
              <w:widowControl/>
              <w:spacing w:line="0" w:lineRule="atLeast"/>
              <w:jc w:val="left"/>
              <w:rPr>
                <w:color w:val="FF0000"/>
                <w:sz w:val="18"/>
                <w:szCs w:val="18"/>
                <w:highlight w:val="none"/>
              </w:rPr>
            </w:pPr>
          </w:p>
        </w:tc>
        <w:tc>
          <w:tcPr>
            <w:tcW w:w="703" w:type="dxa"/>
            <w:vAlign w:val="center"/>
          </w:tcPr>
          <w:p>
            <w:pPr>
              <w:autoSpaceDE w:val="0"/>
              <w:autoSpaceDN w:val="0"/>
              <w:spacing w:line="0" w:lineRule="atLeast"/>
              <w:jc w:val="center"/>
              <w:rPr>
                <w:rFonts w:hint="eastAsia" w:eastAsia="宋体"/>
                <w:color w:val="FF0000"/>
                <w:sz w:val="18"/>
                <w:szCs w:val="18"/>
                <w:highlight w:val="none"/>
                <w:lang w:eastAsia="zh-CN"/>
              </w:rPr>
            </w:pPr>
            <w:r>
              <w:rPr>
                <w:rFonts w:hint="eastAsia"/>
                <w:color w:val="FF0000"/>
                <w:sz w:val="18"/>
                <w:szCs w:val="18"/>
                <w:highlight w:val="none"/>
                <w:lang w:val="en-US" w:eastAsia="zh-CN"/>
              </w:rPr>
              <w:t>4</w:t>
            </w:r>
          </w:p>
        </w:tc>
        <w:tc>
          <w:tcPr>
            <w:tcW w:w="6593" w:type="dxa"/>
            <w:vAlign w:val="center"/>
          </w:tcPr>
          <w:p>
            <w:pPr>
              <w:autoSpaceDE w:val="0"/>
              <w:autoSpaceDN w:val="0"/>
              <w:spacing w:line="0" w:lineRule="atLeast"/>
              <w:rPr>
                <w:color w:val="FF0000"/>
                <w:sz w:val="18"/>
                <w:szCs w:val="18"/>
                <w:highlight w:val="none"/>
              </w:rPr>
            </w:pPr>
            <w:r>
              <w:rPr>
                <w:color w:val="FF0000"/>
                <w:sz w:val="18"/>
                <w:szCs w:val="18"/>
                <w:highlight w:val="none"/>
              </w:rPr>
              <w:t>货物到货地点是否符合招标文件要求</w:t>
            </w:r>
            <w:r>
              <w:rPr>
                <w:rFonts w:hint="eastAsia"/>
                <w:color w:val="FF0000"/>
                <w:sz w:val="18"/>
                <w:szCs w:val="18"/>
                <w:highlight w:val="none"/>
              </w:rPr>
              <w:t>；</w:t>
            </w:r>
          </w:p>
        </w:tc>
        <w:tc>
          <w:tcPr>
            <w:tcW w:w="612" w:type="dxa"/>
            <w:vAlign w:val="top"/>
          </w:tcPr>
          <w:p>
            <w:pPr>
              <w:autoSpaceDE w:val="0"/>
              <w:autoSpaceDN w:val="0"/>
              <w:spacing w:line="0" w:lineRule="atLeast"/>
              <w:jc w:val="left"/>
              <w:rPr>
                <w:color w:val="FF0000"/>
                <w:sz w:val="18"/>
                <w:szCs w:val="18"/>
                <w:highlight w:val="none"/>
              </w:rPr>
            </w:pPr>
          </w:p>
        </w:tc>
        <w:tc>
          <w:tcPr>
            <w:tcW w:w="785" w:type="dxa"/>
            <w:vAlign w:val="top"/>
          </w:tcPr>
          <w:p>
            <w:pPr>
              <w:autoSpaceDE w:val="0"/>
              <w:autoSpaceDN w:val="0"/>
              <w:spacing w:line="0" w:lineRule="atLeast"/>
              <w:jc w:val="left"/>
              <w:rPr>
                <w:rFonts w:hint="eastAsia"/>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88" w:type="dxa"/>
            <w:vMerge w:val="continue"/>
            <w:vAlign w:val="center"/>
          </w:tcPr>
          <w:p>
            <w:pPr>
              <w:widowControl/>
              <w:spacing w:line="0" w:lineRule="atLeast"/>
              <w:jc w:val="left"/>
              <w:rPr>
                <w:color w:val="FF0000"/>
                <w:sz w:val="18"/>
                <w:szCs w:val="18"/>
                <w:highlight w:val="none"/>
              </w:rPr>
            </w:pPr>
          </w:p>
        </w:tc>
        <w:tc>
          <w:tcPr>
            <w:tcW w:w="703" w:type="dxa"/>
            <w:vAlign w:val="center"/>
          </w:tcPr>
          <w:p>
            <w:pPr>
              <w:autoSpaceDE w:val="0"/>
              <w:autoSpaceDN w:val="0"/>
              <w:spacing w:line="0" w:lineRule="atLeast"/>
              <w:jc w:val="center"/>
              <w:rPr>
                <w:rFonts w:hint="eastAsia" w:eastAsia="宋体"/>
                <w:color w:val="FF0000"/>
                <w:sz w:val="18"/>
                <w:szCs w:val="18"/>
                <w:highlight w:val="none"/>
                <w:lang w:eastAsia="zh-CN"/>
              </w:rPr>
            </w:pPr>
            <w:r>
              <w:rPr>
                <w:rFonts w:hint="eastAsia"/>
                <w:color w:val="FF0000"/>
                <w:sz w:val="18"/>
                <w:szCs w:val="18"/>
                <w:highlight w:val="none"/>
                <w:lang w:val="en-US" w:eastAsia="zh-CN"/>
              </w:rPr>
              <w:t>5</w:t>
            </w:r>
          </w:p>
        </w:tc>
        <w:tc>
          <w:tcPr>
            <w:tcW w:w="6593" w:type="dxa"/>
            <w:vAlign w:val="center"/>
          </w:tcPr>
          <w:p>
            <w:pPr>
              <w:autoSpaceDE w:val="0"/>
              <w:autoSpaceDN w:val="0"/>
              <w:spacing w:line="0" w:lineRule="atLeast"/>
              <w:rPr>
                <w:color w:val="FF0000"/>
                <w:sz w:val="18"/>
                <w:szCs w:val="18"/>
                <w:highlight w:val="none"/>
              </w:rPr>
            </w:pPr>
            <w:r>
              <w:rPr>
                <w:rFonts w:hint="eastAsia"/>
                <w:color w:val="FF0000"/>
                <w:sz w:val="18"/>
                <w:szCs w:val="18"/>
                <w:highlight w:val="none"/>
                <w:lang w:val="en-US" w:eastAsia="zh-CN"/>
              </w:rPr>
              <w:t>项目实施计划、方案的编制是否具体详细</w:t>
            </w:r>
            <w:r>
              <w:rPr>
                <w:rFonts w:hint="eastAsia"/>
                <w:color w:val="FF0000"/>
                <w:sz w:val="18"/>
                <w:szCs w:val="18"/>
                <w:highlight w:val="none"/>
              </w:rPr>
              <w:t>；</w:t>
            </w:r>
          </w:p>
        </w:tc>
        <w:tc>
          <w:tcPr>
            <w:tcW w:w="612" w:type="dxa"/>
            <w:vAlign w:val="top"/>
          </w:tcPr>
          <w:p>
            <w:pPr>
              <w:autoSpaceDE w:val="0"/>
              <w:autoSpaceDN w:val="0"/>
              <w:spacing w:line="0" w:lineRule="atLeast"/>
              <w:jc w:val="left"/>
              <w:rPr>
                <w:color w:val="FF0000"/>
                <w:sz w:val="18"/>
                <w:szCs w:val="18"/>
                <w:highlight w:val="none"/>
              </w:rPr>
            </w:pPr>
          </w:p>
        </w:tc>
        <w:tc>
          <w:tcPr>
            <w:tcW w:w="785" w:type="dxa"/>
            <w:vAlign w:val="top"/>
          </w:tcPr>
          <w:p>
            <w:pPr>
              <w:autoSpaceDE w:val="0"/>
              <w:autoSpaceDN w:val="0"/>
              <w:spacing w:line="0" w:lineRule="atLeast"/>
              <w:jc w:val="left"/>
              <w:rPr>
                <w:rFonts w:hint="eastAsia"/>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88" w:type="dxa"/>
            <w:vMerge w:val="continue"/>
            <w:vAlign w:val="center"/>
          </w:tcPr>
          <w:p>
            <w:pPr>
              <w:widowControl/>
              <w:spacing w:line="0" w:lineRule="atLeast"/>
              <w:jc w:val="left"/>
              <w:rPr>
                <w:color w:val="FF0000"/>
                <w:sz w:val="18"/>
                <w:szCs w:val="18"/>
                <w:highlight w:val="none"/>
              </w:rPr>
            </w:pPr>
          </w:p>
        </w:tc>
        <w:tc>
          <w:tcPr>
            <w:tcW w:w="703" w:type="dxa"/>
            <w:vAlign w:val="center"/>
          </w:tcPr>
          <w:p>
            <w:pPr>
              <w:autoSpaceDE w:val="0"/>
              <w:autoSpaceDN w:val="0"/>
              <w:spacing w:line="0" w:lineRule="atLeast"/>
              <w:jc w:val="center"/>
              <w:rPr>
                <w:rFonts w:hint="eastAsia" w:eastAsia="宋体"/>
                <w:color w:val="FF0000"/>
                <w:sz w:val="18"/>
                <w:szCs w:val="18"/>
                <w:highlight w:val="none"/>
                <w:lang w:eastAsia="zh-CN"/>
              </w:rPr>
            </w:pPr>
            <w:r>
              <w:rPr>
                <w:rFonts w:hint="eastAsia"/>
                <w:color w:val="FF0000"/>
                <w:sz w:val="18"/>
                <w:szCs w:val="18"/>
                <w:highlight w:val="none"/>
                <w:lang w:val="en-US" w:eastAsia="zh-CN"/>
              </w:rPr>
              <w:t>6</w:t>
            </w:r>
          </w:p>
        </w:tc>
        <w:tc>
          <w:tcPr>
            <w:tcW w:w="6593" w:type="dxa"/>
            <w:vAlign w:val="center"/>
          </w:tcPr>
          <w:p>
            <w:pPr>
              <w:autoSpaceDE w:val="0"/>
              <w:autoSpaceDN w:val="0"/>
              <w:spacing w:line="0" w:lineRule="atLeast"/>
              <w:rPr>
                <w:color w:val="FF0000"/>
                <w:sz w:val="18"/>
                <w:szCs w:val="18"/>
                <w:highlight w:val="none"/>
              </w:rPr>
            </w:pPr>
            <w:r>
              <w:rPr>
                <w:color w:val="FF0000"/>
                <w:sz w:val="18"/>
                <w:szCs w:val="18"/>
                <w:highlight w:val="none"/>
              </w:rPr>
              <w:t>售后服务最短时间是否满足招标文件要求</w:t>
            </w:r>
            <w:r>
              <w:rPr>
                <w:rFonts w:hint="eastAsia"/>
                <w:color w:val="FF0000"/>
                <w:sz w:val="18"/>
                <w:szCs w:val="18"/>
                <w:highlight w:val="none"/>
              </w:rPr>
              <w:t>；</w:t>
            </w:r>
          </w:p>
        </w:tc>
        <w:tc>
          <w:tcPr>
            <w:tcW w:w="612" w:type="dxa"/>
            <w:vAlign w:val="top"/>
          </w:tcPr>
          <w:p>
            <w:pPr>
              <w:autoSpaceDE w:val="0"/>
              <w:autoSpaceDN w:val="0"/>
              <w:spacing w:line="0" w:lineRule="atLeast"/>
              <w:jc w:val="left"/>
              <w:rPr>
                <w:color w:val="FF0000"/>
                <w:sz w:val="18"/>
                <w:szCs w:val="18"/>
                <w:highlight w:val="none"/>
              </w:rPr>
            </w:pPr>
          </w:p>
        </w:tc>
        <w:tc>
          <w:tcPr>
            <w:tcW w:w="785" w:type="dxa"/>
            <w:vAlign w:val="top"/>
          </w:tcPr>
          <w:p>
            <w:pPr>
              <w:autoSpaceDE w:val="0"/>
              <w:autoSpaceDN w:val="0"/>
              <w:spacing w:line="0" w:lineRule="atLeast"/>
              <w:jc w:val="left"/>
              <w:rPr>
                <w:rFonts w:hint="eastAsia"/>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88" w:type="dxa"/>
            <w:vMerge w:val="continue"/>
            <w:vAlign w:val="center"/>
          </w:tcPr>
          <w:p>
            <w:pPr>
              <w:widowControl/>
              <w:spacing w:line="0" w:lineRule="atLeast"/>
              <w:jc w:val="left"/>
              <w:rPr>
                <w:color w:val="FF0000"/>
                <w:sz w:val="18"/>
                <w:szCs w:val="18"/>
                <w:highlight w:val="none"/>
              </w:rPr>
            </w:pPr>
          </w:p>
        </w:tc>
        <w:tc>
          <w:tcPr>
            <w:tcW w:w="703" w:type="dxa"/>
            <w:vAlign w:val="center"/>
          </w:tcPr>
          <w:p>
            <w:pPr>
              <w:autoSpaceDE w:val="0"/>
              <w:autoSpaceDN w:val="0"/>
              <w:spacing w:line="0" w:lineRule="atLeast"/>
              <w:jc w:val="center"/>
              <w:rPr>
                <w:rFonts w:hint="eastAsia" w:eastAsia="宋体"/>
                <w:color w:val="FF0000"/>
                <w:sz w:val="18"/>
                <w:szCs w:val="18"/>
                <w:highlight w:val="none"/>
                <w:lang w:eastAsia="zh-CN"/>
              </w:rPr>
            </w:pPr>
            <w:r>
              <w:rPr>
                <w:rFonts w:hint="eastAsia"/>
                <w:color w:val="FF0000"/>
                <w:sz w:val="18"/>
                <w:szCs w:val="18"/>
                <w:highlight w:val="none"/>
                <w:lang w:val="en-US" w:eastAsia="zh-CN"/>
              </w:rPr>
              <w:t>7</w:t>
            </w:r>
          </w:p>
        </w:tc>
        <w:tc>
          <w:tcPr>
            <w:tcW w:w="6593" w:type="dxa"/>
            <w:vAlign w:val="center"/>
          </w:tcPr>
          <w:p>
            <w:pPr>
              <w:autoSpaceDE w:val="0"/>
              <w:autoSpaceDN w:val="0"/>
              <w:spacing w:line="0" w:lineRule="atLeast"/>
              <w:rPr>
                <w:color w:val="FF0000"/>
                <w:sz w:val="18"/>
                <w:szCs w:val="18"/>
                <w:highlight w:val="none"/>
              </w:rPr>
            </w:pPr>
            <w:r>
              <w:rPr>
                <w:color w:val="FF0000"/>
                <w:sz w:val="18"/>
                <w:szCs w:val="18"/>
                <w:highlight w:val="none"/>
              </w:rPr>
              <w:t>投标文件是否附有招标人不能接受的条件</w:t>
            </w:r>
            <w:r>
              <w:rPr>
                <w:rFonts w:hint="eastAsia"/>
                <w:color w:val="FF0000"/>
                <w:sz w:val="18"/>
                <w:szCs w:val="18"/>
                <w:highlight w:val="none"/>
              </w:rPr>
              <w:t>；</w:t>
            </w:r>
          </w:p>
        </w:tc>
        <w:tc>
          <w:tcPr>
            <w:tcW w:w="612" w:type="dxa"/>
            <w:vAlign w:val="top"/>
          </w:tcPr>
          <w:p>
            <w:pPr>
              <w:autoSpaceDE w:val="0"/>
              <w:autoSpaceDN w:val="0"/>
              <w:spacing w:line="0" w:lineRule="atLeast"/>
              <w:jc w:val="left"/>
              <w:rPr>
                <w:color w:val="FF0000"/>
                <w:sz w:val="18"/>
                <w:szCs w:val="18"/>
                <w:highlight w:val="none"/>
              </w:rPr>
            </w:pPr>
          </w:p>
        </w:tc>
        <w:tc>
          <w:tcPr>
            <w:tcW w:w="785" w:type="dxa"/>
            <w:vAlign w:val="top"/>
          </w:tcPr>
          <w:p>
            <w:pPr>
              <w:autoSpaceDE w:val="0"/>
              <w:autoSpaceDN w:val="0"/>
              <w:spacing w:line="0" w:lineRule="atLeast"/>
              <w:jc w:val="left"/>
              <w:rPr>
                <w:rFonts w:hint="eastAsia"/>
                <w:color w:val="FF0000"/>
                <w:sz w:val="18"/>
                <w:szCs w:val="18"/>
                <w:highlight w:val="none"/>
              </w:rPr>
            </w:pPr>
          </w:p>
        </w:tc>
      </w:tr>
    </w:tbl>
    <w:p>
      <w:pPr>
        <w:spacing w:line="360" w:lineRule="auto"/>
        <w:rPr>
          <w:rFonts w:ascii="宋体" w:hAnsi="宋体"/>
          <w:b/>
          <w:bCs/>
          <w:color w:val="FF0000"/>
          <w:sz w:val="24"/>
          <w:highlight w:val="none"/>
        </w:rPr>
      </w:pPr>
    </w:p>
    <w:p>
      <w:pPr>
        <w:spacing w:line="360" w:lineRule="auto"/>
        <w:rPr>
          <w:rFonts w:ascii="宋体"/>
          <w:b/>
          <w:bCs/>
          <w:color w:val="auto"/>
          <w:sz w:val="24"/>
          <w:highlight w:val="none"/>
        </w:rPr>
      </w:pPr>
      <w:r>
        <w:rPr>
          <w:rFonts w:ascii="宋体" w:hAnsi="宋体"/>
          <w:b/>
          <w:bCs/>
          <w:color w:val="auto"/>
          <w:sz w:val="24"/>
          <w:highlight w:val="none"/>
        </w:rPr>
        <w:t>25.</w:t>
      </w:r>
      <w:r>
        <w:rPr>
          <w:rFonts w:ascii="宋体" w:hAnsi="宋体"/>
          <w:b/>
          <w:bCs/>
          <w:color w:val="auto"/>
          <w:sz w:val="24"/>
          <w:highlight w:val="none"/>
        </w:rPr>
        <w:tab/>
      </w:r>
      <w:r>
        <w:rPr>
          <w:rFonts w:hint="eastAsia" w:ascii="宋体" w:hAnsi="宋体"/>
          <w:b/>
          <w:bCs/>
          <w:color w:val="auto"/>
          <w:sz w:val="24"/>
          <w:highlight w:val="none"/>
        </w:rPr>
        <w:t>接受和拒绝任何或所有投标的权力</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25.1</w:t>
      </w:r>
      <w:r>
        <w:rPr>
          <w:rFonts w:ascii="宋体" w:hAnsi="宋体"/>
          <w:color w:val="auto"/>
          <w:sz w:val="24"/>
          <w:highlight w:val="none"/>
        </w:rPr>
        <w:tab/>
      </w:r>
      <w:r>
        <w:rPr>
          <w:rFonts w:hint="eastAsia" w:ascii="宋体" w:hAnsi="宋体"/>
          <w:color w:val="auto"/>
          <w:sz w:val="24"/>
          <w:highlight w:val="none"/>
        </w:rPr>
        <w:t>因政策调整或不可抭力因素的影响，为维护国家利益，招标人在授予合同前的任何时候仍有选择和拒绝所有投标和取消招标过程的权力，投标人不得因此而要求招标人承担任何责任。</w:t>
      </w:r>
    </w:p>
    <w:p>
      <w:pPr>
        <w:spacing w:line="360" w:lineRule="auto"/>
        <w:ind w:left="714" w:leftChars="1" w:hanging="712" w:hangingChars="297"/>
      </w:pPr>
      <w:r>
        <w:rPr>
          <w:rFonts w:ascii="宋体" w:hAnsi="宋体"/>
          <w:color w:val="auto"/>
          <w:sz w:val="24"/>
          <w:highlight w:val="none"/>
        </w:rPr>
        <w:t>25.2</w:t>
      </w:r>
      <w:r>
        <w:rPr>
          <w:rFonts w:ascii="宋体" w:hAnsi="宋体"/>
          <w:color w:val="auto"/>
          <w:sz w:val="24"/>
          <w:highlight w:val="none"/>
        </w:rPr>
        <w:tab/>
      </w:r>
      <w:r>
        <w:rPr>
          <w:rFonts w:hint="eastAsia" w:ascii="宋体" w:hAnsi="宋体"/>
          <w:color w:val="auto"/>
          <w:sz w:val="24"/>
          <w:highlight w:val="none"/>
        </w:rPr>
        <w:t>招标人有权根据评标情况决定接受其全部或部分的投标。</w:t>
      </w:r>
    </w:p>
    <w:p>
      <w:pPr>
        <w:spacing w:line="360" w:lineRule="auto"/>
        <w:ind w:left="718" w:leftChars="1" w:hanging="716" w:hangingChars="297"/>
        <w:jc w:val="center"/>
        <w:rPr>
          <w:rFonts w:ascii="宋体" w:hAnsi="宋体"/>
          <w:b/>
          <w:color w:val="auto"/>
          <w:sz w:val="24"/>
          <w:highlight w:val="none"/>
        </w:rPr>
      </w:pPr>
    </w:p>
    <w:p>
      <w:pPr>
        <w:spacing w:line="360" w:lineRule="auto"/>
        <w:ind w:left="718" w:leftChars="1" w:hanging="716" w:hangingChars="297"/>
        <w:jc w:val="center"/>
        <w:rPr>
          <w:rFonts w:ascii="宋体" w:hAnsi="宋体"/>
          <w:b/>
          <w:color w:val="auto"/>
          <w:sz w:val="24"/>
          <w:highlight w:val="none"/>
        </w:rPr>
      </w:pPr>
    </w:p>
    <w:p>
      <w:pPr>
        <w:spacing w:line="360" w:lineRule="auto"/>
        <w:ind w:left="718" w:leftChars="1" w:hanging="716" w:hangingChars="297"/>
        <w:jc w:val="center"/>
        <w:rPr>
          <w:rFonts w:ascii="宋体"/>
          <w:color w:val="auto"/>
          <w:sz w:val="24"/>
          <w:highlight w:val="none"/>
        </w:rPr>
      </w:pPr>
      <w:r>
        <w:rPr>
          <w:rFonts w:ascii="宋体" w:hAnsi="宋体"/>
          <w:b/>
          <w:color w:val="auto"/>
          <w:sz w:val="24"/>
          <w:highlight w:val="none"/>
        </w:rPr>
        <w:t xml:space="preserve">F   </w:t>
      </w:r>
      <w:r>
        <w:rPr>
          <w:rFonts w:hint="eastAsia" w:ascii="宋体" w:hAnsi="宋体"/>
          <w:b/>
          <w:color w:val="auto"/>
          <w:sz w:val="24"/>
          <w:highlight w:val="none"/>
        </w:rPr>
        <w:t>中标及合同签订</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中标通知</w:t>
      </w:r>
    </w:p>
    <w:p>
      <w:pPr>
        <w:spacing w:line="360" w:lineRule="auto"/>
        <w:ind w:left="714" w:leftChars="1" w:hanging="712" w:hangingChars="297"/>
        <w:rPr>
          <w:rFonts w:hint="eastAsia" w:ascii="宋体" w:hAnsi="宋体"/>
          <w:color w:val="000000" w:themeColor="text1"/>
          <w:sz w:val="24"/>
          <w:highlight w:val="none"/>
          <w14:textFill>
            <w14:solidFill>
              <w14:schemeClr w14:val="tx1"/>
            </w14:solidFill>
          </w14:textFill>
        </w:rPr>
      </w:pPr>
      <w:r>
        <w:rPr>
          <w:rFonts w:ascii="宋体" w:hAnsi="宋体"/>
          <w:color w:val="auto"/>
          <w:sz w:val="24"/>
          <w:highlight w:val="none"/>
        </w:rPr>
        <w:t>26.1</w:t>
      </w:r>
      <w:r>
        <w:rPr>
          <w:rFonts w:ascii="宋体" w:hAnsi="宋体"/>
          <w:color w:val="auto"/>
          <w:sz w:val="24"/>
          <w:highlight w:val="none"/>
        </w:rPr>
        <w:tab/>
      </w:r>
      <w:r>
        <w:rPr>
          <w:rFonts w:hint="eastAsia" w:ascii="宋体" w:hAnsi="宋体"/>
          <w:color w:val="000000" w:themeColor="text1"/>
          <w:sz w:val="24"/>
          <w:highlight w:val="none"/>
          <w14:textFill>
            <w14:solidFill>
              <w14:schemeClr w14:val="tx1"/>
            </w14:solidFill>
          </w14:textFill>
        </w:rPr>
        <w:t>评标结束后，招标人将当众宣布评标结果，并在“新疆维吾尔自治区政府采购网”（网址：http://www.ccgp-xinjiang.gov.cn/）上予以公告。公告有效期1个</w:t>
      </w:r>
      <w:r>
        <w:rPr>
          <w:rFonts w:hint="eastAsia" w:ascii="宋体" w:hAnsi="宋体"/>
          <w:color w:val="000000" w:themeColor="text1"/>
          <w:sz w:val="24"/>
          <w:highlight w:val="none"/>
          <w:lang w:val="en-US" w:eastAsia="zh-CN"/>
          <w14:textFill>
            <w14:solidFill>
              <w14:schemeClr w14:val="tx1"/>
            </w14:solidFill>
          </w14:textFill>
        </w:rPr>
        <w:t>工作日</w:t>
      </w:r>
      <w:r>
        <w:rPr>
          <w:rFonts w:hint="eastAsia" w:ascii="宋体" w:hAnsi="宋体"/>
          <w:color w:val="000000" w:themeColor="text1"/>
          <w:sz w:val="24"/>
          <w:highlight w:val="none"/>
          <w14:textFill>
            <w14:solidFill>
              <w14:schemeClr w14:val="tx1"/>
            </w14:solidFill>
          </w14:textFill>
        </w:rPr>
        <w:t>；</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26.2</w:t>
      </w:r>
      <w:r>
        <w:rPr>
          <w:rFonts w:ascii="宋体" w:hAnsi="宋体"/>
          <w:color w:val="auto"/>
          <w:sz w:val="24"/>
          <w:highlight w:val="none"/>
        </w:rPr>
        <w:tab/>
      </w:r>
      <w:r>
        <w:rPr>
          <w:rFonts w:hint="eastAsia" w:ascii="宋体" w:hAnsi="宋体"/>
          <w:color w:val="auto"/>
          <w:sz w:val="24"/>
          <w:highlight w:val="none"/>
        </w:rPr>
        <w:t>公告期满后，招标人将签发《中标通知书》给中标人；</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26.3</w:t>
      </w:r>
      <w:r>
        <w:rPr>
          <w:rFonts w:ascii="宋体" w:hAnsi="宋体"/>
          <w:color w:val="auto"/>
          <w:sz w:val="24"/>
          <w:highlight w:val="none"/>
        </w:rPr>
        <w:tab/>
      </w:r>
      <w:r>
        <w:rPr>
          <w:rFonts w:hint="eastAsia" w:ascii="宋体" w:hAnsi="宋体"/>
          <w:color w:val="auto"/>
          <w:sz w:val="24"/>
          <w:highlight w:val="none"/>
        </w:rPr>
        <w:t>招标人不向落标的投标人解释落标原因，不退还投标文件；</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26.4</w:t>
      </w:r>
      <w:r>
        <w:rPr>
          <w:rFonts w:ascii="宋体" w:hAnsi="宋体"/>
          <w:color w:val="auto"/>
          <w:sz w:val="24"/>
          <w:highlight w:val="none"/>
        </w:rPr>
        <w:tab/>
      </w:r>
      <w:r>
        <w:rPr>
          <w:rFonts w:hint="eastAsia" w:ascii="宋体" w:hAnsi="宋体"/>
          <w:color w:val="auto"/>
          <w:sz w:val="24"/>
          <w:highlight w:val="none"/>
        </w:rPr>
        <w:t>投标人对评标结果有异议的，按本招标文件第</w:t>
      </w:r>
      <w:r>
        <w:rPr>
          <w:rFonts w:ascii="宋体" w:hAnsi="宋体"/>
          <w:color w:val="auto"/>
          <w:sz w:val="24"/>
          <w:highlight w:val="none"/>
        </w:rPr>
        <w:t>30</w:t>
      </w:r>
      <w:r>
        <w:rPr>
          <w:rFonts w:hint="eastAsia" w:ascii="宋体" w:hAnsi="宋体"/>
          <w:color w:val="auto"/>
          <w:sz w:val="24"/>
          <w:highlight w:val="none"/>
        </w:rPr>
        <w:t>、</w:t>
      </w:r>
      <w:r>
        <w:rPr>
          <w:rFonts w:ascii="宋体" w:hAnsi="宋体"/>
          <w:color w:val="auto"/>
          <w:sz w:val="24"/>
          <w:highlight w:val="none"/>
        </w:rPr>
        <w:t>31</w:t>
      </w:r>
      <w:r>
        <w:rPr>
          <w:rFonts w:hint="eastAsia" w:ascii="宋体" w:hAnsi="宋体"/>
          <w:color w:val="auto"/>
          <w:sz w:val="24"/>
          <w:highlight w:val="none"/>
        </w:rPr>
        <w:t>条办理。</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27</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合同签订</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27.1</w:t>
      </w:r>
      <w:r>
        <w:rPr>
          <w:rFonts w:ascii="宋体" w:hAnsi="宋体"/>
          <w:color w:val="auto"/>
          <w:sz w:val="24"/>
          <w:highlight w:val="none"/>
        </w:rPr>
        <w:tab/>
      </w:r>
      <w:r>
        <w:rPr>
          <w:rFonts w:hint="eastAsia" w:ascii="宋体" w:hAnsi="宋体"/>
          <w:color w:val="auto"/>
          <w:sz w:val="24"/>
          <w:highlight w:val="none"/>
        </w:rPr>
        <w:t>中标人依据《中标通知书》与采购人签订采购合同，签订时间为《中标通知书》发出之日起</w:t>
      </w:r>
      <w:r>
        <w:rPr>
          <w:rFonts w:hint="eastAsia" w:ascii="宋体" w:hAnsi="宋体"/>
          <w:color w:val="auto"/>
          <w:sz w:val="24"/>
          <w:highlight w:val="none"/>
          <w:lang w:val="en-US" w:eastAsia="zh-CN"/>
        </w:rPr>
        <w:t>7个工作</w:t>
      </w:r>
      <w:r>
        <w:rPr>
          <w:rFonts w:hint="eastAsia" w:ascii="宋体" w:hAnsi="宋体"/>
          <w:color w:val="auto"/>
          <w:sz w:val="24"/>
          <w:highlight w:val="none"/>
        </w:rPr>
        <w:t>日内；</w:t>
      </w:r>
    </w:p>
    <w:p>
      <w:pPr>
        <w:spacing w:line="360" w:lineRule="auto"/>
        <w:ind w:left="714" w:leftChars="1" w:hanging="712" w:hangingChars="297"/>
        <w:rPr>
          <w:rFonts w:ascii="宋体"/>
          <w:color w:val="auto"/>
          <w:sz w:val="24"/>
          <w:highlight w:val="none"/>
        </w:rPr>
      </w:pPr>
      <w:r>
        <w:rPr>
          <w:rFonts w:ascii="宋体" w:hAnsi="宋体"/>
          <w:color w:val="auto"/>
          <w:sz w:val="24"/>
          <w:szCs w:val="20"/>
          <w:highlight w:val="none"/>
        </w:rPr>
        <w:t>27.2</w:t>
      </w:r>
      <w:r>
        <w:rPr>
          <w:rFonts w:ascii="宋体" w:hAnsi="宋体"/>
          <w:color w:val="auto"/>
          <w:sz w:val="24"/>
          <w:szCs w:val="20"/>
          <w:highlight w:val="none"/>
        </w:rPr>
        <w:tab/>
      </w:r>
      <w:r>
        <w:rPr>
          <w:rFonts w:hint="eastAsia" w:ascii="宋体" w:hAnsi="宋体"/>
          <w:color w:val="auto"/>
          <w:sz w:val="24"/>
          <w:szCs w:val="20"/>
          <w:highlight w:val="none"/>
        </w:rPr>
        <w:t>采购人不得向中标人提出任何不合理的要求，作为签订合同的条件，不得与中标人私下订立背离合同实质性内容的协议；</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27.3</w:t>
      </w:r>
      <w:r>
        <w:rPr>
          <w:rFonts w:ascii="宋体" w:hAnsi="宋体"/>
          <w:color w:val="auto"/>
          <w:sz w:val="24"/>
          <w:highlight w:val="none"/>
        </w:rPr>
        <w:tab/>
      </w:r>
      <w:r>
        <w:rPr>
          <w:rFonts w:hint="eastAsia" w:ascii="宋体" w:hAnsi="宋体"/>
          <w:color w:val="auto"/>
          <w:sz w:val="24"/>
          <w:highlight w:val="none"/>
        </w:rPr>
        <w:t>招标文件（含修改文件）、中标人的投标文件（含书面答疑文件）均为签订采购合同的依据；</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27.4</w:t>
      </w:r>
      <w:r>
        <w:rPr>
          <w:rFonts w:ascii="宋体" w:hAnsi="宋体"/>
          <w:color w:val="auto"/>
          <w:sz w:val="24"/>
          <w:highlight w:val="none"/>
        </w:rPr>
        <w:tab/>
      </w:r>
      <w:r>
        <w:rPr>
          <w:rFonts w:hint="eastAsia" w:ascii="宋体" w:hAnsi="宋体"/>
          <w:color w:val="auto"/>
          <w:sz w:val="24"/>
          <w:highlight w:val="none"/>
        </w:rPr>
        <w:t>招标人在授予合同时有权对货物的数量和服务予以适当的增加或减少，但不得对单价或其他条款和条件做任何改变；</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27.5</w:t>
      </w:r>
      <w:r>
        <w:rPr>
          <w:rFonts w:ascii="宋体" w:hAnsi="宋体"/>
          <w:color w:val="auto"/>
          <w:sz w:val="24"/>
          <w:highlight w:val="none"/>
        </w:rPr>
        <w:tab/>
      </w:r>
      <w:r>
        <w:rPr>
          <w:rFonts w:hint="eastAsia" w:ascii="宋体" w:hAnsi="宋体"/>
          <w:color w:val="auto"/>
          <w:sz w:val="24"/>
          <w:highlight w:val="none"/>
        </w:rPr>
        <w:t>政府采购合同履行中，采购人需追加与合同货物或服务的，在不改变合同其他条款前提下，签订补充合同，但所有补充合同的采购金额不得超过原合同采购金额的百分之十；</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27.6</w:t>
      </w:r>
      <w:r>
        <w:rPr>
          <w:rFonts w:ascii="宋体" w:hAnsi="宋体"/>
          <w:color w:val="auto"/>
          <w:sz w:val="24"/>
          <w:highlight w:val="none"/>
        </w:rPr>
        <w:tab/>
      </w:r>
      <w:r>
        <w:rPr>
          <w:rFonts w:hint="eastAsia" w:ascii="宋体" w:hAnsi="宋体"/>
          <w:color w:val="auto"/>
          <w:sz w:val="24"/>
          <w:highlight w:val="none"/>
        </w:rPr>
        <w:t>中标人应当按照合同约定履行义务，完成中标项目。如须将中标项目的非主体、非关键性工作交由他人完成，应在投标文件中载明，并取得招标人同意，接受分包的人应当具备相应的资格条件，并不得再次分包。中标人应该就分包项目向招标人负责，接受分包的人就分包项目承担连带责任。</w:t>
      </w:r>
    </w:p>
    <w:p>
      <w:pPr>
        <w:spacing w:line="360" w:lineRule="auto"/>
        <w:ind w:left="718" w:leftChars="1" w:hanging="716" w:hangingChars="297"/>
        <w:jc w:val="center"/>
        <w:rPr>
          <w:rFonts w:ascii="宋体"/>
          <w:b/>
          <w:bCs/>
          <w:color w:val="auto"/>
          <w:sz w:val="24"/>
          <w:highlight w:val="none"/>
        </w:rPr>
      </w:pPr>
      <w:r>
        <w:rPr>
          <w:rFonts w:ascii="宋体" w:hAnsi="宋体"/>
          <w:b/>
          <w:bCs/>
          <w:color w:val="auto"/>
          <w:sz w:val="24"/>
          <w:highlight w:val="none"/>
        </w:rPr>
        <w:t xml:space="preserve">G   </w:t>
      </w:r>
      <w:r>
        <w:rPr>
          <w:rFonts w:hint="eastAsia" w:ascii="宋体" w:hAnsi="宋体"/>
          <w:b/>
          <w:bCs/>
          <w:color w:val="auto"/>
          <w:sz w:val="24"/>
          <w:highlight w:val="none"/>
        </w:rPr>
        <w:t>法律责任</w:t>
      </w:r>
    </w:p>
    <w:p>
      <w:pPr>
        <w:spacing w:line="360" w:lineRule="auto"/>
        <w:ind w:left="718" w:leftChars="1" w:hanging="716" w:hangingChars="297"/>
        <w:rPr>
          <w:rFonts w:ascii="宋体"/>
          <w:b/>
          <w:color w:val="auto"/>
          <w:sz w:val="24"/>
          <w:highlight w:val="none"/>
        </w:rPr>
      </w:pPr>
      <w:r>
        <w:rPr>
          <w:rFonts w:ascii="宋体" w:hAnsi="宋体"/>
          <w:b/>
          <w:color w:val="auto"/>
          <w:sz w:val="24"/>
          <w:highlight w:val="none"/>
        </w:rPr>
        <w:t>28</w:t>
      </w:r>
      <w:r>
        <w:rPr>
          <w:rFonts w:hint="eastAsia" w:ascii="宋体" w:hAnsi="宋体"/>
          <w:b/>
          <w:color w:val="auto"/>
          <w:sz w:val="24"/>
          <w:highlight w:val="none"/>
        </w:rPr>
        <w:t>．</w:t>
      </w:r>
      <w:r>
        <w:rPr>
          <w:rFonts w:ascii="宋体"/>
          <w:b/>
          <w:color w:val="auto"/>
          <w:sz w:val="24"/>
          <w:highlight w:val="none"/>
        </w:rPr>
        <w:tab/>
      </w:r>
      <w:r>
        <w:rPr>
          <w:rFonts w:hint="eastAsia" w:ascii="宋体" w:hAnsi="宋体"/>
          <w:b/>
          <w:color w:val="auto"/>
          <w:sz w:val="24"/>
          <w:highlight w:val="none"/>
        </w:rPr>
        <w:t>法律责任</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28.1</w:t>
      </w:r>
      <w:r>
        <w:rPr>
          <w:rFonts w:ascii="宋体" w:hAnsi="宋体"/>
          <w:color w:val="auto"/>
          <w:sz w:val="24"/>
          <w:szCs w:val="20"/>
          <w:highlight w:val="none"/>
        </w:rPr>
        <w:tab/>
      </w:r>
      <w:r>
        <w:rPr>
          <w:rFonts w:hint="eastAsia" w:ascii="宋体" w:hAnsi="宋体"/>
          <w:color w:val="auto"/>
          <w:sz w:val="24"/>
          <w:szCs w:val="20"/>
          <w:highlight w:val="none"/>
        </w:rPr>
        <w:t>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r>
        <w:rPr>
          <w:rFonts w:ascii="宋体" w:hAnsi="宋体"/>
          <w:color w:val="auto"/>
          <w:sz w:val="24"/>
          <w:szCs w:val="20"/>
          <w:highlight w:val="none"/>
        </w:rPr>
        <w:t xml:space="preserve"> </w:t>
      </w:r>
    </w:p>
    <w:p>
      <w:pPr>
        <w:spacing w:line="360" w:lineRule="auto"/>
        <w:ind w:left="714" w:leftChars="1" w:hanging="712" w:hangingChars="297"/>
        <w:rPr>
          <w:rFonts w:ascii="宋体" w:cs="Arial Unicode MS"/>
          <w:color w:val="auto"/>
          <w:sz w:val="24"/>
          <w:highlight w:val="none"/>
        </w:rPr>
      </w:pPr>
      <w:r>
        <w:rPr>
          <w:rFonts w:hint="eastAsia" w:ascii="宋体" w:hAnsi="宋体"/>
          <w:color w:val="auto"/>
          <w:sz w:val="24"/>
          <w:szCs w:val="20"/>
          <w:highlight w:val="none"/>
        </w:rPr>
        <w:t>　　</w:t>
      </w:r>
      <w:r>
        <w:rPr>
          <w:rFonts w:ascii="宋体"/>
          <w:color w:val="auto"/>
          <w:sz w:val="24"/>
          <w:szCs w:val="20"/>
          <w:highlight w:val="none"/>
        </w:rPr>
        <w:tab/>
      </w:r>
      <w:r>
        <w:rPr>
          <w:rFonts w:hint="eastAsia" w:ascii="宋体" w:hAnsi="宋体"/>
          <w:color w:val="auto"/>
          <w:sz w:val="24"/>
          <w:szCs w:val="20"/>
          <w:highlight w:val="none"/>
        </w:rPr>
        <w:t>（一）提供虚假材料谋取中标的；</w:t>
      </w:r>
      <w:r>
        <w:rPr>
          <w:rFonts w:ascii="宋体" w:hAnsi="宋体"/>
          <w:color w:val="auto"/>
          <w:sz w:val="24"/>
          <w:szCs w:val="20"/>
          <w:highlight w:val="none"/>
        </w:rPr>
        <w:t xml:space="preserve"> </w:t>
      </w:r>
    </w:p>
    <w:p>
      <w:pPr>
        <w:spacing w:line="360" w:lineRule="auto"/>
        <w:ind w:left="714" w:leftChars="1" w:hanging="712" w:hangingChars="297"/>
        <w:rPr>
          <w:rFonts w:ascii="宋体"/>
          <w:color w:val="auto"/>
          <w:sz w:val="24"/>
          <w:szCs w:val="20"/>
          <w:highlight w:val="none"/>
        </w:rPr>
      </w:pPr>
      <w:r>
        <w:rPr>
          <w:rFonts w:hint="eastAsia" w:ascii="宋体" w:hAnsi="宋体"/>
          <w:color w:val="auto"/>
          <w:sz w:val="24"/>
          <w:szCs w:val="20"/>
          <w:highlight w:val="none"/>
        </w:rPr>
        <w:t>　　</w:t>
      </w:r>
      <w:r>
        <w:rPr>
          <w:rFonts w:ascii="宋体"/>
          <w:color w:val="auto"/>
          <w:sz w:val="24"/>
          <w:szCs w:val="20"/>
          <w:highlight w:val="none"/>
        </w:rPr>
        <w:tab/>
      </w:r>
      <w:r>
        <w:rPr>
          <w:rFonts w:hint="eastAsia" w:ascii="宋体" w:hAnsi="宋体"/>
          <w:color w:val="auto"/>
          <w:sz w:val="24"/>
          <w:szCs w:val="20"/>
          <w:highlight w:val="none"/>
        </w:rPr>
        <w:t>（二）采取不正当手段诋毁、排挤其他投标人的；</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（三）与招标人、采购人、其他投标人恶意串通的；</w:t>
      </w:r>
      <w:r>
        <w:rPr>
          <w:rFonts w:ascii="宋体" w:hAnsi="宋体"/>
          <w:color w:val="auto"/>
          <w:sz w:val="24"/>
          <w:szCs w:val="20"/>
          <w:highlight w:val="none"/>
        </w:rPr>
        <w:t xml:space="preserve"> </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（四）向招标人、采购人行贿或者提供其他不正当利益的；</w:t>
      </w:r>
      <w:r>
        <w:rPr>
          <w:rFonts w:ascii="宋体" w:hAnsi="宋体"/>
          <w:color w:val="auto"/>
          <w:sz w:val="24"/>
          <w:szCs w:val="20"/>
          <w:highlight w:val="none"/>
        </w:rPr>
        <w:t xml:space="preserve"> </w:t>
      </w:r>
    </w:p>
    <w:p>
      <w:pPr>
        <w:spacing w:line="360" w:lineRule="auto"/>
        <w:ind w:left="714" w:leftChars="1" w:hanging="712" w:hangingChars="297"/>
        <w:rPr>
          <w:rFonts w:ascii="宋体" w:cs="Arial Unicode MS"/>
          <w:color w:val="auto"/>
          <w:sz w:val="24"/>
          <w:highlight w:val="none"/>
        </w:rPr>
      </w:pPr>
      <w:r>
        <w:rPr>
          <w:rFonts w:hint="eastAsia" w:ascii="宋体" w:hAnsi="宋体"/>
          <w:color w:val="auto"/>
          <w:sz w:val="24"/>
          <w:szCs w:val="20"/>
          <w:highlight w:val="none"/>
        </w:rPr>
        <w:t>　　</w:t>
      </w:r>
      <w:r>
        <w:rPr>
          <w:rFonts w:ascii="宋体"/>
          <w:color w:val="auto"/>
          <w:sz w:val="24"/>
          <w:szCs w:val="20"/>
          <w:highlight w:val="none"/>
        </w:rPr>
        <w:tab/>
      </w:r>
      <w:r>
        <w:rPr>
          <w:rFonts w:hint="eastAsia" w:ascii="宋体" w:hAnsi="宋体"/>
          <w:color w:val="auto"/>
          <w:sz w:val="24"/>
          <w:szCs w:val="20"/>
          <w:highlight w:val="none"/>
        </w:rPr>
        <w:t>（五）在招标过程中与招标人、采购人进行协商谈判、不按照招标文件、投标文件订立合同，或者与采购人另行订立背离合同实质性内容的协议的；</w:t>
      </w:r>
      <w:r>
        <w:rPr>
          <w:rFonts w:ascii="宋体" w:hAnsi="宋体"/>
          <w:color w:val="auto"/>
          <w:sz w:val="24"/>
          <w:szCs w:val="20"/>
          <w:highlight w:val="none"/>
        </w:rPr>
        <w:t xml:space="preserve"> </w:t>
      </w:r>
    </w:p>
    <w:p>
      <w:pPr>
        <w:spacing w:line="360" w:lineRule="auto"/>
        <w:ind w:left="714" w:leftChars="1" w:hanging="712" w:hangingChars="297"/>
        <w:rPr>
          <w:rFonts w:ascii="宋体" w:cs="Arial Unicode MS"/>
          <w:color w:val="auto"/>
          <w:sz w:val="24"/>
          <w:highlight w:val="none"/>
        </w:rPr>
      </w:pPr>
      <w:r>
        <w:rPr>
          <w:rFonts w:hint="eastAsia" w:ascii="宋体" w:hAnsi="宋体"/>
          <w:color w:val="auto"/>
          <w:sz w:val="24"/>
          <w:szCs w:val="20"/>
          <w:highlight w:val="none"/>
        </w:rPr>
        <w:t>　　</w:t>
      </w:r>
      <w:r>
        <w:rPr>
          <w:rFonts w:ascii="宋体"/>
          <w:color w:val="auto"/>
          <w:sz w:val="24"/>
          <w:szCs w:val="20"/>
          <w:highlight w:val="none"/>
        </w:rPr>
        <w:tab/>
      </w:r>
      <w:r>
        <w:rPr>
          <w:rFonts w:hint="eastAsia" w:ascii="宋体" w:hAnsi="宋体"/>
          <w:color w:val="auto"/>
          <w:sz w:val="24"/>
          <w:szCs w:val="20"/>
          <w:highlight w:val="none"/>
        </w:rPr>
        <w:t>（六）拒绝有关部门监督检查或者提供虚假情况的。</w:t>
      </w:r>
      <w:r>
        <w:rPr>
          <w:rFonts w:ascii="宋体" w:hAnsi="宋体"/>
          <w:color w:val="auto"/>
          <w:sz w:val="24"/>
          <w:szCs w:val="20"/>
          <w:highlight w:val="none"/>
        </w:rPr>
        <w:t xml:space="preserve"> </w:t>
      </w:r>
    </w:p>
    <w:p>
      <w:pPr>
        <w:spacing w:line="360" w:lineRule="auto"/>
        <w:ind w:left="714" w:leftChars="1" w:hanging="712" w:hangingChars="297"/>
        <w:rPr>
          <w:rFonts w:ascii="宋体" w:cs="Arial Unicode MS"/>
          <w:color w:val="auto"/>
          <w:sz w:val="24"/>
          <w:highlight w:val="none"/>
        </w:rPr>
      </w:pPr>
      <w:r>
        <w:rPr>
          <w:rFonts w:hint="eastAsia" w:ascii="宋体" w:hAnsi="宋体"/>
          <w:color w:val="auto"/>
          <w:sz w:val="24"/>
          <w:szCs w:val="20"/>
          <w:highlight w:val="none"/>
        </w:rPr>
        <w:t>　　</w:t>
      </w:r>
      <w:r>
        <w:rPr>
          <w:rFonts w:ascii="宋体"/>
          <w:color w:val="auto"/>
          <w:sz w:val="24"/>
          <w:szCs w:val="20"/>
          <w:highlight w:val="none"/>
        </w:rPr>
        <w:tab/>
      </w:r>
      <w:r>
        <w:rPr>
          <w:rFonts w:hint="eastAsia" w:ascii="宋体" w:hAnsi="宋体"/>
          <w:color w:val="auto"/>
          <w:sz w:val="24"/>
          <w:szCs w:val="20"/>
          <w:highlight w:val="none"/>
        </w:rPr>
        <w:t>投标人有前款第（一）至（五）项情形之一的，中标无效。</w:t>
      </w:r>
      <w:r>
        <w:rPr>
          <w:rFonts w:ascii="宋体" w:hAnsi="宋体"/>
          <w:color w:val="auto"/>
          <w:sz w:val="24"/>
          <w:szCs w:val="20"/>
          <w:highlight w:val="none"/>
        </w:rPr>
        <w:t xml:space="preserve"> </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28.2</w:t>
      </w:r>
      <w:r>
        <w:rPr>
          <w:rFonts w:ascii="宋体" w:hAnsi="宋体"/>
          <w:color w:val="auto"/>
          <w:sz w:val="24"/>
          <w:szCs w:val="20"/>
          <w:highlight w:val="none"/>
        </w:rPr>
        <w:tab/>
      </w:r>
      <w:r>
        <w:rPr>
          <w:rFonts w:hint="eastAsia" w:ascii="宋体" w:hAnsi="宋体"/>
          <w:color w:val="auto"/>
          <w:sz w:val="24"/>
          <w:szCs w:val="20"/>
          <w:highlight w:val="none"/>
        </w:rPr>
        <w:t>中标人有下列情形之一的，招标人不予退还其交纳的投标保证金；情节严重的，由财政部门将其列入不良行为记录名单，在一至三年内禁止参加政府采购活动，并予以通报：</w:t>
      </w:r>
    </w:p>
    <w:p>
      <w:pPr>
        <w:spacing w:line="360" w:lineRule="auto"/>
        <w:ind w:left="714" w:leftChars="1" w:hanging="712" w:hangingChars="297"/>
        <w:rPr>
          <w:rFonts w:ascii="宋体" w:cs="Arial Unicode MS"/>
          <w:color w:val="auto"/>
          <w:sz w:val="24"/>
          <w:highlight w:val="none"/>
        </w:rPr>
      </w:pPr>
      <w:r>
        <w:rPr>
          <w:rFonts w:hint="eastAsia" w:ascii="宋体" w:hAnsi="宋体"/>
          <w:color w:val="auto"/>
          <w:sz w:val="24"/>
          <w:szCs w:val="20"/>
          <w:highlight w:val="none"/>
        </w:rPr>
        <w:t>　　</w:t>
      </w:r>
      <w:r>
        <w:rPr>
          <w:rFonts w:ascii="宋体"/>
          <w:color w:val="auto"/>
          <w:sz w:val="24"/>
          <w:szCs w:val="20"/>
          <w:highlight w:val="none"/>
        </w:rPr>
        <w:tab/>
      </w:r>
      <w:r>
        <w:rPr>
          <w:rFonts w:hint="eastAsia" w:ascii="宋体" w:hAnsi="宋体"/>
          <w:color w:val="auto"/>
          <w:sz w:val="24"/>
          <w:szCs w:val="20"/>
          <w:highlight w:val="none"/>
        </w:rPr>
        <w:t>（一）中标后无正当理由不与采购人签订合同的；</w:t>
      </w:r>
    </w:p>
    <w:p>
      <w:pPr>
        <w:spacing w:line="360" w:lineRule="auto"/>
        <w:ind w:left="714" w:leftChars="1" w:hanging="712" w:hangingChars="297"/>
        <w:rPr>
          <w:rFonts w:ascii="宋体" w:cs="Arial Unicode MS"/>
          <w:color w:val="auto"/>
          <w:sz w:val="24"/>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（二）将中标项目转让给他人，或者在投标文件中未说明，且未经招标人同意，将中标项目分包给他人的；</w:t>
      </w:r>
    </w:p>
    <w:p>
      <w:pPr>
        <w:spacing w:line="360" w:lineRule="auto"/>
        <w:ind w:left="714" w:leftChars="1" w:hanging="712" w:hangingChars="297"/>
        <w:rPr>
          <w:rFonts w:ascii="宋体"/>
          <w:color w:val="auto"/>
          <w:sz w:val="24"/>
          <w:szCs w:val="20"/>
          <w:highlight w:val="none"/>
        </w:rPr>
      </w:pPr>
      <w:r>
        <w:rPr>
          <w:rFonts w:ascii="宋体" w:hAnsi="宋体"/>
          <w:color w:val="auto"/>
          <w:sz w:val="24"/>
          <w:szCs w:val="20"/>
          <w:highlight w:val="none"/>
        </w:rPr>
        <w:t xml:space="preserve">    </w:t>
      </w:r>
      <w:r>
        <w:rPr>
          <w:rFonts w:ascii="宋体" w:hAnsi="宋体"/>
          <w:color w:val="auto"/>
          <w:sz w:val="24"/>
          <w:szCs w:val="20"/>
          <w:highlight w:val="none"/>
        </w:rPr>
        <w:tab/>
      </w:r>
      <w:r>
        <w:rPr>
          <w:rFonts w:hint="eastAsia" w:ascii="宋体" w:hAnsi="宋体"/>
          <w:color w:val="auto"/>
          <w:sz w:val="24"/>
          <w:szCs w:val="20"/>
          <w:highlight w:val="none"/>
        </w:rPr>
        <w:t>（三）拒绝履行合同义务的。</w:t>
      </w:r>
    </w:p>
    <w:p>
      <w:pPr>
        <w:spacing w:line="360" w:lineRule="auto"/>
        <w:jc w:val="center"/>
        <w:rPr>
          <w:rFonts w:ascii="宋体"/>
          <w:b/>
          <w:color w:val="auto"/>
          <w:sz w:val="24"/>
          <w:highlight w:val="none"/>
        </w:rPr>
      </w:pPr>
      <w:r>
        <w:rPr>
          <w:rFonts w:ascii="宋体" w:hAnsi="宋体"/>
          <w:b/>
          <w:color w:val="auto"/>
          <w:sz w:val="24"/>
          <w:highlight w:val="none"/>
        </w:rPr>
        <w:t xml:space="preserve">H   </w:t>
      </w:r>
      <w:r>
        <w:rPr>
          <w:rFonts w:hint="eastAsia" w:ascii="宋体" w:hAnsi="宋体"/>
          <w:b/>
          <w:color w:val="auto"/>
          <w:sz w:val="24"/>
          <w:highlight w:val="none"/>
        </w:rPr>
        <w:t>验收</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29</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货物验收</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29.1</w:t>
      </w:r>
      <w:r>
        <w:rPr>
          <w:rFonts w:ascii="宋体" w:hAnsi="宋体"/>
          <w:color w:val="auto"/>
          <w:sz w:val="24"/>
          <w:highlight w:val="none"/>
        </w:rPr>
        <w:tab/>
      </w:r>
      <w:r>
        <w:rPr>
          <w:rFonts w:hint="eastAsia" w:ascii="宋体" w:hAnsi="宋体"/>
          <w:color w:val="auto"/>
          <w:sz w:val="24"/>
          <w:highlight w:val="none"/>
        </w:rPr>
        <w:t>验收按本招标文件《采购合同》范本一般条款第七条的规定执行。</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29.2</w:t>
      </w:r>
      <w:r>
        <w:rPr>
          <w:rFonts w:ascii="宋体" w:hAnsi="宋体"/>
          <w:color w:val="auto"/>
          <w:sz w:val="24"/>
          <w:highlight w:val="none"/>
        </w:rPr>
        <w:tab/>
      </w:r>
      <w:r>
        <w:rPr>
          <w:rFonts w:hint="eastAsia" w:ascii="宋体" w:hAnsi="宋体"/>
          <w:color w:val="auto"/>
          <w:sz w:val="24"/>
          <w:highlight w:val="none"/>
        </w:rPr>
        <w:t>验收过程中，采购人将委托专业检测部门对货物本身的性能进行检测验收。</w:t>
      </w:r>
    </w:p>
    <w:p>
      <w:pPr>
        <w:spacing w:line="360" w:lineRule="auto"/>
        <w:ind w:left="714" w:leftChars="1" w:hanging="712" w:hangingChars="297"/>
        <w:rPr>
          <w:rFonts w:ascii="宋体"/>
          <w:color w:val="auto"/>
          <w:sz w:val="24"/>
          <w:highlight w:val="none"/>
        </w:rPr>
      </w:pPr>
      <w:r>
        <w:rPr>
          <w:rFonts w:ascii="宋体" w:hAnsi="宋体"/>
          <w:color w:val="auto"/>
          <w:sz w:val="24"/>
          <w:highlight w:val="none"/>
        </w:rPr>
        <w:t>29.3</w:t>
      </w:r>
      <w:r>
        <w:rPr>
          <w:rFonts w:ascii="宋体" w:hAnsi="宋体"/>
          <w:color w:val="auto"/>
          <w:sz w:val="24"/>
          <w:highlight w:val="none"/>
        </w:rPr>
        <w:tab/>
      </w:r>
      <w:r>
        <w:rPr>
          <w:rFonts w:hint="eastAsia" w:ascii="宋体" w:hAnsi="宋体"/>
          <w:color w:val="auto"/>
          <w:sz w:val="24"/>
          <w:highlight w:val="none"/>
        </w:rPr>
        <w:t>一次性验收合格的项目</w:t>
      </w:r>
      <w:r>
        <w:rPr>
          <w:rFonts w:ascii="宋体" w:hAnsi="宋体"/>
          <w:color w:val="auto"/>
          <w:sz w:val="24"/>
          <w:highlight w:val="none"/>
        </w:rPr>
        <w:t>(</w:t>
      </w:r>
      <w:r>
        <w:rPr>
          <w:rFonts w:hint="eastAsia" w:ascii="宋体" w:hAnsi="宋体"/>
          <w:color w:val="auto"/>
          <w:sz w:val="24"/>
          <w:highlight w:val="none"/>
        </w:rPr>
        <w:t>另有规定除外</w:t>
      </w:r>
      <w:r>
        <w:rPr>
          <w:rFonts w:ascii="宋体" w:hAnsi="宋体"/>
          <w:color w:val="auto"/>
          <w:sz w:val="24"/>
          <w:highlight w:val="none"/>
        </w:rPr>
        <w:t>)</w:t>
      </w:r>
      <w:r>
        <w:rPr>
          <w:rFonts w:hint="eastAsia" w:ascii="宋体" w:hAnsi="宋体"/>
          <w:color w:val="auto"/>
          <w:sz w:val="24"/>
          <w:highlight w:val="none"/>
        </w:rPr>
        <w:t>；因为验收不合格而影响《采购合同》的正常履行，由违约方承担违约责任。</w:t>
      </w:r>
    </w:p>
    <w:p>
      <w:pPr>
        <w:spacing w:line="360" w:lineRule="auto"/>
        <w:jc w:val="center"/>
        <w:rPr>
          <w:rFonts w:ascii="宋体"/>
          <w:b/>
          <w:color w:val="auto"/>
          <w:sz w:val="24"/>
          <w:highlight w:val="none"/>
        </w:rPr>
      </w:pPr>
      <w:r>
        <w:rPr>
          <w:rFonts w:ascii="宋体" w:hAnsi="宋体"/>
          <w:b/>
          <w:color w:val="auto"/>
          <w:sz w:val="24"/>
          <w:highlight w:val="none"/>
        </w:rPr>
        <w:t xml:space="preserve">I   </w:t>
      </w:r>
      <w:r>
        <w:rPr>
          <w:rFonts w:hint="eastAsia" w:ascii="宋体" w:hAnsi="宋体"/>
          <w:b/>
          <w:color w:val="auto"/>
          <w:sz w:val="24"/>
          <w:highlight w:val="none"/>
        </w:rPr>
        <w:t>质疑与投诉</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30</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质疑</w:t>
      </w:r>
    </w:p>
    <w:p>
      <w:pPr>
        <w:spacing w:line="448" w:lineRule="atLeast"/>
        <w:ind w:left="714" w:leftChars="1" w:hanging="712" w:hangingChars="297"/>
        <w:rPr>
          <w:rFonts w:ascii="宋体"/>
          <w:color w:val="auto"/>
          <w:sz w:val="24"/>
          <w:szCs w:val="20"/>
          <w:highlight w:val="none"/>
        </w:rPr>
      </w:pPr>
      <w:r>
        <w:rPr>
          <w:rFonts w:ascii="宋体" w:hAnsi="宋体"/>
          <w:color w:val="auto"/>
          <w:sz w:val="24"/>
          <w:szCs w:val="20"/>
          <w:highlight w:val="none"/>
        </w:rPr>
        <w:t>30.1</w:t>
      </w:r>
      <w:r>
        <w:rPr>
          <w:rFonts w:ascii="宋体" w:hAnsi="宋体"/>
          <w:color w:val="auto"/>
          <w:sz w:val="24"/>
          <w:szCs w:val="20"/>
          <w:highlight w:val="none"/>
        </w:rPr>
        <w:tab/>
      </w:r>
      <w:r>
        <w:rPr>
          <w:rFonts w:hint="eastAsia" w:ascii="宋体" w:hAnsi="宋体"/>
          <w:color w:val="auto"/>
          <w:sz w:val="24"/>
          <w:szCs w:val="20"/>
          <w:highlight w:val="none"/>
        </w:rPr>
        <w:t>投标供应商对中标公告有异议的，应当在中标公告发布之日起三个工作日内，以书面形式向招标人提出质疑，质疑书应列明理由、依据，加盖单位公章；</w:t>
      </w:r>
    </w:p>
    <w:p>
      <w:pPr>
        <w:spacing w:line="448" w:lineRule="atLeast"/>
        <w:ind w:left="714" w:leftChars="1" w:hanging="712" w:hangingChars="297"/>
        <w:rPr>
          <w:rFonts w:ascii="宋体"/>
          <w:color w:val="auto"/>
          <w:sz w:val="24"/>
          <w:szCs w:val="20"/>
          <w:highlight w:val="none"/>
        </w:rPr>
      </w:pPr>
      <w:r>
        <w:rPr>
          <w:rFonts w:ascii="宋体" w:hAnsi="宋体"/>
          <w:color w:val="auto"/>
          <w:sz w:val="24"/>
          <w:szCs w:val="20"/>
          <w:highlight w:val="none"/>
        </w:rPr>
        <w:t>30.2</w:t>
      </w:r>
      <w:r>
        <w:rPr>
          <w:rFonts w:ascii="宋体" w:hAnsi="宋体"/>
          <w:color w:val="auto"/>
          <w:sz w:val="24"/>
          <w:szCs w:val="20"/>
          <w:highlight w:val="none"/>
        </w:rPr>
        <w:tab/>
      </w:r>
      <w:r>
        <w:rPr>
          <w:rFonts w:hint="eastAsia" w:ascii="宋体" w:hAnsi="宋体"/>
          <w:color w:val="auto"/>
          <w:sz w:val="24"/>
          <w:szCs w:val="20"/>
          <w:highlight w:val="none"/>
        </w:rPr>
        <w:t>招标人应当在收到投标人书面质疑后七个工作日内，对质疑内容作出答复，但涉及商业秘密内容的除外；</w:t>
      </w:r>
    </w:p>
    <w:p>
      <w:pPr>
        <w:spacing w:line="448" w:lineRule="atLeast"/>
        <w:ind w:left="714" w:leftChars="1" w:hanging="712" w:hangingChars="297"/>
        <w:rPr>
          <w:rFonts w:ascii="宋体"/>
          <w:color w:val="auto"/>
          <w:sz w:val="24"/>
          <w:szCs w:val="20"/>
          <w:highlight w:val="none"/>
        </w:rPr>
      </w:pPr>
      <w:r>
        <w:rPr>
          <w:rFonts w:ascii="宋体" w:hAnsi="宋体"/>
          <w:color w:val="auto"/>
          <w:sz w:val="24"/>
          <w:szCs w:val="20"/>
          <w:highlight w:val="none"/>
        </w:rPr>
        <w:t>30.3</w:t>
      </w:r>
      <w:r>
        <w:rPr>
          <w:rFonts w:ascii="宋体" w:hAnsi="宋体"/>
          <w:color w:val="auto"/>
          <w:sz w:val="24"/>
          <w:szCs w:val="20"/>
          <w:highlight w:val="none"/>
        </w:rPr>
        <w:tab/>
      </w:r>
      <w:r>
        <w:rPr>
          <w:rFonts w:hint="eastAsia" w:ascii="宋体" w:hAnsi="宋体"/>
          <w:color w:val="auto"/>
          <w:sz w:val="24"/>
          <w:szCs w:val="20"/>
          <w:highlight w:val="none"/>
        </w:rPr>
        <w:t>投标人须对质疑内容的真实性承担责任。</w:t>
      </w:r>
    </w:p>
    <w:p>
      <w:pPr>
        <w:spacing w:line="360" w:lineRule="auto"/>
        <w:ind w:left="718" w:leftChars="1" w:hanging="716" w:hangingChars="297"/>
        <w:rPr>
          <w:rFonts w:ascii="宋体"/>
          <w:b/>
          <w:bCs/>
          <w:color w:val="auto"/>
          <w:sz w:val="24"/>
          <w:highlight w:val="none"/>
        </w:rPr>
      </w:pPr>
      <w:r>
        <w:rPr>
          <w:rFonts w:ascii="宋体" w:hAnsi="宋体"/>
          <w:b/>
          <w:bCs/>
          <w:color w:val="auto"/>
          <w:sz w:val="24"/>
          <w:highlight w:val="none"/>
        </w:rPr>
        <w:t>31</w:t>
      </w:r>
      <w:r>
        <w:rPr>
          <w:rFonts w:hint="eastAsia" w:ascii="宋体" w:hAnsi="宋体"/>
          <w:b/>
          <w:bCs/>
          <w:color w:val="auto"/>
          <w:sz w:val="24"/>
          <w:highlight w:val="none"/>
        </w:rPr>
        <w:t>．</w:t>
      </w:r>
      <w:r>
        <w:rPr>
          <w:rFonts w:ascii="宋体"/>
          <w:b/>
          <w:bCs/>
          <w:color w:val="auto"/>
          <w:sz w:val="24"/>
          <w:highlight w:val="none"/>
        </w:rPr>
        <w:tab/>
      </w:r>
      <w:r>
        <w:rPr>
          <w:rFonts w:hint="eastAsia" w:ascii="宋体" w:hAnsi="宋体"/>
          <w:b/>
          <w:bCs/>
          <w:color w:val="auto"/>
          <w:sz w:val="24"/>
          <w:highlight w:val="none"/>
        </w:rPr>
        <w:t>投诉</w:t>
      </w:r>
    </w:p>
    <w:p>
      <w:pPr>
        <w:spacing w:line="448" w:lineRule="atLeast"/>
        <w:ind w:left="714" w:leftChars="1" w:hanging="712" w:hangingChars="297"/>
        <w:rPr>
          <w:rFonts w:ascii="宋体" w:cs="Arial Unicode MS"/>
          <w:color w:val="auto"/>
          <w:sz w:val="24"/>
          <w:highlight w:val="none"/>
        </w:rPr>
      </w:pPr>
      <w:r>
        <w:rPr>
          <w:rFonts w:ascii="宋体" w:hAnsi="宋体"/>
          <w:color w:val="auto"/>
          <w:sz w:val="24"/>
          <w:szCs w:val="20"/>
          <w:highlight w:val="none"/>
        </w:rPr>
        <w:t>31.1</w:t>
      </w:r>
      <w:r>
        <w:rPr>
          <w:rFonts w:ascii="宋体" w:hAnsi="宋体"/>
          <w:color w:val="auto"/>
          <w:sz w:val="24"/>
          <w:szCs w:val="20"/>
          <w:highlight w:val="none"/>
        </w:rPr>
        <w:tab/>
      </w:r>
      <w:r>
        <w:rPr>
          <w:rFonts w:hint="eastAsia" w:ascii="宋体" w:hAnsi="宋体"/>
          <w:color w:val="auto"/>
          <w:sz w:val="24"/>
          <w:szCs w:val="20"/>
          <w:highlight w:val="none"/>
        </w:rPr>
        <w:t>质疑供应商对招标人的答复不满意或者招标人未在规定时间内答复的，可以在答复期满后十五个工作日内按有关规定，向同级人民政府财政部门投诉。财政部门应当在收到投诉后三十个工作日内，对投诉事项作出处理决定。</w:t>
      </w:r>
    </w:p>
    <w:p>
      <w:pPr>
        <w:spacing w:line="448" w:lineRule="atLeast"/>
        <w:ind w:left="714" w:leftChars="1" w:hanging="712" w:hangingChars="297"/>
        <w:rPr>
          <w:rFonts w:hint="eastAsia" w:ascii="宋体" w:hAnsi="宋体"/>
          <w:color w:val="auto"/>
          <w:sz w:val="24"/>
          <w:szCs w:val="20"/>
          <w:highlight w:val="none"/>
        </w:rPr>
      </w:pPr>
      <w:r>
        <w:rPr>
          <w:rFonts w:ascii="宋体" w:hAnsi="宋体"/>
          <w:color w:val="auto"/>
          <w:sz w:val="24"/>
          <w:szCs w:val="20"/>
          <w:highlight w:val="none"/>
        </w:rPr>
        <w:t>31.2</w:t>
      </w:r>
      <w:r>
        <w:rPr>
          <w:rFonts w:ascii="宋体" w:hAnsi="宋体"/>
          <w:color w:val="auto"/>
          <w:sz w:val="24"/>
          <w:szCs w:val="20"/>
          <w:highlight w:val="none"/>
        </w:rPr>
        <w:tab/>
      </w:r>
      <w:r>
        <w:rPr>
          <w:rFonts w:hint="eastAsia" w:ascii="宋体" w:hAnsi="宋体"/>
          <w:color w:val="auto"/>
          <w:sz w:val="24"/>
          <w:szCs w:val="20"/>
          <w:highlight w:val="none"/>
        </w:rPr>
        <w:t>处理投诉事项期间，财政部门可以视具体情况书面通知招标采购单位暂停签订合同等活动，但暂停时间最长不得超过三十日。</w:t>
      </w:r>
    </w:p>
    <w:p>
      <w:pPr>
        <w:spacing w:line="448" w:lineRule="atLeast"/>
        <w:ind w:left="714" w:leftChars="1" w:hanging="712" w:hangingChars="297"/>
        <w:rPr>
          <w:color w:val="auto"/>
          <w:highlight w:val="none"/>
        </w:rPr>
      </w:pPr>
      <w:r>
        <w:rPr>
          <w:rFonts w:hint="eastAsia" w:ascii="宋体" w:hAnsi="宋体"/>
          <w:color w:val="auto"/>
          <w:sz w:val="24"/>
          <w:szCs w:val="20"/>
          <w:highlight w:val="none"/>
        </w:rPr>
        <w:br w:type="page"/>
      </w:r>
    </w:p>
    <w:p>
      <w:pPr>
        <w:pStyle w:val="78"/>
        <w:pageBreakBefore w:val="0"/>
        <w:numPr>
          <w:ilvl w:val="0"/>
          <w:numId w:val="3"/>
        </w:numPr>
        <w:kinsoku/>
        <w:wordWrap/>
        <w:overflowPunct/>
        <w:topLinePunct w:val="0"/>
        <w:bidi w:val="0"/>
        <w:spacing w:line="360" w:lineRule="auto"/>
        <w:jc w:val="center"/>
        <w:textAlignment w:val="auto"/>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清单及说明</w:t>
      </w:r>
    </w:p>
    <w:p>
      <w:pPr>
        <w:pStyle w:val="78"/>
        <w:pageBreakBefore w:val="0"/>
        <w:numPr>
          <w:ilvl w:val="0"/>
          <w:numId w:val="0"/>
        </w:numPr>
        <w:kinsoku/>
        <w:wordWrap/>
        <w:overflowPunct/>
        <w:topLinePunct w:val="0"/>
        <w:bidi w:val="0"/>
        <w:spacing w:line="360" w:lineRule="auto"/>
        <w:jc w:val="both"/>
        <w:textAlignment w:val="auto"/>
        <w:rPr>
          <w:rFonts w:hint="eastAsia" w:ascii="宋体" w:hAnsi="宋体" w:cs="宋体"/>
          <w:b/>
          <w:bCs/>
          <w:color w:val="auto"/>
          <w:sz w:val="32"/>
          <w:szCs w:val="32"/>
          <w:highlight w:val="none"/>
          <w:lang w:val="en-US" w:eastAsia="zh-CN"/>
        </w:rPr>
      </w:pPr>
    </w:p>
    <w:tbl>
      <w:tblPr>
        <w:tblStyle w:val="31"/>
        <w:tblW w:w="7290" w:type="dxa"/>
        <w:jc w:val="center"/>
        <w:tblInd w:w="0" w:type="dxa"/>
        <w:shd w:val="clear" w:color="auto" w:fill="auto"/>
        <w:tblLayout w:type="fixed"/>
        <w:tblCellMar>
          <w:top w:w="0" w:type="dxa"/>
          <w:left w:w="0" w:type="dxa"/>
          <w:bottom w:w="0" w:type="dxa"/>
          <w:right w:w="0" w:type="dxa"/>
        </w:tblCellMar>
      </w:tblPr>
      <w:tblGrid>
        <w:gridCol w:w="900"/>
        <w:gridCol w:w="1080"/>
        <w:gridCol w:w="615"/>
        <w:gridCol w:w="1320"/>
        <w:gridCol w:w="1110"/>
        <w:gridCol w:w="1020"/>
        <w:gridCol w:w="1245"/>
      </w:tblGrid>
      <w:tr>
        <w:tblPrEx>
          <w:tblLayout w:type="fixed"/>
          <w:tblCellMar>
            <w:top w:w="0" w:type="dxa"/>
            <w:left w:w="0" w:type="dxa"/>
            <w:bottom w:w="0" w:type="dxa"/>
            <w:right w:w="0" w:type="dxa"/>
          </w:tblCellMar>
        </w:tblPrEx>
        <w:trPr>
          <w:trHeight w:val="435" w:hRule="atLeast"/>
          <w:jc w:val="center"/>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Tahoma" w:eastAsia="仿宋_GB2312" w:cs="仿宋_GB2312"/>
                <w:b/>
                <w:i w:val="0"/>
                <w:color w:val="000000"/>
                <w:sz w:val="20"/>
                <w:szCs w:val="20"/>
                <w:u w:val="none"/>
              </w:rPr>
            </w:pPr>
            <w:r>
              <w:rPr>
                <w:rFonts w:hint="eastAsia" w:ascii="仿宋_GB2312" w:hAnsi="Tahoma" w:eastAsia="仿宋_GB2312" w:cs="仿宋_GB2312"/>
                <w:b/>
                <w:i w:val="0"/>
                <w:color w:val="000000"/>
                <w:kern w:val="0"/>
                <w:sz w:val="20"/>
                <w:szCs w:val="20"/>
                <w:u w:val="none"/>
                <w:lang w:val="en-US" w:eastAsia="zh-CN" w:bidi="ar"/>
              </w:rPr>
              <w:t>包段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Tahoma" w:eastAsia="仿宋_GB2312" w:cs="仿宋_GB2312"/>
                <w:b/>
                <w:i w:val="0"/>
                <w:color w:val="000000"/>
                <w:sz w:val="20"/>
                <w:szCs w:val="20"/>
                <w:u w:val="none"/>
              </w:rPr>
            </w:pPr>
            <w:r>
              <w:rPr>
                <w:rFonts w:hint="eastAsia" w:ascii="仿宋_GB2312" w:hAnsi="Tahoma" w:eastAsia="仿宋_GB2312" w:cs="仿宋_GB2312"/>
                <w:b/>
                <w:i w:val="0"/>
                <w:color w:val="000000"/>
                <w:kern w:val="0"/>
                <w:sz w:val="20"/>
                <w:szCs w:val="20"/>
                <w:u w:val="none"/>
                <w:lang w:val="en-US" w:eastAsia="zh-CN" w:bidi="ar"/>
              </w:rPr>
              <w:t>原料</w:t>
            </w:r>
            <w:r>
              <w:rPr>
                <w:rFonts w:hint="eastAsia" w:ascii="仿宋_GB2312" w:hAnsi="Tahoma" w:eastAsia="仿宋_GB2312" w:cs="仿宋_GB2312"/>
                <w:b/>
                <w:i w:val="0"/>
                <w:color w:val="000000"/>
                <w:kern w:val="0"/>
                <w:sz w:val="20"/>
                <w:szCs w:val="20"/>
                <w:u w:val="none"/>
                <w:lang w:val="en-US" w:eastAsia="zh-CN" w:bidi="ar"/>
              </w:rPr>
              <w:br w:type="textWrapping"/>
            </w:r>
            <w:r>
              <w:rPr>
                <w:rFonts w:hint="eastAsia" w:ascii="仿宋_GB2312" w:hAnsi="Tahoma" w:eastAsia="仿宋_GB2312" w:cs="仿宋_GB2312"/>
                <w:b/>
                <w:i w:val="0"/>
                <w:color w:val="000000"/>
                <w:kern w:val="0"/>
                <w:sz w:val="20"/>
                <w:szCs w:val="20"/>
                <w:u w:val="none"/>
                <w:lang w:val="en-US" w:eastAsia="zh-CN" w:bidi="ar"/>
              </w:rPr>
              <w:t>名称</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Tahoma" w:eastAsia="仿宋_GB2312" w:cs="仿宋_GB2312"/>
                <w:b/>
                <w:i w:val="0"/>
                <w:color w:val="000000"/>
                <w:sz w:val="20"/>
                <w:szCs w:val="20"/>
                <w:u w:val="none"/>
              </w:rPr>
            </w:pPr>
            <w:r>
              <w:rPr>
                <w:rFonts w:hint="eastAsia" w:ascii="仿宋_GB2312" w:hAnsi="Tahoma" w:eastAsia="仿宋_GB2312" w:cs="仿宋_GB2312"/>
                <w:b/>
                <w:i w:val="0"/>
                <w:color w:val="000000"/>
                <w:kern w:val="0"/>
                <w:sz w:val="20"/>
                <w:szCs w:val="20"/>
                <w:u w:val="none"/>
                <w:lang w:val="en-US" w:eastAsia="zh-CN" w:bidi="ar"/>
              </w:rPr>
              <w:t>单位</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Tahoma" w:eastAsia="仿宋_GB2312" w:cs="仿宋_GB2312"/>
                <w:b/>
                <w:i w:val="0"/>
                <w:color w:val="000000"/>
                <w:sz w:val="20"/>
                <w:szCs w:val="20"/>
                <w:u w:val="none"/>
              </w:rPr>
            </w:pPr>
            <w:r>
              <w:rPr>
                <w:rFonts w:hint="eastAsia" w:ascii="仿宋_GB2312" w:hAnsi="Tahoma" w:eastAsia="仿宋_GB2312" w:cs="仿宋_GB2312"/>
                <w:b/>
                <w:i w:val="0"/>
                <w:color w:val="000000"/>
                <w:kern w:val="0"/>
                <w:sz w:val="20"/>
                <w:szCs w:val="20"/>
                <w:u w:val="none"/>
                <w:lang w:val="en-US" w:eastAsia="zh-CN" w:bidi="ar"/>
              </w:rPr>
              <w:t>规格</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Tahoma" w:eastAsia="仿宋_GB2312" w:cs="仿宋_GB2312"/>
                <w:b/>
                <w:i w:val="0"/>
                <w:color w:val="000000"/>
                <w:sz w:val="20"/>
                <w:szCs w:val="20"/>
                <w:u w:val="none"/>
              </w:rPr>
            </w:pPr>
            <w:r>
              <w:rPr>
                <w:rFonts w:hint="eastAsia" w:ascii="仿宋_GB2312" w:hAnsi="Tahoma" w:eastAsia="仿宋_GB2312" w:cs="仿宋_GB2312"/>
                <w:b/>
                <w:i w:val="0"/>
                <w:color w:val="000000"/>
                <w:kern w:val="0"/>
                <w:sz w:val="20"/>
                <w:szCs w:val="20"/>
                <w:u w:val="none"/>
                <w:lang w:val="en-US" w:eastAsia="zh-CN" w:bidi="ar"/>
              </w:rPr>
              <w:t>用量</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Tahoma" w:eastAsia="仿宋_GB2312" w:cs="仿宋_GB2312"/>
                <w:b/>
                <w:i w:val="0"/>
                <w:color w:val="000000"/>
                <w:sz w:val="20"/>
                <w:szCs w:val="20"/>
                <w:u w:val="none"/>
              </w:rPr>
            </w:pPr>
            <w:r>
              <w:rPr>
                <w:rFonts w:hint="eastAsia" w:ascii="仿宋_GB2312" w:hAnsi="Tahoma" w:eastAsia="仿宋_GB2312" w:cs="仿宋_GB2312"/>
                <w:b/>
                <w:i w:val="0"/>
                <w:color w:val="000000"/>
                <w:kern w:val="0"/>
                <w:sz w:val="20"/>
                <w:szCs w:val="20"/>
                <w:u w:val="none"/>
                <w:lang w:val="en-US" w:eastAsia="zh-CN" w:bidi="ar"/>
              </w:rPr>
              <w:t>预算单价（元）</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Tahoma" w:eastAsia="仿宋_GB2312" w:cs="仿宋_GB2312"/>
                <w:b/>
                <w:i w:val="0"/>
                <w:color w:val="000000"/>
                <w:sz w:val="20"/>
                <w:szCs w:val="20"/>
                <w:u w:val="none"/>
              </w:rPr>
            </w:pPr>
            <w:r>
              <w:rPr>
                <w:rFonts w:hint="eastAsia" w:ascii="仿宋_GB2312" w:hAnsi="Tahoma" w:eastAsia="仿宋_GB2312" w:cs="仿宋_GB2312"/>
                <w:b/>
                <w:i w:val="0"/>
                <w:color w:val="000000"/>
                <w:kern w:val="0"/>
                <w:sz w:val="20"/>
                <w:szCs w:val="20"/>
                <w:u w:val="none"/>
                <w:lang w:val="en-US" w:eastAsia="zh-CN" w:bidi="ar"/>
              </w:rPr>
              <w:t>预算金额（万元）</w:t>
            </w:r>
          </w:p>
        </w:tc>
      </w:tr>
      <w:tr>
        <w:tblPrEx>
          <w:tblLayout w:type="fixed"/>
          <w:tblCellMar>
            <w:top w:w="0" w:type="dxa"/>
            <w:left w:w="0" w:type="dxa"/>
            <w:bottom w:w="0" w:type="dxa"/>
            <w:right w:w="0" w:type="dxa"/>
          </w:tblCellMar>
        </w:tblPrEx>
        <w:trPr>
          <w:trHeight w:val="312"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Tahoma" w:eastAsia="仿宋_GB2312" w:cs="仿宋_GB2312"/>
                <w:b/>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Tahoma" w:eastAsia="仿宋_GB2312" w:cs="仿宋_GB2312"/>
                <w:b/>
                <w:i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Tahoma" w:eastAsia="仿宋_GB2312" w:cs="仿宋_GB2312"/>
                <w:b/>
                <w:i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Tahoma" w:eastAsia="仿宋_GB2312" w:cs="仿宋_GB2312"/>
                <w:b/>
                <w:i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Tahoma" w:eastAsia="仿宋_GB2312" w:cs="仿宋_GB2312"/>
                <w:b/>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Tahoma" w:eastAsia="仿宋_GB2312" w:cs="仿宋_GB2312"/>
                <w:b/>
                <w:i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Tahoma" w:eastAsia="仿宋_GB2312" w:cs="仿宋_GB2312"/>
                <w:b/>
                <w:i w:val="0"/>
                <w:color w:val="000000"/>
                <w:sz w:val="20"/>
                <w:szCs w:val="20"/>
                <w:u w:val="none"/>
              </w:rPr>
            </w:pPr>
          </w:p>
        </w:tc>
      </w:tr>
      <w:tr>
        <w:tblPrEx>
          <w:tblLayout w:type="fixed"/>
          <w:tblCellMar>
            <w:top w:w="0" w:type="dxa"/>
            <w:left w:w="0" w:type="dxa"/>
            <w:bottom w:w="0" w:type="dxa"/>
            <w:right w:w="0" w:type="dxa"/>
          </w:tblCellMar>
        </w:tblPrEx>
        <w:trPr>
          <w:trHeight w:val="102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0"/>
                <w:szCs w:val="20"/>
                <w:u w:val="none"/>
              </w:rPr>
            </w:pPr>
            <w:r>
              <w:rPr>
                <w:rFonts w:hint="eastAsia" w:ascii="仿宋_GB2312" w:hAnsi="Tahoma" w:eastAsia="仿宋_GB2312" w:cs="仿宋_GB2312"/>
                <w:i w:val="0"/>
                <w:color w:val="000000"/>
                <w:kern w:val="0"/>
                <w:sz w:val="20"/>
                <w:szCs w:val="20"/>
                <w:u w:val="none"/>
                <w:lang w:val="en-US" w:eastAsia="zh-CN" w:bidi="ar"/>
              </w:rPr>
              <w:t>包二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0"/>
                <w:szCs w:val="20"/>
                <w:u w:val="none"/>
              </w:rPr>
            </w:pPr>
            <w:r>
              <w:rPr>
                <w:rFonts w:hint="eastAsia" w:ascii="仿宋_GB2312" w:hAnsi="Tahoma" w:eastAsia="仿宋_GB2312" w:cs="仿宋_GB2312"/>
                <w:i w:val="0"/>
                <w:color w:val="000000"/>
                <w:kern w:val="0"/>
                <w:sz w:val="20"/>
                <w:szCs w:val="20"/>
                <w:u w:val="none"/>
                <w:lang w:val="en-US" w:eastAsia="zh-CN" w:bidi="ar"/>
              </w:rPr>
              <w:t>学生奶</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0"/>
                <w:szCs w:val="20"/>
                <w:u w:val="none"/>
              </w:rPr>
            </w:pPr>
            <w:r>
              <w:rPr>
                <w:rFonts w:hint="eastAsia" w:ascii="仿宋_GB2312" w:hAnsi="Tahoma" w:eastAsia="仿宋_GB2312" w:cs="仿宋_GB2312"/>
                <w:i w:val="0"/>
                <w:color w:val="000000"/>
                <w:kern w:val="0"/>
                <w:sz w:val="20"/>
                <w:szCs w:val="20"/>
                <w:u w:val="none"/>
                <w:lang w:val="en-US" w:eastAsia="zh-CN" w:bidi="ar"/>
              </w:rPr>
              <w:t>盒</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Tahoma" w:eastAsia="仿宋_GB2312" w:cs="仿宋_GB2312"/>
                <w:i w:val="0"/>
                <w:color w:val="000000"/>
                <w:kern w:val="0"/>
                <w:sz w:val="20"/>
                <w:szCs w:val="20"/>
                <w:u w:val="none"/>
                <w:lang w:val="en-US" w:eastAsia="zh-CN" w:bidi="ar"/>
              </w:rPr>
            </w:pPr>
            <w:r>
              <w:rPr>
                <w:rFonts w:hint="eastAsia" w:ascii="仿宋_GB2312" w:hAnsi="Tahoma" w:eastAsia="仿宋_GB2312" w:cs="仿宋_GB2312"/>
                <w:i w:val="0"/>
                <w:color w:val="000000"/>
                <w:kern w:val="0"/>
                <w:sz w:val="20"/>
                <w:szCs w:val="20"/>
                <w:u w:val="none"/>
                <w:lang w:val="en-US" w:eastAsia="zh-CN" w:bidi="ar"/>
              </w:rPr>
              <w:t>大于200ml/盒</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Tahoma"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4372160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Tahoma"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Tahoma" w:eastAsia="仿宋_GB2312" w:cs="仿宋_GB2312"/>
                <w:i w:val="0"/>
                <w:color w:val="000000"/>
                <w:sz w:val="20"/>
                <w:szCs w:val="20"/>
                <w:u w:val="none"/>
                <w:lang w:val="en-US" w:eastAsia="zh-CN"/>
              </w:rPr>
            </w:pPr>
            <w:r>
              <w:rPr>
                <w:rFonts w:hint="eastAsia" w:ascii="仿宋_GB2312" w:hAnsi="宋体" w:eastAsia="仿宋_GB2312" w:cs="仿宋_GB2312"/>
                <w:i w:val="0"/>
                <w:color w:val="000000"/>
                <w:kern w:val="0"/>
                <w:sz w:val="20"/>
                <w:szCs w:val="20"/>
                <w:u w:val="none"/>
                <w:lang w:val="en-US" w:eastAsia="zh-CN" w:bidi="ar"/>
              </w:rPr>
              <w:t>874.43</w:t>
            </w:r>
          </w:p>
        </w:tc>
      </w:tr>
    </w:tbl>
    <w:p>
      <w:pPr>
        <w:pStyle w:val="23"/>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jc w:val="left"/>
        <w:textAlignment w:val="auto"/>
        <w:rPr>
          <w:rFonts w:hint="eastAsia" w:cs="Times New Roman"/>
          <w:b/>
          <w:bCs/>
          <w:color w:val="auto"/>
          <w:kern w:val="2"/>
          <w:sz w:val="24"/>
          <w:szCs w:val="20"/>
          <w:highlight w:val="none"/>
          <w:lang w:val="en-US" w:eastAsia="zh-CN" w:bidi="ar-SA"/>
        </w:rPr>
      </w:pPr>
    </w:p>
    <w:p>
      <w:pPr>
        <w:pStyle w:val="23"/>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jc w:val="left"/>
        <w:textAlignment w:val="auto"/>
        <w:rPr>
          <w:rFonts w:hint="eastAsia" w:ascii="宋体" w:hAnsi="宋体" w:eastAsia="宋体" w:cs="Times New Roman"/>
          <w:color w:val="auto"/>
          <w:kern w:val="2"/>
          <w:sz w:val="24"/>
          <w:szCs w:val="20"/>
          <w:highlight w:val="none"/>
          <w:lang w:val="en-US" w:eastAsia="zh-CN" w:bidi="ar-SA"/>
        </w:rPr>
      </w:pPr>
      <w:r>
        <w:rPr>
          <w:rFonts w:hint="eastAsia" w:cs="Times New Roman"/>
          <w:b/>
          <w:bCs/>
          <w:color w:val="auto"/>
          <w:kern w:val="2"/>
          <w:sz w:val="24"/>
          <w:szCs w:val="20"/>
          <w:highlight w:val="none"/>
          <w:lang w:val="en-US" w:eastAsia="zh-CN" w:bidi="ar-SA"/>
        </w:rPr>
        <w:t>学生奶</w:t>
      </w:r>
      <w:r>
        <w:rPr>
          <w:rFonts w:hint="eastAsia" w:ascii="宋体" w:hAnsi="宋体" w:eastAsia="宋体" w:cs="Times New Roman"/>
          <w:b/>
          <w:bCs/>
          <w:color w:val="auto"/>
          <w:kern w:val="2"/>
          <w:sz w:val="24"/>
          <w:szCs w:val="20"/>
          <w:highlight w:val="none"/>
          <w:lang w:val="en-US" w:eastAsia="zh-CN" w:bidi="ar-SA"/>
        </w:rPr>
        <w:t>规格</w:t>
      </w:r>
      <w:r>
        <w:rPr>
          <w:rFonts w:hint="eastAsia" w:ascii="宋体" w:hAnsi="宋体" w:eastAsia="宋体" w:cs="Times New Roman"/>
          <w:color w:val="auto"/>
          <w:kern w:val="2"/>
          <w:sz w:val="24"/>
          <w:szCs w:val="20"/>
          <w:highlight w:val="none"/>
          <w:lang w:val="en-US" w:eastAsia="zh-CN" w:bidi="ar-SA"/>
        </w:rPr>
        <w:t>：不小于200ml/盒，要求正规生产厂家统一采用无菌砖包装，包装无损坏、过期、味道正常、饮用时无异物，且</w:t>
      </w:r>
      <w:r>
        <w:rPr>
          <w:rFonts w:hint="eastAsia" w:cs="Times New Roman"/>
          <w:color w:val="auto"/>
          <w:kern w:val="2"/>
          <w:sz w:val="24"/>
          <w:szCs w:val="20"/>
          <w:highlight w:val="none"/>
          <w:lang w:val="en-US" w:eastAsia="zh-CN" w:bidi="ar-SA"/>
        </w:rPr>
        <w:t>学生奶</w:t>
      </w:r>
      <w:r>
        <w:rPr>
          <w:rFonts w:hint="eastAsia" w:ascii="宋体" w:hAnsi="宋体" w:eastAsia="宋体" w:cs="Times New Roman"/>
          <w:color w:val="auto"/>
          <w:kern w:val="2"/>
          <w:sz w:val="24"/>
          <w:szCs w:val="20"/>
          <w:highlight w:val="none"/>
          <w:lang w:val="en-US" w:eastAsia="zh-CN" w:bidi="ar-SA"/>
        </w:rPr>
        <w:t>的食品添加剂的使用应符合GB 2760的规定且符合相应的安全标准，是由纸、铝、塑组成的七层复合包装，保质期≥60天；脂肪（g/100g）≥3.6g；蛋白质（g/100g）≥3.2g；非脂乳固体≥8.5%；符合GB25190相关规定。</w:t>
      </w:r>
    </w:p>
    <w:p>
      <w:pPr>
        <w:spacing w:line="360" w:lineRule="auto"/>
        <w:rPr>
          <w:rFonts w:hint="eastAsia" w:ascii="宋体" w:hAnsi="宋体"/>
          <w:color w:val="FF0000"/>
          <w:sz w:val="24"/>
          <w:highlight w:val="none"/>
          <w:lang w:val="en-US" w:eastAsia="zh-CN"/>
        </w:rPr>
      </w:pPr>
    </w:p>
    <w:p>
      <w:pPr>
        <w:spacing w:line="360" w:lineRule="auto"/>
        <w:rPr>
          <w:rFonts w:asci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lang w:eastAsia="zh-CN"/>
          <w14:textFill>
            <w14:solidFill>
              <w14:schemeClr w14:val="tx1"/>
            </w14:solidFill>
          </w14:textFill>
        </w:rPr>
        <w:t>质</w:t>
      </w:r>
      <w:r>
        <w:rPr>
          <w:rFonts w:hint="eastAsia" w:ascii="宋体" w:hAnsi="宋体"/>
          <w:b/>
          <w:color w:val="000000" w:themeColor="text1"/>
          <w:kern w:val="0"/>
          <w:sz w:val="24"/>
          <w:highlight w:val="none"/>
          <w14:textFill>
            <w14:solidFill>
              <w14:schemeClr w14:val="tx1"/>
            </w14:solidFill>
          </w14:textFill>
        </w:rPr>
        <w:t>保服务要求</w:t>
      </w:r>
    </w:p>
    <w:p>
      <w:pPr>
        <w:spacing w:line="448" w:lineRule="atLeast"/>
        <w:rPr>
          <w:rFonts w:hint="eastAsia" w:ascii="宋体" w:hAnsi="宋体"/>
          <w:color w:val="auto"/>
          <w:sz w:val="24"/>
          <w:szCs w:val="20"/>
          <w:highlight w:val="none"/>
        </w:rPr>
      </w:pPr>
      <w:r>
        <w:rPr>
          <w:rFonts w:hint="eastAsia" w:ascii="宋体" w:hAnsi="宋体"/>
          <w:color w:val="auto"/>
          <w:sz w:val="24"/>
          <w:szCs w:val="20"/>
          <w:highlight w:val="none"/>
          <w:lang w:val="en-US" w:eastAsia="zh-CN"/>
        </w:rPr>
        <w:t>1、</w:t>
      </w:r>
      <w:r>
        <w:rPr>
          <w:rFonts w:hint="eastAsia" w:ascii="宋体" w:hAnsi="宋体"/>
          <w:color w:val="auto"/>
          <w:sz w:val="24"/>
          <w:szCs w:val="20"/>
          <w:highlight w:val="none"/>
        </w:rPr>
        <w:t>配送地点为</w:t>
      </w:r>
      <w:r>
        <w:rPr>
          <w:rFonts w:hint="eastAsia" w:ascii="宋体" w:hAnsi="宋体"/>
          <w:color w:val="auto"/>
          <w:sz w:val="24"/>
          <w:szCs w:val="20"/>
          <w:highlight w:val="none"/>
          <w:lang w:val="en-US" w:eastAsia="zh-CN"/>
        </w:rPr>
        <w:t>各级各类学校</w:t>
      </w:r>
      <w:r>
        <w:rPr>
          <w:rFonts w:hint="eastAsia" w:ascii="宋体" w:hAnsi="宋体"/>
          <w:color w:val="auto"/>
          <w:sz w:val="24"/>
          <w:szCs w:val="20"/>
          <w:highlight w:val="none"/>
        </w:rPr>
        <w:t>，具体学校名单及配送数量，</w:t>
      </w:r>
      <w:r>
        <w:rPr>
          <w:rFonts w:hint="eastAsia" w:ascii="宋体" w:hAnsi="宋体"/>
          <w:color w:val="auto"/>
          <w:sz w:val="24"/>
          <w:szCs w:val="20"/>
          <w:highlight w:val="none"/>
          <w:lang w:val="en-US" w:eastAsia="zh-CN"/>
        </w:rPr>
        <w:t>由学校根据带量菜谱及就餐学生人数确定。</w:t>
      </w:r>
    </w:p>
    <w:p>
      <w:pPr>
        <w:spacing w:line="448" w:lineRule="atLeast"/>
        <w:ind w:left="714" w:leftChars="1" w:hanging="712" w:hangingChars="297"/>
        <w:rPr>
          <w:rFonts w:hint="eastAsia" w:ascii="宋体" w:hAnsi="宋体"/>
          <w:color w:val="auto"/>
          <w:sz w:val="24"/>
          <w:szCs w:val="20"/>
          <w:highlight w:val="none"/>
          <w:lang w:val="en-US" w:eastAsia="zh-CN"/>
        </w:rPr>
      </w:pPr>
      <w:r>
        <w:rPr>
          <w:rFonts w:hint="eastAsia" w:ascii="宋体" w:hAnsi="宋体"/>
          <w:color w:val="auto"/>
          <w:sz w:val="24"/>
          <w:szCs w:val="20"/>
          <w:highlight w:val="none"/>
          <w:lang w:val="en-US" w:eastAsia="zh-CN"/>
        </w:rPr>
        <w:t>2、学生奶提前一天按照所需用量配送到学校食堂。</w:t>
      </w:r>
    </w:p>
    <w:p>
      <w:pPr>
        <w:spacing w:line="448" w:lineRule="atLeast"/>
        <w:jc w:val="left"/>
        <w:rPr>
          <w:rFonts w:hint="eastAsia" w:ascii="宋体" w:hAnsi="宋体"/>
          <w:color w:val="auto"/>
          <w:sz w:val="24"/>
          <w:szCs w:val="20"/>
          <w:highlight w:val="none"/>
          <w:lang w:val="en-US" w:eastAsia="zh-CN"/>
        </w:rPr>
      </w:pPr>
      <w:r>
        <w:rPr>
          <w:rFonts w:hint="eastAsia" w:ascii="宋体" w:hAnsi="宋体"/>
          <w:color w:val="auto"/>
          <w:sz w:val="24"/>
          <w:szCs w:val="20"/>
          <w:highlight w:val="none"/>
          <w:lang w:val="en-US" w:eastAsia="zh-CN"/>
        </w:rPr>
        <w:t>3、每学期对所有招标食材组织一次师生满意度问卷调查，满意度低于50%的，甲方有权进行处罚，或者直接终止合同。</w:t>
      </w:r>
    </w:p>
    <w:p>
      <w:pPr>
        <w:spacing w:line="520" w:lineRule="exact"/>
        <w:rPr>
          <w:rFonts w:hint="eastAsia" w:ascii="宋体" w:hAnsi="宋体"/>
          <w:color w:val="000000" w:themeColor="text1"/>
          <w:kern w:val="0"/>
          <w:sz w:val="24"/>
          <w:highlight w:val="none"/>
          <w:lang w:val="en-US" w:eastAsia="zh-CN"/>
          <w14:textFill>
            <w14:gradFill>
              <w14:gsLst>
                <w14:gs w14:pos="0">
                  <w14:srgbClr w14:val="14CD68"/>
                </w14:gs>
                <w14:gs w14:pos="100000">
                  <w14:srgbClr w14:val="0B6E38"/>
                </w14:gs>
              </w14:gsLst>
              <w14:lin w14:scaled="0"/>
            </w14:gradFill>
          </w14:textFill>
        </w:rPr>
      </w:pPr>
      <w:r>
        <w:rPr>
          <w:rFonts w:hint="eastAsia" w:ascii="宋体" w:hAnsi="宋体"/>
          <w:color w:val="000000" w:themeColor="text1"/>
          <w:kern w:val="0"/>
          <w:sz w:val="24"/>
          <w:highlight w:val="none"/>
          <w:lang w:val="en-US" w:eastAsia="zh-CN"/>
          <w14:textFill>
            <w14:solidFill>
              <w14:schemeClr w14:val="tx1"/>
            </w14:solidFill>
          </w14:textFill>
        </w:rPr>
        <w:t>4、</w:t>
      </w:r>
      <w:r>
        <w:rPr>
          <w:rFonts w:hint="eastAsia" w:ascii="宋体" w:hAnsi="宋体"/>
          <w:color w:val="000000" w:themeColor="text1"/>
          <w:kern w:val="0"/>
          <w:sz w:val="24"/>
          <w:highlight w:val="none"/>
          <w14:textFill>
            <w14:solidFill>
              <w14:schemeClr w14:val="tx1"/>
            </w14:solidFill>
          </w14:textFill>
        </w:rPr>
        <w:t>服务时间承诺：</w:t>
      </w:r>
      <w:r>
        <w:rPr>
          <w:rFonts w:hint="eastAsia" w:ascii="宋体" w:hAnsi="宋体"/>
          <w:color w:val="auto"/>
          <w:sz w:val="24"/>
          <w:szCs w:val="20"/>
          <w:highlight w:val="none"/>
          <w:lang w:val="en-US" w:eastAsia="zh-CN"/>
        </w:rPr>
        <w:t>出现质量问题必须无条件退换</w:t>
      </w:r>
      <w:r>
        <w:rPr>
          <w:rFonts w:hint="eastAsia" w:ascii="宋体" w:hAnsi="宋体"/>
          <w:color w:val="000000" w:themeColor="text1"/>
          <w:kern w:val="0"/>
          <w:sz w:val="24"/>
          <w:highlight w:val="none"/>
          <w:lang w:val="en-US" w:eastAsia="zh-CN"/>
          <w14:textFill>
            <w14:gradFill>
              <w14:gsLst>
                <w14:gs w14:pos="0">
                  <w14:srgbClr w14:val="14CD68"/>
                </w14:gs>
                <w14:gs w14:pos="100000">
                  <w14:srgbClr w14:val="0B6E38"/>
                </w14:gs>
              </w14:gsLst>
              <w14:lin w14:scaled="0"/>
            </w14:gradFill>
          </w14:textFill>
        </w:rPr>
        <w:t>。</w:t>
      </w:r>
    </w:p>
    <w:p>
      <w:pPr>
        <w:spacing w:line="360" w:lineRule="auto"/>
        <w:rPr>
          <w:rFonts w:hint="eastAsia" w:ascii="宋体" w:hAnsi="宋体" w:eastAsia="宋体" w:cs="Times New Roman"/>
          <w:color w:val="auto"/>
          <w:kern w:val="2"/>
          <w:sz w:val="24"/>
          <w:szCs w:val="20"/>
          <w:highlight w:val="none"/>
          <w:lang w:val="en-US" w:eastAsia="zh-CN" w:bidi="ar-SA"/>
        </w:rPr>
      </w:pPr>
      <w:r>
        <w:rPr>
          <w:rFonts w:hint="eastAsia" w:ascii="宋体" w:hAnsi="宋体" w:cs="Times New Roman"/>
          <w:color w:val="auto"/>
          <w:kern w:val="2"/>
          <w:sz w:val="24"/>
          <w:szCs w:val="20"/>
          <w:highlight w:val="none"/>
          <w:lang w:val="en-US" w:eastAsia="zh-CN" w:bidi="ar-SA"/>
        </w:rPr>
        <w:t>5、</w:t>
      </w:r>
      <w:r>
        <w:rPr>
          <w:rFonts w:hint="eastAsia" w:ascii="宋体" w:hAnsi="宋体" w:eastAsia="宋体" w:cs="Times New Roman"/>
          <w:color w:val="auto"/>
          <w:kern w:val="2"/>
          <w:sz w:val="24"/>
          <w:szCs w:val="20"/>
          <w:highlight w:val="none"/>
          <w:lang w:val="en-US" w:eastAsia="zh-CN" w:bidi="ar-SA"/>
        </w:rPr>
        <w:t>采购的预包装产品必须为正规厂家生产的，拥有必要相关资格。</w:t>
      </w:r>
    </w:p>
    <w:p>
      <w:pPr>
        <w:spacing w:line="360" w:lineRule="auto"/>
        <w:rPr>
          <w:rFonts w:hint="eastAsia" w:ascii="宋体" w:hAnsi="宋体" w:eastAsia="宋体" w:cs="Times New Roman"/>
          <w:color w:val="auto"/>
          <w:kern w:val="2"/>
          <w:sz w:val="24"/>
          <w:szCs w:val="20"/>
          <w:highlight w:val="none"/>
          <w:lang w:val="en-US" w:eastAsia="zh-CN" w:bidi="ar-SA"/>
        </w:rPr>
      </w:pPr>
      <w:r>
        <w:rPr>
          <w:rFonts w:hint="eastAsia" w:ascii="宋体" w:hAnsi="宋体" w:cs="Times New Roman"/>
          <w:color w:val="auto"/>
          <w:kern w:val="2"/>
          <w:sz w:val="24"/>
          <w:szCs w:val="20"/>
          <w:highlight w:val="none"/>
          <w:lang w:val="en-US" w:eastAsia="zh-CN" w:bidi="ar-SA"/>
        </w:rPr>
        <w:t>6、</w:t>
      </w:r>
      <w:r>
        <w:rPr>
          <w:rFonts w:hint="eastAsia" w:ascii="宋体" w:hAnsi="宋体" w:eastAsia="宋体" w:cs="Times New Roman"/>
          <w:color w:val="auto"/>
          <w:kern w:val="2"/>
          <w:sz w:val="24"/>
          <w:szCs w:val="20"/>
          <w:highlight w:val="none"/>
          <w:lang w:val="en-US" w:eastAsia="zh-CN" w:bidi="ar-SA"/>
        </w:rPr>
        <w:t>产品在包装中不得违规使用标识、标签，若发现违规使用标识标签后将予以废标。</w:t>
      </w:r>
    </w:p>
    <w:p>
      <w:pPr>
        <w:spacing w:line="360" w:lineRule="auto"/>
        <w:rPr>
          <w:rFonts w:hint="eastAsia" w:ascii="宋体" w:hAnsi="宋体" w:eastAsia="宋体" w:cs="Times New Roman"/>
          <w:b/>
          <w:bCs/>
          <w:color w:val="auto"/>
          <w:kern w:val="2"/>
          <w:sz w:val="24"/>
          <w:szCs w:val="20"/>
          <w:highlight w:val="none"/>
          <w:lang w:val="en-US" w:eastAsia="zh-CN" w:bidi="ar-SA"/>
        </w:rPr>
      </w:pPr>
      <w:r>
        <w:rPr>
          <w:rFonts w:hint="eastAsia" w:ascii="宋体" w:hAnsi="宋体" w:eastAsia="宋体" w:cs="Times New Roman"/>
          <w:b/>
          <w:bCs/>
          <w:color w:val="auto"/>
          <w:kern w:val="2"/>
          <w:sz w:val="24"/>
          <w:szCs w:val="20"/>
          <w:highlight w:val="none"/>
          <w:lang w:val="en-US" w:eastAsia="zh-CN" w:bidi="ar-SA"/>
        </w:rPr>
        <w:t>注：</w:t>
      </w:r>
    </w:p>
    <w:p>
      <w:pPr>
        <w:spacing w:line="360" w:lineRule="auto"/>
        <w:rPr>
          <w:rFonts w:hint="eastAsia" w:ascii="宋体" w:hAnsi="宋体"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1、运输车辆为厢式冷藏货车或厢式货车；</w:t>
      </w:r>
    </w:p>
    <w:p>
      <w:pPr>
        <w:spacing w:line="360" w:lineRule="auto"/>
        <w:rPr>
          <w:rFonts w:hint="eastAsia" w:ascii="宋体" w:hAnsi="宋体"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2、车体内外干净、整洁。</w:t>
      </w:r>
    </w:p>
    <w:p>
      <w:pPr>
        <w:spacing w:line="360" w:lineRule="auto"/>
        <w:rPr>
          <w:rFonts w:hint="eastAsia" w:ascii="宋体" w:hAnsi="宋体"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3、不得人货混装。</w:t>
      </w:r>
    </w:p>
    <w:p>
      <w:pPr>
        <w:spacing w:line="360" w:lineRule="auto"/>
        <w:rPr>
          <w:rFonts w:hint="eastAsia" w:ascii="宋体" w:hAnsi="宋体"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4、</w:t>
      </w:r>
      <w:r>
        <w:rPr>
          <w:rFonts w:hint="eastAsia" w:ascii="宋体" w:hAnsi="宋体" w:cs="Times New Roman"/>
          <w:color w:val="auto"/>
          <w:kern w:val="2"/>
          <w:sz w:val="24"/>
          <w:szCs w:val="20"/>
          <w:highlight w:val="none"/>
          <w:lang w:val="en-US" w:eastAsia="zh-CN" w:bidi="ar-SA"/>
        </w:rPr>
        <w:t>驾驶员及</w:t>
      </w:r>
      <w:r>
        <w:rPr>
          <w:rFonts w:hint="eastAsia" w:ascii="宋体" w:hAnsi="宋体" w:eastAsia="宋体" w:cs="Times New Roman"/>
          <w:color w:val="auto"/>
          <w:kern w:val="2"/>
          <w:sz w:val="24"/>
          <w:szCs w:val="20"/>
          <w:highlight w:val="none"/>
          <w:lang w:val="en-US" w:eastAsia="zh-CN" w:bidi="ar-SA"/>
        </w:rPr>
        <w:t>配送人员有健康证；</w:t>
      </w:r>
    </w:p>
    <w:p>
      <w:pPr>
        <w:rPr>
          <w:rFonts w:hint="eastAsia" w:ascii="宋体" w:hAnsi="宋体"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5、为便于装卸，各个配送点的货物在车内应整齐码放在一起，不得杂乱无章。</w:t>
      </w:r>
    </w:p>
    <w:p>
      <w:pPr>
        <w:spacing w:line="448" w:lineRule="atLeast"/>
        <w:rPr>
          <w:rFonts w:hint="eastAsia" w:ascii="宋体" w:hAnsi="宋体"/>
          <w:color w:val="auto"/>
          <w:sz w:val="24"/>
          <w:szCs w:val="20"/>
          <w:highlight w:val="none"/>
          <w:lang w:val="en-US" w:eastAsia="zh-CN"/>
        </w:rPr>
      </w:pPr>
      <w:r>
        <w:rPr>
          <w:rFonts w:hint="eastAsia" w:ascii="宋体" w:hAnsi="宋体"/>
          <w:color w:val="auto"/>
          <w:sz w:val="24"/>
          <w:szCs w:val="20"/>
          <w:highlight w:val="none"/>
          <w:lang w:val="en-US" w:eastAsia="zh-CN"/>
        </w:rPr>
        <w:t>6、每个标包的中标单位须向皮山县教育局缴纳货款总价10%履约金，履约金在合同执行期满后、供需双方无争议者如数退还。在合同执行的期限内，中标单位擅自中断配送或配送延迟，造成学校食堂未按时开伙或者出现食品安全等问题者，教育局将联合相关部门严肃追究责任，造成的经济损失，视情节严重程度，从履约金中扣除。</w:t>
      </w:r>
    </w:p>
    <w:p>
      <w:pPr>
        <w:spacing w:line="448" w:lineRule="atLeast"/>
        <w:rPr>
          <w:rFonts w:hint="eastAsia" w:ascii="宋体" w:hAnsi="宋体"/>
          <w:color w:val="auto"/>
          <w:sz w:val="24"/>
          <w:szCs w:val="20"/>
          <w:highlight w:val="none"/>
          <w:lang w:val="en-US" w:eastAsia="zh-CN"/>
        </w:rPr>
      </w:pPr>
      <w:r>
        <w:rPr>
          <w:rFonts w:hint="eastAsia" w:ascii="宋体" w:hAnsi="宋体"/>
          <w:color w:val="auto"/>
          <w:sz w:val="24"/>
          <w:szCs w:val="20"/>
          <w:highlight w:val="none"/>
          <w:lang w:val="en-US" w:eastAsia="zh-CN"/>
        </w:rPr>
        <w:t>7、按照招标工作要求，中标后，供需双方签订供货合同，供货合同一年一签，供货费用由教育局核算中心按月进行结算。</w:t>
      </w:r>
    </w:p>
    <w:p>
      <w:pPr>
        <w:spacing w:line="448" w:lineRule="atLeast"/>
        <w:rPr>
          <w:rFonts w:hint="eastAsia" w:ascii="宋体" w:hAnsi="宋体"/>
          <w:color w:val="auto"/>
          <w:sz w:val="24"/>
          <w:szCs w:val="20"/>
          <w:highlight w:val="none"/>
          <w:lang w:val="en-US" w:eastAsia="zh-CN"/>
        </w:rPr>
      </w:pPr>
      <w:r>
        <w:rPr>
          <w:rFonts w:hint="eastAsia" w:ascii="宋体" w:hAnsi="宋体"/>
          <w:color w:val="auto"/>
          <w:sz w:val="24"/>
          <w:szCs w:val="20"/>
          <w:highlight w:val="none"/>
          <w:lang w:val="en-US" w:eastAsia="zh-CN"/>
        </w:rPr>
        <w:t>8、供货商按照上月实际的供货数量及中标价格，在本月10号之前为学校提供相应货款的增值税发票，月底前由教育局核算中心统一核算并付款。</w:t>
      </w:r>
    </w:p>
    <w:p>
      <w:pPr>
        <w:spacing w:line="448" w:lineRule="atLeast"/>
        <w:ind w:left="714" w:leftChars="1" w:hanging="712" w:hangingChars="297"/>
        <w:rPr>
          <w:rFonts w:hint="eastAsia" w:ascii="宋体" w:hAnsi="宋体" w:eastAsia="宋体" w:cs="Times New Roman"/>
          <w:color w:val="auto"/>
          <w:kern w:val="2"/>
          <w:sz w:val="24"/>
          <w:szCs w:val="20"/>
          <w:highlight w:val="none"/>
          <w:lang w:val="en-US" w:eastAsia="zh-CN" w:bidi="ar-SA"/>
        </w:rPr>
      </w:pPr>
    </w:p>
    <w:p>
      <w:pPr>
        <w:spacing w:line="448" w:lineRule="atLeast"/>
        <w:ind w:left="714" w:leftChars="1" w:hanging="712" w:hangingChars="297"/>
        <w:rPr>
          <w:rFonts w:hint="eastAsia" w:ascii="宋体" w:hAnsi="宋体" w:eastAsia="宋体" w:cs="Times New Roman"/>
          <w:color w:val="auto"/>
          <w:kern w:val="2"/>
          <w:sz w:val="24"/>
          <w:szCs w:val="20"/>
          <w:highlight w:val="none"/>
          <w:lang w:val="en-US" w:eastAsia="zh-CN" w:bidi="ar-SA"/>
        </w:rPr>
      </w:pPr>
    </w:p>
    <w:p>
      <w:pPr>
        <w:spacing w:line="520" w:lineRule="exact"/>
        <w:rPr>
          <w:rFonts w:hint="eastAsia" w:ascii="宋体" w:hAnsi="宋体"/>
          <w:b/>
          <w:color w:val="auto"/>
          <w:kern w:val="0"/>
          <w:sz w:val="24"/>
          <w:highlight w:val="none"/>
        </w:rPr>
      </w:pPr>
    </w:p>
    <w:p>
      <w:pPr>
        <w:jc w:val="center"/>
        <w:rPr>
          <w:rFonts w:asci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32"/>
          <w:szCs w:val="32"/>
          <w:highlight w:val="none"/>
        </w:rPr>
        <w:t>第四部分</w:t>
      </w:r>
      <w:r>
        <w:rPr>
          <w:rFonts w:ascii="宋体" w:hAnsi="宋体"/>
          <w:b/>
          <w:color w:val="auto"/>
          <w:sz w:val="32"/>
          <w:szCs w:val="32"/>
          <w:highlight w:val="none"/>
        </w:rPr>
        <w:t xml:space="preserve">  </w:t>
      </w:r>
      <w:r>
        <w:rPr>
          <w:rFonts w:hint="eastAsia" w:ascii="宋体" w:hAnsi="宋体"/>
          <w:b/>
          <w:color w:val="auto"/>
          <w:sz w:val="32"/>
          <w:szCs w:val="32"/>
          <w:highlight w:val="none"/>
        </w:rPr>
        <w:t>采购合同</w:t>
      </w:r>
      <w:r>
        <w:rPr>
          <w:rFonts w:ascii="宋体" w:hAnsi="宋体"/>
          <w:b/>
          <w:color w:val="auto"/>
          <w:sz w:val="32"/>
          <w:szCs w:val="32"/>
          <w:highlight w:val="none"/>
        </w:rPr>
        <w:t>(</w:t>
      </w:r>
      <w:r>
        <w:rPr>
          <w:rFonts w:hint="eastAsia" w:ascii="宋体" w:hAnsi="宋体"/>
          <w:b/>
          <w:color w:val="auto"/>
          <w:sz w:val="32"/>
          <w:szCs w:val="32"/>
          <w:highlight w:val="none"/>
        </w:rPr>
        <w:t>范本</w:t>
      </w:r>
      <w:r>
        <w:rPr>
          <w:rFonts w:ascii="宋体" w:hAnsi="宋体"/>
          <w:b/>
          <w:color w:val="auto"/>
          <w:sz w:val="32"/>
          <w:szCs w:val="32"/>
          <w:highlight w:val="none"/>
        </w:rPr>
        <w:t>)</w:t>
      </w:r>
    </w:p>
    <w:p>
      <w:pPr>
        <w:spacing w:line="440" w:lineRule="exact"/>
        <w:jc w:val="center"/>
        <w:rPr>
          <w:rFonts w:hint="eastAsia" w:ascii="宋体" w:hAnsi="宋体"/>
          <w:color w:val="auto"/>
          <w:sz w:val="24"/>
          <w:highlight w:val="none"/>
        </w:rPr>
      </w:pPr>
      <w:r>
        <w:rPr>
          <w:rFonts w:hint="eastAsia" w:ascii="宋体" w:hAnsi="宋体"/>
          <w:color w:val="auto"/>
          <w:sz w:val="24"/>
          <w:highlight w:val="none"/>
        </w:rPr>
        <w:t>政府采购合同参考范本</w:t>
      </w:r>
    </w:p>
    <w:p>
      <w:pPr>
        <w:spacing w:line="440" w:lineRule="exact"/>
        <w:jc w:val="center"/>
        <w:rPr>
          <w:rFonts w:hint="eastAsia" w:ascii="宋体" w:hAnsi="宋体"/>
          <w:color w:val="auto"/>
          <w:sz w:val="24"/>
          <w:highlight w:val="none"/>
        </w:rPr>
      </w:pPr>
      <w:r>
        <w:rPr>
          <w:rFonts w:hint="eastAsia" w:ascii="宋体" w:hAnsi="宋体"/>
          <w:color w:val="auto"/>
          <w:sz w:val="24"/>
          <w:highlight w:val="none"/>
        </w:rPr>
        <w:t>（货物类）</w:t>
      </w: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r>
        <w:rPr>
          <w:rFonts w:hint="eastAsia" w:ascii="宋体" w:hAnsi="宋体"/>
          <w:color w:val="auto"/>
          <w:sz w:val="24"/>
          <w:highlight w:val="none"/>
        </w:rPr>
        <w:t>第一部分 合同书</w:t>
      </w: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left"/>
        <w:rPr>
          <w:rFonts w:hint="default" w:ascii="宋体" w:hAnsi="宋体" w:eastAsia="宋体"/>
          <w:color w:val="auto"/>
          <w:sz w:val="24"/>
          <w:highlight w:val="none"/>
          <w:u w:val="single"/>
          <w:lang w:val="en-US" w:eastAsia="zh-CN"/>
        </w:rPr>
      </w:pPr>
      <w:r>
        <w:rPr>
          <w:rFonts w:hint="eastAsia" w:ascii="宋体" w:hAnsi="宋体"/>
          <w:color w:val="auto"/>
          <w:sz w:val="24"/>
          <w:highlight w:val="none"/>
        </w:rPr>
        <w:t>项目名称：</w:t>
      </w:r>
      <w:r>
        <w:rPr>
          <w:rFonts w:hint="eastAsia" w:ascii="宋体" w:hAnsi="宋体"/>
          <w:color w:val="auto"/>
          <w:sz w:val="24"/>
          <w:highlight w:val="none"/>
          <w:u w:val="single"/>
          <w:lang w:val="en-US" w:eastAsia="zh-CN"/>
        </w:rPr>
        <w:t xml:space="preserve">                   </w:t>
      </w: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both"/>
        <w:rPr>
          <w:rFonts w:hint="default" w:ascii="宋体" w:hAnsi="宋体" w:eastAsia="宋体"/>
          <w:color w:val="auto"/>
          <w:sz w:val="24"/>
          <w:highlight w:val="none"/>
          <w:u w:val="single"/>
          <w:lang w:val="en-US" w:eastAsia="zh-CN"/>
        </w:rPr>
      </w:pPr>
      <w:r>
        <w:rPr>
          <w:rFonts w:hint="eastAsia" w:ascii="宋体" w:hAnsi="宋体"/>
          <w:color w:val="auto"/>
          <w:sz w:val="24"/>
          <w:highlight w:val="none"/>
        </w:rPr>
        <w:t>甲方：</w:t>
      </w:r>
      <w:r>
        <w:rPr>
          <w:rFonts w:hint="eastAsia" w:ascii="宋体" w:hAnsi="宋体"/>
          <w:color w:val="auto"/>
          <w:sz w:val="24"/>
          <w:highlight w:val="none"/>
          <w:u w:val="single"/>
          <w:lang w:val="en-US" w:eastAsia="zh-CN"/>
        </w:rPr>
        <w:t xml:space="preserve">               </w:t>
      </w:r>
    </w:p>
    <w:p>
      <w:pPr>
        <w:spacing w:line="440" w:lineRule="exact"/>
        <w:jc w:val="center"/>
        <w:rPr>
          <w:rFonts w:hint="eastAsia" w:ascii="宋体" w:hAnsi="宋体"/>
          <w:color w:val="auto"/>
          <w:sz w:val="24"/>
          <w:highlight w:val="none"/>
        </w:rPr>
      </w:pPr>
    </w:p>
    <w:p>
      <w:pPr>
        <w:spacing w:line="440" w:lineRule="exact"/>
        <w:jc w:val="both"/>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乙方：</w:t>
      </w:r>
      <w:r>
        <w:rPr>
          <w:rFonts w:hint="eastAsia" w:ascii="宋体" w:hAnsi="宋体"/>
          <w:color w:val="auto"/>
          <w:sz w:val="24"/>
          <w:highlight w:val="none"/>
          <w:u w:val="single"/>
          <w:lang w:val="en-US" w:eastAsia="zh-CN"/>
        </w:rPr>
        <w:t xml:space="preserve">                  </w:t>
      </w:r>
    </w:p>
    <w:p>
      <w:pPr>
        <w:spacing w:line="440" w:lineRule="exact"/>
        <w:jc w:val="center"/>
        <w:rPr>
          <w:rFonts w:hint="eastAsia" w:ascii="宋体" w:hAnsi="宋体"/>
          <w:color w:val="auto"/>
          <w:sz w:val="24"/>
          <w:highlight w:val="none"/>
        </w:rPr>
      </w:pPr>
    </w:p>
    <w:p>
      <w:pPr>
        <w:spacing w:line="440" w:lineRule="exact"/>
        <w:jc w:val="both"/>
        <w:rPr>
          <w:rFonts w:hint="default" w:ascii="宋体" w:hAnsi="宋体" w:eastAsia="宋体"/>
          <w:color w:val="auto"/>
          <w:sz w:val="24"/>
          <w:highlight w:val="none"/>
          <w:u w:val="single"/>
          <w:lang w:val="en-US" w:eastAsia="zh-CN"/>
        </w:rPr>
      </w:pPr>
      <w:r>
        <w:rPr>
          <w:rFonts w:hint="eastAsia" w:ascii="宋体" w:hAnsi="宋体"/>
          <w:color w:val="auto"/>
          <w:sz w:val="24"/>
          <w:highlight w:val="none"/>
        </w:rPr>
        <w:t>签订地：</w:t>
      </w:r>
      <w:r>
        <w:rPr>
          <w:rFonts w:hint="eastAsia" w:ascii="宋体" w:hAnsi="宋体"/>
          <w:color w:val="auto"/>
          <w:sz w:val="24"/>
          <w:highlight w:val="none"/>
          <w:u w:val="single"/>
          <w:lang w:val="en-US" w:eastAsia="zh-CN"/>
        </w:rPr>
        <w:t xml:space="preserve">                    </w:t>
      </w:r>
    </w:p>
    <w:p>
      <w:pPr>
        <w:spacing w:line="440" w:lineRule="exact"/>
        <w:jc w:val="center"/>
        <w:rPr>
          <w:rFonts w:hint="eastAsia" w:ascii="宋体" w:hAnsi="宋体"/>
          <w:color w:val="auto"/>
          <w:sz w:val="24"/>
          <w:highlight w:val="none"/>
        </w:rPr>
      </w:pPr>
    </w:p>
    <w:p>
      <w:pPr>
        <w:spacing w:line="440" w:lineRule="exact"/>
        <w:jc w:val="both"/>
        <w:rPr>
          <w:rFonts w:hint="eastAsia" w:ascii="宋体" w:hAnsi="宋体"/>
          <w:color w:val="auto"/>
          <w:sz w:val="24"/>
          <w:highlight w:val="none"/>
        </w:rPr>
      </w:pPr>
      <w:r>
        <w:rPr>
          <w:rFonts w:hint="eastAsia" w:ascii="宋体" w:hAnsi="宋体"/>
          <w:color w:val="auto"/>
          <w:sz w:val="24"/>
          <w:highlight w:val="none"/>
        </w:rPr>
        <w:t>签订日期：               年       月       日</w:t>
      </w:r>
    </w:p>
    <w:p>
      <w:pPr>
        <w:spacing w:line="440" w:lineRule="exact"/>
        <w:jc w:val="center"/>
        <w:rPr>
          <w:rFonts w:hint="eastAsia" w:ascii="宋体" w:hAnsi="宋体"/>
          <w:color w:val="auto"/>
          <w:sz w:val="24"/>
          <w:highlight w:val="none"/>
        </w:rPr>
        <w:sectPr>
          <w:footerReference r:id="rId7" w:type="default"/>
          <w:pgSz w:w="11907" w:h="16840"/>
          <w:pgMar w:top="1474" w:right="1814" w:bottom="1474" w:left="1814" w:header="851" w:footer="851" w:gutter="0"/>
          <w:pgNumType w:fmt="decimal" w:start="25"/>
          <w:cols w:space="720" w:num="1"/>
          <w:docGrid w:linePitch="462" w:charSpace="0"/>
        </w:sectPr>
      </w:pPr>
    </w:p>
    <w:p>
      <w:pPr>
        <w:spacing w:line="440" w:lineRule="exact"/>
        <w:rPr>
          <w:rFonts w:hint="eastAsia" w:ascii="宋体" w:hAnsi="宋体"/>
          <w:color w:val="auto"/>
          <w:sz w:val="24"/>
          <w:highlight w:val="none"/>
        </w:rPr>
      </w:pPr>
      <w:r>
        <w:rPr>
          <w:rFonts w:hint="eastAsia" w:ascii="宋体" w:hAnsi="宋体"/>
          <w:color w:val="auto"/>
          <w:sz w:val="24"/>
          <w:highlight w:val="none"/>
          <w:lang w:val="zh-CN"/>
        </w:rPr>
        <w:t xml:space="preserve">        年    月    日</w:t>
      </w:r>
      <w:r>
        <w:rPr>
          <w:rFonts w:hint="eastAsia" w:ascii="宋体" w:hAnsi="宋体"/>
          <w:color w:val="auto"/>
          <w:sz w:val="24"/>
          <w:highlight w:val="none"/>
        </w:rPr>
        <w:t>，   （采购人名称）   以   （政府采购方式）  对   （同前页项目名称）   项目进行了采购。经   （相关评定主体名称）   评定，   （中标供应商名称）为该项目中标供应商。现于中标通知书发出之日起</w:t>
      </w:r>
      <w:r>
        <w:rPr>
          <w:rFonts w:hint="eastAsia" w:ascii="宋体" w:hAnsi="宋体"/>
          <w:color w:val="auto"/>
          <w:sz w:val="24"/>
          <w:highlight w:val="none"/>
          <w:lang w:val="en-US" w:eastAsia="zh-CN"/>
        </w:rPr>
        <w:t>7个工作日</w:t>
      </w:r>
      <w:r>
        <w:rPr>
          <w:rFonts w:hint="eastAsia" w:ascii="宋体" w:hAnsi="宋体"/>
          <w:color w:val="auto"/>
          <w:sz w:val="24"/>
          <w:highlight w:val="none"/>
        </w:rPr>
        <w:t>内，按照采购文件确定的事项签订本合同。</w:t>
      </w:r>
    </w:p>
    <w:p>
      <w:pPr>
        <w:spacing w:line="440" w:lineRule="exact"/>
        <w:rPr>
          <w:rFonts w:hint="eastAsia" w:ascii="宋体" w:hAnsi="宋体"/>
          <w:color w:val="auto"/>
          <w:sz w:val="24"/>
          <w:highlight w:val="none"/>
        </w:rPr>
      </w:pPr>
      <w:r>
        <w:rPr>
          <w:rFonts w:hint="eastAsia" w:ascii="宋体" w:hAnsi="宋体"/>
          <w:color w:val="auto"/>
          <w:sz w:val="24"/>
          <w:highlight w:val="none"/>
          <w:lang w:val="zh-CN"/>
        </w:rPr>
        <w:t>根据《中华人民共和国合同法》、《中华人民共和国政府采购法》等相关法律法规之规定，按照平等、自愿、公平和诚实信用的原则，经</w:t>
      </w:r>
      <w:r>
        <w:rPr>
          <w:rFonts w:hint="eastAsia" w:ascii="宋体" w:hAnsi="宋体"/>
          <w:color w:val="auto"/>
          <w:sz w:val="24"/>
          <w:highlight w:val="none"/>
        </w:rPr>
        <w:t xml:space="preserve">   （采购人名称）   </w:t>
      </w:r>
      <w:r>
        <w:rPr>
          <w:rFonts w:hint="eastAsia" w:ascii="宋体" w:hAnsi="宋体"/>
          <w:color w:val="auto"/>
          <w:sz w:val="24"/>
          <w:highlight w:val="none"/>
          <w:lang w:val="zh-CN"/>
        </w:rPr>
        <w:t>(以下简称：甲方)和</w:t>
      </w:r>
      <w:r>
        <w:rPr>
          <w:rFonts w:hint="eastAsia" w:ascii="宋体" w:hAnsi="宋体"/>
          <w:color w:val="auto"/>
          <w:sz w:val="24"/>
          <w:highlight w:val="none"/>
        </w:rPr>
        <w:t xml:space="preserve">   （中标供应商名称）   </w:t>
      </w:r>
      <w:r>
        <w:rPr>
          <w:rFonts w:hint="eastAsia"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440" w:lineRule="exact"/>
        <w:rPr>
          <w:rFonts w:hint="eastAsia" w:ascii="宋体" w:hAnsi="宋体"/>
          <w:color w:val="auto"/>
          <w:sz w:val="24"/>
          <w:highlight w:val="none"/>
        </w:rPr>
      </w:pPr>
      <w:bookmarkStart w:id="0" w:name="_Toc3029"/>
      <w:bookmarkStart w:id="1" w:name="_Toc2232"/>
      <w:bookmarkStart w:id="2" w:name="_Toc24059"/>
      <w:r>
        <w:rPr>
          <w:rFonts w:hint="eastAsia" w:ascii="宋体" w:hAnsi="宋体"/>
          <w:color w:val="auto"/>
          <w:sz w:val="24"/>
          <w:highlight w:val="none"/>
        </w:rPr>
        <w:t>1.1 合同组成部分</w:t>
      </w:r>
      <w:bookmarkEnd w:id="0"/>
      <w:bookmarkEnd w:id="1"/>
      <w:bookmarkEnd w:id="2"/>
    </w:p>
    <w:p>
      <w:pPr>
        <w:spacing w:line="440" w:lineRule="exact"/>
        <w:rPr>
          <w:rFonts w:hint="eastAsia"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440" w:lineRule="exact"/>
        <w:rPr>
          <w:rFonts w:hint="eastAsia" w:ascii="宋体" w:hAnsi="宋体"/>
          <w:color w:val="auto"/>
          <w:sz w:val="24"/>
          <w:highlight w:val="none"/>
        </w:rPr>
      </w:pPr>
      <w:r>
        <w:rPr>
          <w:rFonts w:hint="eastAsia" w:ascii="宋体" w:hAnsi="宋体"/>
          <w:color w:val="auto"/>
          <w:sz w:val="24"/>
          <w:highlight w:val="none"/>
        </w:rPr>
        <w:t>1.1.1 本合同及其补充合同、变更协议；</w:t>
      </w:r>
    </w:p>
    <w:p>
      <w:pPr>
        <w:spacing w:line="440" w:lineRule="exact"/>
        <w:rPr>
          <w:rFonts w:hint="eastAsia" w:ascii="宋体" w:hAnsi="宋体"/>
          <w:color w:val="auto"/>
          <w:sz w:val="24"/>
          <w:highlight w:val="none"/>
        </w:rPr>
      </w:pPr>
      <w:r>
        <w:rPr>
          <w:rFonts w:hint="eastAsia" w:ascii="宋体" w:hAnsi="宋体"/>
          <w:color w:val="auto"/>
          <w:sz w:val="24"/>
          <w:highlight w:val="none"/>
        </w:rPr>
        <w:t>1.1.2 中标通知书；</w:t>
      </w:r>
    </w:p>
    <w:p>
      <w:pPr>
        <w:spacing w:line="440" w:lineRule="exact"/>
        <w:rPr>
          <w:rFonts w:hint="eastAsia" w:ascii="宋体" w:hAnsi="宋体"/>
          <w:color w:val="auto"/>
          <w:sz w:val="24"/>
          <w:highlight w:val="none"/>
        </w:rPr>
      </w:pPr>
      <w:r>
        <w:rPr>
          <w:rFonts w:hint="eastAsia" w:ascii="宋体" w:hAnsi="宋体"/>
          <w:color w:val="auto"/>
          <w:sz w:val="24"/>
          <w:highlight w:val="none"/>
        </w:rPr>
        <w:t>1.1.3 投标文件（含澄清或者说明文件）；</w:t>
      </w:r>
    </w:p>
    <w:p>
      <w:pPr>
        <w:spacing w:line="440" w:lineRule="exact"/>
        <w:rPr>
          <w:rFonts w:hint="eastAsia" w:ascii="宋体" w:hAnsi="宋体"/>
          <w:color w:val="auto"/>
          <w:sz w:val="24"/>
          <w:highlight w:val="none"/>
        </w:rPr>
      </w:pPr>
      <w:r>
        <w:rPr>
          <w:rFonts w:hint="eastAsia" w:ascii="宋体" w:hAnsi="宋体"/>
          <w:color w:val="auto"/>
          <w:sz w:val="24"/>
          <w:highlight w:val="none"/>
        </w:rPr>
        <w:t>1.1.4 招标文件（含澄清或者修改文件）；</w:t>
      </w:r>
    </w:p>
    <w:p>
      <w:pPr>
        <w:spacing w:line="440" w:lineRule="exact"/>
        <w:rPr>
          <w:rFonts w:hint="eastAsia" w:ascii="宋体" w:hAnsi="宋体"/>
          <w:color w:val="auto"/>
          <w:sz w:val="24"/>
          <w:highlight w:val="none"/>
        </w:rPr>
      </w:pPr>
      <w:r>
        <w:rPr>
          <w:rFonts w:hint="eastAsia" w:ascii="宋体" w:hAnsi="宋体"/>
          <w:color w:val="auto"/>
          <w:sz w:val="24"/>
          <w:highlight w:val="none"/>
        </w:rPr>
        <w:t>1.1.5 其他相关采购文件。</w:t>
      </w:r>
    </w:p>
    <w:p>
      <w:pPr>
        <w:spacing w:line="440" w:lineRule="exact"/>
        <w:rPr>
          <w:rFonts w:hint="eastAsia" w:ascii="宋体" w:hAnsi="宋体"/>
          <w:color w:val="auto"/>
          <w:sz w:val="24"/>
          <w:highlight w:val="none"/>
        </w:rPr>
      </w:pPr>
      <w:bookmarkStart w:id="3" w:name="_Toc24300"/>
      <w:bookmarkStart w:id="4" w:name="_Toc27126"/>
      <w:bookmarkStart w:id="5" w:name="_Toc21295"/>
      <w:r>
        <w:rPr>
          <w:rFonts w:hint="eastAsia" w:ascii="宋体" w:hAnsi="宋体"/>
          <w:color w:val="auto"/>
          <w:sz w:val="24"/>
          <w:highlight w:val="none"/>
        </w:rPr>
        <w:t>1.2 货物</w:t>
      </w:r>
      <w:bookmarkEnd w:id="3"/>
      <w:bookmarkEnd w:id="4"/>
      <w:bookmarkEnd w:id="5"/>
    </w:p>
    <w:p>
      <w:pPr>
        <w:spacing w:line="440" w:lineRule="exact"/>
        <w:rPr>
          <w:rFonts w:hint="eastAsia" w:ascii="宋体" w:hAnsi="宋体"/>
          <w:color w:val="auto"/>
          <w:sz w:val="24"/>
          <w:highlight w:val="none"/>
        </w:rPr>
      </w:pPr>
      <w:r>
        <w:rPr>
          <w:rFonts w:hint="eastAsia" w:ascii="宋体" w:hAnsi="宋体"/>
          <w:color w:val="auto"/>
          <w:sz w:val="24"/>
          <w:highlight w:val="none"/>
        </w:rPr>
        <w:t>1.2.1 货物名称：                                                ；</w:t>
      </w:r>
    </w:p>
    <w:p>
      <w:pPr>
        <w:spacing w:line="440" w:lineRule="exact"/>
        <w:rPr>
          <w:rFonts w:hint="eastAsia" w:ascii="宋体" w:hAnsi="宋体"/>
          <w:color w:val="auto"/>
          <w:sz w:val="24"/>
          <w:highlight w:val="none"/>
        </w:rPr>
      </w:pPr>
      <w:r>
        <w:rPr>
          <w:rFonts w:hint="eastAsia" w:ascii="宋体" w:hAnsi="宋体"/>
          <w:color w:val="auto"/>
          <w:sz w:val="24"/>
          <w:highlight w:val="none"/>
        </w:rPr>
        <w:t>1.2.2 货物数量：                                                ；</w:t>
      </w:r>
    </w:p>
    <w:p>
      <w:pPr>
        <w:spacing w:line="440" w:lineRule="exact"/>
        <w:rPr>
          <w:rFonts w:hint="eastAsia" w:ascii="宋体" w:hAnsi="宋体"/>
          <w:color w:val="auto"/>
          <w:sz w:val="24"/>
          <w:highlight w:val="none"/>
        </w:rPr>
      </w:pPr>
      <w:r>
        <w:rPr>
          <w:rFonts w:hint="eastAsia" w:ascii="宋体" w:hAnsi="宋体"/>
          <w:color w:val="auto"/>
          <w:sz w:val="24"/>
          <w:highlight w:val="none"/>
        </w:rPr>
        <w:t>1.2.3 货物质量：　　　　　　　　　                      　      。</w:t>
      </w:r>
    </w:p>
    <w:p>
      <w:pPr>
        <w:spacing w:line="440" w:lineRule="exact"/>
        <w:rPr>
          <w:rFonts w:hint="eastAsia" w:ascii="宋体" w:hAnsi="宋体"/>
          <w:color w:val="auto"/>
          <w:sz w:val="24"/>
          <w:highlight w:val="none"/>
        </w:rPr>
      </w:pPr>
      <w:bookmarkStart w:id="6" w:name="_Toc23292"/>
      <w:bookmarkStart w:id="7" w:name="_Toc21551"/>
      <w:bookmarkStart w:id="8" w:name="_Toc21631"/>
      <w:r>
        <w:rPr>
          <w:rFonts w:hint="eastAsia" w:ascii="宋体" w:hAnsi="宋体"/>
          <w:color w:val="auto"/>
          <w:sz w:val="24"/>
          <w:highlight w:val="none"/>
        </w:rPr>
        <w:t>1.3 价款</w:t>
      </w:r>
      <w:bookmarkEnd w:id="6"/>
      <w:bookmarkEnd w:id="7"/>
      <w:bookmarkEnd w:id="8"/>
    </w:p>
    <w:p>
      <w:pPr>
        <w:spacing w:line="440" w:lineRule="exact"/>
        <w:rPr>
          <w:rFonts w:hint="eastAsia" w:ascii="宋体" w:hAnsi="宋体"/>
          <w:color w:val="auto"/>
          <w:sz w:val="24"/>
          <w:highlight w:val="none"/>
        </w:rPr>
      </w:pPr>
      <w:r>
        <w:rPr>
          <w:rFonts w:hint="eastAsia" w:ascii="宋体" w:hAnsi="宋体"/>
          <w:color w:val="auto"/>
          <w:sz w:val="24"/>
          <w:highlight w:val="none"/>
        </w:rPr>
        <w:t>本合同总价为：￥           元（大写：                 元人民币）。</w:t>
      </w:r>
    </w:p>
    <w:p>
      <w:pPr>
        <w:spacing w:line="440" w:lineRule="exact"/>
        <w:rPr>
          <w:rFonts w:hint="eastAsia" w:ascii="宋体" w:hAnsi="宋体"/>
          <w:color w:val="auto"/>
          <w:sz w:val="24"/>
          <w:highlight w:val="none"/>
        </w:rPr>
      </w:pPr>
      <w:r>
        <w:rPr>
          <w:rFonts w:hint="eastAsia" w:ascii="宋体" w:hAnsi="宋体"/>
          <w:color w:val="auto"/>
          <w:sz w:val="24"/>
          <w:highlight w:val="none"/>
        </w:rPr>
        <w:t>分项价格</w:t>
      </w:r>
      <w:r>
        <w:rPr>
          <w:rFonts w:hint="eastAsia" w:ascii="宋体" w:hAnsi="宋体"/>
          <w:color w:val="auto"/>
          <w:sz w:val="24"/>
          <w:highlight w:val="none"/>
          <w:lang w:val="en-US" w:eastAsia="zh-CN"/>
        </w:rPr>
        <w:t>及参数</w:t>
      </w:r>
      <w:r>
        <w:rPr>
          <w:rFonts w:hint="eastAsia" w:ascii="宋体" w:hAnsi="宋体"/>
          <w:color w:val="auto"/>
          <w:sz w:val="24"/>
          <w:highlight w:val="none"/>
        </w:rPr>
        <w:t>：</w:t>
      </w:r>
    </w:p>
    <w:tbl>
      <w:tblPr>
        <w:tblStyle w:val="31"/>
        <w:tblW w:w="8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3099"/>
        <w:gridCol w:w="2325"/>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94" w:type="dxa"/>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rPr>
              <w:t>序号</w:t>
            </w:r>
          </w:p>
        </w:tc>
        <w:tc>
          <w:tcPr>
            <w:tcW w:w="3099" w:type="dxa"/>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rPr>
              <w:t>分项名称</w:t>
            </w:r>
          </w:p>
        </w:tc>
        <w:tc>
          <w:tcPr>
            <w:tcW w:w="2325" w:type="dxa"/>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rPr>
              <w:t>分项价格</w:t>
            </w:r>
          </w:p>
        </w:tc>
        <w:tc>
          <w:tcPr>
            <w:tcW w:w="2314" w:type="dxa"/>
            <w:noWrap w:val="0"/>
            <w:vAlign w:val="center"/>
          </w:tcPr>
          <w:p>
            <w:pPr>
              <w:spacing w:line="440" w:lineRule="exact"/>
              <w:rPr>
                <w:rFonts w:hint="eastAsia" w:ascii="宋体" w:hAnsi="宋体" w:eastAsia="宋体"/>
                <w:color w:val="auto"/>
                <w:sz w:val="24"/>
                <w:highlight w:val="none"/>
                <w:lang w:eastAsia="zh-CN"/>
              </w:rPr>
            </w:pPr>
            <w:r>
              <w:rPr>
                <w:rFonts w:hint="eastAsia" w:ascii="宋体" w:hAnsi="宋体"/>
                <w:color w:val="auto"/>
                <w:sz w:val="24"/>
                <w:highlight w:val="none"/>
                <w:lang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94" w:type="dxa"/>
            <w:noWrap w:val="0"/>
            <w:vAlign w:val="center"/>
          </w:tcPr>
          <w:p>
            <w:pPr>
              <w:spacing w:line="440" w:lineRule="exact"/>
              <w:rPr>
                <w:rFonts w:hint="eastAsia" w:ascii="宋体" w:hAnsi="宋体"/>
                <w:color w:val="auto"/>
                <w:sz w:val="24"/>
                <w:highlight w:val="none"/>
              </w:rPr>
            </w:pPr>
          </w:p>
        </w:tc>
        <w:tc>
          <w:tcPr>
            <w:tcW w:w="3099" w:type="dxa"/>
            <w:noWrap w:val="0"/>
            <w:vAlign w:val="center"/>
          </w:tcPr>
          <w:p>
            <w:pPr>
              <w:spacing w:line="440" w:lineRule="exact"/>
              <w:rPr>
                <w:rFonts w:hint="eastAsia" w:ascii="宋体" w:hAnsi="宋体"/>
                <w:color w:val="auto"/>
                <w:sz w:val="24"/>
                <w:highlight w:val="none"/>
              </w:rPr>
            </w:pPr>
          </w:p>
        </w:tc>
        <w:tc>
          <w:tcPr>
            <w:tcW w:w="2325" w:type="dxa"/>
            <w:noWrap w:val="0"/>
            <w:vAlign w:val="center"/>
          </w:tcPr>
          <w:p>
            <w:pPr>
              <w:spacing w:line="440" w:lineRule="exact"/>
              <w:rPr>
                <w:rFonts w:hint="eastAsia" w:ascii="宋体" w:hAnsi="宋体"/>
                <w:color w:val="auto"/>
                <w:sz w:val="24"/>
                <w:highlight w:val="none"/>
              </w:rPr>
            </w:pPr>
          </w:p>
        </w:tc>
        <w:tc>
          <w:tcPr>
            <w:tcW w:w="2314" w:type="dxa"/>
            <w:noWrap w:val="0"/>
            <w:vAlign w:val="center"/>
          </w:tcPr>
          <w:p>
            <w:pPr>
              <w:spacing w:line="440" w:lineRule="exac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94" w:type="dxa"/>
            <w:noWrap w:val="0"/>
            <w:vAlign w:val="center"/>
          </w:tcPr>
          <w:p>
            <w:pPr>
              <w:spacing w:line="440" w:lineRule="exact"/>
              <w:rPr>
                <w:rFonts w:hint="eastAsia" w:ascii="宋体" w:hAnsi="宋体"/>
                <w:color w:val="auto"/>
                <w:sz w:val="24"/>
                <w:highlight w:val="none"/>
              </w:rPr>
            </w:pPr>
          </w:p>
        </w:tc>
        <w:tc>
          <w:tcPr>
            <w:tcW w:w="3099" w:type="dxa"/>
            <w:noWrap w:val="0"/>
            <w:vAlign w:val="center"/>
          </w:tcPr>
          <w:p>
            <w:pPr>
              <w:spacing w:line="440" w:lineRule="exact"/>
              <w:rPr>
                <w:rFonts w:hint="eastAsia" w:ascii="宋体" w:hAnsi="宋体"/>
                <w:color w:val="auto"/>
                <w:sz w:val="24"/>
                <w:highlight w:val="none"/>
              </w:rPr>
            </w:pPr>
          </w:p>
        </w:tc>
        <w:tc>
          <w:tcPr>
            <w:tcW w:w="2325" w:type="dxa"/>
            <w:noWrap w:val="0"/>
            <w:vAlign w:val="center"/>
          </w:tcPr>
          <w:p>
            <w:pPr>
              <w:spacing w:line="440" w:lineRule="exact"/>
              <w:rPr>
                <w:rFonts w:hint="eastAsia" w:ascii="宋体" w:hAnsi="宋体"/>
                <w:color w:val="auto"/>
                <w:sz w:val="24"/>
                <w:highlight w:val="none"/>
              </w:rPr>
            </w:pPr>
          </w:p>
        </w:tc>
        <w:tc>
          <w:tcPr>
            <w:tcW w:w="2314" w:type="dxa"/>
            <w:noWrap w:val="0"/>
            <w:vAlign w:val="center"/>
          </w:tcPr>
          <w:p>
            <w:pPr>
              <w:spacing w:line="440" w:lineRule="exac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94" w:type="dxa"/>
            <w:noWrap w:val="0"/>
            <w:vAlign w:val="center"/>
          </w:tcPr>
          <w:p>
            <w:pPr>
              <w:spacing w:line="440" w:lineRule="exact"/>
              <w:rPr>
                <w:rFonts w:hint="eastAsia" w:ascii="宋体" w:hAnsi="宋体"/>
                <w:color w:val="auto"/>
                <w:sz w:val="24"/>
                <w:highlight w:val="none"/>
              </w:rPr>
            </w:pPr>
          </w:p>
        </w:tc>
        <w:tc>
          <w:tcPr>
            <w:tcW w:w="3099" w:type="dxa"/>
            <w:noWrap w:val="0"/>
            <w:vAlign w:val="center"/>
          </w:tcPr>
          <w:p>
            <w:pPr>
              <w:spacing w:line="440" w:lineRule="exact"/>
              <w:rPr>
                <w:rFonts w:hint="eastAsia" w:ascii="宋体" w:hAnsi="宋体"/>
                <w:color w:val="auto"/>
                <w:sz w:val="24"/>
                <w:highlight w:val="none"/>
              </w:rPr>
            </w:pPr>
          </w:p>
        </w:tc>
        <w:tc>
          <w:tcPr>
            <w:tcW w:w="2325" w:type="dxa"/>
            <w:noWrap w:val="0"/>
            <w:vAlign w:val="center"/>
          </w:tcPr>
          <w:p>
            <w:pPr>
              <w:spacing w:line="440" w:lineRule="exact"/>
              <w:rPr>
                <w:rFonts w:hint="eastAsia" w:ascii="宋体" w:hAnsi="宋体"/>
                <w:color w:val="auto"/>
                <w:sz w:val="24"/>
                <w:highlight w:val="none"/>
              </w:rPr>
            </w:pPr>
          </w:p>
        </w:tc>
        <w:tc>
          <w:tcPr>
            <w:tcW w:w="2314" w:type="dxa"/>
            <w:noWrap w:val="0"/>
            <w:vAlign w:val="center"/>
          </w:tcPr>
          <w:p>
            <w:pPr>
              <w:spacing w:line="440" w:lineRule="exac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94" w:type="dxa"/>
            <w:noWrap w:val="0"/>
            <w:vAlign w:val="center"/>
          </w:tcPr>
          <w:p>
            <w:pPr>
              <w:spacing w:line="440" w:lineRule="exact"/>
              <w:rPr>
                <w:rFonts w:hint="eastAsia" w:ascii="宋体" w:hAnsi="宋体"/>
                <w:color w:val="auto"/>
                <w:sz w:val="24"/>
                <w:highlight w:val="none"/>
              </w:rPr>
            </w:pPr>
          </w:p>
        </w:tc>
        <w:tc>
          <w:tcPr>
            <w:tcW w:w="3099" w:type="dxa"/>
            <w:noWrap w:val="0"/>
            <w:vAlign w:val="center"/>
          </w:tcPr>
          <w:p>
            <w:pPr>
              <w:spacing w:line="440" w:lineRule="exact"/>
              <w:rPr>
                <w:rFonts w:hint="eastAsia" w:ascii="宋体" w:hAnsi="宋体"/>
                <w:color w:val="auto"/>
                <w:sz w:val="24"/>
                <w:highlight w:val="none"/>
              </w:rPr>
            </w:pPr>
          </w:p>
        </w:tc>
        <w:tc>
          <w:tcPr>
            <w:tcW w:w="2325" w:type="dxa"/>
            <w:noWrap w:val="0"/>
            <w:vAlign w:val="center"/>
          </w:tcPr>
          <w:p>
            <w:pPr>
              <w:spacing w:line="440" w:lineRule="exact"/>
              <w:rPr>
                <w:rFonts w:hint="eastAsia" w:ascii="宋体" w:hAnsi="宋体"/>
                <w:color w:val="auto"/>
                <w:sz w:val="24"/>
                <w:highlight w:val="none"/>
              </w:rPr>
            </w:pPr>
          </w:p>
        </w:tc>
        <w:tc>
          <w:tcPr>
            <w:tcW w:w="2314" w:type="dxa"/>
            <w:noWrap w:val="0"/>
            <w:vAlign w:val="center"/>
          </w:tcPr>
          <w:p>
            <w:pPr>
              <w:spacing w:line="440" w:lineRule="exact"/>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193" w:type="dxa"/>
            <w:gridSpan w:val="2"/>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rPr>
              <w:t>总价</w:t>
            </w:r>
          </w:p>
        </w:tc>
        <w:tc>
          <w:tcPr>
            <w:tcW w:w="4639" w:type="dxa"/>
            <w:gridSpan w:val="2"/>
            <w:noWrap w:val="0"/>
            <w:vAlign w:val="center"/>
          </w:tcPr>
          <w:p>
            <w:pPr>
              <w:spacing w:line="440" w:lineRule="exact"/>
              <w:rPr>
                <w:rFonts w:hint="eastAsia" w:ascii="宋体" w:hAnsi="宋体"/>
                <w:color w:val="auto"/>
                <w:sz w:val="24"/>
                <w:highlight w:val="none"/>
              </w:rPr>
            </w:pPr>
          </w:p>
        </w:tc>
      </w:tr>
    </w:tbl>
    <w:p>
      <w:pPr>
        <w:spacing w:line="440" w:lineRule="exact"/>
        <w:rPr>
          <w:rFonts w:hint="eastAsia" w:ascii="宋体" w:hAnsi="宋体"/>
          <w:color w:val="auto"/>
          <w:sz w:val="24"/>
          <w:highlight w:val="none"/>
        </w:rPr>
      </w:pPr>
      <w:bookmarkStart w:id="9" w:name="_Toc1814"/>
      <w:bookmarkStart w:id="10" w:name="_Toc22618"/>
      <w:bookmarkStart w:id="11" w:name="_Toc10340"/>
      <w:r>
        <w:rPr>
          <w:rFonts w:hint="eastAsia" w:ascii="宋体" w:hAnsi="宋体"/>
          <w:color w:val="auto"/>
          <w:sz w:val="24"/>
          <w:highlight w:val="none"/>
        </w:rPr>
        <w:t>1.4 付款方式和发票开具方式</w:t>
      </w:r>
      <w:bookmarkEnd w:id="9"/>
      <w:bookmarkEnd w:id="10"/>
      <w:bookmarkEnd w:id="11"/>
    </w:p>
    <w:p>
      <w:pPr>
        <w:spacing w:line="440" w:lineRule="exact"/>
        <w:rPr>
          <w:rFonts w:hint="eastAsia" w:ascii="宋体" w:hAnsi="宋体"/>
          <w:color w:val="auto"/>
          <w:sz w:val="24"/>
          <w:highlight w:val="none"/>
        </w:rPr>
        <w:sectPr>
          <w:headerReference r:id="rId9" w:type="first"/>
          <w:footerReference r:id="rId12" w:type="first"/>
          <w:headerReference r:id="rId8" w:type="default"/>
          <w:footerReference r:id="rId10" w:type="default"/>
          <w:footerReference r:id="rId11" w:type="even"/>
          <w:pgSz w:w="11906" w:h="16838"/>
          <w:pgMar w:top="1361" w:right="1489" w:bottom="1361" w:left="1797" w:header="851" w:footer="992" w:gutter="0"/>
          <w:pgNumType w:fmt="decimal" w:start="26"/>
          <w:cols w:space="720" w:num="1"/>
          <w:titlePg/>
          <w:docGrid w:type="lines" w:linePitch="312" w:charSpace="0"/>
        </w:sectPr>
      </w:pPr>
    </w:p>
    <w:p>
      <w:pPr>
        <w:spacing w:line="440" w:lineRule="exact"/>
        <w:rPr>
          <w:rFonts w:hint="eastAsia" w:ascii="宋体" w:hAnsi="宋体"/>
          <w:color w:val="auto"/>
          <w:sz w:val="24"/>
          <w:highlight w:val="none"/>
        </w:rPr>
      </w:pPr>
      <w:r>
        <w:rPr>
          <w:rFonts w:hint="eastAsia" w:ascii="宋体" w:hAnsi="宋体"/>
          <w:color w:val="auto"/>
          <w:sz w:val="24"/>
          <w:highlight w:val="none"/>
        </w:rPr>
        <w:t>1.4.1 付款方式：                                                ；</w:t>
      </w:r>
    </w:p>
    <w:p>
      <w:pPr>
        <w:spacing w:line="440" w:lineRule="exact"/>
        <w:rPr>
          <w:rFonts w:hint="eastAsia" w:ascii="宋体" w:hAnsi="宋体"/>
          <w:color w:val="auto"/>
          <w:sz w:val="24"/>
          <w:highlight w:val="none"/>
        </w:rPr>
      </w:pPr>
      <w:r>
        <w:rPr>
          <w:rFonts w:hint="eastAsia" w:ascii="宋体" w:hAnsi="宋体"/>
          <w:color w:val="auto"/>
          <w:sz w:val="24"/>
          <w:highlight w:val="none"/>
        </w:rPr>
        <w:t>1.4.2 发票开具方式：                                            。</w:t>
      </w:r>
    </w:p>
    <w:p>
      <w:pPr>
        <w:spacing w:line="440" w:lineRule="exact"/>
        <w:rPr>
          <w:rFonts w:hint="eastAsia" w:ascii="宋体" w:hAnsi="宋体"/>
          <w:color w:val="auto"/>
          <w:sz w:val="24"/>
          <w:highlight w:val="none"/>
        </w:rPr>
      </w:pPr>
      <w:bookmarkStart w:id="12" w:name="_Toc19304"/>
      <w:bookmarkStart w:id="13" w:name="_Toc2846"/>
      <w:bookmarkStart w:id="14" w:name="_Toc32071"/>
      <w:r>
        <w:rPr>
          <w:rFonts w:hint="eastAsia" w:ascii="宋体" w:hAnsi="宋体"/>
          <w:color w:val="auto"/>
          <w:sz w:val="24"/>
          <w:highlight w:val="none"/>
        </w:rPr>
        <w:t>1.5 货物交付期限、地点和方式</w:t>
      </w:r>
      <w:bookmarkEnd w:id="12"/>
      <w:bookmarkEnd w:id="13"/>
      <w:bookmarkEnd w:id="14"/>
    </w:p>
    <w:p>
      <w:pPr>
        <w:spacing w:line="440" w:lineRule="exact"/>
        <w:rPr>
          <w:rFonts w:hint="eastAsia" w:ascii="宋体" w:hAnsi="宋体"/>
          <w:color w:val="auto"/>
          <w:sz w:val="24"/>
          <w:highlight w:val="none"/>
        </w:rPr>
      </w:pPr>
      <w:r>
        <w:rPr>
          <w:rFonts w:hint="eastAsia" w:ascii="宋体" w:hAnsi="宋体"/>
          <w:color w:val="auto"/>
          <w:sz w:val="24"/>
          <w:highlight w:val="none"/>
        </w:rPr>
        <w:t>1.5.1 交付期限：                                                ；</w:t>
      </w:r>
    </w:p>
    <w:p>
      <w:pPr>
        <w:spacing w:line="440" w:lineRule="exact"/>
        <w:rPr>
          <w:rFonts w:hint="eastAsia" w:ascii="宋体" w:hAnsi="宋体"/>
          <w:color w:val="auto"/>
          <w:sz w:val="24"/>
          <w:highlight w:val="none"/>
        </w:rPr>
      </w:pPr>
      <w:r>
        <w:rPr>
          <w:rFonts w:hint="eastAsia" w:ascii="宋体" w:hAnsi="宋体"/>
          <w:color w:val="auto"/>
          <w:sz w:val="24"/>
          <w:highlight w:val="none"/>
        </w:rPr>
        <w:t>1.5.2 交付地点：                                                ；</w:t>
      </w:r>
    </w:p>
    <w:p>
      <w:pPr>
        <w:spacing w:line="440" w:lineRule="exact"/>
        <w:rPr>
          <w:rFonts w:hint="eastAsia" w:ascii="宋体" w:hAnsi="宋体"/>
          <w:color w:val="auto"/>
          <w:sz w:val="24"/>
          <w:highlight w:val="none"/>
        </w:rPr>
      </w:pPr>
      <w:r>
        <w:rPr>
          <w:rFonts w:hint="eastAsia" w:ascii="宋体" w:hAnsi="宋体"/>
          <w:color w:val="auto"/>
          <w:sz w:val="24"/>
          <w:highlight w:val="none"/>
        </w:rPr>
        <w:t>1.5.3 交付方式：　　　　　　　　　                      　      。</w:t>
      </w:r>
    </w:p>
    <w:p>
      <w:pPr>
        <w:spacing w:line="440" w:lineRule="exact"/>
        <w:rPr>
          <w:rFonts w:hint="eastAsia" w:ascii="宋体" w:hAnsi="宋体"/>
          <w:color w:val="auto"/>
          <w:sz w:val="24"/>
          <w:highlight w:val="none"/>
        </w:rPr>
      </w:pPr>
      <w:bookmarkStart w:id="15" w:name="_Toc21423"/>
      <w:bookmarkStart w:id="16" w:name="_Toc19554"/>
      <w:bookmarkStart w:id="17" w:name="_Toc27250"/>
      <w:r>
        <w:rPr>
          <w:rFonts w:hint="eastAsia" w:ascii="宋体" w:hAnsi="宋体"/>
          <w:color w:val="auto"/>
          <w:sz w:val="24"/>
          <w:highlight w:val="none"/>
        </w:rPr>
        <w:t>1.6 违约责任</w:t>
      </w:r>
      <w:bookmarkEnd w:id="15"/>
      <w:bookmarkEnd w:id="16"/>
      <w:bookmarkEnd w:id="17"/>
    </w:p>
    <w:p>
      <w:pPr>
        <w:spacing w:line="440" w:lineRule="exact"/>
        <w:rPr>
          <w:rFonts w:hint="eastAsia" w:ascii="宋体" w:hAnsi="宋体"/>
          <w:color w:val="auto"/>
          <w:sz w:val="24"/>
          <w:highlight w:val="none"/>
        </w:rPr>
      </w:pPr>
      <w:r>
        <w:rPr>
          <w:rFonts w:hint="eastAsia" w:ascii="宋体" w:hAnsi="宋体"/>
          <w:color w:val="auto"/>
          <w:sz w:val="24"/>
          <w:highlight w:val="none"/>
        </w:rPr>
        <w:t>1.6.1 除不可抗力外，如果乙方没有按照本合同约定的期限、地点和方式交付货物，那么甲方可要求乙方支付违约金，违约金按每迟延交付货物一日的应交付而未交付货物价格的    %计算，最高限额为本合同总价的     %；迟延交付货物的违约金计算数额达到前述最高限额之日起，甲方有权在要求乙方支付违约金的同时，书面通知乙方解除本合同；</w:t>
      </w:r>
    </w:p>
    <w:p>
      <w:pPr>
        <w:spacing w:line="440" w:lineRule="exact"/>
        <w:rPr>
          <w:rFonts w:hint="eastAsia" w:ascii="宋体" w:hAnsi="宋体"/>
          <w:color w:val="auto"/>
          <w:sz w:val="24"/>
          <w:highlight w:val="none"/>
        </w:rPr>
      </w:pPr>
      <w:r>
        <w:rPr>
          <w:rFonts w:hint="eastAsia" w:ascii="宋体" w:hAnsi="宋体"/>
          <w:color w:val="auto"/>
          <w:sz w:val="24"/>
          <w:highlight w:val="none"/>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pPr>
        <w:spacing w:line="440" w:lineRule="exact"/>
        <w:rPr>
          <w:rFonts w:hint="eastAsia" w:ascii="宋体" w:hAnsi="宋体"/>
          <w:color w:val="auto"/>
          <w:sz w:val="24"/>
          <w:highlight w:val="none"/>
        </w:rPr>
      </w:pPr>
      <w:r>
        <w:rPr>
          <w:rFonts w:hint="eastAsia" w:ascii="宋体" w:hAnsi="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440" w:lineRule="exact"/>
        <w:rPr>
          <w:rFonts w:hint="eastAsia" w:ascii="宋体" w:hAnsi="宋体"/>
          <w:color w:val="auto"/>
          <w:sz w:val="24"/>
          <w:highlight w:val="none"/>
        </w:rPr>
      </w:pPr>
      <w:r>
        <w:rPr>
          <w:rFonts w:hint="eastAsia" w:ascii="宋体" w:hAnsi="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440" w:lineRule="exact"/>
        <w:rPr>
          <w:rFonts w:hint="eastAsia" w:ascii="宋体" w:hAnsi="宋体"/>
          <w:color w:val="auto"/>
          <w:sz w:val="24"/>
          <w:highlight w:val="none"/>
        </w:rPr>
      </w:pPr>
      <w:r>
        <w:rPr>
          <w:rFonts w:hint="eastAsia" w:ascii="宋体" w:hAnsi="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40" w:lineRule="exact"/>
        <w:rPr>
          <w:rFonts w:hint="eastAsia" w:ascii="宋体" w:hAnsi="宋体"/>
          <w:color w:val="auto"/>
          <w:sz w:val="24"/>
          <w:highlight w:val="none"/>
        </w:rPr>
      </w:pPr>
      <w:r>
        <w:rPr>
          <w:rFonts w:hint="eastAsia" w:ascii="宋体" w:hAnsi="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440" w:lineRule="exact"/>
        <w:rPr>
          <w:rFonts w:hint="eastAsia" w:ascii="宋体" w:hAnsi="宋体"/>
          <w:color w:val="auto"/>
          <w:sz w:val="24"/>
          <w:highlight w:val="none"/>
        </w:rPr>
      </w:pPr>
      <w:bookmarkStart w:id="18" w:name="_Toc15583"/>
      <w:bookmarkStart w:id="19" w:name="_Toc16021"/>
      <w:bookmarkStart w:id="20" w:name="_Toc28375"/>
      <w:r>
        <w:rPr>
          <w:rFonts w:hint="eastAsia" w:ascii="宋体" w:hAnsi="宋体"/>
          <w:color w:val="auto"/>
          <w:sz w:val="24"/>
          <w:highlight w:val="none"/>
        </w:rPr>
        <w:t>1.7 合同争议的解决</w:t>
      </w:r>
      <w:bookmarkEnd w:id="18"/>
      <w:bookmarkEnd w:id="19"/>
      <w:bookmarkEnd w:id="20"/>
    </w:p>
    <w:p>
      <w:pPr>
        <w:spacing w:line="440" w:lineRule="exact"/>
        <w:rPr>
          <w:rFonts w:hint="eastAsia" w:ascii="宋体" w:hAnsi="宋体"/>
          <w:color w:val="auto"/>
          <w:sz w:val="24"/>
          <w:highlight w:val="none"/>
        </w:rPr>
      </w:pPr>
      <w:r>
        <w:rPr>
          <w:rFonts w:hint="eastAsia" w:ascii="宋体" w:hAnsi="宋体"/>
          <w:color w:val="auto"/>
          <w:sz w:val="24"/>
          <w:highlight w:val="none"/>
        </w:rPr>
        <w:t>本合同履行过程中发生的任何争议，双方当事人均可通过和解或者调解解决；不愿和解、调解或者和解、调解不成的，可以选择下列第    种方式解决：</w:t>
      </w:r>
    </w:p>
    <w:p>
      <w:pPr>
        <w:spacing w:line="440" w:lineRule="exact"/>
        <w:rPr>
          <w:rFonts w:hint="eastAsia" w:ascii="宋体" w:hAnsi="宋体"/>
          <w:color w:val="auto"/>
          <w:sz w:val="24"/>
          <w:highlight w:val="none"/>
        </w:rPr>
      </w:pPr>
      <w:r>
        <w:rPr>
          <w:rFonts w:hint="eastAsia" w:ascii="宋体" w:hAnsi="宋体"/>
          <w:color w:val="auto"/>
          <w:sz w:val="24"/>
          <w:highlight w:val="none"/>
        </w:rPr>
        <w:t>1.7.1 将争议提交              仲裁委员会依申请仲裁时其现行有效的仲裁规则裁决；</w:t>
      </w:r>
    </w:p>
    <w:p>
      <w:pPr>
        <w:spacing w:line="440" w:lineRule="exact"/>
        <w:rPr>
          <w:rFonts w:hint="eastAsia" w:ascii="宋体" w:hAnsi="宋体"/>
          <w:color w:val="auto"/>
          <w:sz w:val="24"/>
          <w:highlight w:val="none"/>
        </w:rPr>
      </w:pPr>
      <w:r>
        <w:rPr>
          <w:rFonts w:hint="eastAsia" w:ascii="宋体" w:hAnsi="宋体"/>
          <w:color w:val="auto"/>
          <w:sz w:val="24"/>
          <w:highlight w:val="none"/>
        </w:rPr>
        <w:t>1.7.2 向   （被告住所地、合同履行地、合同签订地、原告住所地、标的物所在地等与争议有实际联系的地点中选出的人民法院名称）    人民法院起诉。</w:t>
      </w:r>
    </w:p>
    <w:p>
      <w:pPr>
        <w:spacing w:line="440" w:lineRule="exact"/>
        <w:rPr>
          <w:rFonts w:hint="eastAsia" w:ascii="宋体" w:hAnsi="宋体"/>
          <w:color w:val="auto"/>
          <w:sz w:val="24"/>
          <w:highlight w:val="none"/>
        </w:rPr>
      </w:pPr>
      <w:bookmarkStart w:id="21" w:name="_Toc11173"/>
      <w:bookmarkStart w:id="22" w:name="_Toc7245"/>
      <w:bookmarkStart w:id="23" w:name="_Toc15322"/>
      <w:r>
        <w:rPr>
          <w:rFonts w:hint="eastAsia" w:ascii="宋体" w:hAnsi="宋体"/>
          <w:color w:val="auto"/>
          <w:sz w:val="24"/>
          <w:highlight w:val="none"/>
        </w:rPr>
        <w:t>1.8 合同生效</w:t>
      </w:r>
      <w:bookmarkEnd w:id="21"/>
      <w:bookmarkEnd w:id="22"/>
      <w:bookmarkEnd w:id="23"/>
    </w:p>
    <w:p>
      <w:pPr>
        <w:spacing w:line="440" w:lineRule="exact"/>
        <w:rPr>
          <w:rFonts w:hint="eastAsia" w:ascii="宋体" w:hAnsi="宋体"/>
          <w:color w:val="auto"/>
          <w:sz w:val="24"/>
          <w:highlight w:val="none"/>
        </w:rPr>
      </w:pPr>
      <w:r>
        <w:rPr>
          <w:rFonts w:hint="eastAsia" w:ascii="宋体" w:hAnsi="宋体"/>
          <w:color w:val="auto"/>
          <w:sz w:val="24"/>
          <w:highlight w:val="none"/>
        </w:rPr>
        <w:t>本合同自双方当事人盖章或者签字时生效。</w:t>
      </w:r>
    </w:p>
    <w:p>
      <w:pPr>
        <w:spacing w:line="440" w:lineRule="exact"/>
        <w:rPr>
          <w:rFonts w:hint="eastAsia" w:ascii="宋体" w:hAnsi="宋体"/>
          <w:color w:val="auto"/>
          <w:sz w:val="24"/>
          <w:highlight w:val="none"/>
          <w:lang w:val="zh-CN"/>
        </w:rPr>
      </w:pP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甲方：                                   乙方：</w:t>
      </w: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统一社会信用代码：                        统一社会信用代码或身份证号码：</w:t>
      </w:r>
    </w:p>
    <w:p>
      <w:pPr>
        <w:spacing w:line="440" w:lineRule="exact"/>
        <w:rPr>
          <w:rFonts w:hint="eastAsia" w:ascii="宋体" w:hAnsi="宋体"/>
          <w:color w:val="auto"/>
          <w:sz w:val="24"/>
          <w:highlight w:val="none"/>
          <w:lang w:val="zh-CN"/>
        </w:rPr>
      </w:pP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住所：                                   住所：</w:t>
      </w: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法定代表人或                             法定代表人</w:t>
      </w: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 xml:space="preserve">授权代表（签字）：                        或授权代表（签字）: </w:t>
      </w: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联系人：                                 联系人：</w:t>
      </w: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约定送达地址：                           约定送达地址：</w:t>
      </w: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邮政编码：                               邮政编码：</w:t>
      </w: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 xml:space="preserve">电话:                                    电话: </w:t>
      </w:r>
    </w:p>
    <w:p>
      <w:pPr>
        <w:spacing w:line="440" w:lineRule="exact"/>
        <w:rPr>
          <w:rFonts w:hint="eastAsia" w:ascii="宋体" w:hAnsi="宋体"/>
          <w:color w:val="auto"/>
          <w:sz w:val="24"/>
          <w:highlight w:val="none"/>
          <w:lang w:val="zh-CN"/>
        </w:rPr>
      </w:pPr>
      <w:r>
        <w:rPr>
          <w:rFonts w:hint="eastAsia" w:ascii="宋体" w:hAnsi="宋体"/>
          <w:color w:val="auto"/>
          <w:sz w:val="24"/>
          <w:highlight w:val="none"/>
          <w:lang w:val="zh-CN"/>
        </w:rPr>
        <w:t>传真:                                    传真:</w:t>
      </w:r>
    </w:p>
    <w:p>
      <w:pPr>
        <w:spacing w:line="440" w:lineRule="exact"/>
        <w:rPr>
          <w:rFonts w:hint="eastAsia" w:ascii="宋体" w:hAnsi="宋体"/>
          <w:color w:val="auto"/>
          <w:sz w:val="24"/>
          <w:highlight w:val="none"/>
        </w:rPr>
      </w:pPr>
      <w:r>
        <w:rPr>
          <w:rFonts w:hint="eastAsia" w:ascii="宋体" w:hAnsi="宋体"/>
          <w:color w:val="auto"/>
          <w:sz w:val="24"/>
          <w:highlight w:val="none"/>
          <w:lang w:val="zh-CN"/>
        </w:rPr>
        <w:t>电子邮箱：                               电子邮箱：</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开户银行：                               开户银行： </w:t>
      </w:r>
    </w:p>
    <w:p>
      <w:pPr>
        <w:spacing w:line="440" w:lineRule="exact"/>
        <w:rPr>
          <w:rFonts w:hint="eastAsia" w:ascii="宋体" w:hAnsi="宋体"/>
          <w:color w:val="auto"/>
          <w:sz w:val="24"/>
          <w:highlight w:val="none"/>
        </w:rPr>
      </w:pPr>
      <w:r>
        <w:rPr>
          <w:rFonts w:hint="eastAsia" w:ascii="宋体" w:hAnsi="宋体"/>
          <w:color w:val="auto"/>
          <w:sz w:val="24"/>
          <w:highlight w:val="none"/>
        </w:rPr>
        <w:t xml:space="preserve">开户名称：                               开户名称： </w:t>
      </w:r>
    </w:p>
    <w:p>
      <w:pPr>
        <w:spacing w:line="440" w:lineRule="exact"/>
        <w:rPr>
          <w:rFonts w:hint="eastAsia" w:ascii="宋体" w:hAnsi="宋体"/>
          <w:color w:val="auto"/>
          <w:sz w:val="24"/>
          <w:highlight w:val="none"/>
        </w:rPr>
      </w:pPr>
      <w:r>
        <w:rPr>
          <w:rFonts w:hint="eastAsia" w:ascii="宋体" w:hAnsi="宋体"/>
          <w:color w:val="auto"/>
          <w:sz w:val="24"/>
          <w:highlight w:val="none"/>
        </w:rPr>
        <w:t>开户账号：</w:t>
      </w:r>
      <w:r>
        <w:rPr>
          <w:rFonts w:hint="eastAsia" w:ascii="宋体" w:hAnsi="宋体"/>
          <w:color w:val="auto"/>
          <w:sz w:val="24"/>
          <w:highlight w:val="none"/>
          <w:lang w:val="zh-CN"/>
        </w:rPr>
        <w:t xml:space="preserve">                               </w:t>
      </w:r>
      <w:r>
        <w:rPr>
          <w:rFonts w:hint="eastAsia" w:ascii="宋体" w:hAnsi="宋体"/>
          <w:color w:val="auto"/>
          <w:sz w:val="24"/>
          <w:highlight w:val="none"/>
        </w:rPr>
        <w:t>开户账号：</w:t>
      </w:r>
    </w:p>
    <w:p>
      <w:pPr>
        <w:spacing w:line="440" w:lineRule="exact"/>
        <w:rPr>
          <w:rFonts w:hint="eastAsia" w:ascii="宋体" w:hAnsi="宋体"/>
          <w:color w:val="auto"/>
          <w:sz w:val="24"/>
          <w:highlight w:val="none"/>
        </w:rPr>
      </w:pPr>
      <w:bookmarkStart w:id="24" w:name="_Toc331685783"/>
    </w:p>
    <w:p>
      <w:pPr>
        <w:spacing w:line="440" w:lineRule="exact"/>
        <w:rPr>
          <w:rFonts w:hint="eastAsia" w:ascii="宋体" w:hAnsi="宋体"/>
          <w:color w:val="auto"/>
          <w:sz w:val="24"/>
          <w:highlight w:val="none"/>
        </w:rPr>
      </w:pPr>
    </w:p>
    <w:p>
      <w:pPr>
        <w:spacing w:line="440" w:lineRule="exact"/>
        <w:rPr>
          <w:rFonts w:hint="eastAsia" w:ascii="宋体" w:hAnsi="宋体"/>
          <w:color w:val="auto"/>
          <w:sz w:val="24"/>
          <w:highlight w:val="none"/>
        </w:rPr>
      </w:pPr>
    </w:p>
    <w:p>
      <w:pPr>
        <w:spacing w:line="440" w:lineRule="exact"/>
        <w:rPr>
          <w:rFonts w:hint="eastAsia" w:ascii="宋体" w:hAnsi="宋体"/>
          <w:color w:val="auto"/>
          <w:sz w:val="24"/>
          <w:highlight w:val="none"/>
        </w:rPr>
      </w:pPr>
    </w:p>
    <w:p>
      <w:pPr>
        <w:pStyle w:val="5"/>
        <w:rPr>
          <w:rFonts w:hint="eastAsia"/>
          <w:color w:val="auto"/>
          <w:highlight w:val="none"/>
        </w:rPr>
      </w:pPr>
    </w:p>
    <w:p>
      <w:pPr>
        <w:spacing w:line="440" w:lineRule="exact"/>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r>
        <w:rPr>
          <w:rFonts w:hint="eastAsia" w:ascii="宋体" w:hAnsi="宋体"/>
          <w:color w:val="auto"/>
          <w:sz w:val="24"/>
          <w:highlight w:val="none"/>
        </w:rPr>
        <w:t>第二部分 合同一般条款</w:t>
      </w:r>
      <w:bookmarkEnd w:id="24"/>
    </w:p>
    <w:p>
      <w:pPr>
        <w:spacing w:line="440" w:lineRule="exact"/>
        <w:rPr>
          <w:rFonts w:hint="eastAsia" w:ascii="宋体" w:hAnsi="宋体"/>
          <w:color w:val="auto"/>
          <w:sz w:val="24"/>
          <w:highlight w:val="none"/>
        </w:rPr>
      </w:pPr>
      <w:bookmarkStart w:id="25" w:name="_Ref467379214"/>
      <w:bookmarkStart w:id="26" w:name="_Ref467379101"/>
      <w:bookmarkStart w:id="27" w:name="_Toc279701240"/>
      <w:bookmarkStart w:id="28" w:name="_Toc19614"/>
      <w:bookmarkStart w:id="29" w:name="_Ref467379205"/>
      <w:bookmarkStart w:id="30" w:name="_Toc16917"/>
      <w:bookmarkStart w:id="31" w:name="_Ref467379109"/>
      <w:bookmarkStart w:id="32" w:name="_Ref467379195"/>
      <w:bookmarkStart w:id="33" w:name="_Toc259093669"/>
      <w:bookmarkStart w:id="34" w:name="_Ref467378463"/>
      <w:bookmarkStart w:id="35" w:name="_Ref467379225"/>
      <w:bookmarkStart w:id="36" w:name="_Toc487900349"/>
      <w:bookmarkStart w:id="37" w:name="_Toc28763"/>
      <w:bookmarkStart w:id="38" w:name="_Ref467378499"/>
      <w:bookmarkStart w:id="39" w:name="_Ref467379094"/>
      <w:bookmarkStart w:id="40" w:name="_Ref467378404"/>
      <w:r>
        <w:rPr>
          <w:rFonts w:hint="eastAsia" w:ascii="宋体" w:hAnsi="宋体"/>
          <w:color w:val="auto"/>
          <w:sz w:val="24"/>
          <w:highlight w:val="none"/>
        </w:rPr>
        <w:t>2.1 定义</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spacing w:line="440" w:lineRule="exact"/>
        <w:rPr>
          <w:rFonts w:hint="eastAsia" w:ascii="宋体" w:hAnsi="宋体"/>
          <w:color w:val="auto"/>
          <w:sz w:val="24"/>
          <w:highlight w:val="none"/>
        </w:rPr>
      </w:pPr>
      <w:r>
        <w:rPr>
          <w:rFonts w:hint="eastAsia" w:ascii="宋体" w:hAnsi="宋体"/>
          <w:color w:val="auto"/>
          <w:sz w:val="24"/>
          <w:highlight w:val="none"/>
        </w:rPr>
        <w:t>本合同中的下列词语应按以下内容进行解释：</w:t>
      </w:r>
    </w:p>
    <w:p>
      <w:pPr>
        <w:spacing w:line="440" w:lineRule="exact"/>
        <w:rPr>
          <w:rFonts w:hint="eastAsia" w:ascii="宋体" w:hAnsi="宋体"/>
          <w:color w:val="auto"/>
          <w:sz w:val="24"/>
          <w:highlight w:val="none"/>
        </w:rPr>
      </w:pPr>
      <w:r>
        <w:rPr>
          <w:rFonts w:hint="eastAsia" w:ascii="宋体" w:hAnsi="宋体"/>
          <w:color w:val="auto"/>
          <w:sz w:val="24"/>
          <w:highlight w:val="none"/>
        </w:rPr>
        <w:t>2.1.1 “合同”系指采购人和中标供应商签订的载明双方当事人所达成的协议，并包括所有的附件、附录和构成合同的其他文件。</w:t>
      </w:r>
    </w:p>
    <w:p>
      <w:pPr>
        <w:spacing w:line="440" w:lineRule="exact"/>
        <w:rPr>
          <w:rFonts w:hint="eastAsia" w:ascii="宋体" w:hAnsi="宋体"/>
          <w:color w:val="auto"/>
          <w:sz w:val="24"/>
          <w:highlight w:val="none"/>
        </w:rPr>
      </w:pPr>
      <w:r>
        <w:rPr>
          <w:rFonts w:hint="eastAsia" w:ascii="宋体" w:hAnsi="宋体"/>
          <w:color w:val="auto"/>
          <w:sz w:val="24"/>
          <w:highlight w:val="none"/>
        </w:rPr>
        <w:t>2.1.2 “合同价”系指根据合同约定，中标供应商在完全履行合同义务后，采购人应支付给中标供应商的价格。</w:t>
      </w:r>
    </w:p>
    <w:p>
      <w:pPr>
        <w:spacing w:line="440" w:lineRule="exact"/>
        <w:rPr>
          <w:rFonts w:hint="eastAsia" w:ascii="宋体" w:hAnsi="宋体"/>
          <w:color w:val="auto"/>
          <w:sz w:val="24"/>
          <w:highlight w:val="none"/>
        </w:rPr>
      </w:pPr>
      <w:r>
        <w:rPr>
          <w:rFonts w:hint="eastAsia" w:ascii="宋体" w:hAnsi="宋体"/>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pPr>
        <w:spacing w:line="440" w:lineRule="exact"/>
        <w:rPr>
          <w:rFonts w:hint="eastAsia" w:ascii="宋体" w:hAnsi="宋体"/>
          <w:color w:val="auto"/>
          <w:sz w:val="24"/>
          <w:highlight w:val="none"/>
        </w:rPr>
      </w:pPr>
      <w:bookmarkStart w:id="41" w:name="_Ref467378840"/>
      <w:r>
        <w:rPr>
          <w:rFonts w:hint="eastAsia" w:ascii="宋体" w:hAnsi="宋体"/>
          <w:color w:val="auto"/>
          <w:sz w:val="24"/>
          <w:highlight w:val="none"/>
        </w:rPr>
        <w:t>2.1.4 “甲方”系指与中标供应商签署合同的采购人</w:t>
      </w:r>
      <w:bookmarkEnd w:id="41"/>
      <w:r>
        <w:rPr>
          <w:rFonts w:hint="eastAsia" w:ascii="宋体" w:hAnsi="宋体"/>
          <w:color w:val="auto"/>
          <w:sz w:val="24"/>
          <w:highlight w:val="none"/>
        </w:rPr>
        <w:t>；采购人委托采购代理机构代表其与乙方签订合同的，采购人的授权委托书作为合同附件。</w:t>
      </w:r>
    </w:p>
    <w:p>
      <w:pPr>
        <w:spacing w:line="440" w:lineRule="exact"/>
        <w:rPr>
          <w:rFonts w:hint="eastAsia" w:ascii="宋体" w:hAnsi="宋体"/>
          <w:color w:val="auto"/>
          <w:sz w:val="24"/>
          <w:highlight w:val="none"/>
        </w:rPr>
      </w:pPr>
      <w:bookmarkStart w:id="42" w:name="_Ref467379400"/>
      <w:r>
        <w:rPr>
          <w:rFonts w:hint="eastAsia" w:ascii="宋体" w:hAnsi="宋体"/>
          <w:color w:val="auto"/>
          <w:sz w:val="24"/>
          <w:highlight w:val="none"/>
        </w:rPr>
        <w:t>2.1.5 “乙方”系指根据合同约定交付货物的中标供应商</w:t>
      </w:r>
      <w:bookmarkEnd w:id="42"/>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440" w:lineRule="exact"/>
        <w:rPr>
          <w:rFonts w:hint="eastAsia" w:ascii="宋体" w:hAnsi="宋体"/>
          <w:color w:val="auto"/>
          <w:sz w:val="24"/>
          <w:highlight w:val="none"/>
        </w:rPr>
      </w:pPr>
      <w:bookmarkStart w:id="43" w:name="_Ref467379436"/>
      <w:r>
        <w:rPr>
          <w:rFonts w:hint="eastAsia" w:ascii="宋体" w:hAnsi="宋体"/>
          <w:color w:val="auto"/>
          <w:sz w:val="24"/>
          <w:highlight w:val="none"/>
        </w:rPr>
        <w:t>2.1.6 “现场”系指合同约定货物将要运至或者安装的地点。</w:t>
      </w:r>
      <w:bookmarkEnd w:id="43"/>
    </w:p>
    <w:p>
      <w:pPr>
        <w:spacing w:line="440" w:lineRule="exact"/>
        <w:rPr>
          <w:rFonts w:hint="eastAsia" w:ascii="宋体" w:hAnsi="宋体"/>
          <w:color w:val="auto"/>
          <w:sz w:val="24"/>
          <w:highlight w:val="none"/>
        </w:rPr>
      </w:pPr>
      <w:bookmarkStart w:id="44" w:name="_Toc279701241"/>
      <w:bookmarkStart w:id="45" w:name="_Toc27635"/>
      <w:bookmarkStart w:id="46" w:name="_Toc487900350"/>
      <w:bookmarkStart w:id="47" w:name="_Toc259093670"/>
      <w:bookmarkStart w:id="48" w:name="_Toc13336"/>
      <w:bookmarkStart w:id="49" w:name="_Toc32504"/>
      <w:r>
        <w:rPr>
          <w:rFonts w:hint="eastAsia" w:ascii="宋体" w:hAnsi="宋体"/>
          <w:color w:val="auto"/>
          <w:sz w:val="24"/>
          <w:highlight w:val="none"/>
        </w:rPr>
        <w:t>2.2 技术规范</w:t>
      </w:r>
      <w:bookmarkEnd w:id="44"/>
      <w:bookmarkEnd w:id="45"/>
      <w:bookmarkEnd w:id="46"/>
      <w:bookmarkEnd w:id="47"/>
      <w:bookmarkEnd w:id="48"/>
      <w:bookmarkEnd w:id="49"/>
    </w:p>
    <w:p>
      <w:pPr>
        <w:spacing w:line="440" w:lineRule="exact"/>
        <w:rPr>
          <w:rFonts w:hint="eastAsia" w:ascii="宋体" w:hAnsi="宋体"/>
          <w:color w:val="auto"/>
          <w:sz w:val="24"/>
          <w:highlight w:val="none"/>
        </w:rPr>
      </w:pPr>
      <w:r>
        <w:rPr>
          <w:rFonts w:hint="eastAsia" w:ascii="宋体" w:hAnsi="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440" w:lineRule="exact"/>
        <w:rPr>
          <w:rFonts w:hint="eastAsia" w:ascii="宋体" w:hAnsi="宋体"/>
          <w:color w:val="auto"/>
          <w:sz w:val="24"/>
          <w:highlight w:val="none"/>
        </w:rPr>
      </w:pPr>
      <w:bookmarkStart w:id="50" w:name="_Toc279701242"/>
      <w:bookmarkStart w:id="51" w:name="_Toc27853"/>
      <w:bookmarkStart w:id="52" w:name="_Toc9829"/>
      <w:bookmarkStart w:id="53" w:name="_Toc31634"/>
      <w:bookmarkStart w:id="54" w:name="_Toc487900351"/>
      <w:bookmarkStart w:id="55" w:name="_Toc259093671"/>
      <w:r>
        <w:rPr>
          <w:rFonts w:hint="eastAsia" w:ascii="宋体" w:hAnsi="宋体"/>
          <w:color w:val="auto"/>
          <w:sz w:val="24"/>
          <w:highlight w:val="none"/>
        </w:rPr>
        <w:t>2.3 知识产权</w:t>
      </w:r>
      <w:bookmarkEnd w:id="50"/>
      <w:bookmarkEnd w:id="51"/>
      <w:bookmarkEnd w:id="52"/>
      <w:bookmarkEnd w:id="53"/>
      <w:bookmarkEnd w:id="54"/>
      <w:bookmarkEnd w:id="55"/>
    </w:p>
    <w:p>
      <w:pPr>
        <w:spacing w:line="440" w:lineRule="exact"/>
        <w:rPr>
          <w:rFonts w:hint="eastAsia" w:ascii="宋体" w:hAnsi="宋体"/>
          <w:color w:val="auto"/>
          <w:sz w:val="24"/>
          <w:highlight w:val="none"/>
        </w:rPr>
      </w:pPr>
      <w:r>
        <w:rPr>
          <w:rFonts w:hint="eastAsia" w:ascii="宋体" w:hAnsi="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440" w:lineRule="exact"/>
        <w:rPr>
          <w:rFonts w:hint="eastAsia" w:ascii="宋体" w:hAnsi="宋体"/>
          <w:color w:val="auto"/>
          <w:sz w:val="24"/>
          <w:highlight w:val="none"/>
        </w:rPr>
      </w:pPr>
      <w:r>
        <w:rPr>
          <w:rFonts w:hint="eastAsia" w:ascii="宋体" w:hAnsi="宋体"/>
          <w:color w:val="auto"/>
          <w:sz w:val="24"/>
          <w:highlight w:val="none"/>
        </w:rPr>
        <w:t>2.3.2具有知识产权的计算机软件等货物的知识产权归属，详见合同专用条款。</w:t>
      </w:r>
    </w:p>
    <w:p>
      <w:pPr>
        <w:spacing w:line="440" w:lineRule="exact"/>
        <w:rPr>
          <w:rFonts w:hint="eastAsia" w:ascii="宋体" w:hAnsi="宋体"/>
          <w:color w:val="auto"/>
          <w:sz w:val="24"/>
          <w:highlight w:val="none"/>
        </w:rPr>
      </w:pPr>
      <w:bookmarkStart w:id="56" w:name="_Toc4194"/>
      <w:bookmarkStart w:id="57" w:name="_Toc11932"/>
      <w:bookmarkStart w:id="58" w:name="_Toc29149"/>
      <w:r>
        <w:rPr>
          <w:rFonts w:hint="eastAsia" w:ascii="宋体" w:hAnsi="宋体"/>
          <w:color w:val="auto"/>
          <w:sz w:val="24"/>
          <w:highlight w:val="none"/>
        </w:rPr>
        <w:t>2.4 包装和装运</w:t>
      </w:r>
      <w:bookmarkEnd w:id="56"/>
      <w:bookmarkEnd w:id="57"/>
      <w:bookmarkEnd w:id="58"/>
    </w:p>
    <w:p>
      <w:pPr>
        <w:spacing w:line="440" w:lineRule="exact"/>
        <w:rPr>
          <w:rFonts w:hint="eastAsia" w:ascii="宋体" w:hAnsi="宋体"/>
          <w:color w:val="auto"/>
          <w:sz w:val="24"/>
          <w:highlight w:val="none"/>
        </w:rPr>
      </w:pPr>
      <w:r>
        <w:rPr>
          <w:rFonts w:hint="eastAsia" w:ascii="宋体" w:hAnsi="宋体"/>
          <w:color w:val="auto"/>
          <w:sz w:val="24"/>
          <w:highlight w:val="none"/>
        </w:rPr>
        <w:t>2.4.1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440" w:lineRule="exact"/>
        <w:rPr>
          <w:rFonts w:hint="eastAsia" w:ascii="宋体" w:hAnsi="宋体"/>
          <w:color w:val="auto"/>
          <w:sz w:val="24"/>
          <w:highlight w:val="none"/>
        </w:rPr>
      </w:pPr>
      <w:r>
        <w:rPr>
          <w:rFonts w:hint="eastAsia" w:ascii="宋体" w:hAnsi="宋体"/>
          <w:color w:val="auto"/>
          <w:sz w:val="24"/>
          <w:highlight w:val="none"/>
        </w:rPr>
        <w:t>2.4.2 装运货物的要求和通知，详见合同专用条款。</w:t>
      </w:r>
    </w:p>
    <w:p>
      <w:pPr>
        <w:spacing w:line="440" w:lineRule="exact"/>
        <w:rPr>
          <w:rFonts w:hint="eastAsia" w:ascii="宋体" w:hAnsi="宋体"/>
          <w:color w:val="auto"/>
          <w:sz w:val="24"/>
          <w:highlight w:val="none"/>
        </w:rPr>
      </w:pPr>
      <w:bookmarkStart w:id="59" w:name="_Toc259093674"/>
      <w:bookmarkStart w:id="60" w:name="_Ref467379536"/>
      <w:bookmarkStart w:id="61" w:name="_Toc487900354"/>
      <w:bookmarkStart w:id="62" w:name="_Ref467378591"/>
      <w:bookmarkStart w:id="63" w:name="_Ref467379527"/>
      <w:bookmarkStart w:id="64" w:name="_Ref467379542"/>
      <w:bookmarkStart w:id="65" w:name="_Ref467378541"/>
      <w:bookmarkStart w:id="66" w:name="_Toc279701245"/>
      <w:bookmarkStart w:id="67" w:name="_Toc26182"/>
      <w:bookmarkStart w:id="68" w:name="_Toc30272"/>
      <w:bookmarkStart w:id="69" w:name="_Toc19074"/>
      <w:r>
        <w:rPr>
          <w:rFonts w:hint="eastAsia" w:ascii="宋体" w:hAnsi="宋体"/>
          <w:color w:val="auto"/>
          <w:sz w:val="24"/>
          <w:highlight w:val="none"/>
        </w:rPr>
        <w:t>2.</w:t>
      </w:r>
      <w:bookmarkEnd w:id="59"/>
      <w:bookmarkEnd w:id="60"/>
      <w:bookmarkEnd w:id="61"/>
      <w:bookmarkEnd w:id="62"/>
      <w:bookmarkEnd w:id="63"/>
      <w:bookmarkEnd w:id="64"/>
      <w:bookmarkEnd w:id="65"/>
      <w:bookmarkEnd w:id="66"/>
      <w:r>
        <w:rPr>
          <w:rFonts w:hint="eastAsia" w:ascii="宋体" w:hAnsi="宋体"/>
          <w:color w:val="auto"/>
          <w:sz w:val="24"/>
          <w:highlight w:val="none"/>
        </w:rPr>
        <w:t>5 履约检查和问题反馈</w:t>
      </w:r>
      <w:bookmarkEnd w:id="67"/>
      <w:bookmarkEnd w:id="68"/>
      <w:bookmarkEnd w:id="69"/>
    </w:p>
    <w:p>
      <w:pPr>
        <w:spacing w:line="440" w:lineRule="exact"/>
        <w:rPr>
          <w:rFonts w:hint="eastAsia" w:ascii="宋体" w:hAnsi="宋体"/>
          <w:color w:val="auto"/>
          <w:sz w:val="24"/>
          <w:highlight w:val="none"/>
        </w:rPr>
      </w:pPr>
      <w:bookmarkStart w:id="70" w:name="_Ref467379657"/>
      <w:r>
        <w:rPr>
          <w:rFonts w:hint="eastAsia" w:ascii="宋体" w:hAnsi="宋体"/>
          <w:color w:val="auto"/>
          <w:sz w:val="24"/>
          <w:highlight w:val="none"/>
        </w:rPr>
        <w:t>2.5.1</w:t>
      </w:r>
      <w:bookmarkEnd w:id="70"/>
      <w:bookmarkStart w:id="71" w:name="_Toc186431854"/>
      <w:bookmarkStart w:id="72" w:name="_Ref467379807"/>
      <w:bookmarkStart w:id="73" w:name="_Ref467379793"/>
      <w:bookmarkStart w:id="74" w:name="_Toc487900357"/>
      <w:bookmarkStart w:id="75" w:name="_Toc279701247"/>
      <w:bookmarkStart w:id="76" w:name="_Toc259093676"/>
      <w:r>
        <w:rPr>
          <w:rFonts w:hint="eastAsia" w:ascii="宋体" w:hAnsi="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440" w:lineRule="exact"/>
        <w:rPr>
          <w:rFonts w:hint="eastAsia" w:ascii="宋体" w:hAnsi="宋体"/>
          <w:color w:val="auto"/>
          <w:sz w:val="24"/>
          <w:highlight w:val="none"/>
        </w:rPr>
      </w:pPr>
      <w:r>
        <w:rPr>
          <w:rFonts w:hint="eastAsia" w:ascii="宋体" w:hAnsi="宋体"/>
          <w:color w:val="auto"/>
          <w:sz w:val="24"/>
          <w:highlight w:val="none"/>
        </w:rPr>
        <w:t>2.5.2 合同履行期间，甲方有权将履行过程中出现的问题反馈给乙方，双方当事人应以书面形式约定需要完善和改进的内容</w:t>
      </w:r>
      <w:bookmarkEnd w:id="71"/>
      <w:bookmarkStart w:id="77" w:name="_Toc186431855"/>
      <w:r>
        <w:rPr>
          <w:rFonts w:hint="eastAsia" w:ascii="宋体" w:hAnsi="宋体"/>
          <w:color w:val="auto"/>
          <w:sz w:val="24"/>
          <w:highlight w:val="none"/>
        </w:rPr>
        <w:t>。</w:t>
      </w:r>
    </w:p>
    <w:bookmarkEnd w:id="77"/>
    <w:p>
      <w:pPr>
        <w:spacing w:line="440" w:lineRule="exact"/>
        <w:rPr>
          <w:rFonts w:hint="eastAsia" w:ascii="宋体" w:hAnsi="宋体"/>
          <w:color w:val="auto"/>
          <w:sz w:val="24"/>
          <w:highlight w:val="none"/>
        </w:rPr>
      </w:pPr>
      <w:bookmarkStart w:id="78" w:name="_Toc7836"/>
      <w:bookmarkStart w:id="79" w:name="_Toc28451"/>
      <w:bookmarkStart w:id="80" w:name="_Toc19219"/>
      <w:r>
        <w:rPr>
          <w:rFonts w:hint="eastAsia" w:ascii="宋体" w:hAnsi="宋体"/>
          <w:color w:val="auto"/>
          <w:sz w:val="24"/>
          <w:highlight w:val="none"/>
        </w:rPr>
        <w:t>2.6 结算方式和付款条件</w:t>
      </w:r>
      <w:bookmarkEnd w:id="72"/>
      <w:bookmarkEnd w:id="73"/>
      <w:bookmarkEnd w:id="74"/>
      <w:bookmarkEnd w:id="75"/>
      <w:bookmarkEnd w:id="76"/>
      <w:bookmarkEnd w:id="78"/>
      <w:bookmarkEnd w:id="79"/>
      <w:bookmarkEnd w:id="80"/>
    </w:p>
    <w:p>
      <w:pPr>
        <w:spacing w:line="440" w:lineRule="exact"/>
        <w:rPr>
          <w:rFonts w:hint="eastAsia" w:ascii="宋体" w:hAnsi="宋体"/>
          <w:color w:val="auto"/>
          <w:sz w:val="24"/>
          <w:highlight w:val="none"/>
        </w:rPr>
      </w:pPr>
      <w:r>
        <w:rPr>
          <w:rFonts w:hint="eastAsia" w:ascii="宋体" w:hAnsi="宋体"/>
          <w:color w:val="auto"/>
          <w:sz w:val="24"/>
          <w:highlight w:val="none"/>
        </w:rPr>
        <w:t>详见合同专用条款。</w:t>
      </w:r>
    </w:p>
    <w:p>
      <w:pPr>
        <w:spacing w:line="440" w:lineRule="exact"/>
        <w:rPr>
          <w:rFonts w:hint="eastAsia" w:ascii="宋体" w:hAnsi="宋体"/>
          <w:color w:val="auto"/>
          <w:sz w:val="24"/>
          <w:highlight w:val="none"/>
        </w:rPr>
      </w:pPr>
      <w:bookmarkStart w:id="81" w:name="_Ref467379863"/>
      <w:bookmarkStart w:id="82" w:name="_Ref467379852"/>
      <w:bookmarkStart w:id="83" w:name="_Toc259093677"/>
      <w:bookmarkStart w:id="84" w:name="_Toc279701248"/>
      <w:bookmarkStart w:id="85" w:name="_Toc487900358"/>
      <w:bookmarkStart w:id="86" w:name="_Ref467379923"/>
      <w:bookmarkStart w:id="87" w:name="_Toc3225"/>
      <w:bookmarkStart w:id="88" w:name="_Toc16110"/>
      <w:bookmarkStart w:id="89" w:name="_Toc774"/>
      <w:r>
        <w:rPr>
          <w:rFonts w:hint="eastAsia" w:ascii="宋体" w:hAnsi="宋体"/>
          <w:color w:val="auto"/>
          <w:sz w:val="24"/>
          <w:highlight w:val="none"/>
        </w:rPr>
        <w:t>2.7 技术资料</w:t>
      </w:r>
      <w:bookmarkEnd w:id="81"/>
      <w:bookmarkEnd w:id="82"/>
      <w:bookmarkEnd w:id="83"/>
      <w:bookmarkEnd w:id="84"/>
      <w:bookmarkEnd w:id="85"/>
      <w:bookmarkEnd w:id="86"/>
      <w:r>
        <w:rPr>
          <w:rFonts w:hint="eastAsia" w:ascii="宋体" w:hAnsi="宋体"/>
          <w:color w:val="auto"/>
          <w:sz w:val="24"/>
          <w:highlight w:val="none"/>
        </w:rPr>
        <w:t>和保密义务</w:t>
      </w:r>
      <w:bookmarkEnd w:id="87"/>
      <w:bookmarkEnd w:id="88"/>
      <w:bookmarkEnd w:id="89"/>
    </w:p>
    <w:p>
      <w:pPr>
        <w:spacing w:line="440" w:lineRule="exact"/>
        <w:rPr>
          <w:rFonts w:hint="eastAsia" w:ascii="宋体" w:hAnsi="宋体"/>
          <w:color w:val="auto"/>
          <w:sz w:val="24"/>
          <w:highlight w:val="none"/>
        </w:rPr>
      </w:pPr>
      <w:r>
        <w:rPr>
          <w:rFonts w:hint="eastAsia" w:ascii="宋体" w:hAnsi="宋体"/>
          <w:color w:val="auto"/>
          <w:sz w:val="24"/>
          <w:highlight w:val="none"/>
        </w:rPr>
        <w:t>2.7.1 乙方有权依据合同约定和项目需要，向甲方了解有关情况，调阅有关资料等，甲方应予积极配合；</w:t>
      </w:r>
    </w:p>
    <w:p>
      <w:pPr>
        <w:spacing w:line="440" w:lineRule="exact"/>
        <w:rPr>
          <w:rFonts w:hint="eastAsia" w:ascii="宋体" w:hAnsi="宋体"/>
          <w:color w:val="auto"/>
          <w:sz w:val="24"/>
          <w:highlight w:val="none"/>
        </w:rPr>
      </w:pPr>
      <w:r>
        <w:rPr>
          <w:rFonts w:hint="eastAsia" w:ascii="宋体" w:hAnsi="宋体"/>
          <w:color w:val="auto"/>
          <w:sz w:val="24"/>
          <w:highlight w:val="none"/>
        </w:rPr>
        <w:t>2.7.2 乙方有义务妥善保管和保护由甲方提供的前款信息和资料等；</w:t>
      </w:r>
    </w:p>
    <w:p>
      <w:pPr>
        <w:spacing w:line="440" w:lineRule="exact"/>
        <w:rPr>
          <w:rFonts w:hint="eastAsia" w:ascii="宋体" w:hAnsi="宋体"/>
          <w:color w:val="auto"/>
          <w:sz w:val="24"/>
          <w:highlight w:val="none"/>
        </w:rPr>
      </w:pPr>
      <w:r>
        <w:rPr>
          <w:rFonts w:hint="eastAsia" w:ascii="宋体" w:hAnsi="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440" w:lineRule="exact"/>
        <w:rPr>
          <w:rFonts w:hint="eastAsia" w:ascii="宋体" w:hAnsi="宋体"/>
          <w:color w:val="auto"/>
          <w:sz w:val="24"/>
          <w:highlight w:val="none"/>
        </w:rPr>
      </w:pPr>
      <w:bookmarkStart w:id="90" w:name="_Toc7860"/>
      <w:r>
        <w:rPr>
          <w:rFonts w:hint="eastAsia" w:ascii="宋体" w:hAnsi="宋体"/>
          <w:color w:val="auto"/>
          <w:sz w:val="24"/>
          <w:highlight w:val="none"/>
        </w:rPr>
        <w:t>2.8 质量保证</w:t>
      </w:r>
      <w:bookmarkEnd w:id="90"/>
    </w:p>
    <w:p>
      <w:pPr>
        <w:spacing w:line="440" w:lineRule="exact"/>
        <w:rPr>
          <w:rFonts w:hint="eastAsia" w:ascii="宋体" w:hAnsi="宋体"/>
          <w:color w:val="auto"/>
          <w:sz w:val="24"/>
          <w:highlight w:val="none"/>
        </w:rPr>
      </w:pPr>
      <w:r>
        <w:rPr>
          <w:rFonts w:hint="eastAsia" w:ascii="宋体" w:hAnsi="宋体"/>
          <w:color w:val="auto"/>
          <w:sz w:val="24"/>
          <w:highlight w:val="none"/>
        </w:rPr>
        <w:t>2.8.1 乙方应建立和完善履行合同的内部质量保证体系，并提供相关内部规章制度给甲方，以便甲方进行监督检查；</w:t>
      </w:r>
    </w:p>
    <w:p>
      <w:pPr>
        <w:spacing w:line="440" w:lineRule="exact"/>
        <w:rPr>
          <w:rFonts w:hint="eastAsia" w:ascii="宋体" w:hAnsi="宋体"/>
          <w:color w:val="auto"/>
          <w:sz w:val="24"/>
          <w:highlight w:val="none"/>
        </w:rPr>
      </w:pPr>
      <w:r>
        <w:rPr>
          <w:rFonts w:hint="eastAsia" w:ascii="宋体" w:hAnsi="宋体"/>
          <w:color w:val="auto"/>
          <w:sz w:val="24"/>
          <w:highlight w:val="none"/>
        </w:rPr>
        <w:t>2.8.2 乙方应保证履行合同的人员数量和素质、软件和硬件设备的配置、场地、环境和设施等满足全面履行合同的要求，并应接受甲方的监督检查。</w:t>
      </w:r>
    </w:p>
    <w:p>
      <w:pPr>
        <w:spacing w:line="440" w:lineRule="exact"/>
        <w:rPr>
          <w:rFonts w:hint="eastAsia" w:ascii="宋体" w:hAnsi="宋体"/>
          <w:color w:val="auto"/>
          <w:sz w:val="24"/>
          <w:highlight w:val="none"/>
        </w:rPr>
      </w:pPr>
      <w:bookmarkStart w:id="91" w:name="_Toc17244"/>
      <w:bookmarkStart w:id="92" w:name="_Toc487900362"/>
      <w:bookmarkStart w:id="93" w:name="_Toc259093681"/>
      <w:bookmarkStart w:id="94" w:name="_Toc279701252"/>
      <w:r>
        <w:rPr>
          <w:rFonts w:hint="eastAsia" w:ascii="宋体" w:hAnsi="宋体"/>
          <w:color w:val="auto"/>
          <w:sz w:val="24"/>
          <w:highlight w:val="none"/>
        </w:rPr>
        <w:t>2.9 货物的风险负担</w:t>
      </w:r>
      <w:bookmarkEnd w:id="91"/>
    </w:p>
    <w:p>
      <w:pPr>
        <w:spacing w:line="440" w:lineRule="exact"/>
        <w:rPr>
          <w:rFonts w:hint="eastAsia" w:ascii="宋体" w:hAnsi="宋体"/>
          <w:color w:val="auto"/>
          <w:sz w:val="24"/>
          <w:highlight w:val="none"/>
        </w:rPr>
      </w:pPr>
      <w:r>
        <w:rPr>
          <w:rFonts w:hint="eastAsia" w:ascii="宋体" w:hAnsi="宋体"/>
          <w:color w:val="auto"/>
          <w:sz w:val="24"/>
          <w:highlight w:val="none"/>
        </w:rPr>
        <w:t>货物或者在途货物或者交付给第一承运人后的货物毁损、灭失的风险负担详见合同专用条款。</w:t>
      </w:r>
    </w:p>
    <w:p>
      <w:pPr>
        <w:spacing w:line="440" w:lineRule="exact"/>
        <w:rPr>
          <w:rFonts w:hint="eastAsia" w:ascii="宋体" w:hAnsi="宋体"/>
          <w:color w:val="auto"/>
          <w:sz w:val="24"/>
          <w:highlight w:val="none"/>
        </w:rPr>
      </w:pPr>
      <w:bookmarkStart w:id="95" w:name="_Toc14055"/>
      <w:r>
        <w:rPr>
          <w:rFonts w:hint="eastAsia" w:ascii="宋体" w:hAnsi="宋体"/>
          <w:color w:val="auto"/>
          <w:sz w:val="24"/>
          <w:highlight w:val="none"/>
        </w:rPr>
        <w:t>2.10 延迟交货</w:t>
      </w:r>
      <w:bookmarkEnd w:id="92"/>
      <w:bookmarkEnd w:id="93"/>
      <w:bookmarkEnd w:id="94"/>
      <w:bookmarkEnd w:id="95"/>
    </w:p>
    <w:p>
      <w:pPr>
        <w:spacing w:line="440" w:lineRule="exact"/>
        <w:rPr>
          <w:rFonts w:hint="eastAsia" w:ascii="宋体" w:hAnsi="宋体"/>
          <w:color w:val="auto"/>
          <w:sz w:val="24"/>
          <w:highlight w:val="none"/>
        </w:rPr>
      </w:pPr>
      <w:r>
        <w:rPr>
          <w:rFonts w:hint="eastAsia" w:ascii="宋体" w:hAnsi="宋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440" w:lineRule="exact"/>
        <w:rPr>
          <w:rFonts w:hint="eastAsia" w:ascii="宋体" w:hAnsi="宋体"/>
          <w:color w:val="auto"/>
          <w:sz w:val="24"/>
          <w:highlight w:val="none"/>
        </w:rPr>
      </w:pPr>
      <w:bookmarkStart w:id="96" w:name="_Toc7502"/>
      <w:bookmarkStart w:id="97" w:name="_Toc487900364"/>
      <w:bookmarkStart w:id="98" w:name="_Ref467378121"/>
      <w:bookmarkStart w:id="99" w:name="_Toc279701254"/>
      <w:bookmarkStart w:id="100" w:name="_Toc259093683"/>
      <w:r>
        <w:rPr>
          <w:rFonts w:hint="eastAsia" w:ascii="宋体" w:hAnsi="宋体"/>
          <w:color w:val="auto"/>
          <w:sz w:val="24"/>
          <w:highlight w:val="none"/>
        </w:rPr>
        <w:t>2.11 合同变更</w:t>
      </w:r>
      <w:bookmarkEnd w:id="96"/>
    </w:p>
    <w:p>
      <w:pPr>
        <w:spacing w:line="440" w:lineRule="exact"/>
        <w:rPr>
          <w:rFonts w:hint="eastAsia" w:ascii="宋体" w:hAnsi="宋体"/>
          <w:color w:val="auto"/>
          <w:sz w:val="24"/>
          <w:highlight w:val="none"/>
        </w:rPr>
      </w:pPr>
      <w:r>
        <w:rPr>
          <w:rFonts w:hint="eastAsia" w:ascii="宋体" w:hAnsi="宋体"/>
          <w:color w:val="auto"/>
          <w:sz w:val="24"/>
          <w:highlight w:val="none"/>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440" w:lineRule="exact"/>
        <w:rPr>
          <w:rFonts w:hint="eastAsia" w:ascii="宋体" w:hAnsi="宋体"/>
          <w:color w:val="auto"/>
          <w:sz w:val="24"/>
          <w:highlight w:val="none"/>
        </w:rPr>
      </w:pPr>
      <w:r>
        <w:rPr>
          <w:rFonts w:hint="eastAsia" w:ascii="宋体" w:hAnsi="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101" w:name="_Toc259093688"/>
      <w:bookmarkStart w:id="102" w:name="_Toc487900369"/>
      <w:bookmarkStart w:id="103" w:name="_Toc279701259"/>
    </w:p>
    <w:p>
      <w:pPr>
        <w:spacing w:line="440" w:lineRule="exact"/>
        <w:rPr>
          <w:rFonts w:hint="eastAsia" w:ascii="宋体" w:hAnsi="宋体"/>
          <w:color w:val="auto"/>
          <w:sz w:val="24"/>
          <w:highlight w:val="none"/>
        </w:rPr>
      </w:pPr>
      <w:bookmarkStart w:id="104" w:name="_Toc22955"/>
      <w:bookmarkStart w:id="105" w:name="_Toc15237"/>
      <w:bookmarkStart w:id="106" w:name="_Toc10366"/>
      <w:r>
        <w:rPr>
          <w:rFonts w:hint="eastAsia" w:ascii="宋体" w:hAnsi="宋体"/>
          <w:color w:val="auto"/>
          <w:sz w:val="24"/>
          <w:highlight w:val="none"/>
        </w:rPr>
        <w:t>2.12 合同转让</w:t>
      </w:r>
      <w:bookmarkEnd w:id="101"/>
      <w:bookmarkEnd w:id="102"/>
      <w:bookmarkEnd w:id="103"/>
      <w:r>
        <w:rPr>
          <w:rFonts w:hint="eastAsia" w:ascii="宋体" w:hAnsi="宋体"/>
          <w:color w:val="auto"/>
          <w:sz w:val="24"/>
          <w:highlight w:val="none"/>
        </w:rPr>
        <w:t>和分包</w:t>
      </w:r>
      <w:bookmarkEnd w:id="104"/>
      <w:bookmarkEnd w:id="105"/>
      <w:bookmarkEnd w:id="106"/>
    </w:p>
    <w:p>
      <w:pPr>
        <w:spacing w:line="440" w:lineRule="exact"/>
        <w:rPr>
          <w:rFonts w:hint="eastAsia" w:ascii="宋体" w:hAnsi="宋体"/>
          <w:color w:val="auto"/>
          <w:sz w:val="24"/>
          <w:highlight w:val="none"/>
        </w:rPr>
      </w:pPr>
      <w:r>
        <w:rPr>
          <w:rFonts w:hint="eastAsia" w:ascii="宋体" w:hAnsi="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440" w:lineRule="exact"/>
        <w:rPr>
          <w:rFonts w:hint="eastAsia" w:ascii="宋体" w:hAnsi="宋体"/>
          <w:color w:val="auto"/>
          <w:sz w:val="24"/>
          <w:highlight w:val="none"/>
        </w:rPr>
      </w:pPr>
      <w:bookmarkStart w:id="107" w:name="_Toc14066"/>
      <w:bookmarkStart w:id="108" w:name="_Toc13566"/>
      <w:bookmarkStart w:id="109" w:name="_Toc16508"/>
      <w:r>
        <w:rPr>
          <w:rFonts w:hint="eastAsia" w:ascii="宋体" w:hAnsi="宋体"/>
          <w:color w:val="auto"/>
          <w:sz w:val="24"/>
          <w:highlight w:val="none"/>
        </w:rPr>
        <w:t>2.13 不可抗力</w:t>
      </w:r>
      <w:bookmarkEnd w:id="107"/>
      <w:bookmarkEnd w:id="108"/>
      <w:bookmarkEnd w:id="109"/>
    </w:p>
    <w:p>
      <w:pPr>
        <w:spacing w:line="440" w:lineRule="exact"/>
        <w:rPr>
          <w:rFonts w:hint="eastAsia" w:ascii="宋体" w:hAnsi="宋体"/>
          <w:color w:val="auto"/>
          <w:sz w:val="24"/>
          <w:highlight w:val="none"/>
        </w:rPr>
      </w:pPr>
      <w:r>
        <w:rPr>
          <w:rFonts w:hint="eastAsia" w:ascii="宋体" w:hAnsi="宋体"/>
          <w:color w:val="auto"/>
          <w:sz w:val="24"/>
          <w:highlight w:val="none"/>
        </w:rPr>
        <w:t>2.13.1如果任何一方遭遇法律规定的不可抗力，致使合同履行受阻时，履行合同的期限应予延长，延长的期限应相当于不可抗力所影响的时间；</w:t>
      </w:r>
    </w:p>
    <w:p>
      <w:pPr>
        <w:spacing w:line="440" w:lineRule="exact"/>
        <w:rPr>
          <w:rFonts w:hint="eastAsia" w:ascii="宋体" w:hAnsi="宋体"/>
          <w:color w:val="auto"/>
          <w:sz w:val="24"/>
          <w:highlight w:val="none"/>
        </w:rPr>
      </w:pPr>
      <w:r>
        <w:rPr>
          <w:rFonts w:hint="eastAsia" w:ascii="宋体" w:hAnsi="宋体"/>
          <w:color w:val="auto"/>
          <w:sz w:val="24"/>
          <w:highlight w:val="none"/>
        </w:rPr>
        <w:t>2.13.2 因不可抗力致使不能实现合同目的的，当事人可以解除合同；</w:t>
      </w:r>
    </w:p>
    <w:p>
      <w:pPr>
        <w:spacing w:line="440" w:lineRule="exact"/>
        <w:rPr>
          <w:rFonts w:hint="eastAsia" w:ascii="宋体" w:hAnsi="宋体"/>
          <w:color w:val="auto"/>
          <w:sz w:val="24"/>
          <w:highlight w:val="none"/>
        </w:rPr>
      </w:pPr>
      <w:r>
        <w:rPr>
          <w:rFonts w:hint="eastAsia" w:ascii="宋体" w:hAnsi="宋体"/>
          <w:color w:val="auto"/>
          <w:sz w:val="24"/>
          <w:highlight w:val="none"/>
        </w:rPr>
        <w:t>2.13.3 因不可抗力致使合同有变更必要的，双方当事人应在合同专用条款约定时间内以书面形式变更合同；</w:t>
      </w:r>
    </w:p>
    <w:p>
      <w:pPr>
        <w:spacing w:line="440" w:lineRule="exact"/>
        <w:rPr>
          <w:rFonts w:hint="eastAsia" w:ascii="宋体" w:hAnsi="宋体"/>
          <w:color w:val="auto"/>
          <w:sz w:val="24"/>
          <w:highlight w:val="none"/>
        </w:rPr>
      </w:pPr>
      <w:r>
        <w:rPr>
          <w:rFonts w:hint="eastAsia" w:ascii="宋体" w:hAnsi="宋体"/>
          <w:color w:val="auto"/>
          <w:sz w:val="24"/>
          <w:highlight w:val="none"/>
        </w:rPr>
        <w:t>2.13.4受不可抗力影响的一方在不可抗力发生后，应在合同专用条款约定时间内以书面形式通知对方当事人，并在合同专用条款约定时间内，将有关部门出具的证明文件送达对方当事人。</w:t>
      </w:r>
    </w:p>
    <w:p>
      <w:pPr>
        <w:spacing w:line="440" w:lineRule="exact"/>
        <w:rPr>
          <w:rFonts w:hint="eastAsia" w:ascii="宋体" w:hAnsi="宋体"/>
          <w:color w:val="auto"/>
          <w:sz w:val="24"/>
          <w:highlight w:val="none"/>
        </w:rPr>
      </w:pPr>
      <w:bookmarkStart w:id="110" w:name="_Toc279701255"/>
      <w:bookmarkStart w:id="111" w:name="_Toc689"/>
      <w:bookmarkStart w:id="112" w:name="_Toc259093684"/>
      <w:bookmarkStart w:id="113" w:name="_Toc6969"/>
      <w:bookmarkStart w:id="114" w:name="_Toc487900365"/>
      <w:bookmarkStart w:id="115" w:name="_Toc30676"/>
      <w:r>
        <w:rPr>
          <w:rFonts w:hint="eastAsia" w:ascii="宋体" w:hAnsi="宋体"/>
          <w:color w:val="auto"/>
          <w:sz w:val="24"/>
          <w:highlight w:val="none"/>
        </w:rPr>
        <w:t>2.14 税费</w:t>
      </w:r>
      <w:bookmarkEnd w:id="110"/>
      <w:bookmarkEnd w:id="111"/>
      <w:bookmarkEnd w:id="112"/>
      <w:bookmarkEnd w:id="113"/>
      <w:bookmarkEnd w:id="114"/>
      <w:bookmarkEnd w:id="115"/>
    </w:p>
    <w:p>
      <w:pPr>
        <w:spacing w:line="440" w:lineRule="exact"/>
        <w:rPr>
          <w:rFonts w:hint="eastAsia" w:ascii="宋体" w:hAnsi="宋体"/>
          <w:color w:val="auto"/>
          <w:sz w:val="24"/>
          <w:highlight w:val="none"/>
        </w:rPr>
      </w:pPr>
      <w:r>
        <w:rPr>
          <w:rFonts w:hint="eastAsia" w:ascii="宋体" w:hAnsi="宋体"/>
          <w:color w:val="auto"/>
          <w:sz w:val="24"/>
          <w:highlight w:val="none"/>
        </w:rPr>
        <w:t>与合同有关的一切税费，均按照中华人民共和国法律的相关规定。</w:t>
      </w:r>
    </w:p>
    <w:p>
      <w:pPr>
        <w:spacing w:line="440" w:lineRule="exact"/>
        <w:rPr>
          <w:rFonts w:hint="eastAsia" w:ascii="宋体" w:hAnsi="宋体"/>
          <w:color w:val="auto"/>
          <w:sz w:val="24"/>
          <w:highlight w:val="none"/>
        </w:rPr>
      </w:pPr>
      <w:bookmarkStart w:id="116" w:name="_Toc279701258"/>
      <w:bookmarkStart w:id="117" w:name="_Toc7102"/>
      <w:bookmarkStart w:id="118" w:name="_Toc259093687"/>
      <w:bookmarkStart w:id="119" w:name="_Toc16959"/>
      <w:bookmarkStart w:id="120" w:name="_Toc487900368"/>
      <w:bookmarkStart w:id="121" w:name="_Toc8298"/>
      <w:r>
        <w:rPr>
          <w:rFonts w:hint="eastAsia" w:ascii="宋体" w:hAnsi="宋体"/>
          <w:color w:val="auto"/>
          <w:sz w:val="24"/>
          <w:highlight w:val="none"/>
        </w:rPr>
        <w:t>2.15 乙方破产</w:t>
      </w:r>
      <w:bookmarkEnd w:id="116"/>
      <w:bookmarkEnd w:id="117"/>
      <w:bookmarkEnd w:id="118"/>
      <w:bookmarkEnd w:id="119"/>
      <w:bookmarkEnd w:id="120"/>
      <w:bookmarkEnd w:id="121"/>
    </w:p>
    <w:p>
      <w:pPr>
        <w:spacing w:line="440" w:lineRule="exact"/>
        <w:rPr>
          <w:rFonts w:hint="eastAsia" w:ascii="宋体" w:hAnsi="宋体"/>
          <w:color w:val="auto"/>
          <w:sz w:val="24"/>
          <w:highlight w:val="none"/>
        </w:rPr>
      </w:pPr>
      <w:r>
        <w:rPr>
          <w:rFonts w:hint="eastAsia" w:ascii="宋体" w:hAnsi="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440" w:lineRule="exact"/>
        <w:rPr>
          <w:rFonts w:hint="eastAsia" w:ascii="宋体" w:hAnsi="宋体"/>
          <w:color w:val="auto"/>
          <w:sz w:val="24"/>
          <w:highlight w:val="none"/>
        </w:rPr>
      </w:pPr>
      <w:bookmarkStart w:id="122" w:name="_Toc15387"/>
      <w:bookmarkStart w:id="123" w:name="_Toc29333"/>
      <w:bookmarkStart w:id="124" w:name="_Toc6134"/>
      <w:r>
        <w:rPr>
          <w:rFonts w:hint="eastAsia" w:ascii="宋体" w:hAnsi="宋体"/>
          <w:color w:val="auto"/>
          <w:sz w:val="24"/>
          <w:highlight w:val="none"/>
        </w:rPr>
        <w:t>2.16 合同中止、终止</w:t>
      </w:r>
      <w:bookmarkEnd w:id="122"/>
      <w:bookmarkEnd w:id="123"/>
      <w:bookmarkEnd w:id="124"/>
    </w:p>
    <w:p>
      <w:pPr>
        <w:spacing w:line="440" w:lineRule="exact"/>
        <w:rPr>
          <w:rFonts w:hint="eastAsia" w:ascii="宋体" w:hAnsi="宋体"/>
          <w:color w:val="auto"/>
          <w:sz w:val="24"/>
          <w:highlight w:val="none"/>
        </w:rPr>
      </w:pPr>
      <w:r>
        <w:rPr>
          <w:rFonts w:hint="eastAsia" w:ascii="宋体" w:hAnsi="宋体"/>
          <w:color w:val="auto"/>
          <w:sz w:val="24"/>
          <w:highlight w:val="none"/>
        </w:rPr>
        <w:t>2.16.1 双方当事人不得擅自中止或者终止合同；</w:t>
      </w:r>
    </w:p>
    <w:p>
      <w:pPr>
        <w:spacing w:line="440" w:lineRule="exact"/>
        <w:rPr>
          <w:rFonts w:hint="eastAsia" w:ascii="宋体" w:hAnsi="宋体"/>
          <w:color w:val="auto"/>
          <w:sz w:val="24"/>
          <w:highlight w:val="none"/>
        </w:rPr>
      </w:pPr>
      <w:r>
        <w:rPr>
          <w:rFonts w:hint="eastAsia" w:ascii="宋体" w:hAnsi="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pPr>
        <w:spacing w:line="440" w:lineRule="exact"/>
        <w:rPr>
          <w:rFonts w:hint="eastAsia" w:ascii="宋体" w:hAnsi="宋体"/>
          <w:color w:val="auto"/>
          <w:sz w:val="24"/>
          <w:highlight w:val="none"/>
        </w:rPr>
      </w:pPr>
      <w:bookmarkStart w:id="125" w:name="_Toc6596"/>
      <w:bookmarkStart w:id="126" w:name="_Toc14563"/>
      <w:bookmarkStart w:id="127" w:name="_Toc1125"/>
      <w:r>
        <w:rPr>
          <w:rFonts w:hint="eastAsia" w:ascii="宋体" w:hAnsi="宋体"/>
          <w:color w:val="auto"/>
          <w:sz w:val="24"/>
          <w:highlight w:val="none"/>
        </w:rPr>
        <w:t>2.17 检验和验收</w:t>
      </w:r>
      <w:bookmarkEnd w:id="125"/>
      <w:bookmarkEnd w:id="126"/>
      <w:bookmarkEnd w:id="127"/>
    </w:p>
    <w:p>
      <w:pPr>
        <w:spacing w:line="440" w:lineRule="exact"/>
        <w:rPr>
          <w:rFonts w:hint="eastAsia" w:ascii="宋体" w:hAnsi="宋体"/>
          <w:color w:val="auto"/>
          <w:sz w:val="24"/>
          <w:highlight w:val="none"/>
        </w:rPr>
      </w:pPr>
      <w:r>
        <w:rPr>
          <w:rFonts w:hint="eastAsia" w:ascii="宋体" w:hAnsi="宋体"/>
          <w:color w:val="auto"/>
          <w:sz w:val="24"/>
          <w:highlight w:val="none"/>
        </w:rPr>
        <w:t>2.17.1货物交付前，乙方应对货物的质量、数量等方面进行详细、全面的检验，并向甲方出具证明货物符合合同约定的文件；货物交付时，乙方在合同专用条款约定时间内组织验收，并可依法邀请相关方参加，验收应出具验收书。</w:t>
      </w:r>
    </w:p>
    <w:p>
      <w:pPr>
        <w:spacing w:line="440" w:lineRule="exact"/>
        <w:rPr>
          <w:rFonts w:hint="eastAsia" w:ascii="宋体" w:hAnsi="宋体"/>
          <w:color w:val="auto"/>
          <w:sz w:val="24"/>
          <w:highlight w:val="none"/>
        </w:rPr>
      </w:pPr>
      <w:r>
        <w:rPr>
          <w:rFonts w:hint="eastAsia" w:ascii="宋体" w:hAnsi="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440" w:lineRule="exact"/>
        <w:rPr>
          <w:rFonts w:hint="eastAsia" w:ascii="宋体" w:hAnsi="宋体"/>
          <w:color w:val="auto"/>
          <w:sz w:val="24"/>
          <w:highlight w:val="none"/>
        </w:rPr>
      </w:pPr>
      <w:r>
        <w:rPr>
          <w:rFonts w:hint="eastAsia" w:ascii="宋体" w:hAnsi="宋体"/>
          <w:color w:val="auto"/>
          <w:sz w:val="24"/>
          <w:highlight w:val="none"/>
        </w:rPr>
        <w:t>2.17.3 检验和验收标准、程序等具体内容以及前述验收书的效力详见合同专用条款。</w:t>
      </w:r>
    </w:p>
    <w:bookmarkEnd w:id="97"/>
    <w:bookmarkEnd w:id="98"/>
    <w:bookmarkEnd w:id="99"/>
    <w:bookmarkEnd w:id="100"/>
    <w:p>
      <w:pPr>
        <w:spacing w:line="440" w:lineRule="exact"/>
        <w:rPr>
          <w:rFonts w:hint="eastAsia" w:ascii="宋体" w:hAnsi="宋体"/>
          <w:color w:val="auto"/>
          <w:sz w:val="24"/>
          <w:highlight w:val="none"/>
        </w:rPr>
      </w:pPr>
      <w:bookmarkStart w:id="128" w:name="_Toc487900371"/>
      <w:bookmarkStart w:id="129" w:name="_Toc279701261"/>
      <w:bookmarkStart w:id="130" w:name="_Toc259093690"/>
      <w:bookmarkStart w:id="131" w:name="_Toc19604"/>
      <w:bookmarkStart w:id="132" w:name="_Toc11284"/>
      <w:bookmarkStart w:id="133" w:name="_Toc25182"/>
      <w:r>
        <w:rPr>
          <w:rFonts w:hint="eastAsia" w:ascii="宋体" w:hAnsi="宋体"/>
          <w:color w:val="auto"/>
          <w:sz w:val="24"/>
          <w:highlight w:val="none"/>
        </w:rPr>
        <w:t>2.18 通知</w:t>
      </w:r>
      <w:bookmarkEnd w:id="128"/>
      <w:bookmarkEnd w:id="129"/>
      <w:bookmarkEnd w:id="130"/>
      <w:r>
        <w:rPr>
          <w:rFonts w:hint="eastAsia" w:ascii="宋体" w:hAnsi="宋体"/>
          <w:color w:val="auto"/>
          <w:sz w:val="24"/>
          <w:highlight w:val="none"/>
        </w:rPr>
        <w:t>和送达</w:t>
      </w:r>
      <w:bookmarkEnd w:id="131"/>
      <w:bookmarkEnd w:id="132"/>
      <w:bookmarkEnd w:id="133"/>
    </w:p>
    <w:p>
      <w:pPr>
        <w:spacing w:line="440" w:lineRule="exact"/>
        <w:rPr>
          <w:rFonts w:hint="eastAsia" w:ascii="宋体" w:hAnsi="宋体"/>
          <w:color w:val="auto"/>
          <w:sz w:val="24"/>
          <w:highlight w:val="none"/>
        </w:rPr>
      </w:pPr>
      <w:bookmarkStart w:id="134" w:name="_Toc6698"/>
      <w:bookmarkStart w:id="135" w:name="_Toc3135"/>
      <w:bookmarkStart w:id="136" w:name="_Toc279701262"/>
      <w:bookmarkStart w:id="137" w:name="_Toc259093691"/>
      <w:bookmarkStart w:id="138" w:name="_Toc487900372"/>
      <w:r>
        <w:rPr>
          <w:rFonts w:hint="eastAsia" w:ascii="宋体" w:hAnsi="宋体"/>
          <w:color w:val="auto"/>
          <w:sz w:val="24"/>
          <w:highlight w:val="none"/>
        </w:rPr>
        <w:t>2.18.1 任何一方因履行合同而以合同第一部分尾部所列明的发出的所有通知、文件、材料，均视为已向对方当事人送达；任何一方变更上述送达方式或者地址的，应于   个工作日内书面通知对方当事人，在对方当事人收到有关变更通知之前，变更前的约定送达方式或者地址仍视为有效。</w:t>
      </w:r>
      <w:bookmarkEnd w:id="134"/>
      <w:bookmarkEnd w:id="135"/>
    </w:p>
    <w:p>
      <w:pPr>
        <w:spacing w:line="440" w:lineRule="exact"/>
        <w:rPr>
          <w:rFonts w:hint="eastAsia" w:ascii="宋体" w:hAnsi="宋体"/>
          <w:color w:val="auto"/>
          <w:sz w:val="24"/>
          <w:highlight w:val="none"/>
        </w:rPr>
      </w:pPr>
      <w:bookmarkStart w:id="139" w:name="_Toc23128"/>
      <w:bookmarkStart w:id="140" w:name="_Toc23294"/>
      <w:r>
        <w:rPr>
          <w:rFonts w:hint="eastAsia" w:ascii="宋体" w:hAnsi="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39"/>
      <w:bookmarkEnd w:id="140"/>
    </w:p>
    <w:p>
      <w:pPr>
        <w:spacing w:line="440" w:lineRule="exact"/>
        <w:rPr>
          <w:rFonts w:hint="eastAsia" w:ascii="宋体" w:hAnsi="宋体"/>
          <w:color w:val="auto"/>
          <w:sz w:val="24"/>
          <w:highlight w:val="none"/>
        </w:rPr>
      </w:pPr>
      <w:bookmarkStart w:id="141" w:name="_Toc4355"/>
      <w:bookmarkStart w:id="142" w:name="_Toc18540"/>
      <w:bookmarkStart w:id="143" w:name="_Toc30599"/>
      <w:r>
        <w:rPr>
          <w:rFonts w:hint="eastAsia" w:ascii="宋体" w:hAnsi="宋体"/>
          <w:color w:val="auto"/>
          <w:sz w:val="24"/>
          <w:highlight w:val="none"/>
        </w:rPr>
        <w:t>2.19 计量单位</w:t>
      </w:r>
      <w:bookmarkEnd w:id="136"/>
      <w:bookmarkEnd w:id="137"/>
      <w:bookmarkEnd w:id="138"/>
      <w:bookmarkEnd w:id="141"/>
      <w:bookmarkEnd w:id="142"/>
      <w:bookmarkEnd w:id="143"/>
    </w:p>
    <w:p>
      <w:pPr>
        <w:spacing w:line="440" w:lineRule="exact"/>
        <w:rPr>
          <w:rFonts w:hint="eastAsia" w:ascii="宋体" w:hAnsi="宋体"/>
          <w:color w:val="auto"/>
          <w:sz w:val="24"/>
          <w:highlight w:val="none"/>
        </w:rPr>
      </w:pPr>
      <w:r>
        <w:rPr>
          <w:rFonts w:hint="eastAsia" w:ascii="宋体" w:hAnsi="宋体"/>
          <w:color w:val="auto"/>
          <w:sz w:val="24"/>
          <w:highlight w:val="none"/>
        </w:rPr>
        <w:t>除技术规范中另有规定外,合同的计量单位均使用国家法定计量单位。</w:t>
      </w:r>
    </w:p>
    <w:p>
      <w:pPr>
        <w:spacing w:line="440" w:lineRule="exact"/>
        <w:rPr>
          <w:rFonts w:hint="eastAsia" w:ascii="宋体" w:hAnsi="宋体"/>
          <w:color w:val="auto"/>
          <w:sz w:val="24"/>
          <w:highlight w:val="none"/>
        </w:rPr>
      </w:pPr>
      <w:bookmarkStart w:id="144" w:name="_Toc279701263"/>
      <w:bookmarkStart w:id="145" w:name="_Toc259093692"/>
      <w:bookmarkStart w:id="146" w:name="_Toc487900373"/>
      <w:bookmarkStart w:id="147" w:name="_Toc10330"/>
      <w:bookmarkStart w:id="148" w:name="_Toc18567"/>
      <w:bookmarkStart w:id="149" w:name="_Toc12773"/>
      <w:r>
        <w:rPr>
          <w:rFonts w:hint="eastAsia" w:ascii="宋体" w:hAnsi="宋体"/>
          <w:color w:val="auto"/>
          <w:sz w:val="24"/>
          <w:highlight w:val="none"/>
        </w:rPr>
        <w:t>2.20 合同使用的文字和适用的法律</w:t>
      </w:r>
      <w:bookmarkEnd w:id="144"/>
      <w:bookmarkEnd w:id="145"/>
      <w:bookmarkEnd w:id="146"/>
      <w:bookmarkEnd w:id="147"/>
      <w:bookmarkEnd w:id="148"/>
      <w:bookmarkEnd w:id="149"/>
    </w:p>
    <w:p>
      <w:pPr>
        <w:spacing w:line="440" w:lineRule="exact"/>
        <w:rPr>
          <w:rFonts w:hint="eastAsia" w:ascii="宋体" w:hAnsi="宋体"/>
          <w:color w:val="auto"/>
          <w:sz w:val="24"/>
          <w:highlight w:val="none"/>
        </w:rPr>
      </w:pPr>
      <w:r>
        <w:rPr>
          <w:rFonts w:hint="eastAsia" w:ascii="宋体" w:hAnsi="宋体"/>
          <w:color w:val="auto"/>
          <w:sz w:val="24"/>
          <w:highlight w:val="none"/>
        </w:rPr>
        <w:t>2.20.1 合同使用汉语书就、变更和解释；</w:t>
      </w:r>
    </w:p>
    <w:p>
      <w:pPr>
        <w:spacing w:line="440" w:lineRule="exact"/>
        <w:rPr>
          <w:rFonts w:hint="eastAsia" w:ascii="宋体" w:hAnsi="宋体"/>
          <w:color w:val="auto"/>
          <w:sz w:val="24"/>
          <w:highlight w:val="none"/>
        </w:rPr>
      </w:pPr>
      <w:r>
        <w:rPr>
          <w:rFonts w:hint="eastAsia" w:ascii="宋体" w:hAnsi="宋体"/>
          <w:color w:val="auto"/>
          <w:sz w:val="24"/>
          <w:highlight w:val="none"/>
        </w:rPr>
        <w:t>2.20.2 合同适用中华人民共和国法律。</w:t>
      </w:r>
    </w:p>
    <w:p>
      <w:pPr>
        <w:spacing w:line="440" w:lineRule="exact"/>
        <w:rPr>
          <w:rFonts w:hint="eastAsia" w:ascii="宋体" w:hAnsi="宋体"/>
          <w:color w:val="auto"/>
          <w:sz w:val="24"/>
          <w:highlight w:val="none"/>
        </w:rPr>
      </w:pPr>
      <w:bookmarkStart w:id="150" w:name="_Toc12004"/>
      <w:bookmarkStart w:id="151" w:name="_Toc16673"/>
      <w:bookmarkStart w:id="152" w:name="_Toc279701264"/>
      <w:bookmarkStart w:id="153" w:name="_Toc3148"/>
      <w:bookmarkStart w:id="154" w:name="_Toc259093693"/>
      <w:bookmarkStart w:id="155" w:name="_Toc487900374"/>
      <w:r>
        <w:rPr>
          <w:rFonts w:hint="eastAsia" w:ascii="宋体" w:hAnsi="宋体"/>
          <w:color w:val="auto"/>
          <w:sz w:val="24"/>
          <w:highlight w:val="none"/>
        </w:rPr>
        <w:t>2.21 履约保证金</w:t>
      </w:r>
      <w:bookmarkEnd w:id="150"/>
      <w:bookmarkEnd w:id="151"/>
      <w:bookmarkEnd w:id="152"/>
      <w:bookmarkEnd w:id="153"/>
      <w:bookmarkEnd w:id="154"/>
    </w:p>
    <w:p>
      <w:pPr>
        <w:spacing w:line="440" w:lineRule="exact"/>
        <w:rPr>
          <w:rFonts w:hint="eastAsia" w:ascii="宋体" w:hAnsi="宋体"/>
          <w:color w:val="auto"/>
          <w:sz w:val="24"/>
          <w:highlight w:val="none"/>
        </w:rPr>
      </w:pPr>
      <w:r>
        <w:rPr>
          <w:rFonts w:hint="eastAsia" w:ascii="宋体" w:hAnsi="宋体"/>
          <w:color w:val="auto"/>
          <w:sz w:val="24"/>
          <w:highlight w:val="none"/>
        </w:rPr>
        <w:t>2.21.1 采购文件要求乙方提交履约保证金的，乙方应按合同专用条款约定的方式，以支票、汇票、本票或者金融机构、担保机构出具的保函等非现金形式，提交不超过合同价10%的履约保证金；</w:t>
      </w:r>
    </w:p>
    <w:p>
      <w:pPr>
        <w:spacing w:line="440" w:lineRule="exact"/>
        <w:rPr>
          <w:rFonts w:hint="eastAsia" w:ascii="宋体" w:hAnsi="宋体"/>
          <w:color w:val="auto"/>
          <w:sz w:val="24"/>
          <w:highlight w:val="none"/>
        </w:rPr>
      </w:pPr>
      <w:r>
        <w:rPr>
          <w:rFonts w:hint="eastAsia" w:ascii="宋体" w:hAnsi="宋体"/>
          <w:color w:val="auto"/>
          <w:sz w:val="24"/>
          <w:highlight w:val="none"/>
        </w:rPr>
        <w:t>2.21.2  履约保证金在合同专用条款约定期间内或者货物质量保证期内不予退还或者应完全有效，前述约定期间届满或者货物质量保证期届满之日起  个工作日内，甲方应将履约保证金退还乙方；</w:t>
      </w:r>
    </w:p>
    <w:p>
      <w:pPr>
        <w:spacing w:line="440" w:lineRule="exact"/>
        <w:rPr>
          <w:rFonts w:hint="eastAsia" w:ascii="宋体" w:hAnsi="宋体"/>
          <w:color w:val="auto"/>
          <w:sz w:val="24"/>
          <w:highlight w:val="none"/>
        </w:rPr>
      </w:pPr>
      <w:r>
        <w:rPr>
          <w:rFonts w:hint="eastAsia" w:ascii="宋体" w:hAnsi="宋体"/>
          <w:color w:val="auto"/>
          <w:sz w:val="24"/>
          <w:highlight w:val="none"/>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55"/>
    <w:p>
      <w:pPr>
        <w:spacing w:line="440" w:lineRule="exact"/>
        <w:rPr>
          <w:rFonts w:hint="eastAsia" w:ascii="宋体" w:hAnsi="宋体"/>
          <w:color w:val="auto"/>
          <w:sz w:val="24"/>
          <w:highlight w:val="none"/>
        </w:rPr>
      </w:pPr>
      <w:bookmarkStart w:id="156" w:name="_Toc14001"/>
      <w:bookmarkStart w:id="157" w:name="_Toc6885"/>
      <w:bookmarkStart w:id="158" w:name="_Toc19890"/>
      <w:r>
        <w:rPr>
          <w:rFonts w:hint="eastAsia" w:ascii="宋体" w:hAnsi="宋体"/>
          <w:color w:val="auto"/>
          <w:sz w:val="24"/>
          <w:highlight w:val="none"/>
        </w:rPr>
        <w:t>2.22 合同份数</w:t>
      </w:r>
      <w:bookmarkEnd w:id="156"/>
      <w:bookmarkEnd w:id="157"/>
      <w:bookmarkEnd w:id="158"/>
    </w:p>
    <w:p>
      <w:pPr>
        <w:spacing w:line="440" w:lineRule="exact"/>
        <w:rPr>
          <w:rFonts w:hint="eastAsia" w:ascii="宋体" w:hAnsi="宋体"/>
          <w:color w:val="auto"/>
          <w:sz w:val="24"/>
          <w:highlight w:val="none"/>
        </w:rPr>
      </w:pPr>
      <w:r>
        <w:rPr>
          <w:rFonts w:hint="eastAsia" w:ascii="宋体" w:hAnsi="宋体"/>
          <w:color w:val="auto"/>
          <w:sz w:val="24"/>
          <w:highlight w:val="none"/>
        </w:rPr>
        <w:t>合同份数按合同专用条款规定，每份均具有同等法律效力。</w:t>
      </w:r>
    </w:p>
    <w:p>
      <w:pPr>
        <w:spacing w:line="440" w:lineRule="exact"/>
        <w:jc w:val="center"/>
        <w:rPr>
          <w:rFonts w:hint="eastAsia" w:ascii="宋体" w:hAnsi="宋体"/>
          <w:color w:val="auto"/>
          <w:sz w:val="24"/>
          <w:highlight w:val="none"/>
        </w:rPr>
      </w:pPr>
      <w:r>
        <w:rPr>
          <w:rFonts w:hint="eastAsia" w:ascii="宋体" w:hAnsi="宋体"/>
          <w:color w:val="auto"/>
          <w:sz w:val="24"/>
          <w:highlight w:val="none"/>
        </w:rPr>
        <w:br w:type="page"/>
      </w:r>
      <w:bookmarkStart w:id="159" w:name="_Toc331685784"/>
      <w:r>
        <w:rPr>
          <w:rFonts w:hint="eastAsia" w:ascii="宋体" w:hAnsi="宋体"/>
          <w:color w:val="auto"/>
          <w:sz w:val="24"/>
          <w:highlight w:val="none"/>
        </w:rPr>
        <w:t>第三部分  合同专用条款</w:t>
      </w:r>
      <w:bookmarkEnd w:id="159"/>
    </w:p>
    <w:p>
      <w:pPr>
        <w:spacing w:line="440" w:lineRule="exact"/>
        <w:rPr>
          <w:rFonts w:hint="eastAsia" w:ascii="宋体" w:hAnsi="宋体"/>
          <w:color w:val="auto"/>
          <w:sz w:val="24"/>
          <w:highlight w:val="none"/>
        </w:rPr>
      </w:pPr>
      <w:r>
        <w:rPr>
          <w:rFonts w:hint="eastAsia" w:ascii="宋体" w:hAnsi="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1"/>
        <w:tblW w:w="843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91"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rPr>
              <w:t>条款号</w:t>
            </w:r>
          </w:p>
        </w:tc>
        <w:tc>
          <w:tcPr>
            <w:tcW w:w="7633" w:type="dxa"/>
            <w:noWrap w:val="0"/>
            <w:vAlign w:val="center"/>
          </w:tcPr>
          <w:p>
            <w:pPr>
              <w:spacing w:line="440" w:lineRule="exact"/>
              <w:rPr>
                <w:rFonts w:hint="eastAsia" w:ascii="宋体" w:hAnsi="宋体"/>
                <w:color w:val="auto"/>
                <w:sz w:val="24"/>
                <w:highlight w:val="none"/>
              </w:rPr>
            </w:pPr>
            <w:r>
              <w:rPr>
                <w:rFonts w:hint="eastAsia" w:ascii="宋体" w:hAnsi="宋体"/>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8"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pPr>
              <w:spacing w:line="440" w:lineRule="exact"/>
              <w:rPr>
                <w:rFonts w:hint="eastAsia" w:ascii="宋体" w:hAnsi="宋体"/>
                <w:color w:val="auto"/>
                <w:sz w:val="24"/>
                <w:highlight w:val="none"/>
              </w:rPr>
            </w:pPr>
          </w:p>
        </w:tc>
        <w:tc>
          <w:tcPr>
            <w:tcW w:w="7633" w:type="dxa"/>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noWrap w:val="0"/>
            <w:vAlign w:val="center"/>
          </w:tcPr>
          <w:p>
            <w:pPr>
              <w:spacing w:line="440" w:lineRule="exact"/>
              <w:rPr>
                <w:rFonts w:hint="eastAsia" w:ascii="宋体" w:hAnsi="宋体"/>
                <w:color w:val="auto"/>
                <w:sz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pPr>
              <w:spacing w:line="440" w:lineRule="exact"/>
              <w:rPr>
                <w:rFonts w:hint="eastAsia" w:ascii="宋体" w:hAnsi="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noWrap w:val="0"/>
            <w:vAlign w:val="center"/>
          </w:tcPr>
          <w:p>
            <w:pPr>
              <w:spacing w:line="440" w:lineRule="exact"/>
              <w:rPr>
                <w:rFonts w:hint="eastAsia" w:ascii="宋体" w:hAnsi="宋体"/>
                <w:color w:val="auto"/>
                <w:sz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pPr>
              <w:spacing w:line="440" w:lineRule="exact"/>
              <w:rPr>
                <w:rFonts w:hint="eastAsia" w:ascii="宋体" w:hAnsi="宋体"/>
                <w:color w:val="auto"/>
                <w:sz w:val="24"/>
                <w:highlight w:val="none"/>
              </w:rPr>
            </w:pPr>
          </w:p>
        </w:tc>
      </w:tr>
    </w:tbl>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hint="eastAsia" w:ascii="宋体" w:hAnsi="宋体"/>
          <w:b/>
          <w:color w:val="auto"/>
          <w:sz w:val="32"/>
          <w:szCs w:val="32"/>
          <w:highlight w:val="none"/>
        </w:rPr>
      </w:pPr>
    </w:p>
    <w:p>
      <w:pPr>
        <w:jc w:val="center"/>
        <w:rPr>
          <w:rFonts w:ascii="宋体"/>
          <w:b/>
          <w:color w:val="auto"/>
          <w:sz w:val="44"/>
          <w:highlight w:val="none"/>
        </w:rPr>
      </w:pPr>
      <w:r>
        <w:rPr>
          <w:rFonts w:hint="eastAsia" w:ascii="宋体" w:hAnsi="宋体"/>
          <w:b/>
          <w:color w:val="auto"/>
          <w:sz w:val="32"/>
          <w:szCs w:val="32"/>
          <w:highlight w:val="none"/>
        </w:rPr>
        <w:br w:type="page"/>
      </w:r>
      <w:r>
        <w:rPr>
          <w:rFonts w:hint="eastAsia" w:ascii="宋体" w:hAnsi="宋体"/>
          <w:b/>
          <w:color w:val="auto"/>
          <w:sz w:val="32"/>
          <w:szCs w:val="32"/>
          <w:highlight w:val="none"/>
        </w:rPr>
        <w:t>第五部分</w:t>
      </w:r>
      <w:r>
        <w:rPr>
          <w:rFonts w:ascii="宋体" w:hAnsi="宋体"/>
          <w:b/>
          <w:color w:val="auto"/>
          <w:sz w:val="32"/>
          <w:szCs w:val="32"/>
          <w:highlight w:val="none"/>
        </w:rPr>
        <w:t xml:space="preserve">  </w:t>
      </w:r>
      <w:r>
        <w:rPr>
          <w:rFonts w:hint="eastAsia" w:ascii="宋体" w:hAnsi="宋体"/>
          <w:b/>
          <w:color w:val="auto"/>
          <w:sz w:val="32"/>
          <w:szCs w:val="32"/>
          <w:highlight w:val="none"/>
        </w:rPr>
        <w:t>投标文件内容及格式</w:t>
      </w:r>
    </w:p>
    <w:p>
      <w:pPr>
        <w:jc w:val="center"/>
        <w:rPr>
          <w:rFonts w:ascii="宋体"/>
          <w:color w:val="auto"/>
          <w:sz w:val="24"/>
          <w:highlight w:val="none"/>
        </w:rPr>
      </w:pPr>
    </w:p>
    <w:p>
      <w:pPr>
        <w:numPr>
          <w:ilvl w:val="0"/>
          <w:numId w:val="4"/>
        </w:numPr>
        <w:jc w:val="center"/>
        <w:rPr>
          <w:rFonts w:hint="eastAsia"/>
        </w:rPr>
      </w:pPr>
      <w:r>
        <w:rPr>
          <w:rFonts w:hint="eastAsia" w:ascii="宋体" w:hAnsi="宋体"/>
          <w:b/>
          <w:color w:val="auto"/>
          <w:sz w:val="30"/>
          <w:szCs w:val="30"/>
          <w:highlight w:val="none"/>
        </w:rPr>
        <w:t>投标书编制顺序</w:t>
      </w:r>
    </w:p>
    <w:p>
      <w:pPr>
        <w:rPr>
          <w:rFonts w:hint="eastAsia" w:ascii="宋体" w:hAnsi="宋体"/>
          <w:color w:val="auto"/>
          <w:sz w:val="24"/>
          <w:highlight w:val="none"/>
        </w:rPr>
      </w:pPr>
    </w:p>
    <w:p>
      <w:pPr>
        <w:rPr>
          <w:rFonts w:hint="eastAsia" w:ascii="宋体" w:hAnsi="宋体"/>
          <w:color w:val="auto"/>
          <w:sz w:val="24"/>
          <w:highlight w:val="none"/>
        </w:rPr>
      </w:pPr>
      <w:r>
        <w:rPr>
          <w:rFonts w:hint="eastAsia" w:ascii="宋体" w:hAnsi="宋体"/>
          <w:color w:val="auto"/>
          <w:sz w:val="24"/>
          <w:highlight w:val="none"/>
        </w:rPr>
        <w:t>投标书编制顺序</w:t>
      </w:r>
    </w:p>
    <w:p>
      <w:pPr>
        <w:rPr>
          <w:rFonts w:hint="eastAsia" w:ascii="宋体" w:hAnsi="宋体"/>
          <w:color w:val="auto"/>
          <w:sz w:val="24"/>
          <w:highlight w:val="none"/>
        </w:rPr>
      </w:pPr>
      <w:r>
        <w:rPr>
          <w:rFonts w:hint="eastAsia" w:ascii="宋体" w:hAnsi="宋体"/>
          <w:color w:val="auto"/>
          <w:sz w:val="24"/>
          <w:highlight w:val="none"/>
        </w:rPr>
        <w:t>投标人应按下列顺序排列和装订投标文件：</w:t>
      </w:r>
    </w:p>
    <w:p>
      <w:pPr>
        <w:jc w:val="center"/>
        <w:rPr>
          <w:rFonts w:hint="default" w:eastAsia="宋体"/>
          <w:b/>
          <w:bCs/>
          <w:sz w:val="22"/>
          <w:szCs w:val="28"/>
          <w:lang w:val="en-US" w:eastAsia="zh-CN"/>
        </w:rPr>
      </w:pPr>
      <w:r>
        <w:rPr>
          <w:rFonts w:hint="eastAsia" w:ascii="宋体" w:hAnsi="宋体"/>
          <w:b/>
          <w:bCs/>
          <w:color w:val="auto"/>
          <w:sz w:val="28"/>
          <w:szCs w:val="28"/>
          <w:highlight w:val="none"/>
          <w:lang w:val="en-US" w:eastAsia="zh-CN"/>
        </w:rPr>
        <w:t>目  录</w:t>
      </w:r>
    </w:p>
    <w:p>
      <w:pPr>
        <w:rPr>
          <w:rFonts w:hint="eastAsia" w:ascii="宋体" w:hAnsi="宋体" w:eastAsia="宋体"/>
          <w:color w:val="auto"/>
          <w:sz w:val="24"/>
          <w:highlight w:val="none"/>
          <w:lang w:eastAsia="zh-CN"/>
        </w:rPr>
      </w:pPr>
      <w:r>
        <w:rPr>
          <w:rFonts w:hint="eastAsia" w:ascii="宋体" w:hAnsi="宋体"/>
          <w:color w:val="000000" w:themeColor="text1"/>
          <w:sz w:val="24"/>
          <w14:textFill>
            <w14:solidFill>
              <w14:schemeClr w14:val="tx1"/>
            </w14:solidFill>
          </w14:textFill>
        </w:rPr>
        <w:t>一、</w:t>
      </w:r>
      <w:r>
        <w:rPr>
          <w:rFonts w:hint="eastAsia" w:ascii="宋体" w:hAnsi="宋体"/>
          <w:color w:val="auto"/>
          <w:sz w:val="24"/>
          <w:highlight w:val="none"/>
        </w:rPr>
        <w:t>投标</w:t>
      </w:r>
      <w:r>
        <w:rPr>
          <w:rFonts w:hint="eastAsia" w:ascii="宋体" w:hAnsi="宋体"/>
          <w:color w:val="auto"/>
          <w:sz w:val="24"/>
          <w:highlight w:val="none"/>
          <w:lang w:eastAsia="zh-CN"/>
        </w:rPr>
        <w:t>函</w:t>
      </w:r>
    </w:p>
    <w:p>
      <w:pPr>
        <w:rPr>
          <w:rFonts w:ascii="宋体" w:hAnsi="宋体"/>
          <w:color w:val="auto"/>
          <w:sz w:val="24"/>
          <w:highlight w:val="none"/>
        </w:rPr>
      </w:pPr>
      <w:r>
        <w:rPr>
          <w:rFonts w:hint="eastAsia" w:ascii="宋体" w:hAnsi="宋体"/>
          <w:color w:val="auto"/>
          <w:sz w:val="24"/>
          <w:highlight w:val="none"/>
        </w:rPr>
        <w:t>二、投标一览表</w:t>
      </w:r>
    </w:p>
    <w:p>
      <w:pPr>
        <w:rPr>
          <w:rFonts w:ascii="宋体" w:hAnsi="宋体"/>
          <w:color w:val="auto"/>
          <w:sz w:val="24"/>
          <w:highlight w:val="none"/>
        </w:rPr>
      </w:pPr>
      <w:r>
        <w:rPr>
          <w:rFonts w:hint="eastAsia" w:ascii="宋体" w:hAnsi="宋体"/>
          <w:color w:val="auto"/>
          <w:sz w:val="24"/>
          <w:highlight w:val="none"/>
        </w:rPr>
        <w:t>三、 投标货物报价表</w:t>
      </w:r>
    </w:p>
    <w:p>
      <w:pPr>
        <w:rPr>
          <w:rFonts w:ascii="宋体" w:hAnsi="宋体"/>
          <w:color w:val="auto"/>
          <w:sz w:val="24"/>
          <w:highlight w:val="none"/>
        </w:rPr>
      </w:pPr>
      <w:r>
        <w:rPr>
          <w:rFonts w:hint="eastAsia" w:ascii="宋体" w:hAnsi="宋体"/>
          <w:color w:val="auto"/>
          <w:sz w:val="24"/>
          <w:highlight w:val="none"/>
        </w:rPr>
        <w:t>四、技术规格功能要求偏离表</w:t>
      </w:r>
    </w:p>
    <w:p>
      <w:pPr>
        <w:rPr>
          <w:rFonts w:ascii="宋体" w:hAnsi="宋体"/>
          <w:color w:val="auto"/>
          <w:sz w:val="24"/>
          <w:highlight w:val="none"/>
        </w:rPr>
      </w:pPr>
      <w:r>
        <w:rPr>
          <w:rFonts w:hint="eastAsia" w:ascii="宋体" w:hAnsi="宋体"/>
          <w:color w:val="auto"/>
          <w:sz w:val="24"/>
          <w:highlight w:val="none"/>
        </w:rPr>
        <w:t>五、商务条款偏离表</w:t>
      </w:r>
    </w:p>
    <w:p>
      <w:pPr>
        <w:rPr>
          <w:rFonts w:ascii="宋体" w:hAnsi="宋体"/>
          <w:color w:val="auto"/>
          <w:sz w:val="24"/>
          <w:highlight w:val="none"/>
        </w:rPr>
      </w:pPr>
      <w:r>
        <w:rPr>
          <w:rFonts w:hint="eastAsia" w:ascii="宋体" w:hAnsi="宋体"/>
          <w:color w:val="auto"/>
          <w:sz w:val="24"/>
          <w:highlight w:val="none"/>
        </w:rPr>
        <w:t>六、银行转账单复印件</w:t>
      </w:r>
    </w:p>
    <w:p>
      <w:pPr>
        <w:rPr>
          <w:rFonts w:ascii="宋体" w:hAnsi="宋体"/>
          <w:color w:val="auto"/>
          <w:sz w:val="24"/>
          <w:highlight w:val="none"/>
        </w:rPr>
      </w:pPr>
      <w:r>
        <w:rPr>
          <w:rFonts w:hint="eastAsia" w:ascii="宋体" w:hAnsi="宋体"/>
          <w:color w:val="auto"/>
          <w:sz w:val="24"/>
          <w:highlight w:val="none"/>
        </w:rPr>
        <w:t>七、投标方的资格声明</w:t>
      </w:r>
    </w:p>
    <w:p>
      <w:pPr>
        <w:rPr>
          <w:rFonts w:ascii="宋体" w:hAnsi="宋体"/>
          <w:color w:val="auto"/>
          <w:sz w:val="24"/>
          <w:highlight w:val="none"/>
        </w:rPr>
      </w:pPr>
      <w:r>
        <w:rPr>
          <w:rFonts w:hint="eastAsia" w:ascii="宋体" w:hAnsi="宋体"/>
          <w:color w:val="auto"/>
          <w:sz w:val="24"/>
          <w:highlight w:val="none"/>
        </w:rPr>
        <w:t>八、法人营业执照</w:t>
      </w:r>
    </w:p>
    <w:p>
      <w:pPr>
        <w:rPr>
          <w:rFonts w:ascii="宋体" w:hAnsi="宋体"/>
          <w:color w:val="auto"/>
          <w:sz w:val="24"/>
          <w:highlight w:val="none"/>
        </w:rPr>
      </w:pPr>
      <w:r>
        <w:rPr>
          <w:rFonts w:hint="eastAsia" w:ascii="宋体" w:hAnsi="宋体"/>
          <w:color w:val="auto"/>
          <w:sz w:val="24"/>
          <w:highlight w:val="none"/>
        </w:rPr>
        <w:t>九、法定代表人证明书</w:t>
      </w:r>
    </w:p>
    <w:p>
      <w:pPr>
        <w:rPr>
          <w:rFonts w:hint="eastAsia" w:ascii="宋体" w:hAnsi="宋体"/>
          <w:color w:val="auto"/>
          <w:sz w:val="24"/>
          <w:highlight w:val="none"/>
          <w:lang w:eastAsia="zh-CN"/>
        </w:rPr>
      </w:pPr>
      <w:r>
        <w:rPr>
          <w:rFonts w:hint="eastAsia" w:ascii="宋体" w:hAnsi="宋体"/>
          <w:color w:val="auto"/>
          <w:sz w:val="24"/>
          <w:highlight w:val="none"/>
        </w:rPr>
        <w:t>十、法定代表人授权书，被委托人必须是投标单位正式员工，需提供社保部门出具最少提供近一个月的缴纳社保证明（社保缴费凭证及个人明细表）</w:t>
      </w:r>
      <w:r>
        <w:rPr>
          <w:rFonts w:hint="eastAsia" w:ascii="宋体" w:hAnsi="宋体"/>
          <w:color w:val="auto"/>
          <w:sz w:val="24"/>
          <w:highlight w:val="none"/>
          <w:lang w:eastAsia="zh-CN"/>
        </w:rPr>
        <w:t>；</w:t>
      </w:r>
    </w:p>
    <w:p>
      <w:pPr>
        <w:rPr>
          <w:rFonts w:ascii="宋体" w:hAnsi="宋体"/>
          <w:color w:val="auto"/>
          <w:sz w:val="24"/>
          <w:highlight w:val="none"/>
        </w:rPr>
      </w:pPr>
      <w:r>
        <w:rPr>
          <w:rFonts w:hint="eastAsia" w:ascii="宋体" w:hAnsi="宋体"/>
          <w:color w:val="auto"/>
          <w:sz w:val="24"/>
          <w:highlight w:val="none"/>
        </w:rPr>
        <w:t>十一、质量保证书</w:t>
      </w:r>
    </w:p>
    <w:p>
      <w:pPr>
        <w:rPr>
          <w:rFonts w:ascii="宋体" w:hAnsi="宋体"/>
          <w:color w:val="auto"/>
          <w:sz w:val="24"/>
          <w:highlight w:val="none"/>
        </w:rPr>
      </w:pPr>
      <w:r>
        <w:rPr>
          <w:rFonts w:hint="eastAsia" w:ascii="宋体" w:hAnsi="宋体"/>
          <w:color w:val="auto"/>
          <w:sz w:val="24"/>
          <w:highlight w:val="none"/>
        </w:rPr>
        <w:t>十二、售后服务承诺书</w:t>
      </w:r>
    </w:p>
    <w:p>
      <w:pPr>
        <w:rPr>
          <w:rFonts w:ascii="宋体" w:hAnsi="宋体"/>
          <w:color w:val="auto"/>
          <w:sz w:val="24"/>
          <w:highlight w:val="none"/>
        </w:rPr>
      </w:pPr>
      <w:r>
        <w:rPr>
          <w:rFonts w:hint="eastAsia" w:ascii="宋体" w:hAnsi="宋体"/>
          <w:color w:val="auto"/>
          <w:sz w:val="24"/>
          <w:highlight w:val="none"/>
        </w:rPr>
        <w:t>十三、投标人证明投标资格合格的相关证件证明的复印件</w:t>
      </w:r>
    </w:p>
    <w:p>
      <w:pPr>
        <w:rPr>
          <w:rFonts w:ascii="宋体" w:hAnsi="宋体"/>
          <w:color w:val="auto"/>
          <w:sz w:val="24"/>
          <w:highlight w:val="none"/>
        </w:rPr>
      </w:pPr>
      <w:r>
        <w:rPr>
          <w:rFonts w:hint="eastAsia" w:ascii="宋体" w:hAnsi="宋体"/>
          <w:color w:val="auto"/>
          <w:sz w:val="24"/>
          <w:highlight w:val="none"/>
        </w:rPr>
        <w:t>十四、投标人证明货物合格的相关证件证明复印件</w:t>
      </w:r>
    </w:p>
    <w:p>
      <w:pPr>
        <w:rPr>
          <w:rFonts w:ascii="宋体" w:hAnsi="宋体"/>
          <w:color w:val="auto"/>
          <w:sz w:val="24"/>
          <w:highlight w:val="none"/>
        </w:rPr>
      </w:pPr>
      <w:r>
        <w:rPr>
          <w:rFonts w:hint="eastAsia" w:ascii="宋体" w:hAnsi="宋体"/>
          <w:color w:val="auto"/>
          <w:sz w:val="24"/>
          <w:highlight w:val="none"/>
        </w:rPr>
        <w:t>十五、投标单位（供应商）反商业贿赂承诺书</w:t>
      </w:r>
    </w:p>
    <w:p>
      <w:pPr>
        <w:rPr>
          <w:rFonts w:hint="eastAsia" w:ascii="宋体" w:hAnsi="宋体"/>
          <w:color w:val="auto"/>
          <w:sz w:val="24"/>
          <w:highlight w:val="none"/>
        </w:rPr>
      </w:pPr>
      <w:r>
        <w:rPr>
          <w:rFonts w:hint="eastAsia" w:ascii="宋体" w:hAnsi="宋体"/>
          <w:color w:val="auto"/>
          <w:sz w:val="24"/>
          <w:highlight w:val="none"/>
        </w:rPr>
        <w:t>十六、</w:t>
      </w:r>
      <w:r>
        <w:rPr>
          <w:rFonts w:hint="eastAsia" w:ascii="宋体" w:hAnsi="宋体" w:eastAsia="宋体"/>
          <w:color w:val="auto"/>
          <w:sz w:val="24"/>
          <w:highlight w:val="none"/>
          <w:lang w:val="en-US" w:eastAsia="zh-CN"/>
        </w:rPr>
        <w:t>项目实施计划、方案</w:t>
      </w:r>
    </w:p>
    <w:p>
      <w:pP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十七、中小企业声明函（符合本声明函填写</w:t>
      </w:r>
    </w:p>
    <w:p>
      <w:pPr>
        <w:rPr>
          <w:rFonts w:hint="eastAsia" w:ascii="宋体" w:hAnsi="宋体"/>
          <w:color w:val="auto"/>
          <w:sz w:val="24"/>
          <w:highlight w:val="none"/>
        </w:rPr>
      </w:pPr>
      <w:r>
        <w:rPr>
          <w:rFonts w:hint="eastAsia" w:ascii="宋体" w:hAnsi="宋体" w:eastAsia="宋体"/>
          <w:color w:val="auto"/>
          <w:sz w:val="24"/>
          <w:highlight w:val="none"/>
          <w:lang w:val="en-US" w:eastAsia="zh-CN"/>
        </w:rPr>
        <w:t>十八、</w:t>
      </w:r>
      <w:r>
        <w:rPr>
          <w:rFonts w:hint="eastAsia" w:ascii="宋体" w:hAnsi="宋体"/>
          <w:color w:val="auto"/>
          <w:sz w:val="24"/>
          <w:highlight w:val="none"/>
        </w:rPr>
        <w:t>经年审计的上年度会计报表</w:t>
      </w:r>
    </w:p>
    <w:p>
      <w:pPr>
        <w:pStyle w:val="2"/>
        <w:numPr>
          <w:ilvl w:val="1"/>
          <w:numId w:val="0"/>
        </w:numPr>
        <w:tabs>
          <w:tab w:val="clear" w:pos="420"/>
        </w:tabs>
        <w:ind w:leftChars="0"/>
        <w:rPr>
          <w:rFonts w:hint="default"/>
          <w:lang w:val="en-US"/>
        </w:rPr>
      </w:pPr>
      <w:r>
        <w:rPr>
          <w:rFonts w:hint="eastAsia"/>
          <w:color w:val="auto"/>
          <w:sz w:val="24"/>
          <w:highlight w:val="none"/>
          <w:lang w:val="en-US" w:eastAsia="zh-CN"/>
        </w:rPr>
        <w:t>十九、</w:t>
      </w:r>
      <w:r>
        <w:rPr>
          <w:rFonts w:hint="default" w:ascii="宋体" w:hAnsi="宋体"/>
          <w:color w:val="auto"/>
          <w:sz w:val="24"/>
          <w:highlight w:val="none"/>
          <w:lang w:val="en-US"/>
        </w:rPr>
        <w:t>健全的</w:t>
      </w:r>
      <w:r>
        <w:rPr>
          <w:rFonts w:hint="default" w:ascii="宋体" w:hAnsi="宋体"/>
          <w:color w:val="auto"/>
          <w:sz w:val="24"/>
          <w:highlight w:val="none"/>
          <w:lang w:val="en-US"/>
        </w:rPr>
        <w:fldChar w:fldCharType="begin"/>
      </w:r>
      <w:r>
        <w:rPr>
          <w:rFonts w:hint="default" w:ascii="宋体" w:hAnsi="宋体"/>
          <w:color w:val="auto"/>
          <w:sz w:val="24"/>
          <w:highlight w:val="none"/>
          <w:lang w:val="en-US"/>
        </w:rPr>
        <w:instrText xml:space="preserve"> HYPERLINK "https://www.baidu.com/s?wd=财务会计制度&amp;tn=SE_PcZhidaonwhc_ngpagmjz&amp;rsv_dl=gh_pc_zhidao" </w:instrText>
      </w:r>
      <w:r>
        <w:rPr>
          <w:rFonts w:hint="default" w:ascii="宋体" w:hAnsi="宋体"/>
          <w:color w:val="auto"/>
          <w:sz w:val="24"/>
          <w:highlight w:val="none"/>
          <w:lang w:val="en-US"/>
        </w:rPr>
        <w:fldChar w:fldCharType="separate"/>
      </w:r>
      <w:r>
        <w:rPr>
          <w:rFonts w:hint="default" w:ascii="宋体" w:hAnsi="宋体"/>
          <w:color w:val="auto"/>
          <w:sz w:val="24"/>
          <w:highlight w:val="none"/>
          <w:lang w:val="en-US"/>
        </w:rPr>
        <w:t>财务会计制度</w:t>
      </w:r>
      <w:r>
        <w:rPr>
          <w:rFonts w:hint="default" w:ascii="宋体" w:hAnsi="宋体"/>
          <w:color w:val="auto"/>
          <w:sz w:val="24"/>
          <w:highlight w:val="none"/>
          <w:lang w:val="en-US"/>
        </w:rPr>
        <w:fldChar w:fldCharType="end"/>
      </w:r>
    </w:p>
    <w:p>
      <w:pPr>
        <w:rPr>
          <w:rFonts w:hint="eastAsia" w:ascii="宋体" w:hAnsi="宋体" w:eastAsia="宋体"/>
          <w:color w:val="auto"/>
          <w:sz w:val="24"/>
          <w:highlight w:val="none"/>
        </w:rPr>
      </w:pPr>
      <w:r>
        <w:rPr>
          <w:rFonts w:hint="eastAsia" w:ascii="宋体" w:hAnsi="宋体"/>
          <w:color w:val="auto"/>
          <w:sz w:val="24"/>
          <w:highlight w:val="none"/>
          <w:lang w:eastAsia="zh-CN"/>
        </w:rPr>
        <w:t>二十</w:t>
      </w:r>
      <w:r>
        <w:rPr>
          <w:rFonts w:hint="eastAsia" w:ascii="宋体" w:hAnsi="宋体" w:eastAsia="宋体"/>
          <w:color w:val="auto"/>
          <w:sz w:val="24"/>
          <w:highlight w:val="none"/>
        </w:rPr>
        <w:t>、其它必须的资料及有利于投标的资料</w:t>
      </w:r>
    </w:p>
    <w:p>
      <w:pPr>
        <w:rPr>
          <w:rFonts w:ascii="宋体"/>
          <w:color w:val="auto"/>
          <w:sz w:val="24"/>
          <w:highlight w:val="none"/>
        </w:rPr>
      </w:pPr>
      <w:r>
        <w:rPr>
          <w:rFonts w:hint="eastAsia" w:ascii="宋体" w:hAnsi="宋体"/>
          <w:b/>
          <w:color w:val="auto"/>
          <w:sz w:val="28"/>
          <w:szCs w:val="28"/>
          <w:highlight w:val="none"/>
        </w:rPr>
        <w:t>注：</w:t>
      </w:r>
      <w:r>
        <w:rPr>
          <w:rFonts w:ascii="宋体" w:hAnsi="宋体"/>
          <w:bCs/>
          <w:color w:val="auto"/>
          <w:sz w:val="24"/>
          <w:highlight w:val="none"/>
        </w:rPr>
        <w:t>1</w:t>
      </w:r>
      <w:r>
        <w:rPr>
          <w:rFonts w:hint="eastAsia" w:ascii="宋体" w:hAnsi="宋体"/>
          <w:bCs/>
          <w:color w:val="auto"/>
          <w:sz w:val="24"/>
          <w:highlight w:val="none"/>
        </w:rPr>
        <w:t>、</w:t>
      </w:r>
      <w:r>
        <w:rPr>
          <w:rFonts w:hint="eastAsia" w:ascii="宋体" w:hAnsi="宋体"/>
          <w:color w:val="auto"/>
          <w:sz w:val="24"/>
          <w:highlight w:val="none"/>
        </w:rPr>
        <w:t>投标文件必须制作有目录和页码</w:t>
      </w:r>
    </w:p>
    <w:p>
      <w:pPr>
        <w:ind w:firstLine="600" w:firstLineChars="25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、只接受</w:t>
      </w:r>
      <w:r>
        <w:rPr>
          <w:rFonts w:ascii="宋体" w:hAnsi="宋体"/>
          <w:color w:val="auto"/>
          <w:sz w:val="24"/>
          <w:highlight w:val="none"/>
        </w:rPr>
        <w:t>A4</w:t>
      </w:r>
      <w:r>
        <w:rPr>
          <w:rFonts w:hint="eastAsia" w:ascii="宋体" w:hAnsi="宋体"/>
          <w:color w:val="auto"/>
          <w:sz w:val="24"/>
          <w:highlight w:val="none"/>
        </w:rPr>
        <w:t>纸张大小的投标文件</w:t>
      </w:r>
    </w:p>
    <w:p>
      <w:pPr>
        <w:rPr>
          <w:rFonts w:ascii="宋体"/>
          <w:color w:val="auto"/>
          <w:sz w:val="24"/>
          <w:highlight w:val="none"/>
        </w:rPr>
      </w:pPr>
      <w:r>
        <w:rPr>
          <w:rFonts w:hint="eastAsia" w:ascii="宋体" w:hAnsi="宋体"/>
          <w:b/>
          <w:color w:val="auto"/>
          <w:sz w:val="28"/>
          <w:szCs w:val="28"/>
          <w:highlight w:val="none"/>
        </w:rPr>
        <w:t>投标文件</w:t>
      </w:r>
      <w:r>
        <w:rPr>
          <w:rFonts w:hint="eastAsia" w:ascii="宋体" w:hAnsi="宋体"/>
          <w:b/>
          <w:color w:val="auto"/>
          <w:sz w:val="28"/>
          <w:szCs w:val="28"/>
          <w:highlight w:val="none"/>
          <w:lang w:eastAsia="zh-CN"/>
        </w:rPr>
        <w:t>严格</w:t>
      </w:r>
      <w:r>
        <w:rPr>
          <w:rFonts w:hint="eastAsia" w:ascii="宋体" w:hAnsi="宋体"/>
          <w:b/>
          <w:color w:val="auto"/>
          <w:sz w:val="28"/>
          <w:szCs w:val="28"/>
          <w:highlight w:val="none"/>
        </w:rPr>
        <w:t>按要求制作</w:t>
      </w:r>
    </w:p>
    <w:p>
      <w:pPr>
        <w:pStyle w:val="17"/>
        <w:rPr>
          <w:rFonts w:ascii="宋体"/>
          <w:color w:val="auto"/>
          <w:sz w:val="24"/>
          <w:highlight w:val="none"/>
        </w:rPr>
      </w:pPr>
    </w:p>
    <w:p>
      <w:pPr>
        <w:pStyle w:val="17"/>
        <w:rPr>
          <w:rFonts w:ascii="宋体"/>
          <w:color w:val="auto"/>
          <w:sz w:val="24"/>
          <w:highlight w:val="none"/>
        </w:rPr>
      </w:pPr>
    </w:p>
    <w:p>
      <w:pPr>
        <w:pStyle w:val="17"/>
        <w:rPr>
          <w:rFonts w:ascii="宋体"/>
          <w:color w:val="auto"/>
          <w:sz w:val="24"/>
          <w:highlight w:val="none"/>
        </w:rPr>
      </w:pPr>
    </w:p>
    <w:p>
      <w:pPr>
        <w:ind w:right="980" w:firstLine="753" w:firstLineChars="250"/>
        <w:rPr>
          <w:rFonts w:hAnsi="宋体" w:cs="宋体"/>
          <w:color w:val="000000"/>
          <w:sz w:val="28"/>
          <w:szCs w:val="28"/>
          <w:u w:val="single"/>
        </w:rPr>
      </w:pPr>
      <w:r>
        <w:rPr>
          <w:rFonts w:ascii="宋体"/>
          <w:b/>
          <w:color w:val="auto"/>
          <w:sz w:val="30"/>
          <w:highlight w:val="none"/>
        </w:rPr>
        <w:br w:type="page"/>
      </w:r>
      <w:r>
        <mc:AlternateContent>
          <mc:Choice Requires="wps">
            <w:drawing>
              <wp:anchor distT="0" distB="0" distL="114300" distR="114300" simplePos="0" relativeHeight="251668480" behindDoc="0" locked="0" layoutInCell="1" allowOverlap="1">
                <wp:simplePos x="0" y="0"/>
                <wp:positionH relativeFrom="column">
                  <wp:posOffset>4665345</wp:posOffset>
                </wp:positionH>
                <wp:positionV relativeFrom="paragraph">
                  <wp:posOffset>-6350</wp:posOffset>
                </wp:positionV>
                <wp:extent cx="825500" cy="404495"/>
                <wp:effectExtent l="5080" t="4445" r="7620" b="10160"/>
                <wp:wrapNone/>
                <wp:docPr id="5" name="文本框 68"/>
                <wp:cNvGraphicFramePr/>
                <a:graphic xmlns:a="http://schemas.openxmlformats.org/drawingml/2006/main">
                  <a:graphicData uri="http://schemas.microsoft.com/office/word/2010/wordprocessingShape">
                    <wps:wsp>
                      <wps:cNvSpPr txBox="1"/>
                      <wps:spPr bwMode="auto">
                        <a:xfrm>
                          <a:off x="0" y="0"/>
                          <a:ext cx="825500" cy="404495"/>
                        </a:xfrm>
                        <a:prstGeom prst="rect">
                          <a:avLst/>
                        </a:prstGeom>
                        <a:noFill/>
                        <a:ln w="9525">
                          <a:solidFill>
                            <a:srgbClr val="000000"/>
                          </a:solidFill>
                          <a:miter lim="800000"/>
                        </a:ln>
                        <a:effectLst/>
                      </wps:spPr>
                      <wps:txbx>
                        <w:txbxContent>
                          <w:p>
                            <w:pPr>
                              <w:jc w:val="center"/>
                              <w:rPr>
                                <w:sz w:val="36"/>
                                <w:szCs w:val="36"/>
                              </w:rPr>
                            </w:pPr>
                            <w:r>
                              <w:rPr>
                                <w:rFonts w:hint="eastAsia" w:ascii="Calibri" w:hAnsi="Calibri"/>
                                <w:sz w:val="36"/>
                                <w:szCs w:val="36"/>
                              </w:rPr>
                              <w:t>正本</w:t>
                            </w:r>
                          </w:p>
                        </w:txbxContent>
                      </wps:txbx>
                      <wps:bodyPr rot="0" vert="horz" wrap="square" lIns="91439" tIns="45720" rIns="91439" bIns="45720" anchor="t" anchorCtr="0" upright="1">
                        <a:noAutofit/>
                      </wps:bodyPr>
                    </wps:wsp>
                  </a:graphicData>
                </a:graphic>
              </wp:anchor>
            </w:drawing>
          </mc:Choice>
          <mc:Fallback>
            <w:pict>
              <v:shape id="文本框 68" o:spid="_x0000_s1026" o:spt="202" type="#_x0000_t202" style="position:absolute;left:0pt;margin-left:367.35pt;margin-top:-0.5pt;height:31.85pt;width:65pt;z-index:251668480;mso-width-relative:page;mso-height-relative:page;" filled="f" stroked="t" coordsize="21600,21600" o:gfxdata="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jyCVPWAAAACQEAAA8AAAAAAAAAAQAgAAAA&#10;IgAAAGRycy9kb3ducmV2LnhtbFBLAQIUABQAAAAIAIdO4kCpMVp6DQIAAO4DAAAOAAAAAAAAAAEA&#10;IAAAACUBAABkcnMvZTJvRG9jLnhtbFBLBQYAAAAABgAGAFkBAACkBQAAAAA=&#10;">
                <v:fill on="f" focussize="0,0"/>
                <v:stroke color="#000000" miterlimit="8" joinstyle="miter"/>
                <v:imagedata o:title=""/>
                <o:lock v:ext="edit" aspectratio="f"/>
                <v:textbox inset="7.19992125984252pt,1.27mm,7.19992125984252pt,1.27mm">
                  <w:txbxContent>
                    <w:p>
                      <w:pPr>
                        <w:jc w:val="center"/>
                        <w:rPr>
                          <w:sz w:val="36"/>
                          <w:szCs w:val="36"/>
                        </w:rPr>
                      </w:pPr>
                      <w:r>
                        <w:rPr>
                          <w:rFonts w:hint="eastAsia" w:ascii="Calibri" w:hAnsi="Calibri"/>
                          <w:sz w:val="36"/>
                          <w:szCs w:val="36"/>
                        </w:rPr>
                        <w:t>正本</w:t>
                      </w:r>
                    </w:p>
                  </w:txbxContent>
                </v:textbox>
              </v:shape>
            </w:pict>
          </mc:Fallback>
        </mc:AlternateContent>
      </w:r>
    </w:p>
    <w:p>
      <w:pPr>
        <w:ind w:right="980" w:firstLine="700" w:firstLineChars="250"/>
        <w:jc w:val="center"/>
        <w:rPr>
          <w:rFonts w:ascii="宋体" w:hAnsi="宋体" w:cs="宋体"/>
          <w:color w:val="000000"/>
          <w:sz w:val="28"/>
          <w:szCs w:val="28"/>
          <w:u w:val="single"/>
        </w:rPr>
      </w:pPr>
    </w:p>
    <w:p>
      <w:pPr>
        <w:ind w:right="980" w:firstLine="700" w:firstLineChars="250"/>
        <w:jc w:val="center"/>
        <w:rPr>
          <w:rFonts w:ascii="宋体" w:hAnsi="宋体" w:cs="宋体"/>
          <w:color w:val="000000"/>
          <w:sz w:val="28"/>
          <w:szCs w:val="28"/>
          <w:u w:val="single"/>
        </w:rPr>
      </w:pPr>
    </w:p>
    <w:p>
      <w:pPr>
        <w:ind w:right="980" w:firstLine="700" w:firstLineChars="250"/>
        <w:jc w:val="center"/>
        <w:rPr>
          <w:rFonts w:ascii="宋体" w:hAnsi="宋体" w:cs="宋体"/>
          <w:color w:val="000000"/>
          <w:sz w:val="28"/>
          <w:szCs w:val="28"/>
        </w:rPr>
      </w:pPr>
      <w:r>
        <w:rPr>
          <w:rFonts w:hint="eastAsia" w:ascii="宋体" w:hAnsi="宋体" w:cs="宋体"/>
          <w:color w:val="000000"/>
          <w:sz w:val="28"/>
          <w:szCs w:val="28"/>
          <w:u w:val="single"/>
        </w:rPr>
        <w:t xml:space="preserve">                               </w:t>
      </w:r>
      <w:r>
        <w:rPr>
          <w:rFonts w:hint="eastAsia" w:ascii="宋体" w:hAnsi="宋体" w:cs="宋体"/>
          <w:color w:val="000000"/>
          <w:sz w:val="28"/>
          <w:szCs w:val="28"/>
        </w:rPr>
        <w:t>（项目名称）</w:t>
      </w:r>
    </w:p>
    <w:p>
      <w:pPr>
        <w:ind w:right="980" w:firstLine="700" w:firstLineChars="250"/>
        <w:jc w:val="center"/>
        <w:rPr>
          <w:rFonts w:ascii="宋体" w:hAnsi="宋体" w:cs="宋体"/>
          <w:color w:val="000000"/>
          <w:sz w:val="28"/>
          <w:szCs w:val="28"/>
        </w:rPr>
      </w:pPr>
    </w:p>
    <w:p>
      <w:pPr>
        <w:jc w:val="center"/>
        <w:rPr>
          <w:rFonts w:ascii="宋体" w:hAnsi="宋体" w:cs="宋体"/>
          <w:color w:val="000000"/>
          <w:sz w:val="28"/>
          <w:szCs w:val="28"/>
        </w:rPr>
      </w:pPr>
    </w:p>
    <w:p>
      <w:pPr>
        <w:ind w:firstLine="980" w:firstLineChars="350"/>
        <w:rPr>
          <w:rFonts w:ascii="宋体" w:hAnsi="宋体" w:cs="宋体"/>
          <w:color w:val="000000"/>
          <w:sz w:val="28"/>
          <w:szCs w:val="28"/>
          <w:u w:val="single"/>
        </w:rPr>
      </w:pPr>
      <w:r>
        <w:rPr>
          <w:rFonts w:hint="eastAsia" w:ascii="宋体" w:hAnsi="宋体" w:cs="宋体"/>
          <w:color w:val="000000"/>
          <w:sz w:val="28"/>
          <w:szCs w:val="28"/>
        </w:rPr>
        <w:t xml:space="preserve">招标文件编号： </w:t>
      </w:r>
      <w:r>
        <w:rPr>
          <w:rFonts w:hint="eastAsia" w:ascii="宋体" w:hAnsi="宋体" w:cs="宋体"/>
          <w:color w:val="000000"/>
          <w:sz w:val="28"/>
          <w:szCs w:val="28"/>
          <w:u w:val="single"/>
        </w:rPr>
        <w:t xml:space="preserve">                       </w:t>
      </w:r>
    </w:p>
    <w:p>
      <w:pPr>
        <w:rPr>
          <w:rFonts w:ascii="宋体" w:hAnsi="宋体" w:cs="宋体"/>
          <w:color w:val="000000"/>
          <w:sz w:val="20"/>
        </w:rPr>
      </w:pPr>
    </w:p>
    <w:p>
      <w:pPr>
        <w:jc w:val="center"/>
        <w:rPr>
          <w:rFonts w:ascii="宋体" w:hAnsi="宋体" w:cs="宋体"/>
          <w:color w:val="000000"/>
          <w:sz w:val="20"/>
        </w:rPr>
      </w:pPr>
    </w:p>
    <w:p>
      <w:pPr>
        <w:jc w:val="center"/>
        <w:rPr>
          <w:rFonts w:ascii="宋体" w:hAnsi="宋体" w:cs="宋体"/>
          <w:color w:val="000000"/>
          <w:sz w:val="20"/>
        </w:rPr>
      </w:pPr>
    </w:p>
    <w:p>
      <w:pPr>
        <w:jc w:val="center"/>
        <w:rPr>
          <w:rFonts w:ascii="宋体" w:hAnsi="宋体" w:cs="宋体"/>
          <w:b/>
          <w:bCs/>
          <w:color w:val="000000"/>
          <w:sz w:val="44"/>
          <w:szCs w:val="44"/>
        </w:rPr>
      </w:pPr>
    </w:p>
    <w:p>
      <w:pPr>
        <w:jc w:val="center"/>
        <w:rPr>
          <w:rFonts w:ascii="宋体" w:hAnsi="宋体" w:cs="宋体"/>
          <w:b/>
          <w:bCs/>
          <w:color w:val="000000"/>
          <w:sz w:val="44"/>
          <w:szCs w:val="44"/>
        </w:rPr>
      </w:pPr>
      <w:r>
        <w:rPr>
          <w:rFonts w:hint="eastAsia" w:ascii="宋体" w:hAnsi="宋体" w:cs="宋体"/>
          <w:b/>
          <w:bCs/>
          <w:color w:val="000000"/>
          <w:sz w:val="44"/>
          <w:szCs w:val="44"/>
        </w:rPr>
        <w:t>投</w:t>
      </w:r>
      <w:r>
        <w:rPr>
          <w:rFonts w:ascii="宋体" w:hAnsi="宋体" w:cs="宋体"/>
          <w:b/>
          <w:bCs/>
          <w:color w:val="000000"/>
          <w:sz w:val="44"/>
          <w:szCs w:val="44"/>
        </w:rPr>
        <w:t xml:space="preserve">  </w:t>
      </w:r>
      <w:r>
        <w:rPr>
          <w:rFonts w:hint="eastAsia" w:ascii="宋体" w:hAnsi="宋体" w:cs="宋体"/>
          <w:b/>
          <w:bCs/>
          <w:color w:val="000000"/>
          <w:sz w:val="44"/>
          <w:szCs w:val="44"/>
        </w:rPr>
        <w:t>标</w:t>
      </w:r>
      <w:r>
        <w:rPr>
          <w:rFonts w:ascii="宋体" w:hAnsi="宋体" w:cs="宋体"/>
          <w:b/>
          <w:bCs/>
          <w:color w:val="000000"/>
          <w:sz w:val="44"/>
          <w:szCs w:val="44"/>
        </w:rPr>
        <w:t xml:space="preserve">  </w:t>
      </w:r>
      <w:r>
        <w:rPr>
          <w:rFonts w:hint="eastAsia" w:ascii="宋体" w:hAnsi="宋体" w:cs="宋体"/>
          <w:b/>
          <w:bCs/>
          <w:color w:val="000000"/>
          <w:sz w:val="44"/>
          <w:szCs w:val="44"/>
        </w:rPr>
        <w:t>文</w:t>
      </w:r>
      <w:r>
        <w:rPr>
          <w:rFonts w:ascii="宋体" w:hAnsi="宋体" w:cs="宋体"/>
          <w:b/>
          <w:bCs/>
          <w:color w:val="000000"/>
          <w:sz w:val="44"/>
          <w:szCs w:val="44"/>
        </w:rPr>
        <w:t xml:space="preserve">  </w:t>
      </w:r>
      <w:r>
        <w:rPr>
          <w:rFonts w:hint="eastAsia" w:ascii="宋体" w:hAnsi="宋体" w:cs="宋体"/>
          <w:b/>
          <w:bCs/>
          <w:color w:val="000000"/>
          <w:sz w:val="44"/>
          <w:szCs w:val="44"/>
        </w:rPr>
        <w:t>件</w:t>
      </w:r>
    </w:p>
    <w:p>
      <w:pPr>
        <w:jc w:val="center"/>
        <w:rPr>
          <w:rFonts w:ascii="宋体" w:hAnsi="宋体" w:cs="宋体"/>
          <w:color w:val="000000"/>
          <w:sz w:val="28"/>
          <w:szCs w:val="28"/>
        </w:rPr>
      </w:pPr>
    </w:p>
    <w:p>
      <w:pPr>
        <w:ind w:firstLine="840" w:firstLineChars="300"/>
        <w:jc w:val="center"/>
        <w:rPr>
          <w:rFonts w:ascii="宋体" w:hAnsi="宋体" w:cs="宋体"/>
          <w:color w:val="000000"/>
          <w:sz w:val="28"/>
          <w:szCs w:val="28"/>
        </w:rPr>
      </w:pPr>
      <w:r>
        <w:rPr>
          <w:rFonts w:hint="eastAsia" w:ascii="宋体" w:hAnsi="宋体" w:cs="宋体"/>
          <w:color w:val="000000"/>
          <w:sz w:val="28"/>
          <w:szCs w:val="28"/>
        </w:rPr>
        <w:t>投 标 人：</w:t>
      </w:r>
      <w:r>
        <w:rPr>
          <w:rFonts w:ascii="宋体" w:hAnsi="宋体" w:cs="宋体"/>
          <w:color w:val="000000"/>
          <w:sz w:val="28"/>
          <w:szCs w:val="28"/>
          <w:u w:val="single"/>
        </w:rPr>
        <w:t xml:space="preserve">                              </w:t>
      </w:r>
      <w:r>
        <w:rPr>
          <w:rFonts w:hint="eastAsia" w:ascii="宋体" w:hAnsi="宋体" w:cs="宋体"/>
          <w:color w:val="000000"/>
          <w:sz w:val="28"/>
          <w:szCs w:val="28"/>
        </w:rPr>
        <w:t>（盖单位章）</w:t>
      </w:r>
    </w:p>
    <w:p>
      <w:pPr>
        <w:ind w:firstLine="840" w:firstLineChars="300"/>
        <w:jc w:val="center"/>
        <w:rPr>
          <w:rFonts w:ascii="宋体" w:hAnsi="宋体" w:cs="宋体"/>
          <w:color w:val="000000"/>
          <w:sz w:val="28"/>
          <w:szCs w:val="28"/>
          <w:u w:val="single"/>
        </w:rPr>
      </w:pPr>
    </w:p>
    <w:p>
      <w:pPr>
        <w:jc w:val="center"/>
        <w:rPr>
          <w:rFonts w:ascii="宋体" w:hAnsi="宋体" w:cs="宋体"/>
          <w:color w:val="000000"/>
          <w:sz w:val="28"/>
          <w:szCs w:val="28"/>
        </w:rPr>
      </w:pPr>
    </w:p>
    <w:p>
      <w:pPr>
        <w:ind w:firstLine="700" w:firstLineChars="250"/>
        <w:jc w:val="center"/>
        <w:rPr>
          <w:rFonts w:ascii="宋体" w:hAnsi="宋体" w:cs="宋体"/>
          <w:color w:val="000000"/>
          <w:sz w:val="28"/>
          <w:szCs w:val="28"/>
        </w:rPr>
      </w:pPr>
      <w:r>
        <w:rPr>
          <w:rFonts w:hint="eastAsia" w:ascii="宋体" w:hAnsi="宋体" w:cs="宋体"/>
          <w:color w:val="000000"/>
          <w:sz w:val="28"/>
          <w:szCs w:val="28"/>
        </w:rPr>
        <w:t>法定代表人：</w:t>
      </w:r>
      <w:r>
        <w:rPr>
          <w:rFonts w:ascii="宋体" w:hAnsi="宋体" w:cs="宋体"/>
          <w:color w:val="000000"/>
          <w:sz w:val="28"/>
          <w:szCs w:val="28"/>
          <w:u w:val="single"/>
        </w:rPr>
        <w:t xml:space="preserve">                          </w:t>
      </w:r>
      <w:r>
        <w:rPr>
          <w:rFonts w:hint="eastAsia" w:ascii="宋体" w:hAnsi="宋体" w:cs="宋体"/>
          <w:color w:val="000000"/>
          <w:sz w:val="28"/>
          <w:szCs w:val="28"/>
        </w:rPr>
        <w:t>（签字或盖章）</w:t>
      </w:r>
    </w:p>
    <w:p>
      <w:pPr>
        <w:jc w:val="center"/>
        <w:rPr>
          <w:rFonts w:hint="default" w:ascii="宋体" w:hAnsi="宋体" w:eastAsia="宋体" w:cs="宋体"/>
          <w:color w:val="000000"/>
          <w:sz w:val="28"/>
          <w:szCs w:val="28"/>
          <w:lang w:val="en-US" w:eastAsia="zh-CN"/>
        </w:rPr>
      </w:pPr>
    </w:p>
    <w:p>
      <w:pPr>
        <w:jc w:val="center"/>
        <w:rPr>
          <w:rFonts w:ascii="宋体" w:hAnsi="宋体" w:cs="宋体"/>
          <w:color w:val="000000"/>
          <w:sz w:val="28"/>
          <w:szCs w:val="28"/>
        </w:rPr>
      </w:pPr>
      <w:r>
        <w:rPr>
          <w:rFonts w:hint="eastAsia" w:ascii="宋体" w:hAnsi="宋体" w:cs="宋体"/>
          <w:color w:val="000000"/>
          <w:sz w:val="28"/>
          <w:szCs w:val="28"/>
        </w:rPr>
        <w:t>年</w:t>
      </w:r>
      <w:r>
        <w:rPr>
          <w:rFonts w:ascii="宋体" w:hAnsi="宋体" w:cs="宋体"/>
          <w:color w:val="000000"/>
          <w:sz w:val="28"/>
          <w:szCs w:val="28"/>
        </w:rPr>
        <w:t xml:space="preserve">        </w:t>
      </w:r>
      <w:r>
        <w:rPr>
          <w:rFonts w:hint="eastAsia" w:ascii="宋体" w:hAnsi="宋体" w:cs="宋体"/>
          <w:color w:val="000000"/>
          <w:sz w:val="28"/>
          <w:szCs w:val="28"/>
        </w:rPr>
        <w:t>月</w:t>
      </w:r>
      <w:r>
        <w:rPr>
          <w:rFonts w:ascii="宋体" w:hAnsi="宋体" w:cs="宋体"/>
          <w:color w:val="000000"/>
          <w:sz w:val="28"/>
          <w:szCs w:val="28"/>
        </w:rPr>
        <w:t xml:space="preserve">        </w:t>
      </w:r>
      <w:r>
        <w:rPr>
          <w:rFonts w:hint="eastAsia" w:ascii="宋体" w:hAnsi="宋体" w:cs="宋体"/>
          <w:color w:val="000000"/>
          <w:sz w:val="28"/>
          <w:szCs w:val="28"/>
        </w:rPr>
        <w:t>日</w:t>
      </w:r>
    </w:p>
    <w:p>
      <w:pPr>
        <w:spacing w:line="360" w:lineRule="atLeast"/>
        <w:rPr>
          <w:rFonts w:ascii="宋体"/>
          <w:b/>
          <w:color w:val="auto"/>
          <w:sz w:val="30"/>
          <w:highlight w:val="none"/>
        </w:rPr>
      </w:pPr>
    </w:p>
    <w:p>
      <w:pPr>
        <w:spacing w:line="360" w:lineRule="atLeast"/>
        <w:rPr>
          <w:rFonts w:ascii="宋体"/>
          <w:b/>
          <w:color w:val="auto"/>
          <w:sz w:val="30"/>
          <w:highlight w:val="none"/>
        </w:rPr>
      </w:pPr>
    </w:p>
    <w:p>
      <w:pPr>
        <w:spacing w:line="360" w:lineRule="atLeast"/>
        <w:rPr>
          <w:rFonts w:hint="eastAsia" w:ascii="宋体" w:eastAsia="宋体"/>
          <w:b/>
          <w:color w:val="auto"/>
          <w:sz w:val="30"/>
          <w:highlight w:val="none"/>
          <w:lang w:eastAsia="zh-CN"/>
        </w:rPr>
      </w:pPr>
    </w:p>
    <w:p>
      <w:pPr>
        <w:spacing w:line="360" w:lineRule="atLeast"/>
        <w:rPr>
          <w:rFonts w:ascii="宋体"/>
          <w:b/>
          <w:color w:val="auto"/>
          <w:sz w:val="30"/>
          <w:highlight w:val="none"/>
        </w:rPr>
      </w:pPr>
    </w:p>
    <w:p>
      <w:pPr>
        <w:pStyle w:val="4"/>
        <w:spacing w:before="0" w:after="0" w:line="240" w:lineRule="auto"/>
        <w:jc w:val="center"/>
        <w:rPr>
          <w:rFonts w:ascii="宋体" w:hAnsi="宋体" w:cs="宋体"/>
          <w:color w:val="auto"/>
          <w:highlight w:val="none"/>
        </w:rPr>
      </w:pPr>
      <w:r>
        <w:rPr>
          <w:rFonts w:hint="eastAsia" w:ascii="宋体" w:hAnsi="宋体"/>
          <w:b/>
          <w:color w:val="auto"/>
          <w:sz w:val="30"/>
          <w:highlight w:val="none"/>
        </w:rPr>
        <w:br w:type="page"/>
      </w:r>
      <w:bookmarkStart w:id="160" w:name="OLE_LINK1"/>
      <w:r>
        <w:rPr>
          <w:rFonts w:hint="eastAsia" w:ascii="宋体" w:hAnsi="宋体" w:cs="宋体"/>
          <w:color w:val="auto"/>
          <w:sz w:val="28"/>
          <w:szCs w:val="28"/>
          <w:highlight w:val="none"/>
        </w:rPr>
        <w:t>投 标 书</w:t>
      </w:r>
    </w:p>
    <w:p>
      <w:pPr>
        <w:spacing w:line="44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（招标单位）</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收到你们的</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招标文件，经认真研究，我们决定参加投标。</w:t>
      </w:r>
    </w:p>
    <w:p>
      <w:pPr>
        <w:numPr>
          <w:ilvl w:val="0"/>
          <w:numId w:val="5"/>
        </w:numPr>
        <w:spacing w:line="440" w:lineRule="exact"/>
        <w:rPr>
          <w:rFonts w:ascii="宋体" w:hAnsi="宋体" w:cs="宋体"/>
          <w:color w:val="auto"/>
          <w:sz w:val="24"/>
          <w:highlight w:val="none"/>
          <w:u w:val="single"/>
        </w:rPr>
      </w:pPr>
      <w:r>
        <w:rPr>
          <w:rFonts w:hint="eastAsia" w:ascii="宋体" w:hAnsi="宋体" w:cs="宋体"/>
          <w:color w:val="auto"/>
          <w:sz w:val="24"/>
          <w:highlight w:val="none"/>
        </w:rPr>
        <w:t>按照招标文件中的一切要求，提供招标的货物、</w:t>
      </w:r>
      <w:r>
        <w:rPr>
          <w:rFonts w:hint="eastAsia"/>
          <w:color w:val="auto"/>
          <w:sz w:val="24"/>
          <w:highlight w:val="none"/>
        </w:rPr>
        <w:t>运输、装卸、验收、</w:t>
      </w:r>
      <w:r>
        <w:rPr>
          <w:rFonts w:ascii="宋体" w:hAnsi="宋体" w:cs="宋体"/>
          <w:color w:val="auto"/>
          <w:kern w:val="0"/>
          <w:sz w:val="24"/>
          <w:highlight w:val="none"/>
        </w:rPr>
        <w:t>开具发票和相关售后等服务</w:t>
      </w:r>
      <w:r>
        <w:rPr>
          <w:rFonts w:hint="eastAsia" w:ascii="宋体" w:hAnsi="宋体" w:cs="宋体"/>
          <w:color w:val="auto"/>
          <w:sz w:val="24"/>
          <w:highlight w:val="none"/>
        </w:rPr>
        <w:t>。总价为￥：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元（用阿拉伯数字书写）人民币大写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，明细见投标报价表。</w:t>
      </w:r>
    </w:p>
    <w:p>
      <w:pPr>
        <w:numPr>
          <w:ilvl w:val="0"/>
          <w:numId w:val="5"/>
        </w:numPr>
        <w:spacing w:line="440" w:lineRule="exact"/>
        <w:rPr>
          <w:rFonts w:ascii="宋体" w:hAnsi="宋体" w:cs="宋体"/>
          <w:color w:val="auto"/>
          <w:sz w:val="24"/>
          <w:highlight w:val="none"/>
        </w:rPr>
      </w:pPr>
      <w:r>
        <w:rPr>
          <w:rFonts w:hint="eastAsia" w:ascii="宋体" w:hAnsi="宋体" w:cs="宋体"/>
          <w:color w:val="auto"/>
          <w:sz w:val="24"/>
          <w:highlight w:val="none"/>
        </w:rPr>
        <w:t>如果我们的投标书被接受，我们将履行招标文件中规定的每一项义务和要求，按期、按质、按量完成交货。</w:t>
      </w:r>
    </w:p>
    <w:p>
      <w:pPr>
        <w:numPr>
          <w:ilvl w:val="0"/>
          <w:numId w:val="5"/>
        </w:numPr>
        <w:spacing w:line="440" w:lineRule="exact"/>
        <w:rPr>
          <w:rFonts w:ascii="宋体" w:hAnsi="宋体" w:cs="宋体"/>
          <w:color w:val="auto"/>
          <w:sz w:val="24"/>
          <w:highlight w:val="none"/>
        </w:rPr>
      </w:pPr>
      <w:r>
        <w:rPr>
          <w:rFonts w:hint="eastAsia" w:ascii="宋体" w:hAnsi="宋体" w:cs="宋体"/>
          <w:color w:val="auto"/>
          <w:sz w:val="24"/>
          <w:highlight w:val="none"/>
        </w:rPr>
        <w:t>我们同意按招标文件的规定，本标书的有效期为开标后</w:t>
      </w:r>
      <w:r>
        <w:rPr>
          <w:rFonts w:hint="eastAsia" w:ascii="宋体" w:hAnsi="宋体" w:cs="宋体"/>
          <w:color w:val="auto"/>
          <w:sz w:val="24"/>
          <w:highlight w:val="none"/>
          <w:lang w:val="en-US" w:eastAsia="zh-CN"/>
        </w:rPr>
        <w:t>3</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rPr>
        <w:t>天。</w:t>
      </w:r>
    </w:p>
    <w:p>
      <w:pPr>
        <w:numPr>
          <w:ilvl w:val="0"/>
          <w:numId w:val="5"/>
        </w:numPr>
        <w:spacing w:line="440" w:lineRule="exact"/>
        <w:rPr>
          <w:rFonts w:ascii="宋体" w:hAnsi="宋体" w:cs="宋体"/>
          <w:color w:val="auto"/>
          <w:sz w:val="24"/>
          <w:highlight w:val="none"/>
        </w:rPr>
      </w:pPr>
      <w:r>
        <w:rPr>
          <w:rFonts w:hint="eastAsia" w:ascii="宋体" w:hAnsi="宋体" w:cs="宋体"/>
          <w:color w:val="auto"/>
          <w:sz w:val="24"/>
          <w:highlight w:val="none"/>
        </w:rPr>
        <w:t>我们愿意提供招标人在招标文件中要求的所有资料。</w:t>
      </w:r>
    </w:p>
    <w:p>
      <w:pPr>
        <w:numPr>
          <w:ilvl w:val="0"/>
          <w:numId w:val="5"/>
        </w:numPr>
        <w:spacing w:line="440" w:lineRule="exact"/>
        <w:rPr>
          <w:rFonts w:ascii="宋体" w:hAnsi="宋体" w:cs="宋体"/>
          <w:color w:val="auto"/>
          <w:sz w:val="24"/>
          <w:highlight w:val="none"/>
        </w:rPr>
      </w:pPr>
      <w:r>
        <w:rPr>
          <w:rFonts w:hint="eastAsia" w:ascii="宋体" w:hAnsi="宋体" w:cs="宋体"/>
          <w:color w:val="auto"/>
          <w:sz w:val="24"/>
          <w:highlight w:val="none"/>
        </w:rPr>
        <w:t>我们认为你们有选择或拒绝任何投标者中标的权利。我们理解，最低报价不是中标的唯一条件。</w:t>
      </w:r>
    </w:p>
    <w:p>
      <w:pPr>
        <w:numPr>
          <w:ilvl w:val="0"/>
          <w:numId w:val="5"/>
        </w:numPr>
        <w:spacing w:line="440" w:lineRule="exact"/>
        <w:rPr>
          <w:rFonts w:ascii="宋体" w:hAnsi="宋体" w:cs="宋体"/>
          <w:color w:val="auto"/>
          <w:sz w:val="24"/>
          <w:highlight w:val="none"/>
        </w:rPr>
      </w:pPr>
      <w:r>
        <w:rPr>
          <w:rFonts w:hint="eastAsia" w:ascii="宋体" w:hAnsi="宋体" w:cs="宋体"/>
          <w:color w:val="auto"/>
          <w:sz w:val="24"/>
          <w:highlight w:val="none"/>
        </w:rPr>
        <w:t>我们愿意按合同履行自己的全部责任。</w:t>
      </w:r>
    </w:p>
    <w:p>
      <w:pPr>
        <w:numPr>
          <w:ilvl w:val="0"/>
          <w:numId w:val="5"/>
        </w:numPr>
        <w:spacing w:line="440" w:lineRule="exact"/>
        <w:rPr>
          <w:rFonts w:ascii="宋体" w:hAnsi="宋体" w:cs="宋体"/>
          <w:color w:val="auto"/>
          <w:sz w:val="24"/>
          <w:highlight w:val="none"/>
        </w:rPr>
      </w:pPr>
      <w:r>
        <w:rPr>
          <w:rFonts w:hint="eastAsia" w:ascii="宋体" w:hAnsi="宋体" w:cs="宋体"/>
          <w:color w:val="auto"/>
          <w:sz w:val="24"/>
          <w:highlight w:val="none"/>
        </w:rPr>
        <w:t>我们愿意遵守国家有关规定和招标文件中规定的收费标准，承付中标服务费。</w:t>
      </w:r>
    </w:p>
    <w:p>
      <w:pPr>
        <w:numPr>
          <w:ilvl w:val="0"/>
          <w:numId w:val="5"/>
        </w:numPr>
        <w:spacing w:line="440" w:lineRule="exact"/>
        <w:rPr>
          <w:rFonts w:ascii="宋体" w:hAnsi="宋体" w:cs="宋体"/>
          <w:color w:val="auto"/>
          <w:sz w:val="24"/>
          <w:highlight w:val="none"/>
        </w:rPr>
      </w:pPr>
      <w:r>
        <w:rPr>
          <w:rFonts w:hint="eastAsia" w:ascii="宋体" w:hAnsi="宋体" w:cs="宋体"/>
          <w:color w:val="auto"/>
          <w:sz w:val="24"/>
          <w:highlight w:val="none"/>
        </w:rPr>
        <w:t>该项投标在开标后全过程中保持有效，不做任何更改和变动。</w:t>
      </w:r>
    </w:p>
    <w:p>
      <w:pPr>
        <w:numPr>
          <w:ilvl w:val="0"/>
          <w:numId w:val="5"/>
        </w:numPr>
        <w:spacing w:line="440" w:lineRule="exact"/>
        <w:rPr>
          <w:rFonts w:ascii="宋体" w:hAnsi="宋体" w:cs="宋体"/>
          <w:color w:val="auto"/>
          <w:sz w:val="24"/>
          <w:highlight w:val="none"/>
        </w:rPr>
      </w:pPr>
      <w:r>
        <w:rPr>
          <w:rFonts w:hint="eastAsia" w:ascii="宋体" w:hAnsi="宋体" w:cs="宋体"/>
          <w:color w:val="auto"/>
          <w:sz w:val="24"/>
          <w:highlight w:val="none"/>
        </w:rPr>
        <w:t>我们同意按招标文件规定，缴纳</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元投标保证金。</w:t>
      </w:r>
    </w:p>
    <w:p>
      <w:pPr>
        <w:spacing w:line="440" w:lineRule="exact"/>
        <w:ind w:left="721" w:leftChars="229" w:hanging="240" w:hangingChars="100"/>
        <w:rPr>
          <w:rFonts w:ascii="宋体" w:hAnsi="宋体" w:cs="宋体"/>
          <w:color w:val="auto"/>
          <w:sz w:val="24"/>
          <w:highlight w:val="none"/>
        </w:rPr>
      </w:pPr>
      <w:r>
        <w:rPr>
          <w:rFonts w:hint="eastAsia" w:ascii="宋体" w:hAnsi="宋体" w:cs="宋体"/>
          <w:color w:val="auto"/>
          <w:sz w:val="24"/>
          <w:highlight w:val="none"/>
        </w:rPr>
        <w:t>10我们保证投标文件中的所有证件和内容真实有效，否则我们愿意承担一切法律责任。</w:t>
      </w:r>
    </w:p>
    <w:p>
      <w:pPr>
        <w:spacing w:line="440" w:lineRule="exact"/>
        <w:ind w:left="480"/>
        <w:rPr>
          <w:rFonts w:ascii="宋体" w:hAnsi="宋体" w:cs="宋体"/>
          <w:color w:val="auto"/>
          <w:sz w:val="24"/>
          <w:highlight w:val="none"/>
        </w:rPr>
      </w:pPr>
      <w:r>
        <w:rPr>
          <w:rFonts w:hint="eastAsia" w:ascii="宋体" w:hAnsi="宋体" w:cs="宋体"/>
          <w:color w:val="auto"/>
          <w:sz w:val="24"/>
          <w:highlight w:val="none"/>
        </w:rPr>
        <w:t>11、其他说明。</w:t>
      </w:r>
    </w:p>
    <w:p>
      <w:pPr>
        <w:spacing w:line="440" w:lineRule="exact"/>
        <w:ind w:left="480"/>
        <w:rPr>
          <w:rFonts w:ascii="宋体" w:hAnsi="宋体" w:cs="宋体"/>
          <w:color w:val="auto"/>
          <w:sz w:val="24"/>
          <w:highlight w:val="none"/>
        </w:rPr>
      </w:pPr>
      <w:r>
        <w:rPr>
          <w:rFonts w:hint="eastAsia" w:ascii="宋体" w:hAnsi="宋体" w:cs="宋体"/>
          <w:color w:val="auto"/>
          <w:sz w:val="24"/>
          <w:highlight w:val="none"/>
        </w:rPr>
        <w:t>12、所有有关本标书的函电，请按下列地址联系：</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投标单位(盖章) ：                       </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法定代表人或其授权委托人（签字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地址：</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电话：</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电报挂号：</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传真：</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邮政编码：</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p>
    <w:p>
      <w:pPr>
        <w:spacing w:line="440" w:lineRule="exact"/>
        <w:rPr>
          <w:rFonts w:ascii="宋体" w:hAnsi="宋体" w:cs="宋体"/>
          <w:color w:val="auto"/>
          <w:sz w:val="24"/>
          <w:highlight w:val="none"/>
        </w:rPr>
      </w:pPr>
      <w:r>
        <w:rPr>
          <w:rFonts w:hint="eastAsia" w:ascii="宋体" w:hAnsi="宋体" w:cs="宋体"/>
          <w:color w:val="auto"/>
          <w:sz w:val="24"/>
          <w:highlight w:val="none"/>
        </w:rPr>
        <w:t xml:space="preserve">                                                     年     月     日</w:t>
      </w:r>
    </w:p>
    <w:bookmarkEnd w:id="160"/>
    <w:p>
      <w:pPr>
        <w:pStyle w:val="4"/>
        <w:jc w:val="center"/>
        <w:rPr>
          <w:rFonts w:ascii="宋体" w:hAnsi="宋体" w:cs="宋体"/>
          <w:color w:val="auto"/>
          <w:sz w:val="28"/>
          <w:highlight w:val="none"/>
        </w:rPr>
      </w:pPr>
      <w:bookmarkStart w:id="161" w:name="_Toc7164"/>
      <w:r>
        <w:rPr>
          <w:rFonts w:hint="eastAsia" w:ascii="宋体" w:hAnsi="宋体" w:cs="宋体"/>
          <w:color w:val="auto"/>
          <w:sz w:val="28"/>
          <w:highlight w:val="none"/>
        </w:rPr>
        <w:br w:type="page"/>
      </w:r>
      <w:r>
        <w:rPr>
          <w:rFonts w:hint="eastAsia" w:ascii="宋体" w:hAnsi="宋体" w:cs="宋体"/>
          <w:color w:val="auto"/>
          <w:sz w:val="28"/>
          <w:highlight w:val="none"/>
        </w:rPr>
        <w:t>投标一览表</w:t>
      </w:r>
      <w:bookmarkEnd w:id="161"/>
    </w:p>
    <w:p>
      <w:pPr>
        <w:spacing w:line="360" w:lineRule="auto"/>
        <w:rPr>
          <w:rFonts w:ascii="宋体" w:hAnsi="宋体" w:cs="宋体"/>
          <w:color w:val="auto"/>
          <w:sz w:val="24"/>
          <w:highlight w:val="none"/>
        </w:rPr>
      </w:pPr>
      <w:r>
        <w:rPr>
          <w:rFonts w:hint="eastAsia" w:ascii="宋体" w:hAnsi="宋体" w:cs="宋体"/>
          <w:color w:val="auto"/>
          <w:sz w:val="24"/>
          <w:highlight w:val="none"/>
        </w:rPr>
        <w:t>投标人名称：</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项目名称：                           </w:t>
      </w:r>
      <w:r>
        <w:rPr>
          <w:rFonts w:hint="eastAsia" w:ascii="宋体" w:hAnsi="宋体" w:cs="宋体"/>
          <w:color w:val="000000" w:themeColor="text1"/>
          <w:sz w:val="24"/>
          <w14:textFill>
            <w14:solidFill>
              <w14:schemeClr w14:val="tx1"/>
            </w14:solidFill>
          </w14:textFill>
        </w:rPr>
        <w:t>招标</w:t>
      </w:r>
      <w:r>
        <w:rPr>
          <w:rFonts w:hint="eastAsia" w:ascii="宋体" w:hAnsi="宋体" w:cs="宋体"/>
          <w:color w:val="000000" w:themeColor="text1"/>
          <w:sz w:val="24"/>
          <w:lang w:val="en-US"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编号：</w:t>
      </w:r>
    </w:p>
    <w:p>
      <w:pPr>
        <w:spacing w:line="360" w:lineRule="auto"/>
        <w:rPr>
          <w:rFonts w:ascii="宋体" w:hAnsi="宋体" w:cs="宋体"/>
          <w:color w:val="auto"/>
          <w:sz w:val="24"/>
          <w:highlight w:val="none"/>
        </w:rPr>
      </w:pPr>
    </w:p>
    <w:tbl>
      <w:tblPr>
        <w:tblStyle w:val="31"/>
        <w:tblW w:w="94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4"/>
        <w:gridCol w:w="1433"/>
        <w:gridCol w:w="1247"/>
        <w:gridCol w:w="920"/>
        <w:gridCol w:w="986"/>
        <w:gridCol w:w="1774"/>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44" w:type="dxa"/>
            <w:vAlign w:val="center"/>
          </w:tcPr>
          <w:p>
            <w:pPr>
              <w:tabs>
                <w:tab w:val="left" w:pos="0"/>
              </w:tabs>
              <w:spacing w:line="240" w:lineRule="atLeast"/>
              <w:jc w:val="center"/>
              <w:rPr>
                <w:rFonts w:ascii="宋体" w:hAnsi="宋体" w:cs="宋体"/>
                <w:color w:val="auto"/>
                <w:sz w:val="24"/>
                <w:highlight w:val="none"/>
              </w:rPr>
            </w:pPr>
            <w:r>
              <w:rPr>
                <w:rFonts w:hint="eastAsia" w:ascii="宋体" w:hAnsi="宋体" w:cs="宋体"/>
                <w:color w:val="auto"/>
                <w:sz w:val="24"/>
                <w:highlight w:val="none"/>
              </w:rPr>
              <w:t>货物名称</w:t>
            </w:r>
          </w:p>
        </w:tc>
        <w:tc>
          <w:tcPr>
            <w:tcW w:w="1433" w:type="dxa"/>
            <w:vAlign w:val="center"/>
          </w:tcPr>
          <w:p>
            <w:pPr>
              <w:tabs>
                <w:tab w:val="left" w:pos="0"/>
              </w:tabs>
              <w:adjustRightInd w:val="0"/>
              <w:snapToGrid w:val="0"/>
              <w:spacing w:line="160" w:lineRule="atLeas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规格参数</w:t>
            </w:r>
          </w:p>
        </w:tc>
        <w:tc>
          <w:tcPr>
            <w:tcW w:w="1247" w:type="dxa"/>
            <w:vAlign w:val="center"/>
          </w:tcPr>
          <w:p>
            <w:pPr>
              <w:tabs>
                <w:tab w:val="left" w:pos="0"/>
              </w:tabs>
              <w:adjustRightInd w:val="0"/>
              <w:snapToGrid w:val="0"/>
              <w:spacing w:line="160" w:lineRule="atLeast"/>
              <w:jc w:val="center"/>
              <w:rPr>
                <w:rFonts w:ascii="宋体" w:hAnsi="宋体" w:cs="宋体"/>
                <w:color w:val="auto"/>
                <w:sz w:val="24"/>
                <w:highlight w:val="none"/>
              </w:rPr>
            </w:pPr>
            <w:r>
              <w:rPr>
                <w:rFonts w:hint="eastAsia" w:ascii="宋体" w:hAnsi="宋体" w:cs="宋体"/>
                <w:color w:val="auto"/>
                <w:sz w:val="24"/>
                <w:highlight w:val="none"/>
              </w:rPr>
              <w:t>投标报价</w:t>
            </w:r>
          </w:p>
        </w:tc>
        <w:tc>
          <w:tcPr>
            <w:tcW w:w="920" w:type="dxa"/>
            <w:vAlign w:val="center"/>
          </w:tcPr>
          <w:p>
            <w:pPr>
              <w:tabs>
                <w:tab w:val="left" w:pos="0"/>
              </w:tabs>
              <w:adjustRightInd w:val="0"/>
              <w:snapToGrid w:val="0"/>
              <w:spacing w:line="160" w:lineRule="atLeast"/>
              <w:jc w:val="center"/>
              <w:rPr>
                <w:rFonts w:ascii="宋体" w:hAnsi="宋体" w:cs="宋体"/>
                <w:color w:val="auto"/>
                <w:sz w:val="24"/>
                <w:highlight w:val="none"/>
              </w:rPr>
            </w:pPr>
            <w:r>
              <w:rPr>
                <w:rFonts w:hint="eastAsia" w:ascii="宋体" w:hAnsi="宋体" w:cs="宋体"/>
                <w:color w:val="auto"/>
                <w:sz w:val="24"/>
                <w:highlight w:val="none"/>
              </w:rPr>
              <w:t>数量</w:t>
            </w:r>
          </w:p>
        </w:tc>
        <w:tc>
          <w:tcPr>
            <w:tcW w:w="986" w:type="dxa"/>
            <w:vAlign w:val="center"/>
          </w:tcPr>
          <w:p>
            <w:pPr>
              <w:tabs>
                <w:tab w:val="left" w:pos="0"/>
              </w:tabs>
              <w:adjustRightInd w:val="0"/>
              <w:snapToGrid w:val="0"/>
              <w:spacing w:line="160" w:lineRule="atLeast"/>
              <w:jc w:val="center"/>
              <w:rPr>
                <w:rFonts w:ascii="宋体" w:hAnsi="宋体" w:cs="宋体"/>
                <w:color w:val="auto"/>
                <w:sz w:val="24"/>
                <w:highlight w:val="none"/>
              </w:rPr>
            </w:pPr>
            <w:r>
              <w:rPr>
                <w:rFonts w:hint="eastAsia" w:ascii="宋体" w:hAnsi="宋体" w:cs="宋体"/>
                <w:color w:val="auto"/>
                <w:sz w:val="24"/>
                <w:highlight w:val="none"/>
              </w:rPr>
              <w:t>总价</w:t>
            </w:r>
          </w:p>
          <w:p>
            <w:pPr>
              <w:tabs>
                <w:tab w:val="left" w:pos="0"/>
              </w:tabs>
              <w:adjustRightInd w:val="0"/>
              <w:snapToGrid w:val="0"/>
              <w:spacing w:line="160" w:lineRule="atLeast"/>
              <w:jc w:val="center"/>
              <w:rPr>
                <w:rFonts w:ascii="宋体" w:hAnsi="宋体" w:cs="宋体"/>
                <w:color w:val="auto"/>
                <w:sz w:val="24"/>
                <w:highlight w:val="none"/>
              </w:rPr>
            </w:pPr>
            <w:r>
              <w:rPr>
                <w:rFonts w:hint="eastAsia" w:ascii="宋体" w:hAnsi="宋体" w:cs="宋体"/>
                <w:color w:val="auto"/>
                <w:sz w:val="24"/>
                <w:highlight w:val="none"/>
              </w:rPr>
              <w:t>（元）</w:t>
            </w:r>
          </w:p>
        </w:tc>
        <w:tc>
          <w:tcPr>
            <w:tcW w:w="1774" w:type="dxa"/>
            <w:vAlign w:val="center"/>
          </w:tcPr>
          <w:p>
            <w:pPr>
              <w:tabs>
                <w:tab w:val="left" w:pos="0"/>
              </w:tabs>
              <w:adjustRightInd w:val="0"/>
              <w:snapToGrid w:val="0"/>
              <w:spacing w:line="160" w:lineRule="atLeast"/>
              <w:jc w:val="center"/>
              <w:rPr>
                <w:rFonts w:ascii="宋体" w:hAnsi="宋体" w:cs="宋体"/>
                <w:color w:val="auto"/>
                <w:sz w:val="24"/>
                <w:highlight w:val="none"/>
              </w:rPr>
            </w:pPr>
            <w:r>
              <w:rPr>
                <w:rFonts w:hint="eastAsia" w:ascii="宋体" w:hAnsi="宋体" w:cs="宋体"/>
                <w:color w:val="auto"/>
                <w:sz w:val="24"/>
                <w:highlight w:val="none"/>
                <w:lang w:val="en-US" w:eastAsia="zh-CN"/>
              </w:rPr>
              <w:t>供货期限</w:t>
            </w:r>
            <w:r>
              <w:rPr>
                <w:rFonts w:hint="eastAsia" w:ascii="宋体" w:hAnsi="宋体" w:cs="宋体"/>
                <w:color w:val="auto"/>
                <w:sz w:val="24"/>
                <w:highlight w:val="none"/>
              </w:rPr>
              <w:t>（日历天）</w:t>
            </w:r>
          </w:p>
        </w:tc>
        <w:tc>
          <w:tcPr>
            <w:tcW w:w="1718" w:type="dxa"/>
            <w:vAlign w:val="center"/>
          </w:tcPr>
          <w:p>
            <w:pPr>
              <w:tabs>
                <w:tab w:val="left" w:pos="0"/>
              </w:tabs>
              <w:spacing w:line="240" w:lineRule="atLeast"/>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44" w:type="dxa"/>
          </w:tcPr>
          <w:p>
            <w:pPr>
              <w:spacing w:line="360" w:lineRule="auto"/>
              <w:rPr>
                <w:rFonts w:ascii="宋体" w:hAnsi="宋体" w:cs="宋体"/>
                <w:color w:val="auto"/>
                <w:sz w:val="24"/>
                <w:highlight w:val="none"/>
              </w:rPr>
            </w:pPr>
          </w:p>
        </w:tc>
        <w:tc>
          <w:tcPr>
            <w:tcW w:w="1433" w:type="dxa"/>
          </w:tcPr>
          <w:p>
            <w:pPr>
              <w:spacing w:line="360" w:lineRule="auto"/>
              <w:rPr>
                <w:rFonts w:ascii="宋体" w:hAnsi="宋体" w:cs="宋体"/>
                <w:color w:val="auto"/>
                <w:sz w:val="24"/>
                <w:highlight w:val="none"/>
              </w:rPr>
            </w:pPr>
          </w:p>
        </w:tc>
        <w:tc>
          <w:tcPr>
            <w:tcW w:w="1247" w:type="dxa"/>
          </w:tcPr>
          <w:p>
            <w:pPr>
              <w:spacing w:line="360" w:lineRule="auto"/>
              <w:rPr>
                <w:rFonts w:ascii="宋体" w:hAnsi="宋体" w:cs="宋体"/>
                <w:color w:val="auto"/>
                <w:sz w:val="24"/>
                <w:highlight w:val="none"/>
              </w:rPr>
            </w:pPr>
          </w:p>
        </w:tc>
        <w:tc>
          <w:tcPr>
            <w:tcW w:w="920" w:type="dxa"/>
          </w:tcPr>
          <w:p>
            <w:pPr>
              <w:spacing w:line="360" w:lineRule="auto"/>
              <w:rPr>
                <w:rFonts w:ascii="宋体" w:hAnsi="宋体" w:cs="宋体"/>
                <w:color w:val="auto"/>
                <w:sz w:val="24"/>
                <w:highlight w:val="none"/>
              </w:rPr>
            </w:pPr>
          </w:p>
        </w:tc>
        <w:tc>
          <w:tcPr>
            <w:tcW w:w="986" w:type="dxa"/>
          </w:tcPr>
          <w:p>
            <w:pPr>
              <w:spacing w:line="360" w:lineRule="auto"/>
              <w:rPr>
                <w:rFonts w:ascii="宋体" w:hAnsi="宋体" w:cs="宋体"/>
                <w:color w:val="auto"/>
                <w:sz w:val="24"/>
                <w:highlight w:val="none"/>
              </w:rPr>
            </w:pPr>
          </w:p>
        </w:tc>
        <w:tc>
          <w:tcPr>
            <w:tcW w:w="1774" w:type="dxa"/>
          </w:tcPr>
          <w:p>
            <w:pPr>
              <w:spacing w:line="360" w:lineRule="auto"/>
              <w:rPr>
                <w:rFonts w:ascii="宋体" w:hAnsi="宋体" w:cs="宋体"/>
                <w:color w:val="auto"/>
                <w:sz w:val="24"/>
                <w:highlight w:val="none"/>
              </w:rPr>
            </w:pPr>
          </w:p>
        </w:tc>
        <w:tc>
          <w:tcPr>
            <w:tcW w:w="1718"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44" w:type="dxa"/>
          </w:tcPr>
          <w:p>
            <w:pPr>
              <w:spacing w:line="360" w:lineRule="auto"/>
              <w:rPr>
                <w:rFonts w:ascii="宋体" w:hAnsi="宋体" w:cs="宋体"/>
                <w:color w:val="auto"/>
                <w:sz w:val="24"/>
                <w:highlight w:val="none"/>
              </w:rPr>
            </w:pPr>
          </w:p>
        </w:tc>
        <w:tc>
          <w:tcPr>
            <w:tcW w:w="1433" w:type="dxa"/>
          </w:tcPr>
          <w:p>
            <w:pPr>
              <w:spacing w:line="360" w:lineRule="auto"/>
              <w:rPr>
                <w:rFonts w:ascii="宋体" w:hAnsi="宋体" w:cs="宋体"/>
                <w:color w:val="auto"/>
                <w:sz w:val="24"/>
                <w:highlight w:val="none"/>
              </w:rPr>
            </w:pPr>
          </w:p>
        </w:tc>
        <w:tc>
          <w:tcPr>
            <w:tcW w:w="1247" w:type="dxa"/>
          </w:tcPr>
          <w:p>
            <w:pPr>
              <w:spacing w:line="360" w:lineRule="auto"/>
              <w:rPr>
                <w:rFonts w:ascii="宋体" w:hAnsi="宋体" w:cs="宋体"/>
                <w:color w:val="auto"/>
                <w:sz w:val="24"/>
                <w:highlight w:val="none"/>
              </w:rPr>
            </w:pPr>
          </w:p>
        </w:tc>
        <w:tc>
          <w:tcPr>
            <w:tcW w:w="920" w:type="dxa"/>
          </w:tcPr>
          <w:p>
            <w:pPr>
              <w:spacing w:line="360" w:lineRule="auto"/>
              <w:rPr>
                <w:rFonts w:ascii="宋体" w:hAnsi="宋体" w:cs="宋体"/>
                <w:color w:val="auto"/>
                <w:sz w:val="24"/>
                <w:highlight w:val="none"/>
              </w:rPr>
            </w:pPr>
          </w:p>
        </w:tc>
        <w:tc>
          <w:tcPr>
            <w:tcW w:w="986" w:type="dxa"/>
          </w:tcPr>
          <w:p>
            <w:pPr>
              <w:spacing w:line="360" w:lineRule="auto"/>
              <w:rPr>
                <w:rFonts w:ascii="宋体" w:hAnsi="宋体" w:cs="宋体"/>
                <w:color w:val="auto"/>
                <w:sz w:val="24"/>
                <w:highlight w:val="none"/>
              </w:rPr>
            </w:pPr>
          </w:p>
        </w:tc>
        <w:tc>
          <w:tcPr>
            <w:tcW w:w="1774" w:type="dxa"/>
          </w:tcPr>
          <w:p>
            <w:pPr>
              <w:spacing w:line="360" w:lineRule="auto"/>
              <w:rPr>
                <w:rFonts w:ascii="宋体" w:hAnsi="宋体" w:cs="宋体"/>
                <w:color w:val="auto"/>
                <w:sz w:val="24"/>
                <w:highlight w:val="none"/>
              </w:rPr>
            </w:pPr>
          </w:p>
        </w:tc>
        <w:tc>
          <w:tcPr>
            <w:tcW w:w="1718"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44" w:type="dxa"/>
          </w:tcPr>
          <w:p>
            <w:pPr>
              <w:spacing w:line="360" w:lineRule="auto"/>
              <w:rPr>
                <w:rFonts w:ascii="宋体" w:hAnsi="宋体" w:cs="宋体"/>
                <w:color w:val="auto"/>
                <w:sz w:val="24"/>
                <w:highlight w:val="none"/>
              </w:rPr>
            </w:pPr>
          </w:p>
        </w:tc>
        <w:tc>
          <w:tcPr>
            <w:tcW w:w="1433" w:type="dxa"/>
          </w:tcPr>
          <w:p>
            <w:pPr>
              <w:spacing w:line="360" w:lineRule="auto"/>
              <w:rPr>
                <w:rFonts w:ascii="宋体" w:hAnsi="宋体" w:cs="宋体"/>
                <w:color w:val="auto"/>
                <w:sz w:val="24"/>
                <w:highlight w:val="none"/>
              </w:rPr>
            </w:pPr>
          </w:p>
        </w:tc>
        <w:tc>
          <w:tcPr>
            <w:tcW w:w="1247" w:type="dxa"/>
          </w:tcPr>
          <w:p>
            <w:pPr>
              <w:spacing w:line="360" w:lineRule="auto"/>
              <w:rPr>
                <w:rFonts w:ascii="宋体" w:hAnsi="宋体" w:cs="宋体"/>
                <w:color w:val="auto"/>
                <w:sz w:val="24"/>
                <w:highlight w:val="none"/>
              </w:rPr>
            </w:pPr>
          </w:p>
        </w:tc>
        <w:tc>
          <w:tcPr>
            <w:tcW w:w="920" w:type="dxa"/>
          </w:tcPr>
          <w:p>
            <w:pPr>
              <w:spacing w:line="360" w:lineRule="auto"/>
              <w:rPr>
                <w:rFonts w:ascii="宋体" w:hAnsi="宋体" w:cs="宋体"/>
                <w:color w:val="auto"/>
                <w:sz w:val="24"/>
                <w:highlight w:val="none"/>
              </w:rPr>
            </w:pPr>
          </w:p>
        </w:tc>
        <w:tc>
          <w:tcPr>
            <w:tcW w:w="986" w:type="dxa"/>
          </w:tcPr>
          <w:p>
            <w:pPr>
              <w:spacing w:line="360" w:lineRule="auto"/>
              <w:rPr>
                <w:rFonts w:ascii="宋体" w:hAnsi="宋体" w:cs="宋体"/>
                <w:color w:val="auto"/>
                <w:sz w:val="24"/>
                <w:highlight w:val="none"/>
              </w:rPr>
            </w:pPr>
          </w:p>
        </w:tc>
        <w:tc>
          <w:tcPr>
            <w:tcW w:w="1774" w:type="dxa"/>
          </w:tcPr>
          <w:p>
            <w:pPr>
              <w:spacing w:line="360" w:lineRule="auto"/>
              <w:rPr>
                <w:rFonts w:ascii="宋体" w:hAnsi="宋体" w:cs="宋体"/>
                <w:color w:val="auto"/>
                <w:sz w:val="24"/>
                <w:highlight w:val="none"/>
              </w:rPr>
            </w:pPr>
          </w:p>
        </w:tc>
        <w:tc>
          <w:tcPr>
            <w:tcW w:w="1718"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44" w:type="dxa"/>
          </w:tcPr>
          <w:p>
            <w:pPr>
              <w:spacing w:line="360" w:lineRule="auto"/>
              <w:rPr>
                <w:rFonts w:ascii="宋体" w:hAnsi="宋体" w:cs="宋体"/>
                <w:color w:val="auto"/>
                <w:sz w:val="24"/>
                <w:highlight w:val="none"/>
              </w:rPr>
            </w:pPr>
          </w:p>
        </w:tc>
        <w:tc>
          <w:tcPr>
            <w:tcW w:w="1433" w:type="dxa"/>
          </w:tcPr>
          <w:p>
            <w:pPr>
              <w:spacing w:line="360" w:lineRule="auto"/>
              <w:rPr>
                <w:rFonts w:ascii="宋体" w:hAnsi="宋体" w:cs="宋体"/>
                <w:color w:val="auto"/>
                <w:sz w:val="24"/>
                <w:highlight w:val="none"/>
              </w:rPr>
            </w:pPr>
          </w:p>
        </w:tc>
        <w:tc>
          <w:tcPr>
            <w:tcW w:w="1247" w:type="dxa"/>
          </w:tcPr>
          <w:p>
            <w:pPr>
              <w:spacing w:line="360" w:lineRule="auto"/>
              <w:rPr>
                <w:rFonts w:ascii="宋体" w:hAnsi="宋体" w:cs="宋体"/>
                <w:color w:val="auto"/>
                <w:sz w:val="24"/>
                <w:highlight w:val="none"/>
              </w:rPr>
            </w:pPr>
          </w:p>
        </w:tc>
        <w:tc>
          <w:tcPr>
            <w:tcW w:w="920" w:type="dxa"/>
          </w:tcPr>
          <w:p>
            <w:pPr>
              <w:spacing w:line="360" w:lineRule="auto"/>
              <w:rPr>
                <w:rFonts w:ascii="宋体" w:hAnsi="宋体" w:cs="宋体"/>
                <w:color w:val="auto"/>
                <w:sz w:val="24"/>
                <w:highlight w:val="none"/>
              </w:rPr>
            </w:pPr>
          </w:p>
        </w:tc>
        <w:tc>
          <w:tcPr>
            <w:tcW w:w="986" w:type="dxa"/>
          </w:tcPr>
          <w:p>
            <w:pPr>
              <w:spacing w:line="360" w:lineRule="auto"/>
              <w:rPr>
                <w:rFonts w:ascii="宋体" w:hAnsi="宋体" w:cs="宋体"/>
                <w:color w:val="auto"/>
                <w:sz w:val="24"/>
                <w:highlight w:val="none"/>
              </w:rPr>
            </w:pPr>
          </w:p>
        </w:tc>
        <w:tc>
          <w:tcPr>
            <w:tcW w:w="1774" w:type="dxa"/>
          </w:tcPr>
          <w:p>
            <w:pPr>
              <w:spacing w:line="360" w:lineRule="auto"/>
              <w:rPr>
                <w:rFonts w:ascii="宋体" w:hAnsi="宋体" w:cs="宋体"/>
                <w:color w:val="auto"/>
                <w:sz w:val="24"/>
                <w:highlight w:val="none"/>
              </w:rPr>
            </w:pPr>
          </w:p>
        </w:tc>
        <w:tc>
          <w:tcPr>
            <w:tcW w:w="1718"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44" w:type="dxa"/>
          </w:tcPr>
          <w:p>
            <w:pPr>
              <w:spacing w:line="360" w:lineRule="auto"/>
              <w:rPr>
                <w:rFonts w:ascii="宋体" w:hAnsi="宋体" w:cs="宋体"/>
                <w:color w:val="auto"/>
                <w:sz w:val="24"/>
                <w:highlight w:val="none"/>
              </w:rPr>
            </w:pPr>
          </w:p>
        </w:tc>
        <w:tc>
          <w:tcPr>
            <w:tcW w:w="1433" w:type="dxa"/>
          </w:tcPr>
          <w:p>
            <w:pPr>
              <w:spacing w:line="360" w:lineRule="auto"/>
              <w:rPr>
                <w:rFonts w:ascii="宋体" w:hAnsi="宋体" w:cs="宋体"/>
                <w:color w:val="auto"/>
                <w:sz w:val="24"/>
                <w:highlight w:val="none"/>
              </w:rPr>
            </w:pPr>
          </w:p>
        </w:tc>
        <w:tc>
          <w:tcPr>
            <w:tcW w:w="1247" w:type="dxa"/>
          </w:tcPr>
          <w:p>
            <w:pPr>
              <w:spacing w:line="360" w:lineRule="auto"/>
              <w:rPr>
                <w:rFonts w:ascii="宋体" w:hAnsi="宋体" w:cs="宋体"/>
                <w:color w:val="auto"/>
                <w:sz w:val="24"/>
                <w:highlight w:val="none"/>
              </w:rPr>
            </w:pPr>
          </w:p>
        </w:tc>
        <w:tc>
          <w:tcPr>
            <w:tcW w:w="920" w:type="dxa"/>
          </w:tcPr>
          <w:p>
            <w:pPr>
              <w:spacing w:line="360" w:lineRule="auto"/>
              <w:rPr>
                <w:rFonts w:ascii="宋体" w:hAnsi="宋体" w:cs="宋体"/>
                <w:color w:val="auto"/>
                <w:sz w:val="24"/>
                <w:highlight w:val="none"/>
              </w:rPr>
            </w:pPr>
          </w:p>
        </w:tc>
        <w:tc>
          <w:tcPr>
            <w:tcW w:w="986" w:type="dxa"/>
          </w:tcPr>
          <w:p>
            <w:pPr>
              <w:spacing w:line="360" w:lineRule="auto"/>
              <w:rPr>
                <w:rFonts w:ascii="宋体" w:hAnsi="宋体" w:cs="宋体"/>
                <w:color w:val="auto"/>
                <w:sz w:val="24"/>
                <w:highlight w:val="none"/>
              </w:rPr>
            </w:pPr>
          </w:p>
        </w:tc>
        <w:tc>
          <w:tcPr>
            <w:tcW w:w="1774" w:type="dxa"/>
          </w:tcPr>
          <w:p>
            <w:pPr>
              <w:spacing w:line="360" w:lineRule="auto"/>
              <w:rPr>
                <w:rFonts w:ascii="宋体" w:hAnsi="宋体" w:cs="宋体"/>
                <w:color w:val="auto"/>
                <w:sz w:val="24"/>
                <w:highlight w:val="none"/>
              </w:rPr>
            </w:pPr>
          </w:p>
        </w:tc>
        <w:tc>
          <w:tcPr>
            <w:tcW w:w="1718"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44" w:type="dxa"/>
          </w:tcPr>
          <w:p>
            <w:pPr>
              <w:spacing w:line="360" w:lineRule="auto"/>
              <w:rPr>
                <w:rFonts w:ascii="宋体" w:hAnsi="宋体" w:cs="宋体"/>
                <w:color w:val="auto"/>
                <w:sz w:val="24"/>
                <w:highlight w:val="none"/>
              </w:rPr>
            </w:pPr>
          </w:p>
        </w:tc>
        <w:tc>
          <w:tcPr>
            <w:tcW w:w="1433" w:type="dxa"/>
          </w:tcPr>
          <w:p>
            <w:pPr>
              <w:spacing w:line="360" w:lineRule="auto"/>
              <w:rPr>
                <w:rFonts w:ascii="宋体" w:hAnsi="宋体" w:cs="宋体"/>
                <w:color w:val="auto"/>
                <w:sz w:val="24"/>
                <w:highlight w:val="none"/>
              </w:rPr>
            </w:pPr>
          </w:p>
        </w:tc>
        <w:tc>
          <w:tcPr>
            <w:tcW w:w="1247" w:type="dxa"/>
          </w:tcPr>
          <w:p>
            <w:pPr>
              <w:spacing w:line="360" w:lineRule="auto"/>
              <w:rPr>
                <w:rFonts w:ascii="宋体" w:hAnsi="宋体" w:cs="宋体"/>
                <w:color w:val="auto"/>
                <w:sz w:val="24"/>
                <w:highlight w:val="none"/>
              </w:rPr>
            </w:pPr>
          </w:p>
        </w:tc>
        <w:tc>
          <w:tcPr>
            <w:tcW w:w="920" w:type="dxa"/>
          </w:tcPr>
          <w:p>
            <w:pPr>
              <w:spacing w:line="360" w:lineRule="auto"/>
              <w:rPr>
                <w:rFonts w:ascii="宋体" w:hAnsi="宋体" w:cs="宋体"/>
                <w:color w:val="auto"/>
                <w:sz w:val="24"/>
                <w:highlight w:val="none"/>
              </w:rPr>
            </w:pPr>
          </w:p>
        </w:tc>
        <w:tc>
          <w:tcPr>
            <w:tcW w:w="986" w:type="dxa"/>
          </w:tcPr>
          <w:p>
            <w:pPr>
              <w:spacing w:line="360" w:lineRule="auto"/>
              <w:rPr>
                <w:rFonts w:ascii="宋体" w:hAnsi="宋体" w:cs="宋体"/>
                <w:color w:val="auto"/>
                <w:sz w:val="24"/>
                <w:highlight w:val="none"/>
              </w:rPr>
            </w:pPr>
          </w:p>
        </w:tc>
        <w:tc>
          <w:tcPr>
            <w:tcW w:w="1774" w:type="dxa"/>
          </w:tcPr>
          <w:p>
            <w:pPr>
              <w:spacing w:line="360" w:lineRule="auto"/>
              <w:rPr>
                <w:rFonts w:ascii="宋体" w:hAnsi="宋体" w:cs="宋体"/>
                <w:color w:val="auto"/>
                <w:sz w:val="24"/>
                <w:highlight w:val="none"/>
              </w:rPr>
            </w:pPr>
          </w:p>
        </w:tc>
        <w:tc>
          <w:tcPr>
            <w:tcW w:w="1718"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44" w:type="dxa"/>
          </w:tcPr>
          <w:p>
            <w:pPr>
              <w:spacing w:line="360" w:lineRule="auto"/>
              <w:rPr>
                <w:rFonts w:ascii="宋体" w:hAnsi="宋体" w:cs="宋体"/>
                <w:color w:val="auto"/>
                <w:sz w:val="24"/>
                <w:highlight w:val="none"/>
              </w:rPr>
            </w:pPr>
          </w:p>
        </w:tc>
        <w:tc>
          <w:tcPr>
            <w:tcW w:w="1433" w:type="dxa"/>
          </w:tcPr>
          <w:p>
            <w:pPr>
              <w:spacing w:line="360" w:lineRule="auto"/>
              <w:rPr>
                <w:rFonts w:ascii="宋体" w:hAnsi="宋体" w:cs="宋体"/>
                <w:color w:val="auto"/>
                <w:sz w:val="24"/>
                <w:highlight w:val="none"/>
              </w:rPr>
            </w:pPr>
          </w:p>
        </w:tc>
        <w:tc>
          <w:tcPr>
            <w:tcW w:w="1247" w:type="dxa"/>
          </w:tcPr>
          <w:p>
            <w:pPr>
              <w:spacing w:line="360" w:lineRule="auto"/>
              <w:rPr>
                <w:rFonts w:ascii="宋体" w:hAnsi="宋体" w:cs="宋体"/>
                <w:color w:val="auto"/>
                <w:sz w:val="24"/>
                <w:highlight w:val="none"/>
              </w:rPr>
            </w:pPr>
          </w:p>
        </w:tc>
        <w:tc>
          <w:tcPr>
            <w:tcW w:w="920" w:type="dxa"/>
          </w:tcPr>
          <w:p>
            <w:pPr>
              <w:spacing w:line="360" w:lineRule="auto"/>
              <w:rPr>
                <w:rFonts w:ascii="宋体" w:hAnsi="宋体" w:cs="宋体"/>
                <w:color w:val="auto"/>
                <w:sz w:val="24"/>
                <w:highlight w:val="none"/>
              </w:rPr>
            </w:pPr>
          </w:p>
        </w:tc>
        <w:tc>
          <w:tcPr>
            <w:tcW w:w="986" w:type="dxa"/>
          </w:tcPr>
          <w:p>
            <w:pPr>
              <w:spacing w:line="360" w:lineRule="auto"/>
              <w:rPr>
                <w:rFonts w:ascii="宋体" w:hAnsi="宋体" w:cs="宋体"/>
                <w:color w:val="auto"/>
                <w:sz w:val="24"/>
                <w:highlight w:val="none"/>
              </w:rPr>
            </w:pPr>
          </w:p>
        </w:tc>
        <w:tc>
          <w:tcPr>
            <w:tcW w:w="1774" w:type="dxa"/>
          </w:tcPr>
          <w:p>
            <w:pPr>
              <w:spacing w:line="360" w:lineRule="auto"/>
              <w:rPr>
                <w:rFonts w:ascii="宋体" w:hAnsi="宋体" w:cs="宋体"/>
                <w:color w:val="auto"/>
                <w:sz w:val="24"/>
                <w:highlight w:val="none"/>
              </w:rPr>
            </w:pPr>
          </w:p>
        </w:tc>
        <w:tc>
          <w:tcPr>
            <w:tcW w:w="1718"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9" w:hRule="atLeast"/>
        </w:trPr>
        <w:tc>
          <w:tcPr>
            <w:tcW w:w="1344" w:type="dxa"/>
            <w:vMerge w:val="restart"/>
            <w:vAlign w:val="center"/>
          </w:tcPr>
          <w:p>
            <w:pPr>
              <w:tabs>
                <w:tab w:val="left" w:pos="0"/>
              </w:tabs>
              <w:spacing w:line="240" w:lineRule="auto"/>
              <w:ind w:firstLine="120" w:firstLineChars="50"/>
              <w:jc w:val="center"/>
              <w:rPr>
                <w:rFonts w:ascii="宋体" w:hAnsi="宋体" w:cs="宋体"/>
                <w:color w:val="auto"/>
                <w:sz w:val="24"/>
                <w:highlight w:val="none"/>
              </w:rPr>
            </w:pPr>
            <w:r>
              <w:rPr>
                <w:rFonts w:hint="eastAsia" w:ascii="宋体" w:hAnsi="宋体" w:cs="宋体"/>
                <w:color w:val="auto"/>
                <w:sz w:val="24"/>
                <w:highlight w:val="none"/>
              </w:rPr>
              <w:t>总价：</w:t>
            </w:r>
          </w:p>
        </w:tc>
        <w:tc>
          <w:tcPr>
            <w:tcW w:w="8078" w:type="dxa"/>
            <w:gridSpan w:val="6"/>
            <w:vAlign w:val="center"/>
          </w:tcPr>
          <w:p>
            <w:pPr>
              <w:tabs>
                <w:tab w:val="left" w:pos="0"/>
              </w:tabs>
              <w:spacing w:line="240" w:lineRule="auto"/>
              <w:jc w:val="left"/>
              <w:rPr>
                <w:rFonts w:ascii="宋体" w:hAnsi="宋体" w:cs="宋体"/>
                <w:color w:val="auto"/>
                <w:sz w:val="24"/>
                <w:highlight w:val="none"/>
              </w:rPr>
            </w:pPr>
            <w:r>
              <w:rPr>
                <w:rFonts w:hint="eastAsia" w:ascii="宋体" w:hAnsi="宋体" w:cs="宋体"/>
                <w:color w:val="auto"/>
                <w:sz w:val="24"/>
                <w:highlight w:val="none"/>
              </w:rPr>
              <w:t>（人民币小写）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8" w:hRule="atLeast"/>
        </w:trPr>
        <w:tc>
          <w:tcPr>
            <w:tcW w:w="1344" w:type="dxa"/>
            <w:vMerge w:val="continue"/>
            <w:vAlign w:val="center"/>
          </w:tcPr>
          <w:p>
            <w:pPr>
              <w:tabs>
                <w:tab w:val="left" w:pos="0"/>
              </w:tabs>
              <w:spacing w:line="240" w:lineRule="auto"/>
              <w:jc w:val="center"/>
              <w:rPr>
                <w:rFonts w:ascii="宋体" w:hAnsi="宋体" w:cs="宋体"/>
                <w:color w:val="auto"/>
                <w:sz w:val="24"/>
                <w:highlight w:val="none"/>
              </w:rPr>
            </w:pPr>
          </w:p>
        </w:tc>
        <w:tc>
          <w:tcPr>
            <w:tcW w:w="8078" w:type="dxa"/>
            <w:gridSpan w:val="6"/>
            <w:vAlign w:val="center"/>
          </w:tcPr>
          <w:p>
            <w:pPr>
              <w:tabs>
                <w:tab w:val="left" w:pos="0"/>
              </w:tabs>
              <w:spacing w:line="240" w:lineRule="auto"/>
              <w:jc w:val="left"/>
              <w:rPr>
                <w:rFonts w:ascii="宋体" w:hAnsi="宋体" w:cs="宋体"/>
                <w:color w:val="auto"/>
                <w:sz w:val="24"/>
                <w:highlight w:val="none"/>
              </w:rPr>
            </w:pPr>
            <w:r>
              <w:rPr>
                <w:rFonts w:hint="eastAsia" w:ascii="宋体" w:hAnsi="宋体" w:cs="宋体"/>
                <w:color w:val="auto"/>
                <w:sz w:val="24"/>
                <w:highlight w:val="none"/>
              </w:rPr>
              <w:t>（人民币大写）</w:t>
            </w:r>
          </w:p>
        </w:tc>
      </w:tr>
    </w:tbl>
    <w:p>
      <w:pPr>
        <w:spacing w:line="360" w:lineRule="auto"/>
        <w:ind w:firstLine="480" w:firstLineChars="200"/>
        <w:rPr>
          <w:rFonts w:ascii="宋体" w:hAnsi="宋体" w:cs="宋体"/>
          <w:color w:val="auto"/>
          <w:sz w:val="24"/>
          <w:highlight w:val="none"/>
        </w:rPr>
      </w:pPr>
    </w:p>
    <w:p>
      <w:pPr>
        <w:numPr>
          <w:ilvl w:val="0"/>
          <w:numId w:val="0"/>
        </w:num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注明：</w:t>
      </w:r>
    </w:p>
    <w:p>
      <w:pPr>
        <w:numPr>
          <w:ilvl w:val="0"/>
          <w:numId w:val="0"/>
        </w:num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1、报价如修改，应在修改处加盖单位公章或者由法定代表人或授权委托人签字或盖章，否则其响应文件作无效标处理。</w:t>
      </w:r>
    </w:p>
    <w:p>
      <w:pPr>
        <w:numPr>
          <w:ilvl w:val="0"/>
          <w:numId w:val="0"/>
        </w:num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项目须附详细的报价明细表，报价明细表中金额和开标一览表金额一致。</w:t>
      </w:r>
    </w:p>
    <w:p>
      <w:pPr>
        <w:numPr>
          <w:ilvl w:val="0"/>
          <w:numId w:val="0"/>
        </w:num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eastAsia="zh-CN"/>
        </w:rPr>
        <w:t>投标人所投标价单价与总价不得超出</w:t>
      </w:r>
      <w:r>
        <w:rPr>
          <w:rFonts w:hint="eastAsia" w:ascii="宋体" w:hAnsi="宋体" w:eastAsia="宋体" w:cs="宋体"/>
          <w:color w:val="auto"/>
          <w:sz w:val="24"/>
          <w:highlight w:val="none"/>
        </w:rPr>
        <w:t>采购清单</w:t>
      </w:r>
      <w:r>
        <w:rPr>
          <w:rFonts w:hint="eastAsia" w:ascii="宋体" w:hAnsi="宋体" w:eastAsia="宋体" w:cs="宋体"/>
          <w:color w:val="auto"/>
          <w:sz w:val="24"/>
          <w:highlight w:val="none"/>
          <w:lang w:val="en-US"/>
        </w:rPr>
        <w:t>各项报价预算价。</w:t>
      </w:r>
    </w:p>
    <w:p>
      <w:pPr>
        <w:numPr>
          <w:ilvl w:val="0"/>
          <w:numId w:val="0"/>
        </w:num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4、后附报价明细表</w:t>
      </w:r>
    </w:p>
    <w:p>
      <w:pPr>
        <w:numPr>
          <w:ilvl w:val="0"/>
          <w:numId w:val="0"/>
        </w:numPr>
        <w:spacing w:line="360" w:lineRule="auto"/>
        <w:rPr>
          <w:rFonts w:hint="eastAsia" w:ascii="宋体" w:hAnsi="宋体" w:eastAsia="宋体" w:cs="宋体"/>
          <w:color w:val="auto"/>
          <w:sz w:val="24"/>
          <w:highlight w:val="none"/>
        </w:rPr>
      </w:pPr>
    </w:p>
    <w:p>
      <w:pPr>
        <w:numPr>
          <w:ilvl w:val="0"/>
          <w:numId w:val="0"/>
        </w:numPr>
        <w:spacing w:line="360" w:lineRule="auto"/>
        <w:rPr>
          <w:rFonts w:hint="eastAsia" w:ascii="宋体" w:hAnsi="宋体" w:eastAsia="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投标单位：（单位公章）</w:t>
      </w:r>
    </w:p>
    <w:p>
      <w:pPr>
        <w:spacing w:line="360" w:lineRule="auto"/>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投标单位法定代表人或其授权委托人（签字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p>
    <w:p>
      <w:pPr>
        <w:spacing w:line="360" w:lineRule="auto"/>
        <w:ind w:firstLine="3360" w:firstLineChars="1400"/>
        <w:rPr>
          <w:rFonts w:ascii="宋体" w:hAnsi="宋体" w:cs="宋体"/>
          <w:color w:val="auto"/>
          <w:sz w:val="24"/>
          <w:highlight w:val="none"/>
        </w:rPr>
      </w:pPr>
    </w:p>
    <w:p>
      <w:pPr>
        <w:spacing w:line="360" w:lineRule="auto"/>
        <w:ind w:firstLine="5040" w:firstLineChars="2100"/>
        <w:rPr>
          <w:rFonts w:ascii="宋体" w:hAnsi="宋体" w:cs="宋体"/>
          <w:color w:val="auto"/>
          <w:sz w:val="24"/>
          <w:highlight w:val="none"/>
        </w:rPr>
      </w:pPr>
      <w:r>
        <w:rPr>
          <w:rFonts w:hint="eastAsia" w:ascii="宋体" w:hAnsi="宋体" w:cs="宋体"/>
          <w:color w:val="auto"/>
          <w:sz w:val="24"/>
          <w:highlight w:val="none"/>
        </w:rPr>
        <w:t>年   月   日</w:t>
      </w:r>
      <w:bookmarkStart w:id="162" w:name="_Toc21935"/>
    </w:p>
    <w:p>
      <w:pPr>
        <w:pStyle w:val="4"/>
        <w:jc w:val="center"/>
        <w:rPr>
          <w:rFonts w:ascii="宋体" w:hAnsi="宋体" w:cs="宋体"/>
          <w:color w:val="auto"/>
          <w:sz w:val="28"/>
          <w:highlight w:val="none"/>
        </w:rPr>
      </w:pPr>
      <w:r>
        <w:rPr>
          <w:rFonts w:hint="eastAsia" w:ascii="宋体" w:hAnsi="宋体" w:cs="宋体"/>
          <w:color w:val="auto"/>
          <w:sz w:val="28"/>
          <w:highlight w:val="none"/>
        </w:rPr>
        <w:t>投标货物报价表</w:t>
      </w:r>
      <w:bookmarkEnd w:id="162"/>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投标人名称：                        </w:t>
      </w:r>
      <w:r>
        <w:rPr>
          <w:rFonts w:hint="eastAsia" w:ascii="宋体" w:hAnsi="宋体" w:cs="宋体"/>
          <w:color w:val="000000" w:themeColor="text1"/>
          <w:sz w:val="24"/>
          <w14:textFill>
            <w14:solidFill>
              <w14:schemeClr w14:val="tx1"/>
            </w14:solidFill>
          </w14:textFill>
        </w:rPr>
        <w:t>招标</w:t>
      </w:r>
      <w:r>
        <w:rPr>
          <w:rFonts w:hint="eastAsia" w:ascii="宋体" w:hAnsi="宋体" w:cs="宋体"/>
          <w:color w:val="000000" w:themeColor="text1"/>
          <w:sz w:val="24"/>
          <w:lang w:val="en-US"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编号：</w:t>
      </w:r>
    </w:p>
    <w:tbl>
      <w:tblPr>
        <w:tblStyle w:val="31"/>
        <w:tblW w:w="98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567"/>
        <w:gridCol w:w="963"/>
        <w:gridCol w:w="917"/>
        <w:gridCol w:w="1070"/>
        <w:gridCol w:w="1763"/>
        <w:gridCol w:w="148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833" w:type="dxa"/>
            <w:vAlign w:val="center"/>
          </w:tcPr>
          <w:p>
            <w:pPr>
              <w:tabs>
                <w:tab w:val="left" w:pos="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567" w:type="dxa"/>
            <w:vAlign w:val="center"/>
          </w:tcPr>
          <w:p>
            <w:pPr>
              <w:tabs>
                <w:tab w:val="left" w:pos="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名称</w:t>
            </w:r>
          </w:p>
        </w:tc>
        <w:tc>
          <w:tcPr>
            <w:tcW w:w="963" w:type="dxa"/>
            <w:vAlign w:val="center"/>
          </w:tcPr>
          <w:p>
            <w:pPr>
              <w:tabs>
                <w:tab w:val="left" w:pos="0"/>
              </w:tabs>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规格参数</w:t>
            </w:r>
          </w:p>
        </w:tc>
        <w:tc>
          <w:tcPr>
            <w:tcW w:w="917" w:type="dxa"/>
            <w:vAlign w:val="center"/>
          </w:tcPr>
          <w:p>
            <w:pPr>
              <w:tabs>
                <w:tab w:val="left" w:pos="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单价</w:t>
            </w:r>
          </w:p>
        </w:tc>
        <w:tc>
          <w:tcPr>
            <w:tcW w:w="1070" w:type="dxa"/>
            <w:vAlign w:val="center"/>
          </w:tcPr>
          <w:p>
            <w:pPr>
              <w:tabs>
                <w:tab w:val="left" w:pos="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1763" w:type="dxa"/>
            <w:vAlign w:val="center"/>
          </w:tcPr>
          <w:p>
            <w:pPr>
              <w:tabs>
                <w:tab w:val="left" w:pos="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总价</w:t>
            </w:r>
          </w:p>
        </w:tc>
        <w:tc>
          <w:tcPr>
            <w:tcW w:w="1487" w:type="dxa"/>
            <w:vAlign w:val="center"/>
          </w:tcPr>
          <w:p>
            <w:pPr>
              <w:tabs>
                <w:tab w:val="left" w:pos="0"/>
              </w:tabs>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000000" w:themeColor="text1"/>
                <w:sz w:val="24"/>
                <w:highlight w:val="none"/>
                <w:lang w:val="en-US" w:eastAsia="zh-CN"/>
                <w14:textFill>
                  <w14:solidFill>
                    <w14:schemeClr w14:val="tx1"/>
                  </w14:solidFill>
                </w14:textFill>
              </w:rPr>
              <w:t>品牌、产地</w:t>
            </w:r>
          </w:p>
        </w:tc>
        <w:tc>
          <w:tcPr>
            <w:tcW w:w="1276" w:type="dxa"/>
            <w:vAlign w:val="center"/>
          </w:tcPr>
          <w:p>
            <w:pPr>
              <w:tabs>
                <w:tab w:val="left" w:pos="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833" w:type="dxa"/>
          </w:tcPr>
          <w:p>
            <w:pPr>
              <w:spacing w:line="360" w:lineRule="auto"/>
              <w:rPr>
                <w:rFonts w:ascii="宋体" w:hAnsi="宋体" w:cs="宋体"/>
                <w:color w:val="auto"/>
                <w:sz w:val="24"/>
                <w:highlight w:val="none"/>
              </w:rPr>
            </w:pPr>
          </w:p>
        </w:tc>
        <w:tc>
          <w:tcPr>
            <w:tcW w:w="1567" w:type="dxa"/>
          </w:tcPr>
          <w:p>
            <w:pPr>
              <w:spacing w:line="360" w:lineRule="auto"/>
              <w:rPr>
                <w:rFonts w:ascii="宋体" w:hAnsi="宋体" w:cs="宋体"/>
                <w:color w:val="auto"/>
                <w:sz w:val="24"/>
                <w:highlight w:val="none"/>
              </w:rPr>
            </w:pPr>
          </w:p>
        </w:tc>
        <w:tc>
          <w:tcPr>
            <w:tcW w:w="963" w:type="dxa"/>
          </w:tcPr>
          <w:p>
            <w:pPr>
              <w:spacing w:line="360" w:lineRule="auto"/>
              <w:rPr>
                <w:rFonts w:ascii="宋体" w:hAnsi="宋体" w:cs="宋体"/>
                <w:color w:val="auto"/>
                <w:sz w:val="24"/>
                <w:highlight w:val="none"/>
              </w:rPr>
            </w:pPr>
          </w:p>
        </w:tc>
        <w:tc>
          <w:tcPr>
            <w:tcW w:w="917" w:type="dxa"/>
          </w:tcPr>
          <w:p>
            <w:pPr>
              <w:spacing w:line="360" w:lineRule="auto"/>
              <w:rPr>
                <w:rFonts w:ascii="宋体" w:hAnsi="宋体" w:cs="宋体"/>
                <w:color w:val="auto"/>
                <w:sz w:val="24"/>
                <w:highlight w:val="none"/>
              </w:rPr>
            </w:pPr>
          </w:p>
        </w:tc>
        <w:tc>
          <w:tcPr>
            <w:tcW w:w="1070" w:type="dxa"/>
          </w:tcPr>
          <w:p>
            <w:pPr>
              <w:spacing w:line="360" w:lineRule="auto"/>
              <w:rPr>
                <w:rFonts w:ascii="宋体" w:hAnsi="宋体" w:cs="宋体"/>
                <w:color w:val="auto"/>
                <w:sz w:val="24"/>
                <w:highlight w:val="none"/>
              </w:rPr>
            </w:pPr>
          </w:p>
        </w:tc>
        <w:tc>
          <w:tcPr>
            <w:tcW w:w="1763" w:type="dxa"/>
          </w:tcPr>
          <w:p>
            <w:pPr>
              <w:spacing w:line="360" w:lineRule="auto"/>
              <w:rPr>
                <w:rFonts w:ascii="宋体" w:hAnsi="宋体" w:cs="宋体"/>
                <w:color w:val="auto"/>
                <w:sz w:val="24"/>
                <w:highlight w:val="none"/>
              </w:rPr>
            </w:pPr>
          </w:p>
        </w:tc>
        <w:tc>
          <w:tcPr>
            <w:tcW w:w="1487" w:type="dxa"/>
          </w:tcPr>
          <w:p>
            <w:pPr>
              <w:spacing w:line="360" w:lineRule="auto"/>
              <w:rPr>
                <w:rFonts w:ascii="宋体" w:hAnsi="宋体" w:cs="宋体"/>
                <w:color w:val="auto"/>
                <w:sz w:val="24"/>
                <w:highlight w:val="none"/>
              </w:rPr>
            </w:pPr>
          </w:p>
        </w:tc>
        <w:tc>
          <w:tcPr>
            <w:tcW w:w="127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833" w:type="dxa"/>
          </w:tcPr>
          <w:p>
            <w:pPr>
              <w:spacing w:line="360" w:lineRule="auto"/>
              <w:rPr>
                <w:rFonts w:ascii="宋体" w:hAnsi="宋体" w:cs="宋体"/>
                <w:color w:val="auto"/>
                <w:sz w:val="24"/>
                <w:highlight w:val="none"/>
              </w:rPr>
            </w:pPr>
          </w:p>
        </w:tc>
        <w:tc>
          <w:tcPr>
            <w:tcW w:w="1567" w:type="dxa"/>
          </w:tcPr>
          <w:p>
            <w:pPr>
              <w:spacing w:line="360" w:lineRule="auto"/>
              <w:rPr>
                <w:rFonts w:ascii="宋体" w:hAnsi="宋体" w:cs="宋体"/>
                <w:color w:val="auto"/>
                <w:sz w:val="24"/>
                <w:highlight w:val="none"/>
              </w:rPr>
            </w:pPr>
          </w:p>
        </w:tc>
        <w:tc>
          <w:tcPr>
            <w:tcW w:w="963" w:type="dxa"/>
          </w:tcPr>
          <w:p>
            <w:pPr>
              <w:spacing w:line="360" w:lineRule="auto"/>
              <w:rPr>
                <w:rFonts w:ascii="宋体" w:hAnsi="宋体" w:cs="宋体"/>
                <w:color w:val="auto"/>
                <w:sz w:val="24"/>
                <w:highlight w:val="none"/>
              </w:rPr>
            </w:pPr>
          </w:p>
        </w:tc>
        <w:tc>
          <w:tcPr>
            <w:tcW w:w="917" w:type="dxa"/>
          </w:tcPr>
          <w:p>
            <w:pPr>
              <w:spacing w:line="360" w:lineRule="auto"/>
              <w:rPr>
                <w:rFonts w:ascii="宋体" w:hAnsi="宋体" w:cs="宋体"/>
                <w:color w:val="auto"/>
                <w:sz w:val="24"/>
                <w:highlight w:val="none"/>
              </w:rPr>
            </w:pPr>
          </w:p>
        </w:tc>
        <w:tc>
          <w:tcPr>
            <w:tcW w:w="1070" w:type="dxa"/>
          </w:tcPr>
          <w:p>
            <w:pPr>
              <w:spacing w:line="360" w:lineRule="auto"/>
              <w:rPr>
                <w:rFonts w:ascii="宋体" w:hAnsi="宋体" w:cs="宋体"/>
                <w:color w:val="auto"/>
                <w:sz w:val="24"/>
                <w:highlight w:val="none"/>
              </w:rPr>
            </w:pPr>
          </w:p>
        </w:tc>
        <w:tc>
          <w:tcPr>
            <w:tcW w:w="1763" w:type="dxa"/>
          </w:tcPr>
          <w:p>
            <w:pPr>
              <w:spacing w:line="360" w:lineRule="auto"/>
              <w:rPr>
                <w:rFonts w:ascii="宋体" w:hAnsi="宋体" w:cs="宋体"/>
                <w:color w:val="auto"/>
                <w:sz w:val="24"/>
                <w:highlight w:val="none"/>
              </w:rPr>
            </w:pPr>
          </w:p>
        </w:tc>
        <w:tc>
          <w:tcPr>
            <w:tcW w:w="1487" w:type="dxa"/>
          </w:tcPr>
          <w:p>
            <w:pPr>
              <w:spacing w:line="360" w:lineRule="auto"/>
              <w:rPr>
                <w:rFonts w:ascii="宋体" w:hAnsi="宋体" w:cs="宋体"/>
                <w:color w:val="auto"/>
                <w:sz w:val="24"/>
                <w:highlight w:val="none"/>
              </w:rPr>
            </w:pPr>
          </w:p>
        </w:tc>
        <w:tc>
          <w:tcPr>
            <w:tcW w:w="127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833" w:type="dxa"/>
          </w:tcPr>
          <w:p>
            <w:pPr>
              <w:spacing w:line="360" w:lineRule="auto"/>
              <w:rPr>
                <w:rFonts w:ascii="宋体" w:hAnsi="宋体" w:cs="宋体"/>
                <w:color w:val="auto"/>
                <w:sz w:val="24"/>
                <w:highlight w:val="none"/>
              </w:rPr>
            </w:pPr>
          </w:p>
        </w:tc>
        <w:tc>
          <w:tcPr>
            <w:tcW w:w="1567" w:type="dxa"/>
          </w:tcPr>
          <w:p>
            <w:pPr>
              <w:spacing w:line="360" w:lineRule="auto"/>
              <w:rPr>
                <w:rFonts w:ascii="宋体" w:hAnsi="宋体" w:cs="宋体"/>
                <w:color w:val="auto"/>
                <w:sz w:val="24"/>
                <w:highlight w:val="none"/>
              </w:rPr>
            </w:pPr>
          </w:p>
        </w:tc>
        <w:tc>
          <w:tcPr>
            <w:tcW w:w="963" w:type="dxa"/>
          </w:tcPr>
          <w:p>
            <w:pPr>
              <w:spacing w:line="360" w:lineRule="auto"/>
              <w:rPr>
                <w:rFonts w:ascii="宋体" w:hAnsi="宋体" w:cs="宋体"/>
                <w:color w:val="auto"/>
                <w:sz w:val="24"/>
                <w:highlight w:val="none"/>
              </w:rPr>
            </w:pPr>
          </w:p>
        </w:tc>
        <w:tc>
          <w:tcPr>
            <w:tcW w:w="917" w:type="dxa"/>
          </w:tcPr>
          <w:p>
            <w:pPr>
              <w:spacing w:line="360" w:lineRule="auto"/>
              <w:rPr>
                <w:rFonts w:ascii="宋体" w:hAnsi="宋体" w:cs="宋体"/>
                <w:color w:val="auto"/>
                <w:sz w:val="24"/>
                <w:highlight w:val="none"/>
              </w:rPr>
            </w:pPr>
          </w:p>
        </w:tc>
        <w:tc>
          <w:tcPr>
            <w:tcW w:w="1070" w:type="dxa"/>
          </w:tcPr>
          <w:p>
            <w:pPr>
              <w:spacing w:line="360" w:lineRule="auto"/>
              <w:rPr>
                <w:rFonts w:ascii="宋体" w:hAnsi="宋体" w:cs="宋体"/>
                <w:color w:val="auto"/>
                <w:sz w:val="24"/>
                <w:highlight w:val="none"/>
              </w:rPr>
            </w:pPr>
          </w:p>
        </w:tc>
        <w:tc>
          <w:tcPr>
            <w:tcW w:w="1763" w:type="dxa"/>
          </w:tcPr>
          <w:p>
            <w:pPr>
              <w:spacing w:line="360" w:lineRule="auto"/>
              <w:rPr>
                <w:rFonts w:ascii="宋体" w:hAnsi="宋体" w:cs="宋体"/>
                <w:color w:val="auto"/>
                <w:sz w:val="24"/>
                <w:highlight w:val="none"/>
              </w:rPr>
            </w:pPr>
          </w:p>
        </w:tc>
        <w:tc>
          <w:tcPr>
            <w:tcW w:w="1487" w:type="dxa"/>
          </w:tcPr>
          <w:p>
            <w:pPr>
              <w:spacing w:line="360" w:lineRule="auto"/>
              <w:rPr>
                <w:rFonts w:ascii="宋体" w:hAnsi="宋体" w:cs="宋体"/>
                <w:color w:val="auto"/>
                <w:sz w:val="24"/>
                <w:highlight w:val="none"/>
              </w:rPr>
            </w:pPr>
          </w:p>
        </w:tc>
        <w:tc>
          <w:tcPr>
            <w:tcW w:w="127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833" w:type="dxa"/>
          </w:tcPr>
          <w:p>
            <w:pPr>
              <w:spacing w:line="360" w:lineRule="auto"/>
              <w:rPr>
                <w:rFonts w:ascii="宋体" w:hAnsi="宋体" w:cs="宋体"/>
                <w:color w:val="auto"/>
                <w:sz w:val="24"/>
                <w:highlight w:val="none"/>
              </w:rPr>
            </w:pPr>
          </w:p>
        </w:tc>
        <w:tc>
          <w:tcPr>
            <w:tcW w:w="1567" w:type="dxa"/>
          </w:tcPr>
          <w:p>
            <w:pPr>
              <w:spacing w:line="360" w:lineRule="auto"/>
              <w:rPr>
                <w:rFonts w:ascii="宋体" w:hAnsi="宋体" w:cs="宋体"/>
                <w:color w:val="auto"/>
                <w:sz w:val="24"/>
                <w:highlight w:val="none"/>
              </w:rPr>
            </w:pPr>
          </w:p>
        </w:tc>
        <w:tc>
          <w:tcPr>
            <w:tcW w:w="963" w:type="dxa"/>
          </w:tcPr>
          <w:p>
            <w:pPr>
              <w:spacing w:line="360" w:lineRule="auto"/>
              <w:rPr>
                <w:rFonts w:ascii="宋体" w:hAnsi="宋体" w:cs="宋体"/>
                <w:color w:val="auto"/>
                <w:sz w:val="24"/>
                <w:highlight w:val="none"/>
              </w:rPr>
            </w:pPr>
          </w:p>
        </w:tc>
        <w:tc>
          <w:tcPr>
            <w:tcW w:w="917" w:type="dxa"/>
          </w:tcPr>
          <w:p>
            <w:pPr>
              <w:spacing w:line="360" w:lineRule="auto"/>
              <w:rPr>
                <w:rFonts w:ascii="宋体" w:hAnsi="宋体" w:cs="宋体"/>
                <w:color w:val="auto"/>
                <w:sz w:val="24"/>
                <w:highlight w:val="none"/>
              </w:rPr>
            </w:pPr>
          </w:p>
        </w:tc>
        <w:tc>
          <w:tcPr>
            <w:tcW w:w="1070" w:type="dxa"/>
          </w:tcPr>
          <w:p>
            <w:pPr>
              <w:spacing w:line="360" w:lineRule="auto"/>
              <w:rPr>
                <w:rFonts w:ascii="宋体" w:hAnsi="宋体" w:cs="宋体"/>
                <w:color w:val="auto"/>
                <w:sz w:val="24"/>
                <w:highlight w:val="none"/>
              </w:rPr>
            </w:pPr>
          </w:p>
        </w:tc>
        <w:tc>
          <w:tcPr>
            <w:tcW w:w="1763" w:type="dxa"/>
          </w:tcPr>
          <w:p>
            <w:pPr>
              <w:spacing w:line="360" w:lineRule="auto"/>
              <w:rPr>
                <w:rFonts w:ascii="宋体" w:hAnsi="宋体" w:cs="宋体"/>
                <w:color w:val="auto"/>
                <w:sz w:val="24"/>
                <w:highlight w:val="none"/>
              </w:rPr>
            </w:pPr>
          </w:p>
        </w:tc>
        <w:tc>
          <w:tcPr>
            <w:tcW w:w="1487" w:type="dxa"/>
          </w:tcPr>
          <w:p>
            <w:pPr>
              <w:spacing w:line="360" w:lineRule="auto"/>
              <w:rPr>
                <w:rFonts w:ascii="宋体" w:hAnsi="宋体" w:cs="宋体"/>
                <w:color w:val="auto"/>
                <w:sz w:val="24"/>
                <w:highlight w:val="none"/>
              </w:rPr>
            </w:pPr>
          </w:p>
        </w:tc>
        <w:tc>
          <w:tcPr>
            <w:tcW w:w="127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833" w:type="dxa"/>
          </w:tcPr>
          <w:p>
            <w:pPr>
              <w:spacing w:line="360" w:lineRule="auto"/>
              <w:rPr>
                <w:rFonts w:ascii="宋体" w:hAnsi="宋体" w:cs="宋体"/>
                <w:color w:val="auto"/>
                <w:sz w:val="24"/>
                <w:highlight w:val="none"/>
              </w:rPr>
            </w:pPr>
          </w:p>
        </w:tc>
        <w:tc>
          <w:tcPr>
            <w:tcW w:w="1567" w:type="dxa"/>
          </w:tcPr>
          <w:p>
            <w:pPr>
              <w:spacing w:line="360" w:lineRule="auto"/>
              <w:rPr>
                <w:rFonts w:ascii="宋体" w:hAnsi="宋体" w:cs="宋体"/>
                <w:color w:val="auto"/>
                <w:sz w:val="24"/>
                <w:highlight w:val="none"/>
              </w:rPr>
            </w:pPr>
          </w:p>
        </w:tc>
        <w:tc>
          <w:tcPr>
            <w:tcW w:w="963" w:type="dxa"/>
          </w:tcPr>
          <w:p>
            <w:pPr>
              <w:spacing w:line="360" w:lineRule="auto"/>
              <w:rPr>
                <w:rFonts w:ascii="宋体" w:hAnsi="宋体" w:cs="宋体"/>
                <w:color w:val="auto"/>
                <w:sz w:val="24"/>
                <w:highlight w:val="none"/>
              </w:rPr>
            </w:pPr>
          </w:p>
        </w:tc>
        <w:tc>
          <w:tcPr>
            <w:tcW w:w="917" w:type="dxa"/>
          </w:tcPr>
          <w:p>
            <w:pPr>
              <w:spacing w:line="360" w:lineRule="auto"/>
              <w:rPr>
                <w:rFonts w:ascii="宋体" w:hAnsi="宋体" w:cs="宋体"/>
                <w:color w:val="auto"/>
                <w:sz w:val="24"/>
                <w:highlight w:val="none"/>
              </w:rPr>
            </w:pPr>
          </w:p>
        </w:tc>
        <w:tc>
          <w:tcPr>
            <w:tcW w:w="1070" w:type="dxa"/>
          </w:tcPr>
          <w:p>
            <w:pPr>
              <w:spacing w:line="360" w:lineRule="auto"/>
              <w:rPr>
                <w:rFonts w:ascii="宋体" w:hAnsi="宋体" w:cs="宋体"/>
                <w:color w:val="auto"/>
                <w:sz w:val="24"/>
                <w:highlight w:val="none"/>
              </w:rPr>
            </w:pPr>
          </w:p>
        </w:tc>
        <w:tc>
          <w:tcPr>
            <w:tcW w:w="1763" w:type="dxa"/>
          </w:tcPr>
          <w:p>
            <w:pPr>
              <w:spacing w:line="360" w:lineRule="auto"/>
              <w:rPr>
                <w:rFonts w:ascii="宋体" w:hAnsi="宋体" w:cs="宋体"/>
                <w:color w:val="auto"/>
                <w:sz w:val="24"/>
                <w:highlight w:val="none"/>
              </w:rPr>
            </w:pPr>
          </w:p>
        </w:tc>
        <w:tc>
          <w:tcPr>
            <w:tcW w:w="1487" w:type="dxa"/>
          </w:tcPr>
          <w:p>
            <w:pPr>
              <w:spacing w:line="360" w:lineRule="auto"/>
              <w:rPr>
                <w:rFonts w:ascii="宋体" w:hAnsi="宋体" w:cs="宋体"/>
                <w:color w:val="auto"/>
                <w:sz w:val="24"/>
                <w:highlight w:val="none"/>
              </w:rPr>
            </w:pPr>
          </w:p>
        </w:tc>
        <w:tc>
          <w:tcPr>
            <w:tcW w:w="127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833" w:type="dxa"/>
          </w:tcPr>
          <w:p>
            <w:pPr>
              <w:spacing w:line="360" w:lineRule="auto"/>
              <w:rPr>
                <w:rFonts w:ascii="宋体" w:hAnsi="宋体" w:cs="宋体"/>
                <w:color w:val="auto"/>
                <w:sz w:val="24"/>
                <w:highlight w:val="none"/>
              </w:rPr>
            </w:pPr>
          </w:p>
        </w:tc>
        <w:tc>
          <w:tcPr>
            <w:tcW w:w="1567" w:type="dxa"/>
          </w:tcPr>
          <w:p>
            <w:pPr>
              <w:spacing w:line="360" w:lineRule="auto"/>
              <w:rPr>
                <w:rFonts w:ascii="宋体" w:hAnsi="宋体" w:cs="宋体"/>
                <w:color w:val="auto"/>
                <w:sz w:val="24"/>
                <w:highlight w:val="none"/>
              </w:rPr>
            </w:pPr>
          </w:p>
        </w:tc>
        <w:tc>
          <w:tcPr>
            <w:tcW w:w="963" w:type="dxa"/>
          </w:tcPr>
          <w:p>
            <w:pPr>
              <w:spacing w:line="360" w:lineRule="auto"/>
              <w:rPr>
                <w:rFonts w:ascii="宋体" w:hAnsi="宋体" w:cs="宋体"/>
                <w:color w:val="auto"/>
                <w:sz w:val="24"/>
                <w:highlight w:val="none"/>
              </w:rPr>
            </w:pPr>
          </w:p>
        </w:tc>
        <w:tc>
          <w:tcPr>
            <w:tcW w:w="917" w:type="dxa"/>
          </w:tcPr>
          <w:p>
            <w:pPr>
              <w:spacing w:line="360" w:lineRule="auto"/>
              <w:rPr>
                <w:rFonts w:ascii="宋体" w:hAnsi="宋体" w:cs="宋体"/>
                <w:color w:val="auto"/>
                <w:sz w:val="24"/>
                <w:highlight w:val="none"/>
              </w:rPr>
            </w:pPr>
          </w:p>
        </w:tc>
        <w:tc>
          <w:tcPr>
            <w:tcW w:w="1070" w:type="dxa"/>
          </w:tcPr>
          <w:p>
            <w:pPr>
              <w:spacing w:line="360" w:lineRule="auto"/>
              <w:rPr>
                <w:rFonts w:ascii="宋体" w:hAnsi="宋体" w:cs="宋体"/>
                <w:color w:val="auto"/>
                <w:sz w:val="24"/>
                <w:highlight w:val="none"/>
              </w:rPr>
            </w:pPr>
          </w:p>
        </w:tc>
        <w:tc>
          <w:tcPr>
            <w:tcW w:w="1763" w:type="dxa"/>
          </w:tcPr>
          <w:p>
            <w:pPr>
              <w:spacing w:line="360" w:lineRule="auto"/>
              <w:rPr>
                <w:rFonts w:ascii="宋体" w:hAnsi="宋体" w:cs="宋体"/>
                <w:color w:val="auto"/>
                <w:sz w:val="24"/>
                <w:highlight w:val="none"/>
              </w:rPr>
            </w:pPr>
          </w:p>
        </w:tc>
        <w:tc>
          <w:tcPr>
            <w:tcW w:w="1487" w:type="dxa"/>
          </w:tcPr>
          <w:p>
            <w:pPr>
              <w:spacing w:line="360" w:lineRule="auto"/>
              <w:rPr>
                <w:rFonts w:ascii="宋体" w:hAnsi="宋体" w:cs="宋体"/>
                <w:color w:val="auto"/>
                <w:sz w:val="24"/>
                <w:highlight w:val="none"/>
              </w:rPr>
            </w:pPr>
          </w:p>
        </w:tc>
        <w:tc>
          <w:tcPr>
            <w:tcW w:w="127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833" w:type="dxa"/>
          </w:tcPr>
          <w:p>
            <w:pPr>
              <w:spacing w:line="360" w:lineRule="auto"/>
              <w:rPr>
                <w:rFonts w:ascii="宋体" w:hAnsi="宋体" w:cs="宋体"/>
                <w:color w:val="auto"/>
                <w:sz w:val="24"/>
                <w:highlight w:val="none"/>
              </w:rPr>
            </w:pPr>
          </w:p>
        </w:tc>
        <w:tc>
          <w:tcPr>
            <w:tcW w:w="1567" w:type="dxa"/>
          </w:tcPr>
          <w:p>
            <w:pPr>
              <w:spacing w:line="360" w:lineRule="auto"/>
              <w:rPr>
                <w:rFonts w:ascii="宋体" w:hAnsi="宋体" w:cs="宋体"/>
                <w:color w:val="auto"/>
                <w:sz w:val="24"/>
                <w:highlight w:val="none"/>
              </w:rPr>
            </w:pPr>
          </w:p>
        </w:tc>
        <w:tc>
          <w:tcPr>
            <w:tcW w:w="963" w:type="dxa"/>
          </w:tcPr>
          <w:p>
            <w:pPr>
              <w:spacing w:line="360" w:lineRule="auto"/>
              <w:rPr>
                <w:rFonts w:ascii="宋体" w:hAnsi="宋体" w:cs="宋体"/>
                <w:color w:val="auto"/>
                <w:sz w:val="24"/>
                <w:highlight w:val="none"/>
              </w:rPr>
            </w:pPr>
          </w:p>
        </w:tc>
        <w:tc>
          <w:tcPr>
            <w:tcW w:w="917" w:type="dxa"/>
          </w:tcPr>
          <w:p>
            <w:pPr>
              <w:spacing w:line="360" w:lineRule="auto"/>
              <w:rPr>
                <w:rFonts w:ascii="宋体" w:hAnsi="宋体" w:cs="宋体"/>
                <w:color w:val="auto"/>
                <w:sz w:val="24"/>
                <w:highlight w:val="none"/>
              </w:rPr>
            </w:pPr>
          </w:p>
        </w:tc>
        <w:tc>
          <w:tcPr>
            <w:tcW w:w="1070" w:type="dxa"/>
          </w:tcPr>
          <w:p>
            <w:pPr>
              <w:spacing w:line="360" w:lineRule="auto"/>
              <w:rPr>
                <w:rFonts w:ascii="宋体" w:hAnsi="宋体" w:cs="宋体"/>
                <w:color w:val="auto"/>
                <w:sz w:val="24"/>
                <w:highlight w:val="none"/>
              </w:rPr>
            </w:pPr>
          </w:p>
        </w:tc>
        <w:tc>
          <w:tcPr>
            <w:tcW w:w="1763" w:type="dxa"/>
          </w:tcPr>
          <w:p>
            <w:pPr>
              <w:spacing w:line="360" w:lineRule="auto"/>
              <w:rPr>
                <w:rFonts w:ascii="宋体" w:hAnsi="宋体" w:cs="宋体"/>
                <w:color w:val="auto"/>
                <w:sz w:val="24"/>
                <w:highlight w:val="none"/>
              </w:rPr>
            </w:pPr>
          </w:p>
        </w:tc>
        <w:tc>
          <w:tcPr>
            <w:tcW w:w="1487" w:type="dxa"/>
          </w:tcPr>
          <w:p>
            <w:pPr>
              <w:spacing w:line="360" w:lineRule="auto"/>
              <w:rPr>
                <w:rFonts w:ascii="宋体" w:hAnsi="宋体" w:cs="宋体"/>
                <w:color w:val="auto"/>
                <w:sz w:val="24"/>
                <w:highlight w:val="none"/>
              </w:rPr>
            </w:pPr>
          </w:p>
        </w:tc>
        <w:tc>
          <w:tcPr>
            <w:tcW w:w="127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0" w:hRule="atLeast"/>
        </w:trPr>
        <w:tc>
          <w:tcPr>
            <w:tcW w:w="833" w:type="dxa"/>
          </w:tcPr>
          <w:p>
            <w:pPr>
              <w:spacing w:line="360" w:lineRule="auto"/>
              <w:rPr>
                <w:rFonts w:ascii="宋体" w:hAnsi="宋体" w:cs="宋体"/>
                <w:color w:val="auto"/>
                <w:sz w:val="24"/>
                <w:highlight w:val="none"/>
              </w:rPr>
            </w:pPr>
          </w:p>
        </w:tc>
        <w:tc>
          <w:tcPr>
            <w:tcW w:w="1567" w:type="dxa"/>
          </w:tcPr>
          <w:p>
            <w:pPr>
              <w:spacing w:line="360" w:lineRule="auto"/>
              <w:rPr>
                <w:rFonts w:ascii="宋体" w:hAnsi="宋体" w:cs="宋体"/>
                <w:color w:val="auto"/>
                <w:sz w:val="24"/>
                <w:highlight w:val="none"/>
              </w:rPr>
            </w:pPr>
          </w:p>
        </w:tc>
        <w:tc>
          <w:tcPr>
            <w:tcW w:w="963" w:type="dxa"/>
          </w:tcPr>
          <w:p>
            <w:pPr>
              <w:spacing w:line="360" w:lineRule="auto"/>
              <w:rPr>
                <w:rFonts w:ascii="宋体" w:hAnsi="宋体" w:cs="宋体"/>
                <w:color w:val="auto"/>
                <w:sz w:val="24"/>
                <w:highlight w:val="none"/>
              </w:rPr>
            </w:pPr>
          </w:p>
        </w:tc>
        <w:tc>
          <w:tcPr>
            <w:tcW w:w="917" w:type="dxa"/>
          </w:tcPr>
          <w:p>
            <w:pPr>
              <w:spacing w:line="360" w:lineRule="auto"/>
              <w:rPr>
                <w:rFonts w:ascii="宋体" w:hAnsi="宋体" w:cs="宋体"/>
                <w:color w:val="auto"/>
                <w:sz w:val="24"/>
                <w:highlight w:val="none"/>
              </w:rPr>
            </w:pPr>
          </w:p>
        </w:tc>
        <w:tc>
          <w:tcPr>
            <w:tcW w:w="1070" w:type="dxa"/>
          </w:tcPr>
          <w:p>
            <w:pPr>
              <w:spacing w:line="360" w:lineRule="auto"/>
              <w:rPr>
                <w:rFonts w:ascii="宋体" w:hAnsi="宋体" w:cs="宋体"/>
                <w:color w:val="auto"/>
                <w:sz w:val="24"/>
                <w:highlight w:val="none"/>
              </w:rPr>
            </w:pPr>
          </w:p>
        </w:tc>
        <w:tc>
          <w:tcPr>
            <w:tcW w:w="1763" w:type="dxa"/>
          </w:tcPr>
          <w:p>
            <w:pPr>
              <w:spacing w:line="360" w:lineRule="auto"/>
              <w:rPr>
                <w:rFonts w:ascii="宋体" w:hAnsi="宋体" w:cs="宋体"/>
                <w:color w:val="auto"/>
                <w:sz w:val="24"/>
                <w:highlight w:val="none"/>
              </w:rPr>
            </w:pPr>
          </w:p>
        </w:tc>
        <w:tc>
          <w:tcPr>
            <w:tcW w:w="1487" w:type="dxa"/>
          </w:tcPr>
          <w:p>
            <w:pPr>
              <w:spacing w:line="360" w:lineRule="auto"/>
              <w:rPr>
                <w:rFonts w:ascii="宋体" w:hAnsi="宋体" w:cs="宋体"/>
                <w:color w:val="auto"/>
                <w:sz w:val="24"/>
                <w:highlight w:val="none"/>
              </w:rPr>
            </w:pPr>
          </w:p>
        </w:tc>
        <w:tc>
          <w:tcPr>
            <w:tcW w:w="1276" w:type="dxa"/>
          </w:tcPr>
          <w:p>
            <w:pPr>
              <w:spacing w:line="360" w:lineRule="auto"/>
              <w:rPr>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833" w:type="dxa"/>
            <w:vAlign w:val="center"/>
          </w:tcPr>
          <w:p>
            <w:pPr>
              <w:tabs>
                <w:tab w:val="left" w:pos="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总计（元） </w:t>
            </w:r>
          </w:p>
        </w:tc>
        <w:tc>
          <w:tcPr>
            <w:tcW w:w="1567" w:type="dxa"/>
            <w:tcBorders>
              <w:right w:val="single" w:color="auto" w:sz="4" w:space="0"/>
            </w:tcBorders>
            <w:vAlign w:val="center"/>
          </w:tcPr>
          <w:p>
            <w:pPr>
              <w:tabs>
                <w:tab w:val="left" w:pos="0"/>
              </w:tabs>
              <w:spacing w:line="360" w:lineRule="auto"/>
              <w:jc w:val="center"/>
              <w:rPr>
                <w:rFonts w:ascii="宋体" w:hAnsi="宋体" w:cs="宋体"/>
                <w:color w:val="auto"/>
                <w:sz w:val="24"/>
                <w:highlight w:val="none"/>
              </w:rPr>
            </w:pPr>
          </w:p>
        </w:tc>
        <w:tc>
          <w:tcPr>
            <w:tcW w:w="7476" w:type="dxa"/>
            <w:gridSpan w:val="6"/>
            <w:tcBorders>
              <w:right w:val="single" w:color="auto" w:sz="4" w:space="0"/>
            </w:tcBorders>
            <w:vAlign w:val="center"/>
          </w:tcPr>
          <w:p>
            <w:pPr>
              <w:tabs>
                <w:tab w:val="left" w:pos="0"/>
              </w:tabs>
              <w:spacing w:line="360" w:lineRule="auto"/>
              <w:jc w:val="center"/>
              <w:rPr>
                <w:rFonts w:ascii="宋体" w:hAnsi="宋体" w:cs="宋体"/>
                <w:color w:val="auto"/>
                <w:sz w:val="24"/>
                <w:highlight w:val="none"/>
              </w:rPr>
            </w:pPr>
          </w:p>
        </w:tc>
      </w:tr>
    </w:tbl>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（此表可延长）</w:t>
      </w:r>
    </w:p>
    <w:p>
      <w:pPr>
        <w:adjustRightInd w:val="0"/>
        <w:snapToGrid w:val="0"/>
        <w:spacing w:line="360" w:lineRule="auto"/>
        <w:ind w:right="24"/>
        <w:rPr>
          <w:rFonts w:hint="eastAsia" w:ascii="宋体" w:hAnsi="宋体" w:cs="宋体"/>
          <w:b/>
          <w:color w:val="auto"/>
          <w:sz w:val="24"/>
          <w:highlight w:val="none"/>
        </w:rPr>
      </w:pPr>
      <w:r>
        <w:rPr>
          <w:rFonts w:hint="eastAsia" w:ascii="宋体" w:hAnsi="宋体" w:cs="宋体"/>
          <w:b/>
          <w:color w:val="auto"/>
          <w:sz w:val="24"/>
          <w:highlight w:val="none"/>
        </w:rPr>
        <w:t>注：</w:t>
      </w:r>
    </w:p>
    <w:p>
      <w:pPr>
        <w:adjustRightInd w:val="0"/>
        <w:snapToGrid w:val="0"/>
        <w:spacing w:line="360" w:lineRule="auto"/>
        <w:ind w:right="24"/>
        <w:rPr>
          <w:color w:val="auto"/>
        </w:rPr>
      </w:pPr>
      <w:r>
        <w:rPr>
          <w:color w:val="auto"/>
        </w:rPr>
        <w:t>1、报价如修改，应在修改处加盖单位公章或者由法定代表人或授权委托人签字或盖章，否则其响应文件作无效标处理。</w:t>
      </w:r>
    </w:p>
    <w:p>
      <w:pPr>
        <w:numPr>
          <w:ilvl w:val="0"/>
          <w:numId w:val="0"/>
        </w:numPr>
        <w:adjustRightInd w:val="0"/>
        <w:snapToGrid w:val="0"/>
        <w:spacing w:line="360" w:lineRule="auto"/>
        <w:ind w:right="24" w:rightChars="0"/>
        <w:rPr>
          <w:color w:val="auto"/>
        </w:rPr>
      </w:pPr>
      <w:r>
        <w:rPr>
          <w:color w:val="auto"/>
        </w:rPr>
        <w:t>2、项目须附详细的报价明细表，报价明细表中金额和开标一览表金额一致。</w:t>
      </w:r>
    </w:p>
    <w:p>
      <w:pPr>
        <w:numPr>
          <w:ilvl w:val="0"/>
          <w:numId w:val="0"/>
        </w:numPr>
        <w:adjustRightInd w:val="0"/>
        <w:snapToGrid w:val="0"/>
        <w:spacing w:line="360" w:lineRule="auto"/>
        <w:ind w:right="24" w:rightChars="0"/>
        <w:rPr>
          <w:bCs/>
          <w:color w:val="auto"/>
          <w:kern w:val="16"/>
          <w:lang w:val="fi-FI" w:eastAsia="zh-Hans"/>
        </w:rPr>
      </w:pPr>
      <w:r>
        <w:rPr>
          <w:rFonts w:hint="eastAsia" w:ascii="宋体" w:hAnsi="宋体"/>
          <w:bCs/>
          <w:color w:val="auto"/>
          <w:lang w:val="el-GR" w:eastAsia="zh-CN"/>
        </w:rPr>
        <w:t>3、</w:t>
      </w:r>
      <w:r>
        <w:rPr>
          <w:rFonts w:hint="eastAsia"/>
          <w:b/>
          <w:bCs/>
          <w:color w:val="auto"/>
          <w:lang w:val="en-US" w:eastAsia="zh-CN"/>
        </w:rPr>
        <w:t>投标人所投标价单价与总价不得超出</w:t>
      </w:r>
      <w:r>
        <w:rPr>
          <w:rFonts w:hint="eastAsia" w:ascii="宋体" w:hAnsi="宋体"/>
          <w:b/>
          <w:color w:val="auto"/>
          <w:kern w:val="0"/>
        </w:rPr>
        <w:t>采购清单</w:t>
      </w:r>
      <w:r>
        <w:rPr>
          <w:rFonts w:hint="eastAsia"/>
          <w:color w:val="auto"/>
          <w:kern w:val="0"/>
          <w:lang w:val="en-US" w:eastAsia="zh-CN"/>
        </w:rPr>
        <w:t>各项报价预算</w:t>
      </w:r>
      <w:r>
        <w:rPr>
          <w:bCs/>
          <w:color w:val="auto"/>
          <w:kern w:val="16"/>
          <w:lang w:val="fi-FI" w:eastAsia="zh-Hans"/>
        </w:rPr>
        <w:t>价。</w:t>
      </w:r>
    </w:p>
    <w:p>
      <w:pPr>
        <w:numPr>
          <w:ilvl w:val="0"/>
          <w:numId w:val="0"/>
        </w:numPr>
        <w:adjustRightInd w:val="0"/>
        <w:snapToGrid w:val="0"/>
        <w:spacing w:line="360" w:lineRule="auto"/>
        <w:ind w:right="24" w:rightChars="0"/>
        <w:rPr>
          <w:bCs/>
          <w:color w:val="auto"/>
          <w:kern w:val="16"/>
          <w:lang w:val="fi-FI" w:eastAsia="zh-Hans"/>
        </w:rPr>
      </w:pPr>
      <w:r>
        <w:rPr>
          <w:bCs/>
          <w:color w:val="auto"/>
          <w:kern w:val="16"/>
          <w:lang w:val="fi-FI" w:eastAsia="zh-Hans"/>
        </w:rPr>
        <w:t>4、本表表格不够时投标人自行添加表格。</w:t>
      </w:r>
    </w:p>
    <w:p>
      <w:pPr>
        <w:numPr>
          <w:ilvl w:val="0"/>
          <w:numId w:val="0"/>
        </w:numPr>
        <w:adjustRightInd w:val="0"/>
        <w:snapToGrid w:val="0"/>
        <w:spacing w:line="360" w:lineRule="auto"/>
        <w:ind w:right="24" w:rightChars="0"/>
        <w:rPr>
          <w:rFonts w:hint="default" w:ascii="宋体" w:hAnsi="宋体"/>
          <w:bCs/>
          <w:color w:val="auto"/>
          <w:lang w:val="en-US" w:eastAsia="zh-CN"/>
        </w:rPr>
      </w:pPr>
      <w:r>
        <w:rPr>
          <w:rFonts w:hint="default" w:ascii="宋体" w:hAnsi="宋体"/>
          <w:bCs/>
          <w:color w:val="auto"/>
          <w:lang w:val="en-US" w:eastAsia="zh-CN"/>
        </w:rPr>
        <w:t>5、投标人所投标应符合验收标准，不允许附偏离。</w:t>
      </w:r>
    </w:p>
    <w:p>
      <w:pPr>
        <w:spacing w:line="360" w:lineRule="auto"/>
        <w:ind w:firstLine="964" w:firstLineChars="400"/>
        <w:rPr>
          <w:rFonts w:ascii="宋体" w:hAnsi="宋体" w:cs="宋体"/>
          <w:b/>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投标单位（公章）：</w:t>
      </w:r>
    </w:p>
    <w:p>
      <w:pPr>
        <w:spacing w:line="360" w:lineRule="auto"/>
        <w:ind w:firstLine="4080" w:firstLineChars="17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投标单位法定代表人或其授权委托人（签字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p>
    <w:p>
      <w:pPr>
        <w:spacing w:line="360" w:lineRule="auto"/>
        <w:rPr>
          <w:rFonts w:ascii="宋体" w:hAnsi="宋体" w:cs="宋体"/>
          <w:color w:val="auto"/>
          <w:sz w:val="24"/>
          <w:highlight w:val="none"/>
        </w:rPr>
      </w:pPr>
    </w:p>
    <w:p>
      <w:pPr>
        <w:spacing w:line="360" w:lineRule="auto"/>
        <w:ind w:firstLine="5280" w:firstLineChars="2200"/>
        <w:rPr>
          <w:rFonts w:ascii="宋体" w:hAnsi="宋体" w:cs="宋体"/>
          <w:color w:val="auto"/>
          <w:sz w:val="24"/>
          <w:highlight w:val="none"/>
        </w:rPr>
      </w:pPr>
      <w:r>
        <w:rPr>
          <w:rFonts w:hint="eastAsia" w:ascii="宋体" w:hAnsi="宋体" w:cs="宋体"/>
          <w:color w:val="auto"/>
          <w:sz w:val="24"/>
          <w:highlight w:val="none"/>
        </w:rPr>
        <w:t>年   月   日</w:t>
      </w:r>
    </w:p>
    <w:p>
      <w:pPr>
        <w:pStyle w:val="4"/>
        <w:rPr>
          <w:rFonts w:ascii="宋体" w:hAnsi="宋体" w:cs="宋体"/>
          <w:color w:val="auto"/>
          <w:kern w:val="0"/>
          <w:sz w:val="28"/>
          <w:highlight w:val="none"/>
        </w:rPr>
      </w:pPr>
      <w:bookmarkStart w:id="163" w:name="_Toc20452"/>
    </w:p>
    <w:p>
      <w:pPr>
        <w:pStyle w:val="5"/>
        <w:rPr>
          <w:color w:val="auto"/>
          <w:highlight w:val="none"/>
        </w:rPr>
      </w:pPr>
    </w:p>
    <w:p>
      <w:pPr>
        <w:rPr>
          <w:color w:val="auto"/>
          <w:highlight w:val="none"/>
        </w:rPr>
      </w:pPr>
    </w:p>
    <w:p>
      <w:pPr>
        <w:pStyle w:val="4"/>
        <w:jc w:val="center"/>
        <w:rPr>
          <w:rFonts w:ascii="宋体" w:hAnsi="宋体" w:cs="宋体"/>
          <w:color w:val="auto"/>
          <w:highlight w:val="none"/>
        </w:rPr>
      </w:pPr>
      <w:r>
        <w:rPr>
          <w:rFonts w:hint="eastAsia" w:ascii="宋体" w:hAnsi="宋体" w:cs="宋体"/>
          <w:color w:val="auto"/>
          <w:kern w:val="0"/>
          <w:sz w:val="28"/>
          <w:highlight w:val="none"/>
        </w:rPr>
        <w:t>技术规格功能要求偏离表</w:t>
      </w:r>
      <w:bookmarkEnd w:id="163"/>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投标人名称：                       </w:t>
      </w:r>
      <w:r>
        <w:rPr>
          <w:rFonts w:hint="eastAsia" w:ascii="宋体" w:hAnsi="宋体" w:cs="宋体"/>
          <w:color w:val="000000" w:themeColor="text1"/>
          <w:sz w:val="24"/>
          <w14:textFill>
            <w14:solidFill>
              <w14:schemeClr w14:val="tx1"/>
            </w14:solidFill>
          </w14:textFill>
        </w:rPr>
        <w:t>招标</w:t>
      </w:r>
      <w:r>
        <w:rPr>
          <w:rFonts w:hint="eastAsia" w:ascii="宋体" w:hAnsi="宋体" w:cs="宋体"/>
          <w:color w:val="000000" w:themeColor="text1"/>
          <w:sz w:val="24"/>
          <w:lang w:val="en-US"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编号：</w:t>
      </w:r>
    </w:p>
    <w:tbl>
      <w:tblPr>
        <w:tblStyle w:val="31"/>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867"/>
        <w:gridCol w:w="1259"/>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8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2023"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招标文件规格功能要求条目号</w:t>
            </w:r>
          </w:p>
        </w:tc>
        <w:tc>
          <w:tcPr>
            <w:tcW w:w="186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招标文件</w:t>
            </w:r>
          </w:p>
          <w:p>
            <w:pPr>
              <w:jc w:val="center"/>
              <w:rPr>
                <w:rFonts w:ascii="宋体" w:hAnsi="宋体" w:cs="宋体"/>
                <w:color w:val="auto"/>
                <w:sz w:val="24"/>
                <w:highlight w:val="none"/>
              </w:rPr>
            </w:pPr>
            <w:r>
              <w:rPr>
                <w:rFonts w:hint="eastAsia" w:ascii="宋体" w:hAnsi="宋体" w:cs="宋体"/>
                <w:color w:val="auto"/>
                <w:sz w:val="24"/>
                <w:highlight w:val="none"/>
              </w:rPr>
              <w:t>要求服务内容</w:t>
            </w:r>
          </w:p>
        </w:tc>
        <w:tc>
          <w:tcPr>
            <w:tcW w:w="125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投标服务内容</w:t>
            </w:r>
          </w:p>
        </w:tc>
        <w:tc>
          <w:tcPr>
            <w:tcW w:w="1839"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偏离</w:t>
            </w:r>
          </w:p>
        </w:tc>
        <w:tc>
          <w:tcPr>
            <w:tcW w:w="128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2023" w:type="dxa"/>
            <w:vAlign w:val="center"/>
          </w:tcPr>
          <w:p>
            <w:pPr>
              <w:jc w:val="center"/>
              <w:rPr>
                <w:rFonts w:ascii="宋体" w:hAnsi="宋体" w:cs="宋体"/>
                <w:color w:val="auto"/>
                <w:sz w:val="24"/>
                <w:highlight w:val="none"/>
              </w:rPr>
            </w:pPr>
          </w:p>
        </w:tc>
        <w:tc>
          <w:tcPr>
            <w:tcW w:w="1867" w:type="dxa"/>
            <w:vAlign w:val="center"/>
          </w:tcPr>
          <w:p>
            <w:pPr>
              <w:jc w:val="center"/>
              <w:rPr>
                <w:rFonts w:ascii="宋体" w:hAnsi="宋体" w:cs="宋体"/>
                <w:color w:val="auto"/>
                <w:sz w:val="24"/>
                <w:highlight w:val="none"/>
              </w:rPr>
            </w:pPr>
          </w:p>
        </w:tc>
        <w:tc>
          <w:tcPr>
            <w:tcW w:w="1259" w:type="dxa"/>
            <w:vAlign w:val="center"/>
          </w:tcPr>
          <w:p>
            <w:pPr>
              <w:jc w:val="center"/>
              <w:rPr>
                <w:rFonts w:ascii="宋体" w:hAnsi="宋体" w:cs="宋体"/>
                <w:color w:val="auto"/>
                <w:sz w:val="24"/>
                <w:highlight w:val="none"/>
              </w:rPr>
            </w:pPr>
          </w:p>
        </w:tc>
        <w:tc>
          <w:tcPr>
            <w:tcW w:w="1839" w:type="dxa"/>
            <w:vAlign w:val="center"/>
          </w:tcPr>
          <w:p>
            <w:pPr>
              <w:jc w:val="center"/>
              <w:rPr>
                <w:rFonts w:ascii="宋体" w:hAnsi="宋体" w:cs="宋体"/>
                <w:color w:val="auto"/>
                <w:sz w:val="24"/>
                <w:highlight w:val="none"/>
              </w:rPr>
            </w:pPr>
          </w:p>
        </w:tc>
        <w:tc>
          <w:tcPr>
            <w:tcW w:w="1287"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2023" w:type="dxa"/>
            <w:vAlign w:val="center"/>
          </w:tcPr>
          <w:p>
            <w:pPr>
              <w:jc w:val="center"/>
              <w:rPr>
                <w:rFonts w:ascii="宋体" w:hAnsi="宋体" w:cs="宋体"/>
                <w:color w:val="auto"/>
                <w:sz w:val="24"/>
                <w:highlight w:val="none"/>
              </w:rPr>
            </w:pPr>
          </w:p>
        </w:tc>
        <w:tc>
          <w:tcPr>
            <w:tcW w:w="1867" w:type="dxa"/>
            <w:vAlign w:val="center"/>
          </w:tcPr>
          <w:p>
            <w:pPr>
              <w:jc w:val="center"/>
              <w:rPr>
                <w:rFonts w:ascii="宋体" w:hAnsi="宋体" w:cs="宋体"/>
                <w:color w:val="auto"/>
                <w:sz w:val="24"/>
                <w:highlight w:val="none"/>
              </w:rPr>
            </w:pPr>
          </w:p>
        </w:tc>
        <w:tc>
          <w:tcPr>
            <w:tcW w:w="1259" w:type="dxa"/>
            <w:vAlign w:val="center"/>
          </w:tcPr>
          <w:p>
            <w:pPr>
              <w:jc w:val="center"/>
              <w:rPr>
                <w:rFonts w:ascii="宋体" w:hAnsi="宋体" w:cs="宋体"/>
                <w:color w:val="auto"/>
                <w:sz w:val="24"/>
                <w:highlight w:val="none"/>
              </w:rPr>
            </w:pPr>
          </w:p>
        </w:tc>
        <w:tc>
          <w:tcPr>
            <w:tcW w:w="1839" w:type="dxa"/>
            <w:vAlign w:val="center"/>
          </w:tcPr>
          <w:p>
            <w:pPr>
              <w:jc w:val="center"/>
              <w:rPr>
                <w:rFonts w:ascii="宋体" w:hAnsi="宋体" w:cs="宋体"/>
                <w:color w:val="auto"/>
                <w:sz w:val="24"/>
                <w:highlight w:val="none"/>
              </w:rPr>
            </w:pPr>
          </w:p>
        </w:tc>
        <w:tc>
          <w:tcPr>
            <w:tcW w:w="1287"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2023" w:type="dxa"/>
            <w:vAlign w:val="center"/>
          </w:tcPr>
          <w:p>
            <w:pPr>
              <w:jc w:val="center"/>
              <w:rPr>
                <w:rFonts w:ascii="宋体" w:hAnsi="宋体" w:cs="宋体"/>
                <w:color w:val="auto"/>
                <w:sz w:val="24"/>
                <w:highlight w:val="none"/>
              </w:rPr>
            </w:pPr>
          </w:p>
        </w:tc>
        <w:tc>
          <w:tcPr>
            <w:tcW w:w="1867" w:type="dxa"/>
            <w:vAlign w:val="center"/>
          </w:tcPr>
          <w:p>
            <w:pPr>
              <w:jc w:val="center"/>
              <w:rPr>
                <w:rFonts w:ascii="宋体" w:hAnsi="宋体" w:cs="宋体"/>
                <w:color w:val="auto"/>
                <w:sz w:val="24"/>
                <w:highlight w:val="none"/>
              </w:rPr>
            </w:pPr>
          </w:p>
        </w:tc>
        <w:tc>
          <w:tcPr>
            <w:tcW w:w="1259" w:type="dxa"/>
            <w:vAlign w:val="center"/>
          </w:tcPr>
          <w:p>
            <w:pPr>
              <w:jc w:val="center"/>
              <w:rPr>
                <w:rFonts w:ascii="宋体" w:hAnsi="宋体" w:cs="宋体"/>
                <w:color w:val="auto"/>
                <w:sz w:val="24"/>
                <w:highlight w:val="none"/>
              </w:rPr>
            </w:pPr>
          </w:p>
        </w:tc>
        <w:tc>
          <w:tcPr>
            <w:tcW w:w="1839" w:type="dxa"/>
            <w:vAlign w:val="center"/>
          </w:tcPr>
          <w:p>
            <w:pPr>
              <w:jc w:val="center"/>
              <w:rPr>
                <w:rFonts w:ascii="宋体" w:hAnsi="宋体" w:cs="宋体"/>
                <w:color w:val="auto"/>
                <w:sz w:val="24"/>
                <w:highlight w:val="none"/>
              </w:rPr>
            </w:pPr>
          </w:p>
        </w:tc>
        <w:tc>
          <w:tcPr>
            <w:tcW w:w="1287"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4</w:t>
            </w:r>
          </w:p>
        </w:tc>
        <w:tc>
          <w:tcPr>
            <w:tcW w:w="2023" w:type="dxa"/>
            <w:vAlign w:val="center"/>
          </w:tcPr>
          <w:p>
            <w:pPr>
              <w:jc w:val="center"/>
              <w:rPr>
                <w:rFonts w:ascii="宋体" w:hAnsi="宋体" w:cs="宋体"/>
                <w:color w:val="auto"/>
                <w:sz w:val="24"/>
                <w:highlight w:val="none"/>
              </w:rPr>
            </w:pPr>
          </w:p>
        </w:tc>
        <w:tc>
          <w:tcPr>
            <w:tcW w:w="1867" w:type="dxa"/>
            <w:vAlign w:val="center"/>
          </w:tcPr>
          <w:p>
            <w:pPr>
              <w:jc w:val="center"/>
              <w:rPr>
                <w:rFonts w:ascii="宋体" w:hAnsi="宋体" w:cs="宋体"/>
                <w:color w:val="auto"/>
                <w:sz w:val="24"/>
                <w:highlight w:val="none"/>
              </w:rPr>
            </w:pPr>
          </w:p>
        </w:tc>
        <w:tc>
          <w:tcPr>
            <w:tcW w:w="1259" w:type="dxa"/>
            <w:vAlign w:val="center"/>
          </w:tcPr>
          <w:p>
            <w:pPr>
              <w:jc w:val="center"/>
              <w:rPr>
                <w:rFonts w:ascii="宋体" w:hAnsi="宋体" w:cs="宋体"/>
                <w:color w:val="auto"/>
                <w:sz w:val="24"/>
                <w:highlight w:val="none"/>
              </w:rPr>
            </w:pPr>
          </w:p>
        </w:tc>
        <w:tc>
          <w:tcPr>
            <w:tcW w:w="1839" w:type="dxa"/>
            <w:vAlign w:val="center"/>
          </w:tcPr>
          <w:p>
            <w:pPr>
              <w:jc w:val="center"/>
              <w:rPr>
                <w:rFonts w:ascii="宋体" w:hAnsi="宋体" w:cs="宋体"/>
                <w:color w:val="auto"/>
                <w:sz w:val="24"/>
                <w:highlight w:val="none"/>
              </w:rPr>
            </w:pPr>
          </w:p>
        </w:tc>
        <w:tc>
          <w:tcPr>
            <w:tcW w:w="1287"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5</w:t>
            </w:r>
          </w:p>
        </w:tc>
        <w:tc>
          <w:tcPr>
            <w:tcW w:w="2023" w:type="dxa"/>
            <w:vAlign w:val="center"/>
          </w:tcPr>
          <w:p>
            <w:pPr>
              <w:jc w:val="center"/>
              <w:rPr>
                <w:rFonts w:ascii="宋体" w:hAnsi="宋体" w:cs="宋体"/>
                <w:color w:val="auto"/>
                <w:sz w:val="24"/>
                <w:highlight w:val="none"/>
              </w:rPr>
            </w:pPr>
          </w:p>
        </w:tc>
        <w:tc>
          <w:tcPr>
            <w:tcW w:w="1867" w:type="dxa"/>
            <w:vAlign w:val="center"/>
          </w:tcPr>
          <w:p>
            <w:pPr>
              <w:jc w:val="center"/>
              <w:rPr>
                <w:rFonts w:ascii="宋体" w:hAnsi="宋体" w:cs="宋体"/>
                <w:color w:val="auto"/>
                <w:sz w:val="24"/>
                <w:highlight w:val="none"/>
              </w:rPr>
            </w:pPr>
          </w:p>
        </w:tc>
        <w:tc>
          <w:tcPr>
            <w:tcW w:w="1259" w:type="dxa"/>
            <w:vAlign w:val="center"/>
          </w:tcPr>
          <w:p>
            <w:pPr>
              <w:jc w:val="center"/>
              <w:rPr>
                <w:rFonts w:ascii="宋体" w:hAnsi="宋体" w:cs="宋体"/>
                <w:color w:val="auto"/>
                <w:sz w:val="24"/>
                <w:highlight w:val="none"/>
              </w:rPr>
            </w:pPr>
          </w:p>
        </w:tc>
        <w:tc>
          <w:tcPr>
            <w:tcW w:w="1839" w:type="dxa"/>
            <w:vAlign w:val="center"/>
          </w:tcPr>
          <w:p>
            <w:pPr>
              <w:jc w:val="center"/>
              <w:rPr>
                <w:rFonts w:ascii="宋体" w:hAnsi="宋体" w:cs="宋体"/>
                <w:color w:val="auto"/>
                <w:sz w:val="24"/>
                <w:highlight w:val="none"/>
              </w:rPr>
            </w:pPr>
          </w:p>
        </w:tc>
        <w:tc>
          <w:tcPr>
            <w:tcW w:w="1287"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2023" w:type="dxa"/>
            <w:vAlign w:val="center"/>
          </w:tcPr>
          <w:p>
            <w:pPr>
              <w:jc w:val="center"/>
              <w:rPr>
                <w:rFonts w:ascii="宋体" w:hAnsi="宋体" w:cs="宋体"/>
                <w:color w:val="auto"/>
                <w:sz w:val="24"/>
                <w:highlight w:val="none"/>
              </w:rPr>
            </w:pPr>
          </w:p>
        </w:tc>
        <w:tc>
          <w:tcPr>
            <w:tcW w:w="1867" w:type="dxa"/>
            <w:vAlign w:val="center"/>
          </w:tcPr>
          <w:p>
            <w:pPr>
              <w:jc w:val="center"/>
              <w:rPr>
                <w:rFonts w:ascii="宋体" w:hAnsi="宋体" w:cs="宋体"/>
                <w:color w:val="auto"/>
                <w:sz w:val="24"/>
                <w:highlight w:val="none"/>
              </w:rPr>
            </w:pPr>
          </w:p>
        </w:tc>
        <w:tc>
          <w:tcPr>
            <w:tcW w:w="1259" w:type="dxa"/>
            <w:vAlign w:val="center"/>
          </w:tcPr>
          <w:p>
            <w:pPr>
              <w:jc w:val="center"/>
              <w:rPr>
                <w:rFonts w:ascii="宋体" w:hAnsi="宋体" w:cs="宋体"/>
                <w:color w:val="auto"/>
                <w:sz w:val="24"/>
                <w:highlight w:val="none"/>
              </w:rPr>
            </w:pPr>
          </w:p>
        </w:tc>
        <w:tc>
          <w:tcPr>
            <w:tcW w:w="1839" w:type="dxa"/>
            <w:vAlign w:val="center"/>
          </w:tcPr>
          <w:p>
            <w:pPr>
              <w:jc w:val="center"/>
              <w:rPr>
                <w:rFonts w:ascii="宋体" w:hAnsi="宋体" w:cs="宋体"/>
                <w:color w:val="auto"/>
                <w:sz w:val="24"/>
                <w:highlight w:val="none"/>
              </w:rPr>
            </w:pPr>
          </w:p>
        </w:tc>
        <w:tc>
          <w:tcPr>
            <w:tcW w:w="1287" w:type="dxa"/>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sz w:val="24"/>
                <w:highlight w:val="none"/>
              </w:rPr>
            </w:pPr>
          </w:p>
        </w:tc>
        <w:tc>
          <w:tcPr>
            <w:tcW w:w="2023" w:type="dxa"/>
            <w:vAlign w:val="center"/>
          </w:tcPr>
          <w:p>
            <w:pPr>
              <w:jc w:val="center"/>
              <w:rPr>
                <w:rFonts w:ascii="宋体" w:hAnsi="宋体" w:cs="宋体"/>
                <w:color w:val="auto"/>
                <w:sz w:val="24"/>
                <w:highlight w:val="none"/>
              </w:rPr>
            </w:pPr>
          </w:p>
        </w:tc>
        <w:tc>
          <w:tcPr>
            <w:tcW w:w="1867" w:type="dxa"/>
            <w:vAlign w:val="center"/>
          </w:tcPr>
          <w:p>
            <w:pPr>
              <w:jc w:val="center"/>
              <w:rPr>
                <w:rFonts w:ascii="宋体" w:hAnsi="宋体" w:cs="宋体"/>
                <w:color w:val="auto"/>
                <w:sz w:val="24"/>
                <w:highlight w:val="none"/>
              </w:rPr>
            </w:pPr>
          </w:p>
        </w:tc>
        <w:tc>
          <w:tcPr>
            <w:tcW w:w="1259" w:type="dxa"/>
            <w:vAlign w:val="center"/>
          </w:tcPr>
          <w:p>
            <w:pPr>
              <w:jc w:val="center"/>
              <w:rPr>
                <w:rFonts w:ascii="宋体" w:hAnsi="宋体" w:cs="宋体"/>
                <w:color w:val="auto"/>
                <w:sz w:val="24"/>
                <w:highlight w:val="none"/>
              </w:rPr>
            </w:pPr>
          </w:p>
        </w:tc>
        <w:tc>
          <w:tcPr>
            <w:tcW w:w="1839" w:type="dxa"/>
            <w:vAlign w:val="center"/>
          </w:tcPr>
          <w:p>
            <w:pPr>
              <w:jc w:val="center"/>
              <w:rPr>
                <w:rFonts w:ascii="宋体" w:hAnsi="宋体" w:cs="宋体"/>
                <w:color w:val="auto"/>
                <w:sz w:val="24"/>
                <w:highlight w:val="none"/>
              </w:rPr>
            </w:pPr>
          </w:p>
        </w:tc>
        <w:tc>
          <w:tcPr>
            <w:tcW w:w="1287" w:type="dxa"/>
            <w:vAlign w:val="center"/>
          </w:tcPr>
          <w:p>
            <w:pPr>
              <w:jc w:val="center"/>
              <w:rPr>
                <w:rFonts w:ascii="宋体" w:hAnsi="宋体" w:cs="宋体"/>
                <w:color w:val="auto"/>
                <w:sz w:val="24"/>
                <w:highlight w:val="none"/>
              </w:rPr>
            </w:pPr>
          </w:p>
        </w:tc>
      </w:tr>
    </w:tbl>
    <w:p>
      <w:pPr>
        <w:spacing w:line="360" w:lineRule="auto"/>
        <w:ind w:firstLine="480" w:firstLineChars="200"/>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b/>
          <w:color w:val="auto"/>
          <w:sz w:val="24"/>
          <w:highlight w:val="none"/>
        </w:rPr>
        <w:t>注</w:t>
      </w:r>
      <w:r>
        <w:rPr>
          <w:rFonts w:hint="eastAsia" w:ascii="宋体" w:hAnsi="宋体" w:cs="宋体"/>
          <w:color w:val="auto"/>
          <w:sz w:val="24"/>
          <w:highlight w:val="none"/>
        </w:rPr>
        <w:t>：1、应与招标文件要求逐条对应填写。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2、本表如填写不完，可以续页。</w:t>
      </w:r>
    </w:p>
    <w:p>
      <w:pPr>
        <w:spacing w:line="360" w:lineRule="auto"/>
        <w:rPr>
          <w:rFonts w:ascii="宋体" w:hAnsi="宋体" w:cs="宋体"/>
          <w:color w:val="auto"/>
          <w:sz w:val="24"/>
          <w:highlight w:val="none"/>
        </w:rPr>
      </w:pPr>
    </w:p>
    <w:p>
      <w:pPr>
        <w:spacing w:line="360" w:lineRule="auto"/>
        <w:ind w:firstLine="3960" w:firstLineChars="1650"/>
        <w:rPr>
          <w:rFonts w:ascii="宋体" w:hAnsi="宋体" w:cs="宋体"/>
          <w:color w:val="auto"/>
          <w:sz w:val="24"/>
          <w:highlight w:val="none"/>
        </w:rPr>
      </w:pPr>
    </w:p>
    <w:p>
      <w:pPr>
        <w:spacing w:line="360" w:lineRule="auto"/>
        <w:ind w:firstLine="3960" w:firstLineChars="165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投标单位（公章）：</w:t>
      </w:r>
    </w:p>
    <w:p>
      <w:pPr>
        <w:spacing w:line="360" w:lineRule="auto"/>
        <w:ind w:firstLine="4080" w:firstLineChars="17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投标单位法定代表人或其授权委托人（签字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p>
    <w:p>
      <w:pPr>
        <w:spacing w:line="360" w:lineRule="auto"/>
        <w:ind w:firstLine="4080" w:firstLineChars="17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5160" w:firstLineChars="2150"/>
        <w:rPr>
          <w:rFonts w:ascii="宋体" w:hAnsi="宋体" w:cs="宋体"/>
          <w:color w:val="auto"/>
          <w:sz w:val="24"/>
          <w:highlight w:val="none"/>
        </w:rPr>
      </w:pPr>
      <w:r>
        <w:rPr>
          <w:rFonts w:hint="eastAsia" w:ascii="宋体" w:hAnsi="宋体" w:cs="宋体"/>
          <w:color w:val="auto"/>
          <w:sz w:val="24"/>
          <w:highlight w:val="none"/>
        </w:rPr>
        <w:t>年   月   日</w:t>
      </w:r>
    </w:p>
    <w:p>
      <w:pPr>
        <w:spacing w:line="360" w:lineRule="auto"/>
        <w:ind w:firstLine="5160" w:firstLineChars="2150"/>
        <w:rPr>
          <w:rFonts w:ascii="宋体" w:hAnsi="宋体" w:cs="宋体"/>
          <w:color w:val="auto"/>
          <w:sz w:val="24"/>
          <w:highlight w:val="none"/>
        </w:rPr>
      </w:pPr>
    </w:p>
    <w:p>
      <w:pPr>
        <w:spacing w:line="360" w:lineRule="auto"/>
        <w:ind w:firstLine="6020" w:firstLineChars="2150"/>
        <w:rPr>
          <w:rFonts w:ascii="宋体" w:hAnsi="宋体" w:cs="宋体"/>
          <w:color w:val="auto"/>
          <w:sz w:val="28"/>
          <w:szCs w:val="28"/>
          <w:highlight w:val="none"/>
        </w:rPr>
      </w:pPr>
    </w:p>
    <w:p>
      <w:pPr>
        <w:pStyle w:val="4"/>
        <w:jc w:val="center"/>
        <w:rPr>
          <w:rFonts w:ascii="宋体" w:hAnsi="宋体" w:cs="宋体"/>
          <w:color w:val="auto"/>
          <w:sz w:val="28"/>
          <w:szCs w:val="28"/>
          <w:highlight w:val="none"/>
        </w:rPr>
      </w:pPr>
      <w:bookmarkStart w:id="164" w:name="_Toc23111"/>
      <w:r>
        <w:rPr>
          <w:rFonts w:hint="eastAsia" w:ascii="宋体" w:hAnsi="宋体" w:cs="宋体"/>
          <w:color w:val="auto"/>
          <w:sz w:val="28"/>
          <w:highlight w:val="none"/>
        </w:rPr>
        <w:t>商务条款偏离表</w:t>
      </w:r>
      <w:bookmarkEnd w:id="164"/>
    </w:p>
    <w:p>
      <w:pPr>
        <w:spacing w:line="360" w:lineRule="auto"/>
        <w:ind w:firstLine="105" w:firstLineChars="50"/>
        <w:rPr>
          <w:rFonts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rPr>
        <w:t xml:space="preserve">投标人名称：                      </w:t>
      </w:r>
      <w:r>
        <w:rPr>
          <w:rFonts w:hint="eastAsia" w:ascii="宋体" w:hAnsi="宋体" w:cs="宋体"/>
          <w:color w:val="000000" w:themeColor="text1"/>
          <w:sz w:val="24"/>
          <w14:textFill>
            <w14:solidFill>
              <w14:schemeClr w14:val="tx1"/>
            </w14:solidFill>
          </w14:textFill>
        </w:rPr>
        <w:t>招标</w:t>
      </w:r>
      <w:r>
        <w:rPr>
          <w:rFonts w:hint="eastAsia" w:ascii="宋体" w:hAnsi="宋体" w:cs="宋体"/>
          <w:color w:val="000000" w:themeColor="text1"/>
          <w:sz w:val="24"/>
          <w:lang w:val="en-US"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编号：</w:t>
      </w:r>
    </w:p>
    <w:tbl>
      <w:tblPr>
        <w:tblStyle w:val="31"/>
        <w:tblW w:w="86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82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70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招标文件</w:t>
            </w:r>
          </w:p>
          <w:p>
            <w:pPr>
              <w:jc w:val="center"/>
              <w:rPr>
                <w:rFonts w:ascii="宋体" w:hAnsi="宋体" w:cs="宋体"/>
                <w:color w:val="auto"/>
                <w:sz w:val="24"/>
                <w:highlight w:val="none"/>
              </w:rPr>
            </w:pPr>
            <w:r>
              <w:rPr>
                <w:rFonts w:hint="eastAsia" w:ascii="宋体" w:hAnsi="宋体" w:cs="宋体"/>
                <w:color w:val="auto"/>
                <w:sz w:val="24"/>
                <w:highlight w:val="none"/>
              </w:rPr>
              <w:t>条目号</w:t>
            </w:r>
          </w:p>
        </w:tc>
        <w:tc>
          <w:tcPr>
            <w:tcW w:w="217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招标文件的</w:t>
            </w:r>
          </w:p>
          <w:p>
            <w:pPr>
              <w:jc w:val="center"/>
              <w:rPr>
                <w:rFonts w:ascii="宋体" w:hAnsi="宋体" w:cs="宋体"/>
                <w:color w:val="auto"/>
                <w:sz w:val="24"/>
                <w:highlight w:val="none"/>
              </w:rPr>
            </w:pPr>
            <w:r>
              <w:rPr>
                <w:rFonts w:hint="eastAsia" w:ascii="宋体" w:hAnsi="宋体" w:cs="宋体"/>
                <w:color w:val="auto"/>
                <w:sz w:val="24"/>
                <w:highlight w:val="none"/>
              </w:rPr>
              <w:t>商务条款</w:t>
            </w:r>
          </w:p>
        </w:tc>
        <w:tc>
          <w:tcPr>
            <w:tcW w:w="221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投标文件的</w:t>
            </w:r>
          </w:p>
          <w:p>
            <w:pPr>
              <w:jc w:val="center"/>
              <w:rPr>
                <w:rFonts w:ascii="宋体" w:hAnsi="宋体" w:cs="宋体"/>
                <w:color w:val="auto"/>
                <w:sz w:val="24"/>
                <w:highlight w:val="none"/>
              </w:rPr>
            </w:pPr>
            <w:r>
              <w:rPr>
                <w:rFonts w:hint="eastAsia" w:ascii="宋体" w:hAnsi="宋体" w:cs="宋体"/>
                <w:color w:val="auto"/>
                <w:sz w:val="24"/>
                <w:highlight w:val="none"/>
              </w:rPr>
              <w:t>商务条款</w:t>
            </w:r>
          </w:p>
        </w:tc>
        <w:tc>
          <w:tcPr>
            <w:tcW w:w="170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705" w:type="dxa"/>
            <w:vAlign w:val="center"/>
          </w:tcPr>
          <w:p>
            <w:pPr>
              <w:spacing w:line="360" w:lineRule="auto"/>
              <w:jc w:val="center"/>
              <w:rPr>
                <w:rFonts w:ascii="宋体" w:hAnsi="宋体" w:cs="宋体"/>
                <w:color w:val="auto"/>
                <w:sz w:val="24"/>
                <w:highlight w:val="none"/>
              </w:rPr>
            </w:pPr>
          </w:p>
        </w:tc>
        <w:tc>
          <w:tcPr>
            <w:tcW w:w="2177" w:type="dxa"/>
            <w:vAlign w:val="center"/>
          </w:tcPr>
          <w:p>
            <w:pPr>
              <w:spacing w:line="360" w:lineRule="auto"/>
              <w:jc w:val="center"/>
              <w:rPr>
                <w:rFonts w:ascii="宋体" w:hAnsi="宋体" w:cs="宋体"/>
                <w:color w:val="auto"/>
                <w:sz w:val="24"/>
                <w:highlight w:val="none"/>
              </w:rPr>
            </w:pPr>
          </w:p>
        </w:tc>
        <w:tc>
          <w:tcPr>
            <w:tcW w:w="2215" w:type="dxa"/>
            <w:vAlign w:val="center"/>
          </w:tcPr>
          <w:p>
            <w:pPr>
              <w:spacing w:line="360" w:lineRule="auto"/>
              <w:jc w:val="center"/>
              <w:rPr>
                <w:rFonts w:ascii="宋体" w:hAnsi="宋体" w:cs="宋体"/>
                <w:color w:val="auto"/>
                <w:sz w:val="24"/>
                <w:highlight w:val="none"/>
              </w:rPr>
            </w:pPr>
          </w:p>
        </w:tc>
        <w:tc>
          <w:tcPr>
            <w:tcW w:w="170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705" w:type="dxa"/>
            <w:vAlign w:val="center"/>
          </w:tcPr>
          <w:p>
            <w:pPr>
              <w:spacing w:line="360" w:lineRule="auto"/>
              <w:jc w:val="center"/>
              <w:rPr>
                <w:rFonts w:ascii="宋体" w:hAnsi="宋体" w:cs="宋体"/>
                <w:color w:val="auto"/>
                <w:sz w:val="24"/>
                <w:highlight w:val="none"/>
              </w:rPr>
            </w:pPr>
          </w:p>
        </w:tc>
        <w:tc>
          <w:tcPr>
            <w:tcW w:w="2177" w:type="dxa"/>
            <w:vAlign w:val="center"/>
          </w:tcPr>
          <w:p>
            <w:pPr>
              <w:spacing w:line="360" w:lineRule="auto"/>
              <w:jc w:val="center"/>
              <w:rPr>
                <w:rFonts w:ascii="宋体" w:hAnsi="宋体" w:cs="宋体"/>
                <w:color w:val="auto"/>
                <w:sz w:val="24"/>
                <w:highlight w:val="none"/>
              </w:rPr>
            </w:pPr>
          </w:p>
        </w:tc>
        <w:tc>
          <w:tcPr>
            <w:tcW w:w="2215" w:type="dxa"/>
            <w:vAlign w:val="center"/>
          </w:tcPr>
          <w:p>
            <w:pPr>
              <w:spacing w:line="360" w:lineRule="auto"/>
              <w:jc w:val="center"/>
              <w:rPr>
                <w:rFonts w:ascii="宋体" w:hAnsi="宋体" w:cs="宋体"/>
                <w:color w:val="auto"/>
                <w:sz w:val="24"/>
                <w:highlight w:val="none"/>
              </w:rPr>
            </w:pPr>
          </w:p>
        </w:tc>
        <w:tc>
          <w:tcPr>
            <w:tcW w:w="170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705" w:type="dxa"/>
            <w:vAlign w:val="center"/>
          </w:tcPr>
          <w:p>
            <w:pPr>
              <w:spacing w:line="360" w:lineRule="auto"/>
              <w:jc w:val="center"/>
              <w:rPr>
                <w:rFonts w:ascii="宋体" w:hAnsi="宋体" w:cs="宋体"/>
                <w:color w:val="auto"/>
                <w:sz w:val="24"/>
                <w:highlight w:val="none"/>
              </w:rPr>
            </w:pPr>
          </w:p>
        </w:tc>
        <w:tc>
          <w:tcPr>
            <w:tcW w:w="2177" w:type="dxa"/>
            <w:vAlign w:val="center"/>
          </w:tcPr>
          <w:p>
            <w:pPr>
              <w:spacing w:line="360" w:lineRule="auto"/>
              <w:jc w:val="center"/>
              <w:rPr>
                <w:rFonts w:ascii="宋体" w:hAnsi="宋体" w:cs="宋体"/>
                <w:color w:val="auto"/>
                <w:sz w:val="24"/>
                <w:highlight w:val="none"/>
              </w:rPr>
            </w:pPr>
          </w:p>
        </w:tc>
        <w:tc>
          <w:tcPr>
            <w:tcW w:w="2215" w:type="dxa"/>
            <w:vAlign w:val="center"/>
          </w:tcPr>
          <w:p>
            <w:pPr>
              <w:spacing w:line="360" w:lineRule="auto"/>
              <w:jc w:val="center"/>
              <w:rPr>
                <w:rFonts w:ascii="宋体" w:hAnsi="宋体" w:cs="宋体"/>
                <w:color w:val="auto"/>
                <w:sz w:val="24"/>
                <w:highlight w:val="none"/>
              </w:rPr>
            </w:pPr>
          </w:p>
        </w:tc>
        <w:tc>
          <w:tcPr>
            <w:tcW w:w="170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705" w:type="dxa"/>
            <w:vAlign w:val="center"/>
          </w:tcPr>
          <w:p>
            <w:pPr>
              <w:spacing w:line="360" w:lineRule="auto"/>
              <w:jc w:val="center"/>
              <w:rPr>
                <w:rFonts w:ascii="宋体" w:hAnsi="宋体" w:cs="宋体"/>
                <w:color w:val="auto"/>
                <w:sz w:val="24"/>
                <w:highlight w:val="none"/>
              </w:rPr>
            </w:pPr>
          </w:p>
        </w:tc>
        <w:tc>
          <w:tcPr>
            <w:tcW w:w="2177" w:type="dxa"/>
            <w:vAlign w:val="center"/>
          </w:tcPr>
          <w:p>
            <w:pPr>
              <w:spacing w:line="360" w:lineRule="auto"/>
              <w:jc w:val="center"/>
              <w:rPr>
                <w:rFonts w:ascii="宋体" w:hAnsi="宋体" w:cs="宋体"/>
                <w:color w:val="auto"/>
                <w:sz w:val="24"/>
                <w:highlight w:val="none"/>
              </w:rPr>
            </w:pPr>
          </w:p>
        </w:tc>
        <w:tc>
          <w:tcPr>
            <w:tcW w:w="2215" w:type="dxa"/>
            <w:vAlign w:val="center"/>
          </w:tcPr>
          <w:p>
            <w:pPr>
              <w:spacing w:line="360" w:lineRule="auto"/>
              <w:jc w:val="center"/>
              <w:rPr>
                <w:rFonts w:ascii="宋体" w:hAnsi="宋体" w:cs="宋体"/>
                <w:color w:val="auto"/>
                <w:sz w:val="24"/>
                <w:highlight w:val="none"/>
              </w:rPr>
            </w:pPr>
          </w:p>
        </w:tc>
        <w:tc>
          <w:tcPr>
            <w:tcW w:w="170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sz w:val="24"/>
                <w:highlight w:val="none"/>
              </w:rPr>
            </w:pPr>
          </w:p>
        </w:tc>
        <w:tc>
          <w:tcPr>
            <w:tcW w:w="1705" w:type="dxa"/>
            <w:vAlign w:val="center"/>
          </w:tcPr>
          <w:p>
            <w:pPr>
              <w:spacing w:line="360" w:lineRule="auto"/>
              <w:jc w:val="center"/>
              <w:rPr>
                <w:rFonts w:ascii="宋体" w:hAnsi="宋体" w:cs="宋体"/>
                <w:color w:val="auto"/>
                <w:sz w:val="24"/>
                <w:highlight w:val="none"/>
              </w:rPr>
            </w:pPr>
          </w:p>
        </w:tc>
        <w:tc>
          <w:tcPr>
            <w:tcW w:w="2177" w:type="dxa"/>
            <w:vAlign w:val="center"/>
          </w:tcPr>
          <w:p>
            <w:pPr>
              <w:spacing w:line="360" w:lineRule="auto"/>
              <w:jc w:val="center"/>
              <w:rPr>
                <w:rFonts w:ascii="宋体" w:hAnsi="宋体" w:cs="宋体"/>
                <w:color w:val="auto"/>
                <w:sz w:val="24"/>
                <w:highlight w:val="none"/>
              </w:rPr>
            </w:pPr>
          </w:p>
        </w:tc>
        <w:tc>
          <w:tcPr>
            <w:tcW w:w="2215" w:type="dxa"/>
            <w:vAlign w:val="center"/>
          </w:tcPr>
          <w:p>
            <w:pPr>
              <w:spacing w:line="360" w:lineRule="auto"/>
              <w:jc w:val="center"/>
              <w:rPr>
                <w:rFonts w:ascii="宋体" w:hAnsi="宋体" w:cs="宋体"/>
                <w:color w:val="auto"/>
                <w:sz w:val="24"/>
                <w:highlight w:val="none"/>
              </w:rPr>
            </w:pPr>
          </w:p>
        </w:tc>
        <w:tc>
          <w:tcPr>
            <w:tcW w:w="170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sz w:val="24"/>
                <w:highlight w:val="none"/>
              </w:rPr>
            </w:pPr>
          </w:p>
        </w:tc>
        <w:tc>
          <w:tcPr>
            <w:tcW w:w="1705" w:type="dxa"/>
            <w:vAlign w:val="center"/>
          </w:tcPr>
          <w:p>
            <w:pPr>
              <w:spacing w:line="360" w:lineRule="auto"/>
              <w:jc w:val="center"/>
              <w:rPr>
                <w:rFonts w:ascii="宋体" w:hAnsi="宋体" w:cs="宋体"/>
                <w:color w:val="auto"/>
                <w:sz w:val="24"/>
                <w:highlight w:val="none"/>
              </w:rPr>
            </w:pPr>
          </w:p>
        </w:tc>
        <w:tc>
          <w:tcPr>
            <w:tcW w:w="2177" w:type="dxa"/>
            <w:vAlign w:val="center"/>
          </w:tcPr>
          <w:p>
            <w:pPr>
              <w:spacing w:line="360" w:lineRule="auto"/>
              <w:jc w:val="center"/>
              <w:rPr>
                <w:rFonts w:ascii="宋体" w:hAnsi="宋体" w:cs="宋体"/>
                <w:color w:val="auto"/>
                <w:sz w:val="24"/>
                <w:highlight w:val="none"/>
              </w:rPr>
            </w:pPr>
          </w:p>
        </w:tc>
        <w:tc>
          <w:tcPr>
            <w:tcW w:w="2215" w:type="dxa"/>
            <w:vAlign w:val="center"/>
          </w:tcPr>
          <w:p>
            <w:pPr>
              <w:spacing w:line="360" w:lineRule="auto"/>
              <w:jc w:val="center"/>
              <w:rPr>
                <w:rFonts w:ascii="宋体" w:hAnsi="宋体" w:cs="宋体"/>
                <w:color w:val="auto"/>
                <w:sz w:val="24"/>
                <w:highlight w:val="none"/>
              </w:rPr>
            </w:pPr>
          </w:p>
        </w:tc>
        <w:tc>
          <w:tcPr>
            <w:tcW w:w="170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sz w:val="24"/>
                <w:highlight w:val="none"/>
              </w:rPr>
            </w:pPr>
          </w:p>
        </w:tc>
        <w:tc>
          <w:tcPr>
            <w:tcW w:w="1705" w:type="dxa"/>
            <w:vAlign w:val="center"/>
          </w:tcPr>
          <w:p>
            <w:pPr>
              <w:spacing w:line="360" w:lineRule="auto"/>
              <w:jc w:val="center"/>
              <w:rPr>
                <w:rFonts w:ascii="宋体" w:hAnsi="宋体" w:cs="宋体"/>
                <w:color w:val="auto"/>
                <w:sz w:val="24"/>
                <w:highlight w:val="none"/>
              </w:rPr>
            </w:pPr>
          </w:p>
        </w:tc>
        <w:tc>
          <w:tcPr>
            <w:tcW w:w="2177" w:type="dxa"/>
            <w:vAlign w:val="center"/>
          </w:tcPr>
          <w:p>
            <w:pPr>
              <w:spacing w:line="360" w:lineRule="auto"/>
              <w:jc w:val="center"/>
              <w:rPr>
                <w:rFonts w:ascii="宋体" w:hAnsi="宋体" w:cs="宋体"/>
                <w:color w:val="auto"/>
                <w:sz w:val="24"/>
                <w:highlight w:val="none"/>
              </w:rPr>
            </w:pPr>
          </w:p>
        </w:tc>
        <w:tc>
          <w:tcPr>
            <w:tcW w:w="2215" w:type="dxa"/>
            <w:vAlign w:val="center"/>
          </w:tcPr>
          <w:p>
            <w:pPr>
              <w:spacing w:line="360" w:lineRule="auto"/>
              <w:jc w:val="center"/>
              <w:rPr>
                <w:rFonts w:ascii="宋体" w:hAnsi="宋体" w:cs="宋体"/>
                <w:color w:val="auto"/>
                <w:sz w:val="24"/>
                <w:highlight w:val="none"/>
              </w:rPr>
            </w:pPr>
          </w:p>
        </w:tc>
        <w:tc>
          <w:tcPr>
            <w:tcW w:w="1706" w:type="dxa"/>
            <w:vAlign w:val="center"/>
          </w:tcPr>
          <w:p>
            <w:pPr>
              <w:spacing w:line="360" w:lineRule="auto"/>
              <w:jc w:val="center"/>
              <w:rPr>
                <w:rFonts w:ascii="宋体" w:hAnsi="宋体" w:cs="宋体"/>
                <w:color w:val="auto"/>
                <w:sz w:val="24"/>
                <w:highlight w:val="none"/>
              </w:rPr>
            </w:pPr>
          </w:p>
        </w:tc>
      </w:tr>
    </w:tbl>
    <w:p>
      <w:pPr>
        <w:spacing w:line="360" w:lineRule="auto"/>
        <w:rPr>
          <w:rFonts w:ascii="宋体" w:hAnsi="宋体" w:cs="宋体"/>
          <w:color w:val="auto"/>
          <w:sz w:val="24"/>
          <w:highlight w:val="none"/>
        </w:rPr>
      </w:pPr>
      <w:r>
        <w:rPr>
          <w:rFonts w:hint="eastAsia" w:ascii="宋体" w:hAnsi="宋体" w:cs="宋体"/>
          <w:b/>
          <w:color w:val="auto"/>
          <w:sz w:val="24"/>
          <w:highlight w:val="none"/>
        </w:rPr>
        <w:t>注</w:t>
      </w:r>
      <w:r>
        <w:rPr>
          <w:rFonts w:hint="eastAsia" w:ascii="宋体" w:hAnsi="宋体" w:cs="宋体"/>
          <w:color w:val="auto"/>
          <w:sz w:val="24"/>
          <w:highlight w:val="none"/>
        </w:rPr>
        <w:t>：1、应与招标文件要求的实质性条款对应填写，如投标企业填写无偏离或此表空白，则视为完全响应招标文件。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2、本表如填写不完，可以续页。</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投标单位（公章）：</w:t>
      </w:r>
    </w:p>
    <w:p>
      <w:pPr>
        <w:spacing w:line="360" w:lineRule="auto"/>
        <w:ind w:firstLine="4080" w:firstLineChars="1700"/>
        <w:rPr>
          <w:rFonts w:ascii="宋体" w:hAnsi="宋体" w:cs="宋体"/>
          <w:color w:val="auto"/>
          <w:sz w:val="24"/>
          <w:highlight w:val="none"/>
        </w:rPr>
      </w:pPr>
    </w:p>
    <w:p>
      <w:pPr>
        <w:spacing w:line="440" w:lineRule="exact"/>
        <w:rPr>
          <w:rFonts w:ascii="宋体" w:hAnsi="宋体" w:cs="宋体"/>
          <w:color w:val="auto"/>
          <w:sz w:val="24"/>
          <w:highlight w:val="none"/>
        </w:rPr>
      </w:pPr>
      <w:r>
        <w:rPr>
          <w:rFonts w:hint="eastAsia" w:ascii="宋体" w:hAnsi="宋体" w:cs="宋体"/>
          <w:color w:val="auto"/>
          <w:sz w:val="24"/>
          <w:highlight w:val="none"/>
        </w:rPr>
        <w:t>投标单位法定代表人或其授权委托人（签字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p>
    <w:p>
      <w:pPr>
        <w:spacing w:line="360" w:lineRule="auto"/>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5160" w:firstLineChars="2150"/>
        <w:rPr>
          <w:rFonts w:ascii="宋体" w:hAnsi="宋体" w:cs="宋体"/>
          <w:color w:val="auto"/>
          <w:highlight w:val="none"/>
        </w:rPr>
      </w:pPr>
      <w:r>
        <w:rPr>
          <w:rFonts w:hint="eastAsia" w:ascii="宋体" w:hAnsi="宋体" w:cs="宋体"/>
          <w:color w:val="auto"/>
          <w:sz w:val="24"/>
          <w:highlight w:val="none"/>
        </w:rPr>
        <w:t>年   月   日</w:t>
      </w:r>
    </w:p>
    <w:p>
      <w:pPr>
        <w:jc w:val="center"/>
        <w:rPr>
          <w:rFonts w:ascii="宋体" w:hAnsi="宋体"/>
          <w:b/>
          <w:color w:val="auto"/>
          <w:sz w:val="30"/>
          <w:szCs w:val="30"/>
          <w:highlight w:val="none"/>
        </w:rPr>
      </w:pPr>
      <w:r>
        <w:rPr>
          <w:rFonts w:hint="eastAsia" w:ascii="宋体" w:hAnsi="宋体"/>
          <w:b/>
          <w:color w:val="auto"/>
          <w:sz w:val="30"/>
          <w:szCs w:val="30"/>
          <w:highlight w:val="none"/>
        </w:rPr>
        <w:t>银行转账单复印件</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9667968" behindDoc="0" locked="0" layoutInCell="1" allowOverlap="1">
                <wp:simplePos x="0" y="0"/>
                <wp:positionH relativeFrom="column">
                  <wp:posOffset>537845</wp:posOffset>
                </wp:positionH>
                <wp:positionV relativeFrom="paragraph">
                  <wp:posOffset>145415</wp:posOffset>
                </wp:positionV>
                <wp:extent cx="4694555" cy="2179320"/>
                <wp:effectExtent l="5080" t="5080" r="5715" b="6350"/>
                <wp:wrapNone/>
                <wp:docPr id="8" name="文本框 19"/>
                <wp:cNvGraphicFramePr/>
                <a:graphic xmlns:a="http://schemas.openxmlformats.org/drawingml/2006/main">
                  <a:graphicData uri="http://schemas.microsoft.com/office/word/2010/wordprocessingShape">
                    <wps:wsp>
                      <wps:cNvSpPr txBox="1"/>
                      <wps:spPr>
                        <a:xfrm>
                          <a:off x="0" y="0"/>
                          <a:ext cx="4694555" cy="21793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Pr>
                              <w:rPr>
                                <w:sz w:val="24"/>
                              </w:rPr>
                            </w:pPr>
                          </w:p>
                          <w:p>
                            <w:pPr>
                              <w:jc w:val="center"/>
                              <w:rPr>
                                <w:sz w:val="28"/>
                                <w:szCs w:val="28"/>
                              </w:rPr>
                            </w:pPr>
                            <w:r>
                              <w:rPr>
                                <w:rFonts w:hint="eastAsia" w:ascii="宋体" w:hAnsi="宋体"/>
                                <w:sz w:val="24"/>
                              </w:rPr>
                              <w:t>缴纳投标保证金的银行转账单复印件</w:t>
                            </w:r>
                          </w:p>
                        </w:txbxContent>
                      </wps:txbx>
                      <wps:bodyPr upright="1"/>
                    </wps:wsp>
                  </a:graphicData>
                </a:graphic>
              </wp:anchor>
            </w:drawing>
          </mc:Choice>
          <mc:Fallback>
            <w:pict>
              <v:shape id="文本框 19" o:spid="_x0000_s1026" o:spt="202" type="#_x0000_t202" style="position:absolute;left:0pt;margin-left:42.35pt;margin-top:11.45pt;height:171.6pt;width:369.65pt;z-index:259667968;mso-width-relative:page;mso-height-relative:page;" fillcolor="#FFFFFF" filled="t" stroked="t" coordsize="21600,21600" o:gfxdata="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aXPzfYAAAACQEAAA8AAAAAAAAAAQAgAAAAIgAAAGRycy9kb3ducmV2Lnht&#10;bFBLAQIUABQAAAAIAIdO4kAqtFRq+QEAAPgDAAAOAAAAAAAAAAEAIAAAACcBAABkcnMvZTJvRG9j&#10;LnhtbFBLBQYAAAAABgAGAFkBAACSBQAAAAA=&#10;">
                <v:fill on="t" focussize="0,0"/>
                <v:stroke color="#000000" joinstyle="miter"/>
                <v:imagedata o:title=""/>
                <o:lock v:ext="edit" aspectratio="f"/>
                <v:textbox>
                  <w:txbxContent>
                    <w:p/>
                    <w:p/>
                    <w:p/>
                    <w:p>
                      <w:pPr>
                        <w:rPr>
                          <w:sz w:val="24"/>
                        </w:rPr>
                      </w:pPr>
                    </w:p>
                    <w:p>
                      <w:pPr>
                        <w:jc w:val="center"/>
                        <w:rPr>
                          <w:sz w:val="28"/>
                          <w:szCs w:val="28"/>
                        </w:rPr>
                      </w:pPr>
                      <w:r>
                        <w:rPr>
                          <w:rFonts w:hint="eastAsia" w:ascii="宋体" w:hAnsi="宋体"/>
                          <w:sz w:val="24"/>
                        </w:rPr>
                        <w:t>缴纳投标保证金的银行转账单复印件</w:t>
                      </w:r>
                    </w:p>
                  </w:txbxContent>
                </v:textbox>
              </v:shape>
            </w:pict>
          </mc:Fallback>
        </mc:AlternateConten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napToGrid w:val="0"/>
        <w:spacing w:line="48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（盖单位鲜红章）</w:t>
      </w:r>
    </w:p>
    <w:p>
      <w:pPr>
        <w:snapToGrid w:val="0"/>
        <w:spacing w:line="48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p>
    <w:p>
      <w:pPr>
        <w:snapToGrid w:val="0"/>
        <w:spacing w:line="48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p>
    <w:p>
      <w:pPr>
        <w:snapToGrid w:val="0"/>
        <w:spacing w:line="480" w:lineRule="auto"/>
        <w:ind w:firstLine="720" w:firstLineChars="300"/>
        <w:jc w:val="left"/>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pPr>
        <w:pStyle w:val="4"/>
        <w:jc w:val="center"/>
        <w:rPr>
          <w:rFonts w:ascii="宋体" w:hAnsi="宋体" w:cs="宋体"/>
          <w:color w:val="auto"/>
          <w:highlight w:val="none"/>
        </w:rPr>
      </w:pPr>
    </w:p>
    <w:p>
      <w:pPr>
        <w:rPr>
          <w:rFonts w:ascii="宋体" w:hAnsi="宋体" w:cs="宋体"/>
          <w:color w:val="auto"/>
          <w:highlight w:val="none"/>
        </w:rPr>
      </w:pPr>
    </w:p>
    <w:p>
      <w:pPr>
        <w:pStyle w:val="6"/>
        <w:rPr>
          <w:rFonts w:ascii="宋体" w:hAnsi="宋体" w:cs="宋体"/>
          <w:color w:val="auto"/>
          <w:highlight w:val="none"/>
        </w:rPr>
      </w:pPr>
    </w:p>
    <w:p>
      <w:pPr>
        <w:pStyle w:val="6"/>
        <w:rPr>
          <w:color w:val="auto"/>
          <w:highlight w:val="none"/>
        </w:rPr>
      </w:pPr>
    </w:p>
    <w:p>
      <w:pPr>
        <w:rPr>
          <w:color w:val="auto"/>
          <w:highlight w:val="none"/>
        </w:rPr>
      </w:pPr>
    </w:p>
    <w:p>
      <w:pPr>
        <w:pStyle w:val="4"/>
        <w:jc w:val="center"/>
        <w:rPr>
          <w:rFonts w:ascii="宋体" w:hAnsi="宋体" w:cs="宋体"/>
          <w:color w:val="auto"/>
          <w:kern w:val="0"/>
          <w:sz w:val="28"/>
          <w:highlight w:val="none"/>
        </w:rPr>
      </w:pPr>
      <w:r>
        <w:rPr>
          <w:rFonts w:hint="eastAsia" w:ascii="宋体" w:hAnsi="宋体" w:cs="宋体"/>
          <w:color w:val="auto"/>
          <w:highlight w:val="none"/>
        </w:rPr>
        <w:t xml:space="preserve"> </w:t>
      </w:r>
      <w:bookmarkStart w:id="165" w:name="_Toc17222"/>
      <w:r>
        <w:rPr>
          <w:rFonts w:hint="eastAsia" w:ascii="宋体" w:hAnsi="宋体" w:cs="宋体"/>
          <w:color w:val="auto"/>
          <w:kern w:val="0"/>
          <w:sz w:val="28"/>
          <w:highlight w:val="none"/>
        </w:rPr>
        <w:t>投标方的资格声明</w:t>
      </w:r>
      <w:bookmarkEnd w:id="165"/>
    </w:p>
    <w:p>
      <w:pPr>
        <w:spacing w:line="360" w:lineRule="auto"/>
        <w:rPr>
          <w:rFonts w:ascii="宋体" w:hAnsi="宋体" w:cs="宋体"/>
          <w:color w:val="auto"/>
          <w:highlight w:val="none"/>
        </w:rPr>
      </w:pPr>
      <w:r>
        <w:rPr>
          <w:rFonts w:hint="eastAsia" w:ascii="宋体" w:hAnsi="宋体" w:cs="宋体"/>
          <w:color w:val="auto"/>
          <w:highlight w:val="none"/>
          <w:u w:val="single"/>
        </w:rPr>
        <w:t xml:space="preserve">          ：</w:t>
      </w:r>
    </w:p>
    <w:p>
      <w:pPr>
        <w:spacing w:line="360" w:lineRule="auto"/>
        <w:ind w:firstLine="480"/>
        <w:rPr>
          <w:rFonts w:ascii="宋体" w:hAnsi="宋体" w:cs="宋体"/>
          <w:color w:val="auto"/>
          <w:highlight w:val="none"/>
        </w:rPr>
      </w:pPr>
      <w:r>
        <w:rPr>
          <w:rFonts w:hint="eastAsia" w:ascii="宋体" w:hAnsi="宋体" w:cs="宋体"/>
          <w:color w:val="auto"/>
          <w:highlight w:val="none"/>
        </w:rPr>
        <w:t>关于贵方</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日发出的</w:t>
      </w:r>
      <w:r>
        <w:rPr>
          <w:rFonts w:hint="eastAsia" w:ascii="宋体" w:hAnsi="宋体" w:cs="宋体"/>
          <w:color w:val="auto"/>
          <w:highlight w:val="none"/>
          <w:u w:val="single"/>
        </w:rPr>
        <w:t xml:space="preserve">                  </w:t>
      </w:r>
      <w:r>
        <w:rPr>
          <w:rFonts w:hint="eastAsia" w:ascii="宋体" w:hAnsi="宋体" w:cs="宋体"/>
          <w:color w:val="auto"/>
          <w:highlight w:val="none"/>
        </w:rPr>
        <w:t>项目招标文件，本投标方愿意参加投标，并证明资格文件中所要求的说明是真实和准确的。</w:t>
      </w:r>
    </w:p>
    <w:p>
      <w:pPr>
        <w:spacing w:line="360" w:lineRule="auto"/>
        <w:ind w:firstLine="480"/>
        <w:rPr>
          <w:rFonts w:ascii="宋体" w:hAnsi="宋体" w:cs="宋体"/>
          <w:color w:val="auto"/>
          <w:highlight w:val="none"/>
        </w:rPr>
      </w:pPr>
      <w:r>
        <w:rPr>
          <w:rFonts w:hint="eastAsia" w:ascii="宋体" w:hAnsi="宋体" w:cs="宋体"/>
          <w:color w:val="auto"/>
          <w:highlight w:val="none"/>
        </w:rPr>
        <w:t>本投标方对可能要求的进一步资格资料表示理解和同意，并同意按贵方的要求提供任何有关资料。</w:t>
      </w: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r>
        <w:rPr>
          <w:rFonts w:hint="eastAsia" w:ascii="宋体" w:hAnsi="宋体" w:cs="宋体"/>
          <w:color w:val="auto"/>
          <w:highlight w:val="none"/>
        </w:rPr>
        <w:t xml:space="preserve">投标单位名称（单位公章）：                          </w:t>
      </w:r>
    </w:p>
    <w:p>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法定代表人或其授权委托人（</w:t>
      </w:r>
      <w:r>
        <w:rPr>
          <w:rFonts w:hint="eastAsia" w:ascii="宋体" w:hAnsi="宋体" w:cs="宋体"/>
          <w:color w:val="auto"/>
          <w:sz w:val="24"/>
          <w:highlight w:val="none"/>
        </w:rPr>
        <w:t>签字</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盖章</w:t>
      </w:r>
      <w:r>
        <w:rPr>
          <w:rFonts w:hint="eastAsia" w:ascii="宋体" w:hAnsi="宋体" w:cs="宋体"/>
          <w:color w:val="auto"/>
          <w:highlight w:val="none"/>
        </w:rPr>
        <w:t>）：</w:t>
      </w:r>
    </w:p>
    <w:p>
      <w:pPr>
        <w:spacing w:line="360" w:lineRule="auto"/>
        <w:ind w:firstLine="480"/>
        <w:rPr>
          <w:rFonts w:ascii="宋体" w:hAnsi="宋体" w:cs="宋体"/>
          <w:color w:val="auto"/>
          <w:highlight w:val="none"/>
        </w:rPr>
      </w:pPr>
      <w:r>
        <w:rPr>
          <w:rFonts w:hint="eastAsia" w:ascii="宋体" w:hAnsi="宋体" w:cs="宋体"/>
          <w:color w:val="auto"/>
          <w:highlight w:val="none"/>
        </w:rPr>
        <w:t>地址：</w:t>
      </w:r>
    </w:p>
    <w:p>
      <w:pPr>
        <w:spacing w:line="360" w:lineRule="auto"/>
        <w:ind w:firstLine="480"/>
        <w:rPr>
          <w:rFonts w:ascii="宋体" w:hAnsi="宋体" w:cs="宋体"/>
          <w:color w:val="auto"/>
          <w:highlight w:val="none"/>
        </w:rPr>
      </w:pPr>
      <w:r>
        <w:rPr>
          <w:rFonts w:hint="eastAsia" w:ascii="宋体" w:hAnsi="宋体" w:cs="宋体"/>
          <w:color w:val="auto"/>
          <w:highlight w:val="none"/>
        </w:rPr>
        <w:t>传真：</w:t>
      </w:r>
    </w:p>
    <w:p>
      <w:pPr>
        <w:spacing w:line="360" w:lineRule="auto"/>
        <w:ind w:firstLine="480"/>
        <w:rPr>
          <w:rFonts w:ascii="宋体" w:hAnsi="宋体" w:cs="宋体"/>
          <w:color w:val="auto"/>
          <w:highlight w:val="none"/>
        </w:rPr>
      </w:pPr>
      <w:r>
        <w:rPr>
          <w:rFonts w:hint="eastAsia" w:ascii="宋体" w:hAnsi="宋体" w:cs="宋体"/>
          <w:color w:val="auto"/>
          <w:highlight w:val="none"/>
        </w:rPr>
        <w:t>电话：</w:t>
      </w:r>
    </w:p>
    <w:p>
      <w:pPr>
        <w:pStyle w:val="4"/>
        <w:jc w:val="center"/>
        <w:rPr>
          <w:rFonts w:ascii="宋体" w:hAnsi="宋体"/>
          <w:color w:val="auto"/>
          <w:sz w:val="24"/>
          <w:highlight w:val="none"/>
        </w:rPr>
      </w:pPr>
      <w:r>
        <w:rPr>
          <w:rFonts w:hint="eastAsia" w:ascii="宋体" w:hAnsi="宋体" w:cs="宋体"/>
          <w:color w:val="auto"/>
          <w:highlight w:val="none"/>
        </w:rPr>
        <w:br w:type="page"/>
      </w:r>
      <w:bookmarkStart w:id="166" w:name="_Toc22085"/>
      <w:r>
        <w:rPr>
          <w:rFonts w:hint="eastAsia" w:ascii="宋体" w:hAnsi="宋体" w:cs="宋体"/>
          <w:color w:val="auto"/>
          <w:kern w:val="0"/>
          <w:sz w:val="28"/>
          <w:highlight w:val="none"/>
        </w:rPr>
        <w:t>《政府采购法》第二十二条规定</w:t>
      </w:r>
    </w:p>
    <w:p>
      <w:pPr>
        <w:pStyle w:val="23"/>
        <w:keepNext w:val="0"/>
        <w:keepLines w:val="0"/>
        <w:widowControl/>
        <w:suppressLineNumbers w:val="0"/>
        <w:ind w:firstLine="480" w:firstLineChars="200"/>
        <w:jc w:val="both"/>
        <w:rPr>
          <w:color w:val="auto"/>
          <w:highlight w:val="none"/>
        </w:rPr>
      </w:pPr>
      <w:r>
        <w:rPr>
          <w:color w:val="auto"/>
          <w:highlight w:val="none"/>
        </w:rPr>
        <w:t>（一）具有独立承担民事责任的能力；</w:t>
      </w:r>
    </w:p>
    <w:p>
      <w:pPr>
        <w:pStyle w:val="23"/>
        <w:keepNext w:val="0"/>
        <w:keepLines w:val="0"/>
        <w:widowControl/>
        <w:suppressLineNumbers w:val="0"/>
        <w:ind w:firstLine="480" w:firstLineChars="200"/>
        <w:jc w:val="both"/>
        <w:rPr>
          <w:color w:val="auto"/>
          <w:highlight w:val="none"/>
        </w:rPr>
      </w:pPr>
      <w:r>
        <w:rPr>
          <w:color w:val="auto"/>
          <w:highlight w:val="none"/>
        </w:rPr>
        <w:t>（二）具有良好的商业信誉和健全的财务会计制度；</w:t>
      </w:r>
    </w:p>
    <w:p>
      <w:pPr>
        <w:pStyle w:val="23"/>
        <w:keepNext w:val="0"/>
        <w:keepLines w:val="0"/>
        <w:widowControl/>
        <w:suppressLineNumbers w:val="0"/>
        <w:ind w:firstLine="480" w:firstLineChars="200"/>
        <w:jc w:val="both"/>
        <w:rPr>
          <w:color w:val="auto"/>
          <w:highlight w:val="none"/>
        </w:rPr>
      </w:pPr>
      <w:r>
        <w:rPr>
          <w:color w:val="auto"/>
          <w:highlight w:val="none"/>
        </w:rPr>
        <w:t>（三）具有履行合同所必需的设备和专业技术能力；</w:t>
      </w:r>
    </w:p>
    <w:p>
      <w:pPr>
        <w:pStyle w:val="23"/>
        <w:keepNext w:val="0"/>
        <w:keepLines w:val="0"/>
        <w:widowControl/>
        <w:suppressLineNumbers w:val="0"/>
        <w:ind w:firstLine="480" w:firstLineChars="200"/>
        <w:jc w:val="both"/>
        <w:rPr>
          <w:color w:val="auto"/>
          <w:highlight w:val="none"/>
        </w:rPr>
      </w:pPr>
      <w:r>
        <w:rPr>
          <w:color w:val="auto"/>
          <w:highlight w:val="none"/>
        </w:rPr>
        <w:t>（四）有依法缴纳税收和社会保障资金的良好记录；</w:t>
      </w:r>
    </w:p>
    <w:p>
      <w:pPr>
        <w:pStyle w:val="23"/>
        <w:keepNext w:val="0"/>
        <w:keepLines w:val="0"/>
        <w:widowControl/>
        <w:suppressLineNumbers w:val="0"/>
        <w:ind w:firstLine="480" w:firstLineChars="200"/>
        <w:jc w:val="both"/>
        <w:rPr>
          <w:color w:val="auto"/>
          <w:highlight w:val="none"/>
        </w:rPr>
      </w:pPr>
      <w:r>
        <w:rPr>
          <w:color w:val="auto"/>
          <w:highlight w:val="none"/>
        </w:rPr>
        <w:t>（五）参加政府采购活动前三年内，在经营活动中没有重大违法记录；</w:t>
      </w:r>
    </w:p>
    <w:p>
      <w:pPr>
        <w:pStyle w:val="23"/>
        <w:keepNext w:val="0"/>
        <w:keepLines w:val="0"/>
        <w:widowControl/>
        <w:suppressLineNumbers w:val="0"/>
        <w:ind w:firstLine="480" w:firstLineChars="200"/>
        <w:jc w:val="both"/>
        <w:rPr>
          <w:color w:val="auto"/>
          <w:highlight w:val="none"/>
        </w:rPr>
      </w:pPr>
      <w:r>
        <w:rPr>
          <w:color w:val="auto"/>
          <w:highlight w:val="none"/>
        </w:rPr>
        <w:t>（六）法律、行政法规规定的其他条件。</w:t>
      </w:r>
    </w:p>
    <w:p>
      <w:pPr>
        <w:pStyle w:val="4"/>
        <w:jc w:val="center"/>
        <w:rPr>
          <w:rFonts w:hint="eastAsia" w:ascii="宋体" w:hAnsi="宋体" w:cs="宋体"/>
          <w:color w:val="000000" w:themeColor="text1"/>
          <w:kern w:val="0"/>
          <w:sz w:val="28"/>
          <w14:textFill>
            <w14:solidFill>
              <w14:schemeClr w14:val="tx1"/>
            </w14:solidFill>
          </w14:textFill>
        </w:rPr>
      </w:pPr>
    </w:p>
    <w:p>
      <w:pPr>
        <w:pStyle w:val="5"/>
        <w:rPr>
          <w:rFonts w:hint="eastAsia" w:ascii="宋体" w:hAnsi="宋体" w:cs="宋体"/>
          <w:color w:val="000000" w:themeColor="text1"/>
          <w:kern w:val="0"/>
          <w:sz w:val="28"/>
          <w14:textFill>
            <w14:solidFill>
              <w14:schemeClr w14:val="tx1"/>
            </w14:solidFill>
          </w14:textFill>
        </w:rPr>
      </w:pPr>
    </w:p>
    <w:p>
      <w:pPr>
        <w:pStyle w:val="5"/>
        <w:rPr>
          <w:rFonts w:hint="eastAsia" w:ascii="宋体" w:hAnsi="宋体" w:cs="宋体"/>
          <w:color w:val="000000" w:themeColor="text1"/>
          <w:kern w:val="0"/>
          <w:sz w:val="28"/>
          <w14:textFill>
            <w14:solidFill>
              <w14:schemeClr w14:val="tx1"/>
            </w14:solidFill>
          </w14:textFill>
        </w:rPr>
      </w:pPr>
    </w:p>
    <w:p>
      <w:pPr>
        <w:pStyle w:val="5"/>
        <w:rPr>
          <w:rFonts w:hint="eastAsia" w:ascii="宋体" w:hAnsi="宋体" w:cs="宋体"/>
          <w:color w:val="000000" w:themeColor="text1"/>
          <w:kern w:val="0"/>
          <w:sz w:val="28"/>
          <w14:textFill>
            <w14:solidFill>
              <w14:schemeClr w14:val="tx1"/>
            </w14:solidFill>
          </w14:textFill>
        </w:rPr>
      </w:pPr>
    </w:p>
    <w:p>
      <w:pPr>
        <w:pStyle w:val="5"/>
        <w:rPr>
          <w:rFonts w:hint="eastAsia" w:ascii="宋体" w:hAnsi="宋体" w:cs="宋体"/>
          <w:color w:val="000000" w:themeColor="text1"/>
          <w:kern w:val="0"/>
          <w:sz w:val="28"/>
          <w14:textFill>
            <w14:solidFill>
              <w14:schemeClr w14:val="tx1"/>
            </w14:solidFill>
          </w14:textFill>
        </w:rPr>
      </w:pPr>
    </w:p>
    <w:p>
      <w:pPr>
        <w:pStyle w:val="5"/>
        <w:rPr>
          <w:rFonts w:hint="eastAsia" w:ascii="宋体" w:hAnsi="宋体" w:cs="宋体"/>
          <w:color w:val="000000" w:themeColor="text1"/>
          <w:kern w:val="0"/>
          <w:sz w:val="28"/>
          <w14:textFill>
            <w14:solidFill>
              <w14:schemeClr w14:val="tx1"/>
            </w14:solidFill>
          </w14:textFill>
        </w:rPr>
      </w:pPr>
    </w:p>
    <w:p>
      <w:pPr>
        <w:pStyle w:val="5"/>
        <w:rPr>
          <w:rFonts w:hint="eastAsia" w:ascii="宋体" w:hAnsi="宋体" w:cs="宋体"/>
          <w:color w:val="000000" w:themeColor="text1"/>
          <w:kern w:val="0"/>
          <w:sz w:val="28"/>
          <w14:textFill>
            <w14:solidFill>
              <w14:schemeClr w14:val="tx1"/>
            </w14:solidFill>
          </w14:textFill>
        </w:rPr>
      </w:pPr>
    </w:p>
    <w:p>
      <w:pPr>
        <w:pStyle w:val="5"/>
        <w:rPr>
          <w:rFonts w:hint="eastAsia" w:ascii="宋体" w:hAnsi="宋体" w:cs="宋体"/>
          <w:color w:val="000000" w:themeColor="text1"/>
          <w:kern w:val="0"/>
          <w:sz w:val="28"/>
          <w14:textFill>
            <w14:solidFill>
              <w14:schemeClr w14:val="tx1"/>
            </w14:solidFill>
          </w14:textFill>
        </w:rPr>
      </w:pPr>
    </w:p>
    <w:p>
      <w:pPr>
        <w:pStyle w:val="4"/>
        <w:jc w:val="center"/>
        <w:rPr>
          <w:rFonts w:hint="eastAsia" w:ascii="宋体" w:hAnsi="宋体" w:cs="宋体"/>
          <w:color w:val="000000" w:themeColor="text1"/>
          <w:kern w:val="0"/>
          <w:sz w:val="28"/>
          <w14:textFill>
            <w14:solidFill>
              <w14:schemeClr w14:val="tx1"/>
            </w14:solidFill>
          </w14:textFill>
        </w:rPr>
      </w:pPr>
    </w:p>
    <w:p>
      <w:pPr>
        <w:pStyle w:val="4"/>
        <w:jc w:val="center"/>
        <w:rPr>
          <w:rFonts w:hint="eastAsia" w:ascii="宋体" w:hAnsi="宋体" w:cs="宋体"/>
          <w:color w:val="000000" w:themeColor="text1"/>
          <w:kern w:val="0"/>
          <w:sz w:val="28"/>
          <w14:textFill>
            <w14:solidFill>
              <w14:schemeClr w14:val="tx1"/>
            </w14:solidFill>
          </w14:textFill>
        </w:rPr>
      </w:pPr>
    </w:p>
    <w:p>
      <w:pPr>
        <w:pStyle w:val="4"/>
        <w:jc w:val="both"/>
        <w:rPr>
          <w:rFonts w:hint="eastAsia" w:ascii="宋体" w:hAnsi="宋体" w:cs="宋体"/>
          <w:color w:val="000000" w:themeColor="text1"/>
          <w:kern w:val="0"/>
          <w:sz w:val="28"/>
          <w14:textFill>
            <w14:solidFill>
              <w14:schemeClr w14:val="tx1"/>
            </w14:solidFill>
          </w14:textFill>
        </w:rPr>
      </w:pPr>
    </w:p>
    <w:p>
      <w:pPr>
        <w:pStyle w:val="5"/>
        <w:rPr>
          <w:rFonts w:hint="eastAsia"/>
        </w:rPr>
      </w:pPr>
    </w:p>
    <w:p>
      <w:pPr>
        <w:pStyle w:val="4"/>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8"/>
          <w14:textFill>
            <w14:solidFill>
              <w14:schemeClr w14:val="tx1"/>
            </w14:solidFill>
          </w14:textFill>
        </w:rPr>
        <w:t>法人营业执照函</w:t>
      </w:r>
      <w:bookmarkEnd w:id="166"/>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现附上由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（签发机关名称）签发的我方法人营业执照复印件，该执照已经年检，真实有效。</w:t>
      </w:r>
    </w:p>
    <w:p>
      <w:pPr>
        <w:spacing w:line="360" w:lineRule="auto"/>
        <w:ind w:firstLine="48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注：在此页附上营业执照</w:t>
      </w:r>
    </w:p>
    <w:p>
      <w:pPr>
        <w:spacing w:line="360" w:lineRule="auto"/>
        <w:ind w:firstLine="480"/>
        <w:rPr>
          <w:rFonts w:ascii="宋体" w:hAnsi="宋体" w:cs="宋体"/>
          <w:color w:val="000000" w:themeColor="text1"/>
          <w:sz w:val="24"/>
          <w14:textFill>
            <w14:solidFill>
              <w14:schemeClr w14:val="tx1"/>
            </w14:solidFill>
          </w14:textFill>
        </w:rPr>
      </w:pPr>
    </w:p>
    <w:p>
      <w:pPr>
        <w:spacing w:line="360" w:lineRule="auto"/>
        <w:ind w:firstLine="480"/>
        <w:rPr>
          <w:rFonts w:ascii="宋体" w:hAnsi="宋体" w:cs="宋体"/>
          <w:color w:val="000000" w:themeColor="text1"/>
          <w:sz w:val="24"/>
          <w14:textFill>
            <w14:solidFill>
              <w14:schemeClr w14:val="tx1"/>
            </w14:solidFill>
          </w14:textFill>
        </w:rPr>
      </w:pP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投标单位名称（单位公章）：                         </w:t>
      </w:r>
    </w:p>
    <w:p>
      <w:pPr>
        <w:spacing w:line="360" w:lineRule="auto"/>
        <w:ind w:firstLine="480"/>
        <w:rPr>
          <w:rFonts w:ascii="宋体" w:hAnsi="宋体" w:cs="宋体"/>
          <w:color w:val="000000" w:themeColor="text1"/>
          <w:sz w:val="24"/>
          <w14:textFill>
            <w14:solidFill>
              <w14:schemeClr w14:val="tx1"/>
            </w14:solidFill>
          </w14:textFill>
        </w:rPr>
      </w:pP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法定代表人或其授权委托人（签字或盖章）：</w:t>
      </w:r>
    </w:p>
    <w:p>
      <w:pPr>
        <w:spacing w:line="360" w:lineRule="auto"/>
        <w:ind w:firstLine="480"/>
        <w:rPr>
          <w:rFonts w:ascii="宋体" w:hAnsi="宋体" w:cs="宋体"/>
          <w:color w:val="000000" w:themeColor="text1"/>
          <w:sz w:val="24"/>
          <w14:textFill>
            <w14:solidFill>
              <w14:schemeClr w14:val="tx1"/>
            </w14:solidFill>
          </w14:textFill>
        </w:rPr>
      </w:pPr>
    </w:p>
    <w:p>
      <w:pPr>
        <w:spacing w:line="360" w:lineRule="auto"/>
        <w:ind w:firstLine="480"/>
        <w:rPr>
          <w:rFonts w:ascii="宋体" w:hAnsi="宋体" w:cs="宋体"/>
          <w:color w:val="000000" w:themeColor="text1"/>
          <w:sz w:val="24"/>
          <w14:textFill>
            <w14:solidFill>
              <w14:schemeClr w14:val="tx1"/>
            </w14:solidFill>
          </w14:textFill>
        </w:rPr>
      </w:pP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6"/>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6"/>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法定代表人证明书</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单位名称：</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性别：</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年龄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职务：</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法定代表人。</w:t>
      </w:r>
    </w:p>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7020928" behindDoc="0" locked="0" layoutInCell="1" allowOverlap="1">
                <wp:simplePos x="0" y="0"/>
                <wp:positionH relativeFrom="column">
                  <wp:posOffset>201930</wp:posOffset>
                </wp:positionH>
                <wp:positionV relativeFrom="paragraph">
                  <wp:posOffset>76200</wp:posOffset>
                </wp:positionV>
                <wp:extent cx="2619375" cy="1704975"/>
                <wp:effectExtent l="7620" t="7620" r="20955" b="20955"/>
                <wp:wrapNone/>
                <wp:docPr id="6" name="文本框 1"/>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法定代表人身份证正面</w:t>
                            </w:r>
                          </w:p>
                        </w:txbxContent>
                      </wps:txbx>
                      <wps:bodyPr upright="1"/>
                    </wps:wsp>
                  </a:graphicData>
                </a:graphic>
              </wp:anchor>
            </w:drawing>
          </mc:Choice>
          <mc:Fallback>
            <w:pict>
              <v:shape id="文本框 1" o:spid="_x0000_s1026" o:spt="202" type="#_x0000_t202" style="position:absolute;left:0pt;margin-left:15.9pt;margin-top:6pt;height:134.25pt;width:206.25pt;z-index:257020928;mso-width-relative:page;mso-height-relative:page;" fillcolor="#FFFFFF" filled="t" stroked="t" coordsize="21600,21600" o:gfxdata="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yX/5W1wAAAAkBAAAPAAAAAAAAAAEAIAAAACIAAABkcnMvZG93bnJldi54bWxQ&#10;SwECFAAUAAAACACHTuJAVeisuDECAAB/BAAADgAAAAAAAAABACAAAAAmAQAAZHJzL2Uyb0RvYy54&#10;bWxQSwUGAAAAAAYABgBZAQAAyQU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法定代表人身份证正面</w:t>
                      </w:r>
                    </w:p>
                  </w:txbxContent>
                </v:textbox>
              </v:shape>
            </w:pict>
          </mc:Fallback>
        </mc:AlternateContent>
      </w:r>
      <w:r>
        <w:rPr>
          <w:rFonts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9666944" behindDoc="1" locked="0" layoutInCell="1" allowOverlap="1">
                <wp:simplePos x="0" y="0"/>
                <wp:positionH relativeFrom="column">
                  <wp:posOffset>3027680</wp:posOffset>
                </wp:positionH>
                <wp:positionV relativeFrom="paragraph">
                  <wp:posOffset>78740</wp:posOffset>
                </wp:positionV>
                <wp:extent cx="2619375" cy="1704975"/>
                <wp:effectExtent l="7620" t="7620" r="20955" b="20955"/>
                <wp:wrapTight wrapText="bothSides">
                  <wp:wrapPolygon>
                    <wp:start x="21592" y="-2"/>
                    <wp:lineTo x="0" y="0"/>
                    <wp:lineTo x="0" y="21600"/>
                    <wp:lineTo x="21592" y="21602"/>
                    <wp:lineTo x="8" y="21602"/>
                    <wp:lineTo x="21600" y="21600"/>
                    <wp:lineTo x="21600" y="0"/>
                    <wp:lineTo x="8" y="-2"/>
                    <wp:lineTo x="21592" y="-2"/>
                  </wp:wrapPolygon>
                </wp:wrapTight>
                <wp:docPr id="7" name="文本框 2"/>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法定代表人身份证反面</w:t>
                            </w:r>
                          </w:p>
                          <w:p>
                            <w:pPr>
                              <w:jc w:val="right"/>
                            </w:pPr>
                          </w:p>
                        </w:txbxContent>
                      </wps:txbx>
                      <wps:bodyPr upright="1"/>
                    </wps:wsp>
                  </a:graphicData>
                </a:graphic>
              </wp:anchor>
            </w:drawing>
          </mc:Choice>
          <mc:Fallback>
            <w:pict>
              <v:shape id="文本框 2" o:spid="_x0000_s1026" o:spt="202" type="#_x0000_t202" style="position:absolute;left:0pt;margin-left:238.4pt;margin-top:6.2pt;height:134.25pt;width:206.25pt;mso-wrap-distance-left:9pt;mso-wrap-distance-right:9pt;z-index:-243649536;mso-width-relative:page;mso-height-relative:page;" fillcolor="#FFFFFF" filled="t" stroked="t" coordsize="21600,21600" wrapcoords="21592 -2 0 0 0 21600 21592 21602 8 21602 21600 21600 21600 0 8 -2 21592 -2" o:gfxdata="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QfR5D2QAAAAoBAAAPAAAAAAAAAAEAIAAAACIAAABkcnMvZG93bnJldi54bWxQ&#10;SwECFAAUAAAACACHTuJAX4nBtS8CAAB/BAAADgAAAAAAAAABACAAAAAoAQAAZHJzL2Uyb0RvYy54&#10;bWxQSwUGAAAAAAYABgBZAQAAyQU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法定代表人身份证反面</w:t>
                      </w:r>
                    </w:p>
                    <w:p>
                      <w:pPr>
                        <w:jc w:val="right"/>
                      </w:pPr>
                    </w:p>
                  </w:txbxContent>
                </v:textbox>
                <w10:wrap type="tight"/>
              </v:shape>
            </w:pict>
          </mc:Fallback>
        </mc:AlternateContent>
      </w: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（单位公章）</w:t>
      </w: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pPr>
        <w:spacing w:line="400" w:lineRule="exact"/>
        <w:rPr>
          <w:rFonts w:ascii="宋体" w:hAnsi="宋体" w:cs="宋体"/>
          <w:color w:val="000000" w:themeColor="text1"/>
          <w:sz w:val="24"/>
          <w14:textFill>
            <w14:solidFill>
              <w14:schemeClr w14:val="tx1"/>
            </w14:solidFill>
          </w14:textFill>
        </w:rPr>
      </w:pPr>
    </w:p>
    <w:p>
      <w:pPr>
        <w:spacing w:line="400" w:lineRule="exact"/>
        <w:rPr>
          <w:rFonts w:ascii="宋体" w:hAnsi="宋体" w:cs="宋体"/>
          <w:color w:val="000000" w:themeColor="text1"/>
          <w:sz w:val="24"/>
          <w14:textFill>
            <w14:solidFill>
              <w14:schemeClr w14:val="tx1"/>
            </w14:solidFill>
          </w14:textFill>
        </w:rPr>
      </w:pPr>
    </w:p>
    <w:p>
      <w:pPr>
        <w:spacing w:line="400" w:lineRule="exact"/>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pStyle w:val="4"/>
        <w:rPr>
          <w:rFonts w:ascii="宋体" w:hAnsi="宋体" w:cs="宋体"/>
          <w:color w:val="000000" w:themeColor="text1"/>
          <w:sz w:val="24"/>
          <w:szCs w:val="24"/>
          <w14:textFill>
            <w14:solidFill>
              <w14:schemeClr w14:val="tx1"/>
            </w14:solidFill>
          </w14:textFill>
        </w:rPr>
      </w:pPr>
      <w:bookmarkStart w:id="167" w:name="_Toc13439"/>
    </w:p>
    <w:p>
      <w:pPr>
        <w:rPr>
          <w:rFonts w:ascii="宋体" w:hAnsi="宋体" w:cs="宋体"/>
          <w:color w:val="000000" w:themeColor="text1"/>
          <w:sz w:val="24"/>
          <w14:textFill>
            <w14:solidFill>
              <w14:schemeClr w14:val="tx1"/>
            </w14:solidFill>
          </w14:textFill>
        </w:rPr>
      </w:pPr>
    </w:p>
    <w:p>
      <w:pPr>
        <w:pStyle w:val="4"/>
        <w:rPr>
          <w:rFonts w:ascii="宋体" w:hAnsi="宋体" w:cs="宋体"/>
          <w:color w:val="000000" w:themeColor="text1"/>
          <w:sz w:val="28"/>
          <w:szCs w:val="28"/>
          <w14:textFill>
            <w14:solidFill>
              <w14:schemeClr w14:val="tx1"/>
            </w14:solidFill>
          </w14:textFill>
        </w:rPr>
      </w:pPr>
    </w:p>
    <w:p>
      <w:pPr>
        <w:rPr>
          <w:color w:val="000000" w:themeColor="text1"/>
          <w14:textFill>
            <w14:solidFill>
              <w14:schemeClr w14:val="tx1"/>
            </w14:solidFill>
          </w14:textFill>
        </w:rPr>
      </w:pPr>
    </w:p>
    <w:p>
      <w:pPr>
        <w:pStyle w:val="4"/>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法定代表人授权书格式</w:t>
      </w:r>
      <w:bookmarkEnd w:id="167"/>
    </w:p>
    <w:p>
      <w:pPr>
        <w:ind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法定代表人授权书</w:t>
      </w:r>
    </w:p>
    <w:p>
      <w:pPr>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(投标单位名称)法定代表人授权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为本公司的合法代理人，参加贵方组织的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项目招标文件采购招标活动，全权代表我方处理招标活动中的一切事宜和签署一切文件，被授权人无转委托权，特此委托。</w:t>
      </w:r>
    </w:p>
    <w:p>
      <w:pPr>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法定代表人签字：</w:t>
      </w:r>
      <w:r>
        <w:rPr>
          <w:rFonts w:hint="eastAsia" w:ascii="宋体" w:hAnsi="宋体" w:cs="宋体"/>
          <w:color w:val="000000" w:themeColor="text1"/>
          <w:sz w:val="24"/>
          <w:u w:val="single"/>
          <w14:textFill>
            <w14:solidFill>
              <w14:schemeClr w14:val="tx1"/>
            </w14:solidFill>
          </w14:textFill>
        </w:rPr>
        <w:t xml:space="preserve">              </w:t>
      </w:r>
    </w:p>
    <w:p>
      <w:pPr>
        <w:ind w:firstLine="588" w:firstLineChars="24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年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日</w:t>
      </w:r>
    </w:p>
    <w:p>
      <w:pPr>
        <w:ind w:firstLine="588" w:firstLineChars="245"/>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被授权人姓名：</w:t>
      </w:r>
      <w:r>
        <w:rPr>
          <w:rFonts w:hint="eastAsia" w:ascii="宋体" w:hAnsi="宋体" w:cs="宋体"/>
          <w:color w:val="000000" w:themeColor="text1"/>
          <w:sz w:val="24"/>
          <w:u w:val="single"/>
          <w14:textFill>
            <w14:solidFill>
              <w14:schemeClr w14:val="tx1"/>
            </w14:solidFill>
          </w14:textFill>
        </w:rPr>
        <w:t xml:space="preserve">                 </w:t>
      </w:r>
    </w:p>
    <w:p>
      <w:pPr>
        <w:ind w:firstLine="588" w:firstLineChars="24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ind w:firstLine="588" w:firstLineChars="245"/>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详细通讯地址：</w:t>
      </w:r>
      <w:r>
        <w:rPr>
          <w:rFonts w:hint="eastAsia" w:ascii="宋体" w:hAnsi="宋体" w:cs="宋体"/>
          <w:color w:val="000000" w:themeColor="text1"/>
          <w:sz w:val="24"/>
          <w:u w:val="single"/>
          <w14:textFill>
            <w14:solidFill>
              <w14:schemeClr w14:val="tx1"/>
            </w14:solidFill>
          </w14:textFill>
        </w:rPr>
        <w:t xml:space="preserve">                                </w:t>
      </w:r>
    </w:p>
    <w:p>
      <w:pPr>
        <w:ind w:firstLine="588" w:firstLineChars="245"/>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邮政编码：</w:t>
      </w:r>
      <w:r>
        <w:rPr>
          <w:rFonts w:hint="eastAsia" w:ascii="宋体" w:hAnsi="宋体" w:cs="宋体"/>
          <w:color w:val="000000" w:themeColor="text1"/>
          <w:sz w:val="24"/>
          <w:u w:val="single"/>
          <w14:textFill>
            <w14:solidFill>
              <w14:schemeClr w14:val="tx1"/>
            </w14:solidFill>
          </w14:textFill>
        </w:rPr>
        <w:t xml:space="preserve">                    </w:t>
      </w:r>
    </w:p>
    <w:p>
      <w:pPr>
        <w:ind w:firstLine="588" w:firstLineChars="245"/>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w:t>
      </w:r>
      <w:r>
        <w:rPr>
          <w:rFonts w:hint="eastAsia" w:ascii="宋体" w:hAnsi="宋体" w:cs="宋体"/>
          <w:color w:val="000000" w:themeColor="text1"/>
          <w:sz w:val="24"/>
          <w:u w:val="single"/>
          <w14:textFill>
            <w14:solidFill>
              <w14:schemeClr w14:val="tx1"/>
            </w14:solidFill>
          </w14:textFill>
        </w:rPr>
        <w:t xml:space="preserve">             </w:t>
      </w:r>
    </w:p>
    <w:p>
      <w:pPr>
        <w:ind w:firstLine="588" w:firstLineChars="24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    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ascii="宋体" w:hAnsi="宋体" w:cs="宋体"/>
          <w:b/>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184785</wp:posOffset>
                </wp:positionH>
                <wp:positionV relativeFrom="paragraph">
                  <wp:posOffset>105410</wp:posOffset>
                </wp:positionV>
                <wp:extent cx="2619375" cy="1704975"/>
                <wp:effectExtent l="7620" t="7620" r="20955" b="20955"/>
                <wp:wrapNone/>
                <wp:docPr id="1" name="文本框 4"/>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法定代表人身份证正面</w:t>
                            </w:r>
                          </w:p>
                        </w:txbxContent>
                      </wps:txbx>
                      <wps:bodyPr upright="1"/>
                    </wps:wsp>
                  </a:graphicData>
                </a:graphic>
              </wp:anchor>
            </w:drawing>
          </mc:Choice>
          <mc:Fallback>
            <w:pict>
              <v:shape id="文本框 4" o:spid="_x0000_s1026" o:spt="202" type="#_x0000_t202" style="position:absolute;left:0pt;margin-left:14.55pt;margin-top:8.3pt;height:134.25pt;width:206.25pt;z-index:251669504;mso-width-relative:page;mso-height-relative:page;" fillcolor="#FFFFFF" filled="t" stroked="t" coordsize="21600,21600" o:gfxdata="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MEcLW1gAAAAkBAAAPAAAAAAAAAAEAIAAAACIAAABkcnMvZG93bnJldi54bWxQSwEC&#10;FAAUAAAACACHTuJA/JbUUS8CAAB/BAAADgAAAAAAAAABACAAAAAlAQAAZHJzL2Uyb0RvYy54bWxQ&#10;SwUGAAAAAAYABgBZAQAAxgU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法定代表人身份证正面</w:t>
                      </w:r>
                    </w:p>
                  </w:txbxContent>
                </v:textbox>
              </v:shape>
            </w:pict>
          </mc:Fallback>
        </mc:AlternateContent>
      </w:r>
      <w:r>
        <w:rPr>
          <w:rFonts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3035300</wp:posOffset>
                </wp:positionH>
                <wp:positionV relativeFrom="paragraph">
                  <wp:posOffset>106680</wp:posOffset>
                </wp:positionV>
                <wp:extent cx="2619375" cy="1704975"/>
                <wp:effectExtent l="7620" t="7620" r="20955" b="20955"/>
                <wp:wrapNone/>
                <wp:docPr id="4" name="文本框 5"/>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被委托人身份证正面</w:t>
                            </w:r>
                          </w:p>
                        </w:txbxContent>
                      </wps:txbx>
                      <wps:bodyPr upright="1"/>
                    </wps:wsp>
                  </a:graphicData>
                </a:graphic>
              </wp:anchor>
            </w:drawing>
          </mc:Choice>
          <mc:Fallback>
            <w:pict>
              <v:shape id="文本框 5" o:spid="_x0000_s1026" o:spt="202" type="#_x0000_t202" style="position:absolute;left:0pt;margin-left:239pt;margin-top:8.4pt;height:134.25pt;width:206.25pt;z-index:251670528;mso-width-relative:page;mso-height-relative:page;" fillcolor="#FFFFFF" filled="t" stroked="t" coordsize="21600,21600" o:gfxdata="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nn0+H2AAAAAoBAAAPAAAAAAAAAAEAIAAAACIAAABkcnMvZG93bnJldi54bWxQ&#10;SwECFAAUAAAACACHTuJA27KlbDACAAB/BAAADgAAAAAAAAABACAAAAAnAQAAZHJzL2Uyb0RvYy54&#10;bWxQSwUGAAAAAAYABgBZAQAAyQU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被委托人身份证正面</w:t>
                      </w:r>
                    </w:p>
                  </w:txbxContent>
                </v:textbox>
              </v:shape>
            </w:pict>
          </mc:Fallback>
        </mc:AlternateContent>
      </w: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186055</wp:posOffset>
                </wp:positionH>
                <wp:positionV relativeFrom="paragraph">
                  <wp:posOffset>219710</wp:posOffset>
                </wp:positionV>
                <wp:extent cx="2619375" cy="1704975"/>
                <wp:effectExtent l="7620" t="7620" r="20955" b="20955"/>
                <wp:wrapTopAndBottom/>
                <wp:docPr id="2" name="文本框 5"/>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法定代表人身份证背面</w:t>
                            </w:r>
                          </w:p>
                        </w:txbxContent>
                      </wps:txbx>
                      <wps:bodyPr upright="1"/>
                    </wps:wsp>
                  </a:graphicData>
                </a:graphic>
              </wp:anchor>
            </w:drawing>
          </mc:Choice>
          <mc:Fallback>
            <w:pict>
              <v:shape id="文本框 5" o:spid="_x0000_s1026" o:spt="202" type="#_x0000_t202" style="position:absolute;left:0pt;margin-left:14.65pt;margin-top:17.3pt;height:134.25pt;width:206.25pt;mso-wrap-distance-bottom:0pt;mso-wrap-distance-top:0pt;z-index:251698176;mso-width-relative:page;mso-height-relative:page;" fillcolor="#FFFFFF" filled="t" stroked="t" coordsize="21600,21600" o:gfxdata="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e7B6nXAAAACQEAAA8AAAAAAAAAAQAgAAAAIgAAAGRycy9kb3ducmV2LnhtbFBL&#10;AQIUABQAAAAIAIdO4kCXArUAMAIAAH8EAAAOAAAAAAAAAAEAIAAAACYBAABkcnMvZTJvRG9jLnht&#10;bFBLBQYAAAAABgAGAFkBAADIBQ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法定代表人身份证背面</w:t>
                      </w:r>
                    </w:p>
                  </w:txbxContent>
                </v:textbox>
                <w10:wrap type="topAndBottom"/>
              </v:shape>
            </w:pict>
          </mc:Fallback>
        </mc:AlternateContent>
      </w:r>
      <w:r>
        <w:rPr>
          <w:rFonts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3044190</wp:posOffset>
                </wp:positionH>
                <wp:positionV relativeFrom="paragraph">
                  <wp:posOffset>220345</wp:posOffset>
                </wp:positionV>
                <wp:extent cx="2619375" cy="1704975"/>
                <wp:effectExtent l="7620" t="7620" r="20955" b="20955"/>
                <wp:wrapNone/>
                <wp:docPr id="3" name="文本框 5"/>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被委托人身份证背面</w:t>
                            </w:r>
                          </w:p>
                        </w:txbxContent>
                      </wps:txbx>
                      <wps:bodyPr upright="1"/>
                    </wps:wsp>
                  </a:graphicData>
                </a:graphic>
              </wp:anchor>
            </w:drawing>
          </mc:Choice>
          <mc:Fallback>
            <w:pict>
              <v:shape id="文本框 5" o:spid="_x0000_s1026" o:spt="202" type="#_x0000_t202" style="position:absolute;left:0pt;margin-left:239.7pt;margin-top:17.35pt;height:134.25pt;width:206.25pt;z-index:251700224;mso-width-relative:page;mso-height-relative:page;" fillcolor="#FFFFFF" filled="t" stroked="t" coordsize="21600,21600" o:gfxdata="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jTPp9kAAAAKAQAADwAAAAAAAAABACAAAAAiAAAAZHJzL2Rvd25yZXYueG1s&#10;UEsBAhQAFAAAAAgAh07iQEo3YqQwAgAAfwQAAA4AAAAAAAAAAQAgAAAAKAEAAGRycy9lMm9Eb2Mu&#10;eG1sUEsFBgAAAAAGAAYAWQEAAMoFA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被委托人身份证背面</w:t>
                      </w:r>
                    </w:p>
                  </w:txbxContent>
                </v:textbox>
              </v:shape>
            </w:pict>
          </mc:Fallback>
        </mc:AlternateContent>
      </w:r>
    </w:p>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投标企业（盖章）：</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bookmarkStart w:id="168" w:name="_Toc13337"/>
    </w:p>
    <w:p>
      <w:pPr>
        <w:spacing w:line="360" w:lineRule="auto"/>
        <w:rPr>
          <w:rFonts w:hint="default" w:ascii="宋体" w:hAnsi="宋体" w:eastAsia="宋体" w:cs="宋体"/>
          <w:b/>
          <w:color w:val="000000" w:themeColor="text1"/>
          <w:sz w:val="22"/>
          <w:szCs w:val="28"/>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w:t>
      </w:r>
      <w:r>
        <w:rPr>
          <w:rFonts w:hint="eastAsia" w:ascii="宋体" w:hAnsi="宋体" w:cs="宋体"/>
          <w:b/>
          <w:color w:val="000000" w:themeColor="text1"/>
          <w:sz w:val="22"/>
          <w:szCs w:val="28"/>
          <w:highlight w:val="none"/>
          <w14:textFill>
            <w14:solidFill>
              <w14:schemeClr w14:val="tx1"/>
            </w14:solidFill>
          </w14:textFill>
        </w:rPr>
        <w:t>被委托人必须是投标单位正式员工，需提供社保部门出具最少提供近一个月的缴纳社保证明（社保缴费凭证及个人明细表）</w:t>
      </w:r>
      <w:r>
        <w:rPr>
          <w:rFonts w:hint="eastAsia" w:ascii="宋体" w:hAnsi="宋体" w:cs="宋体"/>
          <w:b/>
          <w:color w:val="000000" w:themeColor="text1"/>
          <w:sz w:val="22"/>
          <w:szCs w:val="28"/>
          <w:highlight w:val="none"/>
          <w:lang w:eastAsia="zh-CN"/>
          <w14:textFill>
            <w14:solidFill>
              <w14:schemeClr w14:val="tx1"/>
            </w14:solidFill>
          </w14:textFill>
        </w:rPr>
        <w:t>；</w:t>
      </w:r>
    </w:p>
    <w:p>
      <w:pPr>
        <w:pStyle w:val="4"/>
        <w:jc w:val="center"/>
        <w:rPr>
          <w:rFonts w:ascii="宋体" w:hAnsi="宋体" w:cs="宋体"/>
          <w:color w:val="000000" w:themeColor="text1"/>
          <w:sz w:val="28"/>
          <w14:textFill>
            <w14:solidFill>
              <w14:schemeClr w14:val="tx1"/>
            </w14:solidFill>
          </w14:textFill>
        </w:rPr>
      </w:pPr>
    </w:p>
    <w:bookmarkEnd w:id="168"/>
    <w:p>
      <w:pPr>
        <w:pStyle w:val="4"/>
        <w:jc w:val="center"/>
        <w:rPr>
          <w:rFonts w:ascii="宋体" w:hAnsi="宋体" w:cs="宋体"/>
          <w:kern w:val="0"/>
          <w:sz w:val="28"/>
        </w:rPr>
      </w:pPr>
      <w:r>
        <w:rPr>
          <w:rFonts w:hint="eastAsia" w:ascii="宋体" w:hAnsi="宋体" w:cs="宋体"/>
          <w:sz w:val="28"/>
        </w:rPr>
        <w:t>质量保证书</w:t>
      </w:r>
    </w:p>
    <w:p>
      <w:pPr>
        <w:spacing w:line="360" w:lineRule="auto"/>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投标单位：（盖章）</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法定代表人或被授权代理人签字：</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日期：</w:t>
      </w:r>
    </w:p>
    <w:p>
      <w:pPr>
        <w:pStyle w:val="4"/>
        <w:rPr>
          <w:rStyle w:val="81"/>
          <w:rFonts w:ascii="宋体" w:hAnsi="宋体" w:cs="宋体"/>
          <w:b/>
          <w:bCs w:val="0"/>
          <w:kern w:val="0"/>
          <w:sz w:val="28"/>
          <w:szCs w:val="28"/>
        </w:rPr>
      </w:pPr>
    </w:p>
    <w:p>
      <w:pPr>
        <w:pStyle w:val="4"/>
        <w:rPr>
          <w:rStyle w:val="81"/>
          <w:rFonts w:ascii="宋体" w:hAnsi="宋体" w:cs="宋体"/>
          <w:b/>
          <w:bCs w:val="0"/>
          <w:kern w:val="0"/>
          <w:sz w:val="28"/>
          <w:szCs w:val="28"/>
        </w:rPr>
      </w:pPr>
    </w:p>
    <w:p>
      <w:pPr>
        <w:widowControl/>
        <w:jc w:val="left"/>
        <w:rPr>
          <w:rStyle w:val="81"/>
          <w:rFonts w:ascii="宋体" w:hAnsi="宋体" w:cs="宋体"/>
          <w:bCs w:val="0"/>
          <w:kern w:val="0"/>
          <w:sz w:val="28"/>
          <w:szCs w:val="28"/>
        </w:rPr>
      </w:pPr>
      <w:r>
        <w:rPr>
          <w:rStyle w:val="81"/>
          <w:rFonts w:ascii="宋体" w:hAnsi="宋体" w:cs="宋体"/>
          <w:b w:val="0"/>
          <w:kern w:val="0"/>
          <w:sz w:val="28"/>
          <w:szCs w:val="28"/>
        </w:rPr>
        <w:br w:type="page"/>
      </w:r>
    </w:p>
    <w:p>
      <w:pPr>
        <w:pStyle w:val="4"/>
        <w:jc w:val="center"/>
        <w:rPr>
          <w:rFonts w:ascii="宋体" w:hAnsi="宋体" w:cs="宋体"/>
        </w:rPr>
      </w:pPr>
      <w:r>
        <w:rPr>
          <w:rStyle w:val="81"/>
          <w:rFonts w:hint="eastAsia" w:ascii="宋体" w:hAnsi="宋体" w:cs="宋体"/>
          <w:b/>
          <w:bCs w:val="0"/>
          <w:kern w:val="0"/>
          <w:sz w:val="28"/>
          <w:szCs w:val="28"/>
        </w:rPr>
        <w:t>售后服务承诺书</w:t>
      </w:r>
    </w:p>
    <w:p>
      <w:pPr>
        <w:pStyle w:val="5"/>
        <w:spacing w:line="360" w:lineRule="auto"/>
        <w:ind w:firstLine="480"/>
        <w:rPr>
          <w:rFonts w:ascii="宋体" w:hAnsi="宋体" w:cs="宋体"/>
          <w:sz w:val="24"/>
          <w:u w:val="single"/>
        </w:rPr>
      </w:pPr>
      <w:r>
        <w:rPr>
          <w:rFonts w:hint="eastAsia" w:ascii="宋体" w:hAnsi="宋体" w:cs="宋体"/>
          <w:sz w:val="24"/>
        </w:rPr>
        <w:t>投标方：</w:t>
      </w:r>
      <w:r>
        <w:rPr>
          <w:rFonts w:hint="eastAsia" w:ascii="宋体" w:hAnsi="宋体" w:cs="宋体"/>
          <w:sz w:val="24"/>
          <w:u w:val="single"/>
        </w:rPr>
        <w:t xml:space="preserve">                       </w:t>
      </w:r>
    </w:p>
    <w:p>
      <w:pPr>
        <w:pStyle w:val="5"/>
        <w:spacing w:line="360" w:lineRule="auto"/>
        <w:ind w:firstLine="480"/>
        <w:rPr>
          <w:rFonts w:ascii="宋体" w:hAnsi="宋体" w:cs="宋体"/>
          <w:sz w:val="24"/>
          <w:u w:val="single"/>
        </w:rPr>
      </w:pPr>
      <w:r>
        <w:rPr>
          <w:rFonts w:hint="eastAsia" w:ascii="宋体" w:hAnsi="宋体" w:cs="宋体"/>
          <w:sz w:val="24"/>
        </w:rPr>
        <w:t>投标产品：</w:t>
      </w:r>
      <w:r>
        <w:rPr>
          <w:rFonts w:hint="eastAsia" w:ascii="宋体" w:hAnsi="宋体" w:cs="宋体"/>
          <w:sz w:val="24"/>
          <w:u w:val="single"/>
        </w:rPr>
        <w:t xml:space="preserve">                       </w:t>
      </w:r>
    </w:p>
    <w:p>
      <w:pPr>
        <w:pStyle w:val="5"/>
        <w:spacing w:line="360" w:lineRule="auto"/>
        <w:ind w:firstLine="480"/>
        <w:rPr>
          <w:rFonts w:ascii="宋体" w:hAnsi="宋体" w:cs="宋体"/>
          <w:sz w:val="24"/>
        </w:rPr>
      </w:pPr>
      <w:r>
        <w:rPr>
          <w:rFonts w:hint="eastAsia" w:ascii="宋体" w:hAnsi="宋体" w:cs="宋体"/>
          <w:sz w:val="24"/>
        </w:rPr>
        <w:t>本公司如有幸中标，愿郑重承诺如下：</w:t>
      </w:r>
    </w:p>
    <w:p>
      <w:pPr>
        <w:pStyle w:val="5"/>
        <w:tabs>
          <w:tab w:val="center" w:pos="4358"/>
        </w:tabs>
        <w:spacing w:line="360" w:lineRule="auto"/>
        <w:ind w:firstLine="405" w:firstLineChars="0"/>
        <w:rPr>
          <w:rFonts w:ascii="宋体" w:hAnsi="宋体" w:cs="宋体"/>
          <w:sz w:val="24"/>
        </w:rPr>
      </w:pPr>
    </w:p>
    <w:p>
      <w:pPr>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2"/>
        <w:widowControl w:val="0"/>
        <w:numPr>
          <w:ilvl w:val="1"/>
          <w:numId w:val="0"/>
        </w:numPr>
        <w:adjustRightInd w:val="0"/>
        <w:snapToGrid w:val="0"/>
        <w:jc w:val="both"/>
        <w:rPr>
          <w:rFonts w:ascii="宋体" w:hAnsi="宋体" w:cs="宋体"/>
          <w:sz w:val="24"/>
        </w:rPr>
      </w:pPr>
    </w:p>
    <w:p>
      <w:pPr>
        <w:pStyle w:val="5"/>
        <w:tabs>
          <w:tab w:val="center" w:pos="4358"/>
        </w:tabs>
        <w:spacing w:line="360" w:lineRule="auto"/>
        <w:ind w:firstLine="405" w:firstLineChars="0"/>
        <w:rPr>
          <w:rFonts w:ascii="宋体" w:hAnsi="宋体" w:cs="宋体"/>
          <w:sz w:val="24"/>
        </w:rPr>
      </w:pPr>
      <w:r>
        <w:rPr>
          <w:rFonts w:hint="eastAsia" w:ascii="宋体" w:hAnsi="宋体" w:cs="宋体"/>
          <w:sz w:val="24"/>
        </w:rPr>
        <w:t>投标单位：（盖章）</w:t>
      </w:r>
    </w:p>
    <w:p>
      <w:pPr>
        <w:pStyle w:val="5"/>
        <w:tabs>
          <w:tab w:val="center" w:pos="4358"/>
        </w:tabs>
        <w:spacing w:line="360" w:lineRule="auto"/>
        <w:ind w:firstLine="405" w:firstLineChars="0"/>
        <w:rPr>
          <w:rFonts w:ascii="宋体" w:hAnsi="宋体" w:cs="宋体"/>
          <w:sz w:val="24"/>
        </w:rPr>
      </w:pPr>
    </w:p>
    <w:p>
      <w:pPr>
        <w:pStyle w:val="5"/>
        <w:tabs>
          <w:tab w:val="center" w:pos="4358"/>
        </w:tabs>
        <w:spacing w:line="360" w:lineRule="auto"/>
        <w:ind w:firstLine="405" w:firstLineChars="0"/>
        <w:rPr>
          <w:rFonts w:ascii="宋体" w:hAnsi="宋体" w:cs="宋体"/>
          <w:sz w:val="24"/>
        </w:rPr>
      </w:pPr>
    </w:p>
    <w:p>
      <w:pPr>
        <w:pStyle w:val="5"/>
        <w:tabs>
          <w:tab w:val="center" w:pos="4358"/>
        </w:tabs>
        <w:spacing w:line="360" w:lineRule="auto"/>
        <w:ind w:firstLine="405" w:firstLineChars="0"/>
        <w:rPr>
          <w:rFonts w:ascii="宋体" w:hAnsi="宋体" w:cs="宋体"/>
          <w:sz w:val="24"/>
        </w:rPr>
      </w:pPr>
      <w:r>
        <w:rPr>
          <w:rFonts w:hint="eastAsia" w:ascii="宋体" w:hAnsi="宋体" w:cs="宋体"/>
          <w:sz w:val="24"/>
        </w:rPr>
        <w:t>法定代表人或授权代理人签字：</w:t>
      </w:r>
    </w:p>
    <w:p>
      <w:pPr>
        <w:pStyle w:val="5"/>
        <w:tabs>
          <w:tab w:val="center" w:pos="4358"/>
        </w:tabs>
        <w:spacing w:line="360" w:lineRule="auto"/>
        <w:ind w:left="0" w:leftChars="0" w:firstLine="0" w:firstLineChars="0"/>
        <w:rPr>
          <w:rFonts w:ascii="宋体" w:hAnsi="宋体" w:cs="宋体"/>
          <w:sz w:val="24"/>
        </w:rPr>
      </w:pPr>
    </w:p>
    <w:p>
      <w:pPr>
        <w:spacing w:line="360" w:lineRule="auto"/>
        <w:ind w:firstLine="360" w:firstLineChars="150"/>
        <w:rPr>
          <w:rFonts w:ascii="宋体" w:hAnsi="宋体" w:cs="宋体"/>
          <w:sz w:val="24"/>
        </w:rPr>
      </w:pPr>
      <w:r>
        <w:rPr>
          <w:rFonts w:hint="eastAsia" w:ascii="宋体" w:hAnsi="宋体" w:cs="宋体"/>
          <w:sz w:val="24"/>
        </w:rPr>
        <w:t xml:space="preserve">日  期：  </w:t>
      </w: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hint="eastAsia" w:ascii="宋体" w:hAnsi="宋体" w:cs="宋体"/>
          <w:b/>
          <w:bCs/>
          <w:color w:val="000000" w:themeColor="text1"/>
          <w:sz w:val="28"/>
          <w:szCs w:val="28"/>
          <w14:textFill>
            <w14:solidFill>
              <w14:schemeClr w14:val="tx1"/>
            </w14:solidFill>
          </w14:textFill>
        </w:rPr>
      </w:pPr>
    </w:p>
    <w:p>
      <w:pPr>
        <w:spacing w:line="360" w:lineRule="auto"/>
        <w:ind w:firstLine="422" w:firstLineChars="150"/>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投标人证明投标资格合格的相关证件证明的复印件</w:t>
      </w: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p>
    <w:p>
      <w:pPr>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pPr>
        <w:spacing w:line="360" w:lineRule="auto"/>
        <w:jc w:val="center"/>
        <w:rPr>
          <w:rFonts w:ascii="宋体" w:hAnsi="宋体" w:cs="宋体"/>
          <w:b/>
          <w:color w:val="000000" w:themeColor="text1"/>
          <w:sz w:val="28"/>
          <w14:textFill>
            <w14:solidFill>
              <w14:schemeClr w14:val="tx1"/>
            </w14:solidFill>
          </w14:textFill>
        </w:rPr>
      </w:pPr>
      <w:r>
        <w:rPr>
          <w:rFonts w:hint="eastAsia" w:ascii="宋体" w:hAnsi="宋体" w:cs="宋体"/>
          <w:b/>
          <w:color w:val="000000" w:themeColor="text1"/>
          <w:sz w:val="28"/>
          <w14:textFill>
            <w14:solidFill>
              <w14:schemeClr w14:val="tx1"/>
            </w14:solidFill>
          </w14:textFill>
        </w:rPr>
        <w:t>投标人证明货物合格的相关证件证明复印件</w:t>
      </w:r>
    </w:p>
    <w:p>
      <w:pPr>
        <w:spacing w:line="360" w:lineRule="auto"/>
        <w:ind w:firstLine="2502" w:firstLineChars="890"/>
        <w:rPr>
          <w:rFonts w:ascii="宋体" w:hAnsi="宋体" w:cs="宋体"/>
          <w:b/>
          <w:color w:val="000000" w:themeColor="text1"/>
          <w:sz w:val="28"/>
          <w14:textFill>
            <w14:solidFill>
              <w14:schemeClr w14:val="tx1"/>
            </w14:solidFill>
          </w14:textFill>
        </w:rPr>
      </w:pPr>
    </w:p>
    <w:p>
      <w:pPr>
        <w:spacing w:line="360" w:lineRule="auto"/>
        <w:ind w:firstLine="2502" w:firstLineChars="890"/>
        <w:rPr>
          <w:rFonts w:ascii="宋体" w:hAnsi="宋体" w:cs="宋体"/>
          <w:b/>
          <w:color w:val="000000" w:themeColor="text1"/>
          <w:sz w:val="28"/>
          <w14:textFill>
            <w14:solidFill>
              <w14:schemeClr w14:val="tx1"/>
            </w14:solidFill>
          </w14:textFill>
        </w:rPr>
      </w:pPr>
    </w:p>
    <w:p>
      <w:pPr>
        <w:spacing w:line="360" w:lineRule="auto"/>
        <w:ind w:firstLine="2502" w:firstLineChars="890"/>
        <w:rPr>
          <w:rFonts w:ascii="宋体" w:hAnsi="宋体" w:cs="宋体"/>
          <w:b/>
          <w:color w:val="000000" w:themeColor="text1"/>
          <w:sz w:val="28"/>
          <w14:textFill>
            <w14:solidFill>
              <w14:schemeClr w14:val="tx1"/>
            </w14:solidFill>
          </w14:textFill>
        </w:rPr>
      </w:pPr>
    </w:p>
    <w:p>
      <w:pPr>
        <w:spacing w:line="360" w:lineRule="auto"/>
        <w:ind w:firstLine="2502" w:firstLineChars="890"/>
        <w:rPr>
          <w:rFonts w:ascii="宋体" w:hAnsi="宋体" w:cs="宋体"/>
          <w:b/>
          <w:color w:val="000000" w:themeColor="text1"/>
          <w:sz w:val="28"/>
          <w14:textFill>
            <w14:solidFill>
              <w14:schemeClr w14:val="tx1"/>
            </w14:solidFill>
          </w14:textFill>
        </w:rPr>
      </w:pPr>
    </w:p>
    <w:p>
      <w:pPr>
        <w:spacing w:line="360" w:lineRule="auto"/>
        <w:ind w:firstLine="2502" w:firstLineChars="890"/>
        <w:rPr>
          <w:rFonts w:ascii="宋体" w:hAnsi="宋体" w:cs="宋体"/>
          <w:b/>
          <w:color w:val="000000" w:themeColor="text1"/>
          <w:sz w:val="28"/>
          <w14:textFill>
            <w14:solidFill>
              <w14:schemeClr w14:val="tx1"/>
            </w14:solidFill>
          </w14:textFill>
        </w:rPr>
      </w:pPr>
    </w:p>
    <w:p>
      <w:pPr>
        <w:spacing w:line="360" w:lineRule="auto"/>
        <w:ind w:firstLine="2502" w:firstLineChars="890"/>
        <w:rPr>
          <w:rFonts w:ascii="宋体" w:hAnsi="宋体" w:cs="宋体"/>
          <w:b/>
          <w:color w:val="000000" w:themeColor="text1"/>
          <w:sz w:val="28"/>
          <w14:textFill>
            <w14:solidFill>
              <w14:schemeClr w14:val="tx1"/>
            </w14:solidFill>
          </w14:textFill>
        </w:rPr>
      </w:pPr>
    </w:p>
    <w:p>
      <w:pPr>
        <w:spacing w:line="360" w:lineRule="auto"/>
        <w:ind w:firstLine="2502" w:firstLineChars="890"/>
        <w:rPr>
          <w:rFonts w:ascii="宋体" w:hAnsi="宋体" w:cs="宋体"/>
          <w:b/>
          <w:color w:val="000000" w:themeColor="text1"/>
          <w:sz w:val="28"/>
          <w14:textFill>
            <w14:solidFill>
              <w14:schemeClr w14:val="tx1"/>
            </w14:solidFill>
          </w14:textFill>
        </w:rPr>
      </w:pPr>
    </w:p>
    <w:p>
      <w:pPr>
        <w:spacing w:line="360" w:lineRule="auto"/>
        <w:ind w:firstLine="2502" w:firstLineChars="890"/>
        <w:rPr>
          <w:rFonts w:ascii="宋体" w:hAnsi="宋体" w:cs="宋体"/>
          <w:b/>
          <w:color w:val="000000" w:themeColor="text1"/>
          <w:sz w:val="28"/>
          <w14:textFill>
            <w14:solidFill>
              <w14:schemeClr w14:val="tx1"/>
            </w14:solidFill>
          </w14:textFill>
        </w:rPr>
      </w:pPr>
    </w:p>
    <w:p>
      <w:pPr>
        <w:spacing w:line="360" w:lineRule="auto"/>
        <w:ind w:firstLine="2502" w:firstLineChars="890"/>
        <w:rPr>
          <w:rFonts w:ascii="宋体" w:hAnsi="宋体" w:cs="宋体"/>
          <w:b/>
          <w:color w:val="000000" w:themeColor="text1"/>
          <w:sz w:val="28"/>
          <w14:textFill>
            <w14:solidFill>
              <w14:schemeClr w14:val="tx1"/>
            </w14:solidFill>
          </w14:textFill>
        </w:rPr>
      </w:pPr>
    </w:p>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169" w:name="_Toc6627"/>
      <w:r>
        <w:rPr>
          <w:rStyle w:val="81"/>
          <w:rFonts w:hint="eastAsia" w:ascii="宋体" w:hAnsi="宋体" w:cs="宋体"/>
          <w:bCs w:val="0"/>
          <w:color w:val="000000" w:themeColor="text1"/>
          <w:sz w:val="28"/>
          <w:szCs w:val="28"/>
          <w14:textFill>
            <w14:solidFill>
              <w14:schemeClr w14:val="tx1"/>
            </w14:solidFill>
          </w14:textFill>
        </w:rPr>
        <w:t>投标单位（供应商）反商业贿赂承诺书</w:t>
      </w:r>
      <w:bookmarkEnd w:id="169"/>
    </w:p>
    <w:p>
      <w:pPr>
        <w:pStyle w:val="21"/>
        <w:spacing w:before="1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pStyle w:val="21"/>
        <w:spacing w:before="120"/>
        <w:rPr>
          <w:rFonts w:ascii="宋体" w:hAnsi="宋体" w:cs="宋体"/>
          <w:color w:val="000000" w:themeColor="text1"/>
          <w:sz w:val="24"/>
          <w:szCs w:val="24"/>
          <w14:textFill>
            <w14:solidFill>
              <w14:schemeClr w14:val="tx1"/>
            </w14:solidFill>
          </w14:textFill>
        </w:rPr>
      </w:pPr>
    </w:p>
    <w:p>
      <w:pPr>
        <w:pStyle w:val="21"/>
        <w:spacing w:before="120" w:line="360" w:lineRule="auto"/>
        <w:ind w:left="120" w:leftChars="57" w:firstLine="520" w:firstLineChars="217"/>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我单位承诺在</w:t>
      </w:r>
      <w:r>
        <w:rPr>
          <w:rFonts w:hint="eastAsia" w:ascii="宋体" w:hAnsi="宋体" w:cs="宋体"/>
          <w:color w:val="000000" w:themeColor="text1"/>
          <w:sz w:val="24"/>
          <w:szCs w:val="24"/>
          <w:u w:val="single"/>
          <w14:textFill>
            <w14:solidFill>
              <w14:schemeClr w14:val="tx1"/>
            </w14:solidFill>
          </w14:textFill>
        </w:rPr>
        <w:t xml:space="preserve">                                                （项目名称）</w:t>
      </w:r>
      <w:r>
        <w:rPr>
          <w:rFonts w:hint="eastAsia" w:ascii="宋体" w:hAnsi="宋体" w:cs="宋体"/>
          <w:color w:val="000000" w:themeColor="text1"/>
          <w:sz w:val="24"/>
          <w:szCs w:val="24"/>
          <w14:textFill>
            <w14:solidFill>
              <w14:schemeClr w14:val="tx1"/>
            </w14:solidFill>
          </w14:textFill>
        </w:rPr>
        <w:t>公开招标活动中，不给予国家工作人员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单位名称：（盖章）</w:t>
      </w: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法定代表人：（签字盖章）</w:t>
      </w: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项目经办人：</w:t>
      </w: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日  期：   年   月   日</w:t>
      </w:r>
    </w:p>
    <w:p>
      <w:pPr>
        <w:pStyle w:val="21"/>
        <w:spacing w:before="120" w:line="360" w:lineRule="auto"/>
        <w:rPr>
          <w:rFonts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p>
    <w:p>
      <w:pPr>
        <w:pStyle w:val="21"/>
        <w:spacing w:before="120" w:line="360" w:lineRule="auto"/>
        <w:ind w:firstLine="405"/>
        <w:jc w:val="center"/>
        <w:rPr>
          <w:rFonts w:hint="default" w:ascii="宋体" w:hAnsi="宋体" w:cs="宋体"/>
          <w:b/>
          <w:bCs/>
          <w:color w:val="000000" w:themeColor="text1"/>
          <w:sz w:val="48"/>
          <w:szCs w:val="48"/>
          <w:lang w:val="en-US"/>
          <w14:textFill>
            <w14:solidFill>
              <w14:schemeClr w14:val="tx1"/>
            </w14:solidFill>
          </w14:textFill>
        </w:rPr>
      </w:pPr>
      <w:r>
        <w:rPr>
          <w:rFonts w:ascii="宋体" w:hAnsi="宋体" w:cs="宋体"/>
          <w:color w:val="000000" w:themeColor="text1"/>
          <w:sz w:val="24"/>
          <w:szCs w:val="24"/>
          <w14:textFill>
            <w14:solidFill>
              <w14:schemeClr w14:val="tx1"/>
            </w14:solidFill>
          </w14:textFill>
        </w:rPr>
        <w:br w:type="page"/>
      </w:r>
      <w:r>
        <w:rPr>
          <w:rFonts w:hint="eastAsia"/>
          <w:b/>
          <w:bCs/>
          <w:sz w:val="32"/>
          <w:szCs w:val="36"/>
          <w:lang w:val="en-US" w:eastAsia="zh-CN"/>
        </w:rPr>
        <w:t>项目实施计划、运输方案（自拟）</w:t>
      </w:r>
    </w:p>
    <w:p>
      <w:pPr>
        <w:pStyle w:val="21"/>
        <w:spacing w:before="120" w:line="360" w:lineRule="auto"/>
        <w:rPr>
          <w:rFonts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p>
    <w:p>
      <w:pPr>
        <w:pStyle w:val="11"/>
        <w:kinsoku w:val="0"/>
        <w:overflowPunct w:val="0"/>
        <w:spacing w:before="34" w:line="357" w:lineRule="auto"/>
        <w:ind w:left="0" w:leftChars="0" w:right="126" w:firstLine="0" w:firstLineChars="0"/>
        <w:jc w:val="both"/>
        <w:outlineLvl w:val="0"/>
        <w:rPr>
          <w:rFonts w:hint="eastAsia"/>
          <w:b/>
          <w:bCs/>
          <w:sz w:val="36"/>
          <w:szCs w:val="36"/>
        </w:rPr>
      </w:pPr>
      <w:bookmarkStart w:id="170" w:name="_Toc26203"/>
      <w:bookmarkStart w:id="171" w:name="_Toc13017"/>
      <w:bookmarkStart w:id="172" w:name="_Toc19298"/>
      <w:bookmarkStart w:id="173" w:name="_Toc5425"/>
    </w:p>
    <w:p>
      <w:pPr>
        <w:rPr>
          <w:rFonts w:hint="eastAsia"/>
          <w:b/>
          <w:bCs/>
          <w:sz w:val="36"/>
          <w:szCs w:val="36"/>
        </w:rPr>
      </w:pPr>
    </w:p>
    <w:p>
      <w:pPr>
        <w:pStyle w:val="2"/>
        <w:widowControl w:val="0"/>
        <w:numPr>
          <w:ilvl w:val="1"/>
          <w:numId w:val="0"/>
        </w:numPr>
        <w:adjustRightInd w:val="0"/>
        <w:snapToGrid w:val="0"/>
        <w:jc w:val="both"/>
        <w:rPr>
          <w:rFonts w:hint="eastAsia"/>
          <w:b/>
          <w:bCs/>
          <w:sz w:val="36"/>
          <w:szCs w:val="36"/>
        </w:rPr>
      </w:pPr>
    </w:p>
    <w:p>
      <w:pPr>
        <w:pStyle w:val="2"/>
        <w:widowControl w:val="0"/>
        <w:numPr>
          <w:ilvl w:val="1"/>
          <w:numId w:val="0"/>
        </w:numPr>
        <w:adjustRightInd w:val="0"/>
        <w:snapToGrid w:val="0"/>
        <w:jc w:val="both"/>
        <w:rPr>
          <w:rFonts w:hint="eastAsia"/>
          <w:b/>
          <w:bCs/>
          <w:sz w:val="36"/>
          <w:szCs w:val="36"/>
        </w:rPr>
      </w:pPr>
    </w:p>
    <w:p>
      <w:pPr>
        <w:pStyle w:val="11"/>
        <w:kinsoku w:val="0"/>
        <w:overflowPunct w:val="0"/>
        <w:spacing w:before="34" w:line="357" w:lineRule="auto"/>
        <w:ind w:right="126" w:firstLine="480"/>
        <w:jc w:val="center"/>
        <w:outlineLvl w:val="0"/>
        <w:rPr>
          <w:rFonts w:hint="eastAsia"/>
          <w:b/>
          <w:bCs/>
          <w:sz w:val="36"/>
          <w:szCs w:val="36"/>
        </w:rPr>
      </w:pPr>
    </w:p>
    <w:p>
      <w:pPr>
        <w:pStyle w:val="11"/>
        <w:kinsoku w:val="0"/>
        <w:overflowPunct w:val="0"/>
        <w:spacing w:before="34" w:line="357" w:lineRule="auto"/>
        <w:ind w:right="126" w:firstLine="1185" w:firstLineChars="328"/>
        <w:jc w:val="both"/>
        <w:outlineLvl w:val="0"/>
        <w:rPr>
          <w:b/>
          <w:bCs/>
          <w:sz w:val="32"/>
          <w:szCs w:val="32"/>
        </w:rPr>
      </w:pPr>
      <w:r>
        <w:rPr>
          <w:rFonts w:hint="eastAsia"/>
          <w:b/>
          <w:bCs/>
          <w:sz w:val="36"/>
          <w:szCs w:val="36"/>
        </w:rPr>
        <w:t>中小企业声明函（符合本声明函填写）</w:t>
      </w:r>
      <w:bookmarkEnd w:id="170"/>
      <w:bookmarkEnd w:id="171"/>
      <w:bookmarkEnd w:id="172"/>
      <w:bookmarkEnd w:id="173"/>
    </w:p>
    <w:p>
      <w:pPr>
        <w:pStyle w:val="11"/>
        <w:keepNext w:val="0"/>
        <w:keepLines w:val="0"/>
        <w:pageBreakBefore w:val="0"/>
        <w:widowControl w:val="0"/>
        <w:tabs>
          <w:tab w:val="left" w:pos="3943"/>
          <w:tab w:val="clear" w:pos="9214"/>
        </w:tabs>
        <w:kinsoku w:val="0"/>
        <w:wordWrap/>
        <w:overflowPunct w:val="0"/>
        <w:topLinePunct w:val="0"/>
        <w:autoSpaceDE/>
        <w:autoSpaceDN/>
        <w:bidi w:val="0"/>
        <w:adjustRightInd/>
        <w:snapToGrid/>
        <w:spacing w:line="440" w:lineRule="exact"/>
        <w:ind w:right="232" w:firstLine="480"/>
        <w:textAlignment w:val="auto"/>
        <w:rPr>
          <w:rFonts w:ascii="仿宋" w:hAnsi="仿宋" w:eastAsia="仿宋" w:cs="仿宋"/>
          <w:szCs w:val="21"/>
        </w:rPr>
      </w:pPr>
      <w:r>
        <w:rPr>
          <w:rFonts w:hint="eastAsia" w:ascii="仿宋" w:hAnsi="仿宋" w:eastAsia="仿宋" w:cs="仿宋"/>
          <w:spacing w:val="1"/>
          <w:szCs w:val="21"/>
        </w:rPr>
        <w:t>本公司郑重声明，根据《政府采购促进中小企业发展暂行办法》（财库[2011]181</w:t>
      </w:r>
      <w:r>
        <w:rPr>
          <w:rFonts w:hint="eastAsia" w:ascii="仿宋" w:hAnsi="仿宋" w:eastAsia="仿宋" w:cs="仿宋"/>
          <w:spacing w:val="36"/>
          <w:szCs w:val="21"/>
        </w:rPr>
        <w:t xml:space="preserve"> </w:t>
      </w:r>
      <w:r>
        <w:rPr>
          <w:rFonts w:hint="eastAsia" w:ascii="仿宋" w:hAnsi="仿宋" w:eastAsia="仿宋" w:cs="仿宋"/>
          <w:spacing w:val="-2"/>
          <w:szCs w:val="21"/>
        </w:rPr>
        <w:t>号）的规定，本公司为</w:t>
      </w:r>
      <w:r>
        <w:rPr>
          <w:rFonts w:hint="eastAsia" w:ascii="仿宋" w:hAnsi="仿宋" w:eastAsia="仿宋" w:cs="仿宋"/>
          <w:spacing w:val="-2"/>
          <w:szCs w:val="21"/>
          <w:u w:val="single"/>
        </w:rPr>
        <w:tab/>
      </w:r>
      <w:r>
        <w:rPr>
          <w:rFonts w:hint="eastAsia" w:ascii="仿宋" w:hAnsi="仿宋" w:eastAsia="仿宋" w:cs="仿宋"/>
          <w:spacing w:val="-2"/>
          <w:szCs w:val="21"/>
        </w:rPr>
        <w:t>（请填写：中型、小型、微型）企业。即，本公司</w:t>
      </w:r>
      <w:r>
        <w:rPr>
          <w:rFonts w:hint="eastAsia" w:ascii="仿宋" w:hAnsi="仿宋" w:eastAsia="仿宋" w:cs="仿宋"/>
          <w:spacing w:val="35"/>
          <w:szCs w:val="21"/>
        </w:rPr>
        <w:t xml:space="preserve"> </w:t>
      </w:r>
      <w:r>
        <w:rPr>
          <w:rFonts w:hint="eastAsia" w:ascii="仿宋" w:hAnsi="仿宋" w:eastAsia="仿宋" w:cs="仿宋"/>
          <w:szCs w:val="21"/>
        </w:rPr>
        <w:t>同时满足以下条件：</w:t>
      </w:r>
    </w:p>
    <w:p>
      <w:pPr>
        <w:pStyle w:val="11"/>
        <w:keepNext w:val="0"/>
        <w:keepLines w:val="0"/>
        <w:pageBreakBefore w:val="0"/>
        <w:widowControl w:val="0"/>
        <w:tabs>
          <w:tab w:val="left" w:pos="1558"/>
          <w:tab w:val="clear" w:pos="9214"/>
        </w:tabs>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2"/>
          <w:szCs w:val="21"/>
        </w:rPr>
        <w:t>1.根据《工业和信息化部、国家统计局、国家发展和改革委员会、财政部关于印发</w:t>
      </w:r>
      <w:r>
        <w:rPr>
          <w:rFonts w:hint="eastAsia" w:ascii="仿宋" w:hAnsi="仿宋" w:eastAsia="仿宋" w:cs="仿宋"/>
          <w:spacing w:val="53"/>
          <w:szCs w:val="21"/>
        </w:rPr>
        <w:t xml:space="preserve"> </w:t>
      </w:r>
      <w:r>
        <w:rPr>
          <w:rFonts w:hint="eastAsia" w:ascii="仿宋" w:hAnsi="仿宋" w:eastAsia="仿宋" w:cs="仿宋"/>
          <w:szCs w:val="21"/>
        </w:rPr>
        <w:t>中小企业划型标准规定的通知》（工信部联企业[2011]300</w:t>
      </w:r>
      <w:r>
        <w:rPr>
          <w:rFonts w:hint="eastAsia" w:ascii="仿宋" w:hAnsi="仿宋" w:eastAsia="仿宋" w:cs="仿宋"/>
          <w:spacing w:val="-60"/>
          <w:szCs w:val="21"/>
        </w:rPr>
        <w:t xml:space="preserve"> </w:t>
      </w:r>
      <w:r>
        <w:rPr>
          <w:rFonts w:hint="eastAsia" w:ascii="仿宋" w:hAnsi="仿宋" w:eastAsia="仿宋" w:cs="仿宋"/>
          <w:szCs w:val="21"/>
        </w:rPr>
        <w:t>号）规定的划分标准，本公</w:t>
      </w:r>
      <w:r>
        <w:rPr>
          <w:rFonts w:hint="eastAsia" w:ascii="仿宋" w:hAnsi="仿宋" w:eastAsia="仿宋" w:cs="仿宋"/>
          <w:spacing w:val="30"/>
          <w:szCs w:val="21"/>
        </w:rPr>
        <w:t xml:space="preserve"> </w:t>
      </w:r>
      <w:r>
        <w:rPr>
          <w:rFonts w:hint="eastAsia" w:ascii="仿宋" w:hAnsi="仿宋" w:eastAsia="仿宋" w:cs="仿宋"/>
          <w:spacing w:val="-1"/>
          <w:szCs w:val="21"/>
        </w:rPr>
        <w:t>司为</w:t>
      </w:r>
      <w:r>
        <w:rPr>
          <w:rFonts w:hint="eastAsia" w:ascii="仿宋" w:hAnsi="仿宋" w:eastAsia="仿宋" w:cs="仿宋"/>
          <w:spacing w:val="-1"/>
          <w:szCs w:val="21"/>
          <w:u w:val="single"/>
        </w:rPr>
        <w:tab/>
      </w:r>
      <w:r>
        <w:rPr>
          <w:rFonts w:hint="eastAsia" w:ascii="仿宋" w:hAnsi="仿宋" w:eastAsia="仿宋" w:cs="仿宋"/>
          <w:szCs w:val="21"/>
        </w:rPr>
        <w:t>（请填写：中型、小型、微型）企业。</w:t>
      </w:r>
    </w:p>
    <w:p>
      <w:pPr>
        <w:pStyle w:val="11"/>
        <w:keepNext w:val="0"/>
        <w:keepLines w:val="0"/>
        <w:pageBreakBefore w:val="0"/>
        <w:widowControl w:val="0"/>
        <w:tabs>
          <w:tab w:val="left" w:pos="3919"/>
          <w:tab w:val="left" w:pos="6264"/>
          <w:tab w:val="left" w:pos="7399"/>
          <w:tab w:val="clear" w:pos="9214"/>
        </w:tabs>
        <w:kinsoku w:val="0"/>
        <w:wordWrap/>
        <w:overflowPunct w:val="0"/>
        <w:topLinePunct w:val="0"/>
        <w:autoSpaceDE/>
        <w:autoSpaceDN/>
        <w:bidi w:val="0"/>
        <w:adjustRightInd/>
        <w:snapToGrid/>
        <w:spacing w:before="71" w:line="440" w:lineRule="exact"/>
        <w:ind w:right="114" w:firstLine="480"/>
        <w:textAlignment w:val="auto"/>
        <w:rPr>
          <w:rFonts w:ascii="仿宋" w:hAnsi="仿宋" w:eastAsia="仿宋" w:cs="仿宋"/>
          <w:szCs w:val="21"/>
        </w:rPr>
      </w:pPr>
      <w:r>
        <w:rPr>
          <w:rFonts w:hint="eastAsia" w:ascii="仿宋" w:hAnsi="仿宋" w:eastAsia="仿宋" w:cs="仿宋"/>
          <w:spacing w:val="2"/>
          <w:szCs w:val="21"/>
        </w:rPr>
        <w:t>2.本公司参加</w:t>
      </w:r>
      <w:r>
        <w:rPr>
          <w:rFonts w:hint="eastAsia" w:ascii="仿宋" w:hAnsi="仿宋" w:eastAsia="仿宋" w:cs="仿宋"/>
          <w:spacing w:val="2"/>
          <w:szCs w:val="21"/>
          <w:u w:val="single"/>
        </w:rPr>
        <w:tab/>
      </w:r>
      <w:r>
        <w:rPr>
          <w:rFonts w:hint="eastAsia" w:ascii="仿宋" w:hAnsi="仿宋" w:eastAsia="仿宋" w:cs="仿宋"/>
          <w:spacing w:val="3"/>
          <w:szCs w:val="21"/>
        </w:rPr>
        <w:t>单位的</w:t>
      </w:r>
      <w:r>
        <w:rPr>
          <w:rFonts w:hint="eastAsia" w:ascii="仿宋" w:hAnsi="仿宋" w:eastAsia="仿宋" w:cs="仿宋"/>
          <w:spacing w:val="3"/>
          <w:szCs w:val="21"/>
          <w:u w:val="single"/>
        </w:rPr>
        <w:tab/>
      </w:r>
      <w:r>
        <w:rPr>
          <w:rFonts w:hint="eastAsia" w:ascii="仿宋" w:hAnsi="仿宋" w:eastAsia="仿宋" w:cs="仿宋"/>
          <w:spacing w:val="3"/>
          <w:szCs w:val="21"/>
        </w:rPr>
        <w:t>项目采购活动提供本企业制</w:t>
      </w:r>
      <w:r>
        <w:rPr>
          <w:rFonts w:hint="eastAsia" w:ascii="仿宋" w:hAnsi="仿宋" w:eastAsia="仿宋" w:cs="仿宋"/>
          <w:spacing w:val="25"/>
          <w:szCs w:val="21"/>
        </w:rPr>
        <w:t xml:space="preserve"> </w:t>
      </w:r>
      <w:r>
        <w:rPr>
          <w:rFonts w:hint="eastAsia" w:ascii="仿宋" w:hAnsi="仿宋" w:eastAsia="仿宋" w:cs="仿宋"/>
          <w:spacing w:val="-2"/>
          <w:szCs w:val="21"/>
        </w:rPr>
        <w:t>造的货物，由本企业承担工程、提供服务，或者提供其他</w:t>
      </w:r>
      <w:r>
        <w:rPr>
          <w:rFonts w:hint="eastAsia" w:ascii="仿宋" w:hAnsi="仿宋" w:eastAsia="仿宋" w:cs="仿宋"/>
          <w:spacing w:val="-2"/>
          <w:szCs w:val="21"/>
          <w:u w:val="single"/>
        </w:rPr>
        <w:tab/>
      </w:r>
      <w:r>
        <w:rPr>
          <w:rFonts w:hint="eastAsia" w:ascii="仿宋" w:hAnsi="仿宋" w:eastAsia="仿宋" w:cs="仿宋"/>
          <w:spacing w:val="-2"/>
          <w:szCs w:val="21"/>
          <w:u w:val="single"/>
        </w:rPr>
        <w:tab/>
      </w:r>
      <w:r>
        <w:rPr>
          <w:rFonts w:hint="eastAsia" w:ascii="仿宋" w:hAnsi="仿宋" w:eastAsia="仿宋" w:cs="仿宋"/>
          <w:spacing w:val="-2"/>
          <w:szCs w:val="21"/>
        </w:rPr>
        <w:t>（请填写：中型、</w:t>
      </w:r>
      <w:r>
        <w:rPr>
          <w:rFonts w:hint="eastAsia" w:ascii="仿宋" w:hAnsi="仿宋" w:eastAsia="仿宋" w:cs="仿宋"/>
          <w:spacing w:val="51"/>
          <w:szCs w:val="21"/>
        </w:rPr>
        <w:t xml:space="preserve"> </w:t>
      </w:r>
      <w:r>
        <w:rPr>
          <w:rFonts w:hint="eastAsia" w:ascii="仿宋" w:hAnsi="仿宋" w:eastAsia="仿宋" w:cs="仿宋"/>
          <w:szCs w:val="21"/>
        </w:rPr>
        <w:t>小型、微型）企业制造的货物。本条所称货物不包括使用大型企业注册商标的货物。</w:t>
      </w:r>
    </w:p>
    <w:p>
      <w:pPr>
        <w:pStyle w:val="11"/>
        <w:keepNext w:val="0"/>
        <w:keepLines w:val="0"/>
        <w:pageBreakBefore w:val="0"/>
        <w:widowControl w:val="0"/>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4"/>
          <w:szCs w:val="21"/>
        </w:rPr>
        <w:t>3.提交本声明函的投标人必须在谈判响应性文件中提供相应的证明材料并对材料</w:t>
      </w:r>
      <w:r>
        <w:rPr>
          <w:rFonts w:hint="eastAsia" w:ascii="仿宋" w:hAnsi="仿宋" w:eastAsia="仿宋" w:cs="仿宋"/>
          <w:spacing w:val="50"/>
          <w:szCs w:val="21"/>
        </w:rPr>
        <w:t xml:space="preserve"> </w:t>
      </w:r>
      <w:r>
        <w:rPr>
          <w:rFonts w:hint="eastAsia" w:ascii="仿宋" w:hAnsi="仿宋" w:eastAsia="仿宋" w:cs="仿宋"/>
          <w:spacing w:val="-2"/>
          <w:szCs w:val="21"/>
        </w:rPr>
        <w:t>的真实性负法律责任。证明材料包括：上一年度及上一月的财务报表；从业人员名单及</w:t>
      </w:r>
      <w:r>
        <w:rPr>
          <w:rFonts w:hint="eastAsia" w:ascii="仿宋" w:hAnsi="仿宋" w:eastAsia="仿宋" w:cs="仿宋"/>
          <w:spacing w:val="55"/>
          <w:szCs w:val="21"/>
        </w:rPr>
        <w:t xml:space="preserve"> </w:t>
      </w:r>
      <w:r>
        <w:rPr>
          <w:rFonts w:hint="eastAsia" w:ascii="仿宋" w:hAnsi="仿宋" w:eastAsia="仿宋" w:cs="仿宋"/>
          <w:szCs w:val="21"/>
        </w:rPr>
        <w:t>工资发放明细表。</w:t>
      </w:r>
    </w:p>
    <w:p>
      <w:pPr>
        <w:pStyle w:val="11"/>
        <w:keepNext w:val="0"/>
        <w:keepLines w:val="0"/>
        <w:pageBreakBefore w:val="0"/>
        <w:widowControl w:val="0"/>
        <w:kinsoku w:val="0"/>
        <w:wordWrap/>
        <w:overflowPunct w:val="0"/>
        <w:topLinePunct w:val="0"/>
        <w:autoSpaceDE/>
        <w:autoSpaceDN/>
        <w:bidi w:val="0"/>
        <w:adjustRightInd/>
        <w:snapToGrid/>
        <w:spacing w:before="71" w:line="440" w:lineRule="exact"/>
        <w:ind w:left="598"/>
        <w:textAlignment w:val="auto"/>
        <w:rPr>
          <w:rFonts w:ascii="仿宋" w:hAnsi="仿宋" w:eastAsia="仿宋" w:cs="仿宋"/>
          <w:szCs w:val="21"/>
        </w:rPr>
      </w:pPr>
      <w:r>
        <w:rPr>
          <w:rFonts w:hint="eastAsia" w:ascii="仿宋" w:hAnsi="仿宋" w:eastAsia="仿宋" w:cs="仿宋"/>
          <w:szCs w:val="21"/>
        </w:rPr>
        <w:t>本公司对上述声明的真实性负责。如有虚假，将依法承担相应责任。</w:t>
      </w:r>
    </w:p>
    <w:p>
      <w:pPr>
        <w:pStyle w:val="11"/>
        <w:keepNext w:val="0"/>
        <w:keepLines w:val="0"/>
        <w:pageBreakBefore w:val="0"/>
        <w:widowControl w:val="0"/>
        <w:tabs>
          <w:tab w:val="left" w:pos="8107"/>
          <w:tab w:val="left" w:pos="8227"/>
          <w:tab w:val="clear" w:pos="9214"/>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szCs w:val="21"/>
        </w:rPr>
      </w:pPr>
      <w:r>
        <w:rPr>
          <w:rFonts w:hint="eastAsia" w:ascii="仿宋" w:hAnsi="仿宋" w:eastAsia="仿宋" w:cs="仿宋"/>
          <w:szCs w:val="21"/>
        </w:rPr>
        <w:t>投标单位：</w:t>
      </w:r>
      <w:r>
        <w:rPr>
          <w:rFonts w:hint="eastAsia" w:ascii="仿宋" w:hAnsi="仿宋" w:eastAsia="仿宋" w:cs="仿宋"/>
          <w:szCs w:val="21"/>
          <w:u w:val="single"/>
        </w:rPr>
        <w:tab/>
      </w:r>
      <w:r>
        <w:rPr>
          <w:rFonts w:hint="eastAsia" w:ascii="仿宋" w:hAnsi="仿宋" w:eastAsia="仿宋" w:cs="仿宋"/>
          <w:szCs w:val="21"/>
        </w:rPr>
        <w:t xml:space="preserve">（盖章） </w:t>
      </w:r>
    </w:p>
    <w:p>
      <w:pPr>
        <w:pStyle w:val="11"/>
        <w:keepNext w:val="0"/>
        <w:keepLines w:val="0"/>
        <w:pageBreakBefore w:val="0"/>
        <w:widowControl w:val="0"/>
        <w:tabs>
          <w:tab w:val="left" w:pos="8107"/>
          <w:tab w:val="left" w:pos="8227"/>
          <w:tab w:val="clear" w:pos="9214"/>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w w:val="95"/>
          <w:szCs w:val="21"/>
        </w:rPr>
      </w:pPr>
      <w:r>
        <w:rPr>
          <w:rFonts w:hint="eastAsia" w:ascii="仿宋" w:hAnsi="仿宋" w:eastAsia="仿宋" w:cs="仿宋"/>
          <w:szCs w:val="21"/>
        </w:rPr>
        <w:t>法定代表人或被授权人：</w:t>
      </w:r>
      <w:r>
        <w:rPr>
          <w:rFonts w:hint="eastAsia" w:ascii="仿宋" w:hAnsi="仿宋" w:eastAsia="仿宋" w:cs="仿宋"/>
          <w:szCs w:val="21"/>
          <w:u w:val="single"/>
        </w:rPr>
        <w:tab/>
      </w:r>
      <w:r>
        <w:rPr>
          <w:rFonts w:hint="eastAsia" w:ascii="仿宋" w:hAnsi="仿宋" w:eastAsia="仿宋" w:cs="仿宋"/>
          <w:szCs w:val="21"/>
          <w:u w:val="single"/>
        </w:rPr>
        <w:tab/>
      </w:r>
      <w:r>
        <w:rPr>
          <w:rFonts w:hint="eastAsia" w:ascii="仿宋" w:hAnsi="仿宋" w:eastAsia="仿宋" w:cs="仿宋"/>
          <w:w w:val="95"/>
          <w:szCs w:val="21"/>
        </w:rPr>
        <w:t>（签字）</w:t>
      </w:r>
    </w:p>
    <w:p>
      <w:pPr>
        <w:pStyle w:val="11"/>
        <w:keepNext w:val="0"/>
        <w:keepLines w:val="0"/>
        <w:pageBreakBefore w:val="0"/>
        <w:widowControl w:val="0"/>
        <w:tabs>
          <w:tab w:val="left" w:pos="6187"/>
          <w:tab w:val="left" w:pos="7147"/>
          <w:tab w:val="left" w:pos="7747"/>
          <w:tab w:val="left" w:pos="8347"/>
          <w:tab w:val="clear" w:pos="9214"/>
        </w:tabs>
        <w:kinsoku w:val="0"/>
        <w:wordWrap/>
        <w:overflowPunct w:val="0"/>
        <w:topLinePunct w:val="0"/>
        <w:autoSpaceDE/>
        <w:autoSpaceDN/>
        <w:bidi w:val="0"/>
        <w:adjustRightInd/>
        <w:snapToGrid/>
        <w:spacing w:before="46" w:line="440" w:lineRule="exact"/>
        <w:ind w:left="5468"/>
        <w:textAlignment w:val="auto"/>
        <w:rPr>
          <w:rFonts w:ascii="仿宋" w:hAnsi="仿宋" w:eastAsia="仿宋" w:cs="仿宋"/>
          <w:szCs w:val="21"/>
        </w:rPr>
      </w:pPr>
      <w:r>
        <w:rPr>
          <w:rFonts w:hint="eastAsia" w:ascii="仿宋" w:hAnsi="仿宋" w:eastAsia="仿宋" w:cs="仿宋"/>
          <w:szCs w:val="21"/>
        </w:rPr>
        <w:t>日</w:t>
      </w:r>
      <w:r>
        <w:rPr>
          <w:rFonts w:hint="eastAsia" w:ascii="仿宋" w:hAnsi="仿宋" w:eastAsia="仿宋" w:cs="仿宋"/>
          <w:szCs w:val="21"/>
        </w:rPr>
        <w:tab/>
      </w:r>
      <w:r>
        <w:rPr>
          <w:rFonts w:hint="eastAsia" w:ascii="仿宋" w:hAnsi="仿宋" w:eastAsia="仿宋" w:cs="仿宋"/>
          <w:szCs w:val="21"/>
        </w:rPr>
        <w:t>期：</w:t>
      </w:r>
      <w:r>
        <w:rPr>
          <w:rFonts w:hint="eastAsia" w:ascii="仿宋" w:hAnsi="仿宋" w:eastAsia="仿宋" w:cs="仿宋"/>
          <w:szCs w:val="21"/>
          <w:u w:val="single"/>
        </w:rPr>
        <w:tab/>
      </w:r>
      <w:r>
        <w:rPr>
          <w:rFonts w:hint="eastAsia" w:ascii="仿宋" w:hAnsi="仿宋" w:eastAsia="仿宋" w:cs="仿宋"/>
          <w:szCs w:val="21"/>
        </w:rPr>
        <w:t>年</w:t>
      </w:r>
      <w:r>
        <w:rPr>
          <w:rFonts w:hint="eastAsia" w:ascii="仿宋" w:hAnsi="仿宋" w:eastAsia="仿宋" w:cs="仿宋"/>
          <w:szCs w:val="21"/>
          <w:u w:val="single"/>
        </w:rPr>
        <w:tab/>
      </w:r>
      <w:r>
        <w:rPr>
          <w:rFonts w:hint="eastAsia" w:ascii="仿宋" w:hAnsi="仿宋" w:eastAsia="仿宋" w:cs="仿宋"/>
          <w:szCs w:val="21"/>
        </w:rPr>
        <w:t>月</w:t>
      </w:r>
      <w:r>
        <w:rPr>
          <w:rFonts w:hint="eastAsia" w:ascii="仿宋" w:hAnsi="仿宋" w:eastAsia="仿宋" w:cs="仿宋"/>
          <w:szCs w:val="21"/>
          <w:u w:val="single"/>
        </w:rPr>
        <w:tab/>
      </w:r>
      <w:r>
        <w:rPr>
          <w:rFonts w:hint="eastAsia" w:ascii="仿宋" w:hAnsi="仿宋" w:eastAsia="仿宋" w:cs="仿宋"/>
          <w:szCs w:val="21"/>
        </w:rPr>
        <w:t>日</w:t>
      </w:r>
    </w:p>
    <w:p>
      <w:pPr>
        <w:pStyle w:val="11"/>
        <w:keepNext w:val="0"/>
        <w:keepLines w:val="0"/>
        <w:pageBreakBefore w:val="0"/>
        <w:widowControl w:val="0"/>
        <w:kinsoku w:val="0"/>
        <w:wordWrap/>
        <w:overflowPunct w:val="0"/>
        <w:topLinePunct w:val="0"/>
        <w:autoSpaceDE/>
        <w:autoSpaceDN/>
        <w:bidi w:val="0"/>
        <w:adjustRightInd/>
        <w:snapToGrid/>
        <w:spacing w:line="440" w:lineRule="exact"/>
        <w:textAlignment w:val="auto"/>
        <w:rPr>
          <w:rFonts w:ascii="仿宋" w:hAnsi="仿宋" w:eastAsia="仿宋" w:cs="仿宋"/>
          <w:szCs w:val="21"/>
        </w:rPr>
      </w:pPr>
      <w:r>
        <w:rPr>
          <w:rFonts w:hint="eastAsia" w:ascii="仿宋" w:hAnsi="仿宋" w:eastAsia="仿宋" w:cs="仿宋"/>
          <w:szCs w:val="21"/>
        </w:rPr>
        <w:t>说明：</w:t>
      </w:r>
    </w:p>
    <w:p>
      <w:pPr>
        <w:pStyle w:val="11"/>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spacing w:val="8"/>
          <w:w w:val="95"/>
          <w:szCs w:val="21"/>
        </w:rPr>
        <w:t>1、填写前请认真阅读《工业和信息化部、国家统计局、国家发展和改革委员会、财政部关</w:t>
      </w:r>
      <w:r>
        <w:rPr>
          <w:rFonts w:hint="eastAsia" w:ascii="仿宋" w:hAnsi="仿宋" w:eastAsia="仿宋" w:cs="仿宋"/>
          <w:spacing w:val="22"/>
          <w:w w:val="99"/>
          <w:szCs w:val="21"/>
        </w:rPr>
        <w:t xml:space="preserve"> </w:t>
      </w:r>
      <w:r>
        <w:rPr>
          <w:rFonts w:hint="eastAsia" w:ascii="仿宋" w:hAnsi="仿宋" w:eastAsia="仿宋" w:cs="仿宋"/>
          <w:spacing w:val="10"/>
          <w:szCs w:val="21"/>
        </w:rPr>
        <w:t>于印发中小企业划型标准规定的通知》（工信部联企业[2011]300</w:t>
      </w:r>
      <w:r>
        <w:rPr>
          <w:rFonts w:hint="eastAsia" w:ascii="仿宋" w:hAnsi="仿宋" w:eastAsia="仿宋" w:cs="仿宋"/>
          <w:spacing w:val="-73"/>
          <w:szCs w:val="21"/>
        </w:rPr>
        <w:t xml:space="preserve"> </w:t>
      </w:r>
      <w:r>
        <w:rPr>
          <w:rFonts w:hint="eastAsia" w:ascii="仿宋" w:hAnsi="仿宋" w:eastAsia="仿宋" w:cs="仿宋"/>
          <w:spacing w:val="12"/>
          <w:szCs w:val="21"/>
        </w:rPr>
        <w:t>号）和《财政部工业和信息</w:t>
      </w:r>
      <w:r>
        <w:rPr>
          <w:rFonts w:hint="eastAsia" w:ascii="仿宋" w:hAnsi="仿宋" w:eastAsia="仿宋" w:cs="仿宋"/>
          <w:spacing w:val="62"/>
          <w:w w:val="99"/>
          <w:szCs w:val="21"/>
        </w:rPr>
        <w:t xml:space="preserve"> </w:t>
      </w:r>
      <w:r>
        <w:rPr>
          <w:rFonts w:hint="eastAsia" w:ascii="仿宋" w:hAnsi="仿宋" w:eastAsia="仿宋" w:cs="仿宋"/>
          <w:w w:val="95"/>
          <w:szCs w:val="21"/>
        </w:rPr>
        <w:t>化部关于印发＜政府采购促进中小企业发展暂行办法＞的通知》(财库[2011]181号)相关规定</w:t>
      </w:r>
    </w:p>
    <w:p>
      <w:pPr>
        <w:pStyle w:val="11"/>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2、中小企业部分提供其他中小企业制造货物的应另附说明，并与开标一览表保持一致。</w:t>
      </w: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p>
    <w:p>
      <w:pPr>
        <w:pStyle w:val="21"/>
        <w:spacing w:before="120" w:line="360" w:lineRule="auto"/>
        <w:rPr>
          <w:rFonts w:ascii="宋体" w:hAnsi="宋体" w:cs="宋体"/>
          <w:color w:val="000000" w:themeColor="text1"/>
          <w:sz w:val="24"/>
          <w:szCs w:val="24"/>
          <w14:textFill>
            <w14:solidFill>
              <w14:schemeClr w14:val="tx1"/>
            </w14:solidFill>
          </w14:textFill>
        </w:rPr>
      </w:pPr>
    </w:p>
    <w:p>
      <w:pPr>
        <w:spacing w:line="400" w:lineRule="exact"/>
        <w:ind w:right="86"/>
        <w:jc w:val="center"/>
        <w:outlineLvl w:val="0"/>
        <w:rPr>
          <w:rFonts w:hint="eastAsia" w:ascii="宋体" w:hAnsi="宋体"/>
          <w:b/>
          <w:bCs/>
          <w:color w:val="000000" w:themeColor="text1"/>
          <w:sz w:val="28"/>
          <w:szCs w:val="28"/>
          <w14:textFill>
            <w14:solidFill>
              <w14:schemeClr w14:val="tx1"/>
            </w14:solidFill>
          </w14:textFill>
        </w:rPr>
      </w:pPr>
    </w:p>
    <w:p>
      <w:pPr>
        <w:spacing w:line="400" w:lineRule="exact"/>
        <w:ind w:right="86"/>
        <w:jc w:val="center"/>
        <w:outlineLvl w:val="0"/>
        <w:rPr>
          <w:rFonts w:hint="eastAsia" w:ascii="宋体" w:hAnsi="宋体"/>
          <w:b/>
          <w:bCs/>
          <w:color w:val="000000" w:themeColor="text1"/>
          <w:sz w:val="28"/>
          <w:szCs w:val="28"/>
          <w14:textFill>
            <w14:solidFill>
              <w14:schemeClr w14:val="tx1"/>
            </w14:solidFill>
          </w14:textFill>
        </w:rPr>
      </w:pPr>
    </w:p>
    <w:p>
      <w:pPr>
        <w:spacing w:line="400" w:lineRule="exact"/>
        <w:ind w:right="86"/>
        <w:jc w:val="center"/>
        <w:outlineLvl w:val="0"/>
        <w:rPr>
          <w:rFonts w:hint="eastAsia" w:ascii="宋体" w:hAnsi="宋体" w:eastAsia="宋体"/>
          <w:b/>
          <w:bCs/>
          <w:color w:val="000000" w:themeColor="text1"/>
          <w:sz w:val="28"/>
          <w:szCs w:val="28"/>
          <w:lang w:eastAsia="zh-CN"/>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经年审计的上年度会计报表</w:t>
      </w:r>
      <w:r>
        <w:rPr>
          <w:rFonts w:hint="eastAsia" w:ascii="宋体" w:hAnsi="宋体"/>
          <w:b/>
          <w:bCs/>
          <w:color w:val="000000" w:themeColor="text1"/>
          <w:sz w:val="28"/>
          <w:szCs w:val="28"/>
          <w:lang w:eastAsia="zh-CN"/>
          <w14:textFill>
            <w14:solidFill>
              <w14:schemeClr w14:val="tx1"/>
            </w14:solidFill>
          </w14:textFill>
        </w:rPr>
        <w:t>（</w:t>
      </w:r>
      <w:r>
        <w:rPr>
          <w:rFonts w:hint="eastAsia" w:ascii="宋体" w:hAnsi="宋体"/>
          <w:b/>
          <w:bCs/>
          <w:color w:val="000000" w:themeColor="text1"/>
          <w:sz w:val="28"/>
          <w:szCs w:val="28"/>
          <w:lang w:val="en-US" w:eastAsia="zh-CN"/>
          <w14:textFill>
            <w14:solidFill>
              <w14:schemeClr w14:val="tx1"/>
            </w14:solidFill>
          </w14:textFill>
        </w:rPr>
        <w:t>新成立公司可不提供</w:t>
      </w:r>
      <w:r>
        <w:rPr>
          <w:rFonts w:hint="eastAsia" w:ascii="宋体" w:hAnsi="宋体"/>
          <w:b/>
          <w:bCs/>
          <w:color w:val="000000" w:themeColor="text1"/>
          <w:sz w:val="28"/>
          <w:szCs w:val="28"/>
          <w:lang w:eastAsia="zh-CN"/>
          <w14:textFill>
            <w14:solidFill>
              <w14:schemeClr w14:val="tx1"/>
            </w14:solidFill>
          </w14:textFill>
        </w:rPr>
        <w:t>）</w:t>
      </w:r>
    </w:p>
    <w:p>
      <w:pPr>
        <w:spacing w:line="400" w:lineRule="exact"/>
        <w:ind w:right="86"/>
        <w:jc w:val="center"/>
        <w:outlineLvl w:val="0"/>
        <w:rPr>
          <w:rFonts w:hint="eastAsia" w:ascii="宋体" w:hAnsi="宋体"/>
          <w:b/>
          <w:bCs/>
          <w:color w:val="000000" w:themeColor="text1"/>
          <w:sz w:val="28"/>
          <w:szCs w:val="28"/>
          <w14:textFill>
            <w14:solidFill>
              <w14:schemeClr w14:val="tx1"/>
            </w14:solidFill>
          </w14:textFill>
        </w:rPr>
      </w:pPr>
    </w:p>
    <w:p>
      <w:pPr>
        <w:spacing w:line="400" w:lineRule="exact"/>
        <w:ind w:right="86"/>
        <w:jc w:val="center"/>
        <w:outlineLvl w:val="0"/>
        <w:rPr>
          <w:rFonts w:hint="eastAsia" w:ascii="宋体" w:hAnsi="宋体"/>
          <w:b/>
          <w:bCs/>
          <w:color w:val="000000" w:themeColor="text1"/>
          <w:sz w:val="28"/>
          <w:szCs w:val="28"/>
          <w14:textFill>
            <w14:solidFill>
              <w14:schemeClr w14:val="tx1"/>
            </w14:solidFill>
          </w14:textFill>
        </w:rPr>
      </w:pPr>
    </w:p>
    <w:p>
      <w:pPr>
        <w:spacing w:line="400" w:lineRule="exact"/>
        <w:ind w:right="86"/>
        <w:jc w:val="center"/>
        <w:outlineLvl w:val="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其它必须的资料及有利于投标的资料</w:t>
      </w:r>
    </w:p>
    <w:p>
      <w:pPr>
        <w:pStyle w:val="21"/>
        <w:spacing w:before="120" w:line="360" w:lineRule="auto"/>
        <w:ind w:firstLine="40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w:t>
      </w:r>
    </w:p>
    <w:p>
      <w:pPr>
        <w:pStyle w:val="21"/>
        <w:spacing w:before="12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近三年内（本项目投标截止期前）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将拒绝其参加本次政府采购活动；</w:t>
      </w: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jc w:val="center"/>
        <w:rPr>
          <w:rFonts w:hint="default" w:ascii="宋体" w:hAnsi="宋体"/>
          <w:color w:val="auto"/>
          <w:sz w:val="24"/>
          <w:highlight w:val="none"/>
          <w:lang w:val="en-US"/>
        </w:rPr>
      </w:pPr>
      <w:r>
        <w:rPr>
          <w:rFonts w:hint="default" w:ascii="宋体" w:hAnsi="宋体" w:eastAsia="宋体" w:cs="Times New Roman"/>
          <w:b/>
          <w:bCs/>
          <w:color w:val="000000" w:themeColor="text1"/>
          <w:kern w:val="2"/>
          <w:sz w:val="28"/>
          <w:szCs w:val="28"/>
          <w:lang w:val="en-US" w:eastAsia="zh-CN" w:bidi="ar-SA"/>
          <w14:textFill>
            <w14:solidFill>
              <w14:schemeClr w14:val="tx1"/>
            </w14:solidFill>
          </w14:textFill>
        </w:rPr>
        <w:t>健全的</w:t>
      </w:r>
      <w:r>
        <w:rPr>
          <w:rFonts w:hint="default" w:ascii="宋体" w:hAnsi="宋体" w:eastAsia="宋体" w:cs="Times New Roman"/>
          <w:b/>
          <w:bCs/>
          <w:color w:val="000000" w:themeColor="text1"/>
          <w:kern w:val="2"/>
          <w:sz w:val="28"/>
          <w:szCs w:val="28"/>
          <w:lang w:val="en-US" w:eastAsia="zh-CN" w:bidi="ar-SA"/>
          <w14:textFill>
            <w14:solidFill>
              <w14:schemeClr w14:val="tx1"/>
            </w14:solidFill>
          </w14:textFill>
        </w:rPr>
        <w:fldChar w:fldCharType="begin"/>
      </w:r>
      <w:r>
        <w:rPr>
          <w:rFonts w:hint="default" w:ascii="宋体" w:hAnsi="宋体" w:eastAsia="宋体" w:cs="Times New Roman"/>
          <w:b/>
          <w:bCs/>
          <w:color w:val="000000" w:themeColor="text1"/>
          <w:kern w:val="2"/>
          <w:sz w:val="28"/>
          <w:szCs w:val="28"/>
          <w:lang w:val="en-US" w:eastAsia="zh-CN" w:bidi="ar-SA"/>
          <w14:textFill>
            <w14:solidFill>
              <w14:schemeClr w14:val="tx1"/>
            </w14:solidFill>
          </w14:textFill>
        </w:rPr>
        <w:instrText xml:space="preserve"> HYPERLINK "https://www.baidu.com/s?wd=财务会计制度&amp;tn=SE_PcZhidaonwhc_ngpagmjz&amp;rsv_dl=gh_pc_zhidao" </w:instrText>
      </w:r>
      <w:r>
        <w:rPr>
          <w:rFonts w:hint="default" w:ascii="宋体" w:hAnsi="宋体" w:eastAsia="宋体" w:cs="Times New Roman"/>
          <w:b/>
          <w:bCs/>
          <w:color w:val="000000" w:themeColor="text1"/>
          <w:kern w:val="2"/>
          <w:sz w:val="28"/>
          <w:szCs w:val="28"/>
          <w:lang w:val="en-US" w:eastAsia="zh-CN" w:bidi="ar-SA"/>
          <w14:textFill>
            <w14:solidFill>
              <w14:schemeClr w14:val="tx1"/>
            </w14:solidFill>
          </w14:textFill>
        </w:rPr>
        <w:fldChar w:fldCharType="separate"/>
      </w:r>
      <w:r>
        <w:rPr>
          <w:rFonts w:hint="default" w:ascii="宋体" w:hAnsi="宋体" w:eastAsia="宋体" w:cs="Times New Roman"/>
          <w:b/>
          <w:bCs/>
          <w:color w:val="000000" w:themeColor="text1"/>
          <w:kern w:val="2"/>
          <w:sz w:val="28"/>
          <w:szCs w:val="28"/>
          <w:lang w:val="en-US" w:eastAsia="zh-CN" w:bidi="ar-SA"/>
          <w14:textFill>
            <w14:solidFill>
              <w14:schemeClr w14:val="tx1"/>
            </w14:solidFill>
          </w14:textFill>
        </w:rPr>
        <w:t>财务会计制度</w:t>
      </w:r>
      <w:r>
        <w:rPr>
          <w:rFonts w:hint="default" w:ascii="宋体" w:hAnsi="宋体" w:eastAsia="宋体" w:cs="Times New Roman"/>
          <w:b/>
          <w:bCs/>
          <w:color w:val="000000" w:themeColor="text1"/>
          <w:kern w:val="2"/>
          <w:sz w:val="28"/>
          <w:szCs w:val="28"/>
          <w:lang w:val="en-US" w:eastAsia="zh-CN" w:bidi="ar-SA"/>
          <w14:textFill>
            <w14:solidFill>
              <w14:schemeClr w14:val="tx1"/>
            </w14:solidFill>
          </w14:textFill>
        </w:rPr>
        <w:fldChar w:fldCharType="end"/>
      </w: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pPr>
    </w:p>
    <w:p>
      <w:pPr>
        <w:pStyle w:val="21"/>
        <w:spacing w:before="120" w:line="360" w:lineRule="auto"/>
        <w:rPr>
          <w:rFonts w:hint="default" w:ascii="宋体" w:hAnsi="宋体"/>
          <w:color w:val="auto"/>
          <w:sz w:val="24"/>
          <w:highlight w:val="none"/>
          <w:lang w:val="en-US"/>
        </w:rPr>
        <w:sectPr>
          <w:headerReference r:id="rId13" w:type="default"/>
          <w:footerReference r:id="rId14" w:type="default"/>
          <w:pgSz w:w="11907" w:h="16840"/>
          <w:pgMar w:top="1020" w:right="1287" w:bottom="566" w:left="1361" w:header="851" w:footer="992" w:gutter="0"/>
          <w:pgBorders>
            <w:top w:val="none" w:sz="0" w:space="0"/>
            <w:left w:val="none" w:sz="0" w:space="0"/>
            <w:bottom w:val="none" w:sz="0" w:space="0"/>
            <w:right w:val="none" w:sz="0" w:space="0"/>
          </w:pgBorders>
          <w:cols w:space="720" w:num="1"/>
          <w:docGrid w:type="lines" w:linePitch="312" w:charSpace="0"/>
        </w:sectPr>
      </w:pPr>
    </w:p>
    <w:p>
      <w:pPr>
        <w:pStyle w:val="14"/>
        <w:jc w:val="center"/>
        <w:rPr>
          <w:rFonts w:ascii="宋体"/>
          <w:color w:val="auto"/>
          <w:sz w:val="32"/>
          <w:szCs w:val="32"/>
          <w:highlight w:val="none"/>
        </w:rPr>
      </w:pPr>
      <w:r>
        <w:rPr>
          <w:rFonts w:hint="eastAsia" w:ascii="宋体" w:hAnsi="宋体" w:eastAsia="宋体"/>
          <w:b/>
          <w:bCs/>
          <w:color w:val="auto"/>
          <w:spacing w:val="60"/>
          <w:sz w:val="32"/>
          <w:szCs w:val="32"/>
          <w:highlight w:val="none"/>
        </w:rPr>
        <w:t>注意事项</w:t>
      </w:r>
    </w:p>
    <w:p>
      <w:pPr>
        <w:rPr>
          <w:rFonts w:ascii="宋体"/>
          <w:color w:val="auto"/>
          <w:sz w:val="24"/>
          <w:highlight w:val="none"/>
        </w:rPr>
      </w:pPr>
      <w:r>
        <w:rPr>
          <w:rFonts w:ascii="宋体" w:hAnsi="宋体"/>
          <w:color w:val="auto"/>
          <w:sz w:val="28"/>
          <w:highlight w:val="none"/>
        </w:rPr>
        <w:t>1</w:t>
      </w:r>
      <w:r>
        <w:rPr>
          <w:rFonts w:hint="eastAsia" w:ascii="宋体" w:hAnsi="宋体"/>
          <w:color w:val="auto"/>
          <w:sz w:val="28"/>
          <w:highlight w:val="none"/>
        </w:rPr>
        <w:t>、</w:t>
      </w:r>
      <w:r>
        <w:rPr>
          <w:rFonts w:hint="eastAsia" w:ascii="宋体" w:hAnsi="宋体"/>
          <w:color w:val="auto"/>
          <w:sz w:val="24"/>
          <w:highlight w:val="none"/>
        </w:rPr>
        <w:t>投标人对所附表格中要求的资料和询问应做出肯定的回答。</w:t>
      </w:r>
    </w:p>
    <w:p>
      <w:pPr>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、招标文件的签字人应保证他所做的声明及对一切问题的回答的真实性和准确。</w:t>
      </w:r>
    </w:p>
    <w:p>
      <w:pPr>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、投标人提供的招标文件将由招标人使用，并据此进行评价和判断，确定投标人的能力。</w:t>
      </w:r>
    </w:p>
    <w:p>
      <w:pPr>
        <w:rPr>
          <w:rFonts w:hint="eastAsia" w:ascii="宋体" w:eastAsia="宋体"/>
          <w:color w:val="auto"/>
          <w:highlight w:val="none"/>
          <w:lang w:eastAsia="zh-CN"/>
        </w:rPr>
      </w:pPr>
      <w:r>
        <w:rPr>
          <w:rFonts w:ascii="宋体" w:hAnsi="宋体"/>
          <w:color w:val="auto"/>
          <w:sz w:val="24"/>
          <w:highlight w:val="none"/>
        </w:rPr>
        <w:t>4</w:t>
      </w:r>
      <w:r>
        <w:rPr>
          <w:rFonts w:hint="eastAsia" w:ascii="宋体" w:hAnsi="宋体"/>
          <w:color w:val="auto"/>
          <w:sz w:val="24"/>
          <w:highlight w:val="none"/>
        </w:rPr>
        <w:t>、投标人提交的文件将给予保密，但不退</w:t>
      </w:r>
      <w:r>
        <w:rPr>
          <w:rFonts w:hint="eastAsia" w:ascii="宋体" w:hAnsi="宋体"/>
          <w:color w:val="auto"/>
          <w:sz w:val="24"/>
          <w:highlight w:val="none"/>
          <w:lang w:val="en-US" w:eastAsia="zh-CN"/>
        </w:rPr>
        <w:t>还</w:t>
      </w:r>
      <w:r>
        <w:rPr>
          <w:rFonts w:hint="eastAsia" w:ascii="宋体" w:hAnsi="宋体"/>
          <w:color w:val="auto"/>
          <w:sz w:val="24"/>
          <w:highlight w:val="none"/>
          <w:lang w:eastAsia="zh-CN"/>
        </w:rPr>
        <w:t>。</w:t>
      </w:r>
    </w:p>
    <w:sectPr>
      <w:footerReference r:id="rId16" w:type="first"/>
      <w:footerReference r:id="rId15" w:type="default"/>
      <w:pgSz w:w="11906" w:h="16838"/>
      <w:pgMar w:top="1361" w:right="1489" w:bottom="1361" w:left="1797" w:header="851" w:footer="992" w:gutter="0"/>
      <w:pgNumType w:fmt="decimal" w:start="47"/>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swiss"/>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z1hQDa8BAABM&#10;AwAADgAAAAAAAAABACAAAAAeAQAAZHJzL2Uyb0RvYy54bWxQSwUGAAAAAAYABgBZAQAAPwU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H7GpergEAAE0D&#10;AAAOAAAAAAAAAAEAIAAAAB4BAABkcnMvZTJvRG9jLnhtbFBLBQYAAAAABgAGAFkBAAA+BQ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v:textbox>
            </v:shape>
          </w:pict>
        </mc:Fallback>
      </mc:AlternateContent>
    </w:r>
  </w:p>
  <w:p>
    <w:pPr>
      <w:pStyle w:val="1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59" w:rightChars="171" w:firstLine="360" w:firstLineChars="20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BSAxHMrgEAAE0D&#10;AAAOAAAAAAAAAAEAIAAAAB4BAABkcnMvZTJvRG9jLnhtbFBLBQYAAAAABgAGAFkBAAA+BQ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default"/>
        <w:lang w:val="en-US"/>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SuJU68BAABN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w9nVlDhucUaH7y+HH78OP7+Rep4bNITYYN5jwMw03vgRkyd/RGfWPSqw+YuK&#10;CMax1ftze+WYiMiPFvViUWFIYGy6ID57ex4gpk/SW5KNlgLOr7SV7+5jOqZOKbma83famDJD435z&#10;IGb2sMz9yDFbaVyPJ0Fr3+1Rz4Cjb6nD3aTEfHbY2bwlkwGTsZ6MbQC96csa5XoxXG8TkijccoUj&#10;7KkwzqyoO+1XXor395L19hesX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6SuJU68BAABN&#10;AwAADgAAAAAAAAABACAAAAAeAQAAZHJzL2Uyb0RvYy54bWxQSwUGAAAAAAYABgBZAQAAPwU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NlCyuKz&#10;AQAAWwMAAA4AAAAAAAAAAQAgAAAAHgEAAGRycy9lMm9Eb2MueG1sUEsFBgAAAAAGAAYAWQEAAEMF&#10;A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59" w:rightChars="171" w:firstLine="360" w:firstLineChars="200"/>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SWDWWK8BAABN&#10;AwAADgAAAAAAAAABACAAAAAeAQAAZHJzL2Uyb0RvYy54bWxQSwUGAAAAAAYABgBZAQAAPwU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p>
                      </w:txbxContent>
                    </wps:txbx>
                    <wps:bodyPr wrap="none" lIns="0" tIns="0" rIns="0" bIns="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NTe9FuwAQAA&#10;TQMAAA4AAAAAAAAAAQAgAAAAHgEAAGRycy9lMm9Eb2MueG1sUEsFBgAAAAAGAAYAWQEAAEAFAAAA&#10;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9554C7"/>
    <w:multiLevelType w:val="singleLevel"/>
    <w:tmpl w:val="899554C7"/>
    <w:lvl w:ilvl="0" w:tentative="0">
      <w:start w:val="1"/>
      <w:numFmt w:val="chineseCounting"/>
      <w:suff w:val="nothing"/>
      <w:lvlText w:val="%1、"/>
      <w:lvlJc w:val="left"/>
      <w:rPr>
        <w:rFonts w:hint="eastAsia"/>
      </w:rPr>
    </w:lvl>
  </w:abstractNum>
  <w:abstractNum w:abstractNumId="1">
    <w:nsid w:val="0000000E"/>
    <w:multiLevelType w:val="multilevel"/>
    <w:tmpl w:val="0000000E"/>
    <w:lvl w:ilvl="0" w:tentative="0">
      <w:start w:val="1"/>
      <w:numFmt w:val="upperLetter"/>
      <w:pStyle w:val="3"/>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31AFB11"/>
    <w:multiLevelType w:val="singleLevel"/>
    <w:tmpl w:val="031AFB11"/>
    <w:lvl w:ilvl="0" w:tentative="0">
      <w:start w:val="3"/>
      <w:numFmt w:val="chineseCounting"/>
      <w:suff w:val="space"/>
      <w:lvlText w:val="第%1章"/>
      <w:lvlJc w:val="left"/>
      <w:rPr>
        <w:rFonts w:hint="eastAsia"/>
      </w:rPr>
    </w:lvl>
  </w:abstractNum>
  <w:abstractNum w:abstractNumId="3">
    <w:nsid w:val="3E020072"/>
    <w:multiLevelType w:val="multilevel"/>
    <w:tmpl w:val="3E020072"/>
    <w:lvl w:ilvl="0" w:tentative="0">
      <w:start w:val="1"/>
      <w:numFmt w:val="decimal"/>
      <w:lvlText w:val="%1."/>
      <w:lvlJc w:val="left"/>
      <w:pPr>
        <w:tabs>
          <w:tab w:val="left" w:pos="709"/>
        </w:tabs>
        <w:ind w:left="709" w:hanging="709"/>
      </w:pPr>
      <w:rPr>
        <w:rFonts w:hint="eastAsia"/>
      </w:rPr>
    </w:lvl>
    <w:lvl w:ilvl="1" w:tentative="0">
      <w:start w:val="1"/>
      <w:numFmt w:val="decimal"/>
      <w:pStyle w:val="2"/>
      <w:lvlText w:val="%2."/>
      <w:lvlJc w:val="left"/>
      <w:pPr>
        <w:tabs>
          <w:tab w:val="left" w:pos="420"/>
        </w:tabs>
        <w:ind w:left="420" w:hanging="420"/>
      </w:pPr>
      <w:rPr>
        <w:rFonts w:hint="default"/>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E90"/>
    <w:rsid w:val="00001FDE"/>
    <w:rsid w:val="00004BBA"/>
    <w:rsid w:val="000059F1"/>
    <w:rsid w:val="00005F45"/>
    <w:rsid w:val="00007B46"/>
    <w:rsid w:val="00010F3E"/>
    <w:rsid w:val="000115B6"/>
    <w:rsid w:val="000131F1"/>
    <w:rsid w:val="00014A9E"/>
    <w:rsid w:val="00016BDE"/>
    <w:rsid w:val="0002118F"/>
    <w:rsid w:val="0002166A"/>
    <w:rsid w:val="00025884"/>
    <w:rsid w:val="00032829"/>
    <w:rsid w:val="00033AB3"/>
    <w:rsid w:val="00036699"/>
    <w:rsid w:val="00044EAC"/>
    <w:rsid w:val="000466FA"/>
    <w:rsid w:val="000564C7"/>
    <w:rsid w:val="00057FD8"/>
    <w:rsid w:val="0006192A"/>
    <w:rsid w:val="00066ED2"/>
    <w:rsid w:val="00067E13"/>
    <w:rsid w:val="00071EAD"/>
    <w:rsid w:val="000743CD"/>
    <w:rsid w:val="000811D4"/>
    <w:rsid w:val="0008127F"/>
    <w:rsid w:val="000837AC"/>
    <w:rsid w:val="000839C8"/>
    <w:rsid w:val="00085592"/>
    <w:rsid w:val="000904B8"/>
    <w:rsid w:val="000924BF"/>
    <w:rsid w:val="00097452"/>
    <w:rsid w:val="00097819"/>
    <w:rsid w:val="00097C5A"/>
    <w:rsid w:val="000A1F15"/>
    <w:rsid w:val="000A53F8"/>
    <w:rsid w:val="000A5497"/>
    <w:rsid w:val="000A7265"/>
    <w:rsid w:val="000B0FB0"/>
    <w:rsid w:val="000B4CE8"/>
    <w:rsid w:val="000C0402"/>
    <w:rsid w:val="000C17E4"/>
    <w:rsid w:val="000C4A63"/>
    <w:rsid w:val="000C5560"/>
    <w:rsid w:val="000D404E"/>
    <w:rsid w:val="000D5943"/>
    <w:rsid w:val="000D5BD1"/>
    <w:rsid w:val="000D71B3"/>
    <w:rsid w:val="000E3027"/>
    <w:rsid w:val="000E485A"/>
    <w:rsid w:val="000E4E76"/>
    <w:rsid w:val="000E5D05"/>
    <w:rsid w:val="000E7E83"/>
    <w:rsid w:val="000F2519"/>
    <w:rsid w:val="000F3127"/>
    <w:rsid w:val="000F3D3B"/>
    <w:rsid w:val="000F5564"/>
    <w:rsid w:val="00101EFE"/>
    <w:rsid w:val="0010420E"/>
    <w:rsid w:val="0010575D"/>
    <w:rsid w:val="001062BB"/>
    <w:rsid w:val="00106B90"/>
    <w:rsid w:val="00107A62"/>
    <w:rsid w:val="00110236"/>
    <w:rsid w:val="00114198"/>
    <w:rsid w:val="0011570E"/>
    <w:rsid w:val="001162DC"/>
    <w:rsid w:val="00121222"/>
    <w:rsid w:val="001274CD"/>
    <w:rsid w:val="00132B2F"/>
    <w:rsid w:val="0013597A"/>
    <w:rsid w:val="00136632"/>
    <w:rsid w:val="0013743C"/>
    <w:rsid w:val="00141E3D"/>
    <w:rsid w:val="00142EB3"/>
    <w:rsid w:val="00143299"/>
    <w:rsid w:val="001516EE"/>
    <w:rsid w:val="00152047"/>
    <w:rsid w:val="001558CC"/>
    <w:rsid w:val="0015599E"/>
    <w:rsid w:val="00157F50"/>
    <w:rsid w:val="0016102D"/>
    <w:rsid w:val="0016153F"/>
    <w:rsid w:val="00161CCC"/>
    <w:rsid w:val="00161DA9"/>
    <w:rsid w:val="00171ED4"/>
    <w:rsid w:val="00172A27"/>
    <w:rsid w:val="00175D97"/>
    <w:rsid w:val="00176FBD"/>
    <w:rsid w:val="00177124"/>
    <w:rsid w:val="00177CCD"/>
    <w:rsid w:val="001800ED"/>
    <w:rsid w:val="001846A9"/>
    <w:rsid w:val="00190605"/>
    <w:rsid w:val="0019270C"/>
    <w:rsid w:val="001955B5"/>
    <w:rsid w:val="00196D96"/>
    <w:rsid w:val="00197861"/>
    <w:rsid w:val="00197CF9"/>
    <w:rsid w:val="001A19E9"/>
    <w:rsid w:val="001A2ADE"/>
    <w:rsid w:val="001A7436"/>
    <w:rsid w:val="001B1D0B"/>
    <w:rsid w:val="001C089A"/>
    <w:rsid w:val="001C5DEF"/>
    <w:rsid w:val="001C791A"/>
    <w:rsid w:val="001D26A6"/>
    <w:rsid w:val="001E13F5"/>
    <w:rsid w:val="001E5AF9"/>
    <w:rsid w:val="001E5BAC"/>
    <w:rsid w:val="001E7084"/>
    <w:rsid w:val="001E7CC2"/>
    <w:rsid w:val="00201974"/>
    <w:rsid w:val="00201E4D"/>
    <w:rsid w:val="00201FAF"/>
    <w:rsid w:val="002034A7"/>
    <w:rsid w:val="00203607"/>
    <w:rsid w:val="00204221"/>
    <w:rsid w:val="002053CF"/>
    <w:rsid w:val="00212A2D"/>
    <w:rsid w:val="00214242"/>
    <w:rsid w:val="002144D9"/>
    <w:rsid w:val="00222DB5"/>
    <w:rsid w:val="0022548D"/>
    <w:rsid w:val="00227137"/>
    <w:rsid w:val="00231814"/>
    <w:rsid w:val="00232BDE"/>
    <w:rsid w:val="00233F49"/>
    <w:rsid w:val="00234D20"/>
    <w:rsid w:val="00237447"/>
    <w:rsid w:val="00237A26"/>
    <w:rsid w:val="00243313"/>
    <w:rsid w:val="00246286"/>
    <w:rsid w:val="0025606B"/>
    <w:rsid w:val="00257B4B"/>
    <w:rsid w:val="00261679"/>
    <w:rsid w:val="00286713"/>
    <w:rsid w:val="0029154B"/>
    <w:rsid w:val="0029253E"/>
    <w:rsid w:val="00292F6B"/>
    <w:rsid w:val="00294D1B"/>
    <w:rsid w:val="00295869"/>
    <w:rsid w:val="00295E02"/>
    <w:rsid w:val="002A1D8A"/>
    <w:rsid w:val="002A5013"/>
    <w:rsid w:val="002A7520"/>
    <w:rsid w:val="002B0B27"/>
    <w:rsid w:val="002B38A5"/>
    <w:rsid w:val="002B4B4D"/>
    <w:rsid w:val="002B69F0"/>
    <w:rsid w:val="002C1C2C"/>
    <w:rsid w:val="002C2B28"/>
    <w:rsid w:val="002C3DBE"/>
    <w:rsid w:val="002C4C5C"/>
    <w:rsid w:val="002C6208"/>
    <w:rsid w:val="002D7006"/>
    <w:rsid w:val="002E5A3D"/>
    <w:rsid w:val="002E6B1A"/>
    <w:rsid w:val="002F0F17"/>
    <w:rsid w:val="002F2072"/>
    <w:rsid w:val="0030423E"/>
    <w:rsid w:val="00310BDD"/>
    <w:rsid w:val="00311665"/>
    <w:rsid w:val="0031510D"/>
    <w:rsid w:val="0032270E"/>
    <w:rsid w:val="00325F73"/>
    <w:rsid w:val="003261ED"/>
    <w:rsid w:val="003264D4"/>
    <w:rsid w:val="00327A75"/>
    <w:rsid w:val="00333939"/>
    <w:rsid w:val="00333AFB"/>
    <w:rsid w:val="00334155"/>
    <w:rsid w:val="003354E5"/>
    <w:rsid w:val="00337169"/>
    <w:rsid w:val="003402C3"/>
    <w:rsid w:val="003404E5"/>
    <w:rsid w:val="003410B3"/>
    <w:rsid w:val="00347CA1"/>
    <w:rsid w:val="003500E0"/>
    <w:rsid w:val="003542FB"/>
    <w:rsid w:val="0035779A"/>
    <w:rsid w:val="00365138"/>
    <w:rsid w:val="00367EB2"/>
    <w:rsid w:val="0037140F"/>
    <w:rsid w:val="0037246A"/>
    <w:rsid w:val="00374407"/>
    <w:rsid w:val="0037781F"/>
    <w:rsid w:val="0038029C"/>
    <w:rsid w:val="00384D48"/>
    <w:rsid w:val="00385515"/>
    <w:rsid w:val="00385F57"/>
    <w:rsid w:val="00386619"/>
    <w:rsid w:val="00386DA1"/>
    <w:rsid w:val="00391C18"/>
    <w:rsid w:val="00392FEB"/>
    <w:rsid w:val="00393320"/>
    <w:rsid w:val="00394100"/>
    <w:rsid w:val="003953D9"/>
    <w:rsid w:val="00395F3B"/>
    <w:rsid w:val="003A3DEF"/>
    <w:rsid w:val="003A4E91"/>
    <w:rsid w:val="003A55F4"/>
    <w:rsid w:val="003A708A"/>
    <w:rsid w:val="003A7283"/>
    <w:rsid w:val="003A7A7D"/>
    <w:rsid w:val="003B5151"/>
    <w:rsid w:val="003B5486"/>
    <w:rsid w:val="003B5FEB"/>
    <w:rsid w:val="003B6892"/>
    <w:rsid w:val="003C231C"/>
    <w:rsid w:val="003C3DBD"/>
    <w:rsid w:val="003C5878"/>
    <w:rsid w:val="003D1638"/>
    <w:rsid w:val="003D4E09"/>
    <w:rsid w:val="003D5650"/>
    <w:rsid w:val="003E1ECB"/>
    <w:rsid w:val="003E2BC4"/>
    <w:rsid w:val="003E6257"/>
    <w:rsid w:val="003E6393"/>
    <w:rsid w:val="003F3E4F"/>
    <w:rsid w:val="00400FEB"/>
    <w:rsid w:val="004015EA"/>
    <w:rsid w:val="00403A20"/>
    <w:rsid w:val="00403B9D"/>
    <w:rsid w:val="00405651"/>
    <w:rsid w:val="004058FC"/>
    <w:rsid w:val="00407D42"/>
    <w:rsid w:val="004113EC"/>
    <w:rsid w:val="00427AC4"/>
    <w:rsid w:val="00427C0F"/>
    <w:rsid w:val="00431423"/>
    <w:rsid w:val="00433523"/>
    <w:rsid w:val="00435DA2"/>
    <w:rsid w:val="00443972"/>
    <w:rsid w:val="00443F53"/>
    <w:rsid w:val="00444C59"/>
    <w:rsid w:val="00446455"/>
    <w:rsid w:val="0045116C"/>
    <w:rsid w:val="0045630D"/>
    <w:rsid w:val="00456AA6"/>
    <w:rsid w:val="004576C6"/>
    <w:rsid w:val="00462057"/>
    <w:rsid w:val="0047188A"/>
    <w:rsid w:val="00474CF8"/>
    <w:rsid w:val="00475638"/>
    <w:rsid w:val="00485218"/>
    <w:rsid w:val="00490C50"/>
    <w:rsid w:val="00493760"/>
    <w:rsid w:val="004A1EB8"/>
    <w:rsid w:val="004B79DA"/>
    <w:rsid w:val="004C291D"/>
    <w:rsid w:val="004C41BB"/>
    <w:rsid w:val="004C4874"/>
    <w:rsid w:val="004C6067"/>
    <w:rsid w:val="004D2D21"/>
    <w:rsid w:val="004D6658"/>
    <w:rsid w:val="004E69AD"/>
    <w:rsid w:val="004E7419"/>
    <w:rsid w:val="004F0D83"/>
    <w:rsid w:val="004F13B3"/>
    <w:rsid w:val="004F4734"/>
    <w:rsid w:val="004F693B"/>
    <w:rsid w:val="004F6CA2"/>
    <w:rsid w:val="00500052"/>
    <w:rsid w:val="00503F59"/>
    <w:rsid w:val="00505D82"/>
    <w:rsid w:val="00506F77"/>
    <w:rsid w:val="00507879"/>
    <w:rsid w:val="00510D8D"/>
    <w:rsid w:val="00513795"/>
    <w:rsid w:val="005164D2"/>
    <w:rsid w:val="00516520"/>
    <w:rsid w:val="005174EC"/>
    <w:rsid w:val="0051799B"/>
    <w:rsid w:val="00522118"/>
    <w:rsid w:val="0052533C"/>
    <w:rsid w:val="00526C03"/>
    <w:rsid w:val="00530DD0"/>
    <w:rsid w:val="00533559"/>
    <w:rsid w:val="00536A89"/>
    <w:rsid w:val="00537D08"/>
    <w:rsid w:val="00537E61"/>
    <w:rsid w:val="00545215"/>
    <w:rsid w:val="00552F02"/>
    <w:rsid w:val="00553B92"/>
    <w:rsid w:val="00556F29"/>
    <w:rsid w:val="005620A1"/>
    <w:rsid w:val="005644B9"/>
    <w:rsid w:val="005652DC"/>
    <w:rsid w:val="00572427"/>
    <w:rsid w:val="0057427A"/>
    <w:rsid w:val="005744C5"/>
    <w:rsid w:val="00575378"/>
    <w:rsid w:val="00592965"/>
    <w:rsid w:val="00592A59"/>
    <w:rsid w:val="00595D6E"/>
    <w:rsid w:val="005A16CC"/>
    <w:rsid w:val="005A25A7"/>
    <w:rsid w:val="005A26F0"/>
    <w:rsid w:val="005A312D"/>
    <w:rsid w:val="005B2E5B"/>
    <w:rsid w:val="005B7A47"/>
    <w:rsid w:val="005C23A1"/>
    <w:rsid w:val="005C2FBB"/>
    <w:rsid w:val="005C3388"/>
    <w:rsid w:val="005C424F"/>
    <w:rsid w:val="005D0114"/>
    <w:rsid w:val="005D09D1"/>
    <w:rsid w:val="005D1ADE"/>
    <w:rsid w:val="005D1E68"/>
    <w:rsid w:val="005D6248"/>
    <w:rsid w:val="005E46B9"/>
    <w:rsid w:val="005F5543"/>
    <w:rsid w:val="005F6D23"/>
    <w:rsid w:val="005F7429"/>
    <w:rsid w:val="00603BD9"/>
    <w:rsid w:val="0060568E"/>
    <w:rsid w:val="00610C47"/>
    <w:rsid w:val="00612362"/>
    <w:rsid w:val="00613224"/>
    <w:rsid w:val="00614421"/>
    <w:rsid w:val="006153D2"/>
    <w:rsid w:val="0061543D"/>
    <w:rsid w:val="00621AEF"/>
    <w:rsid w:val="00624D5D"/>
    <w:rsid w:val="00625816"/>
    <w:rsid w:val="0063135C"/>
    <w:rsid w:val="00632ECC"/>
    <w:rsid w:val="0063456E"/>
    <w:rsid w:val="006374DC"/>
    <w:rsid w:val="00642821"/>
    <w:rsid w:val="00644900"/>
    <w:rsid w:val="00646822"/>
    <w:rsid w:val="006475A9"/>
    <w:rsid w:val="006510A0"/>
    <w:rsid w:val="00654409"/>
    <w:rsid w:val="00656E4C"/>
    <w:rsid w:val="00657DA3"/>
    <w:rsid w:val="00661C76"/>
    <w:rsid w:val="00670FDC"/>
    <w:rsid w:val="0067699C"/>
    <w:rsid w:val="00683B37"/>
    <w:rsid w:val="00683F01"/>
    <w:rsid w:val="0068522D"/>
    <w:rsid w:val="006856CE"/>
    <w:rsid w:val="00686DDC"/>
    <w:rsid w:val="00692779"/>
    <w:rsid w:val="0069323A"/>
    <w:rsid w:val="00695386"/>
    <w:rsid w:val="006957B3"/>
    <w:rsid w:val="006A0989"/>
    <w:rsid w:val="006A09EE"/>
    <w:rsid w:val="006A73A7"/>
    <w:rsid w:val="006B052E"/>
    <w:rsid w:val="006B38DA"/>
    <w:rsid w:val="006B4AF6"/>
    <w:rsid w:val="006B5B36"/>
    <w:rsid w:val="006C13CB"/>
    <w:rsid w:val="006C1BB1"/>
    <w:rsid w:val="006C1E34"/>
    <w:rsid w:val="006C4E8E"/>
    <w:rsid w:val="006D03D3"/>
    <w:rsid w:val="006D0C98"/>
    <w:rsid w:val="006D50AF"/>
    <w:rsid w:val="006D7AEF"/>
    <w:rsid w:val="006D7D3D"/>
    <w:rsid w:val="006E248C"/>
    <w:rsid w:val="006E3BE5"/>
    <w:rsid w:val="006E4987"/>
    <w:rsid w:val="006E697A"/>
    <w:rsid w:val="006F1BB8"/>
    <w:rsid w:val="006F20FB"/>
    <w:rsid w:val="006F489E"/>
    <w:rsid w:val="0070037A"/>
    <w:rsid w:val="00701757"/>
    <w:rsid w:val="00701B1F"/>
    <w:rsid w:val="00702578"/>
    <w:rsid w:val="007026B6"/>
    <w:rsid w:val="007042FB"/>
    <w:rsid w:val="0070447A"/>
    <w:rsid w:val="00705B2C"/>
    <w:rsid w:val="00705D1E"/>
    <w:rsid w:val="00706AAB"/>
    <w:rsid w:val="00706B8F"/>
    <w:rsid w:val="00707139"/>
    <w:rsid w:val="007126AF"/>
    <w:rsid w:val="00716AD3"/>
    <w:rsid w:val="0072050D"/>
    <w:rsid w:val="0072115A"/>
    <w:rsid w:val="00721C49"/>
    <w:rsid w:val="007260E2"/>
    <w:rsid w:val="007261EF"/>
    <w:rsid w:val="00726DBE"/>
    <w:rsid w:val="00730BFB"/>
    <w:rsid w:val="00731059"/>
    <w:rsid w:val="00732208"/>
    <w:rsid w:val="00733C3F"/>
    <w:rsid w:val="007341B4"/>
    <w:rsid w:val="0074627C"/>
    <w:rsid w:val="00746F3E"/>
    <w:rsid w:val="007471C9"/>
    <w:rsid w:val="007477BB"/>
    <w:rsid w:val="00747EB3"/>
    <w:rsid w:val="00750043"/>
    <w:rsid w:val="00760C5B"/>
    <w:rsid w:val="007618D2"/>
    <w:rsid w:val="00761C96"/>
    <w:rsid w:val="00762ED9"/>
    <w:rsid w:val="007630D3"/>
    <w:rsid w:val="00764760"/>
    <w:rsid w:val="007661AA"/>
    <w:rsid w:val="0076694A"/>
    <w:rsid w:val="00770AC6"/>
    <w:rsid w:val="007810D1"/>
    <w:rsid w:val="00785799"/>
    <w:rsid w:val="00785F1D"/>
    <w:rsid w:val="007901A2"/>
    <w:rsid w:val="0079167A"/>
    <w:rsid w:val="00792CFD"/>
    <w:rsid w:val="007950DC"/>
    <w:rsid w:val="007960D5"/>
    <w:rsid w:val="007A358F"/>
    <w:rsid w:val="007B4C82"/>
    <w:rsid w:val="007C11B3"/>
    <w:rsid w:val="007C18F9"/>
    <w:rsid w:val="007C5D91"/>
    <w:rsid w:val="007C652A"/>
    <w:rsid w:val="007C79FA"/>
    <w:rsid w:val="007D3BA2"/>
    <w:rsid w:val="007D3DAF"/>
    <w:rsid w:val="007D6EE9"/>
    <w:rsid w:val="007E4318"/>
    <w:rsid w:val="007E44B6"/>
    <w:rsid w:val="007E48DC"/>
    <w:rsid w:val="007E4E64"/>
    <w:rsid w:val="007E57B3"/>
    <w:rsid w:val="007F03C3"/>
    <w:rsid w:val="007F4633"/>
    <w:rsid w:val="007F5124"/>
    <w:rsid w:val="008039E2"/>
    <w:rsid w:val="00806534"/>
    <w:rsid w:val="008065A0"/>
    <w:rsid w:val="00813361"/>
    <w:rsid w:val="00823FDC"/>
    <w:rsid w:val="008261D6"/>
    <w:rsid w:val="008318DE"/>
    <w:rsid w:val="00832563"/>
    <w:rsid w:val="008347DC"/>
    <w:rsid w:val="00835AFB"/>
    <w:rsid w:val="0084298E"/>
    <w:rsid w:val="00843490"/>
    <w:rsid w:val="00843FB1"/>
    <w:rsid w:val="00850489"/>
    <w:rsid w:val="00852735"/>
    <w:rsid w:val="00861BEB"/>
    <w:rsid w:val="0086699E"/>
    <w:rsid w:val="00867299"/>
    <w:rsid w:val="008725FB"/>
    <w:rsid w:val="008730AD"/>
    <w:rsid w:val="00874713"/>
    <w:rsid w:val="00876D4A"/>
    <w:rsid w:val="0087763E"/>
    <w:rsid w:val="00877CAD"/>
    <w:rsid w:val="008813AB"/>
    <w:rsid w:val="008827A1"/>
    <w:rsid w:val="00885336"/>
    <w:rsid w:val="00890C97"/>
    <w:rsid w:val="008934EF"/>
    <w:rsid w:val="0089447F"/>
    <w:rsid w:val="008A0252"/>
    <w:rsid w:val="008A058F"/>
    <w:rsid w:val="008A11FD"/>
    <w:rsid w:val="008A20C9"/>
    <w:rsid w:val="008A6BA9"/>
    <w:rsid w:val="008B0DD7"/>
    <w:rsid w:val="008B211B"/>
    <w:rsid w:val="008B322C"/>
    <w:rsid w:val="008B3330"/>
    <w:rsid w:val="008C3C57"/>
    <w:rsid w:val="008C75C8"/>
    <w:rsid w:val="008D1176"/>
    <w:rsid w:val="008D5EEE"/>
    <w:rsid w:val="008E0587"/>
    <w:rsid w:val="008E1AFA"/>
    <w:rsid w:val="008E4AD2"/>
    <w:rsid w:val="008E6C3F"/>
    <w:rsid w:val="008F28AD"/>
    <w:rsid w:val="008F6AEC"/>
    <w:rsid w:val="00900B3F"/>
    <w:rsid w:val="009014F8"/>
    <w:rsid w:val="00901B04"/>
    <w:rsid w:val="00913239"/>
    <w:rsid w:val="00920775"/>
    <w:rsid w:val="0092205D"/>
    <w:rsid w:val="00927853"/>
    <w:rsid w:val="00927A1C"/>
    <w:rsid w:val="00940208"/>
    <w:rsid w:val="00940347"/>
    <w:rsid w:val="00941226"/>
    <w:rsid w:val="00950086"/>
    <w:rsid w:val="00950267"/>
    <w:rsid w:val="0095075F"/>
    <w:rsid w:val="00951F18"/>
    <w:rsid w:val="00954C44"/>
    <w:rsid w:val="009632F8"/>
    <w:rsid w:val="00965FE4"/>
    <w:rsid w:val="00966663"/>
    <w:rsid w:val="009706EC"/>
    <w:rsid w:val="0097350B"/>
    <w:rsid w:val="00973D12"/>
    <w:rsid w:val="0097480A"/>
    <w:rsid w:val="00974D91"/>
    <w:rsid w:val="00975BF7"/>
    <w:rsid w:val="00975EE1"/>
    <w:rsid w:val="0097642F"/>
    <w:rsid w:val="00980064"/>
    <w:rsid w:val="0098543A"/>
    <w:rsid w:val="00991509"/>
    <w:rsid w:val="00992742"/>
    <w:rsid w:val="00992FF5"/>
    <w:rsid w:val="0099642D"/>
    <w:rsid w:val="00997F52"/>
    <w:rsid w:val="009A0897"/>
    <w:rsid w:val="009A2EA8"/>
    <w:rsid w:val="009A5662"/>
    <w:rsid w:val="009A7B94"/>
    <w:rsid w:val="009B074F"/>
    <w:rsid w:val="009B3747"/>
    <w:rsid w:val="009B65E2"/>
    <w:rsid w:val="009C109D"/>
    <w:rsid w:val="009C1A1D"/>
    <w:rsid w:val="009C6011"/>
    <w:rsid w:val="009D1EAF"/>
    <w:rsid w:val="009D74BC"/>
    <w:rsid w:val="009E05FC"/>
    <w:rsid w:val="009E35A0"/>
    <w:rsid w:val="009E4388"/>
    <w:rsid w:val="009E5B45"/>
    <w:rsid w:val="009F1C42"/>
    <w:rsid w:val="009F376F"/>
    <w:rsid w:val="009F4B4C"/>
    <w:rsid w:val="009F700D"/>
    <w:rsid w:val="009F79F6"/>
    <w:rsid w:val="00A01C9B"/>
    <w:rsid w:val="00A05DD3"/>
    <w:rsid w:val="00A0607B"/>
    <w:rsid w:val="00A0698F"/>
    <w:rsid w:val="00A0752D"/>
    <w:rsid w:val="00A07E33"/>
    <w:rsid w:val="00A10167"/>
    <w:rsid w:val="00A146DD"/>
    <w:rsid w:val="00A20199"/>
    <w:rsid w:val="00A219F5"/>
    <w:rsid w:val="00A21B55"/>
    <w:rsid w:val="00A25108"/>
    <w:rsid w:val="00A25B13"/>
    <w:rsid w:val="00A317B0"/>
    <w:rsid w:val="00A335EC"/>
    <w:rsid w:val="00A35B27"/>
    <w:rsid w:val="00A361B1"/>
    <w:rsid w:val="00A3717A"/>
    <w:rsid w:val="00A40CF5"/>
    <w:rsid w:val="00A522D3"/>
    <w:rsid w:val="00A5398E"/>
    <w:rsid w:val="00A53D23"/>
    <w:rsid w:val="00A54A5F"/>
    <w:rsid w:val="00A55F15"/>
    <w:rsid w:val="00A60006"/>
    <w:rsid w:val="00A63B94"/>
    <w:rsid w:val="00A63E1F"/>
    <w:rsid w:val="00A65D7C"/>
    <w:rsid w:val="00A73F7E"/>
    <w:rsid w:val="00A818A0"/>
    <w:rsid w:val="00A82944"/>
    <w:rsid w:val="00A973AF"/>
    <w:rsid w:val="00AA1553"/>
    <w:rsid w:val="00AA24B7"/>
    <w:rsid w:val="00AA6530"/>
    <w:rsid w:val="00AA6C5A"/>
    <w:rsid w:val="00AA738C"/>
    <w:rsid w:val="00AB31E6"/>
    <w:rsid w:val="00AB4F8A"/>
    <w:rsid w:val="00AB53FF"/>
    <w:rsid w:val="00AB578F"/>
    <w:rsid w:val="00AB6326"/>
    <w:rsid w:val="00AC390E"/>
    <w:rsid w:val="00AC5594"/>
    <w:rsid w:val="00AD1130"/>
    <w:rsid w:val="00AD2EC3"/>
    <w:rsid w:val="00AD43DF"/>
    <w:rsid w:val="00AD6D8D"/>
    <w:rsid w:val="00AD7100"/>
    <w:rsid w:val="00AD7C2A"/>
    <w:rsid w:val="00AE1FB0"/>
    <w:rsid w:val="00AE3813"/>
    <w:rsid w:val="00AE6684"/>
    <w:rsid w:val="00AE7C24"/>
    <w:rsid w:val="00AF1596"/>
    <w:rsid w:val="00AF4ECE"/>
    <w:rsid w:val="00B04600"/>
    <w:rsid w:val="00B07688"/>
    <w:rsid w:val="00B143FB"/>
    <w:rsid w:val="00B14A59"/>
    <w:rsid w:val="00B237BF"/>
    <w:rsid w:val="00B277D3"/>
    <w:rsid w:val="00B369D1"/>
    <w:rsid w:val="00B43603"/>
    <w:rsid w:val="00B43BDC"/>
    <w:rsid w:val="00B460F0"/>
    <w:rsid w:val="00B46150"/>
    <w:rsid w:val="00B476E8"/>
    <w:rsid w:val="00B47E51"/>
    <w:rsid w:val="00B54FD7"/>
    <w:rsid w:val="00B71D25"/>
    <w:rsid w:val="00B72D41"/>
    <w:rsid w:val="00B73861"/>
    <w:rsid w:val="00B76456"/>
    <w:rsid w:val="00B818AE"/>
    <w:rsid w:val="00B81CD1"/>
    <w:rsid w:val="00B82937"/>
    <w:rsid w:val="00B82A8F"/>
    <w:rsid w:val="00B93835"/>
    <w:rsid w:val="00B94BB2"/>
    <w:rsid w:val="00B95715"/>
    <w:rsid w:val="00B96363"/>
    <w:rsid w:val="00BA102F"/>
    <w:rsid w:val="00BA2502"/>
    <w:rsid w:val="00BA3AE2"/>
    <w:rsid w:val="00BA440E"/>
    <w:rsid w:val="00BA5EBE"/>
    <w:rsid w:val="00BA75F7"/>
    <w:rsid w:val="00BB0211"/>
    <w:rsid w:val="00BB080B"/>
    <w:rsid w:val="00BB2AEC"/>
    <w:rsid w:val="00BB6168"/>
    <w:rsid w:val="00BB67DD"/>
    <w:rsid w:val="00BC3536"/>
    <w:rsid w:val="00BC7C1C"/>
    <w:rsid w:val="00BD374E"/>
    <w:rsid w:val="00BD475D"/>
    <w:rsid w:val="00BE071E"/>
    <w:rsid w:val="00BE19F4"/>
    <w:rsid w:val="00BE2870"/>
    <w:rsid w:val="00BE4603"/>
    <w:rsid w:val="00BE6D93"/>
    <w:rsid w:val="00BE773A"/>
    <w:rsid w:val="00BF2D79"/>
    <w:rsid w:val="00BF3D4E"/>
    <w:rsid w:val="00BF482E"/>
    <w:rsid w:val="00C03C59"/>
    <w:rsid w:val="00C15219"/>
    <w:rsid w:val="00C2425D"/>
    <w:rsid w:val="00C24E8F"/>
    <w:rsid w:val="00C25AE1"/>
    <w:rsid w:val="00C2666F"/>
    <w:rsid w:val="00C30BCA"/>
    <w:rsid w:val="00C30CA8"/>
    <w:rsid w:val="00C31891"/>
    <w:rsid w:val="00C33176"/>
    <w:rsid w:val="00C3319A"/>
    <w:rsid w:val="00C34F63"/>
    <w:rsid w:val="00C459F5"/>
    <w:rsid w:val="00C45D7C"/>
    <w:rsid w:val="00C46D53"/>
    <w:rsid w:val="00C47AF6"/>
    <w:rsid w:val="00C50B75"/>
    <w:rsid w:val="00C6203D"/>
    <w:rsid w:val="00C66381"/>
    <w:rsid w:val="00C70967"/>
    <w:rsid w:val="00C71522"/>
    <w:rsid w:val="00C72773"/>
    <w:rsid w:val="00C76118"/>
    <w:rsid w:val="00C76A96"/>
    <w:rsid w:val="00C77BE4"/>
    <w:rsid w:val="00C839EB"/>
    <w:rsid w:val="00C92820"/>
    <w:rsid w:val="00C92E50"/>
    <w:rsid w:val="00C9466D"/>
    <w:rsid w:val="00CA02B8"/>
    <w:rsid w:val="00CA3ED9"/>
    <w:rsid w:val="00CA4012"/>
    <w:rsid w:val="00CB1BFD"/>
    <w:rsid w:val="00CB2D00"/>
    <w:rsid w:val="00CB3CAE"/>
    <w:rsid w:val="00CB5479"/>
    <w:rsid w:val="00CB5839"/>
    <w:rsid w:val="00CB6477"/>
    <w:rsid w:val="00CB65D2"/>
    <w:rsid w:val="00CB7429"/>
    <w:rsid w:val="00CC26F9"/>
    <w:rsid w:val="00CC64BF"/>
    <w:rsid w:val="00CC7F55"/>
    <w:rsid w:val="00CD4E8C"/>
    <w:rsid w:val="00CD5294"/>
    <w:rsid w:val="00CD5BD1"/>
    <w:rsid w:val="00CD6B39"/>
    <w:rsid w:val="00CE088A"/>
    <w:rsid w:val="00CE124E"/>
    <w:rsid w:val="00CE4551"/>
    <w:rsid w:val="00CF48CB"/>
    <w:rsid w:val="00CF5DC2"/>
    <w:rsid w:val="00CF6792"/>
    <w:rsid w:val="00D00D76"/>
    <w:rsid w:val="00D0258C"/>
    <w:rsid w:val="00D02A47"/>
    <w:rsid w:val="00D06214"/>
    <w:rsid w:val="00D1180E"/>
    <w:rsid w:val="00D15FE3"/>
    <w:rsid w:val="00D20023"/>
    <w:rsid w:val="00D20D70"/>
    <w:rsid w:val="00D23711"/>
    <w:rsid w:val="00D24CF8"/>
    <w:rsid w:val="00D26CCE"/>
    <w:rsid w:val="00D31C77"/>
    <w:rsid w:val="00D31E1D"/>
    <w:rsid w:val="00D31E27"/>
    <w:rsid w:val="00D4300F"/>
    <w:rsid w:val="00D43837"/>
    <w:rsid w:val="00D45B9F"/>
    <w:rsid w:val="00D517C2"/>
    <w:rsid w:val="00D51FAB"/>
    <w:rsid w:val="00D5249A"/>
    <w:rsid w:val="00D528BF"/>
    <w:rsid w:val="00D56E7D"/>
    <w:rsid w:val="00D57753"/>
    <w:rsid w:val="00D57FE2"/>
    <w:rsid w:val="00D62EDB"/>
    <w:rsid w:val="00D6621E"/>
    <w:rsid w:val="00D71ACE"/>
    <w:rsid w:val="00D72311"/>
    <w:rsid w:val="00D727A1"/>
    <w:rsid w:val="00D76C01"/>
    <w:rsid w:val="00D776A3"/>
    <w:rsid w:val="00D77D09"/>
    <w:rsid w:val="00D8027A"/>
    <w:rsid w:val="00D80A01"/>
    <w:rsid w:val="00D80CF5"/>
    <w:rsid w:val="00D83BE1"/>
    <w:rsid w:val="00D8500C"/>
    <w:rsid w:val="00D8540C"/>
    <w:rsid w:val="00D9329D"/>
    <w:rsid w:val="00D9685B"/>
    <w:rsid w:val="00DA1FF8"/>
    <w:rsid w:val="00DA23B8"/>
    <w:rsid w:val="00DA40E0"/>
    <w:rsid w:val="00DA683D"/>
    <w:rsid w:val="00DB0CAF"/>
    <w:rsid w:val="00DB189F"/>
    <w:rsid w:val="00DB32C0"/>
    <w:rsid w:val="00DC6261"/>
    <w:rsid w:val="00DD71BD"/>
    <w:rsid w:val="00DE0FA4"/>
    <w:rsid w:val="00DE13A9"/>
    <w:rsid w:val="00DE2BFC"/>
    <w:rsid w:val="00DE50FC"/>
    <w:rsid w:val="00DE57E7"/>
    <w:rsid w:val="00DF01F6"/>
    <w:rsid w:val="00DF0860"/>
    <w:rsid w:val="00E0064A"/>
    <w:rsid w:val="00E030D9"/>
    <w:rsid w:val="00E0468A"/>
    <w:rsid w:val="00E06CAA"/>
    <w:rsid w:val="00E0710B"/>
    <w:rsid w:val="00E1178E"/>
    <w:rsid w:val="00E117FF"/>
    <w:rsid w:val="00E119D2"/>
    <w:rsid w:val="00E14FA1"/>
    <w:rsid w:val="00E239E7"/>
    <w:rsid w:val="00E330C4"/>
    <w:rsid w:val="00E33F30"/>
    <w:rsid w:val="00E34BD6"/>
    <w:rsid w:val="00E369B8"/>
    <w:rsid w:val="00E37C64"/>
    <w:rsid w:val="00E42199"/>
    <w:rsid w:val="00E42582"/>
    <w:rsid w:val="00E4510A"/>
    <w:rsid w:val="00E454A7"/>
    <w:rsid w:val="00E4625C"/>
    <w:rsid w:val="00E47811"/>
    <w:rsid w:val="00E47F6F"/>
    <w:rsid w:val="00E51A47"/>
    <w:rsid w:val="00E61C7D"/>
    <w:rsid w:val="00E6239D"/>
    <w:rsid w:val="00E661D3"/>
    <w:rsid w:val="00E70249"/>
    <w:rsid w:val="00E72FD4"/>
    <w:rsid w:val="00E737BD"/>
    <w:rsid w:val="00E73CE1"/>
    <w:rsid w:val="00E7404A"/>
    <w:rsid w:val="00E7472E"/>
    <w:rsid w:val="00E75113"/>
    <w:rsid w:val="00E834D8"/>
    <w:rsid w:val="00E85FA7"/>
    <w:rsid w:val="00E90EE3"/>
    <w:rsid w:val="00E9689A"/>
    <w:rsid w:val="00E9710E"/>
    <w:rsid w:val="00E97B1B"/>
    <w:rsid w:val="00EA416D"/>
    <w:rsid w:val="00EB2050"/>
    <w:rsid w:val="00EC311F"/>
    <w:rsid w:val="00EC319B"/>
    <w:rsid w:val="00EC512F"/>
    <w:rsid w:val="00EC5AF5"/>
    <w:rsid w:val="00ED00DA"/>
    <w:rsid w:val="00ED09C3"/>
    <w:rsid w:val="00ED43A2"/>
    <w:rsid w:val="00ED4F80"/>
    <w:rsid w:val="00ED65A3"/>
    <w:rsid w:val="00ED718F"/>
    <w:rsid w:val="00EE0CE1"/>
    <w:rsid w:val="00EE49BA"/>
    <w:rsid w:val="00EF33F4"/>
    <w:rsid w:val="00EF41FC"/>
    <w:rsid w:val="00EF44B3"/>
    <w:rsid w:val="00F01D17"/>
    <w:rsid w:val="00F15BE2"/>
    <w:rsid w:val="00F17D73"/>
    <w:rsid w:val="00F2402C"/>
    <w:rsid w:val="00F25622"/>
    <w:rsid w:val="00F25C0A"/>
    <w:rsid w:val="00F3236D"/>
    <w:rsid w:val="00F34A0D"/>
    <w:rsid w:val="00F364BE"/>
    <w:rsid w:val="00F40B2A"/>
    <w:rsid w:val="00F46478"/>
    <w:rsid w:val="00F52794"/>
    <w:rsid w:val="00F54205"/>
    <w:rsid w:val="00F54D8E"/>
    <w:rsid w:val="00F62ABE"/>
    <w:rsid w:val="00F62DBF"/>
    <w:rsid w:val="00F62E99"/>
    <w:rsid w:val="00F67F7D"/>
    <w:rsid w:val="00F710BF"/>
    <w:rsid w:val="00F72D76"/>
    <w:rsid w:val="00F72E60"/>
    <w:rsid w:val="00F74B56"/>
    <w:rsid w:val="00F75C38"/>
    <w:rsid w:val="00F76ED7"/>
    <w:rsid w:val="00F80704"/>
    <w:rsid w:val="00F90C1A"/>
    <w:rsid w:val="00F92957"/>
    <w:rsid w:val="00FA0577"/>
    <w:rsid w:val="00FA2B82"/>
    <w:rsid w:val="00FA6BB8"/>
    <w:rsid w:val="00FB28ED"/>
    <w:rsid w:val="00FB3ECA"/>
    <w:rsid w:val="00FC42AC"/>
    <w:rsid w:val="00FC442A"/>
    <w:rsid w:val="00FD18F8"/>
    <w:rsid w:val="00FD3F6E"/>
    <w:rsid w:val="00FE329F"/>
    <w:rsid w:val="00FE41AD"/>
    <w:rsid w:val="00FE53B6"/>
    <w:rsid w:val="00FF0949"/>
    <w:rsid w:val="00FF0BFD"/>
    <w:rsid w:val="00FF1209"/>
    <w:rsid w:val="00FF741F"/>
    <w:rsid w:val="01006864"/>
    <w:rsid w:val="010E7209"/>
    <w:rsid w:val="011B5DDA"/>
    <w:rsid w:val="01211A39"/>
    <w:rsid w:val="01472A9F"/>
    <w:rsid w:val="01A75288"/>
    <w:rsid w:val="01CE5644"/>
    <w:rsid w:val="01FA3230"/>
    <w:rsid w:val="01FD2170"/>
    <w:rsid w:val="0209490D"/>
    <w:rsid w:val="02127415"/>
    <w:rsid w:val="0223230E"/>
    <w:rsid w:val="02570C1E"/>
    <w:rsid w:val="02B46B5F"/>
    <w:rsid w:val="035317B7"/>
    <w:rsid w:val="03841DEB"/>
    <w:rsid w:val="038C4E31"/>
    <w:rsid w:val="039B6731"/>
    <w:rsid w:val="03B24ED6"/>
    <w:rsid w:val="03C874C4"/>
    <w:rsid w:val="03D86806"/>
    <w:rsid w:val="03E7732E"/>
    <w:rsid w:val="03F624D0"/>
    <w:rsid w:val="03FD6967"/>
    <w:rsid w:val="03FF2EED"/>
    <w:rsid w:val="04115210"/>
    <w:rsid w:val="041271E2"/>
    <w:rsid w:val="044C08AF"/>
    <w:rsid w:val="0455550C"/>
    <w:rsid w:val="045949C9"/>
    <w:rsid w:val="045A62DF"/>
    <w:rsid w:val="0470557E"/>
    <w:rsid w:val="04963373"/>
    <w:rsid w:val="049878B3"/>
    <w:rsid w:val="04B457C9"/>
    <w:rsid w:val="04B919A1"/>
    <w:rsid w:val="04C20F03"/>
    <w:rsid w:val="04CD6BE8"/>
    <w:rsid w:val="04D04858"/>
    <w:rsid w:val="04D30A9F"/>
    <w:rsid w:val="04E8795F"/>
    <w:rsid w:val="04EE232D"/>
    <w:rsid w:val="050B6DA2"/>
    <w:rsid w:val="051F38D1"/>
    <w:rsid w:val="052B0FAC"/>
    <w:rsid w:val="053924C5"/>
    <w:rsid w:val="057A02A7"/>
    <w:rsid w:val="0582255B"/>
    <w:rsid w:val="05936989"/>
    <w:rsid w:val="05956680"/>
    <w:rsid w:val="05B22835"/>
    <w:rsid w:val="05B55DCC"/>
    <w:rsid w:val="05B94C7A"/>
    <w:rsid w:val="06125882"/>
    <w:rsid w:val="064A50F0"/>
    <w:rsid w:val="064D1C2F"/>
    <w:rsid w:val="065740BE"/>
    <w:rsid w:val="06574BDD"/>
    <w:rsid w:val="06725158"/>
    <w:rsid w:val="06A01A1D"/>
    <w:rsid w:val="06A57702"/>
    <w:rsid w:val="06B157FF"/>
    <w:rsid w:val="06B65116"/>
    <w:rsid w:val="06B86FC6"/>
    <w:rsid w:val="06C62DBD"/>
    <w:rsid w:val="06CC049D"/>
    <w:rsid w:val="06CC182E"/>
    <w:rsid w:val="06E04FA1"/>
    <w:rsid w:val="06E24864"/>
    <w:rsid w:val="06E85A77"/>
    <w:rsid w:val="07245A93"/>
    <w:rsid w:val="0729090D"/>
    <w:rsid w:val="0734697B"/>
    <w:rsid w:val="07593CDF"/>
    <w:rsid w:val="079322C1"/>
    <w:rsid w:val="079E3FAE"/>
    <w:rsid w:val="07B00753"/>
    <w:rsid w:val="07B61CB8"/>
    <w:rsid w:val="07B86A18"/>
    <w:rsid w:val="07BD6B14"/>
    <w:rsid w:val="07C64D89"/>
    <w:rsid w:val="07CB6F20"/>
    <w:rsid w:val="07D66955"/>
    <w:rsid w:val="07D93957"/>
    <w:rsid w:val="07E36908"/>
    <w:rsid w:val="07FC7CFE"/>
    <w:rsid w:val="080216A5"/>
    <w:rsid w:val="08351F6A"/>
    <w:rsid w:val="086B0658"/>
    <w:rsid w:val="08745BB7"/>
    <w:rsid w:val="08780C4D"/>
    <w:rsid w:val="087D5760"/>
    <w:rsid w:val="08B6302F"/>
    <w:rsid w:val="08D73C03"/>
    <w:rsid w:val="08FA7E92"/>
    <w:rsid w:val="09061B04"/>
    <w:rsid w:val="090650A8"/>
    <w:rsid w:val="0915310C"/>
    <w:rsid w:val="09233469"/>
    <w:rsid w:val="09252A2B"/>
    <w:rsid w:val="094248AA"/>
    <w:rsid w:val="096B3852"/>
    <w:rsid w:val="09902C6B"/>
    <w:rsid w:val="09D71A87"/>
    <w:rsid w:val="09E632B5"/>
    <w:rsid w:val="09F337E1"/>
    <w:rsid w:val="0A04296A"/>
    <w:rsid w:val="0A2B70EA"/>
    <w:rsid w:val="0A5D231B"/>
    <w:rsid w:val="0AAA3F3D"/>
    <w:rsid w:val="0B0A781D"/>
    <w:rsid w:val="0B225CDD"/>
    <w:rsid w:val="0B6418A3"/>
    <w:rsid w:val="0BA910DE"/>
    <w:rsid w:val="0BB252F3"/>
    <w:rsid w:val="0BB857F8"/>
    <w:rsid w:val="0BBB5588"/>
    <w:rsid w:val="0C10036A"/>
    <w:rsid w:val="0C18449D"/>
    <w:rsid w:val="0C2A20A1"/>
    <w:rsid w:val="0C4F0FDF"/>
    <w:rsid w:val="0C5924E3"/>
    <w:rsid w:val="0C6626CC"/>
    <w:rsid w:val="0C6844C8"/>
    <w:rsid w:val="0C8811FA"/>
    <w:rsid w:val="0C8B2D0D"/>
    <w:rsid w:val="0C9325A6"/>
    <w:rsid w:val="0CDA3920"/>
    <w:rsid w:val="0CDC2EE6"/>
    <w:rsid w:val="0CE25212"/>
    <w:rsid w:val="0CE936E7"/>
    <w:rsid w:val="0CEC7FA1"/>
    <w:rsid w:val="0D535F42"/>
    <w:rsid w:val="0D610709"/>
    <w:rsid w:val="0D616F91"/>
    <w:rsid w:val="0D911490"/>
    <w:rsid w:val="0D9D1C5D"/>
    <w:rsid w:val="0DA80E7B"/>
    <w:rsid w:val="0DB14C21"/>
    <w:rsid w:val="0DB71587"/>
    <w:rsid w:val="0DBB4F87"/>
    <w:rsid w:val="0DFB7AB8"/>
    <w:rsid w:val="0E06573B"/>
    <w:rsid w:val="0E475276"/>
    <w:rsid w:val="0E5A1B0D"/>
    <w:rsid w:val="0E7F79F0"/>
    <w:rsid w:val="0E9A556F"/>
    <w:rsid w:val="0EA24ECB"/>
    <w:rsid w:val="0EF37C53"/>
    <w:rsid w:val="0F02596B"/>
    <w:rsid w:val="0F137E85"/>
    <w:rsid w:val="0F770DF1"/>
    <w:rsid w:val="0F926EC2"/>
    <w:rsid w:val="0F997136"/>
    <w:rsid w:val="0FC11775"/>
    <w:rsid w:val="0FF0443C"/>
    <w:rsid w:val="0FF46924"/>
    <w:rsid w:val="10026C11"/>
    <w:rsid w:val="10140836"/>
    <w:rsid w:val="103B3931"/>
    <w:rsid w:val="104027D5"/>
    <w:rsid w:val="105C02B0"/>
    <w:rsid w:val="105E62C6"/>
    <w:rsid w:val="10602A89"/>
    <w:rsid w:val="10693071"/>
    <w:rsid w:val="107E3774"/>
    <w:rsid w:val="10A4355C"/>
    <w:rsid w:val="10AD5F1C"/>
    <w:rsid w:val="10C41590"/>
    <w:rsid w:val="10CD2934"/>
    <w:rsid w:val="10EF1311"/>
    <w:rsid w:val="10FB7B17"/>
    <w:rsid w:val="1101612D"/>
    <w:rsid w:val="11065B66"/>
    <w:rsid w:val="11194440"/>
    <w:rsid w:val="11393560"/>
    <w:rsid w:val="11424053"/>
    <w:rsid w:val="116225F0"/>
    <w:rsid w:val="117B5958"/>
    <w:rsid w:val="11A02D46"/>
    <w:rsid w:val="11DD2FBC"/>
    <w:rsid w:val="11DE4C26"/>
    <w:rsid w:val="1207795B"/>
    <w:rsid w:val="120D3D54"/>
    <w:rsid w:val="12236091"/>
    <w:rsid w:val="123D1D47"/>
    <w:rsid w:val="12606F77"/>
    <w:rsid w:val="12862094"/>
    <w:rsid w:val="12A73823"/>
    <w:rsid w:val="12AB5868"/>
    <w:rsid w:val="12AC2865"/>
    <w:rsid w:val="12BA5523"/>
    <w:rsid w:val="12BE0638"/>
    <w:rsid w:val="12C47926"/>
    <w:rsid w:val="12EC50FD"/>
    <w:rsid w:val="130376BC"/>
    <w:rsid w:val="132E6920"/>
    <w:rsid w:val="13686026"/>
    <w:rsid w:val="1388098A"/>
    <w:rsid w:val="138D7A06"/>
    <w:rsid w:val="139A484C"/>
    <w:rsid w:val="13AA3191"/>
    <w:rsid w:val="13E27192"/>
    <w:rsid w:val="1412039A"/>
    <w:rsid w:val="142A6526"/>
    <w:rsid w:val="144C2AAE"/>
    <w:rsid w:val="144F47C9"/>
    <w:rsid w:val="144F7D64"/>
    <w:rsid w:val="1474542C"/>
    <w:rsid w:val="149B6774"/>
    <w:rsid w:val="14C76F5B"/>
    <w:rsid w:val="14DF1AC8"/>
    <w:rsid w:val="151B20EC"/>
    <w:rsid w:val="151E06C7"/>
    <w:rsid w:val="156134F5"/>
    <w:rsid w:val="15664BFA"/>
    <w:rsid w:val="156C2740"/>
    <w:rsid w:val="15CD4DF6"/>
    <w:rsid w:val="15E66BD7"/>
    <w:rsid w:val="15E67710"/>
    <w:rsid w:val="15F70B8B"/>
    <w:rsid w:val="16016F15"/>
    <w:rsid w:val="16036576"/>
    <w:rsid w:val="16371423"/>
    <w:rsid w:val="163D31EC"/>
    <w:rsid w:val="167C46E0"/>
    <w:rsid w:val="168D7C94"/>
    <w:rsid w:val="16BB7B71"/>
    <w:rsid w:val="16D31800"/>
    <w:rsid w:val="16E07B38"/>
    <w:rsid w:val="170A4214"/>
    <w:rsid w:val="171715C0"/>
    <w:rsid w:val="171A2478"/>
    <w:rsid w:val="17230DEC"/>
    <w:rsid w:val="174A0545"/>
    <w:rsid w:val="174D367B"/>
    <w:rsid w:val="17714DE9"/>
    <w:rsid w:val="178A5389"/>
    <w:rsid w:val="179F6666"/>
    <w:rsid w:val="17CD3155"/>
    <w:rsid w:val="17D60854"/>
    <w:rsid w:val="17E12475"/>
    <w:rsid w:val="17EC179B"/>
    <w:rsid w:val="17EF1804"/>
    <w:rsid w:val="18384996"/>
    <w:rsid w:val="18404715"/>
    <w:rsid w:val="18831393"/>
    <w:rsid w:val="18897022"/>
    <w:rsid w:val="18BD3432"/>
    <w:rsid w:val="18E715AA"/>
    <w:rsid w:val="18E74C47"/>
    <w:rsid w:val="18EA2C67"/>
    <w:rsid w:val="18F31E73"/>
    <w:rsid w:val="1912484B"/>
    <w:rsid w:val="191E51E1"/>
    <w:rsid w:val="196067BC"/>
    <w:rsid w:val="196937EA"/>
    <w:rsid w:val="196F3A5B"/>
    <w:rsid w:val="1986042A"/>
    <w:rsid w:val="199B5654"/>
    <w:rsid w:val="19AC35E0"/>
    <w:rsid w:val="19DC5F06"/>
    <w:rsid w:val="1A016CC7"/>
    <w:rsid w:val="1A042B9E"/>
    <w:rsid w:val="1A044DC3"/>
    <w:rsid w:val="1A06589B"/>
    <w:rsid w:val="1A071480"/>
    <w:rsid w:val="1A092901"/>
    <w:rsid w:val="1A29188C"/>
    <w:rsid w:val="1A3101D1"/>
    <w:rsid w:val="1A330F6A"/>
    <w:rsid w:val="1A5A26B3"/>
    <w:rsid w:val="1A7144D1"/>
    <w:rsid w:val="1AA25FDA"/>
    <w:rsid w:val="1AAE0F52"/>
    <w:rsid w:val="1ABA0E22"/>
    <w:rsid w:val="1ADD5092"/>
    <w:rsid w:val="1AFE1FD6"/>
    <w:rsid w:val="1B1872F1"/>
    <w:rsid w:val="1B302CEC"/>
    <w:rsid w:val="1B356690"/>
    <w:rsid w:val="1B4518A1"/>
    <w:rsid w:val="1B6C13EB"/>
    <w:rsid w:val="1B934836"/>
    <w:rsid w:val="1B9626E7"/>
    <w:rsid w:val="1BA813B3"/>
    <w:rsid w:val="1BB04867"/>
    <w:rsid w:val="1BBD46DD"/>
    <w:rsid w:val="1BC41566"/>
    <w:rsid w:val="1BF36727"/>
    <w:rsid w:val="1C365C11"/>
    <w:rsid w:val="1C3846D2"/>
    <w:rsid w:val="1C407FF5"/>
    <w:rsid w:val="1C4249D9"/>
    <w:rsid w:val="1C5910FA"/>
    <w:rsid w:val="1C95108A"/>
    <w:rsid w:val="1C964D52"/>
    <w:rsid w:val="1CC72D5A"/>
    <w:rsid w:val="1CCF5AD2"/>
    <w:rsid w:val="1CD04E00"/>
    <w:rsid w:val="1CF33FE4"/>
    <w:rsid w:val="1D0110A6"/>
    <w:rsid w:val="1D152F4F"/>
    <w:rsid w:val="1D214F85"/>
    <w:rsid w:val="1D3B54F9"/>
    <w:rsid w:val="1D4C2B5E"/>
    <w:rsid w:val="1D786523"/>
    <w:rsid w:val="1D827512"/>
    <w:rsid w:val="1D944700"/>
    <w:rsid w:val="1DAC5F84"/>
    <w:rsid w:val="1DB21ADF"/>
    <w:rsid w:val="1DCA11D8"/>
    <w:rsid w:val="1DCF3DBC"/>
    <w:rsid w:val="1DD71083"/>
    <w:rsid w:val="1DF41948"/>
    <w:rsid w:val="1E001F14"/>
    <w:rsid w:val="1E1015A7"/>
    <w:rsid w:val="1E324F13"/>
    <w:rsid w:val="1E511447"/>
    <w:rsid w:val="1E5F7850"/>
    <w:rsid w:val="1E732A26"/>
    <w:rsid w:val="1E8A078A"/>
    <w:rsid w:val="1E9263A2"/>
    <w:rsid w:val="1E966A7B"/>
    <w:rsid w:val="1E966C68"/>
    <w:rsid w:val="1EAB2953"/>
    <w:rsid w:val="1ED01435"/>
    <w:rsid w:val="1ED848E3"/>
    <w:rsid w:val="1F03583F"/>
    <w:rsid w:val="1F341677"/>
    <w:rsid w:val="1F4C3284"/>
    <w:rsid w:val="1F4D5E27"/>
    <w:rsid w:val="1F5C1A5C"/>
    <w:rsid w:val="1F8B14BF"/>
    <w:rsid w:val="1FA11EA9"/>
    <w:rsid w:val="1FA63819"/>
    <w:rsid w:val="1FB3515E"/>
    <w:rsid w:val="1FE635BD"/>
    <w:rsid w:val="1FFE2CBB"/>
    <w:rsid w:val="201B0D43"/>
    <w:rsid w:val="201B40F3"/>
    <w:rsid w:val="206A02E7"/>
    <w:rsid w:val="20777B58"/>
    <w:rsid w:val="20A531B4"/>
    <w:rsid w:val="20AD76A7"/>
    <w:rsid w:val="20B941D6"/>
    <w:rsid w:val="20BA6609"/>
    <w:rsid w:val="20D44ED3"/>
    <w:rsid w:val="20F47319"/>
    <w:rsid w:val="20F4746E"/>
    <w:rsid w:val="21290489"/>
    <w:rsid w:val="2133463D"/>
    <w:rsid w:val="213A5A53"/>
    <w:rsid w:val="214467A1"/>
    <w:rsid w:val="21720A54"/>
    <w:rsid w:val="218E0D57"/>
    <w:rsid w:val="219E0135"/>
    <w:rsid w:val="21AE78D3"/>
    <w:rsid w:val="21B82FD2"/>
    <w:rsid w:val="21BD4029"/>
    <w:rsid w:val="21D62158"/>
    <w:rsid w:val="21D67ABF"/>
    <w:rsid w:val="21FB7527"/>
    <w:rsid w:val="22204AFE"/>
    <w:rsid w:val="22401299"/>
    <w:rsid w:val="22414F39"/>
    <w:rsid w:val="224308C2"/>
    <w:rsid w:val="227B61A2"/>
    <w:rsid w:val="227F5696"/>
    <w:rsid w:val="22824F78"/>
    <w:rsid w:val="228C74BB"/>
    <w:rsid w:val="228F1C88"/>
    <w:rsid w:val="228F539C"/>
    <w:rsid w:val="22BD4458"/>
    <w:rsid w:val="22E31F7B"/>
    <w:rsid w:val="22F33F3B"/>
    <w:rsid w:val="22F86654"/>
    <w:rsid w:val="230439A5"/>
    <w:rsid w:val="23115CC6"/>
    <w:rsid w:val="23146489"/>
    <w:rsid w:val="232A3068"/>
    <w:rsid w:val="23834B80"/>
    <w:rsid w:val="239074F5"/>
    <w:rsid w:val="23CF5D5A"/>
    <w:rsid w:val="23DE339C"/>
    <w:rsid w:val="23F24306"/>
    <w:rsid w:val="23F41152"/>
    <w:rsid w:val="240E6ED0"/>
    <w:rsid w:val="247135BF"/>
    <w:rsid w:val="24A86764"/>
    <w:rsid w:val="24C716E7"/>
    <w:rsid w:val="24D61B67"/>
    <w:rsid w:val="24DC3E0A"/>
    <w:rsid w:val="24F8104B"/>
    <w:rsid w:val="24F94BE9"/>
    <w:rsid w:val="253551C5"/>
    <w:rsid w:val="253A525E"/>
    <w:rsid w:val="25463C61"/>
    <w:rsid w:val="254C7941"/>
    <w:rsid w:val="25560E8B"/>
    <w:rsid w:val="259963ED"/>
    <w:rsid w:val="25E640A9"/>
    <w:rsid w:val="262540F5"/>
    <w:rsid w:val="262E0B64"/>
    <w:rsid w:val="262E3A70"/>
    <w:rsid w:val="262E65A6"/>
    <w:rsid w:val="263D053D"/>
    <w:rsid w:val="267F6AF9"/>
    <w:rsid w:val="26B166D1"/>
    <w:rsid w:val="26D426F1"/>
    <w:rsid w:val="27156440"/>
    <w:rsid w:val="271654B1"/>
    <w:rsid w:val="273977D4"/>
    <w:rsid w:val="27567CD1"/>
    <w:rsid w:val="2775227B"/>
    <w:rsid w:val="27820816"/>
    <w:rsid w:val="27842C96"/>
    <w:rsid w:val="278964D8"/>
    <w:rsid w:val="27B616F4"/>
    <w:rsid w:val="27DD00AE"/>
    <w:rsid w:val="27E55AAC"/>
    <w:rsid w:val="27E6216A"/>
    <w:rsid w:val="28067BC8"/>
    <w:rsid w:val="28160ACE"/>
    <w:rsid w:val="28434E5A"/>
    <w:rsid w:val="284A4DE8"/>
    <w:rsid w:val="284B041B"/>
    <w:rsid w:val="284B0433"/>
    <w:rsid w:val="287870EF"/>
    <w:rsid w:val="288E742C"/>
    <w:rsid w:val="28965BEA"/>
    <w:rsid w:val="28A93C43"/>
    <w:rsid w:val="28AF098E"/>
    <w:rsid w:val="28BF4074"/>
    <w:rsid w:val="28EE1DCC"/>
    <w:rsid w:val="28F770E7"/>
    <w:rsid w:val="29BC6378"/>
    <w:rsid w:val="2A061898"/>
    <w:rsid w:val="2A58151E"/>
    <w:rsid w:val="2A763AF7"/>
    <w:rsid w:val="2A940CDD"/>
    <w:rsid w:val="2AA0777D"/>
    <w:rsid w:val="2AA55EE0"/>
    <w:rsid w:val="2AC074C0"/>
    <w:rsid w:val="2AC25E6A"/>
    <w:rsid w:val="2AE91170"/>
    <w:rsid w:val="2B2E4DBD"/>
    <w:rsid w:val="2B8E7402"/>
    <w:rsid w:val="2BBA00BE"/>
    <w:rsid w:val="2BBF78D5"/>
    <w:rsid w:val="2BE01D12"/>
    <w:rsid w:val="2C35018B"/>
    <w:rsid w:val="2C352898"/>
    <w:rsid w:val="2CA026F4"/>
    <w:rsid w:val="2CA26816"/>
    <w:rsid w:val="2CCD6948"/>
    <w:rsid w:val="2CD73A4B"/>
    <w:rsid w:val="2CEF12F1"/>
    <w:rsid w:val="2D5531F6"/>
    <w:rsid w:val="2D5F2B4D"/>
    <w:rsid w:val="2D6C6EEC"/>
    <w:rsid w:val="2D823A7E"/>
    <w:rsid w:val="2DA64657"/>
    <w:rsid w:val="2DDC6253"/>
    <w:rsid w:val="2DDE3469"/>
    <w:rsid w:val="2DE761E1"/>
    <w:rsid w:val="2DED3A7C"/>
    <w:rsid w:val="2DF10EC3"/>
    <w:rsid w:val="2DFB15AA"/>
    <w:rsid w:val="2E352848"/>
    <w:rsid w:val="2E697AF6"/>
    <w:rsid w:val="2E761875"/>
    <w:rsid w:val="2E844E1E"/>
    <w:rsid w:val="2E8C2431"/>
    <w:rsid w:val="2E8C7513"/>
    <w:rsid w:val="2EA60F76"/>
    <w:rsid w:val="2EB40A29"/>
    <w:rsid w:val="2EC90ED8"/>
    <w:rsid w:val="2EFD52DD"/>
    <w:rsid w:val="2F136509"/>
    <w:rsid w:val="2F576B46"/>
    <w:rsid w:val="2F69137B"/>
    <w:rsid w:val="2F9A752D"/>
    <w:rsid w:val="2F9E4CC6"/>
    <w:rsid w:val="2FA85F9C"/>
    <w:rsid w:val="2FB45E0B"/>
    <w:rsid w:val="2FDE19DB"/>
    <w:rsid w:val="2FE8220C"/>
    <w:rsid w:val="30127732"/>
    <w:rsid w:val="30210EF6"/>
    <w:rsid w:val="305470BC"/>
    <w:rsid w:val="30844189"/>
    <w:rsid w:val="30CF6CA9"/>
    <w:rsid w:val="30FC582C"/>
    <w:rsid w:val="31152766"/>
    <w:rsid w:val="31235D8D"/>
    <w:rsid w:val="312F5774"/>
    <w:rsid w:val="316909F6"/>
    <w:rsid w:val="31702034"/>
    <w:rsid w:val="317A7731"/>
    <w:rsid w:val="31897FC0"/>
    <w:rsid w:val="318E19EF"/>
    <w:rsid w:val="319A7BEC"/>
    <w:rsid w:val="31A961BB"/>
    <w:rsid w:val="31B01E5D"/>
    <w:rsid w:val="31C91797"/>
    <w:rsid w:val="31D96869"/>
    <w:rsid w:val="325F246F"/>
    <w:rsid w:val="328E0302"/>
    <w:rsid w:val="32911807"/>
    <w:rsid w:val="32BB5B93"/>
    <w:rsid w:val="32BE2E4B"/>
    <w:rsid w:val="32D63C42"/>
    <w:rsid w:val="332E0EAD"/>
    <w:rsid w:val="33326C5C"/>
    <w:rsid w:val="334677C4"/>
    <w:rsid w:val="33507893"/>
    <w:rsid w:val="33AA72F4"/>
    <w:rsid w:val="33BE4E27"/>
    <w:rsid w:val="33F22327"/>
    <w:rsid w:val="34226B1D"/>
    <w:rsid w:val="34584E9A"/>
    <w:rsid w:val="34721607"/>
    <w:rsid w:val="3486178D"/>
    <w:rsid w:val="34867345"/>
    <w:rsid w:val="348A1CAB"/>
    <w:rsid w:val="34956DA5"/>
    <w:rsid w:val="349B6585"/>
    <w:rsid w:val="349C4875"/>
    <w:rsid w:val="34A95418"/>
    <w:rsid w:val="34D05989"/>
    <w:rsid w:val="34D40BAF"/>
    <w:rsid w:val="34D56441"/>
    <w:rsid w:val="34D83195"/>
    <w:rsid w:val="34E0529C"/>
    <w:rsid w:val="34E775F4"/>
    <w:rsid w:val="35096962"/>
    <w:rsid w:val="35313A4B"/>
    <w:rsid w:val="354E2ED7"/>
    <w:rsid w:val="35543A8F"/>
    <w:rsid w:val="3565288A"/>
    <w:rsid w:val="358C2310"/>
    <w:rsid w:val="35994E80"/>
    <w:rsid w:val="35C8032F"/>
    <w:rsid w:val="35D74DF7"/>
    <w:rsid w:val="35E12272"/>
    <w:rsid w:val="35EA67D6"/>
    <w:rsid w:val="361847CA"/>
    <w:rsid w:val="366C6328"/>
    <w:rsid w:val="36761264"/>
    <w:rsid w:val="36890362"/>
    <w:rsid w:val="36A35AAF"/>
    <w:rsid w:val="36BE0A30"/>
    <w:rsid w:val="36C333B9"/>
    <w:rsid w:val="36EA1CBA"/>
    <w:rsid w:val="36EE3A02"/>
    <w:rsid w:val="37193246"/>
    <w:rsid w:val="37242C4D"/>
    <w:rsid w:val="3757410B"/>
    <w:rsid w:val="37743E97"/>
    <w:rsid w:val="377B070D"/>
    <w:rsid w:val="377B6572"/>
    <w:rsid w:val="377F0029"/>
    <w:rsid w:val="379A429F"/>
    <w:rsid w:val="37C62C52"/>
    <w:rsid w:val="37C6790E"/>
    <w:rsid w:val="380D5526"/>
    <w:rsid w:val="380E4215"/>
    <w:rsid w:val="38324155"/>
    <w:rsid w:val="3850145C"/>
    <w:rsid w:val="385A12DC"/>
    <w:rsid w:val="386B17D1"/>
    <w:rsid w:val="38792FE9"/>
    <w:rsid w:val="388018D1"/>
    <w:rsid w:val="388C35E6"/>
    <w:rsid w:val="38972389"/>
    <w:rsid w:val="389C0AFC"/>
    <w:rsid w:val="389E3DF5"/>
    <w:rsid w:val="38E416B4"/>
    <w:rsid w:val="38F54FFF"/>
    <w:rsid w:val="390C518A"/>
    <w:rsid w:val="394C729E"/>
    <w:rsid w:val="39513B1E"/>
    <w:rsid w:val="39D03A2E"/>
    <w:rsid w:val="3A2F307C"/>
    <w:rsid w:val="3A4912A4"/>
    <w:rsid w:val="3A8E10BD"/>
    <w:rsid w:val="3A983270"/>
    <w:rsid w:val="3AB36CDA"/>
    <w:rsid w:val="3ABC0DFE"/>
    <w:rsid w:val="3AD86393"/>
    <w:rsid w:val="3ADC114B"/>
    <w:rsid w:val="3B140595"/>
    <w:rsid w:val="3B2C58F1"/>
    <w:rsid w:val="3B315EDC"/>
    <w:rsid w:val="3B384197"/>
    <w:rsid w:val="3B5D322A"/>
    <w:rsid w:val="3B604DC0"/>
    <w:rsid w:val="3B696CB2"/>
    <w:rsid w:val="3B7005B5"/>
    <w:rsid w:val="3BF0598E"/>
    <w:rsid w:val="3BFE485B"/>
    <w:rsid w:val="3C3F6512"/>
    <w:rsid w:val="3C8C6C16"/>
    <w:rsid w:val="3C995986"/>
    <w:rsid w:val="3CB035B7"/>
    <w:rsid w:val="3CC470CC"/>
    <w:rsid w:val="3CD80107"/>
    <w:rsid w:val="3CE50F03"/>
    <w:rsid w:val="3CFF57E4"/>
    <w:rsid w:val="3D22533A"/>
    <w:rsid w:val="3D2E5EBD"/>
    <w:rsid w:val="3D31477E"/>
    <w:rsid w:val="3D4F55CB"/>
    <w:rsid w:val="3D6267B7"/>
    <w:rsid w:val="3D7622F3"/>
    <w:rsid w:val="3D815D1C"/>
    <w:rsid w:val="3D8559A8"/>
    <w:rsid w:val="3D876E6A"/>
    <w:rsid w:val="3DD612F0"/>
    <w:rsid w:val="3DD72A90"/>
    <w:rsid w:val="3DF612CF"/>
    <w:rsid w:val="3DF662D0"/>
    <w:rsid w:val="3E237C20"/>
    <w:rsid w:val="3E2E00D0"/>
    <w:rsid w:val="3E3418A1"/>
    <w:rsid w:val="3E5464E9"/>
    <w:rsid w:val="3E64001C"/>
    <w:rsid w:val="3E657D92"/>
    <w:rsid w:val="3E792415"/>
    <w:rsid w:val="3EA94C51"/>
    <w:rsid w:val="3EC80F53"/>
    <w:rsid w:val="3EDB042D"/>
    <w:rsid w:val="3F2A2445"/>
    <w:rsid w:val="3F301884"/>
    <w:rsid w:val="3F4770A6"/>
    <w:rsid w:val="3F516B13"/>
    <w:rsid w:val="3F64668C"/>
    <w:rsid w:val="3F744629"/>
    <w:rsid w:val="3F84674C"/>
    <w:rsid w:val="3F940E03"/>
    <w:rsid w:val="3FAA4B86"/>
    <w:rsid w:val="3FBA5E75"/>
    <w:rsid w:val="3FBC3F7A"/>
    <w:rsid w:val="3FC578AB"/>
    <w:rsid w:val="3FD74B18"/>
    <w:rsid w:val="3FDC5B89"/>
    <w:rsid w:val="3FFA628E"/>
    <w:rsid w:val="40025AF4"/>
    <w:rsid w:val="401C144D"/>
    <w:rsid w:val="4062668F"/>
    <w:rsid w:val="408273C9"/>
    <w:rsid w:val="40843452"/>
    <w:rsid w:val="408C7659"/>
    <w:rsid w:val="40A053EF"/>
    <w:rsid w:val="40A81548"/>
    <w:rsid w:val="40AB6C60"/>
    <w:rsid w:val="40B0258D"/>
    <w:rsid w:val="40C01A27"/>
    <w:rsid w:val="40C74DA5"/>
    <w:rsid w:val="40D12FFE"/>
    <w:rsid w:val="40DE1287"/>
    <w:rsid w:val="40E703D9"/>
    <w:rsid w:val="414174D9"/>
    <w:rsid w:val="414E4433"/>
    <w:rsid w:val="415C2E56"/>
    <w:rsid w:val="41771AC9"/>
    <w:rsid w:val="41934ECA"/>
    <w:rsid w:val="41BD4C4A"/>
    <w:rsid w:val="424A54BD"/>
    <w:rsid w:val="42663A28"/>
    <w:rsid w:val="42682AB6"/>
    <w:rsid w:val="427575E2"/>
    <w:rsid w:val="42870E3A"/>
    <w:rsid w:val="428978C7"/>
    <w:rsid w:val="42976274"/>
    <w:rsid w:val="42CD3136"/>
    <w:rsid w:val="42FB38B2"/>
    <w:rsid w:val="42FC6174"/>
    <w:rsid w:val="430A045F"/>
    <w:rsid w:val="4328748F"/>
    <w:rsid w:val="432D1498"/>
    <w:rsid w:val="43782B86"/>
    <w:rsid w:val="438A5574"/>
    <w:rsid w:val="438D2D00"/>
    <w:rsid w:val="43931AB1"/>
    <w:rsid w:val="43A7026F"/>
    <w:rsid w:val="43AE1A75"/>
    <w:rsid w:val="43CC0D4B"/>
    <w:rsid w:val="43EF7BE4"/>
    <w:rsid w:val="43FB0ED6"/>
    <w:rsid w:val="44330714"/>
    <w:rsid w:val="443C74EB"/>
    <w:rsid w:val="44494ED0"/>
    <w:rsid w:val="444F3D54"/>
    <w:rsid w:val="445B3FE0"/>
    <w:rsid w:val="44A80EE9"/>
    <w:rsid w:val="44C17DB6"/>
    <w:rsid w:val="44E16936"/>
    <w:rsid w:val="45300AB7"/>
    <w:rsid w:val="45321617"/>
    <w:rsid w:val="45497578"/>
    <w:rsid w:val="456B1751"/>
    <w:rsid w:val="459E753A"/>
    <w:rsid w:val="45A93709"/>
    <w:rsid w:val="45C045F1"/>
    <w:rsid w:val="45C568C5"/>
    <w:rsid w:val="45E1593D"/>
    <w:rsid w:val="45E214BB"/>
    <w:rsid w:val="4600785E"/>
    <w:rsid w:val="460728F4"/>
    <w:rsid w:val="461475DC"/>
    <w:rsid w:val="462F4263"/>
    <w:rsid w:val="463354AB"/>
    <w:rsid w:val="466852B1"/>
    <w:rsid w:val="46700834"/>
    <w:rsid w:val="46862D8A"/>
    <w:rsid w:val="469A527A"/>
    <w:rsid w:val="469C3027"/>
    <w:rsid w:val="46B3249B"/>
    <w:rsid w:val="46D4282C"/>
    <w:rsid w:val="46EE175B"/>
    <w:rsid w:val="473B169C"/>
    <w:rsid w:val="474B5885"/>
    <w:rsid w:val="47651E56"/>
    <w:rsid w:val="478308D7"/>
    <w:rsid w:val="47990963"/>
    <w:rsid w:val="47B36FC5"/>
    <w:rsid w:val="47CA38FB"/>
    <w:rsid w:val="47EB2CCC"/>
    <w:rsid w:val="47ED1E81"/>
    <w:rsid w:val="481D6FEB"/>
    <w:rsid w:val="48263D5B"/>
    <w:rsid w:val="485B09FC"/>
    <w:rsid w:val="48770F65"/>
    <w:rsid w:val="488C2E3C"/>
    <w:rsid w:val="48BD1736"/>
    <w:rsid w:val="48C4738F"/>
    <w:rsid w:val="48DF429B"/>
    <w:rsid w:val="48F67CBB"/>
    <w:rsid w:val="4946716E"/>
    <w:rsid w:val="4970592A"/>
    <w:rsid w:val="497F4FA2"/>
    <w:rsid w:val="499401D5"/>
    <w:rsid w:val="49C56DCF"/>
    <w:rsid w:val="49CB1615"/>
    <w:rsid w:val="49CC38DC"/>
    <w:rsid w:val="49F879FD"/>
    <w:rsid w:val="4A1659D3"/>
    <w:rsid w:val="4A221F1E"/>
    <w:rsid w:val="4A7A449D"/>
    <w:rsid w:val="4A9D554A"/>
    <w:rsid w:val="4A9F158E"/>
    <w:rsid w:val="4AAA5D18"/>
    <w:rsid w:val="4AB12231"/>
    <w:rsid w:val="4AC02B8E"/>
    <w:rsid w:val="4AD13E94"/>
    <w:rsid w:val="4AF20C3E"/>
    <w:rsid w:val="4B2335E5"/>
    <w:rsid w:val="4B29030D"/>
    <w:rsid w:val="4B5C1170"/>
    <w:rsid w:val="4B6B5023"/>
    <w:rsid w:val="4B9C6AF0"/>
    <w:rsid w:val="4BA4512E"/>
    <w:rsid w:val="4BB82720"/>
    <w:rsid w:val="4BF31E5B"/>
    <w:rsid w:val="4C16045B"/>
    <w:rsid w:val="4C441805"/>
    <w:rsid w:val="4C5F1CBC"/>
    <w:rsid w:val="4C697EEC"/>
    <w:rsid w:val="4C7F7EFC"/>
    <w:rsid w:val="4CB01329"/>
    <w:rsid w:val="4D3D4CE2"/>
    <w:rsid w:val="4D653FA0"/>
    <w:rsid w:val="4D7B0A5F"/>
    <w:rsid w:val="4DB25D89"/>
    <w:rsid w:val="4DCA7CDF"/>
    <w:rsid w:val="4DE37D66"/>
    <w:rsid w:val="4DFB148F"/>
    <w:rsid w:val="4E00279B"/>
    <w:rsid w:val="4E325885"/>
    <w:rsid w:val="4E326ED3"/>
    <w:rsid w:val="4E4213FC"/>
    <w:rsid w:val="4E4967E5"/>
    <w:rsid w:val="4EB4010A"/>
    <w:rsid w:val="4ECD5B10"/>
    <w:rsid w:val="4ED5121A"/>
    <w:rsid w:val="4EED5BEF"/>
    <w:rsid w:val="4EF063E8"/>
    <w:rsid w:val="4F1A1756"/>
    <w:rsid w:val="4F2D1A80"/>
    <w:rsid w:val="4F82396F"/>
    <w:rsid w:val="4F8735C2"/>
    <w:rsid w:val="4FB35FEB"/>
    <w:rsid w:val="4FB83E40"/>
    <w:rsid w:val="4FB92E4A"/>
    <w:rsid w:val="4FD40711"/>
    <w:rsid w:val="4FED55C5"/>
    <w:rsid w:val="500E2B04"/>
    <w:rsid w:val="501320EF"/>
    <w:rsid w:val="501645FA"/>
    <w:rsid w:val="50252009"/>
    <w:rsid w:val="50410B59"/>
    <w:rsid w:val="504316EA"/>
    <w:rsid w:val="50626EF4"/>
    <w:rsid w:val="507D1101"/>
    <w:rsid w:val="508316BD"/>
    <w:rsid w:val="50B85D7D"/>
    <w:rsid w:val="50B90847"/>
    <w:rsid w:val="50BC0E13"/>
    <w:rsid w:val="511B0423"/>
    <w:rsid w:val="512854FB"/>
    <w:rsid w:val="513004CD"/>
    <w:rsid w:val="513B0B69"/>
    <w:rsid w:val="51747FFB"/>
    <w:rsid w:val="517816CC"/>
    <w:rsid w:val="517A472D"/>
    <w:rsid w:val="517C619C"/>
    <w:rsid w:val="5181402E"/>
    <w:rsid w:val="51864806"/>
    <w:rsid w:val="51BD5275"/>
    <w:rsid w:val="51E97A93"/>
    <w:rsid w:val="51F67E74"/>
    <w:rsid w:val="51F91CC7"/>
    <w:rsid w:val="51FE3481"/>
    <w:rsid w:val="520F3869"/>
    <w:rsid w:val="522370B3"/>
    <w:rsid w:val="523334D8"/>
    <w:rsid w:val="52490367"/>
    <w:rsid w:val="52532671"/>
    <w:rsid w:val="526920DD"/>
    <w:rsid w:val="526A020C"/>
    <w:rsid w:val="526C3548"/>
    <w:rsid w:val="52C656A8"/>
    <w:rsid w:val="52E30E29"/>
    <w:rsid w:val="52FD1BE3"/>
    <w:rsid w:val="530C57B6"/>
    <w:rsid w:val="532C52BA"/>
    <w:rsid w:val="534166E3"/>
    <w:rsid w:val="53437CB9"/>
    <w:rsid w:val="534D11A7"/>
    <w:rsid w:val="5351464F"/>
    <w:rsid w:val="53525BC9"/>
    <w:rsid w:val="535578E9"/>
    <w:rsid w:val="535C7ACD"/>
    <w:rsid w:val="53614A58"/>
    <w:rsid w:val="537138AF"/>
    <w:rsid w:val="53720590"/>
    <w:rsid w:val="53914EBB"/>
    <w:rsid w:val="539602F9"/>
    <w:rsid w:val="53A85D01"/>
    <w:rsid w:val="53BC300D"/>
    <w:rsid w:val="53C46109"/>
    <w:rsid w:val="53D347B4"/>
    <w:rsid w:val="53EA6DA5"/>
    <w:rsid w:val="540D133A"/>
    <w:rsid w:val="54695C76"/>
    <w:rsid w:val="54782E46"/>
    <w:rsid w:val="547921A1"/>
    <w:rsid w:val="547E6A02"/>
    <w:rsid w:val="548E4AD5"/>
    <w:rsid w:val="54AE4908"/>
    <w:rsid w:val="54D412C6"/>
    <w:rsid w:val="54E0787A"/>
    <w:rsid w:val="54E57517"/>
    <w:rsid w:val="551D11AD"/>
    <w:rsid w:val="555D4E3A"/>
    <w:rsid w:val="55704312"/>
    <w:rsid w:val="557315B8"/>
    <w:rsid w:val="559308FC"/>
    <w:rsid w:val="55AB271C"/>
    <w:rsid w:val="55AF28AC"/>
    <w:rsid w:val="55E2324A"/>
    <w:rsid w:val="55F32C39"/>
    <w:rsid w:val="55FE1526"/>
    <w:rsid w:val="5652258B"/>
    <w:rsid w:val="56696B1B"/>
    <w:rsid w:val="56A76E08"/>
    <w:rsid w:val="572E265B"/>
    <w:rsid w:val="57566464"/>
    <w:rsid w:val="57630B0D"/>
    <w:rsid w:val="57675A50"/>
    <w:rsid w:val="578261E8"/>
    <w:rsid w:val="57871772"/>
    <w:rsid w:val="578D67BA"/>
    <w:rsid w:val="578F77BD"/>
    <w:rsid w:val="57C12C15"/>
    <w:rsid w:val="57C31A8B"/>
    <w:rsid w:val="57C86142"/>
    <w:rsid w:val="57D743F5"/>
    <w:rsid w:val="57DA5B37"/>
    <w:rsid w:val="57EE1340"/>
    <w:rsid w:val="57FF744B"/>
    <w:rsid w:val="58092904"/>
    <w:rsid w:val="580D13A2"/>
    <w:rsid w:val="580E06C7"/>
    <w:rsid w:val="583332B1"/>
    <w:rsid w:val="58C03A1C"/>
    <w:rsid w:val="58ED2BDF"/>
    <w:rsid w:val="58EE5032"/>
    <w:rsid w:val="58FB06F0"/>
    <w:rsid w:val="59104E1C"/>
    <w:rsid w:val="5919670A"/>
    <w:rsid w:val="59284E77"/>
    <w:rsid w:val="59386304"/>
    <w:rsid w:val="59391BC0"/>
    <w:rsid w:val="59595C42"/>
    <w:rsid w:val="59B267EA"/>
    <w:rsid w:val="59B555E4"/>
    <w:rsid w:val="59BC2661"/>
    <w:rsid w:val="59CE07E7"/>
    <w:rsid w:val="59D85514"/>
    <w:rsid w:val="59EC4D40"/>
    <w:rsid w:val="5A24365C"/>
    <w:rsid w:val="5A3025AC"/>
    <w:rsid w:val="5A370803"/>
    <w:rsid w:val="5A3E10B6"/>
    <w:rsid w:val="5A46638A"/>
    <w:rsid w:val="5A4C30CB"/>
    <w:rsid w:val="5A5107EE"/>
    <w:rsid w:val="5A746D3E"/>
    <w:rsid w:val="5A7677C8"/>
    <w:rsid w:val="5AAC6E07"/>
    <w:rsid w:val="5AD70760"/>
    <w:rsid w:val="5AE13A4D"/>
    <w:rsid w:val="5AEE3CCA"/>
    <w:rsid w:val="5B06297F"/>
    <w:rsid w:val="5B245F1F"/>
    <w:rsid w:val="5B4C46EB"/>
    <w:rsid w:val="5B5413DE"/>
    <w:rsid w:val="5B840780"/>
    <w:rsid w:val="5C496888"/>
    <w:rsid w:val="5C6D3106"/>
    <w:rsid w:val="5C961448"/>
    <w:rsid w:val="5D1F3DD5"/>
    <w:rsid w:val="5D387ED9"/>
    <w:rsid w:val="5D5F4972"/>
    <w:rsid w:val="5D871D24"/>
    <w:rsid w:val="5D987CFD"/>
    <w:rsid w:val="5D9F30EF"/>
    <w:rsid w:val="5DA3645B"/>
    <w:rsid w:val="5DA95AF1"/>
    <w:rsid w:val="5DB066AA"/>
    <w:rsid w:val="5DBB08EE"/>
    <w:rsid w:val="5DC11E68"/>
    <w:rsid w:val="5DC5338D"/>
    <w:rsid w:val="5E0E3D70"/>
    <w:rsid w:val="5E184CF6"/>
    <w:rsid w:val="5E3F0D14"/>
    <w:rsid w:val="5E4C7D8F"/>
    <w:rsid w:val="5E661A50"/>
    <w:rsid w:val="5E72691E"/>
    <w:rsid w:val="5EA7327F"/>
    <w:rsid w:val="5EAE4F1D"/>
    <w:rsid w:val="5EC61F84"/>
    <w:rsid w:val="5EDA1012"/>
    <w:rsid w:val="5EE479BB"/>
    <w:rsid w:val="5F010E0A"/>
    <w:rsid w:val="5F0C114D"/>
    <w:rsid w:val="5F177E45"/>
    <w:rsid w:val="5F647B03"/>
    <w:rsid w:val="5F761661"/>
    <w:rsid w:val="5F834450"/>
    <w:rsid w:val="5FB15D74"/>
    <w:rsid w:val="5FC15C48"/>
    <w:rsid w:val="5FCF46BE"/>
    <w:rsid w:val="5FDE5DAF"/>
    <w:rsid w:val="5FFD70FA"/>
    <w:rsid w:val="602D2B97"/>
    <w:rsid w:val="604F04EF"/>
    <w:rsid w:val="60533DEC"/>
    <w:rsid w:val="606E2E19"/>
    <w:rsid w:val="60766BDC"/>
    <w:rsid w:val="60783B03"/>
    <w:rsid w:val="607E4963"/>
    <w:rsid w:val="609D7A40"/>
    <w:rsid w:val="60B037F4"/>
    <w:rsid w:val="60E36761"/>
    <w:rsid w:val="60F34550"/>
    <w:rsid w:val="60FF586B"/>
    <w:rsid w:val="61317097"/>
    <w:rsid w:val="613530F4"/>
    <w:rsid w:val="61362740"/>
    <w:rsid w:val="61416BD9"/>
    <w:rsid w:val="61594A02"/>
    <w:rsid w:val="61840677"/>
    <w:rsid w:val="618C2ECB"/>
    <w:rsid w:val="61C74D39"/>
    <w:rsid w:val="61CF12CA"/>
    <w:rsid w:val="61D1174B"/>
    <w:rsid w:val="61FB1D47"/>
    <w:rsid w:val="61FE77EC"/>
    <w:rsid w:val="621A6DB3"/>
    <w:rsid w:val="62276CE8"/>
    <w:rsid w:val="62480D8B"/>
    <w:rsid w:val="624E3CE2"/>
    <w:rsid w:val="62512C19"/>
    <w:rsid w:val="62996565"/>
    <w:rsid w:val="62FB421C"/>
    <w:rsid w:val="63020EC3"/>
    <w:rsid w:val="630613DC"/>
    <w:rsid w:val="635509C5"/>
    <w:rsid w:val="636962F4"/>
    <w:rsid w:val="63CF0EB7"/>
    <w:rsid w:val="63E72BF4"/>
    <w:rsid w:val="64191220"/>
    <w:rsid w:val="645327CF"/>
    <w:rsid w:val="646C0998"/>
    <w:rsid w:val="647E4A98"/>
    <w:rsid w:val="648213DC"/>
    <w:rsid w:val="648E4A0F"/>
    <w:rsid w:val="64A6718C"/>
    <w:rsid w:val="64A97C8C"/>
    <w:rsid w:val="64AC33A3"/>
    <w:rsid w:val="64AD2C4B"/>
    <w:rsid w:val="64BB4503"/>
    <w:rsid w:val="64C90586"/>
    <w:rsid w:val="64FA7D5A"/>
    <w:rsid w:val="65036242"/>
    <w:rsid w:val="65052AA7"/>
    <w:rsid w:val="654400E2"/>
    <w:rsid w:val="65541E4C"/>
    <w:rsid w:val="657A0559"/>
    <w:rsid w:val="658F5201"/>
    <w:rsid w:val="659B4B16"/>
    <w:rsid w:val="65A37DD9"/>
    <w:rsid w:val="65B63647"/>
    <w:rsid w:val="65BC6B55"/>
    <w:rsid w:val="65E345F6"/>
    <w:rsid w:val="65E361C7"/>
    <w:rsid w:val="65E4538A"/>
    <w:rsid w:val="65F411FC"/>
    <w:rsid w:val="661C1FF9"/>
    <w:rsid w:val="662228C1"/>
    <w:rsid w:val="664D396B"/>
    <w:rsid w:val="665A6B57"/>
    <w:rsid w:val="668072AB"/>
    <w:rsid w:val="66905FD9"/>
    <w:rsid w:val="66DD2DD5"/>
    <w:rsid w:val="66EE1056"/>
    <w:rsid w:val="66F95A78"/>
    <w:rsid w:val="673B44C6"/>
    <w:rsid w:val="673E6D1D"/>
    <w:rsid w:val="67414351"/>
    <w:rsid w:val="674956D0"/>
    <w:rsid w:val="674A4BDA"/>
    <w:rsid w:val="676375B5"/>
    <w:rsid w:val="6767669B"/>
    <w:rsid w:val="677637F2"/>
    <w:rsid w:val="6784691F"/>
    <w:rsid w:val="678B3DC0"/>
    <w:rsid w:val="67AA33AC"/>
    <w:rsid w:val="67B27396"/>
    <w:rsid w:val="67C51351"/>
    <w:rsid w:val="67D34569"/>
    <w:rsid w:val="67FB7BC5"/>
    <w:rsid w:val="680C7E20"/>
    <w:rsid w:val="6820419A"/>
    <w:rsid w:val="682F723B"/>
    <w:rsid w:val="68365C14"/>
    <w:rsid w:val="684E1A88"/>
    <w:rsid w:val="685F7E19"/>
    <w:rsid w:val="68631AF7"/>
    <w:rsid w:val="68897F3F"/>
    <w:rsid w:val="689914FA"/>
    <w:rsid w:val="68BC7B38"/>
    <w:rsid w:val="68CE6D9F"/>
    <w:rsid w:val="68D06B15"/>
    <w:rsid w:val="68D20DDA"/>
    <w:rsid w:val="68DF5B8E"/>
    <w:rsid w:val="68E76CEA"/>
    <w:rsid w:val="68F932C9"/>
    <w:rsid w:val="69003E9A"/>
    <w:rsid w:val="690A4480"/>
    <w:rsid w:val="69140279"/>
    <w:rsid w:val="691A79B2"/>
    <w:rsid w:val="69472AA3"/>
    <w:rsid w:val="69694454"/>
    <w:rsid w:val="69C45F97"/>
    <w:rsid w:val="69C61FCC"/>
    <w:rsid w:val="69C70D4F"/>
    <w:rsid w:val="69F447B4"/>
    <w:rsid w:val="69F70CA2"/>
    <w:rsid w:val="6A03404A"/>
    <w:rsid w:val="6A0A7110"/>
    <w:rsid w:val="6A0C7B33"/>
    <w:rsid w:val="6A2C5CE6"/>
    <w:rsid w:val="6A541EFF"/>
    <w:rsid w:val="6A591DEF"/>
    <w:rsid w:val="6A662409"/>
    <w:rsid w:val="6ABA7700"/>
    <w:rsid w:val="6ACE30B8"/>
    <w:rsid w:val="6AF01D64"/>
    <w:rsid w:val="6B003B92"/>
    <w:rsid w:val="6B135739"/>
    <w:rsid w:val="6B19076D"/>
    <w:rsid w:val="6B206FCF"/>
    <w:rsid w:val="6B236898"/>
    <w:rsid w:val="6B324042"/>
    <w:rsid w:val="6B3A2606"/>
    <w:rsid w:val="6B4B544C"/>
    <w:rsid w:val="6B711D47"/>
    <w:rsid w:val="6BA80DC2"/>
    <w:rsid w:val="6BF23693"/>
    <w:rsid w:val="6C0066DD"/>
    <w:rsid w:val="6C1912B7"/>
    <w:rsid w:val="6C1E1895"/>
    <w:rsid w:val="6C2B7B1F"/>
    <w:rsid w:val="6C3C79AF"/>
    <w:rsid w:val="6C65474A"/>
    <w:rsid w:val="6C974D27"/>
    <w:rsid w:val="6CC44942"/>
    <w:rsid w:val="6CD74C9E"/>
    <w:rsid w:val="6D0E4A73"/>
    <w:rsid w:val="6D9E5153"/>
    <w:rsid w:val="6DA3148D"/>
    <w:rsid w:val="6DD809A4"/>
    <w:rsid w:val="6DEA67A6"/>
    <w:rsid w:val="6E1B0738"/>
    <w:rsid w:val="6E3B3A3A"/>
    <w:rsid w:val="6E6F2B2F"/>
    <w:rsid w:val="6E6F75FC"/>
    <w:rsid w:val="6E850D1E"/>
    <w:rsid w:val="6EA63BA5"/>
    <w:rsid w:val="6EB85E07"/>
    <w:rsid w:val="6EC24CB7"/>
    <w:rsid w:val="6ECD5432"/>
    <w:rsid w:val="6EE50476"/>
    <w:rsid w:val="6EF06640"/>
    <w:rsid w:val="6F05643C"/>
    <w:rsid w:val="6F216F80"/>
    <w:rsid w:val="6F2A1A37"/>
    <w:rsid w:val="6F2B5F5D"/>
    <w:rsid w:val="6F3A44CC"/>
    <w:rsid w:val="6F507723"/>
    <w:rsid w:val="6F636ED2"/>
    <w:rsid w:val="6F643FD0"/>
    <w:rsid w:val="6FA61BCB"/>
    <w:rsid w:val="6FBB3997"/>
    <w:rsid w:val="6FF109F1"/>
    <w:rsid w:val="70032703"/>
    <w:rsid w:val="70104CD7"/>
    <w:rsid w:val="701D7778"/>
    <w:rsid w:val="704A64B7"/>
    <w:rsid w:val="709B5E21"/>
    <w:rsid w:val="70BA2DDC"/>
    <w:rsid w:val="70FA79C8"/>
    <w:rsid w:val="70FB13E9"/>
    <w:rsid w:val="710829FC"/>
    <w:rsid w:val="710A4032"/>
    <w:rsid w:val="715C22A2"/>
    <w:rsid w:val="716C0F69"/>
    <w:rsid w:val="717A7E22"/>
    <w:rsid w:val="717F021E"/>
    <w:rsid w:val="71820E22"/>
    <w:rsid w:val="71A600E3"/>
    <w:rsid w:val="71AC02A7"/>
    <w:rsid w:val="71D42BCA"/>
    <w:rsid w:val="71FB5DAC"/>
    <w:rsid w:val="72172200"/>
    <w:rsid w:val="72211452"/>
    <w:rsid w:val="72361E7E"/>
    <w:rsid w:val="723A7BCA"/>
    <w:rsid w:val="72814BAE"/>
    <w:rsid w:val="7286380F"/>
    <w:rsid w:val="728E46C5"/>
    <w:rsid w:val="729A5D7E"/>
    <w:rsid w:val="72B63002"/>
    <w:rsid w:val="72C57511"/>
    <w:rsid w:val="72DC6BE1"/>
    <w:rsid w:val="72EE1EB9"/>
    <w:rsid w:val="72EF4185"/>
    <w:rsid w:val="72FF5FCB"/>
    <w:rsid w:val="7314182E"/>
    <w:rsid w:val="73434F2C"/>
    <w:rsid w:val="734D6DD6"/>
    <w:rsid w:val="73507382"/>
    <w:rsid w:val="73A7194C"/>
    <w:rsid w:val="73AE04AB"/>
    <w:rsid w:val="73EF43E1"/>
    <w:rsid w:val="73FC6A99"/>
    <w:rsid w:val="740873EB"/>
    <w:rsid w:val="743E71D4"/>
    <w:rsid w:val="744259E5"/>
    <w:rsid w:val="744866E9"/>
    <w:rsid w:val="746E7A5B"/>
    <w:rsid w:val="74902D3A"/>
    <w:rsid w:val="749E5652"/>
    <w:rsid w:val="74B93644"/>
    <w:rsid w:val="74D51121"/>
    <w:rsid w:val="74D6499B"/>
    <w:rsid w:val="74E16DFE"/>
    <w:rsid w:val="74EA1703"/>
    <w:rsid w:val="74F00D7E"/>
    <w:rsid w:val="750E2783"/>
    <w:rsid w:val="75345D65"/>
    <w:rsid w:val="753A388B"/>
    <w:rsid w:val="75406E97"/>
    <w:rsid w:val="756928D3"/>
    <w:rsid w:val="75A57037"/>
    <w:rsid w:val="75C85336"/>
    <w:rsid w:val="75D065E3"/>
    <w:rsid w:val="75E057FD"/>
    <w:rsid w:val="763D19B2"/>
    <w:rsid w:val="764853F4"/>
    <w:rsid w:val="764B67AF"/>
    <w:rsid w:val="76593AA6"/>
    <w:rsid w:val="766020D3"/>
    <w:rsid w:val="76A141BE"/>
    <w:rsid w:val="76A44D96"/>
    <w:rsid w:val="76A90D80"/>
    <w:rsid w:val="76BA4B00"/>
    <w:rsid w:val="76C74169"/>
    <w:rsid w:val="76EB5857"/>
    <w:rsid w:val="770667ED"/>
    <w:rsid w:val="770C4735"/>
    <w:rsid w:val="773B0BCD"/>
    <w:rsid w:val="776A06A1"/>
    <w:rsid w:val="77866244"/>
    <w:rsid w:val="77873AF1"/>
    <w:rsid w:val="778B798F"/>
    <w:rsid w:val="78034D6A"/>
    <w:rsid w:val="780E11FE"/>
    <w:rsid w:val="7812672C"/>
    <w:rsid w:val="782C0B62"/>
    <w:rsid w:val="78312740"/>
    <w:rsid w:val="784768C4"/>
    <w:rsid w:val="784D666F"/>
    <w:rsid w:val="787A5B08"/>
    <w:rsid w:val="787C219F"/>
    <w:rsid w:val="78826B6B"/>
    <w:rsid w:val="78963231"/>
    <w:rsid w:val="78AB42F3"/>
    <w:rsid w:val="78BF4D54"/>
    <w:rsid w:val="78D502ED"/>
    <w:rsid w:val="78F47B64"/>
    <w:rsid w:val="79044E2C"/>
    <w:rsid w:val="790A3D56"/>
    <w:rsid w:val="794D6390"/>
    <w:rsid w:val="79510E5A"/>
    <w:rsid w:val="796371D3"/>
    <w:rsid w:val="79725801"/>
    <w:rsid w:val="797F63C5"/>
    <w:rsid w:val="7982346D"/>
    <w:rsid w:val="798F4DFD"/>
    <w:rsid w:val="7999250C"/>
    <w:rsid w:val="79B43A49"/>
    <w:rsid w:val="7A265266"/>
    <w:rsid w:val="7A2C3186"/>
    <w:rsid w:val="7A3B1988"/>
    <w:rsid w:val="7A5B5B09"/>
    <w:rsid w:val="7A6F080F"/>
    <w:rsid w:val="7A743265"/>
    <w:rsid w:val="7A76232D"/>
    <w:rsid w:val="7A8B647B"/>
    <w:rsid w:val="7A92236B"/>
    <w:rsid w:val="7AA76FDC"/>
    <w:rsid w:val="7AB65029"/>
    <w:rsid w:val="7ACB43BC"/>
    <w:rsid w:val="7AF85874"/>
    <w:rsid w:val="7B1A5B35"/>
    <w:rsid w:val="7B267A95"/>
    <w:rsid w:val="7B2868E5"/>
    <w:rsid w:val="7B34183C"/>
    <w:rsid w:val="7B4175C0"/>
    <w:rsid w:val="7B486F31"/>
    <w:rsid w:val="7B5275B6"/>
    <w:rsid w:val="7B6B6DBD"/>
    <w:rsid w:val="7B70294A"/>
    <w:rsid w:val="7B875419"/>
    <w:rsid w:val="7BA57B23"/>
    <w:rsid w:val="7BCD0A19"/>
    <w:rsid w:val="7BEC7DF2"/>
    <w:rsid w:val="7C1428C9"/>
    <w:rsid w:val="7C1A5229"/>
    <w:rsid w:val="7C3B6648"/>
    <w:rsid w:val="7C7229BD"/>
    <w:rsid w:val="7C8E3870"/>
    <w:rsid w:val="7CA21BD9"/>
    <w:rsid w:val="7D042AA0"/>
    <w:rsid w:val="7D072801"/>
    <w:rsid w:val="7D0C0035"/>
    <w:rsid w:val="7D283BE3"/>
    <w:rsid w:val="7D431B26"/>
    <w:rsid w:val="7D587147"/>
    <w:rsid w:val="7D6F0776"/>
    <w:rsid w:val="7D9C44CC"/>
    <w:rsid w:val="7DB17F6E"/>
    <w:rsid w:val="7DB2636B"/>
    <w:rsid w:val="7DB772B9"/>
    <w:rsid w:val="7DBE58DA"/>
    <w:rsid w:val="7DD261C7"/>
    <w:rsid w:val="7DD95510"/>
    <w:rsid w:val="7DE70711"/>
    <w:rsid w:val="7DE94A5F"/>
    <w:rsid w:val="7E077EA1"/>
    <w:rsid w:val="7E185B21"/>
    <w:rsid w:val="7E452A2A"/>
    <w:rsid w:val="7E473CA8"/>
    <w:rsid w:val="7E4A51DB"/>
    <w:rsid w:val="7E7C381C"/>
    <w:rsid w:val="7EAA455C"/>
    <w:rsid w:val="7EC26701"/>
    <w:rsid w:val="7F071F96"/>
    <w:rsid w:val="7F2B1B0E"/>
    <w:rsid w:val="7F327CF5"/>
    <w:rsid w:val="7F504478"/>
    <w:rsid w:val="7F510125"/>
    <w:rsid w:val="7F602C28"/>
    <w:rsid w:val="7F652792"/>
    <w:rsid w:val="7F6B3D4A"/>
    <w:rsid w:val="7FE3136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semiHidden="0" w:name="heading 8" w:locked="1"/>
    <w:lsdException w:qFormat="1" w:uiPriority="9"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qFormat="1" w:unhideWhenUsed="0" w:uiPriority="99" w:semiHidden="0" w:name="toc 4"/>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9"/>
    <w:pPr>
      <w:keepNext/>
      <w:numPr>
        <w:ilvl w:val="0"/>
        <w:numId w:val="1"/>
      </w:numPr>
      <w:outlineLvl w:val="0"/>
    </w:pPr>
    <w:rPr>
      <w:b/>
      <w:szCs w:val="20"/>
    </w:rPr>
  </w:style>
  <w:style w:type="paragraph" w:styleId="4">
    <w:name w:val="heading 2"/>
    <w:basedOn w:val="1"/>
    <w:next w:val="5"/>
    <w:link w:val="34"/>
    <w:qFormat/>
    <w:uiPriority w:val="99"/>
    <w:pPr>
      <w:keepNext/>
      <w:keepLines/>
      <w:spacing w:before="260" w:after="260" w:line="416" w:lineRule="auto"/>
      <w:outlineLvl w:val="1"/>
    </w:pPr>
    <w:rPr>
      <w:rFonts w:ascii="Arial Black" w:hAnsi="Arial Black" w:eastAsia="黑体"/>
      <w:b/>
      <w:bCs/>
      <w:sz w:val="32"/>
      <w:szCs w:val="32"/>
    </w:rPr>
  </w:style>
  <w:style w:type="paragraph" w:styleId="6">
    <w:name w:val="heading 3"/>
    <w:basedOn w:val="1"/>
    <w:next w:val="1"/>
    <w:link w:val="81"/>
    <w:qFormat/>
    <w:uiPriority w:val="99"/>
    <w:pPr>
      <w:keepNext/>
      <w:keepLines/>
      <w:spacing w:before="260" w:after="260" w:line="415" w:lineRule="auto"/>
      <w:outlineLvl w:val="2"/>
    </w:pPr>
    <w:rPr>
      <w:sz w:val="32"/>
      <w:szCs w:val="32"/>
    </w:rPr>
  </w:style>
  <w:style w:type="paragraph" w:styleId="7">
    <w:name w:val="heading 4"/>
    <w:basedOn w:val="1"/>
    <w:next w:val="1"/>
    <w:link w:val="36"/>
    <w:qFormat/>
    <w:uiPriority w:val="99"/>
    <w:pPr>
      <w:keepNext/>
      <w:jc w:val="center"/>
      <w:outlineLvl w:val="3"/>
    </w:pPr>
    <w:rPr>
      <w:rFonts w:ascii="宋体" w:hAnsi="宋体"/>
      <w:bCs/>
      <w:sz w:val="28"/>
      <w:szCs w:val="20"/>
    </w:rPr>
  </w:style>
  <w:style w:type="paragraph" w:styleId="8">
    <w:name w:val="heading 7"/>
    <w:basedOn w:val="1"/>
    <w:next w:val="1"/>
    <w:semiHidden/>
    <w:unhideWhenUsed/>
    <w:qFormat/>
    <w:locked/>
    <w:uiPriority w:val="9"/>
    <w:pPr>
      <w:keepNext/>
      <w:keepLines/>
      <w:spacing w:before="240" w:after="64" w:line="320" w:lineRule="auto"/>
      <w:outlineLvl w:val="6"/>
    </w:pPr>
    <w:rPr>
      <w:b/>
      <w:bCs/>
      <w:sz w:val="24"/>
      <w:szCs w:val="24"/>
    </w:rPr>
  </w:style>
  <w:style w:type="paragraph" w:styleId="9">
    <w:name w:val="heading 8"/>
    <w:basedOn w:val="1"/>
    <w:next w:val="1"/>
    <w:unhideWhenUsed/>
    <w:qFormat/>
    <w:locked/>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unhideWhenUsed/>
    <w:qFormat/>
    <w:locked/>
    <w:uiPriority w:val="9"/>
    <w:pPr>
      <w:keepNext/>
      <w:keepLines/>
      <w:spacing w:before="240" w:after="64" w:line="320" w:lineRule="auto"/>
      <w:outlineLvl w:val="8"/>
    </w:pPr>
    <w:rPr>
      <w:rFonts w:asciiTheme="majorHAnsi" w:hAnsiTheme="majorHAnsi" w:eastAsiaTheme="majorEastAsia" w:cstheme="majorBidi"/>
    </w:rPr>
  </w:style>
  <w:style w:type="character" w:default="1" w:styleId="24">
    <w:name w:val="Default Paragraph Font"/>
    <w:semiHidden/>
    <w:qFormat/>
    <w:uiPriority w:val="99"/>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样式1"/>
    <w:basedOn w:val="1"/>
    <w:qFormat/>
    <w:uiPriority w:val="0"/>
    <w:pPr>
      <w:numPr>
        <w:ilvl w:val="1"/>
        <w:numId w:val="2"/>
      </w:numPr>
      <w:adjustRightInd w:val="0"/>
      <w:snapToGrid w:val="0"/>
    </w:pPr>
    <w:rPr>
      <w:rFonts w:ascii="宋体" w:hAnsi="宋体"/>
      <w:kern w:val="0"/>
      <w:szCs w:val="21"/>
    </w:rPr>
  </w:style>
  <w:style w:type="paragraph" w:styleId="5">
    <w:name w:val="Normal Indent"/>
    <w:basedOn w:val="1"/>
    <w:next w:val="1"/>
    <w:qFormat/>
    <w:uiPriority w:val="99"/>
    <w:pPr>
      <w:ind w:firstLine="420" w:firstLineChars="200"/>
    </w:pPr>
  </w:style>
  <w:style w:type="paragraph" w:styleId="11">
    <w:name w:val="Body Text"/>
    <w:basedOn w:val="1"/>
    <w:next w:val="1"/>
    <w:link w:val="37"/>
    <w:qFormat/>
    <w:uiPriority w:val="99"/>
    <w:pPr>
      <w:widowControl/>
      <w:tabs>
        <w:tab w:val="left" w:pos="9214"/>
      </w:tabs>
      <w:adjustRightInd w:val="0"/>
      <w:spacing w:after="120" w:line="400" w:lineRule="atLeast"/>
      <w:ind w:right="-58" w:firstLine="600"/>
      <w:textAlignment w:val="bottom"/>
    </w:pPr>
    <w:rPr>
      <w:rFonts w:ascii="宋体"/>
      <w:kern w:val="0"/>
      <w:sz w:val="24"/>
      <w:szCs w:val="20"/>
    </w:rPr>
  </w:style>
  <w:style w:type="paragraph" w:styleId="12">
    <w:name w:val="Body Text Indent"/>
    <w:basedOn w:val="1"/>
    <w:link w:val="38"/>
    <w:qFormat/>
    <w:uiPriority w:val="99"/>
    <w:pPr>
      <w:ind w:firstLine="480"/>
    </w:pPr>
    <w:rPr>
      <w:rFonts w:ascii="宋体" w:hAnsi="宋体"/>
      <w:sz w:val="30"/>
    </w:rPr>
  </w:style>
  <w:style w:type="paragraph" w:styleId="13">
    <w:name w:val="Plain Text"/>
    <w:basedOn w:val="1"/>
    <w:link w:val="39"/>
    <w:qFormat/>
    <w:uiPriority w:val="99"/>
    <w:rPr>
      <w:rFonts w:ascii="宋体" w:hAnsi="Courier New"/>
      <w:szCs w:val="20"/>
    </w:rPr>
  </w:style>
  <w:style w:type="paragraph" w:styleId="14">
    <w:name w:val="Date"/>
    <w:basedOn w:val="1"/>
    <w:next w:val="1"/>
    <w:link w:val="40"/>
    <w:qFormat/>
    <w:uiPriority w:val="99"/>
    <w:rPr>
      <w:rFonts w:eastAsia="楷体_GB2312"/>
      <w:sz w:val="24"/>
      <w:szCs w:val="20"/>
    </w:rPr>
  </w:style>
  <w:style w:type="paragraph" w:styleId="15">
    <w:name w:val="Body Text Indent 2"/>
    <w:basedOn w:val="1"/>
    <w:link w:val="41"/>
    <w:qFormat/>
    <w:uiPriority w:val="99"/>
    <w:pPr>
      <w:ind w:firstLine="480"/>
    </w:pPr>
    <w:rPr>
      <w:rFonts w:ascii="宋体" w:hAnsi="宋体"/>
      <w:sz w:val="30"/>
    </w:rPr>
  </w:style>
  <w:style w:type="paragraph" w:styleId="16">
    <w:name w:val="footer"/>
    <w:basedOn w:val="1"/>
    <w:link w:val="42"/>
    <w:qFormat/>
    <w:uiPriority w:val="99"/>
    <w:pPr>
      <w:tabs>
        <w:tab w:val="center" w:pos="4153"/>
        <w:tab w:val="right" w:pos="8306"/>
      </w:tabs>
      <w:snapToGrid w:val="0"/>
      <w:jc w:val="left"/>
    </w:pPr>
    <w:rPr>
      <w:sz w:val="18"/>
      <w:szCs w:val="18"/>
    </w:rPr>
  </w:style>
  <w:style w:type="paragraph" w:styleId="17">
    <w:name w:val="Body Text First Indent 2"/>
    <w:basedOn w:val="1"/>
    <w:qFormat/>
    <w:locked/>
    <w:uiPriority w:val="0"/>
    <w:pPr>
      <w:spacing w:after="120" w:afterLines="0"/>
      <w:ind w:left="420" w:leftChars="200" w:firstLine="420" w:firstLineChars="200"/>
    </w:pPr>
    <w:rPr>
      <w:sz w:val="21"/>
    </w:rPr>
  </w:style>
  <w:style w:type="paragraph" w:styleId="18">
    <w:name w:val="header"/>
    <w:basedOn w:val="1"/>
    <w:link w:val="43"/>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9">
    <w:name w:val="toc 1"/>
    <w:basedOn w:val="1"/>
    <w:next w:val="1"/>
    <w:qFormat/>
    <w:uiPriority w:val="99"/>
  </w:style>
  <w:style w:type="paragraph" w:styleId="20">
    <w:name w:val="toc 4"/>
    <w:basedOn w:val="1"/>
    <w:next w:val="1"/>
    <w:qFormat/>
    <w:uiPriority w:val="99"/>
    <w:pPr>
      <w:tabs>
        <w:tab w:val="right" w:leader="dot" w:pos="8296"/>
      </w:tabs>
      <w:adjustRightInd w:val="0"/>
      <w:snapToGrid w:val="0"/>
      <w:ind w:left="1260" w:leftChars="600"/>
    </w:pPr>
    <w:rPr>
      <w:rFonts w:ascii="Calibri" w:hAnsi="Calibri"/>
      <w:szCs w:val="22"/>
    </w:rPr>
  </w:style>
  <w:style w:type="paragraph" w:styleId="21">
    <w:name w:val="footnote text"/>
    <w:basedOn w:val="1"/>
    <w:link w:val="65"/>
    <w:qFormat/>
    <w:uiPriority w:val="99"/>
    <w:pPr>
      <w:snapToGrid w:val="0"/>
      <w:jc w:val="left"/>
    </w:pPr>
    <w:rPr>
      <w:sz w:val="18"/>
      <w:szCs w:val="20"/>
    </w:rPr>
  </w:style>
  <w:style w:type="paragraph" w:styleId="22">
    <w:name w:val="Body Text 2"/>
    <w:basedOn w:val="1"/>
    <w:link w:val="45"/>
    <w:qFormat/>
    <w:uiPriority w:val="99"/>
    <w:rPr>
      <w:rFonts w:ascii="宋体" w:hAnsi="宋体"/>
      <w:sz w:val="30"/>
      <w:szCs w:val="20"/>
    </w:rPr>
  </w:style>
  <w:style w:type="paragraph" w:styleId="23">
    <w:name w:val="Normal (Web)"/>
    <w:basedOn w:val="1"/>
    <w:qFormat/>
    <w:uiPriority w:val="99"/>
    <w:pPr>
      <w:widowControl/>
      <w:spacing w:before="100" w:beforeAutospacing="1" w:after="100" w:afterAutospacing="1"/>
      <w:jc w:val="left"/>
    </w:pPr>
    <w:rPr>
      <w:rFonts w:ascii="宋体" w:hAnsi="宋体"/>
      <w:kern w:val="0"/>
      <w:sz w:val="24"/>
    </w:rPr>
  </w:style>
  <w:style w:type="character" w:styleId="25">
    <w:name w:val="Strong"/>
    <w:basedOn w:val="24"/>
    <w:qFormat/>
    <w:uiPriority w:val="99"/>
    <w:rPr>
      <w:rFonts w:cs="Times New Roman"/>
      <w:b/>
    </w:rPr>
  </w:style>
  <w:style w:type="character" w:styleId="26">
    <w:name w:val="page number"/>
    <w:basedOn w:val="24"/>
    <w:qFormat/>
    <w:uiPriority w:val="99"/>
    <w:rPr>
      <w:rFonts w:cs="Times New Roman"/>
    </w:rPr>
  </w:style>
  <w:style w:type="character" w:styleId="27">
    <w:name w:val="FollowedHyperlink"/>
    <w:basedOn w:val="24"/>
    <w:qFormat/>
    <w:uiPriority w:val="99"/>
    <w:rPr>
      <w:rFonts w:cs="Times New Roman"/>
      <w:color w:val="800080"/>
      <w:u w:val="single"/>
    </w:rPr>
  </w:style>
  <w:style w:type="character" w:styleId="28">
    <w:name w:val="Emphasis"/>
    <w:basedOn w:val="24"/>
    <w:qFormat/>
    <w:uiPriority w:val="99"/>
    <w:rPr>
      <w:rFonts w:cs="Times New Roman"/>
      <w:i/>
    </w:rPr>
  </w:style>
  <w:style w:type="character" w:styleId="29">
    <w:name w:val="Hyperlink"/>
    <w:basedOn w:val="24"/>
    <w:qFormat/>
    <w:uiPriority w:val="99"/>
    <w:rPr>
      <w:rFonts w:cs="Times New Roman"/>
      <w:color w:val="0000FF"/>
      <w:u w:val="single"/>
    </w:rPr>
  </w:style>
  <w:style w:type="character" w:styleId="30">
    <w:name w:val="footnote reference"/>
    <w:basedOn w:val="24"/>
    <w:qFormat/>
    <w:uiPriority w:val="99"/>
    <w:rPr>
      <w:rFonts w:cs="Times New Roman"/>
      <w:vertAlign w:val="superscript"/>
    </w:rPr>
  </w:style>
  <w:style w:type="table" w:styleId="32">
    <w:name w:val="Table Grid"/>
    <w:basedOn w:val="3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3">
    <w:name w:val="Heading 1 Char"/>
    <w:basedOn w:val="24"/>
    <w:link w:val="3"/>
    <w:qFormat/>
    <w:locked/>
    <w:uiPriority w:val="99"/>
    <w:rPr>
      <w:rFonts w:cs="Times New Roman"/>
      <w:b/>
      <w:bCs/>
      <w:kern w:val="44"/>
      <w:sz w:val="44"/>
      <w:szCs w:val="44"/>
    </w:rPr>
  </w:style>
  <w:style w:type="character" w:customStyle="1" w:styleId="34">
    <w:name w:val="Heading 2 Char"/>
    <w:basedOn w:val="24"/>
    <w:link w:val="4"/>
    <w:semiHidden/>
    <w:qFormat/>
    <w:locked/>
    <w:uiPriority w:val="99"/>
    <w:rPr>
      <w:rFonts w:ascii="Cambria" w:hAnsi="Cambria" w:eastAsia="宋体" w:cs="Times New Roman"/>
      <w:b/>
      <w:bCs/>
      <w:sz w:val="32"/>
      <w:szCs w:val="32"/>
    </w:rPr>
  </w:style>
  <w:style w:type="character" w:customStyle="1" w:styleId="35">
    <w:name w:val="Heading 3 Char"/>
    <w:basedOn w:val="24"/>
    <w:link w:val="6"/>
    <w:semiHidden/>
    <w:qFormat/>
    <w:locked/>
    <w:uiPriority w:val="99"/>
    <w:rPr>
      <w:rFonts w:cs="Times New Roman"/>
      <w:b/>
      <w:bCs/>
      <w:sz w:val="32"/>
      <w:szCs w:val="32"/>
    </w:rPr>
  </w:style>
  <w:style w:type="character" w:customStyle="1" w:styleId="36">
    <w:name w:val="Heading 4 Char"/>
    <w:basedOn w:val="24"/>
    <w:link w:val="7"/>
    <w:semiHidden/>
    <w:qFormat/>
    <w:locked/>
    <w:uiPriority w:val="99"/>
    <w:rPr>
      <w:rFonts w:ascii="Cambria" w:hAnsi="Cambria" w:eastAsia="宋体" w:cs="Times New Roman"/>
      <w:b/>
      <w:bCs/>
      <w:sz w:val="28"/>
      <w:szCs w:val="28"/>
    </w:rPr>
  </w:style>
  <w:style w:type="character" w:customStyle="1" w:styleId="37">
    <w:name w:val="Body Text Char"/>
    <w:basedOn w:val="24"/>
    <w:link w:val="11"/>
    <w:semiHidden/>
    <w:qFormat/>
    <w:locked/>
    <w:uiPriority w:val="99"/>
    <w:rPr>
      <w:rFonts w:cs="Times New Roman"/>
      <w:sz w:val="24"/>
      <w:szCs w:val="24"/>
    </w:rPr>
  </w:style>
  <w:style w:type="character" w:customStyle="1" w:styleId="38">
    <w:name w:val="Body Text Indent Char"/>
    <w:basedOn w:val="24"/>
    <w:link w:val="12"/>
    <w:semiHidden/>
    <w:qFormat/>
    <w:locked/>
    <w:uiPriority w:val="99"/>
    <w:rPr>
      <w:rFonts w:cs="Times New Roman"/>
      <w:sz w:val="24"/>
      <w:szCs w:val="24"/>
    </w:rPr>
  </w:style>
  <w:style w:type="character" w:customStyle="1" w:styleId="39">
    <w:name w:val="Plain Text Char"/>
    <w:basedOn w:val="24"/>
    <w:link w:val="13"/>
    <w:semiHidden/>
    <w:qFormat/>
    <w:locked/>
    <w:uiPriority w:val="99"/>
    <w:rPr>
      <w:rFonts w:ascii="宋体" w:hAnsi="Courier New" w:cs="Courier New"/>
      <w:sz w:val="21"/>
      <w:szCs w:val="21"/>
    </w:rPr>
  </w:style>
  <w:style w:type="character" w:customStyle="1" w:styleId="40">
    <w:name w:val="Date Char"/>
    <w:basedOn w:val="24"/>
    <w:link w:val="14"/>
    <w:semiHidden/>
    <w:qFormat/>
    <w:locked/>
    <w:uiPriority w:val="99"/>
    <w:rPr>
      <w:rFonts w:cs="Times New Roman"/>
      <w:sz w:val="24"/>
      <w:szCs w:val="24"/>
    </w:rPr>
  </w:style>
  <w:style w:type="character" w:customStyle="1" w:styleId="41">
    <w:name w:val="Body Text Indent 2 Char"/>
    <w:basedOn w:val="24"/>
    <w:link w:val="15"/>
    <w:semiHidden/>
    <w:qFormat/>
    <w:locked/>
    <w:uiPriority w:val="99"/>
    <w:rPr>
      <w:rFonts w:cs="Times New Roman"/>
      <w:sz w:val="24"/>
      <w:szCs w:val="24"/>
    </w:rPr>
  </w:style>
  <w:style w:type="character" w:customStyle="1" w:styleId="42">
    <w:name w:val="Footer Char"/>
    <w:basedOn w:val="24"/>
    <w:link w:val="16"/>
    <w:semiHidden/>
    <w:qFormat/>
    <w:locked/>
    <w:uiPriority w:val="99"/>
    <w:rPr>
      <w:rFonts w:cs="Times New Roman"/>
      <w:sz w:val="18"/>
      <w:szCs w:val="18"/>
    </w:rPr>
  </w:style>
  <w:style w:type="character" w:customStyle="1" w:styleId="43">
    <w:name w:val="Header Char"/>
    <w:basedOn w:val="24"/>
    <w:link w:val="18"/>
    <w:semiHidden/>
    <w:qFormat/>
    <w:locked/>
    <w:uiPriority w:val="99"/>
    <w:rPr>
      <w:rFonts w:cs="Times New Roman"/>
      <w:sz w:val="18"/>
      <w:szCs w:val="18"/>
    </w:rPr>
  </w:style>
  <w:style w:type="character" w:customStyle="1" w:styleId="44">
    <w:name w:val="Footnote Text Char"/>
    <w:basedOn w:val="24"/>
    <w:link w:val="21"/>
    <w:qFormat/>
    <w:locked/>
    <w:uiPriority w:val="99"/>
    <w:rPr>
      <w:kern w:val="2"/>
      <w:sz w:val="18"/>
    </w:rPr>
  </w:style>
  <w:style w:type="character" w:customStyle="1" w:styleId="45">
    <w:name w:val="Body Text 2 Char"/>
    <w:basedOn w:val="24"/>
    <w:link w:val="22"/>
    <w:semiHidden/>
    <w:qFormat/>
    <w:locked/>
    <w:uiPriority w:val="99"/>
    <w:rPr>
      <w:rFonts w:cs="Times New Roman"/>
      <w:sz w:val="24"/>
      <w:szCs w:val="24"/>
    </w:rPr>
  </w:style>
  <w:style w:type="character" w:customStyle="1" w:styleId="46">
    <w:name w:val="fn11"/>
    <w:qFormat/>
    <w:uiPriority w:val="99"/>
    <w:rPr>
      <w:color w:val="116095"/>
      <w:sz w:val="24"/>
    </w:rPr>
  </w:style>
  <w:style w:type="character" w:customStyle="1" w:styleId="47">
    <w:name w:val="font01"/>
    <w:basedOn w:val="24"/>
    <w:qFormat/>
    <w:uiPriority w:val="99"/>
    <w:rPr>
      <w:rFonts w:ascii="宋体" w:hAnsi="宋体" w:eastAsia="宋体" w:cs="Times New Roman"/>
      <w:b/>
      <w:bCs/>
      <w:color w:val="FF0000"/>
      <w:sz w:val="22"/>
      <w:szCs w:val="22"/>
      <w:u w:val="none"/>
    </w:rPr>
  </w:style>
  <w:style w:type="character" w:customStyle="1" w:styleId="48">
    <w:name w:val="point_normal1"/>
    <w:qFormat/>
    <w:uiPriority w:val="99"/>
    <w:rPr>
      <w:rFonts w:ascii="Arial" w:hAnsi="Arial"/>
      <w:sz w:val="18"/>
    </w:rPr>
  </w:style>
  <w:style w:type="character" w:customStyle="1" w:styleId="49">
    <w:name w:val="title_emph1"/>
    <w:qFormat/>
    <w:uiPriority w:val="99"/>
    <w:rPr>
      <w:rFonts w:ascii="Arial" w:hAnsi="Arial"/>
      <w:b/>
      <w:sz w:val="20"/>
    </w:rPr>
  </w:style>
  <w:style w:type="character" w:customStyle="1" w:styleId="50">
    <w:name w:val="font121"/>
    <w:qFormat/>
    <w:uiPriority w:val="99"/>
    <w:rPr>
      <w:rFonts w:ascii="黑体" w:hAnsi="宋体" w:eastAsia="黑体"/>
      <w:b/>
      <w:color w:val="000000"/>
      <w:sz w:val="20"/>
      <w:u w:val="none"/>
    </w:rPr>
  </w:style>
  <w:style w:type="character" w:customStyle="1" w:styleId="51">
    <w:name w:val="font41"/>
    <w:qFormat/>
    <w:uiPriority w:val="99"/>
    <w:rPr>
      <w:rFonts w:ascii="宋体" w:hAnsi="宋体" w:eastAsia="宋体"/>
      <w:color w:val="000000"/>
      <w:sz w:val="20"/>
      <w:u w:val="none"/>
    </w:rPr>
  </w:style>
  <w:style w:type="character" w:customStyle="1" w:styleId="52">
    <w:name w:val="font21"/>
    <w:qFormat/>
    <w:uiPriority w:val="99"/>
    <w:rPr>
      <w:rFonts w:ascii="宋体" w:hAnsi="宋体" w:eastAsia="宋体"/>
      <w:b/>
      <w:color w:val="000000"/>
      <w:sz w:val="20"/>
      <w:u w:val="none"/>
    </w:rPr>
  </w:style>
  <w:style w:type="character" w:customStyle="1" w:styleId="53">
    <w:name w:val="Default Text Char"/>
    <w:link w:val="54"/>
    <w:qFormat/>
    <w:locked/>
    <w:uiPriority w:val="99"/>
    <w:rPr>
      <w:color w:val="000000"/>
      <w:sz w:val="24"/>
      <w:lang w:val="en-US" w:eastAsia="zh-CN"/>
    </w:rPr>
  </w:style>
  <w:style w:type="paragraph" w:customStyle="1" w:styleId="54">
    <w:name w:val="Default Text"/>
    <w:link w:val="53"/>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55">
    <w:name w:val="font91"/>
    <w:qFormat/>
    <w:uiPriority w:val="99"/>
    <w:rPr>
      <w:rFonts w:ascii="Arial" w:hAnsi="Arial"/>
      <w:b/>
      <w:color w:val="000000"/>
      <w:sz w:val="20"/>
      <w:u w:val="none"/>
    </w:rPr>
  </w:style>
  <w:style w:type="paragraph" w:customStyle="1" w:styleId="56">
    <w:name w:val="缺省文本"/>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57">
    <w:name w:val="样式 样式 样式 左侧:  2 字符1 + 首行缩进:  2 字符1 + 首行缩进:  2 字符"/>
    <w:basedOn w:val="1"/>
    <w:qFormat/>
    <w:uiPriority w:val="99"/>
    <w:pPr>
      <w:widowControl/>
      <w:adjustRightInd w:val="0"/>
      <w:spacing w:before="60" w:after="120" w:line="440" w:lineRule="atLeast"/>
      <w:ind w:firstLine="480"/>
      <w:textAlignment w:val="baseline"/>
    </w:pPr>
    <w:rPr>
      <w:sz w:val="24"/>
      <w:szCs w:val="20"/>
    </w:rPr>
  </w:style>
  <w:style w:type="paragraph" w:customStyle="1" w:styleId="58">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59">
    <w:name w:val="正文1"/>
    <w:basedOn w:val="1"/>
    <w:qFormat/>
    <w:uiPriority w:val="99"/>
    <w:pPr>
      <w:spacing w:after="120" w:line="360" w:lineRule="auto"/>
      <w:ind w:firstLine="425"/>
    </w:pPr>
    <w:rPr>
      <w:rFonts w:ascii="Arial" w:hAnsi="Arial"/>
      <w:spacing w:val="8"/>
      <w:sz w:val="24"/>
      <w:szCs w:val="20"/>
    </w:rPr>
  </w:style>
  <w:style w:type="paragraph" w:customStyle="1" w:styleId="60">
    <w:name w:val="xl23"/>
    <w:basedOn w:val="1"/>
    <w:qFormat/>
    <w:uiPriority w:val="99"/>
    <w:pPr>
      <w:widowControl/>
      <w:spacing w:before="100" w:beforeAutospacing="1" w:after="100" w:afterAutospacing="1"/>
      <w:jc w:val="center"/>
    </w:pPr>
    <w:rPr>
      <w:kern w:val="0"/>
      <w:szCs w:val="21"/>
    </w:rPr>
  </w:style>
  <w:style w:type="paragraph" w:customStyle="1" w:styleId="61">
    <w:name w:val="表格文本"/>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62">
    <w:name w:val="Default"/>
    <w:qFormat/>
    <w:uiPriority w:val="99"/>
    <w:pPr>
      <w:widowControl w:val="0"/>
      <w:autoSpaceDE w:val="0"/>
      <w:autoSpaceDN w:val="0"/>
      <w:adjustRightInd w:val="0"/>
    </w:pPr>
    <w:rPr>
      <w:rFonts w:ascii="Arial" w:hAnsi="Arial" w:eastAsia="宋体" w:cs="Times New Roman"/>
      <w:color w:val="000000"/>
      <w:kern w:val="0"/>
      <w:sz w:val="24"/>
      <w:szCs w:val="24"/>
      <w:lang w:val="en-US" w:eastAsia="zh-CN" w:bidi="ar-SA"/>
    </w:rPr>
  </w:style>
  <w:style w:type="paragraph" w:customStyle="1" w:styleId="63">
    <w:name w:val="p0"/>
    <w:basedOn w:val="1"/>
    <w:qFormat/>
    <w:uiPriority w:val="99"/>
    <w:pPr>
      <w:widowControl/>
    </w:pPr>
    <w:rPr>
      <w:b/>
      <w:bCs/>
      <w:kern w:val="0"/>
      <w:sz w:val="52"/>
      <w:szCs w:val="52"/>
    </w:rPr>
  </w:style>
  <w:style w:type="paragraph" w:customStyle="1" w:styleId="64">
    <w:name w:val="Date1"/>
    <w:basedOn w:val="1"/>
    <w:next w:val="1"/>
    <w:qFormat/>
    <w:uiPriority w:val="99"/>
    <w:pPr>
      <w:overflowPunct w:val="0"/>
      <w:autoSpaceDE w:val="0"/>
      <w:autoSpaceDN w:val="0"/>
      <w:adjustRightInd w:val="0"/>
    </w:pPr>
    <w:rPr>
      <w:rFonts w:ascii="宋体"/>
      <w:szCs w:val="20"/>
    </w:rPr>
  </w:style>
  <w:style w:type="character" w:customStyle="1" w:styleId="65">
    <w:name w:val="Footnote Text Char1"/>
    <w:basedOn w:val="24"/>
    <w:link w:val="21"/>
    <w:semiHidden/>
    <w:qFormat/>
    <w:locked/>
    <w:uiPriority w:val="99"/>
    <w:rPr>
      <w:rFonts w:cs="Times New Roman"/>
      <w:sz w:val="18"/>
      <w:szCs w:val="18"/>
    </w:rPr>
  </w:style>
  <w:style w:type="paragraph" w:customStyle="1" w:styleId="66">
    <w:name w:val="WPS Plain"/>
    <w:qFormat/>
    <w:uiPriority w:val="99"/>
    <w:rPr>
      <w:rFonts w:ascii="Times New Roman" w:hAnsi="Times New Roman" w:eastAsia="宋体" w:cs="Times New Roman"/>
      <w:kern w:val="0"/>
      <w:sz w:val="20"/>
      <w:szCs w:val="20"/>
      <w:lang w:val="en-US" w:eastAsia="zh-CN" w:bidi="ar-SA"/>
    </w:rPr>
  </w:style>
  <w:style w:type="paragraph" w:customStyle="1" w:styleId="67">
    <w:name w:val="CM20"/>
    <w:basedOn w:val="62"/>
    <w:next w:val="62"/>
    <w:qFormat/>
    <w:uiPriority w:val="99"/>
    <w:pPr>
      <w:spacing w:after="263"/>
    </w:pPr>
    <w:rPr>
      <w:color w:val="auto"/>
    </w:rPr>
  </w:style>
  <w:style w:type="paragraph" w:customStyle="1" w:styleId="68">
    <w:name w:val="List Paragraph1"/>
    <w:basedOn w:val="1"/>
    <w:qFormat/>
    <w:uiPriority w:val="99"/>
    <w:pPr>
      <w:ind w:firstLine="420" w:firstLineChars="200"/>
    </w:pPr>
    <w:rPr>
      <w:rFonts w:ascii="Calibri" w:hAnsi="Calibri" w:cs="黑体"/>
      <w:szCs w:val="21"/>
    </w:rPr>
  </w:style>
  <w:style w:type="character" w:customStyle="1" w:styleId="69">
    <w:name w:val="font71"/>
    <w:basedOn w:val="24"/>
    <w:qFormat/>
    <w:uiPriority w:val="99"/>
    <w:rPr>
      <w:rFonts w:ascii="宋体" w:hAnsi="宋体" w:eastAsia="宋体" w:cs="宋体"/>
      <w:color w:val="000000"/>
      <w:sz w:val="22"/>
      <w:szCs w:val="22"/>
      <w:u w:val="none"/>
    </w:rPr>
  </w:style>
  <w:style w:type="character" w:customStyle="1" w:styleId="70">
    <w:name w:val="font11"/>
    <w:basedOn w:val="24"/>
    <w:qFormat/>
    <w:uiPriority w:val="99"/>
    <w:rPr>
      <w:rFonts w:ascii="Arial Narrow" w:hAnsi="Arial Narrow" w:eastAsia="Times New Roman" w:cs="Arial Narrow"/>
      <w:color w:val="000000"/>
      <w:sz w:val="22"/>
      <w:szCs w:val="22"/>
      <w:u w:val="none"/>
    </w:rPr>
  </w:style>
  <w:style w:type="character" w:customStyle="1" w:styleId="71">
    <w:name w:val="font31"/>
    <w:basedOn w:val="24"/>
    <w:qFormat/>
    <w:uiPriority w:val="0"/>
    <w:rPr>
      <w:rFonts w:hint="default" w:ascii="Tahoma" w:hAnsi="Tahoma" w:eastAsia="Tahoma" w:cs="Tahoma"/>
      <w:color w:val="000000"/>
      <w:sz w:val="24"/>
      <w:szCs w:val="24"/>
      <w:u w:val="none"/>
    </w:rPr>
  </w:style>
  <w:style w:type="character" w:customStyle="1" w:styleId="72">
    <w:name w:val="font111"/>
    <w:basedOn w:val="24"/>
    <w:qFormat/>
    <w:uiPriority w:val="0"/>
    <w:rPr>
      <w:rFonts w:hint="eastAsia" w:ascii="宋体" w:hAnsi="宋体" w:eastAsia="宋体" w:cs="宋体"/>
      <w:color w:val="000000"/>
      <w:sz w:val="20"/>
      <w:szCs w:val="20"/>
      <w:u w:val="none"/>
    </w:rPr>
  </w:style>
  <w:style w:type="character" w:customStyle="1" w:styleId="73">
    <w:name w:val="font81"/>
    <w:basedOn w:val="24"/>
    <w:qFormat/>
    <w:uiPriority w:val="0"/>
    <w:rPr>
      <w:rFonts w:hint="default" w:ascii="Tahoma" w:hAnsi="Tahoma" w:eastAsia="Tahoma" w:cs="Tahoma"/>
      <w:color w:val="000000"/>
      <w:sz w:val="22"/>
      <w:szCs w:val="22"/>
      <w:u w:val="none"/>
    </w:rPr>
  </w:style>
  <w:style w:type="character" w:customStyle="1" w:styleId="74">
    <w:name w:val="font101"/>
    <w:basedOn w:val="24"/>
    <w:qFormat/>
    <w:uiPriority w:val="0"/>
    <w:rPr>
      <w:rFonts w:hint="eastAsia" w:ascii="宋体" w:hAnsi="宋体" w:eastAsia="宋体" w:cs="宋体"/>
      <w:color w:val="000000"/>
      <w:sz w:val="22"/>
      <w:szCs w:val="22"/>
      <w:u w:val="none"/>
    </w:rPr>
  </w:style>
  <w:style w:type="paragraph" w:customStyle="1" w:styleId="75">
    <w:name w:val="标书正文"/>
    <w:basedOn w:val="1"/>
    <w:qFormat/>
    <w:uiPriority w:val="0"/>
    <w:pPr>
      <w:spacing w:line="560" w:lineRule="exact"/>
      <w:ind w:firstLine="723" w:firstLineChars="200"/>
      <w:jc w:val="center"/>
    </w:pPr>
    <w:rPr>
      <w:rFonts w:ascii="仿宋_GB2312" w:hAnsi="宋体" w:eastAsia="仿宋_GB2312" w:cs="宋体"/>
      <w:b/>
      <w:bCs/>
      <w:sz w:val="36"/>
      <w:szCs w:val="36"/>
    </w:rPr>
  </w:style>
  <w:style w:type="character" w:customStyle="1" w:styleId="76">
    <w:name w:val="16"/>
    <w:basedOn w:val="24"/>
    <w:qFormat/>
    <w:uiPriority w:val="0"/>
    <w:rPr>
      <w:rFonts w:hint="default" w:ascii="Cambria" w:hAnsi="Cambria"/>
      <w:b/>
      <w:bCs/>
      <w:sz w:val="32"/>
      <w:szCs w:val="32"/>
    </w:rPr>
  </w:style>
  <w:style w:type="character" w:customStyle="1" w:styleId="77">
    <w:name w:val="15"/>
    <w:basedOn w:val="24"/>
    <w:qFormat/>
    <w:uiPriority w:val="0"/>
    <w:rPr>
      <w:rFonts w:hint="default" w:ascii="Times New Roman" w:hAnsi="Times New Roman" w:cs="Times New Roman"/>
    </w:rPr>
  </w:style>
  <w:style w:type="paragraph" w:styleId="78">
    <w:name w:val="List Paragraph"/>
    <w:basedOn w:val="1"/>
    <w:qFormat/>
    <w:uiPriority w:val="34"/>
    <w:pPr>
      <w:ind w:firstLine="420" w:firstLineChars="200"/>
    </w:pPr>
  </w:style>
  <w:style w:type="paragraph" w:customStyle="1" w:styleId="79">
    <w:name w:val="No Spacing"/>
    <w:basedOn w:val="1"/>
    <w:qFormat/>
    <w:uiPriority w:val="0"/>
  </w:style>
  <w:style w:type="paragraph" w:customStyle="1" w:styleId="80">
    <w:name w:val="样式3"/>
    <w:basedOn w:val="13"/>
    <w:qFormat/>
    <w:uiPriority w:val="0"/>
    <w:pPr>
      <w:spacing w:line="0" w:lineRule="atLeast"/>
      <w:outlineLvl w:val="0"/>
    </w:pPr>
    <w:rPr>
      <w:sz w:val="28"/>
    </w:rPr>
  </w:style>
  <w:style w:type="character" w:customStyle="1" w:styleId="81">
    <w:name w:val="标题 3 Char"/>
    <w:basedOn w:val="24"/>
    <w:link w:val="6"/>
    <w:qFormat/>
    <w:uiPriority w:val="0"/>
    <w:rPr>
      <w:rFonts w:ascii="Times New Roman" w:hAnsi="Times New Roman" w:eastAsia="宋体"/>
      <w:b/>
      <w:bCs/>
      <w:sz w:val="24"/>
      <w:szCs w:val="32"/>
      <w:lang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zfcgzx</Company>
  <Pages>44</Pages>
  <Words>4046</Words>
  <Characters>23067</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2018-01-29T07:46:00Z</dcterms:created>
  <dc:creator>YuYing</dc:creator>
  <cp:lastModifiedBy>KaiYuan</cp:lastModifiedBy>
  <cp:lastPrinted>2019-12-25T10:08:00Z</cp:lastPrinted>
  <dcterms:modified xsi:type="dcterms:W3CDTF">2020-04-27T09:39:30Z</dcterms:modified>
  <dc:title>第一章  投标邀请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