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_GB2312" w:eastAsia="宋体"/>
          <w:b/>
          <w:color w:val="auto"/>
          <w:sz w:val="72"/>
          <w:highlight w:val="none"/>
          <w:lang w:val="en-US" w:eastAsia="zh-CN"/>
        </w:rPr>
      </w:pPr>
      <w:r>
        <w:rPr>
          <w:rFonts w:hint="eastAsia" w:ascii="楷体_GB2312"/>
          <w:b/>
          <w:color w:val="auto"/>
          <w:sz w:val="72"/>
          <w:highlight w:val="none"/>
          <w:lang w:val="en-US" w:eastAsia="zh-CN"/>
        </w:rPr>
        <w:t xml:space="preserve">  </w:t>
      </w:r>
    </w:p>
    <w:p>
      <w:pPr>
        <w:jc w:val="center"/>
        <w:rPr>
          <w:rFonts w:hint="eastAsia" w:ascii="楷体_GB2312"/>
          <w:b/>
          <w:color w:val="auto"/>
          <w:sz w:val="72"/>
          <w:highlight w:val="none"/>
        </w:rPr>
      </w:pPr>
    </w:p>
    <w:p>
      <w:pPr>
        <w:jc w:val="center"/>
        <w:rPr>
          <w:rFonts w:hint="eastAsia" w:ascii="楷体_GB2312"/>
          <w:b/>
          <w:color w:val="auto"/>
          <w:sz w:val="72"/>
          <w:highlight w:val="none"/>
        </w:rPr>
      </w:pPr>
    </w:p>
    <w:p>
      <w:pPr>
        <w:jc w:val="center"/>
        <w:rPr>
          <w:rFonts w:hint="eastAsia" w:ascii="楷体_GB2312"/>
          <w:b/>
          <w:color w:val="auto"/>
          <w:sz w:val="72"/>
          <w:highlight w:val="none"/>
        </w:rPr>
      </w:pPr>
      <w:r>
        <w:rPr>
          <w:rFonts w:hint="eastAsia" w:ascii="楷体_GB2312"/>
          <w:b/>
          <w:color w:val="auto"/>
          <w:sz w:val="72"/>
          <w:highlight w:val="none"/>
        </w:rPr>
        <w:t>政  府  采  购</w:t>
      </w:r>
    </w:p>
    <w:p>
      <w:pPr>
        <w:jc w:val="center"/>
        <w:rPr>
          <w:rFonts w:hint="eastAsia" w:ascii="楷体_GB2312"/>
          <w:b/>
          <w:color w:val="auto"/>
          <w:sz w:val="100"/>
          <w:highlight w:val="none"/>
        </w:rPr>
      </w:pPr>
      <w:r>
        <w:rPr>
          <w:rFonts w:hint="eastAsia" w:ascii="楷体_GB2312"/>
          <w:b/>
          <w:color w:val="auto"/>
          <w:sz w:val="100"/>
          <w:highlight w:val="none"/>
        </w:rPr>
        <w:t>招　标　文　件</w:t>
      </w:r>
    </w:p>
    <w:p>
      <w:pPr>
        <w:rPr>
          <w:rFonts w:hint="eastAsia"/>
          <w:b/>
          <w:bCs/>
          <w:color w:val="auto"/>
          <w:sz w:val="32"/>
          <w:szCs w:val="32"/>
          <w:highlight w:val="none"/>
        </w:rPr>
      </w:pPr>
    </w:p>
    <w:p>
      <w:pPr>
        <w:rPr>
          <w:rFonts w:hint="eastAsia"/>
          <w:b/>
          <w:bCs/>
          <w:color w:val="auto"/>
          <w:sz w:val="32"/>
          <w:szCs w:val="32"/>
          <w:highlight w:val="none"/>
        </w:rPr>
      </w:pPr>
    </w:p>
    <w:p>
      <w:pPr>
        <w:rPr>
          <w:rFonts w:hint="eastAsia"/>
          <w:b/>
          <w:bCs/>
          <w:color w:val="auto"/>
          <w:sz w:val="32"/>
          <w:szCs w:val="32"/>
          <w:highlight w:val="none"/>
        </w:rPr>
      </w:pPr>
    </w:p>
    <w:p>
      <w:pPr>
        <w:pStyle w:val="11"/>
        <w:rPr>
          <w:rFonts w:hint="eastAsia"/>
          <w:color w:val="auto"/>
          <w:highlight w:val="none"/>
        </w:rPr>
      </w:pPr>
    </w:p>
    <w:p>
      <w:pPr>
        <w:ind w:left="2073" w:leftChars="330" w:hanging="1380" w:hangingChars="491"/>
        <w:rPr>
          <w:rFonts w:hint="eastAsia" w:ascii="楷体_GB2312"/>
          <w:b/>
          <w:bCs/>
          <w:color w:val="auto"/>
          <w:sz w:val="28"/>
          <w:szCs w:val="28"/>
          <w:highlight w:val="none"/>
          <w:lang w:val="en-US" w:eastAsia="zh-CN"/>
        </w:rPr>
      </w:pPr>
    </w:p>
    <w:p>
      <w:pPr>
        <w:ind w:left="2073" w:leftChars="330" w:hanging="1380" w:hangingChars="491"/>
        <w:rPr>
          <w:rFonts w:hint="eastAsia" w:ascii="楷体_GB2312"/>
          <w:b/>
          <w:bCs/>
          <w:color w:val="auto"/>
          <w:sz w:val="28"/>
          <w:szCs w:val="28"/>
          <w:highlight w:val="none"/>
          <w:lang w:val="en-US" w:eastAsia="zh-CN"/>
        </w:rPr>
      </w:pPr>
    </w:p>
    <w:p>
      <w:pPr>
        <w:jc w:val="center"/>
        <w:rPr>
          <w:rFonts w:hint="eastAsia" w:ascii="楷体_GB2312"/>
          <w:b/>
          <w:bCs/>
          <w:color w:val="auto"/>
          <w:sz w:val="36"/>
          <w:highlight w:val="none"/>
        </w:rPr>
      </w:pP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pStyle w:val="11"/>
        <w:ind w:left="0" w:leftChars="0" w:firstLine="0" w:firstLineChars="0"/>
        <w:rPr>
          <w:rFonts w:hint="eastAsia"/>
          <w:b/>
          <w:color w:val="auto"/>
          <w:sz w:val="30"/>
          <w:szCs w:val="30"/>
          <w:highlight w:val="none"/>
        </w:rPr>
      </w:pPr>
    </w:p>
    <w:p>
      <w:pPr>
        <w:rPr>
          <w:rFonts w:hint="eastAsia"/>
          <w:b/>
          <w:color w:val="auto"/>
          <w:sz w:val="30"/>
          <w:szCs w:val="30"/>
          <w:highlight w:val="none"/>
        </w:rPr>
      </w:pPr>
    </w:p>
    <w:p>
      <w:pPr>
        <w:jc w:val="center"/>
        <w:rPr>
          <w:rFonts w:hint="eastAsia"/>
          <w:b/>
          <w:color w:val="auto"/>
          <w:sz w:val="30"/>
          <w:szCs w:val="30"/>
          <w:highlight w:val="none"/>
          <w:lang w:eastAsia="zh-CN"/>
        </w:rPr>
      </w:pPr>
      <w:r>
        <w:rPr>
          <w:rFonts w:hint="eastAsia"/>
          <w:b/>
          <w:color w:val="auto"/>
          <w:sz w:val="30"/>
          <w:szCs w:val="30"/>
          <w:highlight w:val="none"/>
        </w:rPr>
        <w:t>招标代理：</w:t>
      </w:r>
      <w:r>
        <w:rPr>
          <w:rFonts w:hint="eastAsia"/>
          <w:b/>
          <w:color w:val="auto"/>
          <w:sz w:val="30"/>
          <w:szCs w:val="30"/>
          <w:highlight w:val="none"/>
          <w:lang w:eastAsia="zh-CN"/>
        </w:rPr>
        <w:t>新疆楷源工程项目管理有限责任公司</w:t>
      </w:r>
    </w:p>
    <w:p>
      <w:pPr>
        <w:pStyle w:val="6"/>
        <w:rPr>
          <w:rFonts w:hint="eastAsia"/>
          <w:b/>
          <w:color w:val="auto"/>
          <w:sz w:val="30"/>
          <w:szCs w:val="30"/>
          <w:highlight w:val="none"/>
          <w:lang w:val="en-US" w:eastAsia="zh-CN"/>
        </w:rPr>
      </w:pPr>
      <w:r>
        <w:rPr>
          <w:rFonts w:hint="eastAsia"/>
          <w:b/>
          <w:color w:val="auto"/>
          <w:sz w:val="30"/>
          <w:szCs w:val="30"/>
          <w:highlight w:val="none"/>
          <w:lang w:val="en-US" w:eastAsia="zh-CN"/>
        </w:rPr>
        <w:t xml:space="preserve">           采购单位：皮山县教育局</w:t>
      </w:r>
    </w:p>
    <w:p>
      <w:pPr>
        <w:jc w:val="center"/>
        <w:rPr>
          <w:rFonts w:hint="default"/>
          <w:lang w:val="en-US" w:eastAsia="zh-CN"/>
        </w:rPr>
      </w:pPr>
      <w:r>
        <w:rPr>
          <w:rFonts w:hint="eastAsia"/>
          <w:b/>
          <w:color w:val="auto"/>
          <w:sz w:val="30"/>
          <w:szCs w:val="30"/>
          <w:highlight w:val="none"/>
          <w:lang w:val="en-US" w:eastAsia="zh-CN"/>
        </w:rPr>
        <w:t>2020年04月</w:t>
      </w:r>
    </w:p>
    <w:p>
      <w:pPr>
        <w:rPr>
          <w:rFonts w:hint="eastAsia"/>
          <w:b/>
          <w:color w:val="auto"/>
          <w:sz w:val="30"/>
          <w:szCs w:val="30"/>
          <w:highlight w:val="none"/>
        </w:rPr>
      </w:pPr>
    </w:p>
    <w:p>
      <w:pPr>
        <w:rPr>
          <w:rFonts w:hint="eastAsia"/>
          <w:b/>
          <w:color w:val="auto"/>
          <w:sz w:val="30"/>
          <w:szCs w:val="30"/>
          <w:highlight w:val="none"/>
        </w:rPr>
      </w:pPr>
    </w:p>
    <w:p>
      <w:pPr>
        <w:rPr>
          <w:rFonts w:hint="eastAsia"/>
          <w:b/>
          <w:color w:val="auto"/>
          <w:sz w:val="30"/>
          <w:szCs w:val="30"/>
          <w:highlight w:val="none"/>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cs="宋体"/>
          <w:bCs/>
          <w:color w:val="auto"/>
          <w:sz w:val="44"/>
          <w:szCs w:val="44"/>
          <w:highlight w:val="none"/>
          <w:lang w:val="zh-CN"/>
        </w:rPr>
      </w:pPr>
    </w:p>
    <w:p>
      <w:pPr>
        <w:autoSpaceDE w:val="0"/>
        <w:autoSpaceDN w:val="0"/>
        <w:jc w:val="center"/>
        <w:rPr>
          <w:rFonts w:hint="eastAsia" w:ascii="宋体" w:hAnsi="宋体"/>
          <w:bCs/>
          <w:color w:val="auto"/>
          <w:sz w:val="44"/>
          <w:szCs w:val="44"/>
          <w:highlight w:val="none"/>
          <w:lang w:val="zh-CN"/>
        </w:rPr>
      </w:pPr>
      <w:r>
        <w:rPr>
          <w:rFonts w:hint="eastAsia" w:ascii="宋体" w:hAnsi="宋体" w:cs="宋体"/>
          <w:bCs/>
          <w:color w:val="auto"/>
          <w:sz w:val="44"/>
          <w:szCs w:val="44"/>
          <w:highlight w:val="none"/>
          <w:lang w:val="zh-CN"/>
        </w:rPr>
        <w:t>招标文件</w:t>
      </w: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autoSpaceDE w:val="0"/>
        <w:autoSpaceDN w:val="0"/>
        <w:adjustRightInd w:val="0"/>
        <w:ind w:left="4375" w:leftChars="150" w:hanging="4060" w:hangingChars="1450"/>
        <w:rPr>
          <w:rFonts w:hint="eastAsia" w:ascii="宋体" w:hAnsi="宋体" w:cs="宋体"/>
          <w:bCs/>
          <w:color w:val="auto"/>
          <w:kern w:val="0"/>
          <w:sz w:val="28"/>
          <w:szCs w:val="28"/>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left="1959" w:leftChars="133" w:hanging="1680" w:hangingChars="600"/>
        <w:textAlignment w:val="auto"/>
        <w:rPr>
          <w:rFonts w:hint="eastAsia" w:ascii="宋体" w:hAnsi="宋体" w:cs="宋体"/>
          <w:bCs/>
          <w:color w:val="auto"/>
          <w:sz w:val="28"/>
          <w:szCs w:val="28"/>
          <w:highlight w:val="none"/>
          <w:lang w:val="en-US" w:eastAsia="zh-CN"/>
        </w:rPr>
      </w:pPr>
      <w:r>
        <w:rPr>
          <w:rFonts w:hint="eastAsia" w:ascii="宋体" w:hAnsi="宋体" w:cs="宋体"/>
          <w:bCs/>
          <w:color w:val="auto"/>
          <w:sz w:val="28"/>
          <w:szCs w:val="28"/>
          <w:highlight w:val="none"/>
          <w:lang w:val="zh-CN" w:eastAsia="zh-CN"/>
        </w:rPr>
        <w:t>项</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val="zh-CN" w:eastAsia="zh-CN"/>
        </w:rPr>
        <w:t>目</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val="zh-CN" w:eastAsia="zh-CN"/>
        </w:rPr>
        <w:t>名</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val="zh-CN" w:eastAsia="zh-CN"/>
        </w:rPr>
        <w:t>称：2020年皮山县教育系统学校食堂所需食材采购项目（包二）</w:t>
      </w:r>
    </w:p>
    <w:p>
      <w:pPr>
        <w:keepNext w:val="0"/>
        <w:keepLines w:val="0"/>
        <w:pageBreakBefore w:val="0"/>
        <w:widowControl w:val="0"/>
        <w:kinsoku/>
        <w:wordWrap/>
        <w:overflowPunct/>
        <w:topLinePunct w:val="0"/>
        <w:autoSpaceDE w:val="0"/>
        <w:autoSpaceDN w:val="0"/>
        <w:bidi w:val="0"/>
        <w:adjustRightInd w:val="0"/>
        <w:snapToGrid/>
        <w:spacing w:line="480" w:lineRule="auto"/>
        <w:ind w:left="1959" w:leftChars="133" w:hanging="1680" w:hangingChars="600"/>
        <w:textAlignment w:val="auto"/>
        <w:rPr>
          <w:rFonts w:hint="eastAsia" w:ascii="宋体" w:hAnsi="宋体" w:cs="宋体"/>
          <w:bCs/>
          <w:color w:val="auto"/>
          <w:sz w:val="28"/>
          <w:szCs w:val="28"/>
          <w:highlight w:val="none"/>
          <w:lang w:val="zh-CN"/>
        </w:rPr>
      </w:pPr>
      <w:r>
        <w:rPr>
          <w:rFonts w:hint="eastAsia" w:ascii="宋体" w:hAnsi="宋体" w:cs="宋体"/>
          <w:bCs/>
          <w:color w:val="auto"/>
          <w:sz w:val="28"/>
          <w:szCs w:val="28"/>
          <w:highlight w:val="none"/>
          <w:lang w:val="zh-CN"/>
        </w:rPr>
        <w:t>招 标 人（盖章）：</w:t>
      </w:r>
      <w:r>
        <w:rPr>
          <w:rFonts w:hint="eastAsia" w:ascii="宋体" w:hAnsi="宋体" w:cs="宋体"/>
          <w:bCs/>
          <w:color w:val="auto"/>
          <w:sz w:val="28"/>
          <w:szCs w:val="28"/>
          <w:highlight w:val="none"/>
          <w:lang w:val="en-US" w:eastAsia="zh-CN"/>
        </w:rPr>
        <w:t>皮山县教育局</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zh-CN"/>
        </w:rPr>
        <w:t>联 系 人：</w:t>
      </w:r>
      <w:r>
        <w:rPr>
          <w:rFonts w:hint="eastAsia" w:ascii="宋体" w:hAnsi="宋体" w:cs="宋体"/>
          <w:bCs/>
          <w:color w:val="auto"/>
          <w:sz w:val="28"/>
          <w:szCs w:val="28"/>
          <w:highlight w:val="none"/>
          <w:lang w:val="zh-CN" w:eastAsia="zh-CN"/>
        </w:rPr>
        <w:t>王亚平</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cs="宋体"/>
          <w:bCs/>
          <w:color w:val="auto"/>
          <w:sz w:val="28"/>
          <w:szCs w:val="28"/>
          <w:highlight w:val="none"/>
          <w:lang w:val="en-US"/>
        </w:rPr>
      </w:pPr>
      <w:r>
        <w:rPr>
          <w:rFonts w:hint="eastAsia" w:ascii="宋体" w:hAnsi="宋体" w:cs="宋体"/>
          <w:bCs/>
          <w:color w:val="auto"/>
          <w:sz w:val="28"/>
          <w:szCs w:val="28"/>
          <w:highlight w:val="none"/>
          <w:lang w:val="zh-CN"/>
        </w:rPr>
        <w:t>电    话：0903-6427567</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color w:val="auto"/>
          <w:highlight w:val="none"/>
          <w:lang w:val="zh-CN"/>
        </w:rPr>
      </w:pPr>
      <w:r>
        <w:rPr>
          <w:rFonts w:hint="eastAsia" w:ascii="宋体" w:hAnsi="宋体" w:cs="宋体"/>
          <w:bCs/>
          <w:color w:val="auto"/>
          <w:sz w:val="28"/>
          <w:szCs w:val="28"/>
          <w:highlight w:val="none"/>
          <w:lang w:val="zh-CN"/>
        </w:rPr>
        <w:t>详细地址：皮山县新城区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bCs/>
          <w:color w:val="auto"/>
          <w:sz w:val="28"/>
          <w:szCs w:val="28"/>
          <w:highlight w:val="none"/>
          <w:u w:val="singl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textAlignment w:val="auto"/>
        <w:rPr>
          <w:rFonts w:hint="eastAsia" w:ascii="宋体" w:hAnsi="宋体" w:cs="宋体"/>
          <w:bCs/>
          <w:color w:val="auto"/>
          <w:sz w:val="28"/>
          <w:szCs w:val="28"/>
          <w:highlight w:val="none"/>
          <w:lang w:val="zh-CN"/>
        </w:rPr>
      </w:pPr>
      <w:r>
        <w:rPr>
          <w:rFonts w:hint="eastAsia" w:ascii="宋体" w:hAnsi="宋体"/>
          <w:bCs/>
          <w:color w:val="auto"/>
          <w:sz w:val="28"/>
          <w:szCs w:val="28"/>
          <w:highlight w:val="none"/>
          <w:u w:val="single"/>
          <w:lang w:val="en-US" w:eastAsia="zh-CN"/>
        </w:rPr>
        <w:t xml:space="preserve">                                                  </w:t>
      </w:r>
      <w:r>
        <w:rPr>
          <w:rFonts w:hint="eastAsia" w:ascii="宋体" w:hAnsi="宋体"/>
          <w:bCs/>
          <w:color w:val="auto"/>
          <w:sz w:val="28"/>
          <w:szCs w:val="28"/>
          <w:highlight w:val="none"/>
          <w:u w:val="none"/>
          <w:lang w:val="en-US" w:eastAsia="zh-CN"/>
        </w:rPr>
        <w:t xml:space="preserve">                </w:t>
      </w:r>
      <w:r>
        <w:rPr>
          <w:rFonts w:hint="eastAsia" w:ascii="宋体" w:hAnsi="宋体"/>
          <w:bCs/>
          <w:color w:val="auto"/>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left="4375" w:leftChars="150" w:hanging="4060" w:hangingChars="1450"/>
        <w:textAlignment w:val="auto"/>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lang w:val="zh-CN"/>
        </w:rPr>
        <w:t>招标代理机构</w:t>
      </w:r>
      <w:r>
        <w:rPr>
          <w:rFonts w:hint="eastAsia" w:ascii="宋体" w:hAnsi="宋体" w:cs="宋体"/>
          <w:color w:val="auto"/>
          <w:sz w:val="28"/>
          <w:szCs w:val="28"/>
          <w:highlight w:val="none"/>
          <w:lang w:val="zh-CN"/>
        </w:rPr>
        <w:t>（盖章）</w:t>
      </w:r>
      <w:r>
        <w:rPr>
          <w:rFonts w:hint="eastAsia" w:ascii="宋体" w:hAnsi="宋体" w:cs="宋体"/>
          <w:bCs/>
          <w:color w:val="auto"/>
          <w:sz w:val="28"/>
          <w:szCs w:val="28"/>
          <w:highlight w:val="none"/>
          <w:lang w:val="zh-CN"/>
        </w:rPr>
        <w:t>：</w:t>
      </w:r>
      <w:r>
        <w:rPr>
          <w:rFonts w:hint="eastAsia" w:ascii="宋体" w:hAnsi="宋体" w:cs="宋体"/>
          <w:bCs/>
          <w:color w:val="auto"/>
          <w:sz w:val="28"/>
          <w:szCs w:val="28"/>
          <w:highlight w:val="none"/>
          <w:lang w:eastAsia="zh-CN"/>
        </w:rPr>
        <w:t>新疆楷源工程项目管理有限责任公司</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default" w:ascii="宋体" w:hAnsi="宋体" w:eastAsia="宋体"/>
          <w:bCs/>
          <w:color w:val="auto"/>
          <w:sz w:val="28"/>
          <w:szCs w:val="28"/>
          <w:highlight w:val="none"/>
          <w:lang w:val="en-US" w:eastAsia="zh-CN"/>
        </w:rPr>
      </w:pPr>
      <w:r>
        <w:rPr>
          <w:rFonts w:hint="eastAsia" w:ascii="宋体" w:hAnsi="宋体" w:cs="宋体"/>
          <w:bCs/>
          <w:color w:val="auto"/>
          <w:kern w:val="0"/>
          <w:sz w:val="28"/>
          <w:szCs w:val="28"/>
          <w:highlight w:val="none"/>
          <w:lang w:val="zh-CN"/>
        </w:rPr>
        <w:t>项目负责人</w:t>
      </w:r>
      <w:r>
        <w:rPr>
          <w:rFonts w:hint="eastAsia" w:ascii="宋体" w:hAnsi="宋体" w:cs="宋体"/>
          <w:bCs/>
          <w:color w:val="auto"/>
          <w:sz w:val="28"/>
          <w:szCs w:val="28"/>
          <w:highlight w:val="none"/>
          <w:lang w:val="zh-CN"/>
        </w:rPr>
        <w:t>：侯雪萍</w:t>
      </w:r>
    </w:p>
    <w:tbl>
      <w:tblPr>
        <w:tblStyle w:val="32"/>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02" w:type="dxa"/>
          </w:tcPr>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cs="宋体"/>
                <w:bCs/>
                <w:color w:val="auto"/>
                <w:kern w:val="0"/>
                <w:sz w:val="28"/>
                <w:szCs w:val="28"/>
                <w:highlight w:val="none"/>
                <w:vertAlign w:val="baseline"/>
                <w:lang w:val="zh-CN"/>
              </w:rPr>
            </w:pPr>
          </w:p>
        </w:tc>
      </w:tr>
    </w:tbl>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cs="宋体"/>
          <w:bCs/>
          <w:color w:val="auto"/>
          <w:sz w:val="28"/>
          <w:szCs w:val="28"/>
          <w:highlight w:val="none"/>
          <w:lang w:val="en-US" w:eastAsia="zh-CN"/>
        </w:rPr>
      </w:pPr>
      <w:r>
        <w:rPr>
          <w:rFonts w:hint="eastAsia" w:ascii="宋体" w:hAnsi="宋体" w:cs="宋体"/>
          <w:bCs/>
          <w:color w:val="auto"/>
          <w:kern w:val="0"/>
          <w:sz w:val="28"/>
          <w:szCs w:val="28"/>
          <w:highlight w:val="none"/>
          <w:lang w:val="zh-CN"/>
        </w:rPr>
        <w:t>电    话</w:t>
      </w:r>
      <w:r>
        <w:rPr>
          <w:rFonts w:hint="eastAsia" w:ascii="宋体" w:hAnsi="宋体" w:cs="宋体"/>
          <w:bCs/>
          <w:color w:val="auto"/>
          <w:sz w:val="28"/>
          <w:szCs w:val="28"/>
          <w:highlight w:val="none"/>
          <w:lang w:val="zh-CN"/>
        </w:rPr>
        <w:t>：</w:t>
      </w:r>
      <w:r>
        <w:rPr>
          <w:rFonts w:hint="eastAsia" w:ascii="宋体" w:hAnsi="宋体" w:cs="宋体"/>
          <w:bCs/>
          <w:color w:val="auto"/>
          <w:sz w:val="28"/>
          <w:szCs w:val="28"/>
          <w:highlight w:val="none"/>
          <w:lang w:val="en-US" w:eastAsia="zh-CN"/>
        </w:rPr>
        <w:t>0903-2513255</w:t>
      </w:r>
    </w:p>
    <w:p>
      <w:pPr>
        <w:keepNext w:val="0"/>
        <w:keepLines w:val="0"/>
        <w:pageBreakBefore w:val="0"/>
        <w:widowControl w:val="0"/>
        <w:kinsoku/>
        <w:wordWrap/>
        <w:overflowPunct/>
        <w:topLinePunct w:val="0"/>
        <w:autoSpaceDE w:val="0"/>
        <w:autoSpaceDN w:val="0"/>
        <w:bidi w:val="0"/>
        <w:adjustRightInd w:val="0"/>
        <w:snapToGrid/>
        <w:spacing w:line="480" w:lineRule="auto"/>
        <w:ind w:left="315" w:leftChars="150"/>
        <w:textAlignment w:val="auto"/>
        <w:rPr>
          <w:rFonts w:hint="eastAsia" w:ascii="宋体" w:hAnsi="宋体" w:cs="宋体"/>
          <w:bCs/>
          <w:color w:val="auto"/>
          <w:sz w:val="28"/>
          <w:szCs w:val="28"/>
          <w:highlight w:val="none"/>
          <w:lang w:val="zh-CN" w:eastAsia="zh-CN"/>
        </w:rPr>
      </w:pPr>
      <w:r>
        <w:rPr>
          <w:rFonts w:hint="eastAsia" w:ascii="宋体" w:hAnsi="宋体" w:cs="宋体"/>
          <w:bCs/>
          <w:color w:val="auto"/>
          <w:kern w:val="0"/>
          <w:sz w:val="28"/>
          <w:szCs w:val="28"/>
          <w:highlight w:val="none"/>
          <w:lang w:val="zh-CN"/>
        </w:rPr>
        <w:t>详细地址</w:t>
      </w:r>
      <w:r>
        <w:rPr>
          <w:rFonts w:hint="eastAsia" w:ascii="宋体" w:hAnsi="宋体" w:cs="宋体"/>
          <w:bCs/>
          <w:color w:val="auto"/>
          <w:sz w:val="28"/>
          <w:szCs w:val="28"/>
          <w:highlight w:val="none"/>
          <w:lang w:val="zh-CN"/>
        </w:rPr>
        <w:t>：和田市玉都国际广场玉座11楼</w:t>
      </w:r>
      <w:r>
        <w:rPr>
          <w:rFonts w:hint="eastAsia" w:ascii="宋体" w:hAnsi="宋体" w:cs="宋体"/>
          <w:bCs/>
          <w:color w:val="auto"/>
          <w:sz w:val="28"/>
          <w:szCs w:val="28"/>
          <w:highlight w:val="none"/>
          <w:lang w:val="zh-CN" w:eastAsia="zh-CN"/>
        </w:rPr>
        <w:t> </w:t>
      </w:r>
    </w:p>
    <w:p>
      <w:pPr>
        <w:rPr>
          <w:rFonts w:hint="eastAsia" w:ascii="宋体" w:hAnsi="宋体"/>
          <w:b/>
          <w:bCs/>
          <w:color w:val="auto"/>
          <w:sz w:val="28"/>
          <w:szCs w:val="28"/>
          <w:highlight w:val="none"/>
        </w:rPr>
      </w:pPr>
      <w:r>
        <w:rPr>
          <w:rFonts w:hint="eastAsia" w:ascii="宋体" w:hAnsi="宋体"/>
          <w:b/>
          <w:bCs/>
          <w:color w:val="auto"/>
          <w:sz w:val="28"/>
          <w:szCs w:val="28"/>
          <w:highlight w:val="none"/>
          <w:lang w:val="en-US" w:eastAsia="zh-CN"/>
        </w:rPr>
        <w:br w:type="page"/>
      </w:r>
      <w:r>
        <w:rPr>
          <w:rFonts w:hint="eastAsia" w:ascii="宋体" w:hAnsi="宋体"/>
          <w:b/>
          <w:bCs/>
          <w:color w:val="auto"/>
          <w:sz w:val="28"/>
          <w:szCs w:val="28"/>
          <w:highlight w:val="none"/>
          <w:lang w:val="en-US" w:eastAsia="zh-CN"/>
        </w:rPr>
        <w:t>采购办</w:t>
      </w:r>
      <w:r>
        <w:rPr>
          <w:rFonts w:hint="eastAsia" w:ascii="宋体" w:hAnsi="宋体"/>
          <w:b/>
          <w:bCs/>
          <w:color w:val="auto"/>
          <w:sz w:val="28"/>
          <w:szCs w:val="28"/>
          <w:highlight w:val="none"/>
        </w:rPr>
        <w:t>备案登记栏</w:t>
      </w:r>
    </w:p>
    <w:p>
      <w:pPr>
        <w:jc w:val="left"/>
        <w:rPr>
          <w:rFonts w:hint="eastAsia"/>
          <w:color w:val="auto"/>
          <w:highlight w:val="none"/>
          <w:lang w:val="en-US" w:eastAsia="zh-CN"/>
        </w:rPr>
      </w:pPr>
    </w:p>
    <w:tbl>
      <w:tblPr>
        <w:tblStyle w:val="31"/>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4" w:hRule="atLeast"/>
        </w:trPr>
        <w:tc>
          <w:tcPr>
            <w:tcW w:w="8477" w:type="dxa"/>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24"/>
                <w:szCs w:val="32"/>
              </w:rPr>
            </w:pPr>
            <w:r>
              <w:rPr>
                <w:rFonts w:hint="eastAsia"/>
                <w:sz w:val="24"/>
                <w:szCs w:val="32"/>
              </w:rPr>
              <w:t>本招标文件已报备</w:t>
            </w: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jc w:val="center"/>
              <w:rPr>
                <w:rFonts w:hint="eastAsia"/>
                <w:sz w:val="24"/>
                <w:szCs w:val="32"/>
              </w:rPr>
            </w:pPr>
          </w:p>
          <w:p>
            <w:pPr>
              <w:pStyle w:val="6"/>
              <w:rPr>
                <w:rFonts w:hint="eastAsia"/>
                <w:sz w:val="40"/>
                <w:szCs w:val="40"/>
              </w:rPr>
            </w:pPr>
          </w:p>
          <w:p>
            <w:pPr>
              <w:rPr>
                <w:rFonts w:hint="eastAsia"/>
                <w:sz w:val="24"/>
                <w:szCs w:val="32"/>
              </w:rPr>
            </w:pPr>
          </w:p>
          <w:p>
            <w:pPr>
              <w:pStyle w:val="6"/>
              <w:rPr>
                <w:rFonts w:hint="eastAsia"/>
                <w:sz w:val="40"/>
                <w:szCs w:val="40"/>
              </w:rPr>
            </w:pPr>
          </w:p>
          <w:p>
            <w:pPr>
              <w:rPr>
                <w:rFonts w:hint="eastAsia"/>
                <w:sz w:val="24"/>
                <w:szCs w:val="32"/>
              </w:rPr>
            </w:pPr>
          </w:p>
          <w:p>
            <w:pPr>
              <w:pStyle w:val="6"/>
              <w:rPr>
                <w:rFonts w:hint="eastAsia"/>
                <w:sz w:val="40"/>
                <w:szCs w:val="40"/>
              </w:rPr>
            </w:pPr>
          </w:p>
          <w:p>
            <w:pPr>
              <w:jc w:val="center"/>
              <w:rPr>
                <w:rFonts w:hint="eastAsia"/>
                <w:sz w:val="24"/>
                <w:szCs w:val="32"/>
              </w:rPr>
            </w:pPr>
          </w:p>
          <w:p>
            <w:pPr>
              <w:rPr>
                <w:rFonts w:hint="eastAsia"/>
                <w:sz w:val="24"/>
                <w:szCs w:val="32"/>
              </w:rPr>
            </w:pPr>
          </w:p>
          <w:p>
            <w:pPr>
              <w:jc w:val="both"/>
              <w:rPr>
                <w:rFonts w:hint="eastAsia"/>
                <w:sz w:val="24"/>
                <w:szCs w:val="32"/>
                <w:lang w:eastAsia="zh-CN"/>
              </w:rPr>
            </w:pPr>
            <w:r>
              <w:rPr>
                <w:rFonts w:hint="eastAsia"/>
                <w:sz w:val="24"/>
                <w:szCs w:val="32"/>
                <w:lang w:val="en-US" w:eastAsia="zh-CN"/>
              </w:rPr>
              <w:t>项目</w:t>
            </w:r>
            <w:r>
              <w:rPr>
                <w:rFonts w:hint="eastAsia"/>
                <w:sz w:val="24"/>
                <w:szCs w:val="32"/>
              </w:rPr>
              <w:t>名称：</w:t>
            </w:r>
            <w:r>
              <w:rPr>
                <w:rFonts w:hint="eastAsia"/>
                <w:sz w:val="24"/>
                <w:szCs w:val="32"/>
                <w:lang w:val="zh-CN" w:eastAsia="zh-CN"/>
              </w:rPr>
              <w:t>2020年皮山县教育系统学校食堂所需食材采购项目（包二）</w:t>
            </w:r>
          </w:p>
          <w:p>
            <w:pPr>
              <w:pStyle w:val="6"/>
              <w:rPr>
                <w:rFonts w:hint="eastAsia"/>
                <w:sz w:val="40"/>
                <w:szCs w:val="40"/>
                <w:lang w:eastAsia="zh-CN"/>
              </w:rPr>
            </w:pPr>
          </w:p>
          <w:p>
            <w:pPr>
              <w:rPr>
                <w:rFonts w:hint="eastAsia"/>
                <w:sz w:val="24"/>
                <w:szCs w:val="32"/>
                <w:lang w:eastAsia="zh-CN"/>
              </w:rPr>
            </w:pPr>
          </w:p>
          <w:p>
            <w:pPr>
              <w:rPr>
                <w:rFonts w:hint="eastAsia"/>
                <w:sz w:val="40"/>
                <w:szCs w:val="40"/>
              </w:rPr>
            </w:pPr>
            <w:r>
              <w:rPr>
                <w:rFonts w:hint="eastAsia"/>
                <w:sz w:val="24"/>
                <w:szCs w:val="32"/>
              </w:rPr>
              <w:t>备案日期：</w:t>
            </w:r>
            <w:r>
              <w:rPr>
                <w:rFonts w:hint="eastAsia"/>
                <w:sz w:val="24"/>
                <w:szCs w:val="32"/>
                <w:lang w:val="en-US" w:eastAsia="zh-CN"/>
              </w:rPr>
              <w:t>2020年4月</w:t>
            </w:r>
          </w:p>
          <w:p>
            <w:pPr>
              <w:rPr>
                <w:rFonts w:hint="eastAsia"/>
              </w:rPr>
            </w:pPr>
          </w:p>
          <w:p>
            <w:pPr>
              <w:pStyle w:val="6"/>
              <w:rPr>
                <w:rFonts w:hint="eastAsia"/>
              </w:rPr>
            </w:pPr>
          </w:p>
        </w:tc>
      </w:tr>
    </w:tbl>
    <w:p>
      <w:pPr>
        <w:ind w:right="4" w:rightChars="2"/>
        <w:jc w:val="center"/>
        <w:rPr>
          <w:rFonts w:hint="eastAsia" w:ascii="宋体" w:hAnsi="宋体"/>
          <w:b/>
          <w:color w:val="auto"/>
          <w:sz w:val="44"/>
          <w:highlight w:val="none"/>
        </w:rPr>
      </w:pPr>
    </w:p>
    <w:p>
      <w:pPr>
        <w:ind w:right="4" w:rightChars="2"/>
        <w:jc w:val="center"/>
        <w:rPr>
          <w:rFonts w:ascii="宋体"/>
          <w:b/>
          <w:color w:val="auto"/>
          <w:sz w:val="44"/>
          <w:highlight w:val="none"/>
        </w:rPr>
      </w:pPr>
      <w:r>
        <w:rPr>
          <w:rFonts w:hint="eastAsia" w:ascii="宋体" w:hAnsi="宋体"/>
          <w:b/>
          <w:color w:val="auto"/>
          <w:sz w:val="44"/>
          <w:highlight w:val="none"/>
        </w:rPr>
        <w:br w:type="page"/>
      </w:r>
      <w:r>
        <w:rPr>
          <w:rFonts w:hint="eastAsia" w:ascii="宋体" w:hAnsi="宋体"/>
          <w:b/>
          <w:color w:val="auto"/>
          <w:sz w:val="44"/>
          <w:highlight w:val="none"/>
        </w:rPr>
        <w:t>目　　录</w:t>
      </w:r>
    </w:p>
    <w:p>
      <w:pPr>
        <w:rPr>
          <w:rFonts w:ascii="宋体"/>
          <w:color w:val="auto"/>
          <w:sz w:val="24"/>
          <w:highlight w:val="none"/>
        </w:rPr>
      </w:pPr>
    </w:p>
    <w:p>
      <w:pPr>
        <w:spacing w:line="360" w:lineRule="auto"/>
        <w:rPr>
          <w:rFonts w:ascii="宋体"/>
          <w:color w:val="auto"/>
          <w:sz w:val="24"/>
          <w:highlight w:val="none"/>
        </w:rPr>
      </w:pPr>
      <w:r>
        <w:rPr>
          <w:rFonts w:hint="eastAsia" w:ascii="宋体" w:hAnsi="宋体"/>
          <w:color w:val="auto"/>
          <w:sz w:val="24"/>
          <w:highlight w:val="none"/>
        </w:rPr>
        <w:t>第一部分　采购公告</w:t>
      </w:r>
    </w:p>
    <w:p>
      <w:pPr>
        <w:spacing w:line="360" w:lineRule="auto"/>
        <w:rPr>
          <w:rFonts w:ascii="宋体"/>
          <w:color w:val="auto"/>
          <w:sz w:val="24"/>
          <w:highlight w:val="none"/>
        </w:rPr>
      </w:pPr>
      <w:r>
        <w:rPr>
          <w:rFonts w:hint="eastAsia" w:ascii="宋体" w:hAnsi="宋体"/>
          <w:color w:val="auto"/>
          <w:sz w:val="24"/>
          <w:highlight w:val="none"/>
        </w:rPr>
        <w:t>第二部分　投标须知</w:t>
      </w:r>
    </w:p>
    <w:p>
      <w:pPr>
        <w:spacing w:line="360" w:lineRule="auto"/>
        <w:ind w:firstLine="420"/>
        <w:rPr>
          <w:rFonts w:ascii="宋体"/>
          <w:bCs/>
          <w:color w:val="auto"/>
          <w:sz w:val="24"/>
          <w:highlight w:val="none"/>
        </w:rPr>
      </w:pPr>
      <w:r>
        <w:rPr>
          <w:rFonts w:ascii="宋体" w:hAnsi="宋体"/>
          <w:bCs/>
          <w:color w:val="auto"/>
          <w:sz w:val="24"/>
          <w:highlight w:val="none"/>
        </w:rPr>
        <w:t>A</w:t>
      </w:r>
      <w:r>
        <w:rPr>
          <w:rFonts w:hint="eastAsia" w:ascii="宋体" w:hAnsi="宋体"/>
          <w:bCs/>
          <w:color w:val="auto"/>
          <w:sz w:val="24"/>
          <w:highlight w:val="none"/>
        </w:rPr>
        <w:t>　说明及注意事项</w:t>
      </w:r>
    </w:p>
    <w:p>
      <w:pPr>
        <w:spacing w:line="360" w:lineRule="auto"/>
        <w:ind w:firstLine="63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．适用范围</w:t>
      </w:r>
    </w:p>
    <w:p>
      <w:pPr>
        <w:spacing w:line="360" w:lineRule="auto"/>
        <w:ind w:firstLine="630"/>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．定义</w:t>
      </w:r>
    </w:p>
    <w:p>
      <w:pPr>
        <w:spacing w:line="360" w:lineRule="auto"/>
        <w:ind w:firstLine="630"/>
        <w:rPr>
          <w:rFonts w:asci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．合格的投标人</w:t>
      </w:r>
    </w:p>
    <w:p>
      <w:pPr>
        <w:spacing w:line="360" w:lineRule="auto"/>
        <w:ind w:firstLine="630"/>
        <w:rPr>
          <w:rFonts w:asci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．联合体投标</w:t>
      </w:r>
    </w:p>
    <w:p>
      <w:pPr>
        <w:spacing w:line="360" w:lineRule="auto"/>
        <w:ind w:firstLine="630"/>
        <w:rPr>
          <w:rFonts w:ascii="宋体"/>
          <w:bCs/>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．投标保证金</w:t>
      </w:r>
    </w:p>
    <w:p>
      <w:pPr>
        <w:spacing w:line="360" w:lineRule="auto"/>
        <w:ind w:firstLine="630"/>
        <w:rPr>
          <w:rFonts w:ascii="宋体"/>
          <w:bCs/>
          <w:color w:val="auto"/>
          <w:sz w:val="24"/>
          <w:highlight w:val="none"/>
        </w:rPr>
      </w:pPr>
      <w:r>
        <w:rPr>
          <w:rFonts w:ascii="宋体" w:hAnsi="宋体"/>
          <w:bCs/>
          <w:color w:val="auto"/>
          <w:sz w:val="24"/>
          <w:highlight w:val="none"/>
        </w:rPr>
        <w:t>6</w:t>
      </w:r>
      <w:r>
        <w:rPr>
          <w:rFonts w:hint="eastAsia" w:ascii="宋体" w:hAnsi="宋体"/>
          <w:bCs/>
          <w:color w:val="auto"/>
          <w:sz w:val="24"/>
          <w:highlight w:val="none"/>
        </w:rPr>
        <w:t>．投标有效期</w:t>
      </w:r>
    </w:p>
    <w:p>
      <w:pPr>
        <w:spacing w:line="360" w:lineRule="auto"/>
        <w:ind w:firstLine="630"/>
        <w:rPr>
          <w:rFonts w:ascii="宋体"/>
          <w:bCs/>
          <w:color w:val="auto"/>
          <w:sz w:val="24"/>
          <w:highlight w:val="none"/>
        </w:rPr>
      </w:pPr>
      <w:r>
        <w:rPr>
          <w:rFonts w:ascii="宋体" w:hAnsi="宋体"/>
          <w:bCs/>
          <w:color w:val="auto"/>
          <w:sz w:val="24"/>
          <w:highlight w:val="none"/>
        </w:rPr>
        <w:t>7</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8</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9</w:t>
      </w:r>
      <w:r>
        <w:rPr>
          <w:rFonts w:hint="eastAsia" w:ascii="宋体" w:hAnsi="宋体"/>
          <w:bCs/>
          <w:color w:val="auto"/>
          <w:sz w:val="24"/>
          <w:highlight w:val="none"/>
        </w:rPr>
        <w:t>．投标费用</w:t>
      </w:r>
    </w:p>
    <w:p>
      <w:pPr>
        <w:spacing w:line="360" w:lineRule="auto"/>
        <w:ind w:firstLine="420"/>
        <w:rPr>
          <w:rFonts w:ascii="宋体"/>
          <w:bCs/>
          <w:color w:val="auto"/>
          <w:sz w:val="24"/>
          <w:highlight w:val="none"/>
        </w:rPr>
      </w:pPr>
      <w:r>
        <w:rPr>
          <w:rFonts w:ascii="宋体" w:hAnsi="宋体"/>
          <w:bCs/>
          <w:color w:val="auto"/>
          <w:sz w:val="24"/>
          <w:highlight w:val="none"/>
        </w:rPr>
        <w:t>B</w:t>
      </w:r>
      <w:r>
        <w:rPr>
          <w:rFonts w:hint="eastAsia" w:ascii="宋体" w:hAnsi="宋体"/>
          <w:bCs/>
          <w:color w:val="auto"/>
          <w:sz w:val="24"/>
          <w:highlight w:val="none"/>
        </w:rPr>
        <w:t>　投标文件的编写</w:t>
      </w:r>
    </w:p>
    <w:p>
      <w:pPr>
        <w:spacing w:line="360" w:lineRule="auto"/>
        <w:ind w:firstLine="630"/>
        <w:rPr>
          <w:rFonts w:ascii="宋体"/>
          <w:bCs/>
          <w:color w:val="auto"/>
          <w:sz w:val="24"/>
          <w:highlight w:val="none"/>
        </w:rPr>
      </w:pPr>
      <w:r>
        <w:rPr>
          <w:rFonts w:ascii="宋体" w:hAnsi="宋体"/>
          <w:bCs/>
          <w:color w:val="auto"/>
          <w:sz w:val="24"/>
          <w:highlight w:val="none"/>
        </w:rPr>
        <w:t>10</w:t>
      </w:r>
      <w:r>
        <w:rPr>
          <w:rFonts w:hint="eastAsia" w:ascii="宋体" w:hAnsi="宋体"/>
          <w:bCs/>
          <w:color w:val="auto"/>
          <w:sz w:val="24"/>
          <w:highlight w:val="none"/>
        </w:rPr>
        <w:t>．一般要求</w:t>
      </w:r>
    </w:p>
    <w:p>
      <w:pPr>
        <w:spacing w:line="360" w:lineRule="auto"/>
        <w:ind w:firstLine="630"/>
        <w:rPr>
          <w:rFonts w:ascii="宋体"/>
          <w:bCs/>
          <w:color w:val="auto"/>
          <w:sz w:val="24"/>
          <w:highlight w:val="none"/>
        </w:rPr>
      </w:pPr>
      <w:r>
        <w:rPr>
          <w:rFonts w:ascii="宋体" w:hAnsi="宋体"/>
          <w:bCs/>
          <w:color w:val="auto"/>
          <w:sz w:val="24"/>
          <w:highlight w:val="none"/>
        </w:rPr>
        <w:t>11</w:t>
      </w:r>
      <w:r>
        <w:rPr>
          <w:rFonts w:hint="eastAsia" w:ascii="宋体" w:hAnsi="宋体"/>
          <w:bCs/>
          <w:color w:val="auto"/>
          <w:sz w:val="24"/>
          <w:highlight w:val="none"/>
        </w:rPr>
        <w:t>．投标文件由以下部分构成</w:t>
      </w:r>
    </w:p>
    <w:p>
      <w:pPr>
        <w:spacing w:line="360" w:lineRule="auto"/>
        <w:ind w:firstLine="630"/>
        <w:rPr>
          <w:rFonts w:ascii="宋体"/>
          <w:bCs/>
          <w:color w:val="auto"/>
          <w:sz w:val="24"/>
          <w:highlight w:val="none"/>
        </w:rPr>
      </w:pPr>
      <w:r>
        <w:rPr>
          <w:rFonts w:ascii="宋体" w:hAnsi="宋体"/>
          <w:bCs/>
          <w:color w:val="auto"/>
          <w:sz w:val="24"/>
          <w:highlight w:val="none"/>
        </w:rPr>
        <w:t>12</w:t>
      </w:r>
      <w:r>
        <w:rPr>
          <w:rFonts w:hint="eastAsia" w:ascii="宋体" w:hAnsi="宋体"/>
          <w:bCs/>
          <w:color w:val="auto"/>
          <w:sz w:val="24"/>
          <w:highlight w:val="none"/>
        </w:rPr>
        <w:t>．报价</w:t>
      </w:r>
    </w:p>
    <w:p>
      <w:pPr>
        <w:spacing w:line="360" w:lineRule="auto"/>
        <w:ind w:firstLine="630"/>
        <w:rPr>
          <w:rFonts w:ascii="宋体"/>
          <w:bCs/>
          <w:color w:val="auto"/>
          <w:sz w:val="24"/>
          <w:highlight w:val="none"/>
        </w:rPr>
      </w:pPr>
      <w:r>
        <w:rPr>
          <w:rFonts w:ascii="宋体" w:hAnsi="宋体"/>
          <w:bCs/>
          <w:color w:val="auto"/>
          <w:sz w:val="24"/>
          <w:highlight w:val="none"/>
        </w:rPr>
        <w:t>13</w:t>
      </w:r>
      <w:r>
        <w:rPr>
          <w:rFonts w:hint="eastAsia" w:ascii="宋体" w:hAnsi="宋体"/>
          <w:bCs/>
          <w:color w:val="auto"/>
          <w:sz w:val="24"/>
          <w:highlight w:val="none"/>
        </w:rPr>
        <w:t>．投标文件的签署及规定</w:t>
      </w:r>
    </w:p>
    <w:p>
      <w:pPr>
        <w:spacing w:line="360" w:lineRule="auto"/>
        <w:ind w:firstLine="420"/>
        <w:rPr>
          <w:rFonts w:ascii="宋体"/>
          <w:bCs/>
          <w:color w:val="auto"/>
          <w:sz w:val="24"/>
          <w:highlight w:val="none"/>
        </w:rPr>
      </w:pPr>
      <w:r>
        <w:rPr>
          <w:rFonts w:ascii="宋体" w:hAnsi="宋体"/>
          <w:bCs/>
          <w:color w:val="auto"/>
          <w:sz w:val="24"/>
          <w:highlight w:val="none"/>
        </w:rPr>
        <w:t>C</w:t>
      </w:r>
      <w:r>
        <w:rPr>
          <w:rFonts w:hint="eastAsia" w:ascii="宋体" w:hAnsi="宋体"/>
          <w:bCs/>
          <w:color w:val="auto"/>
          <w:sz w:val="24"/>
          <w:highlight w:val="none"/>
        </w:rPr>
        <w:t>　投标文件的递交</w:t>
      </w:r>
    </w:p>
    <w:p>
      <w:pPr>
        <w:spacing w:line="360" w:lineRule="auto"/>
        <w:ind w:firstLine="630"/>
        <w:rPr>
          <w:rFonts w:ascii="宋体"/>
          <w:bCs/>
          <w:color w:val="auto"/>
          <w:sz w:val="24"/>
          <w:highlight w:val="none"/>
        </w:rPr>
      </w:pPr>
      <w:r>
        <w:rPr>
          <w:rFonts w:ascii="宋体" w:hAnsi="宋体"/>
          <w:bCs/>
          <w:color w:val="auto"/>
          <w:sz w:val="24"/>
          <w:highlight w:val="none"/>
        </w:rPr>
        <w:t>14</w:t>
      </w:r>
      <w:r>
        <w:rPr>
          <w:rFonts w:hint="eastAsia" w:ascii="宋体" w:hAnsi="宋体"/>
          <w:bCs/>
          <w:color w:val="auto"/>
          <w:sz w:val="24"/>
          <w:highlight w:val="none"/>
        </w:rPr>
        <w:t>．投标文件的密封和标记</w:t>
      </w:r>
    </w:p>
    <w:p>
      <w:pPr>
        <w:spacing w:line="360" w:lineRule="auto"/>
        <w:ind w:firstLine="630"/>
        <w:rPr>
          <w:rFonts w:ascii="宋体"/>
          <w:bCs/>
          <w:color w:val="auto"/>
          <w:sz w:val="24"/>
          <w:highlight w:val="none"/>
        </w:rPr>
      </w:pPr>
      <w:r>
        <w:rPr>
          <w:rFonts w:ascii="宋体" w:hAnsi="宋体"/>
          <w:bCs/>
          <w:color w:val="auto"/>
          <w:sz w:val="24"/>
          <w:highlight w:val="none"/>
        </w:rPr>
        <w:t>15</w:t>
      </w:r>
      <w:r>
        <w:rPr>
          <w:rFonts w:hint="eastAsia" w:ascii="宋体" w:hAnsi="宋体"/>
          <w:bCs/>
          <w:color w:val="auto"/>
          <w:sz w:val="24"/>
          <w:highlight w:val="none"/>
        </w:rPr>
        <w:t>．投标文件的递交</w:t>
      </w:r>
    </w:p>
    <w:p>
      <w:pPr>
        <w:spacing w:line="360" w:lineRule="auto"/>
        <w:ind w:firstLine="630"/>
        <w:rPr>
          <w:rFonts w:ascii="宋体"/>
          <w:bCs/>
          <w:color w:val="auto"/>
          <w:sz w:val="24"/>
          <w:highlight w:val="none"/>
        </w:rPr>
      </w:pPr>
      <w:r>
        <w:rPr>
          <w:rFonts w:ascii="宋体" w:hAnsi="宋体"/>
          <w:bCs/>
          <w:color w:val="auto"/>
          <w:sz w:val="24"/>
          <w:highlight w:val="none"/>
        </w:rPr>
        <w:t>16</w:t>
      </w:r>
      <w:r>
        <w:rPr>
          <w:rFonts w:hint="eastAsia" w:ascii="宋体" w:hAnsi="宋体"/>
          <w:bCs/>
          <w:color w:val="auto"/>
          <w:sz w:val="24"/>
          <w:highlight w:val="none"/>
        </w:rPr>
        <w:t>．投标文件的修改</w:t>
      </w:r>
    </w:p>
    <w:p>
      <w:pPr>
        <w:spacing w:line="360" w:lineRule="auto"/>
        <w:ind w:firstLine="630"/>
        <w:rPr>
          <w:rFonts w:ascii="宋体"/>
          <w:bCs/>
          <w:color w:val="auto"/>
          <w:sz w:val="24"/>
          <w:highlight w:val="none"/>
        </w:rPr>
      </w:pPr>
      <w:r>
        <w:rPr>
          <w:rFonts w:ascii="宋体" w:hAnsi="宋体"/>
          <w:bCs/>
          <w:color w:val="auto"/>
          <w:sz w:val="24"/>
          <w:highlight w:val="none"/>
        </w:rPr>
        <w:t>17</w:t>
      </w:r>
      <w:r>
        <w:rPr>
          <w:rFonts w:hint="eastAsia" w:ascii="宋体" w:hAnsi="宋体"/>
          <w:bCs/>
          <w:color w:val="auto"/>
          <w:sz w:val="24"/>
          <w:highlight w:val="none"/>
        </w:rPr>
        <w:t>．投标文件的撤回、修改、补充</w:t>
      </w:r>
    </w:p>
    <w:p>
      <w:pPr>
        <w:spacing w:line="360" w:lineRule="auto"/>
        <w:ind w:firstLine="630"/>
        <w:rPr>
          <w:rFonts w:ascii="宋体"/>
          <w:bCs/>
          <w:color w:val="auto"/>
          <w:sz w:val="24"/>
          <w:highlight w:val="none"/>
        </w:rPr>
      </w:pPr>
      <w:r>
        <w:rPr>
          <w:rFonts w:ascii="宋体" w:hAnsi="宋体"/>
          <w:bCs/>
          <w:color w:val="auto"/>
          <w:sz w:val="24"/>
          <w:highlight w:val="none"/>
        </w:rPr>
        <w:t>18</w:t>
      </w:r>
      <w:r>
        <w:rPr>
          <w:rFonts w:hint="eastAsia" w:ascii="宋体" w:hAnsi="宋体"/>
          <w:bCs/>
          <w:color w:val="auto"/>
          <w:sz w:val="24"/>
          <w:highlight w:val="none"/>
        </w:rPr>
        <w:t>．迟到的投标文件</w:t>
      </w:r>
    </w:p>
    <w:p>
      <w:pPr>
        <w:spacing w:line="360" w:lineRule="auto"/>
        <w:ind w:firstLine="420"/>
        <w:rPr>
          <w:rFonts w:ascii="宋体"/>
          <w:bCs/>
          <w:color w:val="auto"/>
          <w:sz w:val="24"/>
          <w:highlight w:val="none"/>
        </w:rPr>
      </w:pPr>
      <w:r>
        <w:rPr>
          <w:rFonts w:ascii="宋体" w:hAnsi="宋体"/>
          <w:bCs/>
          <w:color w:val="auto"/>
          <w:sz w:val="24"/>
          <w:highlight w:val="none"/>
        </w:rPr>
        <w:t>D</w:t>
      </w:r>
      <w:r>
        <w:rPr>
          <w:rFonts w:hint="eastAsia" w:ascii="宋体" w:hAnsi="宋体"/>
          <w:bCs/>
          <w:color w:val="auto"/>
          <w:sz w:val="24"/>
          <w:highlight w:val="none"/>
        </w:rPr>
        <w:t>　开标和评标</w:t>
      </w:r>
    </w:p>
    <w:p>
      <w:pPr>
        <w:spacing w:line="360" w:lineRule="auto"/>
        <w:ind w:firstLine="630"/>
        <w:rPr>
          <w:rFonts w:ascii="宋体"/>
          <w:bCs/>
          <w:color w:val="auto"/>
          <w:sz w:val="24"/>
          <w:highlight w:val="none"/>
        </w:rPr>
      </w:pPr>
      <w:r>
        <w:rPr>
          <w:rFonts w:ascii="宋体" w:hAnsi="宋体"/>
          <w:bCs/>
          <w:color w:val="auto"/>
          <w:sz w:val="24"/>
          <w:highlight w:val="none"/>
        </w:rPr>
        <w:t>19</w:t>
      </w:r>
      <w:r>
        <w:rPr>
          <w:rFonts w:hint="eastAsia" w:ascii="宋体" w:hAnsi="宋体"/>
          <w:bCs/>
          <w:color w:val="auto"/>
          <w:sz w:val="24"/>
          <w:highlight w:val="none"/>
        </w:rPr>
        <w:t>．开标</w:t>
      </w:r>
    </w:p>
    <w:p>
      <w:pPr>
        <w:spacing w:line="360" w:lineRule="auto"/>
        <w:ind w:firstLine="630"/>
        <w:rPr>
          <w:rFonts w:ascii="宋体"/>
          <w:bCs/>
          <w:color w:val="auto"/>
          <w:sz w:val="24"/>
          <w:highlight w:val="none"/>
        </w:rPr>
      </w:pPr>
      <w:r>
        <w:rPr>
          <w:rFonts w:ascii="宋体" w:hAnsi="宋体"/>
          <w:bCs/>
          <w:color w:val="auto"/>
          <w:sz w:val="24"/>
          <w:highlight w:val="none"/>
        </w:rPr>
        <w:t>20</w:t>
      </w:r>
      <w:r>
        <w:rPr>
          <w:rFonts w:hint="eastAsia" w:ascii="宋体" w:hAnsi="宋体"/>
          <w:bCs/>
          <w:color w:val="auto"/>
          <w:sz w:val="24"/>
          <w:highlight w:val="none"/>
        </w:rPr>
        <w:t>．评标委员会组成及职责</w:t>
      </w:r>
    </w:p>
    <w:p>
      <w:pPr>
        <w:spacing w:line="360" w:lineRule="auto"/>
        <w:ind w:firstLine="630"/>
        <w:rPr>
          <w:rFonts w:ascii="宋体"/>
          <w:bCs/>
          <w:color w:val="auto"/>
          <w:sz w:val="24"/>
          <w:highlight w:val="none"/>
        </w:rPr>
      </w:pPr>
      <w:r>
        <w:rPr>
          <w:rFonts w:ascii="宋体" w:hAnsi="宋体"/>
          <w:bCs/>
          <w:color w:val="auto"/>
          <w:sz w:val="24"/>
          <w:highlight w:val="none"/>
        </w:rPr>
        <w:t>21</w:t>
      </w:r>
      <w:r>
        <w:rPr>
          <w:rFonts w:hint="eastAsia" w:ascii="宋体" w:hAnsi="宋体"/>
          <w:bCs/>
          <w:color w:val="auto"/>
          <w:sz w:val="24"/>
          <w:highlight w:val="none"/>
        </w:rPr>
        <w:t>．评标委员会履行的义务</w:t>
      </w:r>
    </w:p>
    <w:p>
      <w:pPr>
        <w:spacing w:line="360" w:lineRule="auto"/>
        <w:ind w:firstLine="630"/>
        <w:rPr>
          <w:rFonts w:ascii="宋体"/>
          <w:bCs/>
          <w:color w:val="auto"/>
          <w:sz w:val="24"/>
          <w:highlight w:val="none"/>
        </w:rPr>
      </w:pPr>
      <w:r>
        <w:rPr>
          <w:rFonts w:ascii="宋体" w:hAnsi="宋体"/>
          <w:bCs/>
          <w:color w:val="auto"/>
          <w:sz w:val="24"/>
          <w:highlight w:val="none"/>
        </w:rPr>
        <w:t>22</w:t>
      </w:r>
      <w:r>
        <w:rPr>
          <w:rFonts w:hint="eastAsia" w:ascii="宋体" w:hAnsi="宋体"/>
          <w:bCs/>
          <w:color w:val="auto"/>
          <w:sz w:val="24"/>
          <w:highlight w:val="none"/>
        </w:rPr>
        <w:t>．评标工作程序</w:t>
      </w:r>
    </w:p>
    <w:p>
      <w:pPr>
        <w:spacing w:line="360" w:lineRule="auto"/>
        <w:ind w:firstLine="630"/>
        <w:rPr>
          <w:rFonts w:ascii="宋体"/>
          <w:bCs/>
          <w:color w:val="auto"/>
          <w:sz w:val="24"/>
          <w:highlight w:val="none"/>
        </w:rPr>
      </w:pPr>
      <w:r>
        <w:rPr>
          <w:rFonts w:ascii="宋体" w:hAnsi="宋体"/>
          <w:bCs/>
          <w:color w:val="auto"/>
          <w:sz w:val="24"/>
          <w:highlight w:val="none"/>
        </w:rPr>
        <w:t>23</w:t>
      </w:r>
      <w:r>
        <w:rPr>
          <w:rFonts w:hint="eastAsia" w:ascii="宋体" w:hAnsi="宋体"/>
          <w:bCs/>
          <w:color w:val="auto"/>
          <w:sz w:val="24"/>
          <w:highlight w:val="none"/>
        </w:rPr>
        <w:t>．评标过程的保密性</w:t>
      </w:r>
    </w:p>
    <w:p>
      <w:pPr>
        <w:spacing w:line="360" w:lineRule="auto"/>
        <w:ind w:firstLine="420"/>
        <w:rPr>
          <w:rFonts w:ascii="宋体"/>
          <w:bCs/>
          <w:color w:val="auto"/>
          <w:sz w:val="24"/>
          <w:highlight w:val="none"/>
        </w:rPr>
      </w:pPr>
      <w:r>
        <w:rPr>
          <w:rFonts w:ascii="宋体" w:hAnsi="宋体"/>
          <w:bCs/>
          <w:color w:val="auto"/>
          <w:sz w:val="24"/>
          <w:highlight w:val="none"/>
        </w:rPr>
        <w:t>E</w:t>
      </w:r>
      <w:r>
        <w:rPr>
          <w:rFonts w:hint="eastAsia" w:ascii="宋体" w:hAnsi="宋体"/>
          <w:bCs/>
          <w:color w:val="auto"/>
          <w:sz w:val="24"/>
          <w:highlight w:val="none"/>
        </w:rPr>
        <w:t>　评标文件及标准</w:t>
      </w:r>
    </w:p>
    <w:p>
      <w:pPr>
        <w:spacing w:line="360" w:lineRule="auto"/>
        <w:ind w:firstLine="630"/>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．评标方法</w:t>
      </w:r>
    </w:p>
    <w:p>
      <w:pPr>
        <w:spacing w:line="360" w:lineRule="auto"/>
        <w:ind w:firstLine="630"/>
        <w:rPr>
          <w:rFonts w:ascii="宋体"/>
          <w:bCs/>
          <w:color w:val="auto"/>
          <w:sz w:val="24"/>
          <w:highlight w:val="none"/>
        </w:rPr>
      </w:pPr>
      <w:r>
        <w:rPr>
          <w:rFonts w:ascii="宋体" w:hAnsi="宋体"/>
          <w:bCs/>
          <w:color w:val="auto"/>
          <w:sz w:val="24"/>
          <w:highlight w:val="none"/>
        </w:rPr>
        <w:t>25</w:t>
      </w:r>
      <w:r>
        <w:rPr>
          <w:rFonts w:hint="eastAsia" w:ascii="宋体" w:hAnsi="宋体"/>
          <w:bCs/>
          <w:color w:val="auto"/>
          <w:sz w:val="24"/>
          <w:highlight w:val="none"/>
        </w:rPr>
        <w:t>．授受和拒绝任何或所有投标的权力</w:t>
      </w:r>
    </w:p>
    <w:p>
      <w:pPr>
        <w:spacing w:line="360" w:lineRule="auto"/>
        <w:ind w:firstLine="420"/>
        <w:rPr>
          <w:rFonts w:ascii="宋体"/>
          <w:bCs/>
          <w:color w:val="auto"/>
          <w:sz w:val="24"/>
          <w:highlight w:val="none"/>
        </w:rPr>
      </w:pPr>
      <w:r>
        <w:rPr>
          <w:rFonts w:ascii="宋体" w:hAnsi="宋体"/>
          <w:bCs/>
          <w:color w:val="auto"/>
          <w:sz w:val="24"/>
          <w:highlight w:val="none"/>
        </w:rPr>
        <w:t>F</w:t>
      </w:r>
      <w:r>
        <w:rPr>
          <w:rFonts w:hint="eastAsia" w:ascii="宋体" w:hAnsi="宋体"/>
          <w:bCs/>
          <w:color w:val="auto"/>
          <w:sz w:val="24"/>
          <w:highlight w:val="none"/>
        </w:rPr>
        <w:t>　中标及合同签订</w:t>
      </w:r>
    </w:p>
    <w:p>
      <w:pPr>
        <w:spacing w:line="360" w:lineRule="auto"/>
        <w:ind w:firstLine="630"/>
        <w:rPr>
          <w:rFonts w:ascii="宋体"/>
          <w:bCs/>
          <w:color w:val="auto"/>
          <w:sz w:val="24"/>
          <w:highlight w:val="none"/>
        </w:rPr>
      </w:pPr>
      <w:r>
        <w:rPr>
          <w:rFonts w:ascii="宋体" w:hAnsi="宋体"/>
          <w:bCs/>
          <w:color w:val="auto"/>
          <w:sz w:val="24"/>
          <w:highlight w:val="none"/>
        </w:rPr>
        <w:t>26</w:t>
      </w:r>
      <w:r>
        <w:rPr>
          <w:rFonts w:hint="eastAsia" w:ascii="宋体" w:hAnsi="宋体"/>
          <w:bCs/>
          <w:color w:val="auto"/>
          <w:sz w:val="24"/>
          <w:highlight w:val="none"/>
        </w:rPr>
        <w:t>．中标通知</w:t>
      </w:r>
    </w:p>
    <w:p>
      <w:pPr>
        <w:spacing w:line="360" w:lineRule="auto"/>
        <w:ind w:firstLine="630"/>
        <w:rPr>
          <w:rFonts w:ascii="宋体"/>
          <w:bCs/>
          <w:color w:val="auto"/>
          <w:sz w:val="24"/>
          <w:highlight w:val="none"/>
        </w:rPr>
      </w:pPr>
      <w:r>
        <w:rPr>
          <w:rFonts w:ascii="宋体" w:hAnsi="宋体"/>
          <w:bCs/>
          <w:color w:val="auto"/>
          <w:sz w:val="24"/>
          <w:highlight w:val="none"/>
        </w:rPr>
        <w:t>27</w:t>
      </w:r>
      <w:r>
        <w:rPr>
          <w:rFonts w:hint="eastAsia" w:ascii="宋体" w:hAnsi="宋体"/>
          <w:bCs/>
          <w:color w:val="auto"/>
          <w:sz w:val="24"/>
          <w:highlight w:val="none"/>
        </w:rPr>
        <w:t>．合同签订</w:t>
      </w:r>
    </w:p>
    <w:p>
      <w:pPr>
        <w:spacing w:line="360" w:lineRule="auto"/>
        <w:ind w:firstLine="420"/>
        <w:rPr>
          <w:rFonts w:ascii="宋体"/>
          <w:bCs/>
          <w:color w:val="auto"/>
          <w:sz w:val="24"/>
          <w:highlight w:val="none"/>
        </w:rPr>
      </w:pPr>
      <w:r>
        <w:rPr>
          <w:rFonts w:ascii="宋体" w:hAnsi="宋体"/>
          <w:bCs/>
          <w:color w:val="auto"/>
          <w:sz w:val="24"/>
          <w:highlight w:val="none"/>
        </w:rPr>
        <w:t>G</w:t>
      </w:r>
      <w:r>
        <w:rPr>
          <w:rFonts w:hint="eastAsia" w:ascii="宋体" w:hAnsi="宋体"/>
          <w:bCs/>
          <w:color w:val="auto"/>
          <w:sz w:val="24"/>
          <w:highlight w:val="none"/>
        </w:rPr>
        <w:t>　法律责任</w:t>
      </w:r>
    </w:p>
    <w:p>
      <w:pPr>
        <w:spacing w:line="360" w:lineRule="auto"/>
        <w:ind w:firstLine="630"/>
        <w:rPr>
          <w:rFonts w:ascii="宋体"/>
          <w:bCs/>
          <w:color w:val="auto"/>
          <w:sz w:val="24"/>
          <w:highlight w:val="none"/>
        </w:rPr>
      </w:pPr>
      <w:r>
        <w:rPr>
          <w:rFonts w:ascii="宋体" w:hAnsi="宋体"/>
          <w:bCs/>
          <w:color w:val="auto"/>
          <w:sz w:val="24"/>
          <w:highlight w:val="none"/>
        </w:rPr>
        <w:t>28</w:t>
      </w:r>
      <w:r>
        <w:rPr>
          <w:rFonts w:hint="eastAsia" w:ascii="宋体" w:hAnsi="宋体"/>
          <w:bCs/>
          <w:color w:val="auto"/>
          <w:sz w:val="24"/>
          <w:highlight w:val="none"/>
        </w:rPr>
        <w:t>．法律责任</w:t>
      </w:r>
    </w:p>
    <w:p>
      <w:pPr>
        <w:spacing w:line="360" w:lineRule="auto"/>
        <w:ind w:firstLine="420"/>
        <w:rPr>
          <w:rFonts w:ascii="宋体"/>
          <w:bCs/>
          <w:color w:val="auto"/>
          <w:sz w:val="24"/>
          <w:highlight w:val="none"/>
        </w:rPr>
      </w:pPr>
      <w:r>
        <w:rPr>
          <w:rFonts w:ascii="宋体" w:hAnsi="宋体"/>
          <w:bCs/>
          <w:color w:val="auto"/>
          <w:sz w:val="24"/>
          <w:highlight w:val="none"/>
        </w:rPr>
        <w:t>H</w:t>
      </w:r>
      <w:r>
        <w:rPr>
          <w:rFonts w:hint="eastAsia" w:ascii="宋体" w:hAnsi="宋体"/>
          <w:bCs/>
          <w:color w:val="auto"/>
          <w:sz w:val="24"/>
          <w:highlight w:val="none"/>
        </w:rPr>
        <w:t>　验收</w:t>
      </w:r>
    </w:p>
    <w:p>
      <w:pPr>
        <w:spacing w:line="360" w:lineRule="auto"/>
        <w:ind w:firstLine="630"/>
        <w:rPr>
          <w:rFonts w:ascii="宋体"/>
          <w:bCs/>
          <w:color w:val="auto"/>
          <w:sz w:val="24"/>
          <w:highlight w:val="none"/>
        </w:rPr>
      </w:pPr>
      <w:r>
        <w:rPr>
          <w:rFonts w:ascii="宋体" w:hAnsi="宋体"/>
          <w:bCs/>
          <w:color w:val="auto"/>
          <w:sz w:val="24"/>
          <w:highlight w:val="none"/>
        </w:rPr>
        <w:t>29</w:t>
      </w:r>
      <w:r>
        <w:rPr>
          <w:rFonts w:hint="eastAsia" w:ascii="宋体" w:hAnsi="宋体"/>
          <w:bCs/>
          <w:color w:val="auto"/>
          <w:sz w:val="24"/>
          <w:highlight w:val="none"/>
        </w:rPr>
        <w:t>．货物验收</w:t>
      </w:r>
    </w:p>
    <w:p>
      <w:pPr>
        <w:spacing w:line="360" w:lineRule="auto"/>
        <w:ind w:firstLine="420"/>
        <w:rPr>
          <w:rFonts w:ascii="宋体"/>
          <w:bCs/>
          <w:color w:val="auto"/>
          <w:sz w:val="24"/>
          <w:highlight w:val="none"/>
        </w:rPr>
      </w:pPr>
      <w:r>
        <w:rPr>
          <w:rFonts w:ascii="宋体" w:hAnsi="宋体"/>
          <w:bCs/>
          <w:color w:val="auto"/>
          <w:sz w:val="24"/>
          <w:highlight w:val="none"/>
        </w:rPr>
        <w:t>I</w:t>
      </w:r>
      <w:r>
        <w:rPr>
          <w:rFonts w:hint="eastAsia" w:ascii="宋体" w:hAnsi="宋体"/>
          <w:bCs/>
          <w:color w:val="auto"/>
          <w:sz w:val="24"/>
          <w:highlight w:val="none"/>
        </w:rPr>
        <w:t>　质疑与投诉</w:t>
      </w:r>
    </w:p>
    <w:p>
      <w:pPr>
        <w:spacing w:line="360" w:lineRule="auto"/>
        <w:ind w:firstLine="630"/>
        <w:rPr>
          <w:rFonts w:ascii="宋体"/>
          <w:bCs/>
          <w:color w:val="auto"/>
          <w:sz w:val="24"/>
          <w:highlight w:val="none"/>
        </w:rPr>
      </w:pPr>
      <w:r>
        <w:rPr>
          <w:rFonts w:ascii="宋体" w:hAnsi="宋体"/>
          <w:bCs/>
          <w:color w:val="auto"/>
          <w:sz w:val="24"/>
          <w:highlight w:val="none"/>
        </w:rPr>
        <w:t>30</w:t>
      </w:r>
      <w:r>
        <w:rPr>
          <w:rFonts w:hint="eastAsia" w:ascii="宋体" w:hAnsi="宋体"/>
          <w:bCs/>
          <w:color w:val="auto"/>
          <w:sz w:val="24"/>
          <w:highlight w:val="none"/>
        </w:rPr>
        <w:t>．质疑</w:t>
      </w:r>
    </w:p>
    <w:p>
      <w:pPr>
        <w:spacing w:line="360" w:lineRule="auto"/>
        <w:ind w:firstLine="630"/>
        <w:rPr>
          <w:rFonts w:ascii="宋体"/>
          <w:bCs/>
          <w:color w:val="auto"/>
          <w:sz w:val="24"/>
          <w:highlight w:val="none"/>
        </w:rPr>
      </w:pPr>
      <w:r>
        <w:rPr>
          <w:rFonts w:ascii="宋体" w:hAnsi="宋体"/>
          <w:bCs/>
          <w:color w:val="auto"/>
          <w:sz w:val="24"/>
          <w:highlight w:val="none"/>
        </w:rPr>
        <w:t>31</w:t>
      </w:r>
      <w:r>
        <w:rPr>
          <w:rFonts w:hint="eastAsia" w:ascii="宋体" w:hAnsi="宋体"/>
          <w:bCs/>
          <w:color w:val="auto"/>
          <w:sz w:val="24"/>
          <w:highlight w:val="none"/>
        </w:rPr>
        <w:t>．投诉</w:t>
      </w:r>
    </w:p>
    <w:p>
      <w:pPr>
        <w:spacing w:line="360" w:lineRule="auto"/>
        <w:rPr>
          <w:rFonts w:ascii="宋体"/>
          <w:color w:val="auto"/>
          <w:sz w:val="24"/>
          <w:highlight w:val="none"/>
        </w:rPr>
      </w:pPr>
      <w:r>
        <w:rPr>
          <w:rFonts w:hint="eastAsia" w:ascii="宋体" w:hAnsi="宋体"/>
          <w:color w:val="auto"/>
          <w:sz w:val="24"/>
          <w:highlight w:val="none"/>
        </w:rPr>
        <w:t>第三部分　清单及说明</w:t>
      </w:r>
    </w:p>
    <w:p>
      <w:pPr>
        <w:spacing w:line="360" w:lineRule="auto"/>
        <w:rPr>
          <w:rFonts w:ascii="宋体"/>
          <w:color w:val="auto"/>
          <w:sz w:val="24"/>
          <w:highlight w:val="none"/>
        </w:rPr>
      </w:pPr>
      <w:r>
        <w:rPr>
          <w:rFonts w:hint="eastAsia" w:ascii="宋体" w:hAnsi="宋体"/>
          <w:color w:val="auto"/>
          <w:sz w:val="24"/>
          <w:highlight w:val="none"/>
        </w:rPr>
        <w:t>第四部分　采购合同（范本）</w:t>
      </w:r>
    </w:p>
    <w:p>
      <w:pPr>
        <w:spacing w:line="360" w:lineRule="auto"/>
        <w:rPr>
          <w:rFonts w:hint="eastAsia" w:ascii="宋体" w:hAnsi="宋体"/>
          <w:color w:val="auto"/>
          <w:sz w:val="24"/>
          <w:highlight w:val="none"/>
        </w:rPr>
      </w:pPr>
      <w:r>
        <w:rPr>
          <w:rFonts w:hint="eastAsia" w:ascii="宋体" w:hAnsi="宋体"/>
          <w:color w:val="auto"/>
          <w:sz w:val="24"/>
          <w:highlight w:val="none"/>
        </w:rPr>
        <w:t>第五部分　投标文件内容及格式</w:t>
      </w: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pStyle w:val="2"/>
        <w:numPr>
          <w:ilvl w:val="1"/>
          <w:numId w:val="0"/>
        </w:numPr>
        <w:tabs>
          <w:tab w:val="clear" w:pos="420"/>
        </w:tabs>
        <w:ind w:leftChars="0"/>
        <w:rPr>
          <w:rFonts w:hint="eastAsia" w:ascii="宋体" w:hAnsi="宋体"/>
          <w:color w:val="auto"/>
          <w:sz w:val="24"/>
          <w:highlight w:val="none"/>
        </w:rPr>
      </w:pPr>
    </w:p>
    <w:p>
      <w:pPr>
        <w:spacing w:line="500" w:lineRule="exact"/>
        <w:jc w:val="center"/>
        <w:rPr>
          <w:rFonts w:hint="eastAsia" w:ascii="宋体" w:hAnsi="宋体"/>
          <w:b/>
          <w:color w:val="auto"/>
          <w:sz w:val="28"/>
          <w:szCs w:val="28"/>
          <w:highlight w:val="none"/>
        </w:rPr>
        <w:sectPr>
          <w:headerReference r:id="rId5" w:type="default"/>
          <w:footerReference r:id="rId6" w:type="default"/>
          <w:pgSz w:w="11907" w:h="16840"/>
          <w:pgMar w:top="1474" w:right="1814" w:bottom="1474" w:left="1814" w:header="851" w:footer="851" w:gutter="0"/>
          <w:pgNumType w:fmt="decimal"/>
          <w:cols w:space="720" w:num="1"/>
          <w:docGrid w:linePitch="462" w:charSpace="0"/>
        </w:sectPr>
      </w:pPr>
    </w:p>
    <w:p>
      <w:pPr>
        <w:spacing w:line="500" w:lineRule="exact"/>
        <w:jc w:val="center"/>
        <w:rPr>
          <w:rFonts w:hint="eastAsia" w:ascii="宋体" w:hAnsi="宋体" w:cs="宋体"/>
          <w:b/>
          <w:bCs/>
          <w:color w:val="auto"/>
          <w:sz w:val="36"/>
          <w:szCs w:val="36"/>
          <w:highlight w:val="none"/>
          <w:lang w:val="en-US" w:eastAsia="zh-CN"/>
        </w:rPr>
      </w:pP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采购公告</w:t>
      </w:r>
    </w:p>
    <w:p>
      <w:pPr>
        <w:jc w:val="cente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2020年皮山县教育系统学校食堂所需食材采购项目公开招标公告</w:t>
      </w:r>
    </w:p>
    <w:p>
      <w:pPr>
        <w:widowControl/>
        <w:spacing w:after="75"/>
        <w:jc w:val="left"/>
        <w:rPr>
          <w:rFonts w:ascii="宋体" w:hAnsi="宋体" w:cs="宋体"/>
          <w:color w:val="000000"/>
        </w:rPr>
      </w:pPr>
      <w:r>
        <w:rPr>
          <w:rFonts w:ascii="宋体" w:hAnsi="宋体" w:cs="宋体"/>
          <w:color w:val="000000" w:themeColor="text1"/>
          <w:highlight w:val="none"/>
          <w14:textFill>
            <w14:solidFill>
              <w14:schemeClr w14:val="tx1"/>
            </w14:solidFill>
          </w14:textFill>
        </w:rPr>
        <w:t xml:space="preserve">一、招标项目编号： </w:t>
      </w:r>
      <w:r>
        <w:rPr>
          <w:rFonts w:ascii="宋体" w:hAnsi="宋体" w:cs="宋体"/>
          <w:color w:val="FF0000"/>
          <w:highlight w:val="none"/>
        </w:rPr>
        <w:t>PSXZC20</w:t>
      </w:r>
      <w:r>
        <w:rPr>
          <w:rFonts w:hint="eastAsia" w:ascii="宋体" w:hAnsi="宋体" w:cs="宋体"/>
          <w:color w:val="FF0000"/>
          <w:highlight w:val="none"/>
          <w:lang w:val="en-US" w:eastAsia="zh-CN"/>
        </w:rPr>
        <w:t>20</w:t>
      </w:r>
      <w:r>
        <w:rPr>
          <w:rFonts w:ascii="宋体" w:hAnsi="宋体" w:cs="宋体"/>
          <w:color w:val="FF0000"/>
          <w:highlight w:val="none"/>
        </w:rPr>
        <w:t>-</w:t>
      </w:r>
      <w:r>
        <w:rPr>
          <w:rFonts w:hint="eastAsia" w:ascii="宋体" w:hAnsi="宋体" w:cs="宋体"/>
          <w:color w:val="FF0000"/>
          <w:highlight w:val="none"/>
          <w:lang w:val="en-US" w:eastAsia="zh-CN"/>
        </w:rPr>
        <w:t>016</w:t>
      </w:r>
    </w:p>
    <w:p>
      <w:pPr>
        <w:widowControl/>
        <w:spacing w:before="75" w:after="75"/>
        <w:jc w:val="left"/>
        <w:rPr>
          <w:rFonts w:ascii="宋体" w:hAnsi="宋体" w:cs="宋体"/>
          <w:color w:val="auto"/>
        </w:rPr>
      </w:pPr>
      <w:r>
        <w:rPr>
          <w:rFonts w:ascii="宋体" w:hAnsi="宋体" w:cs="宋体"/>
          <w:color w:val="000000"/>
        </w:rPr>
        <w:t>二、采购组织类型：分散采购-分散委托</w:t>
      </w:r>
      <w:r>
        <w:rPr>
          <w:rFonts w:ascii="宋体" w:hAnsi="宋体" w:cs="宋体"/>
          <w:color w:val="auto"/>
        </w:rPr>
        <w:t>中介 </w:t>
      </w:r>
    </w:p>
    <w:p>
      <w:pPr>
        <w:widowControl/>
        <w:spacing w:before="75" w:after="75"/>
        <w:jc w:val="left"/>
        <w:rPr>
          <w:rFonts w:ascii="宋体" w:hAnsi="宋体" w:cs="宋体"/>
          <w:color w:val="auto"/>
        </w:rPr>
      </w:pPr>
      <w:r>
        <w:rPr>
          <w:rFonts w:ascii="宋体" w:hAnsi="宋体" w:cs="宋体"/>
          <w:color w:val="auto"/>
        </w:rPr>
        <w:t>三、招标项目概况</w:t>
      </w:r>
    </w:p>
    <w:tbl>
      <w:tblPr>
        <w:tblStyle w:val="31"/>
        <w:tblW w:w="7902" w:type="dxa"/>
        <w:jc w:val="center"/>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4"/>
        <w:gridCol w:w="1413"/>
        <w:gridCol w:w="712"/>
        <w:gridCol w:w="712"/>
        <w:gridCol w:w="1016"/>
        <w:gridCol w:w="897"/>
        <w:gridCol w:w="107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7" w:hRule="atLeast"/>
          <w:jc w:val="center"/>
        </w:trPr>
        <w:tc>
          <w:tcPr>
            <w:tcW w:w="824"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标项序号</w:t>
            </w:r>
          </w:p>
        </w:tc>
        <w:tc>
          <w:tcPr>
            <w:tcW w:w="1413"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标项名称</w:t>
            </w:r>
          </w:p>
        </w:tc>
        <w:tc>
          <w:tcPr>
            <w:tcW w:w="712"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品名</w:t>
            </w:r>
          </w:p>
        </w:tc>
        <w:tc>
          <w:tcPr>
            <w:tcW w:w="712"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规格</w:t>
            </w:r>
          </w:p>
        </w:tc>
        <w:tc>
          <w:tcPr>
            <w:tcW w:w="1016"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eastAsia="zh-CN"/>
              </w:rPr>
            </w:pPr>
            <w:r>
              <w:rPr>
                <w:rFonts w:hint="eastAsia" w:ascii="宋体" w:hAnsi="宋体" w:cs="宋体"/>
                <w:color w:val="auto"/>
                <w:lang w:eastAsia="zh-CN"/>
              </w:rPr>
              <w:t>数量</w:t>
            </w:r>
          </w:p>
        </w:tc>
        <w:tc>
          <w:tcPr>
            <w:tcW w:w="897" w:type="dxa"/>
            <w:noWrap w:val="0"/>
            <w:tcMar>
              <w:top w:w="75" w:type="dxa"/>
              <w:left w:w="150" w:type="dxa"/>
              <w:bottom w:w="75" w:type="dxa"/>
              <w:right w:w="150" w:type="dxa"/>
            </w:tcMar>
            <w:vAlign w:val="center"/>
          </w:tcPr>
          <w:p>
            <w:pPr>
              <w:widowControl/>
              <w:spacing w:after="150"/>
              <w:jc w:val="both"/>
              <w:rPr>
                <w:rFonts w:hint="eastAsia" w:ascii="宋体" w:hAnsi="宋体" w:eastAsia="宋体" w:cs="宋体"/>
                <w:color w:val="auto"/>
                <w:lang w:eastAsia="zh-CN"/>
              </w:rPr>
            </w:pPr>
            <w:r>
              <w:rPr>
                <w:rFonts w:hint="eastAsia" w:ascii="宋体" w:hAnsi="宋体" w:cs="宋体"/>
                <w:color w:val="auto"/>
                <w:lang w:eastAsia="zh-CN"/>
              </w:rPr>
              <w:t>预算单价（元）</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eastAsia="zh-CN"/>
              </w:rPr>
            </w:pPr>
            <w:r>
              <w:rPr>
                <w:rFonts w:hint="eastAsia" w:ascii="宋体" w:hAnsi="宋体" w:cs="宋体"/>
                <w:color w:val="auto"/>
                <w:lang w:val="en-US" w:eastAsia="zh-CN"/>
              </w:rPr>
              <w:t>预算金额（万元）</w:t>
            </w:r>
          </w:p>
        </w:tc>
        <w:tc>
          <w:tcPr>
            <w:tcW w:w="1257"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21" w:hRule="atLeast"/>
          <w:jc w:val="center"/>
        </w:trPr>
        <w:tc>
          <w:tcPr>
            <w:tcW w:w="824" w:type="dxa"/>
            <w:noWrap w:val="0"/>
            <w:tcMar>
              <w:top w:w="75" w:type="dxa"/>
              <w:left w:w="150" w:type="dxa"/>
              <w:bottom w:w="75" w:type="dxa"/>
              <w:right w:w="150" w:type="dxa"/>
            </w:tcMar>
            <w:vAlign w:val="center"/>
          </w:tcPr>
          <w:p>
            <w:pPr>
              <w:widowControl/>
              <w:spacing w:after="150"/>
              <w:jc w:val="center"/>
              <w:rPr>
                <w:rFonts w:ascii="宋体" w:hAnsi="宋体" w:cs="宋体"/>
                <w:color w:val="auto"/>
              </w:rPr>
            </w:pPr>
            <w:r>
              <w:rPr>
                <w:rFonts w:ascii="宋体" w:hAnsi="宋体" w:cs="宋体"/>
                <w:color w:val="auto"/>
              </w:rPr>
              <w:t>1</w:t>
            </w:r>
          </w:p>
        </w:tc>
        <w:tc>
          <w:tcPr>
            <w:tcW w:w="1413"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zh-CN" w:eastAsia="zh-CN"/>
              </w:rPr>
              <w:t>2020年皮山县教育系统学校食堂所需食材采购项目</w:t>
            </w:r>
            <w:r>
              <w:rPr>
                <w:rFonts w:hint="eastAsia" w:ascii="宋体" w:hAnsi="宋体" w:cs="宋体"/>
                <w:color w:val="000000"/>
                <w:highlight w:val="none"/>
                <w:lang w:val="en-US" w:eastAsia="zh-CN"/>
              </w:rPr>
              <w:t>(包一）</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仿宋_GB2312" w:hAnsi="Tahoma" w:eastAsia="仿宋_GB2312" w:cs="仿宋_GB2312"/>
                <w:i w:val="0"/>
                <w:color w:val="000000"/>
                <w:kern w:val="0"/>
                <w:sz w:val="20"/>
                <w:szCs w:val="20"/>
                <w:u w:val="none"/>
                <w:lang w:val="en-US" w:eastAsia="zh-CN" w:bidi="ar"/>
              </w:rPr>
              <w:t>新鲜苹果</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公斤</w:t>
            </w:r>
          </w:p>
        </w:tc>
        <w:tc>
          <w:tcPr>
            <w:tcW w:w="1016"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122120</w:t>
            </w:r>
          </w:p>
        </w:tc>
        <w:tc>
          <w:tcPr>
            <w:tcW w:w="897"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sz w:val="20"/>
                <w:szCs w:val="22"/>
                <w:highlight w:val="none"/>
                <w:lang w:val="en-US" w:eastAsia="zh-CN"/>
              </w:rPr>
            </w:pPr>
            <w:r>
              <w:rPr>
                <w:rFonts w:hint="eastAsia" w:ascii="宋体" w:hAnsi="宋体" w:cs="宋体"/>
                <w:color w:val="000000"/>
                <w:sz w:val="20"/>
                <w:szCs w:val="22"/>
                <w:highlight w:val="none"/>
                <w:lang w:val="en-US" w:eastAsia="zh-CN"/>
              </w:rPr>
              <w:t>5</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val="en-US" w:eastAsia="zh-CN"/>
              </w:rPr>
            </w:pPr>
            <w:r>
              <w:rPr>
                <w:rFonts w:hint="eastAsia" w:ascii="宋体" w:hAnsi="宋体" w:cs="宋体"/>
                <w:color w:val="auto"/>
                <w:lang w:val="en-US" w:eastAsia="zh-CN"/>
              </w:rPr>
              <w:t>61.06</w:t>
            </w:r>
          </w:p>
        </w:tc>
        <w:tc>
          <w:tcPr>
            <w:tcW w:w="1257"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000000"/>
                <w:highlight w:val="none"/>
                <w:lang w:eastAsia="zh-CN"/>
              </w:rPr>
            </w:pPr>
            <w:r>
              <w:rPr>
                <w:rFonts w:hint="eastAsia" w:ascii="宋体" w:hAnsi="宋体" w:cs="宋体"/>
                <w:color w:val="000000"/>
                <w:highlight w:val="none"/>
                <w:lang w:val="en-US" w:eastAsia="zh-CN"/>
              </w:rPr>
              <w:t>具体数量、规格、技术参数详见招标文件。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4" w:hRule="atLeast"/>
          <w:jc w:val="center"/>
        </w:trPr>
        <w:tc>
          <w:tcPr>
            <w:tcW w:w="824" w:type="dxa"/>
            <w:noWrap w:val="0"/>
            <w:tcMar>
              <w:top w:w="75" w:type="dxa"/>
              <w:left w:w="150" w:type="dxa"/>
              <w:bottom w:w="75" w:type="dxa"/>
              <w:right w:w="150" w:type="dxa"/>
            </w:tcMar>
            <w:vAlign w:val="center"/>
          </w:tcPr>
          <w:p>
            <w:pPr>
              <w:widowControl/>
              <w:spacing w:after="150"/>
              <w:jc w:val="center"/>
              <w:rPr>
                <w:rFonts w:hint="eastAsia" w:ascii="宋体" w:hAnsi="宋体" w:eastAsia="宋体" w:cs="宋体"/>
                <w:color w:val="auto"/>
                <w:lang w:val="en-US" w:eastAsia="zh-CN"/>
              </w:rPr>
            </w:pPr>
            <w:r>
              <w:rPr>
                <w:rFonts w:hint="eastAsia" w:ascii="宋体" w:hAnsi="宋体" w:cs="宋体"/>
                <w:color w:val="auto"/>
                <w:lang w:val="en-US" w:eastAsia="zh-CN"/>
              </w:rPr>
              <w:t>2</w:t>
            </w:r>
          </w:p>
        </w:tc>
        <w:tc>
          <w:tcPr>
            <w:tcW w:w="1413" w:type="dxa"/>
            <w:noWrap w:val="0"/>
            <w:tcMar>
              <w:top w:w="75" w:type="dxa"/>
              <w:left w:w="150" w:type="dxa"/>
              <w:bottom w:w="75" w:type="dxa"/>
              <w:right w:w="150" w:type="dxa"/>
            </w:tcMar>
            <w:vAlign w:val="center"/>
          </w:tcPr>
          <w:p>
            <w:pPr>
              <w:widowControl/>
              <w:spacing w:after="150"/>
              <w:jc w:val="center"/>
              <w:rPr>
                <w:rFonts w:hint="eastAsia" w:ascii="宋体" w:hAnsi="宋体" w:cs="宋体"/>
                <w:color w:val="000000"/>
                <w:highlight w:val="none"/>
                <w:lang w:val="zh-CN" w:eastAsia="zh-CN"/>
              </w:rPr>
            </w:pPr>
            <w:r>
              <w:rPr>
                <w:rFonts w:hint="eastAsia" w:ascii="宋体" w:hAnsi="宋体" w:cs="宋体"/>
                <w:color w:val="000000"/>
                <w:highlight w:val="none"/>
                <w:lang w:val="zh-CN" w:eastAsia="zh-CN"/>
              </w:rPr>
              <w:t>2020年皮山县教育系统学校食堂所需食材采购项目</w:t>
            </w:r>
            <w:r>
              <w:rPr>
                <w:rFonts w:hint="eastAsia" w:ascii="宋体" w:hAnsi="宋体" w:cs="宋体"/>
                <w:color w:val="000000"/>
                <w:highlight w:val="none"/>
                <w:lang w:val="en-US" w:eastAsia="zh-CN"/>
              </w:rPr>
              <w:t>(包二）</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学生奶</w:t>
            </w:r>
          </w:p>
        </w:tc>
        <w:tc>
          <w:tcPr>
            <w:tcW w:w="712"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仿宋_GB2312" w:hAnsi="Tahoma" w:eastAsia="仿宋_GB2312" w:cs="仿宋_GB2312"/>
                <w:i w:val="0"/>
                <w:color w:val="000000"/>
                <w:kern w:val="0"/>
                <w:sz w:val="20"/>
                <w:szCs w:val="20"/>
                <w:u w:val="none"/>
                <w:lang w:val="en-US" w:eastAsia="zh-CN" w:bidi="ar"/>
              </w:rPr>
              <w:t>大于200ml/盒</w:t>
            </w:r>
          </w:p>
        </w:tc>
        <w:tc>
          <w:tcPr>
            <w:tcW w:w="1016"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宋体" w:hAnsi="宋体" w:cs="宋体"/>
                <w:color w:val="000000"/>
                <w:highlight w:val="none"/>
                <w:lang w:val="en-US" w:eastAsia="zh-CN"/>
              </w:rPr>
            </w:pPr>
            <w:r>
              <w:rPr>
                <w:rFonts w:hint="eastAsia" w:ascii="仿宋_GB2312" w:hAnsi="宋体" w:eastAsia="仿宋_GB2312" w:cs="仿宋_GB2312"/>
                <w:i w:val="0"/>
                <w:color w:val="000000"/>
                <w:kern w:val="0"/>
                <w:sz w:val="20"/>
                <w:szCs w:val="20"/>
                <w:u w:val="none"/>
                <w:lang w:val="en-US" w:eastAsia="zh-CN" w:bidi="ar"/>
              </w:rPr>
              <w:t>4372160</w:t>
            </w:r>
          </w:p>
        </w:tc>
        <w:tc>
          <w:tcPr>
            <w:tcW w:w="897" w:type="dxa"/>
            <w:noWrap w:val="0"/>
            <w:tcMar>
              <w:top w:w="75" w:type="dxa"/>
              <w:left w:w="150" w:type="dxa"/>
              <w:bottom w:w="75" w:type="dxa"/>
              <w:right w:w="150" w:type="dxa"/>
            </w:tcMar>
            <w:vAlign w:val="center"/>
          </w:tcPr>
          <w:p>
            <w:pPr>
              <w:widowControl/>
              <w:numPr>
                <w:ilvl w:val="0"/>
                <w:numId w:val="0"/>
              </w:numPr>
              <w:spacing w:after="150"/>
              <w:jc w:val="left"/>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2</w:t>
            </w:r>
          </w:p>
        </w:tc>
        <w:tc>
          <w:tcPr>
            <w:tcW w:w="1071" w:type="dxa"/>
            <w:noWrap w:val="0"/>
            <w:tcMar>
              <w:top w:w="75" w:type="dxa"/>
              <w:left w:w="150" w:type="dxa"/>
              <w:bottom w:w="75" w:type="dxa"/>
              <w:right w:w="150" w:type="dxa"/>
            </w:tcMar>
            <w:vAlign w:val="center"/>
          </w:tcPr>
          <w:p>
            <w:pPr>
              <w:widowControl/>
              <w:spacing w:after="150"/>
              <w:jc w:val="center"/>
              <w:rPr>
                <w:rFonts w:hint="eastAsia" w:ascii="宋体" w:hAnsi="宋体" w:cs="宋体"/>
                <w:color w:val="auto"/>
                <w:lang w:val="en-US" w:eastAsia="zh-CN"/>
              </w:rPr>
            </w:pPr>
            <w:r>
              <w:rPr>
                <w:rFonts w:hint="eastAsia" w:ascii="宋体" w:hAnsi="宋体" w:cs="宋体"/>
                <w:color w:val="auto"/>
                <w:lang w:val="en-US" w:eastAsia="zh-CN"/>
              </w:rPr>
              <w:t>874.43</w:t>
            </w:r>
          </w:p>
        </w:tc>
        <w:tc>
          <w:tcPr>
            <w:tcW w:w="1257" w:type="dxa"/>
            <w:noWrap w:val="0"/>
            <w:tcMar>
              <w:top w:w="75" w:type="dxa"/>
              <w:left w:w="150" w:type="dxa"/>
              <w:bottom w:w="75" w:type="dxa"/>
              <w:right w:w="150" w:type="dxa"/>
            </w:tcMar>
            <w:vAlign w:val="center"/>
          </w:tcPr>
          <w:p>
            <w:pPr>
              <w:widowControl/>
              <w:spacing w:after="150"/>
              <w:jc w:val="center"/>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具体数量、规格、技术参数详见招标文件。</w:t>
            </w:r>
          </w:p>
        </w:tc>
      </w:tr>
    </w:tbl>
    <w:p>
      <w:pPr>
        <w:widowControl/>
        <w:spacing w:before="75" w:after="75"/>
        <w:jc w:val="left"/>
        <w:rPr>
          <w:rFonts w:ascii="宋体" w:hAnsi="宋体" w:cs="宋体"/>
          <w:color w:val="auto"/>
        </w:rPr>
      </w:pPr>
      <w:r>
        <w:rPr>
          <w:rFonts w:ascii="宋体" w:hAnsi="宋体" w:cs="宋体"/>
          <w:color w:val="auto"/>
        </w:rPr>
        <w:t>四、投标供应商资格要求:</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2、报名需提供：</w:t>
      </w:r>
    </w:p>
    <w:p>
      <w:pPr>
        <w:pStyle w:val="2"/>
        <w:numPr>
          <w:ilvl w:val="1"/>
          <w:numId w:val="0"/>
        </w:numPr>
        <w:ind w:left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（1）经年审合格（五证合一</w:t>
      </w:r>
      <w:r>
        <w:rPr>
          <w:rFonts w:hint="eastAsia" w:cs="宋体"/>
          <w:color w:val="auto"/>
          <w:highlight w:val="none"/>
          <w:lang w:val="en-US" w:eastAsia="zh-CN"/>
        </w:rPr>
        <w:t>、三证合一</w:t>
      </w:r>
      <w:r>
        <w:rPr>
          <w:rFonts w:hint="eastAsia" w:ascii="宋体" w:hAnsi="宋体" w:cs="宋体"/>
          <w:color w:val="auto"/>
          <w:highlight w:val="none"/>
          <w:lang w:val="en-US" w:eastAsia="zh-CN"/>
        </w:rPr>
        <w:t>）的营业执照（须有相应的经营范围）</w:t>
      </w:r>
    </w:p>
    <w:p>
      <w:pPr>
        <w:pStyle w:val="2"/>
        <w:numPr>
          <w:ilvl w:val="1"/>
          <w:numId w:val="0"/>
        </w:numPr>
        <w:ind w:left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2）（学生奶）投标人必须具备食品经营许可证（原件）“中国学生饮用奶定点生产企业”证书、标牌或具备新疆维吾尔自治区奶业办公室出具给中国奶业协会的推荐函（由新疆维吾尔自治区畜牧厅、教育厅、质量技术监督局联合下发文件中所包含企业）,并具有行业《生产许可证》（不是生产厂家直接投标的，提供复印件加盖公司鲜红公章）；</w:t>
      </w:r>
      <w:bookmarkStart w:id="174" w:name="_GoBack"/>
      <w:bookmarkEnd w:id="174"/>
      <w:r>
        <w:rPr>
          <w:rFonts w:hint="eastAsia" w:ascii="宋体" w:hAnsi="宋体" w:cs="宋体"/>
          <w:color w:val="auto"/>
          <w:highlight w:val="none"/>
          <w:lang w:val="en-US" w:eastAsia="zh-CN"/>
        </w:rPr>
        <w:t>近期产品质量检测报告及相应资质证明文件；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(3)驾驶员及配送人员健康证;原件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（4）提供配送车辆的机动车辆行驶证；（原件）</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5）法定代表人投标需携带法定代表人证明书（原件）及法定代表人身份证（原件），委托代理人投标需携带法定代表人授权委托书（原件）及委托代理人身份证（原件）、委托代理人必须是投标单位的正式员工、需提供社保部门出具最少近一个月的缴纳社保证明（社保缴费凭证及个人明细表）；</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widowControl/>
        <w:spacing w:before="75" w:after="75"/>
        <w:jc w:val="left"/>
        <w:rPr>
          <w:rFonts w:hint="eastAsia" w:ascii="宋体" w:hAnsi="宋体" w:cs="宋体"/>
          <w:color w:val="auto"/>
          <w:highlight w:val="none"/>
        </w:rPr>
      </w:pPr>
      <w:r>
        <w:rPr>
          <w:rFonts w:hint="eastAsia" w:ascii="宋体" w:hAnsi="宋体" w:cs="宋体"/>
          <w:color w:val="auto"/>
          <w:highlight w:val="none"/>
          <w:lang w:val="en-US" w:eastAsia="zh-CN"/>
        </w:rPr>
        <w:t>4、企业负责人为同一人或者存在直接控股、管理关系的不同投标人，不得参加同一合同项下的政府采购活</w:t>
      </w:r>
      <w:r>
        <w:rPr>
          <w:rFonts w:hint="eastAsia" w:ascii="宋体" w:hAnsi="宋体" w:cs="宋体"/>
          <w:color w:val="auto"/>
          <w:highlight w:val="none"/>
        </w:rPr>
        <w:t>动。否则，皆取消投标资格；</w:t>
      </w:r>
    </w:p>
    <w:p>
      <w:pPr>
        <w:widowControl/>
        <w:spacing w:before="75" w:after="75"/>
        <w:jc w:val="left"/>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 xml:space="preserve">、本项目不接受联合体投标。 </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eastAsia="zh-CN"/>
        </w:rPr>
        <w:t>五、招标文件的报名/发售时间、地址、售价:</w:t>
      </w:r>
      <w:r>
        <w:rPr>
          <w:rFonts w:hint="eastAsia" w:ascii="宋体" w:hAnsi="宋体" w:cs="宋体"/>
          <w:color w:val="auto"/>
          <w:highlight w:val="none"/>
          <w:lang w:val="en-US" w:eastAsia="zh-CN"/>
        </w:rPr>
        <w:t>200元</w:t>
      </w:r>
    </w:p>
    <w:p>
      <w:pPr>
        <w:widowControl/>
        <w:spacing w:before="75" w:after="75"/>
        <w:jc w:val="left"/>
        <w:rPr>
          <w:rFonts w:hint="default" w:ascii="宋体" w:hAnsi="宋体" w:cs="宋体"/>
          <w:color w:val="auto"/>
          <w:highlight w:val="none"/>
          <w:lang w:val="en-US" w:eastAsia="zh-CN"/>
        </w:rPr>
      </w:pPr>
      <w:r>
        <w:rPr>
          <w:rFonts w:hint="eastAsia" w:ascii="宋体" w:hAnsi="宋体" w:cs="宋体"/>
          <w:color w:val="auto"/>
          <w:highlight w:val="none"/>
          <w:lang w:eastAsia="zh-CN"/>
        </w:rPr>
        <w:t>1．报名（发售／获取）时间：</w:t>
      </w:r>
      <w:r>
        <w:rPr>
          <w:rFonts w:hint="eastAsia" w:ascii="宋体" w:hAnsi="宋体" w:cs="宋体"/>
          <w:color w:val="auto"/>
          <w:highlight w:val="none"/>
          <w:lang w:val="en-US" w:eastAsia="zh-CN"/>
        </w:rPr>
        <w:t>2020-4-27至2020-5-17（全天）</w:t>
      </w:r>
    </w:p>
    <w:p>
      <w:pPr>
        <w:widowControl/>
        <w:spacing w:before="75" w:after="75"/>
        <w:jc w:val="left"/>
        <w:rPr>
          <w:rFonts w:hint="eastAsia" w:ascii="宋体" w:hAnsi="宋体" w:cs="宋体"/>
          <w:color w:val="auto"/>
          <w:highlight w:val="none"/>
          <w:lang w:eastAsia="zh-CN"/>
        </w:rPr>
      </w:pPr>
      <w:r>
        <w:rPr>
          <w:rFonts w:hint="eastAsia" w:ascii="宋体" w:hAnsi="宋体" w:cs="宋体"/>
          <w:color w:val="auto"/>
          <w:highlight w:val="none"/>
          <w:lang w:eastAsia="zh-CN"/>
        </w:rPr>
        <w:t>2．</w:t>
      </w:r>
      <w:r>
        <w:rPr>
          <w:rFonts w:hint="eastAsia" w:ascii="宋体" w:hAnsi="宋体" w:cs="宋体"/>
          <w:color w:val="auto"/>
          <w:highlight w:val="none"/>
          <w:lang w:val="en-US" w:eastAsia="zh-CN"/>
        </w:rPr>
        <w:t>报名（发售／获取）地址：在新疆政府采购网该采购公告附件中的招标（采购）文件可直接下载。</w:t>
      </w:r>
    </w:p>
    <w:p>
      <w:pPr>
        <w:widowControl/>
        <w:spacing w:before="75" w:after="75"/>
        <w:jc w:val="left"/>
        <w:rPr>
          <w:rFonts w:hint="eastAsia" w:ascii="宋体" w:hAnsi="宋体" w:cs="宋体"/>
          <w:color w:val="auto"/>
          <w:highlight w:val="none"/>
          <w:lang w:eastAsia="zh-CN"/>
        </w:rPr>
      </w:pPr>
      <w:r>
        <w:rPr>
          <w:rFonts w:hint="eastAsia" w:ascii="宋体" w:hAnsi="宋体" w:cs="宋体"/>
          <w:color w:val="auto"/>
          <w:highlight w:val="none"/>
          <w:lang w:eastAsia="zh-CN"/>
        </w:rPr>
        <w:t>3．标书售价(元)：200</w:t>
      </w:r>
      <w:r>
        <w:rPr>
          <w:rFonts w:hint="eastAsia" w:ascii="宋体" w:hAnsi="宋体" w:cs="宋体"/>
          <w:color w:val="auto"/>
          <w:highlight w:val="none"/>
          <w:lang w:val="en-US" w:eastAsia="zh-CN"/>
        </w:rPr>
        <w:t>/份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开标现场缴纳招标文件费</w:t>
      </w:r>
      <w:r>
        <w:rPr>
          <w:rFonts w:hint="eastAsia" w:ascii="宋体" w:hAnsi="宋体" w:cs="宋体"/>
          <w:color w:val="auto"/>
          <w:highlight w:val="none"/>
          <w:lang w:eastAsia="zh-CN"/>
        </w:rPr>
        <w:t>）。</w:t>
      </w:r>
    </w:p>
    <w:p>
      <w:pPr>
        <w:widowControl/>
        <w:spacing w:before="75" w:after="75"/>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4.投标人购买标书时应提交的资料：无，在开标时一并进行资格审核。</w:t>
      </w:r>
    </w:p>
    <w:p>
      <w:pPr>
        <w:widowControl/>
        <w:spacing w:before="75" w:after="75"/>
        <w:jc w:val="left"/>
        <w:rPr>
          <w:rFonts w:hint="eastAsia" w:ascii="宋体" w:hAnsi="宋体" w:cs="宋体"/>
          <w:color w:val="auto"/>
          <w:highlight w:val="none"/>
          <w:lang w:val="en-US" w:eastAsia="zh-CN"/>
        </w:rPr>
      </w:pPr>
      <w:r>
        <w:rPr>
          <w:rFonts w:ascii="宋体" w:hAnsi="宋体" w:cs="宋体"/>
          <w:color w:val="auto"/>
          <w:highlight w:val="none"/>
        </w:rPr>
        <w:t>六、投标截止时间：</w:t>
      </w:r>
      <w:r>
        <w:rPr>
          <w:rFonts w:hint="eastAsia" w:ascii="宋体" w:hAnsi="宋体" w:cs="宋体"/>
          <w:color w:val="auto"/>
          <w:highlight w:val="none"/>
          <w:lang w:eastAsia="zh-CN"/>
        </w:rPr>
        <w:t>2020-5-18 12:00:00</w:t>
      </w:r>
    </w:p>
    <w:p>
      <w:pPr>
        <w:widowControl/>
        <w:spacing w:before="75" w:after="75"/>
        <w:jc w:val="left"/>
        <w:rPr>
          <w:rFonts w:hint="eastAsia" w:ascii="宋体" w:hAnsi="宋体" w:cs="宋体"/>
          <w:color w:val="auto"/>
          <w:highlight w:val="none"/>
          <w:lang w:eastAsia="zh-CN"/>
        </w:rPr>
      </w:pPr>
      <w:r>
        <w:rPr>
          <w:rFonts w:ascii="宋体" w:hAnsi="宋体" w:cs="宋体"/>
          <w:color w:val="auto"/>
          <w:highlight w:val="none"/>
        </w:rPr>
        <w:t>七、投标地址：皮山县政府投资交易中心四楼开标二室（新城区东经2路南端）</w:t>
      </w:r>
      <w:r>
        <w:rPr>
          <w:rFonts w:hint="eastAsia" w:ascii="宋体" w:hAnsi="宋体" w:cs="宋体"/>
          <w:color w:val="auto"/>
          <w:highlight w:val="none"/>
          <w:lang w:eastAsia="zh-CN"/>
        </w:rPr>
        <w:t>。</w:t>
      </w:r>
    </w:p>
    <w:p>
      <w:pPr>
        <w:widowControl/>
        <w:spacing w:before="75" w:after="75"/>
        <w:jc w:val="left"/>
        <w:rPr>
          <w:rFonts w:ascii="宋体" w:hAnsi="宋体" w:cs="宋体"/>
          <w:color w:val="auto"/>
          <w:highlight w:val="none"/>
        </w:rPr>
      </w:pPr>
      <w:r>
        <w:rPr>
          <w:rFonts w:ascii="宋体" w:hAnsi="宋体" w:cs="宋体"/>
          <w:color w:val="auto"/>
          <w:highlight w:val="none"/>
        </w:rPr>
        <w:t>八、开标时间：</w:t>
      </w:r>
      <w:r>
        <w:rPr>
          <w:rFonts w:hint="eastAsia" w:ascii="宋体" w:hAnsi="宋体" w:cs="宋体"/>
          <w:color w:val="auto"/>
          <w:highlight w:val="none"/>
          <w:lang w:eastAsia="zh-CN"/>
        </w:rPr>
        <w:t>2020-5-18 12:00:00</w:t>
      </w:r>
      <w:r>
        <w:rPr>
          <w:rFonts w:ascii="宋体" w:hAnsi="宋体" w:cs="宋体"/>
          <w:color w:val="auto"/>
          <w:highlight w:val="none"/>
        </w:rPr>
        <w:t> </w:t>
      </w:r>
    </w:p>
    <w:p>
      <w:pPr>
        <w:widowControl/>
        <w:spacing w:before="75" w:after="75"/>
        <w:jc w:val="left"/>
        <w:rPr>
          <w:rFonts w:ascii="宋体" w:hAnsi="宋体" w:cs="宋体"/>
          <w:color w:val="auto"/>
          <w:highlight w:val="none"/>
        </w:rPr>
      </w:pPr>
      <w:r>
        <w:rPr>
          <w:rFonts w:ascii="宋体" w:hAnsi="宋体" w:cs="宋体"/>
          <w:color w:val="auto"/>
          <w:highlight w:val="none"/>
        </w:rPr>
        <w:t>九、开标地址：皮山县政府投资交易中心四楼开标二室（新城区东经2路南端） </w:t>
      </w:r>
    </w:p>
    <w:p>
      <w:pPr>
        <w:widowControl/>
        <w:spacing w:before="75" w:after="75"/>
        <w:jc w:val="left"/>
        <w:rPr>
          <w:rFonts w:ascii="宋体" w:hAnsi="宋体" w:cs="宋体"/>
          <w:color w:val="auto"/>
          <w:highlight w:val="none"/>
        </w:rPr>
      </w:pPr>
      <w:r>
        <w:rPr>
          <w:rFonts w:ascii="宋体" w:hAnsi="宋体" w:cs="宋体"/>
          <w:color w:val="auto"/>
          <w:highlight w:val="none"/>
        </w:rPr>
        <w:t>十、投标保证金：</w:t>
      </w:r>
    </w:p>
    <w:tbl>
      <w:tblPr>
        <w:tblStyle w:val="31"/>
        <w:tblpPr w:leftFromText="180" w:rightFromText="180" w:vertAnchor="text" w:horzAnchor="page" w:tblpX="1453" w:tblpY="426"/>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1"/>
        <w:gridCol w:w="1203"/>
        <w:gridCol w:w="1016"/>
        <w:gridCol w:w="906"/>
        <w:gridCol w:w="1652"/>
        <w:gridCol w:w="346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8" w:hRule="atLeast"/>
        </w:trPr>
        <w:tc>
          <w:tcPr>
            <w:tcW w:w="511"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序号</w:t>
            </w:r>
          </w:p>
        </w:tc>
        <w:tc>
          <w:tcPr>
            <w:tcW w:w="1203"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标项名称</w:t>
            </w:r>
          </w:p>
        </w:tc>
        <w:tc>
          <w:tcPr>
            <w:tcW w:w="1016"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投标保证金金额（元）</w:t>
            </w:r>
          </w:p>
        </w:tc>
        <w:tc>
          <w:tcPr>
            <w:tcW w:w="906"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开户银行</w:t>
            </w:r>
          </w:p>
        </w:tc>
        <w:tc>
          <w:tcPr>
            <w:tcW w:w="1652"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收款账号</w:t>
            </w:r>
          </w:p>
        </w:tc>
        <w:tc>
          <w:tcPr>
            <w:tcW w:w="3469"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交付方式</w:t>
            </w:r>
          </w:p>
        </w:tc>
        <w:tc>
          <w:tcPr>
            <w:tcW w:w="1000"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46" w:hRule="atLeast"/>
        </w:trPr>
        <w:tc>
          <w:tcPr>
            <w:tcW w:w="511" w:type="dxa"/>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ascii="宋体" w:hAnsi="宋体" w:cs="宋体"/>
                <w:color w:val="auto"/>
              </w:rPr>
              <w:t>1</w:t>
            </w:r>
          </w:p>
        </w:tc>
        <w:tc>
          <w:tcPr>
            <w:tcW w:w="1203"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r>
              <w:rPr>
                <w:rFonts w:hint="eastAsia" w:ascii="宋体" w:hAnsi="宋体" w:cs="宋体"/>
                <w:color w:val="auto"/>
                <w:lang w:val="zh-CN" w:eastAsia="zh-CN"/>
              </w:rPr>
              <w:t>2020年皮山县教育系统学校食堂所需食材采购项目</w:t>
            </w:r>
            <w:r>
              <w:rPr>
                <w:rFonts w:hint="eastAsia" w:ascii="宋体" w:hAnsi="宋体" w:cs="宋体"/>
                <w:color w:val="auto"/>
                <w:lang w:val="en-US" w:eastAsia="zh-CN"/>
              </w:rPr>
              <w:t>(包一）</w:t>
            </w:r>
          </w:p>
        </w:tc>
        <w:tc>
          <w:tcPr>
            <w:tcW w:w="1016" w:type="dxa"/>
            <w:noWrap w:val="0"/>
            <w:tcMar>
              <w:top w:w="75" w:type="dxa"/>
              <w:left w:w="150" w:type="dxa"/>
              <w:bottom w:w="75" w:type="dxa"/>
              <w:right w:w="150" w:type="dxa"/>
            </w:tcMar>
            <w:vAlign w:val="center"/>
          </w:tcPr>
          <w:p>
            <w:pPr>
              <w:widowControl/>
              <w:spacing w:before="75" w:after="75"/>
              <w:jc w:val="left"/>
              <w:rPr>
                <w:rFonts w:hint="default" w:ascii="宋体" w:hAnsi="宋体" w:cs="宋体"/>
                <w:color w:val="auto"/>
                <w:lang w:val="en-US" w:eastAsia="zh-CN"/>
              </w:rPr>
            </w:pPr>
            <w:r>
              <w:rPr>
                <w:rFonts w:hint="eastAsia" w:ascii="宋体" w:hAnsi="宋体" w:cs="宋体"/>
                <w:color w:val="auto"/>
                <w:lang w:val="en-US" w:eastAsia="zh-CN"/>
              </w:rPr>
              <w:t>12000</w:t>
            </w:r>
          </w:p>
        </w:tc>
        <w:tc>
          <w:tcPr>
            <w:tcW w:w="906" w:type="dxa"/>
            <w:vMerge w:val="restart"/>
            <w:noWrap w:val="0"/>
            <w:tcMar>
              <w:top w:w="75" w:type="dxa"/>
              <w:left w:w="150" w:type="dxa"/>
              <w:bottom w:w="75" w:type="dxa"/>
              <w:right w:w="150" w:type="dxa"/>
            </w:tcMar>
            <w:vAlign w:val="center"/>
          </w:tcPr>
          <w:p>
            <w:pPr>
              <w:widowControl/>
              <w:spacing w:before="75" w:after="75"/>
              <w:jc w:val="left"/>
              <w:rPr>
                <w:rFonts w:ascii="宋体" w:hAnsi="宋体" w:cs="宋体"/>
                <w:color w:val="auto"/>
              </w:rPr>
            </w:pPr>
            <w:r>
              <w:rPr>
                <w:rFonts w:hint="eastAsia" w:ascii="宋体" w:hAnsi="宋体" w:cs="宋体"/>
                <w:color w:val="auto"/>
                <w:lang w:eastAsia="zh-CN"/>
              </w:rPr>
              <w:t>新</w:t>
            </w:r>
            <w:r>
              <w:rPr>
                <w:rFonts w:hint="eastAsia" w:ascii="宋体" w:hAnsi="宋体" w:cs="宋体"/>
                <w:color w:val="auto"/>
              </w:rPr>
              <w:t>疆皮山县农村信用合作联社</w:t>
            </w:r>
          </w:p>
        </w:tc>
        <w:tc>
          <w:tcPr>
            <w:tcW w:w="1652" w:type="dxa"/>
            <w:vMerge w:val="restart"/>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ascii="宋体" w:hAnsi="宋体" w:cs="宋体"/>
                <w:color w:val="auto"/>
              </w:rPr>
              <w:t>878010012010101011990</w:t>
            </w:r>
          </w:p>
        </w:tc>
        <w:tc>
          <w:tcPr>
            <w:tcW w:w="3469" w:type="dxa"/>
            <w:vMerge w:val="restart"/>
            <w:noWrap w:val="0"/>
            <w:tcMar>
              <w:top w:w="75" w:type="dxa"/>
              <w:left w:w="150" w:type="dxa"/>
              <w:bottom w:w="75" w:type="dxa"/>
              <w:right w:w="150" w:type="dxa"/>
            </w:tcMar>
            <w:vAlign w:val="center"/>
          </w:tcPr>
          <w:p>
            <w:pPr>
              <w:widowControl/>
              <w:spacing w:before="75" w:after="75"/>
              <w:jc w:val="left"/>
              <w:rPr>
                <w:rFonts w:hint="default" w:ascii="宋体" w:hAnsi="宋体" w:cs="宋体"/>
                <w:color w:val="auto"/>
                <w:lang w:val="en-US" w:eastAsia="zh-CN"/>
              </w:rPr>
            </w:pPr>
            <w:r>
              <w:rPr>
                <w:rFonts w:hint="default" w:ascii="宋体" w:hAnsi="宋体" w:cs="宋体"/>
                <w:color w:val="auto"/>
                <w:lang w:val="en-US" w:eastAsia="zh-CN"/>
              </w:rPr>
              <w:t>1、由投标人基本账户汇出，且不得以分公司的名义转账； 2、投标保证金需在2020年5月17日20：00前到账，超过时间则不予认可； 3、投标单位须在汇款单备注栏标明：XXX项目XXX包段（标段）或项目编号； 4、账户名称：皮山县政府投资交易中心，行号：402896400017</w:t>
            </w:r>
          </w:p>
        </w:tc>
        <w:tc>
          <w:tcPr>
            <w:tcW w:w="1000" w:type="dxa"/>
            <w:vMerge w:val="restart"/>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r>
              <w:rPr>
                <w:rFonts w:hint="eastAsia" w:ascii="宋体" w:hAnsi="宋体" w:cs="宋体"/>
                <w:color w:val="auto"/>
                <w:lang w:eastAsia="zh-CN"/>
              </w:rPr>
              <w:t>投标保证金通过基本账户一笔汇出，分笔汇出银行系统将不予统计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47" w:hRule="atLeast"/>
        </w:trPr>
        <w:tc>
          <w:tcPr>
            <w:tcW w:w="511"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w:t>
            </w:r>
          </w:p>
        </w:tc>
        <w:tc>
          <w:tcPr>
            <w:tcW w:w="1203"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zh-CN" w:eastAsia="zh-CN"/>
              </w:rPr>
            </w:pPr>
            <w:r>
              <w:rPr>
                <w:rFonts w:hint="eastAsia" w:ascii="宋体" w:hAnsi="宋体" w:cs="宋体"/>
                <w:color w:val="auto"/>
                <w:lang w:val="zh-CN" w:eastAsia="zh-CN"/>
              </w:rPr>
              <w:t>2020年皮山县教育系统学校食堂所需食材采购项目</w:t>
            </w:r>
            <w:r>
              <w:rPr>
                <w:rFonts w:hint="eastAsia" w:ascii="宋体" w:hAnsi="宋体" w:cs="宋体"/>
                <w:color w:val="auto"/>
                <w:lang w:val="en-US" w:eastAsia="zh-CN"/>
              </w:rPr>
              <w:t>(包二）</w:t>
            </w:r>
          </w:p>
        </w:tc>
        <w:tc>
          <w:tcPr>
            <w:tcW w:w="1016" w:type="dxa"/>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170000</w:t>
            </w:r>
          </w:p>
        </w:tc>
        <w:tc>
          <w:tcPr>
            <w:tcW w:w="906"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c>
          <w:tcPr>
            <w:tcW w:w="1652" w:type="dxa"/>
            <w:vMerge w:val="continue"/>
            <w:noWrap w:val="0"/>
            <w:tcMar>
              <w:top w:w="75" w:type="dxa"/>
              <w:left w:w="150" w:type="dxa"/>
              <w:bottom w:w="75" w:type="dxa"/>
              <w:right w:w="150" w:type="dxa"/>
            </w:tcMar>
            <w:vAlign w:val="center"/>
          </w:tcPr>
          <w:p>
            <w:pPr>
              <w:widowControl/>
              <w:spacing w:before="75" w:after="75"/>
              <w:jc w:val="left"/>
              <w:rPr>
                <w:rFonts w:ascii="宋体" w:hAnsi="宋体" w:cs="宋体"/>
                <w:color w:val="auto"/>
              </w:rPr>
            </w:pPr>
          </w:p>
        </w:tc>
        <w:tc>
          <w:tcPr>
            <w:tcW w:w="3469"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c>
          <w:tcPr>
            <w:tcW w:w="1000" w:type="dxa"/>
            <w:vMerge w:val="continue"/>
            <w:noWrap w:val="0"/>
            <w:tcMar>
              <w:top w:w="75" w:type="dxa"/>
              <w:left w:w="150" w:type="dxa"/>
              <w:bottom w:w="75" w:type="dxa"/>
              <w:right w:w="150" w:type="dxa"/>
            </w:tcMar>
            <w:vAlign w:val="center"/>
          </w:tcPr>
          <w:p>
            <w:pPr>
              <w:widowControl/>
              <w:spacing w:before="75" w:after="75"/>
              <w:jc w:val="left"/>
              <w:rPr>
                <w:rFonts w:hint="eastAsia" w:ascii="宋体" w:hAnsi="宋体" w:cs="宋体"/>
                <w:color w:val="auto"/>
                <w:lang w:eastAsia="zh-CN"/>
              </w:rPr>
            </w:pPr>
          </w:p>
        </w:tc>
      </w:tr>
    </w:tbl>
    <w:p>
      <w:pPr>
        <w:widowControl/>
        <w:spacing w:before="75" w:after="75"/>
        <w:jc w:val="left"/>
        <w:rPr>
          <w:rFonts w:ascii="宋体" w:hAnsi="宋体" w:cs="宋体"/>
          <w:color w:val="auto"/>
        </w:rPr>
      </w:pPr>
    </w:p>
    <w:p>
      <w:pPr>
        <w:widowControl/>
        <w:spacing w:before="75" w:after="75"/>
        <w:jc w:val="left"/>
        <w:rPr>
          <w:rFonts w:ascii="宋体" w:hAnsi="宋体" w:cs="宋体"/>
          <w:color w:val="auto"/>
        </w:rPr>
      </w:pPr>
      <w:r>
        <w:rPr>
          <w:rFonts w:ascii="宋体" w:hAnsi="宋体" w:cs="宋体"/>
          <w:color w:val="auto"/>
        </w:rPr>
        <w:t>十一、其他事项：</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2、采购项目需要落实的政府采购政策：</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1、根据财政部、工业和信息化部关于印发《政府采购促进中小企业发展暂行办法》的通知(财库[2011]181号)。</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3、《财政部 发展改革委 生态环境部 市场监管总局 关于调整优化节能产品、环境标志产品政府采购执行机制的通知》（财库〔2019〕9号）。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十二、联系方式</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1、采购代理机构名称：新疆楷源工程项目管理有限责任公司</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联系人：侯雪萍          邮箱：</w:t>
      </w:r>
      <w:r>
        <w:rPr>
          <w:rFonts w:hint="eastAsia" w:ascii="宋体" w:hAnsi="宋体" w:cs="宋体"/>
          <w:color w:val="auto"/>
          <w:lang w:val="en-US" w:eastAsia="zh-CN"/>
        </w:rPr>
        <w:fldChar w:fldCharType="begin"/>
      </w:r>
      <w:r>
        <w:rPr>
          <w:rFonts w:hint="eastAsia" w:ascii="宋体" w:hAnsi="宋体" w:cs="宋体"/>
          <w:color w:val="auto"/>
          <w:lang w:val="en-US" w:eastAsia="zh-CN"/>
        </w:rPr>
        <w:instrText xml:space="preserve"> HYPERLINK "mailto:563093851@qq.com" </w:instrText>
      </w:r>
      <w:r>
        <w:rPr>
          <w:rFonts w:hint="eastAsia" w:ascii="宋体" w:hAnsi="宋体" w:cs="宋体"/>
          <w:color w:val="auto"/>
          <w:lang w:val="en-US" w:eastAsia="zh-CN"/>
        </w:rPr>
        <w:fldChar w:fldCharType="separate"/>
      </w:r>
      <w:r>
        <w:rPr>
          <w:rFonts w:hint="eastAsia" w:ascii="宋体" w:hAnsi="宋体" w:cs="宋体"/>
          <w:color w:val="auto"/>
          <w:lang w:val="en-US" w:eastAsia="zh-CN"/>
        </w:rPr>
        <w:t>563093851@qq.com</w:t>
      </w:r>
      <w:r>
        <w:rPr>
          <w:rFonts w:hint="eastAsia" w:ascii="宋体" w:hAnsi="宋体" w:cs="宋体"/>
          <w:color w:val="auto"/>
          <w:lang w:val="en-US" w:eastAsia="zh-CN"/>
        </w:rPr>
        <w:fldChar w:fldCharType="end"/>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地址：和田市玉都国际广场玉座11楼</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2、采购人名称：皮山县教育局</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联系人：王亚平                     电话：0903-6427567</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3、同级政府采购监督管理部门名称：皮山县政府采购办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联系人：张勇                  监督投诉电话：0903-7864616 ​</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皮山县教育局                新疆楷源工程项目管理有限责任公司</w:t>
      </w:r>
    </w:p>
    <w:p>
      <w:pPr>
        <w:widowControl/>
        <w:spacing w:before="75" w:after="75"/>
        <w:jc w:val="left"/>
        <w:rPr>
          <w:rFonts w:hint="eastAsia" w:ascii="宋体" w:hAnsi="宋体" w:cs="宋体"/>
          <w:color w:val="auto"/>
          <w:lang w:val="en-US" w:eastAsia="zh-CN"/>
        </w:rPr>
      </w:pPr>
      <w:r>
        <w:rPr>
          <w:rFonts w:hint="eastAsia" w:ascii="宋体" w:hAnsi="宋体" w:cs="宋体"/>
          <w:color w:val="auto"/>
          <w:lang w:val="en-US" w:eastAsia="zh-CN"/>
        </w:rPr>
        <w:t>2020年4月27日                               2020年4月27日</w:t>
      </w: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pStyle w:val="6"/>
        <w:rPr>
          <w:rFonts w:hint="eastAsia" w:ascii="宋体" w:hAnsi="宋体" w:cs="宋体"/>
          <w:color w:val="auto"/>
          <w:lang w:val="en-US" w:eastAsia="zh-CN"/>
        </w:rPr>
      </w:pPr>
    </w:p>
    <w:p>
      <w:pPr>
        <w:rPr>
          <w:rFonts w:hint="eastAsia" w:ascii="宋体" w:hAnsi="宋体" w:cs="宋体"/>
          <w:color w:val="auto"/>
          <w:lang w:val="en-US" w:eastAsia="zh-CN"/>
        </w:rPr>
      </w:pPr>
    </w:p>
    <w:p>
      <w:pPr>
        <w:rPr>
          <w:rFonts w:hint="eastAsia"/>
          <w:lang w:val="en-US" w:eastAsia="zh-CN"/>
        </w:rPr>
      </w:pPr>
    </w:p>
    <w:p>
      <w:pPr>
        <w:pStyle w:val="6"/>
        <w:rPr>
          <w:rFonts w:hint="eastAsia"/>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p>
    <w:p>
      <w:pPr>
        <w:pStyle w:val="11"/>
        <w:ind w:left="0" w:leftChars="0" w:firstLine="0" w:firstLineChars="0"/>
        <w:jc w:val="center"/>
        <w:rPr>
          <w:rFonts w:hint="eastAsia" w:hAnsi="宋体" w:cs="宋体"/>
          <w:b/>
          <w:bCs/>
          <w:color w:val="FF0000"/>
          <w:sz w:val="32"/>
          <w:szCs w:val="22"/>
          <w:highlight w:val="none"/>
          <w:lang w:val="en-US" w:eastAsia="zh-CN"/>
        </w:rPr>
      </w:pPr>
      <w:r>
        <w:rPr>
          <w:rFonts w:hint="eastAsia" w:hAnsi="宋体" w:cs="宋体"/>
          <w:b/>
          <w:bCs/>
          <w:color w:val="FF0000"/>
          <w:sz w:val="32"/>
          <w:szCs w:val="22"/>
          <w:highlight w:val="none"/>
          <w:lang w:val="en-US" w:eastAsia="zh-CN"/>
        </w:rPr>
        <w:t>特别提醒：</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rPr>
        <w:t>1、投标企业请认真核实营业执照经营范围，开标时监督小组将严格按照营业执照经营范围核实，无经营范围的企业一切责任将由贵公司自行承担。</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2、</w:t>
      </w:r>
      <w:r>
        <w:rPr>
          <w:rFonts w:hint="eastAsia" w:ascii="宋体" w:hAnsi="宋体"/>
          <w:b/>
          <w:color w:val="FF0000"/>
          <w:sz w:val="24"/>
          <w:szCs w:val="24"/>
          <w:highlight w:val="none"/>
        </w:rPr>
        <w:t>由投标人基本账户汇出（投标保证金需一笔汇出，分笔汇出银行系统将不予统计），且不得以分公司的名义转账，投标保证金需在</w:t>
      </w:r>
      <w:r>
        <w:rPr>
          <w:rFonts w:hint="eastAsia" w:ascii="宋体" w:hAnsi="宋体"/>
          <w:b/>
          <w:color w:val="FF0000"/>
          <w:sz w:val="24"/>
          <w:szCs w:val="24"/>
          <w:highlight w:val="none"/>
          <w:lang w:eastAsia="zh-CN"/>
        </w:rPr>
        <w:t>2020年05月1</w:t>
      </w:r>
      <w:r>
        <w:rPr>
          <w:rFonts w:hint="eastAsia" w:ascii="宋体" w:hAnsi="宋体"/>
          <w:b/>
          <w:color w:val="FF0000"/>
          <w:sz w:val="24"/>
          <w:szCs w:val="24"/>
          <w:highlight w:val="none"/>
          <w:lang w:val="en-US" w:eastAsia="zh-CN"/>
        </w:rPr>
        <w:t>7</w:t>
      </w:r>
      <w:r>
        <w:rPr>
          <w:rFonts w:hint="eastAsia" w:ascii="宋体" w:hAnsi="宋体"/>
          <w:b/>
          <w:color w:val="FF0000"/>
          <w:sz w:val="24"/>
          <w:szCs w:val="24"/>
          <w:highlight w:val="none"/>
          <w:lang w:eastAsia="zh-CN"/>
        </w:rPr>
        <w:t>日20：00前到账</w:t>
      </w:r>
      <w:r>
        <w:rPr>
          <w:rFonts w:hint="eastAsia" w:ascii="宋体" w:hAnsi="宋体"/>
          <w:b/>
          <w:color w:val="FF0000"/>
          <w:sz w:val="24"/>
          <w:szCs w:val="24"/>
          <w:highlight w:val="none"/>
        </w:rPr>
        <w:t>，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3、</w:t>
      </w:r>
      <w:r>
        <w:rPr>
          <w:rFonts w:hint="eastAsia" w:ascii="宋体" w:hAnsi="宋体"/>
          <w:b/>
          <w:color w:val="FF0000"/>
          <w:sz w:val="24"/>
          <w:szCs w:val="24"/>
          <w:highlight w:val="none"/>
        </w:rPr>
        <w:t>投标企业下载招标文件后请仔细阅读，如对招标文件内容有质疑，投标人应在投标截止10日前按招标文件中载明的邮箱：</w:t>
      </w:r>
      <w:r>
        <w:rPr>
          <w:rFonts w:hint="eastAsia" w:ascii="宋体" w:hAnsi="宋体"/>
          <w:b/>
          <w:color w:val="FF0000"/>
          <w:sz w:val="24"/>
          <w:szCs w:val="24"/>
          <w:highlight w:val="none"/>
          <w:lang w:val="en-US" w:eastAsia="zh-CN"/>
        </w:rPr>
        <w:fldChar w:fldCharType="begin"/>
      </w:r>
      <w:r>
        <w:rPr>
          <w:rFonts w:hint="eastAsia" w:ascii="宋体" w:hAnsi="宋体"/>
          <w:b/>
          <w:color w:val="FF0000"/>
          <w:sz w:val="24"/>
          <w:szCs w:val="24"/>
          <w:highlight w:val="none"/>
          <w:lang w:val="en-US" w:eastAsia="zh-CN"/>
        </w:rPr>
        <w:instrText xml:space="preserve"> HYPERLINK "mailto:563093851@qq.com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 </w:instrText>
      </w:r>
      <w:r>
        <w:rPr>
          <w:rFonts w:hint="eastAsia" w:ascii="宋体" w:hAnsi="宋体"/>
          <w:b/>
          <w:color w:val="FF0000"/>
          <w:sz w:val="24"/>
          <w:szCs w:val="24"/>
          <w:highlight w:val="none"/>
          <w:lang w:val="en-US" w:eastAsia="zh-CN"/>
        </w:rPr>
        <w:fldChar w:fldCharType="separate"/>
      </w:r>
      <w:r>
        <w:rPr>
          <w:rFonts w:hint="eastAsia" w:ascii="宋体" w:hAnsi="宋体"/>
          <w:b/>
          <w:color w:val="FF0000"/>
          <w:sz w:val="24"/>
          <w:szCs w:val="24"/>
          <w:highlight w:val="none"/>
          <w:lang w:val="en-US" w:eastAsia="zh-CN"/>
        </w:rPr>
        <w:t>563093851@qq.com</w:t>
      </w:r>
      <w:r>
        <w:rPr>
          <w:rFonts w:hint="eastAsia" w:ascii="宋体" w:hAnsi="宋体"/>
          <w:b/>
          <w:color w:val="FF0000"/>
          <w:sz w:val="24"/>
          <w:szCs w:val="24"/>
          <w:highlight w:val="none"/>
        </w:rPr>
        <w:t>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Fonts w:hint="eastAsia" w:ascii="宋体" w:hAnsi="宋体"/>
          <w:b/>
          <w:color w:val="FF0000"/>
          <w:sz w:val="24"/>
          <w:szCs w:val="24"/>
          <w:highlight w:val="none"/>
          <w:lang w:val="en-US" w:eastAsia="zh-CN"/>
        </w:rPr>
        <w:fldChar w:fldCharType="end"/>
      </w:r>
    </w:p>
    <w:p>
      <w:pPr>
        <w:spacing w:line="360" w:lineRule="auto"/>
        <w:jc w:val="left"/>
        <w:rPr>
          <w:rFonts w:hint="eastAsia" w:ascii="宋体" w:hAnsi="宋体"/>
          <w:b/>
          <w:color w:val="FF0000"/>
          <w:sz w:val="24"/>
          <w:szCs w:val="24"/>
          <w:highlight w:val="none"/>
        </w:rPr>
      </w:pPr>
      <w:r>
        <w:rPr>
          <w:rFonts w:hint="eastAsia" w:ascii="宋体" w:hAnsi="宋体"/>
          <w:b/>
          <w:color w:val="FF0000"/>
          <w:sz w:val="24"/>
          <w:szCs w:val="24"/>
          <w:highlight w:val="none"/>
          <w:lang w:val="en-US" w:eastAsia="zh-CN"/>
        </w:rPr>
        <w:t>4、</w:t>
      </w:r>
      <w:r>
        <w:rPr>
          <w:rFonts w:hint="eastAsia" w:ascii="宋体" w:hAnsi="宋体"/>
          <w:b/>
          <w:color w:val="FF0000"/>
          <w:sz w:val="24"/>
          <w:szCs w:val="24"/>
          <w:highlight w:val="none"/>
        </w:rPr>
        <w:t>为确保投标保证金的及时退还，评标结束后投标企业需提供保证金汇款凭证、开户许可证复印件、收据并注明开户行行号、联系方式（加盖公司鲜公章）交至皮山县政府投资交易中心财务室办理。（注：废标项目投标保证金在后续项</w:t>
      </w:r>
      <w:r>
        <w:rPr>
          <w:rFonts w:hint="eastAsia" w:ascii="宋体" w:hAnsi="宋体"/>
          <w:b/>
          <w:color w:val="FF0000"/>
          <w:sz w:val="24"/>
          <w:szCs w:val="24"/>
          <w:highlight w:val="none"/>
          <w:lang w:eastAsia="zh-CN"/>
        </w:rPr>
        <w:t>目</w:t>
      </w:r>
      <w:r>
        <w:rPr>
          <w:rFonts w:hint="eastAsia" w:ascii="宋体" w:hAnsi="宋体"/>
          <w:b/>
          <w:color w:val="FF0000"/>
          <w:sz w:val="24"/>
          <w:szCs w:val="24"/>
          <w:highlight w:val="none"/>
        </w:rPr>
        <w:t>再次招标时银行系统不做统计，请投标企业及时办理退款）。</w:t>
      </w:r>
    </w:p>
    <w:p>
      <w:pPr>
        <w:spacing w:line="360" w:lineRule="auto"/>
        <w:jc w:val="center"/>
        <w:rPr>
          <w:rFonts w:hint="eastAsia" w:ascii="宋体" w:hAnsi="宋体"/>
          <w:b/>
          <w:color w:val="FF0000"/>
          <w:sz w:val="24"/>
          <w:szCs w:val="24"/>
          <w:highlight w:val="none"/>
        </w:rPr>
      </w:pPr>
    </w:p>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24"/>
          <w:szCs w:val="24"/>
          <w:highlight w:val="none"/>
        </w:rPr>
      </w:pPr>
    </w:p>
    <w:p>
      <w:pPr>
        <w:pStyle w:val="6"/>
        <w:rPr>
          <w:rFonts w:hint="eastAsia" w:ascii="宋体" w:hAnsi="宋体"/>
          <w:b/>
          <w:color w:val="auto"/>
          <w:sz w:val="24"/>
          <w:szCs w:val="24"/>
          <w:highlight w:val="none"/>
        </w:rPr>
      </w:pPr>
    </w:p>
    <w:p>
      <w:pPr>
        <w:spacing w:line="360" w:lineRule="auto"/>
        <w:jc w:val="both"/>
        <w:rPr>
          <w:rFonts w:hint="eastAsia" w:ascii="宋体" w:hAnsi="宋体"/>
          <w:b/>
          <w:color w:val="auto"/>
          <w:sz w:val="28"/>
          <w:szCs w:val="28"/>
          <w:highlight w:val="none"/>
        </w:rPr>
      </w:pPr>
    </w:p>
    <w:p>
      <w:pPr>
        <w:spacing w:line="360" w:lineRule="auto"/>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pStyle w:val="2"/>
        <w:widowControl w:val="0"/>
        <w:numPr>
          <w:ilvl w:val="1"/>
          <w:numId w:val="0"/>
        </w:numPr>
        <w:adjustRightInd w:val="0"/>
        <w:snapToGrid w:val="0"/>
        <w:jc w:val="both"/>
        <w:rPr>
          <w:rFonts w:hint="eastAsia" w:ascii="宋体" w:hAnsi="宋体"/>
          <w:b/>
          <w:color w:val="auto"/>
          <w:sz w:val="28"/>
          <w:szCs w:val="28"/>
          <w:highlight w:val="none"/>
        </w:rPr>
      </w:pPr>
    </w:p>
    <w:p>
      <w:pPr>
        <w:spacing w:line="360" w:lineRule="auto"/>
        <w:jc w:val="both"/>
        <w:rPr>
          <w:rFonts w:ascii="宋体"/>
          <w:b/>
          <w:color w:val="auto"/>
          <w:sz w:val="28"/>
          <w:szCs w:val="28"/>
          <w:highlight w:val="none"/>
        </w:rPr>
      </w:pPr>
      <w:r>
        <w:rPr>
          <w:rFonts w:hint="eastAsia" w:ascii="宋体" w:hAnsi="宋体"/>
          <w:b/>
          <w:color w:val="auto"/>
          <w:sz w:val="28"/>
          <w:szCs w:val="28"/>
          <w:highlight w:val="none"/>
        </w:rPr>
        <w:t>第二部分</w:t>
      </w:r>
      <w:r>
        <w:rPr>
          <w:rFonts w:ascii="宋体" w:hAnsi="宋体"/>
          <w:b/>
          <w:color w:val="auto"/>
          <w:sz w:val="28"/>
          <w:szCs w:val="28"/>
          <w:highlight w:val="none"/>
        </w:rPr>
        <w:t xml:space="preserve">  </w:t>
      </w:r>
      <w:r>
        <w:rPr>
          <w:rFonts w:hint="eastAsia" w:ascii="宋体" w:hAnsi="宋体"/>
          <w:b/>
          <w:color w:val="auto"/>
          <w:sz w:val="28"/>
          <w:szCs w:val="28"/>
          <w:highlight w:val="none"/>
        </w:rPr>
        <w:t>投标须知前附表</w:t>
      </w:r>
    </w:p>
    <w:tbl>
      <w:tblPr>
        <w:tblStyle w:val="31"/>
        <w:tblW w:w="95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序号</w:t>
            </w:r>
          </w:p>
        </w:tc>
        <w:tc>
          <w:tcPr>
            <w:tcW w:w="1497" w:type="dxa"/>
            <w:tcBorders>
              <w:top w:val="single" w:color="auto" w:sz="12" w:space="0"/>
              <w:righ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条款名称</w:t>
            </w:r>
          </w:p>
        </w:tc>
        <w:tc>
          <w:tcPr>
            <w:tcW w:w="7198" w:type="dxa"/>
            <w:tcBorders>
              <w:top w:val="single" w:color="auto" w:sz="12" w:space="0"/>
              <w:lef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7"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1</w:t>
            </w:r>
          </w:p>
        </w:tc>
        <w:tc>
          <w:tcPr>
            <w:tcW w:w="1497" w:type="dxa"/>
            <w:tcBorders>
              <w:right w:val="single" w:color="auto" w:sz="4" w:space="0"/>
            </w:tcBorders>
            <w:vAlign w:val="center"/>
          </w:tcPr>
          <w:p>
            <w:pPr>
              <w:spacing w:beforeLines="10" w:afterLines="10" w:line="360" w:lineRule="exact"/>
              <w:jc w:val="center"/>
              <w:rPr>
                <w:rFonts w:ascii="宋体"/>
                <w:color w:val="auto"/>
                <w:sz w:val="24"/>
                <w:szCs w:val="24"/>
                <w:highlight w:val="none"/>
              </w:rPr>
            </w:pPr>
            <w:r>
              <w:rPr>
                <w:rFonts w:hint="eastAsia" w:ascii="宋体" w:hAnsi="宋体"/>
                <w:color w:val="auto"/>
                <w:sz w:val="24"/>
                <w:szCs w:val="24"/>
                <w:highlight w:val="none"/>
              </w:rPr>
              <w:t>采购人</w:t>
            </w:r>
          </w:p>
        </w:tc>
        <w:tc>
          <w:tcPr>
            <w:tcW w:w="7198" w:type="dxa"/>
            <w:tcBorders>
              <w:left w:val="single" w:color="auto" w:sz="4" w:space="0"/>
            </w:tcBorders>
            <w:vAlign w:val="center"/>
          </w:tcPr>
          <w:p>
            <w:pPr>
              <w:spacing w:beforeLines="10" w:afterLines="10" w:line="360" w:lineRule="exact"/>
              <w:rPr>
                <w:rFonts w:hint="eastAsia" w:asci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名</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称：</w:t>
            </w:r>
            <w:r>
              <w:rPr>
                <w:rFonts w:hint="eastAsia" w:ascii="宋体" w:hAnsi="宋体" w:cs="宋体"/>
                <w:color w:val="auto"/>
                <w:kern w:val="0"/>
                <w:sz w:val="24"/>
                <w:szCs w:val="24"/>
                <w:highlight w:val="none"/>
                <w:lang w:val="en-US" w:eastAsia="zh-CN"/>
              </w:rPr>
              <w:t>皮山县教育局</w:t>
            </w:r>
          </w:p>
          <w:p>
            <w:pPr>
              <w:spacing w:beforeLines="10" w:afterLines="10" w:line="36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联系人</w:t>
            </w:r>
            <w:r>
              <w:rPr>
                <w:rFonts w:ascii="宋体" w:hAnsi="宋体" w:cs="宋体"/>
                <w:color w:val="auto"/>
                <w:kern w:val="0"/>
                <w:sz w:val="24"/>
                <w:szCs w:val="24"/>
                <w:highlight w:val="none"/>
              </w:rPr>
              <w:t xml:space="preserve">: </w:t>
            </w:r>
            <w:r>
              <w:rPr>
                <w:rFonts w:hint="eastAsia" w:ascii="宋体" w:hAnsi="宋体" w:cs="宋体"/>
                <w:color w:val="auto"/>
                <w:sz w:val="24"/>
                <w:szCs w:val="24"/>
                <w:lang w:val="en-US" w:eastAsia="zh-CN"/>
              </w:rPr>
              <w:t>王亚平</w:t>
            </w:r>
            <w:r>
              <w:rPr>
                <w:rFonts w:hint="eastAsia" w:ascii="宋体" w:hAnsi="宋体" w:cs="宋体"/>
                <w:color w:val="auto"/>
                <w:kern w:val="0"/>
                <w:sz w:val="24"/>
                <w:szCs w:val="24"/>
                <w:highlight w:val="none"/>
              </w:rPr>
              <w:t xml:space="preserve">      </w:t>
            </w:r>
          </w:p>
          <w:p>
            <w:pPr>
              <w:spacing w:beforeLines="10" w:afterLines="10" w:line="360" w:lineRule="exact"/>
              <w:rPr>
                <w:rFonts w:hint="eastAsia"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联系</w:t>
            </w:r>
            <w:r>
              <w:rPr>
                <w:rFonts w:hint="eastAsia" w:ascii="宋体" w:hAnsi="宋体" w:cs="宋体"/>
                <w:color w:val="auto"/>
                <w:kern w:val="0"/>
                <w:sz w:val="24"/>
                <w:szCs w:val="24"/>
                <w:highlight w:val="none"/>
              </w:rPr>
              <w:t>电话：</w:t>
            </w:r>
            <w:r>
              <w:rPr>
                <w:rFonts w:hint="eastAsia" w:ascii="宋体" w:hAnsi="宋体" w:cs="宋体"/>
                <w:color w:val="auto"/>
                <w:kern w:val="0"/>
                <w:sz w:val="24"/>
                <w:szCs w:val="24"/>
                <w:highlight w:val="none"/>
                <w:lang w:eastAsia="zh-CN"/>
              </w:rPr>
              <w:t>0903-6427567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32"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2</w:t>
            </w:r>
          </w:p>
        </w:tc>
        <w:tc>
          <w:tcPr>
            <w:tcW w:w="1497" w:type="dxa"/>
            <w:tcBorders>
              <w:right w:val="single" w:color="auto" w:sz="4" w:space="0"/>
            </w:tcBorders>
            <w:vAlign w:val="center"/>
          </w:tcPr>
          <w:p>
            <w:pPr>
              <w:spacing w:beforeLines="10" w:afterLines="10" w:line="360" w:lineRule="exact"/>
              <w:jc w:val="center"/>
              <w:rPr>
                <w:rFonts w:ascii="宋体"/>
                <w:color w:val="auto"/>
                <w:sz w:val="24"/>
                <w:szCs w:val="24"/>
                <w:highlight w:val="none"/>
              </w:rPr>
            </w:pPr>
            <w:r>
              <w:rPr>
                <w:rFonts w:hint="eastAsia" w:ascii="宋体" w:hAnsi="宋体"/>
                <w:color w:val="auto"/>
                <w:sz w:val="24"/>
                <w:szCs w:val="24"/>
                <w:highlight w:val="none"/>
              </w:rPr>
              <w:t>代理机构</w:t>
            </w:r>
          </w:p>
        </w:tc>
        <w:tc>
          <w:tcPr>
            <w:tcW w:w="7198" w:type="dxa"/>
            <w:tcBorders>
              <w:left w:val="single" w:color="auto" w:sz="4" w:space="0"/>
            </w:tcBorders>
            <w:vAlign w:val="center"/>
          </w:tcPr>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eastAsia="zh-CN"/>
              </w:rPr>
              <w:t>新疆楷源工程项目管理有限责任公司</w:t>
            </w:r>
          </w:p>
          <w:p>
            <w:pPr>
              <w:spacing w:beforeLines="10" w:afterLines="10"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eastAsia="zh-CN"/>
              </w:rPr>
              <w:t>和田市玉都国际广场玉座11楼</w:t>
            </w:r>
          </w:p>
          <w:p>
            <w:pPr>
              <w:spacing w:beforeLines="10" w:afterLines="10" w:line="36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侯雪萍</w:t>
            </w:r>
          </w:p>
          <w:p>
            <w:pPr>
              <w:spacing w:beforeLines="10" w:afterLines="10" w:line="36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sz w:val="24"/>
                <w:szCs w:val="24"/>
                <w:lang w:eastAsia="zh-CN"/>
              </w:rPr>
              <w:t>0903-2513255</w:t>
            </w:r>
          </w:p>
          <w:p>
            <w:pPr>
              <w:spacing w:beforeLines="10" w:afterLines="10" w:line="360" w:lineRule="exact"/>
              <w:rPr>
                <w:rFonts w:hint="default" w:eastAsia="宋体"/>
                <w:sz w:val="24"/>
                <w:szCs w:val="24"/>
                <w:lang w:val="en-US" w:eastAsia="zh-CN"/>
              </w:rPr>
            </w:pPr>
            <w:r>
              <w:rPr>
                <w:rFonts w:hint="eastAsia" w:asciiTheme="minorEastAsia" w:hAnsiTheme="minorEastAsia" w:eastAsiaTheme="minorEastAsia" w:cstheme="minorEastAsia"/>
                <w:sz w:val="24"/>
                <w:szCs w:val="24"/>
                <w:lang w:val="en-US" w:eastAsia="zh-CN"/>
              </w:rPr>
              <w:t>邮  箱：563093851@qq.com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65" w:hRule="atLeast"/>
          <w:jc w:val="center"/>
        </w:trPr>
        <w:tc>
          <w:tcPr>
            <w:tcW w:w="823" w:type="dxa"/>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3</w:t>
            </w:r>
          </w:p>
        </w:tc>
        <w:tc>
          <w:tcPr>
            <w:tcW w:w="1497" w:type="dxa"/>
            <w:tcBorders>
              <w:right w:val="single" w:color="auto" w:sz="4" w:space="0"/>
            </w:tcBorders>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采购项目名称</w:t>
            </w:r>
          </w:p>
        </w:tc>
        <w:tc>
          <w:tcPr>
            <w:tcW w:w="7198" w:type="dxa"/>
            <w:tcBorders>
              <w:left w:val="single" w:color="auto" w:sz="4" w:space="0"/>
            </w:tcBorders>
            <w:vAlign w:val="center"/>
          </w:tcPr>
          <w:p>
            <w:pPr>
              <w:spacing w:line="360" w:lineRule="exact"/>
              <w:jc w:val="left"/>
              <w:rPr>
                <w:rFonts w:hint="eastAsia" w:ascii="宋体"/>
                <w:color w:val="auto"/>
                <w:sz w:val="24"/>
                <w:highlight w:val="none"/>
                <w:lang w:val="en-US" w:eastAsia="zh-CN"/>
              </w:rPr>
            </w:pPr>
            <w:r>
              <w:rPr>
                <w:rFonts w:hint="eastAsia" w:ascii="宋体"/>
                <w:color w:val="auto"/>
                <w:sz w:val="24"/>
                <w:highlight w:val="none"/>
                <w:lang w:val="en-US" w:eastAsia="zh-CN"/>
              </w:rPr>
              <w:t>2020年皮山县教育系统学校食堂所需食材采购项目（包二）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color w:val="auto"/>
                <w:sz w:val="24"/>
                <w:highlight w:val="none"/>
                <w:lang w:val="en-US" w:eastAsia="zh-CN"/>
              </w:rPr>
              <w:t>4</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auto"/>
                <w:sz w:val="24"/>
                <w:highlight w:val="none"/>
              </w:rPr>
            </w:pPr>
            <w:r>
              <w:rPr>
                <w:rFonts w:hint="eastAsia" w:ascii="宋体" w:hAnsi="宋体"/>
                <w:color w:val="auto"/>
                <w:sz w:val="24"/>
                <w:highlight w:val="none"/>
              </w:rPr>
              <w:t>资金来源</w:t>
            </w:r>
          </w:p>
        </w:tc>
        <w:tc>
          <w:tcPr>
            <w:tcW w:w="7198" w:type="dxa"/>
            <w:tcBorders>
              <w:left w:val="single" w:color="auto" w:sz="4" w:space="0"/>
            </w:tcBorders>
            <w:vAlign w:val="center"/>
          </w:tcPr>
          <w:p>
            <w:pPr>
              <w:widowControl/>
              <w:spacing w:line="240" w:lineRule="auto"/>
              <w:jc w:val="left"/>
              <w:rPr>
                <w:rFonts w:hint="default" w:ascii="宋体" w:eastAsia="宋体" w:cs="宋体"/>
                <w:color w:val="auto"/>
                <w:kern w:val="0"/>
                <w:sz w:val="24"/>
                <w:highlight w:val="none"/>
                <w:lang w:val="en-US" w:eastAsia="zh-CN"/>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中央农村义务教育营养改善计划资金、中央、自治区幼儿园伙食补助资金、中央、自治区义务教育寄宿生生活补助资金。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color w:val="auto"/>
                <w:sz w:val="24"/>
                <w:highlight w:val="none"/>
                <w:lang w:val="en-US" w:eastAsia="zh-CN"/>
              </w:rPr>
            </w:pPr>
            <w:r>
              <w:rPr>
                <w:rFonts w:hint="eastAsia" w:ascii="宋体"/>
                <w:color w:val="auto"/>
                <w:sz w:val="24"/>
                <w:highlight w:val="none"/>
                <w:lang w:val="en-US" w:eastAsia="zh-CN"/>
              </w:rPr>
              <w:t>5</w:t>
            </w:r>
          </w:p>
        </w:tc>
        <w:tc>
          <w:tcPr>
            <w:tcW w:w="1497" w:type="dxa"/>
            <w:tcBorders>
              <w:right w:val="single" w:color="auto" w:sz="4" w:space="0"/>
            </w:tcBorders>
            <w:vAlign w:val="center"/>
          </w:tcPr>
          <w:p>
            <w:pPr>
              <w:tabs>
                <w:tab w:val="left" w:pos="900"/>
              </w:tabs>
              <w:spacing w:beforeLines="10" w:afterLines="10" w:line="360" w:lineRule="exact"/>
              <w:jc w:val="center"/>
              <w:rPr>
                <w:rFonts w:hint="eastAsia" w:ascii="宋体" w:hAnsi="宋体"/>
                <w:color w:val="auto"/>
                <w:sz w:val="24"/>
                <w:highlight w:val="none"/>
              </w:rPr>
            </w:pPr>
            <w:r>
              <w:rPr>
                <w:rFonts w:hint="eastAsia" w:ascii="宋体" w:hAnsi="宋体"/>
                <w:color w:val="auto"/>
                <w:sz w:val="24"/>
              </w:rPr>
              <w:t>采购内容</w:t>
            </w:r>
          </w:p>
        </w:tc>
        <w:tc>
          <w:tcPr>
            <w:tcW w:w="7198" w:type="dxa"/>
            <w:tcBorders>
              <w:left w:val="single" w:color="auto" w:sz="4" w:space="0"/>
            </w:tcBorders>
            <w:vAlign w:val="center"/>
          </w:tcPr>
          <w:p>
            <w:pPr>
              <w:widowControl/>
              <w:spacing w:line="240" w:lineRule="auto"/>
              <w:jc w:val="left"/>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学生奶，具体数量、规格、参数详见招标文件。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highlight w:val="none"/>
                <w:shd w:val="clear" w:color="auto" w:fill="auto"/>
                <w14:textFill>
                  <w14:solidFill>
                    <w14:schemeClr w14:val="tx1"/>
                  </w14:solidFill>
                </w14:textFill>
              </w:rPr>
            </w:pPr>
            <w:r>
              <w:rPr>
                <w:rFonts w:hint="eastAsia" w:ascii="宋体" w:hAnsi="宋体" w:cs="宋体"/>
                <w:color w:val="000000" w:themeColor="text1"/>
                <w:kern w:val="0"/>
                <w:sz w:val="24"/>
                <w:highlight w:val="none"/>
                <w:shd w:val="clear" w:color="auto" w:fill="auto"/>
                <w14:textFill>
                  <w14:solidFill>
                    <w14:schemeClr w14:val="tx1"/>
                  </w14:solidFill>
                </w14:textFill>
              </w:rPr>
              <w:t>采购</w:t>
            </w:r>
            <w:r>
              <w:rPr>
                <w:rFonts w:hint="eastAsia" w:ascii="宋体" w:hAnsi="宋体" w:cs="宋体"/>
                <w:color w:val="000000" w:themeColor="text1"/>
                <w:kern w:val="0"/>
                <w:sz w:val="24"/>
                <w:highlight w:val="none"/>
                <w:shd w:val="clear" w:color="auto" w:fill="auto"/>
                <w:lang w:val="en-US" w:eastAsia="zh-CN"/>
                <w14:textFill>
                  <w14:solidFill>
                    <w14:schemeClr w14:val="tx1"/>
                  </w14:solidFill>
                </w14:textFill>
              </w:rPr>
              <w:t>控制</w:t>
            </w:r>
            <w:r>
              <w:rPr>
                <w:rFonts w:hint="eastAsia" w:ascii="宋体" w:hAnsi="宋体" w:cs="宋体"/>
                <w:color w:val="000000" w:themeColor="text1"/>
                <w:kern w:val="0"/>
                <w:sz w:val="24"/>
                <w:highlight w:val="none"/>
                <w:shd w:val="clear" w:color="auto" w:fill="auto"/>
                <w14:textFill>
                  <w14:solidFill>
                    <w14:schemeClr w14:val="tx1"/>
                  </w14:solidFill>
                </w14:textFill>
              </w:rPr>
              <w:t>价</w:t>
            </w:r>
          </w:p>
        </w:tc>
        <w:tc>
          <w:tcPr>
            <w:tcW w:w="7198" w:type="dxa"/>
            <w:tcBorders>
              <w:left w:val="single" w:color="auto" w:sz="4" w:space="0"/>
            </w:tcBorders>
            <w:vAlign w:val="center"/>
          </w:tcPr>
          <w:p>
            <w:pPr>
              <w:tabs>
                <w:tab w:val="left" w:pos="900"/>
              </w:tabs>
              <w:spacing w:beforeLines="10" w:afterLines="10" w:line="360" w:lineRule="exact"/>
              <w:rPr>
                <w:rFonts w:hint="default" w:ascii="宋体" w:eastAsia="宋体" w:cs="宋体"/>
                <w:color w:val="000000" w:themeColor="text1"/>
                <w:kern w:val="0"/>
                <w:sz w:val="24"/>
                <w:highlight w:val="none"/>
                <w:shd w:val="clear" w:color="auto" w:fill="auto"/>
                <w:lang w:val="en-US" w:eastAsia="zh-CN"/>
                <w14:textFill>
                  <w14:solidFill>
                    <w14:schemeClr w14:val="tx1"/>
                  </w14:solidFill>
                </w14:textFill>
              </w:rPr>
            </w:pPr>
            <w:r>
              <w:rPr>
                <w:rFonts w:hint="eastAsia" w:ascii="新宋体" w:hAnsi="新宋体" w:eastAsia="新宋体" w:cs="宋体"/>
                <w:bCs/>
                <w:color w:val="000000" w:themeColor="text1"/>
                <w:kern w:val="0"/>
                <w:sz w:val="24"/>
                <w:highlight w:val="none"/>
                <w:lang w:val="en-US" w:eastAsia="zh-CN"/>
                <w14:textFill>
                  <w14:solidFill>
                    <w14:schemeClr w14:val="tx1"/>
                  </w14:solidFill>
                </w14:textFill>
              </w:rPr>
              <w:t>874.43万元（此采购金额为最高限价，如超过预算价的报价为无效报价且每个分项不得超过每项单价的限价，详见采购清单）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tabs>
                <w:tab w:val="left" w:pos="900"/>
              </w:tabs>
              <w:spacing w:beforeLines="10" w:afterLines="10" w:line="360" w:lineRule="exact"/>
              <w:jc w:val="center"/>
              <w:rPr>
                <w:rFonts w:hint="default" w:ascii="宋体" w:hAnsi="宋体" w:eastAsia="宋体" w:cs="宋体"/>
                <w:color w:val="000000" w:themeColor="text1"/>
                <w:kern w:val="0"/>
                <w:sz w:val="24"/>
                <w:highlight w:val="none"/>
                <w:shd w:val="clear" w:color="auto" w:fill="auto"/>
                <w:lang w:val="en-US" w:eastAsia="zh-CN"/>
                <w14:textFill>
                  <w14:solidFill>
                    <w14:schemeClr w14:val="tx1"/>
                  </w14:solidFill>
                </w14:textFill>
              </w:rPr>
            </w:pPr>
            <w:r>
              <w:rPr>
                <w:rFonts w:hint="eastAsia" w:ascii="宋体" w:hAnsi="宋体" w:cs="宋体"/>
                <w:color w:val="000000" w:themeColor="text1"/>
                <w:kern w:val="0"/>
                <w:sz w:val="24"/>
                <w:highlight w:val="none"/>
                <w:shd w:val="clear" w:color="auto" w:fill="auto"/>
                <w:lang w:val="en-US" w:eastAsia="zh-CN"/>
                <w14:textFill>
                  <w14:solidFill>
                    <w14:schemeClr w14:val="tx1"/>
                  </w14:solidFill>
                </w14:textFill>
              </w:rPr>
              <w:t>付款方式</w:t>
            </w:r>
          </w:p>
        </w:tc>
        <w:tc>
          <w:tcPr>
            <w:tcW w:w="7198" w:type="dxa"/>
            <w:tcBorders>
              <w:left w:val="single" w:color="auto" w:sz="4" w:space="0"/>
            </w:tcBorders>
            <w:vAlign w:val="center"/>
          </w:tcPr>
          <w:p>
            <w:pPr>
              <w:tabs>
                <w:tab w:val="left" w:pos="900"/>
              </w:tabs>
              <w:spacing w:beforeLines="10" w:afterLines="10" w:line="360" w:lineRule="exact"/>
              <w:rPr>
                <w:rFonts w:hint="default" w:ascii="宋体" w:cs="宋体"/>
                <w:color w:val="000000" w:themeColor="text1"/>
                <w:kern w:val="0"/>
                <w:sz w:val="24"/>
                <w:highlight w:val="none"/>
                <w:shd w:val="clear" w:color="auto" w:fill="auto"/>
                <w:lang w:val="en-US" w:eastAsia="zh-CN"/>
                <w14:textFill>
                  <w14:solidFill>
                    <w14:schemeClr w14:val="tx1"/>
                  </w14:solidFill>
                </w14:textFill>
              </w:rPr>
            </w:pPr>
            <w:r>
              <w:rPr>
                <w:rFonts w:hint="eastAsia" w:ascii="宋体" w:hAnsi="宋体"/>
                <w:bCs/>
                <w:color w:val="000000" w:themeColor="text1"/>
                <w:sz w:val="24"/>
                <w:highlight w:val="none"/>
                <w:shd w:val="clear" w:color="auto" w:fill="auto"/>
                <w:lang w:val="en-US" w:eastAsia="zh-CN"/>
                <w14:textFill>
                  <w14:solidFill>
                    <w14:schemeClr w14:val="tx1"/>
                  </w14:solidFill>
                </w14:textFill>
              </w:rPr>
              <w:t>签订合同约定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8</w:t>
            </w:r>
          </w:p>
        </w:tc>
        <w:tc>
          <w:tcPr>
            <w:tcW w:w="1497" w:type="dxa"/>
            <w:tcBorders>
              <w:right w:val="single" w:color="auto" w:sz="4" w:space="0"/>
            </w:tcBorders>
            <w:vAlign w:val="center"/>
          </w:tcPr>
          <w:p>
            <w:pPr>
              <w:spacing w:line="360" w:lineRule="exact"/>
              <w:jc w:val="center"/>
              <w:rPr>
                <w:rFonts w:ascii="宋体"/>
                <w:color w:val="auto"/>
                <w:sz w:val="24"/>
                <w:highlight w:val="none"/>
                <w:u w:val="single"/>
              </w:rPr>
            </w:pPr>
            <w:r>
              <w:rPr>
                <w:rFonts w:hint="eastAsia" w:ascii="宋体" w:hAnsi="宋体" w:cs="宋体"/>
                <w:color w:val="auto"/>
                <w:kern w:val="0"/>
                <w:sz w:val="24"/>
                <w:highlight w:val="none"/>
              </w:rPr>
              <w:t>采购方式</w:t>
            </w:r>
          </w:p>
        </w:tc>
        <w:tc>
          <w:tcPr>
            <w:tcW w:w="7198" w:type="dxa"/>
            <w:tcBorders>
              <w:left w:val="single" w:color="auto" w:sz="4" w:space="0"/>
            </w:tcBorders>
            <w:vAlign w:val="center"/>
          </w:tcPr>
          <w:p>
            <w:pPr>
              <w:spacing w:line="360" w:lineRule="exact"/>
              <w:jc w:val="left"/>
              <w:rPr>
                <w:rFonts w:ascii="宋体"/>
                <w:color w:val="auto"/>
                <w:sz w:val="24"/>
                <w:highlight w:val="none"/>
                <w:u w:val="single"/>
              </w:rPr>
            </w:pPr>
            <w:r>
              <w:rPr>
                <w:rFonts w:hint="eastAsia" w:ascii="宋体" w:hAnsi="宋体"/>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4"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评标方法</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color w:val="auto"/>
                <w:sz w:val="24"/>
                <w:highlight w:val="none"/>
                <w:lang w:val="en-US" w:eastAsia="zh-CN"/>
              </w:rPr>
              <w:t>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87"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hAnsi="宋体"/>
                <w:color w:val="auto"/>
                <w:sz w:val="24"/>
                <w:highlight w:val="none"/>
                <w:lang w:val="en-US" w:eastAsia="zh-CN"/>
              </w:rPr>
              <w:t>10</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供货地点</w:t>
            </w:r>
          </w:p>
        </w:tc>
        <w:tc>
          <w:tcPr>
            <w:tcW w:w="7198" w:type="dxa"/>
            <w:tcBorders>
              <w:left w:val="single" w:color="auto" w:sz="4" w:space="0"/>
            </w:tcBorders>
            <w:vAlign w:val="center"/>
          </w:tcPr>
          <w:p>
            <w:pPr>
              <w:spacing w:line="360" w:lineRule="exact"/>
              <w:rPr>
                <w:rFonts w:ascii="宋体"/>
                <w:color w:val="auto"/>
                <w:sz w:val="24"/>
                <w:highlight w:val="none"/>
              </w:rPr>
            </w:pPr>
            <w:r>
              <w:rPr>
                <w:rFonts w:hint="eastAsia" w:ascii="宋体" w:hAnsi="宋体"/>
                <w:color w:val="auto"/>
                <w:sz w:val="24"/>
                <w:highlight w:val="none"/>
                <w:lang w:val="en-US" w:eastAsia="zh-CN"/>
              </w:rPr>
              <w:t>皮山县</w:t>
            </w:r>
            <w:r>
              <w:rPr>
                <w:rFonts w:hint="eastAsia" w:ascii="宋体" w:hAnsi="宋体"/>
                <w:color w:val="auto"/>
                <w:sz w:val="24"/>
                <w:highlight w:val="none"/>
              </w:rPr>
              <w:t>（</w:t>
            </w:r>
            <w:r>
              <w:rPr>
                <w:rFonts w:hint="eastAsia" w:ascii="宋体" w:hAnsi="宋体"/>
                <w:color w:val="auto"/>
                <w:sz w:val="24"/>
                <w:highlight w:val="none"/>
                <w:lang w:val="en-US" w:eastAsia="zh-CN"/>
              </w:rPr>
              <w:t>皮山县教育局指定</w:t>
            </w:r>
            <w:r>
              <w:rPr>
                <w:rFonts w:hint="eastAsia" w:ascii="宋体" w:hAnsi="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11</w:t>
            </w:r>
          </w:p>
        </w:tc>
        <w:tc>
          <w:tcPr>
            <w:tcW w:w="1497" w:type="dxa"/>
            <w:tcBorders>
              <w:right w:val="single" w:color="auto" w:sz="4" w:space="0"/>
            </w:tcBorders>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供货期</w:t>
            </w:r>
          </w:p>
        </w:tc>
        <w:tc>
          <w:tcPr>
            <w:tcW w:w="7198" w:type="dxa"/>
            <w:tcBorders>
              <w:left w:val="single" w:color="auto" w:sz="4" w:space="0"/>
            </w:tcBorders>
            <w:vAlign w:val="center"/>
          </w:tcPr>
          <w:p>
            <w:pPr>
              <w:spacing w:line="360" w:lineRule="exact"/>
              <w:jc w:val="left"/>
              <w:rPr>
                <w:rFonts w:hint="default" w:ascii="宋体" w:eastAsia="宋体"/>
                <w:color w:val="auto"/>
                <w:sz w:val="24"/>
                <w:highlight w:val="none"/>
                <w:lang w:val="en-US" w:eastAsia="zh-CN"/>
              </w:rPr>
            </w:pPr>
            <w:r>
              <w:rPr>
                <w:rFonts w:hint="eastAsia" w:ascii="宋体"/>
                <w:color w:val="auto"/>
                <w:sz w:val="24"/>
                <w:highlight w:val="none"/>
                <w:lang w:val="en-US" w:eastAsia="zh-CN"/>
              </w:rPr>
              <w:t>（具体供货时间以合同签订为准）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考察现场、标前答疑会</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13</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投标人对招标文件提出质疑的时间</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构成招标文件的其他文件</w:t>
            </w:r>
          </w:p>
        </w:tc>
        <w:tc>
          <w:tcPr>
            <w:tcW w:w="7198" w:type="dxa"/>
            <w:tcBorders>
              <w:left w:val="single" w:color="auto" w:sz="4" w:space="0"/>
            </w:tcBorders>
            <w:vAlign w:val="center"/>
          </w:tcPr>
          <w:p>
            <w:pPr>
              <w:spacing w:line="360" w:lineRule="auto"/>
              <w:rPr>
                <w:rFonts w:ascii="宋体"/>
                <w:color w:val="auto"/>
                <w:sz w:val="24"/>
                <w:highlight w:val="none"/>
              </w:rPr>
            </w:pPr>
            <w:r>
              <w:rPr>
                <w:rFonts w:hint="eastAsia" w:ascii="宋体" w:hAnsi="宋体"/>
                <w:bCs/>
                <w:color w:val="auto"/>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投标截止时间</w:t>
            </w:r>
          </w:p>
        </w:tc>
        <w:tc>
          <w:tcPr>
            <w:tcW w:w="7198" w:type="dxa"/>
            <w:tcBorders>
              <w:left w:val="single" w:color="auto" w:sz="4" w:space="0"/>
            </w:tcBorders>
            <w:vAlign w:val="center"/>
          </w:tcPr>
          <w:p>
            <w:pPr>
              <w:spacing w:line="360" w:lineRule="auto"/>
              <w:ind w:left="714" w:leftChars="1" w:hanging="712" w:hangingChars="297"/>
              <w:rPr>
                <w:rFonts w:hint="eastAsia" w:ascii="宋体" w:eastAsia="宋体"/>
                <w:bCs/>
                <w:color w:val="000000" w:themeColor="text1"/>
                <w:sz w:val="24"/>
                <w:highlight w:val="none"/>
                <w:lang w:eastAsia="zh-CN"/>
                <w14:textFill>
                  <w14:solidFill>
                    <w14:schemeClr w14:val="tx1"/>
                  </w14:solidFill>
                </w14:textFill>
              </w:rPr>
            </w:pPr>
            <w:r>
              <w:rPr>
                <w:rFonts w:hint="eastAsia" w:ascii="宋体"/>
                <w:bCs/>
                <w:color w:val="000000" w:themeColor="text1"/>
                <w:sz w:val="24"/>
                <w:highlight w:val="none"/>
                <w:lang w:eastAsia="zh-CN"/>
                <w14:textFill>
                  <w14:solidFill>
                    <w14:schemeClr w14:val="tx1"/>
                  </w14:solidFill>
                </w14:textFill>
              </w:rPr>
              <w:t>2020年05月18日12:00</w:t>
            </w:r>
            <w:r>
              <w:rPr>
                <w:rFonts w:hint="eastAsia" w:ascii="宋体" w:eastAsia="宋体"/>
                <w:bCs/>
                <w:color w:val="000000" w:themeColor="text1"/>
                <w:sz w:val="24"/>
                <w:highlight w:val="none"/>
                <w:lang w:eastAsia="zh-CN"/>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投标有效期</w:t>
            </w:r>
          </w:p>
        </w:tc>
        <w:tc>
          <w:tcPr>
            <w:tcW w:w="7198"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lang w:val="en-US" w:eastAsia="zh-CN"/>
                <w14:textFill>
                  <w14:solidFill>
                    <w14:schemeClr w14:val="tx1"/>
                  </w14:solidFill>
                </w14:textFill>
              </w:rPr>
              <w:t>30</w:t>
            </w:r>
            <w:r>
              <w:rPr>
                <w:rFonts w:hint="eastAsia" w:ascii="宋体" w:hAnsi="宋体"/>
                <w:bCs/>
                <w:color w:val="000000" w:themeColor="text1"/>
                <w:sz w:val="24"/>
                <w:highlight w:val="none"/>
                <w14:textFill>
                  <w14:solidFill>
                    <w14:schemeClr w14:val="tx1"/>
                  </w14:solidFill>
                </w14:textFill>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75"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投标保证金</w:t>
            </w:r>
          </w:p>
        </w:tc>
        <w:tc>
          <w:tcPr>
            <w:tcW w:w="7198" w:type="dxa"/>
            <w:tcBorders>
              <w:left w:val="single" w:color="auto" w:sz="4" w:space="0"/>
            </w:tcBorders>
            <w:vAlign w:val="center"/>
          </w:tcPr>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投标保证金的形式：转账、汇款</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投标保证金的金额：170000元（壹拾柒万元整）</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投标保证金缴纳账户：</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账户名称：皮山县政府投资交易中心</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帐号：8780 1001 2010 1010 11990</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开户银行：新疆皮山县农村信用合作联社</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行号：402896400017</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注：1、由投标人基本账户汇出，且不得以分公司的名义转账；</w:t>
            </w:r>
          </w:p>
          <w:p>
            <w:pPr>
              <w:spacing w:line="36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2、投标保证金需在2020年5月17日20：00前到账，超过时间则不予认可； </w:t>
            </w:r>
          </w:p>
          <w:p>
            <w:pPr>
              <w:spacing w:line="360" w:lineRule="exact"/>
              <w:jc w:val="left"/>
              <w:rPr>
                <w:rFonts w:hint="default"/>
                <w:lang w:val="en-US"/>
              </w:rPr>
            </w:pPr>
            <w:r>
              <w:rPr>
                <w:rFonts w:hint="eastAsia" w:ascii="宋体" w:hAnsi="宋体"/>
                <w:color w:val="auto"/>
                <w:sz w:val="24"/>
                <w:highlight w:val="none"/>
                <w:lang w:val="en-US" w:eastAsia="zh-CN"/>
              </w:rPr>
              <w:t>3、投标单位须在汇款单备注栏标明：XXX项目XXX包段（标段）或项目编号；投标保证金通过基本账户一笔汇出，分笔汇出银行系统将不予统计。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4"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1</w:t>
            </w:r>
            <w:r>
              <w:rPr>
                <w:rFonts w:hint="eastAsia" w:ascii="宋体" w:hAnsi="宋体"/>
                <w:color w:val="auto"/>
                <w:sz w:val="24"/>
                <w:highlight w:val="none"/>
                <w:lang w:val="en-US" w:eastAsia="zh-CN"/>
              </w:rPr>
              <w:t>8</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备选投标方案和报价</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03"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19</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签字盖章</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投标人必须按照招标文件的规定和要求签字、盖章（法人代表的签字</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ascii="宋体"/>
                <w:color w:val="auto"/>
                <w:sz w:val="24"/>
                <w:highlight w:val="none"/>
              </w:rPr>
              <w:t>资格要求</w:t>
            </w:r>
          </w:p>
        </w:tc>
        <w:tc>
          <w:tcPr>
            <w:tcW w:w="7198" w:type="dxa"/>
            <w:tcBorders>
              <w:left w:val="single" w:color="auto" w:sz="4" w:space="0"/>
            </w:tcBorders>
            <w:vAlign w:val="center"/>
          </w:tcPr>
          <w:p>
            <w:pPr>
              <w:widowControl/>
              <w:spacing w:before="75" w:after="75"/>
              <w:jc w:val="both"/>
              <w:rPr>
                <w:rFonts w:hint="default" w:ascii="宋体" w:hAnsi="宋体" w:cs="宋体"/>
                <w:color w:val="auto"/>
                <w:highlight w:val="none"/>
                <w:lang w:val="en-US" w:eastAsia="zh-CN"/>
              </w:rPr>
            </w:pPr>
            <w:r>
              <w:rPr>
                <w:rFonts w:hint="eastAsia" w:ascii="宋体" w:hAnsi="宋体" w:cs="宋体"/>
                <w:color w:val="auto"/>
                <w:highlight w:val="none"/>
                <w:lang w:val="en-US" w:eastAsia="zh-CN"/>
              </w:rPr>
              <w:t>（1）经年审合格（五证合一、三证合一）的营业执照（须有相应的经营范围）</w:t>
            </w:r>
          </w:p>
          <w:p>
            <w:pPr>
              <w:widowControl/>
              <w:spacing w:before="75" w:after="75"/>
              <w:jc w:val="both"/>
              <w:rPr>
                <w:rFonts w:hint="eastAsia" w:ascii="宋体" w:hAnsi="宋体" w:cs="宋体"/>
                <w:color w:val="auto"/>
                <w:highlight w:val="none"/>
                <w:lang w:val="en-US" w:eastAsia="zh-CN"/>
              </w:rPr>
            </w:pPr>
            <w:r>
              <w:rPr>
                <w:rFonts w:hint="eastAsia" w:ascii="宋体" w:hAnsi="宋体" w:cs="宋体"/>
                <w:color w:val="auto"/>
                <w:highlight w:val="none"/>
                <w:lang w:val="en-US" w:eastAsia="zh-CN"/>
              </w:rPr>
              <w:t>（2）食品经营许可证（原件）</w:t>
            </w:r>
          </w:p>
          <w:p>
            <w:pPr>
              <w:widowControl/>
              <w:spacing w:before="75" w:after="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人必须具备“中国学生饮用奶定点生产企业”证书、标牌或具备新疆维吾尔自治区奶业办公室出具给中国奶业协会的推荐函（由新疆维吾尔自治区畜牧厅、教育厅、质量技术监督局联合下发文件中所包含企业）,并具有行业《生产许可证》、近期产品质量检测报告及相应资质证明文</w:t>
            </w:r>
            <w:r>
              <w:rPr>
                <w:rFonts w:hint="eastAsia" w:ascii="宋体" w:hAnsi="宋体" w:cs="宋体"/>
                <w:color w:val="auto"/>
                <w:highlight w:val="none"/>
                <w:lang w:val="en-US" w:eastAsia="zh-CN"/>
              </w:rPr>
              <w:t>件</w:t>
            </w:r>
          </w:p>
          <w:p>
            <w:pPr>
              <w:widowControl/>
              <w:spacing w:before="75" w:after="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cs="宋体"/>
                <w:color w:val="auto"/>
                <w:highlight w:val="none"/>
                <w:lang w:val="en-US" w:eastAsia="zh-CN"/>
              </w:rPr>
              <w:t>驾驶员</w:t>
            </w:r>
            <w:r>
              <w:rPr>
                <w:rFonts w:hint="eastAsia" w:ascii="宋体" w:hAnsi="宋体" w:eastAsia="宋体" w:cs="宋体"/>
                <w:color w:val="auto"/>
                <w:highlight w:val="none"/>
                <w:lang w:val="en-US" w:eastAsia="zh-CN"/>
              </w:rPr>
              <w:t>及配送人员健康证;原件</w:t>
            </w:r>
          </w:p>
          <w:p>
            <w:pPr>
              <w:widowControl/>
              <w:spacing w:before="75" w:after="75"/>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提供配送车辆的机动车辆行驶证；（原件）</w:t>
            </w:r>
          </w:p>
          <w:p>
            <w:pPr>
              <w:widowControl/>
              <w:spacing w:before="75" w:after="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法定代表人投标需携带法定代表人证明书（原件）及法定代表人身份证（原件），委托代理人投标需携带法定代表人授权委托书（原件）及委托代理人身份证（原件）、委托代理人必须是投标单位的正式员工、需提供社保部门出具最少近一个月的缴纳社保证明（社保缴费凭证及个人明细表）；</w:t>
            </w:r>
          </w:p>
          <w:p>
            <w:pPr>
              <w:widowControl/>
              <w:spacing w:before="75" w:after="75"/>
              <w:jc w:val="both"/>
              <w:rPr>
                <w:rFonts w:hint="eastAsia" w:ascii="宋体" w:hAnsi="宋体" w:cs="宋体"/>
                <w:color w:val="auto"/>
                <w:highlight w:val="none"/>
                <w:lang w:val="en-US" w:eastAsia="zh-CN"/>
              </w:rPr>
            </w:pPr>
            <w:r>
              <w:rPr>
                <w:rFonts w:hint="eastAsia" w:ascii="宋体" w:hAnsi="宋体" w:cs="宋体"/>
                <w:color w:val="auto"/>
                <w:highlight w:val="none"/>
                <w:lang w:val="en-US" w:eastAsia="zh-CN"/>
              </w:rPr>
              <w:t>（7）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widowControl/>
              <w:spacing w:before="75" w:after="75"/>
              <w:jc w:val="both"/>
              <w:rPr>
                <w:rFonts w:hint="eastAsia" w:ascii="宋体" w:hAnsi="宋体" w:cs="宋体"/>
                <w:color w:val="auto"/>
                <w:highlight w:val="none"/>
              </w:rPr>
            </w:pPr>
            <w:r>
              <w:rPr>
                <w:rFonts w:hint="eastAsia" w:ascii="宋体" w:hAnsi="宋体" w:cs="宋体"/>
                <w:color w:val="auto"/>
                <w:highlight w:val="none"/>
                <w:lang w:val="en-US" w:eastAsia="zh-CN"/>
              </w:rPr>
              <w:t>（8）企业负责人为同一人或者存在直接控股、管理关系的不同投标人，不得参加同一合同项下的政府采购活</w:t>
            </w:r>
            <w:r>
              <w:rPr>
                <w:rFonts w:hint="eastAsia" w:ascii="宋体" w:hAnsi="宋体" w:cs="宋体"/>
                <w:color w:val="auto"/>
                <w:highlight w:val="none"/>
              </w:rPr>
              <w:t>动。否则，皆取消投标资格；</w:t>
            </w:r>
          </w:p>
          <w:p>
            <w:pPr>
              <w:widowControl/>
              <w:spacing w:before="75" w:after="75"/>
              <w:jc w:val="both"/>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9</w:t>
            </w:r>
            <w:r>
              <w:rPr>
                <w:rFonts w:hint="eastAsia" w:ascii="宋体" w:hAnsi="宋体" w:cs="宋体"/>
                <w:color w:val="auto"/>
                <w:highlight w:val="none"/>
                <w:lang w:eastAsia="zh-CN"/>
              </w:rPr>
              <w:t>）</w:t>
            </w:r>
            <w:r>
              <w:rPr>
                <w:rFonts w:hint="eastAsia" w:ascii="宋体" w:hAnsi="宋体" w:cs="宋体"/>
                <w:color w:val="auto"/>
                <w:highlight w:val="none"/>
              </w:rPr>
              <w:t xml:space="preserve">本项目不接受联合体投标。 </w:t>
            </w:r>
          </w:p>
          <w:p>
            <w:pPr>
              <w:widowControl/>
              <w:numPr>
                <w:ilvl w:val="0"/>
                <w:numId w:val="0"/>
              </w:numPr>
              <w:autoSpaceDE w:val="0"/>
              <w:autoSpaceDN w:val="0"/>
              <w:jc w:val="left"/>
              <w:rPr>
                <w:rFonts w:hint="eastAsia" w:ascii="宋体" w:eastAsia="宋体"/>
                <w:color w:val="auto"/>
                <w:kern w:val="0"/>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3"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21</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ascii="宋体"/>
                <w:color w:val="auto"/>
                <w:sz w:val="24"/>
                <w:highlight w:val="none"/>
              </w:rPr>
              <w:t>投标文件</w:t>
            </w:r>
          </w:p>
        </w:tc>
        <w:tc>
          <w:tcPr>
            <w:tcW w:w="7198" w:type="dxa"/>
            <w:tcBorders>
              <w:left w:val="single" w:color="auto" w:sz="4" w:space="0"/>
            </w:tcBorders>
            <w:vAlign w:val="center"/>
          </w:tcPr>
          <w:p>
            <w:pPr>
              <w:spacing w:line="360" w:lineRule="auto"/>
              <w:jc w:val="both"/>
            </w:pPr>
            <w:r>
              <w:rPr>
                <w:rFonts w:hint="eastAsia"/>
              </w:rPr>
              <w:t>纸质版</w:t>
            </w:r>
            <w:r>
              <w:t>一套（包括资格类文件和投标主要文件）：一式伍份（正本1份、副本</w:t>
            </w:r>
            <w:r>
              <w:rPr>
                <w:rFonts w:hint="eastAsia"/>
                <w:lang w:val="en-US" w:eastAsia="zh-CN"/>
              </w:rPr>
              <w:t>4</w:t>
            </w:r>
            <w:r>
              <w:t>份）</w:t>
            </w:r>
            <w:r>
              <w:rPr>
                <w:rFonts w:hint="eastAsia"/>
              </w:rPr>
              <w:t>电子版一套（与纸质版相一致）：U盘一份。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6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22</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投标文件封面的标注</w:t>
            </w:r>
          </w:p>
        </w:tc>
        <w:tc>
          <w:tcPr>
            <w:tcW w:w="7198" w:type="dxa"/>
            <w:tcBorders>
              <w:left w:val="single" w:color="auto" w:sz="4" w:space="0"/>
            </w:tcBorders>
            <w:vAlign w:val="center"/>
          </w:tcPr>
          <w:p>
            <w:pPr>
              <w:spacing w:line="280" w:lineRule="exact"/>
              <w:rPr>
                <w:rFonts w:ascii="Tahoma" w:hAnsi="Tahoma" w:cs="Tahoma"/>
                <w:szCs w:val="21"/>
              </w:rPr>
            </w:pPr>
            <w:r>
              <w:rPr>
                <w:rFonts w:ascii="Tahoma" w:hAnsi="Tahoma" w:cs="Tahoma"/>
                <w:szCs w:val="21"/>
              </w:rPr>
              <w:t>项目名称：</w:t>
            </w:r>
            <w:r>
              <w:rPr>
                <w:rFonts w:ascii="Tahoma" w:hAnsi="Tahoma" w:cs="Tahoma"/>
                <w:szCs w:val="21"/>
                <w:u w:val="single"/>
              </w:rPr>
              <w:t xml:space="preserve">                   本采购项目、包段全称                         </w:t>
            </w:r>
          </w:p>
          <w:p>
            <w:pPr>
              <w:spacing w:line="280" w:lineRule="exact"/>
              <w:rPr>
                <w:rFonts w:ascii="Tahoma" w:hAnsi="Tahoma" w:cs="Tahoma"/>
                <w:szCs w:val="21"/>
              </w:rPr>
            </w:pPr>
            <w:r>
              <w:rPr>
                <w:rFonts w:ascii="Tahoma" w:hAnsi="Tahoma" w:cs="Tahoma"/>
                <w:szCs w:val="21"/>
              </w:rPr>
              <w:t>项目编号：</w:t>
            </w:r>
            <w:r>
              <w:rPr>
                <w:rFonts w:ascii="Tahoma" w:hAnsi="Tahoma" w:cs="Tahoma"/>
                <w:szCs w:val="21"/>
                <w:u w:val="single"/>
              </w:rPr>
              <w:t xml:space="preserve">                      本采购项目编号                            </w:t>
            </w:r>
          </w:p>
          <w:p>
            <w:pPr>
              <w:snapToGrid w:val="0"/>
              <w:spacing w:line="280" w:lineRule="exact"/>
              <w:rPr>
                <w:rFonts w:ascii="Tahoma" w:hAnsi="Tahoma" w:cs="Tahoma"/>
                <w:szCs w:val="21"/>
              </w:rPr>
            </w:pPr>
            <w:r>
              <w:rPr>
                <w:rFonts w:ascii="Tahoma" w:hAnsi="Tahoma" w:cs="Tahoma"/>
                <w:szCs w:val="21"/>
              </w:rPr>
              <w:t>投标文件：在</w:t>
            </w:r>
            <w:r>
              <w:rPr>
                <w:rFonts w:ascii="Tahoma" w:hAnsi="Tahoma" w:cs="Tahoma"/>
                <w:szCs w:val="21"/>
                <w:u w:val="single"/>
              </w:rPr>
              <w:t xml:space="preserve">            </w:t>
            </w:r>
            <w:r>
              <w:rPr>
                <w:rFonts w:ascii="Tahoma" w:hAnsi="Tahoma" w:cs="Tahoma"/>
                <w:szCs w:val="21"/>
              </w:rPr>
              <w:t>年</w:t>
            </w:r>
            <w:r>
              <w:rPr>
                <w:rFonts w:ascii="Tahoma" w:hAnsi="Tahoma" w:cs="Tahoma"/>
                <w:szCs w:val="21"/>
                <w:u w:val="single"/>
              </w:rPr>
              <w:t xml:space="preserve">      </w:t>
            </w:r>
            <w:r>
              <w:rPr>
                <w:rFonts w:ascii="Tahoma" w:hAnsi="Tahoma" w:cs="Tahoma"/>
                <w:szCs w:val="21"/>
              </w:rPr>
              <w:t>月</w:t>
            </w:r>
            <w:r>
              <w:rPr>
                <w:rFonts w:ascii="Tahoma" w:hAnsi="Tahoma" w:cs="Tahoma"/>
                <w:szCs w:val="21"/>
                <w:u w:val="single"/>
              </w:rPr>
              <w:t xml:space="preserve">     </w:t>
            </w:r>
            <w:r>
              <w:rPr>
                <w:rFonts w:ascii="Tahoma" w:hAnsi="Tahoma" w:cs="Tahoma"/>
                <w:szCs w:val="21"/>
              </w:rPr>
              <w:t>日</w:t>
            </w:r>
            <w:r>
              <w:rPr>
                <w:rFonts w:ascii="Tahoma" w:hAnsi="Tahoma" w:cs="Tahoma"/>
                <w:szCs w:val="21"/>
                <w:u w:val="single"/>
              </w:rPr>
              <w:t xml:space="preserve">      </w:t>
            </w:r>
            <w:r>
              <w:rPr>
                <w:rFonts w:ascii="Tahoma" w:hAnsi="Tahoma" w:cs="Tahoma"/>
                <w:szCs w:val="21"/>
              </w:rPr>
              <w:t>时</w:t>
            </w:r>
            <w:r>
              <w:rPr>
                <w:rFonts w:ascii="Tahoma" w:hAnsi="Tahoma" w:cs="Tahoma"/>
                <w:szCs w:val="21"/>
                <w:u w:val="single"/>
              </w:rPr>
              <w:t xml:space="preserve">       </w:t>
            </w:r>
            <w:r>
              <w:rPr>
                <w:rFonts w:ascii="Tahoma" w:hAnsi="Tahoma" w:cs="Tahoma"/>
                <w:szCs w:val="21"/>
              </w:rPr>
              <w:t>分前不得开启</w:t>
            </w:r>
          </w:p>
          <w:p>
            <w:pPr>
              <w:snapToGrid w:val="0"/>
              <w:spacing w:line="280" w:lineRule="exact"/>
              <w:rPr>
                <w:rFonts w:ascii="Tahoma" w:hAnsi="Tahoma" w:cs="Tahoma"/>
                <w:szCs w:val="21"/>
                <w:u w:val="single"/>
              </w:rPr>
            </w:pPr>
            <w:r>
              <w:rPr>
                <w:rFonts w:ascii="Tahoma" w:hAnsi="Tahoma" w:cs="Tahoma"/>
                <w:szCs w:val="21"/>
              </w:rPr>
              <w:t>投标人名称：</w:t>
            </w:r>
            <w:r>
              <w:rPr>
                <w:rFonts w:ascii="Tahoma" w:hAnsi="Tahoma" w:cs="Tahoma"/>
                <w:szCs w:val="21"/>
                <w:u w:val="single"/>
              </w:rPr>
              <w:t xml:space="preserve">                 供应商全称（加盖公章）                       </w:t>
            </w:r>
          </w:p>
          <w:p>
            <w:pPr>
              <w:snapToGrid w:val="0"/>
              <w:spacing w:line="260" w:lineRule="exact"/>
              <w:rPr>
                <w:rFonts w:ascii="宋体"/>
                <w:bCs/>
                <w:color w:val="auto"/>
                <w:sz w:val="24"/>
                <w:highlight w:val="none"/>
              </w:rPr>
            </w:pPr>
            <w:r>
              <w:rPr>
                <w:rFonts w:ascii="Tahoma" w:hAnsi="Tahoma" w:cs="Tahoma"/>
                <w:szCs w:val="21"/>
              </w:rPr>
              <w:t>日期：</w:t>
            </w:r>
            <w:r>
              <w:rPr>
                <w:rFonts w:ascii="Tahoma" w:hAnsi="Tahoma" w:cs="Tahoma"/>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23" w:type="dxa"/>
            <w:vAlign w:val="center"/>
          </w:tcPr>
          <w:p>
            <w:pPr>
              <w:numPr>
                <w:ilvl w:val="0"/>
                <w:numId w:val="0"/>
              </w:numPr>
              <w:spacing w:line="360" w:lineRule="exact"/>
              <w:ind w:leftChars="0"/>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3</w:t>
            </w:r>
          </w:p>
        </w:tc>
        <w:tc>
          <w:tcPr>
            <w:tcW w:w="1497" w:type="dxa"/>
            <w:tcBorders>
              <w:right w:val="single" w:color="auto" w:sz="4" w:space="0"/>
            </w:tcBorders>
            <w:vAlign w:val="center"/>
          </w:tcPr>
          <w:p>
            <w:pPr>
              <w:numPr>
                <w:ilvl w:val="0"/>
                <w:numId w:val="0"/>
              </w:numPr>
              <w:spacing w:line="360" w:lineRule="exact"/>
              <w:ind w:leftChars="0"/>
              <w:jc w:val="center"/>
              <w:rPr>
                <w:rFonts w:ascii="宋体"/>
                <w:color w:val="auto"/>
                <w:sz w:val="24"/>
                <w:highlight w:val="none"/>
              </w:rPr>
            </w:pPr>
            <w:r>
              <w:rPr>
                <w:rFonts w:hint="eastAsia" w:ascii="宋体" w:hAnsi="宋体"/>
                <w:color w:val="000000" w:themeColor="text1"/>
                <w:kern w:val="0"/>
                <w:sz w:val="24"/>
                <w:highlight w:val="none"/>
                <w14:textFill>
                  <w14:solidFill>
                    <w14:schemeClr w14:val="tx1"/>
                  </w14:solidFill>
                </w14:textFill>
              </w:rPr>
              <w:t>投标文件的密封</w:t>
            </w:r>
          </w:p>
        </w:tc>
        <w:tc>
          <w:tcPr>
            <w:tcW w:w="7198" w:type="dxa"/>
            <w:tcBorders>
              <w:left w:val="single" w:color="auto" w:sz="4" w:space="0"/>
            </w:tcBorders>
            <w:vAlign w:val="center"/>
          </w:tcPr>
          <w:p>
            <w:pPr>
              <w:spacing w:line="260" w:lineRule="exact"/>
            </w:pPr>
            <w:r>
              <w:rPr>
                <w:rFonts w:hint="eastAsia"/>
                <w:lang w:val="zh-CN"/>
              </w:rPr>
              <w:t>正本、副本、电子版U盘、各类证书原件分别用非透明文件袋密封。所有投标文件一律采用死页胶装的方式，否则按废标处理。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8" w:hRule="atLeast"/>
          <w:jc w:val="center"/>
        </w:trPr>
        <w:tc>
          <w:tcPr>
            <w:tcW w:w="823" w:type="dxa"/>
            <w:vAlign w:val="center"/>
          </w:tcPr>
          <w:p>
            <w:pPr>
              <w:numPr>
                <w:ilvl w:val="0"/>
                <w:numId w:val="0"/>
              </w:numPr>
              <w:spacing w:line="360" w:lineRule="exact"/>
              <w:ind w:leftChars="0"/>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4</w:t>
            </w:r>
          </w:p>
        </w:tc>
        <w:tc>
          <w:tcPr>
            <w:tcW w:w="1497" w:type="dxa"/>
            <w:tcBorders>
              <w:right w:val="single" w:color="auto" w:sz="4" w:space="0"/>
            </w:tcBorders>
            <w:vAlign w:val="center"/>
          </w:tcPr>
          <w:p>
            <w:pPr>
              <w:numPr>
                <w:ilvl w:val="0"/>
                <w:numId w:val="0"/>
              </w:numPr>
              <w:spacing w:line="360" w:lineRule="exact"/>
              <w:ind w:leftChars="0"/>
              <w:jc w:val="center"/>
              <w:rPr>
                <w:rFonts w:hint="eastAsia" w:ascii="宋体" w:eastAsia="宋体"/>
                <w:color w:val="auto"/>
                <w:sz w:val="24"/>
                <w:highlight w:val="none"/>
                <w:lang w:eastAsia="zh-CN"/>
              </w:rPr>
            </w:pPr>
            <w:r>
              <w:rPr>
                <w:rFonts w:hint="eastAsia" w:ascii="宋体"/>
                <w:color w:val="auto"/>
                <w:sz w:val="24"/>
                <w:highlight w:val="none"/>
              </w:rPr>
              <w:t>投标文件</w:t>
            </w:r>
            <w:r>
              <w:rPr>
                <w:rFonts w:hint="eastAsia" w:ascii="宋体"/>
                <w:color w:val="auto"/>
                <w:sz w:val="24"/>
                <w:highlight w:val="none"/>
                <w:lang w:eastAsia="zh-CN"/>
              </w:rPr>
              <w:t>递交</w:t>
            </w:r>
          </w:p>
        </w:tc>
        <w:tc>
          <w:tcPr>
            <w:tcW w:w="7198" w:type="dxa"/>
            <w:tcBorders>
              <w:left w:val="single" w:color="auto" w:sz="4" w:space="0"/>
            </w:tcBorders>
            <w:vAlign w:val="center"/>
          </w:tcPr>
          <w:p>
            <w:pPr>
              <w:numPr>
                <w:ilvl w:val="0"/>
                <w:numId w:val="0"/>
              </w:numPr>
              <w:spacing w:line="360" w:lineRule="auto"/>
              <w:ind w:leftChars="0"/>
              <w:jc w:val="both"/>
              <w:rPr>
                <w:rFonts w:ascii="宋体"/>
                <w:bCs/>
                <w:color w:val="auto"/>
                <w:sz w:val="24"/>
                <w:highlight w:val="none"/>
              </w:rPr>
            </w:pPr>
            <w:r>
              <w:rPr>
                <w:rFonts w:hint="eastAsia" w:ascii="宋体" w:hAnsi="宋体"/>
                <w:color w:val="auto"/>
                <w:sz w:val="24"/>
                <w:highlight w:val="none"/>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5</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评标委员的组建</w:t>
            </w:r>
          </w:p>
        </w:tc>
        <w:tc>
          <w:tcPr>
            <w:tcW w:w="7198" w:type="dxa"/>
            <w:tcBorders>
              <w:left w:val="single" w:color="auto" w:sz="4" w:space="0"/>
            </w:tcBorders>
            <w:vAlign w:val="center"/>
          </w:tcPr>
          <w:p>
            <w:pPr>
              <w:spacing w:line="360" w:lineRule="exact"/>
              <w:jc w:val="left"/>
              <w:rPr>
                <w:rFonts w:hint="eastAsia" w:ascii="宋体" w:hAnsi="宋体"/>
                <w:color w:val="auto"/>
                <w:sz w:val="24"/>
                <w:highlight w:val="none"/>
                <w:lang w:eastAsia="zh-CN"/>
              </w:rPr>
            </w:pPr>
            <w:r>
              <w:rPr>
                <w:rFonts w:hint="eastAsia" w:ascii="宋体" w:hAnsi="宋体"/>
                <w:color w:val="auto"/>
                <w:sz w:val="24"/>
                <w:highlight w:val="none"/>
              </w:rPr>
              <w:t>评标委员会构成：</w:t>
            </w:r>
            <w:r>
              <w:rPr>
                <w:rFonts w:hint="eastAsia" w:ascii="宋体" w:hAnsi="宋体"/>
                <w:color w:val="auto"/>
                <w:sz w:val="24"/>
                <w:highlight w:val="none"/>
                <w:lang w:val="en-US" w:eastAsia="zh-CN"/>
              </w:rPr>
              <w:t>5</w:t>
            </w:r>
            <w:r>
              <w:rPr>
                <w:rFonts w:hint="eastAsia" w:ascii="宋体" w:hAnsi="宋体"/>
                <w:color w:val="auto"/>
                <w:sz w:val="24"/>
                <w:highlight w:val="none"/>
              </w:rPr>
              <w:t>人或</w:t>
            </w:r>
            <w:r>
              <w:rPr>
                <w:rFonts w:ascii="宋体" w:hAnsi="宋体"/>
                <w:color w:val="auto"/>
                <w:sz w:val="24"/>
                <w:highlight w:val="none"/>
              </w:rPr>
              <w:t>5</w:t>
            </w:r>
            <w:r>
              <w:rPr>
                <w:rFonts w:hint="eastAsia" w:ascii="宋体" w:hAnsi="宋体"/>
                <w:color w:val="auto"/>
                <w:sz w:val="24"/>
                <w:highlight w:val="none"/>
              </w:rPr>
              <w:t>人以上单数组成，业主专家</w:t>
            </w:r>
            <w:r>
              <w:rPr>
                <w:rFonts w:ascii="宋体" w:hAnsi="宋体"/>
                <w:color w:val="auto"/>
                <w:sz w:val="24"/>
                <w:highlight w:val="none"/>
              </w:rPr>
              <w:t>1</w:t>
            </w:r>
            <w:r>
              <w:rPr>
                <w:rFonts w:hint="eastAsia" w:ascii="宋体" w:hAnsi="宋体"/>
                <w:color w:val="auto"/>
                <w:sz w:val="24"/>
                <w:highlight w:val="none"/>
              </w:rPr>
              <w:t>人；评标</w:t>
            </w:r>
            <w:r>
              <w:rPr>
                <w:rFonts w:hint="eastAsia" w:ascii="宋体" w:hAnsi="宋体"/>
                <w:color w:val="auto"/>
                <w:sz w:val="24"/>
                <w:highlight w:val="none"/>
                <w:lang w:eastAsia="zh-CN"/>
              </w:rPr>
              <w:t>专家</w:t>
            </w:r>
            <w:r>
              <w:rPr>
                <w:rFonts w:hint="eastAsia" w:ascii="宋体" w:hAnsi="宋体"/>
                <w:color w:val="auto"/>
                <w:sz w:val="24"/>
                <w:highlight w:val="none"/>
              </w:rPr>
              <w:t>确定方式：由</w:t>
            </w:r>
            <w:r>
              <w:rPr>
                <w:rFonts w:hint="eastAsia" w:ascii="宋体" w:hAnsi="宋体"/>
                <w:color w:val="auto"/>
                <w:sz w:val="24"/>
                <w:highlight w:val="none"/>
                <w:lang w:val="en-US" w:eastAsia="zh-CN"/>
              </w:rPr>
              <w:t>招标代理在开标前48小时在新疆维吾尔自治区政府采购</w:t>
            </w:r>
            <w:r>
              <w:rPr>
                <w:rFonts w:hint="eastAsia" w:ascii="宋体" w:hAnsi="宋体"/>
                <w:color w:val="auto"/>
                <w:sz w:val="24"/>
                <w:highlight w:val="none"/>
              </w:rPr>
              <w:t>专家库中随机抽取此次评标专家</w:t>
            </w:r>
            <w:r>
              <w:rPr>
                <w:rFonts w:hint="eastAsia" w:ascii="宋体" w:hAnsi="宋体"/>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43" w:hRule="atLeast"/>
          <w:jc w:val="center"/>
        </w:trPr>
        <w:tc>
          <w:tcPr>
            <w:tcW w:w="823" w:type="dxa"/>
            <w:vAlign w:val="center"/>
          </w:tcPr>
          <w:p>
            <w:pPr>
              <w:spacing w:line="360" w:lineRule="exact"/>
              <w:jc w:val="center"/>
              <w:rPr>
                <w:rFonts w:hint="eastAsia"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6</w:t>
            </w:r>
          </w:p>
        </w:tc>
        <w:tc>
          <w:tcPr>
            <w:tcW w:w="1497" w:type="dxa"/>
            <w:tcBorders>
              <w:right w:val="single" w:color="auto" w:sz="4" w:space="0"/>
            </w:tcBorders>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开标时间和地点</w:t>
            </w:r>
          </w:p>
        </w:tc>
        <w:tc>
          <w:tcPr>
            <w:tcW w:w="7198" w:type="dxa"/>
            <w:tcBorders>
              <w:left w:val="single" w:color="auto" w:sz="4" w:space="0"/>
            </w:tcBorders>
            <w:vAlign w:val="center"/>
          </w:tcPr>
          <w:p>
            <w:pPr>
              <w:spacing w:line="360" w:lineRule="exact"/>
              <w:jc w:val="left"/>
              <w:rPr>
                <w:rFonts w:ascii="宋体" w:hAnsi="宋体"/>
                <w:color w:val="auto"/>
                <w:sz w:val="24"/>
                <w:highlight w:val="none"/>
              </w:rPr>
            </w:pPr>
            <w:r>
              <w:rPr>
                <w:rFonts w:hint="eastAsia" w:ascii="宋体" w:hAnsi="宋体"/>
                <w:color w:val="auto"/>
                <w:sz w:val="24"/>
                <w:highlight w:val="none"/>
              </w:rPr>
              <w:t>开标时间：</w:t>
            </w:r>
            <w:r>
              <w:rPr>
                <w:rFonts w:hint="eastAsia" w:ascii="宋体" w:hAnsi="宋体"/>
                <w:color w:val="auto"/>
                <w:sz w:val="24"/>
                <w:highlight w:val="none"/>
                <w:lang w:eastAsia="zh-CN"/>
              </w:rPr>
              <w:t>2020年05月18日12:00（北京时间）</w:t>
            </w:r>
            <w:r>
              <w:rPr>
                <w:rFonts w:hint="eastAsia" w:ascii="宋体" w:hAnsi="宋体"/>
                <w:color w:val="auto"/>
                <w:sz w:val="24"/>
                <w:highlight w:val="none"/>
              </w:rPr>
              <w:t>开标地点：</w:t>
            </w:r>
            <w:r>
              <w:rPr>
                <w:rFonts w:hint="eastAsia" w:ascii="宋体" w:hAnsi="宋体"/>
                <w:color w:val="auto"/>
                <w:sz w:val="24"/>
                <w:highlight w:val="none"/>
                <w:lang w:eastAsia="zh-CN"/>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7" w:hRule="atLeast"/>
          <w:jc w:val="center"/>
        </w:trPr>
        <w:tc>
          <w:tcPr>
            <w:tcW w:w="823" w:type="dxa"/>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7</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关于操作说明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投标单位所提供关于</w:t>
            </w:r>
            <w:r>
              <w:rPr>
                <w:rFonts w:hint="eastAsia" w:ascii="宋体" w:hAnsi="宋体"/>
                <w:bCs/>
                <w:color w:val="auto"/>
                <w:sz w:val="24"/>
                <w:highlight w:val="none"/>
                <w:lang w:eastAsia="zh-CN"/>
              </w:rPr>
              <w:t>货物</w:t>
            </w:r>
            <w:r>
              <w:rPr>
                <w:rFonts w:hint="eastAsia" w:ascii="宋体" w:hAnsi="宋体"/>
                <w:bCs/>
                <w:color w:val="auto"/>
                <w:sz w:val="24"/>
                <w:highlight w:val="none"/>
              </w:rPr>
              <w:t>的操作说明如果是英文必须附翻译后中文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3" w:hRule="atLeast"/>
          <w:jc w:val="center"/>
        </w:trPr>
        <w:tc>
          <w:tcPr>
            <w:tcW w:w="823" w:type="dxa"/>
            <w:tcBorders>
              <w:bottom w:val="single" w:color="auto" w:sz="4" w:space="0"/>
            </w:tcBorders>
            <w:vAlign w:val="center"/>
          </w:tcPr>
          <w:p>
            <w:pPr>
              <w:spacing w:line="360" w:lineRule="exact"/>
              <w:jc w:val="center"/>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lang w:val="en-US" w:eastAsia="zh-CN"/>
              </w:rPr>
              <w:t>8</w:t>
            </w:r>
          </w:p>
        </w:tc>
        <w:tc>
          <w:tcPr>
            <w:tcW w:w="1497" w:type="dxa"/>
            <w:tcBorders>
              <w:bottom w:val="single" w:color="auto" w:sz="4" w:space="0"/>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关于运距补充说明</w:t>
            </w:r>
          </w:p>
        </w:tc>
        <w:tc>
          <w:tcPr>
            <w:tcW w:w="7198" w:type="dxa"/>
            <w:tcBorders>
              <w:left w:val="single" w:color="auto" w:sz="4" w:space="0"/>
              <w:bottom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2" w:hRule="atLeast"/>
          <w:jc w:val="center"/>
        </w:trPr>
        <w:tc>
          <w:tcPr>
            <w:tcW w:w="823" w:type="dxa"/>
            <w:tcBorders>
              <w:top w:val="single" w:color="auto" w:sz="4" w:space="0"/>
            </w:tcBorders>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29</w:t>
            </w:r>
          </w:p>
        </w:tc>
        <w:tc>
          <w:tcPr>
            <w:tcW w:w="1497" w:type="dxa"/>
            <w:tcBorders>
              <w:top w:val="single" w:color="auto" w:sz="4" w:space="0"/>
              <w:right w:val="single" w:color="auto" w:sz="4" w:space="0"/>
            </w:tcBorders>
            <w:vAlign w:val="center"/>
          </w:tcPr>
          <w:p>
            <w:pPr>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98"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宋体" w:hAnsi="宋体" w:eastAsia="宋体"/>
                <w:bCs/>
                <w:color w:val="auto"/>
                <w:sz w:val="24"/>
                <w:highlight w:val="none"/>
                <w:lang w:val="en-US" w:eastAsia="zh-CN"/>
              </w:rPr>
            </w:pPr>
            <w:r>
              <w:rPr>
                <w:rFonts w:hint="eastAsia" w:ascii="宋体" w:hAnsi="宋体"/>
                <w:color w:val="auto"/>
                <w:sz w:val="24"/>
                <w:highlight w:val="none"/>
                <w:lang w:val="en-US" w:eastAsia="zh-CN"/>
              </w:rPr>
              <w:t>合同签订前缴纳不得高于中标价的10%履约保证金（具体缴纳事宜由甲乙双方签订合同约定）。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77"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30</w:t>
            </w:r>
          </w:p>
        </w:tc>
        <w:tc>
          <w:tcPr>
            <w:tcW w:w="1497"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其他说明</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特别提醒：</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、所有投标人的报价高于采购预算额度视为无效报价（即作否决投</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标处理）。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、所有投标人的报价明显低于其他投标报价或者在设有标底时明显</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低于标底，使得其投标报价可能低于其个别成本的，应当要求该投标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人作出书面说明并提供相应证明材料。投标人不能合理或者不能提供</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相应证明材料的，由评标委员会认定该投标人以低于成本报价竞标，</w:t>
            </w:r>
          </w:p>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105" w:hRule="atLeast"/>
          <w:jc w:val="center"/>
        </w:trPr>
        <w:tc>
          <w:tcPr>
            <w:tcW w:w="823" w:type="dxa"/>
            <w:vAlign w:val="center"/>
          </w:tcPr>
          <w:p>
            <w:pPr>
              <w:spacing w:line="360" w:lineRule="exact"/>
              <w:jc w:val="center"/>
              <w:rPr>
                <w:rFonts w:hint="default"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31</w:t>
            </w:r>
          </w:p>
        </w:tc>
        <w:tc>
          <w:tcPr>
            <w:tcW w:w="1497" w:type="dxa"/>
            <w:tcBorders>
              <w:right w:val="single" w:color="auto" w:sz="4" w:space="0"/>
            </w:tcBorders>
            <w:vAlign w:val="center"/>
          </w:tcPr>
          <w:p>
            <w:pPr>
              <w:spacing w:line="360" w:lineRule="exact"/>
              <w:jc w:val="center"/>
              <w:rPr>
                <w:rFonts w:hint="eastAsia"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补充说明</w:t>
            </w:r>
          </w:p>
        </w:tc>
        <w:tc>
          <w:tcPr>
            <w:tcW w:w="7198" w:type="dxa"/>
            <w:tcBorders>
              <w:left w:val="single" w:color="auto"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22" w:firstLineChars="200"/>
              <w:jc w:val="left"/>
              <w:textAlignment w:val="auto"/>
              <w:rPr>
                <w:rFonts w:hint="eastAsia" w:ascii="宋体" w:hAnsi="宋体" w:eastAsia="宋体"/>
                <w:b/>
                <w:bCs/>
                <w:color w:val="auto"/>
                <w:sz w:val="24"/>
                <w:highlight w:val="yellow"/>
                <w:lang w:val="en-US" w:eastAsia="zh-CN"/>
              </w:rPr>
            </w:pPr>
            <w:r>
              <w:rPr>
                <w:rFonts w:hint="eastAsia" w:ascii="宋体" w:hAnsi="宋体" w:cs="宋体"/>
                <w:b/>
                <w:bCs/>
                <w:color w:val="auto"/>
                <w:highlight w:val="none"/>
              </w:rPr>
              <w:t>采购项目需要落实的政府采购政策</w:t>
            </w:r>
            <w:r>
              <w:rPr>
                <w:rFonts w:hint="eastAsia" w:ascii="宋体" w:hAnsi="宋体" w:cs="宋体"/>
                <w:b/>
                <w:bCs/>
                <w:color w:val="auto"/>
                <w:highlight w:val="none"/>
                <w:lang w:eastAsia="zh-CN"/>
              </w:rPr>
              <w:t>：</w:t>
            </w:r>
            <w:r>
              <w:rPr>
                <w:rFonts w:ascii="宋体" w:hAnsi="宋体" w:cs="宋体"/>
                <w:b/>
                <w:bCs/>
                <w:color w:val="auto"/>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b/>
                <w:bCs/>
                <w:color w:val="auto"/>
                <w:highlight w:val="none"/>
                <w:lang w:val="en-US" w:eastAsia="zh-CN"/>
              </w:rPr>
              <w:t>等政府采购政策</w:t>
            </w:r>
            <w:r>
              <w:rPr>
                <w:rFonts w:ascii="宋体" w:hAnsi="宋体" w:cs="宋体"/>
                <w:b/>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9518" w:type="dxa"/>
            <w:gridSpan w:val="3"/>
            <w:tcBorders>
              <w:bottom w:val="single" w:color="auto" w:sz="12" w:space="0"/>
            </w:tcBorders>
            <w:vAlign w:val="top"/>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after="75" w:line="280" w:lineRule="exact"/>
              <w:ind w:firstLine="402" w:firstLineChars="200"/>
              <w:jc w:val="left"/>
              <w:textAlignment w:val="auto"/>
              <w:rPr>
                <w:rFonts w:hint="eastAsia" w:ascii="宋体" w:hAnsi="宋体"/>
                <w:b/>
                <w:bCs/>
                <w:color w:val="auto"/>
                <w:sz w:val="24"/>
                <w:highlight w:val="none"/>
                <w:lang w:val="en-US" w:eastAsia="zh-CN"/>
              </w:rPr>
            </w:pPr>
            <w:r>
              <w:rPr>
                <w:rFonts w:hint="eastAsia" w:ascii="宋体" w:hAnsi="宋体"/>
                <w:b/>
                <w:bCs/>
                <w:color w:val="auto"/>
                <w:sz w:val="20"/>
                <w:szCs w:val="20"/>
                <w:highlight w:val="none"/>
                <w:lang w:val="en-US" w:eastAsia="zh-CN"/>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rPr>
          <w:rFonts w:ascii="宋体"/>
          <w:b/>
          <w:color w:val="auto"/>
          <w:sz w:val="24"/>
          <w:highlight w:val="none"/>
        </w:rPr>
      </w:pPr>
      <w:r>
        <w:rPr>
          <w:rFonts w:hint="eastAsia" w:ascii="宋体"/>
          <w:color w:val="auto"/>
          <w:sz w:val="24"/>
          <w:highlight w:val="none"/>
        </w:rPr>
        <w:t>备注：本须知前附表的条款号是与后面招标文件的内容相对应，如有矛盾，应以投标须知前附表为准。</w:t>
      </w:r>
    </w:p>
    <w:p>
      <w:pPr>
        <w:spacing w:line="360" w:lineRule="auto"/>
        <w:jc w:val="both"/>
        <w:rPr>
          <w:rFonts w:ascii="宋体" w:hAnsi="宋体"/>
          <w:b/>
          <w:color w:val="auto"/>
          <w:sz w:val="24"/>
          <w:highlight w:val="none"/>
        </w:rPr>
      </w:pPr>
    </w:p>
    <w:p>
      <w:pPr>
        <w:spacing w:line="360" w:lineRule="auto"/>
        <w:jc w:val="both"/>
        <w:rPr>
          <w:rFonts w:ascii="宋体"/>
          <w:b/>
          <w:color w:val="auto"/>
          <w:sz w:val="24"/>
          <w:highlight w:val="none"/>
        </w:rPr>
      </w:pPr>
      <w:r>
        <w:rPr>
          <w:rFonts w:ascii="宋体" w:hAnsi="宋体"/>
          <w:b/>
          <w:color w:val="auto"/>
          <w:sz w:val="24"/>
          <w:highlight w:val="none"/>
        </w:rPr>
        <w:t xml:space="preserve">A   </w:t>
      </w:r>
      <w:r>
        <w:rPr>
          <w:rFonts w:hint="eastAsia" w:ascii="宋体" w:hAnsi="宋体"/>
          <w:b/>
          <w:color w:val="auto"/>
          <w:sz w:val="24"/>
          <w:highlight w:val="none"/>
        </w:rPr>
        <w:t>说明及注意事项</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适用范围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1.1</w:t>
      </w:r>
      <w:r>
        <w:rPr>
          <w:rFonts w:ascii="宋体" w:hAnsi="宋体"/>
          <w:color w:val="auto"/>
          <w:sz w:val="24"/>
          <w:highlight w:val="none"/>
        </w:rPr>
        <w:tab/>
      </w:r>
      <w:r>
        <w:rPr>
          <w:rFonts w:hint="eastAsia" w:ascii="宋体" w:hAnsi="宋体"/>
          <w:color w:val="auto"/>
          <w:sz w:val="24"/>
          <w:highlight w:val="none"/>
        </w:rPr>
        <w:t>本招标文件仅适用于本</w:t>
      </w:r>
      <w:r>
        <w:rPr>
          <w:rFonts w:hint="eastAsia" w:ascii="宋体" w:hAnsi="宋体"/>
          <w:color w:val="auto"/>
          <w:sz w:val="24"/>
          <w:highlight w:val="none"/>
          <w:lang w:val="en-US" w:eastAsia="zh-CN"/>
        </w:rPr>
        <w:t>招标公告</w:t>
      </w:r>
      <w:r>
        <w:rPr>
          <w:rFonts w:hint="eastAsia" w:ascii="宋体" w:hAnsi="宋体"/>
          <w:color w:val="auto"/>
          <w:sz w:val="24"/>
          <w:highlight w:val="none"/>
        </w:rPr>
        <w:t>中所述的招标项目。</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定义</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2.1</w:t>
      </w:r>
      <w:r>
        <w:rPr>
          <w:rFonts w:ascii="宋体" w:hAnsi="宋体"/>
          <w:color w:val="auto"/>
          <w:sz w:val="24"/>
          <w:highlight w:val="none"/>
        </w:rPr>
        <w:tab/>
      </w:r>
      <w:r>
        <w:rPr>
          <w:rFonts w:hint="eastAsia" w:ascii="宋体" w:hAnsi="宋体"/>
          <w:color w:val="auto"/>
          <w:sz w:val="24"/>
          <w:highlight w:val="none"/>
        </w:rPr>
        <w:t>“招标人”系指</w:t>
      </w:r>
      <w:r>
        <w:rPr>
          <w:rFonts w:hint="eastAsia" w:ascii="宋体" w:hAnsi="宋体"/>
          <w:color w:val="auto"/>
          <w:sz w:val="24"/>
          <w:highlight w:val="none"/>
          <w:lang w:val="en-US" w:eastAsia="zh-CN"/>
        </w:rPr>
        <w:t>皮山县教育局</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2.2</w:t>
      </w:r>
      <w:r>
        <w:rPr>
          <w:rFonts w:ascii="宋体" w:hAnsi="宋体"/>
          <w:color w:val="auto"/>
          <w:sz w:val="24"/>
          <w:highlight w:val="none"/>
        </w:rPr>
        <w:tab/>
      </w:r>
      <w:r>
        <w:rPr>
          <w:rFonts w:hint="eastAsia" w:ascii="宋体" w:hAnsi="宋体"/>
          <w:color w:val="auto"/>
          <w:sz w:val="24"/>
          <w:highlight w:val="none"/>
        </w:rPr>
        <w:t>“投标人”系指向招标人提交投标文件的制造商或供应商；</w:t>
      </w:r>
    </w:p>
    <w:p>
      <w:pPr>
        <w:spacing w:line="360" w:lineRule="auto"/>
        <w:ind w:left="714" w:leftChars="1" w:hanging="712" w:hangingChars="297"/>
        <w:jc w:val="left"/>
        <w:rPr>
          <w:rFonts w:hint="eastAsia" w:ascii="宋体" w:eastAsia="宋体"/>
          <w:color w:val="auto"/>
          <w:sz w:val="24"/>
          <w:highlight w:val="none"/>
          <w:lang w:eastAsia="zh-CN"/>
        </w:rPr>
      </w:pPr>
      <w:r>
        <w:rPr>
          <w:rFonts w:ascii="宋体" w:hAnsi="宋体"/>
          <w:color w:val="auto"/>
          <w:sz w:val="24"/>
          <w:highlight w:val="none"/>
        </w:rPr>
        <w:t>2.3</w:t>
      </w:r>
      <w:r>
        <w:rPr>
          <w:rFonts w:ascii="宋体" w:hAnsi="宋体"/>
          <w:color w:val="auto"/>
          <w:sz w:val="24"/>
          <w:highlight w:val="none"/>
        </w:rPr>
        <w:tab/>
      </w:r>
      <w:r>
        <w:rPr>
          <w:rFonts w:hint="eastAsia" w:ascii="宋体" w:hAnsi="宋体"/>
          <w:color w:val="auto"/>
          <w:sz w:val="24"/>
          <w:highlight w:val="none"/>
        </w:rPr>
        <w:t>“采购人”系指实际购买使用标的物的单位即</w:t>
      </w:r>
      <w:r>
        <w:rPr>
          <w:rFonts w:hint="eastAsia" w:ascii="宋体" w:hAnsi="宋体"/>
          <w:color w:val="auto"/>
          <w:sz w:val="24"/>
          <w:highlight w:val="none"/>
          <w:lang w:val="en-US" w:eastAsia="zh-CN"/>
        </w:rPr>
        <w:t>皮山县教育局</w:t>
      </w:r>
    </w:p>
    <w:p>
      <w:pPr>
        <w:spacing w:line="360" w:lineRule="auto"/>
        <w:ind w:left="714" w:leftChars="1" w:hanging="712" w:hangingChars="297"/>
        <w:jc w:val="left"/>
        <w:rPr>
          <w:rFonts w:ascii="宋体" w:cs="宋体"/>
          <w:color w:val="FF0000"/>
          <w:kern w:val="0"/>
          <w:sz w:val="24"/>
          <w:highlight w:val="yellow"/>
        </w:rPr>
      </w:pPr>
      <w:r>
        <w:rPr>
          <w:rFonts w:ascii="宋体" w:hAnsi="宋体"/>
          <w:color w:val="auto"/>
          <w:sz w:val="24"/>
          <w:highlight w:val="none"/>
        </w:rPr>
        <w:t xml:space="preserve">2.4   </w:t>
      </w:r>
      <w:r>
        <w:rPr>
          <w:rFonts w:hint="eastAsia" w:ascii="宋体" w:hAnsi="宋体"/>
          <w:color w:val="auto"/>
          <w:sz w:val="24"/>
          <w:highlight w:val="none"/>
        </w:rPr>
        <w:t>“采购项目”</w:t>
      </w:r>
      <w:r>
        <w:rPr>
          <w:rFonts w:hint="eastAsia" w:ascii="宋体" w:hAnsi="宋体"/>
          <w:color w:val="000000" w:themeColor="text1"/>
          <w:spacing w:val="-18"/>
          <w:sz w:val="24"/>
          <w:highlight w:val="none"/>
          <w14:textFill>
            <w14:solidFill>
              <w14:schemeClr w14:val="tx1"/>
            </w14:solidFill>
          </w14:textFill>
        </w:rPr>
        <w:t>“</w:t>
      </w:r>
      <w:r>
        <w:rPr>
          <w:rFonts w:hint="eastAsia" w:ascii="宋体" w:hAnsi="宋体"/>
          <w:color w:val="000000" w:themeColor="text1"/>
          <w:spacing w:val="-18"/>
          <w:sz w:val="24"/>
          <w:highlight w:val="none"/>
          <w:lang w:val="en-US" w:eastAsia="zh-CN"/>
          <w14:textFill>
            <w14:solidFill>
              <w14:schemeClr w14:val="tx1"/>
            </w14:solidFill>
          </w14:textFill>
        </w:rPr>
        <w:t>2020年皮山县教育系统学校食堂所需食材采购项目</w:t>
      </w:r>
      <w:r>
        <w:rPr>
          <w:rFonts w:hint="eastAsia" w:ascii="宋体" w:hAnsi="宋体" w:cs="宋体"/>
          <w:bCs/>
          <w:color w:val="000000" w:themeColor="text1"/>
          <w:kern w:val="0"/>
          <w:sz w:val="24"/>
          <w:highlight w:val="none"/>
          <w14:textFill>
            <w14:solidFill>
              <w14:schemeClr w14:val="tx1"/>
            </w14:solidFill>
          </w14:textFill>
        </w:rPr>
        <w:t>”</w:t>
      </w:r>
    </w:p>
    <w:p>
      <w:pPr>
        <w:spacing w:line="360" w:lineRule="auto"/>
        <w:rPr>
          <w:rFonts w:ascii="宋体"/>
          <w:color w:val="auto"/>
          <w:sz w:val="24"/>
          <w:highlight w:val="none"/>
        </w:rPr>
      </w:pPr>
      <w:r>
        <w:rPr>
          <w:rFonts w:ascii="宋体" w:hAnsi="宋体"/>
          <w:color w:val="auto"/>
          <w:sz w:val="24"/>
          <w:highlight w:val="none"/>
        </w:rPr>
        <w:t>2.5</w:t>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“服务”系指招标文件规定投标人须承担的运输、安装、技术服务、售后服务和其它类似的义务。</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合格的投标人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3.1</w:t>
      </w:r>
      <w:r>
        <w:rPr>
          <w:rFonts w:ascii="宋体" w:hAnsi="宋体"/>
          <w:color w:val="auto"/>
          <w:sz w:val="24"/>
          <w:highlight w:val="none"/>
        </w:rPr>
        <w:tab/>
      </w:r>
      <w:r>
        <w:rPr>
          <w:rFonts w:hint="eastAsia" w:ascii="宋体" w:hAnsi="宋体"/>
          <w:color w:val="auto"/>
          <w:sz w:val="24"/>
          <w:highlight w:val="none"/>
        </w:rPr>
        <w:t>具有独立法人资格，且有独立承担民事责任的能力，有相关的经营范围。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3.2</w:t>
      </w:r>
      <w:r>
        <w:rPr>
          <w:rFonts w:ascii="宋体" w:hAnsi="宋体"/>
          <w:color w:val="auto"/>
          <w:sz w:val="24"/>
          <w:highlight w:val="none"/>
        </w:rPr>
        <w:tab/>
      </w:r>
      <w:r>
        <w:rPr>
          <w:rFonts w:hint="eastAsia" w:ascii="宋体" w:hAnsi="宋体"/>
          <w:color w:val="auto"/>
          <w:sz w:val="24"/>
          <w:highlight w:val="none"/>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3.3</w:t>
      </w:r>
      <w:r>
        <w:rPr>
          <w:rFonts w:ascii="宋体" w:hAnsi="宋体"/>
          <w:color w:val="auto"/>
          <w:sz w:val="24"/>
          <w:highlight w:val="none"/>
        </w:rPr>
        <w:tab/>
      </w:r>
      <w:r>
        <w:rPr>
          <w:rFonts w:hint="eastAsia" w:ascii="宋体" w:hAnsi="宋体"/>
          <w:color w:val="auto"/>
          <w:sz w:val="24"/>
          <w:highlight w:val="none"/>
        </w:rPr>
        <w:t>承诺履行中华人民共和国政府采购有关规定；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3.4</w:t>
      </w:r>
      <w:r>
        <w:rPr>
          <w:rFonts w:ascii="宋体" w:hAnsi="宋体"/>
          <w:color w:val="auto"/>
          <w:sz w:val="24"/>
          <w:highlight w:val="none"/>
        </w:rPr>
        <w:tab/>
      </w:r>
      <w:r>
        <w:rPr>
          <w:rFonts w:hint="eastAsia" w:ascii="宋体" w:hAnsi="宋体"/>
          <w:color w:val="auto"/>
          <w:sz w:val="24"/>
          <w:highlight w:val="none"/>
        </w:rPr>
        <w:t>具有履行合同的能力和良好的履行合同的记录，及履行合同所必需的设备和专业技术能力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3.5</w:t>
      </w:r>
      <w:r>
        <w:rPr>
          <w:rFonts w:ascii="宋体" w:hAnsi="宋体"/>
          <w:color w:val="auto"/>
          <w:sz w:val="24"/>
          <w:highlight w:val="none"/>
        </w:rPr>
        <w:tab/>
      </w:r>
      <w:r>
        <w:rPr>
          <w:rFonts w:hint="eastAsia" w:ascii="宋体" w:hAnsi="宋体"/>
          <w:color w:val="auto"/>
          <w:sz w:val="24"/>
          <w:highlight w:val="none"/>
        </w:rPr>
        <w:t>良好的资金、财务状况健全的财务会计制度</w:t>
      </w:r>
    </w:p>
    <w:p>
      <w:pPr>
        <w:spacing w:line="360" w:lineRule="auto"/>
        <w:ind w:left="691" w:leftChars="1" w:hanging="689" w:hangingChars="297"/>
        <w:rPr>
          <w:rFonts w:ascii="宋体"/>
          <w:color w:val="auto"/>
          <w:spacing w:val="-4"/>
          <w:sz w:val="24"/>
          <w:highlight w:val="none"/>
        </w:rPr>
      </w:pPr>
      <w:r>
        <w:rPr>
          <w:rFonts w:ascii="宋体" w:hAnsi="宋体"/>
          <w:color w:val="auto"/>
          <w:spacing w:val="-4"/>
          <w:sz w:val="24"/>
          <w:highlight w:val="none"/>
        </w:rPr>
        <w:t>3.6</w:t>
      </w:r>
      <w:r>
        <w:rPr>
          <w:rFonts w:ascii="宋体" w:hAnsi="宋体"/>
          <w:color w:val="auto"/>
          <w:spacing w:val="-4"/>
          <w:sz w:val="24"/>
          <w:highlight w:val="none"/>
        </w:rPr>
        <w:tab/>
      </w:r>
      <w:r>
        <w:rPr>
          <w:rFonts w:hint="eastAsia" w:ascii="宋体" w:hAnsi="宋体"/>
          <w:color w:val="auto"/>
          <w:spacing w:val="-4"/>
          <w:sz w:val="24"/>
          <w:highlight w:val="none"/>
        </w:rPr>
        <w:t>生产或销售的产品符合中国政府规定的相应技术标准和环保标准；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3.7</w:t>
      </w:r>
      <w:r>
        <w:rPr>
          <w:rFonts w:ascii="宋体" w:hAnsi="宋体"/>
          <w:color w:val="auto"/>
          <w:sz w:val="24"/>
          <w:highlight w:val="none"/>
        </w:rPr>
        <w:tab/>
      </w:r>
      <w:r>
        <w:rPr>
          <w:rFonts w:hint="eastAsia" w:ascii="宋体" w:hAnsi="宋体"/>
          <w:color w:val="auto"/>
          <w:sz w:val="24"/>
          <w:highlight w:val="none"/>
        </w:rPr>
        <w:t>参加政府采购活动</w:t>
      </w:r>
      <w:r>
        <w:rPr>
          <w:rFonts w:hint="eastAsia" w:ascii="宋体" w:hAnsi="宋体"/>
          <w:color w:val="auto"/>
          <w:sz w:val="24"/>
          <w:highlight w:val="none"/>
          <w:lang w:val="en-US" w:eastAsia="zh-CN"/>
        </w:rPr>
        <w:t>近</w:t>
      </w:r>
      <w:r>
        <w:rPr>
          <w:rFonts w:hint="eastAsia" w:ascii="宋体" w:hAnsi="宋体"/>
          <w:color w:val="auto"/>
          <w:sz w:val="24"/>
          <w:highlight w:val="none"/>
        </w:rPr>
        <w:t>三年内，在经营活动中没有重大违法记录。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3.8</w:t>
      </w:r>
      <w:r>
        <w:rPr>
          <w:rFonts w:ascii="宋体" w:hAnsi="宋体"/>
          <w:color w:val="auto"/>
          <w:sz w:val="24"/>
          <w:highlight w:val="none"/>
        </w:rPr>
        <w:tab/>
      </w:r>
      <w:r>
        <w:rPr>
          <w:rFonts w:hint="eastAsia" w:ascii="宋体" w:hAnsi="宋体"/>
          <w:color w:val="auto"/>
          <w:sz w:val="24"/>
          <w:highlight w:val="none"/>
        </w:rPr>
        <w:t>满足本招标文件规定的要求。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lang w:val="en-US" w:eastAsia="zh-CN"/>
        </w:rPr>
        <w:t>9</w:t>
      </w:r>
      <w:r>
        <w:rPr>
          <w:rFonts w:ascii="宋体" w:hAnsi="宋体"/>
          <w:color w:val="auto"/>
          <w:sz w:val="24"/>
          <w:highlight w:val="none"/>
        </w:rPr>
        <w:tab/>
      </w:r>
      <w:r>
        <w:rPr>
          <w:rFonts w:hint="eastAsia" w:ascii="宋体" w:hAnsi="宋体"/>
          <w:color w:val="auto"/>
          <w:sz w:val="24"/>
          <w:highlight w:val="none"/>
        </w:rPr>
        <w:t>财政部及省级人民政府规定的其它条件。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4.</w:t>
      </w:r>
      <w:r>
        <w:rPr>
          <w:rFonts w:ascii="宋体" w:hAnsi="宋体"/>
          <w:b/>
          <w:bCs/>
          <w:color w:val="auto"/>
          <w:sz w:val="24"/>
          <w:highlight w:val="none"/>
        </w:rPr>
        <w:tab/>
      </w:r>
      <w:r>
        <w:rPr>
          <w:rFonts w:hint="eastAsia" w:ascii="宋体" w:hAnsi="宋体"/>
          <w:b/>
          <w:bCs/>
          <w:color w:val="auto"/>
          <w:sz w:val="24"/>
          <w:highlight w:val="none"/>
        </w:rPr>
        <w:t>联合体投标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4.1</w:t>
      </w:r>
      <w:r>
        <w:rPr>
          <w:rFonts w:ascii="宋体" w:hAnsi="宋体"/>
          <w:color w:val="auto"/>
          <w:sz w:val="24"/>
          <w:szCs w:val="20"/>
          <w:highlight w:val="none"/>
        </w:rPr>
        <w:tab/>
      </w:r>
      <w:r>
        <w:rPr>
          <w:rFonts w:hint="eastAsia" w:ascii="宋体" w:hAnsi="宋体"/>
          <w:color w:val="auto"/>
          <w:sz w:val="24"/>
          <w:szCs w:val="20"/>
          <w:highlight w:val="none"/>
        </w:rPr>
        <w:t>两个以上供应商可以组成一个投标联合体，以一个投标人的身份投标。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4.2</w:t>
      </w:r>
      <w:r>
        <w:rPr>
          <w:rFonts w:ascii="宋体" w:hAnsi="宋体"/>
          <w:color w:val="auto"/>
          <w:sz w:val="24"/>
          <w:szCs w:val="20"/>
          <w:highlight w:val="none"/>
        </w:rPr>
        <w:tab/>
      </w:r>
      <w:r>
        <w:rPr>
          <w:rFonts w:hint="eastAsia" w:ascii="宋体" w:hAnsi="宋体"/>
          <w:color w:val="auto"/>
          <w:sz w:val="24"/>
          <w:szCs w:val="20"/>
          <w:highlight w:val="none"/>
        </w:rPr>
        <w:t>以联合体形式参加投标的，联合体各方均应当符合政府采购法第二十三条规定的条件和前面第</w:t>
      </w:r>
      <w:r>
        <w:rPr>
          <w:rFonts w:ascii="宋体" w:hAnsi="宋体"/>
          <w:color w:val="auto"/>
          <w:sz w:val="24"/>
          <w:szCs w:val="20"/>
          <w:highlight w:val="none"/>
        </w:rPr>
        <w:t>3</w:t>
      </w:r>
      <w:r>
        <w:rPr>
          <w:rFonts w:hint="eastAsia" w:ascii="宋体" w:hAnsi="宋体"/>
          <w:color w:val="auto"/>
          <w:sz w:val="24"/>
          <w:szCs w:val="20"/>
          <w:highlight w:val="none"/>
        </w:rPr>
        <w:t>条的内容。根据采购项目的特殊要求规定投标人特定条件的，联合体应符合采购人规定的特定条件。</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4.3</w:t>
      </w:r>
      <w:r>
        <w:rPr>
          <w:rFonts w:ascii="宋体" w:hAnsi="宋体"/>
          <w:color w:val="auto"/>
          <w:sz w:val="24"/>
          <w:szCs w:val="20"/>
          <w:highlight w:val="none"/>
        </w:rPr>
        <w:tab/>
      </w:r>
      <w:r>
        <w:rPr>
          <w:rFonts w:hint="eastAsia" w:ascii="宋体" w:hAnsi="宋体"/>
          <w:color w:val="auto"/>
          <w:sz w:val="24"/>
          <w:szCs w:val="20"/>
          <w:highlight w:val="none"/>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cs="Arial Unicode MS"/>
          <w:color w:val="auto"/>
          <w:sz w:val="24"/>
          <w:highlight w:val="none"/>
        </w:rPr>
      </w:pPr>
      <w:r>
        <w:rPr>
          <w:rFonts w:ascii="宋体" w:hAnsi="宋体" w:cs="Arial Unicode MS"/>
          <w:color w:val="auto"/>
          <w:sz w:val="24"/>
          <w:highlight w:val="none"/>
        </w:rPr>
        <w:t xml:space="preserve">4.4  </w:t>
      </w:r>
      <w:r>
        <w:rPr>
          <w:rFonts w:ascii="宋体" w:hAnsi="宋体" w:cs="Arial Unicode MS"/>
          <w:b/>
          <w:color w:val="auto"/>
          <w:sz w:val="24"/>
          <w:highlight w:val="none"/>
        </w:rPr>
        <w:t xml:space="preserve"> </w:t>
      </w:r>
      <w:r>
        <w:rPr>
          <w:rFonts w:hint="eastAsia" w:ascii="宋体" w:hAnsi="宋体" w:cs="Arial Unicode MS"/>
          <w:b/>
          <w:color w:val="auto"/>
          <w:sz w:val="24"/>
          <w:highlight w:val="none"/>
        </w:rPr>
        <w:t>本项目不接受联合投标体。</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投标保证金</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5.1</w:t>
      </w:r>
      <w:r>
        <w:rPr>
          <w:rFonts w:ascii="宋体" w:hAnsi="宋体"/>
          <w:color w:val="auto"/>
          <w:sz w:val="24"/>
          <w:highlight w:val="none"/>
        </w:rPr>
        <w:tab/>
      </w:r>
      <w:r>
        <w:rPr>
          <w:rFonts w:hint="eastAsia" w:ascii="宋体" w:hAnsi="宋体"/>
          <w:color w:val="auto"/>
          <w:sz w:val="24"/>
          <w:highlight w:val="none"/>
        </w:rPr>
        <w:t>投标保证金的形式：转账</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投标保证金的金额：</w:t>
      </w:r>
      <w:r>
        <w:rPr>
          <w:rFonts w:hint="eastAsia" w:ascii="宋体" w:hAnsi="宋体"/>
          <w:color w:val="auto"/>
          <w:sz w:val="24"/>
          <w:highlight w:val="none"/>
          <w:lang w:val="en-US" w:eastAsia="zh-CN"/>
        </w:rPr>
        <w:t>170000</w:t>
      </w:r>
      <w:r>
        <w:rPr>
          <w:rFonts w:hint="eastAsia" w:ascii="宋体" w:hAnsi="宋体"/>
          <w:color w:val="auto"/>
          <w:sz w:val="24"/>
          <w:highlight w:val="none"/>
        </w:rPr>
        <w:t>(</w:t>
      </w:r>
      <w:r>
        <w:rPr>
          <w:rFonts w:hint="eastAsia" w:ascii="宋体" w:hAnsi="宋体"/>
          <w:color w:val="auto"/>
          <w:sz w:val="24"/>
          <w:highlight w:val="none"/>
          <w:lang w:val="en-US" w:eastAsia="zh-CN"/>
        </w:rPr>
        <w:t>壹拾柒万元整</w:t>
      </w:r>
      <w:r>
        <w:rPr>
          <w:rFonts w:hint="eastAsia" w:ascii="宋体" w:hAnsi="宋体"/>
          <w:color w:val="auto"/>
          <w:sz w:val="24"/>
          <w:highlight w:val="none"/>
        </w:rPr>
        <w:t>)</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投标保证金缴纳账户：</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账户名称：皮山县政府投资交易中心</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帐号：8780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1001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2010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1010</w:t>
      </w:r>
      <w:r>
        <w:rPr>
          <w:rFonts w:hint="eastAsia" w:ascii="宋体" w:hAnsi="宋体"/>
          <w:color w:val="auto"/>
          <w:sz w:val="24"/>
          <w:highlight w:val="none"/>
          <w:lang w:val="en-US" w:eastAsia="zh-CN"/>
        </w:rPr>
        <w:t xml:space="preserve"> </w:t>
      </w:r>
      <w:r>
        <w:rPr>
          <w:rFonts w:hint="eastAsia" w:ascii="宋体" w:hAnsi="宋体"/>
          <w:color w:val="auto"/>
          <w:sz w:val="24"/>
          <w:highlight w:val="none"/>
        </w:rPr>
        <w:t>11990</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开户银行：新疆皮山县农村信用合作联社</w:t>
      </w:r>
    </w:p>
    <w:p>
      <w:pPr>
        <w:spacing w:line="360" w:lineRule="auto"/>
        <w:ind w:left="720" w:leftChars="343" w:firstLine="4" w:firstLineChars="2"/>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auto"/>
          <w:sz w:val="24"/>
          <w:highlight w:val="none"/>
        </w:rPr>
        <w:t>注：投标保证金在</w:t>
      </w:r>
      <w:r>
        <w:rPr>
          <w:rFonts w:hint="eastAsia" w:ascii="宋体" w:hAnsi="宋体"/>
          <w:color w:val="auto"/>
          <w:sz w:val="24"/>
          <w:highlight w:val="none"/>
          <w:lang w:val="en-US" w:eastAsia="zh-CN"/>
        </w:rPr>
        <w:t>下载</w:t>
      </w:r>
      <w:r>
        <w:rPr>
          <w:rFonts w:hint="eastAsia" w:ascii="宋体" w:hAnsi="宋体"/>
          <w:color w:val="auto"/>
          <w:sz w:val="24"/>
          <w:highlight w:val="none"/>
        </w:rPr>
        <w:t>招标文件后的第二日，由投标单位的基本账户转至皮山县政府采购办指定账户，保证金截至时</w:t>
      </w:r>
      <w:r>
        <w:rPr>
          <w:rFonts w:hint="eastAsia" w:ascii="宋体" w:hAnsi="宋体"/>
          <w:color w:val="000000" w:themeColor="text1"/>
          <w:sz w:val="24"/>
          <w:highlight w:val="none"/>
          <w14:textFill>
            <w14:solidFill>
              <w14:schemeClr w14:val="tx1"/>
            </w14:solidFill>
          </w14:textFill>
        </w:rPr>
        <w:t>间为</w:t>
      </w:r>
      <w:r>
        <w:rPr>
          <w:rFonts w:hint="eastAsia" w:ascii="宋体" w:hAnsi="宋体"/>
          <w:color w:val="000000" w:themeColor="text1"/>
          <w:sz w:val="24"/>
          <w:highlight w:val="none"/>
          <w:lang w:eastAsia="zh-CN"/>
          <w14:textFill>
            <w14:solidFill>
              <w14:schemeClr w14:val="tx1"/>
            </w14:solidFill>
          </w14:textFill>
        </w:rPr>
        <w:t>2020年05月17日20:00（（北京时间）</w:t>
      </w:r>
    </w:p>
    <w:p>
      <w:pPr>
        <w:spacing w:line="360" w:lineRule="auto"/>
        <w:rPr>
          <w:rFonts w:ascii="宋体"/>
          <w:color w:val="auto"/>
          <w:sz w:val="24"/>
          <w:highlight w:val="none"/>
        </w:rPr>
      </w:pPr>
      <w:r>
        <w:rPr>
          <w:rFonts w:ascii="宋体" w:hAnsi="宋体"/>
          <w:color w:val="auto"/>
          <w:sz w:val="24"/>
          <w:highlight w:val="none"/>
        </w:rPr>
        <w:t>5.2</w:t>
      </w:r>
      <w:r>
        <w:rPr>
          <w:rFonts w:ascii="宋体" w:hAnsi="宋体"/>
          <w:color w:val="auto"/>
          <w:sz w:val="24"/>
          <w:highlight w:val="none"/>
        </w:rPr>
        <w:tab/>
      </w:r>
      <w:r>
        <w:rPr>
          <w:rFonts w:hint="eastAsia" w:ascii="宋体" w:hAnsi="宋体"/>
          <w:color w:val="auto"/>
          <w:sz w:val="24"/>
          <w:highlight w:val="none"/>
        </w:rPr>
        <w:t>招标人不接受非银行款项以外的有价证券抵押、货物抵押、存单抵押、往来款项抵押等形式作为投标保证金；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5.3</w:t>
      </w:r>
      <w:r>
        <w:rPr>
          <w:rFonts w:ascii="宋体"/>
          <w:color w:val="auto"/>
          <w:sz w:val="24"/>
          <w:highlight w:val="none"/>
        </w:rPr>
        <w:tab/>
      </w:r>
      <w:r>
        <w:rPr>
          <w:rFonts w:hint="eastAsia" w:ascii="宋体" w:hAnsi="宋体"/>
          <w:color w:val="auto"/>
          <w:sz w:val="24"/>
          <w:szCs w:val="20"/>
          <w:highlight w:val="none"/>
        </w:rPr>
        <w:t>联合体投标的，可以由联合体中的一方或者共同提交投标保证金，以一方名义提交投标保证金的，对联合体各方均具有约束力。</w:t>
      </w:r>
      <w:r>
        <w:rPr>
          <w:rFonts w:ascii="宋体" w:hAnsi="宋体"/>
          <w:color w:val="auto"/>
          <w:sz w:val="24"/>
          <w:highlight w:val="none"/>
        </w:rPr>
        <w:t xml:space="preserve"> </w:t>
      </w:r>
    </w:p>
    <w:p>
      <w:pPr>
        <w:spacing w:line="360" w:lineRule="auto"/>
        <w:ind w:left="714" w:leftChars="1" w:hanging="712" w:hangingChars="297"/>
        <w:rPr>
          <w:rFonts w:hint="eastAsia" w:ascii="宋体" w:eastAsia="宋体"/>
          <w:color w:val="auto"/>
          <w:sz w:val="24"/>
          <w:highlight w:val="none"/>
          <w:lang w:eastAsia="zh-CN"/>
        </w:rPr>
      </w:pPr>
      <w:r>
        <w:rPr>
          <w:rFonts w:ascii="宋体" w:hAnsi="宋体"/>
          <w:color w:val="auto"/>
          <w:sz w:val="24"/>
          <w:highlight w:val="none"/>
        </w:rPr>
        <w:t>5.4</w:t>
      </w:r>
      <w:r>
        <w:rPr>
          <w:rFonts w:ascii="宋体"/>
          <w:color w:val="auto"/>
          <w:sz w:val="24"/>
          <w:highlight w:val="none"/>
        </w:rPr>
        <w:tab/>
      </w:r>
      <w:r>
        <w:rPr>
          <w:rFonts w:hint="eastAsia" w:ascii="宋体" w:hAnsi="宋体"/>
          <w:color w:val="auto"/>
          <w:sz w:val="24"/>
          <w:highlight w:val="none"/>
        </w:rPr>
        <w:t>中标人的投标保证金，在签订采购合同后，</w:t>
      </w:r>
      <w:r>
        <w:rPr>
          <w:rFonts w:hint="eastAsia" w:ascii="宋体" w:hAnsi="宋体"/>
          <w:color w:val="auto"/>
          <w:sz w:val="24"/>
          <w:highlight w:val="none"/>
          <w:lang w:val="en-US" w:eastAsia="zh-CN"/>
        </w:rPr>
        <w:t>7</w:t>
      </w:r>
      <w:r>
        <w:rPr>
          <w:rFonts w:hint="eastAsia" w:ascii="宋体" w:hAnsi="宋体"/>
          <w:color w:val="auto"/>
          <w:sz w:val="24"/>
          <w:highlight w:val="none"/>
        </w:rPr>
        <w:t>个工作日内无息退还</w:t>
      </w:r>
      <w:r>
        <w:rPr>
          <w:rFonts w:hint="eastAsia" w:ascii="宋体" w:hAnsi="宋体"/>
          <w:color w:val="auto"/>
          <w:sz w:val="24"/>
          <w:highlight w:val="none"/>
          <w:lang w:eastAsia="zh-CN"/>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投标有效期</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auto"/>
          <w:sz w:val="24"/>
          <w:highlight w:val="none"/>
        </w:rPr>
        <w:t>6.1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从投标截止起，投标报价的有效期为</w:t>
      </w:r>
      <w:r>
        <w:rPr>
          <w:rFonts w:hint="eastAsia" w:ascii="宋体" w:hAnsi="宋体"/>
          <w:color w:val="000000" w:themeColor="text1"/>
          <w:sz w:val="24"/>
          <w:highlight w:val="none"/>
          <w:lang w:val="en-US" w:eastAsia="zh-CN"/>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6.2</w:t>
      </w:r>
      <w:r>
        <w:rPr>
          <w:rFonts w:ascii="宋体" w:hAnsi="宋体"/>
          <w:color w:val="auto"/>
          <w:sz w:val="24"/>
          <w:highlight w:val="none"/>
        </w:rPr>
        <w:tab/>
      </w:r>
      <w:r>
        <w:rPr>
          <w:rFonts w:hint="eastAsia" w:ascii="宋体" w:hAnsi="宋体"/>
          <w:color w:val="auto"/>
          <w:sz w:val="24"/>
          <w:highlight w:val="none"/>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招标文件的澄清</w:t>
      </w:r>
    </w:p>
    <w:p>
      <w:pPr>
        <w:spacing w:line="360" w:lineRule="auto"/>
        <w:ind w:left="714" w:leftChars="1" w:hanging="712" w:hangingChars="297"/>
        <w:rPr>
          <w:rFonts w:ascii="宋体"/>
          <w:b/>
          <w:bCs/>
          <w:color w:val="auto"/>
          <w:sz w:val="24"/>
          <w:highlight w:val="none"/>
        </w:rPr>
      </w:pPr>
      <w:r>
        <w:rPr>
          <w:rFonts w:ascii="宋体" w:hAnsi="宋体"/>
          <w:color w:val="auto"/>
          <w:sz w:val="24"/>
          <w:highlight w:val="none"/>
        </w:rPr>
        <w:t>7.1</w:t>
      </w:r>
      <w:r>
        <w:rPr>
          <w:rFonts w:ascii="宋体" w:hAnsi="宋体"/>
          <w:color w:val="auto"/>
          <w:sz w:val="24"/>
          <w:highlight w:val="none"/>
        </w:rPr>
        <w:tab/>
      </w:r>
      <w:r>
        <w:rPr>
          <w:rFonts w:hint="eastAsia" w:ascii="宋体" w:hAnsi="宋体"/>
          <w:color w:val="auto"/>
          <w:sz w:val="24"/>
          <w:highlight w:val="none"/>
        </w:rPr>
        <w:t>澄清是指招标人对招标文件中的遗漏、词义表述不清或对比较复杂的事项进行说明；</w:t>
      </w:r>
    </w:p>
    <w:p>
      <w:pPr>
        <w:shd w:val="clear" w:fill="FFFFFF" w:themeFill="background1"/>
        <w:spacing w:line="360" w:lineRule="auto"/>
        <w:ind w:left="714" w:leftChars="1" w:hanging="712" w:hangingChars="297"/>
        <w:rPr>
          <w:rFonts w:ascii="宋体"/>
          <w:color w:val="auto"/>
          <w:sz w:val="24"/>
          <w:highlight w:val="none"/>
        </w:rPr>
      </w:pPr>
      <w:r>
        <w:rPr>
          <w:rFonts w:ascii="宋体" w:hAnsi="宋体"/>
          <w:color w:val="auto"/>
          <w:sz w:val="24"/>
          <w:highlight w:val="none"/>
        </w:rPr>
        <w:t>7.2</w:t>
      </w:r>
      <w:r>
        <w:rPr>
          <w:rFonts w:ascii="宋体" w:hAnsi="宋体"/>
          <w:color w:val="auto"/>
          <w:sz w:val="24"/>
          <w:highlight w:val="none"/>
        </w:rPr>
        <w:tab/>
      </w:r>
      <w:r>
        <w:rPr>
          <w:rFonts w:hint="eastAsia" w:ascii="宋体" w:hAnsi="宋体"/>
          <w:color w:val="000000" w:themeColor="text1"/>
          <w:sz w:val="24"/>
          <w:highlight w:val="none"/>
          <w14:textFill>
            <w14:solidFill>
              <w14:schemeClr w14:val="tx1"/>
            </w14:solidFill>
          </w14:textFill>
        </w:rPr>
        <w:t>投标人对招标文件如有疑点，可要求澄清。如对招标文件内容有质疑，投标人应在投标截止10</w:t>
      </w:r>
      <w:r>
        <w:rPr>
          <w:rFonts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前按招标文件中载明的邮箱：</w:t>
      </w:r>
      <w:r>
        <w:rPr>
          <w:rFonts w:hint="eastAsia" w:ascii="宋体" w:hAnsi="宋体"/>
          <w:color w:val="000000" w:themeColor="text1"/>
          <w:sz w:val="24"/>
          <w:highlight w:val="none"/>
          <w:lang w:val="en-US" w:eastAsia="zh-CN"/>
          <w14:textFill>
            <w14:solidFill>
              <w14:schemeClr w14:val="tx1"/>
            </w14:solidFill>
          </w14:textFill>
        </w:rPr>
        <w:t>563093851@qq.com</w:t>
      </w:r>
      <w:r>
        <w:rPr>
          <w:rFonts w:hint="eastAsia" w:ascii="宋体" w:hAnsi="宋体"/>
          <w:color w:val="000000" w:themeColor="text1"/>
          <w:sz w:val="24"/>
          <w:highlight w:val="none"/>
          <w14:textFill>
            <w14:solidFill>
              <w14:schemeClr w14:val="tx1"/>
            </w14:solidFill>
          </w14:textFill>
        </w:rPr>
        <w:t>地址，以</w:t>
      </w:r>
      <w:r>
        <w:rPr>
          <w:rFonts w:hint="eastAsia" w:ascii="宋体" w:hAnsi="宋体"/>
          <w:color w:val="000000" w:themeColor="text1"/>
          <w:sz w:val="24"/>
          <w:highlight w:val="none"/>
          <w:lang w:val="en-US" w:eastAsia="zh-CN"/>
          <w14:textFill>
            <w14:solidFill>
              <w14:schemeClr w14:val="tx1"/>
            </w14:solidFill>
          </w14:textFill>
        </w:rPr>
        <w:t>PDF电子件</w:t>
      </w:r>
      <w:r>
        <w:rPr>
          <w:rFonts w:hint="eastAsia" w:ascii="宋体" w:hAnsi="宋体"/>
          <w:color w:val="000000" w:themeColor="text1"/>
          <w:sz w:val="24"/>
          <w:highlight w:val="none"/>
          <w14:textFill>
            <w14:solidFill>
              <w14:schemeClr w14:val="tx1"/>
            </w14:solidFill>
          </w14:textFill>
        </w:rPr>
        <w:t>形式通知招标人。招标人认为必要时，将（澄清）修改后的公告发布在新疆政府采购网，敬请投标企业及时关注。</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招标文件的修改</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8.1</w:t>
      </w:r>
      <w:r>
        <w:rPr>
          <w:rFonts w:ascii="宋体" w:hAnsi="宋体"/>
          <w:b w:val="0"/>
          <w:bCs w:val="0"/>
          <w:color w:val="auto"/>
          <w:sz w:val="24"/>
          <w:highlight w:val="none"/>
        </w:rPr>
        <w:tab/>
      </w:r>
      <w:r>
        <w:rPr>
          <w:rFonts w:hint="eastAsia" w:ascii="宋体" w:hAnsi="宋体"/>
          <w:b w:val="0"/>
          <w:bCs w:val="0"/>
          <w:color w:val="auto"/>
          <w:sz w:val="24"/>
          <w:highlight w:val="none"/>
        </w:rPr>
        <w:t>在投标截止前，招标人可主动地或在解答投标人提出的澄清问题时对招标文件进行修改；</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8.2</w:t>
      </w:r>
      <w:r>
        <w:rPr>
          <w:rFonts w:ascii="宋体" w:hAnsi="宋体"/>
          <w:b w:val="0"/>
          <w:bCs w:val="0"/>
          <w:color w:val="auto"/>
          <w:sz w:val="24"/>
          <w:highlight w:val="none"/>
        </w:rPr>
        <w:tab/>
      </w:r>
      <w:r>
        <w:rPr>
          <w:rFonts w:hint="eastAsia" w:ascii="宋体" w:hAnsi="宋体"/>
          <w:b w:val="0"/>
          <w:bCs w:val="0"/>
          <w:color w:val="auto"/>
          <w:sz w:val="24"/>
          <w:highlight w:val="none"/>
        </w:rPr>
        <w:t>招标文件的修改内容称为修改文件，是招标文件的组成部分。如有修改文件，招标人应当在提交投标文件截止时间十五日前，在新疆政府采购网</w:t>
      </w:r>
      <w:r>
        <w:rPr>
          <w:rFonts w:hint="eastAsia" w:ascii="宋体" w:hAnsi="宋体"/>
          <w:b w:val="0"/>
          <w:bCs w:val="0"/>
          <w:color w:val="auto"/>
          <w:sz w:val="24"/>
          <w:highlight w:val="none"/>
          <w:lang w:eastAsia="zh-CN"/>
        </w:rPr>
        <w:t>上</w:t>
      </w:r>
      <w:r>
        <w:rPr>
          <w:rFonts w:hint="eastAsia" w:ascii="宋体" w:hAnsi="宋体"/>
          <w:b w:val="0"/>
          <w:bCs w:val="0"/>
          <w:color w:val="auto"/>
          <w:sz w:val="24"/>
          <w:highlight w:val="none"/>
        </w:rPr>
        <w:t>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8.3</w:t>
      </w:r>
      <w:r>
        <w:rPr>
          <w:rFonts w:ascii="宋体" w:hAnsi="宋体"/>
          <w:b w:val="0"/>
          <w:bCs w:val="0"/>
          <w:color w:val="auto"/>
          <w:sz w:val="24"/>
          <w:highlight w:val="none"/>
        </w:rPr>
        <w:tab/>
      </w:r>
      <w:r>
        <w:rPr>
          <w:rFonts w:hint="eastAsia" w:ascii="宋体" w:hAnsi="宋体"/>
          <w:b w:val="0"/>
          <w:bCs w:val="0"/>
          <w:color w:val="auto"/>
          <w:sz w:val="24"/>
          <w:highlight w:val="none"/>
        </w:rPr>
        <w:t>为使投标人有充分时间对招标文件进行研究，招标人可酌情延长投标截止日期，但至少应当在提交投标文件的截止时间三日前，将变更时间书面通知所有招标文件收受人，并在新疆政府采购网</w:t>
      </w:r>
      <w:r>
        <w:rPr>
          <w:rFonts w:hint="eastAsia" w:ascii="宋体" w:hAnsi="宋体"/>
          <w:b w:val="0"/>
          <w:bCs w:val="0"/>
          <w:color w:val="auto"/>
          <w:sz w:val="24"/>
          <w:highlight w:val="none"/>
          <w:lang w:eastAsia="zh-CN"/>
        </w:rPr>
        <w:t>上</w:t>
      </w:r>
      <w:r>
        <w:rPr>
          <w:rFonts w:hint="eastAsia" w:ascii="宋体" w:hAnsi="宋体"/>
          <w:b w:val="0"/>
          <w:bCs w:val="0"/>
          <w:color w:val="auto"/>
          <w:sz w:val="24"/>
          <w:highlight w:val="none"/>
        </w:rPr>
        <w:t>发布变更公告。</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投标费用</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9.1</w:t>
      </w:r>
      <w:r>
        <w:rPr>
          <w:rFonts w:ascii="宋体" w:hAnsi="宋体"/>
          <w:color w:val="auto"/>
          <w:sz w:val="24"/>
          <w:highlight w:val="none"/>
        </w:rPr>
        <w:tab/>
      </w:r>
      <w:r>
        <w:rPr>
          <w:rFonts w:hint="eastAsia" w:ascii="宋体" w:hAnsi="宋体"/>
          <w:color w:val="auto"/>
          <w:sz w:val="24"/>
          <w:highlight w:val="none"/>
        </w:rPr>
        <w:t>投标人参加投标，无论投标结果如何，投标人自行承担所有与投标有关的全部费用</w:t>
      </w:r>
    </w:p>
    <w:p>
      <w:pPr>
        <w:spacing w:line="360" w:lineRule="auto"/>
        <w:rPr>
          <w:rFonts w:hint="eastAsia"/>
          <w:color w:val="auto"/>
          <w:sz w:val="24"/>
          <w:highlight w:val="none"/>
        </w:rPr>
      </w:pPr>
      <w:r>
        <w:rPr>
          <w:rFonts w:ascii="宋体" w:hAnsi="宋体"/>
          <w:color w:val="auto"/>
          <w:sz w:val="24"/>
          <w:highlight w:val="none"/>
        </w:rPr>
        <w:t xml:space="preserve">9.2   </w:t>
      </w:r>
      <w:r>
        <w:rPr>
          <w:rFonts w:hint="eastAsia" w:ascii="宋体" w:hAnsi="宋体"/>
          <w:color w:val="auto"/>
          <w:sz w:val="24"/>
          <w:highlight w:val="none"/>
        </w:rPr>
        <w:t>本项目招标文件</w:t>
      </w:r>
      <w:r>
        <w:rPr>
          <w:rFonts w:hint="eastAsia"/>
          <w:color w:val="auto"/>
          <w:sz w:val="24"/>
          <w:highlight w:val="none"/>
        </w:rPr>
        <w:t>每份售价人民币</w:t>
      </w:r>
      <w:r>
        <w:rPr>
          <w:color w:val="auto"/>
          <w:sz w:val="24"/>
          <w:highlight w:val="none"/>
        </w:rPr>
        <w:t>200.00</w:t>
      </w:r>
      <w:r>
        <w:rPr>
          <w:rFonts w:hint="eastAsia"/>
          <w:color w:val="auto"/>
          <w:sz w:val="24"/>
          <w:highlight w:val="none"/>
        </w:rPr>
        <w:t>元</w:t>
      </w:r>
      <w:r>
        <w:rPr>
          <w:rFonts w:hint="eastAsia"/>
          <w:color w:val="auto"/>
          <w:sz w:val="24"/>
          <w:highlight w:val="none"/>
          <w:lang w:val="en-US" w:eastAsia="zh-CN"/>
        </w:rPr>
        <w:t xml:space="preserve">/份 </w:t>
      </w:r>
      <w:r>
        <w:rPr>
          <w:rFonts w:hint="eastAsia"/>
          <w:color w:val="auto"/>
          <w:sz w:val="24"/>
          <w:highlight w:val="none"/>
        </w:rPr>
        <w:t>（贰佰元整）</w:t>
      </w:r>
      <w:r>
        <w:rPr>
          <w:rFonts w:hint="eastAsia"/>
          <w:color w:val="auto"/>
          <w:sz w:val="24"/>
          <w:highlight w:val="none"/>
          <w:lang w:eastAsia="zh-CN"/>
        </w:rPr>
        <w:t>（</w:t>
      </w:r>
      <w:r>
        <w:rPr>
          <w:rFonts w:hint="eastAsia"/>
          <w:color w:val="auto"/>
          <w:sz w:val="24"/>
          <w:highlight w:val="none"/>
          <w:lang w:val="en-US" w:eastAsia="zh-CN"/>
        </w:rPr>
        <w:t>开标现场缴纳招标文件费</w:t>
      </w:r>
      <w:r>
        <w:rPr>
          <w:rFonts w:hint="eastAsia"/>
          <w:color w:val="auto"/>
          <w:sz w:val="24"/>
          <w:highlight w:val="none"/>
          <w:lang w:eastAsia="zh-CN"/>
        </w:rPr>
        <w:t>）</w:t>
      </w:r>
      <w:r>
        <w:rPr>
          <w:rFonts w:hint="eastAsia"/>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9.3  </w:t>
      </w:r>
      <w:r>
        <w:rPr>
          <w:rFonts w:hint="eastAsia" w:ascii="宋体" w:hAnsi="宋体"/>
          <w:color w:val="auto"/>
          <w:sz w:val="24"/>
          <w:highlight w:val="none"/>
        </w:rPr>
        <w:t>本项目招标代理费</w:t>
      </w:r>
      <w:r>
        <w:rPr>
          <w:rFonts w:hint="eastAsia" w:ascii="宋体" w:hAnsi="宋体"/>
          <w:color w:val="auto"/>
          <w:sz w:val="24"/>
          <w:highlight w:val="none"/>
          <w:lang w:val="en-US" w:eastAsia="zh-CN"/>
        </w:rPr>
        <w:t>与采购人签订合同约定</w:t>
      </w:r>
      <w:r>
        <w:rPr>
          <w:rFonts w:hint="eastAsia" w:ascii="宋体" w:hAnsi="宋体"/>
          <w:color w:val="auto"/>
          <w:sz w:val="24"/>
          <w:highlight w:val="none"/>
        </w:rPr>
        <w:t>。</w:t>
      </w:r>
    </w:p>
    <w:p>
      <w:pPr>
        <w:spacing w:line="360" w:lineRule="auto"/>
        <w:ind w:left="482" w:leftChars="1" w:hanging="480" w:hanging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应</w:t>
      </w:r>
      <w:r>
        <w:rPr>
          <w:rFonts w:hint="eastAsia" w:ascii="宋体" w:hAnsi="宋体"/>
          <w:color w:val="auto"/>
          <w:sz w:val="24"/>
          <w:highlight w:val="none"/>
          <w:lang w:val="en-US" w:eastAsia="zh-CN"/>
        </w:rPr>
        <w:t>招</w:t>
      </w:r>
      <w:r>
        <w:rPr>
          <w:rFonts w:hint="eastAsia" w:ascii="宋体" w:hAnsi="宋体"/>
          <w:color w:val="auto"/>
          <w:sz w:val="24"/>
          <w:highlight w:val="none"/>
        </w:rPr>
        <w:t>标人要求不组织踏勘项目现场。</w:t>
      </w:r>
    </w:p>
    <w:p>
      <w:pPr>
        <w:numPr>
          <w:ilvl w:val="0"/>
          <w:numId w:val="0"/>
        </w:numPr>
        <w:spacing w:line="360" w:lineRule="auto"/>
        <w:ind w:left="723" w:leftChars="0" w:hanging="723" w:hangingChars="300"/>
        <w:jc w:val="left"/>
        <w:rPr>
          <w:rFonts w:asci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lang w:val="en-US" w:eastAsia="zh-CN"/>
        </w:rPr>
        <w:t xml:space="preserve">5  </w:t>
      </w:r>
      <w:r>
        <w:rPr>
          <w:rFonts w:hint="eastAsia" w:ascii="宋体" w:hAnsi="宋体"/>
          <w:b/>
          <w:color w:val="auto"/>
          <w:sz w:val="24"/>
          <w:highlight w:val="none"/>
        </w:rPr>
        <w:t>本项目采购概算价为：</w:t>
      </w:r>
      <w:r>
        <w:rPr>
          <w:rFonts w:hint="eastAsia" w:ascii="宋体" w:hAnsi="宋体"/>
          <w:b/>
          <w:color w:val="auto"/>
          <w:sz w:val="24"/>
          <w:highlight w:val="none"/>
          <w:lang w:val="en-US" w:eastAsia="zh-CN"/>
        </w:rPr>
        <w:t>874.43万元</w:t>
      </w:r>
      <w:r>
        <w:rPr>
          <w:rFonts w:hint="eastAsia" w:ascii="宋体" w:hAnsi="宋体"/>
          <w:b/>
          <w:color w:val="auto"/>
          <w:sz w:val="24"/>
          <w:highlight w:val="none"/>
          <w:lang w:eastAsia="zh-CN"/>
        </w:rPr>
        <w:t>，</w:t>
      </w:r>
      <w:r>
        <w:rPr>
          <w:rFonts w:hint="eastAsia" w:ascii="宋体" w:hAnsi="宋体"/>
          <w:b/>
          <w:color w:val="auto"/>
          <w:sz w:val="24"/>
          <w:highlight w:val="none"/>
        </w:rPr>
        <w:t>投标人投标报价超出此采购概算价废标处理。</w:t>
      </w:r>
      <w:r>
        <w:rPr>
          <w:rFonts w:ascii="宋体" w:hAnsi="宋体"/>
          <w:b/>
          <w:color w:val="auto"/>
          <w:sz w:val="24"/>
          <w:highlight w:val="none"/>
        </w:rPr>
        <w:br w:type="page"/>
      </w:r>
      <w:r>
        <w:rPr>
          <w:rFonts w:hint="eastAsia" w:ascii="宋体" w:hAnsi="宋体"/>
          <w:b/>
          <w:color w:val="auto"/>
          <w:sz w:val="24"/>
          <w:highlight w:val="none"/>
          <w:lang w:val="en-US" w:eastAsia="zh-CN"/>
        </w:rPr>
        <w:t xml:space="preserve">               </w:t>
      </w:r>
      <w:r>
        <w:rPr>
          <w:rFonts w:ascii="宋体" w:hAnsi="宋体"/>
          <w:b/>
          <w:color w:val="auto"/>
          <w:sz w:val="24"/>
          <w:highlight w:val="none"/>
        </w:rPr>
        <w:t xml:space="preserve">B   </w:t>
      </w:r>
      <w:r>
        <w:rPr>
          <w:rFonts w:hint="eastAsia" w:ascii="宋体" w:hAnsi="宋体"/>
          <w:b/>
          <w:color w:val="auto"/>
          <w:sz w:val="24"/>
          <w:highlight w:val="none"/>
        </w:rPr>
        <w:t>投标文件的编写</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一般要求</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10.1</w:t>
      </w:r>
      <w:r>
        <w:rPr>
          <w:rFonts w:ascii="宋体" w:hAnsi="宋体"/>
          <w:b w:val="0"/>
          <w:bCs w:val="0"/>
          <w:color w:val="auto"/>
          <w:sz w:val="24"/>
          <w:highlight w:val="none"/>
        </w:rPr>
        <w:tab/>
      </w:r>
      <w:r>
        <w:rPr>
          <w:rFonts w:hint="eastAsia" w:ascii="宋体" w:hAnsi="宋体"/>
          <w:b w:val="0"/>
          <w:bCs w:val="0"/>
          <w:color w:val="auto"/>
          <w:sz w:val="24"/>
          <w:highlight w:val="none"/>
        </w:rPr>
        <w:t>投标人应仔细阅读招标文件的所有内容，按招标文件的要求提供投标文件，并保证所提供的全部资料真实有效；</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10.2</w:t>
      </w:r>
      <w:r>
        <w:rPr>
          <w:rFonts w:ascii="宋体" w:hAnsi="宋体"/>
          <w:b w:val="0"/>
          <w:bCs w:val="0"/>
          <w:color w:val="auto"/>
          <w:sz w:val="24"/>
          <w:highlight w:val="none"/>
        </w:rPr>
        <w:tab/>
      </w:r>
      <w:r>
        <w:rPr>
          <w:rFonts w:hint="eastAsia" w:ascii="宋体" w:hAnsi="宋体"/>
          <w:b w:val="0"/>
          <w:bCs w:val="0"/>
          <w:color w:val="auto"/>
          <w:sz w:val="24"/>
          <w:highlight w:val="none"/>
        </w:rPr>
        <w:t>投标文件的语言文字为中文汉字，外语或少数民族文字，必须译成中文汉字；</w:t>
      </w:r>
    </w:p>
    <w:p>
      <w:pPr>
        <w:spacing w:line="360" w:lineRule="auto"/>
        <w:ind w:left="714" w:leftChars="1" w:hanging="712" w:hangingChars="297"/>
        <w:rPr>
          <w:rFonts w:ascii="宋体" w:hAnsi="宋体"/>
          <w:b w:val="0"/>
          <w:bCs w:val="0"/>
          <w:color w:val="auto"/>
          <w:sz w:val="24"/>
          <w:highlight w:val="none"/>
        </w:rPr>
      </w:pPr>
      <w:r>
        <w:rPr>
          <w:rFonts w:ascii="宋体" w:hAnsi="宋体"/>
          <w:b w:val="0"/>
          <w:bCs w:val="0"/>
          <w:color w:val="auto"/>
          <w:sz w:val="24"/>
          <w:highlight w:val="none"/>
        </w:rPr>
        <w:t>10.3</w:t>
      </w:r>
      <w:r>
        <w:rPr>
          <w:rFonts w:ascii="宋体" w:hAnsi="宋体"/>
          <w:b w:val="0"/>
          <w:bCs w:val="0"/>
          <w:color w:val="auto"/>
          <w:sz w:val="24"/>
          <w:highlight w:val="none"/>
        </w:rPr>
        <w:tab/>
      </w:r>
      <w:r>
        <w:rPr>
          <w:rFonts w:hint="eastAsia" w:ascii="宋体" w:hAnsi="宋体"/>
          <w:b w:val="0"/>
          <w:bCs w:val="0"/>
          <w:color w:val="auto"/>
          <w:sz w:val="24"/>
          <w:highlight w:val="none"/>
        </w:rPr>
        <w:t>投标文件的书面内容不得有模糊不清、加行、涂抹或改写；</w:t>
      </w:r>
    </w:p>
    <w:p>
      <w:pPr>
        <w:spacing w:line="360" w:lineRule="auto"/>
        <w:ind w:left="714" w:leftChars="1" w:hanging="712" w:hangingChars="297"/>
        <w:rPr>
          <w:rFonts w:hint="eastAsia" w:ascii="宋体" w:hAnsi="宋体"/>
          <w:b w:val="0"/>
          <w:bCs w:val="0"/>
          <w:color w:val="auto"/>
          <w:sz w:val="24"/>
          <w:highlight w:val="none"/>
        </w:rPr>
      </w:pPr>
      <w:r>
        <w:rPr>
          <w:rFonts w:ascii="宋体" w:hAnsi="宋体"/>
          <w:b w:val="0"/>
          <w:bCs w:val="0"/>
          <w:color w:val="auto"/>
          <w:sz w:val="24"/>
          <w:highlight w:val="none"/>
        </w:rPr>
        <w:t>10.4</w:t>
      </w:r>
      <w:r>
        <w:rPr>
          <w:rFonts w:ascii="宋体" w:hAnsi="宋体"/>
          <w:b w:val="0"/>
          <w:bCs w:val="0"/>
          <w:color w:val="auto"/>
          <w:sz w:val="24"/>
          <w:highlight w:val="none"/>
        </w:rPr>
        <w:tab/>
      </w:r>
      <w:r>
        <w:rPr>
          <w:rFonts w:hint="eastAsia" w:ascii="宋体" w:hAnsi="宋体"/>
          <w:b w:val="0"/>
          <w:bCs w:val="0"/>
          <w:color w:val="auto"/>
          <w:sz w:val="24"/>
          <w:highlight w:val="none"/>
        </w:rPr>
        <w:t>投标文件纸质版一套（包括资格类文件和投标主要文件）：一式伍份（正本1份、副本</w:t>
      </w:r>
      <w:r>
        <w:rPr>
          <w:rFonts w:hint="eastAsia" w:ascii="宋体" w:hAnsi="宋体"/>
          <w:b w:val="0"/>
          <w:bCs w:val="0"/>
          <w:color w:val="auto"/>
          <w:sz w:val="24"/>
          <w:highlight w:val="none"/>
          <w:lang w:val="en-US" w:eastAsia="zh-CN"/>
        </w:rPr>
        <w:t>4</w:t>
      </w:r>
      <w:r>
        <w:rPr>
          <w:rFonts w:hint="eastAsia" w:ascii="宋体" w:hAnsi="宋体"/>
          <w:b w:val="0"/>
          <w:bCs w:val="0"/>
          <w:color w:val="auto"/>
          <w:sz w:val="24"/>
          <w:highlight w:val="none"/>
        </w:rPr>
        <w:t>份）电子版一套（与纸质版相一致）：U盘一份。</w:t>
      </w:r>
    </w:p>
    <w:p>
      <w:pPr>
        <w:spacing w:line="360" w:lineRule="auto"/>
        <w:ind w:left="718" w:leftChars="1" w:hanging="716" w:hangingChars="297"/>
        <w:rPr>
          <w:rFonts w:hint="eastAsia" w:ascii="宋体" w:hAnsi="宋体"/>
          <w:b w:val="0"/>
          <w:bCs w:val="0"/>
          <w:color w:val="auto"/>
          <w:sz w:val="24"/>
          <w:highlight w:val="none"/>
          <w:lang w:val="en-US" w:eastAsia="zh-CN"/>
        </w:rPr>
      </w:pPr>
      <w:r>
        <w:rPr>
          <w:rFonts w:ascii="宋体" w:hAnsi="宋体"/>
          <w:b/>
          <w:bCs/>
          <w:color w:val="auto"/>
          <w:sz w:val="24"/>
          <w:highlight w:val="none"/>
        </w:rPr>
        <w:t>11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val="0"/>
          <w:bCs w:val="0"/>
          <w:color w:val="auto"/>
          <w:sz w:val="24"/>
          <w:highlight w:val="none"/>
          <w:lang w:val="en-US" w:eastAsia="zh-CN"/>
        </w:rPr>
        <w:t>投标文件由以下部分构成</w:t>
      </w:r>
    </w:p>
    <w:p>
      <w:pPr>
        <w:spacing w:line="360" w:lineRule="auto"/>
        <w:ind w:left="714" w:leftChars="1" w:hanging="712" w:hangingChars="297"/>
        <w:rPr>
          <w:rFonts w:ascii="宋体"/>
          <w:b/>
          <w:color w:val="auto"/>
          <w:sz w:val="24"/>
          <w:highlight w:val="none"/>
        </w:rPr>
      </w:pPr>
      <w:r>
        <w:rPr>
          <w:rFonts w:hint="eastAsia" w:ascii="宋体" w:hAnsi="宋体"/>
          <w:color w:val="auto"/>
          <w:sz w:val="24"/>
          <w:highlight w:val="none"/>
        </w:rPr>
        <w:t>11.1</w:t>
      </w:r>
      <w:r>
        <w:rPr>
          <w:rFonts w:hint="eastAsia" w:ascii="宋体" w:hAnsi="宋体"/>
          <w:color w:val="auto"/>
          <w:sz w:val="24"/>
          <w:highlight w:val="none"/>
        </w:rPr>
        <w:tab/>
      </w:r>
      <w:r>
        <w:rPr>
          <w:rFonts w:hint="eastAsia" w:ascii="宋体" w:hAnsi="宋体"/>
          <w:color w:val="auto"/>
          <w:sz w:val="24"/>
          <w:highlight w:val="none"/>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签字盖章后</w:t>
      </w:r>
      <w:r>
        <w:rPr>
          <w:rFonts w:hint="eastAsia" w:ascii="宋体" w:hAnsi="宋体"/>
          <w:b/>
          <w:color w:val="auto"/>
          <w:sz w:val="24"/>
          <w:highlight w:val="none"/>
        </w:rPr>
        <w:t>，将投标文件采用</w:t>
      </w:r>
      <w:r>
        <w:rPr>
          <w:rFonts w:hint="eastAsia" w:ascii="宋体" w:hAnsi="宋体"/>
          <w:b/>
          <w:color w:val="auto"/>
          <w:sz w:val="24"/>
          <w:highlight w:val="none"/>
          <w:u w:val="single"/>
        </w:rPr>
        <w:t>死页胶装方式</w:t>
      </w:r>
      <w:r>
        <w:rPr>
          <w:rFonts w:hint="eastAsia" w:ascii="宋体" w:hAnsi="宋体"/>
          <w:b/>
          <w:color w:val="auto"/>
          <w:sz w:val="24"/>
          <w:highlight w:val="none"/>
        </w:rPr>
        <w:t>装订成册</w:t>
      </w:r>
      <w:r>
        <w:rPr>
          <w:rFonts w:ascii="宋体"/>
          <w:b/>
          <w:color w:val="auto"/>
          <w:sz w:val="24"/>
          <w:highlight w:val="none"/>
        </w:rPr>
        <w:t>,</w:t>
      </w:r>
      <w:r>
        <w:rPr>
          <w:rFonts w:hint="eastAsia" w:ascii="宋体" w:hAnsi="宋体"/>
          <w:b/>
          <w:color w:val="auto"/>
          <w:sz w:val="24"/>
          <w:highlight w:val="none"/>
        </w:rPr>
        <w:t>装订应牢固、不易拆散和换页，不得采用活页装订，否则按无效标处理。</w:t>
      </w:r>
    </w:p>
    <w:p>
      <w:pPr>
        <w:spacing w:line="360" w:lineRule="auto"/>
        <w:ind w:left="718" w:leftChars="1" w:hanging="716" w:hangingChars="297"/>
        <w:rPr>
          <w:rFonts w:ascii="宋体"/>
          <w:b/>
          <w:color w:val="auto"/>
          <w:sz w:val="24"/>
          <w:highlight w:val="none"/>
        </w:rPr>
      </w:pP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报价</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12.1</w:t>
      </w:r>
      <w:r>
        <w:rPr>
          <w:rFonts w:ascii="宋体" w:hAnsi="宋体"/>
          <w:color w:val="auto"/>
          <w:sz w:val="24"/>
          <w:highlight w:val="none"/>
        </w:rPr>
        <w:tab/>
      </w:r>
      <w:r>
        <w:rPr>
          <w:rFonts w:hint="eastAsia" w:ascii="宋体" w:hAnsi="宋体"/>
          <w:color w:val="auto"/>
          <w:sz w:val="24"/>
          <w:highlight w:val="none"/>
        </w:rPr>
        <w:t>除招标文件中另有规定外，计量单位为我国法定计量单位；</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12.2</w:t>
      </w:r>
      <w:r>
        <w:rPr>
          <w:rFonts w:ascii="宋体" w:hAnsi="宋体"/>
          <w:color w:val="auto"/>
          <w:sz w:val="24"/>
          <w:highlight w:val="none"/>
        </w:rPr>
        <w:tab/>
      </w:r>
      <w:r>
        <w:rPr>
          <w:rFonts w:hint="eastAsia" w:ascii="宋体" w:hAnsi="宋体"/>
          <w:color w:val="auto"/>
          <w:sz w:val="24"/>
          <w:highlight w:val="none"/>
        </w:rPr>
        <w:t>投标报价、货款一律使用人民币，以“元”为单位；</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auto"/>
          <w:sz w:val="24"/>
          <w:highlight w:val="none"/>
        </w:rPr>
        <w:t>12.3</w:t>
      </w:r>
      <w:r>
        <w:rPr>
          <w:rFonts w:ascii="宋体" w:hAnsi="宋体"/>
          <w:color w:val="auto"/>
          <w:sz w:val="24"/>
          <w:highlight w:val="none"/>
        </w:rPr>
        <w:tab/>
      </w:r>
      <w:r>
        <w:rPr>
          <w:rFonts w:hint="eastAsia" w:ascii="宋体" w:hAnsi="宋体"/>
          <w:b/>
          <w:color w:val="auto"/>
          <w:sz w:val="24"/>
          <w:highlight w:val="none"/>
        </w:rPr>
        <w:t>投标报价</w:t>
      </w:r>
      <w:r>
        <w:rPr>
          <w:rFonts w:hint="eastAsia" w:ascii="宋体" w:hAnsi="宋体"/>
          <w:color w:val="000000" w:themeColor="text1"/>
          <w:sz w:val="24"/>
          <w:highlight w:val="none"/>
          <w14:textFill>
            <w14:solidFill>
              <w14:schemeClr w14:val="tx1"/>
            </w14:solidFill>
          </w14:textFill>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12.4</w:t>
      </w:r>
      <w:r>
        <w:rPr>
          <w:rFonts w:ascii="宋体" w:hAnsi="宋体"/>
          <w:color w:val="auto"/>
          <w:sz w:val="24"/>
          <w:highlight w:val="none"/>
        </w:rPr>
        <w:tab/>
      </w:r>
      <w:r>
        <w:rPr>
          <w:rFonts w:hint="eastAsia" w:ascii="宋体" w:hAnsi="宋体"/>
          <w:b/>
          <w:bCs/>
          <w:color w:val="auto"/>
          <w:sz w:val="24"/>
          <w:highlight w:val="none"/>
        </w:rPr>
        <w:t>投标人对每一标的只允许有一个报价</w:t>
      </w:r>
      <w:r>
        <w:rPr>
          <w:rFonts w:hint="eastAsia" w:ascii="宋体" w:hAnsi="宋体"/>
          <w:color w:val="auto"/>
          <w:sz w:val="24"/>
          <w:highlight w:val="none"/>
        </w:rPr>
        <w:t>，如有优惠折扣等，即在投标承诺书中注明，并做到投标承诺书的总价与投标报价表中的总价一致；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12.5</w:t>
      </w:r>
      <w:r>
        <w:rPr>
          <w:rFonts w:ascii="宋体" w:hAnsi="宋体"/>
          <w:color w:val="auto"/>
          <w:sz w:val="24"/>
          <w:highlight w:val="none"/>
        </w:rPr>
        <w:tab/>
      </w:r>
      <w:r>
        <w:rPr>
          <w:rFonts w:hint="eastAsia" w:ascii="宋体" w:hAnsi="宋体"/>
          <w:color w:val="auto"/>
          <w:sz w:val="24"/>
          <w:highlight w:val="none"/>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投标文件的签署及规定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13.1</w:t>
      </w:r>
      <w:r>
        <w:rPr>
          <w:rFonts w:ascii="宋体" w:hAnsi="宋体"/>
          <w:color w:val="auto"/>
          <w:sz w:val="24"/>
          <w:highlight w:val="none"/>
        </w:rPr>
        <w:tab/>
      </w:r>
      <w:r>
        <w:rPr>
          <w:rFonts w:hint="eastAsia" w:ascii="宋体" w:hAnsi="宋体"/>
          <w:color w:val="auto"/>
          <w:sz w:val="24"/>
          <w:highlight w:val="none"/>
        </w:rPr>
        <w:t>投标人应印制投标文件</w:t>
      </w:r>
      <w:r>
        <w:rPr>
          <w:rFonts w:hint="eastAsia" w:ascii="宋体" w:hAnsi="宋体"/>
          <w:b/>
          <w:color w:val="auto"/>
          <w:sz w:val="24"/>
          <w:highlight w:val="none"/>
        </w:rPr>
        <w:t>正本壹份、副本肆份</w:t>
      </w:r>
      <w:r>
        <w:rPr>
          <w:rFonts w:hint="eastAsia" w:ascii="宋体" w:hAnsi="宋体"/>
          <w:color w:val="auto"/>
          <w:sz w:val="24"/>
          <w:highlight w:val="none"/>
        </w:rPr>
        <w:t>。每一份投标文件注明“正本”或“副本”字样。一旦正本与副本有差异，以正本为准。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13.2</w:t>
      </w:r>
      <w:r>
        <w:rPr>
          <w:rFonts w:ascii="宋体" w:hAnsi="宋体"/>
          <w:color w:val="auto"/>
          <w:sz w:val="24"/>
          <w:highlight w:val="none"/>
        </w:rPr>
        <w:tab/>
      </w:r>
      <w:r>
        <w:rPr>
          <w:rFonts w:hint="eastAsia" w:ascii="宋体" w:hAnsi="宋体"/>
          <w:color w:val="auto"/>
          <w:sz w:val="24"/>
          <w:highlight w:val="none"/>
        </w:rPr>
        <w:t>投标人如在招标文件提供的格式样本上或格式样本复印件上填写数据和文字作为投标书的，其投标将被拒绝。</w:t>
      </w:r>
    </w:p>
    <w:p>
      <w:pPr>
        <w:spacing w:line="360" w:lineRule="auto"/>
        <w:ind w:left="714" w:leftChars="1" w:hanging="712" w:hangingChars="297"/>
        <w:jc w:val="center"/>
        <w:rPr>
          <w:rFonts w:hint="eastAsia" w:ascii="宋体" w:hAnsi="宋体"/>
          <w:color w:val="auto"/>
          <w:sz w:val="24"/>
          <w:highlight w:val="none"/>
        </w:rPr>
      </w:pPr>
      <w:r>
        <w:rPr>
          <w:rFonts w:ascii="宋体" w:hAnsi="宋体"/>
          <w:color w:val="auto"/>
          <w:sz w:val="24"/>
          <w:highlight w:val="none"/>
        </w:rPr>
        <w:t>13.3</w:t>
      </w:r>
      <w:r>
        <w:rPr>
          <w:rFonts w:ascii="宋体" w:hAnsi="宋体"/>
          <w:color w:val="auto"/>
          <w:sz w:val="24"/>
          <w:highlight w:val="none"/>
        </w:rPr>
        <w:tab/>
      </w:r>
      <w:r>
        <w:rPr>
          <w:rFonts w:hint="eastAsia" w:ascii="宋体" w:hAnsi="宋体"/>
          <w:color w:val="auto"/>
          <w:sz w:val="24"/>
          <w:highlight w:val="none"/>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C   </w:t>
      </w:r>
      <w:r>
        <w:rPr>
          <w:rFonts w:hint="eastAsia" w:ascii="宋体" w:hAnsi="宋体"/>
          <w:b/>
          <w:color w:val="auto"/>
          <w:sz w:val="24"/>
          <w:highlight w:val="none"/>
        </w:rPr>
        <w:t>投标文件的递交</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14</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投标文件的密封和标记</w:t>
      </w:r>
    </w:p>
    <w:p>
      <w:pPr>
        <w:spacing w:line="360" w:lineRule="auto"/>
        <w:ind w:left="714" w:leftChars="1" w:hanging="712" w:hangingChars="297"/>
        <w:jc w:val="left"/>
        <w:rPr>
          <w:rFonts w:hint="eastAsia" w:ascii="宋体" w:hAnsi="宋体"/>
          <w:color w:val="auto"/>
          <w:sz w:val="24"/>
          <w:highlight w:val="none"/>
        </w:rPr>
      </w:pPr>
      <w:r>
        <w:rPr>
          <w:rFonts w:hint="eastAsia" w:ascii="宋体" w:hAnsi="宋体"/>
          <w:color w:val="auto"/>
          <w:sz w:val="24"/>
          <w:highlight w:val="none"/>
        </w:rPr>
        <w:t>14.1</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投标人应将投标文件“正本”、” 副本”、</w:t>
      </w:r>
      <w:r>
        <w:rPr>
          <w:rFonts w:hint="eastAsia" w:ascii="宋体" w:hAnsi="宋体"/>
          <w:color w:val="auto"/>
          <w:sz w:val="24"/>
          <w:highlight w:val="none"/>
          <w:lang w:eastAsia="zh-CN"/>
        </w:rPr>
        <w:t>“各类证件</w:t>
      </w:r>
      <w:r>
        <w:rPr>
          <w:rFonts w:hint="eastAsia" w:ascii="宋体" w:hAnsi="宋体"/>
          <w:color w:val="auto"/>
          <w:sz w:val="24"/>
          <w:highlight w:val="none"/>
          <w:lang w:val="en-US" w:eastAsia="zh-CN"/>
        </w:rPr>
        <w:t>原件及复印件</w:t>
      </w:r>
      <w:r>
        <w:rPr>
          <w:rFonts w:hint="eastAsia" w:ascii="宋体" w:hAnsi="宋体"/>
          <w:color w:val="auto"/>
          <w:sz w:val="24"/>
          <w:highlight w:val="none"/>
          <w:lang w:eastAsia="zh-CN"/>
        </w:rPr>
        <w:t>”</w:t>
      </w:r>
      <w:r>
        <w:rPr>
          <w:rFonts w:hint="eastAsia" w:ascii="宋体" w:hAnsi="宋体"/>
          <w:color w:val="auto"/>
          <w:sz w:val="24"/>
          <w:highlight w:val="none"/>
        </w:rPr>
        <w:t>分别密封，在密封袋上注明项目名称、单位名称、地址、邮政编码、联系人、联系电话及正本”、” 副本”、</w:t>
      </w:r>
      <w:r>
        <w:rPr>
          <w:rFonts w:hint="eastAsia" w:ascii="宋体" w:hAnsi="宋体"/>
          <w:color w:val="auto"/>
          <w:sz w:val="24"/>
          <w:highlight w:val="none"/>
          <w:lang w:eastAsia="zh-CN"/>
        </w:rPr>
        <w:t>“各类证件</w:t>
      </w:r>
      <w:r>
        <w:rPr>
          <w:rFonts w:hint="eastAsia" w:ascii="宋体" w:hAnsi="宋体"/>
          <w:color w:val="auto"/>
          <w:sz w:val="24"/>
          <w:highlight w:val="none"/>
          <w:lang w:val="en-US" w:eastAsia="zh-CN"/>
        </w:rPr>
        <w:t>原件及复印件</w:t>
      </w:r>
      <w:r>
        <w:rPr>
          <w:rFonts w:hint="eastAsia" w:ascii="宋体" w:hAnsi="宋体"/>
          <w:color w:val="auto"/>
          <w:sz w:val="24"/>
          <w:highlight w:val="none"/>
          <w:lang w:eastAsia="zh-CN"/>
        </w:rPr>
        <w:t>”</w:t>
      </w:r>
      <w:r>
        <w:rPr>
          <w:rFonts w:hint="eastAsia" w:ascii="宋体" w:hAnsi="宋体"/>
          <w:color w:val="auto"/>
          <w:sz w:val="24"/>
          <w:highlight w:val="none"/>
        </w:rPr>
        <w:t>等字样，密封袋须加盖法人公章或投标专用章以及法定代表人或委托代理人印章，并应确保密封完好，加盖骑缝章。</w:t>
      </w:r>
      <w:r>
        <w:rPr>
          <w:rFonts w:hint="eastAsia" w:ascii="宋体" w:hAnsi="宋体"/>
          <w:color w:val="auto"/>
          <w:sz w:val="24"/>
          <w:highlight w:val="none"/>
          <w:lang w:val="en-US" w:eastAsia="zh-CN"/>
        </w:rPr>
        <w:t xml:space="preserve">                                           </w:t>
      </w:r>
    </w:p>
    <w:p>
      <w:pPr>
        <w:spacing w:line="360" w:lineRule="auto"/>
        <w:ind w:left="714" w:leftChars="1" w:hanging="712" w:hangingChars="297"/>
        <w:jc w:val="left"/>
        <w:rPr>
          <w:rFonts w:hint="eastAsia" w:ascii="宋体" w:hAnsi="宋体"/>
          <w:color w:val="auto"/>
          <w:sz w:val="24"/>
          <w:highlight w:val="none"/>
        </w:rPr>
      </w:pPr>
      <w:r>
        <w:rPr>
          <w:rFonts w:hint="eastAsia" w:ascii="宋体" w:hAnsi="宋体"/>
          <w:color w:val="auto"/>
          <w:sz w:val="24"/>
          <w:highlight w:val="none"/>
        </w:rPr>
        <w:t>14.</w:t>
      </w:r>
      <w:r>
        <w:rPr>
          <w:rFonts w:hint="eastAsia" w:ascii="宋体" w:hAnsi="宋体"/>
          <w:color w:val="auto"/>
          <w:sz w:val="24"/>
          <w:highlight w:val="none"/>
          <w:lang w:val="en-US" w:eastAsia="zh-CN"/>
        </w:rPr>
        <w:t>2</w:t>
      </w:r>
      <w:r>
        <w:rPr>
          <w:rFonts w:hint="eastAsia" w:ascii="宋体" w:hAnsi="宋体"/>
          <w:color w:val="auto"/>
          <w:sz w:val="24"/>
          <w:highlight w:val="none"/>
        </w:rPr>
        <w:tab/>
      </w:r>
      <w:r>
        <w:rPr>
          <w:rFonts w:hint="eastAsia" w:ascii="宋体" w:hAnsi="宋体"/>
          <w:color w:val="auto"/>
          <w:sz w:val="24"/>
          <w:highlight w:val="none"/>
        </w:rPr>
        <w:t>每一密封袋上注明“于</w:t>
      </w:r>
      <w:r>
        <w:rPr>
          <w:rFonts w:hint="eastAsia" w:ascii="宋体" w:hAnsi="宋体"/>
          <w:color w:val="auto"/>
          <w:sz w:val="24"/>
          <w:highlight w:val="none"/>
          <w:lang w:eastAsia="zh-CN"/>
        </w:rPr>
        <w:t>2020年05月18日12:00</w:t>
      </w:r>
      <w:r>
        <w:rPr>
          <w:rFonts w:hint="eastAsia" w:ascii="宋体" w:hAnsi="宋体"/>
          <w:color w:val="auto"/>
          <w:sz w:val="24"/>
          <w:highlight w:val="none"/>
        </w:rPr>
        <w:t>开标之前不准启封”字样。</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16.1</w:t>
      </w:r>
      <w:r>
        <w:rPr>
          <w:rFonts w:ascii="宋体" w:hAnsi="宋体"/>
          <w:color w:val="auto"/>
          <w:sz w:val="24"/>
          <w:highlight w:val="none"/>
        </w:rPr>
        <w:tab/>
      </w:r>
      <w:r>
        <w:rPr>
          <w:rFonts w:hint="eastAsia" w:ascii="宋体" w:hAnsi="宋体"/>
          <w:color w:val="auto"/>
          <w:sz w:val="24"/>
          <w:highlight w:val="none"/>
        </w:rPr>
        <w:t>投标人递交投标文件后，可以修改投标文件，但必须在规定的投标截止时间前，用书面形式将修改文本送交招标人。修改文本同样用密封袋密封，注明“修改文件”字样，并按第</w:t>
      </w:r>
      <w:r>
        <w:rPr>
          <w:rFonts w:ascii="宋体" w:hAnsi="宋体"/>
          <w:color w:val="auto"/>
          <w:sz w:val="24"/>
          <w:highlight w:val="none"/>
        </w:rPr>
        <w:t>13.3</w:t>
      </w:r>
      <w:r>
        <w:rPr>
          <w:rFonts w:hint="eastAsia" w:ascii="宋体" w:hAnsi="宋体"/>
          <w:color w:val="auto"/>
          <w:sz w:val="24"/>
          <w:highlight w:val="none"/>
        </w:rPr>
        <w:t>条和第</w:t>
      </w:r>
      <w:r>
        <w:rPr>
          <w:rFonts w:ascii="宋体" w:hAnsi="宋体"/>
          <w:color w:val="auto"/>
          <w:sz w:val="24"/>
          <w:highlight w:val="none"/>
        </w:rPr>
        <w:t>14.1</w:t>
      </w:r>
      <w:r>
        <w:rPr>
          <w:rFonts w:hint="eastAsia" w:ascii="宋体" w:hAnsi="宋体"/>
          <w:color w:val="auto"/>
          <w:sz w:val="24"/>
          <w:highlight w:val="none"/>
        </w:rPr>
        <w:t>条以及第</w:t>
      </w:r>
      <w:r>
        <w:rPr>
          <w:rFonts w:ascii="宋体" w:hAnsi="宋体"/>
          <w:color w:val="auto"/>
          <w:sz w:val="24"/>
          <w:highlight w:val="none"/>
        </w:rPr>
        <w:t>14.3</w:t>
      </w:r>
      <w:r>
        <w:rPr>
          <w:rFonts w:hint="eastAsia" w:ascii="宋体" w:hAnsi="宋体"/>
          <w:color w:val="auto"/>
          <w:sz w:val="24"/>
          <w:highlight w:val="none"/>
        </w:rPr>
        <w:t>条要求签署盖章。修改文件是投标文件的组成部分。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17.1</w:t>
      </w:r>
      <w:r>
        <w:rPr>
          <w:rFonts w:ascii="宋体" w:hAnsi="宋体"/>
          <w:color w:val="auto"/>
          <w:sz w:val="24"/>
          <w:highlight w:val="none"/>
        </w:rPr>
        <w:tab/>
      </w:r>
      <w:r>
        <w:rPr>
          <w:rFonts w:hint="eastAsia" w:ascii="宋体" w:hAnsi="宋体"/>
          <w:color w:val="auto"/>
          <w:sz w:val="24"/>
          <w:highlight w:val="none"/>
        </w:rPr>
        <w:t>投标人递交投标文件后，可以撤回、修改、补充投标文件，但必须在投标截止时间之前撤回、修改、补充；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17.2</w:t>
      </w:r>
      <w:r>
        <w:rPr>
          <w:rFonts w:ascii="宋体" w:hAnsi="宋体"/>
          <w:color w:val="auto"/>
          <w:sz w:val="24"/>
          <w:highlight w:val="none"/>
        </w:rPr>
        <w:tab/>
      </w:r>
      <w:r>
        <w:rPr>
          <w:rFonts w:hint="eastAsia" w:ascii="宋体" w:hAnsi="宋体"/>
          <w:color w:val="auto"/>
          <w:sz w:val="24"/>
          <w:highlight w:val="none"/>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17.3</w:t>
      </w:r>
      <w:r>
        <w:rPr>
          <w:rFonts w:ascii="宋体" w:hAnsi="宋体"/>
          <w:color w:val="auto"/>
          <w:sz w:val="24"/>
          <w:highlight w:val="none"/>
        </w:rPr>
        <w:tab/>
      </w:r>
      <w:r>
        <w:rPr>
          <w:rFonts w:hint="eastAsia" w:ascii="宋体" w:hAnsi="宋体"/>
          <w:color w:val="auto"/>
          <w:sz w:val="24"/>
          <w:highlight w:val="none"/>
        </w:rPr>
        <w:t>投标截止后，开标前投标人不得撤回和修改补充投标文件。开标后的投标文件不得撤回。但开标前，书面通行知放弃投标的投标文件除外。</w:t>
      </w:r>
    </w:p>
    <w:p>
      <w:pPr>
        <w:spacing w:line="360" w:lineRule="auto"/>
        <w:ind w:left="714" w:leftChars="1" w:hanging="712" w:hangingChars="297"/>
        <w:rPr>
          <w:rFonts w:ascii="宋体" w:hAnsi="宋体"/>
          <w:b w:val="0"/>
          <w:bCs w:val="0"/>
          <w:color w:val="auto"/>
          <w:sz w:val="24"/>
          <w:highlight w:val="none"/>
        </w:rPr>
      </w:pPr>
      <w:r>
        <w:rPr>
          <w:rFonts w:hint="eastAsia" w:ascii="宋体" w:hAnsi="宋体"/>
          <w:b w:val="0"/>
          <w:bCs w:val="0"/>
          <w:color w:val="auto"/>
          <w:sz w:val="24"/>
          <w:highlight w:val="none"/>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迟到的投标文件</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18.1</w:t>
      </w:r>
      <w:r>
        <w:rPr>
          <w:rFonts w:ascii="宋体" w:hAnsi="宋体"/>
          <w:color w:val="auto"/>
          <w:sz w:val="24"/>
          <w:highlight w:val="none"/>
        </w:rPr>
        <w:tab/>
      </w:r>
      <w:r>
        <w:rPr>
          <w:rFonts w:hint="eastAsia" w:ascii="宋体" w:hAnsi="宋体"/>
          <w:color w:val="auto"/>
          <w:sz w:val="24"/>
          <w:highlight w:val="none"/>
        </w:rPr>
        <w:t>招标人将拒绝接收在投标截止时间后送到的投标文件。</w:t>
      </w:r>
    </w:p>
    <w:p>
      <w:pPr>
        <w:spacing w:line="360" w:lineRule="auto"/>
        <w:ind w:left="718" w:leftChars="1" w:hanging="716" w:hangingChars="297"/>
        <w:jc w:val="center"/>
        <w:rPr>
          <w:rFonts w:ascii="宋体"/>
          <w:b/>
          <w:color w:val="auto"/>
          <w:sz w:val="24"/>
          <w:highlight w:val="none"/>
        </w:rPr>
      </w:pP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D   </w:t>
      </w:r>
      <w:r>
        <w:rPr>
          <w:rFonts w:hint="eastAsia" w:ascii="宋体" w:hAnsi="宋体"/>
          <w:b/>
          <w:color w:val="auto"/>
          <w:sz w:val="24"/>
          <w:highlight w:val="none"/>
        </w:rPr>
        <w:t>开标和评标</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开标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19.1</w:t>
      </w:r>
      <w:r>
        <w:rPr>
          <w:rFonts w:ascii="宋体" w:hAnsi="宋体"/>
          <w:color w:val="auto"/>
          <w:sz w:val="24"/>
          <w:highlight w:val="none"/>
        </w:rPr>
        <w:tab/>
      </w:r>
      <w:r>
        <w:rPr>
          <w:rFonts w:hint="eastAsia" w:ascii="宋体" w:hAnsi="宋体"/>
          <w:color w:val="auto"/>
          <w:sz w:val="24"/>
          <w:highlight w:val="none"/>
        </w:rPr>
        <w:t>招标人按采购公告中规定的时间和地点公开开标。投标人必须由法人代表或法人代表授权人、技术代表</w:t>
      </w:r>
      <w:r>
        <w:rPr>
          <w:rFonts w:ascii="宋体" w:hAnsi="宋体"/>
          <w:color w:val="auto"/>
          <w:sz w:val="24"/>
          <w:highlight w:val="none"/>
        </w:rPr>
        <w:t>1</w:t>
      </w:r>
      <w:r>
        <w:rPr>
          <w:rFonts w:asci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名参加开标会。</w:t>
      </w:r>
    </w:p>
    <w:p>
      <w:pPr>
        <w:spacing w:line="360" w:lineRule="auto"/>
        <w:jc w:val="left"/>
        <w:rPr>
          <w:rFonts w:hint="eastAsia" w:ascii="宋体" w:hAnsi="宋体"/>
          <w:color w:val="auto"/>
          <w:sz w:val="24"/>
          <w:highlight w:val="none"/>
        </w:rPr>
      </w:pPr>
      <w:r>
        <w:rPr>
          <w:rFonts w:ascii="宋体" w:hAnsi="宋体"/>
          <w:color w:val="auto"/>
          <w:sz w:val="24"/>
          <w:highlight w:val="none"/>
        </w:rPr>
        <w:t xml:space="preserve">19.2  </w:t>
      </w:r>
      <w:r>
        <w:rPr>
          <w:rFonts w:hint="eastAsia" w:ascii="宋体" w:hAnsi="宋体"/>
          <w:color w:val="auto"/>
          <w:sz w:val="24"/>
          <w:highlight w:val="none"/>
        </w:rPr>
        <w:t>投标人当众查验投标文件的密封状况，经监委、投标人确认无误后，由</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招标工作人员根据递交标书的正顺序依次当众拆封，宣读投标人名称，</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投标价格、招标文件允许提供的备选投标方案</w:t>
      </w:r>
      <w:r>
        <w:rPr>
          <w:rFonts w:ascii="宋体" w:hAnsi="宋体"/>
          <w:color w:val="auto"/>
          <w:sz w:val="24"/>
          <w:highlight w:val="none"/>
        </w:rPr>
        <w:t>(</w:t>
      </w:r>
      <w:r>
        <w:rPr>
          <w:rFonts w:hint="eastAsia" w:ascii="宋体" w:hAnsi="宋体"/>
          <w:color w:val="auto"/>
          <w:sz w:val="24"/>
          <w:highlight w:val="none"/>
        </w:rPr>
        <w:t>如有</w:t>
      </w:r>
      <w:r>
        <w:rPr>
          <w:rFonts w:ascii="宋体" w:hAnsi="宋体"/>
          <w:color w:val="auto"/>
          <w:sz w:val="24"/>
          <w:highlight w:val="none"/>
        </w:rPr>
        <w:t>)</w:t>
      </w:r>
      <w:r>
        <w:rPr>
          <w:rFonts w:hint="eastAsia" w:ascii="宋体" w:hAnsi="宋体"/>
          <w:color w:val="auto"/>
          <w:sz w:val="24"/>
          <w:highlight w:val="none"/>
        </w:rPr>
        <w:t>以及投标文件的其他</w:t>
      </w:r>
    </w:p>
    <w:p>
      <w:pPr>
        <w:spacing w:line="360" w:lineRule="auto"/>
        <w:ind w:left="239" w:leftChars="114" w:firstLine="480" w:firstLineChars="200"/>
        <w:jc w:val="left"/>
        <w:rPr>
          <w:rFonts w:ascii="宋体"/>
          <w:color w:val="auto"/>
          <w:sz w:val="24"/>
          <w:highlight w:val="none"/>
        </w:rPr>
      </w:pPr>
      <w:r>
        <w:rPr>
          <w:rFonts w:hint="eastAsia" w:ascii="宋体" w:hAnsi="宋体"/>
          <w:color w:val="auto"/>
          <w:sz w:val="24"/>
          <w:highlight w:val="none"/>
        </w:rPr>
        <w:t>主要内容。</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19.3</w:t>
      </w:r>
      <w:r>
        <w:rPr>
          <w:rFonts w:ascii="宋体" w:hAnsi="宋体"/>
          <w:color w:val="auto"/>
          <w:sz w:val="24"/>
          <w:szCs w:val="20"/>
          <w:highlight w:val="none"/>
        </w:rPr>
        <w:tab/>
      </w:r>
      <w:r>
        <w:rPr>
          <w:rFonts w:hint="eastAsia" w:ascii="宋体" w:hAnsi="宋体"/>
          <w:color w:val="auto"/>
          <w:sz w:val="24"/>
          <w:szCs w:val="20"/>
          <w:highlight w:val="none"/>
        </w:rPr>
        <w:t>未宣读的投标价格、招标文件允许提供的备选投标方案</w:t>
      </w:r>
      <w:r>
        <w:rPr>
          <w:rFonts w:ascii="宋体" w:hAnsi="宋体"/>
          <w:color w:val="auto"/>
          <w:sz w:val="24"/>
          <w:szCs w:val="20"/>
          <w:highlight w:val="none"/>
        </w:rPr>
        <w:t>(</w:t>
      </w:r>
      <w:r>
        <w:rPr>
          <w:rFonts w:hint="eastAsia" w:ascii="宋体" w:hAnsi="宋体"/>
          <w:color w:val="auto"/>
          <w:sz w:val="24"/>
          <w:szCs w:val="20"/>
          <w:highlight w:val="none"/>
        </w:rPr>
        <w:t>如有的话</w:t>
      </w:r>
      <w:r>
        <w:rPr>
          <w:rFonts w:ascii="宋体" w:hAnsi="宋体"/>
          <w:color w:val="auto"/>
          <w:sz w:val="24"/>
          <w:szCs w:val="20"/>
          <w:highlight w:val="none"/>
        </w:rPr>
        <w:t>)</w:t>
      </w:r>
      <w:r>
        <w:rPr>
          <w:rFonts w:hint="eastAsia" w:ascii="宋体" w:hAnsi="宋体"/>
          <w:color w:val="auto"/>
          <w:sz w:val="24"/>
          <w:szCs w:val="20"/>
          <w:highlight w:val="none"/>
        </w:rPr>
        <w:t>等实质内容，评标时不予承认。</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19.4</w:t>
      </w:r>
      <w:r>
        <w:rPr>
          <w:rFonts w:ascii="宋体" w:hAnsi="宋体"/>
          <w:color w:val="auto"/>
          <w:sz w:val="24"/>
          <w:szCs w:val="20"/>
          <w:highlight w:val="none"/>
        </w:rPr>
        <w:tab/>
      </w:r>
      <w:r>
        <w:rPr>
          <w:rFonts w:hint="eastAsia" w:ascii="宋体" w:hAnsi="宋体"/>
          <w:color w:val="000000" w:themeColor="text1"/>
          <w:sz w:val="24"/>
          <w:szCs w:val="20"/>
          <w:highlight w:val="none"/>
          <w14:textFill>
            <w14:solidFill>
              <w14:schemeClr w14:val="tx1"/>
            </w14:solidFill>
          </w14:textFill>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19.5</w:t>
      </w:r>
      <w:r>
        <w:rPr>
          <w:rFonts w:ascii="宋体" w:hAnsi="宋体"/>
          <w:color w:val="auto"/>
          <w:sz w:val="24"/>
          <w:szCs w:val="20"/>
          <w:highlight w:val="none"/>
        </w:rPr>
        <w:tab/>
      </w:r>
      <w:r>
        <w:rPr>
          <w:rFonts w:hint="eastAsia" w:ascii="宋体" w:hAnsi="宋体"/>
          <w:color w:val="auto"/>
          <w:sz w:val="24"/>
          <w:szCs w:val="20"/>
          <w:highlight w:val="none"/>
        </w:rPr>
        <w:t>开标过程由招标人指定专人负责记录，并存档备查。</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19.6</w:t>
      </w:r>
      <w:r>
        <w:rPr>
          <w:rFonts w:ascii="宋体" w:hAnsi="宋体"/>
          <w:color w:val="auto"/>
          <w:sz w:val="24"/>
          <w:szCs w:val="20"/>
          <w:highlight w:val="none"/>
        </w:rPr>
        <w:tab/>
      </w:r>
      <w:r>
        <w:rPr>
          <w:rFonts w:hint="eastAsia" w:ascii="宋体" w:hAnsi="宋体"/>
          <w:color w:val="auto"/>
          <w:sz w:val="24"/>
          <w:szCs w:val="20"/>
          <w:highlight w:val="none"/>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（二）招标文件存在不合理条款的，招标公告时间及程序不符合规定的，应予废标，并由招标人依法重新招标。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19.7</w:t>
      </w:r>
      <w:r>
        <w:rPr>
          <w:rFonts w:ascii="宋体" w:hAnsi="宋体"/>
          <w:color w:val="auto"/>
          <w:sz w:val="24"/>
          <w:highlight w:val="none"/>
        </w:rPr>
        <w:tab/>
      </w:r>
      <w:r>
        <w:rPr>
          <w:rFonts w:hint="eastAsia" w:ascii="宋体" w:hAnsi="宋体"/>
          <w:color w:val="auto"/>
          <w:sz w:val="24"/>
          <w:highlight w:val="none"/>
        </w:rPr>
        <w:t>有下列情形之一的，视为无效投标处理：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（一）应交未交投标保证金的；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w:t>
      </w:r>
      <w:r>
        <w:rPr>
          <w:rFonts w:hint="eastAsia" w:ascii="宋体" w:hAnsi="宋体"/>
          <w:color w:val="000000" w:themeColor="text1"/>
          <w:sz w:val="24"/>
          <w:szCs w:val="20"/>
          <w:highlight w:val="none"/>
          <w14:textFill>
            <w14:solidFill>
              <w14:schemeClr w14:val="tx1"/>
            </w14:solidFill>
          </w14:textFill>
        </w:rPr>
        <w:t>未按照招标文件规定要求</w:t>
      </w:r>
      <w:r>
        <w:rPr>
          <w:rFonts w:hint="eastAsia" w:ascii="宋体" w:hAnsi="宋体"/>
          <w:color w:val="000000" w:themeColor="text1"/>
          <w:sz w:val="24"/>
          <w:szCs w:val="20"/>
          <w:highlight w:val="none"/>
          <w:lang w:eastAsia="zh-CN"/>
          <w14:textFill>
            <w14:solidFill>
              <w14:schemeClr w14:val="tx1"/>
            </w14:solidFill>
          </w14:textFill>
        </w:rPr>
        <w:t>以</w:t>
      </w:r>
      <w:r>
        <w:rPr>
          <w:rFonts w:hint="eastAsia" w:ascii="宋体" w:hAnsi="宋体"/>
          <w:color w:val="000000" w:themeColor="text1"/>
          <w:sz w:val="24"/>
          <w:szCs w:val="20"/>
          <w:highlight w:val="none"/>
          <w:lang w:val="en-US" w:eastAsia="zh-CN"/>
          <w14:textFill>
            <w14:solidFill>
              <w14:schemeClr w14:val="tx1"/>
            </w14:solidFill>
          </w14:textFill>
        </w:rPr>
        <w:t>PDF格式并加密</w:t>
      </w:r>
      <w:r>
        <w:rPr>
          <w:rFonts w:hint="eastAsia" w:ascii="宋体" w:hAnsi="宋体" w:eastAsia="宋体" w:cs="Times New Roman"/>
          <w:color w:val="000000" w:themeColor="text1"/>
          <w:kern w:val="0"/>
          <w:sz w:val="24"/>
          <w:highlight w:val="none"/>
          <w:lang w:val="en-US" w:eastAsia="zh-CN"/>
          <w14:textFill>
            <w14:solidFill>
              <w14:schemeClr w14:val="tx1"/>
            </w14:solidFill>
          </w14:textFill>
        </w:rPr>
        <w:t>并注明项目名称及项目编号</w:t>
      </w:r>
      <w:r>
        <w:rPr>
          <w:rFonts w:hint="eastAsia" w:ascii="宋体" w:hAnsi="宋体"/>
          <w:color w:val="000000" w:themeColor="text1"/>
          <w:sz w:val="24"/>
          <w:szCs w:val="20"/>
          <w:highlight w:val="none"/>
          <w14:textFill>
            <w14:solidFill>
              <w14:schemeClr w14:val="tx1"/>
            </w14:solidFill>
          </w14:textFill>
        </w:rPr>
        <w:t>、签署、盖章的</w:t>
      </w:r>
      <w:r>
        <w:rPr>
          <w:rFonts w:hint="eastAsia" w:ascii="宋体" w:hAnsi="宋体"/>
          <w:color w:val="auto"/>
          <w:sz w:val="24"/>
          <w:szCs w:val="20"/>
          <w:highlight w:val="none"/>
        </w:rPr>
        <w:t>；</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（三）不具备招标文件中规定资格要求的；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（四）不符合法律、法规和招标文件中规定的其他实质性要求的。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19.8</w:t>
      </w:r>
      <w:r>
        <w:rPr>
          <w:rFonts w:ascii="宋体" w:hAnsi="宋体"/>
          <w:color w:val="auto"/>
          <w:sz w:val="24"/>
          <w:szCs w:val="20"/>
          <w:highlight w:val="none"/>
        </w:rPr>
        <w:tab/>
      </w:r>
      <w:r>
        <w:rPr>
          <w:rFonts w:hint="eastAsia" w:ascii="宋体" w:hAnsi="宋体"/>
          <w:color w:val="auto"/>
          <w:sz w:val="24"/>
          <w:szCs w:val="20"/>
          <w:highlight w:val="none"/>
        </w:rPr>
        <w:t>有下列情形之一的，作废标处理：</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一</w:t>
      </w:r>
      <w:r>
        <w:rPr>
          <w:rFonts w:ascii="宋体" w:hAnsi="宋体"/>
          <w:color w:val="auto"/>
          <w:sz w:val="24"/>
          <w:szCs w:val="20"/>
          <w:highlight w:val="none"/>
        </w:rPr>
        <w:t xml:space="preserve">) </w:t>
      </w:r>
      <w:r>
        <w:rPr>
          <w:rFonts w:hint="eastAsia" w:ascii="宋体" w:hAnsi="宋体"/>
          <w:color w:val="auto"/>
          <w:sz w:val="24"/>
          <w:szCs w:val="20"/>
          <w:highlight w:val="none"/>
        </w:rPr>
        <w:t>出现</w:t>
      </w:r>
      <w:r>
        <w:rPr>
          <w:rFonts w:ascii="宋体" w:hAnsi="宋体"/>
          <w:color w:val="auto"/>
          <w:sz w:val="24"/>
          <w:szCs w:val="20"/>
          <w:highlight w:val="none"/>
        </w:rPr>
        <w:t>10</w:t>
      </w:r>
      <w:r>
        <w:rPr>
          <w:rFonts w:hint="eastAsia" w:ascii="宋体" w:hAnsi="宋体"/>
          <w:color w:val="auto"/>
          <w:sz w:val="24"/>
          <w:szCs w:val="20"/>
          <w:highlight w:val="none"/>
        </w:rPr>
        <w:t>条、</w:t>
      </w:r>
      <w:r>
        <w:rPr>
          <w:rFonts w:ascii="宋体" w:hAnsi="宋体"/>
          <w:color w:val="auto"/>
          <w:sz w:val="24"/>
          <w:szCs w:val="20"/>
          <w:highlight w:val="none"/>
        </w:rPr>
        <w:t>11.2</w:t>
      </w:r>
      <w:r>
        <w:rPr>
          <w:rFonts w:hint="eastAsia" w:ascii="宋体" w:hAnsi="宋体"/>
          <w:color w:val="auto"/>
          <w:sz w:val="24"/>
          <w:szCs w:val="20"/>
          <w:highlight w:val="none"/>
        </w:rPr>
        <w:t>、</w:t>
      </w:r>
      <w:r>
        <w:rPr>
          <w:rFonts w:ascii="宋体" w:hAnsi="宋体"/>
          <w:color w:val="auto"/>
          <w:sz w:val="24"/>
          <w:szCs w:val="20"/>
          <w:highlight w:val="none"/>
        </w:rPr>
        <w:t>13.3</w:t>
      </w:r>
      <w:r>
        <w:rPr>
          <w:rFonts w:hint="eastAsia" w:ascii="宋体" w:hAnsi="宋体"/>
          <w:color w:val="auto"/>
          <w:sz w:val="24"/>
          <w:szCs w:val="20"/>
          <w:highlight w:val="none"/>
        </w:rPr>
        <w:t>、</w:t>
      </w:r>
      <w:r>
        <w:rPr>
          <w:rFonts w:ascii="宋体" w:hAnsi="宋体"/>
          <w:color w:val="auto"/>
          <w:sz w:val="24"/>
          <w:szCs w:val="20"/>
          <w:highlight w:val="none"/>
        </w:rPr>
        <w:t>19.6</w:t>
      </w:r>
      <w:r>
        <w:rPr>
          <w:rFonts w:hint="eastAsia" w:ascii="宋体" w:hAnsi="宋体"/>
          <w:color w:val="auto"/>
          <w:sz w:val="24"/>
          <w:szCs w:val="20"/>
          <w:highlight w:val="none"/>
        </w:rPr>
        <w:t>条第</w:t>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款情形的；；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出现影响采购公正的违法、违规行为的；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三</w:t>
      </w:r>
      <w:r>
        <w:rPr>
          <w:rFonts w:ascii="宋体" w:hAnsi="宋体"/>
          <w:color w:val="auto"/>
          <w:sz w:val="24"/>
          <w:szCs w:val="20"/>
          <w:highlight w:val="none"/>
        </w:rPr>
        <w:t>)</w:t>
      </w:r>
      <w:r>
        <w:rPr>
          <w:rFonts w:hint="eastAsia" w:ascii="宋体" w:hAnsi="宋体"/>
          <w:color w:val="auto"/>
          <w:sz w:val="24"/>
          <w:szCs w:val="20"/>
          <w:highlight w:val="none"/>
        </w:rPr>
        <w:t>投标人的报价均超过了采购预算，采购人不能支付的；</w:t>
      </w:r>
    </w:p>
    <w:p>
      <w:pPr>
        <w:spacing w:line="360" w:lineRule="auto"/>
        <w:ind w:left="714" w:leftChars="340"/>
        <w:rPr>
          <w:rFonts w:ascii="宋体"/>
          <w:color w:val="auto"/>
          <w:sz w:val="24"/>
          <w:szCs w:val="20"/>
          <w:highlight w:val="none"/>
        </w:rPr>
      </w:pPr>
      <w:r>
        <w:rPr>
          <w:rFonts w:ascii="宋体" w:hAnsi="宋体"/>
          <w:color w:val="auto"/>
          <w:sz w:val="24"/>
          <w:szCs w:val="20"/>
          <w:highlight w:val="none"/>
        </w:rPr>
        <w:t>(</w:t>
      </w:r>
      <w:r>
        <w:rPr>
          <w:rFonts w:hint="eastAsia" w:ascii="宋体" w:hAnsi="宋体"/>
          <w:color w:val="auto"/>
          <w:sz w:val="24"/>
          <w:szCs w:val="20"/>
          <w:highlight w:val="none"/>
        </w:rPr>
        <w:t>四</w:t>
      </w:r>
      <w:r>
        <w:rPr>
          <w:rFonts w:ascii="宋体" w:hAnsi="宋体"/>
          <w:color w:val="auto"/>
          <w:sz w:val="24"/>
          <w:szCs w:val="20"/>
          <w:highlight w:val="none"/>
        </w:rPr>
        <w:t>)</w:t>
      </w:r>
      <w:r>
        <w:rPr>
          <w:rFonts w:hint="eastAsia" w:ascii="宋体" w:hAnsi="宋体"/>
          <w:color w:val="auto"/>
          <w:sz w:val="24"/>
          <w:szCs w:val="20"/>
          <w:highlight w:val="none"/>
        </w:rPr>
        <w:t>因重大变故，采购任务取消的。</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评标委员会组成及职责</w:t>
      </w:r>
    </w:p>
    <w:p>
      <w:pPr>
        <w:spacing w:line="448" w:lineRule="atLeast"/>
        <w:ind w:left="714" w:leftChars="1" w:hanging="712" w:hangingChars="297"/>
        <w:rPr>
          <w:rFonts w:ascii="宋体"/>
          <w:color w:val="auto"/>
          <w:sz w:val="24"/>
          <w:szCs w:val="20"/>
          <w:highlight w:val="none"/>
        </w:rPr>
      </w:pPr>
      <w:r>
        <w:rPr>
          <w:rFonts w:ascii="宋体" w:hAnsi="宋体"/>
          <w:color w:val="auto"/>
          <w:sz w:val="24"/>
          <w:highlight w:val="none"/>
        </w:rPr>
        <w:t>20.1</w:t>
      </w:r>
      <w:r>
        <w:rPr>
          <w:rFonts w:ascii="宋体" w:hAnsi="宋体"/>
          <w:color w:val="auto"/>
          <w:sz w:val="24"/>
          <w:highlight w:val="none"/>
        </w:rPr>
        <w:tab/>
      </w:r>
      <w:r>
        <w:rPr>
          <w:rFonts w:hint="eastAsia" w:ascii="宋体" w:hAnsi="宋体"/>
          <w:color w:val="auto"/>
          <w:sz w:val="24"/>
          <w:szCs w:val="20"/>
          <w:highlight w:val="none"/>
        </w:rPr>
        <w:t>评标工作由招标人负责组织组成评标委员会。评标委员会由采购人代表和有关技术、经济等方面的专家组成，成员人数应当为五人以上（含</w:t>
      </w:r>
      <w:r>
        <w:rPr>
          <w:rFonts w:ascii="宋体" w:hAnsi="宋体"/>
          <w:color w:val="auto"/>
          <w:sz w:val="24"/>
          <w:szCs w:val="20"/>
          <w:highlight w:val="none"/>
        </w:rPr>
        <w:t>5</w:t>
      </w:r>
      <w:r>
        <w:rPr>
          <w:rFonts w:hint="eastAsia" w:ascii="宋体" w:hAnsi="宋体"/>
          <w:color w:val="auto"/>
          <w:sz w:val="24"/>
          <w:szCs w:val="20"/>
          <w:highlight w:val="none"/>
        </w:rPr>
        <w:t>人）单数。其中，技术、经济等方面的专家不得少于成员总数的三分之二。开标前随机抽取确定，并在招标结果确定前保密。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20.2</w:t>
      </w:r>
      <w:r>
        <w:rPr>
          <w:rFonts w:ascii="宋体" w:hAnsi="宋体"/>
          <w:color w:val="auto"/>
          <w:sz w:val="24"/>
          <w:szCs w:val="20"/>
          <w:highlight w:val="none"/>
        </w:rPr>
        <w:tab/>
      </w:r>
      <w:r>
        <w:rPr>
          <w:rFonts w:hint="eastAsia" w:ascii="宋体" w:hAnsi="宋体"/>
          <w:color w:val="auto"/>
          <w:sz w:val="24"/>
          <w:szCs w:val="20"/>
          <w:highlight w:val="none"/>
        </w:rPr>
        <w:t>评标事务由评标委员会负责，并独立履行下列职责：</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（一）审查投标文件是否符合招标文件要求，并作出评价；</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（二）要求投标人对投标文件有关事项作出解释或者澄清；</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（三）推荐中标候选供应商名单，或者受招标人委托按照事先确定的办法直接确定中标人；</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（四）向招标人或者有关部门报告非法干预评标工作的行为。</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评标委员会履行的义务</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（一）遵纪守法，客观、公正、廉洁地履行职责；</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（二）按照招标文件规定的评标方法和评标标准进行评标，对评审意见承担个人责任；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（三）对评标过程和结果，以及供应商的商业秘密保密；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（四）参与评标报告的起草；</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（五）配合财政部门的投诉处理工作；</w:t>
      </w:r>
    </w:p>
    <w:p>
      <w:pPr>
        <w:spacing w:line="360" w:lineRule="auto"/>
        <w:ind w:left="714" w:leftChars="1" w:hanging="712" w:hangingChars="297"/>
        <w:rPr>
          <w:rFonts w:ascii="宋体"/>
          <w:b/>
          <w:bC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（六）配合招标采购单位答复投标供应商提出的质疑。</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评标应当遵循下列工作程序：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（一）投标文件初审。初审分为资格性检查和响应性检查。</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、资格性检查。依据法律法规和招标文件的规定，对投标人提供的资格证明文件、投标保证金等进行审查，以确定投标人是否具备投标资格</w:t>
      </w:r>
      <w:r>
        <w:rPr>
          <w:rFonts w:hint="eastAsia" w:ascii="宋体" w:hAnsi="宋体"/>
          <w:b/>
          <w:color w:val="auto"/>
          <w:sz w:val="24"/>
          <w:szCs w:val="20"/>
          <w:highlight w:val="none"/>
        </w:rPr>
        <w:t>（不接受二次提交证明文件资料）</w:t>
      </w:r>
      <w:r>
        <w:rPr>
          <w:rFonts w:hint="eastAsia" w:ascii="宋体" w:hAnsi="宋体"/>
          <w:color w:val="auto"/>
          <w:sz w:val="24"/>
          <w:szCs w:val="20"/>
          <w:highlight w:val="none"/>
        </w:rPr>
        <w:t>。如果确定投标人无资格或无能力履行合同，其投标将被拒绝。</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招标人将拒绝被确定为非实质性响应的投标人。</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（四）推荐中标候选供应商名单。中标候选供应商数量根据采购需要确定，并按顺序排列。</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五</w:t>
      </w:r>
      <w:r>
        <w:rPr>
          <w:rFonts w:ascii="宋体" w:hAnsi="宋体"/>
          <w:color w:val="auto"/>
          <w:sz w:val="24"/>
          <w:szCs w:val="20"/>
          <w:highlight w:val="none"/>
        </w:rPr>
        <w:t>)</w:t>
      </w:r>
      <w:r>
        <w:rPr>
          <w:rFonts w:hint="eastAsia" w:ascii="宋体" w:hAnsi="宋体"/>
          <w:color w:val="auto"/>
          <w:sz w:val="24"/>
          <w:szCs w:val="20"/>
          <w:highlight w:val="none"/>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、招标公告刊登的媒体名称、开标日期和地点；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、购买招标文件的投标人名单和评标委员会成员名单；</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3</w:t>
      </w:r>
      <w:r>
        <w:rPr>
          <w:rFonts w:hint="eastAsia" w:ascii="宋体" w:hAnsi="宋体"/>
          <w:color w:val="auto"/>
          <w:sz w:val="24"/>
          <w:szCs w:val="20"/>
          <w:highlight w:val="none"/>
        </w:rPr>
        <w:t>、评标方法和标准；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4</w:t>
      </w:r>
      <w:r>
        <w:rPr>
          <w:rFonts w:hint="eastAsia" w:ascii="宋体" w:hAnsi="宋体"/>
          <w:color w:val="auto"/>
          <w:sz w:val="24"/>
          <w:szCs w:val="20"/>
          <w:highlight w:val="none"/>
        </w:rPr>
        <w:t>、开标记录和评标情况及说明，包括投标无效投标人名单及原因；</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5</w:t>
      </w:r>
      <w:r>
        <w:rPr>
          <w:rFonts w:hint="eastAsia" w:ascii="宋体" w:hAnsi="宋体"/>
          <w:color w:val="auto"/>
          <w:sz w:val="24"/>
          <w:szCs w:val="20"/>
          <w:highlight w:val="none"/>
        </w:rPr>
        <w:t>、评标结果和中标候选供应商排序表；</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6</w:t>
      </w:r>
      <w:r>
        <w:rPr>
          <w:rFonts w:hint="eastAsia" w:ascii="宋体" w:hAnsi="宋体"/>
          <w:color w:val="auto"/>
          <w:sz w:val="24"/>
          <w:szCs w:val="20"/>
          <w:highlight w:val="none"/>
        </w:rPr>
        <w:t>、评标委员会的授标建议。</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在评标中，不得改变已规定的评标标准、方法和中标条件。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23.</w:t>
      </w:r>
      <w:r>
        <w:rPr>
          <w:rFonts w:ascii="宋体" w:hAnsi="宋体"/>
          <w:b/>
          <w:bCs/>
          <w:color w:val="auto"/>
          <w:sz w:val="24"/>
          <w:highlight w:val="none"/>
        </w:rPr>
        <w:tab/>
      </w:r>
      <w:r>
        <w:rPr>
          <w:rFonts w:hint="eastAsia" w:ascii="宋体" w:hAnsi="宋体"/>
          <w:b/>
          <w:bCs/>
          <w:color w:val="auto"/>
          <w:sz w:val="24"/>
          <w:highlight w:val="none"/>
        </w:rPr>
        <w:t>评标过程的保密性</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23.1</w:t>
      </w:r>
      <w:r>
        <w:rPr>
          <w:rFonts w:ascii="宋体" w:hAnsi="宋体"/>
          <w:color w:val="auto"/>
          <w:sz w:val="24"/>
          <w:highlight w:val="none"/>
        </w:rPr>
        <w:tab/>
      </w:r>
      <w:r>
        <w:rPr>
          <w:rFonts w:hint="eastAsia" w:ascii="宋体" w:hAnsi="宋体"/>
          <w:color w:val="auto"/>
          <w:sz w:val="24"/>
          <w:highlight w:val="none"/>
        </w:rPr>
        <w:t>在评标过程中和评标结束后，评委会的研究情况和所有投标人的商业秘密都属于保密内容；</w:t>
      </w:r>
    </w:p>
    <w:p>
      <w:pPr>
        <w:spacing w:line="360" w:lineRule="auto"/>
        <w:ind w:left="714" w:leftChars="1" w:hanging="712" w:hangingChars="297"/>
        <w:rPr>
          <w:rFonts w:ascii="宋体"/>
          <w:color w:val="auto"/>
          <w:spacing w:val="-2"/>
          <w:sz w:val="24"/>
          <w:highlight w:val="none"/>
        </w:rPr>
      </w:pPr>
      <w:r>
        <w:rPr>
          <w:rFonts w:ascii="宋体" w:hAnsi="宋体"/>
          <w:color w:val="auto"/>
          <w:sz w:val="24"/>
          <w:highlight w:val="none"/>
        </w:rPr>
        <w:t>23.2</w:t>
      </w:r>
      <w:r>
        <w:rPr>
          <w:rFonts w:ascii="宋体" w:hAnsi="宋体"/>
          <w:color w:val="auto"/>
          <w:sz w:val="24"/>
          <w:highlight w:val="none"/>
        </w:rPr>
        <w:tab/>
      </w:r>
      <w:r>
        <w:rPr>
          <w:rFonts w:hint="eastAsia" w:ascii="宋体" w:hAnsi="宋体"/>
          <w:color w:val="auto"/>
          <w:spacing w:val="-2"/>
          <w:sz w:val="24"/>
          <w:highlight w:val="none"/>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hAnsi="宋体"/>
          <w:b/>
          <w:color w:val="auto"/>
          <w:sz w:val="24"/>
          <w:highlight w:val="none"/>
        </w:rPr>
      </w:pPr>
      <w:r>
        <w:rPr>
          <w:rFonts w:ascii="宋体" w:hAnsi="宋体"/>
          <w:color w:val="auto"/>
          <w:sz w:val="24"/>
          <w:highlight w:val="none"/>
        </w:rPr>
        <w:t>23.3</w:t>
      </w:r>
      <w:r>
        <w:rPr>
          <w:rFonts w:ascii="宋体" w:hAnsi="宋体"/>
          <w:color w:val="auto"/>
          <w:sz w:val="24"/>
          <w:highlight w:val="none"/>
        </w:rPr>
        <w:tab/>
      </w:r>
      <w:r>
        <w:rPr>
          <w:rFonts w:hint="eastAsia" w:ascii="宋体" w:hAnsi="宋体"/>
          <w:color w:val="auto"/>
          <w:sz w:val="24"/>
          <w:highlight w:val="none"/>
        </w:rPr>
        <w:t>投标人不得干扰招标人的评标活动，否则将撤消其投标资格，并没收其投标保证金。</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 xml:space="preserve">E   </w:t>
      </w:r>
      <w:r>
        <w:rPr>
          <w:rFonts w:hint="eastAsia" w:ascii="宋体" w:hAnsi="宋体"/>
          <w:b/>
          <w:color w:val="auto"/>
          <w:sz w:val="24"/>
          <w:highlight w:val="none"/>
        </w:rPr>
        <w:t>评标方法及标准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w:t>
      </w:r>
      <w:r>
        <w:rPr>
          <w:rFonts w:ascii="宋体"/>
          <w:bCs/>
          <w:color w:val="auto"/>
          <w:sz w:val="24"/>
          <w:highlight w:val="none"/>
        </w:rPr>
        <w:tab/>
      </w:r>
      <w:r>
        <w:rPr>
          <w:rFonts w:hint="eastAsia" w:ascii="宋体" w:hAnsi="宋体"/>
          <w:bCs/>
          <w:color w:val="auto"/>
          <w:sz w:val="24"/>
          <w:highlight w:val="none"/>
        </w:rPr>
        <w:t>评标方法（</w:t>
      </w:r>
      <w:r>
        <w:rPr>
          <w:rFonts w:hint="eastAsia" w:ascii="宋体" w:hAnsi="宋体"/>
          <w:bCs/>
          <w:color w:val="auto"/>
          <w:sz w:val="24"/>
          <w:highlight w:val="none"/>
          <w:lang w:val="en-US" w:eastAsia="zh-CN"/>
        </w:rPr>
        <w:t>最低投标价法</w:t>
      </w:r>
      <w:r>
        <w:rPr>
          <w:rFonts w:hint="eastAsia" w:ascii="宋体" w:hAnsi="宋体"/>
          <w:bCs/>
          <w:color w:val="auto"/>
          <w:sz w:val="24"/>
          <w:highlight w:val="none"/>
        </w:rPr>
        <w:t>）</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24.1</w:t>
      </w:r>
      <w:r>
        <w:rPr>
          <w:rFonts w:ascii="宋体" w:hAnsi="宋体"/>
          <w:color w:val="auto"/>
          <w:sz w:val="24"/>
          <w:highlight w:val="none"/>
        </w:rPr>
        <w:tab/>
      </w:r>
      <w:r>
        <w:rPr>
          <w:rFonts w:hint="eastAsia" w:ascii="宋体" w:hAnsi="宋体"/>
          <w:color w:val="auto"/>
          <w:sz w:val="24"/>
          <w:highlight w:val="none"/>
          <w:lang w:val="en-US" w:eastAsia="zh-CN"/>
        </w:rPr>
        <w:t>最低投标价法</w:t>
      </w:r>
      <w:r>
        <w:rPr>
          <w:rFonts w:hint="eastAsia" w:ascii="宋体" w:hAnsi="宋体"/>
          <w:color w:val="auto"/>
          <w:sz w:val="24"/>
          <w:highlight w:val="none"/>
        </w:rPr>
        <w:t>，评标委员会按照招标文件中规定的各项因素进行综合评审后，在全部满足招标文件实质性要求前提下，依据统一的价格要素评定最低报价，按投标报价由低到高顺序排列，以提出最低报价的投标人作为中标候选供应商或者中标供应商。报价相同的，由采购人或者采购人委托评标委员会按照招标文件规定的方式确定一个参加评标的投标人，招标文件未规定的采取随机抽取方式确定，其他投标无效。</w:t>
      </w:r>
    </w:p>
    <w:p>
      <w:pPr>
        <w:spacing w:line="360" w:lineRule="auto"/>
        <w:ind w:left="714" w:leftChars="1" w:hanging="712" w:hangingChars="297"/>
        <w:rPr>
          <w:rFonts w:ascii="宋体"/>
          <w:color w:val="auto"/>
          <w:sz w:val="24"/>
          <w:highlight w:val="none"/>
        </w:rPr>
      </w:pPr>
    </w:p>
    <w:p>
      <w:pPr>
        <w:spacing w:line="360" w:lineRule="auto"/>
        <w:rPr>
          <w:rFonts w:ascii="宋体"/>
          <w:color w:val="auto"/>
          <w:sz w:val="24"/>
          <w:szCs w:val="20"/>
          <w:highlight w:val="none"/>
        </w:rPr>
      </w:pPr>
      <w:r>
        <w:rPr>
          <w:rFonts w:ascii="宋体" w:hAnsi="宋体"/>
          <w:color w:val="auto"/>
          <w:sz w:val="24"/>
          <w:szCs w:val="20"/>
          <w:highlight w:val="none"/>
        </w:rPr>
        <w:t>24.2</w:t>
      </w:r>
      <w:r>
        <w:rPr>
          <w:rFonts w:ascii="宋体" w:hAnsi="宋体"/>
          <w:color w:val="auto"/>
          <w:sz w:val="24"/>
          <w:szCs w:val="20"/>
          <w:highlight w:val="none"/>
        </w:rPr>
        <w:tab/>
      </w:r>
      <w:r>
        <w:rPr>
          <w:rFonts w:hint="eastAsia" w:ascii="宋体" w:hAnsi="宋体"/>
          <w:color w:val="auto"/>
          <w:sz w:val="24"/>
          <w:szCs w:val="20"/>
          <w:highlight w:val="none"/>
        </w:rPr>
        <w:t>评标标准</w:t>
      </w:r>
    </w:p>
    <w:tbl>
      <w:tblPr>
        <w:tblStyle w:val="31"/>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3"/>
        <w:gridCol w:w="6593"/>
        <w:gridCol w:w="61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项目</w:t>
            </w:r>
          </w:p>
        </w:tc>
        <w:tc>
          <w:tcPr>
            <w:tcW w:w="703"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序号</w:t>
            </w:r>
          </w:p>
        </w:tc>
        <w:tc>
          <w:tcPr>
            <w:tcW w:w="6593"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评审内容</w:t>
            </w:r>
          </w:p>
        </w:tc>
        <w:tc>
          <w:tcPr>
            <w:tcW w:w="1397" w:type="dxa"/>
            <w:gridSpan w:val="2"/>
            <w:vAlign w:val="center"/>
          </w:tcPr>
          <w:p>
            <w:pPr>
              <w:autoSpaceDE w:val="0"/>
              <w:autoSpaceDN w:val="0"/>
              <w:spacing w:line="0" w:lineRule="atLeast"/>
              <w:jc w:val="center"/>
              <w:rPr>
                <w:color w:val="FF0000"/>
                <w:sz w:val="18"/>
                <w:szCs w:val="18"/>
                <w:highlight w:val="none"/>
              </w:rPr>
            </w:pPr>
            <w:r>
              <w:rPr>
                <w:color w:val="FF0000"/>
                <w:sz w:val="18"/>
                <w:szCs w:val="18"/>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restart"/>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资格审查</w:t>
            </w:r>
          </w:p>
        </w:tc>
        <w:tc>
          <w:tcPr>
            <w:tcW w:w="703" w:type="dxa"/>
            <w:vAlign w:val="center"/>
          </w:tcPr>
          <w:p>
            <w:pPr>
              <w:autoSpaceDE w:val="0"/>
              <w:autoSpaceDN w:val="0"/>
              <w:spacing w:line="0" w:lineRule="atLeast"/>
              <w:jc w:val="center"/>
              <w:rPr>
                <w:color w:val="FF0000"/>
                <w:sz w:val="18"/>
                <w:szCs w:val="18"/>
                <w:highlight w:val="none"/>
              </w:rPr>
            </w:pPr>
          </w:p>
        </w:tc>
        <w:tc>
          <w:tcPr>
            <w:tcW w:w="6593" w:type="dxa"/>
            <w:vAlign w:val="center"/>
          </w:tcPr>
          <w:p>
            <w:pPr>
              <w:autoSpaceDE w:val="0"/>
              <w:autoSpaceDN w:val="0"/>
              <w:spacing w:line="0" w:lineRule="atLeast"/>
              <w:rPr>
                <w:color w:val="FF0000"/>
                <w:sz w:val="18"/>
                <w:szCs w:val="18"/>
                <w:highlight w:val="none"/>
              </w:rPr>
            </w:pPr>
          </w:p>
        </w:tc>
        <w:tc>
          <w:tcPr>
            <w:tcW w:w="612" w:type="dxa"/>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通过</w:t>
            </w:r>
          </w:p>
        </w:tc>
        <w:tc>
          <w:tcPr>
            <w:tcW w:w="785" w:type="dxa"/>
            <w:vAlign w:val="center"/>
          </w:tcPr>
          <w:p>
            <w:pPr>
              <w:autoSpaceDE w:val="0"/>
              <w:autoSpaceDN w:val="0"/>
              <w:spacing w:line="0" w:lineRule="atLeast"/>
              <w:jc w:val="center"/>
              <w:rPr>
                <w:color w:val="FF0000"/>
                <w:sz w:val="18"/>
                <w:szCs w:val="18"/>
                <w:highlight w:val="none"/>
              </w:rPr>
            </w:pPr>
            <w:r>
              <w:rPr>
                <w:rFonts w:hint="eastAsia"/>
                <w:color w:val="FF0000"/>
                <w:sz w:val="18"/>
                <w:szCs w:val="18"/>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autoSpaceDE w:val="0"/>
              <w:autoSpaceDN w:val="0"/>
              <w:spacing w:line="0" w:lineRule="atLeast"/>
              <w:jc w:val="center"/>
              <w:rPr>
                <w:rFonts w:hint="eastAsia"/>
                <w:color w:val="FF0000"/>
                <w:sz w:val="18"/>
                <w:szCs w:val="18"/>
                <w:highlight w:val="none"/>
              </w:rPr>
            </w:pPr>
          </w:p>
        </w:tc>
        <w:tc>
          <w:tcPr>
            <w:tcW w:w="703"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1</w:t>
            </w:r>
          </w:p>
        </w:tc>
        <w:tc>
          <w:tcPr>
            <w:tcW w:w="6593" w:type="dxa"/>
            <w:vAlign w:val="center"/>
          </w:tcPr>
          <w:p>
            <w:pPr>
              <w:widowControl/>
              <w:rPr>
                <w:rFonts w:ascii="宋体" w:hAnsi="宋体" w:cs="宋体"/>
                <w:color w:val="FF0000"/>
                <w:kern w:val="0"/>
                <w:sz w:val="18"/>
                <w:szCs w:val="18"/>
                <w:highlight w:val="none"/>
              </w:rPr>
            </w:pPr>
            <w:r>
              <w:rPr>
                <w:rFonts w:hint="eastAsia" w:ascii="宋体" w:hAnsi="宋体" w:cs="宋体"/>
                <w:color w:val="FF0000"/>
                <w:kern w:val="0"/>
                <w:sz w:val="18"/>
                <w:szCs w:val="18"/>
                <w:highlight w:val="none"/>
              </w:rPr>
              <w:t>是否提供合格的企业法人营业执照（或</w:t>
            </w:r>
            <w:r>
              <w:rPr>
                <w:rFonts w:hint="eastAsia" w:ascii="宋体" w:hAnsi="宋体" w:cs="宋体"/>
                <w:color w:val="FF0000"/>
                <w:kern w:val="0"/>
                <w:sz w:val="18"/>
                <w:szCs w:val="18"/>
                <w:highlight w:val="none"/>
                <w:lang w:eastAsia="zh-CN"/>
              </w:rPr>
              <w:t>五</w:t>
            </w:r>
            <w:r>
              <w:rPr>
                <w:rFonts w:hint="eastAsia" w:ascii="宋体" w:hAnsi="宋体" w:cs="宋体"/>
                <w:color w:val="FF0000"/>
                <w:kern w:val="0"/>
                <w:sz w:val="18"/>
                <w:szCs w:val="18"/>
                <w:highlight w:val="none"/>
              </w:rPr>
              <w:t>证合一</w:t>
            </w:r>
            <w:r>
              <w:rPr>
                <w:rFonts w:hint="eastAsia" w:ascii="宋体" w:hAnsi="宋体" w:cs="宋体"/>
                <w:color w:val="FF0000"/>
                <w:kern w:val="0"/>
                <w:sz w:val="18"/>
                <w:szCs w:val="18"/>
                <w:highlight w:val="none"/>
                <w:lang w:eastAsia="zh-CN"/>
              </w:rPr>
              <w:t>、三证合一、</w:t>
            </w:r>
            <w:r>
              <w:rPr>
                <w:rFonts w:hint="eastAsia" w:ascii="宋体" w:hAnsi="宋体" w:cs="宋体"/>
                <w:color w:val="FF0000"/>
                <w:kern w:val="0"/>
                <w:sz w:val="18"/>
                <w:szCs w:val="18"/>
                <w:highlight w:val="none"/>
              </w:rPr>
              <w:t>须有相应经营范围）；</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color w:val="FF0000"/>
                <w:sz w:val="18"/>
                <w:szCs w:val="18"/>
                <w:highlight w:val="none"/>
              </w:rPr>
            </w:pPr>
            <w:r>
              <w:rPr>
                <w:rFonts w:hint="eastAsia"/>
                <w:color w:val="FF0000"/>
                <w:sz w:val="18"/>
                <w:szCs w:val="18"/>
                <w:highlight w:val="none"/>
              </w:rPr>
              <w:t>2</w:t>
            </w:r>
          </w:p>
        </w:tc>
        <w:tc>
          <w:tcPr>
            <w:tcW w:w="6593" w:type="dxa"/>
            <w:vAlign w:val="center"/>
          </w:tcPr>
          <w:p>
            <w:pPr>
              <w:widowControl/>
              <w:rPr>
                <w:rFonts w:ascii="宋体" w:hAnsi="宋体" w:cs="宋体"/>
                <w:color w:val="FF0000"/>
                <w:kern w:val="0"/>
                <w:sz w:val="18"/>
                <w:szCs w:val="18"/>
                <w:highlight w:val="none"/>
              </w:rPr>
            </w:pPr>
            <w:r>
              <w:rPr>
                <w:rFonts w:hint="eastAsia" w:ascii="宋体" w:hAnsi="宋体" w:cs="宋体"/>
                <w:color w:val="FF0000"/>
                <w:kern w:val="0"/>
                <w:sz w:val="18"/>
                <w:szCs w:val="18"/>
                <w:highlight w:val="none"/>
                <w:lang w:eastAsia="zh-CN"/>
              </w:rPr>
              <w:t>投标文件是否按照规定进行胶装、标记的；</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val="en-US" w:eastAsia="zh-CN"/>
              </w:rPr>
            </w:pPr>
            <w:r>
              <w:rPr>
                <w:rFonts w:hint="eastAsia"/>
                <w:color w:val="FF0000"/>
                <w:sz w:val="18"/>
                <w:szCs w:val="18"/>
                <w:highlight w:val="none"/>
                <w:lang w:val="en-US" w:eastAsia="zh-CN"/>
              </w:rPr>
              <w:t>3</w:t>
            </w:r>
          </w:p>
        </w:tc>
        <w:tc>
          <w:tcPr>
            <w:tcW w:w="6593" w:type="dxa"/>
            <w:vAlign w:val="center"/>
          </w:tcPr>
          <w:p>
            <w:pPr>
              <w:pStyle w:val="2"/>
              <w:numPr>
                <w:ilvl w:val="1"/>
                <w:numId w:val="0"/>
              </w:numPr>
              <w:ind w:leftChars="0"/>
              <w:rPr>
                <w:rFonts w:hint="eastAsia" w:ascii="宋体" w:hAnsi="宋体" w:cs="宋体"/>
                <w:color w:val="FF0000"/>
                <w:kern w:val="0"/>
                <w:sz w:val="18"/>
                <w:szCs w:val="18"/>
                <w:highlight w:val="none"/>
                <w:lang w:eastAsia="zh-CN"/>
              </w:rPr>
            </w:pPr>
            <w:r>
              <w:rPr>
                <w:rFonts w:hint="eastAsia" w:ascii="宋体" w:hAnsi="宋体" w:eastAsia="宋体" w:cs="宋体"/>
                <w:color w:val="FF0000"/>
                <w:kern w:val="0"/>
                <w:sz w:val="18"/>
                <w:szCs w:val="18"/>
                <w:highlight w:val="none"/>
                <w:lang w:val="en-US" w:eastAsia="zh-CN" w:bidi="ar-SA"/>
              </w:rPr>
              <w:t>食品经营许可证、生产许可证（不是生产厂家直接投标的，提供复印件加盖公司鲜红公章）；近期产品质量检测报告及相应资质证明文件；</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color w:val="FF0000"/>
                <w:sz w:val="18"/>
                <w:szCs w:val="18"/>
                <w:highlight w:val="none"/>
                <w:lang w:val="en-US" w:eastAsia="zh-CN"/>
              </w:rPr>
            </w:pPr>
            <w:r>
              <w:rPr>
                <w:rFonts w:hint="eastAsia"/>
                <w:color w:val="FF0000"/>
                <w:sz w:val="18"/>
                <w:szCs w:val="18"/>
                <w:highlight w:val="none"/>
                <w:lang w:val="en-US" w:eastAsia="zh-CN"/>
              </w:rPr>
              <w:t>4</w:t>
            </w:r>
          </w:p>
        </w:tc>
        <w:tc>
          <w:tcPr>
            <w:tcW w:w="6593" w:type="dxa"/>
            <w:vAlign w:val="center"/>
          </w:tcPr>
          <w:p>
            <w:pPr>
              <w:pStyle w:val="2"/>
              <w:numPr>
                <w:ilvl w:val="1"/>
                <w:numId w:val="0"/>
              </w:numPr>
              <w:ind w:leftChars="0"/>
              <w:rPr>
                <w:rFonts w:hint="eastAsia" w:ascii="宋体" w:hAnsi="宋体" w:eastAsia="宋体" w:cs="宋体"/>
                <w:color w:val="FF0000"/>
                <w:kern w:val="0"/>
                <w:sz w:val="18"/>
                <w:szCs w:val="18"/>
                <w:highlight w:val="none"/>
                <w:lang w:val="en-US" w:eastAsia="zh-CN" w:bidi="ar-SA"/>
              </w:rPr>
            </w:pPr>
            <w:r>
              <w:rPr>
                <w:rFonts w:hint="eastAsia" w:ascii="宋体" w:hAnsi="宋体" w:eastAsia="宋体" w:cs="宋体"/>
                <w:color w:val="FF0000"/>
                <w:kern w:val="0"/>
                <w:sz w:val="18"/>
                <w:szCs w:val="18"/>
                <w:highlight w:val="none"/>
                <w:lang w:val="en-US" w:eastAsia="zh-CN" w:bidi="ar-SA"/>
              </w:rPr>
              <w:t>“中国学生饮用奶定点生产企业”证书、标牌或具备新疆维吾尔自治区奶业办公室出具给中国奶业协会的推荐函（由新疆维吾尔自治区畜牧厅、教育厅、质量技术监督局联合下发文件中所包含企业）,并具有行业《生产许可证》、近期产品质量检测报告及相应资质证明文件；</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color w:val="FF0000"/>
                <w:sz w:val="18"/>
                <w:szCs w:val="18"/>
                <w:highlight w:val="none"/>
                <w:lang w:val="en-US" w:eastAsia="zh-CN"/>
              </w:rPr>
            </w:pPr>
            <w:r>
              <w:rPr>
                <w:rFonts w:hint="eastAsia"/>
                <w:color w:val="FF0000"/>
                <w:sz w:val="18"/>
                <w:szCs w:val="18"/>
                <w:highlight w:val="none"/>
                <w:lang w:val="en-US" w:eastAsia="zh-CN"/>
              </w:rPr>
              <w:t>5</w:t>
            </w:r>
          </w:p>
        </w:tc>
        <w:tc>
          <w:tcPr>
            <w:tcW w:w="6593" w:type="dxa"/>
            <w:vAlign w:val="center"/>
          </w:tcPr>
          <w:p>
            <w:pPr>
              <w:widowControl/>
              <w:rPr>
                <w:rFonts w:hint="eastAsia" w:ascii="宋体" w:hAnsi="宋体" w:cs="宋体"/>
                <w:color w:val="FF0000"/>
                <w:kern w:val="0"/>
                <w:sz w:val="18"/>
                <w:szCs w:val="18"/>
                <w:highlight w:val="none"/>
                <w:lang w:eastAsia="zh-CN"/>
              </w:rPr>
            </w:pPr>
            <w:r>
              <w:rPr>
                <w:rFonts w:hint="eastAsia" w:ascii="宋体" w:hAnsi="宋体" w:cs="宋体"/>
                <w:color w:val="FF0000"/>
                <w:kern w:val="0"/>
                <w:sz w:val="18"/>
                <w:szCs w:val="18"/>
                <w:highlight w:val="none"/>
                <w:lang w:val="en-US" w:eastAsia="zh-CN"/>
              </w:rPr>
              <w:t>提供配送车辆的机动车辆行驶证，驾驶员及配送人员健康证</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Merge w:val="restart"/>
            <w:vAlign w:val="center"/>
          </w:tcPr>
          <w:p>
            <w:pPr>
              <w:autoSpaceDE w:val="0"/>
              <w:autoSpaceDN w:val="0"/>
              <w:spacing w:line="0" w:lineRule="atLeast"/>
              <w:jc w:val="center"/>
              <w:rPr>
                <w:rFonts w:hint="default"/>
                <w:color w:val="FF0000"/>
                <w:sz w:val="18"/>
                <w:szCs w:val="18"/>
                <w:highlight w:val="none"/>
                <w:lang w:val="en-US" w:eastAsia="zh-CN"/>
              </w:rPr>
            </w:pPr>
            <w:r>
              <w:rPr>
                <w:rFonts w:hint="eastAsia"/>
                <w:color w:val="FF0000"/>
                <w:sz w:val="18"/>
                <w:szCs w:val="18"/>
                <w:highlight w:val="none"/>
                <w:lang w:val="en-US" w:eastAsia="zh-CN"/>
              </w:rPr>
              <w:t>5</w:t>
            </w:r>
          </w:p>
        </w:tc>
        <w:tc>
          <w:tcPr>
            <w:tcW w:w="6593" w:type="dxa"/>
            <w:vAlign w:val="center"/>
          </w:tcPr>
          <w:p>
            <w:pPr>
              <w:autoSpaceDE w:val="0"/>
              <w:autoSpaceDN w:val="0"/>
              <w:spacing w:line="240" w:lineRule="atLeast"/>
              <w:rPr>
                <w:color w:val="FF0000"/>
                <w:sz w:val="18"/>
                <w:szCs w:val="18"/>
                <w:highlight w:val="none"/>
              </w:rPr>
            </w:pPr>
            <w:r>
              <w:rPr>
                <w:rFonts w:hint="eastAsia"/>
                <w:color w:val="FF0000"/>
                <w:sz w:val="18"/>
                <w:szCs w:val="18"/>
                <w:highlight w:val="none"/>
              </w:rPr>
              <w:t>符合《政府采购法》第二十二条规定的条件</w:t>
            </w:r>
          </w:p>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（一）具有独立承担民事责任的能力；</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593"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（二）具有良好的商业信誉和健全的</w:t>
            </w:r>
            <w:r>
              <w:rPr>
                <w:color w:val="FF0000"/>
                <w:highlight w:val="none"/>
              </w:rPr>
              <w:fldChar w:fldCharType="begin"/>
            </w:r>
            <w:r>
              <w:rPr>
                <w:color w:val="FF0000"/>
                <w:highlight w:val="none"/>
              </w:rPr>
              <w:instrText xml:space="preserve"> HYPERLINK "https://www.baidu.com/s?wd=财务会计制度&amp;tn=SE_PcZhidaonwhc_ngpagmjz&amp;rsv_dl=gh_pc_zhidao" </w:instrText>
            </w:r>
            <w:r>
              <w:rPr>
                <w:color w:val="FF0000"/>
                <w:highlight w:val="none"/>
              </w:rPr>
              <w:fldChar w:fldCharType="separate"/>
            </w:r>
            <w:r>
              <w:rPr>
                <w:rFonts w:hint="eastAsia"/>
                <w:color w:val="FF0000"/>
                <w:sz w:val="18"/>
                <w:szCs w:val="18"/>
                <w:highlight w:val="none"/>
              </w:rPr>
              <w:t>财务会计制度</w:t>
            </w:r>
            <w:r>
              <w:rPr>
                <w:rFonts w:hint="eastAsia"/>
                <w:color w:val="FF0000"/>
                <w:sz w:val="18"/>
                <w:szCs w:val="18"/>
                <w:highlight w:val="none"/>
              </w:rPr>
              <w:fldChar w:fldCharType="end"/>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593"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（三）具有履行合同所必需的设备和专业技术能力；</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593"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（四）有依法缴纳税收和</w:t>
            </w:r>
            <w:r>
              <w:rPr>
                <w:color w:val="FF0000"/>
                <w:highlight w:val="none"/>
              </w:rPr>
              <w:fldChar w:fldCharType="begin"/>
            </w:r>
            <w:r>
              <w:rPr>
                <w:color w:val="FF0000"/>
                <w:highlight w:val="none"/>
              </w:rPr>
              <w:instrText xml:space="preserve"> HYPERLINK "https://www.baidu.com/s?wd=社会保障资金&amp;tn=SE_PcZhidaonwhc_ngpagmjz&amp;rsv_dl=gh_pc_zhidao" </w:instrText>
            </w:r>
            <w:r>
              <w:rPr>
                <w:color w:val="FF0000"/>
                <w:highlight w:val="none"/>
              </w:rPr>
              <w:fldChar w:fldCharType="separate"/>
            </w:r>
            <w:r>
              <w:rPr>
                <w:rFonts w:hint="eastAsia"/>
                <w:color w:val="FF0000"/>
                <w:sz w:val="18"/>
                <w:szCs w:val="18"/>
                <w:highlight w:val="none"/>
              </w:rPr>
              <w:t>社会保障资金</w:t>
            </w:r>
            <w:r>
              <w:rPr>
                <w:rFonts w:hint="eastAsia"/>
                <w:color w:val="FF0000"/>
                <w:sz w:val="18"/>
                <w:szCs w:val="18"/>
                <w:highlight w:val="none"/>
              </w:rPr>
              <w:fldChar w:fldCharType="end"/>
            </w:r>
            <w:r>
              <w:rPr>
                <w:rFonts w:hint="eastAsia"/>
                <w:color w:val="FF0000"/>
                <w:sz w:val="18"/>
                <w:szCs w:val="18"/>
                <w:highlight w:val="none"/>
              </w:rPr>
              <w:t>的良好记录；</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Merge w:val="continue"/>
            <w:vAlign w:val="center"/>
          </w:tcPr>
          <w:p>
            <w:pPr>
              <w:autoSpaceDE w:val="0"/>
              <w:autoSpaceDN w:val="0"/>
              <w:spacing w:line="0" w:lineRule="atLeast"/>
              <w:jc w:val="center"/>
              <w:rPr>
                <w:rFonts w:hint="eastAsia"/>
                <w:color w:val="FF0000"/>
                <w:sz w:val="18"/>
                <w:szCs w:val="18"/>
                <w:highlight w:val="none"/>
                <w:lang w:val="en-US" w:eastAsia="zh-CN"/>
              </w:rPr>
            </w:pPr>
          </w:p>
        </w:tc>
        <w:tc>
          <w:tcPr>
            <w:tcW w:w="6593" w:type="dxa"/>
            <w:vAlign w:val="center"/>
          </w:tcPr>
          <w:p>
            <w:pPr>
              <w:autoSpaceDE w:val="0"/>
              <w:autoSpaceDN w:val="0"/>
              <w:spacing w:line="240" w:lineRule="atLeast"/>
              <w:rPr>
                <w:rFonts w:hint="eastAsia" w:ascii="宋体" w:hAnsi="宋体" w:cs="宋体"/>
                <w:color w:val="FF0000"/>
                <w:kern w:val="0"/>
                <w:sz w:val="18"/>
                <w:szCs w:val="18"/>
                <w:highlight w:val="none"/>
                <w:lang w:eastAsia="zh-CN"/>
              </w:rPr>
            </w:pPr>
            <w:r>
              <w:rPr>
                <w:rFonts w:hint="eastAsia"/>
                <w:color w:val="FF0000"/>
                <w:sz w:val="18"/>
                <w:szCs w:val="18"/>
                <w:highlight w:val="none"/>
              </w:rPr>
              <w:t>（五）参加政府采购活动前三年内，在经营活动中没有重大违法记录；</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default"/>
                <w:color w:val="FF0000"/>
                <w:sz w:val="18"/>
                <w:szCs w:val="18"/>
                <w:highlight w:val="none"/>
                <w:lang w:val="en-US" w:eastAsia="zh-CN"/>
              </w:rPr>
            </w:pPr>
            <w:r>
              <w:rPr>
                <w:rFonts w:hint="eastAsia"/>
                <w:color w:val="FF0000"/>
                <w:sz w:val="18"/>
                <w:szCs w:val="18"/>
                <w:highlight w:val="none"/>
                <w:lang w:val="en-US" w:eastAsia="zh-CN"/>
              </w:rPr>
              <w:t>6</w:t>
            </w:r>
          </w:p>
        </w:tc>
        <w:tc>
          <w:tcPr>
            <w:tcW w:w="6593" w:type="dxa"/>
            <w:vAlign w:val="center"/>
          </w:tcPr>
          <w:p>
            <w:pPr>
              <w:autoSpaceDE w:val="0"/>
              <w:autoSpaceDN w:val="0"/>
              <w:spacing w:line="240" w:lineRule="atLeast"/>
              <w:rPr>
                <w:rFonts w:hint="default" w:eastAsia="宋体"/>
                <w:color w:val="FF0000"/>
                <w:sz w:val="18"/>
                <w:szCs w:val="18"/>
                <w:highlight w:val="none"/>
                <w:lang w:val="en-US" w:eastAsia="zh-CN"/>
              </w:rPr>
            </w:pPr>
            <w:r>
              <w:rPr>
                <w:rFonts w:hint="eastAsia"/>
                <w:color w:val="FF0000"/>
                <w:sz w:val="18"/>
                <w:szCs w:val="18"/>
                <w:highlight w:val="none"/>
                <w:lang w:val="en-US" w:eastAsia="zh-CN"/>
              </w:rPr>
              <w:t>是否在规定日期内缴纳投标保证金</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restart"/>
            <w:vAlign w:val="center"/>
          </w:tcPr>
          <w:p>
            <w:pPr>
              <w:autoSpaceDE w:val="0"/>
              <w:autoSpaceDN w:val="0"/>
              <w:spacing w:line="0" w:lineRule="atLeast"/>
              <w:jc w:val="center"/>
              <w:rPr>
                <w:color w:val="FF0000"/>
                <w:sz w:val="18"/>
                <w:szCs w:val="18"/>
                <w:highlight w:val="none"/>
              </w:rPr>
            </w:pPr>
            <w:r>
              <w:rPr>
                <w:color w:val="FF0000"/>
                <w:sz w:val="18"/>
                <w:szCs w:val="18"/>
                <w:highlight w:val="none"/>
              </w:rPr>
              <w:t>响应性</w:t>
            </w:r>
          </w:p>
          <w:p>
            <w:pPr>
              <w:autoSpaceDE w:val="0"/>
              <w:autoSpaceDN w:val="0"/>
              <w:spacing w:line="0" w:lineRule="atLeast"/>
              <w:jc w:val="center"/>
              <w:rPr>
                <w:color w:val="FF0000"/>
                <w:sz w:val="18"/>
                <w:szCs w:val="18"/>
                <w:highlight w:val="none"/>
              </w:rPr>
            </w:pPr>
            <w:r>
              <w:rPr>
                <w:color w:val="FF0000"/>
                <w:sz w:val="18"/>
                <w:szCs w:val="18"/>
                <w:highlight w:val="none"/>
              </w:rPr>
              <w:t>评审</w:t>
            </w:r>
          </w:p>
        </w:tc>
        <w:tc>
          <w:tcPr>
            <w:tcW w:w="703" w:type="dxa"/>
            <w:vAlign w:val="center"/>
          </w:tcPr>
          <w:p>
            <w:pPr>
              <w:autoSpaceDE w:val="0"/>
              <w:autoSpaceDN w:val="0"/>
              <w:spacing w:line="0" w:lineRule="atLeast"/>
              <w:jc w:val="center"/>
              <w:rPr>
                <w:color w:val="FF0000"/>
                <w:sz w:val="18"/>
                <w:szCs w:val="18"/>
                <w:highlight w:val="none"/>
              </w:rPr>
            </w:pPr>
            <w:r>
              <w:rPr>
                <w:color w:val="FF0000"/>
                <w:sz w:val="18"/>
                <w:szCs w:val="18"/>
                <w:highlight w:val="none"/>
              </w:rPr>
              <w:t>1</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投标文件是否有投标单位法定代表人或其</w:t>
            </w:r>
            <w:r>
              <w:rPr>
                <w:rFonts w:hint="eastAsia"/>
                <w:color w:val="FF0000"/>
                <w:sz w:val="18"/>
                <w:szCs w:val="18"/>
                <w:highlight w:val="none"/>
              </w:rPr>
              <w:t>委托代理人（签字或签章）</w:t>
            </w:r>
            <w:r>
              <w:rPr>
                <w:color w:val="FF0000"/>
                <w:sz w:val="18"/>
                <w:szCs w:val="18"/>
                <w:highlight w:val="none"/>
              </w:rPr>
              <w:t>和加盖了投标单位的</w:t>
            </w:r>
            <w:r>
              <w:rPr>
                <w:rFonts w:hint="eastAsia"/>
                <w:color w:val="FF0000"/>
                <w:sz w:val="18"/>
                <w:szCs w:val="18"/>
                <w:highlight w:val="none"/>
              </w:rPr>
              <w:t>盖章，投标文件的装订是否符合招标文件要求；</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2</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投标人是否对同一招标项目做出两个以上报价而未明确效力</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3</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技术性能、技术参数是否满足招标文件要求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4</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货物到货地点是否符合招标文件要求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5</w:t>
            </w:r>
          </w:p>
        </w:tc>
        <w:tc>
          <w:tcPr>
            <w:tcW w:w="6593" w:type="dxa"/>
            <w:vAlign w:val="center"/>
          </w:tcPr>
          <w:p>
            <w:pPr>
              <w:autoSpaceDE w:val="0"/>
              <w:autoSpaceDN w:val="0"/>
              <w:spacing w:line="0" w:lineRule="atLeast"/>
              <w:rPr>
                <w:color w:val="FF0000"/>
                <w:sz w:val="18"/>
                <w:szCs w:val="18"/>
                <w:highlight w:val="none"/>
              </w:rPr>
            </w:pPr>
            <w:r>
              <w:rPr>
                <w:rFonts w:hint="eastAsia"/>
                <w:color w:val="FF0000"/>
                <w:sz w:val="18"/>
                <w:szCs w:val="18"/>
                <w:highlight w:val="none"/>
                <w:lang w:val="en-US" w:eastAsia="zh-CN"/>
              </w:rPr>
              <w:t>项目实施计划、方案的编制是否具体详细</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6</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售后服务最短时间是否满足招标文件要求</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88" w:type="dxa"/>
            <w:vMerge w:val="continue"/>
            <w:vAlign w:val="center"/>
          </w:tcPr>
          <w:p>
            <w:pPr>
              <w:widowControl/>
              <w:spacing w:line="0" w:lineRule="atLeast"/>
              <w:jc w:val="left"/>
              <w:rPr>
                <w:color w:val="FF0000"/>
                <w:sz w:val="18"/>
                <w:szCs w:val="18"/>
                <w:highlight w:val="none"/>
              </w:rPr>
            </w:pPr>
          </w:p>
        </w:tc>
        <w:tc>
          <w:tcPr>
            <w:tcW w:w="703" w:type="dxa"/>
            <w:vAlign w:val="center"/>
          </w:tcPr>
          <w:p>
            <w:pPr>
              <w:autoSpaceDE w:val="0"/>
              <w:autoSpaceDN w:val="0"/>
              <w:spacing w:line="0" w:lineRule="atLeast"/>
              <w:jc w:val="center"/>
              <w:rPr>
                <w:rFonts w:hint="eastAsia" w:eastAsia="宋体"/>
                <w:color w:val="FF0000"/>
                <w:sz w:val="18"/>
                <w:szCs w:val="18"/>
                <w:highlight w:val="none"/>
                <w:lang w:eastAsia="zh-CN"/>
              </w:rPr>
            </w:pPr>
            <w:r>
              <w:rPr>
                <w:rFonts w:hint="eastAsia"/>
                <w:color w:val="FF0000"/>
                <w:sz w:val="18"/>
                <w:szCs w:val="18"/>
                <w:highlight w:val="none"/>
                <w:lang w:val="en-US" w:eastAsia="zh-CN"/>
              </w:rPr>
              <w:t>7</w:t>
            </w:r>
          </w:p>
        </w:tc>
        <w:tc>
          <w:tcPr>
            <w:tcW w:w="6593" w:type="dxa"/>
            <w:vAlign w:val="center"/>
          </w:tcPr>
          <w:p>
            <w:pPr>
              <w:autoSpaceDE w:val="0"/>
              <w:autoSpaceDN w:val="0"/>
              <w:spacing w:line="0" w:lineRule="atLeast"/>
              <w:rPr>
                <w:color w:val="FF0000"/>
                <w:sz w:val="18"/>
                <w:szCs w:val="18"/>
                <w:highlight w:val="none"/>
              </w:rPr>
            </w:pPr>
            <w:r>
              <w:rPr>
                <w:color w:val="FF0000"/>
                <w:sz w:val="18"/>
                <w:szCs w:val="18"/>
                <w:highlight w:val="none"/>
              </w:rPr>
              <w:t>投标文件是否附有招标人不能接受的条件</w:t>
            </w:r>
            <w:r>
              <w:rPr>
                <w:rFonts w:hint="eastAsia"/>
                <w:color w:val="FF0000"/>
                <w:sz w:val="18"/>
                <w:szCs w:val="18"/>
                <w:highlight w:val="none"/>
              </w:rPr>
              <w:t>；</w:t>
            </w:r>
          </w:p>
        </w:tc>
        <w:tc>
          <w:tcPr>
            <w:tcW w:w="612" w:type="dxa"/>
            <w:vAlign w:val="top"/>
          </w:tcPr>
          <w:p>
            <w:pPr>
              <w:autoSpaceDE w:val="0"/>
              <w:autoSpaceDN w:val="0"/>
              <w:spacing w:line="0" w:lineRule="atLeast"/>
              <w:jc w:val="left"/>
              <w:rPr>
                <w:color w:val="FF0000"/>
                <w:sz w:val="18"/>
                <w:szCs w:val="18"/>
                <w:highlight w:val="none"/>
              </w:rPr>
            </w:pPr>
          </w:p>
        </w:tc>
        <w:tc>
          <w:tcPr>
            <w:tcW w:w="785" w:type="dxa"/>
            <w:vAlign w:val="top"/>
          </w:tcPr>
          <w:p>
            <w:pPr>
              <w:autoSpaceDE w:val="0"/>
              <w:autoSpaceDN w:val="0"/>
              <w:spacing w:line="0" w:lineRule="atLeast"/>
              <w:jc w:val="left"/>
              <w:rPr>
                <w:rFonts w:hint="eastAsia"/>
                <w:color w:val="FF0000"/>
                <w:sz w:val="18"/>
                <w:szCs w:val="18"/>
                <w:highlight w:val="none"/>
              </w:rPr>
            </w:pPr>
          </w:p>
        </w:tc>
      </w:tr>
    </w:tbl>
    <w:p>
      <w:pPr>
        <w:spacing w:line="360" w:lineRule="auto"/>
        <w:rPr>
          <w:rFonts w:ascii="宋体" w:hAnsi="宋体"/>
          <w:b/>
          <w:bCs/>
          <w:color w:val="FF0000"/>
          <w:sz w:val="24"/>
          <w:highlight w:val="none"/>
        </w:rPr>
      </w:pPr>
    </w:p>
    <w:p>
      <w:pPr>
        <w:spacing w:line="360" w:lineRule="auto"/>
        <w:rPr>
          <w:rFonts w:ascii="宋体"/>
          <w:b/>
          <w:bCs/>
          <w:color w:val="auto"/>
          <w:sz w:val="24"/>
          <w:highlight w:val="none"/>
        </w:rPr>
      </w:pPr>
      <w:r>
        <w:rPr>
          <w:rFonts w:ascii="宋体" w:hAnsi="宋体"/>
          <w:b/>
          <w:bCs/>
          <w:color w:val="auto"/>
          <w:sz w:val="24"/>
          <w:highlight w:val="none"/>
        </w:rPr>
        <w:t>25.</w:t>
      </w:r>
      <w:r>
        <w:rPr>
          <w:rFonts w:ascii="宋体" w:hAnsi="宋体"/>
          <w:b/>
          <w:bCs/>
          <w:color w:val="auto"/>
          <w:sz w:val="24"/>
          <w:highlight w:val="none"/>
        </w:rPr>
        <w:tab/>
      </w:r>
      <w:r>
        <w:rPr>
          <w:rFonts w:hint="eastAsia" w:ascii="宋体" w:hAnsi="宋体"/>
          <w:b/>
          <w:bCs/>
          <w:color w:val="auto"/>
          <w:sz w:val="24"/>
          <w:highlight w:val="none"/>
        </w:rPr>
        <w:t>接受和拒绝任何或所有投标的权力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25.1</w:t>
      </w:r>
      <w:r>
        <w:rPr>
          <w:rFonts w:ascii="宋体" w:hAnsi="宋体"/>
          <w:color w:val="auto"/>
          <w:sz w:val="24"/>
          <w:highlight w:val="none"/>
        </w:rPr>
        <w:tab/>
      </w:r>
      <w:r>
        <w:rPr>
          <w:rFonts w:hint="eastAsia" w:ascii="宋体" w:hAnsi="宋体"/>
          <w:color w:val="auto"/>
          <w:sz w:val="24"/>
          <w:highlight w:val="none"/>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pPr>
      <w:r>
        <w:rPr>
          <w:rFonts w:ascii="宋体" w:hAnsi="宋体"/>
          <w:color w:val="auto"/>
          <w:sz w:val="24"/>
          <w:highlight w:val="none"/>
        </w:rPr>
        <w:t>25.2</w:t>
      </w:r>
      <w:r>
        <w:rPr>
          <w:rFonts w:ascii="宋体" w:hAnsi="宋体"/>
          <w:color w:val="auto"/>
          <w:sz w:val="24"/>
          <w:highlight w:val="none"/>
        </w:rPr>
        <w:tab/>
      </w:r>
      <w:r>
        <w:rPr>
          <w:rFonts w:hint="eastAsia" w:ascii="宋体" w:hAnsi="宋体"/>
          <w:color w:val="auto"/>
          <w:sz w:val="24"/>
          <w:highlight w:val="none"/>
        </w:rPr>
        <w:t>招标人有权根据评标情况决定接受其全部或部分的投标。</w:t>
      </w:r>
    </w:p>
    <w:p>
      <w:pPr>
        <w:spacing w:line="360" w:lineRule="auto"/>
        <w:ind w:left="718" w:leftChars="1" w:hanging="716" w:hangingChars="297"/>
        <w:jc w:val="center"/>
        <w:rPr>
          <w:rFonts w:ascii="宋体" w:hAnsi="宋体"/>
          <w:b/>
          <w:color w:val="auto"/>
          <w:sz w:val="24"/>
          <w:highlight w:val="none"/>
        </w:rPr>
      </w:pPr>
    </w:p>
    <w:p>
      <w:pPr>
        <w:spacing w:line="360" w:lineRule="auto"/>
        <w:ind w:left="718" w:leftChars="1" w:hanging="716" w:hangingChars="297"/>
        <w:jc w:val="center"/>
        <w:rPr>
          <w:rFonts w:ascii="宋体" w:hAnsi="宋体"/>
          <w:b/>
          <w:color w:val="auto"/>
          <w:sz w:val="24"/>
          <w:highlight w:val="none"/>
        </w:rPr>
      </w:pPr>
    </w:p>
    <w:p>
      <w:pPr>
        <w:spacing w:line="360" w:lineRule="auto"/>
        <w:ind w:left="718" w:leftChars="1" w:hanging="716" w:hangingChars="297"/>
        <w:jc w:val="center"/>
        <w:rPr>
          <w:rFonts w:ascii="宋体"/>
          <w:color w:val="auto"/>
          <w:sz w:val="24"/>
          <w:highlight w:val="none"/>
        </w:rPr>
      </w:pPr>
      <w:r>
        <w:rPr>
          <w:rFonts w:ascii="宋体" w:hAnsi="宋体"/>
          <w:b/>
          <w:color w:val="auto"/>
          <w:sz w:val="24"/>
          <w:highlight w:val="none"/>
        </w:rPr>
        <w:t xml:space="preserve">F   </w:t>
      </w:r>
      <w:r>
        <w:rPr>
          <w:rFonts w:hint="eastAsia" w:ascii="宋体" w:hAnsi="宋体"/>
          <w:b/>
          <w:color w:val="auto"/>
          <w:sz w:val="24"/>
          <w:highlight w:val="none"/>
        </w:rPr>
        <w:t>中标及合同签订</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中标通知</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auto"/>
          <w:sz w:val="24"/>
          <w:highlight w:val="none"/>
        </w:rPr>
        <w:t>26.1</w:t>
      </w:r>
      <w:r>
        <w:rPr>
          <w:rFonts w:ascii="宋体" w:hAnsi="宋体"/>
          <w:color w:val="auto"/>
          <w:sz w:val="24"/>
          <w:highlight w:val="none"/>
        </w:rPr>
        <w:tab/>
      </w:r>
      <w:r>
        <w:rPr>
          <w:rFonts w:hint="eastAsia" w:ascii="宋体" w:hAnsi="宋体"/>
          <w:color w:val="000000" w:themeColor="text1"/>
          <w:sz w:val="24"/>
          <w:highlight w:val="none"/>
          <w14:textFill>
            <w14:solidFill>
              <w14:schemeClr w14:val="tx1"/>
            </w14:solidFill>
          </w14:textFill>
        </w:rPr>
        <w:t>评标结束后，招标人将当众宣布评标结果，并在“新疆维吾尔自治区政府采购网”（网址：http://www.ccgp-xinjiang.gov.cn/）上予以公告。公告有效期1个</w:t>
      </w:r>
      <w:r>
        <w:rPr>
          <w:rFonts w:hint="eastAsia" w:ascii="宋体" w:hAnsi="宋体"/>
          <w:color w:val="000000" w:themeColor="text1"/>
          <w:sz w:val="24"/>
          <w:highlight w:val="none"/>
          <w:lang w:val="en-US" w:eastAsia="zh-CN"/>
          <w14:textFill>
            <w14:solidFill>
              <w14:schemeClr w14:val="tx1"/>
            </w14:solidFill>
          </w14:textFill>
        </w:rPr>
        <w:t>工作日</w:t>
      </w:r>
      <w:r>
        <w:rPr>
          <w:rFonts w:hint="eastAsia" w:ascii="宋体" w:hAnsi="宋体"/>
          <w:color w:val="000000" w:themeColor="text1"/>
          <w:sz w:val="24"/>
          <w:highlight w:val="none"/>
          <w14:textFill>
            <w14:solidFill>
              <w14:schemeClr w14:val="tx1"/>
            </w14:solidFill>
          </w14:textFill>
        </w:rPr>
        <w:t>；</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26.2</w:t>
      </w:r>
      <w:r>
        <w:rPr>
          <w:rFonts w:ascii="宋体" w:hAnsi="宋体"/>
          <w:color w:val="auto"/>
          <w:sz w:val="24"/>
          <w:highlight w:val="none"/>
        </w:rPr>
        <w:tab/>
      </w:r>
      <w:r>
        <w:rPr>
          <w:rFonts w:hint="eastAsia" w:ascii="宋体" w:hAnsi="宋体"/>
          <w:color w:val="auto"/>
          <w:sz w:val="24"/>
          <w:highlight w:val="none"/>
        </w:rPr>
        <w:t>公告期满后，招标人将签发《中标通知书》给中标人；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26.3</w:t>
      </w:r>
      <w:r>
        <w:rPr>
          <w:rFonts w:ascii="宋体" w:hAnsi="宋体"/>
          <w:color w:val="auto"/>
          <w:sz w:val="24"/>
          <w:highlight w:val="none"/>
        </w:rPr>
        <w:tab/>
      </w:r>
      <w:r>
        <w:rPr>
          <w:rFonts w:hint="eastAsia" w:ascii="宋体" w:hAnsi="宋体"/>
          <w:color w:val="auto"/>
          <w:sz w:val="24"/>
          <w:highlight w:val="none"/>
        </w:rPr>
        <w:t>招标人不向落标的投标人解释落标原因，不退还投标文件；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26.4</w:t>
      </w:r>
      <w:r>
        <w:rPr>
          <w:rFonts w:ascii="宋体" w:hAnsi="宋体"/>
          <w:color w:val="auto"/>
          <w:sz w:val="24"/>
          <w:highlight w:val="none"/>
        </w:rPr>
        <w:tab/>
      </w:r>
      <w:r>
        <w:rPr>
          <w:rFonts w:hint="eastAsia" w:ascii="宋体" w:hAnsi="宋体"/>
          <w:color w:val="auto"/>
          <w:sz w:val="24"/>
          <w:highlight w:val="none"/>
        </w:rPr>
        <w:t>投标人对评标结果有异议的，按本招标文件第</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31</w:t>
      </w:r>
      <w:r>
        <w:rPr>
          <w:rFonts w:hint="eastAsia" w:ascii="宋体" w:hAnsi="宋体"/>
          <w:color w:val="auto"/>
          <w:sz w:val="24"/>
          <w:highlight w:val="none"/>
        </w:rPr>
        <w:t>条办理。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合同签订</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27.1</w:t>
      </w:r>
      <w:r>
        <w:rPr>
          <w:rFonts w:ascii="宋体" w:hAnsi="宋体"/>
          <w:color w:val="auto"/>
          <w:sz w:val="24"/>
          <w:highlight w:val="none"/>
        </w:rPr>
        <w:tab/>
      </w:r>
      <w:r>
        <w:rPr>
          <w:rFonts w:hint="eastAsia" w:ascii="宋体" w:hAnsi="宋体"/>
          <w:color w:val="auto"/>
          <w:sz w:val="24"/>
          <w:highlight w:val="none"/>
        </w:rPr>
        <w:t>中标人依据《中标通知书》与采购人签订采购合同，签订时间为《中标通知书》发出之日起</w:t>
      </w:r>
      <w:r>
        <w:rPr>
          <w:rFonts w:hint="eastAsia" w:ascii="宋体" w:hAnsi="宋体"/>
          <w:color w:val="auto"/>
          <w:sz w:val="24"/>
          <w:highlight w:val="none"/>
          <w:lang w:val="en-US" w:eastAsia="zh-CN"/>
        </w:rPr>
        <w:t>7个工作</w:t>
      </w:r>
      <w:r>
        <w:rPr>
          <w:rFonts w:hint="eastAsia" w:ascii="宋体" w:hAnsi="宋体"/>
          <w:color w:val="auto"/>
          <w:sz w:val="24"/>
          <w:highlight w:val="none"/>
        </w:rPr>
        <w:t>日内；</w:t>
      </w:r>
    </w:p>
    <w:p>
      <w:pPr>
        <w:spacing w:line="360" w:lineRule="auto"/>
        <w:ind w:left="714" w:leftChars="1" w:hanging="712" w:hangingChars="297"/>
        <w:rPr>
          <w:rFonts w:ascii="宋体"/>
          <w:color w:val="auto"/>
          <w:sz w:val="24"/>
          <w:highlight w:val="none"/>
        </w:rPr>
      </w:pPr>
      <w:r>
        <w:rPr>
          <w:rFonts w:ascii="宋体" w:hAnsi="宋体"/>
          <w:color w:val="auto"/>
          <w:sz w:val="24"/>
          <w:szCs w:val="20"/>
          <w:highlight w:val="none"/>
        </w:rPr>
        <w:t>27.2</w:t>
      </w:r>
      <w:r>
        <w:rPr>
          <w:rFonts w:ascii="宋体" w:hAnsi="宋体"/>
          <w:color w:val="auto"/>
          <w:sz w:val="24"/>
          <w:szCs w:val="20"/>
          <w:highlight w:val="none"/>
        </w:rPr>
        <w:tab/>
      </w:r>
      <w:r>
        <w:rPr>
          <w:rFonts w:hint="eastAsia" w:ascii="宋体" w:hAnsi="宋体"/>
          <w:color w:val="auto"/>
          <w:sz w:val="24"/>
          <w:szCs w:val="20"/>
          <w:highlight w:val="none"/>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27.3</w:t>
      </w:r>
      <w:r>
        <w:rPr>
          <w:rFonts w:ascii="宋体" w:hAnsi="宋体"/>
          <w:color w:val="auto"/>
          <w:sz w:val="24"/>
          <w:highlight w:val="none"/>
        </w:rPr>
        <w:tab/>
      </w:r>
      <w:r>
        <w:rPr>
          <w:rFonts w:hint="eastAsia" w:ascii="宋体" w:hAnsi="宋体"/>
          <w:color w:val="auto"/>
          <w:sz w:val="24"/>
          <w:highlight w:val="none"/>
        </w:rPr>
        <w:t>招标文件（含修改文件）、中标人的投标文件（含书面答疑文件）均为签订采购合同的依据；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27.4</w:t>
      </w:r>
      <w:r>
        <w:rPr>
          <w:rFonts w:ascii="宋体" w:hAnsi="宋体"/>
          <w:color w:val="auto"/>
          <w:sz w:val="24"/>
          <w:highlight w:val="none"/>
        </w:rPr>
        <w:tab/>
      </w:r>
      <w:r>
        <w:rPr>
          <w:rFonts w:hint="eastAsia" w:ascii="宋体" w:hAnsi="宋体"/>
          <w:color w:val="auto"/>
          <w:sz w:val="24"/>
          <w:highlight w:val="none"/>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27.5</w:t>
      </w:r>
      <w:r>
        <w:rPr>
          <w:rFonts w:ascii="宋体" w:hAnsi="宋体"/>
          <w:color w:val="auto"/>
          <w:sz w:val="24"/>
          <w:highlight w:val="none"/>
        </w:rPr>
        <w:tab/>
      </w:r>
      <w:r>
        <w:rPr>
          <w:rFonts w:hint="eastAsia" w:ascii="宋体" w:hAnsi="宋体"/>
          <w:color w:val="auto"/>
          <w:sz w:val="24"/>
          <w:highlight w:val="none"/>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27.6</w:t>
      </w:r>
      <w:r>
        <w:rPr>
          <w:rFonts w:ascii="宋体" w:hAnsi="宋体"/>
          <w:color w:val="auto"/>
          <w:sz w:val="24"/>
          <w:highlight w:val="none"/>
        </w:rPr>
        <w:tab/>
      </w:r>
      <w:r>
        <w:rPr>
          <w:rFonts w:hint="eastAsia" w:ascii="宋体" w:hAnsi="宋体"/>
          <w:color w:val="auto"/>
          <w:sz w:val="24"/>
          <w:highlight w:val="none"/>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color w:val="auto"/>
          <w:sz w:val="24"/>
          <w:highlight w:val="none"/>
        </w:rPr>
      </w:pPr>
      <w:r>
        <w:rPr>
          <w:rFonts w:ascii="宋体" w:hAnsi="宋体"/>
          <w:b/>
          <w:bCs/>
          <w:color w:val="auto"/>
          <w:sz w:val="24"/>
          <w:highlight w:val="none"/>
        </w:rPr>
        <w:t xml:space="preserve">G   </w:t>
      </w:r>
      <w:r>
        <w:rPr>
          <w:rFonts w:hint="eastAsia" w:ascii="宋体" w:hAnsi="宋体"/>
          <w:b/>
          <w:bCs/>
          <w:color w:val="auto"/>
          <w:sz w:val="24"/>
          <w:highlight w:val="none"/>
        </w:rPr>
        <w:t>法律责任</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b/>
          <w:color w:val="auto"/>
          <w:sz w:val="24"/>
          <w:highlight w:val="none"/>
        </w:rPr>
        <w:tab/>
      </w:r>
      <w:r>
        <w:rPr>
          <w:rFonts w:hint="eastAsia" w:ascii="宋体" w:hAnsi="宋体"/>
          <w:b/>
          <w:color w:val="auto"/>
          <w:sz w:val="24"/>
          <w:highlight w:val="none"/>
        </w:rPr>
        <w:t>法律责任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28.1</w:t>
      </w:r>
      <w:r>
        <w:rPr>
          <w:rFonts w:ascii="宋体" w:hAnsi="宋体"/>
          <w:color w:val="auto"/>
          <w:sz w:val="24"/>
          <w:szCs w:val="20"/>
          <w:highlight w:val="none"/>
        </w:rPr>
        <w:tab/>
      </w:r>
      <w:r>
        <w:rPr>
          <w:rFonts w:hint="eastAsia" w:ascii="宋体" w:hAnsi="宋体"/>
          <w:color w:val="auto"/>
          <w:sz w:val="24"/>
          <w:szCs w:val="20"/>
          <w:highlight w:val="none"/>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（一）提供虚假材料谋取中标的；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（二）采取不正当手段诋毁、排挤其他投标人的；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（三）与招标人、采购人、其他投标人恶意串通的；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（四）向招标人、采购人行贿或者提供其他不正当利益的；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（五）在招标过程中与招标人、采购人进行协商谈判、不按照招标文件、投标文件订立合同，或者与采购人另行订立背离合同实质性内容的协议的；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（六）拒绝有关部门监督检查或者提供虚假情况的。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投标人有前款第（一）至（五）项情形之一的，中标无效。</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28.2</w:t>
      </w:r>
      <w:r>
        <w:rPr>
          <w:rFonts w:ascii="宋体" w:hAnsi="宋体"/>
          <w:color w:val="auto"/>
          <w:sz w:val="24"/>
          <w:szCs w:val="20"/>
          <w:highlight w:val="none"/>
        </w:rPr>
        <w:tab/>
      </w:r>
      <w:r>
        <w:rPr>
          <w:rFonts w:hint="eastAsia" w:ascii="宋体" w:hAnsi="宋体"/>
          <w:color w:val="auto"/>
          <w:sz w:val="24"/>
          <w:szCs w:val="20"/>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（一）中标后无正当理由不与采购人签订合同的；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（二）将中标项目转让给他人，或者在投标文件中未说明，且未经招标人同意，将中标项目分包给他人的；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（三）拒绝履行合同义务的。</w:t>
      </w:r>
    </w:p>
    <w:p>
      <w:pPr>
        <w:spacing w:line="360" w:lineRule="auto"/>
        <w:jc w:val="center"/>
        <w:rPr>
          <w:rFonts w:ascii="宋体"/>
          <w:b/>
          <w:color w:val="auto"/>
          <w:sz w:val="24"/>
          <w:highlight w:val="none"/>
        </w:rPr>
      </w:pPr>
      <w:r>
        <w:rPr>
          <w:rFonts w:ascii="宋体" w:hAnsi="宋体"/>
          <w:b/>
          <w:color w:val="auto"/>
          <w:sz w:val="24"/>
          <w:highlight w:val="none"/>
        </w:rPr>
        <w:t xml:space="preserve">H   </w:t>
      </w:r>
      <w:r>
        <w:rPr>
          <w:rFonts w:hint="eastAsia" w:ascii="宋体" w:hAnsi="宋体"/>
          <w:b/>
          <w:color w:val="auto"/>
          <w:sz w:val="24"/>
          <w:highlight w:val="none"/>
        </w:rPr>
        <w:t>验收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货物验收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29.1</w:t>
      </w:r>
      <w:r>
        <w:rPr>
          <w:rFonts w:ascii="宋体" w:hAnsi="宋体"/>
          <w:color w:val="auto"/>
          <w:sz w:val="24"/>
          <w:highlight w:val="none"/>
        </w:rPr>
        <w:tab/>
      </w:r>
      <w:r>
        <w:rPr>
          <w:rFonts w:hint="eastAsia" w:ascii="宋体" w:hAnsi="宋体"/>
          <w:color w:val="auto"/>
          <w:sz w:val="24"/>
          <w:highlight w:val="none"/>
        </w:rPr>
        <w:t>验收按本招标文件《采购合同》范本一般条款第七条的规定执行。</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29.2</w:t>
      </w:r>
      <w:r>
        <w:rPr>
          <w:rFonts w:ascii="宋体" w:hAnsi="宋体"/>
          <w:color w:val="auto"/>
          <w:sz w:val="24"/>
          <w:highlight w:val="none"/>
        </w:rPr>
        <w:tab/>
      </w:r>
      <w:r>
        <w:rPr>
          <w:rFonts w:hint="eastAsia" w:ascii="宋体" w:hAnsi="宋体"/>
          <w:color w:val="auto"/>
          <w:sz w:val="24"/>
          <w:highlight w:val="none"/>
        </w:rPr>
        <w:t>验收过程中，采购人将委托专业检测部门对货物本身的性能进行检测验收。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29.3</w:t>
      </w:r>
      <w:r>
        <w:rPr>
          <w:rFonts w:ascii="宋体" w:hAnsi="宋体"/>
          <w:color w:val="auto"/>
          <w:sz w:val="24"/>
          <w:highlight w:val="none"/>
        </w:rPr>
        <w:tab/>
      </w:r>
      <w:r>
        <w:rPr>
          <w:rFonts w:hint="eastAsia" w:ascii="宋体" w:hAnsi="宋体"/>
          <w:color w:val="auto"/>
          <w:sz w:val="24"/>
          <w:highlight w:val="none"/>
        </w:rPr>
        <w:t>一次性验收合格的项目</w:t>
      </w:r>
      <w:r>
        <w:rPr>
          <w:rFonts w:ascii="宋体" w:hAnsi="宋体"/>
          <w:color w:val="auto"/>
          <w:sz w:val="24"/>
          <w:highlight w:val="none"/>
        </w:rPr>
        <w:t>(</w:t>
      </w:r>
      <w:r>
        <w:rPr>
          <w:rFonts w:hint="eastAsia" w:ascii="宋体" w:hAnsi="宋体"/>
          <w:color w:val="auto"/>
          <w:sz w:val="24"/>
          <w:highlight w:val="none"/>
        </w:rPr>
        <w:t>另有规定除外</w:t>
      </w:r>
      <w:r>
        <w:rPr>
          <w:rFonts w:ascii="宋体" w:hAnsi="宋体"/>
          <w:color w:val="auto"/>
          <w:sz w:val="24"/>
          <w:highlight w:val="none"/>
        </w:rPr>
        <w:t>)</w:t>
      </w:r>
      <w:r>
        <w:rPr>
          <w:rFonts w:hint="eastAsia" w:ascii="宋体" w:hAnsi="宋体"/>
          <w:color w:val="auto"/>
          <w:sz w:val="24"/>
          <w:highlight w:val="none"/>
        </w:rPr>
        <w:t>；因为验收不合格而影响《采购合同》的正常履行，由违约方承担违约责任。</w:t>
      </w:r>
    </w:p>
    <w:p>
      <w:pPr>
        <w:spacing w:line="360" w:lineRule="auto"/>
        <w:jc w:val="center"/>
        <w:rPr>
          <w:rFonts w:ascii="宋体"/>
          <w:b/>
          <w:color w:val="auto"/>
          <w:sz w:val="24"/>
          <w:highlight w:val="none"/>
        </w:rPr>
      </w:pPr>
      <w:r>
        <w:rPr>
          <w:rFonts w:ascii="宋体" w:hAnsi="宋体"/>
          <w:b/>
          <w:color w:val="auto"/>
          <w:sz w:val="24"/>
          <w:highlight w:val="none"/>
        </w:rPr>
        <w:t xml:space="preserve">I   </w:t>
      </w:r>
      <w:r>
        <w:rPr>
          <w:rFonts w:hint="eastAsia" w:ascii="宋体" w:hAnsi="宋体"/>
          <w:b/>
          <w:color w:val="auto"/>
          <w:sz w:val="24"/>
          <w:highlight w:val="none"/>
        </w:rPr>
        <w:t>质疑与投诉</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质疑</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30.1</w:t>
      </w:r>
      <w:r>
        <w:rPr>
          <w:rFonts w:ascii="宋体" w:hAnsi="宋体"/>
          <w:color w:val="auto"/>
          <w:sz w:val="24"/>
          <w:szCs w:val="20"/>
          <w:highlight w:val="none"/>
        </w:rPr>
        <w:tab/>
      </w:r>
      <w:r>
        <w:rPr>
          <w:rFonts w:hint="eastAsia" w:ascii="宋体" w:hAnsi="宋体"/>
          <w:color w:val="auto"/>
          <w:sz w:val="24"/>
          <w:szCs w:val="20"/>
          <w:highlight w:val="none"/>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30.2</w:t>
      </w:r>
      <w:r>
        <w:rPr>
          <w:rFonts w:ascii="宋体" w:hAnsi="宋体"/>
          <w:color w:val="auto"/>
          <w:sz w:val="24"/>
          <w:szCs w:val="20"/>
          <w:highlight w:val="none"/>
        </w:rPr>
        <w:tab/>
      </w:r>
      <w:r>
        <w:rPr>
          <w:rFonts w:hint="eastAsia" w:ascii="宋体" w:hAnsi="宋体"/>
          <w:color w:val="auto"/>
          <w:sz w:val="24"/>
          <w:szCs w:val="20"/>
          <w:highlight w:val="none"/>
        </w:rPr>
        <w:t>招标人应当在收到投标人书面质疑后七个工作日内，对质疑内容作出答复，但涉及商业秘密内容的除外；</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30.3</w:t>
      </w:r>
      <w:r>
        <w:rPr>
          <w:rFonts w:ascii="宋体" w:hAnsi="宋体"/>
          <w:color w:val="auto"/>
          <w:sz w:val="24"/>
          <w:szCs w:val="20"/>
          <w:highlight w:val="none"/>
        </w:rPr>
        <w:tab/>
      </w:r>
      <w:r>
        <w:rPr>
          <w:rFonts w:hint="eastAsia" w:ascii="宋体" w:hAnsi="宋体"/>
          <w:color w:val="auto"/>
          <w:sz w:val="24"/>
          <w:szCs w:val="20"/>
          <w:highlight w:val="none"/>
        </w:rPr>
        <w:t>投标人须对质疑内容的真实性承担责任。</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投诉</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31.1</w:t>
      </w:r>
      <w:r>
        <w:rPr>
          <w:rFonts w:ascii="宋体" w:hAnsi="宋体"/>
          <w:color w:val="auto"/>
          <w:sz w:val="24"/>
          <w:szCs w:val="20"/>
          <w:highlight w:val="none"/>
        </w:rPr>
        <w:tab/>
      </w:r>
      <w:r>
        <w:rPr>
          <w:rFonts w:hint="eastAsia" w:ascii="宋体" w:hAnsi="宋体"/>
          <w:color w:val="auto"/>
          <w:sz w:val="24"/>
          <w:szCs w:val="20"/>
          <w:highlight w:val="none"/>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hint="eastAsia" w:ascii="宋体" w:hAnsi="宋体"/>
          <w:color w:val="auto"/>
          <w:sz w:val="24"/>
          <w:szCs w:val="20"/>
          <w:highlight w:val="none"/>
        </w:rPr>
      </w:pPr>
      <w:r>
        <w:rPr>
          <w:rFonts w:ascii="宋体" w:hAnsi="宋体"/>
          <w:color w:val="auto"/>
          <w:sz w:val="24"/>
          <w:szCs w:val="20"/>
          <w:highlight w:val="none"/>
        </w:rPr>
        <w:t>31.2</w:t>
      </w:r>
      <w:r>
        <w:rPr>
          <w:rFonts w:ascii="宋体" w:hAnsi="宋体"/>
          <w:color w:val="auto"/>
          <w:sz w:val="24"/>
          <w:szCs w:val="20"/>
          <w:highlight w:val="none"/>
        </w:rPr>
        <w:tab/>
      </w:r>
      <w:r>
        <w:rPr>
          <w:rFonts w:hint="eastAsia" w:ascii="宋体" w:hAnsi="宋体"/>
          <w:color w:val="auto"/>
          <w:sz w:val="24"/>
          <w:szCs w:val="20"/>
          <w:highlight w:val="none"/>
        </w:rPr>
        <w:t>处理投诉事项期间，财政部门可以视具体情况书面通知招标采购单位暂停签订合同等活动，但暂停时间最长不得超过三十日。</w:t>
      </w:r>
    </w:p>
    <w:p>
      <w:pPr>
        <w:spacing w:line="448" w:lineRule="atLeast"/>
        <w:ind w:left="714" w:leftChars="1" w:hanging="712" w:hangingChars="297"/>
        <w:rPr>
          <w:color w:val="auto"/>
          <w:highlight w:val="none"/>
        </w:rPr>
      </w:pPr>
      <w:r>
        <w:rPr>
          <w:rFonts w:hint="eastAsia" w:ascii="宋体" w:hAnsi="宋体"/>
          <w:color w:val="auto"/>
          <w:sz w:val="24"/>
          <w:szCs w:val="20"/>
          <w:highlight w:val="none"/>
        </w:rPr>
        <w:br w:type="page"/>
      </w:r>
    </w:p>
    <w:p>
      <w:pPr>
        <w:pStyle w:val="78"/>
        <w:pageBreakBefore w:val="0"/>
        <w:numPr>
          <w:ilvl w:val="0"/>
          <w:numId w:val="3"/>
        </w:numPr>
        <w:kinsoku/>
        <w:wordWrap/>
        <w:overflowPunct/>
        <w:topLinePunct w:val="0"/>
        <w:bidi w:val="0"/>
        <w:spacing w:line="360" w:lineRule="auto"/>
        <w:jc w:val="center"/>
        <w:textAlignment w:val="auto"/>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清单及说明</w:t>
      </w:r>
    </w:p>
    <w:p>
      <w:pPr>
        <w:pStyle w:val="78"/>
        <w:pageBreakBefore w:val="0"/>
        <w:numPr>
          <w:ilvl w:val="0"/>
          <w:numId w:val="0"/>
        </w:numPr>
        <w:kinsoku/>
        <w:wordWrap/>
        <w:overflowPunct/>
        <w:topLinePunct w:val="0"/>
        <w:bidi w:val="0"/>
        <w:spacing w:line="360" w:lineRule="auto"/>
        <w:jc w:val="both"/>
        <w:textAlignment w:val="auto"/>
        <w:rPr>
          <w:rFonts w:hint="eastAsia" w:ascii="宋体" w:hAnsi="宋体" w:cs="宋体"/>
          <w:b/>
          <w:bCs/>
          <w:color w:val="auto"/>
          <w:sz w:val="32"/>
          <w:szCs w:val="32"/>
          <w:highlight w:val="none"/>
          <w:lang w:val="en-US" w:eastAsia="zh-CN"/>
        </w:rPr>
      </w:pPr>
    </w:p>
    <w:tbl>
      <w:tblPr>
        <w:tblStyle w:val="31"/>
        <w:tblW w:w="7290" w:type="dxa"/>
        <w:jc w:val="center"/>
        <w:tblInd w:w="0" w:type="dxa"/>
        <w:shd w:val="clear" w:color="auto" w:fill="auto"/>
        <w:tblLayout w:type="fixed"/>
        <w:tblCellMar>
          <w:top w:w="0" w:type="dxa"/>
          <w:left w:w="0" w:type="dxa"/>
          <w:bottom w:w="0" w:type="dxa"/>
          <w:right w:w="0" w:type="dxa"/>
        </w:tblCellMar>
      </w:tblPr>
      <w:tblGrid>
        <w:gridCol w:w="900"/>
        <w:gridCol w:w="1080"/>
        <w:gridCol w:w="615"/>
        <w:gridCol w:w="1320"/>
        <w:gridCol w:w="1110"/>
        <w:gridCol w:w="1020"/>
        <w:gridCol w:w="1245"/>
      </w:tblGrid>
      <w:tr>
        <w:tblPrEx>
          <w:tblLayout w:type="fixed"/>
          <w:tblCellMar>
            <w:top w:w="0" w:type="dxa"/>
            <w:left w:w="0" w:type="dxa"/>
            <w:bottom w:w="0" w:type="dxa"/>
            <w:right w:w="0" w:type="dxa"/>
          </w:tblCellMar>
        </w:tblPrEx>
        <w:trPr>
          <w:trHeight w:val="435"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包段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原料</w:t>
            </w:r>
            <w:r>
              <w:rPr>
                <w:rFonts w:hint="eastAsia" w:ascii="仿宋_GB2312" w:hAnsi="Tahoma" w:eastAsia="仿宋_GB2312" w:cs="仿宋_GB2312"/>
                <w:b/>
                <w:i w:val="0"/>
                <w:color w:val="000000"/>
                <w:kern w:val="0"/>
                <w:sz w:val="20"/>
                <w:szCs w:val="20"/>
                <w:u w:val="none"/>
                <w:lang w:val="en-US" w:eastAsia="zh-CN" w:bidi="ar"/>
              </w:rPr>
              <w:br w:type="textWrapping"/>
            </w:r>
            <w:r>
              <w:rPr>
                <w:rFonts w:hint="eastAsia" w:ascii="仿宋_GB2312" w:hAnsi="Tahoma" w:eastAsia="仿宋_GB2312" w:cs="仿宋_GB2312"/>
                <w:b/>
                <w:i w:val="0"/>
                <w:color w:val="000000"/>
                <w:kern w:val="0"/>
                <w:sz w:val="20"/>
                <w:szCs w:val="20"/>
                <w:u w:val="none"/>
                <w:lang w:val="en-US" w:eastAsia="zh-CN" w:bidi="ar"/>
              </w:rPr>
              <w:t>名称</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单位</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规格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用量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预算单价（元）</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b/>
                <w:i w:val="0"/>
                <w:color w:val="000000"/>
                <w:sz w:val="20"/>
                <w:szCs w:val="20"/>
                <w:u w:val="none"/>
              </w:rPr>
            </w:pPr>
            <w:r>
              <w:rPr>
                <w:rFonts w:hint="eastAsia" w:ascii="仿宋_GB2312" w:hAnsi="Tahoma" w:eastAsia="仿宋_GB2312" w:cs="仿宋_GB2312"/>
                <w:b/>
                <w:i w:val="0"/>
                <w:color w:val="000000"/>
                <w:kern w:val="0"/>
                <w:sz w:val="20"/>
                <w:szCs w:val="20"/>
                <w:u w:val="none"/>
                <w:lang w:val="en-US" w:eastAsia="zh-CN" w:bidi="ar"/>
              </w:rPr>
              <w:t>预算金额（万元）</w:t>
            </w:r>
          </w:p>
        </w:tc>
      </w:tr>
      <w:tr>
        <w:tblPrEx>
          <w:tblLayout w:type="fixed"/>
          <w:tblCellMar>
            <w:top w:w="0" w:type="dxa"/>
            <w:left w:w="0" w:type="dxa"/>
            <w:bottom w:w="0" w:type="dxa"/>
            <w:right w:w="0" w:type="dxa"/>
          </w:tblCellMar>
        </w:tblPrEx>
        <w:trPr>
          <w:trHeight w:val="312"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ahoma" w:eastAsia="仿宋_GB2312" w:cs="仿宋_GB2312"/>
                <w:b/>
                <w:i w:val="0"/>
                <w:color w:val="000000"/>
                <w:sz w:val="20"/>
                <w:szCs w:val="20"/>
                <w:u w:val="none"/>
              </w:rPr>
            </w:pPr>
          </w:p>
        </w:tc>
      </w:tr>
      <w:tr>
        <w:tblPrEx>
          <w:tblLayout w:type="fixed"/>
          <w:tblCellMar>
            <w:top w:w="0" w:type="dxa"/>
            <w:left w:w="0" w:type="dxa"/>
            <w:bottom w:w="0" w:type="dxa"/>
            <w:right w:w="0"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包二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学生奶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sz w:val="20"/>
                <w:szCs w:val="20"/>
                <w:u w:val="none"/>
              </w:rPr>
            </w:pPr>
            <w:r>
              <w:rPr>
                <w:rFonts w:hint="eastAsia" w:ascii="仿宋_GB2312" w:hAnsi="Tahoma" w:eastAsia="仿宋_GB2312" w:cs="仿宋_GB2312"/>
                <w:i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kern w:val="0"/>
                <w:sz w:val="20"/>
                <w:szCs w:val="20"/>
                <w:u w:val="none"/>
                <w:lang w:val="en-US" w:eastAsia="zh-CN" w:bidi="ar"/>
              </w:rPr>
            </w:pPr>
            <w:r>
              <w:rPr>
                <w:rFonts w:hint="eastAsia" w:ascii="仿宋_GB2312" w:hAnsi="Tahoma" w:eastAsia="仿宋_GB2312" w:cs="仿宋_GB2312"/>
                <w:i w:val="0"/>
                <w:color w:val="000000"/>
                <w:kern w:val="0"/>
                <w:sz w:val="20"/>
                <w:szCs w:val="20"/>
                <w:u w:val="none"/>
                <w:lang w:val="en-US" w:eastAsia="zh-CN" w:bidi="ar"/>
              </w:rPr>
              <w:t>大于200ml/盒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4372160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Tahoma"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bidi="ar"/>
              </w:rPr>
              <w:t>874.43</w:t>
            </w:r>
          </w:p>
        </w:tc>
      </w:tr>
    </w:tbl>
    <w:p>
      <w:pPr>
        <w:pStyle w:val="23"/>
        <w:keepNext w:val="0"/>
        <w:keepLines w:val="0"/>
        <w:pageBreakBefore w:val="0"/>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cs="Times New Roman"/>
          <w:b/>
          <w:bCs/>
          <w:color w:val="auto"/>
          <w:kern w:val="2"/>
          <w:sz w:val="24"/>
          <w:szCs w:val="20"/>
          <w:highlight w:val="none"/>
          <w:lang w:val="en-US" w:eastAsia="zh-CN" w:bidi="ar-SA"/>
        </w:rPr>
      </w:pPr>
    </w:p>
    <w:p>
      <w:pPr>
        <w:pStyle w:val="23"/>
        <w:keepNext w:val="0"/>
        <w:keepLines w:val="0"/>
        <w:pageBreakBefore w:val="0"/>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宋体" w:hAnsi="宋体" w:eastAsia="宋体" w:cs="Times New Roman"/>
          <w:color w:val="auto"/>
          <w:kern w:val="2"/>
          <w:sz w:val="24"/>
          <w:szCs w:val="20"/>
          <w:highlight w:val="none"/>
          <w:lang w:val="en-US" w:eastAsia="zh-CN" w:bidi="ar-SA"/>
        </w:rPr>
      </w:pPr>
      <w:r>
        <w:rPr>
          <w:rFonts w:hint="eastAsia" w:cs="Times New Roman"/>
          <w:b/>
          <w:bCs/>
          <w:color w:val="auto"/>
          <w:kern w:val="2"/>
          <w:sz w:val="24"/>
          <w:szCs w:val="20"/>
          <w:highlight w:val="none"/>
          <w:lang w:val="en-US" w:eastAsia="zh-CN" w:bidi="ar-SA"/>
        </w:rPr>
        <w:t>学生奶</w:t>
      </w:r>
      <w:r>
        <w:rPr>
          <w:rFonts w:hint="eastAsia" w:ascii="宋体" w:hAnsi="宋体" w:eastAsia="宋体" w:cs="Times New Roman"/>
          <w:b/>
          <w:bCs/>
          <w:color w:val="auto"/>
          <w:kern w:val="2"/>
          <w:sz w:val="24"/>
          <w:szCs w:val="20"/>
          <w:highlight w:val="none"/>
          <w:lang w:val="en-US" w:eastAsia="zh-CN" w:bidi="ar-SA"/>
        </w:rPr>
        <w:t>规格</w:t>
      </w:r>
      <w:r>
        <w:rPr>
          <w:rFonts w:hint="eastAsia" w:ascii="宋体" w:hAnsi="宋体" w:eastAsia="宋体" w:cs="Times New Roman"/>
          <w:color w:val="auto"/>
          <w:kern w:val="2"/>
          <w:sz w:val="24"/>
          <w:szCs w:val="20"/>
          <w:highlight w:val="none"/>
          <w:lang w:val="en-US" w:eastAsia="zh-CN" w:bidi="ar-SA"/>
        </w:rPr>
        <w:t>：不小于200ml/盒，要求正规生产厂家统一采用无菌砖包装，包装无损坏、过期、味道正常、饮用时无异物，且</w:t>
      </w:r>
      <w:r>
        <w:rPr>
          <w:rFonts w:hint="eastAsia" w:cs="Times New Roman"/>
          <w:color w:val="auto"/>
          <w:kern w:val="2"/>
          <w:sz w:val="24"/>
          <w:szCs w:val="20"/>
          <w:highlight w:val="none"/>
          <w:lang w:val="en-US" w:eastAsia="zh-CN" w:bidi="ar-SA"/>
        </w:rPr>
        <w:t>学生奶</w:t>
      </w:r>
      <w:r>
        <w:rPr>
          <w:rFonts w:hint="eastAsia" w:ascii="宋体" w:hAnsi="宋体" w:eastAsia="宋体" w:cs="Times New Roman"/>
          <w:color w:val="auto"/>
          <w:kern w:val="2"/>
          <w:sz w:val="24"/>
          <w:szCs w:val="20"/>
          <w:highlight w:val="none"/>
          <w:lang w:val="en-US" w:eastAsia="zh-CN" w:bidi="ar-SA"/>
        </w:rPr>
        <w:t>的食品添加剂的使用应符合GB 2760的规定且符合相应的安全标准，是由纸、铝、塑组成的七层复合包装，保质期≥60天；脂肪（g/100g）≥3.6g；蛋白质（g/100g）≥3.2g；非脂乳固体≥8.5%；符合GB25190相关规定。</w:t>
      </w:r>
    </w:p>
    <w:p>
      <w:pPr>
        <w:spacing w:line="360" w:lineRule="auto"/>
        <w:rPr>
          <w:rFonts w:hint="eastAsia" w:ascii="宋体" w:hAnsi="宋体"/>
          <w:color w:val="FF0000"/>
          <w:sz w:val="24"/>
          <w:highlight w:val="none"/>
          <w:lang w:val="en-US" w:eastAsia="zh-CN"/>
        </w:rPr>
      </w:pPr>
    </w:p>
    <w:p>
      <w:pPr>
        <w:spacing w:line="360" w:lineRule="auto"/>
        <w:rPr>
          <w:rFonts w:asci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lang w:eastAsia="zh-CN"/>
          <w14:textFill>
            <w14:solidFill>
              <w14:schemeClr w14:val="tx1"/>
            </w14:solidFill>
          </w14:textFill>
        </w:rPr>
        <w:t>质</w:t>
      </w:r>
      <w:r>
        <w:rPr>
          <w:rFonts w:hint="eastAsia" w:ascii="宋体" w:hAnsi="宋体"/>
          <w:b/>
          <w:color w:val="000000" w:themeColor="text1"/>
          <w:kern w:val="0"/>
          <w:sz w:val="24"/>
          <w:highlight w:val="none"/>
          <w14:textFill>
            <w14:solidFill>
              <w14:schemeClr w14:val="tx1"/>
            </w14:solidFill>
          </w14:textFill>
        </w:rPr>
        <w:t>保服务要求</w:t>
      </w:r>
    </w:p>
    <w:p>
      <w:pPr>
        <w:spacing w:line="448" w:lineRule="atLeast"/>
        <w:rPr>
          <w:rFonts w:hint="eastAsia" w:ascii="宋体" w:hAnsi="宋体"/>
          <w:color w:val="auto"/>
          <w:sz w:val="24"/>
          <w:szCs w:val="20"/>
          <w:highlight w:val="none"/>
        </w:rPr>
      </w:pPr>
      <w:r>
        <w:rPr>
          <w:rFonts w:hint="eastAsia" w:ascii="宋体" w:hAnsi="宋体"/>
          <w:color w:val="auto"/>
          <w:sz w:val="24"/>
          <w:szCs w:val="20"/>
          <w:highlight w:val="none"/>
          <w:lang w:val="en-US" w:eastAsia="zh-CN"/>
        </w:rPr>
        <w:t>1、</w:t>
      </w:r>
      <w:r>
        <w:rPr>
          <w:rFonts w:hint="eastAsia" w:ascii="宋体" w:hAnsi="宋体"/>
          <w:color w:val="auto"/>
          <w:sz w:val="24"/>
          <w:szCs w:val="20"/>
          <w:highlight w:val="none"/>
        </w:rPr>
        <w:t>配送地点为</w:t>
      </w:r>
      <w:r>
        <w:rPr>
          <w:rFonts w:hint="eastAsia" w:ascii="宋体" w:hAnsi="宋体"/>
          <w:color w:val="auto"/>
          <w:sz w:val="24"/>
          <w:szCs w:val="20"/>
          <w:highlight w:val="none"/>
          <w:lang w:val="en-US" w:eastAsia="zh-CN"/>
        </w:rPr>
        <w:t>各级各类学校</w:t>
      </w:r>
      <w:r>
        <w:rPr>
          <w:rFonts w:hint="eastAsia" w:ascii="宋体" w:hAnsi="宋体"/>
          <w:color w:val="auto"/>
          <w:sz w:val="24"/>
          <w:szCs w:val="20"/>
          <w:highlight w:val="none"/>
        </w:rPr>
        <w:t>，具体学校名单及配送数量，</w:t>
      </w:r>
      <w:r>
        <w:rPr>
          <w:rFonts w:hint="eastAsia" w:ascii="宋体" w:hAnsi="宋体"/>
          <w:color w:val="auto"/>
          <w:sz w:val="24"/>
          <w:szCs w:val="20"/>
          <w:highlight w:val="none"/>
          <w:lang w:val="en-US" w:eastAsia="zh-CN"/>
        </w:rPr>
        <w:t>由学校根据带量菜谱及就餐学生人数确定。</w:t>
      </w:r>
    </w:p>
    <w:p>
      <w:pPr>
        <w:spacing w:line="448" w:lineRule="atLeast"/>
        <w:ind w:left="714" w:leftChars="1" w:hanging="712" w:hangingChars="297"/>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2、学生奶提前一天按照所需用量配送到学校食堂。</w:t>
      </w:r>
    </w:p>
    <w:p>
      <w:pPr>
        <w:spacing w:line="448" w:lineRule="atLeast"/>
        <w:jc w:val="lef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3、每学期对所有招标食材组织一次师生满意度问卷调查，满意度低于50%的，甲方有权进行处罚，或者直接终止合同。</w:t>
      </w:r>
    </w:p>
    <w:p>
      <w:pPr>
        <w:spacing w:line="520" w:lineRule="exact"/>
        <w:rPr>
          <w:rFonts w:hint="eastAsia" w:ascii="宋体" w:hAnsi="宋体"/>
          <w:color w:val="000000" w:themeColor="text1"/>
          <w:kern w:val="0"/>
          <w:sz w:val="24"/>
          <w:highlight w:val="none"/>
          <w:lang w:val="en-US" w:eastAsia="zh-CN"/>
          <w14:textFill>
            <w14:gradFill>
              <w14:gsLst>
                <w14:gs w14:pos="0">
                  <w14:srgbClr w14:val="14CD68"/>
                </w14:gs>
                <w14:gs w14:pos="100000">
                  <w14:srgbClr w14:val="0B6E38"/>
                </w14:gs>
              </w14:gsLst>
              <w14:lin w14:scaled="0"/>
            </w14:gradFill>
          </w14:textFill>
        </w:rPr>
      </w:pPr>
      <w:r>
        <w:rPr>
          <w:rFonts w:hint="eastAsia" w:ascii="宋体" w:hAnsi="宋体"/>
          <w:color w:val="000000" w:themeColor="text1"/>
          <w:kern w:val="0"/>
          <w:sz w:val="24"/>
          <w:highlight w:val="none"/>
          <w:lang w:val="en-US" w:eastAsia="zh-CN"/>
          <w14:textFill>
            <w14:solidFill>
              <w14:schemeClr w14:val="tx1"/>
            </w14:solidFill>
          </w14:textFill>
        </w:rPr>
        <w:t>4、</w:t>
      </w:r>
      <w:r>
        <w:rPr>
          <w:rFonts w:hint="eastAsia" w:ascii="宋体" w:hAnsi="宋体"/>
          <w:color w:val="000000" w:themeColor="text1"/>
          <w:kern w:val="0"/>
          <w:sz w:val="24"/>
          <w:highlight w:val="none"/>
          <w14:textFill>
            <w14:solidFill>
              <w14:schemeClr w14:val="tx1"/>
            </w14:solidFill>
          </w14:textFill>
        </w:rPr>
        <w:t>服务时间承诺：</w:t>
      </w:r>
      <w:r>
        <w:rPr>
          <w:rFonts w:hint="eastAsia" w:ascii="宋体" w:hAnsi="宋体"/>
          <w:color w:val="auto"/>
          <w:sz w:val="24"/>
          <w:szCs w:val="20"/>
          <w:highlight w:val="none"/>
          <w:lang w:val="en-US" w:eastAsia="zh-CN"/>
        </w:rPr>
        <w:t>出现质量问题必须无条件退换</w:t>
      </w:r>
      <w:r>
        <w:rPr>
          <w:rFonts w:hint="eastAsia" w:ascii="宋体" w:hAnsi="宋体"/>
          <w:color w:val="000000" w:themeColor="text1"/>
          <w:kern w:val="0"/>
          <w:sz w:val="24"/>
          <w:highlight w:val="none"/>
          <w:lang w:val="en-US" w:eastAsia="zh-CN"/>
          <w14:textFill>
            <w14:gradFill>
              <w14:gsLst>
                <w14:gs w14:pos="0">
                  <w14:srgbClr w14:val="14CD68"/>
                </w14:gs>
                <w14:gs w14:pos="100000">
                  <w14:srgbClr w14:val="0B6E38"/>
                </w14:gs>
              </w14:gsLst>
              <w14:lin w14:scaled="0"/>
            </w14:gradFill>
          </w14:textFill>
        </w:rPr>
        <w:t>。</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cs="Times New Roman"/>
          <w:color w:val="auto"/>
          <w:kern w:val="2"/>
          <w:sz w:val="24"/>
          <w:szCs w:val="20"/>
          <w:highlight w:val="none"/>
          <w:lang w:val="en-US" w:eastAsia="zh-CN" w:bidi="ar-SA"/>
        </w:rPr>
        <w:t>5、</w:t>
      </w:r>
      <w:r>
        <w:rPr>
          <w:rFonts w:hint="eastAsia" w:ascii="宋体" w:hAnsi="宋体" w:eastAsia="宋体" w:cs="Times New Roman"/>
          <w:color w:val="auto"/>
          <w:kern w:val="2"/>
          <w:sz w:val="24"/>
          <w:szCs w:val="20"/>
          <w:highlight w:val="none"/>
          <w:lang w:val="en-US" w:eastAsia="zh-CN" w:bidi="ar-SA"/>
        </w:rPr>
        <w:t>采购的预包装产品必须为正规厂家生产的，拥有必要相关资格。</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cs="Times New Roman"/>
          <w:color w:val="auto"/>
          <w:kern w:val="2"/>
          <w:sz w:val="24"/>
          <w:szCs w:val="20"/>
          <w:highlight w:val="none"/>
          <w:lang w:val="en-US" w:eastAsia="zh-CN" w:bidi="ar-SA"/>
        </w:rPr>
        <w:t>6、</w:t>
      </w:r>
      <w:r>
        <w:rPr>
          <w:rFonts w:hint="eastAsia" w:ascii="宋体" w:hAnsi="宋体" w:eastAsia="宋体" w:cs="Times New Roman"/>
          <w:color w:val="auto"/>
          <w:kern w:val="2"/>
          <w:sz w:val="24"/>
          <w:szCs w:val="20"/>
          <w:highlight w:val="none"/>
          <w:lang w:val="en-US" w:eastAsia="zh-CN" w:bidi="ar-SA"/>
        </w:rPr>
        <w:t>产品在包装中不得违规使用标识、标签，若发现违规使用标识标签后将予以废标。</w:t>
      </w:r>
    </w:p>
    <w:p>
      <w:pPr>
        <w:spacing w:line="360" w:lineRule="auto"/>
        <w:rPr>
          <w:rFonts w:hint="eastAsia" w:ascii="宋体" w:hAnsi="宋体" w:eastAsia="宋体" w:cs="Times New Roman"/>
          <w:b/>
          <w:bCs/>
          <w:color w:val="auto"/>
          <w:kern w:val="2"/>
          <w:sz w:val="24"/>
          <w:szCs w:val="20"/>
          <w:highlight w:val="none"/>
          <w:lang w:val="en-US" w:eastAsia="zh-CN" w:bidi="ar-SA"/>
        </w:rPr>
      </w:pPr>
      <w:r>
        <w:rPr>
          <w:rFonts w:hint="eastAsia" w:ascii="宋体" w:hAnsi="宋体" w:eastAsia="宋体" w:cs="Times New Roman"/>
          <w:b/>
          <w:bCs/>
          <w:color w:val="auto"/>
          <w:kern w:val="2"/>
          <w:sz w:val="24"/>
          <w:szCs w:val="20"/>
          <w:highlight w:val="none"/>
          <w:lang w:val="en-US" w:eastAsia="zh-CN" w:bidi="ar-SA"/>
        </w:rPr>
        <w:t>注：</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eastAsia="宋体" w:cs="Times New Roman"/>
          <w:color w:val="auto"/>
          <w:kern w:val="2"/>
          <w:sz w:val="24"/>
          <w:szCs w:val="20"/>
          <w:highlight w:val="none"/>
          <w:lang w:val="en-US" w:eastAsia="zh-CN" w:bidi="ar-SA"/>
        </w:rPr>
        <w:t>1、运输车辆为厢式冷藏货车或厢式货车；</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eastAsia="宋体" w:cs="Times New Roman"/>
          <w:color w:val="auto"/>
          <w:kern w:val="2"/>
          <w:sz w:val="24"/>
          <w:szCs w:val="20"/>
          <w:highlight w:val="none"/>
          <w:lang w:val="en-US" w:eastAsia="zh-CN" w:bidi="ar-SA"/>
        </w:rPr>
        <w:t>2、车体内外干净、整洁。</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eastAsia="宋体" w:cs="Times New Roman"/>
          <w:color w:val="auto"/>
          <w:kern w:val="2"/>
          <w:sz w:val="24"/>
          <w:szCs w:val="20"/>
          <w:highlight w:val="none"/>
          <w:lang w:val="en-US" w:eastAsia="zh-CN" w:bidi="ar-SA"/>
        </w:rPr>
        <w:t>3、不得人货混装。</w:t>
      </w:r>
    </w:p>
    <w:p>
      <w:pPr>
        <w:spacing w:line="360" w:lineRule="auto"/>
        <w:rPr>
          <w:rFonts w:hint="eastAsia" w:ascii="宋体" w:hAnsi="宋体" w:eastAsia="宋体" w:cs="Times New Roman"/>
          <w:color w:val="auto"/>
          <w:kern w:val="2"/>
          <w:sz w:val="24"/>
          <w:szCs w:val="20"/>
          <w:highlight w:val="none"/>
          <w:lang w:val="en-US" w:eastAsia="zh-CN" w:bidi="ar-SA"/>
        </w:rPr>
      </w:pPr>
      <w:r>
        <w:rPr>
          <w:rFonts w:hint="eastAsia" w:ascii="宋体" w:hAnsi="宋体" w:eastAsia="宋体" w:cs="Times New Roman"/>
          <w:color w:val="auto"/>
          <w:kern w:val="2"/>
          <w:sz w:val="24"/>
          <w:szCs w:val="20"/>
          <w:highlight w:val="none"/>
          <w:lang w:val="en-US" w:eastAsia="zh-CN" w:bidi="ar-SA"/>
        </w:rPr>
        <w:t>4、</w:t>
      </w:r>
      <w:r>
        <w:rPr>
          <w:rFonts w:hint="eastAsia" w:ascii="宋体" w:hAnsi="宋体" w:cs="Times New Roman"/>
          <w:color w:val="auto"/>
          <w:kern w:val="2"/>
          <w:sz w:val="24"/>
          <w:szCs w:val="20"/>
          <w:highlight w:val="none"/>
          <w:lang w:val="en-US" w:eastAsia="zh-CN" w:bidi="ar-SA"/>
        </w:rPr>
        <w:t>驾驶员及</w:t>
      </w:r>
      <w:r>
        <w:rPr>
          <w:rFonts w:hint="eastAsia" w:ascii="宋体" w:hAnsi="宋体" w:eastAsia="宋体" w:cs="Times New Roman"/>
          <w:color w:val="auto"/>
          <w:kern w:val="2"/>
          <w:sz w:val="24"/>
          <w:szCs w:val="20"/>
          <w:highlight w:val="none"/>
          <w:lang w:val="en-US" w:eastAsia="zh-CN" w:bidi="ar-SA"/>
        </w:rPr>
        <w:t>配送人员有健康证；</w:t>
      </w:r>
    </w:p>
    <w:p>
      <w:pPr>
        <w:rPr>
          <w:rFonts w:hint="eastAsia" w:ascii="宋体" w:hAnsi="宋体" w:eastAsia="宋体" w:cs="Times New Roman"/>
          <w:color w:val="auto"/>
          <w:kern w:val="2"/>
          <w:sz w:val="24"/>
          <w:szCs w:val="20"/>
          <w:highlight w:val="none"/>
          <w:lang w:val="en-US" w:eastAsia="zh-CN" w:bidi="ar-SA"/>
        </w:rPr>
      </w:pPr>
      <w:r>
        <w:rPr>
          <w:rFonts w:hint="eastAsia" w:ascii="宋体" w:hAnsi="宋体" w:eastAsia="宋体" w:cs="Times New Roman"/>
          <w:color w:val="auto"/>
          <w:kern w:val="2"/>
          <w:sz w:val="24"/>
          <w:szCs w:val="20"/>
          <w:highlight w:val="none"/>
          <w:lang w:val="en-US" w:eastAsia="zh-CN" w:bidi="ar-SA"/>
        </w:rPr>
        <w:t>5、为便于装卸，各个配送点的货物在车内应整齐码放在一起，不得杂乱无章。</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6、每个标包的中标单位须向皮山县教育局缴纳货款总价10%履约金，履约金在合同执行期满后、供需双方无争议者如数退还。在合同执行的期限内，中标单位擅自中断配送或配送延迟，造成学校食堂未按时开伙或者出现食品安全等问题者，教育局将联合相关部门严肃追究责任，造成的经济损失，视情节严重程度，从履约金中扣除。</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7、按照招标工作要求，中标后，供需双方签订供货合同，供货合同一年一签，供货费用由教育局核算中心按月进行结算。</w:t>
      </w:r>
    </w:p>
    <w:p>
      <w:pPr>
        <w:spacing w:line="448" w:lineRule="atLeast"/>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8、供货商按照上月实际的供货数量及中标价格，在本月10号之前为学校提供相应货款的增值税发票，月底前由教育局核算中心统一核算并付款。</w:t>
      </w:r>
    </w:p>
    <w:p>
      <w:pPr>
        <w:spacing w:line="448" w:lineRule="atLeast"/>
        <w:ind w:left="714" w:leftChars="1" w:hanging="712" w:hangingChars="297"/>
        <w:rPr>
          <w:rFonts w:hint="eastAsia" w:ascii="宋体" w:hAnsi="宋体" w:eastAsia="宋体" w:cs="Times New Roman"/>
          <w:color w:val="auto"/>
          <w:kern w:val="2"/>
          <w:sz w:val="24"/>
          <w:szCs w:val="20"/>
          <w:highlight w:val="none"/>
          <w:lang w:val="en-US" w:eastAsia="zh-CN" w:bidi="ar-SA"/>
        </w:rPr>
      </w:pPr>
    </w:p>
    <w:p>
      <w:pPr>
        <w:spacing w:line="448" w:lineRule="atLeast"/>
        <w:ind w:left="714" w:leftChars="1" w:hanging="712" w:hangingChars="297"/>
        <w:rPr>
          <w:rFonts w:hint="eastAsia" w:ascii="宋体" w:hAnsi="宋体" w:eastAsia="宋体" w:cs="Times New Roman"/>
          <w:color w:val="auto"/>
          <w:kern w:val="2"/>
          <w:sz w:val="24"/>
          <w:szCs w:val="20"/>
          <w:highlight w:val="none"/>
          <w:lang w:val="en-US" w:eastAsia="zh-CN" w:bidi="ar-SA"/>
        </w:rPr>
      </w:pPr>
    </w:p>
    <w:p>
      <w:pPr>
        <w:spacing w:line="520" w:lineRule="exact"/>
        <w:rPr>
          <w:rFonts w:hint="eastAsia" w:ascii="宋体" w:hAnsi="宋体"/>
          <w:b/>
          <w:color w:val="auto"/>
          <w:kern w:val="0"/>
          <w:sz w:val="24"/>
          <w:highlight w:val="none"/>
        </w:rPr>
      </w:pPr>
    </w:p>
    <w:p>
      <w:pPr>
        <w:jc w:val="center"/>
        <w:rPr>
          <w:rFonts w:asci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第四部分</w:t>
      </w:r>
      <w:r>
        <w:rPr>
          <w:rFonts w:ascii="宋体" w:hAnsi="宋体"/>
          <w:b/>
          <w:color w:val="auto"/>
          <w:sz w:val="32"/>
          <w:szCs w:val="32"/>
          <w:highlight w:val="none"/>
        </w:rPr>
        <w:t xml:space="preserve">  </w:t>
      </w:r>
      <w:r>
        <w:rPr>
          <w:rFonts w:hint="eastAsia" w:ascii="宋体" w:hAnsi="宋体"/>
          <w:b/>
          <w:color w:val="auto"/>
          <w:sz w:val="32"/>
          <w:szCs w:val="32"/>
          <w:highlight w:val="none"/>
        </w:rPr>
        <w:t>采购合同</w:t>
      </w:r>
      <w:r>
        <w:rPr>
          <w:rFonts w:ascii="宋体" w:hAnsi="宋体"/>
          <w:b/>
          <w:color w:val="auto"/>
          <w:sz w:val="32"/>
          <w:szCs w:val="32"/>
          <w:highlight w:val="none"/>
        </w:rPr>
        <w:t>(</w:t>
      </w:r>
      <w:r>
        <w:rPr>
          <w:rFonts w:hint="eastAsia" w:ascii="宋体" w:hAnsi="宋体"/>
          <w:b/>
          <w:color w:val="auto"/>
          <w:sz w:val="32"/>
          <w:szCs w:val="32"/>
          <w:highlight w:val="none"/>
        </w:rPr>
        <w:t>范本</w:t>
      </w:r>
      <w:r>
        <w:rPr>
          <w:rFonts w:ascii="宋体" w:hAnsi="宋体"/>
          <w:b/>
          <w:color w:val="auto"/>
          <w:sz w:val="32"/>
          <w:szCs w:val="32"/>
          <w:highlight w:val="none"/>
        </w:rPr>
        <w:t>)</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政府采购合同参考范本</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（货物类）</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第一部分 合同书</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项目名称：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甲方：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乙方：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签订地：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eastAsia" w:ascii="宋体" w:hAnsi="宋体"/>
          <w:color w:val="auto"/>
          <w:sz w:val="24"/>
          <w:highlight w:val="none"/>
        </w:rPr>
      </w:pPr>
      <w:r>
        <w:rPr>
          <w:rFonts w:hint="eastAsia" w:ascii="宋体" w:hAnsi="宋体"/>
          <w:color w:val="auto"/>
          <w:sz w:val="24"/>
          <w:highlight w:val="none"/>
        </w:rPr>
        <w:t>签订日期：               年       月       日</w:t>
      </w:r>
    </w:p>
    <w:p>
      <w:pPr>
        <w:spacing w:line="440" w:lineRule="exact"/>
        <w:jc w:val="center"/>
        <w:rPr>
          <w:rFonts w:hint="eastAsia" w:ascii="宋体" w:hAnsi="宋体"/>
          <w:color w:val="auto"/>
          <w:sz w:val="24"/>
          <w:highlight w:val="none"/>
        </w:rPr>
        <w:sectPr>
          <w:footerReference r:id="rId7" w:type="default"/>
          <w:pgSz w:w="11907" w:h="16840"/>
          <w:pgMar w:top="1474" w:right="1814" w:bottom="1474" w:left="1814" w:header="851" w:footer="851" w:gutter="0"/>
          <w:pgNumType w:fmt="decimal" w:start="25"/>
          <w:cols w:space="720" w:num="1"/>
          <w:docGrid w:linePitch="46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 xml:space="preserve">        年    月    日</w:t>
      </w:r>
      <w:r>
        <w:rPr>
          <w:rFonts w:hint="eastAsia" w:ascii="宋体" w:hAnsi="宋体"/>
          <w:color w:val="auto"/>
          <w:sz w:val="24"/>
          <w:highlight w:val="none"/>
        </w:rPr>
        <w:t>，   （采购人名称）   以   （政府采购方式）  对   （同前页项目名称）   项目进行了采购。经   （相关评定主体名称）   评定，   （中标供应商名称）为该项目中标供应商。现于中标通知书发出之日起</w:t>
      </w:r>
      <w:r>
        <w:rPr>
          <w:rFonts w:hint="eastAsia" w:ascii="宋体" w:hAnsi="宋体"/>
          <w:color w:val="auto"/>
          <w:sz w:val="24"/>
          <w:highlight w:val="none"/>
          <w:lang w:val="en-US" w:eastAsia="zh-CN"/>
        </w:rPr>
        <w:t>7个工作日</w:t>
      </w:r>
      <w:r>
        <w:rPr>
          <w:rFonts w:hint="eastAsia" w:ascii="宋体" w:hAnsi="宋体"/>
          <w:color w:val="auto"/>
          <w:sz w:val="24"/>
          <w:highlight w:val="none"/>
        </w:rPr>
        <w:t>内，按照采购文件确定的事项签订本合同。</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根据《中华人民共和国合同法》、《中华人民共和国政府采购法》等相关法律法规之规定，按照平等、自愿、公平和诚实信用的原则，经</w:t>
      </w:r>
      <w:r>
        <w:rPr>
          <w:rFonts w:hint="eastAsia" w:ascii="宋体" w:hAnsi="宋体"/>
          <w:color w:val="auto"/>
          <w:sz w:val="24"/>
          <w:highlight w:val="none"/>
        </w:rPr>
        <w:t xml:space="preserve">   （采购人名称）   </w:t>
      </w:r>
      <w:r>
        <w:rPr>
          <w:rFonts w:hint="eastAsia" w:ascii="宋体" w:hAnsi="宋体"/>
          <w:color w:val="auto"/>
          <w:sz w:val="24"/>
          <w:highlight w:val="none"/>
          <w:lang w:val="zh-CN"/>
        </w:rPr>
        <w:t>(以下简称：甲方)和</w:t>
      </w:r>
      <w:r>
        <w:rPr>
          <w:rFonts w:hint="eastAsia" w:ascii="宋体" w:hAnsi="宋体"/>
          <w:color w:val="auto"/>
          <w:sz w:val="24"/>
          <w:highlight w:val="none"/>
        </w:rPr>
        <w:t xml:space="preserve">   （中标供应商名称）   </w:t>
      </w:r>
      <w:r>
        <w:rPr>
          <w:rFonts w:hint="eastAsia"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440" w:lineRule="exact"/>
        <w:rPr>
          <w:rFonts w:hint="eastAsia" w:ascii="宋体" w:hAnsi="宋体"/>
          <w:color w:val="auto"/>
          <w:sz w:val="24"/>
          <w:highlight w:val="none"/>
        </w:rPr>
      </w:pPr>
      <w:bookmarkStart w:id="0" w:name="_Toc3029"/>
      <w:bookmarkStart w:id="1" w:name="_Toc2232"/>
      <w:bookmarkStart w:id="2" w:name="_Toc24059"/>
      <w:r>
        <w:rPr>
          <w:rFonts w:hint="eastAsia" w:ascii="宋体" w:hAnsi="宋体"/>
          <w:color w:val="auto"/>
          <w:sz w:val="24"/>
          <w:highlight w:val="none"/>
        </w:rPr>
        <w:t>1.1 合同组成部分</w:t>
      </w:r>
      <w:bookmarkEnd w:id="0"/>
      <w:bookmarkEnd w:id="1"/>
      <w:bookmarkEnd w:id="2"/>
    </w:p>
    <w:p>
      <w:pPr>
        <w:spacing w:line="440" w:lineRule="exact"/>
        <w:rPr>
          <w:rFonts w:hint="eastAsia"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hint="eastAsia" w:ascii="宋体" w:hAnsi="宋体"/>
          <w:color w:val="auto"/>
          <w:sz w:val="24"/>
          <w:highlight w:val="none"/>
        </w:rPr>
      </w:pPr>
      <w:r>
        <w:rPr>
          <w:rFonts w:hint="eastAsia" w:ascii="宋体" w:hAnsi="宋体"/>
          <w:color w:val="auto"/>
          <w:sz w:val="24"/>
          <w:highlight w:val="none"/>
        </w:rPr>
        <w:t>1.1.1 本合同及其补充合同、变更协议；</w:t>
      </w:r>
    </w:p>
    <w:p>
      <w:pPr>
        <w:spacing w:line="440" w:lineRule="exact"/>
        <w:rPr>
          <w:rFonts w:hint="eastAsia" w:ascii="宋体" w:hAnsi="宋体"/>
          <w:color w:val="auto"/>
          <w:sz w:val="24"/>
          <w:highlight w:val="none"/>
        </w:rPr>
      </w:pPr>
      <w:r>
        <w:rPr>
          <w:rFonts w:hint="eastAsia" w:ascii="宋体" w:hAnsi="宋体"/>
          <w:color w:val="auto"/>
          <w:sz w:val="24"/>
          <w:highlight w:val="none"/>
        </w:rPr>
        <w:t>1.1.2 中标通知书；</w:t>
      </w:r>
    </w:p>
    <w:p>
      <w:pPr>
        <w:spacing w:line="440" w:lineRule="exact"/>
        <w:rPr>
          <w:rFonts w:hint="eastAsia" w:ascii="宋体" w:hAnsi="宋体"/>
          <w:color w:val="auto"/>
          <w:sz w:val="24"/>
          <w:highlight w:val="none"/>
        </w:rPr>
      </w:pPr>
      <w:r>
        <w:rPr>
          <w:rFonts w:hint="eastAsia" w:ascii="宋体" w:hAnsi="宋体"/>
          <w:color w:val="auto"/>
          <w:sz w:val="24"/>
          <w:highlight w:val="none"/>
        </w:rPr>
        <w:t>1.1.3 投标文件（含澄清或者说明文件）；</w:t>
      </w:r>
    </w:p>
    <w:p>
      <w:pPr>
        <w:spacing w:line="440" w:lineRule="exact"/>
        <w:rPr>
          <w:rFonts w:hint="eastAsia" w:ascii="宋体" w:hAnsi="宋体"/>
          <w:color w:val="auto"/>
          <w:sz w:val="24"/>
          <w:highlight w:val="none"/>
        </w:rPr>
      </w:pPr>
      <w:r>
        <w:rPr>
          <w:rFonts w:hint="eastAsia" w:ascii="宋体" w:hAnsi="宋体"/>
          <w:color w:val="auto"/>
          <w:sz w:val="24"/>
          <w:highlight w:val="none"/>
        </w:rPr>
        <w:t>1.1.4 招标文件（含澄清或者修改文件）；</w:t>
      </w:r>
    </w:p>
    <w:p>
      <w:pPr>
        <w:spacing w:line="440" w:lineRule="exact"/>
        <w:rPr>
          <w:rFonts w:hint="eastAsia" w:ascii="宋体" w:hAnsi="宋体"/>
          <w:color w:val="auto"/>
          <w:sz w:val="24"/>
          <w:highlight w:val="none"/>
        </w:rPr>
      </w:pPr>
      <w:r>
        <w:rPr>
          <w:rFonts w:hint="eastAsia" w:ascii="宋体" w:hAnsi="宋体"/>
          <w:color w:val="auto"/>
          <w:sz w:val="24"/>
          <w:highlight w:val="none"/>
        </w:rPr>
        <w:t>1.1.5 其他相关采购文件。</w:t>
      </w:r>
    </w:p>
    <w:p>
      <w:pPr>
        <w:spacing w:line="440" w:lineRule="exact"/>
        <w:rPr>
          <w:rFonts w:hint="eastAsia" w:ascii="宋体" w:hAnsi="宋体"/>
          <w:color w:val="auto"/>
          <w:sz w:val="24"/>
          <w:highlight w:val="none"/>
        </w:rPr>
      </w:pPr>
      <w:bookmarkStart w:id="3" w:name="_Toc24300"/>
      <w:bookmarkStart w:id="4" w:name="_Toc27126"/>
      <w:bookmarkStart w:id="5" w:name="_Toc21295"/>
      <w:r>
        <w:rPr>
          <w:rFonts w:hint="eastAsia" w:ascii="宋体" w:hAnsi="宋体"/>
          <w:color w:val="auto"/>
          <w:sz w:val="24"/>
          <w:highlight w:val="none"/>
        </w:rPr>
        <w:t>1.2 货物</w:t>
      </w:r>
      <w:bookmarkEnd w:id="3"/>
      <w:bookmarkEnd w:id="4"/>
      <w:bookmarkEnd w:id="5"/>
    </w:p>
    <w:p>
      <w:pPr>
        <w:spacing w:line="440" w:lineRule="exact"/>
        <w:rPr>
          <w:rFonts w:hint="eastAsia" w:ascii="宋体" w:hAnsi="宋体"/>
          <w:color w:val="auto"/>
          <w:sz w:val="24"/>
          <w:highlight w:val="none"/>
        </w:rPr>
      </w:pPr>
      <w:r>
        <w:rPr>
          <w:rFonts w:hint="eastAsia" w:ascii="宋体" w:hAnsi="宋体"/>
          <w:color w:val="auto"/>
          <w:sz w:val="24"/>
          <w:highlight w:val="none"/>
        </w:rPr>
        <w:t>1.2.1 货物名称：                                                ；</w:t>
      </w:r>
    </w:p>
    <w:p>
      <w:pPr>
        <w:spacing w:line="440" w:lineRule="exact"/>
        <w:rPr>
          <w:rFonts w:hint="eastAsia" w:ascii="宋体" w:hAnsi="宋体"/>
          <w:color w:val="auto"/>
          <w:sz w:val="24"/>
          <w:highlight w:val="none"/>
        </w:rPr>
      </w:pPr>
      <w:r>
        <w:rPr>
          <w:rFonts w:hint="eastAsia" w:ascii="宋体" w:hAnsi="宋体"/>
          <w:color w:val="auto"/>
          <w:sz w:val="24"/>
          <w:highlight w:val="none"/>
        </w:rPr>
        <w:t>1.2.2 货物数量：                                                ；</w:t>
      </w:r>
    </w:p>
    <w:p>
      <w:pPr>
        <w:spacing w:line="440" w:lineRule="exact"/>
        <w:rPr>
          <w:rFonts w:hint="eastAsia" w:ascii="宋体" w:hAnsi="宋体"/>
          <w:color w:val="auto"/>
          <w:sz w:val="24"/>
          <w:highlight w:val="none"/>
        </w:rPr>
      </w:pPr>
      <w:r>
        <w:rPr>
          <w:rFonts w:hint="eastAsia" w:ascii="宋体" w:hAnsi="宋体"/>
          <w:color w:val="auto"/>
          <w:sz w:val="24"/>
          <w:highlight w:val="none"/>
        </w:rPr>
        <w:t>1.2.3 货物质量：　　　　　　　　　                      　      。</w:t>
      </w:r>
    </w:p>
    <w:p>
      <w:pPr>
        <w:spacing w:line="440" w:lineRule="exact"/>
        <w:rPr>
          <w:rFonts w:hint="eastAsia" w:ascii="宋体" w:hAnsi="宋体"/>
          <w:color w:val="auto"/>
          <w:sz w:val="24"/>
          <w:highlight w:val="none"/>
        </w:rPr>
      </w:pPr>
      <w:bookmarkStart w:id="6" w:name="_Toc23292"/>
      <w:bookmarkStart w:id="7" w:name="_Toc21551"/>
      <w:bookmarkStart w:id="8" w:name="_Toc21631"/>
      <w:r>
        <w:rPr>
          <w:rFonts w:hint="eastAsia" w:ascii="宋体" w:hAnsi="宋体"/>
          <w:color w:val="auto"/>
          <w:sz w:val="24"/>
          <w:highlight w:val="none"/>
        </w:rPr>
        <w:t>1.3 价款</w:t>
      </w:r>
      <w:bookmarkEnd w:id="6"/>
      <w:bookmarkEnd w:id="7"/>
      <w:bookmarkEnd w:id="8"/>
    </w:p>
    <w:p>
      <w:pPr>
        <w:spacing w:line="440" w:lineRule="exact"/>
        <w:rPr>
          <w:rFonts w:hint="eastAsia" w:ascii="宋体" w:hAnsi="宋体"/>
          <w:color w:val="auto"/>
          <w:sz w:val="24"/>
          <w:highlight w:val="none"/>
        </w:rPr>
      </w:pPr>
      <w:r>
        <w:rPr>
          <w:rFonts w:hint="eastAsia" w:ascii="宋体" w:hAnsi="宋体"/>
          <w:color w:val="auto"/>
          <w:sz w:val="24"/>
          <w:highlight w:val="none"/>
        </w:rPr>
        <w:t>本合同总价为：￥           元（大写：                 元人民币）。</w:t>
      </w:r>
    </w:p>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r>
        <w:rPr>
          <w:rFonts w:hint="eastAsia" w:ascii="宋体" w:hAnsi="宋体"/>
          <w:color w:val="auto"/>
          <w:sz w:val="24"/>
          <w:highlight w:val="none"/>
          <w:lang w:val="en-US" w:eastAsia="zh-CN"/>
        </w:rPr>
        <w:t>及参数</w:t>
      </w:r>
      <w:r>
        <w:rPr>
          <w:rFonts w:hint="eastAsia" w:ascii="宋体" w:hAnsi="宋体"/>
          <w:color w:val="auto"/>
          <w:sz w:val="24"/>
          <w:highlight w:val="none"/>
        </w:rPr>
        <w:t>：</w:t>
      </w:r>
    </w:p>
    <w:tbl>
      <w:tblPr>
        <w:tblStyle w:val="31"/>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099"/>
        <w:gridCol w:w="232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序号</w:t>
            </w:r>
          </w:p>
        </w:tc>
        <w:tc>
          <w:tcPr>
            <w:tcW w:w="3099"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分项名称</w:t>
            </w:r>
          </w:p>
        </w:tc>
        <w:tc>
          <w:tcPr>
            <w:tcW w:w="2325"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分项价格</w:t>
            </w:r>
          </w:p>
        </w:tc>
        <w:tc>
          <w:tcPr>
            <w:tcW w:w="2314"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4" w:type="dxa"/>
            <w:noWrap w:val="0"/>
            <w:vAlign w:val="center"/>
          </w:tcPr>
          <w:p>
            <w:pPr>
              <w:spacing w:line="440" w:lineRule="exact"/>
              <w:rPr>
                <w:rFonts w:hint="eastAsia" w:ascii="宋体" w:hAnsi="宋体"/>
                <w:color w:val="auto"/>
                <w:sz w:val="24"/>
                <w:highlight w:val="none"/>
              </w:rPr>
            </w:pPr>
          </w:p>
        </w:tc>
        <w:tc>
          <w:tcPr>
            <w:tcW w:w="3099" w:type="dxa"/>
            <w:noWrap w:val="0"/>
            <w:vAlign w:val="center"/>
          </w:tcPr>
          <w:p>
            <w:pPr>
              <w:spacing w:line="440" w:lineRule="exact"/>
              <w:rPr>
                <w:rFonts w:hint="eastAsia" w:ascii="宋体" w:hAnsi="宋体"/>
                <w:color w:val="auto"/>
                <w:sz w:val="24"/>
                <w:highlight w:val="none"/>
              </w:rPr>
            </w:pPr>
          </w:p>
        </w:tc>
        <w:tc>
          <w:tcPr>
            <w:tcW w:w="2325" w:type="dxa"/>
            <w:noWrap w:val="0"/>
            <w:vAlign w:val="center"/>
          </w:tcPr>
          <w:p>
            <w:pPr>
              <w:spacing w:line="440" w:lineRule="exact"/>
              <w:rPr>
                <w:rFonts w:hint="eastAsia" w:ascii="宋体" w:hAnsi="宋体"/>
                <w:color w:val="auto"/>
                <w:sz w:val="24"/>
                <w:highlight w:val="none"/>
              </w:rPr>
            </w:pPr>
          </w:p>
        </w:tc>
        <w:tc>
          <w:tcPr>
            <w:tcW w:w="2314" w:type="dxa"/>
            <w:noWrap w:val="0"/>
            <w:vAlign w:val="center"/>
          </w:tcPr>
          <w:p>
            <w:pPr>
              <w:spacing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193" w:type="dxa"/>
            <w:gridSpan w:val="2"/>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总价</w:t>
            </w:r>
          </w:p>
        </w:tc>
        <w:tc>
          <w:tcPr>
            <w:tcW w:w="4639" w:type="dxa"/>
            <w:gridSpan w:val="2"/>
            <w:noWrap w:val="0"/>
            <w:vAlign w:val="center"/>
          </w:tcPr>
          <w:p>
            <w:pPr>
              <w:spacing w:line="440" w:lineRule="exact"/>
              <w:rPr>
                <w:rFonts w:hint="eastAsia" w:ascii="宋体" w:hAnsi="宋体"/>
                <w:color w:val="auto"/>
                <w:sz w:val="24"/>
                <w:highlight w:val="none"/>
              </w:rPr>
            </w:pPr>
          </w:p>
        </w:tc>
      </w:tr>
    </w:tbl>
    <w:p>
      <w:pPr>
        <w:spacing w:line="440" w:lineRule="exact"/>
        <w:rPr>
          <w:rFonts w:hint="eastAsia" w:ascii="宋体" w:hAnsi="宋体"/>
          <w:color w:val="auto"/>
          <w:sz w:val="24"/>
          <w:highlight w:val="none"/>
        </w:rPr>
      </w:pPr>
      <w:bookmarkStart w:id="9" w:name="_Toc1814"/>
      <w:bookmarkStart w:id="10" w:name="_Toc22618"/>
      <w:bookmarkStart w:id="11" w:name="_Toc10340"/>
      <w:r>
        <w:rPr>
          <w:rFonts w:hint="eastAsia" w:ascii="宋体" w:hAnsi="宋体"/>
          <w:color w:val="auto"/>
          <w:sz w:val="24"/>
          <w:highlight w:val="none"/>
        </w:rPr>
        <w:t>1.4 付款方式和发票开具方式</w:t>
      </w:r>
      <w:bookmarkEnd w:id="9"/>
      <w:bookmarkEnd w:id="10"/>
      <w:bookmarkEnd w:id="11"/>
    </w:p>
    <w:p>
      <w:pPr>
        <w:spacing w:line="440" w:lineRule="exact"/>
        <w:rPr>
          <w:rFonts w:hint="eastAsia" w:ascii="宋体" w:hAnsi="宋体"/>
          <w:color w:val="auto"/>
          <w:sz w:val="24"/>
          <w:highlight w:val="none"/>
        </w:rPr>
        <w:sectPr>
          <w:headerReference r:id="rId9" w:type="first"/>
          <w:footerReference r:id="rId12" w:type="first"/>
          <w:headerReference r:id="rId8" w:type="default"/>
          <w:footerReference r:id="rId10" w:type="default"/>
          <w:footerReference r:id="rId11" w:type="even"/>
          <w:pgSz w:w="11906" w:h="16838"/>
          <w:pgMar w:top="1361" w:right="1489" w:bottom="1361" w:left="1797" w:header="851" w:footer="992" w:gutter="0"/>
          <w:pgNumType w:fmt="decimal" w:start="26"/>
          <w:cols w:space="720" w:num="1"/>
          <w:titlePg/>
          <w:docGrid w:type="lines" w:linePitch="31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rPr>
        <w:t>1.4.1 付款方式：                                                ；</w:t>
      </w:r>
    </w:p>
    <w:p>
      <w:pPr>
        <w:spacing w:line="440" w:lineRule="exact"/>
        <w:rPr>
          <w:rFonts w:hint="eastAsia" w:ascii="宋体" w:hAnsi="宋体"/>
          <w:color w:val="auto"/>
          <w:sz w:val="24"/>
          <w:highlight w:val="none"/>
        </w:rPr>
      </w:pPr>
      <w:r>
        <w:rPr>
          <w:rFonts w:hint="eastAsia" w:ascii="宋体" w:hAnsi="宋体"/>
          <w:color w:val="auto"/>
          <w:sz w:val="24"/>
          <w:highlight w:val="none"/>
        </w:rPr>
        <w:t>1.4.2 发票开具方式：                                            。</w:t>
      </w:r>
    </w:p>
    <w:p>
      <w:pPr>
        <w:spacing w:line="440" w:lineRule="exact"/>
        <w:rPr>
          <w:rFonts w:hint="eastAsia" w:ascii="宋体" w:hAnsi="宋体"/>
          <w:color w:val="auto"/>
          <w:sz w:val="24"/>
          <w:highlight w:val="none"/>
        </w:rPr>
      </w:pPr>
      <w:bookmarkStart w:id="12" w:name="_Toc19304"/>
      <w:bookmarkStart w:id="13" w:name="_Toc2846"/>
      <w:bookmarkStart w:id="14" w:name="_Toc32071"/>
      <w:r>
        <w:rPr>
          <w:rFonts w:hint="eastAsia" w:ascii="宋体" w:hAnsi="宋体"/>
          <w:color w:val="auto"/>
          <w:sz w:val="24"/>
          <w:highlight w:val="none"/>
        </w:rPr>
        <w:t>1.5 货物交付期限、地点和方式</w:t>
      </w:r>
      <w:bookmarkEnd w:id="12"/>
      <w:bookmarkEnd w:id="13"/>
      <w:bookmarkEnd w:id="14"/>
    </w:p>
    <w:p>
      <w:pPr>
        <w:spacing w:line="440" w:lineRule="exact"/>
        <w:rPr>
          <w:rFonts w:hint="eastAsia" w:ascii="宋体" w:hAnsi="宋体"/>
          <w:color w:val="auto"/>
          <w:sz w:val="24"/>
          <w:highlight w:val="none"/>
        </w:rPr>
      </w:pPr>
      <w:r>
        <w:rPr>
          <w:rFonts w:hint="eastAsia" w:ascii="宋体" w:hAnsi="宋体"/>
          <w:color w:val="auto"/>
          <w:sz w:val="24"/>
          <w:highlight w:val="none"/>
        </w:rPr>
        <w:t>1.5.1 交付期限：                                                ；</w:t>
      </w:r>
    </w:p>
    <w:p>
      <w:pPr>
        <w:spacing w:line="440" w:lineRule="exact"/>
        <w:rPr>
          <w:rFonts w:hint="eastAsia" w:ascii="宋体" w:hAnsi="宋体"/>
          <w:color w:val="auto"/>
          <w:sz w:val="24"/>
          <w:highlight w:val="none"/>
        </w:rPr>
      </w:pPr>
      <w:r>
        <w:rPr>
          <w:rFonts w:hint="eastAsia" w:ascii="宋体" w:hAnsi="宋体"/>
          <w:color w:val="auto"/>
          <w:sz w:val="24"/>
          <w:highlight w:val="none"/>
        </w:rPr>
        <w:t>1.5.2 交付地点：                                                ；</w:t>
      </w:r>
    </w:p>
    <w:p>
      <w:pPr>
        <w:spacing w:line="440" w:lineRule="exact"/>
        <w:rPr>
          <w:rFonts w:hint="eastAsia" w:ascii="宋体" w:hAnsi="宋体"/>
          <w:color w:val="auto"/>
          <w:sz w:val="24"/>
          <w:highlight w:val="none"/>
        </w:rPr>
      </w:pPr>
      <w:r>
        <w:rPr>
          <w:rFonts w:hint="eastAsia" w:ascii="宋体" w:hAnsi="宋体"/>
          <w:color w:val="auto"/>
          <w:sz w:val="24"/>
          <w:highlight w:val="none"/>
        </w:rPr>
        <w:t>1.5.3 交付方式：　　　　　　　　　                      　      。</w:t>
      </w:r>
    </w:p>
    <w:p>
      <w:pPr>
        <w:spacing w:line="440" w:lineRule="exact"/>
        <w:rPr>
          <w:rFonts w:hint="eastAsia" w:ascii="宋体" w:hAnsi="宋体"/>
          <w:color w:val="auto"/>
          <w:sz w:val="24"/>
          <w:highlight w:val="none"/>
        </w:rPr>
      </w:pPr>
      <w:bookmarkStart w:id="15" w:name="_Toc21423"/>
      <w:bookmarkStart w:id="16" w:name="_Toc19554"/>
      <w:bookmarkStart w:id="17" w:name="_Toc27250"/>
      <w:r>
        <w:rPr>
          <w:rFonts w:hint="eastAsia" w:ascii="宋体" w:hAnsi="宋体"/>
          <w:color w:val="auto"/>
          <w:sz w:val="24"/>
          <w:highlight w:val="none"/>
        </w:rPr>
        <w:t>1.6 违约责任</w:t>
      </w:r>
      <w:bookmarkEnd w:id="15"/>
      <w:bookmarkEnd w:id="16"/>
      <w:bookmarkEnd w:id="17"/>
    </w:p>
    <w:p>
      <w:pPr>
        <w:spacing w:line="440" w:lineRule="exact"/>
        <w:rPr>
          <w:rFonts w:hint="eastAsia" w:ascii="宋体" w:hAnsi="宋体"/>
          <w:color w:val="auto"/>
          <w:sz w:val="24"/>
          <w:highlight w:val="none"/>
        </w:rPr>
      </w:pPr>
      <w:r>
        <w:rPr>
          <w:rFonts w:hint="eastAsia" w:ascii="宋体" w:hAnsi="宋体"/>
          <w:color w:val="auto"/>
          <w:sz w:val="24"/>
          <w:highlight w:val="none"/>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hint="eastAsia" w:ascii="宋体" w:hAnsi="宋体"/>
          <w:color w:val="auto"/>
          <w:sz w:val="24"/>
          <w:highlight w:val="none"/>
        </w:rPr>
      </w:pPr>
      <w:bookmarkStart w:id="18" w:name="_Toc15583"/>
      <w:bookmarkStart w:id="19" w:name="_Toc16021"/>
      <w:bookmarkStart w:id="20" w:name="_Toc28375"/>
      <w:r>
        <w:rPr>
          <w:rFonts w:hint="eastAsia" w:ascii="宋体" w:hAnsi="宋体"/>
          <w:color w:val="auto"/>
          <w:sz w:val="24"/>
          <w:highlight w:val="none"/>
        </w:rPr>
        <w:t>1.7 合同争议的解决</w:t>
      </w:r>
      <w:bookmarkEnd w:id="18"/>
      <w:bookmarkEnd w:id="19"/>
      <w:bookmarkEnd w:id="20"/>
    </w:p>
    <w:p>
      <w:pPr>
        <w:spacing w:line="440" w:lineRule="exact"/>
        <w:rPr>
          <w:rFonts w:hint="eastAsia" w:ascii="宋体" w:hAnsi="宋体"/>
          <w:color w:val="auto"/>
          <w:sz w:val="24"/>
          <w:highlight w:val="none"/>
        </w:rPr>
      </w:pPr>
      <w:r>
        <w:rPr>
          <w:rFonts w:hint="eastAsia" w:ascii="宋体" w:hAnsi="宋体"/>
          <w:color w:val="auto"/>
          <w:sz w:val="24"/>
          <w:highlight w:val="none"/>
        </w:rPr>
        <w:t>本合同履行过程中发生的任何争议，双方当事人均可通过和解或者调解解决；不愿和解、调解或者和解、调解不成的，可以选择下列第    种方式解决：</w:t>
      </w:r>
    </w:p>
    <w:p>
      <w:pPr>
        <w:spacing w:line="440" w:lineRule="exact"/>
        <w:rPr>
          <w:rFonts w:hint="eastAsia" w:ascii="宋体" w:hAnsi="宋体"/>
          <w:color w:val="auto"/>
          <w:sz w:val="24"/>
          <w:highlight w:val="none"/>
        </w:rPr>
      </w:pPr>
      <w:r>
        <w:rPr>
          <w:rFonts w:hint="eastAsia" w:ascii="宋体" w:hAnsi="宋体"/>
          <w:color w:val="auto"/>
          <w:sz w:val="24"/>
          <w:highlight w:val="none"/>
        </w:rPr>
        <w:t>1.7.1 将争议提交              仲裁委员会依申请仲裁时其现行有效的仲裁规则裁决；</w:t>
      </w:r>
    </w:p>
    <w:p>
      <w:pPr>
        <w:spacing w:line="440" w:lineRule="exact"/>
        <w:rPr>
          <w:rFonts w:hint="eastAsia" w:ascii="宋体" w:hAnsi="宋体"/>
          <w:color w:val="auto"/>
          <w:sz w:val="24"/>
          <w:highlight w:val="none"/>
        </w:rPr>
      </w:pPr>
      <w:r>
        <w:rPr>
          <w:rFonts w:hint="eastAsia" w:ascii="宋体" w:hAnsi="宋体"/>
          <w:color w:val="auto"/>
          <w:sz w:val="24"/>
          <w:highlight w:val="none"/>
        </w:rPr>
        <w:t>1.7.2 向   （被告住所地、合同履行地、合同签订地、原告住所地、标的物所在地等与争议有实际联系的地点中选出的人民法院名称）    人民法院起诉。</w:t>
      </w:r>
    </w:p>
    <w:p>
      <w:pPr>
        <w:spacing w:line="440" w:lineRule="exact"/>
        <w:rPr>
          <w:rFonts w:hint="eastAsia" w:ascii="宋体" w:hAnsi="宋体"/>
          <w:color w:val="auto"/>
          <w:sz w:val="24"/>
          <w:highlight w:val="none"/>
        </w:rPr>
      </w:pPr>
      <w:bookmarkStart w:id="21" w:name="_Toc11173"/>
      <w:bookmarkStart w:id="22" w:name="_Toc7245"/>
      <w:bookmarkStart w:id="23" w:name="_Toc15322"/>
      <w:r>
        <w:rPr>
          <w:rFonts w:hint="eastAsia" w:ascii="宋体" w:hAnsi="宋体"/>
          <w:color w:val="auto"/>
          <w:sz w:val="24"/>
          <w:highlight w:val="none"/>
        </w:rPr>
        <w:t>1.8 合同生效</w:t>
      </w:r>
      <w:bookmarkEnd w:id="21"/>
      <w:bookmarkEnd w:id="22"/>
      <w:bookmarkEnd w:id="23"/>
    </w:p>
    <w:p>
      <w:pPr>
        <w:spacing w:line="440" w:lineRule="exact"/>
        <w:rPr>
          <w:rFonts w:hint="eastAsia" w:ascii="宋体" w:hAnsi="宋体"/>
          <w:color w:val="auto"/>
          <w:sz w:val="24"/>
          <w:highlight w:val="none"/>
        </w:rPr>
      </w:pPr>
      <w:r>
        <w:rPr>
          <w:rFonts w:hint="eastAsia" w:ascii="宋体" w:hAnsi="宋体"/>
          <w:color w:val="auto"/>
          <w:sz w:val="24"/>
          <w:highlight w:val="none"/>
        </w:rPr>
        <w:t>本合同自双方当事人盖章或者签字时生效。</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甲方：                                   乙方：</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统一社会信用代码：                        统一社会信用代码或身份证号码：</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住所：                                   住所：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法定代表人或                             法定代表人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授权代表（签字）：                        或授权代表（签字）: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联系人：                                 联系人：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约定送达地址：                           约定送达地址：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邮政编码：                               邮政编码：</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电话:                                    电话: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传真:                                    传真:</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电子邮箱：                               电子邮箱：</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开户银行：                               开户银行：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开户名称：                               开户名称： </w:t>
      </w:r>
    </w:p>
    <w:p>
      <w:pPr>
        <w:spacing w:line="440" w:lineRule="exact"/>
        <w:rPr>
          <w:rFonts w:hint="eastAsia" w:ascii="宋体" w:hAnsi="宋体"/>
          <w:color w:val="auto"/>
          <w:sz w:val="24"/>
          <w:highlight w:val="none"/>
        </w:rPr>
      </w:pPr>
      <w:r>
        <w:rPr>
          <w:rFonts w:hint="eastAsia" w:ascii="宋体" w:hAnsi="宋体"/>
          <w:color w:val="auto"/>
          <w:sz w:val="24"/>
          <w:highlight w:val="none"/>
        </w:rPr>
        <w:t>开户账号：</w:t>
      </w:r>
      <w:r>
        <w:rPr>
          <w:rFonts w:hint="eastAsia" w:ascii="宋体" w:hAnsi="宋体"/>
          <w:color w:val="auto"/>
          <w:sz w:val="24"/>
          <w:highlight w:val="none"/>
          <w:lang w:val="zh-CN"/>
        </w:rPr>
        <w:t xml:space="preserve">                               </w:t>
      </w:r>
      <w:r>
        <w:rPr>
          <w:rFonts w:hint="eastAsia" w:ascii="宋体" w:hAnsi="宋体"/>
          <w:color w:val="auto"/>
          <w:sz w:val="24"/>
          <w:highlight w:val="none"/>
        </w:rPr>
        <w:t>开户账号：</w:t>
      </w:r>
    </w:p>
    <w:p>
      <w:pPr>
        <w:spacing w:line="440" w:lineRule="exact"/>
        <w:rPr>
          <w:rFonts w:hint="eastAsia" w:ascii="宋体" w:hAnsi="宋体"/>
          <w:color w:val="auto"/>
          <w:sz w:val="24"/>
          <w:highlight w:val="none"/>
        </w:rPr>
      </w:pPr>
      <w:bookmarkStart w:id="24" w:name="_Toc331685783"/>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pStyle w:val="5"/>
        <w:rPr>
          <w:rFonts w:hint="eastAsia"/>
          <w:color w:val="auto"/>
          <w:highlight w:val="none"/>
        </w:rPr>
      </w:pPr>
    </w:p>
    <w:p>
      <w:pPr>
        <w:spacing w:line="440" w:lineRule="exact"/>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第二部分 合同一般条款</w:t>
      </w:r>
      <w:bookmarkEnd w:id="24"/>
    </w:p>
    <w:p>
      <w:pPr>
        <w:spacing w:line="440" w:lineRule="exact"/>
        <w:rPr>
          <w:rFonts w:hint="eastAsia" w:ascii="宋体" w:hAnsi="宋体"/>
          <w:color w:val="auto"/>
          <w:sz w:val="24"/>
          <w:highlight w:val="none"/>
        </w:rPr>
      </w:pPr>
      <w:bookmarkStart w:id="25" w:name="_Ref467379214"/>
      <w:bookmarkStart w:id="26" w:name="_Ref467379101"/>
      <w:bookmarkStart w:id="27" w:name="_Toc279701240"/>
      <w:bookmarkStart w:id="28" w:name="_Toc19614"/>
      <w:bookmarkStart w:id="29" w:name="_Ref467379205"/>
      <w:bookmarkStart w:id="30" w:name="_Toc16917"/>
      <w:bookmarkStart w:id="31" w:name="_Ref467379109"/>
      <w:bookmarkStart w:id="32" w:name="_Ref467379195"/>
      <w:bookmarkStart w:id="33" w:name="_Toc259093669"/>
      <w:bookmarkStart w:id="34" w:name="_Ref467378463"/>
      <w:bookmarkStart w:id="35" w:name="_Ref467379225"/>
      <w:bookmarkStart w:id="36" w:name="_Toc487900349"/>
      <w:bookmarkStart w:id="37" w:name="_Toc28763"/>
      <w:bookmarkStart w:id="38" w:name="_Ref467378499"/>
      <w:bookmarkStart w:id="39" w:name="_Ref467379094"/>
      <w:bookmarkStart w:id="40" w:name="_Ref467378404"/>
      <w:r>
        <w:rPr>
          <w:rFonts w:hint="eastAsia" w:ascii="宋体" w:hAnsi="宋体"/>
          <w:color w:val="auto"/>
          <w:sz w:val="24"/>
          <w:highlight w:val="none"/>
        </w:rPr>
        <w:t>2.1 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hint="eastAsia" w:ascii="宋体" w:hAnsi="宋体"/>
          <w:color w:val="auto"/>
          <w:sz w:val="24"/>
          <w:highlight w:val="none"/>
        </w:rPr>
      </w:pPr>
      <w:r>
        <w:rPr>
          <w:rFonts w:hint="eastAsia" w:ascii="宋体" w:hAnsi="宋体"/>
          <w:color w:val="auto"/>
          <w:sz w:val="24"/>
          <w:highlight w:val="none"/>
        </w:rPr>
        <w:t>本合同中的下列词语应按以下内容进行解释：</w:t>
      </w:r>
    </w:p>
    <w:p>
      <w:pPr>
        <w:spacing w:line="440" w:lineRule="exact"/>
        <w:rPr>
          <w:rFonts w:hint="eastAsia" w:ascii="宋体" w:hAnsi="宋体"/>
          <w:color w:val="auto"/>
          <w:sz w:val="24"/>
          <w:highlight w:val="none"/>
        </w:rPr>
      </w:pPr>
      <w:r>
        <w:rPr>
          <w:rFonts w:hint="eastAsia" w:ascii="宋体" w:hAnsi="宋体"/>
          <w:color w:val="auto"/>
          <w:sz w:val="24"/>
          <w:highlight w:val="none"/>
        </w:rPr>
        <w:t>2.1.1 “合同”系指采购人和中标供应商签订的载明双方当事人所达成的协议，并包括所有的附件、附录和构成合同的其他文件。</w:t>
      </w:r>
    </w:p>
    <w:p>
      <w:pPr>
        <w:spacing w:line="440" w:lineRule="exact"/>
        <w:rPr>
          <w:rFonts w:hint="eastAsia" w:ascii="宋体" w:hAnsi="宋体"/>
          <w:color w:val="auto"/>
          <w:sz w:val="24"/>
          <w:highlight w:val="none"/>
        </w:rPr>
      </w:pPr>
      <w:r>
        <w:rPr>
          <w:rFonts w:hint="eastAsia" w:ascii="宋体" w:hAnsi="宋体"/>
          <w:color w:val="auto"/>
          <w:sz w:val="24"/>
          <w:highlight w:val="none"/>
        </w:rPr>
        <w:t>2.1.2 “合同价”系指根据合同约定，中标供应商在完全履行合同义务后，采购人应支付给中标供应商的价格。</w:t>
      </w:r>
    </w:p>
    <w:p>
      <w:pPr>
        <w:spacing w:line="440" w:lineRule="exact"/>
        <w:rPr>
          <w:rFonts w:hint="eastAsia" w:ascii="宋体" w:hAnsi="宋体"/>
          <w:color w:val="auto"/>
          <w:sz w:val="24"/>
          <w:highlight w:val="none"/>
        </w:rPr>
      </w:pPr>
      <w:r>
        <w:rPr>
          <w:rFonts w:hint="eastAsia" w:ascii="宋体" w:hAnsi="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hint="eastAsia" w:ascii="宋体" w:hAnsi="宋体"/>
          <w:color w:val="auto"/>
          <w:sz w:val="24"/>
          <w:highlight w:val="none"/>
        </w:rPr>
      </w:pPr>
      <w:bookmarkStart w:id="41" w:name="_Ref467378840"/>
      <w:r>
        <w:rPr>
          <w:rFonts w:hint="eastAsia" w:ascii="宋体" w:hAnsi="宋体"/>
          <w:color w:val="auto"/>
          <w:sz w:val="24"/>
          <w:highlight w:val="none"/>
        </w:rPr>
        <w:t>2.1.4 “甲方”系指与中标供应商签署合同的采购人</w:t>
      </w:r>
      <w:bookmarkEnd w:id="41"/>
      <w:r>
        <w:rPr>
          <w:rFonts w:hint="eastAsia" w:ascii="宋体" w:hAnsi="宋体"/>
          <w:color w:val="auto"/>
          <w:sz w:val="24"/>
          <w:highlight w:val="none"/>
        </w:rPr>
        <w:t>；采购人委托采购代理机构代表其与乙方签订合同的，采购人的授权委托书作为合同附件。</w:t>
      </w:r>
    </w:p>
    <w:p>
      <w:pPr>
        <w:spacing w:line="440" w:lineRule="exact"/>
        <w:rPr>
          <w:rFonts w:hint="eastAsia" w:ascii="宋体" w:hAnsi="宋体"/>
          <w:color w:val="auto"/>
          <w:sz w:val="24"/>
          <w:highlight w:val="none"/>
        </w:rPr>
      </w:pPr>
      <w:bookmarkStart w:id="42" w:name="_Ref467379400"/>
      <w:r>
        <w:rPr>
          <w:rFonts w:hint="eastAsia" w:ascii="宋体" w:hAnsi="宋体"/>
          <w:color w:val="auto"/>
          <w:sz w:val="24"/>
          <w:highlight w:val="none"/>
        </w:rPr>
        <w:t>2.1.5 “乙方”系指根据合同约定交付货物的中标供应商</w:t>
      </w:r>
      <w:bookmarkEnd w:id="42"/>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hint="eastAsia" w:ascii="宋体" w:hAnsi="宋体"/>
          <w:color w:val="auto"/>
          <w:sz w:val="24"/>
          <w:highlight w:val="none"/>
        </w:rPr>
      </w:pPr>
      <w:bookmarkStart w:id="43" w:name="_Ref467379436"/>
      <w:r>
        <w:rPr>
          <w:rFonts w:hint="eastAsia" w:ascii="宋体" w:hAnsi="宋体"/>
          <w:color w:val="auto"/>
          <w:sz w:val="24"/>
          <w:highlight w:val="none"/>
        </w:rPr>
        <w:t>2.1.6 “现场”系指合同约定货物将要运至或者安装的地点。</w:t>
      </w:r>
      <w:bookmarkEnd w:id="43"/>
    </w:p>
    <w:p>
      <w:pPr>
        <w:spacing w:line="440" w:lineRule="exact"/>
        <w:rPr>
          <w:rFonts w:hint="eastAsia" w:ascii="宋体" w:hAnsi="宋体"/>
          <w:color w:val="auto"/>
          <w:sz w:val="24"/>
          <w:highlight w:val="none"/>
        </w:rPr>
      </w:pPr>
      <w:bookmarkStart w:id="44" w:name="_Toc279701241"/>
      <w:bookmarkStart w:id="45" w:name="_Toc27635"/>
      <w:bookmarkStart w:id="46" w:name="_Toc487900350"/>
      <w:bookmarkStart w:id="47" w:name="_Toc259093670"/>
      <w:bookmarkStart w:id="48" w:name="_Toc13336"/>
      <w:bookmarkStart w:id="49" w:name="_Toc32504"/>
      <w:r>
        <w:rPr>
          <w:rFonts w:hint="eastAsia" w:ascii="宋体" w:hAnsi="宋体"/>
          <w:color w:val="auto"/>
          <w:sz w:val="24"/>
          <w:highlight w:val="none"/>
        </w:rPr>
        <w:t>2.2 技术规范</w:t>
      </w:r>
      <w:bookmarkEnd w:id="44"/>
      <w:bookmarkEnd w:id="45"/>
      <w:bookmarkEnd w:id="46"/>
      <w:bookmarkEnd w:id="47"/>
      <w:bookmarkEnd w:id="48"/>
      <w:bookmarkEnd w:id="49"/>
    </w:p>
    <w:p>
      <w:pPr>
        <w:spacing w:line="440" w:lineRule="exact"/>
        <w:rPr>
          <w:rFonts w:hint="eastAsia" w:ascii="宋体" w:hAnsi="宋体"/>
          <w:color w:val="auto"/>
          <w:sz w:val="24"/>
          <w:highlight w:val="none"/>
        </w:rPr>
      </w:pPr>
      <w:r>
        <w:rPr>
          <w:rFonts w:hint="eastAsia" w:ascii="宋体" w:hAnsi="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hint="eastAsia" w:ascii="宋体" w:hAnsi="宋体"/>
          <w:color w:val="auto"/>
          <w:sz w:val="24"/>
          <w:highlight w:val="none"/>
        </w:rPr>
      </w:pPr>
      <w:bookmarkStart w:id="50" w:name="_Toc279701242"/>
      <w:bookmarkStart w:id="51" w:name="_Toc27853"/>
      <w:bookmarkStart w:id="52" w:name="_Toc9829"/>
      <w:bookmarkStart w:id="53" w:name="_Toc31634"/>
      <w:bookmarkStart w:id="54" w:name="_Toc487900351"/>
      <w:bookmarkStart w:id="55" w:name="_Toc259093671"/>
      <w:r>
        <w:rPr>
          <w:rFonts w:hint="eastAsia" w:ascii="宋体" w:hAnsi="宋体"/>
          <w:color w:val="auto"/>
          <w:sz w:val="24"/>
          <w:highlight w:val="none"/>
        </w:rPr>
        <w:t>2.3 知识产权</w:t>
      </w:r>
      <w:bookmarkEnd w:id="50"/>
      <w:bookmarkEnd w:id="51"/>
      <w:bookmarkEnd w:id="52"/>
      <w:bookmarkEnd w:id="53"/>
      <w:bookmarkEnd w:id="54"/>
      <w:bookmarkEnd w:id="55"/>
    </w:p>
    <w:p>
      <w:pPr>
        <w:spacing w:line="440" w:lineRule="exact"/>
        <w:rPr>
          <w:rFonts w:hint="eastAsia" w:ascii="宋体" w:hAnsi="宋体"/>
          <w:color w:val="auto"/>
          <w:sz w:val="24"/>
          <w:highlight w:val="none"/>
        </w:rPr>
      </w:pPr>
      <w:r>
        <w:rPr>
          <w:rFonts w:hint="eastAsia" w:ascii="宋体" w:hAnsi="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hint="eastAsia" w:ascii="宋体" w:hAnsi="宋体"/>
          <w:color w:val="auto"/>
          <w:sz w:val="24"/>
          <w:highlight w:val="none"/>
        </w:rPr>
      </w:pPr>
      <w:r>
        <w:rPr>
          <w:rFonts w:hint="eastAsia" w:ascii="宋体" w:hAnsi="宋体"/>
          <w:color w:val="auto"/>
          <w:sz w:val="24"/>
          <w:highlight w:val="none"/>
        </w:rPr>
        <w:t>2.3.2具有知识产权的计算机软件等货物的知识产权归属，详见合同专用条款。</w:t>
      </w:r>
    </w:p>
    <w:p>
      <w:pPr>
        <w:spacing w:line="440" w:lineRule="exact"/>
        <w:rPr>
          <w:rFonts w:hint="eastAsia" w:ascii="宋体" w:hAnsi="宋体"/>
          <w:color w:val="auto"/>
          <w:sz w:val="24"/>
          <w:highlight w:val="none"/>
        </w:rPr>
      </w:pPr>
      <w:bookmarkStart w:id="56" w:name="_Toc4194"/>
      <w:bookmarkStart w:id="57" w:name="_Toc11932"/>
      <w:bookmarkStart w:id="58" w:name="_Toc29149"/>
      <w:r>
        <w:rPr>
          <w:rFonts w:hint="eastAsia" w:ascii="宋体" w:hAnsi="宋体"/>
          <w:color w:val="auto"/>
          <w:sz w:val="24"/>
          <w:highlight w:val="none"/>
        </w:rPr>
        <w:t>2.4 包装和装运</w:t>
      </w:r>
      <w:bookmarkEnd w:id="56"/>
      <w:bookmarkEnd w:id="57"/>
      <w:bookmarkEnd w:id="58"/>
    </w:p>
    <w:p>
      <w:pPr>
        <w:spacing w:line="440" w:lineRule="exact"/>
        <w:rPr>
          <w:rFonts w:hint="eastAsia" w:ascii="宋体" w:hAnsi="宋体"/>
          <w:color w:val="auto"/>
          <w:sz w:val="24"/>
          <w:highlight w:val="none"/>
        </w:rPr>
      </w:pPr>
      <w:r>
        <w:rPr>
          <w:rFonts w:hint="eastAsia" w:ascii="宋体" w:hAnsi="宋体"/>
          <w:color w:val="auto"/>
          <w:sz w:val="24"/>
          <w:highlight w:val="none"/>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hint="eastAsia" w:ascii="宋体" w:hAnsi="宋体"/>
          <w:color w:val="auto"/>
          <w:sz w:val="24"/>
          <w:highlight w:val="none"/>
        </w:rPr>
      </w:pPr>
      <w:r>
        <w:rPr>
          <w:rFonts w:hint="eastAsia" w:ascii="宋体" w:hAnsi="宋体"/>
          <w:color w:val="auto"/>
          <w:sz w:val="24"/>
          <w:highlight w:val="none"/>
        </w:rPr>
        <w:t>2.4.2 装运货物的要求和通知，详见合同专用条款。</w:t>
      </w:r>
    </w:p>
    <w:p>
      <w:pPr>
        <w:spacing w:line="440" w:lineRule="exact"/>
        <w:rPr>
          <w:rFonts w:hint="eastAsia" w:ascii="宋体" w:hAnsi="宋体"/>
          <w:color w:val="auto"/>
          <w:sz w:val="24"/>
          <w:highlight w:val="none"/>
        </w:rPr>
      </w:pPr>
      <w:bookmarkStart w:id="59" w:name="_Toc259093674"/>
      <w:bookmarkStart w:id="60" w:name="_Ref467379536"/>
      <w:bookmarkStart w:id="61" w:name="_Toc487900354"/>
      <w:bookmarkStart w:id="62" w:name="_Ref467378591"/>
      <w:bookmarkStart w:id="63" w:name="_Ref467379527"/>
      <w:bookmarkStart w:id="64" w:name="_Ref467379542"/>
      <w:bookmarkStart w:id="65" w:name="_Ref467378541"/>
      <w:bookmarkStart w:id="66" w:name="_Toc279701245"/>
      <w:bookmarkStart w:id="67" w:name="_Toc26182"/>
      <w:bookmarkStart w:id="68" w:name="_Toc30272"/>
      <w:bookmarkStart w:id="69" w:name="_Toc19074"/>
      <w:r>
        <w:rPr>
          <w:rFonts w:hint="eastAsia" w:ascii="宋体" w:hAnsi="宋体"/>
          <w:color w:val="auto"/>
          <w:sz w:val="24"/>
          <w:highlight w:val="none"/>
        </w:rPr>
        <w:t>2.</w:t>
      </w:r>
      <w:bookmarkEnd w:id="59"/>
      <w:bookmarkEnd w:id="60"/>
      <w:bookmarkEnd w:id="61"/>
      <w:bookmarkEnd w:id="62"/>
      <w:bookmarkEnd w:id="63"/>
      <w:bookmarkEnd w:id="64"/>
      <w:bookmarkEnd w:id="65"/>
      <w:bookmarkEnd w:id="66"/>
      <w:r>
        <w:rPr>
          <w:rFonts w:hint="eastAsia" w:ascii="宋体" w:hAnsi="宋体"/>
          <w:color w:val="auto"/>
          <w:sz w:val="24"/>
          <w:highlight w:val="none"/>
        </w:rPr>
        <w:t>5 履约检查和问题反馈</w:t>
      </w:r>
      <w:bookmarkEnd w:id="67"/>
      <w:bookmarkEnd w:id="68"/>
      <w:bookmarkEnd w:id="69"/>
    </w:p>
    <w:p>
      <w:pPr>
        <w:spacing w:line="440" w:lineRule="exact"/>
        <w:rPr>
          <w:rFonts w:hint="eastAsia" w:ascii="宋体" w:hAnsi="宋体"/>
          <w:color w:val="auto"/>
          <w:sz w:val="24"/>
          <w:highlight w:val="none"/>
        </w:rPr>
      </w:pPr>
      <w:bookmarkStart w:id="70" w:name="_Ref467379657"/>
      <w:r>
        <w:rPr>
          <w:rFonts w:hint="eastAsia" w:ascii="宋体" w:hAnsi="宋体"/>
          <w:color w:val="auto"/>
          <w:sz w:val="24"/>
          <w:highlight w:val="none"/>
        </w:rPr>
        <w:t>2.5.1</w:t>
      </w:r>
      <w:bookmarkEnd w:id="70"/>
      <w:bookmarkStart w:id="71" w:name="_Toc186431854"/>
      <w:bookmarkStart w:id="72" w:name="_Ref467379807"/>
      <w:bookmarkStart w:id="73" w:name="_Ref467379793"/>
      <w:bookmarkStart w:id="74" w:name="_Toc487900357"/>
      <w:bookmarkStart w:id="75" w:name="_Toc279701247"/>
      <w:bookmarkStart w:id="76" w:name="_Toc259093676"/>
      <w:r>
        <w:rPr>
          <w:rFonts w:hint="eastAsia" w:ascii="宋体" w:hAnsi="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2.5.2 合同履行期间，甲方有权将履行过程中出现的问题反馈给乙方，双方当事人应以书面形式约定需要完善和改进的内容</w:t>
      </w:r>
      <w:bookmarkEnd w:id="71"/>
      <w:bookmarkStart w:id="77" w:name="_Toc186431855"/>
      <w:r>
        <w:rPr>
          <w:rFonts w:hint="eastAsia" w:ascii="宋体" w:hAnsi="宋体"/>
          <w:color w:val="auto"/>
          <w:sz w:val="24"/>
          <w:highlight w:val="none"/>
        </w:rPr>
        <w:t>。</w:t>
      </w:r>
    </w:p>
    <w:bookmarkEnd w:id="77"/>
    <w:p>
      <w:pPr>
        <w:spacing w:line="440" w:lineRule="exact"/>
        <w:rPr>
          <w:rFonts w:hint="eastAsia" w:ascii="宋体" w:hAnsi="宋体"/>
          <w:color w:val="auto"/>
          <w:sz w:val="24"/>
          <w:highlight w:val="none"/>
        </w:rPr>
      </w:pPr>
      <w:bookmarkStart w:id="78" w:name="_Toc7836"/>
      <w:bookmarkStart w:id="79" w:name="_Toc28451"/>
      <w:bookmarkStart w:id="80" w:name="_Toc19219"/>
      <w:r>
        <w:rPr>
          <w:rFonts w:hint="eastAsia" w:ascii="宋体" w:hAnsi="宋体"/>
          <w:color w:val="auto"/>
          <w:sz w:val="24"/>
          <w:highlight w:val="none"/>
        </w:rPr>
        <w:t>2.6 结算方式和付款条件</w:t>
      </w:r>
      <w:bookmarkEnd w:id="72"/>
      <w:bookmarkEnd w:id="73"/>
      <w:bookmarkEnd w:id="74"/>
      <w:bookmarkEnd w:id="75"/>
      <w:bookmarkEnd w:id="76"/>
      <w:bookmarkEnd w:id="78"/>
      <w:bookmarkEnd w:id="79"/>
      <w:bookmarkEnd w:id="80"/>
    </w:p>
    <w:p>
      <w:pPr>
        <w:spacing w:line="440" w:lineRule="exact"/>
        <w:rPr>
          <w:rFonts w:hint="eastAsia" w:ascii="宋体" w:hAnsi="宋体"/>
          <w:color w:val="auto"/>
          <w:sz w:val="24"/>
          <w:highlight w:val="none"/>
        </w:rPr>
      </w:pPr>
      <w:r>
        <w:rPr>
          <w:rFonts w:hint="eastAsia" w:ascii="宋体" w:hAnsi="宋体"/>
          <w:color w:val="auto"/>
          <w:sz w:val="24"/>
          <w:highlight w:val="none"/>
        </w:rPr>
        <w:t>详见合同专用条款。</w:t>
      </w:r>
    </w:p>
    <w:p>
      <w:pPr>
        <w:spacing w:line="440" w:lineRule="exact"/>
        <w:rPr>
          <w:rFonts w:hint="eastAsia" w:ascii="宋体" w:hAnsi="宋体"/>
          <w:color w:val="auto"/>
          <w:sz w:val="24"/>
          <w:highlight w:val="none"/>
        </w:rPr>
      </w:pPr>
      <w:bookmarkStart w:id="81" w:name="_Ref467379863"/>
      <w:bookmarkStart w:id="82" w:name="_Ref467379852"/>
      <w:bookmarkStart w:id="83" w:name="_Toc259093677"/>
      <w:bookmarkStart w:id="84" w:name="_Toc279701248"/>
      <w:bookmarkStart w:id="85" w:name="_Toc487900358"/>
      <w:bookmarkStart w:id="86" w:name="_Ref467379923"/>
      <w:bookmarkStart w:id="87" w:name="_Toc3225"/>
      <w:bookmarkStart w:id="88" w:name="_Toc16110"/>
      <w:bookmarkStart w:id="89" w:name="_Toc774"/>
      <w:r>
        <w:rPr>
          <w:rFonts w:hint="eastAsia" w:ascii="宋体" w:hAnsi="宋体"/>
          <w:color w:val="auto"/>
          <w:sz w:val="24"/>
          <w:highlight w:val="none"/>
        </w:rPr>
        <w:t>2.7 技术资料</w:t>
      </w:r>
      <w:bookmarkEnd w:id="81"/>
      <w:bookmarkEnd w:id="82"/>
      <w:bookmarkEnd w:id="83"/>
      <w:bookmarkEnd w:id="84"/>
      <w:bookmarkEnd w:id="85"/>
      <w:bookmarkEnd w:id="86"/>
      <w:r>
        <w:rPr>
          <w:rFonts w:hint="eastAsia" w:ascii="宋体" w:hAnsi="宋体"/>
          <w:color w:val="auto"/>
          <w:sz w:val="24"/>
          <w:highlight w:val="none"/>
        </w:rPr>
        <w:t>和保密义务</w:t>
      </w:r>
      <w:bookmarkEnd w:id="87"/>
      <w:bookmarkEnd w:id="88"/>
      <w:bookmarkEnd w:id="89"/>
    </w:p>
    <w:p>
      <w:pPr>
        <w:spacing w:line="440" w:lineRule="exact"/>
        <w:rPr>
          <w:rFonts w:hint="eastAsia" w:ascii="宋体" w:hAnsi="宋体"/>
          <w:color w:val="auto"/>
          <w:sz w:val="24"/>
          <w:highlight w:val="none"/>
        </w:rPr>
      </w:pPr>
      <w:r>
        <w:rPr>
          <w:rFonts w:hint="eastAsia" w:ascii="宋体" w:hAnsi="宋体"/>
          <w:color w:val="auto"/>
          <w:sz w:val="24"/>
          <w:highlight w:val="none"/>
        </w:rPr>
        <w:t>2.7.1 乙方有权依据合同约定和项目需要，向甲方了解有关情况，调阅有关资料等，甲方应予积极配合；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2.7.2 乙方有义务妥善保管和保护由甲方提供的前款信息和资料等；</w:t>
      </w:r>
    </w:p>
    <w:p>
      <w:pPr>
        <w:spacing w:line="440" w:lineRule="exact"/>
        <w:rPr>
          <w:rFonts w:hint="eastAsia" w:ascii="宋体" w:hAnsi="宋体"/>
          <w:color w:val="auto"/>
          <w:sz w:val="24"/>
          <w:highlight w:val="none"/>
        </w:rPr>
      </w:pPr>
      <w:r>
        <w:rPr>
          <w:rFonts w:hint="eastAsia" w:ascii="宋体" w:hAnsi="宋体"/>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hint="eastAsia" w:ascii="宋体" w:hAnsi="宋体"/>
          <w:color w:val="auto"/>
          <w:sz w:val="24"/>
          <w:highlight w:val="none"/>
        </w:rPr>
      </w:pPr>
      <w:bookmarkStart w:id="90" w:name="_Toc7860"/>
      <w:r>
        <w:rPr>
          <w:rFonts w:hint="eastAsia" w:ascii="宋体" w:hAnsi="宋体"/>
          <w:color w:val="auto"/>
          <w:sz w:val="24"/>
          <w:highlight w:val="none"/>
        </w:rPr>
        <w:t>2.8 质量保证</w:t>
      </w:r>
      <w:bookmarkEnd w:id="90"/>
    </w:p>
    <w:p>
      <w:pPr>
        <w:spacing w:line="440" w:lineRule="exact"/>
        <w:rPr>
          <w:rFonts w:hint="eastAsia" w:ascii="宋体" w:hAnsi="宋体"/>
          <w:color w:val="auto"/>
          <w:sz w:val="24"/>
          <w:highlight w:val="none"/>
        </w:rPr>
      </w:pPr>
      <w:r>
        <w:rPr>
          <w:rFonts w:hint="eastAsia" w:ascii="宋体" w:hAnsi="宋体"/>
          <w:color w:val="auto"/>
          <w:sz w:val="24"/>
          <w:highlight w:val="none"/>
        </w:rPr>
        <w:t>2.8.1 乙方应建立和完善履行合同的内部质量保证体系，并提供相关内部规章制度给甲方，以便甲方进行监督检查；</w:t>
      </w:r>
    </w:p>
    <w:p>
      <w:pPr>
        <w:spacing w:line="440" w:lineRule="exact"/>
        <w:rPr>
          <w:rFonts w:hint="eastAsia" w:ascii="宋体" w:hAnsi="宋体"/>
          <w:color w:val="auto"/>
          <w:sz w:val="24"/>
          <w:highlight w:val="none"/>
        </w:rPr>
      </w:pPr>
      <w:r>
        <w:rPr>
          <w:rFonts w:hint="eastAsia" w:ascii="宋体" w:hAnsi="宋体"/>
          <w:color w:val="auto"/>
          <w:sz w:val="24"/>
          <w:highlight w:val="none"/>
        </w:rPr>
        <w:t>2.8.2 乙方应保证履行合同的人员数量和素质、软件和硬件设备的配置、场地、环境和设施等满足全面履行合同的要求，并应接受甲方的监督检查。</w:t>
      </w:r>
    </w:p>
    <w:p>
      <w:pPr>
        <w:spacing w:line="440" w:lineRule="exact"/>
        <w:rPr>
          <w:rFonts w:hint="eastAsia" w:ascii="宋体" w:hAnsi="宋体"/>
          <w:color w:val="auto"/>
          <w:sz w:val="24"/>
          <w:highlight w:val="none"/>
        </w:rPr>
      </w:pPr>
      <w:bookmarkStart w:id="91" w:name="_Toc17244"/>
      <w:bookmarkStart w:id="92" w:name="_Toc487900362"/>
      <w:bookmarkStart w:id="93" w:name="_Toc259093681"/>
      <w:bookmarkStart w:id="94" w:name="_Toc279701252"/>
      <w:r>
        <w:rPr>
          <w:rFonts w:hint="eastAsia" w:ascii="宋体" w:hAnsi="宋体"/>
          <w:color w:val="auto"/>
          <w:sz w:val="24"/>
          <w:highlight w:val="none"/>
        </w:rPr>
        <w:t>2.9 货物的风险负担</w:t>
      </w:r>
      <w:bookmarkEnd w:id="91"/>
    </w:p>
    <w:p>
      <w:pPr>
        <w:spacing w:line="440" w:lineRule="exact"/>
        <w:rPr>
          <w:rFonts w:hint="eastAsia" w:ascii="宋体" w:hAnsi="宋体"/>
          <w:color w:val="auto"/>
          <w:sz w:val="24"/>
          <w:highlight w:val="none"/>
        </w:rPr>
      </w:pPr>
      <w:r>
        <w:rPr>
          <w:rFonts w:hint="eastAsia" w:ascii="宋体" w:hAnsi="宋体"/>
          <w:color w:val="auto"/>
          <w:sz w:val="24"/>
          <w:highlight w:val="none"/>
        </w:rPr>
        <w:t>货物或者在途货物或者交付给第一承运人后的货物毁损、灭失的风险负担详见合同专用条款。</w:t>
      </w:r>
    </w:p>
    <w:p>
      <w:pPr>
        <w:spacing w:line="440" w:lineRule="exact"/>
        <w:rPr>
          <w:rFonts w:hint="eastAsia" w:ascii="宋体" w:hAnsi="宋体"/>
          <w:color w:val="auto"/>
          <w:sz w:val="24"/>
          <w:highlight w:val="none"/>
        </w:rPr>
      </w:pPr>
      <w:bookmarkStart w:id="95" w:name="_Toc14055"/>
      <w:r>
        <w:rPr>
          <w:rFonts w:hint="eastAsia" w:ascii="宋体" w:hAnsi="宋体"/>
          <w:color w:val="auto"/>
          <w:sz w:val="24"/>
          <w:highlight w:val="none"/>
        </w:rPr>
        <w:t>2.10 延迟交货</w:t>
      </w:r>
      <w:bookmarkEnd w:id="92"/>
      <w:bookmarkEnd w:id="93"/>
      <w:bookmarkEnd w:id="94"/>
      <w:bookmarkEnd w:id="95"/>
    </w:p>
    <w:p>
      <w:pPr>
        <w:spacing w:line="440" w:lineRule="exact"/>
        <w:rPr>
          <w:rFonts w:hint="eastAsia" w:ascii="宋体" w:hAnsi="宋体"/>
          <w:color w:val="auto"/>
          <w:sz w:val="24"/>
          <w:highlight w:val="none"/>
        </w:rPr>
      </w:pPr>
      <w:r>
        <w:rPr>
          <w:rFonts w:hint="eastAsia" w:ascii="宋体" w:hAnsi="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hint="eastAsia" w:ascii="宋体" w:hAnsi="宋体"/>
          <w:color w:val="auto"/>
          <w:sz w:val="24"/>
          <w:highlight w:val="none"/>
        </w:rPr>
      </w:pPr>
      <w:bookmarkStart w:id="96" w:name="_Toc7502"/>
      <w:bookmarkStart w:id="97" w:name="_Toc487900364"/>
      <w:bookmarkStart w:id="98" w:name="_Ref467378121"/>
      <w:bookmarkStart w:id="99" w:name="_Toc279701254"/>
      <w:bookmarkStart w:id="100" w:name="_Toc259093683"/>
      <w:r>
        <w:rPr>
          <w:rFonts w:hint="eastAsia" w:ascii="宋体" w:hAnsi="宋体"/>
          <w:color w:val="auto"/>
          <w:sz w:val="24"/>
          <w:highlight w:val="none"/>
        </w:rPr>
        <w:t>2.11 合同变更</w:t>
      </w:r>
      <w:bookmarkEnd w:id="96"/>
    </w:p>
    <w:p>
      <w:pPr>
        <w:spacing w:line="440" w:lineRule="exact"/>
        <w:rPr>
          <w:rFonts w:hint="eastAsia" w:ascii="宋体" w:hAnsi="宋体"/>
          <w:color w:val="auto"/>
          <w:sz w:val="24"/>
          <w:highlight w:val="none"/>
        </w:rPr>
      </w:pPr>
      <w:r>
        <w:rPr>
          <w:rFonts w:hint="eastAsia" w:ascii="宋体" w:hAnsi="宋体"/>
          <w:color w:val="auto"/>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hint="eastAsia" w:ascii="宋体" w:hAnsi="宋体"/>
          <w:color w:val="auto"/>
          <w:sz w:val="24"/>
          <w:highlight w:val="none"/>
        </w:rPr>
      </w:pPr>
      <w:r>
        <w:rPr>
          <w:rFonts w:hint="eastAsia" w:ascii="宋体" w:hAnsi="宋体"/>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101" w:name="_Toc259093688"/>
      <w:bookmarkStart w:id="102" w:name="_Toc487900369"/>
      <w:bookmarkStart w:id="103" w:name="_Toc279701259"/>
    </w:p>
    <w:p>
      <w:pPr>
        <w:spacing w:line="440" w:lineRule="exact"/>
        <w:rPr>
          <w:rFonts w:hint="eastAsia" w:ascii="宋体" w:hAnsi="宋体"/>
          <w:color w:val="auto"/>
          <w:sz w:val="24"/>
          <w:highlight w:val="none"/>
        </w:rPr>
      </w:pPr>
      <w:bookmarkStart w:id="104" w:name="_Toc22955"/>
      <w:bookmarkStart w:id="105" w:name="_Toc15237"/>
      <w:bookmarkStart w:id="106" w:name="_Toc10366"/>
      <w:r>
        <w:rPr>
          <w:rFonts w:hint="eastAsia" w:ascii="宋体" w:hAnsi="宋体"/>
          <w:color w:val="auto"/>
          <w:sz w:val="24"/>
          <w:highlight w:val="none"/>
        </w:rPr>
        <w:t>2.12 合同转让</w:t>
      </w:r>
      <w:bookmarkEnd w:id="101"/>
      <w:bookmarkEnd w:id="102"/>
      <w:bookmarkEnd w:id="103"/>
      <w:r>
        <w:rPr>
          <w:rFonts w:hint="eastAsia" w:ascii="宋体" w:hAnsi="宋体"/>
          <w:color w:val="auto"/>
          <w:sz w:val="24"/>
          <w:highlight w:val="none"/>
        </w:rPr>
        <w:t>和分包</w:t>
      </w:r>
      <w:bookmarkEnd w:id="104"/>
      <w:bookmarkEnd w:id="105"/>
      <w:bookmarkEnd w:id="106"/>
    </w:p>
    <w:p>
      <w:pPr>
        <w:spacing w:line="440" w:lineRule="exact"/>
        <w:rPr>
          <w:rFonts w:hint="eastAsia" w:ascii="宋体" w:hAnsi="宋体"/>
          <w:color w:val="auto"/>
          <w:sz w:val="24"/>
          <w:highlight w:val="none"/>
        </w:rPr>
      </w:pPr>
      <w:r>
        <w:rPr>
          <w:rFonts w:hint="eastAsia" w:ascii="宋体" w:hAnsi="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hint="eastAsia" w:ascii="宋体" w:hAnsi="宋体"/>
          <w:color w:val="auto"/>
          <w:sz w:val="24"/>
          <w:highlight w:val="none"/>
        </w:rPr>
      </w:pPr>
      <w:bookmarkStart w:id="107" w:name="_Toc14066"/>
      <w:bookmarkStart w:id="108" w:name="_Toc13566"/>
      <w:bookmarkStart w:id="109" w:name="_Toc16508"/>
      <w:r>
        <w:rPr>
          <w:rFonts w:hint="eastAsia" w:ascii="宋体" w:hAnsi="宋体"/>
          <w:color w:val="auto"/>
          <w:sz w:val="24"/>
          <w:highlight w:val="none"/>
        </w:rPr>
        <w:t>2.13 不可抗力</w:t>
      </w:r>
      <w:bookmarkEnd w:id="107"/>
      <w:bookmarkEnd w:id="108"/>
      <w:bookmarkEnd w:id="109"/>
    </w:p>
    <w:p>
      <w:pPr>
        <w:spacing w:line="440" w:lineRule="exact"/>
        <w:rPr>
          <w:rFonts w:hint="eastAsia" w:ascii="宋体" w:hAnsi="宋体"/>
          <w:color w:val="auto"/>
          <w:sz w:val="24"/>
          <w:highlight w:val="none"/>
        </w:rPr>
      </w:pPr>
      <w:r>
        <w:rPr>
          <w:rFonts w:hint="eastAsia" w:ascii="宋体" w:hAnsi="宋体"/>
          <w:color w:val="auto"/>
          <w:sz w:val="24"/>
          <w:highlight w:val="none"/>
        </w:rPr>
        <w:t>2.13.1如果任何一方遭遇法律规定的不可抗力，致使合同履行受阻时，履行合同的期限应予延长，延长的期限应相当于不可抗力所影响的时间；</w:t>
      </w:r>
    </w:p>
    <w:p>
      <w:pPr>
        <w:spacing w:line="440" w:lineRule="exact"/>
        <w:rPr>
          <w:rFonts w:hint="eastAsia" w:ascii="宋体" w:hAnsi="宋体"/>
          <w:color w:val="auto"/>
          <w:sz w:val="24"/>
          <w:highlight w:val="none"/>
        </w:rPr>
      </w:pPr>
      <w:r>
        <w:rPr>
          <w:rFonts w:hint="eastAsia" w:ascii="宋体" w:hAnsi="宋体"/>
          <w:color w:val="auto"/>
          <w:sz w:val="24"/>
          <w:highlight w:val="none"/>
        </w:rPr>
        <w:t>2.13.2 因不可抗力致使不能实现合同目的的，当事人可以解除合同；</w:t>
      </w:r>
    </w:p>
    <w:p>
      <w:pPr>
        <w:spacing w:line="440" w:lineRule="exact"/>
        <w:rPr>
          <w:rFonts w:hint="eastAsia" w:ascii="宋体" w:hAnsi="宋体"/>
          <w:color w:val="auto"/>
          <w:sz w:val="24"/>
          <w:highlight w:val="none"/>
        </w:rPr>
      </w:pPr>
      <w:r>
        <w:rPr>
          <w:rFonts w:hint="eastAsia" w:ascii="宋体" w:hAnsi="宋体"/>
          <w:color w:val="auto"/>
          <w:sz w:val="24"/>
          <w:highlight w:val="none"/>
        </w:rPr>
        <w:t>2.13.3 因不可抗力致使合同有变更必要的，双方当事人应在合同专用条款约定时间内以书面形式变更合同；</w:t>
      </w:r>
    </w:p>
    <w:p>
      <w:pPr>
        <w:spacing w:line="440" w:lineRule="exact"/>
        <w:rPr>
          <w:rFonts w:hint="eastAsia" w:ascii="宋体" w:hAnsi="宋体"/>
          <w:color w:val="auto"/>
          <w:sz w:val="24"/>
          <w:highlight w:val="none"/>
        </w:rPr>
      </w:pPr>
      <w:r>
        <w:rPr>
          <w:rFonts w:hint="eastAsia" w:ascii="宋体" w:hAnsi="宋体"/>
          <w:color w:val="auto"/>
          <w:sz w:val="24"/>
          <w:highlight w:val="none"/>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hint="eastAsia" w:ascii="宋体" w:hAnsi="宋体"/>
          <w:color w:val="auto"/>
          <w:sz w:val="24"/>
          <w:highlight w:val="none"/>
        </w:rPr>
      </w:pPr>
      <w:bookmarkStart w:id="110" w:name="_Toc279701255"/>
      <w:bookmarkStart w:id="111" w:name="_Toc689"/>
      <w:bookmarkStart w:id="112" w:name="_Toc259093684"/>
      <w:bookmarkStart w:id="113" w:name="_Toc6969"/>
      <w:bookmarkStart w:id="114" w:name="_Toc487900365"/>
      <w:bookmarkStart w:id="115" w:name="_Toc30676"/>
      <w:r>
        <w:rPr>
          <w:rFonts w:hint="eastAsia" w:ascii="宋体" w:hAnsi="宋体"/>
          <w:color w:val="auto"/>
          <w:sz w:val="24"/>
          <w:highlight w:val="none"/>
        </w:rPr>
        <w:t>2.14 税费</w:t>
      </w:r>
      <w:bookmarkEnd w:id="110"/>
      <w:bookmarkEnd w:id="111"/>
      <w:bookmarkEnd w:id="112"/>
      <w:bookmarkEnd w:id="113"/>
      <w:bookmarkEnd w:id="114"/>
      <w:bookmarkEnd w:id="115"/>
    </w:p>
    <w:p>
      <w:pPr>
        <w:spacing w:line="440" w:lineRule="exact"/>
        <w:rPr>
          <w:rFonts w:hint="eastAsia" w:ascii="宋体" w:hAnsi="宋体"/>
          <w:color w:val="auto"/>
          <w:sz w:val="24"/>
          <w:highlight w:val="none"/>
        </w:rPr>
      </w:pPr>
      <w:r>
        <w:rPr>
          <w:rFonts w:hint="eastAsia" w:ascii="宋体" w:hAnsi="宋体"/>
          <w:color w:val="auto"/>
          <w:sz w:val="24"/>
          <w:highlight w:val="none"/>
        </w:rPr>
        <w:t>与合同有关的一切税费，均按照中华人民共和国法律的相关规定。</w:t>
      </w:r>
    </w:p>
    <w:p>
      <w:pPr>
        <w:spacing w:line="440" w:lineRule="exact"/>
        <w:rPr>
          <w:rFonts w:hint="eastAsia" w:ascii="宋体" w:hAnsi="宋体"/>
          <w:color w:val="auto"/>
          <w:sz w:val="24"/>
          <w:highlight w:val="none"/>
        </w:rPr>
      </w:pPr>
      <w:bookmarkStart w:id="116" w:name="_Toc279701258"/>
      <w:bookmarkStart w:id="117" w:name="_Toc7102"/>
      <w:bookmarkStart w:id="118" w:name="_Toc259093687"/>
      <w:bookmarkStart w:id="119" w:name="_Toc16959"/>
      <w:bookmarkStart w:id="120" w:name="_Toc487900368"/>
      <w:bookmarkStart w:id="121" w:name="_Toc8298"/>
      <w:r>
        <w:rPr>
          <w:rFonts w:hint="eastAsia" w:ascii="宋体" w:hAnsi="宋体"/>
          <w:color w:val="auto"/>
          <w:sz w:val="24"/>
          <w:highlight w:val="none"/>
        </w:rPr>
        <w:t>2.15 乙方破产</w:t>
      </w:r>
      <w:bookmarkEnd w:id="116"/>
      <w:bookmarkEnd w:id="117"/>
      <w:bookmarkEnd w:id="118"/>
      <w:bookmarkEnd w:id="119"/>
      <w:bookmarkEnd w:id="120"/>
      <w:bookmarkEnd w:id="121"/>
    </w:p>
    <w:p>
      <w:pPr>
        <w:spacing w:line="440" w:lineRule="exact"/>
        <w:rPr>
          <w:rFonts w:hint="eastAsia" w:ascii="宋体" w:hAnsi="宋体"/>
          <w:color w:val="auto"/>
          <w:sz w:val="24"/>
          <w:highlight w:val="none"/>
        </w:rPr>
      </w:pPr>
      <w:r>
        <w:rPr>
          <w:rFonts w:hint="eastAsia" w:ascii="宋体" w:hAnsi="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hint="eastAsia" w:ascii="宋体" w:hAnsi="宋体"/>
          <w:color w:val="auto"/>
          <w:sz w:val="24"/>
          <w:highlight w:val="none"/>
        </w:rPr>
      </w:pPr>
      <w:bookmarkStart w:id="122" w:name="_Toc15387"/>
      <w:bookmarkStart w:id="123" w:name="_Toc29333"/>
      <w:bookmarkStart w:id="124" w:name="_Toc6134"/>
      <w:r>
        <w:rPr>
          <w:rFonts w:hint="eastAsia" w:ascii="宋体" w:hAnsi="宋体"/>
          <w:color w:val="auto"/>
          <w:sz w:val="24"/>
          <w:highlight w:val="none"/>
        </w:rPr>
        <w:t>2.16 合同中止、终止</w:t>
      </w:r>
      <w:bookmarkEnd w:id="122"/>
      <w:bookmarkEnd w:id="123"/>
      <w:bookmarkEnd w:id="124"/>
    </w:p>
    <w:p>
      <w:pPr>
        <w:spacing w:line="440" w:lineRule="exact"/>
        <w:rPr>
          <w:rFonts w:hint="eastAsia" w:ascii="宋体" w:hAnsi="宋体"/>
          <w:color w:val="auto"/>
          <w:sz w:val="24"/>
          <w:highlight w:val="none"/>
        </w:rPr>
      </w:pPr>
      <w:r>
        <w:rPr>
          <w:rFonts w:hint="eastAsia" w:ascii="宋体" w:hAnsi="宋体"/>
          <w:color w:val="auto"/>
          <w:sz w:val="24"/>
          <w:highlight w:val="none"/>
        </w:rPr>
        <w:t>2.16.1 双方当事人不得擅自中止或者终止合同；</w:t>
      </w:r>
    </w:p>
    <w:p>
      <w:pPr>
        <w:spacing w:line="440" w:lineRule="exact"/>
        <w:rPr>
          <w:rFonts w:hint="eastAsia" w:ascii="宋体" w:hAnsi="宋体"/>
          <w:color w:val="auto"/>
          <w:sz w:val="24"/>
          <w:highlight w:val="none"/>
        </w:rPr>
      </w:pPr>
      <w:r>
        <w:rPr>
          <w:rFonts w:hint="eastAsia" w:ascii="宋体" w:hAnsi="宋体"/>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hint="eastAsia" w:ascii="宋体" w:hAnsi="宋体"/>
          <w:color w:val="auto"/>
          <w:sz w:val="24"/>
          <w:highlight w:val="none"/>
        </w:rPr>
      </w:pPr>
      <w:bookmarkStart w:id="125" w:name="_Toc6596"/>
      <w:bookmarkStart w:id="126" w:name="_Toc14563"/>
      <w:bookmarkStart w:id="127" w:name="_Toc1125"/>
      <w:r>
        <w:rPr>
          <w:rFonts w:hint="eastAsia" w:ascii="宋体" w:hAnsi="宋体"/>
          <w:color w:val="auto"/>
          <w:sz w:val="24"/>
          <w:highlight w:val="none"/>
        </w:rPr>
        <w:t>2.17 检验和验收</w:t>
      </w:r>
      <w:bookmarkEnd w:id="125"/>
      <w:bookmarkEnd w:id="126"/>
      <w:bookmarkEnd w:id="127"/>
    </w:p>
    <w:p>
      <w:pPr>
        <w:spacing w:line="440" w:lineRule="exact"/>
        <w:rPr>
          <w:rFonts w:hint="eastAsia" w:ascii="宋体" w:hAnsi="宋体"/>
          <w:color w:val="auto"/>
          <w:sz w:val="24"/>
          <w:highlight w:val="none"/>
        </w:rPr>
      </w:pPr>
      <w:r>
        <w:rPr>
          <w:rFonts w:hint="eastAsia" w:ascii="宋体" w:hAnsi="宋体"/>
          <w:color w:val="auto"/>
          <w:sz w:val="24"/>
          <w:highlight w:val="none"/>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2.17.3 检验和验收标准、程序等具体内容以及前述验收书的效力详见合同专用条款。</w:t>
      </w:r>
    </w:p>
    <w:bookmarkEnd w:id="97"/>
    <w:bookmarkEnd w:id="98"/>
    <w:bookmarkEnd w:id="99"/>
    <w:bookmarkEnd w:id="100"/>
    <w:p>
      <w:pPr>
        <w:spacing w:line="440" w:lineRule="exact"/>
        <w:rPr>
          <w:rFonts w:hint="eastAsia" w:ascii="宋体" w:hAnsi="宋体"/>
          <w:color w:val="auto"/>
          <w:sz w:val="24"/>
          <w:highlight w:val="none"/>
        </w:rPr>
      </w:pPr>
      <w:bookmarkStart w:id="128" w:name="_Toc487900371"/>
      <w:bookmarkStart w:id="129" w:name="_Toc279701261"/>
      <w:bookmarkStart w:id="130" w:name="_Toc259093690"/>
      <w:bookmarkStart w:id="131" w:name="_Toc19604"/>
      <w:bookmarkStart w:id="132" w:name="_Toc11284"/>
      <w:bookmarkStart w:id="133" w:name="_Toc25182"/>
      <w:r>
        <w:rPr>
          <w:rFonts w:hint="eastAsia" w:ascii="宋体" w:hAnsi="宋体"/>
          <w:color w:val="auto"/>
          <w:sz w:val="24"/>
          <w:highlight w:val="none"/>
        </w:rPr>
        <w:t>2.18 通知</w:t>
      </w:r>
      <w:bookmarkEnd w:id="128"/>
      <w:bookmarkEnd w:id="129"/>
      <w:bookmarkEnd w:id="130"/>
      <w:r>
        <w:rPr>
          <w:rFonts w:hint="eastAsia" w:ascii="宋体" w:hAnsi="宋体"/>
          <w:color w:val="auto"/>
          <w:sz w:val="24"/>
          <w:highlight w:val="none"/>
        </w:rPr>
        <w:t>和送达</w:t>
      </w:r>
      <w:bookmarkEnd w:id="131"/>
      <w:bookmarkEnd w:id="132"/>
      <w:bookmarkEnd w:id="133"/>
    </w:p>
    <w:p>
      <w:pPr>
        <w:spacing w:line="440" w:lineRule="exact"/>
        <w:rPr>
          <w:rFonts w:hint="eastAsia" w:ascii="宋体" w:hAnsi="宋体"/>
          <w:color w:val="auto"/>
          <w:sz w:val="24"/>
          <w:highlight w:val="none"/>
        </w:rPr>
      </w:pPr>
      <w:bookmarkStart w:id="134" w:name="_Toc6698"/>
      <w:bookmarkStart w:id="135" w:name="_Toc3135"/>
      <w:bookmarkStart w:id="136" w:name="_Toc279701262"/>
      <w:bookmarkStart w:id="137" w:name="_Toc259093691"/>
      <w:bookmarkStart w:id="138" w:name="_Toc487900372"/>
      <w:r>
        <w:rPr>
          <w:rFonts w:hint="eastAsia" w:ascii="宋体" w:hAnsi="宋体"/>
          <w:color w:val="auto"/>
          <w:sz w:val="24"/>
          <w:highlight w:val="none"/>
        </w:rPr>
        <w:t>2.18.1 任何一方因履行合同而以合同第一部分尾部所列明的发出的所有通知、文件、材料，均视为已向对方当事人送达；任何一方变更上述送达方式或者地址的，应于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4"/>
      <w:bookmarkEnd w:id="135"/>
    </w:p>
    <w:p>
      <w:pPr>
        <w:spacing w:line="440" w:lineRule="exact"/>
        <w:rPr>
          <w:rFonts w:hint="eastAsia" w:ascii="宋体" w:hAnsi="宋体"/>
          <w:color w:val="auto"/>
          <w:sz w:val="24"/>
          <w:highlight w:val="none"/>
        </w:rPr>
      </w:pPr>
      <w:bookmarkStart w:id="139" w:name="_Toc23128"/>
      <w:bookmarkStart w:id="140" w:name="_Toc23294"/>
      <w:r>
        <w:rPr>
          <w:rFonts w:hint="eastAsia" w:ascii="宋体" w:hAnsi="宋体"/>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440" w:lineRule="exact"/>
        <w:rPr>
          <w:rFonts w:hint="eastAsia" w:ascii="宋体" w:hAnsi="宋体"/>
          <w:color w:val="auto"/>
          <w:sz w:val="24"/>
          <w:highlight w:val="none"/>
        </w:rPr>
      </w:pPr>
      <w:bookmarkStart w:id="141" w:name="_Toc4355"/>
      <w:bookmarkStart w:id="142" w:name="_Toc18540"/>
      <w:bookmarkStart w:id="143" w:name="_Toc30599"/>
      <w:r>
        <w:rPr>
          <w:rFonts w:hint="eastAsia" w:ascii="宋体" w:hAnsi="宋体"/>
          <w:color w:val="auto"/>
          <w:sz w:val="24"/>
          <w:highlight w:val="none"/>
        </w:rPr>
        <w:t>2.19 计量单位</w:t>
      </w:r>
      <w:bookmarkEnd w:id="136"/>
      <w:bookmarkEnd w:id="137"/>
      <w:bookmarkEnd w:id="138"/>
      <w:bookmarkEnd w:id="141"/>
      <w:bookmarkEnd w:id="142"/>
      <w:bookmarkEnd w:id="143"/>
    </w:p>
    <w:p>
      <w:pPr>
        <w:spacing w:line="440" w:lineRule="exact"/>
        <w:rPr>
          <w:rFonts w:hint="eastAsia" w:ascii="宋体" w:hAnsi="宋体"/>
          <w:color w:val="auto"/>
          <w:sz w:val="24"/>
          <w:highlight w:val="none"/>
        </w:rPr>
      </w:pPr>
      <w:r>
        <w:rPr>
          <w:rFonts w:hint="eastAsia" w:ascii="宋体" w:hAnsi="宋体"/>
          <w:color w:val="auto"/>
          <w:sz w:val="24"/>
          <w:highlight w:val="none"/>
        </w:rPr>
        <w:t>除技术规范中另有规定外,合同的计量单位均使用国家法定计量单位。</w:t>
      </w:r>
    </w:p>
    <w:p>
      <w:pPr>
        <w:spacing w:line="440" w:lineRule="exact"/>
        <w:rPr>
          <w:rFonts w:hint="eastAsia" w:ascii="宋体" w:hAnsi="宋体"/>
          <w:color w:val="auto"/>
          <w:sz w:val="24"/>
          <w:highlight w:val="none"/>
        </w:rPr>
      </w:pPr>
      <w:bookmarkStart w:id="144" w:name="_Toc279701263"/>
      <w:bookmarkStart w:id="145" w:name="_Toc259093692"/>
      <w:bookmarkStart w:id="146" w:name="_Toc487900373"/>
      <w:bookmarkStart w:id="147" w:name="_Toc10330"/>
      <w:bookmarkStart w:id="148" w:name="_Toc18567"/>
      <w:bookmarkStart w:id="149" w:name="_Toc12773"/>
      <w:r>
        <w:rPr>
          <w:rFonts w:hint="eastAsia" w:ascii="宋体" w:hAnsi="宋体"/>
          <w:color w:val="auto"/>
          <w:sz w:val="24"/>
          <w:highlight w:val="none"/>
        </w:rPr>
        <w:t>2.20 合同使用的文字和适用的法律</w:t>
      </w:r>
      <w:bookmarkEnd w:id="144"/>
      <w:bookmarkEnd w:id="145"/>
      <w:bookmarkEnd w:id="146"/>
      <w:bookmarkEnd w:id="147"/>
      <w:bookmarkEnd w:id="148"/>
      <w:bookmarkEnd w:id="149"/>
    </w:p>
    <w:p>
      <w:pPr>
        <w:spacing w:line="440" w:lineRule="exact"/>
        <w:rPr>
          <w:rFonts w:hint="eastAsia" w:ascii="宋体" w:hAnsi="宋体"/>
          <w:color w:val="auto"/>
          <w:sz w:val="24"/>
          <w:highlight w:val="none"/>
        </w:rPr>
      </w:pPr>
      <w:r>
        <w:rPr>
          <w:rFonts w:hint="eastAsia" w:ascii="宋体" w:hAnsi="宋体"/>
          <w:color w:val="auto"/>
          <w:sz w:val="24"/>
          <w:highlight w:val="none"/>
        </w:rPr>
        <w:t>2.20.1 合同使用汉语书就、变更和解释；</w:t>
      </w:r>
    </w:p>
    <w:p>
      <w:pPr>
        <w:spacing w:line="440" w:lineRule="exact"/>
        <w:rPr>
          <w:rFonts w:hint="eastAsia" w:ascii="宋体" w:hAnsi="宋体"/>
          <w:color w:val="auto"/>
          <w:sz w:val="24"/>
          <w:highlight w:val="none"/>
        </w:rPr>
      </w:pPr>
      <w:r>
        <w:rPr>
          <w:rFonts w:hint="eastAsia" w:ascii="宋体" w:hAnsi="宋体"/>
          <w:color w:val="auto"/>
          <w:sz w:val="24"/>
          <w:highlight w:val="none"/>
        </w:rPr>
        <w:t>2.20.2 合同适用中华人民共和国法律。</w:t>
      </w:r>
    </w:p>
    <w:p>
      <w:pPr>
        <w:spacing w:line="440" w:lineRule="exact"/>
        <w:rPr>
          <w:rFonts w:hint="eastAsia" w:ascii="宋体" w:hAnsi="宋体"/>
          <w:color w:val="auto"/>
          <w:sz w:val="24"/>
          <w:highlight w:val="none"/>
        </w:rPr>
      </w:pPr>
      <w:bookmarkStart w:id="150" w:name="_Toc12004"/>
      <w:bookmarkStart w:id="151" w:name="_Toc16673"/>
      <w:bookmarkStart w:id="152" w:name="_Toc279701264"/>
      <w:bookmarkStart w:id="153" w:name="_Toc3148"/>
      <w:bookmarkStart w:id="154" w:name="_Toc259093693"/>
      <w:bookmarkStart w:id="155" w:name="_Toc487900374"/>
      <w:r>
        <w:rPr>
          <w:rFonts w:hint="eastAsia" w:ascii="宋体" w:hAnsi="宋体"/>
          <w:color w:val="auto"/>
          <w:sz w:val="24"/>
          <w:highlight w:val="none"/>
        </w:rPr>
        <w:t>2.21 履约保证金</w:t>
      </w:r>
      <w:bookmarkEnd w:id="150"/>
      <w:bookmarkEnd w:id="151"/>
      <w:bookmarkEnd w:id="152"/>
      <w:bookmarkEnd w:id="153"/>
      <w:bookmarkEnd w:id="154"/>
    </w:p>
    <w:p>
      <w:pPr>
        <w:spacing w:line="440" w:lineRule="exact"/>
        <w:rPr>
          <w:rFonts w:hint="eastAsia" w:ascii="宋体" w:hAnsi="宋体"/>
          <w:color w:val="auto"/>
          <w:sz w:val="24"/>
          <w:highlight w:val="none"/>
        </w:rPr>
      </w:pPr>
      <w:r>
        <w:rPr>
          <w:rFonts w:hint="eastAsia" w:ascii="宋体" w:hAnsi="宋体"/>
          <w:color w:val="auto"/>
          <w:sz w:val="24"/>
          <w:highlight w:val="none"/>
        </w:rPr>
        <w:t>2.21.1 采购文件要求乙方提交履约保证金的，乙方应按合同专用条款约定的方式，以支票、汇票、本票或者金融机构、担保机构出具的保函等非现金形式，提交不超过合同价10%的履约保证金；</w:t>
      </w:r>
    </w:p>
    <w:p>
      <w:pPr>
        <w:spacing w:line="440" w:lineRule="exact"/>
        <w:rPr>
          <w:rFonts w:hint="eastAsia" w:ascii="宋体" w:hAnsi="宋体"/>
          <w:color w:val="auto"/>
          <w:sz w:val="24"/>
          <w:highlight w:val="none"/>
        </w:rPr>
      </w:pPr>
      <w:r>
        <w:rPr>
          <w:rFonts w:hint="eastAsia" w:ascii="宋体" w:hAnsi="宋体"/>
          <w:color w:val="auto"/>
          <w:sz w:val="24"/>
          <w:highlight w:val="none"/>
        </w:rPr>
        <w:t>2.21.2  履约保证金在合同专用条款约定期间内或者货物质量保证期内不予退还或者应完全有效，前述约定期间届满或者货物质量保证期届满之日起  个工作日内，甲方应将履约保证金退还乙方；</w:t>
      </w:r>
    </w:p>
    <w:p>
      <w:pPr>
        <w:spacing w:line="440" w:lineRule="exact"/>
        <w:rPr>
          <w:rFonts w:hint="eastAsia" w:ascii="宋体" w:hAnsi="宋体"/>
          <w:color w:val="auto"/>
          <w:sz w:val="24"/>
          <w:highlight w:val="none"/>
        </w:rPr>
      </w:pPr>
      <w:r>
        <w:rPr>
          <w:rFonts w:hint="eastAsia" w:ascii="宋体" w:hAnsi="宋体"/>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440" w:lineRule="exact"/>
        <w:rPr>
          <w:rFonts w:hint="eastAsia" w:ascii="宋体" w:hAnsi="宋体"/>
          <w:color w:val="auto"/>
          <w:sz w:val="24"/>
          <w:highlight w:val="none"/>
        </w:rPr>
      </w:pPr>
      <w:bookmarkStart w:id="156" w:name="_Toc14001"/>
      <w:bookmarkStart w:id="157" w:name="_Toc6885"/>
      <w:bookmarkStart w:id="158" w:name="_Toc19890"/>
      <w:r>
        <w:rPr>
          <w:rFonts w:hint="eastAsia" w:ascii="宋体" w:hAnsi="宋体"/>
          <w:color w:val="auto"/>
          <w:sz w:val="24"/>
          <w:highlight w:val="none"/>
        </w:rPr>
        <w:t>2.22 合同份数</w:t>
      </w:r>
      <w:bookmarkEnd w:id="156"/>
      <w:bookmarkEnd w:id="157"/>
      <w:bookmarkEnd w:id="158"/>
    </w:p>
    <w:p>
      <w:pPr>
        <w:spacing w:line="440" w:lineRule="exact"/>
        <w:rPr>
          <w:rFonts w:hint="eastAsia" w:ascii="宋体" w:hAnsi="宋体"/>
          <w:color w:val="auto"/>
          <w:sz w:val="24"/>
          <w:highlight w:val="none"/>
        </w:rPr>
      </w:pPr>
      <w:r>
        <w:rPr>
          <w:rFonts w:hint="eastAsia" w:ascii="宋体" w:hAnsi="宋体"/>
          <w:color w:val="auto"/>
          <w:sz w:val="24"/>
          <w:highlight w:val="none"/>
        </w:rPr>
        <w:t>合同份数按合同专用条款规定，每份均具有同等法律效力。</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br w:type="page"/>
      </w:r>
      <w:bookmarkStart w:id="159" w:name="_Toc331685784"/>
      <w:r>
        <w:rPr>
          <w:rFonts w:hint="eastAsia" w:ascii="宋体" w:hAnsi="宋体"/>
          <w:color w:val="auto"/>
          <w:sz w:val="24"/>
          <w:highlight w:val="none"/>
        </w:rPr>
        <w:t>第三部分  合同专用条款</w:t>
      </w:r>
      <w:bookmarkEnd w:id="159"/>
    </w:p>
    <w:p>
      <w:pPr>
        <w:spacing w:line="440" w:lineRule="exact"/>
        <w:rPr>
          <w:rFonts w:hint="eastAsia" w:ascii="宋体" w:hAnsi="宋体"/>
          <w:color w:val="auto"/>
          <w:sz w:val="24"/>
          <w:highlight w:val="none"/>
        </w:rPr>
      </w:pPr>
      <w:r>
        <w:rPr>
          <w:rFonts w:hint="eastAsia" w:ascii="宋体" w:hAnsi="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W w:w="84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条款号</w:t>
            </w:r>
          </w:p>
        </w:tc>
        <w:tc>
          <w:tcPr>
            <w:tcW w:w="7633"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bl>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ascii="宋体"/>
          <w:b/>
          <w:color w:val="auto"/>
          <w:sz w:val="44"/>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第五部分</w:t>
      </w:r>
      <w:r>
        <w:rPr>
          <w:rFonts w:ascii="宋体" w:hAnsi="宋体"/>
          <w:b/>
          <w:color w:val="auto"/>
          <w:sz w:val="32"/>
          <w:szCs w:val="32"/>
          <w:highlight w:val="none"/>
        </w:rPr>
        <w:t xml:space="preserve">  </w:t>
      </w:r>
      <w:r>
        <w:rPr>
          <w:rFonts w:hint="eastAsia" w:ascii="宋体" w:hAnsi="宋体"/>
          <w:b/>
          <w:color w:val="auto"/>
          <w:sz w:val="32"/>
          <w:szCs w:val="32"/>
          <w:highlight w:val="none"/>
        </w:rPr>
        <w:t>投标文件内容及格式</w:t>
      </w:r>
    </w:p>
    <w:p>
      <w:pPr>
        <w:jc w:val="center"/>
        <w:rPr>
          <w:rFonts w:ascii="宋体"/>
          <w:color w:val="auto"/>
          <w:sz w:val="24"/>
          <w:highlight w:val="none"/>
        </w:rPr>
      </w:pPr>
    </w:p>
    <w:p>
      <w:pPr>
        <w:numPr>
          <w:ilvl w:val="0"/>
          <w:numId w:val="4"/>
        </w:numPr>
        <w:jc w:val="center"/>
        <w:rPr>
          <w:rFonts w:hint="eastAsia"/>
        </w:rPr>
      </w:pPr>
      <w:r>
        <w:rPr>
          <w:rFonts w:hint="eastAsia" w:ascii="宋体" w:hAnsi="宋体"/>
          <w:b/>
          <w:color w:val="auto"/>
          <w:sz w:val="30"/>
          <w:szCs w:val="30"/>
          <w:highlight w:val="none"/>
        </w:rPr>
        <w:t>投标书编制顺序</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投标书编制顺序</w:t>
      </w:r>
    </w:p>
    <w:p>
      <w:pPr>
        <w:rPr>
          <w:rFonts w:hint="eastAsia" w:ascii="宋体" w:hAnsi="宋体"/>
          <w:color w:val="auto"/>
          <w:sz w:val="24"/>
          <w:highlight w:val="none"/>
        </w:rPr>
      </w:pPr>
      <w:r>
        <w:rPr>
          <w:rFonts w:hint="eastAsia" w:ascii="宋体" w:hAnsi="宋体"/>
          <w:color w:val="auto"/>
          <w:sz w:val="24"/>
          <w:highlight w:val="none"/>
        </w:rPr>
        <w:t>投标人应按下列顺序排列和装订投标文件：</w:t>
      </w:r>
    </w:p>
    <w:p>
      <w:pPr>
        <w:jc w:val="center"/>
        <w:rPr>
          <w:rFonts w:hint="default" w:eastAsia="宋体"/>
          <w:b/>
          <w:bCs/>
          <w:sz w:val="22"/>
          <w:szCs w:val="28"/>
          <w:lang w:val="en-US" w:eastAsia="zh-CN"/>
        </w:rPr>
      </w:pPr>
      <w:r>
        <w:rPr>
          <w:rFonts w:hint="eastAsia" w:ascii="宋体" w:hAnsi="宋体"/>
          <w:b/>
          <w:bCs/>
          <w:color w:val="auto"/>
          <w:sz w:val="28"/>
          <w:szCs w:val="28"/>
          <w:highlight w:val="none"/>
          <w:lang w:val="en-US" w:eastAsia="zh-CN"/>
        </w:rPr>
        <w:t>目  录</w:t>
      </w:r>
    </w:p>
    <w:p>
      <w:pPr>
        <w:rPr>
          <w:rFonts w:hint="eastAsia" w:ascii="宋体" w:hAnsi="宋体" w:eastAsia="宋体"/>
          <w:color w:val="auto"/>
          <w:sz w:val="24"/>
          <w:highlight w:val="none"/>
          <w:lang w:eastAsia="zh-CN"/>
        </w:rPr>
      </w:pPr>
      <w:r>
        <w:rPr>
          <w:rFonts w:hint="eastAsia" w:ascii="宋体" w:hAnsi="宋体"/>
          <w:color w:val="000000" w:themeColor="text1"/>
          <w:sz w:val="24"/>
          <w14:textFill>
            <w14:solidFill>
              <w14:schemeClr w14:val="tx1"/>
            </w14:solidFill>
          </w14:textFill>
        </w:rPr>
        <w:t>一、</w:t>
      </w:r>
      <w:r>
        <w:rPr>
          <w:rFonts w:hint="eastAsia" w:ascii="宋体" w:hAnsi="宋体"/>
          <w:color w:val="auto"/>
          <w:sz w:val="24"/>
          <w:highlight w:val="none"/>
        </w:rPr>
        <w:t>投标</w:t>
      </w:r>
      <w:r>
        <w:rPr>
          <w:rFonts w:hint="eastAsia" w:ascii="宋体" w:hAnsi="宋体"/>
          <w:color w:val="auto"/>
          <w:sz w:val="24"/>
          <w:highlight w:val="none"/>
          <w:lang w:eastAsia="zh-CN"/>
        </w:rPr>
        <w:t>函</w:t>
      </w:r>
    </w:p>
    <w:p>
      <w:pPr>
        <w:rPr>
          <w:rFonts w:ascii="宋体" w:hAnsi="宋体"/>
          <w:color w:val="auto"/>
          <w:sz w:val="24"/>
          <w:highlight w:val="none"/>
        </w:rPr>
      </w:pPr>
      <w:r>
        <w:rPr>
          <w:rFonts w:hint="eastAsia" w:ascii="宋体" w:hAnsi="宋体"/>
          <w:color w:val="auto"/>
          <w:sz w:val="24"/>
          <w:highlight w:val="none"/>
        </w:rPr>
        <w:t>二、投标一览表</w:t>
      </w:r>
    </w:p>
    <w:p>
      <w:pPr>
        <w:rPr>
          <w:rFonts w:ascii="宋体" w:hAnsi="宋体"/>
          <w:color w:val="auto"/>
          <w:sz w:val="24"/>
          <w:highlight w:val="none"/>
        </w:rPr>
      </w:pPr>
      <w:r>
        <w:rPr>
          <w:rFonts w:hint="eastAsia" w:ascii="宋体" w:hAnsi="宋体"/>
          <w:color w:val="auto"/>
          <w:sz w:val="24"/>
          <w:highlight w:val="none"/>
        </w:rPr>
        <w:t>三、 投标货物报价表</w:t>
      </w:r>
    </w:p>
    <w:p>
      <w:pPr>
        <w:rPr>
          <w:rFonts w:ascii="宋体" w:hAnsi="宋体"/>
          <w:color w:val="auto"/>
          <w:sz w:val="24"/>
          <w:highlight w:val="none"/>
        </w:rPr>
      </w:pPr>
      <w:r>
        <w:rPr>
          <w:rFonts w:hint="eastAsia" w:ascii="宋体" w:hAnsi="宋体"/>
          <w:color w:val="auto"/>
          <w:sz w:val="24"/>
          <w:highlight w:val="none"/>
        </w:rPr>
        <w:t>四、技术规格功能要求偏离表</w:t>
      </w:r>
    </w:p>
    <w:p>
      <w:pPr>
        <w:rPr>
          <w:rFonts w:ascii="宋体" w:hAnsi="宋体"/>
          <w:color w:val="auto"/>
          <w:sz w:val="24"/>
          <w:highlight w:val="none"/>
        </w:rPr>
      </w:pPr>
      <w:r>
        <w:rPr>
          <w:rFonts w:hint="eastAsia" w:ascii="宋体" w:hAnsi="宋体"/>
          <w:color w:val="auto"/>
          <w:sz w:val="24"/>
          <w:highlight w:val="none"/>
        </w:rPr>
        <w:t>五、商务条款偏离表</w:t>
      </w:r>
    </w:p>
    <w:p>
      <w:pPr>
        <w:rPr>
          <w:rFonts w:ascii="宋体" w:hAnsi="宋体"/>
          <w:color w:val="auto"/>
          <w:sz w:val="24"/>
          <w:highlight w:val="none"/>
        </w:rPr>
      </w:pPr>
      <w:r>
        <w:rPr>
          <w:rFonts w:hint="eastAsia" w:ascii="宋体" w:hAnsi="宋体"/>
          <w:color w:val="auto"/>
          <w:sz w:val="24"/>
          <w:highlight w:val="none"/>
        </w:rPr>
        <w:t>六、银行转账单复印件</w:t>
      </w:r>
    </w:p>
    <w:p>
      <w:pPr>
        <w:rPr>
          <w:rFonts w:ascii="宋体" w:hAnsi="宋体"/>
          <w:color w:val="auto"/>
          <w:sz w:val="24"/>
          <w:highlight w:val="none"/>
        </w:rPr>
      </w:pPr>
      <w:r>
        <w:rPr>
          <w:rFonts w:hint="eastAsia" w:ascii="宋体" w:hAnsi="宋体"/>
          <w:color w:val="auto"/>
          <w:sz w:val="24"/>
          <w:highlight w:val="none"/>
        </w:rPr>
        <w:t>七、投标方的资格声明</w:t>
      </w:r>
    </w:p>
    <w:p>
      <w:pPr>
        <w:rPr>
          <w:rFonts w:ascii="宋体" w:hAnsi="宋体"/>
          <w:color w:val="auto"/>
          <w:sz w:val="24"/>
          <w:highlight w:val="none"/>
        </w:rPr>
      </w:pPr>
      <w:r>
        <w:rPr>
          <w:rFonts w:hint="eastAsia" w:ascii="宋体" w:hAnsi="宋体"/>
          <w:color w:val="auto"/>
          <w:sz w:val="24"/>
          <w:highlight w:val="none"/>
        </w:rPr>
        <w:t>八、法人营业执照</w:t>
      </w:r>
    </w:p>
    <w:p>
      <w:pPr>
        <w:rPr>
          <w:rFonts w:ascii="宋体" w:hAnsi="宋体"/>
          <w:color w:val="auto"/>
          <w:sz w:val="24"/>
          <w:highlight w:val="none"/>
        </w:rPr>
      </w:pPr>
      <w:r>
        <w:rPr>
          <w:rFonts w:hint="eastAsia" w:ascii="宋体" w:hAnsi="宋体"/>
          <w:color w:val="auto"/>
          <w:sz w:val="24"/>
          <w:highlight w:val="none"/>
        </w:rPr>
        <w:t>九、法定代表人证明书</w:t>
      </w:r>
    </w:p>
    <w:p>
      <w:pPr>
        <w:rPr>
          <w:rFonts w:hint="eastAsia" w:ascii="宋体" w:hAnsi="宋体"/>
          <w:color w:val="auto"/>
          <w:sz w:val="24"/>
          <w:highlight w:val="none"/>
          <w:lang w:eastAsia="zh-CN"/>
        </w:rPr>
      </w:pPr>
      <w:r>
        <w:rPr>
          <w:rFonts w:hint="eastAsia" w:ascii="宋体" w:hAnsi="宋体"/>
          <w:color w:val="auto"/>
          <w:sz w:val="24"/>
          <w:highlight w:val="none"/>
        </w:rPr>
        <w:t>十、法定代表人授权书，被委托人必须是投标单位正式员工，需提供社保部门出具最少提供近一个月的缴纳社保证明（社保缴费凭证及个人明细表）</w:t>
      </w:r>
      <w:r>
        <w:rPr>
          <w:rFonts w:hint="eastAsia" w:ascii="宋体" w:hAnsi="宋体"/>
          <w:color w:val="auto"/>
          <w:sz w:val="24"/>
          <w:highlight w:val="none"/>
          <w:lang w:eastAsia="zh-CN"/>
        </w:rPr>
        <w:t>；</w:t>
      </w:r>
    </w:p>
    <w:p>
      <w:pPr>
        <w:rPr>
          <w:rFonts w:ascii="宋体" w:hAnsi="宋体"/>
          <w:color w:val="auto"/>
          <w:sz w:val="24"/>
          <w:highlight w:val="none"/>
        </w:rPr>
      </w:pPr>
      <w:r>
        <w:rPr>
          <w:rFonts w:hint="eastAsia" w:ascii="宋体" w:hAnsi="宋体"/>
          <w:color w:val="auto"/>
          <w:sz w:val="24"/>
          <w:highlight w:val="none"/>
        </w:rPr>
        <w:t>十一、质量保证书</w:t>
      </w:r>
    </w:p>
    <w:p>
      <w:pPr>
        <w:rPr>
          <w:rFonts w:ascii="宋体" w:hAnsi="宋体"/>
          <w:color w:val="auto"/>
          <w:sz w:val="24"/>
          <w:highlight w:val="none"/>
        </w:rPr>
      </w:pPr>
      <w:r>
        <w:rPr>
          <w:rFonts w:hint="eastAsia" w:ascii="宋体" w:hAnsi="宋体"/>
          <w:color w:val="auto"/>
          <w:sz w:val="24"/>
          <w:highlight w:val="none"/>
        </w:rPr>
        <w:t>十二、售后服务承诺书</w:t>
      </w:r>
    </w:p>
    <w:p>
      <w:pPr>
        <w:rPr>
          <w:rFonts w:ascii="宋体" w:hAnsi="宋体"/>
          <w:color w:val="auto"/>
          <w:sz w:val="24"/>
          <w:highlight w:val="none"/>
        </w:rPr>
      </w:pPr>
      <w:r>
        <w:rPr>
          <w:rFonts w:hint="eastAsia" w:ascii="宋体" w:hAnsi="宋体"/>
          <w:color w:val="auto"/>
          <w:sz w:val="24"/>
          <w:highlight w:val="none"/>
        </w:rPr>
        <w:t>十三、投标人证明投标资格合格的相关证件证明的复印件</w:t>
      </w:r>
    </w:p>
    <w:p>
      <w:pPr>
        <w:rPr>
          <w:rFonts w:ascii="宋体" w:hAnsi="宋体"/>
          <w:color w:val="auto"/>
          <w:sz w:val="24"/>
          <w:highlight w:val="none"/>
        </w:rPr>
      </w:pPr>
      <w:r>
        <w:rPr>
          <w:rFonts w:hint="eastAsia" w:ascii="宋体" w:hAnsi="宋体"/>
          <w:color w:val="auto"/>
          <w:sz w:val="24"/>
          <w:highlight w:val="none"/>
        </w:rPr>
        <w:t>十四、投标人证明货物合格的相关证件证明复印件</w:t>
      </w:r>
    </w:p>
    <w:p>
      <w:pPr>
        <w:rPr>
          <w:rFonts w:ascii="宋体" w:hAnsi="宋体"/>
          <w:color w:val="auto"/>
          <w:sz w:val="24"/>
          <w:highlight w:val="none"/>
        </w:rPr>
      </w:pPr>
      <w:r>
        <w:rPr>
          <w:rFonts w:hint="eastAsia" w:ascii="宋体" w:hAnsi="宋体"/>
          <w:color w:val="auto"/>
          <w:sz w:val="24"/>
          <w:highlight w:val="none"/>
        </w:rPr>
        <w:t>十五、投标单位（供应商）反商业贿赂承诺书</w:t>
      </w:r>
    </w:p>
    <w:p>
      <w:pPr>
        <w:rPr>
          <w:rFonts w:hint="eastAsia" w:ascii="宋体" w:hAnsi="宋体"/>
          <w:color w:val="auto"/>
          <w:sz w:val="24"/>
          <w:highlight w:val="none"/>
        </w:rPr>
      </w:pPr>
      <w:r>
        <w:rPr>
          <w:rFonts w:hint="eastAsia" w:ascii="宋体" w:hAnsi="宋体"/>
          <w:color w:val="auto"/>
          <w:sz w:val="24"/>
          <w:highlight w:val="none"/>
        </w:rPr>
        <w:t>十六、</w:t>
      </w:r>
      <w:r>
        <w:rPr>
          <w:rFonts w:hint="eastAsia" w:ascii="宋体" w:hAnsi="宋体" w:eastAsia="宋体"/>
          <w:color w:val="auto"/>
          <w:sz w:val="24"/>
          <w:highlight w:val="none"/>
          <w:lang w:val="en-US" w:eastAsia="zh-CN"/>
        </w:rPr>
        <w:t>项目实施计划、方案</w:t>
      </w:r>
    </w:p>
    <w:p>
      <w:pPr>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十七、中小企业声明函（符合本声明函填写</w:t>
      </w:r>
    </w:p>
    <w:p>
      <w:pPr>
        <w:rPr>
          <w:rFonts w:hint="eastAsia" w:ascii="宋体" w:hAnsi="宋体"/>
          <w:color w:val="auto"/>
          <w:sz w:val="24"/>
          <w:highlight w:val="none"/>
        </w:rPr>
      </w:pPr>
      <w:r>
        <w:rPr>
          <w:rFonts w:hint="eastAsia" w:ascii="宋体" w:hAnsi="宋体" w:eastAsia="宋体"/>
          <w:color w:val="auto"/>
          <w:sz w:val="24"/>
          <w:highlight w:val="none"/>
          <w:lang w:val="en-US" w:eastAsia="zh-CN"/>
        </w:rPr>
        <w:t>十八、</w:t>
      </w:r>
      <w:r>
        <w:rPr>
          <w:rFonts w:hint="eastAsia" w:ascii="宋体" w:hAnsi="宋体"/>
          <w:color w:val="auto"/>
          <w:sz w:val="24"/>
          <w:highlight w:val="none"/>
        </w:rPr>
        <w:t>经年审计的上年度会计报表</w:t>
      </w:r>
    </w:p>
    <w:p>
      <w:pPr>
        <w:pStyle w:val="2"/>
        <w:numPr>
          <w:ilvl w:val="1"/>
          <w:numId w:val="0"/>
        </w:numPr>
        <w:tabs>
          <w:tab w:val="clear" w:pos="420"/>
        </w:tabs>
        <w:ind w:leftChars="0"/>
        <w:rPr>
          <w:rFonts w:hint="default"/>
          <w:lang w:val="en-US"/>
        </w:rPr>
      </w:pPr>
      <w:r>
        <w:rPr>
          <w:rFonts w:hint="eastAsia"/>
          <w:color w:val="auto"/>
          <w:sz w:val="24"/>
          <w:highlight w:val="none"/>
          <w:lang w:val="en-US" w:eastAsia="zh-CN"/>
        </w:rPr>
        <w:t>十九、</w:t>
      </w:r>
      <w:r>
        <w:rPr>
          <w:rFonts w:hint="default" w:ascii="宋体" w:hAnsi="宋体"/>
          <w:color w:val="auto"/>
          <w:sz w:val="24"/>
          <w:highlight w:val="none"/>
          <w:lang w:val="en-US"/>
        </w:rPr>
        <w:t>健全的</w:t>
      </w:r>
      <w:r>
        <w:rPr>
          <w:rFonts w:hint="default" w:ascii="宋体" w:hAnsi="宋体"/>
          <w:color w:val="auto"/>
          <w:sz w:val="24"/>
          <w:highlight w:val="none"/>
          <w:lang w:val="en-US"/>
        </w:rPr>
        <w:fldChar w:fldCharType="begin"/>
      </w:r>
      <w:r>
        <w:rPr>
          <w:rFonts w:hint="default" w:ascii="宋体" w:hAnsi="宋体"/>
          <w:color w:val="auto"/>
          <w:sz w:val="24"/>
          <w:highlight w:val="none"/>
          <w:lang w:val="en-US"/>
        </w:rPr>
        <w:instrText xml:space="preserve"> HYPERLINK "https://www.baidu.com/s?wd=财务会计制度&amp;tn=SE_PcZhidaonwhc_ngpagmjz&amp;rsv_dl=gh_pc_zhidao" </w:instrText>
      </w:r>
      <w:r>
        <w:rPr>
          <w:rFonts w:hint="default" w:ascii="宋体" w:hAnsi="宋体"/>
          <w:color w:val="auto"/>
          <w:sz w:val="24"/>
          <w:highlight w:val="none"/>
          <w:lang w:val="en-US"/>
        </w:rPr>
        <w:fldChar w:fldCharType="separate"/>
      </w:r>
      <w:r>
        <w:rPr>
          <w:rFonts w:hint="default" w:ascii="宋体" w:hAnsi="宋体"/>
          <w:color w:val="auto"/>
          <w:sz w:val="24"/>
          <w:highlight w:val="none"/>
          <w:lang w:val="en-US"/>
        </w:rPr>
        <w:t>财务会计制度</w:t>
      </w:r>
      <w:r>
        <w:rPr>
          <w:rFonts w:hint="default" w:ascii="宋体" w:hAnsi="宋体"/>
          <w:color w:val="auto"/>
          <w:sz w:val="24"/>
          <w:highlight w:val="none"/>
          <w:lang w:val="en-US"/>
        </w:rPr>
        <w:fldChar w:fldCharType="end"/>
      </w:r>
    </w:p>
    <w:p>
      <w:pPr>
        <w:rPr>
          <w:rFonts w:hint="eastAsia" w:ascii="宋体" w:hAnsi="宋体" w:eastAsia="宋体"/>
          <w:color w:val="auto"/>
          <w:sz w:val="24"/>
          <w:highlight w:val="none"/>
        </w:rPr>
      </w:pPr>
      <w:r>
        <w:rPr>
          <w:rFonts w:hint="eastAsia" w:ascii="宋体" w:hAnsi="宋体"/>
          <w:color w:val="auto"/>
          <w:sz w:val="24"/>
          <w:highlight w:val="none"/>
          <w:lang w:eastAsia="zh-CN"/>
        </w:rPr>
        <w:t>二十</w:t>
      </w:r>
      <w:r>
        <w:rPr>
          <w:rFonts w:hint="eastAsia" w:ascii="宋体" w:hAnsi="宋体" w:eastAsia="宋体"/>
          <w:color w:val="auto"/>
          <w:sz w:val="24"/>
          <w:highlight w:val="none"/>
        </w:rPr>
        <w:t>、其它必须的资料及有利于投标的资料</w:t>
      </w:r>
    </w:p>
    <w:p>
      <w:pPr>
        <w:rPr>
          <w:rFonts w:ascii="宋体"/>
          <w:color w:val="auto"/>
          <w:sz w:val="24"/>
          <w:highlight w:val="none"/>
        </w:rPr>
      </w:pPr>
      <w:r>
        <w:rPr>
          <w:rFonts w:hint="eastAsia" w:ascii="宋体" w:hAnsi="宋体"/>
          <w:b/>
          <w:color w:val="auto"/>
          <w:sz w:val="28"/>
          <w:szCs w:val="28"/>
          <w:highlight w:val="none"/>
        </w:rPr>
        <w:t>注：</w:t>
      </w:r>
      <w:r>
        <w:rPr>
          <w:rFonts w:ascii="宋体" w:hAnsi="宋体"/>
          <w:bCs/>
          <w:color w:val="auto"/>
          <w:sz w:val="24"/>
          <w:highlight w:val="none"/>
        </w:rPr>
        <w:t>1</w:t>
      </w:r>
      <w:r>
        <w:rPr>
          <w:rFonts w:hint="eastAsia" w:ascii="宋体" w:hAnsi="宋体"/>
          <w:bCs/>
          <w:color w:val="auto"/>
          <w:sz w:val="24"/>
          <w:highlight w:val="none"/>
        </w:rPr>
        <w:t>、</w:t>
      </w:r>
      <w:r>
        <w:rPr>
          <w:rFonts w:hint="eastAsia" w:ascii="宋体" w:hAnsi="宋体"/>
          <w:color w:val="auto"/>
          <w:sz w:val="24"/>
          <w:highlight w:val="none"/>
        </w:rPr>
        <w:t>投标文件必须制作有目录和页码</w:t>
      </w:r>
    </w:p>
    <w:p>
      <w:pPr>
        <w:ind w:firstLine="600" w:firstLineChars="25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、只接受</w:t>
      </w:r>
      <w:r>
        <w:rPr>
          <w:rFonts w:ascii="宋体" w:hAnsi="宋体"/>
          <w:color w:val="auto"/>
          <w:sz w:val="24"/>
          <w:highlight w:val="none"/>
        </w:rPr>
        <w:t>A4</w:t>
      </w:r>
      <w:r>
        <w:rPr>
          <w:rFonts w:hint="eastAsia" w:ascii="宋体" w:hAnsi="宋体"/>
          <w:color w:val="auto"/>
          <w:sz w:val="24"/>
          <w:highlight w:val="none"/>
        </w:rPr>
        <w:t>纸张大小的投标文件</w:t>
      </w:r>
    </w:p>
    <w:p>
      <w:pPr>
        <w:rPr>
          <w:rFonts w:ascii="宋体"/>
          <w:color w:val="auto"/>
          <w:sz w:val="24"/>
          <w:highlight w:val="none"/>
        </w:rPr>
      </w:pPr>
      <w:r>
        <w:rPr>
          <w:rFonts w:hint="eastAsia" w:ascii="宋体" w:hAnsi="宋体"/>
          <w:b/>
          <w:color w:val="auto"/>
          <w:sz w:val="28"/>
          <w:szCs w:val="28"/>
          <w:highlight w:val="none"/>
        </w:rPr>
        <w:t>投标文件</w:t>
      </w:r>
      <w:r>
        <w:rPr>
          <w:rFonts w:hint="eastAsia" w:ascii="宋体" w:hAnsi="宋体"/>
          <w:b/>
          <w:color w:val="auto"/>
          <w:sz w:val="28"/>
          <w:szCs w:val="28"/>
          <w:highlight w:val="none"/>
          <w:lang w:eastAsia="zh-CN"/>
        </w:rPr>
        <w:t>严格</w:t>
      </w:r>
      <w:r>
        <w:rPr>
          <w:rFonts w:hint="eastAsia" w:ascii="宋体" w:hAnsi="宋体"/>
          <w:b/>
          <w:color w:val="auto"/>
          <w:sz w:val="28"/>
          <w:szCs w:val="28"/>
          <w:highlight w:val="none"/>
        </w:rPr>
        <w:t>按要求制作</w:t>
      </w:r>
    </w:p>
    <w:p>
      <w:pPr>
        <w:pStyle w:val="17"/>
        <w:rPr>
          <w:rFonts w:ascii="宋体"/>
          <w:color w:val="auto"/>
          <w:sz w:val="24"/>
          <w:highlight w:val="none"/>
        </w:rPr>
      </w:pPr>
    </w:p>
    <w:p>
      <w:pPr>
        <w:pStyle w:val="17"/>
        <w:rPr>
          <w:rFonts w:ascii="宋体"/>
          <w:color w:val="auto"/>
          <w:sz w:val="24"/>
          <w:highlight w:val="none"/>
        </w:rPr>
      </w:pPr>
    </w:p>
    <w:p>
      <w:pPr>
        <w:pStyle w:val="17"/>
        <w:rPr>
          <w:rFonts w:ascii="宋体"/>
          <w:color w:val="auto"/>
          <w:sz w:val="24"/>
          <w:highlight w:val="none"/>
        </w:rPr>
      </w:pPr>
    </w:p>
    <w:p>
      <w:pPr>
        <w:ind w:right="980" w:firstLine="753" w:firstLineChars="250"/>
        <w:rPr>
          <w:rFonts w:hAnsi="宋体" w:cs="宋体"/>
          <w:color w:val="000000"/>
          <w:sz w:val="28"/>
          <w:szCs w:val="28"/>
          <w:u w:val="single"/>
        </w:rPr>
      </w:pPr>
      <w:r>
        <w:rPr>
          <w:rFonts w:ascii="宋体"/>
          <w:b/>
          <w:color w:val="auto"/>
          <w:sz w:val="30"/>
          <w:highlight w:val="none"/>
        </w:rPr>
        <w:br w:type="page"/>
      </w:r>
      <w:r>
        <mc:AlternateContent>
          <mc:Choice Requires="wps">
            <w:drawing>
              <wp:anchor distT="0" distB="0" distL="114300" distR="114300" simplePos="0" relativeHeight="251668480" behindDoc="0" locked="0" layoutInCell="1" allowOverlap="1">
                <wp:simplePos x="0" y="0"/>
                <wp:positionH relativeFrom="column">
                  <wp:posOffset>4665345</wp:posOffset>
                </wp:positionH>
                <wp:positionV relativeFrom="paragraph">
                  <wp:posOffset>-6350</wp:posOffset>
                </wp:positionV>
                <wp:extent cx="825500" cy="404495"/>
                <wp:effectExtent l="5080" t="4445" r="7620" b="10160"/>
                <wp:wrapNone/>
                <wp:docPr id="5" name="文本框 68"/>
                <wp:cNvGraphicFramePr/>
                <a:graphic xmlns:a="http://schemas.openxmlformats.org/drawingml/2006/main">
                  <a:graphicData uri="http://schemas.microsoft.com/office/word/2010/wordprocessingShape">
                    <wps:wsp>
                      <wps:cNvSpPr txBox="1"/>
                      <wps:spPr bwMode="auto">
                        <a:xfrm>
                          <a:off x="0" y="0"/>
                          <a:ext cx="825500" cy="404495"/>
                        </a:xfrm>
                        <a:prstGeom prst="rect">
                          <a:avLst/>
                        </a:prstGeom>
                        <a:noFill/>
                        <a:ln w="9525">
                          <a:solidFill>
                            <a:srgbClr val="000000"/>
                          </a:solidFill>
                          <a:miter lim="800000"/>
                        </a:ln>
                        <a:effectLst/>
                      </wps:spPr>
                      <wps:txbx>
                        <w:txbxContent>
                          <w:p>
                            <w:pPr>
                              <w:jc w:val="center"/>
                              <w:rPr>
                                <w:sz w:val="36"/>
                                <w:szCs w:val="36"/>
                              </w:rPr>
                            </w:pPr>
                            <w:r>
                              <w:rPr>
                                <w:rFonts w:hint="eastAsia" w:ascii="Calibri" w:hAnsi="Calibri"/>
                                <w:sz w:val="36"/>
                                <w:szCs w:val="36"/>
                              </w:rPr>
                              <w:t>正本</w:t>
                            </w:r>
                          </w:p>
                        </w:txbxContent>
                      </wps:txbx>
                      <wps:bodyPr rot="0" vert="horz" wrap="square" lIns="91439" tIns="45720" rIns="91439" bIns="45720" anchor="t" anchorCtr="0" upright="1">
                        <a:noAutofit/>
                      </wps:bodyPr>
                    </wps:wsp>
                  </a:graphicData>
                </a:graphic>
              </wp:anchor>
            </w:drawing>
          </mc:Choice>
          <mc:Fallback>
            <w:pict>
              <v:shape id="文本框 68" o:spid="_x0000_s1026" o:spt="202" type="#_x0000_t202" style="position:absolute;left:0pt;margin-left:367.35pt;margin-top:-0.5pt;height:31.85pt;width:65pt;z-index:251668480;mso-width-relative:page;mso-height-relative:page;" filled="f" stroked="t" coordsize="21600,21600" o:gfxdata="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yCVPWAAAACQEAAA8AAAAAAAAAAQAgAAAA&#10;IgAAAGRycy9kb3ducmV2LnhtbFBLAQIUABQAAAAIAIdO4kCpMVp6DQIAAO4DAAAOAAAAAAAAAAEA&#10;IAAAACUBAABkcnMvZTJvRG9jLnhtbFBLBQYAAAAABgAGAFkBAACkBQAAAAA=&#10;">
                <v:fill on="f" focussize="0,0"/>
                <v:stroke color="#000000" miterlimit="8" joinstyle="miter"/>
                <v:imagedata o:title=""/>
                <o:lock v:ext="edit" aspectratio="f"/>
                <v:textbox inset="7.19992125984252pt,1.27mm,7.19992125984252pt,1.27mm">
                  <w:txbxContent>
                    <w:p>
                      <w:pPr>
                        <w:jc w:val="center"/>
                        <w:rPr>
                          <w:sz w:val="36"/>
                          <w:szCs w:val="36"/>
                        </w:rPr>
                      </w:pPr>
                      <w:r>
                        <w:rPr>
                          <w:rFonts w:hint="eastAsia" w:ascii="Calibri" w:hAnsi="Calibri"/>
                          <w:sz w:val="36"/>
                          <w:szCs w:val="36"/>
                        </w:rPr>
                        <w:t>正本</w:t>
                      </w:r>
                    </w:p>
                  </w:txbxContent>
                </v:textbox>
              </v:shape>
            </w:pict>
          </mc:Fallback>
        </mc:AlternateContent>
      </w: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u w:val="single"/>
        </w:rPr>
      </w:pPr>
    </w:p>
    <w:p>
      <w:pPr>
        <w:ind w:right="980" w:firstLine="700" w:firstLineChars="25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w:t>
      </w:r>
    </w:p>
    <w:p>
      <w:pPr>
        <w:ind w:right="980" w:firstLine="700" w:firstLineChars="250"/>
        <w:jc w:val="center"/>
        <w:rPr>
          <w:rFonts w:ascii="宋体" w:hAnsi="宋体" w:cs="宋体"/>
          <w:color w:val="000000"/>
          <w:sz w:val="28"/>
          <w:szCs w:val="28"/>
        </w:rPr>
      </w:pPr>
    </w:p>
    <w:p>
      <w:pPr>
        <w:jc w:val="center"/>
        <w:rPr>
          <w:rFonts w:ascii="宋体" w:hAnsi="宋体" w:cs="宋体"/>
          <w:color w:val="000000"/>
          <w:sz w:val="28"/>
          <w:szCs w:val="28"/>
        </w:rPr>
      </w:pPr>
    </w:p>
    <w:p>
      <w:pPr>
        <w:ind w:firstLine="980" w:firstLineChars="350"/>
        <w:rPr>
          <w:rFonts w:ascii="宋体" w:hAnsi="宋体" w:cs="宋体"/>
          <w:color w:val="000000"/>
          <w:sz w:val="28"/>
          <w:szCs w:val="28"/>
          <w:u w:val="single"/>
        </w:rPr>
      </w:pPr>
      <w:r>
        <w:rPr>
          <w:rFonts w:hint="eastAsia" w:ascii="宋体" w:hAnsi="宋体" w:cs="宋体"/>
          <w:color w:val="000000"/>
          <w:sz w:val="28"/>
          <w:szCs w:val="28"/>
        </w:rPr>
        <w:t xml:space="preserve">招标文件编号：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color w:val="000000"/>
          <w:sz w:val="20"/>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44"/>
          <w:szCs w:val="44"/>
        </w:rPr>
        <w:t>投</w:t>
      </w:r>
      <w:r>
        <w:rPr>
          <w:rFonts w:ascii="宋体" w:hAnsi="宋体" w:cs="宋体"/>
          <w:b/>
          <w:bCs/>
          <w:color w:val="000000"/>
          <w:sz w:val="44"/>
          <w:szCs w:val="44"/>
        </w:rPr>
        <w:t xml:space="preserve">  </w:t>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文</w:t>
      </w:r>
      <w:r>
        <w:rPr>
          <w:rFonts w:ascii="宋体" w:hAnsi="宋体" w:cs="宋体"/>
          <w:b/>
          <w:bCs/>
          <w:color w:val="000000"/>
          <w:sz w:val="44"/>
          <w:szCs w:val="44"/>
        </w:rPr>
        <w:t xml:space="preserve">  </w:t>
      </w:r>
      <w:r>
        <w:rPr>
          <w:rFonts w:hint="eastAsia" w:ascii="宋体" w:hAnsi="宋体" w:cs="宋体"/>
          <w:b/>
          <w:bCs/>
          <w:color w:val="000000"/>
          <w:sz w:val="44"/>
          <w:szCs w:val="44"/>
        </w:rPr>
        <w:t>件</w:t>
      </w:r>
    </w:p>
    <w:p>
      <w:pPr>
        <w:jc w:val="center"/>
        <w:rPr>
          <w:rFonts w:ascii="宋体" w:hAnsi="宋体" w:cs="宋体"/>
          <w:color w:val="000000"/>
          <w:sz w:val="28"/>
          <w:szCs w:val="28"/>
        </w:rPr>
      </w:pPr>
    </w:p>
    <w:p>
      <w:pPr>
        <w:ind w:firstLine="840" w:firstLineChars="300"/>
        <w:jc w:val="center"/>
        <w:rPr>
          <w:rFonts w:ascii="宋体" w:hAnsi="宋体" w:cs="宋体"/>
          <w:color w:val="000000"/>
          <w:sz w:val="28"/>
          <w:szCs w:val="28"/>
        </w:rPr>
      </w:pPr>
      <w:r>
        <w:rPr>
          <w:rFonts w:hint="eastAsia" w:ascii="宋体" w:hAnsi="宋体" w:cs="宋体"/>
          <w:color w:val="000000"/>
          <w:sz w:val="28"/>
          <w:szCs w:val="28"/>
        </w:rPr>
        <w:t>投 标 人：</w:t>
      </w:r>
      <w:r>
        <w:rPr>
          <w:rFonts w:ascii="宋体" w:hAnsi="宋体" w:cs="宋体"/>
          <w:color w:val="000000"/>
          <w:sz w:val="28"/>
          <w:szCs w:val="28"/>
          <w:u w:val="single"/>
        </w:rPr>
        <w:t xml:space="preserve">                              </w:t>
      </w:r>
      <w:r>
        <w:rPr>
          <w:rFonts w:hint="eastAsia" w:ascii="宋体" w:hAnsi="宋体" w:cs="宋体"/>
          <w:color w:val="000000"/>
          <w:sz w:val="28"/>
          <w:szCs w:val="28"/>
        </w:rPr>
        <w:t>（盖单位章）</w:t>
      </w:r>
    </w:p>
    <w:p>
      <w:pPr>
        <w:ind w:firstLine="840" w:firstLineChars="300"/>
        <w:jc w:val="center"/>
        <w:rPr>
          <w:rFonts w:ascii="宋体" w:hAnsi="宋体" w:cs="宋体"/>
          <w:color w:val="000000"/>
          <w:sz w:val="28"/>
          <w:szCs w:val="28"/>
          <w:u w:val="single"/>
        </w:rPr>
      </w:pPr>
    </w:p>
    <w:p>
      <w:pPr>
        <w:jc w:val="center"/>
        <w:rPr>
          <w:rFonts w:ascii="宋体" w:hAnsi="宋体" w:cs="宋体"/>
          <w:color w:val="000000"/>
          <w:sz w:val="28"/>
          <w:szCs w:val="28"/>
        </w:rPr>
      </w:pPr>
    </w:p>
    <w:p>
      <w:pPr>
        <w:ind w:firstLine="700" w:firstLineChars="250"/>
        <w:jc w:val="center"/>
        <w:rPr>
          <w:rFonts w:ascii="宋体" w:hAnsi="宋体" w:cs="宋体"/>
          <w:color w:val="000000"/>
          <w:sz w:val="28"/>
          <w:szCs w:val="28"/>
        </w:rPr>
      </w:pPr>
      <w:r>
        <w:rPr>
          <w:rFonts w:hint="eastAsia" w:ascii="宋体" w:hAnsi="宋体" w:cs="宋体"/>
          <w:color w:val="000000"/>
          <w:sz w:val="28"/>
          <w:szCs w:val="28"/>
        </w:rPr>
        <w:t>法定代表人：</w:t>
      </w:r>
      <w:r>
        <w:rPr>
          <w:rFonts w:ascii="宋体" w:hAnsi="宋体" w:cs="宋体"/>
          <w:color w:val="000000"/>
          <w:sz w:val="28"/>
          <w:szCs w:val="28"/>
          <w:u w:val="single"/>
        </w:rPr>
        <w:t xml:space="preserve">                          </w:t>
      </w:r>
      <w:r>
        <w:rPr>
          <w:rFonts w:hint="eastAsia" w:ascii="宋体" w:hAnsi="宋体" w:cs="宋体"/>
          <w:color w:val="000000"/>
          <w:sz w:val="28"/>
          <w:szCs w:val="28"/>
        </w:rPr>
        <w:t>（签字或盖章）</w:t>
      </w:r>
    </w:p>
    <w:p>
      <w:pPr>
        <w:jc w:val="center"/>
        <w:rPr>
          <w:rFonts w:hint="default" w:ascii="宋体" w:hAnsi="宋体" w:eastAsia="宋体" w:cs="宋体"/>
          <w:color w:val="000000"/>
          <w:sz w:val="28"/>
          <w:szCs w:val="28"/>
          <w:lang w:val="en-US" w:eastAsia="zh-CN"/>
        </w:rPr>
      </w:pPr>
    </w:p>
    <w:p>
      <w:pPr>
        <w:jc w:val="center"/>
        <w:rPr>
          <w:rFonts w:ascii="宋体" w:hAnsi="宋体" w:cs="宋体"/>
          <w:color w:val="000000"/>
          <w:sz w:val="28"/>
          <w:szCs w:val="28"/>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p>
      <w:pPr>
        <w:spacing w:line="360" w:lineRule="atLeast"/>
        <w:rPr>
          <w:rFonts w:ascii="宋体"/>
          <w:b/>
          <w:color w:val="auto"/>
          <w:sz w:val="30"/>
          <w:highlight w:val="none"/>
        </w:rPr>
      </w:pPr>
    </w:p>
    <w:p>
      <w:pPr>
        <w:spacing w:line="360" w:lineRule="atLeast"/>
        <w:rPr>
          <w:rFonts w:ascii="宋体"/>
          <w:b/>
          <w:color w:val="auto"/>
          <w:sz w:val="30"/>
          <w:highlight w:val="none"/>
        </w:rPr>
      </w:pPr>
    </w:p>
    <w:p>
      <w:pPr>
        <w:spacing w:line="360" w:lineRule="atLeast"/>
        <w:rPr>
          <w:rFonts w:hint="eastAsia" w:ascii="宋体" w:eastAsia="宋体"/>
          <w:b/>
          <w:color w:val="auto"/>
          <w:sz w:val="30"/>
          <w:highlight w:val="none"/>
          <w:lang w:eastAsia="zh-CN"/>
        </w:rPr>
      </w:pPr>
    </w:p>
    <w:p>
      <w:pPr>
        <w:spacing w:line="360" w:lineRule="atLeast"/>
        <w:rPr>
          <w:rFonts w:ascii="宋体"/>
          <w:b/>
          <w:color w:val="auto"/>
          <w:sz w:val="30"/>
          <w:highlight w:val="none"/>
        </w:rPr>
      </w:pPr>
    </w:p>
    <w:p>
      <w:pPr>
        <w:pStyle w:val="4"/>
        <w:spacing w:before="0" w:after="0" w:line="240" w:lineRule="auto"/>
        <w:jc w:val="center"/>
        <w:rPr>
          <w:rFonts w:ascii="宋体" w:hAnsi="宋体" w:cs="宋体"/>
          <w:color w:val="auto"/>
          <w:highlight w:val="none"/>
        </w:rPr>
      </w:pPr>
      <w:r>
        <w:rPr>
          <w:rFonts w:hint="eastAsia" w:ascii="宋体" w:hAnsi="宋体"/>
          <w:b/>
          <w:color w:val="auto"/>
          <w:sz w:val="30"/>
          <w:highlight w:val="none"/>
        </w:rPr>
        <w:br w:type="page"/>
      </w:r>
      <w:bookmarkStart w:id="160" w:name="OLE_LINK1"/>
      <w:r>
        <w:rPr>
          <w:rFonts w:hint="eastAsia" w:ascii="宋体" w:hAnsi="宋体" w:cs="宋体"/>
          <w:color w:val="auto"/>
          <w:sz w:val="28"/>
          <w:szCs w:val="28"/>
          <w:highlight w:val="none"/>
        </w:rPr>
        <w:t>投 标 书</w:t>
      </w:r>
    </w:p>
    <w:p>
      <w:pPr>
        <w:spacing w:line="44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（招标单位）</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收到你们的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招标文件，经认真研究，我们决定参加投标。</w:t>
      </w:r>
    </w:p>
    <w:p>
      <w:pPr>
        <w:numPr>
          <w:ilvl w:val="0"/>
          <w:numId w:val="5"/>
        </w:numPr>
        <w:spacing w:line="440" w:lineRule="exact"/>
        <w:rPr>
          <w:rFonts w:ascii="宋体" w:hAnsi="宋体" w:cs="宋体"/>
          <w:color w:val="auto"/>
          <w:sz w:val="24"/>
          <w:highlight w:val="none"/>
          <w:u w:val="single"/>
        </w:rPr>
      </w:pPr>
      <w:r>
        <w:rPr>
          <w:rFonts w:hint="eastAsia" w:ascii="宋体" w:hAnsi="宋体" w:cs="宋体"/>
          <w:color w:val="auto"/>
          <w:sz w:val="24"/>
          <w:highlight w:val="none"/>
        </w:rPr>
        <w:t>按照招标文件中的一切要求，提供招标的货物、</w:t>
      </w:r>
      <w:r>
        <w:rPr>
          <w:rFonts w:hint="eastAsia"/>
          <w:color w:val="auto"/>
          <w:sz w:val="24"/>
          <w:highlight w:val="none"/>
        </w:rPr>
        <w:t>运输、装卸、验收、</w:t>
      </w:r>
      <w:r>
        <w:rPr>
          <w:rFonts w:ascii="宋体" w:hAnsi="宋体" w:cs="宋体"/>
          <w:color w:val="auto"/>
          <w:kern w:val="0"/>
          <w:sz w:val="24"/>
          <w:highlight w:val="none"/>
        </w:rPr>
        <w:t>开具发票和相关售后等服务</w:t>
      </w:r>
      <w:r>
        <w:rPr>
          <w:rFonts w:hint="eastAsia" w:ascii="宋体" w:hAnsi="宋体" w:cs="宋体"/>
          <w:color w:val="auto"/>
          <w:sz w:val="24"/>
          <w:highlight w:val="none"/>
        </w:rPr>
        <w:t>。总价为￥：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，明细见投标报价表。</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如果我们的投标书被接受，我们将履行招标文件中规定的每一项义务和要求，按期、按质、按量完成交货。</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我们同意按招标文件的规定，本标书的有效期为开标后</w:t>
      </w:r>
      <w:r>
        <w:rPr>
          <w:rFonts w:hint="eastAsia" w:ascii="宋体" w:hAnsi="宋体" w:cs="宋体"/>
          <w:color w:val="auto"/>
          <w:sz w:val="24"/>
          <w:highlight w:val="none"/>
          <w:lang w:val="en-US" w:eastAsia="zh-CN"/>
        </w:rPr>
        <w:t>3</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rPr>
        <w:t>天。</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我们愿意提供招标人在招标文件中要求的所有资料。</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我们认为你们有选择或拒绝任何投标者中标的权利。我们理解，最低报价不是中标的唯一条件。</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我们愿意按合同履行自己的全部责任。</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我们愿意遵守国家有关规定和招标文件中规定的收费标准，承付中标服务费。</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该项投标在开标后全过程中保持有效，不做任何更改和变动。</w:t>
      </w:r>
    </w:p>
    <w:p>
      <w:pPr>
        <w:numPr>
          <w:ilvl w:val="0"/>
          <w:numId w:val="5"/>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我们同意按招标文件规定，缴纳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元投标保证金。</w:t>
      </w:r>
    </w:p>
    <w:p>
      <w:pPr>
        <w:spacing w:line="440" w:lineRule="exact"/>
        <w:ind w:left="721" w:leftChars="229" w:hanging="240" w:hangingChars="100"/>
        <w:rPr>
          <w:rFonts w:ascii="宋体" w:hAnsi="宋体" w:cs="宋体"/>
          <w:color w:val="auto"/>
          <w:sz w:val="24"/>
          <w:highlight w:val="none"/>
        </w:rPr>
      </w:pPr>
      <w:r>
        <w:rPr>
          <w:rFonts w:hint="eastAsia" w:ascii="宋体" w:hAnsi="宋体" w:cs="宋体"/>
          <w:color w:val="auto"/>
          <w:sz w:val="24"/>
          <w:highlight w:val="none"/>
        </w:rPr>
        <w:t>10我们保证投标文件中的所有证件和内容真实有效，否则我们愿意承担一切法律责任。</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11、其他说明。</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12、所有有关本标书的函电，请按下列地址联系：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投标单位(盖章) ：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电报挂号：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bookmarkEnd w:id="160"/>
    <w:p>
      <w:pPr>
        <w:pStyle w:val="4"/>
        <w:jc w:val="center"/>
        <w:rPr>
          <w:rFonts w:ascii="宋体" w:hAnsi="宋体" w:cs="宋体"/>
          <w:color w:val="auto"/>
          <w:sz w:val="28"/>
          <w:highlight w:val="none"/>
        </w:rPr>
      </w:pPr>
      <w:bookmarkStart w:id="161" w:name="_Toc7164"/>
      <w:r>
        <w:rPr>
          <w:rFonts w:hint="eastAsia" w:ascii="宋体" w:hAnsi="宋体" w:cs="宋体"/>
          <w:color w:val="auto"/>
          <w:sz w:val="28"/>
          <w:highlight w:val="none"/>
        </w:rPr>
        <w:br w:type="page"/>
      </w:r>
      <w:r>
        <w:rPr>
          <w:rFonts w:hint="eastAsia" w:ascii="宋体" w:hAnsi="宋体" w:cs="宋体"/>
          <w:color w:val="auto"/>
          <w:sz w:val="28"/>
          <w:highlight w:val="none"/>
        </w:rPr>
        <w:t>投标一览表</w:t>
      </w:r>
      <w:bookmarkEnd w:id="161"/>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p>
      <w:pPr>
        <w:spacing w:line="360" w:lineRule="auto"/>
        <w:rPr>
          <w:rFonts w:ascii="宋体" w:hAnsi="宋体" w:cs="宋体"/>
          <w:color w:val="auto"/>
          <w:sz w:val="24"/>
          <w:highlight w:val="none"/>
        </w:rPr>
      </w:pPr>
    </w:p>
    <w:tbl>
      <w:tblPr>
        <w:tblStyle w:val="31"/>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货物名称</w:t>
            </w:r>
          </w:p>
        </w:tc>
        <w:tc>
          <w:tcPr>
            <w:tcW w:w="1433" w:type="dxa"/>
            <w:vAlign w:val="center"/>
          </w:tcPr>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规格参数</w:t>
            </w:r>
          </w:p>
        </w:tc>
        <w:tc>
          <w:tcPr>
            <w:tcW w:w="1247"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920"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986"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总价</w:t>
            </w:r>
          </w:p>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（元）</w:t>
            </w:r>
          </w:p>
        </w:tc>
        <w:tc>
          <w:tcPr>
            <w:tcW w:w="1774"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供货期限</w:t>
            </w:r>
            <w:r>
              <w:rPr>
                <w:rFonts w:hint="eastAsia" w:ascii="宋体" w:hAnsi="宋体" w:cs="宋体"/>
                <w:color w:val="auto"/>
                <w:sz w:val="24"/>
                <w:highlight w:val="none"/>
              </w:rPr>
              <w:t>（日历天）</w:t>
            </w:r>
          </w:p>
        </w:tc>
        <w:tc>
          <w:tcPr>
            <w:tcW w:w="1718"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433" w:type="dxa"/>
          </w:tcPr>
          <w:p>
            <w:pPr>
              <w:spacing w:line="360" w:lineRule="auto"/>
              <w:rPr>
                <w:rFonts w:ascii="宋体" w:hAnsi="宋体" w:cs="宋体"/>
                <w:color w:val="auto"/>
                <w:sz w:val="24"/>
                <w:highlight w:val="none"/>
              </w:rPr>
            </w:pPr>
          </w:p>
        </w:tc>
        <w:tc>
          <w:tcPr>
            <w:tcW w:w="1247" w:type="dxa"/>
          </w:tcPr>
          <w:p>
            <w:pPr>
              <w:spacing w:line="360" w:lineRule="auto"/>
              <w:rPr>
                <w:rFonts w:ascii="宋体" w:hAnsi="宋体" w:cs="宋体"/>
                <w:color w:val="auto"/>
                <w:sz w:val="24"/>
                <w:highlight w:val="none"/>
              </w:rPr>
            </w:pPr>
          </w:p>
        </w:tc>
        <w:tc>
          <w:tcPr>
            <w:tcW w:w="920" w:type="dxa"/>
          </w:tcPr>
          <w:p>
            <w:pPr>
              <w:spacing w:line="360" w:lineRule="auto"/>
              <w:rPr>
                <w:rFonts w:ascii="宋体" w:hAnsi="宋体" w:cs="宋体"/>
                <w:color w:val="auto"/>
                <w:sz w:val="24"/>
                <w:highlight w:val="none"/>
              </w:rPr>
            </w:pPr>
          </w:p>
        </w:tc>
        <w:tc>
          <w:tcPr>
            <w:tcW w:w="986" w:type="dxa"/>
          </w:tcPr>
          <w:p>
            <w:pPr>
              <w:spacing w:line="360" w:lineRule="auto"/>
              <w:rPr>
                <w:rFonts w:ascii="宋体" w:hAnsi="宋体" w:cs="宋体"/>
                <w:color w:val="auto"/>
                <w:sz w:val="24"/>
                <w:highlight w:val="none"/>
              </w:rPr>
            </w:pPr>
          </w:p>
        </w:tc>
        <w:tc>
          <w:tcPr>
            <w:tcW w:w="1774"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344" w:type="dxa"/>
            <w:vMerge w:val="restart"/>
            <w:vAlign w:val="center"/>
          </w:tcPr>
          <w:p>
            <w:pPr>
              <w:tabs>
                <w:tab w:val="left" w:pos="0"/>
              </w:tabs>
              <w:spacing w:line="240" w:lineRule="auto"/>
              <w:ind w:firstLine="120" w:firstLineChars="50"/>
              <w:jc w:val="center"/>
              <w:rPr>
                <w:rFonts w:ascii="宋体" w:hAnsi="宋体" w:cs="宋体"/>
                <w:color w:val="auto"/>
                <w:sz w:val="24"/>
                <w:highlight w:val="none"/>
              </w:rPr>
            </w:pPr>
            <w:r>
              <w:rPr>
                <w:rFonts w:hint="eastAsia" w:ascii="宋体" w:hAnsi="宋体" w:cs="宋体"/>
                <w:color w:val="auto"/>
                <w:sz w:val="24"/>
                <w:highlight w:val="none"/>
              </w:rPr>
              <w:t>总价：</w:t>
            </w: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344" w:type="dxa"/>
            <w:vMerge w:val="continue"/>
            <w:vAlign w:val="center"/>
          </w:tcPr>
          <w:p>
            <w:pPr>
              <w:tabs>
                <w:tab w:val="left" w:pos="0"/>
              </w:tabs>
              <w:spacing w:line="240" w:lineRule="auto"/>
              <w:jc w:val="center"/>
              <w:rPr>
                <w:rFonts w:ascii="宋体" w:hAnsi="宋体" w:cs="宋体"/>
                <w:color w:val="auto"/>
                <w:sz w:val="24"/>
                <w:highlight w:val="none"/>
              </w:rPr>
            </w:pPr>
          </w:p>
        </w:tc>
        <w:tc>
          <w:tcPr>
            <w:tcW w:w="8078" w:type="dxa"/>
            <w:gridSpan w:val="6"/>
            <w:vAlign w:val="center"/>
          </w:tcPr>
          <w:p>
            <w:pPr>
              <w:tabs>
                <w:tab w:val="left" w:pos="0"/>
              </w:tabs>
              <w:spacing w:line="240" w:lineRule="auto"/>
              <w:jc w:val="left"/>
              <w:rPr>
                <w:rFonts w:ascii="宋体" w:hAnsi="宋体" w:cs="宋体"/>
                <w:color w:val="auto"/>
                <w:sz w:val="24"/>
                <w:highlight w:val="none"/>
              </w:rPr>
            </w:pPr>
            <w:r>
              <w:rPr>
                <w:rFonts w:hint="eastAsia" w:ascii="宋体" w:hAnsi="宋体" w:cs="宋体"/>
                <w:color w:val="auto"/>
                <w:sz w:val="24"/>
                <w:highlight w:val="none"/>
              </w:rPr>
              <w:t>（人民币大写）</w:t>
            </w:r>
          </w:p>
        </w:tc>
      </w:tr>
    </w:tbl>
    <w:p>
      <w:pPr>
        <w:spacing w:line="360" w:lineRule="auto"/>
        <w:ind w:firstLine="480" w:firstLineChars="200"/>
        <w:rPr>
          <w:rFonts w:ascii="宋体" w:hAnsi="宋体" w:cs="宋体"/>
          <w:color w:val="auto"/>
          <w:sz w:val="24"/>
          <w:highlight w:val="none"/>
        </w:rPr>
      </w:pPr>
    </w:p>
    <w:p>
      <w:pPr>
        <w:numPr>
          <w:ilvl w:val="0"/>
          <w:numId w:val="0"/>
        </w:num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注明：</w:t>
      </w:r>
    </w:p>
    <w:p>
      <w:pPr>
        <w:numPr>
          <w:ilvl w:val="0"/>
          <w:numId w:val="0"/>
        </w:num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1、报价如修改，应在修改处加盖单位公章或者由法定代表人或授权委托人签字或盖章，否则其响应文件作无效标处理。</w:t>
      </w:r>
    </w:p>
    <w:p>
      <w:pPr>
        <w:numPr>
          <w:ilvl w:val="0"/>
          <w:numId w:val="0"/>
        </w:num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eastAsia="zh-CN"/>
        </w:rPr>
        <w:t>项目须附详细的报价明细表，报价明细表中金额和开标一览表金额一致。</w:t>
      </w:r>
    </w:p>
    <w:p>
      <w:pPr>
        <w:numPr>
          <w:ilvl w:val="0"/>
          <w:numId w:val="0"/>
        </w:num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eastAsia="zh-CN"/>
        </w:rPr>
        <w:t>投标人所投标价单价与总价不得超出</w:t>
      </w:r>
      <w:r>
        <w:rPr>
          <w:rFonts w:hint="eastAsia" w:ascii="宋体" w:hAnsi="宋体" w:eastAsia="宋体" w:cs="宋体"/>
          <w:color w:val="auto"/>
          <w:sz w:val="24"/>
          <w:highlight w:val="none"/>
        </w:rPr>
        <w:t>采购清单</w:t>
      </w:r>
      <w:r>
        <w:rPr>
          <w:rFonts w:hint="eastAsia" w:ascii="宋体" w:hAnsi="宋体" w:eastAsia="宋体" w:cs="宋体"/>
          <w:color w:val="auto"/>
          <w:sz w:val="24"/>
          <w:highlight w:val="none"/>
          <w:lang w:val="en-US"/>
        </w:rPr>
        <w:t>各项报价预算价。</w:t>
      </w:r>
    </w:p>
    <w:p>
      <w:pPr>
        <w:numPr>
          <w:ilvl w:val="0"/>
          <w:numId w:val="0"/>
        </w:num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4、后附报价明细表</w:t>
      </w:r>
    </w:p>
    <w:p>
      <w:pPr>
        <w:numPr>
          <w:ilvl w:val="0"/>
          <w:numId w:val="0"/>
        </w:numPr>
        <w:spacing w:line="360" w:lineRule="auto"/>
        <w:rPr>
          <w:rFonts w:hint="eastAsia" w:ascii="宋体" w:hAnsi="宋体" w:eastAsia="宋体" w:cs="宋体"/>
          <w:color w:val="auto"/>
          <w:sz w:val="24"/>
          <w:highlight w:val="none"/>
        </w:rPr>
      </w:pPr>
    </w:p>
    <w:p>
      <w:pPr>
        <w:numPr>
          <w:ilvl w:val="0"/>
          <w:numId w:val="0"/>
        </w:numPr>
        <w:spacing w:line="360" w:lineRule="auto"/>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投标单位：（单位公章）</w:t>
      </w:r>
    </w:p>
    <w:p>
      <w:pPr>
        <w:spacing w:line="360" w:lineRule="auto"/>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3360" w:firstLineChars="1400"/>
        <w:rPr>
          <w:rFonts w:ascii="宋体" w:hAnsi="宋体" w:cs="宋体"/>
          <w:color w:val="auto"/>
          <w:sz w:val="24"/>
          <w:highlight w:val="none"/>
        </w:rPr>
      </w:pPr>
    </w:p>
    <w:p>
      <w:pPr>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年   月   日</w:t>
      </w:r>
      <w:bookmarkStart w:id="162" w:name="_Toc21935"/>
    </w:p>
    <w:p>
      <w:pPr>
        <w:pStyle w:val="4"/>
        <w:jc w:val="center"/>
        <w:rPr>
          <w:rFonts w:ascii="宋体" w:hAnsi="宋体" w:cs="宋体"/>
          <w:color w:val="auto"/>
          <w:sz w:val="28"/>
          <w:highlight w:val="none"/>
        </w:rPr>
      </w:pPr>
      <w:r>
        <w:rPr>
          <w:rFonts w:hint="eastAsia" w:ascii="宋体" w:hAnsi="宋体" w:cs="宋体"/>
          <w:color w:val="auto"/>
          <w:sz w:val="28"/>
          <w:highlight w:val="none"/>
        </w:rPr>
        <w:t>投标货物报价表</w:t>
      </w:r>
      <w:bookmarkEnd w:id="162"/>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98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1567"/>
        <w:gridCol w:w="963"/>
        <w:gridCol w:w="917"/>
        <w:gridCol w:w="1070"/>
        <w:gridCol w:w="1763"/>
        <w:gridCol w:w="148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567"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tc>
        <w:tc>
          <w:tcPr>
            <w:tcW w:w="96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规格参数</w:t>
            </w:r>
          </w:p>
        </w:tc>
        <w:tc>
          <w:tcPr>
            <w:tcW w:w="917"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单价</w:t>
            </w:r>
          </w:p>
        </w:tc>
        <w:tc>
          <w:tcPr>
            <w:tcW w:w="1070"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176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总价</w:t>
            </w:r>
          </w:p>
        </w:tc>
        <w:tc>
          <w:tcPr>
            <w:tcW w:w="1487" w:type="dxa"/>
            <w:vAlign w:val="center"/>
          </w:tcPr>
          <w:p>
            <w:pPr>
              <w:tabs>
                <w:tab w:val="left" w:pos="0"/>
              </w:tabs>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000000" w:themeColor="text1"/>
                <w:sz w:val="24"/>
                <w:highlight w:val="none"/>
                <w:lang w:val="en-US" w:eastAsia="zh-CN"/>
                <w14:textFill>
                  <w14:solidFill>
                    <w14:schemeClr w14:val="tx1"/>
                  </w14:solidFill>
                </w14:textFill>
              </w:rPr>
              <w:t>品牌、产地</w:t>
            </w:r>
          </w:p>
        </w:tc>
        <w:tc>
          <w:tcPr>
            <w:tcW w:w="1276"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833" w:type="dxa"/>
          </w:tcPr>
          <w:p>
            <w:pPr>
              <w:spacing w:line="360" w:lineRule="auto"/>
              <w:rPr>
                <w:rFonts w:ascii="宋体" w:hAnsi="宋体" w:cs="宋体"/>
                <w:color w:val="auto"/>
                <w:sz w:val="24"/>
                <w:highlight w:val="none"/>
              </w:rPr>
            </w:pPr>
          </w:p>
        </w:tc>
        <w:tc>
          <w:tcPr>
            <w:tcW w:w="1567" w:type="dxa"/>
          </w:tcPr>
          <w:p>
            <w:pPr>
              <w:spacing w:line="360" w:lineRule="auto"/>
              <w:rPr>
                <w:rFonts w:ascii="宋体" w:hAnsi="宋体" w:cs="宋体"/>
                <w:color w:val="auto"/>
                <w:sz w:val="24"/>
                <w:highlight w:val="none"/>
              </w:rPr>
            </w:pPr>
          </w:p>
        </w:tc>
        <w:tc>
          <w:tcPr>
            <w:tcW w:w="963" w:type="dxa"/>
          </w:tcPr>
          <w:p>
            <w:pPr>
              <w:spacing w:line="360" w:lineRule="auto"/>
              <w:rPr>
                <w:rFonts w:ascii="宋体" w:hAnsi="宋体" w:cs="宋体"/>
                <w:color w:val="auto"/>
                <w:sz w:val="24"/>
                <w:highlight w:val="none"/>
              </w:rPr>
            </w:pPr>
          </w:p>
        </w:tc>
        <w:tc>
          <w:tcPr>
            <w:tcW w:w="917" w:type="dxa"/>
          </w:tcPr>
          <w:p>
            <w:pPr>
              <w:spacing w:line="360" w:lineRule="auto"/>
              <w:rPr>
                <w:rFonts w:ascii="宋体" w:hAnsi="宋体" w:cs="宋体"/>
                <w:color w:val="auto"/>
                <w:sz w:val="24"/>
                <w:highlight w:val="none"/>
              </w:rPr>
            </w:pPr>
          </w:p>
        </w:tc>
        <w:tc>
          <w:tcPr>
            <w:tcW w:w="1070" w:type="dxa"/>
          </w:tcPr>
          <w:p>
            <w:pPr>
              <w:spacing w:line="360" w:lineRule="auto"/>
              <w:rPr>
                <w:rFonts w:ascii="宋体" w:hAnsi="宋体" w:cs="宋体"/>
                <w:color w:val="auto"/>
                <w:sz w:val="24"/>
                <w:highlight w:val="none"/>
              </w:rPr>
            </w:pPr>
          </w:p>
        </w:tc>
        <w:tc>
          <w:tcPr>
            <w:tcW w:w="1763" w:type="dxa"/>
          </w:tcPr>
          <w:p>
            <w:pPr>
              <w:spacing w:line="360" w:lineRule="auto"/>
              <w:rPr>
                <w:rFonts w:ascii="宋体" w:hAnsi="宋体" w:cs="宋体"/>
                <w:color w:val="auto"/>
                <w:sz w:val="24"/>
                <w:highlight w:val="none"/>
              </w:rPr>
            </w:pPr>
          </w:p>
        </w:tc>
        <w:tc>
          <w:tcPr>
            <w:tcW w:w="1487" w:type="dxa"/>
          </w:tcPr>
          <w:p>
            <w:pPr>
              <w:spacing w:line="360" w:lineRule="auto"/>
              <w:rPr>
                <w:rFonts w:ascii="宋体" w:hAnsi="宋体" w:cs="宋体"/>
                <w:color w:val="auto"/>
                <w:sz w:val="24"/>
                <w:highlight w:val="none"/>
              </w:rPr>
            </w:pPr>
          </w:p>
        </w:tc>
        <w:tc>
          <w:tcPr>
            <w:tcW w:w="127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833"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总计（元） </w:t>
            </w:r>
          </w:p>
        </w:tc>
        <w:tc>
          <w:tcPr>
            <w:tcW w:w="1567" w:type="dxa"/>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c>
          <w:tcPr>
            <w:tcW w:w="7476" w:type="dxa"/>
            <w:gridSpan w:val="6"/>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（此表可延长）</w:t>
      </w:r>
    </w:p>
    <w:p>
      <w:pPr>
        <w:adjustRightInd w:val="0"/>
        <w:snapToGrid w:val="0"/>
        <w:spacing w:line="360" w:lineRule="auto"/>
        <w:ind w:right="24"/>
        <w:rPr>
          <w:rFonts w:hint="eastAsia" w:ascii="宋体" w:hAnsi="宋体" w:cs="宋体"/>
          <w:b/>
          <w:color w:val="auto"/>
          <w:sz w:val="24"/>
          <w:highlight w:val="none"/>
        </w:rPr>
      </w:pPr>
      <w:r>
        <w:rPr>
          <w:rFonts w:hint="eastAsia" w:ascii="宋体" w:hAnsi="宋体" w:cs="宋体"/>
          <w:b/>
          <w:color w:val="auto"/>
          <w:sz w:val="24"/>
          <w:highlight w:val="none"/>
        </w:rPr>
        <w:t>注：</w:t>
      </w:r>
    </w:p>
    <w:p>
      <w:pPr>
        <w:adjustRightInd w:val="0"/>
        <w:snapToGrid w:val="0"/>
        <w:spacing w:line="360" w:lineRule="auto"/>
        <w:ind w:right="24"/>
        <w:rPr>
          <w:color w:val="auto"/>
        </w:rPr>
      </w:pPr>
      <w:r>
        <w:rPr>
          <w:color w:val="auto"/>
        </w:rPr>
        <w:t>1、报价如修改，应在修改处加盖单位公章或者由法定代表人或授权委托人签字或盖章，否则其响应文件作无效标处理。</w:t>
      </w:r>
    </w:p>
    <w:p>
      <w:pPr>
        <w:numPr>
          <w:ilvl w:val="0"/>
          <w:numId w:val="0"/>
        </w:numPr>
        <w:adjustRightInd w:val="0"/>
        <w:snapToGrid w:val="0"/>
        <w:spacing w:line="360" w:lineRule="auto"/>
        <w:ind w:right="24" w:rightChars="0"/>
        <w:rPr>
          <w:color w:val="auto"/>
        </w:rPr>
      </w:pPr>
      <w:r>
        <w:rPr>
          <w:color w:val="auto"/>
        </w:rPr>
        <w:t>2、项目须附详细的报价明细表，报价明细表中金额和开标一览表金额一致。</w:t>
      </w:r>
    </w:p>
    <w:p>
      <w:pPr>
        <w:numPr>
          <w:ilvl w:val="0"/>
          <w:numId w:val="0"/>
        </w:numPr>
        <w:adjustRightInd w:val="0"/>
        <w:snapToGrid w:val="0"/>
        <w:spacing w:line="360" w:lineRule="auto"/>
        <w:ind w:right="24" w:rightChars="0"/>
        <w:rPr>
          <w:bCs/>
          <w:color w:val="auto"/>
          <w:kern w:val="16"/>
          <w:lang w:val="fi-FI" w:eastAsia="zh-Hans"/>
        </w:rPr>
      </w:pPr>
      <w:r>
        <w:rPr>
          <w:rFonts w:hint="eastAsia" w:ascii="宋体" w:hAnsi="宋体"/>
          <w:bCs/>
          <w:color w:val="auto"/>
          <w:lang w:val="el-GR" w:eastAsia="zh-CN"/>
        </w:rPr>
        <w:t>3、</w:t>
      </w:r>
      <w:r>
        <w:rPr>
          <w:rFonts w:hint="eastAsia"/>
          <w:b/>
          <w:bCs/>
          <w:color w:val="auto"/>
          <w:lang w:val="en-US" w:eastAsia="zh-CN"/>
        </w:rPr>
        <w:t>投标人所投标价单价与总价不得超出</w:t>
      </w:r>
      <w:r>
        <w:rPr>
          <w:rFonts w:hint="eastAsia" w:ascii="宋体" w:hAnsi="宋体"/>
          <w:b/>
          <w:color w:val="auto"/>
          <w:kern w:val="0"/>
        </w:rPr>
        <w:t>采购清单</w:t>
      </w:r>
      <w:r>
        <w:rPr>
          <w:rFonts w:hint="eastAsia"/>
          <w:color w:val="auto"/>
          <w:kern w:val="0"/>
          <w:lang w:val="en-US" w:eastAsia="zh-CN"/>
        </w:rPr>
        <w:t>各项报价预算</w:t>
      </w:r>
      <w:r>
        <w:rPr>
          <w:bCs/>
          <w:color w:val="auto"/>
          <w:kern w:val="16"/>
          <w:lang w:val="fi-FI" w:eastAsia="zh-Hans"/>
        </w:rPr>
        <w:t>价。</w:t>
      </w:r>
    </w:p>
    <w:p>
      <w:pPr>
        <w:numPr>
          <w:ilvl w:val="0"/>
          <w:numId w:val="0"/>
        </w:numPr>
        <w:adjustRightInd w:val="0"/>
        <w:snapToGrid w:val="0"/>
        <w:spacing w:line="360" w:lineRule="auto"/>
        <w:ind w:right="24" w:rightChars="0"/>
        <w:rPr>
          <w:bCs/>
          <w:color w:val="auto"/>
          <w:kern w:val="16"/>
          <w:lang w:val="fi-FI" w:eastAsia="zh-Hans"/>
        </w:rPr>
      </w:pPr>
      <w:r>
        <w:rPr>
          <w:bCs/>
          <w:color w:val="auto"/>
          <w:kern w:val="16"/>
          <w:lang w:val="fi-FI" w:eastAsia="zh-Hans"/>
        </w:rPr>
        <w:t>4、本表表格不够时投标人自行添加表格。</w:t>
      </w:r>
    </w:p>
    <w:p>
      <w:pPr>
        <w:numPr>
          <w:ilvl w:val="0"/>
          <w:numId w:val="0"/>
        </w:numPr>
        <w:adjustRightInd w:val="0"/>
        <w:snapToGrid w:val="0"/>
        <w:spacing w:line="360" w:lineRule="auto"/>
        <w:ind w:right="24" w:rightChars="0"/>
        <w:rPr>
          <w:rFonts w:hint="default" w:ascii="宋体" w:hAnsi="宋体"/>
          <w:bCs/>
          <w:color w:val="auto"/>
          <w:lang w:val="en-US" w:eastAsia="zh-CN"/>
        </w:rPr>
      </w:pPr>
      <w:r>
        <w:rPr>
          <w:rFonts w:hint="default" w:ascii="宋体" w:hAnsi="宋体"/>
          <w:bCs/>
          <w:color w:val="auto"/>
          <w:lang w:val="en-US" w:eastAsia="zh-CN"/>
        </w:rPr>
        <w:t>5、投标人所投标应符合验收标准，不允许附偏离。</w:t>
      </w:r>
    </w:p>
    <w:p>
      <w:pPr>
        <w:spacing w:line="360" w:lineRule="auto"/>
        <w:ind w:firstLine="964" w:firstLineChars="400"/>
        <w:rPr>
          <w:rFonts w:ascii="宋体" w:hAnsi="宋体" w:cs="宋体"/>
          <w:b/>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年   月   日</w:t>
      </w:r>
    </w:p>
    <w:p>
      <w:pPr>
        <w:pStyle w:val="4"/>
        <w:rPr>
          <w:rFonts w:ascii="宋体" w:hAnsi="宋体" w:cs="宋体"/>
          <w:color w:val="auto"/>
          <w:kern w:val="0"/>
          <w:sz w:val="28"/>
          <w:highlight w:val="none"/>
        </w:rPr>
      </w:pPr>
      <w:bookmarkStart w:id="163" w:name="_Toc20452"/>
    </w:p>
    <w:p>
      <w:pPr>
        <w:pStyle w:val="5"/>
        <w:rPr>
          <w:color w:val="auto"/>
          <w:highlight w:val="none"/>
        </w:rPr>
      </w:pPr>
    </w:p>
    <w:p>
      <w:pPr>
        <w:rPr>
          <w:color w:val="auto"/>
          <w:highlight w:val="none"/>
        </w:rPr>
      </w:pPr>
    </w:p>
    <w:p>
      <w:pPr>
        <w:pStyle w:val="4"/>
        <w:jc w:val="center"/>
        <w:rPr>
          <w:rFonts w:ascii="宋体" w:hAnsi="宋体" w:cs="宋体"/>
          <w:color w:val="auto"/>
          <w:highlight w:val="none"/>
        </w:rPr>
      </w:pPr>
      <w:r>
        <w:rPr>
          <w:rFonts w:hint="eastAsia" w:ascii="宋体" w:hAnsi="宋体" w:cs="宋体"/>
          <w:color w:val="auto"/>
          <w:kern w:val="0"/>
          <w:sz w:val="28"/>
          <w:highlight w:val="none"/>
        </w:rPr>
        <w:t>技术规格功能要求偏离表</w:t>
      </w:r>
      <w:bookmarkEnd w:id="163"/>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867"/>
        <w:gridCol w:w="1259"/>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2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招标文件规格功能要求条目号</w:t>
            </w:r>
          </w:p>
        </w:tc>
        <w:tc>
          <w:tcPr>
            <w:tcW w:w="186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要求服务内容</w:t>
            </w:r>
          </w:p>
        </w:tc>
        <w:tc>
          <w:tcPr>
            <w:tcW w:w="12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投标服务内容</w:t>
            </w:r>
          </w:p>
        </w:tc>
        <w:tc>
          <w:tcPr>
            <w:tcW w:w="183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2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：1、应与招标文件要求逐条对应填写。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ind w:firstLine="5160" w:firstLineChars="2150"/>
        <w:rPr>
          <w:rFonts w:ascii="宋体" w:hAnsi="宋体" w:cs="宋体"/>
          <w:color w:val="auto"/>
          <w:sz w:val="24"/>
          <w:highlight w:val="none"/>
        </w:rPr>
      </w:pPr>
    </w:p>
    <w:p>
      <w:pPr>
        <w:spacing w:line="360" w:lineRule="auto"/>
        <w:ind w:firstLine="6020" w:firstLineChars="2150"/>
        <w:rPr>
          <w:rFonts w:ascii="宋体" w:hAnsi="宋体" w:cs="宋体"/>
          <w:color w:val="auto"/>
          <w:sz w:val="28"/>
          <w:szCs w:val="28"/>
          <w:highlight w:val="none"/>
        </w:rPr>
      </w:pPr>
    </w:p>
    <w:p>
      <w:pPr>
        <w:pStyle w:val="4"/>
        <w:jc w:val="center"/>
        <w:rPr>
          <w:rFonts w:ascii="宋体" w:hAnsi="宋体" w:cs="宋体"/>
          <w:color w:val="auto"/>
          <w:sz w:val="28"/>
          <w:szCs w:val="28"/>
          <w:highlight w:val="none"/>
        </w:rPr>
      </w:pPr>
      <w:bookmarkStart w:id="164" w:name="_Toc23111"/>
      <w:r>
        <w:rPr>
          <w:rFonts w:hint="eastAsia" w:ascii="宋体" w:hAnsi="宋体" w:cs="宋体"/>
          <w:color w:val="auto"/>
          <w:sz w:val="28"/>
          <w:highlight w:val="none"/>
        </w:rPr>
        <w:t>商务条款偏离表</w:t>
      </w:r>
      <w:bookmarkEnd w:id="164"/>
    </w:p>
    <w:p>
      <w:pPr>
        <w:spacing w:line="360" w:lineRule="auto"/>
        <w:ind w:firstLine="105" w:firstLineChars="50"/>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31"/>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条目号</w:t>
            </w:r>
          </w:p>
        </w:tc>
        <w:tc>
          <w:tcPr>
            <w:tcW w:w="21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22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17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：1、应与招标文件要求的实质性条款对应填写，如投标企业填写无偏离或此表空白，则视为完全响应招标文件。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sz w:val="24"/>
          <w:highlight w:val="none"/>
        </w:rPr>
        <w:t>年   月   日</w:t>
      </w:r>
    </w:p>
    <w:p>
      <w:pPr>
        <w:jc w:val="center"/>
        <w:rPr>
          <w:rFonts w:ascii="宋体" w:hAnsi="宋体"/>
          <w:b/>
          <w:color w:val="auto"/>
          <w:sz w:val="30"/>
          <w:szCs w:val="30"/>
          <w:highlight w:val="none"/>
        </w:rPr>
      </w:pPr>
      <w:r>
        <w:rPr>
          <w:rFonts w:hint="eastAsia" w:ascii="宋体" w:hAnsi="宋体"/>
          <w:b/>
          <w:color w:val="auto"/>
          <w:sz w:val="30"/>
          <w:szCs w:val="30"/>
          <w:highlight w:val="none"/>
        </w:rPr>
        <w:t>银行转账单复印件</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9667968"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8" name="文本框 19"/>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rPr>
                                <w:sz w:val="24"/>
                              </w:rPr>
                            </w:pPr>
                          </w:p>
                          <w:p>
                            <w:pPr>
                              <w:jc w:val="center"/>
                              <w:rPr>
                                <w:sz w:val="28"/>
                                <w:szCs w:val="28"/>
                              </w:rPr>
                            </w:pPr>
                            <w:r>
                              <w:rPr>
                                <w:rFonts w:hint="eastAsia" w:ascii="宋体" w:hAnsi="宋体"/>
                                <w:sz w:val="24"/>
                              </w:rPr>
                              <w:t>缴纳投标保证金的银行转账单复印件</w:t>
                            </w:r>
                          </w:p>
                        </w:txbxContent>
                      </wps:txbx>
                      <wps:bodyPr upright="1"/>
                    </wps:wsp>
                  </a:graphicData>
                </a:graphic>
              </wp:anchor>
            </w:drawing>
          </mc:Choice>
          <mc:Fallback>
            <w:pict>
              <v:shape id="文本框 19" o:spid="_x0000_s1026" o:spt="202" type="#_x0000_t202" style="position:absolute;left:0pt;margin-left:42.35pt;margin-top:11.45pt;height:171.6pt;width:369.65pt;z-index:259667968;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XPzfYAAAACQEAAA8AAAAAAAAAAQAgAAAAIgAAAGRycy9kb3ducmV2Lnht&#10;bFBLAQIUABQAAAAIAIdO4kAqtFRq+QEAAPgDAAAOAAAAAAAAAAEAIAAAACcBAABkcnMvZTJvRG9j&#10;LnhtbFBLBQYAAAAABgAGAFkBAACSBQAAAAA=&#10;">
                <v:fill on="t" focussize="0,0"/>
                <v:stroke color="#000000" joinstyle="miter"/>
                <v:imagedata o:title=""/>
                <o:lock v:ext="edit" aspectratio="f"/>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mc:Fallback>
        </mc:AlternateConten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（盖单位鲜红章）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jc w:val="left"/>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pStyle w:val="4"/>
        <w:jc w:val="center"/>
        <w:rPr>
          <w:rFonts w:ascii="宋体" w:hAnsi="宋体" w:cs="宋体"/>
          <w:color w:val="auto"/>
          <w:highlight w:val="none"/>
        </w:rPr>
      </w:pPr>
    </w:p>
    <w:p>
      <w:pPr>
        <w:rPr>
          <w:rFonts w:ascii="宋体" w:hAnsi="宋体" w:cs="宋体"/>
          <w:color w:val="auto"/>
          <w:highlight w:val="none"/>
        </w:rPr>
      </w:pPr>
    </w:p>
    <w:p>
      <w:pPr>
        <w:pStyle w:val="6"/>
        <w:rPr>
          <w:rFonts w:ascii="宋体" w:hAnsi="宋体" w:cs="宋体"/>
          <w:color w:val="auto"/>
          <w:highlight w:val="none"/>
        </w:rPr>
      </w:pPr>
    </w:p>
    <w:p>
      <w:pPr>
        <w:pStyle w:val="6"/>
        <w:rPr>
          <w:color w:val="auto"/>
          <w:highlight w:val="none"/>
        </w:rPr>
      </w:pPr>
    </w:p>
    <w:p>
      <w:pPr>
        <w:rPr>
          <w:color w:val="auto"/>
          <w:highlight w:val="none"/>
        </w:rPr>
      </w:pPr>
    </w:p>
    <w:p>
      <w:pPr>
        <w:pStyle w:val="4"/>
        <w:jc w:val="center"/>
        <w:rPr>
          <w:rFonts w:ascii="宋体" w:hAnsi="宋体" w:cs="宋体"/>
          <w:color w:val="auto"/>
          <w:kern w:val="0"/>
          <w:sz w:val="28"/>
          <w:highlight w:val="none"/>
        </w:rPr>
      </w:pPr>
      <w:r>
        <w:rPr>
          <w:rFonts w:hint="eastAsia" w:ascii="宋体" w:hAnsi="宋体" w:cs="宋体"/>
          <w:color w:val="auto"/>
          <w:highlight w:val="none"/>
        </w:rPr>
        <w:t xml:space="preserve"> </w:t>
      </w:r>
      <w:bookmarkStart w:id="165" w:name="_Toc17222"/>
      <w:r>
        <w:rPr>
          <w:rFonts w:hint="eastAsia" w:ascii="宋体" w:hAnsi="宋体" w:cs="宋体"/>
          <w:color w:val="auto"/>
          <w:kern w:val="0"/>
          <w:sz w:val="28"/>
          <w:highlight w:val="none"/>
        </w:rPr>
        <w:t>投标方的资格声明</w:t>
      </w:r>
      <w:bookmarkEnd w:id="165"/>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法定代表人或其授权委托人（</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4"/>
        <w:jc w:val="center"/>
        <w:rPr>
          <w:rFonts w:ascii="宋体" w:hAnsi="宋体"/>
          <w:color w:val="auto"/>
          <w:sz w:val="24"/>
          <w:highlight w:val="none"/>
        </w:rPr>
      </w:pPr>
      <w:r>
        <w:rPr>
          <w:rFonts w:hint="eastAsia" w:ascii="宋体" w:hAnsi="宋体" w:cs="宋体"/>
          <w:color w:val="auto"/>
          <w:highlight w:val="none"/>
        </w:rPr>
        <w:br w:type="page"/>
      </w:r>
      <w:bookmarkStart w:id="166" w:name="_Toc22085"/>
      <w:r>
        <w:rPr>
          <w:rFonts w:hint="eastAsia" w:ascii="宋体" w:hAnsi="宋体" w:cs="宋体"/>
          <w:color w:val="auto"/>
          <w:kern w:val="0"/>
          <w:sz w:val="28"/>
          <w:highlight w:val="none"/>
        </w:rPr>
        <w:t>《政府采购法》第二十二条规定</w:t>
      </w:r>
    </w:p>
    <w:p>
      <w:pPr>
        <w:pStyle w:val="23"/>
        <w:keepNext w:val="0"/>
        <w:keepLines w:val="0"/>
        <w:widowControl/>
        <w:suppressLineNumbers w:val="0"/>
        <w:ind w:firstLine="480" w:firstLineChars="200"/>
        <w:jc w:val="both"/>
        <w:rPr>
          <w:color w:val="auto"/>
          <w:highlight w:val="none"/>
        </w:rPr>
      </w:pPr>
      <w:r>
        <w:rPr>
          <w:color w:val="auto"/>
          <w:highlight w:val="none"/>
        </w:rPr>
        <w:t>（一）具有独立承担民事责任的能力；</w:t>
      </w:r>
    </w:p>
    <w:p>
      <w:pPr>
        <w:pStyle w:val="23"/>
        <w:keepNext w:val="0"/>
        <w:keepLines w:val="0"/>
        <w:widowControl/>
        <w:suppressLineNumbers w:val="0"/>
        <w:ind w:firstLine="480" w:firstLineChars="200"/>
        <w:jc w:val="both"/>
        <w:rPr>
          <w:color w:val="auto"/>
          <w:highlight w:val="none"/>
        </w:rPr>
      </w:pPr>
      <w:r>
        <w:rPr>
          <w:color w:val="auto"/>
          <w:highlight w:val="none"/>
        </w:rPr>
        <w:t>（二）具有良好的商业信誉和健全的财务会计制度；</w:t>
      </w:r>
    </w:p>
    <w:p>
      <w:pPr>
        <w:pStyle w:val="23"/>
        <w:keepNext w:val="0"/>
        <w:keepLines w:val="0"/>
        <w:widowControl/>
        <w:suppressLineNumbers w:val="0"/>
        <w:ind w:firstLine="480" w:firstLineChars="200"/>
        <w:jc w:val="both"/>
        <w:rPr>
          <w:color w:val="auto"/>
          <w:highlight w:val="none"/>
        </w:rPr>
      </w:pPr>
      <w:r>
        <w:rPr>
          <w:color w:val="auto"/>
          <w:highlight w:val="none"/>
        </w:rPr>
        <w:t>（三）具有履行合同所必需的设备和专业技术能力；</w:t>
      </w:r>
    </w:p>
    <w:p>
      <w:pPr>
        <w:pStyle w:val="23"/>
        <w:keepNext w:val="0"/>
        <w:keepLines w:val="0"/>
        <w:widowControl/>
        <w:suppressLineNumbers w:val="0"/>
        <w:ind w:firstLine="480" w:firstLineChars="200"/>
        <w:jc w:val="both"/>
        <w:rPr>
          <w:color w:val="auto"/>
          <w:highlight w:val="none"/>
        </w:rPr>
      </w:pPr>
      <w:r>
        <w:rPr>
          <w:color w:val="auto"/>
          <w:highlight w:val="none"/>
        </w:rPr>
        <w:t>（四）有依法缴纳税收和社会保障资金的良好记录；</w:t>
      </w:r>
    </w:p>
    <w:p>
      <w:pPr>
        <w:pStyle w:val="23"/>
        <w:keepNext w:val="0"/>
        <w:keepLines w:val="0"/>
        <w:widowControl/>
        <w:suppressLineNumbers w:val="0"/>
        <w:ind w:firstLine="480" w:firstLineChars="200"/>
        <w:jc w:val="both"/>
        <w:rPr>
          <w:color w:val="auto"/>
          <w:highlight w:val="none"/>
        </w:rPr>
      </w:pPr>
      <w:r>
        <w:rPr>
          <w:color w:val="auto"/>
          <w:highlight w:val="none"/>
        </w:rPr>
        <w:t>（五）参加政府采购活动前三年内，在经营活动中没有重大违法记录；</w:t>
      </w:r>
    </w:p>
    <w:p>
      <w:pPr>
        <w:pStyle w:val="23"/>
        <w:keepNext w:val="0"/>
        <w:keepLines w:val="0"/>
        <w:widowControl/>
        <w:suppressLineNumbers w:val="0"/>
        <w:ind w:firstLine="480" w:firstLineChars="200"/>
        <w:jc w:val="both"/>
        <w:rPr>
          <w:color w:val="auto"/>
          <w:highlight w:val="none"/>
        </w:rPr>
      </w:pPr>
      <w:r>
        <w:rPr>
          <w:color w:val="auto"/>
          <w:highlight w:val="none"/>
        </w:rPr>
        <w:t>（六）法律、行政法规规定的其他条件。</w:t>
      </w:r>
    </w:p>
    <w:p>
      <w:pPr>
        <w:pStyle w:val="4"/>
        <w:jc w:val="center"/>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5"/>
        <w:rPr>
          <w:rFonts w:hint="eastAsia" w:ascii="宋体" w:hAnsi="宋体" w:cs="宋体"/>
          <w:color w:val="000000" w:themeColor="text1"/>
          <w:kern w:val="0"/>
          <w:sz w:val="28"/>
          <w14:textFill>
            <w14:solidFill>
              <w14:schemeClr w14:val="tx1"/>
            </w14:solidFill>
          </w14:textFill>
        </w:rPr>
      </w:pPr>
    </w:p>
    <w:p>
      <w:pPr>
        <w:pStyle w:val="4"/>
        <w:jc w:val="center"/>
        <w:rPr>
          <w:rFonts w:hint="eastAsia" w:ascii="宋体" w:hAnsi="宋体" w:cs="宋体"/>
          <w:color w:val="000000" w:themeColor="text1"/>
          <w:kern w:val="0"/>
          <w:sz w:val="28"/>
          <w14:textFill>
            <w14:solidFill>
              <w14:schemeClr w14:val="tx1"/>
            </w14:solidFill>
          </w14:textFill>
        </w:rPr>
      </w:pPr>
    </w:p>
    <w:p>
      <w:pPr>
        <w:pStyle w:val="4"/>
        <w:jc w:val="center"/>
        <w:rPr>
          <w:rFonts w:hint="eastAsia" w:ascii="宋体" w:hAnsi="宋体" w:cs="宋体"/>
          <w:color w:val="000000" w:themeColor="text1"/>
          <w:kern w:val="0"/>
          <w:sz w:val="28"/>
          <w14:textFill>
            <w14:solidFill>
              <w14:schemeClr w14:val="tx1"/>
            </w14:solidFill>
          </w14:textFill>
        </w:rPr>
      </w:pPr>
    </w:p>
    <w:p>
      <w:pPr>
        <w:pStyle w:val="4"/>
        <w:jc w:val="both"/>
        <w:rPr>
          <w:rFonts w:hint="eastAsia" w:ascii="宋体" w:hAnsi="宋体" w:cs="宋体"/>
          <w:color w:val="000000" w:themeColor="text1"/>
          <w:kern w:val="0"/>
          <w:sz w:val="28"/>
          <w14:textFill>
            <w14:solidFill>
              <w14:schemeClr w14:val="tx1"/>
            </w14:solidFill>
          </w14:textFill>
        </w:rPr>
      </w:pPr>
    </w:p>
    <w:p>
      <w:pPr>
        <w:pStyle w:val="5"/>
        <w:rPr>
          <w:rFonts w:hint="eastAsia"/>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法人营业执照函</w:t>
      </w:r>
      <w:bookmarkEnd w:id="166"/>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现附上由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（签发机关名称）签发的我方法人营业执照复印件，该执照已经年检，真实有效。</w:t>
      </w:r>
    </w:p>
    <w:p>
      <w:pPr>
        <w:spacing w:line="360" w:lineRule="auto"/>
        <w:ind w:firstLine="48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注：在此页附上营业执照</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投标单位名称（单位公章）：                         </w:t>
      </w:r>
    </w:p>
    <w:p>
      <w:pPr>
        <w:spacing w:line="360" w:lineRule="auto"/>
        <w:ind w:firstLine="48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法定代表人或其授权委托人（签字或盖章）：</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法定代表人证明书</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法定代表人。</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7020928" behindDoc="0" locked="0" layoutInCell="1" allowOverlap="1">
                <wp:simplePos x="0" y="0"/>
                <wp:positionH relativeFrom="column">
                  <wp:posOffset>201930</wp:posOffset>
                </wp:positionH>
                <wp:positionV relativeFrom="paragraph">
                  <wp:posOffset>76200</wp:posOffset>
                </wp:positionV>
                <wp:extent cx="2619375" cy="1704975"/>
                <wp:effectExtent l="7620" t="7620" r="20955" b="20955"/>
                <wp:wrapNone/>
                <wp:docPr id="6"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1" o:spid="_x0000_s1026" o:spt="202" type="#_x0000_t202" style="position:absolute;left:0pt;margin-left:15.9pt;margin-top:6pt;height:134.25pt;width:206.25pt;z-index:257020928;mso-width-relative:page;mso-height-relative:page;" fillcolor="#FFFFFF" filled="t" stroked="t" coordsize="21600,21600" o:gfxdata="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X/5W1wAAAAkBAAAPAAAAAAAAAAEAIAAAACIAAABkcnMvZG93bnJldi54bWxQ&#10;SwECFAAUAAAACACHTuJAVeisuDECAAB/BAAADgAAAAAAAAABACAAAAAm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9666944" behindDoc="1" locked="0" layoutInCell="1" allowOverlap="1">
                <wp:simplePos x="0" y="0"/>
                <wp:positionH relativeFrom="column">
                  <wp:posOffset>3027680</wp:posOffset>
                </wp:positionH>
                <wp:positionV relativeFrom="paragraph">
                  <wp:posOffset>78740</wp:posOffset>
                </wp:positionV>
                <wp:extent cx="2619375" cy="1704975"/>
                <wp:effectExtent l="7620" t="7620" r="20955" b="20955"/>
                <wp:wrapTight wrapText="bothSides">
                  <wp:wrapPolygon>
                    <wp:start x="21592" y="-2"/>
                    <wp:lineTo x="0" y="0"/>
                    <wp:lineTo x="0" y="21600"/>
                    <wp:lineTo x="21592" y="21602"/>
                    <wp:lineTo x="8" y="21602"/>
                    <wp:lineTo x="21600" y="21600"/>
                    <wp:lineTo x="21600" y="0"/>
                    <wp:lineTo x="8" y="-2"/>
                    <wp:lineTo x="21592" y="-2"/>
                  </wp:wrapPolygon>
                </wp:wrapTight>
                <wp:docPr id="7"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right"/>
                            </w:pPr>
                          </w:p>
                        </w:txbxContent>
                      </wps:txbx>
                      <wps:bodyPr upright="1"/>
                    </wps:wsp>
                  </a:graphicData>
                </a:graphic>
              </wp:anchor>
            </w:drawing>
          </mc:Choice>
          <mc:Fallback>
            <w:pict>
              <v:shape id="文本框 2" o:spid="_x0000_s1026" o:spt="202" type="#_x0000_t202" style="position:absolute;left:0pt;margin-left:238.4pt;margin-top:6.2pt;height:134.25pt;width:206.25pt;mso-wrap-distance-left:9pt;mso-wrap-distance-right:9pt;z-index:-243649536;mso-width-relative:page;mso-height-relative:page;" fillcolor="#FFFFFF" filled="t" stroked="t" coordsize="21600,21600" wrapcoords="21592 -2 0 0 0 21600 21592 21602 8 21602 21600 21600 21600 0 8 -2 21592 -2" o:gfxdata="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fR5D2QAAAAoBAAAPAAAAAAAAAAEAIAAAACIAAABkcnMvZG93bnJldi54bWxQ&#10;SwECFAAUAAAACACHTuJAX4nBtS8CAAB/BAAADgAAAAAAAAABACAAAAAo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right"/>
                      </w:pPr>
                    </w:p>
                  </w:txbxContent>
                </v:textbox>
                <w10:wrap type="tight"/>
              </v:shape>
            </w:pict>
          </mc:Fallback>
        </mc:AlternateConten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pStyle w:val="4"/>
        <w:rPr>
          <w:rFonts w:ascii="宋体" w:hAnsi="宋体" w:cs="宋体"/>
          <w:color w:val="000000" w:themeColor="text1"/>
          <w:sz w:val="24"/>
          <w:szCs w:val="24"/>
          <w14:textFill>
            <w14:solidFill>
              <w14:schemeClr w14:val="tx1"/>
            </w14:solidFill>
          </w14:textFill>
        </w:rPr>
      </w:pPr>
      <w:bookmarkStart w:id="167" w:name="_Toc13439"/>
    </w:p>
    <w:p>
      <w:pPr>
        <w:rPr>
          <w:rFonts w:ascii="宋体" w:hAnsi="宋体" w:cs="宋体"/>
          <w:color w:val="000000" w:themeColor="text1"/>
          <w:sz w:val="24"/>
          <w14:textFill>
            <w14:solidFill>
              <w14:schemeClr w14:val="tx1"/>
            </w14:solidFill>
          </w14:textFill>
        </w:rPr>
      </w:pPr>
    </w:p>
    <w:p>
      <w:pPr>
        <w:pStyle w:val="4"/>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4"/>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法定代表人授权书格式</w:t>
      </w:r>
      <w:bookmarkEnd w:id="167"/>
    </w:p>
    <w:p>
      <w:pPr>
        <w:ind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法定代表人授权书</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(投标单位名称)法定代表人授权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为本公司的合法代理人，参加贵方组织的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项目招标文件采购招标活动，全权代表我方处理招标活动中的一切事宜和签署一切文件，被授权人无转委托权，特此委托。</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法定代表人签字：</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日</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被授权人姓名：</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详细通讯地址：</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184785</wp:posOffset>
                </wp:positionH>
                <wp:positionV relativeFrom="paragraph">
                  <wp:posOffset>105410</wp:posOffset>
                </wp:positionV>
                <wp:extent cx="2619375" cy="1704975"/>
                <wp:effectExtent l="7620" t="7620" r="20955" b="20955"/>
                <wp:wrapNone/>
                <wp:docPr id="1"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14.55pt;margin-top:8.3pt;height:134.25pt;width:206.25pt;z-index:251669504;mso-width-relative:page;mso-height-relative:page;" fillcolor="#FFFFFF" filled="t" stroked="t" coordsize="21600,21600" o:gfxdata="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MEcLW1gAAAAkBAAAPAAAAAAAAAAEAIAAAACIAAABkcnMvZG93bnJldi54bWxQSwEC&#10;FAAUAAAACACHTuJA/JbUUS8CAAB/BAAADgAAAAAAAAABACAAAAAlAQAAZHJzL2Uyb0RvYy54bWxQ&#10;SwUGAAAAAAYABgBZAQAAxg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3035300</wp:posOffset>
                </wp:positionH>
                <wp:positionV relativeFrom="paragraph">
                  <wp:posOffset>106680</wp:posOffset>
                </wp:positionV>
                <wp:extent cx="2619375" cy="1704975"/>
                <wp:effectExtent l="7620" t="7620" r="20955" b="20955"/>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39pt;margin-top:8.4pt;height:134.25pt;width:206.25pt;z-index:251670528;mso-width-relative:page;mso-height-relative:page;" fillcolor="#FFFFFF" filled="t" stroked="t" coordsize="21600,21600" o:gfxdata="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n0+H2AAAAAoBAAAPAAAAAAAAAAEAIAAAACIAAABkcnMvZG93bnJldi54bWxQ&#10;SwECFAAUAAAACACHTuJA27KlbD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186055</wp:posOffset>
                </wp:positionH>
                <wp:positionV relativeFrom="paragraph">
                  <wp:posOffset>219710</wp:posOffset>
                </wp:positionV>
                <wp:extent cx="2619375" cy="1704975"/>
                <wp:effectExtent l="7620" t="7620" r="20955" b="20955"/>
                <wp:wrapTopAndBottom/>
                <wp:docPr id="2"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upright="1"/>
                    </wps:wsp>
                  </a:graphicData>
                </a:graphic>
              </wp:anchor>
            </w:drawing>
          </mc:Choice>
          <mc:Fallback>
            <w:pict>
              <v:shape id="文本框 5" o:spid="_x0000_s1026" o:spt="202" type="#_x0000_t202" style="position:absolute;left:0pt;margin-left:14.65pt;margin-top:17.3pt;height:134.25pt;width:206.25pt;mso-wrap-distance-bottom:0pt;mso-wrap-distance-top:0pt;z-index:251698176;mso-width-relative:page;mso-height-relative:page;" fillcolor="#FFFFFF" filled="t" stroked="t" coordsize="21600,21600" o:gfxdata="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7B6nXAAAACQEAAA8AAAAAAAAAAQAgAAAAIgAAAGRycy9kb3ducmV2LnhtbFBL&#10;AQIUABQAAAAIAIdO4kCXArUAMAIAAH8EAAAOAAAAAAAAAAEAIAAAACYBAABkcnMvZTJvRG9jLnht&#10;bFBLBQYAAAAABgAGAFkBAADI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3044190</wp:posOffset>
                </wp:positionH>
                <wp:positionV relativeFrom="paragraph">
                  <wp:posOffset>220345</wp:posOffset>
                </wp:positionV>
                <wp:extent cx="2619375" cy="1704975"/>
                <wp:effectExtent l="7620" t="7620" r="20955" b="20955"/>
                <wp:wrapNone/>
                <wp:docPr id="3"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upright="1"/>
                    </wps:wsp>
                  </a:graphicData>
                </a:graphic>
              </wp:anchor>
            </w:drawing>
          </mc:Choice>
          <mc:Fallback>
            <w:pict>
              <v:shape id="文本框 5" o:spid="_x0000_s1026" o:spt="202" type="#_x0000_t202" style="position:absolute;left:0pt;margin-left:239.7pt;margin-top:17.35pt;height:134.25pt;width:206.25pt;z-index:251700224;mso-width-relative:page;mso-height-relative:page;" fillcolor="#FFFFFF" filled="t" stroked="t" coordsize="21600,21600" o:gfxdata="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jTPp9kAAAAKAQAADwAAAAAAAAABACAAAAAiAAAAZHJzL2Rvd25yZXYueG1s&#10;UEsBAhQAFAAAAAgAh07iQEo3YqQwAgAAfwQAAA4AAAAAAAAAAQAgAAAAKAEAAGRycy9lMm9Eb2Mu&#10;eG1sUEsFBgAAAAAGAAYAWQEAAMo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   投标企业（盖章）：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bookmarkStart w:id="168" w:name="_Toc13337"/>
    </w:p>
    <w:p>
      <w:pPr>
        <w:spacing w:line="360" w:lineRule="auto"/>
        <w:rPr>
          <w:rFonts w:hint="default" w:ascii="宋体" w:hAnsi="宋体" w:eastAsia="宋体" w:cs="宋体"/>
          <w:b/>
          <w:color w:val="000000" w:themeColor="text1"/>
          <w:sz w:val="22"/>
          <w:szCs w:val="28"/>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b/>
          <w:color w:val="000000" w:themeColor="text1"/>
          <w:sz w:val="22"/>
          <w:szCs w:val="28"/>
          <w:highlight w:val="none"/>
          <w14:textFill>
            <w14:solidFill>
              <w14:schemeClr w14:val="tx1"/>
            </w14:solidFill>
          </w14:textFill>
        </w:rPr>
        <w:t>被委托人必须是投标单位正式员工，需提供社保部门出具最少提供近一个月的缴纳社保证明（社保缴费凭证及个人明细表）</w:t>
      </w:r>
      <w:r>
        <w:rPr>
          <w:rFonts w:hint="eastAsia" w:ascii="宋体" w:hAnsi="宋体" w:cs="宋体"/>
          <w:b/>
          <w:color w:val="000000" w:themeColor="text1"/>
          <w:sz w:val="22"/>
          <w:szCs w:val="28"/>
          <w:highlight w:val="none"/>
          <w:lang w:eastAsia="zh-CN"/>
          <w14:textFill>
            <w14:solidFill>
              <w14:schemeClr w14:val="tx1"/>
            </w14:solidFill>
          </w14:textFill>
        </w:rPr>
        <w:t>；</w:t>
      </w:r>
    </w:p>
    <w:p>
      <w:pPr>
        <w:pStyle w:val="4"/>
        <w:jc w:val="center"/>
        <w:rPr>
          <w:rFonts w:ascii="宋体" w:hAnsi="宋体" w:cs="宋体"/>
          <w:color w:val="000000" w:themeColor="text1"/>
          <w:sz w:val="28"/>
          <w14:textFill>
            <w14:solidFill>
              <w14:schemeClr w14:val="tx1"/>
            </w14:solidFill>
          </w14:textFill>
        </w:rPr>
      </w:pPr>
    </w:p>
    <w:bookmarkEnd w:id="168"/>
    <w:p>
      <w:pPr>
        <w:pStyle w:val="4"/>
        <w:jc w:val="center"/>
        <w:rPr>
          <w:rFonts w:ascii="宋体" w:hAnsi="宋体" w:cs="宋体"/>
          <w:kern w:val="0"/>
          <w:sz w:val="28"/>
        </w:rPr>
      </w:pPr>
      <w:r>
        <w:rPr>
          <w:rFonts w:hint="eastAsia" w:ascii="宋体" w:hAnsi="宋体" w:cs="宋体"/>
          <w:sz w:val="28"/>
        </w:rPr>
        <w:t>质量保证书</w:t>
      </w:r>
    </w:p>
    <w:p>
      <w:pPr>
        <w:spacing w:line="360" w:lineRule="auto"/>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投标单位：（盖章）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法定代表人或被授权代理人签字：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日期：</w:t>
      </w:r>
    </w:p>
    <w:p>
      <w:pPr>
        <w:pStyle w:val="4"/>
        <w:rPr>
          <w:rStyle w:val="81"/>
          <w:rFonts w:ascii="宋体" w:hAnsi="宋体" w:cs="宋体"/>
          <w:b/>
          <w:bCs w:val="0"/>
          <w:kern w:val="0"/>
          <w:sz w:val="28"/>
          <w:szCs w:val="28"/>
        </w:rPr>
      </w:pPr>
    </w:p>
    <w:p>
      <w:pPr>
        <w:pStyle w:val="4"/>
        <w:rPr>
          <w:rStyle w:val="81"/>
          <w:rFonts w:ascii="宋体" w:hAnsi="宋体" w:cs="宋体"/>
          <w:b/>
          <w:bCs w:val="0"/>
          <w:kern w:val="0"/>
          <w:sz w:val="28"/>
          <w:szCs w:val="28"/>
        </w:rPr>
      </w:pPr>
    </w:p>
    <w:p>
      <w:pPr>
        <w:widowControl/>
        <w:jc w:val="left"/>
        <w:rPr>
          <w:rStyle w:val="81"/>
          <w:rFonts w:ascii="宋体" w:hAnsi="宋体" w:cs="宋体"/>
          <w:bCs w:val="0"/>
          <w:kern w:val="0"/>
          <w:sz w:val="28"/>
          <w:szCs w:val="28"/>
        </w:rPr>
      </w:pPr>
      <w:r>
        <w:rPr>
          <w:rStyle w:val="81"/>
          <w:rFonts w:ascii="宋体" w:hAnsi="宋体" w:cs="宋体"/>
          <w:b w:val="0"/>
          <w:kern w:val="0"/>
          <w:sz w:val="28"/>
          <w:szCs w:val="28"/>
        </w:rPr>
        <w:br w:type="page"/>
      </w:r>
    </w:p>
    <w:p>
      <w:pPr>
        <w:pStyle w:val="4"/>
        <w:jc w:val="center"/>
        <w:rPr>
          <w:rFonts w:ascii="宋体" w:hAnsi="宋体" w:cs="宋体"/>
        </w:rPr>
      </w:pPr>
      <w:r>
        <w:rPr>
          <w:rStyle w:val="81"/>
          <w:rFonts w:hint="eastAsia" w:ascii="宋体" w:hAnsi="宋体" w:cs="宋体"/>
          <w:b/>
          <w:bCs w:val="0"/>
          <w:kern w:val="0"/>
          <w:sz w:val="28"/>
          <w:szCs w:val="28"/>
        </w:rPr>
        <w:t>售后服务承诺书</w:t>
      </w:r>
    </w:p>
    <w:p>
      <w:pPr>
        <w:pStyle w:val="5"/>
        <w:spacing w:line="360" w:lineRule="auto"/>
        <w:ind w:firstLine="480"/>
        <w:rPr>
          <w:rFonts w:ascii="宋体" w:hAnsi="宋体" w:cs="宋体"/>
          <w:sz w:val="24"/>
          <w:u w:val="single"/>
        </w:rPr>
      </w:pPr>
      <w:r>
        <w:rPr>
          <w:rFonts w:hint="eastAsia" w:ascii="宋体" w:hAnsi="宋体" w:cs="宋体"/>
          <w:sz w:val="24"/>
        </w:rPr>
        <w:t>投标方：</w:t>
      </w:r>
      <w:r>
        <w:rPr>
          <w:rFonts w:hint="eastAsia" w:ascii="宋体" w:hAnsi="宋体" w:cs="宋体"/>
          <w:sz w:val="24"/>
          <w:u w:val="single"/>
        </w:rPr>
        <w:t xml:space="preserve">                       </w:t>
      </w:r>
    </w:p>
    <w:p>
      <w:pPr>
        <w:pStyle w:val="5"/>
        <w:spacing w:line="360" w:lineRule="auto"/>
        <w:ind w:firstLine="480"/>
        <w:rPr>
          <w:rFonts w:ascii="宋体" w:hAnsi="宋体" w:cs="宋体"/>
          <w:sz w:val="24"/>
          <w:u w:val="single"/>
        </w:rPr>
      </w:pPr>
      <w:r>
        <w:rPr>
          <w:rFonts w:hint="eastAsia" w:ascii="宋体" w:hAnsi="宋体" w:cs="宋体"/>
          <w:sz w:val="24"/>
        </w:rPr>
        <w:t>投标产品：</w:t>
      </w:r>
      <w:r>
        <w:rPr>
          <w:rFonts w:hint="eastAsia" w:ascii="宋体" w:hAnsi="宋体" w:cs="宋体"/>
          <w:sz w:val="24"/>
          <w:u w:val="single"/>
        </w:rPr>
        <w:t xml:space="preserve">                       </w:t>
      </w:r>
    </w:p>
    <w:p>
      <w:pPr>
        <w:pStyle w:val="5"/>
        <w:spacing w:line="360" w:lineRule="auto"/>
        <w:ind w:firstLine="480"/>
        <w:rPr>
          <w:rFonts w:ascii="宋体" w:hAnsi="宋体" w:cs="宋体"/>
          <w:sz w:val="24"/>
        </w:rPr>
      </w:pPr>
      <w:r>
        <w:rPr>
          <w:rFonts w:hint="eastAsia" w:ascii="宋体" w:hAnsi="宋体" w:cs="宋体"/>
          <w:sz w:val="24"/>
        </w:rPr>
        <w:t>本公司如有幸中标，愿郑重承诺如下：</w:t>
      </w:r>
    </w:p>
    <w:p>
      <w:pPr>
        <w:pStyle w:val="5"/>
        <w:tabs>
          <w:tab w:val="center" w:pos="4358"/>
        </w:tabs>
        <w:spacing w:line="360" w:lineRule="auto"/>
        <w:ind w:firstLine="405" w:firstLineChars="0"/>
        <w:rPr>
          <w:rFonts w:ascii="宋体" w:hAnsi="宋体" w:cs="宋体"/>
          <w:sz w:val="24"/>
        </w:rPr>
      </w:pPr>
    </w:p>
    <w:p>
      <w:pPr>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2"/>
        <w:widowControl w:val="0"/>
        <w:numPr>
          <w:ilvl w:val="1"/>
          <w:numId w:val="0"/>
        </w:numPr>
        <w:adjustRightInd w:val="0"/>
        <w:snapToGrid w:val="0"/>
        <w:jc w:val="both"/>
        <w:rPr>
          <w:rFonts w:ascii="宋体" w:hAnsi="宋体" w:cs="宋体"/>
          <w:sz w:val="24"/>
        </w:rPr>
      </w:pPr>
    </w:p>
    <w:p>
      <w:pPr>
        <w:pStyle w:val="5"/>
        <w:tabs>
          <w:tab w:val="center" w:pos="4358"/>
        </w:tabs>
        <w:spacing w:line="360" w:lineRule="auto"/>
        <w:ind w:firstLine="405" w:firstLineChars="0"/>
        <w:rPr>
          <w:rFonts w:ascii="宋体" w:hAnsi="宋体" w:cs="宋体"/>
          <w:sz w:val="24"/>
        </w:rPr>
      </w:pPr>
      <w:r>
        <w:rPr>
          <w:rFonts w:hint="eastAsia" w:ascii="宋体" w:hAnsi="宋体" w:cs="宋体"/>
          <w:sz w:val="24"/>
        </w:rPr>
        <w:t>投标单位：（盖章）</w:t>
      </w:r>
    </w:p>
    <w:p>
      <w:pPr>
        <w:pStyle w:val="5"/>
        <w:tabs>
          <w:tab w:val="center" w:pos="4358"/>
        </w:tabs>
        <w:spacing w:line="360" w:lineRule="auto"/>
        <w:ind w:firstLine="405" w:firstLineChars="0"/>
        <w:rPr>
          <w:rFonts w:ascii="宋体" w:hAnsi="宋体" w:cs="宋体"/>
          <w:sz w:val="24"/>
        </w:rPr>
      </w:pPr>
    </w:p>
    <w:p>
      <w:pPr>
        <w:pStyle w:val="5"/>
        <w:tabs>
          <w:tab w:val="center" w:pos="4358"/>
        </w:tabs>
        <w:spacing w:line="360" w:lineRule="auto"/>
        <w:ind w:firstLine="405" w:firstLineChars="0"/>
        <w:rPr>
          <w:rFonts w:ascii="宋体" w:hAnsi="宋体" w:cs="宋体"/>
          <w:sz w:val="24"/>
        </w:rPr>
      </w:pPr>
    </w:p>
    <w:p>
      <w:pPr>
        <w:pStyle w:val="5"/>
        <w:tabs>
          <w:tab w:val="center" w:pos="4358"/>
        </w:tabs>
        <w:spacing w:line="360" w:lineRule="auto"/>
        <w:ind w:firstLine="405" w:firstLineChars="0"/>
        <w:rPr>
          <w:rFonts w:ascii="宋体" w:hAnsi="宋体" w:cs="宋体"/>
          <w:sz w:val="24"/>
        </w:rPr>
      </w:pPr>
      <w:r>
        <w:rPr>
          <w:rFonts w:hint="eastAsia" w:ascii="宋体" w:hAnsi="宋体" w:cs="宋体"/>
          <w:sz w:val="24"/>
        </w:rPr>
        <w:t>法定代表人或授权代理人签字：</w:t>
      </w:r>
    </w:p>
    <w:p>
      <w:pPr>
        <w:pStyle w:val="5"/>
        <w:tabs>
          <w:tab w:val="center" w:pos="4358"/>
        </w:tabs>
        <w:spacing w:line="360" w:lineRule="auto"/>
        <w:ind w:left="0" w:leftChars="0" w:firstLine="0" w:firstLineChars="0"/>
        <w:rPr>
          <w:rFonts w:ascii="宋体" w:hAnsi="宋体" w:cs="宋体"/>
          <w:sz w:val="24"/>
        </w:rPr>
      </w:pPr>
    </w:p>
    <w:p>
      <w:pPr>
        <w:spacing w:line="360" w:lineRule="auto"/>
        <w:ind w:firstLine="360" w:firstLineChars="150"/>
        <w:rPr>
          <w:rFonts w:ascii="宋体" w:hAnsi="宋体" w:cs="宋体"/>
          <w:sz w:val="24"/>
        </w:rPr>
      </w:pPr>
      <w:r>
        <w:rPr>
          <w:rFonts w:hint="eastAsia" w:ascii="宋体" w:hAnsi="宋体" w:cs="宋体"/>
          <w:sz w:val="24"/>
        </w:rPr>
        <w:t xml:space="preserve">日  期：  </w:t>
      </w: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投标人证明投标资格合格的相关证件证明的复印件</w:t>
      </w: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spacing w:line="360" w:lineRule="auto"/>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投标人证明货物合格的相关证件证明复印件</w:t>
      </w: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69" w:name="_Toc6627"/>
      <w:r>
        <w:rPr>
          <w:rStyle w:val="81"/>
          <w:rFonts w:hint="eastAsia" w:ascii="宋体" w:hAnsi="宋体" w:cs="宋体"/>
          <w:bCs w:val="0"/>
          <w:color w:val="000000" w:themeColor="text1"/>
          <w:sz w:val="28"/>
          <w:szCs w:val="28"/>
          <w14:textFill>
            <w14:solidFill>
              <w14:schemeClr w14:val="tx1"/>
            </w14:solidFill>
          </w14:textFill>
        </w:rPr>
        <w:t>投标单位（供应商）反商业贿赂承诺书</w:t>
      </w:r>
      <w:bookmarkEnd w:id="169"/>
    </w:p>
    <w:p>
      <w:pPr>
        <w:pStyle w:val="21"/>
        <w:spacing w:before="1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rPr>
          <w:rFonts w:ascii="宋体" w:hAnsi="宋体" w:cs="宋体"/>
          <w:color w:val="000000" w:themeColor="text1"/>
          <w:sz w:val="24"/>
          <w:szCs w:val="24"/>
          <w14:textFill>
            <w14:solidFill>
              <w14:schemeClr w14:val="tx1"/>
            </w14:solidFill>
          </w14:textFill>
        </w:rPr>
      </w:pPr>
    </w:p>
    <w:p>
      <w:pPr>
        <w:pStyle w:val="21"/>
        <w:spacing w:before="120" w:line="360" w:lineRule="auto"/>
        <w:ind w:left="120" w:leftChars="57" w:firstLine="520" w:firstLineChars="21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我单位承诺在</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szCs w:val="24"/>
          <w14:textFill>
            <w14:solidFill>
              <w14:schemeClr w14:val="tx1"/>
            </w14:solidFill>
          </w14:textFill>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项目经办人：</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  期：   年   月   日</w:t>
      </w:r>
    </w:p>
    <w:p>
      <w:pPr>
        <w:pStyle w:val="21"/>
        <w:spacing w:before="120" w:line="360" w:lineRule="auto"/>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jc w:val="center"/>
        <w:rPr>
          <w:rFonts w:hint="default" w:ascii="宋体" w:hAnsi="宋体" w:cs="宋体"/>
          <w:b/>
          <w:bCs/>
          <w:color w:val="000000" w:themeColor="text1"/>
          <w:sz w:val="48"/>
          <w:szCs w:val="48"/>
          <w:lang w:val="en-US"/>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r>
        <w:rPr>
          <w:rFonts w:hint="eastAsia"/>
          <w:b/>
          <w:bCs/>
          <w:sz w:val="32"/>
          <w:szCs w:val="36"/>
          <w:lang w:val="en-US" w:eastAsia="zh-CN"/>
        </w:rPr>
        <w:t>项目实施计划、运输方案（自拟）</w:t>
      </w:r>
    </w:p>
    <w:p>
      <w:pPr>
        <w:pStyle w:val="21"/>
        <w:spacing w:before="120" w:line="360" w:lineRule="auto"/>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11"/>
        <w:kinsoku w:val="0"/>
        <w:overflowPunct w:val="0"/>
        <w:spacing w:before="34" w:line="357" w:lineRule="auto"/>
        <w:ind w:left="0" w:leftChars="0" w:right="126" w:firstLine="0" w:firstLineChars="0"/>
        <w:jc w:val="both"/>
        <w:outlineLvl w:val="0"/>
        <w:rPr>
          <w:rFonts w:hint="eastAsia"/>
          <w:b/>
          <w:bCs/>
          <w:sz w:val="36"/>
          <w:szCs w:val="36"/>
        </w:rPr>
      </w:pPr>
      <w:bookmarkStart w:id="170" w:name="_Toc26203"/>
      <w:bookmarkStart w:id="171" w:name="_Toc13017"/>
      <w:bookmarkStart w:id="172" w:name="_Toc19298"/>
      <w:bookmarkStart w:id="173" w:name="_Toc5425"/>
    </w:p>
    <w:p>
      <w:pPr>
        <w:rPr>
          <w:rFonts w:hint="eastAsia"/>
          <w:b/>
          <w:bCs/>
          <w:sz w:val="36"/>
          <w:szCs w:val="36"/>
        </w:rPr>
      </w:pPr>
    </w:p>
    <w:p>
      <w:pPr>
        <w:pStyle w:val="2"/>
        <w:widowControl w:val="0"/>
        <w:numPr>
          <w:ilvl w:val="1"/>
          <w:numId w:val="0"/>
        </w:numPr>
        <w:adjustRightInd w:val="0"/>
        <w:snapToGrid w:val="0"/>
        <w:jc w:val="both"/>
        <w:rPr>
          <w:rFonts w:hint="eastAsia"/>
          <w:b/>
          <w:bCs/>
          <w:sz w:val="36"/>
          <w:szCs w:val="36"/>
        </w:rPr>
      </w:pPr>
    </w:p>
    <w:p>
      <w:pPr>
        <w:pStyle w:val="2"/>
        <w:widowControl w:val="0"/>
        <w:numPr>
          <w:ilvl w:val="1"/>
          <w:numId w:val="0"/>
        </w:numPr>
        <w:adjustRightInd w:val="0"/>
        <w:snapToGrid w:val="0"/>
        <w:jc w:val="both"/>
        <w:rPr>
          <w:rFonts w:hint="eastAsia"/>
          <w:b/>
          <w:bCs/>
          <w:sz w:val="36"/>
          <w:szCs w:val="36"/>
        </w:rPr>
      </w:pPr>
    </w:p>
    <w:p>
      <w:pPr>
        <w:pStyle w:val="11"/>
        <w:kinsoku w:val="0"/>
        <w:overflowPunct w:val="0"/>
        <w:spacing w:before="34" w:line="357" w:lineRule="auto"/>
        <w:ind w:right="126" w:firstLine="480"/>
        <w:jc w:val="center"/>
        <w:outlineLvl w:val="0"/>
        <w:rPr>
          <w:rFonts w:hint="eastAsia"/>
          <w:b/>
          <w:bCs/>
          <w:sz w:val="36"/>
          <w:szCs w:val="36"/>
        </w:rPr>
      </w:pPr>
    </w:p>
    <w:p>
      <w:pPr>
        <w:pStyle w:val="11"/>
        <w:kinsoku w:val="0"/>
        <w:overflowPunct w:val="0"/>
        <w:spacing w:before="34" w:line="357" w:lineRule="auto"/>
        <w:ind w:right="126" w:firstLine="1185" w:firstLineChars="328"/>
        <w:jc w:val="both"/>
        <w:outlineLvl w:val="0"/>
        <w:rPr>
          <w:b/>
          <w:bCs/>
          <w:sz w:val="32"/>
          <w:szCs w:val="32"/>
        </w:rPr>
      </w:pPr>
      <w:r>
        <w:rPr>
          <w:rFonts w:hint="eastAsia"/>
          <w:b/>
          <w:bCs/>
          <w:sz w:val="36"/>
          <w:szCs w:val="36"/>
        </w:rPr>
        <w:t>中小企业声明函（符合本声明函填写）</w:t>
      </w:r>
      <w:bookmarkEnd w:id="170"/>
      <w:bookmarkEnd w:id="171"/>
      <w:bookmarkEnd w:id="172"/>
      <w:bookmarkEnd w:id="173"/>
    </w:p>
    <w:p>
      <w:pPr>
        <w:pStyle w:val="11"/>
        <w:keepNext w:val="0"/>
        <w:keepLines w:val="0"/>
        <w:pageBreakBefore w:val="0"/>
        <w:widowControl w:val="0"/>
        <w:tabs>
          <w:tab w:val="left" w:pos="3943"/>
          <w:tab w:val="clear" w:pos="9214"/>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11"/>
        <w:keepNext w:val="0"/>
        <w:keepLines w:val="0"/>
        <w:pageBreakBefore w:val="0"/>
        <w:widowControl w:val="0"/>
        <w:tabs>
          <w:tab w:val="left" w:pos="1558"/>
          <w:tab w:val="clear" w:pos="9214"/>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11"/>
        <w:keepNext w:val="0"/>
        <w:keepLines w:val="0"/>
        <w:pageBreakBefore w:val="0"/>
        <w:widowControl w:val="0"/>
        <w:tabs>
          <w:tab w:val="left" w:pos="3919"/>
          <w:tab w:val="left" w:pos="6264"/>
          <w:tab w:val="left" w:pos="7399"/>
          <w:tab w:val="clear" w:pos="9214"/>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11"/>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11"/>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11"/>
        <w:keepNext w:val="0"/>
        <w:keepLines w:val="0"/>
        <w:pageBreakBefore w:val="0"/>
        <w:widowControl w:val="0"/>
        <w:tabs>
          <w:tab w:val="left" w:pos="8107"/>
          <w:tab w:val="left" w:pos="8227"/>
          <w:tab w:val="clear" w:pos="9214"/>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11"/>
        <w:keepNext w:val="0"/>
        <w:keepLines w:val="0"/>
        <w:pageBreakBefore w:val="0"/>
        <w:widowControl w:val="0"/>
        <w:tabs>
          <w:tab w:val="left" w:pos="8107"/>
          <w:tab w:val="left" w:pos="8227"/>
          <w:tab w:val="clear" w:pos="9214"/>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11"/>
        <w:keepNext w:val="0"/>
        <w:keepLines w:val="0"/>
        <w:pageBreakBefore w:val="0"/>
        <w:widowControl w:val="0"/>
        <w:tabs>
          <w:tab w:val="left" w:pos="6187"/>
          <w:tab w:val="left" w:pos="7147"/>
          <w:tab w:val="left" w:pos="7747"/>
          <w:tab w:val="left" w:pos="8347"/>
          <w:tab w:val="clear" w:pos="9214"/>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11"/>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11"/>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11"/>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rPr>
          <w:rFonts w:ascii="宋体" w:hAnsi="宋体" w:cs="宋体"/>
          <w:color w:val="000000" w:themeColor="text1"/>
          <w:sz w:val="24"/>
          <w:szCs w:val="24"/>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eastAsia="宋体"/>
          <w:b/>
          <w:bCs/>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经年审计的上年度会计报表</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新成立公司可不提供</w:t>
      </w:r>
      <w:r>
        <w:rPr>
          <w:rFonts w:hint="eastAsia" w:ascii="宋体" w:hAnsi="宋体"/>
          <w:b/>
          <w:bCs/>
          <w:color w:val="000000" w:themeColor="text1"/>
          <w:sz w:val="28"/>
          <w:szCs w:val="28"/>
          <w:lang w:eastAsia="zh-CN"/>
          <w14:textFill>
            <w14:solidFill>
              <w14:schemeClr w14:val="tx1"/>
            </w14:solidFill>
          </w14:textFill>
        </w:rPr>
        <w:t>）</w:t>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其它必须的资料及有利于投标的资料</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pStyle w:val="21"/>
        <w:spacing w:before="12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jc w:val="center"/>
        <w:rPr>
          <w:rFonts w:hint="default" w:ascii="宋体" w:hAnsi="宋体"/>
          <w:color w:val="auto"/>
          <w:sz w:val="24"/>
          <w:highlight w:val="none"/>
          <w:lang w:val="en-US"/>
        </w:rPr>
      </w:pP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t>健全的</w:t>
      </w: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fldChar w:fldCharType="begin"/>
      </w: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instrText xml:space="preserve"> HYPERLINK "https://www.baidu.com/s?wd=财务会计制度&amp;tn=SE_PcZhidaonwhc_ngpagmjz&amp;rsv_dl=gh_pc_zhidao" </w:instrText>
      </w: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fldChar w:fldCharType="separate"/>
      </w: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t>财务会计制度</w:t>
      </w:r>
      <w:r>
        <w:rPr>
          <w:rFonts w:hint="default" w:ascii="宋体" w:hAnsi="宋体" w:eastAsia="宋体" w:cs="Times New Roman"/>
          <w:b/>
          <w:bCs/>
          <w:color w:val="000000" w:themeColor="text1"/>
          <w:kern w:val="2"/>
          <w:sz w:val="28"/>
          <w:szCs w:val="28"/>
          <w:lang w:val="en-US" w:eastAsia="zh-CN" w:bidi="ar-SA"/>
          <w14:textFill>
            <w14:solidFill>
              <w14:schemeClr w14:val="tx1"/>
            </w14:solidFill>
          </w14:textFill>
        </w:rPr>
        <w:fldChar w:fldCharType="end"/>
      </w: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pPr>
    </w:p>
    <w:p>
      <w:pPr>
        <w:pStyle w:val="21"/>
        <w:spacing w:before="120" w:line="360" w:lineRule="auto"/>
        <w:rPr>
          <w:rFonts w:hint="default" w:ascii="宋体" w:hAnsi="宋体"/>
          <w:color w:val="auto"/>
          <w:sz w:val="24"/>
          <w:highlight w:val="none"/>
          <w:lang w:val="en-US"/>
        </w:rPr>
        <w:sectPr>
          <w:headerReference r:id="rId13" w:type="default"/>
          <w:footerReference r:id="rId14" w:type="default"/>
          <w:pgSz w:w="11907" w:h="16840"/>
          <w:pgMar w:top="1020" w:right="1287" w:bottom="566"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14"/>
        <w:jc w:val="center"/>
        <w:rPr>
          <w:rFonts w:ascii="宋体"/>
          <w:color w:val="auto"/>
          <w:sz w:val="32"/>
          <w:szCs w:val="32"/>
          <w:highlight w:val="none"/>
        </w:rPr>
      </w:pPr>
      <w:r>
        <w:rPr>
          <w:rFonts w:hint="eastAsia" w:ascii="宋体" w:hAnsi="宋体" w:eastAsia="宋体"/>
          <w:b/>
          <w:bCs/>
          <w:color w:val="auto"/>
          <w:spacing w:val="60"/>
          <w:sz w:val="32"/>
          <w:szCs w:val="32"/>
          <w:highlight w:val="none"/>
        </w:rPr>
        <w:t>注意事项</w:t>
      </w:r>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hint="eastAsia" w:ascii="宋体" w:eastAsia="宋体"/>
          <w:color w:val="auto"/>
          <w:highlight w:val="none"/>
          <w:lang w:eastAsia="zh-CN"/>
        </w:rPr>
      </w:pPr>
      <w:r>
        <w:rPr>
          <w:rFonts w:ascii="宋体" w:hAnsi="宋体"/>
          <w:color w:val="auto"/>
          <w:sz w:val="24"/>
          <w:highlight w:val="none"/>
        </w:rPr>
        <w:t>4</w:t>
      </w:r>
      <w:r>
        <w:rPr>
          <w:rFonts w:hint="eastAsia" w:ascii="宋体" w:hAnsi="宋体"/>
          <w:color w:val="auto"/>
          <w:sz w:val="24"/>
          <w:highlight w:val="none"/>
        </w:rPr>
        <w:t>、投标人提交的文件将给予保密，但不退</w:t>
      </w:r>
      <w:r>
        <w:rPr>
          <w:rFonts w:hint="eastAsia" w:ascii="宋体" w:hAnsi="宋体"/>
          <w:color w:val="auto"/>
          <w:sz w:val="24"/>
          <w:highlight w:val="none"/>
          <w:lang w:val="en-US" w:eastAsia="zh-CN"/>
        </w:rPr>
        <w:t>还</w:t>
      </w:r>
      <w:r>
        <w:rPr>
          <w:rFonts w:hint="eastAsia" w:ascii="宋体" w:hAnsi="宋体"/>
          <w:color w:val="auto"/>
          <w:sz w:val="24"/>
          <w:highlight w:val="none"/>
          <w:lang w:eastAsia="zh-CN"/>
        </w:rPr>
        <w:t>。</w:t>
      </w:r>
    </w:p>
    <w:sectPr>
      <w:footerReference r:id="rId16" w:type="first"/>
      <w:footerReference r:id="rId15" w:type="default"/>
      <w:pgSz w:w="11906" w:h="16838"/>
      <w:pgMar w:top="1361" w:right="1489" w:bottom="1361" w:left="1797" w:header="851" w:footer="992" w:gutter="0"/>
      <w:pgNumType w:fmt="decimal" w:start="47"/>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1hQDa8BAABM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DPlDhucUT7n8/7X3/2v5/I9CL3pw+xxrT7gIlpuPYDznn0R3Rm2YMCm78o&#10;iGAcO707dVcOiYj8aD6bzysMCYyNF8Rnr88DxPRFekuy0VDA8ZWu8u3XmA6pY0qu5vytNqaM0Lh3&#10;DsTMHpa5HzhmKw2r4Sho5dsd6ulx8g11uJqUmDuHjc1LMhowGqvR2ATQ665sUa4Xw9UmIYnCLVc4&#10;wB4L48iKuuN65Z14ey9Zrz/B8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1hQDa8BAABM&#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qXq4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u7JGuR6Eq01CEoVbrnCA&#10;PRbGmRV1x/3KS/H3vWS9/gX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H7GpergEAAE0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firstLine="360" w:firstLineChars="20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SAxHMrgEAAE0D&#10;AAAOAAAAAAAAAAEAIAAAAB4BAABkcnMvZTJvRG9jLnhtbFBLBQYAAAAABgAGAFkBAAA+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SuJU68BAABN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w9nVlDhucUaH7y+HH78OP7+Rep4bNITYYN5jwMw03vgRkyd/RGfWPSqw+YuK&#10;CMax1ftze+WYiMiPFvViUWFIYGy6ID57ex4gpk/SW5KNlgLOr7SV7+5jOqZOKbma83famDJD435z&#10;IGb2sMz9yDFbaVyPJ0Fr3+1Rz4Cjb6nD3aTEfHbY2bwlkwGTsZ6MbQC96csa5XoxXG8TkijccoUj&#10;7KkwzqyoO+1XXor395L19hesX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SuJU68BAABN&#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LK4rMBAABbAwAADgAAAGRycy9lMm9Eb2MueG1srVPNjtMwEL4j8Q6W&#10;7zRpJ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Y5m95IzLxzN6Pzt6/n7z/OPL2x5kxs0RGyo7iFSZRpfh5GK5zhSMOseNbj8JUWM&#10;8tTq07W9akxM5kvr1XpdU0pSbnYIv3q8HgHTGxUcy0bLgeZX2iqO7zBNpXNJfs2He2NtmaH1vwUI&#10;c4qosgSX21nJxDhbadyNF3m70J1I3UCL0HJPm8qZfeupz3lnZgNmYzcbhwhm3xPRZWGJ8dUhEaXC&#10;NL8wwZLC7NAEi9bLtuUVeeqXqsd/Y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lCyuKz&#10;AQAAWwMAAA4AAAAAAAAAAQAgAAAAHgEAAGRycy9lMm9Eb2MueG1sUEsFBgAAAAAGAAYAWQEAAEMF&#10;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firstLine="360" w:firstLineChars="20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SWDWWK8BAABN&#10;AwAADgAAAAAAAAABACAAAAAeAQAAZHJzL2Uyb0RvYy54bWxQSwUGAAAAAAYABgBZAQAAPw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Te9FuwAQAA&#10;TQMAAA4AAAAAAAAAAQAgAAAAHgEAAGRycy9lMm9Eb2MueG1sUEsFBgAAAAAGAAYAWQEAAEAFAAAA&#10;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554C7"/>
    <w:multiLevelType w:val="singleLevel"/>
    <w:tmpl w:val="899554C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31AFB11"/>
    <w:multiLevelType w:val="singleLevel"/>
    <w:tmpl w:val="031AFB11"/>
    <w:lvl w:ilvl="0" w:tentative="0">
      <w:start w:val="3"/>
      <w:numFmt w:val="chineseCounting"/>
      <w:suff w:val="space"/>
      <w:lvlText w:val="第%1章"/>
      <w:lvlJc w:val="left"/>
      <w:rPr>
        <w:rFonts w:hint="eastAsia"/>
      </w:rPr>
    </w:lvl>
  </w:abstractNum>
  <w:abstractNum w:abstractNumId="3">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2"/>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66FA"/>
    <w:rsid w:val="000564C7"/>
    <w:rsid w:val="00057FD8"/>
    <w:rsid w:val="0006192A"/>
    <w:rsid w:val="00066ED2"/>
    <w:rsid w:val="00067E13"/>
    <w:rsid w:val="00071EAD"/>
    <w:rsid w:val="000743CD"/>
    <w:rsid w:val="000811D4"/>
    <w:rsid w:val="0008127F"/>
    <w:rsid w:val="000837AC"/>
    <w:rsid w:val="000839C8"/>
    <w:rsid w:val="00085592"/>
    <w:rsid w:val="000904B8"/>
    <w:rsid w:val="000924BF"/>
    <w:rsid w:val="00097452"/>
    <w:rsid w:val="00097819"/>
    <w:rsid w:val="00097C5A"/>
    <w:rsid w:val="000A1F15"/>
    <w:rsid w:val="000A53F8"/>
    <w:rsid w:val="000A5497"/>
    <w:rsid w:val="000A7265"/>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EB3"/>
    <w:rsid w:val="00143299"/>
    <w:rsid w:val="001516EE"/>
    <w:rsid w:val="00152047"/>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1679"/>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6208"/>
    <w:rsid w:val="002D7006"/>
    <w:rsid w:val="002E5A3D"/>
    <w:rsid w:val="002E6B1A"/>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619"/>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5116C"/>
    <w:rsid w:val="0045630D"/>
    <w:rsid w:val="00456AA6"/>
    <w:rsid w:val="004576C6"/>
    <w:rsid w:val="00462057"/>
    <w:rsid w:val="0047188A"/>
    <w:rsid w:val="00474CF8"/>
    <w:rsid w:val="00475638"/>
    <w:rsid w:val="00485218"/>
    <w:rsid w:val="00490C50"/>
    <w:rsid w:val="00493760"/>
    <w:rsid w:val="004A1EB8"/>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73A7"/>
    <w:rsid w:val="006B052E"/>
    <w:rsid w:val="006B38DA"/>
    <w:rsid w:val="006B4AF6"/>
    <w:rsid w:val="006B5B36"/>
    <w:rsid w:val="006C13CB"/>
    <w:rsid w:val="006C1BB1"/>
    <w:rsid w:val="006C1E34"/>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C3F"/>
    <w:rsid w:val="007341B4"/>
    <w:rsid w:val="0074627C"/>
    <w:rsid w:val="00746F3E"/>
    <w:rsid w:val="007471C9"/>
    <w:rsid w:val="007477BB"/>
    <w:rsid w:val="00747EB3"/>
    <w:rsid w:val="00750043"/>
    <w:rsid w:val="00760C5B"/>
    <w:rsid w:val="007618D2"/>
    <w:rsid w:val="00761C96"/>
    <w:rsid w:val="00762ED9"/>
    <w:rsid w:val="007630D3"/>
    <w:rsid w:val="00764760"/>
    <w:rsid w:val="007661AA"/>
    <w:rsid w:val="0076694A"/>
    <w:rsid w:val="00770AC6"/>
    <w:rsid w:val="007810D1"/>
    <w:rsid w:val="00785799"/>
    <w:rsid w:val="00785F1D"/>
    <w:rsid w:val="007901A2"/>
    <w:rsid w:val="0079167A"/>
    <w:rsid w:val="00792CFD"/>
    <w:rsid w:val="007950DC"/>
    <w:rsid w:val="007960D5"/>
    <w:rsid w:val="007A358F"/>
    <w:rsid w:val="007B4C82"/>
    <w:rsid w:val="007C11B3"/>
    <w:rsid w:val="007C18F9"/>
    <w:rsid w:val="007C5D91"/>
    <w:rsid w:val="007C652A"/>
    <w:rsid w:val="007C79FA"/>
    <w:rsid w:val="007D3BA2"/>
    <w:rsid w:val="007D3DAF"/>
    <w:rsid w:val="007D6EE9"/>
    <w:rsid w:val="007E4318"/>
    <w:rsid w:val="007E44B6"/>
    <w:rsid w:val="007E48DC"/>
    <w:rsid w:val="007E4E64"/>
    <w:rsid w:val="007E57B3"/>
    <w:rsid w:val="007F03C3"/>
    <w:rsid w:val="007F4633"/>
    <w:rsid w:val="007F5124"/>
    <w:rsid w:val="008039E2"/>
    <w:rsid w:val="00806534"/>
    <w:rsid w:val="008065A0"/>
    <w:rsid w:val="00813361"/>
    <w:rsid w:val="00823FDC"/>
    <w:rsid w:val="008261D6"/>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C3C57"/>
    <w:rsid w:val="008C75C8"/>
    <w:rsid w:val="008D1176"/>
    <w:rsid w:val="008D5EEE"/>
    <w:rsid w:val="008E0587"/>
    <w:rsid w:val="008E1AFA"/>
    <w:rsid w:val="008E4AD2"/>
    <w:rsid w:val="008E6C3F"/>
    <w:rsid w:val="008F28AD"/>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5662"/>
    <w:rsid w:val="009A7B94"/>
    <w:rsid w:val="009B074F"/>
    <w:rsid w:val="009B3747"/>
    <w:rsid w:val="009B65E2"/>
    <w:rsid w:val="009C109D"/>
    <w:rsid w:val="009C1A1D"/>
    <w:rsid w:val="009C6011"/>
    <w:rsid w:val="009D1EAF"/>
    <w:rsid w:val="009D74BC"/>
    <w:rsid w:val="009E05FC"/>
    <w:rsid w:val="009E35A0"/>
    <w:rsid w:val="009E4388"/>
    <w:rsid w:val="009E5B45"/>
    <w:rsid w:val="009F1C42"/>
    <w:rsid w:val="009F376F"/>
    <w:rsid w:val="009F4B4C"/>
    <w:rsid w:val="009F700D"/>
    <w:rsid w:val="009F79F6"/>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3B94"/>
    <w:rsid w:val="00A63E1F"/>
    <w:rsid w:val="00A65D7C"/>
    <w:rsid w:val="00A73F7E"/>
    <w:rsid w:val="00A818A0"/>
    <w:rsid w:val="00A82944"/>
    <w:rsid w:val="00A973AF"/>
    <w:rsid w:val="00AA1553"/>
    <w:rsid w:val="00AA24B7"/>
    <w:rsid w:val="00AA6530"/>
    <w:rsid w:val="00AA6C5A"/>
    <w:rsid w:val="00AA738C"/>
    <w:rsid w:val="00AB31E6"/>
    <w:rsid w:val="00AB4F8A"/>
    <w:rsid w:val="00AB53FF"/>
    <w:rsid w:val="00AB578F"/>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02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71BD"/>
    <w:rsid w:val="00DE0FA4"/>
    <w:rsid w:val="00DE13A9"/>
    <w:rsid w:val="00DE2BFC"/>
    <w:rsid w:val="00DE50FC"/>
    <w:rsid w:val="00DE57E7"/>
    <w:rsid w:val="00DF01F6"/>
    <w:rsid w:val="00DF0860"/>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33F4"/>
    <w:rsid w:val="00EF41FC"/>
    <w:rsid w:val="00EF44B3"/>
    <w:rsid w:val="00F01D17"/>
    <w:rsid w:val="00F15BE2"/>
    <w:rsid w:val="00F17D73"/>
    <w:rsid w:val="00F2402C"/>
    <w:rsid w:val="00F25622"/>
    <w:rsid w:val="00F25C0A"/>
    <w:rsid w:val="00F3236D"/>
    <w:rsid w:val="00F34A0D"/>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5C38"/>
    <w:rsid w:val="00F76ED7"/>
    <w:rsid w:val="00F80704"/>
    <w:rsid w:val="00F90C1A"/>
    <w:rsid w:val="00F92957"/>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741F"/>
    <w:rsid w:val="01006864"/>
    <w:rsid w:val="010E7209"/>
    <w:rsid w:val="011B5DDA"/>
    <w:rsid w:val="01211A39"/>
    <w:rsid w:val="01472A9F"/>
    <w:rsid w:val="01A75288"/>
    <w:rsid w:val="01CE5644"/>
    <w:rsid w:val="01FA3230"/>
    <w:rsid w:val="01FD2170"/>
    <w:rsid w:val="0209490D"/>
    <w:rsid w:val="02127415"/>
    <w:rsid w:val="0223230E"/>
    <w:rsid w:val="02570C1E"/>
    <w:rsid w:val="02B46B5F"/>
    <w:rsid w:val="035317B7"/>
    <w:rsid w:val="03841DEB"/>
    <w:rsid w:val="038C4E31"/>
    <w:rsid w:val="039B6731"/>
    <w:rsid w:val="03B24ED6"/>
    <w:rsid w:val="03C874C4"/>
    <w:rsid w:val="03D86806"/>
    <w:rsid w:val="03E7732E"/>
    <w:rsid w:val="03F624D0"/>
    <w:rsid w:val="03FD6967"/>
    <w:rsid w:val="03FF2EED"/>
    <w:rsid w:val="04115210"/>
    <w:rsid w:val="041271E2"/>
    <w:rsid w:val="044C08AF"/>
    <w:rsid w:val="0455550C"/>
    <w:rsid w:val="045949C9"/>
    <w:rsid w:val="045A62DF"/>
    <w:rsid w:val="0470557E"/>
    <w:rsid w:val="04963373"/>
    <w:rsid w:val="049878B3"/>
    <w:rsid w:val="04B457C9"/>
    <w:rsid w:val="04B919A1"/>
    <w:rsid w:val="04C20F03"/>
    <w:rsid w:val="04CD6BE8"/>
    <w:rsid w:val="04D04858"/>
    <w:rsid w:val="04D30A9F"/>
    <w:rsid w:val="04E8795F"/>
    <w:rsid w:val="04EE232D"/>
    <w:rsid w:val="050B6DA2"/>
    <w:rsid w:val="051F38D1"/>
    <w:rsid w:val="052B0FAC"/>
    <w:rsid w:val="053924C5"/>
    <w:rsid w:val="057A02A7"/>
    <w:rsid w:val="0582255B"/>
    <w:rsid w:val="05936989"/>
    <w:rsid w:val="05956680"/>
    <w:rsid w:val="05B22835"/>
    <w:rsid w:val="05B55DCC"/>
    <w:rsid w:val="05B94C7A"/>
    <w:rsid w:val="06125882"/>
    <w:rsid w:val="064A50F0"/>
    <w:rsid w:val="064D1C2F"/>
    <w:rsid w:val="065740BE"/>
    <w:rsid w:val="06574BDD"/>
    <w:rsid w:val="06725158"/>
    <w:rsid w:val="06A01A1D"/>
    <w:rsid w:val="06A57702"/>
    <w:rsid w:val="06B157FF"/>
    <w:rsid w:val="06B65116"/>
    <w:rsid w:val="06B86FC6"/>
    <w:rsid w:val="06C62DBD"/>
    <w:rsid w:val="06CC049D"/>
    <w:rsid w:val="06CC182E"/>
    <w:rsid w:val="06E04FA1"/>
    <w:rsid w:val="06E24864"/>
    <w:rsid w:val="06E85A77"/>
    <w:rsid w:val="07245A93"/>
    <w:rsid w:val="0729090D"/>
    <w:rsid w:val="0734697B"/>
    <w:rsid w:val="07593CDF"/>
    <w:rsid w:val="079322C1"/>
    <w:rsid w:val="079E3FAE"/>
    <w:rsid w:val="07B00753"/>
    <w:rsid w:val="07B61CB8"/>
    <w:rsid w:val="07B86A18"/>
    <w:rsid w:val="07BD6B14"/>
    <w:rsid w:val="07C64D89"/>
    <w:rsid w:val="07CB6F20"/>
    <w:rsid w:val="07D66955"/>
    <w:rsid w:val="07D93957"/>
    <w:rsid w:val="07E36908"/>
    <w:rsid w:val="07FC7CFE"/>
    <w:rsid w:val="080216A5"/>
    <w:rsid w:val="08351F6A"/>
    <w:rsid w:val="086B0658"/>
    <w:rsid w:val="08745BB7"/>
    <w:rsid w:val="08780C4D"/>
    <w:rsid w:val="087D5760"/>
    <w:rsid w:val="08B6302F"/>
    <w:rsid w:val="08D73C03"/>
    <w:rsid w:val="08FA7E92"/>
    <w:rsid w:val="09061B04"/>
    <w:rsid w:val="090650A8"/>
    <w:rsid w:val="0915310C"/>
    <w:rsid w:val="09233469"/>
    <w:rsid w:val="09252A2B"/>
    <w:rsid w:val="094248AA"/>
    <w:rsid w:val="096B3852"/>
    <w:rsid w:val="09902C6B"/>
    <w:rsid w:val="09D71A87"/>
    <w:rsid w:val="09E632B5"/>
    <w:rsid w:val="09F337E1"/>
    <w:rsid w:val="0A04296A"/>
    <w:rsid w:val="0A2B70EA"/>
    <w:rsid w:val="0A5D231B"/>
    <w:rsid w:val="0AAA3F3D"/>
    <w:rsid w:val="0B0A781D"/>
    <w:rsid w:val="0B225CDD"/>
    <w:rsid w:val="0B6418A3"/>
    <w:rsid w:val="0BA910DE"/>
    <w:rsid w:val="0BB252F3"/>
    <w:rsid w:val="0BB857F8"/>
    <w:rsid w:val="0BBB5588"/>
    <w:rsid w:val="0C10036A"/>
    <w:rsid w:val="0C18449D"/>
    <w:rsid w:val="0C2A20A1"/>
    <w:rsid w:val="0C4F0FDF"/>
    <w:rsid w:val="0C5924E3"/>
    <w:rsid w:val="0C6626CC"/>
    <w:rsid w:val="0C6844C8"/>
    <w:rsid w:val="0C8811FA"/>
    <w:rsid w:val="0C8B2D0D"/>
    <w:rsid w:val="0C9325A6"/>
    <w:rsid w:val="0CDA3920"/>
    <w:rsid w:val="0CDC2EE6"/>
    <w:rsid w:val="0CE25212"/>
    <w:rsid w:val="0CE936E7"/>
    <w:rsid w:val="0CEC7FA1"/>
    <w:rsid w:val="0D535F42"/>
    <w:rsid w:val="0D610709"/>
    <w:rsid w:val="0D616F91"/>
    <w:rsid w:val="0D911490"/>
    <w:rsid w:val="0D9D1C5D"/>
    <w:rsid w:val="0DA80E7B"/>
    <w:rsid w:val="0DB14C21"/>
    <w:rsid w:val="0DB71587"/>
    <w:rsid w:val="0DBB4F87"/>
    <w:rsid w:val="0DFB7AB8"/>
    <w:rsid w:val="0E06573B"/>
    <w:rsid w:val="0E475276"/>
    <w:rsid w:val="0E5A1B0D"/>
    <w:rsid w:val="0E7F79F0"/>
    <w:rsid w:val="0E9A556F"/>
    <w:rsid w:val="0EA24ECB"/>
    <w:rsid w:val="0EF37C53"/>
    <w:rsid w:val="0F02596B"/>
    <w:rsid w:val="0F137E85"/>
    <w:rsid w:val="0F770DF1"/>
    <w:rsid w:val="0F926EC2"/>
    <w:rsid w:val="0F997136"/>
    <w:rsid w:val="0FC11775"/>
    <w:rsid w:val="0FF0443C"/>
    <w:rsid w:val="0FF46924"/>
    <w:rsid w:val="10026C11"/>
    <w:rsid w:val="10140836"/>
    <w:rsid w:val="103B3931"/>
    <w:rsid w:val="104027D5"/>
    <w:rsid w:val="105C02B0"/>
    <w:rsid w:val="105E62C6"/>
    <w:rsid w:val="10602A89"/>
    <w:rsid w:val="10693071"/>
    <w:rsid w:val="107E3774"/>
    <w:rsid w:val="10A4355C"/>
    <w:rsid w:val="10AD5F1C"/>
    <w:rsid w:val="10C41590"/>
    <w:rsid w:val="10CD2934"/>
    <w:rsid w:val="10EF1311"/>
    <w:rsid w:val="10FB7B17"/>
    <w:rsid w:val="1101612D"/>
    <w:rsid w:val="11065B66"/>
    <w:rsid w:val="11194440"/>
    <w:rsid w:val="11393560"/>
    <w:rsid w:val="11424053"/>
    <w:rsid w:val="116225F0"/>
    <w:rsid w:val="117B5958"/>
    <w:rsid w:val="11A02D46"/>
    <w:rsid w:val="11DD2FBC"/>
    <w:rsid w:val="11DE4C26"/>
    <w:rsid w:val="1207795B"/>
    <w:rsid w:val="120D3D54"/>
    <w:rsid w:val="12236091"/>
    <w:rsid w:val="123D1D47"/>
    <w:rsid w:val="12606F77"/>
    <w:rsid w:val="12862094"/>
    <w:rsid w:val="12A73823"/>
    <w:rsid w:val="12AB5868"/>
    <w:rsid w:val="12AC2865"/>
    <w:rsid w:val="12BA5523"/>
    <w:rsid w:val="12BE0638"/>
    <w:rsid w:val="12C47926"/>
    <w:rsid w:val="12EC50FD"/>
    <w:rsid w:val="130376BC"/>
    <w:rsid w:val="132E6920"/>
    <w:rsid w:val="13686026"/>
    <w:rsid w:val="1388098A"/>
    <w:rsid w:val="138D7A06"/>
    <w:rsid w:val="139A484C"/>
    <w:rsid w:val="13AA3191"/>
    <w:rsid w:val="13E27192"/>
    <w:rsid w:val="1412039A"/>
    <w:rsid w:val="142A6526"/>
    <w:rsid w:val="144C2AAE"/>
    <w:rsid w:val="144F47C9"/>
    <w:rsid w:val="144F7D64"/>
    <w:rsid w:val="1474542C"/>
    <w:rsid w:val="149B6774"/>
    <w:rsid w:val="14C76F5B"/>
    <w:rsid w:val="14DF1AC8"/>
    <w:rsid w:val="151B20EC"/>
    <w:rsid w:val="151E06C7"/>
    <w:rsid w:val="156134F5"/>
    <w:rsid w:val="15664BFA"/>
    <w:rsid w:val="156C2740"/>
    <w:rsid w:val="15CD4DF6"/>
    <w:rsid w:val="15E66BD7"/>
    <w:rsid w:val="15E67710"/>
    <w:rsid w:val="15F70B8B"/>
    <w:rsid w:val="16016F15"/>
    <w:rsid w:val="16036576"/>
    <w:rsid w:val="16371423"/>
    <w:rsid w:val="163D31EC"/>
    <w:rsid w:val="167C46E0"/>
    <w:rsid w:val="168D7C94"/>
    <w:rsid w:val="16BB7B71"/>
    <w:rsid w:val="16D31800"/>
    <w:rsid w:val="16E07B38"/>
    <w:rsid w:val="170A4214"/>
    <w:rsid w:val="171715C0"/>
    <w:rsid w:val="171A2478"/>
    <w:rsid w:val="17230DEC"/>
    <w:rsid w:val="174A0545"/>
    <w:rsid w:val="174D367B"/>
    <w:rsid w:val="17714DE9"/>
    <w:rsid w:val="178A5389"/>
    <w:rsid w:val="179F6666"/>
    <w:rsid w:val="17CD3155"/>
    <w:rsid w:val="17D60854"/>
    <w:rsid w:val="17E12475"/>
    <w:rsid w:val="17EC179B"/>
    <w:rsid w:val="17EF1804"/>
    <w:rsid w:val="18384996"/>
    <w:rsid w:val="18404715"/>
    <w:rsid w:val="18831393"/>
    <w:rsid w:val="18897022"/>
    <w:rsid w:val="18BD3432"/>
    <w:rsid w:val="18E715AA"/>
    <w:rsid w:val="18E74C47"/>
    <w:rsid w:val="18EA2C67"/>
    <w:rsid w:val="18F31E73"/>
    <w:rsid w:val="1912484B"/>
    <w:rsid w:val="191E51E1"/>
    <w:rsid w:val="196067BC"/>
    <w:rsid w:val="196937EA"/>
    <w:rsid w:val="196F3A5B"/>
    <w:rsid w:val="1986042A"/>
    <w:rsid w:val="199B5654"/>
    <w:rsid w:val="19AC35E0"/>
    <w:rsid w:val="19DC5F06"/>
    <w:rsid w:val="1A016CC7"/>
    <w:rsid w:val="1A042B9E"/>
    <w:rsid w:val="1A044DC3"/>
    <w:rsid w:val="1A06589B"/>
    <w:rsid w:val="1A071480"/>
    <w:rsid w:val="1A092901"/>
    <w:rsid w:val="1A29188C"/>
    <w:rsid w:val="1A3101D1"/>
    <w:rsid w:val="1A330F6A"/>
    <w:rsid w:val="1A5A26B3"/>
    <w:rsid w:val="1A7144D1"/>
    <w:rsid w:val="1AA25FDA"/>
    <w:rsid w:val="1AAE0F52"/>
    <w:rsid w:val="1ABA0E22"/>
    <w:rsid w:val="1ADD5092"/>
    <w:rsid w:val="1AFE1FD6"/>
    <w:rsid w:val="1B1872F1"/>
    <w:rsid w:val="1B302CEC"/>
    <w:rsid w:val="1B356690"/>
    <w:rsid w:val="1B4518A1"/>
    <w:rsid w:val="1B6C13EB"/>
    <w:rsid w:val="1B934836"/>
    <w:rsid w:val="1B9626E7"/>
    <w:rsid w:val="1BA813B3"/>
    <w:rsid w:val="1BB04867"/>
    <w:rsid w:val="1BBD46DD"/>
    <w:rsid w:val="1BC41566"/>
    <w:rsid w:val="1BF36727"/>
    <w:rsid w:val="1C365C11"/>
    <w:rsid w:val="1C3846D2"/>
    <w:rsid w:val="1C407FF5"/>
    <w:rsid w:val="1C4249D9"/>
    <w:rsid w:val="1C5910FA"/>
    <w:rsid w:val="1C95108A"/>
    <w:rsid w:val="1C964D52"/>
    <w:rsid w:val="1CC72D5A"/>
    <w:rsid w:val="1CCF5AD2"/>
    <w:rsid w:val="1CD04E00"/>
    <w:rsid w:val="1CF33FE4"/>
    <w:rsid w:val="1D0110A6"/>
    <w:rsid w:val="1D152F4F"/>
    <w:rsid w:val="1D214F85"/>
    <w:rsid w:val="1D3B54F9"/>
    <w:rsid w:val="1D4C2B5E"/>
    <w:rsid w:val="1D786523"/>
    <w:rsid w:val="1D827512"/>
    <w:rsid w:val="1D944700"/>
    <w:rsid w:val="1DAC5F84"/>
    <w:rsid w:val="1DB21ADF"/>
    <w:rsid w:val="1DCA11D8"/>
    <w:rsid w:val="1DCF3DBC"/>
    <w:rsid w:val="1DD71083"/>
    <w:rsid w:val="1DF41948"/>
    <w:rsid w:val="1E001F14"/>
    <w:rsid w:val="1E1015A7"/>
    <w:rsid w:val="1E324F13"/>
    <w:rsid w:val="1E511447"/>
    <w:rsid w:val="1E5F7850"/>
    <w:rsid w:val="1E732A26"/>
    <w:rsid w:val="1E8A078A"/>
    <w:rsid w:val="1E9263A2"/>
    <w:rsid w:val="1E966A7B"/>
    <w:rsid w:val="1E966C68"/>
    <w:rsid w:val="1EAB2953"/>
    <w:rsid w:val="1ED01435"/>
    <w:rsid w:val="1ED848E3"/>
    <w:rsid w:val="1F03583F"/>
    <w:rsid w:val="1F341677"/>
    <w:rsid w:val="1F4C3284"/>
    <w:rsid w:val="1F4D5E27"/>
    <w:rsid w:val="1F5C1A5C"/>
    <w:rsid w:val="1F8B14BF"/>
    <w:rsid w:val="1FA11EA9"/>
    <w:rsid w:val="1FA63819"/>
    <w:rsid w:val="1FB3515E"/>
    <w:rsid w:val="1FE635BD"/>
    <w:rsid w:val="1FFE2CBB"/>
    <w:rsid w:val="201B0D43"/>
    <w:rsid w:val="201B40F3"/>
    <w:rsid w:val="206A02E7"/>
    <w:rsid w:val="20777B58"/>
    <w:rsid w:val="20A531B4"/>
    <w:rsid w:val="20AD76A7"/>
    <w:rsid w:val="20B941D6"/>
    <w:rsid w:val="20BA6609"/>
    <w:rsid w:val="20D44ED3"/>
    <w:rsid w:val="20F47319"/>
    <w:rsid w:val="20F4746E"/>
    <w:rsid w:val="21290489"/>
    <w:rsid w:val="2133463D"/>
    <w:rsid w:val="213A5A53"/>
    <w:rsid w:val="214467A1"/>
    <w:rsid w:val="21720A54"/>
    <w:rsid w:val="218E0D57"/>
    <w:rsid w:val="219E0135"/>
    <w:rsid w:val="21AE78D3"/>
    <w:rsid w:val="21B82FD2"/>
    <w:rsid w:val="21BD4029"/>
    <w:rsid w:val="21D62158"/>
    <w:rsid w:val="21D67ABF"/>
    <w:rsid w:val="21FB7527"/>
    <w:rsid w:val="22204AFE"/>
    <w:rsid w:val="22401299"/>
    <w:rsid w:val="22414F39"/>
    <w:rsid w:val="224308C2"/>
    <w:rsid w:val="227B61A2"/>
    <w:rsid w:val="227F5696"/>
    <w:rsid w:val="22824F78"/>
    <w:rsid w:val="228C74BB"/>
    <w:rsid w:val="228F1C88"/>
    <w:rsid w:val="228F539C"/>
    <w:rsid w:val="22BD4458"/>
    <w:rsid w:val="22E31F7B"/>
    <w:rsid w:val="22F33F3B"/>
    <w:rsid w:val="22F86654"/>
    <w:rsid w:val="230439A5"/>
    <w:rsid w:val="23115CC6"/>
    <w:rsid w:val="23146489"/>
    <w:rsid w:val="232A3068"/>
    <w:rsid w:val="23834B80"/>
    <w:rsid w:val="239074F5"/>
    <w:rsid w:val="23CF5D5A"/>
    <w:rsid w:val="23DE339C"/>
    <w:rsid w:val="23F24306"/>
    <w:rsid w:val="23F41152"/>
    <w:rsid w:val="240E6ED0"/>
    <w:rsid w:val="247135BF"/>
    <w:rsid w:val="24A86764"/>
    <w:rsid w:val="24C716E7"/>
    <w:rsid w:val="24D61B67"/>
    <w:rsid w:val="24DC3E0A"/>
    <w:rsid w:val="24F8104B"/>
    <w:rsid w:val="24F94BE9"/>
    <w:rsid w:val="253551C5"/>
    <w:rsid w:val="253A525E"/>
    <w:rsid w:val="25463C61"/>
    <w:rsid w:val="254C7941"/>
    <w:rsid w:val="25560E8B"/>
    <w:rsid w:val="259963ED"/>
    <w:rsid w:val="25E640A9"/>
    <w:rsid w:val="262540F5"/>
    <w:rsid w:val="262E0B64"/>
    <w:rsid w:val="262E3A70"/>
    <w:rsid w:val="262E65A6"/>
    <w:rsid w:val="263D053D"/>
    <w:rsid w:val="267F6AF9"/>
    <w:rsid w:val="26B166D1"/>
    <w:rsid w:val="26D426F1"/>
    <w:rsid w:val="27156440"/>
    <w:rsid w:val="271654B1"/>
    <w:rsid w:val="273977D4"/>
    <w:rsid w:val="27567CD1"/>
    <w:rsid w:val="2775227B"/>
    <w:rsid w:val="27820816"/>
    <w:rsid w:val="27842C96"/>
    <w:rsid w:val="278964D8"/>
    <w:rsid w:val="27B616F4"/>
    <w:rsid w:val="27DD00AE"/>
    <w:rsid w:val="27E55AAC"/>
    <w:rsid w:val="27E6216A"/>
    <w:rsid w:val="28067BC8"/>
    <w:rsid w:val="28160ACE"/>
    <w:rsid w:val="28434E5A"/>
    <w:rsid w:val="284A4DE8"/>
    <w:rsid w:val="284B041B"/>
    <w:rsid w:val="284B0433"/>
    <w:rsid w:val="287870EF"/>
    <w:rsid w:val="288E742C"/>
    <w:rsid w:val="28965BEA"/>
    <w:rsid w:val="28A93C43"/>
    <w:rsid w:val="28AF098E"/>
    <w:rsid w:val="28BF4074"/>
    <w:rsid w:val="28EE1DCC"/>
    <w:rsid w:val="28F770E7"/>
    <w:rsid w:val="29BC6378"/>
    <w:rsid w:val="2A061898"/>
    <w:rsid w:val="2A58151E"/>
    <w:rsid w:val="2A763AF7"/>
    <w:rsid w:val="2A940CDD"/>
    <w:rsid w:val="2AA0777D"/>
    <w:rsid w:val="2AA55EE0"/>
    <w:rsid w:val="2AC074C0"/>
    <w:rsid w:val="2AC25E6A"/>
    <w:rsid w:val="2AE91170"/>
    <w:rsid w:val="2B2E4DBD"/>
    <w:rsid w:val="2B8E7402"/>
    <w:rsid w:val="2BBA00BE"/>
    <w:rsid w:val="2BBF78D5"/>
    <w:rsid w:val="2BE01D12"/>
    <w:rsid w:val="2C35018B"/>
    <w:rsid w:val="2C352898"/>
    <w:rsid w:val="2CA026F4"/>
    <w:rsid w:val="2CA26816"/>
    <w:rsid w:val="2CCD6948"/>
    <w:rsid w:val="2CD73A4B"/>
    <w:rsid w:val="2CEF12F1"/>
    <w:rsid w:val="2D5531F6"/>
    <w:rsid w:val="2D5F2B4D"/>
    <w:rsid w:val="2D6C6EEC"/>
    <w:rsid w:val="2D823A7E"/>
    <w:rsid w:val="2DA64657"/>
    <w:rsid w:val="2DDC6253"/>
    <w:rsid w:val="2DDE3469"/>
    <w:rsid w:val="2DE761E1"/>
    <w:rsid w:val="2DED3A7C"/>
    <w:rsid w:val="2DF10EC3"/>
    <w:rsid w:val="2DFB15AA"/>
    <w:rsid w:val="2E352848"/>
    <w:rsid w:val="2E697AF6"/>
    <w:rsid w:val="2E761875"/>
    <w:rsid w:val="2E844E1E"/>
    <w:rsid w:val="2E8C2431"/>
    <w:rsid w:val="2E8C7513"/>
    <w:rsid w:val="2EA60F76"/>
    <w:rsid w:val="2EB40A29"/>
    <w:rsid w:val="2EC90ED8"/>
    <w:rsid w:val="2EFD52DD"/>
    <w:rsid w:val="2F136509"/>
    <w:rsid w:val="2F576B46"/>
    <w:rsid w:val="2F69137B"/>
    <w:rsid w:val="2F9A752D"/>
    <w:rsid w:val="2F9E4CC6"/>
    <w:rsid w:val="2FA85F9C"/>
    <w:rsid w:val="2FB45E0B"/>
    <w:rsid w:val="2FDE19DB"/>
    <w:rsid w:val="2FE8220C"/>
    <w:rsid w:val="30127732"/>
    <w:rsid w:val="30210EF6"/>
    <w:rsid w:val="305470BC"/>
    <w:rsid w:val="30844189"/>
    <w:rsid w:val="30CF6CA9"/>
    <w:rsid w:val="30FC582C"/>
    <w:rsid w:val="31152766"/>
    <w:rsid w:val="31235D8D"/>
    <w:rsid w:val="312F5774"/>
    <w:rsid w:val="316909F6"/>
    <w:rsid w:val="31702034"/>
    <w:rsid w:val="317A7731"/>
    <w:rsid w:val="31897FC0"/>
    <w:rsid w:val="318E19EF"/>
    <w:rsid w:val="319A7BEC"/>
    <w:rsid w:val="31A961BB"/>
    <w:rsid w:val="31B01E5D"/>
    <w:rsid w:val="31C91797"/>
    <w:rsid w:val="31D96869"/>
    <w:rsid w:val="325F246F"/>
    <w:rsid w:val="328E0302"/>
    <w:rsid w:val="32911807"/>
    <w:rsid w:val="32BB5B93"/>
    <w:rsid w:val="32BE2E4B"/>
    <w:rsid w:val="32D63C42"/>
    <w:rsid w:val="332E0EAD"/>
    <w:rsid w:val="33326C5C"/>
    <w:rsid w:val="334677C4"/>
    <w:rsid w:val="33507893"/>
    <w:rsid w:val="33AA72F4"/>
    <w:rsid w:val="33BE4E27"/>
    <w:rsid w:val="33F22327"/>
    <w:rsid w:val="34226B1D"/>
    <w:rsid w:val="34584E9A"/>
    <w:rsid w:val="34721607"/>
    <w:rsid w:val="3486178D"/>
    <w:rsid w:val="34867345"/>
    <w:rsid w:val="348A1CAB"/>
    <w:rsid w:val="34956DA5"/>
    <w:rsid w:val="349B6585"/>
    <w:rsid w:val="349C4875"/>
    <w:rsid w:val="34A95418"/>
    <w:rsid w:val="34D05989"/>
    <w:rsid w:val="34D40BAF"/>
    <w:rsid w:val="34D56441"/>
    <w:rsid w:val="34D83195"/>
    <w:rsid w:val="34E0529C"/>
    <w:rsid w:val="34E775F4"/>
    <w:rsid w:val="35096962"/>
    <w:rsid w:val="35313A4B"/>
    <w:rsid w:val="354E2ED7"/>
    <w:rsid w:val="35543A8F"/>
    <w:rsid w:val="3565288A"/>
    <w:rsid w:val="358C2310"/>
    <w:rsid w:val="35994E80"/>
    <w:rsid w:val="35C8032F"/>
    <w:rsid w:val="35D74DF7"/>
    <w:rsid w:val="35E12272"/>
    <w:rsid w:val="35EA67D6"/>
    <w:rsid w:val="361847CA"/>
    <w:rsid w:val="366C6328"/>
    <w:rsid w:val="36761264"/>
    <w:rsid w:val="36890362"/>
    <w:rsid w:val="36A35AAF"/>
    <w:rsid w:val="36BE0A30"/>
    <w:rsid w:val="36C333B9"/>
    <w:rsid w:val="36EA1CBA"/>
    <w:rsid w:val="36EE3A02"/>
    <w:rsid w:val="37193246"/>
    <w:rsid w:val="37242C4D"/>
    <w:rsid w:val="3757410B"/>
    <w:rsid w:val="37743E97"/>
    <w:rsid w:val="377B070D"/>
    <w:rsid w:val="377B6572"/>
    <w:rsid w:val="377F0029"/>
    <w:rsid w:val="379A429F"/>
    <w:rsid w:val="37C62C52"/>
    <w:rsid w:val="37C6790E"/>
    <w:rsid w:val="380D5526"/>
    <w:rsid w:val="380E4215"/>
    <w:rsid w:val="38324155"/>
    <w:rsid w:val="3850145C"/>
    <w:rsid w:val="385A12DC"/>
    <w:rsid w:val="386B17D1"/>
    <w:rsid w:val="38792FE9"/>
    <w:rsid w:val="388018D1"/>
    <w:rsid w:val="388C35E6"/>
    <w:rsid w:val="38972389"/>
    <w:rsid w:val="389C0AFC"/>
    <w:rsid w:val="389E3DF5"/>
    <w:rsid w:val="38E416B4"/>
    <w:rsid w:val="38F54FFF"/>
    <w:rsid w:val="390C518A"/>
    <w:rsid w:val="394C729E"/>
    <w:rsid w:val="39513B1E"/>
    <w:rsid w:val="39D03A2E"/>
    <w:rsid w:val="3A2F307C"/>
    <w:rsid w:val="3A4912A4"/>
    <w:rsid w:val="3A8E10BD"/>
    <w:rsid w:val="3A983270"/>
    <w:rsid w:val="3AB36CDA"/>
    <w:rsid w:val="3ABC0DFE"/>
    <w:rsid w:val="3AD86393"/>
    <w:rsid w:val="3ADC114B"/>
    <w:rsid w:val="3B140595"/>
    <w:rsid w:val="3B2C58F1"/>
    <w:rsid w:val="3B315EDC"/>
    <w:rsid w:val="3B384197"/>
    <w:rsid w:val="3B5D322A"/>
    <w:rsid w:val="3B604DC0"/>
    <w:rsid w:val="3B696CB2"/>
    <w:rsid w:val="3B7005B5"/>
    <w:rsid w:val="3BF0598E"/>
    <w:rsid w:val="3BFE485B"/>
    <w:rsid w:val="3C3F6512"/>
    <w:rsid w:val="3C8C6C16"/>
    <w:rsid w:val="3C995986"/>
    <w:rsid w:val="3CB035B7"/>
    <w:rsid w:val="3CC470CC"/>
    <w:rsid w:val="3CD80107"/>
    <w:rsid w:val="3CE50F03"/>
    <w:rsid w:val="3CFF57E4"/>
    <w:rsid w:val="3D22533A"/>
    <w:rsid w:val="3D2E5EBD"/>
    <w:rsid w:val="3D31477E"/>
    <w:rsid w:val="3D4F55CB"/>
    <w:rsid w:val="3D6267B7"/>
    <w:rsid w:val="3D7622F3"/>
    <w:rsid w:val="3D815D1C"/>
    <w:rsid w:val="3D8559A8"/>
    <w:rsid w:val="3D876E6A"/>
    <w:rsid w:val="3DD612F0"/>
    <w:rsid w:val="3DD72A90"/>
    <w:rsid w:val="3DF612CF"/>
    <w:rsid w:val="3DF662D0"/>
    <w:rsid w:val="3E237C20"/>
    <w:rsid w:val="3E2E00D0"/>
    <w:rsid w:val="3E3418A1"/>
    <w:rsid w:val="3E5464E9"/>
    <w:rsid w:val="3E64001C"/>
    <w:rsid w:val="3E657D92"/>
    <w:rsid w:val="3E792415"/>
    <w:rsid w:val="3EA94C51"/>
    <w:rsid w:val="3EC80F53"/>
    <w:rsid w:val="3EDB042D"/>
    <w:rsid w:val="3F2A2445"/>
    <w:rsid w:val="3F301884"/>
    <w:rsid w:val="3F4770A6"/>
    <w:rsid w:val="3F516B13"/>
    <w:rsid w:val="3F64668C"/>
    <w:rsid w:val="3F744629"/>
    <w:rsid w:val="3F84674C"/>
    <w:rsid w:val="3F940E03"/>
    <w:rsid w:val="3FAA4B86"/>
    <w:rsid w:val="3FBA5E75"/>
    <w:rsid w:val="3FBC3F7A"/>
    <w:rsid w:val="3FC578AB"/>
    <w:rsid w:val="3FD74B18"/>
    <w:rsid w:val="3FDC5B89"/>
    <w:rsid w:val="3FFA628E"/>
    <w:rsid w:val="40025AF4"/>
    <w:rsid w:val="401C144D"/>
    <w:rsid w:val="4062668F"/>
    <w:rsid w:val="408273C9"/>
    <w:rsid w:val="40843452"/>
    <w:rsid w:val="408C7659"/>
    <w:rsid w:val="40A053EF"/>
    <w:rsid w:val="40A81548"/>
    <w:rsid w:val="40AB6C60"/>
    <w:rsid w:val="40B0258D"/>
    <w:rsid w:val="40C01A27"/>
    <w:rsid w:val="40C74DA5"/>
    <w:rsid w:val="40D12FFE"/>
    <w:rsid w:val="40DE1287"/>
    <w:rsid w:val="40E703D9"/>
    <w:rsid w:val="414174D9"/>
    <w:rsid w:val="414E4433"/>
    <w:rsid w:val="415C2E56"/>
    <w:rsid w:val="41771AC9"/>
    <w:rsid w:val="41934ECA"/>
    <w:rsid w:val="41BD4C4A"/>
    <w:rsid w:val="424A54BD"/>
    <w:rsid w:val="42663A28"/>
    <w:rsid w:val="42682AB6"/>
    <w:rsid w:val="427575E2"/>
    <w:rsid w:val="42870E3A"/>
    <w:rsid w:val="428978C7"/>
    <w:rsid w:val="42976274"/>
    <w:rsid w:val="42CD3136"/>
    <w:rsid w:val="42FB38B2"/>
    <w:rsid w:val="42FC6174"/>
    <w:rsid w:val="430A045F"/>
    <w:rsid w:val="4328748F"/>
    <w:rsid w:val="432D1498"/>
    <w:rsid w:val="43782B86"/>
    <w:rsid w:val="438A5574"/>
    <w:rsid w:val="438D2D00"/>
    <w:rsid w:val="43931AB1"/>
    <w:rsid w:val="43A7026F"/>
    <w:rsid w:val="43AE1A75"/>
    <w:rsid w:val="43CC0D4B"/>
    <w:rsid w:val="43EF7BE4"/>
    <w:rsid w:val="43FB0ED6"/>
    <w:rsid w:val="44330714"/>
    <w:rsid w:val="443C74EB"/>
    <w:rsid w:val="44494ED0"/>
    <w:rsid w:val="444F3D54"/>
    <w:rsid w:val="445B3FE0"/>
    <w:rsid w:val="44A80EE9"/>
    <w:rsid w:val="44C17DB6"/>
    <w:rsid w:val="44E16936"/>
    <w:rsid w:val="45300AB7"/>
    <w:rsid w:val="45321617"/>
    <w:rsid w:val="45497578"/>
    <w:rsid w:val="456B1751"/>
    <w:rsid w:val="459E753A"/>
    <w:rsid w:val="45A93709"/>
    <w:rsid w:val="45C045F1"/>
    <w:rsid w:val="45C568C5"/>
    <w:rsid w:val="45E1593D"/>
    <w:rsid w:val="45E214BB"/>
    <w:rsid w:val="4600785E"/>
    <w:rsid w:val="460728F4"/>
    <w:rsid w:val="461475DC"/>
    <w:rsid w:val="462F4263"/>
    <w:rsid w:val="463354AB"/>
    <w:rsid w:val="466852B1"/>
    <w:rsid w:val="46700834"/>
    <w:rsid w:val="46862D8A"/>
    <w:rsid w:val="469A527A"/>
    <w:rsid w:val="469C3027"/>
    <w:rsid w:val="46B3249B"/>
    <w:rsid w:val="46D4282C"/>
    <w:rsid w:val="46EE175B"/>
    <w:rsid w:val="473B169C"/>
    <w:rsid w:val="474B5885"/>
    <w:rsid w:val="47651E56"/>
    <w:rsid w:val="478308D7"/>
    <w:rsid w:val="47990963"/>
    <w:rsid w:val="47B36FC5"/>
    <w:rsid w:val="47CA38FB"/>
    <w:rsid w:val="47EB2CCC"/>
    <w:rsid w:val="47ED1E81"/>
    <w:rsid w:val="481D6FEB"/>
    <w:rsid w:val="48263D5B"/>
    <w:rsid w:val="485B09FC"/>
    <w:rsid w:val="48770F65"/>
    <w:rsid w:val="488C2E3C"/>
    <w:rsid w:val="48BD1736"/>
    <w:rsid w:val="48C4738F"/>
    <w:rsid w:val="48DF429B"/>
    <w:rsid w:val="48F67CBB"/>
    <w:rsid w:val="4946716E"/>
    <w:rsid w:val="4970592A"/>
    <w:rsid w:val="497F4FA2"/>
    <w:rsid w:val="499401D5"/>
    <w:rsid w:val="49C56DCF"/>
    <w:rsid w:val="49CB1615"/>
    <w:rsid w:val="49CC38DC"/>
    <w:rsid w:val="49F879FD"/>
    <w:rsid w:val="4A1659D3"/>
    <w:rsid w:val="4A221F1E"/>
    <w:rsid w:val="4A7A449D"/>
    <w:rsid w:val="4A9D554A"/>
    <w:rsid w:val="4A9F158E"/>
    <w:rsid w:val="4AAA5D18"/>
    <w:rsid w:val="4AB12231"/>
    <w:rsid w:val="4AC02B8E"/>
    <w:rsid w:val="4AD13E94"/>
    <w:rsid w:val="4AF20C3E"/>
    <w:rsid w:val="4B2335E5"/>
    <w:rsid w:val="4B29030D"/>
    <w:rsid w:val="4B5C1170"/>
    <w:rsid w:val="4B6B5023"/>
    <w:rsid w:val="4B9C6AF0"/>
    <w:rsid w:val="4BA4512E"/>
    <w:rsid w:val="4BB82720"/>
    <w:rsid w:val="4BF31E5B"/>
    <w:rsid w:val="4C16045B"/>
    <w:rsid w:val="4C441805"/>
    <w:rsid w:val="4C5F1CBC"/>
    <w:rsid w:val="4C697EEC"/>
    <w:rsid w:val="4C7F7EFC"/>
    <w:rsid w:val="4CB01329"/>
    <w:rsid w:val="4D3D4CE2"/>
    <w:rsid w:val="4D653FA0"/>
    <w:rsid w:val="4D7B0A5F"/>
    <w:rsid w:val="4DB25D89"/>
    <w:rsid w:val="4DCA7CDF"/>
    <w:rsid w:val="4DE37D66"/>
    <w:rsid w:val="4DFB148F"/>
    <w:rsid w:val="4E00279B"/>
    <w:rsid w:val="4E325885"/>
    <w:rsid w:val="4E326ED3"/>
    <w:rsid w:val="4E4213FC"/>
    <w:rsid w:val="4E4967E5"/>
    <w:rsid w:val="4EB4010A"/>
    <w:rsid w:val="4ECD5B10"/>
    <w:rsid w:val="4ED5121A"/>
    <w:rsid w:val="4EED5BEF"/>
    <w:rsid w:val="4EF063E8"/>
    <w:rsid w:val="4F1A1756"/>
    <w:rsid w:val="4F2D1A80"/>
    <w:rsid w:val="4F82396F"/>
    <w:rsid w:val="4F8735C2"/>
    <w:rsid w:val="4FB35FEB"/>
    <w:rsid w:val="4FB83E40"/>
    <w:rsid w:val="4FB92E4A"/>
    <w:rsid w:val="4FD40711"/>
    <w:rsid w:val="4FED55C5"/>
    <w:rsid w:val="500E2B04"/>
    <w:rsid w:val="501320EF"/>
    <w:rsid w:val="501645FA"/>
    <w:rsid w:val="50252009"/>
    <w:rsid w:val="50410B59"/>
    <w:rsid w:val="504316EA"/>
    <w:rsid w:val="50626EF4"/>
    <w:rsid w:val="507D1101"/>
    <w:rsid w:val="508316BD"/>
    <w:rsid w:val="50B85D7D"/>
    <w:rsid w:val="50B90847"/>
    <w:rsid w:val="50BC0E13"/>
    <w:rsid w:val="511B0423"/>
    <w:rsid w:val="512854FB"/>
    <w:rsid w:val="513004CD"/>
    <w:rsid w:val="513B0B69"/>
    <w:rsid w:val="51747FFB"/>
    <w:rsid w:val="517816CC"/>
    <w:rsid w:val="517A472D"/>
    <w:rsid w:val="517C619C"/>
    <w:rsid w:val="5181402E"/>
    <w:rsid w:val="51864806"/>
    <w:rsid w:val="51BD5275"/>
    <w:rsid w:val="51E97A93"/>
    <w:rsid w:val="51F67E74"/>
    <w:rsid w:val="51F91CC7"/>
    <w:rsid w:val="51FE3481"/>
    <w:rsid w:val="520F3869"/>
    <w:rsid w:val="522370B3"/>
    <w:rsid w:val="523334D8"/>
    <w:rsid w:val="52490367"/>
    <w:rsid w:val="52532671"/>
    <w:rsid w:val="526920DD"/>
    <w:rsid w:val="526A020C"/>
    <w:rsid w:val="526C3548"/>
    <w:rsid w:val="52C656A8"/>
    <w:rsid w:val="52E30E29"/>
    <w:rsid w:val="52FD1BE3"/>
    <w:rsid w:val="530C57B6"/>
    <w:rsid w:val="532C52BA"/>
    <w:rsid w:val="534166E3"/>
    <w:rsid w:val="53437CB9"/>
    <w:rsid w:val="534D11A7"/>
    <w:rsid w:val="5351464F"/>
    <w:rsid w:val="53525BC9"/>
    <w:rsid w:val="535578E9"/>
    <w:rsid w:val="535C7ACD"/>
    <w:rsid w:val="53614A58"/>
    <w:rsid w:val="537138AF"/>
    <w:rsid w:val="53720590"/>
    <w:rsid w:val="53914EBB"/>
    <w:rsid w:val="539602F9"/>
    <w:rsid w:val="53A85D01"/>
    <w:rsid w:val="53BC300D"/>
    <w:rsid w:val="53C46109"/>
    <w:rsid w:val="53D347B4"/>
    <w:rsid w:val="53EA6DA5"/>
    <w:rsid w:val="540D133A"/>
    <w:rsid w:val="54695C76"/>
    <w:rsid w:val="54782E46"/>
    <w:rsid w:val="547921A1"/>
    <w:rsid w:val="547E6A02"/>
    <w:rsid w:val="548E4AD5"/>
    <w:rsid w:val="54AE4908"/>
    <w:rsid w:val="54D412C6"/>
    <w:rsid w:val="54E0787A"/>
    <w:rsid w:val="54E57517"/>
    <w:rsid w:val="551D11AD"/>
    <w:rsid w:val="555D4E3A"/>
    <w:rsid w:val="55704312"/>
    <w:rsid w:val="557315B8"/>
    <w:rsid w:val="559308FC"/>
    <w:rsid w:val="55AB271C"/>
    <w:rsid w:val="55AF28AC"/>
    <w:rsid w:val="55E2324A"/>
    <w:rsid w:val="55F32C39"/>
    <w:rsid w:val="55FE1526"/>
    <w:rsid w:val="5652258B"/>
    <w:rsid w:val="56696B1B"/>
    <w:rsid w:val="56A76E08"/>
    <w:rsid w:val="572E265B"/>
    <w:rsid w:val="57566464"/>
    <w:rsid w:val="57630B0D"/>
    <w:rsid w:val="57675A50"/>
    <w:rsid w:val="578261E8"/>
    <w:rsid w:val="57871772"/>
    <w:rsid w:val="578D67BA"/>
    <w:rsid w:val="578F77BD"/>
    <w:rsid w:val="57C12C15"/>
    <w:rsid w:val="57C31A8B"/>
    <w:rsid w:val="57C86142"/>
    <w:rsid w:val="57D743F5"/>
    <w:rsid w:val="57DA5B37"/>
    <w:rsid w:val="57EE1340"/>
    <w:rsid w:val="57FF744B"/>
    <w:rsid w:val="58092904"/>
    <w:rsid w:val="580D13A2"/>
    <w:rsid w:val="580E06C7"/>
    <w:rsid w:val="583332B1"/>
    <w:rsid w:val="58C03A1C"/>
    <w:rsid w:val="58ED2BDF"/>
    <w:rsid w:val="58EE5032"/>
    <w:rsid w:val="58FB06F0"/>
    <w:rsid w:val="59104E1C"/>
    <w:rsid w:val="5919670A"/>
    <w:rsid w:val="59284E77"/>
    <w:rsid w:val="59386304"/>
    <w:rsid w:val="59391BC0"/>
    <w:rsid w:val="59595C42"/>
    <w:rsid w:val="59B267EA"/>
    <w:rsid w:val="59B555E4"/>
    <w:rsid w:val="59BC2661"/>
    <w:rsid w:val="59CE07E7"/>
    <w:rsid w:val="59D85514"/>
    <w:rsid w:val="59EC4D40"/>
    <w:rsid w:val="5A24365C"/>
    <w:rsid w:val="5A3025AC"/>
    <w:rsid w:val="5A370803"/>
    <w:rsid w:val="5A3E10B6"/>
    <w:rsid w:val="5A46638A"/>
    <w:rsid w:val="5A4C30CB"/>
    <w:rsid w:val="5A5107EE"/>
    <w:rsid w:val="5A746D3E"/>
    <w:rsid w:val="5A7677C8"/>
    <w:rsid w:val="5AAC6E07"/>
    <w:rsid w:val="5AD70760"/>
    <w:rsid w:val="5AE13A4D"/>
    <w:rsid w:val="5AEE3CCA"/>
    <w:rsid w:val="5B06297F"/>
    <w:rsid w:val="5B245F1F"/>
    <w:rsid w:val="5B4C46EB"/>
    <w:rsid w:val="5B5413DE"/>
    <w:rsid w:val="5B840780"/>
    <w:rsid w:val="5C496888"/>
    <w:rsid w:val="5C6D3106"/>
    <w:rsid w:val="5C961448"/>
    <w:rsid w:val="5D1F3DD5"/>
    <w:rsid w:val="5D387ED9"/>
    <w:rsid w:val="5D5F4972"/>
    <w:rsid w:val="5D871D24"/>
    <w:rsid w:val="5D987CFD"/>
    <w:rsid w:val="5D9F30EF"/>
    <w:rsid w:val="5DA3645B"/>
    <w:rsid w:val="5DA95AF1"/>
    <w:rsid w:val="5DB066AA"/>
    <w:rsid w:val="5DBB08EE"/>
    <w:rsid w:val="5DC11E68"/>
    <w:rsid w:val="5DC5338D"/>
    <w:rsid w:val="5E0E3D70"/>
    <w:rsid w:val="5E184CF6"/>
    <w:rsid w:val="5E3F0D14"/>
    <w:rsid w:val="5E4C7D8F"/>
    <w:rsid w:val="5E661A50"/>
    <w:rsid w:val="5E72691E"/>
    <w:rsid w:val="5EA7327F"/>
    <w:rsid w:val="5EAE4F1D"/>
    <w:rsid w:val="5EC61F84"/>
    <w:rsid w:val="5EDA1012"/>
    <w:rsid w:val="5EE479BB"/>
    <w:rsid w:val="5F010E0A"/>
    <w:rsid w:val="5F0C114D"/>
    <w:rsid w:val="5F177E45"/>
    <w:rsid w:val="5F647B03"/>
    <w:rsid w:val="5F761661"/>
    <w:rsid w:val="5F834450"/>
    <w:rsid w:val="5FB15D74"/>
    <w:rsid w:val="5FC15C48"/>
    <w:rsid w:val="5FCF46BE"/>
    <w:rsid w:val="5FDE5DAF"/>
    <w:rsid w:val="5FFD70FA"/>
    <w:rsid w:val="602D2B97"/>
    <w:rsid w:val="604F04EF"/>
    <w:rsid w:val="60533DEC"/>
    <w:rsid w:val="606E2E19"/>
    <w:rsid w:val="60766BDC"/>
    <w:rsid w:val="60783B03"/>
    <w:rsid w:val="607E4963"/>
    <w:rsid w:val="609D7A40"/>
    <w:rsid w:val="60B037F4"/>
    <w:rsid w:val="60E36761"/>
    <w:rsid w:val="60F34550"/>
    <w:rsid w:val="60FF586B"/>
    <w:rsid w:val="61317097"/>
    <w:rsid w:val="613530F4"/>
    <w:rsid w:val="61362740"/>
    <w:rsid w:val="61416BD9"/>
    <w:rsid w:val="61594A02"/>
    <w:rsid w:val="61840677"/>
    <w:rsid w:val="618C2ECB"/>
    <w:rsid w:val="61C74D39"/>
    <w:rsid w:val="61CF12CA"/>
    <w:rsid w:val="61D1174B"/>
    <w:rsid w:val="61FB1D47"/>
    <w:rsid w:val="61FE77EC"/>
    <w:rsid w:val="621A6DB3"/>
    <w:rsid w:val="62276CE8"/>
    <w:rsid w:val="62480D8B"/>
    <w:rsid w:val="624E3CE2"/>
    <w:rsid w:val="62512C19"/>
    <w:rsid w:val="62996565"/>
    <w:rsid w:val="62FB421C"/>
    <w:rsid w:val="63020EC3"/>
    <w:rsid w:val="630613DC"/>
    <w:rsid w:val="635509C5"/>
    <w:rsid w:val="636962F4"/>
    <w:rsid w:val="63CF0EB7"/>
    <w:rsid w:val="63E72BF4"/>
    <w:rsid w:val="64191220"/>
    <w:rsid w:val="645327CF"/>
    <w:rsid w:val="646C0998"/>
    <w:rsid w:val="647E4A98"/>
    <w:rsid w:val="648213DC"/>
    <w:rsid w:val="648E4A0F"/>
    <w:rsid w:val="64A6718C"/>
    <w:rsid w:val="64A97C8C"/>
    <w:rsid w:val="64AC33A3"/>
    <w:rsid w:val="64AD2C4B"/>
    <w:rsid w:val="64BB4503"/>
    <w:rsid w:val="64C90586"/>
    <w:rsid w:val="64FA7D5A"/>
    <w:rsid w:val="65036242"/>
    <w:rsid w:val="65052AA7"/>
    <w:rsid w:val="654400E2"/>
    <w:rsid w:val="65541E4C"/>
    <w:rsid w:val="657A0559"/>
    <w:rsid w:val="658F5201"/>
    <w:rsid w:val="659B4B16"/>
    <w:rsid w:val="65A37DD9"/>
    <w:rsid w:val="65B63647"/>
    <w:rsid w:val="65BC6B55"/>
    <w:rsid w:val="65E345F6"/>
    <w:rsid w:val="65E361C7"/>
    <w:rsid w:val="65E4538A"/>
    <w:rsid w:val="65F411FC"/>
    <w:rsid w:val="661C1FF9"/>
    <w:rsid w:val="662228C1"/>
    <w:rsid w:val="664D396B"/>
    <w:rsid w:val="665A6B57"/>
    <w:rsid w:val="668072AB"/>
    <w:rsid w:val="66905FD9"/>
    <w:rsid w:val="66DD2DD5"/>
    <w:rsid w:val="66EE1056"/>
    <w:rsid w:val="66F95A78"/>
    <w:rsid w:val="673B44C6"/>
    <w:rsid w:val="673E6D1D"/>
    <w:rsid w:val="67414351"/>
    <w:rsid w:val="674956D0"/>
    <w:rsid w:val="674A4BDA"/>
    <w:rsid w:val="676375B5"/>
    <w:rsid w:val="6767669B"/>
    <w:rsid w:val="677637F2"/>
    <w:rsid w:val="6784691F"/>
    <w:rsid w:val="678B3DC0"/>
    <w:rsid w:val="67AA33AC"/>
    <w:rsid w:val="67B27396"/>
    <w:rsid w:val="67C51351"/>
    <w:rsid w:val="67D34569"/>
    <w:rsid w:val="67FB7BC5"/>
    <w:rsid w:val="680C7E20"/>
    <w:rsid w:val="6820419A"/>
    <w:rsid w:val="682F723B"/>
    <w:rsid w:val="68365C14"/>
    <w:rsid w:val="684E1A88"/>
    <w:rsid w:val="685F7E19"/>
    <w:rsid w:val="68631AF7"/>
    <w:rsid w:val="68897F3F"/>
    <w:rsid w:val="689914FA"/>
    <w:rsid w:val="68BC7B38"/>
    <w:rsid w:val="68CE6D9F"/>
    <w:rsid w:val="68D06B15"/>
    <w:rsid w:val="68D20DDA"/>
    <w:rsid w:val="68DF5B8E"/>
    <w:rsid w:val="68E76CEA"/>
    <w:rsid w:val="68F932C9"/>
    <w:rsid w:val="69003E9A"/>
    <w:rsid w:val="690A4480"/>
    <w:rsid w:val="69140279"/>
    <w:rsid w:val="691A79B2"/>
    <w:rsid w:val="69472AA3"/>
    <w:rsid w:val="69694454"/>
    <w:rsid w:val="69C45F97"/>
    <w:rsid w:val="69C61FCC"/>
    <w:rsid w:val="69C70D4F"/>
    <w:rsid w:val="69F447B4"/>
    <w:rsid w:val="69F70CA2"/>
    <w:rsid w:val="6A03404A"/>
    <w:rsid w:val="6A0A7110"/>
    <w:rsid w:val="6A0C7B33"/>
    <w:rsid w:val="6A2C5CE6"/>
    <w:rsid w:val="6A541EFF"/>
    <w:rsid w:val="6A591DEF"/>
    <w:rsid w:val="6A662409"/>
    <w:rsid w:val="6ABA7700"/>
    <w:rsid w:val="6ACE30B8"/>
    <w:rsid w:val="6AF01D64"/>
    <w:rsid w:val="6B003B92"/>
    <w:rsid w:val="6B135739"/>
    <w:rsid w:val="6B19076D"/>
    <w:rsid w:val="6B206FCF"/>
    <w:rsid w:val="6B236898"/>
    <w:rsid w:val="6B324042"/>
    <w:rsid w:val="6B3A2606"/>
    <w:rsid w:val="6B4B544C"/>
    <w:rsid w:val="6B711D47"/>
    <w:rsid w:val="6BA80DC2"/>
    <w:rsid w:val="6BF23693"/>
    <w:rsid w:val="6C0066DD"/>
    <w:rsid w:val="6C1912B7"/>
    <w:rsid w:val="6C1E1895"/>
    <w:rsid w:val="6C2B7B1F"/>
    <w:rsid w:val="6C3C79AF"/>
    <w:rsid w:val="6C65474A"/>
    <w:rsid w:val="6C974D27"/>
    <w:rsid w:val="6CC44942"/>
    <w:rsid w:val="6CD74C9E"/>
    <w:rsid w:val="6D0E4A73"/>
    <w:rsid w:val="6D9E5153"/>
    <w:rsid w:val="6DA3148D"/>
    <w:rsid w:val="6DD809A4"/>
    <w:rsid w:val="6DEA67A6"/>
    <w:rsid w:val="6E1B0738"/>
    <w:rsid w:val="6E3B3A3A"/>
    <w:rsid w:val="6E6F2B2F"/>
    <w:rsid w:val="6E6F75FC"/>
    <w:rsid w:val="6E850D1E"/>
    <w:rsid w:val="6EA63BA5"/>
    <w:rsid w:val="6EB85E07"/>
    <w:rsid w:val="6EC24CB7"/>
    <w:rsid w:val="6ECD5432"/>
    <w:rsid w:val="6EE50476"/>
    <w:rsid w:val="6EF06640"/>
    <w:rsid w:val="6F05643C"/>
    <w:rsid w:val="6F216F80"/>
    <w:rsid w:val="6F2A1A37"/>
    <w:rsid w:val="6F2B5F5D"/>
    <w:rsid w:val="6F3A44CC"/>
    <w:rsid w:val="6F507723"/>
    <w:rsid w:val="6F636ED2"/>
    <w:rsid w:val="6F643FD0"/>
    <w:rsid w:val="6FA61BCB"/>
    <w:rsid w:val="6FBB3997"/>
    <w:rsid w:val="6FF109F1"/>
    <w:rsid w:val="70032703"/>
    <w:rsid w:val="70104CD7"/>
    <w:rsid w:val="701D7778"/>
    <w:rsid w:val="704A64B7"/>
    <w:rsid w:val="709B5E21"/>
    <w:rsid w:val="70BA2DDC"/>
    <w:rsid w:val="70FA79C8"/>
    <w:rsid w:val="70FB13E9"/>
    <w:rsid w:val="710829FC"/>
    <w:rsid w:val="710A4032"/>
    <w:rsid w:val="715C22A2"/>
    <w:rsid w:val="716C0F69"/>
    <w:rsid w:val="717A7E22"/>
    <w:rsid w:val="717F021E"/>
    <w:rsid w:val="71820E22"/>
    <w:rsid w:val="71A600E3"/>
    <w:rsid w:val="71AC02A7"/>
    <w:rsid w:val="71D42BCA"/>
    <w:rsid w:val="71FB5DAC"/>
    <w:rsid w:val="72172200"/>
    <w:rsid w:val="72211452"/>
    <w:rsid w:val="72361E7E"/>
    <w:rsid w:val="723A7BCA"/>
    <w:rsid w:val="72814BAE"/>
    <w:rsid w:val="7286380F"/>
    <w:rsid w:val="728E46C5"/>
    <w:rsid w:val="729A5D7E"/>
    <w:rsid w:val="72B63002"/>
    <w:rsid w:val="72C57511"/>
    <w:rsid w:val="72DC6BE1"/>
    <w:rsid w:val="72EE1EB9"/>
    <w:rsid w:val="72EF4185"/>
    <w:rsid w:val="72FF5FCB"/>
    <w:rsid w:val="7314182E"/>
    <w:rsid w:val="73434F2C"/>
    <w:rsid w:val="734D6DD6"/>
    <w:rsid w:val="73507382"/>
    <w:rsid w:val="73A7194C"/>
    <w:rsid w:val="73AE04AB"/>
    <w:rsid w:val="73EF43E1"/>
    <w:rsid w:val="73FC6A99"/>
    <w:rsid w:val="740873EB"/>
    <w:rsid w:val="743E71D4"/>
    <w:rsid w:val="744259E5"/>
    <w:rsid w:val="744866E9"/>
    <w:rsid w:val="746E7A5B"/>
    <w:rsid w:val="74902D3A"/>
    <w:rsid w:val="749E5652"/>
    <w:rsid w:val="74B93644"/>
    <w:rsid w:val="74D51121"/>
    <w:rsid w:val="74D6499B"/>
    <w:rsid w:val="74E16DFE"/>
    <w:rsid w:val="74EA1703"/>
    <w:rsid w:val="74F00D7E"/>
    <w:rsid w:val="750E2783"/>
    <w:rsid w:val="75345D65"/>
    <w:rsid w:val="753A388B"/>
    <w:rsid w:val="75406E97"/>
    <w:rsid w:val="756928D3"/>
    <w:rsid w:val="75A57037"/>
    <w:rsid w:val="75C85336"/>
    <w:rsid w:val="75D065E3"/>
    <w:rsid w:val="75E057FD"/>
    <w:rsid w:val="763D19B2"/>
    <w:rsid w:val="764853F4"/>
    <w:rsid w:val="764B67AF"/>
    <w:rsid w:val="76593AA6"/>
    <w:rsid w:val="766020D3"/>
    <w:rsid w:val="76A141BE"/>
    <w:rsid w:val="76A44D96"/>
    <w:rsid w:val="76A90D80"/>
    <w:rsid w:val="76BA4B00"/>
    <w:rsid w:val="76C74169"/>
    <w:rsid w:val="76EB5857"/>
    <w:rsid w:val="770667ED"/>
    <w:rsid w:val="770C4735"/>
    <w:rsid w:val="773B0BCD"/>
    <w:rsid w:val="776A06A1"/>
    <w:rsid w:val="77866244"/>
    <w:rsid w:val="77873AF1"/>
    <w:rsid w:val="778B798F"/>
    <w:rsid w:val="78034D6A"/>
    <w:rsid w:val="780E11FE"/>
    <w:rsid w:val="7812672C"/>
    <w:rsid w:val="782C0B62"/>
    <w:rsid w:val="78312740"/>
    <w:rsid w:val="784768C4"/>
    <w:rsid w:val="784D666F"/>
    <w:rsid w:val="787A5B08"/>
    <w:rsid w:val="787C219F"/>
    <w:rsid w:val="78826B6B"/>
    <w:rsid w:val="78963231"/>
    <w:rsid w:val="78AB42F3"/>
    <w:rsid w:val="78BF4D54"/>
    <w:rsid w:val="78D502ED"/>
    <w:rsid w:val="78F47B64"/>
    <w:rsid w:val="79044E2C"/>
    <w:rsid w:val="790A3D56"/>
    <w:rsid w:val="794D6390"/>
    <w:rsid w:val="79510E5A"/>
    <w:rsid w:val="796371D3"/>
    <w:rsid w:val="79725801"/>
    <w:rsid w:val="797F63C5"/>
    <w:rsid w:val="7982346D"/>
    <w:rsid w:val="798F4DFD"/>
    <w:rsid w:val="7999250C"/>
    <w:rsid w:val="79B43A49"/>
    <w:rsid w:val="7A265266"/>
    <w:rsid w:val="7A2C3186"/>
    <w:rsid w:val="7A3B1988"/>
    <w:rsid w:val="7A5B5B09"/>
    <w:rsid w:val="7A6F080F"/>
    <w:rsid w:val="7A743265"/>
    <w:rsid w:val="7A76232D"/>
    <w:rsid w:val="7A8B647B"/>
    <w:rsid w:val="7A92236B"/>
    <w:rsid w:val="7AA76FDC"/>
    <w:rsid w:val="7AB65029"/>
    <w:rsid w:val="7ACB43BC"/>
    <w:rsid w:val="7AF85874"/>
    <w:rsid w:val="7B1A5B35"/>
    <w:rsid w:val="7B267A95"/>
    <w:rsid w:val="7B2868E5"/>
    <w:rsid w:val="7B34183C"/>
    <w:rsid w:val="7B4175C0"/>
    <w:rsid w:val="7B486F31"/>
    <w:rsid w:val="7B5275B6"/>
    <w:rsid w:val="7B6B6DBD"/>
    <w:rsid w:val="7B70294A"/>
    <w:rsid w:val="7B875419"/>
    <w:rsid w:val="7BA57B23"/>
    <w:rsid w:val="7BCD0A19"/>
    <w:rsid w:val="7BEC7DF2"/>
    <w:rsid w:val="7C1428C9"/>
    <w:rsid w:val="7C1A5229"/>
    <w:rsid w:val="7C3B6648"/>
    <w:rsid w:val="7C7229BD"/>
    <w:rsid w:val="7C8E3870"/>
    <w:rsid w:val="7CA21BD9"/>
    <w:rsid w:val="7D042AA0"/>
    <w:rsid w:val="7D072801"/>
    <w:rsid w:val="7D0C0035"/>
    <w:rsid w:val="7D283BE3"/>
    <w:rsid w:val="7D431B26"/>
    <w:rsid w:val="7D587147"/>
    <w:rsid w:val="7D6F0776"/>
    <w:rsid w:val="7D9C44CC"/>
    <w:rsid w:val="7DB17F6E"/>
    <w:rsid w:val="7DB2636B"/>
    <w:rsid w:val="7DB772B9"/>
    <w:rsid w:val="7DBE58DA"/>
    <w:rsid w:val="7DD261C7"/>
    <w:rsid w:val="7DD95510"/>
    <w:rsid w:val="7DE70711"/>
    <w:rsid w:val="7DE94A5F"/>
    <w:rsid w:val="7E077EA1"/>
    <w:rsid w:val="7E185B21"/>
    <w:rsid w:val="7E452A2A"/>
    <w:rsid w:val="7E473CA8"/>
    <w:rsid w:val="7E4A51DB"/>
    <w:rsid w:val="7E7C381C"/>
    <w:rsid w:val="7EAA455C"/>
    <w:rsid w:val="7EC26701"/>
    <w:rsid w:val="7F071F96"/>
    <w:rsid w:val="7F2B1B0E"/>
    <w:rsid w:val="7F327CF5"/>
    <w:rsid w:val="7F504478"/>
    <w:rsid w:val="7F510125"/>
    <w:rsid w:val="7F602C28"/>
    <w:rsid w:val="7F652792"/>
    <w:rsid w:val="7F6B3D4A"/>
    <w:rsid w:val="7FE313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numPr>
        <w:ilvl w:val="0"/>
        <w:numId w:val="1"/>
      </w:numPr>
      <w:outlineLvl w:val="0"/>
    </w:pPr>
    <w:rPr>
      <w:b/>
      <w:szCs w:val="20"/>
    </w:rPr>
  </w:style>
  <w:style w:type="paragraph" w:styleId="4">
    <w:name w:val="heading 2"/>
    <w:basedOn w:val="1"/>
    <w:next w:val="5"/>
    <w:link w:val="34"/>
    <w:qFormat/>
    <w:uiPriority w:val="99"/>
    <w:pPr>
      <w:keepNext/>
      <w:keepLines/>
      <w:spacing w:before="260" w:after="260" w:line="416" w:lineRule="auto"/>
      <w:outlineLvl w:val="1"/>
    </w:pPr>
    <w:rPr>
      <w:rFonts w:ascii="Arial Black" w:hAnsi="Arial Black" w:eastAsia="黑体"/>
      <w:b/>
      <w:bCs/>
      <w:sz w:val="32"/>
      <w:szCs w:val="32"/>
    </w:rPr>
  </w:style>
  <w:style w:type="paragraph" w:styleId="6">
    <w:name w:val="heading 3"/>
    <w:basedOn w:val="1"/>
    <w:next w:val="1"/>
    <w:link w:val="81"/>
    <w:qFormat/>
    <w:uiPriority w:val="99"/>
    <w:pPr>
      <w:keepNext/>
      <w:keepLines/>
      <w:spacing w:before="260" w:after="260" w:line="415" w:lineRule="auto"/>
      <w:outlineLvl w:val="2"/>
    </w:pPr>
    <w:rPr>
      <w:sz w:val="32"/>
      <w:szCs w:val="32"/>
    </w:rPr>
  </w:style>
  <w:style w:type="paragraph" w:styleId="7">
    <w:name w:val="heading 4"/>
    <w:basedOn w:val="1"/>
    <w:next w:val="1"/>
    <w:link w:val="36"/>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szCs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4">
    <w:name w:val="Default Paragraph Font"/>
    <w:semiHidden/>
    <w:qFormat/>
    <w:uiPriority w:val="99"/>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1"/>
    <w:basedOn w:val="1"/>
    <w:qFormat/>
    <w:uiPriority w:val="0"/>
    <w:pPr>
      <w:numPr>
        <w:ilvl w:val="1"/>
        <w:numId w:val="2"/>
      </w:numPr>
      <w:adjustRightInd w:val="0"/>
      <w:snapToGrid w:val="0"/>
    </w:pPr>
    <w:rPr>
      <w:rFonts w:ascii="宋体" w:hAnsi="宋体"/>
      <w:kern w:val="0"/>
      <w:szCs w:val="21"/>
    </w:rPr>
  </w:style>
  <w:style w:type="paragraph" w:styleId="5">
    <w:name w:val="Normal Indent"/>
    <w:basedOn w:val="1"/>
    <w:next w:val="1"/>
    <w:qFormat/>
    <w:uiPriority w:val="99"/>
    <w:pPr>
      <w:ind w:firstLine="420" w:firstLineChars="200"/>
    </w:pPr>
  </w:style>
  <w:style w:type="paragraph" w:styleId="11">
    <w:name w:val="Body Text"/>
    <w:basedOn w:val="1"/>
    <w:next w:val="1"/>
    <w:link w:val="37"/>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8"/>
    <w:qFormat/>
    <w:uiPriority w:val="99"/>
    <w:pPr>
      <w:ind w:firstLine="480"/>
    </w:pPr>
    <w:rPr>
      <w:rFonts w:ascii="宋体" w:hAnsi="宋体"/>
      <w:sz w:val="30"/>
    </w:rPr>
  </w:style>
  <w:style w:type="paragraph" w:styleId="13">
    <w:name w:val="Plain Text"/>
    <w:basedOn w:val="1"/>
    <w:link w:val="39"/>
    <w:qFormat/>
    <w:uiPriority w:val="99"/>
    <w:rPr>
      <w:rFonts w:ascii="宋体" w:hAnsi="Courier New"/>
      <w:szCs w:val="20"/>
    </w:rPr>
  </w:style>
  <w:style w:type="paragraph" w:styleId="14">
    <w:name w:val="Date"/>
    <w:basedOn w:val="1"/>
    <w:next w:val="1"/>
    <w:link w:val="40"/>
    <w:qFormat/>
    <w:uiPriority w:val="99"/>
    <w:rPr>
      <w:rFonts w:eastAsia="楷体_GB2312"/>
      <w:sz w:val="24"/>
      <w:szCs w:val="20"/>
    </w:rPr>
  </w:style>
  <w:style w:type="paragraph" w:styleId="15">
    <w:name w:val="Body Text Indent 2"/>
    <w:basedOn w:val="1"/>
    <w:link w:val="41"/>
    <w:qFormat/>
    <w:uiPriority w:val="99"/>
    <w:pPr>
      <w:ind w:firstLine="480"/>
    </w:pPr>
    <w:rPr>
      <w:rFonts w:ascii="宋体" w:hAnsi="宋体"/>
      <w:sz w:val="30"/>
    </w:rPr>
  </w:style>
  <w:style w:type="paragraph" w:styleId="16">
    <w:name w:val="footer"/>
    <w:basedOn w:val="1"/>
    <w:link w:val="42"/>
    <w:qFormat/>
    <w:uiPriority w:val="99"/>
    <w:pPr>
      <w:tabs>
        <w:tab w:val="center" w:pos="4153"/>
        <w:tab w:val="right" w:pos="8306"/>
      </w:tabs>
      <w:snapToGrid w:val="0"/>
      <w:jc w:val="left"/>
    </w:pPr>
    <w:rPr>
      <w:sz w:val="18"/>
      <w:szCs w:val="18"/>
    </w:rPr>
  </w:style>
  <w:style w:type="paragraph" w:styleId="17">
    <w:name w:val="Body Text First Indent 2"/>
    <w:basedOn w:val="1"/>
    <w:qFormat/>
    <w:locked/>
    <w:uiPriority w:val="0"/>
    <w:pPr>
      <w:spacing w:after="120" w:afterLines="0"/>
      <w:ind w:left="420" w:leftChars="200" w:firstLine="420" w:firstLineChars="200"/>
    </w:pPr>
    <w:rPr>
      <w:sz w:val="21"/>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5"/>
    <w:qFormat/>
    <w:uiPriority w:val="99"/>
    <w:pPr>
      <w:snapToGrid w:val="0"/>
      <w:jc w:val="left"/>
    </w:pPr>
    <w:rPr>
      <w:sz w:val="18"/>
      <w:szCs w:val="20"/>
    </w:rPr>
  </w:style>
  <w:style w:type="paragraph" w:styleId="22">
    <w:name w:val="Body Text 2"/>
    <w:basedOn w:val="1"/>
    <w:link w:val="45"/>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800080"/>
      <w:u w:val="single"/>
    </w:rPr>
  </w:style>
  <w:style w:type="character" w:styleId="28">
    <w:name w:val="Emphasis"/>
    <w:basedOn w:val="24"/>
    <w:qFormat/>
    <w:uiPriority w:val="99"/>
    <w:rPr>
      <w:rFonts w:cs="Times New Roman"/>
      <w:i/>
    </w:rPr>
  </w:style>
  <w:style w:type="character" w:styleId="29">
    <w:name w:val="Hyperlink"/>
    <w:basedOn w:val="24"/>
    <w:qFormat/>
    <w:uiPriority w:val="99"/>
    <w:rPr>
      <w:rFonts w:cs="Times New Roman"/>
      <w:color w:val="0000FF"/>
      <w:u w:val="single"/>
    </w:rPr>
  </w:style>
  <w:style w:type="character" w:styleId="30">
    <w:name w:val="footnote reference"/>
    <w:basedOn w:val="24"/>
    <w:qFormat/>
    <w:uiPriority w:val="99"/>
    <w:rPr>
      <w:rFonts w:cs="Times New Roman"/>
      <w:vertAlign w:val="superscript"/>
    </w:rPr>
  </w:style>
  <w:style w:type="table" w:styleId="32">
    <w:name w:val="Table Grid"/>
    <w:basedOn w:val="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Heading 1 Char"/>
    <w:basedOn w:val="24"/>
    <w:link w:val="3"/>
    <w:qFormat/>
    <w:locked/>
    <w:uiPriority w:val="99"/>
    <w:rPr>
      <w:rFonts w:cs="Times New Roman"/>
      <w:b/>
      <w:bCs/>
      <w:kern w:val="44"/>
      <w:sz w:val="44"/>
      <w:szCs w:val="44"/>
    </w:rPr>
  </w:style>
  <w:style w:type="character" w:customStyle="1" w:styleId="34">
    <w:name w:val="Heading 2 Char"/>
    <w:basedOn w:val="24"/>
    <w:link w:val="4"/>
    <w:semiHidden/>
    <w:qFormat/>
    <w:locked/>
    <w:uiPriority w:val="99"/>
    <w:rPr>
      <w:rFonts w:ascii="Cambria" w:hAnsi="Cambria" w:eastAsia="宋体" w:cs="Times New Roman"/>
      <w:b/>
      <w:bCs/>
      <w:sz w:val="32"/>
      <w:szCs w:val="32"/>
    </w:rPr>
  </w:style>
  <w:style w:type="character" w:customStyle="1" w:styleId="35">
    <w:name w:val="Heading 3 Char"/>
    <w:basedOn w:val="24"/>
    <w:link w:val="6"/>
    <w:semiHidden/>
    <w:qFormat/>
    <w:locked/>
    <w:uiPriority w:val="99"/>
    <w:rPr>
      <w:rFonts w:cs="Times New Roman"/>
      <w:b/>
      <w:bCs/>
      <w:sz w:val="32"/>
      <w:szCs w:val="32"/>
    </w:rPr>
  </w:style>
  <w:style w:type="character" w:customStyle="1" w:styleId="36">
    <w:name w:val="Heading 4 Char"/>
    <w:basedOn w:val="24"/>
    <w:link w:val="7"/>
    <w:semiHidden/>
    <w:qFormat/>
    <w:locked/>
    <w:uiPriority w:val="99"/>
    <w:rPr>
      <w:rFonts w:ascii="Cambria" w:hAnsi="Cambria" w:eastAsia="宋体" w:cs="Times New Roman"/>
      <w:b/>
      <w:bCs/>
      <w:sz w:val="28"/>
      <w:szCs w:val="28"/>
    </w:rPr>
  </w:style>
  <w:style w:type="character" w:customStyle="1" w:styleId="37">
    <w:name w:val="Body Text Char"/>
    <w:basedOn w:val="24"/>
    <w:link w:val="11"/>
    <w:semiHidden/>
    <w:qFormat/>
    <w:locked/>
    <w:uiPriority w:val="99"/>
    <w:rPr>
      <w:rFonts w:cs="Times New Roman"/>
      <w:sz w:val="24"/>
      <w:szCs w:val="24"/>
    </w:rPr>
  </w:style>
  <w:style w:type="character" w:customStyle="1" w:styleId="38">
    <w:name w:val="Body Text Indent Char"/>
    <w:basedOn w:val="24"/>
    <w:link w:val="12"/>
    <w:semiHidden/>
    <w:qFormat/>
    <w:locked/>
    <w:uiPriority w:val="99"/>
    <w:rPr>
      <w:rFonts w:cs="Times New Roman"/>
      <w:sz w:val="24"/>
      <w:szCs w:val="24"/>
    </w:rPr>
  </w:style>
  <w:style w:type="character" w:customStyle="1" w:styleId="39">
    <w:name w:val="Plain Text Char"/>
    <w:basedOn w:val="24"/>
    <w:link w:val="13"/>
    <w:semiHidden/>
    <w:qFormat/>
    <w:locked/>
    <w:uiPriority w:val="99"/>
    <w:rPr>
      <w:rFonts w:ascii="宋体" w:hAnsi="Courier New" w:cs="Courier New"/>
      <w:sz w:val="21"/>
      <w:szCs w:val="21"/>
    </w:rPr>
  </w:style>
  <w:style w:type="character" w:customStyle="1" w:styleId="40">
    <w:name w:val="Date Char"/>
    <w:basedOn w:val="24"/>
    <w:link w:val="14"/>
    <w:semiHidden/>
    <w:qFormat/>
    <w:locked/>
    <w:uiPriority w:val="99"/>
    <w:rPr>
      <w:rFonts w:cs="Times New Roman"/>
      <w:sz w:val="24"/>
      <w:szCs w:val="24"/>
    </w:rPr>
  </w:style>
  <w:style w:type="character" w:customStyle="1" w:styleId="41">
    <w:name w:val="Body Text Indent 2 Char"/>
    <w:basedOn w:val="24"/>
    <w:link w:val="15"/>
    <w:semiHidden/>
    <w:qFormat/>
    <w:locked/>
    <w:uiPriority w:val="99"/>
    <w:rPr>
      <w:rFonts w:cs="Times New Roman"/>
      <w:sz w:val="24"/>
      <w:szCs w:val="24"/>
    </w:rPr>
  </w:style>
  <w:style w:type="character" w:customStyle="1" w:styleId="42">
    <w:name w:val="Footer Char"/>
    <w:basedOn w:val="24"/>
    <w:link w:val="16"/>
    <w:semiHidden/>
    <w:qFormat/>
    <w:locked/>
    <w:uiPriority w:val="99"/>
    <w:rPr>
      <w:rFonts w:cs="Times New Roman"/>
      <w:sz w:val="18"/>
      <w:szCs w:val="18"/>
    </w:rPr>
  </w:style>
  <w:style w:type="character" w:customStyle="1" w:styleId="43">
    <w:name w:val="Header Char"/>
    <w:basedOn w:val="24"/>
    <w:link w:val="18"/>
    <w:semiHidden/>
    <w:qFormat/>
    <w:locked/>
    <w:uiPriority w:val="99"/>
    <w:rPr>
      <w:rFonts w:cs="Times New Roman"/>
      <w:sz w:val="18"/>
      <w:szCs w:val="18"/>
    </w:rPr>
  </w:style>
  <w:style w:type="character" w:customStyle="1" w:styleId="44">
    <w:name w:val="Footnote Text Char"/>
    <w:basedOn w:val="24"/>
    <w:link w:val="21"/>
    <w:qFormat/>
    <w:locked/>
    <w:uiPriority w:val="99"/>
    <w:rPr>
      <w:kern w:val="2"/>
      <w:sz w:val="18"/>
    </w:rPr>
  </w:style>
  <w:style w:type="character" w:customStyle="1" w:styleId="45">
    <w:name w:val="Body Text 2 Char"/>
    <w:basedOn w:val="24"/>
    <w:link w:val="22"/>
    <w:semiHidden/>
    <w:qFormat/>
    <w:locked/>
    <w:uiPriority w:val="99"/>
    <w:rPr>
      <w:rFonts w:cs="Times New Roman"/>
      <w:sz w:val="24"/>
      <w:szCs w:val="24"/>
    </w:rPr>
  </w:style>
  <w:style w:type="character" w:customStyle="1" w:styleId="46">
    <w:name w:val="fn11"/>
    <w:qFormat/>
    <w:uiPriority w:val="99"/>
    <w:rPr>
      <w:color w:val="116095"/>
      <w:sz w:val="24"/>
    </w:rPr>
  </w:style>
  <w:style w:type="character" w:customStyle="1" w:styleId="47">
    <w:name w:val="font01"/>
    <w:basedOn w:val="24"/>
    <w:qFormat/>
    <w:uiPriority w:val="99"/>
    <w:rPr>
      <w:rFonts w:ascii="宋体" w:hAnsi="宋体" w:eastAsia="宋体" w:cs="Times New Roman"/>
      <w:b/>
      <w:bCs/>
      <w:color w:val="FF0000"/>
      <w:sz w:val="22"/>
      <w:szCs w:val="22"/>
      <w:u w:val="none"/>
    </w:rPr>
  </w:style>
  <w:style w:type="character" w:customStyle="1" w:styleId="48">
    <w:name w:val="point_normal1"/>
    <w:qFormat/>
    <w:uiPriority w:val="99"/>
    <w:rPr>
      <w:rFonts w:ascii="Arial" w:hAnsi="Arial"/>
      <w:sz w:val="18"/>
    </w:rPr>
  </w:style>
  <w:style w:type="character" w:customStyle="1" w:styleId="49">
    <w:name w:val="title_emph1"/>
    <w:qFormat/>
    <w:uiPriority w:val="99"/>
    <w:rPr>
      <w:rFonts w:ascii="Arial" w:hAnsi="Arial"/>
      <w:b/>
      <w:sz w:val="20"/>
    </w:rPr>
  </w:style>
  <w:style w:type="character" w:customStyle="1" w:styleId="50">
    <w:name w:val="font121"/>
    <w:qFormat/>
    <w:uiPriority w:val="99"/>
    <w:rPr>
      <w:rFonts w:ascii="黑体" w:hAnsi="宋体" w:eastAsia="黑体"/>
      <w:b/>
      <w:color w:val="000000"/>
      <w:sz w:val="20"/>
      <w:u w:val="none"/>
    </w:rPr>
  </w:style>
  <w:style w:type="character" w:customStyle="1" w:styleId="51">
    <w:name w:val="font41"/>
    <w:qFormat/>
    <w:uiPriority w:val="99"/>
    <w:rPr>
      <w:rFonts w:ascii="宋体" w:hAnsi="宋体" w:eastAsia="宋体"/>
      <w:color w:val="000000"/>
      <w:sz w:val="20"/>
      <w:u w:val="none"/>
    </w:rPr>
  </w:style>
  <w:style w:type="character" w:customStyle="1" w:styleId="52">
    <w:name w:val="font21"/>
    <w:qFormat/>
    <w:uiPriority w:val="99"/>
    <w:rPr>
      <w:rFonts w:ascii="宋体" w:hAnsi="宋体" w:eastAsia="宋体"/>
      <w:b/>
      <w:color w:val="000000"/>
      <w:sz w:val="20"/>
      <w:u w:val="none"/>
    </w:rPr>
  </w:style>
  <w:style w:type="character" w:customStyle="1" w:styleId="53">
    <w:name w:val="Default Text Char"/>
    <w:link w:val="54"/>
    <w:qFormat/>
    <w:locked/>
    <w:uiPriority w:val="99"/>
    <w:rPr>
      <w:color w:val="000000"/>
      <w:sz w:val="24"/>
      <w:lang w:val="en-US" w:eastAsia="zh-CN"/>
    </w:rPr>
  </w:style>
  <w:style w:type="paragraph" w:customStyle="1" w:styleId="54">
    <w:name w:val="Default Text"/>
    <w:link w:val="53"/>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55">
    <w:name w:val="font91"/>
    <w:qFormat/>
    <w:uiPriority w:val="99"/>
    <w:rPr>
      <w:rFonts w:ascii="Arial" w:hAnsi="Arial"/>
      <w:b/>
      <w:color w:val="000000"/>
      <w:sz w:val="20"/>
      <w:u w:val="none"/>
    </w:rPr>
  </w:style>
  <w:style w:type="paragraph" w:customStyle="1" w:styleId="56">
    <w:name w:val="缺省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7">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9">
    <w:name w:val="正文1"/>
    <w:basedOn w:val="1"/>
    <w:qFormat/>
    <w:uiPriority w:val="99"/>
    <w:pPr>
      <w:spacing w:after="120" w:line="360" w:lineRule="auto"/>
      <w:ind w:firstLine="425"/>
    </w:pPr>
    <w:rPr>
      <w:rFonts w:ascii="Arial" w:hAnsi="Arial"/>
      <w:spacing w:val="8"/>
      <w:sz w:val="24"/>
      <w:szCs w:val="20"/>
    </w:rPr>
  </w:style>
  <w:style w:type="paragraph" w:customStyle="1" w:styleId="60">
    <w:name w:val="xl23"/>
    <w:basedOn w:val="1"/>
    <w:qFormat/>
    <w:uiPriority w:val="99"/>
    <w:pPr>
      <w:widowControl/>
      <w:spacing w:before="100" w:beforeAutospacing="1" w:after="100" w:afterAutospacing="1"/>
      <w:jc w:val="center"/>
    </w:pPr>
    <w:rPr>
      <w:kern w:val="0"/>
      <w:szCs w:val="21"/>
    </w:rPr>
  </w:style>
  <w:style w:type="paragraph" w:customStyle="1" w:styleId="61">
    <w:name w:val="表格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62">
    <w:name w:val="Default"/>
    <w:qFormat/>
    <w:uiPriority w:val="99"/>
    <w:pPr>
      <w:widowControl w:val="0"/>
      <w:autoSpaceDE w:val="0"/>
      <w:autoSpaceDN w:val="0"/>
      <w:adjustRightInd w:val="0"/>
    </w:pPr>
    <w:rPr>
      <w:rFonts w:ascii="Arial" w:hAnsi="Arial" w:eastAsia="宋体" w:cs="Times New Roman"/>
      <w:color w:val="000000"/>
      <w:kern w:val="0"/>
      <w:sz w:val="24"/>
      <w:szCs w:val="24"/>
      <w:lang w:val="en-US" w:eastAsia="zh-CN" w:bidi="ar-SA"/>
    </w:rPr>
  </w:style>
  <w:style w:type="paragraph" w:customStyle="1" w:styleId="63">
    <w:name w:val="p0"/>
    <w:basedOn w:val="1"/>
    <w:qFormat/>
    <w:uiPriority w:val="99"/>
    <w:pPr>
      <w:widowControl/>
    </w:pPr>
    <w:rPr>
      <w:b/>
      <w:bCs/>
      <w:kern w:val="0"/>
      <w:sz w:val="52"/>
      <w:szCs w:val="52"/>
    </w:rPr>
  </w:style>
  <w:style w:type="paragraph" w:customStyle="1" w:styleId="64">
    <w:name w:val="Date1"/>
    <w:basedOn w:val="1"/>
    <w:next w:val="1"/>
    <w:qFormat/>
    <w:uiPriority w:val="99"/>
    <w:pPr>
      <w:overflowPunct w:val="0"/>
      <w:autoSpaceDE w:val="0"/>
      <w:autoSpaceDN w:val="0"/>
      <w:adjustRightInd w:val="0"/>
    </w:pPr>
    <w:rPr>
      <w:rFonts w:ascii="宋体"/>
      <w:szCs w:val="20"/>
    </w:rPr>
  </w:style>
  <w:style w:type="character" w:customStyle="1" w:styleId="65">
    <w:name w:val="Footnote Text Char1"/>
    <w:basedOn w:val="24"/>
    <w:link w:val="21"/>
    <w:semiHidden/>
    <w:qFormat/>
    <w:locked/>
    <w:uiPriority w:val="99"/>
    <w:rPr>
      <w:rFonts w:cs="Times New Roman"/>
      <w:sz w:val="18"/>
      <w:szCs w:val="18"/>
    </w:rPr>
  </w:style>
  <w:style w:type="paragraph" w:customStyle="1" w:styleId="66">
    <w:name w:val="WPS Plain"/>
    <w:qFormat/>
    <w:uiPriority w:val="99"/>
    <w:rPr>
      <w:rFonts w:ascii="Times New Roman" w:hAnsi="Times New Roman" w:eastAsia="宋体" w:cs="Times New Roman"/>
      <w:kern w:val="0"/>
      <w:sz w:val="20"/>
      <w:szCs w:val="20"/>
      <w:lang w:val="en-US" w:eastAsia="zh-CN" w:bidi="ar-SA"/>
    </w:rPr>
  </w:style>
  <w:style w:type="paragraph" w:customStyle="1" w:styleId="67">
    <w:name w:val="CM20"/>
    <w:basedOn w:val="62"/>
    <w:next w:val="62"/>
    <w:qFormat/>
    <w:uiPriority w:val="99"/>
    <w:pPr>
      <w:spacing w:after="263"/>
    </w:pPr>
    <w:rPr>
      <w:color w:val="auto"/>
    </w:rPr>
  </w:style>
  <w:style w:type="paragraph" w:customStyle="1" w:styleId="68">
    <w:name w:val="List Paragraph1"/>
    <w:basedOn w:val="1"/>
    <w:qFormat/>
    <w:uiPriority w:val="99"/>
    <w:pPr>
      <w:ind w:firstLine="420" w:firstLineChars="200"/>
    </w:pPr>
    <w:rPr>
      <w:rFonts w:ascii="Calibri" w:hAnsi="Calibri" w:cs="黑体"/>
      <w:szCs w:val="21"/>
    </w:rPr>
  </w:style>
  <w:style w:type="character" w:customStyle="1" w:styleId="69">
    <w:name w:val="font71"/>
    <w:basedOn w:val="24"/>
    <w:qFormat/>
    <w:uiPriority w:val="99"/>
    <w:rPr>
      <w:rFonts w:ascii="宋体" w:hAnsi="宋体" w:eastAsia="宋体" w:cs="宋体"/>
      <w:color w:val="000000"/>
      <w:sz w:val="22"/>
      <w:szCs w:val="22"/>
      <w:u w:val="none"/>
    </w:rPr>
  </w:style>
  <w:style w:type="character" w:customStyle="1" w:styleId="70">
    <w:name w:val="font11"/>
    <w:basedOn w:val="24"/>
    <w:qFormat/>
    <w:uiPriority w:val="99"/>
    <w:rPr>
      <w:rFonts w:ascii="Arial Narrow" w:hAnsi="Arial Narrow" w:eastAsia="Times New Roman" w:cs="Arial Narrow"/>
      <w:color w:val="000000"/>
      <w:sz w:val="22"/>
      <w:szCs w:val="22"/>
      <w:u w:val="none"/>
    </w:rPr>
  </w:style>
  <w:style w:type="character" w:customStyle="1" w:styleId="71">
    <w:name w:val="font31"/>
    <w:basedOn w:val="24"/>
    <w:qFormat/>
    <w:uiPriority w:val="0"/>
    <w:rPr>
      <w:rFonts w:hint="default" w:ascii="Tahoma" w:hAnsi="Tahoma" w:eastAsia="Tahoma" w:cs="Tahoma"/>
      <w:color w:val="000000"/>
      <w:sz w:val="24"/>
      <w:szCs w:val="24"/>
      <w:u w:val="none"/>
    </w:rPr>
  </w:style>
  <w:style w:type="character" w:customStyle="1" w:styleId="72">
    <w:name w:val="font111"/>
    <w:basedOn w:val="24"/>
    <w:qFormat/>
    <w:uiPriority w:val="0"/>
    <w:rPr>
      <w:rFonts w:hint="eastAsia" w:ascii="宋体" w:hAnsi="宋体" w:eastAsia="宋体" w:cs="宋体"/>
      <w:color w:val="000000"/>
      <w:sz w:val="20"/>
      <w:szCs w:val="20"/>
      <w:u w:val="none"/>
    </w:rPr>
  </w:style>
  <w:style w:type="character" w:customStyle="1" w:styleId="73">
    <w:name w:val="font81"/>
    <w:basedOn w:val="24"/>
    <w:qFormat/>
    <w:uiPriority w:val="0"/>
    <w:rPr>
      <w:rFonts w:hint="default" w:ascii="Tahoma" w:hAnsi="Tahoma" w:eastAsia="Tahoma" w:cs="Tahoma"/>
      <w:color w:val="000000"/>
      <w:sz w:val="22"/>
      <w:szCs w:val="22"/>
      <w:u w:val="none"/>
    </w:rPr>
  </w:style>
  <w:style w:type="character" w:customStyle="1" w:styleId="74">
    <w:name w:val="font101"/>
    <w:basedOn w:val="24"/>
    <w:qFormat/>
    <w:uiPriority w:val="0"/>
    <w:rPr>
      <w:rFonts w:hint="eastAsia" w:ascii="宋体" w:hAnsi="宋体" w:eastAsia="宋体" w:cs="宋体"/>
      <w:color w:val="000000"/>
      <w:sz w:val="22"/>
      <w:szCs w:val="22"/>
      <w:u w:val="none"/>
    </w:rPr>
  </w:style>
  <w:style w:type="paragraph" w:customStyle="1" w:styleId="75">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6">
    <w:name w:val="16"/>
    <w:basedOn w:val="24"/>
    <w:qFormat/>
    <w:uiPriority w:val="0"/>
    <w:rPr>
      <w:rFonts w:hint="default" w:ascii="Cambria" w:hAnsi="Cambria"/>
      <w:b/>
      <w:bCs/>
      <w:sz w:val="32"/>
      <w:szCs w:val="32"/>
    </w:rPr>
  </w:style>
  <w:style w:type="character" w:customStyle="1" w:styleId="77">
    <w:name w:val="15"/>
    <w:basedOn w:val="24"/>
    <w:qFormat/>
    <w:uiPriority w:val="0"/>
    <w:rPr>
      <w:rFonts w:hint="default" w:ascii="Times New Roman" w:hAnsi="Times New Roman" w:cs="Times New Roman"/>
    </w:rPr>
  </w:style>
  <w:style w:type="paragraph" w:styleId="78">
    <w:name w:val="List Paragraph"/>
    <w:basedOn w:val="1"/>
    <w:qFormat/>
    <w:uiPriority w:val="34"/>
    <w:pPr>
      <w:ind w:firstLine="420" w:firstLineChars="200"/>
    </w:pPr>
  </w:style>
  <w:style w:type="paragraph" w:customStyle="1" w:styleId="79">
    <w:name w:val="No Spacing"/>
    <w:basedOn w:val="1"/>
    <w:qFormat/>
    <w:uiPriority w:val="0"/>
  </w:style>
  <w:style w:type="paragraph" w:customStyle="1" w:styleId="80">
    <w:name w:val="样式3"/>
    <w:basedOn w:val="13"/>
    <w:qFormat/>
    <w:uiPriority w:val="0"/>
    <w:pPr>
      <w:spacing w:line="0" w:lineRule="atLeast"/>
      <w:outlineLvl w:val="0"/>
    </w:pPr>
    <w:rPr>
      <w:sz w:val="28"/>
    </w:rPr>
  </w:style>
  <w:style w:type="character" w:customStyle="1" w:styleId="81">
    <w:name w:val="标题 3 Char"/>
    <w:basedOn w:val="24"/>
    <w:link w:val="6"/>
    <w:qFormat/>
    <w:uiPriority w:val="0"/>
    <w:rPr>
      <w:rFonts w:ascii="Times New Roman" w:hAnsi="Times New Roman" w:eastAsia="宋体"/>
      <w:b/>
      <w:bCs/>
      <w:sz w:val="24"/>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zfcgzx</Company>
  <Pages>44</Pages>
  <Words>4046</Words>
  <Characters>23067</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KaiYuan</cp:lastModifiedBy>
  <cp:lastPrinted>2019-12-25T10:08:00Z</cp:lastPrinted>
  <dcterms:modified xsi:type="dcterms:W3CDTF">2020-04-27T09:39:30Z</dcterms:modified>
  <dc:title>第一章  投标邀请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