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jc w:val="left"/>
        <w:textAlignment w:val="auto"/>
        <w:rPr>
          <w:rFonts w:hint="eastAsia" w:ascii="仿宋" w:hAnsi="仿宋" w:eastAsia="仿宋" w:cs="仿宋"/>
          <w:b w:val="0"/>
          <w:bCs w:val="0"/>
          <w:kern w:val="0"/>
          <w:sz w:val="28"/>
          <w:szCs w:val="28"/>
          <w:u w:color="000000"/>
          <w:lang w:val="en-US" w:eastAsia="zh-CN"/>
        </w:rPr>
      </w:pPr>
      <w:r>
        <w:rPr>
          <w:rFonts w:hint="eastAsia" w:ascii="仿宋" w:hAnsi="仿宋" w:eastAsia="仿宋" w:cs="仿宋"/>
          <w:b w:val="0"/>
          <w:bCs w:val="0"/>
          <w:kern w:val="0"/>
          <w:sz w:val="28"/>
          <w:szCs w:val="28"/>
          <w:u w:color="000000"/>
          <w:lang w:val="en-US" w:eastAsia="zh-CN"/>
        </w:rPr>
        <w:t>巩留县第三中学教学设备一批采购项目七标段：</w:t>
      </w:r>
    </w:p>
    <w:p>
      <w:pPr>
        <w:jc w:val="left"/>
        <w:rPr>
          <w:rFonts w:hint="eastAsia" w:ascii="仿宋" w:hAnsi="仿宋" w:eastAsia="仿宋" w:cs="仿宋"/>
          <w:b w:val="0"/>
          <w:bCs w:val="0"/>
          <w:kern w:val="0"/>
          <w:sz w:val="28"/>
          <w:szCs w:val="28"/>
          <w:u w:color="000000"/>
          <w:lang w:val="en-US" w:eastAsia="zh-CN"/>
        </w:rPr>
      </w:pPr>
      <w:bookmarkStart w:id="0" w:name="_GoBack"/>
      <w:bookmarkEnd w:id="0"/>
      <w:r>
        <w:rPr>
          <w:rFonts w:hint="eastAsia" w:ascii="仿宋" w:hAnsi="仿宋" w:eastAsia="仿宋" w:cs="仿宋"/>
          <w:b w:val="0"/>
          <w:bCs w:val="0"/>
          <w:kern w:val="0"/>
          <w:sz w:val="28"/>
          <w:szCs w:val="28"/>
          <w:u w:color="000000"/>
          <w:lang w:val="en-US" w:eastAsia="zh-CN"/>
        </w:rPr>
        <w:t>项目清单及参数要求：</w:t>
      </w:r>
    </w:p>
    <w:tbl>
      <w:tblPr>
        <w:tblStyle w:val="3"/>
        <w:tblW w:w="98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0"/>
        <w:gridCol w:w="108"/>
        <w:gridCol w:w="1450"/>
        <w:gridCol w:w="108"/>
        <w:gridCol w:w="6454"/>
        <w:gridCol w:w="108"/>
        <w:gridCol w:w="449"/>
        <w:gridCol w:w="108"/>
        <w:gridCol w:w="6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tcMar>
              <w:left w:w="0" w:type="dxa"/>
              <w:right w:w="0" w:type="dxa"/>
            </w:tcMar>
            <w:vAlign w:val="center"/>
          </w:tcPr>
          <w:p>
            <w:pPr>
              <w:widowControl/>
              <w:jc w:val="center"/>
              <w:rPr>
                <w:rFonts w:hint="eastAsia" w:ascii="仿宋" w:hAnsi="仿宋" w:eastAsia="仿宋" w:cs="仿宋"/>
                <w:b/>
                <w:bCs/>
                <w:color w:val="000000"/>
                <w:kern w:val="0"/>
                <w:sz w:val="24"/>
              </w:rPr>
            </w:pPr>
            <w:r>
              <w:rPr>
                <w:rFonts w:hint="eastAsia" w:ascii="仿宋" w:hAnsi="仿宋" w:eastAsia="仿宋" w:cs="仿宋"/>
                <w:b/>
                <w:bCs/>
                <w:color w:val="000000"/>
                <w:kern w:val="0"/>
                <w:sz w:val="24"/>
              </w:rPr>
              <w:t>序号</w:t>
            </w:r>
          </w:p>
        </w:tc>
        <w:tc>
          <w:tcPr>
            <w:tcW w:w="1558" w:type="dxa"/>
            <w:gridSpan w:val="2"/>
            <w:noWrap w:val="0"/>
            <w:tcMar>
              <w:left w:w="0" w:type="dxa"/>
              <w:right w:w="0" w:type="dxa"/>
            </w:tcMar>
            <w:vAlign w:val="center"/>
          </w:tcPr>
          <w:p>
            <w:pPr>
              <w:widowControl/>
              <w:jc w:val="center"/>
              <w:rPr>
                <w:rFonts w:hint="eastAsia" w:ascii="仿宋" w:hAnsi="仿宋" w:eastAsia="仿宋" w:cs="仿宋"/>
                <w:b/>
                <w:bCs/>
                <w:color w:val="000000"/>
                <w:kern w:val="0"/>
                <w:sz w:val="24"/>
              </w:rPr>
            </w:pPr>
            <w:r>
              <w:rPr>
                <w:rFonts w:hint="eastAsia" w:ascii="仿宋" w:hAnsi="仿宋" w:eastAsia="仿宋" w:cs="仿宋"/>
                <w:b/>
                <w:bCs/>
                <w:color w:val="000000"/>
                <w:kern w:val="0"/>
                <w:sz w:val="24"/>
              </w:rPr>
              <w:t>设备名称</w:t>
            </w:r>
          </w:p>
        </w:tc>
        <w:tc>
          <w:tcPr>
            <w:tcW w:w="6562" w:type="dxa"/>
            <w:gridSpan w:val="2"/>
            <w:noWrap w:val="0"/>
            <w:tcMar>
              <w:left w:w="0" w:type="dxa"/>
              <w:right w:w="0" w:type="dxa"/>
            </w:tcMar>
            <w:vAlign w:val="center"/>
          </w:tcPr>
          <w:p>
            <w:pPr>
              <w:widowControl/>
              <w:jc w:val="center"/>
              <w:rPr>
                <w:rFonts w:hint="eastAsia" w:ascii="仿宋" w:hAnsi="仿宋" w:eastAsia="仿宋" w:cs="仿宋"/>
                <w:b/>
                <w:bCs/>
                <w:color w:val="000000"/>
                <w:kern w:val="0"/>
                <w:sz w:val="24"/>
              </w:rPr>
            </w:pPr>
            <w:r>
              <w:rPr>
                <w:rFonts w:hint="eastAsia" w:ascii="仿宋" w:hAnsi="仿宋" w:eastAsia="仿宋" w:cs="仿宋"/>
                <w:b/>
                <w:bCs/>
                <w:color w:val="000000"/>
                <w:kern w:val="0"/>
                <w:sz w:val="24"/>
                <w:lang w:val="en-US" w:eastAsia="zh-CN"/>
              </w:rPr>
              <w:t>规格及</w:t>
            </w:r>
            <w:r>
              <w:rPr>
                <w:rFonts w:hint="eastAsia" w:ascii="仿宋" w:hAnsi="仿宋" w:eastAsia="仿宋" w:cs="仿宋"/>
                <w:b/>
                <w:bCs/>
                <w:color w:val="000000"/>
                <w:kern w:val="0"/>
                <w:sz w:val="24"/>
              </w:rPr>
              <w:t>参数要求</w:t>
            </w:r>
          </w:p>
        </w:tc>
        <w:tc>
          <w:tcPr>
            <w:tcW w:w="557" w:type="dxa"/>
            <w:gridSpan w:val="2"/>
            <w:noWrap w:val="0"/>
            <w:tcMar>
              <w:left w:w="0" w:type="dxa"/>
              <w:right w:w="0" w:type="dxa"/>
            </w:tcMar>
            <w:vAlign w:val="center"/>
          </w:tcPr>
          <w:p>
            <w:pPr>
              <w:widowControl/>
              <w:jc w:val="center"/>
              <w:rPr>
                <w:rFonts w:hint="default" w:ascii="仿宋" w:hAnsi="仿宋" w:eastAsia="仿宋" w:cs="仿宋"/>
                <w:b/>
                <w:bCs/>
                <w:color w:val="000000"/>
                <w:kern w:val="0"/>
                <w:sz w:val="24"/>
                <w:lang w:val="en-US" w:eastAsia="zh-CN"/>
              </w:rPr>
            </w:pPr>
            <w:r>
              <w:rPr>
                <w:rFonts w:hint="eastAsia" w:ascii="仿宋" w:hAnsi="仿宋" w:eastAsia="仿宋" w:cs="仿宋"/>
                <w:b/>
                <w:bCs/>
                <w:color w:val="000000"/>
                <w:kern w:val="0"/>
                <w:sz w:val="24"/>
                <w:lang w:val="en-US" w:eastAsia="zh-CN"/>
              </w:rPr>
              <w:t>数量</w:t>
            </w:r>
          </w:p>
        </w:tc>
        <w:tc>
          <w:tcPr>
            <w:tcW w:w="677" w:type="dxa"/>
            <w:noWrap w:val="0"/>
            <w:tcMar>
              <w:left w:w="0" w:type="dxa"/>
              <w:right w:w="0" w:type="dxa"/>
            </w:tcMar>
            <w:vAlign w:val="center"/>
          </w:tcPr>
          <w:p>
            <w:pPr>
              <w:widowControl/>
              <w:jc w:val="center"/>
              <w:rPr>
                <w:rFonts w:hint="eastAsia" w:ascii="仿宋" w:hAnsi="仿宋" w:eastAsia="仿宋" w:cs="仿宋"/>
                <w:b/>
                <w:bCs/>
                <w:color w:val="000000"/>
                <w:kern w:val="0"/>
                <w:sz w:val="24"/>
              </w:rPr>
            </w:pPr>
            <w:r>
              <w:rPr>
                <w:rFonts w:hint="eastAsia" w:ascii="仿宋" w:hAnsi="仿宋" w:eastAsia="仿宋" w:cs="仿宋"/>
                <w:b/>
                <w:bCs/>
                <w:color w:val="000000"/>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9812" w:type="dxa"/>
            <w:gridSpan w:val="9"/>
            <w:noWrap w:val="0"/>
            <w:vAlign w:val="center"/>
          </w:tcPr>
          <w:p>
            <w:pPr>
              <w:widowControl/>
              <w:spacing w:line="276" w:lineRule="auto"/>
              <w:jc w:val="center"/>
              <w:textAlignment w:val="center"/>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学校阅卷系统设备清单及参数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center"/>
          </w:tcPr>
          <w:p>
            <w:pPr>
              <w:widowControl/>
              <w:spacing w:line="360" w:lineRule="exact"/>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lang w:bidi="ar"/>
              </w:rPr>
              <w:t>1</w:t>
            </w:r>
          </w:p>
        </w:tc>
        <w:tc>
          <w:tcPr>
            <w:tcW w:w="1558" w:type="dxa"/>
            <w:gridSpan w:val="2"/>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学校识别客户端（软件）</w:t>
            </w:r>
          </w:p>
        </w:tc>
        <w:tc>
          <w:tcPr>
            <w:tcW w:w="6562" w:type="dxa"/>
            <w:gridSpan w:val="2"/>
            <w:noWrap w:val="0"/>
            <w:vAlign w:val="center"/>
          </w:tcPr>
          <w:p>
            <w:pPr>
              <w:keepNext w:val="0"/>
              <w:keepLines w:val="0"/>
              <w:widowControl/>
              <w:numPr>
                <w:ilvl w:val="0"/>
                <w:numId w:val="1"/>
              </w:numPr>
              <w:suppressLineNumbers w:val="0"/>
              <w:jc w:val="left"/>
              <w:textAlignment w:val="center"/>
              <w:rPr>
                <w:rFonts w:hint="eastAsia" w:ascii="仿宋" w:hAnsi="仿宋" w:eastAsia="仿宋" w:cs="仿宋"/>
                <w:color w:val="000000"/>
                <w:sz w:val="24"/>
                <w:szCs w:val="24"/>
              </w:rPr>
            </w:pPr>
            <w:r>
              <w:rPr>
                <w:rFonts w:hint="eastAsia" w:ascii="仿宋" w:hAnsi="仿宋" w:eastAsia="仿宋" w:cs="仿宋"/>
                <w:i w:val="0"/>
                <w:iCs w:val="0"/>
                <w:color w:val="000000"/>
                <w:kern w:val="0"/>
                <w:sz w:val="24"/>
                <w:szCs w:val="24"/>
                <w:u w:val="none"/>
                <w:lang w:val="en-US" w:eastAsia="zh-CN" w:bidi="ar"/>
              </w:rPr>
              <w:t>支持手写考号的识别。</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2.拥有实时扫描控制程序，能够支持答卷扫描与考生考号、客观题涂</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3.系统支持同一学生多张答题卡页码的自动识别判断，防止漏页缺页；当两张答题卡有空白页时，支持带空白页的识别。</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4.支持客观题标准答案灵活录入，可以键盘录入、鼠标录入、标准答案填涂后扫描录入、excel 导入。在未完成试卷主观题评判的基础上可对客观题先行处理并导出成绩及正答率的分析。</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5.支持核查未扫描人员名单，持学生单科双张答题卡的制作、扫描及识别: 支持 A、B 卷答题卡制作。</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6.支持系统答题卡模板的编辑、导出，并支持答题卡模板复用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7.必须与教育局原有阅卷系统无缝对接。</w:t>
            </w:r>
          </w:p>
        </w:tc>
        <w:tc>
          <w:tcPr>
            <w:tcW w:w="557"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677" w:type="dxa"/>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center"/>
          </w:tcPr>
          <w:p>
            <w:pPr>
              <w:widowControl/>
              <w:spacing w:line="360" w:lineRule="exact"/>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w:t>
            </w:r>
          </w:p>
        </w:tc>
        <w:tc>
          <w:tcPr>
            <w:tcW w:w="1558" w:type="dxa"/>
            <w:gridSpan w:val="2"/>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阅卷专用高速扫描仪</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szCs w:val="24"/>
              </w:rPr>
            </w:pPr>
            <w:r>
              <w:rPr>
                <w:rFonts w:hint="eastAsia" w:ascii="仿宋" w:hAnsi="仿宋" w:eastAsia="仿宋" w:cs="仿宋"/>
                <w:i w:val="0"/>
                <w:iCs w:val="0"/>
                <w:color w:val="000000"/>
                <w:kern w:val="0"/>
                <w:sz w:val="24"/>
                <w:szCs w:val="24"/>
                <w:u w:val="none"/>
                <w:lang w:val="en-US" w:eastAsia="zh-CN" w:bidi="ar"/>
              </w:rPr>
              <w:t>1.吞吐速度（横向，letter/A4/A3/8K，黑白，灰度，彩色） 300 dpi 彩色扫描≥每分钟 65 页/130 个影像</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2.扫描技术双 CCD ;灰度输出位深为 256 级（8 位）；彩色采集位深为 48 位 (16 x 3)；彩色输出位深为 24 位 (8 x 3)</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3.光学分辨率 600 dpi，照明 双 LED，输出分辨率 100 / 150 / 200 / 240 / 300 / 400 / 600 / 1200 dpi</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4.最大/最小文档长度自动进纸：863.6 毫米（34 英寸）/ 63.5 毫米（2.5 英寸）手动进纸：863.6 毫米（34 英寸）/ 50 毫米（2 英寸）（仅限后部出纸），长文档模式：&gt; 4.1 米（160 英寸）最大长度（扫描仪支持不间断扫描模式），最大/最小文档宽度 自动进纸：305 毫米（12 英寸）/ 63.5 毫米（2.5 英寸），手动进纸：305 毫米（12 英寸）/ 50 毫米（2 英寸），纸张厚度和重量 34-413 g/m2 (9-110 lb.) 纸张</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5.进纸器 ≥ 250 张 75 g/m2 (20 lb.) 纸张</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6.连接性 USB 2.0（与支持 USB 3.0 的 PC 兼容）；包括 USB 3.0 缆线</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7.影像功能 完美页面扫描；智能阈值处理；自适应阈值处理；纠偏；自动裁剪；相对裁剪；强制裁剪；电子滤色；双流扫</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描；互动的色彩、亮度和对比度调整；自动调整方向；自动颜色检测；智能平滑背景颜色；智能图像边缘填充；图像合并；</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基于内容的空白页检测；条纹过滤；影像孔填充；锐化过滤；自动亮度调整；特殊文档模式；连续扫描模式；补丁码；自动照片裁剪；黑白影像分区处理</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8.文件格式输出单页和多页 TIFF、JPEG、RTF、BMP、PDF、可搜索 PDF。</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9.可选附件可以根据业务需要连接 A3 、A4 零边距平板扫描仪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10.电气要求 100-240 V（国际），50-60 Hz</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11.功耗关闭模式：≤1.2 瓦；运行时：≤90 瓦；睡眠模式：≤10 瓦</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12.声学噪音(操作员位置的声音压力水平) 关闭或就绪模式：&lt;40 dB(A)；工作模式：&lt;60 dB(A)</w:t>
            </w:r>
          </w:p>
        </w:tc>
        <w:tc>
          <w:tcPr>
            <w:tcW w:w="557"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677" w:type="dxa"/>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center"/>
          </w:tcPr>
          <w:p>
            <w:pPr>
              <w:widowControl/>
              <w:spacing w:line="360" w:lineRule="exact"/>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w:t>
            </w:r>
          </w:p>
        </w:tc>
        <w:tc>
          <w:tcPr>
            <w:tcW w:w="1558" w:type="dxa"/>
            <w:gridSpan w:val="2"/>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专用条码打印机</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szCs w:val="24"/>
              </w:rPr>
            </w:pPr>
            <w:r>
              <w:rPr>
                <w:rFonts w:hint="eastAsia" w:ascii="仿宋" w:hAnsi="仿宋" w:eastAsia="仿宋" w:cs="仿宋"/>
                <w:i w:val="0"/>
                <w:iCs w:val="0"/>
                <w:color w:val="000000"/>
                <w:kern w:val="0"/>
                <w:sz w:val="24"/>
                <w:szCs w:val="24"/>
                <w:u w:val="none"/>
                <w:lang w:val="en-US" w:eastAsia="zh-CN" w:bidi="ar"/>
              </w:rPr>
              <w:t>主要参数</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1.类型:桌面型标签打印机</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2.打印方式：热敏/热转印打印</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3.采用 32 位高速微处理器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4.最大打印宽度 108mm(203DPI)/106mm(300DPI)</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5.最高打印速度 125mm/s(203DPI)/75mm/s(300DPI)</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6.最大纸卷外径 127mm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7.其它性能，采用热历史和温度自适应控制,支持变动数据连续高速打印,支持各种一维、二维条码打印,采用高品质打印头, 打印头压力可调,可移动式传感器设计,支持多种纸张类型,模块化设计,支持多种通讯接口.</w:t>
            </w:r>
          </w:p>
        </w:tc>
        <w:tc>
          <w:tcPr>
            <w:tcW w:w="557"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677" w:type="dxa"/>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12" w:type="dxa"/>
            <w:gridSpan w:val="9"/>
            <w:noWrap w:val="0"/>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考点设备清单及参数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12" w:type="dxa"/>
            <w:gridSpan w:val="9"/>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巡查中心：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center"/>
          </w:tcPr>
          <w:p>
            <w:pPr>
              <w:widowControl/>
              <w:spacing w:line="360" w:lineRule="exact"/>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w:t>
            </w:r>
          </w:p>
        </w:tc>
        <w:tc>
          <w:tcPr>
            <w:tcW w:w="1558" w:type="dxa"/>
            <w:gridSpan w:val="2"/>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标考高清SIP转发管理三合一平台</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1.符合《国家教育考试网上巡查系统视频标准技术规范（2017版）》（JY/T-KS-JS-2017-1）规范；</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2.采用嵌入式设备，实时操作系统；</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3.系统管理员用户分组，可对平台设置多类管理员，赋予每类管理员不同的管理权限，如添加删除设备、帐号权限，查看权限、设置权限等；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4.SIP URI组、用户、树形列表管理、SIP URI统一命名规则、分级命名、联合定位；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5.具备实时追踪SIP连接、认证状态功能，支持反向通道技术；</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6.具备SIP向上级的主动注册与多级注册的管理功能；</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7.SIP终端访问呼叫过程控制；SIP终端远程访问权限控制；</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8.CPU处理性能不低于主频：3.0GHz，处理线程数量≥8，内存≥16GB（DDR4）；</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9.应具有≥2个10M/100M/1000M以太网接口,≥6个USB接口；</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10.支持TCP/IP、UDP、RTP、RTCP、SIP网络协议；（以检测报告为准）</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11.支持根据网络情况和使用需求，自动调整视频分辨率；</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12.支持对前端巡查图像进行筛选，将未设置考场的图像进行屏蔽，不进行上传，只在本地监看；</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13.支持点播、组播、广播，支持视频多路复用，支持媒体流的分发和汇聚；</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14.音视频流处理包含MPEG-4、H.264、H.265视频编码，MPEG Layer Ⅱ\AAC音频编码，采用PS系统流和TS传输流的封装视频流。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15.支持路由控制功能，视频访问呼叫过程、视频远程访问权限控制功能；</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16.支持对上级平台网络、域名、端口检测及诊断，便于快速调试及故障处理；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17.支持设置判断前端接入设备是否与服务器时间同步，并设置与上级服务器时间同步；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18.支持系统核心数据库的备份和恢复，支持对数据库进行测试，验证数据库配置的正确性及联通状态；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19.支持对巡查系统资产统计、显示，支持系统设备实时状态检测，支持视频图像质量诊断，对所处网络进行测速；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20.能够在实时视频中构建3D图形，自动关联考生基本信息、考点考场信息、座次信息，准确定位并显示信息，并支持通过考生信息快速定位考生及考场；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21.支持按照事先设定好的考生科目、时间自动修改通道标签，替代人工大量繁琐的工作；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22.支持通过网络根据考试科目、考试时间等一系列预设方案下载录像数据。</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23.支持配置转发服务模块，支持多级转发级联，并支持多转发分布式部署协同工作；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24.支持远维连接，支持远程关机、重启系统；</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25.具备多种工作模式，当重大考试开始时，支持通过ID号、单位、用户、电话等相关加密信息控制登录以及调看图像权限；</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26.支持图形化流量侦测、网络封包分析、调用任务管理器；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27.具有良好的扩展性，能够扩展接入身份验证、视频指挥等系统以及教学质量管理模块功能；</w:t>
            </w:r>
          </w:p>
        </w:tc>
        <w:tc>
          <w:tcPr>
            <w:tcW w:w="557"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center"/>
          </w:tcPr>
          <w:p>
            <w:pPr>
              <w:widowControl/>
              <w:spacing w:line="360" w:lineRule="exact"/>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w:t>
            </w:r>
          </w:p>
        </w:tc>
        <w:tc>
          <w:tcPr>
            <w:tcW w:w="1558" w:type="dxa"/>
            <w:gridSpan w:val="2"/>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服务器机柜</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42"(按需配置)</w:t>
            </w:r>
          </w:p>
        </w:tc>
        <w:tc>
          <w:tcPr>
            <w:tcW w:w="557"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center"/>
          </w:tcPr>
          <w:p>
            <w:pPr>
              <w:widowControl/>
              <w:spacing w:line="360" w:lineRule="exact"/>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w:t>
            </w:r>
          </w:p>
        </w:tc>
        <w:tc>
          <w:tcPr>
            <w:tcW w:w="1558" w:type="dxa"/>
            <w:gridSpan w:val="2"/>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网络流媒体存储平台（64路）</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1.符合《国家教育考试网上巡查系统视频标准技术规范（2017版）》（JY/T-KS-JS-2017-1）规范；</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2.可自适应接入H.265、H.264、MPEG4视频编码格式，MPEG LayerⅡ、G711和AAC音频编码格式，</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3.Program Stream（系统流）和Transition Stream（传输流）封装格式的网络视频，并对接入的网络视频进行存储、解码和转发；</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4.嵌入式设备，Linux操作系统；</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5.不少于64路网络视频接入，最大转发码流≥768Mbps；</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6.可以对主码流、子码流分别或同时进行录像，并支持对同一通道主码流、辅码流分配不同的存储空间；（以检测报告为准）</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7.报警联动触发信号时，能启动设备相应的通道进行联动记录，能够预录报警触发前≥600s的音视频；（以检测报告为准）</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8.录像安全管理：支持录像加锁功能，加锁后录像不会被覆盖，并支持录像添加数字水印，支持九宫格图案密码解锁功能；</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9.数据备份功能：支持USB本地备份、USB DVD刻录机备份、eSata接口同步备份、Web端网络下载备份；</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运行稳定性：支持设备集群管理方式，当设备故障时备机可替换故障设备工作，故障恢复后可将存储的录像回传会原设备，同时支持双系统切换功能，当一个系统无法正常启动时，另一个操作系统能够正常工作；</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11.回放功能：支持秒级回放、即时回放、常规回放、事件回放、智能回放、切片回放、标签回放、外部文件回放、日志回放等多种回放方式；</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12.支持视频质量诊断，并对条纹、偏色、噪声、失焦等异常现象发出报警；</w:t>
            </w:r>
          </w:p>
        </w:tc>
        <w:tc>
          <w:tcPr>
            <w:tcW w:w="557"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center"/>
          </w:tcPr>
          <w:p>
            <w:pPr>
              <w:widowControl/>
              <w:spacing w:line="360" w:lineRule="exact"/>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w:t>
            </w:r>
          </w:p>
        </w:tc>
        <w:tc>
          <w:tcPr>
            <w:tcW w:w="1558" w:type="dxa"/>
            <w:gridSpan w:val="2"/>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硬盘</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硬盘接口类型：SATA3.0 适用类型：台式机，监控主机，单碟容量：6000GB 硬盘转数：5400rpm 缓存：64MB；磁头数量：6个；盘体尺寸：3.5英寸 盘片数量：3 平均寻道时间：读取：&lt;8.5ms，写入：&lt;9.5ms；接口速率6Gb/秒。</w:t>
            </w:r>
          </w:p>
        </w:tc>
        <w:tc>
          <w:tcPr>
            <w:tcW w:w="557"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16</w:t>
            </w:r>
          </w:p>
        </w:tc>
        <w:tc>
          <w:tcPr>
            <w:tcW w:w="785"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center"/>
          </w:tcPr>
          <w:p>
            <w:pPr>
              <w:widowControl/>
              <w:spacing w:line="360" w:lineRule="exact"/>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w:t>
            </w:r>
          </w:p>
        </w:tc>
        <w:tc>
          <w:tcPr>
            <w:tcW w:w="1558" w:type="dxa"/>
            <w:gridSpan w:val="2"/>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防火墙</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性能参数：网络层吞吐量：4G，应用层吞吐量：2G，防病毒吞吐量：600M，IPS吞吐量：600M，全威胁吞吐量：450M，并发连接数：200万，HTTP新建连接数：6万，SSL VPN推荐用户数（单独购买）：20，SSL VPN最大用户数（单独购买）：60，SSL VPN最大理论加密流量（单独购买）：160M，IPSec VPN 最大接入数：300，IPSec  VPN吞吐量：270M。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硬件参数：规格：1U，内存大小：4G，硬盘容量：128G SSD，电源：单电源，接口：8千兆电口+2千兆光口SFP。</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产品采用多核并行处理架构，提供中国信息安全测评中心、公安部信息安全产品检测中心、中国软件评测中心、国家版权局之中任意一家机构出具的关于“多核并行安全操作系统”的证书或测试报告。</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部署方式 支持路由，网桥，单臂，旁路，虚拟网线以及混合部署方式。</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路由支持 支持静态路由，ECMP等价路由。支持RIPv1/v2，OSPFv2/v3，BGP等动态路由协议。</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支持基于IP地址、端口、地域、协议、应用等维度配置策略路由策略，支持多种负载均衡算法，包括加权、带宽比例、轮询、线路排序等。（需提供产品功能截图证明）</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支持多链路出站负载，支持基于源/目的IP、源/目的端口、协议、ISP、应用类型以及国家地域来进行选路的策略路由选路功能。（提供产品界面截图）</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基础功能 访问控制规则支持基于源／目的IP，源端口，源／目的区域，用户（组），应用/服务类型，时间组的细化控制方式;支持异常流量展示并支持查看异常流量过程和下载异常流量数据包；（需提供相关功能截图证明）</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支持识别管控的应用识别规则总数超过9700条，并支持自定义应用规则；（需提供相关功能截图证明）</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具备基于国家/地区的流量管理功能，提供具备CNAS（中国合格评定国家认可委员会）资质的第三方权威机构关于“国家/地区的流量管理”产品功能检测报告。</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DoS/DDoS攻击防护 支持Land、Smurf、Fraggle、WinNuke、Ping of Death、Tear Drop、IP Spoofing攻击防护，支持SYN Flood、IPv4和IPv6 ICMP Flood、UDP Flood、DNS Flood、ARP Flood攻击防护，支持IP地址扫描，端口扫描防护，支持ARP欺骗防护功能、支持IP协议异常报文检测和TCP协议异常报文检测。</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入侵防护功能设备具备独立的入侵防护漏洞规则特征库，特征总数在7000条以上。 （提供产品界面截图）</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支持对服务器和客户端的漏洞攻击防护。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支持对常见应用服务（HTTP、FTP、SSH、SMTP、IMAP、POP3、 RDP、Rlogin、SMB、Telnet、Weblogic、VNC）和数据库软件（MySQL、Oracle、MSSQL）的口令暴力破解防护功能。</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具备防护常见网络协议（SSH、FTP、RDP、VNC、Netbios）和数据库（MySQL、Oracle、MSSQL）的弱密码扫描功能。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可提供最新的威胁情报信息，能够对新爆发的流行高危漏洞进行预警和自动检测，发现问题后支持一键生成防护规则。（提供产品界面截图）</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僵尸主机检测设备具备独立的僵尸网络与病毒防护库，防护类型包括木马远控、恶意脚本、勒索病毒、僵尸网络、挖矿病毒等，特征总数在105万条以上，支持自定义僵尸网络规则库；（需提供相关功能截图证明）</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支持DNS代理场景下重定向恶意域名。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支持蜜罐功能，定位内网感染僵尸网络病毒的真实主机IP地址；（需提供相关功能截图证明）</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支持具备网络连接、终端进程、威胁情报举证识别同一失陷主机的能力。且通过流量中识别的恶意地址定位到具体的发起终端、文件，隔离恶意文件和记录处置情况；</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支持针对失陷主机推送杀毒通知和提供处置工具，并支持自定杀毒通知显示时间；（需提供相关功能截图证明）</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支持基于勒索病毒的攻击链提供勒索病毒防护配置向导，包含防护对象、勒索病毒常用端口、漏洞、弱口令的自定义定时识别及自动生成包含WEB应用防护、漏洞防护、内容安全、僵尸网络检测、慢速爆破防御等勒索病毒防护策略；（需提供相关功能截图证明）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WEB应用防护产品内置Web应用攻击检测引擎，支持文件包含攻击、抵御注入式攻击（包含SQL注入、系统命令注入）、信息泄露攻击、跨站脚本（XSS）、网站扫描、WEBSHELL后门攻击、跨站请求伪造、目录遍历攻击、WEB整站系统漏洞等应用层攻击行为，支持超过3000种Web服务器漏洞特征规则。（需提供产品功能截图证明）</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支持对HTTP异常请求协议检测和防护攻击，检测内容包含HTTP请求信息的方法及参数长度等。（需提供产品功能截图证明）</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支持基于源IP、Referer、URL等多种组合条件对CC攻击进行检测，检测指标为检测时间和触发阀值。</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具备识别与阻断外部扫描器发起的服务器恶意扫描行为，可对扫描器地址进行自定义封堵。（需提供产品功能截图证明）</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支持服务漏洞检测功能，基于服务器请求和响应内容识别服务器存在的系统安全漏洞和应用安全漏洞。（需提供产品功能截图证明）</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支持内容敏感数据防泄露功能，对传输的文件和内容进行检测,支持对银行卡号、手机号码等类型数据防护。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支持网站防篡改功能</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支持网页恶意链接检测功能，有效识别网页盗链/黑链的行为，避免用户网页资源被滥用。（需提供产品功能截图证明）</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安全可视化 支持基于业务安全和用户安全维度的风险展示；</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支持Web服务器自动侦测功能，根据Web服务器在线状态、端口使用状态、Web服务器之间的互访关系生成业务资产列表，同时展示内网资产访问的风险等级。（需提供产品功能截图证明）</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支持应用控制策略生命周期管理，包含安全策略的变更时间、变更类型和策略变更用户，并对变更内容记录日志，方便策略的管理和运维。（需提供产品功能截图证明）</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安全运营中心功能，可以对全网所有的服务器和主机的威胁进行全面评估，管理员通过一键便可完成对服务器和主机的资产更新识别、脆弱性评估、策略动作的合理化监测、当前服务器和用户的保护状态、当前的服务器和主机的风险状态及需要管理员待办的紧急事项等，可以自动化直观的展示最终的风险；（需提供相关功能截图证明）</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联动响应支持与防病毒系统平台的联动，实现管理员在防火墙平台通过终防病毒平台对其下属终端下发快速查杀任务、并根据查杀结果并进行处置；（需提供相关功能截图证明）</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服务交付为确保提供本地化的服务，厂商必须在省内有经营地或者直属的服务办事机构，提供营业执照或者商务局颁发的驻省内城市办事机构登记备案证书 。</w:t>
            </w:r>
            <w:r>
              <w:rPr>
                <w:rFonts w:hint="eastAsia" w:ascii="仿宋" w:hAnsi="仿宋" w:eastAsia="仿宋" w:cs="仿宋"/>
                <w:i w:val="0"/>
                <w:iCs w:val="0"/>
                <w:color w:val="000000"/>
                <w:kern w:val="0"/>
                <w:sz w:val="24"/>
                <w:szCs w:val="24"/>
                <w:highlight w:val="yellow"/>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所投产品的生产厂商应是国家互联网应急响应中心网络安全应急服务国家级支撑单位，提供有效证书的复印件。</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要求所投产品具备国家信息安全漏洞库兼容性资质证书，提供有效证书复印件。</w:t>
            </w:r>
          </w:p>
        </w:tc>
        <w:tc>
          <w:tcPr>
            <w:tcW w:w="557"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center"/>
          </w:tcPr>
          <w:p>
            <w:pPr>
              <w:widowControl/>
              <w:spacing w:line="360" w:lineRule="exact"/>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w:t>
            </w:r>
          </w:p>
        </w:tc>
        <w:tc>
          <w:tcPr>
            <w:tcW w:w="1558" w:type="dxa"/>
            <w:gridSpan w:val="2"/>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核心交换机</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 满足自主可控要求，采用国产自研核心芯片；</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 交换容量：672Gbps/6.72Tbps，包转发率：207Mpps；</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 实配24个10/100/1000BASE-T以太网端口,4个独立万兆SFP+光口，1个USB接口；</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 支持4K个VLAN，支持MAC表项 64K，支持ARP表项 16K，支持IPv4 路由表 16K，支持IPv6 路由表 8K，支持ACL规则 2K；</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 ⽀持 RIP、OSPF、IS-IS、BGP 等 IPv4 路由协议，以及 RIPng、OSPFv3、IS-IS for IPv6、BGP4+ 等 IPv6 路由协议；</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 实配交流电源，支持复位按钮和请配置按钮，如忘记密码可以通过按钮恢复出厂设置；</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 提供三年原厂质保服务；</w:t>
            </w:r>
          </w:p>
        </w:tc>
        <w:tc>
          <w:tcPr>
            <w:tcW w:w="557"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12" w:type="dxa"/>
            <w:gridSpan w:val="9"/>
            <w:noWrap w:val="0"/>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前端部分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center"/>
          </w:tcPr>
          <w:p>
            <w:pPr>
              <w:widowControl/>
              <w:spacing w:line="360" w:lineRule="exact"/>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楼宇交换机</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 交换容量336Gbps/3.36Tbps，包转发率126Mpps；</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 提供24个千兆电口+ 4个千兆光口；</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 无风扇静音设计，内置交流电源供电；</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 支持MAC表项16K，支持VLAN 4K，支持IPv4 路由表4K，支持IPv6 路由表1K，支持ARP表项2K，支持ACL规则1K；</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 支持静态路由，支持 Telemetry 技术，支持U盘开局；</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 支持IPv6、支持IPv4/IPv6双栈；</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 支持STP/RSTP/MSTP 、ERPS；</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 支持MAC 地址认证、802.1x 认证、Portal 认证；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9. 支持 SNMPv1/v2c/v3、CLI（命令行）、Web 网管、SSHv2.0；</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 提供三年原厂质保服务；</w:t>
            </w:r>
          </w:p>
        </w:tc>
        <w:tc>
          <w:tcPr>
            <w:tcW w:w="557"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w:t>
            </w:r>
          </w:p>
        </w:tc>
        <w:tc>
          <w:tcPr>
            <w:tcW w:w="785"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center"/>
          </w:tcPr>
          <w:p>
            <w:pPr>
              <w:widowControl/>
              <w:spacing w:line="360" w:lineRule="exact"/>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光电转换器</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接入方式：1000Mbps千兆以太网</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标准：IEEE802.3ab 1000Base-T , IEEE802.3z 1000Base-SX/LX Gigabit thernet</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波长： 850nm/1310nm/1550nm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传输距离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多模双纤: 220m(光纤尺寸:62.5/125μm) / 550m(光纤尺寸e:50/125μm)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单模双芯: 25/40/60/80Km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单模单芯: 25/40Km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五类双绞线: 100m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端口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一个RJ45口: 连接STP/UTP5类双绞线</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一个光纤口: 多模 SC (fiber size: 50,62.5/125µm)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单模SC/FC (fiber size: 9/125µm)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转换方式：介质转换</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延时： &lt;10us</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误码率： &lt;10-9</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MTBF 100,000 hours</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LED指示灯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PWR： (电源); FX LINK/ACT (光纤连通/动作)</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FDX： (FX 全双工方式); TP LINK/ACT (双绞线连通/动作)</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TP 1000 (双绞线1000M传输速率), TP 100 (双绞线100M传输速率)</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电源 AC220 0.5A/DC-48 (内置)</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功耗 5W</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工作温度 -10~55ºC</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工作湿度 5%~90%</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储存温度 -40~70ºC</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储存湿度 5% ~ 90% 无凝结</w:t>
            </w:r>
          </w:p>
        </w:tc>
        <w:tc>
          <w:tcPr>
            <w:tcW w:w="557"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w:t>
            </w:r>
          </w:p>
        </w:tc>
        <w:tc>
          <w:tcPr>
            <w:tcW w:w="785"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center"/>
          </w:tcPr>
          <w:p>
            <w:pPr>
              <w:widowControl/>
              <w:spacing w:line="360" w:lineRule="exact"/>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标考红外高清半球摄像机</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1.符合《国家教育考试网上巡查系统视频标准技术规范（2017版）》（JY/T-KS-JS-2017-1）规范；</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2.嵌入式设备，具备实时操作系统；</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3.采用超低照度200万(1920×1080) 像素，1/2.7英寸CMOS图像传感器；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4.采用H.264 High profile编码；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5.支持三码流，ACF（活动帧率控制）；</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6.最大支持256GB SD卡，支持录像断网续传功能；</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7.支持设备认证功能、加密传输能力及数字水印加密，防数据被篡改；</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8.支持宽动态、3D 降噪、强光抑制、走廊模式、去雾；</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9.最大红外距离:≥100m；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10.支持智能红外功能：当开启红外灯光功能后，能根据所射目标距离自动调节红外辐射功率；</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11.支持28个视频窗口进行预览；</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12.支持区域入侵，拌线入侵，物品遗留/消失，虚焦侦测，场景变更的侦测，并且可以与报警联动；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13.支持无SD卡、SD卡空间不足、SD卡出错、网络断开、IP冲突、移动检测、视频遮挡智能报警；</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14.最低照度：彩色≤0.001LX，黑白≤0.0001Lx,</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15.支持可伸缩视频编码（SVC）技术，支持感兴趣区域 （（ROI）</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16.防护等级：IP67，IK10；</w:t>
            </w:r>
          </w:p>
        </w:tc>
        <w:tc>
          <w:tcPr>
            <w:tcW w:w="557"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46</w:t>
            </w:r>
          </w:p>
        </w:tc>
        <w:tc>
          <w:tcPr>
            <w:tcW w:w="785"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center"/>
          </w:tcPr>
          <w:p>
            <w:pPr>
              <w:widowControl/>
              <w:spacing w:line="360" w:lineRule="exact"/>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标考红外高清球型摄像机</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1.符合《国家教育考试网上巡查系统视频标准技术规范（2017版）》（JY/T-KS-JS-2017-1）规范；</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2.采用高性能200万（1920×1080）像素，1/2.8英寸 CMOS高性能图像传感器；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3.支持不低于16 倍数字变倍，23倍光学变倍；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4.支持MPEG-4 和H.264视频编码、支持MPEG  Layer II、G711和AAC音频编码标准，并支持PS系统流和TS传输流的封装；</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5.支持设备认证功能、加密传输能力及数字水印加密，防数据被篡改；</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6.支持绊线入侵、区域入侵、物品遗留与物品消失多种行为检测，支持人脸检测；</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7.支持宽动态、图像降噪、图像防抖动功能；</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8.垂直旋转 -15°～90°自动翻转180°后连续监视；</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9.水平旋转 0°～360°连续旋转；</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10.键控速度 水平：0.1°～200°/s 垂直：0.1°～120°/s；</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11.SD卡本地存储，解决网络异常状态的监控存储问题,支持 FTP 存储录像，录像可断网续传；</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12.内置红外灯补光，补光距离≥100米；</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13.支持因网络原因连接断开后，在网络恢复时，设备应能自动侦测到网络状态，并自动重新建立连接；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14.支持双向语音对讲或单向语音广播功能；</w:t>
            </w:r>
          </w:p>
        </w:tc>
        <w:tc>
          <w:tcPr>
            <w:tcW w:w="557"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w:t>
            </w:r>
          </w:p>
        </w:tc>
        <w:tc>
          <w:tcPr>
            <w:tcW w:w="785"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center"/>
          </w:tcPr>
          <w:p>
            <w:pPr>
              <w:widowControl/>
              <w:spacing w:line="360" w:lineRule="exact"/>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拾音器</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保真型监听器，高保真、语音清晰纯真、低噪音，灵敏度高，内置DSP降噪芯片,Clearspeech优化电路设计高保真，抗回音，持续稳定音频监听面积达10~~50平方米以上。频率响应 300Hz ～ 8500Hz(±6dB)，灵 敏 度 (标准音源1米,94dB SPL)： -4.0dB～+3.0dB (0dB=1V/Pa, 1KHz)，最大承受音压 120dB SPL (1KHz,THD 1%)，输出阻抗 600 ～ 1000欧姆非平衡，输出信号幅度2.5Vpp/-25db，麦克风：电容咪头</w:t>
            </w:r>
          </w:p>
        </w:tc>
        <w:tc>
          <w:tcPr>
            <w:tcW w:w="557"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46</w:t>
            </w:r>
          </w:p>
        </w:tc>
        <w:tc>
          <w:tcPr>
            <w:tcW w:w="785"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12" w:type="dxa"/>
            <w:gridSpan w:val="9"/>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UPS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center"/>
          </w:tcPr>
          <w:p>
            <w:pPr>
              <w:widowControl/>
              <w:spacing w:line="360" w:lineRule="exact"/>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UPS机头</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单进单出机架式在线式3kva/2.4kw；输入电压范围（Vac）110~286VAC； 相数单相三线;输入频率范围（Hz）45～55/ 54～66;输入功率因数≥0.99;输出电压（Vac）220/230/240±1%                                                                                                                                                          1整体要求</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（1）产品支持不少于4台的直接并机方式，无须配置并机柜；</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（2）UPS 整流器：具有限流功能, 三段式充电, 使电池能快速回充；</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（3）产品架构须由整流块单元﹑逆变单元、控制单元等构成﹔完全切断输入干扰, 电池转换时间为0ms；</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（4）UPS应具备蓄电池标称电源±96-120VDC可调节功能，</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（5）恢复正常后自动与电网并列。转换时间要求为0ms，静态旁路具有状态控制功能,旁路故障时系统避免由逆变器向旁路的转换。</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2监控与通信系统要求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（1）每台UPS 必须为LCD 液晶加LED显示，通信系统：系统配置标准USB/RS232通信接口，提供开放的通信协议及配套软件，通过机房动力监控系统能够方便的将UPS 的运行状态、主要运行参数                                                                                                                                                               3.服务及资质要求                                                                                                                                                                          （1）提供节能认证及节能检测报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（2）UPS主机蓄电池原厂质保三年。提供制造厂家ISO9001、ISO14001、ISO45001、OHSAS18001、CNAS证书。</w:t>
            </w:r>
          </w:p>
        </w:tc>
        <w:tc>
          <w:tcPr>
            <w:tcW w:w="557"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w:t>
            </w:r>
          </w:p>
        </w:tc>
        <w:tc>
          <w:tcPr>
            <w:tcW w:w="785"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center"/>
          </w:tcPr>
          <w:p>
            <w:pPr>
              <w:widowControl/>
              <w:spacing w:line="360" w:lineRule="exact"/>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UPS电池</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（1）本项目要求配置不低于65AH 12V的蓄电池6只,后背1H；蓄电池采用电池柜安装。本项目所购蓄电池产品为固定型密封铅酸蓄电池。</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（2）蓄电池产品必须提供国内权威的认证以及检测报告。</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（3）蓄电池应与UPS，为同一品牌，蓄电池制造商与UPS制造商营业执照为同一法人。本次投标的蓄电池为自行研发生产，不得外委制造，投标人应提供蓄电池排污许可证。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（4）应提供随产品提供蓄电池配套防漏液产品措施或解决方案，投标人应提供相关技术方案证明文件。</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（5）蓄电池产品需提供提升蓄电池自身安全性及高效性所采取的方案及措施，并提供技术方案及证明文件。</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（6）蓄电池同系列产品需通过9级电信设备抗震性能检测，并提供认有效期内抗震合格证。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（7）技术参数要求：</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外观要求：无变形、漏液、裂纹及污迹；标识清晰；</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结构要求：正负极端子有明显标志，便于连接；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阻燃性能：符合YDT799-2010中6.4条的要求；</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气密性：能承受50KPa正压或负压而不破裂、不开胶，压力释放后壳体无残余变形；</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大电流放电：以30I10放电3min，极柱不熔断，内部汇流排不熔断，外观不出现异常；</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容量保存率：静置28天后，容量保存率≥96%；</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耐过充电能力：完全充电后电池以0.3I10A连续充电160小时，无变形，无漏液；</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以第三方检测报告数据为准，并加盖制造厂商原厂公章。</w:t>
            </w:r>
          </w:p>
        </w:tc>
        <w:tc>
          <w:tcPr>
            <w:tcW w:w="557"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18</w:t>
            </w:r>
          </w:p>
        </w:tc>
        <w:tc>
          <w:tcPr>
            <w:tcW w:w="785"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jc w:val="center"/>
        </w:trPr>
        <w:tc>
          <w:tcPr>
            <w:tcW w:w="350" w:type="dxa"/>
            <w:noWrap w:val="0"/>
            <w:vAlign w:val="center"/>
          </w:tcPr>
          <w:p>
            <w:pPr>
              <w:widowControl/>
              <w:spacing w:line="360" w:lineRule="exact"/>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电池柜</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可放置6节65AH蓄电池，包含电池连接线。</w:t>
            </w:r>
          </w:p>
        </w:tc>
        <w:tc>
          <w:tcPr>
            <w:tcW w:w="557"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w:t>
            </w:r>
          </w:p>
        </w:tc>
        <w:tc>
          <w:tcPr>
            <w:tcW w:w="785"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12" w:type="dxa"/>
            <w:gridSpan w:val="9"/>
            <w:noWrap w:val="0"/>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楼栋墙柜</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9U</w:t>
            </w:r>
            <w:r>
              <w:rPr>
                <w:rFonts w:hint="eastAsia" w:ascii="仿宋" w:hAnsi="仿宋" w:eastAsia="仿宋" w:cs="仿宋"/>
                <w:i w:val="0"/>
                <w:iCs w:val="0"/>
                <w:color w:val="000000"/>
                <w:kern w:val="0"/>
                <w:sz w:val="24"/>
                <w:szCs w:val="24"/>
                <w:u w:val="none"/>
                <w:lang w:val="en-US" w:eastAsia="zh-CN" w:bidi="ar"/>
              </w:rPr>
              <w:t>标准墙柜</w:t>
            </w:r>
          </w:p>
        </w:tc>
        <w:tc>
          <w:tcPr>
            <w:tcW w:w="557"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5</w:t>
            </w:r>
          </w:p>
        </w:tc>
        <w:tc>
          <w:tcPr>
            <w:tcW w:w="785"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工程线缆</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电源线、网线、音频线、光纤</w:t>
            </w:r>
          </w:p>
        </w:tc>
        <w:tc>
          <w:tcPr>
            <w:tcW w:w="557"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49</w:t>
            </w:r>
          </w:p>
        </w:tc>
        <w:tc>
          <w:tcPr>
            <w:tcW w:w="785"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管材和辅料</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摄像机电源、支架、PVC线槽、线管、扎带、插线板、胶带等</w:t>
            </w:r>
          </w:p>
        </w:tc>
        <w:tc>
          <w:tcPr>
            <w:tcW w:w="557"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49</w:t>
            </w:r>
          </w:p>
        </w:tc>
        <w:tc>
          <w:tcPr>
            <w:tcW w:w="785"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12" w:type="dxa"/>
            <w:gridSpan w:val="9"/>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考点视频指挥系统配置清单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巡查指挥终端</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1.整机采用嵌入式操作系统加嵌入式DSP硬件设计（非PC架构及非工控机架构），具有极强的稳定性和抗病毒攻击能力，一体式设备包含高清会议摄像机。</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2.★支持双流108030fps图像传输。</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3.★视频编解码协议应满足H.265、H.264HP、H.264SVC、H.264 MP等主流视频编解码协议。(提供软件界面截图，加盖原厂章)</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4.★音频提供Opus、G.711、AAC-LD、AAC-LC、G.719、G.722、G.729A、G.722.1等音频编解码协议,可达到20KHz以上的宽频语音效果。(提供软件界面截图，加盖原厂章)</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5.具备超强抗丢包能力，IP网络丢包达到30%时，会议音视频不受影响，会议仍可进行。</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6.具备强大的低带宽处理能力，在384Kbps带宽下实1080P30fps的活动视频，在192Kbps带宽下实现720P30fps的活动视频。</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7.★硬件终端提供直接接入鼠标、键盘进行方便快捷控制，方便用户在不同场景灵活使用。（提供设备接口板实物照片，并对接口做详细标注，加盖原厂章）</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8.800ms延时情况会议正常召开。</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9.高清摄像头支持1080P30fps视频采集，支持10倍光学变焦，62.9°水平视场角。</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设备同时支持有线和无线WIFI两种接入模式，终端支持通过WIFI网络进行视音频通信，方便会议室网络布线。</w:t>
            </w:r>
          </w:p>
        </w:tc>
        <w:tc>
          <w:tcPr>
            <w:tcW w:w="557"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巡查指挥全向麦克风</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1)MCA6010系列紧凑型阵列麦克风，配套视频会议终端，为用户带来全新高保真声音体验；</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2)采用紧凑低功耗设计、体积小巧、外观高雅，无需外接电源。360度全向拾音，与会者不必过多关注麦克风的位置；</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3)采用3.5 mm插头进行连接，性能稳定、支持热插拔</w:t>
            </w:r>
          </w:p>
        </w:tc>
        <w:tc>
          <w:tcPr>
            <w:tcW w:w="557"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音箱</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二分频音箱60W/6Ω，频率范围95Hz~20kHz谐波失真(1/10功率)≤5%辐射角（H×V）90°×75°箱体结构  倒相式</w:t>
            </w:r>
          </w:p>
        </w:tc>
        <w:tc>
          <w:tcPr>
            <w:tcW w:w="557"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功放</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200W/70V功放四路话筒输入，三路辅助输入，一路辅助输出。定压输出和8Ω定阻输出。有强插功能，便于插入优先广播（话筒输入1优先）。各通道有独立音量控制和总音量控制总音量并设有高音和低音音调控制输出短路保护和直流保护、过温、过载等保护，提示音输出功能。</w:t>
            </w:r>
          </w:p>
        </w:tc>
        <w:tc>
          <w:tcPr>
            <w:tcW w:w="557"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标考高清电视墙管理平台</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1.符合《国家教育考试网上巡查系统视频标准技术规范（2017版）》相关技术规范；</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 标准19”的4U机架设计，电信运营级系统机箱；</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3.插卡式模块设计，可根据市场需求灵活配置；</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4.业务卡支持热插拔，可方便进行维护；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 冗余风扇散热系统设计，吹抽两种模式同时工作，智能调控温度，配合机箱结构，形成固定风道，确保机箱内温度平衡；</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 双通道冗余电源设计，支持直流/交流电源，适应于机房等应用环境；</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 支持模拟，数字视频信号的输入和矩阵输出；</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 支持高清视频信号的矩阵切换和输出；</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9.支持模拟/SDI/同轴高清信号无压缩直接输出上墙；</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 采用H.264或MPEG4视频压缩标准，支持双码流技术，可变码流，支持复合流和视频流编码，且音频和视频同步；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11. 80路高清视频编码能力（满配）或320路标清视频编码能力（满配）；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12. 支持4K点对点输出显示；</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13. 支持300W/500W/800W/1200W解码；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14.满配最大支持80路3840*2160@30fps/320路1080p@30fps及以下标清视频解码能力；</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15. 支持解码H.265，满配最大支持320路H.265的1080P解码输出；</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16.支持解码SVAC和非标码流；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17.支持1/4/9/16画面分割显示；支持自由分割；</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18.支持鱼眼矫正；</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19.支持60个显示屏的任意拼接；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20.支持液晶屏/DLP屏/小间距LED屏显示；</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21.支持开窗和漫游功能，单屏支持16个窗口；</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22.单屏和融合窗口都支持1/4/9/16分割，支持自由分割；</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23.支持30个预设场景，用户可以自定义每个场景电视墙布局；</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24.支持高清底图显示；</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25.支持高清全景拼接；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26.支持80路1080P网络视频接入、存储及转发；</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27.支持网络级联；</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28.支持TCP/IP协议，支持RTP/RTSP/RTCP/TCP/UDP/DHCP等网络协议；</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29.支持远程控制模拟，数字视频切换上墙；</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30.支持远程获取和配置参数，支持远程导出和导入参数；</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31.支持远程获取系统运行状态、系统日志；</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32.支持远程重启，远程升级和恢复默认设置等操作；</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33.支持用户权限管理，支持黑白名单功能。</w:t>
            </w:r>
          </w:p>
        </w:tc>
        <w:tc>
          <w:tcPr>
            <w:tcW w:w="557"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6</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大屏中控管理平台</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符合符合《国家教育考试网上巡查系统视频标准技术规范（2017版）》相关技术规范；用于远程控制多台解调设备的台式控制主机；可同时对多台解调设备进行集中控制，包括图像调取、画面轮巡设置，轮巡方案保存等；可实现图像预览和图像码流显示。；</w:t>
            </w:r>
          </w:p>
        </w:tc>
        <w:tc>
          <w:tcPr>
            <w:tcW w:w="557"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7</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3×3</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LCD显示单元</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 面板尺寸(英寸):55</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 分辨率:1920×1080</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 物理拼缝(mm):1.7</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 色彩数:16.7M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 亮度(cd/m²):500</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 对比度:4000:1</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 视频输入:1个DVI接口，1个HDMI接口，1个VGA接口</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 USB接口:1个USB接口</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9) 控制接口:1个输入RS-232接口，1个输出RS-232接口，1个红外接口</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10)为保证所投产品的稳定运行提供所投产品的CCC和CQC证书</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11)为保证技术的可延续性和未来新技术的兼容性，同时确保软件的可靠稳定，要求LCD生产厂家具备软件研发成熟度CMMI5级认证证书。认证通过时间超过5年。</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12)为保证产品售后高效、稳定，要求LCD生产厂商具有全国商品售后服务评价达标认证评审委员会颁发的售后服务认证证书（GB/T 27922），认证达到五星级标准</w:t>
            </w:r>
          </w:p>
        </w:tc>
        <w:tc>
          <w:tcPr>
            <w:tcW w:w="557"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9</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8</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拼接处理器</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 主控系统采用嵌入式Linux操作系统，图像采集和送显板卡采用全硬件FPGA架构，支持7×24小时稳定运行（需提供表面具有CNAS标识的检测报告复印件）</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 支持开窗、漫游、叠加、缩放、拼接功能（需提供表面具有CNAS标识的检测报告复印件）</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 为了能在监控大屏上叠加欢迎词等文字，要求拼接处理器支持虚拟LED字幕功能，字幕颜色大小字体、字间距可配置（需提供表面具有CNAS标识的检测报告复印件）</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 为防止控制电脑意外损坏而出现的业务丢失的情况，设备支持将电视墙布局等配置保存在设备中，当在其他PC的客户端登录时，电视墙配置信息依然存在、可用（需提供表面具有CNAS标识的检测报告复印件）</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 为方便客户使用，可通过双击方式快速将窗口放大，再双击窗口缩回原来大小（需提供表面具有CNAS标识的检测报告复印件）</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 为防止误操作，要求设备支持窗口锁定功能，锁定的窗口无法对其进行操作（需提供表面具有CNAS标识的检测报告复印件）</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 支持自定义电视墙布局，并一键完成对整个电视墙的布局，可选择固定布局或自定义行列数（需提供表面具有CNAS标识的检测报告复印件）</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 为了能及时判断接入信号源的状态，要求拼接处理器支持信号源状态监测功能，支持自动侦测信号源状态，用不同图标来区分信号源的正常在线、未接信号源、信号源无法识别等状态。（需提供表面具有CNAS标识的检测报告复印件）</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9. 为保证视频的显示效果，要求拼接处理器支持60HZ视频输入、60HZ视频处理、60HZ输出（需提供表面具有CNAS标识的检测报告复印件）</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 支持图像无缝实时切换功能，图像切换间隔无黑场出现（需提供表面具有CNAS标识的检测报告复印件）</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11. 为保证可调用多种不同的预案，可保存不同场景，最多支持保存64个场景（需提供表面具有CNAS标识的检测报告复印件）</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12. 断电或设备异常导致设备关机，业务及布局可保留，启动后可恢复业务（需提供表面具有CNAS标识的检测报告复印件）</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13. 为显示效果，画面输出延时应≤35ms（需提供表面具有CNAS标识的检测报告复印件）</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14. 为保证显示效果，设备应支持整面多行拼接屏的画面同步功能，针对快速变化的画面不会出现撕裂、错位等现象（需提供表面具有CNAS标识的检测报告复印件）</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15. 为应对不同分辨率屏幕的使用，支持分辨率实时全兼容，能通过控制软件实现分成4组不同分辨率显示（需提供表面具有CNAS标识的检测报告复印件）</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16. 为保证画面切换效果，从256路画面场景切换到256路画面的时间应≤0.3s（需提供表面具有CNAS标识的检测报告复印件）</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17. 为保证设备对项目的适配度以及后期项目增补改造的灵活度，要求设备支持输入输出板卡混插。</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18. 为满足项目后期扩容的可操作性，要求拼接处理器支持多台设备之间级联使用，多台设备可以组合成一台设备使用（需提供表面具有CNAS标识的检测报告复印件）</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19. 为保证级联设备间有足够的传输带宽，要求设备支持使用MINI SAS接口对两台设备进行级联（需提供表面具有CNAS标识的检测报告复印件）</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 为保证设备使用的可靠性，要求设备支持1+1电源冗余（需提供表面具有CNAS标识的检测报告复印件）</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21.4路HDMI输入，12路HDMI输出。</w:t>
            </w:r>
          </w:p>
        </w:tc>
        <w:tc>
          <w:tcPr>
            <w:tcW w:w="557"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9</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大屏支架(LCD基线)底座</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标配；配合新型模块化框架使用 配合新型模块化框架使用 支架特点： 1、美观、地脚隐藏 2、性价比高 3、四周包边 4、支持扩容 支架均采用SPCC优质冷轧钢板保障质量的源头；表面采用静电喷塑工艺，喷塑固化温度180-210度，涂层厚度80-100微米，对高防腐要求产品还可选择阴极电泳底漆工艺，防腐耐锈。 颜色：黑色 后拉杆长度：600-900mm 开门及封板：底座前封板，含侧封板、顶盖板，无后门结构 表面处理：静电喷塑 底座高度：800mm/单独定制 厚度：400mm 材料：SPCC高强度钢板 定制参数 开门及封板：前开门、</w:t>
            </w:r>
          </w:p>
        </w:tc>
        <w:tc>
          <w:tcPr>
            <w:tcW w:w="557"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10</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大屏支架(LCD基线)底座</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适用规模 不宜超过3行，超过3行需特殊定制;</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性价比高;</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快速安装;</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可标配物料;</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支持现场扩容;</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产品型号：55英寸-新型模块化-框架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产品配置：左右上封板；</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前开门/前封板，后留空；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材质：优质冷轧钢板(SPCC)，材料厚度从T1.0-T5不等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备注说明：无</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颜色：黑色</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净重：24kg/个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厚度：400mm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表面处理：静电喷塑，涂层厚度&gt;60微米</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LOGO：HIKVISION</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弧度：0°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适用规模：不宜超过3行；不超过5行；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可定制范围：颜色，离地高度，后封板/后开门，前封板/前开门，拉杆长度，LOGO，储物隔板 </w:t>
            </w:r>
          </w:p>
        </w:tc>
        <w:tc>
          <w:tcPr>
            <w:tcW w:w="557"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9</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11</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操作控制台</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p>
        </w:tc>
        <w:tc>
          <w:tcPr>
            <w:tcW w:w="557"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12</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UPS机头</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单进单出机架式在线式10kva/8kw；输入电压范围（Vac）110~286VAC； 相数单相三线;输入频率范围（Hz）45～55/ 54～66;输入功率因数≥0.99;输出电压（Vac）220/230/240±1%                                                                                                                                                          1整体要求</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（1）产品支持不少于4台的直接并机方式，无须配置并机柜；</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（2）UPS 整流器：具有限流功能, 三段式充电, 使电池能快速回充；</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（3）产品架构须由整流块单元﹑逆变单元、控制单元等构成﹔完全切断输入干扰, 电池转换时间为0ms；</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（4）UPS应具备蓄电池标称电源±96-120VDC可调节功能，</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（5）恢复正常后自动与电网并列。转换时间要求为0ms，静态旁路具有状态控制功能,旁路故障时系统避免由逆变器向旁路的转换。</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2监控与通信系统要求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（1）每台UPS 必须为LCD 液晶加LED显示，通信系统：系统配置标准USB/RS232通信接口，提供开放的通信协议及配套软件，通过机房动力监控系统能够方便的将UPS 的运行状态、主要运行参数                                                                                                                                                               3.服务及资质要求                                                                                                                                                                          （1）提供泰尔、节能认证及泰尔、节能检测报</w:t>
            </w:r>
          </w:p>
        </w:tc>
        <w:tc>
          <w:tcPr>
            <w:tcW w:w="557"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13</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UPS电池</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（1）本项目要求配置不低于100AH 12V的蓄电池32只,后背1H；蓄电池采用电池柜安装。本项目所购蓄电池产品为固定型密封铅酸蓄电池。</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▲（2）蓄电池产品必须提供国内权威的泰尔认证以及检测报告。</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★（3）蓄电池应与UPS，为同一品牌，蓄电池制造商与UPS制造商营业执照为同一法人。本次投标的蓄电池为自行研发生产，不得外委制造，投标人应提供蓄电池排污许可证。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▲（4）应提供随产品提供蓄电池配套防漏液产品措施或解决方案，投标人应提供相关技术方案证明文件。</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▲（5）蓄电池产品需提供提升蓄电池自身安全性及高效性所采取的方案及措施，并提供技术方案及证明文件。</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▲（6）蓄电池同系列产品需通过9级电信设备抗震性能检测，并提供认有效期内抗震合格证。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▲（7）技术参数要求：</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外观要求：无变形、漏液、裂纹及污迹；标识清晰；</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结构要求：正负极端子有明显标志，便于连接；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阻燃性能：符合YDT799-2010中6.4条的要求；</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气密性：能承受50KPa正压或负压而不破裂、不开胶，压力释放后壳体无残余变形；</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大电流放电：以30I10放电3min，极柱不熔断，内部汇流排不熔断，外观不出现异常；</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容量保存率：静置28天后，容量保存率≥96%；</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耐过充电能力：完全充电后电池以0.3I10A连续充电160小时，无变形，无漏液；</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以第三方检测报告数据为准，并加盖制造厂商原厂公章。</w:t>
            </w:r>
          </w:p>
        </w:tc>
        <w:tc>
          <w:tcPr>
            <w:tcW w:w="557"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32</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14</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电池柜</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可放置16节100AH蓄电池，包含电池连接线。</w:t>
            </w:r>
          </w:p>
        </w:tc>
        <w:tc>
          <w:tcPr>
            <w:tcW w:w="557"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15</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智能行为分析平台</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(50路)</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1)采用嵌入式开源操作系统；本身具有抗病毒和抗攻击能力；</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2)用户和权限管理，设定管辖范围内用户、组、角色的权限。用户管理可包括用户注册、用户查询、用户增加删除、用户访问权限管理、用户锁定和解锁、用户分组管理、用户访问记录查看功能等；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3)系统管理员，可对远程用户设定视频浏览权限以及前端设备控制权限和历史数据的删除、复制、浏览等操作权限，权限可被收回；</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4)支持用户的接入认证以及安全锁定；故障诊断及定位分析；</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5)支持图形化操作入口；支持图形化机构拓扑呈现、设备拓扑呈现；</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6)远程用户对考场图像的访问、控制、历史数据播放精确到每一个教室，添加、删除、修改组、用户、设备；</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7)可通过web端无需安装任何播放插件的情况下直接播放实时音视频图像；</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8)能实现系统核心数据库的备份；</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9)支持日志管理查询，系统日志、告警日志、操作日志的搜索查看等；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10)智能分析并发能力：可同时实现30/50路视频流的行为智能分析；</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11)行为智能分析类别：支持多种考试异常行为识别，包含考生举手、传递可疑物品、捡可疑物品、考生站立、考生旁窥、手放桌下并埋头、考后继续作答、监考员在考位停留过长、两个监考员在固定区域时间过长、监考员发卷、考生群体举手、考生群体站立、考生群体交头接耳。</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12)支持对考试全过程的监测行为进行规则配置</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13)支持对考试计划模版完成配置，用于后续一键调用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14)支持绑定监测业务和智能分析设备关系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15)支持对考试计划的管理，完成对考试基础信息、监考视频源、审核员及审核任务分配四个环节的配置。</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16)支持查询告警记录，可根据考试计划、场次、判定结果、考场名称等维度进行筛选，包括告警事件类型、事件时间、所属考场、审核过程、截图、录像等数据。</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17)支持查询考务规范记录，可根据考试计划、考务规范动作名称维度进行筛选，包括考场名称、场次科目、监测时段、监测结果、审核员。</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18)支持考试异常告警事件的统计，可根据告警行为统计、按场次统计、按考场统计、按审核员统计四个维度进行统计，可根据需要导出报表。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19)支持视频审核，包括考务规范监测、考试行为监测，审核包括初审和复审两个环节。</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20)支持对分析状态进行监控，如设备使用情况、接入分析路数、算力利用率等数据。</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21)支持查看当次考试计划的数据看板，包括考试信息、审核员处理情况统计、考务规范完成率、异常行为统计四类可视化数据统计。</w:t>
            </w:r>
          </w:p>
        </w:tc>
        <w:tc>
          <w:tcPr>
            <w:tcW w:w="557"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套</w:t>
            </w:r>
          </w:p>
        </w:tc>
      </w:tr>
    </w:tbl>
    <w:p>
      <w:pPr>
        <w:keepNext w:val="0"/>
        <w:keepLines w:val="0"/>
        <w:pageBreakBefore w:val="0"/>
        <w:widowControl w:val="0"/>
        <w:kinsoku/>
        <w:wordWrap/>
        <w:overflowPunct/>
        <w:topLinePunct w:val="0"/>
        <w:autoSpaceDE/>
        <w:autoSpaceDN/>
        <w:bidi w:val="0"/>
        <w:adjustRightInd/>
        <w:snapToGrid/>
        <w:jc w:val="left"/>
        <w:textAlignment w:val="auto"/>
        <w:rPr>
          <w:rFonts w:hint="default" w:ascii="仿宋" w:hAnsi="仿宋" w:eastAsia="仿宋" w:cs="仿宋"/>
          <w:b w:val="0"/>
          <w:bCs w:val="0"/>
          <w:kern w:val="0"/>
          <w:sz w:val="28"/>
          <w:szCs w:val="28"/>
          <w:u w:color="000000"/>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2">
    <w:altName w:val="Wingdings"/>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2BF309"/>
    <w:multiLevelType w:val="singleLevel"/>
    <w:tmpl w:val="2A2BF309"/>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2NGQ3YWZhZGU0ZjY1YjQ5ZDFkMDg0ZjQxYmU0NzQifQ=="/>
  </w:docVars>
  <w:rsids>
    <w:rsidRoot w:val="00000000"/>
    <w:rsid w:val="009D0EA3"/>
    <w:rsid w:val="033E071B"/>
    <w:rsid w:val="05204A3D"/>
    <w:rsid w:val="05A0746B"/>
    <w:rsid w:val="0CCD5139"/>
    <w:rsid w:val="0D645222"/>
    <w:rsid w:val="0D815DD4"/>
    <w:rsid w:val="0F1F58A5"/>
    <w:rsid w:val="127C05CA"/>
    <w:rsid w:val="1DB0547E"/>
    <w:rsid w:val="1F112DA9"/>
    <w:rsid w:val="1F8E612F"/>
    <w:rsid w:val="224A3B11"/>
    <w:rsid w:val="25276E09"/>
    <w:rsid w:val="331A7FAD"/>
    <w:rsid w:val="3B2714BA"/>
    <w:rsid w:val="3E0A6748"/>
    <w:rsid w:val="3E9450B8"/>
    <w:rsid w:val="3EAB2402"/>
    <w:rsid w:val="402C1320"/>
    <w:rsid w:val="410F6A5E"/>
    <w:rsid w:val="42734EAC"/>
    <w:rsid w:val="4FA11809"/>
    <w:rsid w:val="517448D5"/>
    <w:rsid w:val="54A13C33"/>
    <w:rsid w:val="57BB325E"/>
    <w:rsid w:val="58B73A25"/>
    <w:rsid w:val="610D6332"/>
    <w:rsid w:val="61882403"/>
    <w:rsid w:val="67696832"/>
    <w:rsid w:val="6BE350BD"/>
    <w:rsid w:val="75071439"/>
    <w:rsid w:val="764861AD"/>
    <w:rsid w:val="7B1215A5"/>
    <w:rsid w:val="7E527BC8"/>
    <w:rsid w:val="7EF24F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0"/>
    <w:pPr>
      <w:keepNext/>
      <w:keepLines/>
      <w:adjustRightInd w:val="0"/>
      <w:spacing w:before="280" w:beforeLines="0" w:after="290" w:afterLines="0" w:line="376" w:lineRule="atLeast"/>
      <w:textAlignment w:val="baseline"/>
      <w:outlineLvl w:val="3"/>
    </w:pPr>
    <w:rPr>
      <w:rFonts w:ascii="Arial" w:hAnsi="Arial" w:eastAsia="黑体"/>
      <w:b/>
      <w:sz w:val="28"/>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customStyle="1" w:styleId="5">
    <w:name w:val="font31"/>
    <w:basedOn w:val="4"/>
    <w:qFormat/>
    <w:uiPriority w:val="0"/>
    <w:rPr>
      <w:rFonts w:hint="eastAsia" w:ascii="宋体" w:hAnsi="宋体" w:eastAsia="宋体" w:cs="宋体"/>
      <w:color w:val="000000"/>
      <w:sz w:val="16"/>
      <w:szCs w:val="16"/>
      <w:u w:val="none"/>
    </w:rPr>
  </w:style>
  <w:style w:type="character" w:customStyle="1" w:styleId="6">
    <w:name w:val="font41"/>
    <w:basedOn w:val="4"/>
    <w:qFormat/>
    <w:uiPriority w:val="0"/>
    <w:rPr>
      <w:rFonts w:ascii="黑体" w:hAnsi="宋体" w:eastAsia="黑体" w:cs="黑体"/>
      <w:color w:val="000000"/>
      <w:sz w:val="16"/>
      <w:szCs w:val="16"/>
      <w:u w:val="none"/>
    </w:rPr>
  </w:style>
  <w:style w:type="character" w:customStyle="1" w:styleId="7">
    <w:name w:val="font21"/>
    <w:basedOn w:val="4"/>
    <w:qFormat/>
    <w:uiPriority w:val="0"/>
    <w:rPr>
      <w:rFonts w:hint="eastAsia" w:ascii="黑体" w:hAnsi="宋体" w:eastAsia="黑体" w:cs="黑体"/>
      <w:color w:val="000000"/>
      <w:sz w:val="16"/>
      <w:szCs w:val="16"/>
      <w:u w:val="none"/>
    </w:rPr>
  </w:style>
  <w:style w:type="character" w:customStyle="1" w:styleId="8">
    <w:name w:val="font51"/>
    <w:basedOn w:val="4"/>
    <w:qFormat/>
    <w:uiPriority w:val="0"/>
    <w:rPr>
      <w:rFonts w:hint="eastAsia" w:ascii="宋体" w:hAnsi="宋体" w:eastAsia="宋体" w:cs="宋体"/>
      <w:color w:val="000000"/>
      <w:sz w:val="16"/>
      <w:szCs w:val="16"/>
      <w:u w:val="none"/>
    </w:rPr>
  </w:style>
  <w:style w:type="character" w:customStyle="1" w:styleId="9">
    <w:name w:val="font11"/>
    <w:basedOn w:val="4"/>
    <w:qFormat/>
    <w:uiPriority w:val="0"/>
    <w:rPr>
      <w:rFonts w:hint="eastAsia" w:ascii="宋体" w:hAnsi="宋体" w:eastAsia="宋体" w:cs="宋体"/>
      <w:color w:val="000000"/>
      <w:sz w:val="20"/>
      <w:szCs w:val="20"/>
      <w:u w:val="none"/>
    </w:rPr>
  </w:style>
  <w:style w:type="character" w:customStyle="1" w:styleId="10">
    <w:name w:val="font61"/>
    <w:basedOn w:val="4"/>
    <w:qFormat/>
    <w:uiPriority w:val="0"/>
    <w:rPr>
      <w:rFonts w:ascii="Wingdings 2" w:hAnsi="Wingdings 2" w:eastAsia="Wingdings 2" w:cs="Wingdings 2"/>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13225</Words>
  <Characters>15983</Characters>
  <Lines>0</Lines>
  <Paragraphs>0</Paragraphs>
  <TotalTime>11</TotalTime>
  <ScaleCrop>false</ScaleCrop>
  <LinksUpToDate>false</LinksUpToDate>
  <CharactersWithSpaces>17342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2024-05-23T11:05:00Z</dcterms:created>
  <dc:creator>Administrator</dc:creator>
  <cp:lastModifiedBy>媛媛媛</cp:lastModifiedBy>
  <dcterms:modified xsi:type="dcterms:W3CDTF">2024-05-28T10:46:30Z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7389357A5B88498790DEA4CCAA69713A_12</vt:lpwstr>
  </property>
</Properties>
</file>