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F3E50">
      <w:pPr>
        <w:spacing w:line="360" w:lineRule="auto"/>
        <w:ind w:firstLine="480" w:firstLineChars="200"/>
        <w:jc w:val="left"/>
        <w:rPr>
          <w:rFonts w:hint="eastAsia" w:ascii="宋体" w:hAnsi="宋体" w:cs="宋体"/>
          <w:b/>
          <w:color w:val="auto"/>
          <w:sz w:val="24"/>
          <w:szCs w:val="24"/>
          <w:lang w:val="en-US" w:eastAsia="zh-CN"/>
        </w:rPr>
      </w:pPr>
    </w:p>
    <w:p w14:paraId="2957E845">
      <w:pPr>
        <w:pStyle w:val="3"/>
        <w:ind w:left="1277" w:leftChars="494" w:hanging="240" w:hangingChars="100"/>
        <w:rPr>
          <w:rFonts w:hint="default" w:eastAsia="黑体" w:cs="Times New Roman"/>
          <w:color w:val="auto"/>
          <w:sz w:val="52"/>
          <w:szCs w:val="52"/>
          <w:lang w:val="en-US" w:eastAsia="zh-CN"/>
        </w:rPr>
      </w:pPr>
      <w:r>
        <w:rPr>
          <w:rFonts w:hint="eastAsia" w:ascii="宋体" w:hAnsi="宋体" w:cs="宋体"/>
          <w:b/>
          <w:color w:val="auto"/>
          <w:sz w:val="24"/>
          <w:szCs w:val="24"/>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8"/>
          <w:szCs w:val="28"/>
        </w:rPr>
        <w:t>编号：</w:t>
      </w:r>
      <w:r>
        <w:rPr>
          <w:rFonts w:hint="eastAsia"/>
          <w:b w:val="0"/>
          <w:bCs/>
          <w:sz w:val="28"/>
          <w:szCs w:val="28"/>
          <w:lang w:val="en-US" w:eastAsia="zh-CN"/>
        </w:rPr>
        <w:t>YNXCG-CS2025003</w:t>
      </w:r>
    </w:p>
    <w:p w14:paraId="6D9C48E4">
      <w:pPr>
        <w:pStyle w:val="3"/>
        <w:spacing w:before="0" w:after="0" w:line="240" w:lineRule="auto"/>
        <w:ind w:left="1038" w:leftChars="247" w:hanging="520" w:hangingChars="100"/>
        <w:rPr>
          <w:rFonts w:hint="eastAsia" w:cs="Times New Roman"/>
          <w:color w:val="auto"/>
          <w:sz w:val="52"/>
          <w:szCs w:val="52"/>
          <w:lang w:val="en-US" w:eastAsia="zh-CN"/>
        </w:rPr>
      </w:pPr>
      <w:bookmarkStart w:id="0" w:name="OLE_LINK1"/>
      <w:r>
        <w:rPr>
          <w:rFonts w:hint="eastAsia" w:cs="Times New Roman"/>
          <w:color w:val="auto"/>
          <w:sz w:val="52"/>
          <w:szCs w:val="52"/>
          <w:lang w:val="en-US" w:eastAsia="zh-CN"/>
        </w:rPr>
        <w:t>伊宁县青创园人力资源产业分园（一期）</w:t>
      </w:r>
    </w:p>
    <w:p w14:paraId="16ECF936">
      <w:pPr>
        <w:pStyle w:val="3"/>
        <w:spacing w:before="0" w:after="0" w:line="240" w:lineRule="auto"/>
        <w:ind w:left="1037" w:leftChars="494" w:firstLine="1560" w:firstLineChars="300"/>
        <w:rPr>
          <w:rFonts w:hint="eastAsia" w:cs="Times New Roman"/>
          <w:color w:val="auto"/>
          <w:sz w:val="52"/>
          <w:szCs w:val="52"/>
          <w:lang w:val="en-US" w:eastAsia="zh-CN"/>
        </w:rPr>
      </w:pPr>
      <w:r>
        <w:rPr>
          <w:rFonts w:hint="eastAsia" w:cs="Times New Roman"/>
          <w:color w:val="auto"/>
          <w:sz w:val="52"/>
          <w:szCs w:val="52"/>
          <w:lang w:val="en-US" w:eastAsia="zh-CN"/>
        </w:rPr>
        <w:t>装修修缮项目</w:t>
      </w:r>
      <w:bookmarkEnd w:id="0"/>
      <w:r>
        <w:rPr>
          <w:rFonts w:hint="eastAsia" w:cs="Times New Roman"/>
          <w:color w:val="auto"/>
          <w:sz w:val="52"/>
          <w:szCs w:val="52"/>
          <w:lang w:val="en-US" w:eastAsia="zh-CN"/>
        </w:rPr>
        <w:t>磋商文件</w:t>
      </w:r>
    </w:p>
    <w:p w14:paraId="2C9D0081">
      <w:pPr>
        <w:pStyle w:val="11"/>
        <w:spacing w:line="400" w:lineRule="atLeast"/>
        <w:rPr>
          <w:rFonts w:hint="default" w:hAnsi="宋体" w:eastAsia="宋体" w:cs="宋体"/>
          <w:b/>
          <w:color w:val="auto"/>
          <w:lang w:val="en-US" w:eastAsia="zh-CN"/>
        </w:rPr>
      </w:pPr>
    </w:p>
    <w:p w14:paraId="35F87EA2">
      <w:pPr>
        <w:pStyle w:val="11"/>
        <w:spacing w:line="400" w:lineRule="atLeast"/>
        <w:rPr>
          <w:rFonts w:hAnsi="宋体" w:cs="宋体"/>
          <w:b/>
          <w:color w:val="auto"/>
        </w:rPr>
      </w:pPr>
    </w:p>
    <w:p w14:paraId="62C6085E">
      <w:pPr>
        <w:pStyle w:val="11"/>
        <w:spacing w:line="400" w:lineRule="atLeast"/>
        <w:rPr>
          <w:rFonts w:hAnsi="宋体" w:cs="宋体"/>
          <w:b/>
          <w:color w:val="auto"/>
        </w:rPr>
      </w:pPr>
    </w:p>
    <w:p w14:paraId="360CA2BD">
      <w:pPr>
        <w:pStyle w:val="11"/>
        <w:spacing w:line="400" w:lineRule="atLeast"/>
        <w:rPr>
          <w:rFonts w:hAnsi="宋体" w:cs="宋体"/>
          <w:b/>
          <w:color w:val="auto"/>
        </w:rPr>
      </w:pPr>
    </w:p>
    <w:p w14:paraId="3A089316">
      <w:pPr>
        <w:spacing w:line="240" w:lineRule="auto"/>
        <w:jc w:val="both"/>
        <w:rPr>
          <w:rFonts w:hint="eastAsia" w:ascii="宋体" w:hAnsi="宋体" w:eastAsia="宋体" w:cs="宋体"/>
          <w:b/>
          <w:color w:val="auto"/>
          <w:kern w:val="2"/>
          <w:sz w:val="32"/>
          <w:szCs w:val="32"/>
          <w:lang w:val="en-US" w:eastAsia="zh-CN" w:bidi="ar-SA"/>
        </w:rPr>
      </w:pPr>
    </w:p>
    <w:p w14:paraId="11AECD38">
      <w:pPr>
        <w:spacing w:line="240" w:lineRule="auto"/>
        <w:jc w:val="both"/>
        <w:rPr>
          <w:rFonts w:hint="eastAsia" w:ascii="宋体" w:hAnsi="宋体" w:eastAsia="宋体" w:cs="宋体"/>
          <w:b/>
          <w:color w:val="auto"/>
          <w:kern w:val="2"/>
          <w:sz w:val="32"/>
          <w:szCs w:val="32"/>
          <w:lang w:val="en-US" w:eastAsia="zh-CN" w:bidi="ar-SA"/>
        </w:rPr>
      </w:pPr>
    </w:p>
    <w:p w14:paraId="2EEB8CF5">
      <w:pPr>
        <w:spacing w:line="240" w:lineRule="auto"/>
        <w:ind w:firstLine="1280" w:firstLineChars="400"/>
        <w:jc w:val="both"/>
        <w:rPr>
          <w:rFonts w:hint="eastAsia" w:ascii="宋体" w:hAnsi="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项目编号：YNXCG-CS2025003</w:t>
      </w:r>
    </w:p>
    <w:p w14:paraId="5069737D">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14:paraId="094A00B4">
      <w:pPr>
        <w:spacing w:line="240" w:lineRule="auto"/>
        <w:ind w:left="2876" w:leftChars="608" w:hanging="1600" w:hangingChars="500"/>
        <w:jc w:val="both"/>
        <w:rPr>
          <w:rFonts w:hint="eastAsia" w:ascii="宋体" w:hAnsi="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项目名称</w:t>
      </w:r>
      <w:r>
        <w:rPr>
          <w:rFonts w:hint="eastAsia" w:ascii="宋体" w:hAnsi="宋体" w:cs="宋体"/>
          <w:b/>
          <w:color w:val="auto"/>
          <w:kern w:val="2"/>
          <w:sz w:val="32"/>
          <w:szCs w:val="32"/>
          <w:lang w:val="en-US" w:eastAsia="zh-CN" w:bidi="ar-SA"/>
        </w:rPr>
        <w:t>：伊宁县青创园人力资源产业分园（一期）</w:t>
      </w:r>
    </w:p>
    <w:p w14:paraId="3A238CEE">
      <w:pPr>
        <w:spacing w:line="240" w:lineRule="auto"/>
        <w:ind w:left="2872" w:leftChars="1368" w:firstLine="0" w:firstLineChars="0"/>
        <w:jc w:val="both"/>
        <w:rPr>
          <w:rFonts w:hint="eastAsia" w:ascii="宋体" w:hAnsi="宋体" w:eastAsia="宋体" w:cs="宋体"/>
          <w:b/>
          <w:color w:val="auto"/>
          <w:kern w:val="2"/>
          <w:sz w:val="32"/>
          <w:szCs w:val="32"/>
          <w:lang w:val="en-US" w:eastAsia="zh-CN" w:bidi="ar-SA"/>
        </w:rPr>
      </w:pPr>
      <w:r>
        <w:rPr>
          <w:rFonts w:hint="eastAsia" w:ascii="宋体" w:hAnsi="宋体" w:cs="宋体"/>
          <w:b/>
          <w:color w:val="auto"/>
          <w:kern w:val="2"/>
          <w:sz w:val="32"/>
          <w:szCs w:val="32"/>
          <w:lang w:val="en-US" w:eastAsia="zh-CN" w:bidi="ar-SA"/>
        </w:rPr>
        <w:t>装修修缮项目</w:t>
      </w:r>
    </w:p>
    <w:p w14:paraId="7124F468">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14:paraId="267A4CB3">
      <w:pPr>
        <w:spacing w:line="240" w:lineRule="auto"/>
        <w:ind w:firstLine="1280" w:firstLineChars="400"/>
        <w:jc w:val="both"/>
        <w:rPr>
          <w:rFonts w:hint="default"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委托单位：</w:t>
      </w:r>
      <w:r>
        <w:rPr>
          <w:rFonts w:hint="eastAsia" w:ascii="宋体" w:hAnsi="宋体" w:cs="宋体"/>
          <w:b/>
          <w:color w:val="auto"/>
          <w:kern w:val="2"/>
          <w:sz w:val="32"/>
          <w:szCs w:val="32"/>
          <w:lang w:val="en-US" w:eastAsia="zh-CN" w:bidi="ar-SA"/>
        </w:rPr>
        <w:t>伊宁县技工学校</w:t>
      </w:r>
    </w:p>
    <w:p w14:paraId="499D5DF4">
      <w:pPr>
        <w:pStyle w:val="9"/>
        <w:ind w:left="0" w:leftChars="0" w:firstLine="1280" w:firstLineChars="400"/>
        <w:rPr>
          <w:rFonts w:hint="eastAsia" w:ascii="宋体" w:hAnsi="宋体" w:eastAsia="宋体" w:cs="宋体"/>
          <w:b/>
          <w:color w:val="auto"/>
          <w:kern w:val="2"/>
          <w:sz w:val="32"/>
          <w:szCs w:val="32"/>
          <w:lang w:val="en-US" w:eastAsia="zh-CN" w:bidi="ar-SA"/>
        </w:rPr>
      </w:pPr>
    </w:p>
    <w:p w14:paraId="6A95C1A9">
      <w:pPr>
        <w:pStyle w:val="9"/>
        <w:ind w:left="0" w:leftChars="0" w:firstLine="1280" w:firstLineChars="400"/>
        <w:rPr>
          <w:rFonts w:hint="default"/>
          <w:b/>
          <w:color w:val="auto"/>
          <w:sz w:val="32"/>
          <w:szCs w:val="32"/>
          <w:lang w:val="en-US"/>
        </w:rPr>
      </w:pPr>
      <w:r>
        <w:rPr>
          <w:rFonts w:hint="eastAsia" w:ascii="宋体" w:hAnsi="宋体" w:eastAsia="宋体" w:cs="宋体"/>
          <w:b/>
          <w:color w:val="auto"/>
          <w:kern w:val="2"/>
          <w:sz w:val="32"/>
          <w:szCs w:val="32"/>
          <w:lang w:val="en-US" w:eastAsia="zh-CN" w:bidi="ar-SA"/>
        </w:rPr>
        <w:t>采购代理：</w:t>
      </w:r>
      <w:r>
        <w:rPr>
          <w:rFonts w:hint="eastAsia" w:ascii="宋体" w:hAnsi="宋体" w:cs="宋体"/>
          <w:b/>
          <w:color w:val="auto"/>
          <w:kern w:val="2"/>
          <w:sz w:val="32"/>
          <w:szCs w:val="32"/>
          <w:lang w:val="en-US" w:eastAsia="zh-CN" w:bidi="ar-SA"/>
        </w:rPr>
        <w:t>伊宁县政府采购中心</w:t>
      </w:r>
    </w:p>
    <w:p w14:paraId="4087A451">
      <w:pPr>
        <w:pStyle w:val="28"/>
        <w:ind w:left="0" w:leftChars="0" w:firstLine="0" w:firstLineChars="0"/>
        <w:rPr>
          <w:rFonts w:hint="eastAsia"/>
          <w:b/>
          <w:color w:val="auto"/>
          <w:sz w:val="32"/>
          <w:szCs w:val="32"/>
        </w:rPr>
      </w:pPr>
    </w:p>
    <w:p w14:paraId="68B91C61">
      <w:pPr>
        <w:pStyle w:val="8"/>
        <w:spacing w:line="240" w:lineRule="auto"/>
        <w:ind w:firstLine="3520" w:firstLineChars="1100"/>
        <w:jc w:val="both"/>
        <w:rPr>
          <w:rFonts w:hint="eastAsia"/>
          <w:b/>
          <w:color w:val="auto"/>
          <w:sz w:val="32"/>
          <w:szCs w:val="32"/>
        </w:rPr>
      </w:pPr>
      <w:r>
        <w:rPr>
          <w:rFonts w:hint="eastAsia"/>
          <w:b/>
          <w:color w:val="auto"/>
          <w:sz w:val="32"/>
          <w:szCs w:val="32"/>
        </w:rPr>
        <w:t>202</w:t>
      </w:r>
      <w:r>
        <w:rPr>
          <w:rFonts w:hint="eastAsia"/>
          <w:b/>
          <w:color w:val="auto"/>
          <w:sz w:val="32"/>
          <w:szCs w:val="32"/>
          <w:lang w:val="en-US" w:eastAsia="zh-CN"/>
        </w:rPr>
        <w:t>5</w:t>
      </w:r>
      <w:r>
        <w:rPr>
          <w:rFonts w:hint="eastAsia"/>
          <w:b/>
          <w:color w:val="auto"/>
          <w:sz w:val="32"/>
          <w:szCs w:val="32"/>
        </w:rPr>
        <w:t>年</w:t>
      </w:r>
      <w:r>
        <w:rPr>
          <w:rFonts w:hint="eastAsia"/>
          <w:b/>
          <w:color w:val="auto"/>
          <w:sz w:val="32"/>
          <w:szCs w:val="32"/>
          <w:lang w:val="en-US" w:eastAsia="zh-CN"/>
        </w:rPr>
        <w:t>07</w:t>
      </w:r>
      <w:r>
        <w:rPr>
          <w:rFonts w:hint="eastAsia"/>
          <w:b/>
          <w:color w:val="auto"/>
          <w:sz w:val="32"/>
          <w:szCs w:val="32"/>
        </w:rPr>
        <w:t>月</w:t>
      </w:r>
    </w:p>
    <w:p w14:paraId="5E548BB6">
      <w:pPr>
        <w:spacing w:line="360" w:lineRule="auto"/>
        <w:jc w:val="both"/>
        <w:rPr>
          <w:rFonts w:hint="eastAsia" w:asciiTheme="minorEastAsia" w:hAnsiTheme="minorEastAsia" w:eastAsiaTheme="minorEastAsia" w:cstheme="minorEastAsia"/>
          <w:b/>
          <w:color w:val="auto"/>
          <w:sz w:val="36"/>
        </w:rPr>
      </w:pPr>
    </w:p>
    <w:p w14:paraId="423399E5">
      <w:pPr>
        <w:pStyle w:val="28"/>
        <w:ind w:left="0" w:leftChars="0" w:firstLine="0" w:firstLineChars="0"/>
        <w:rPr>
          <w:rFonts w:hint="eastAsia" w:asciiTheme="minorEastAsia" w:hAnsiTheme="minorEastAsia" w:eastAsiaTheme="minorEastAsia" w:cstheme="minorEastAsia"/>
          <w:b/>
          <w:color w:val="auto"/>
          <w:sz w:val="36"/>
        </w:rPr>
      </w:pPr>
    </w:p>
    <w:p w14:paraId="6D59CBB0">
      <w:pPr>
        <w:pStyle w:val="28"/>
        <w:ind w:left="0" w:leftChars="0" w:firstLine="0" w:firstLineChars="0"/>
        <w:rPr>
          <w:rFonts w:hint="eastAsia" w:asciiTheme="minorEastAsia" w:hAnsiTheme="minorEastAsia" w:eastAsiaTheme="minorEastAsia" w:cstheme="minorEastAsia"/>
          <w:b/>
          <w:color w:val="auto"/>
          <w:sz w:val="36"/>
        </w:rPr>
      </w:pPr>
    </w:p>
    <w:p w14:paraId="0DA2164B">
      <w:pPr>
        <w:spacing w:line="360" w:lineRule="auto"/>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目     录</w:t>
      </w:r>
    </w:p>
    <w:p w14:paraId="070EDB36">
      <w:pPr>
        <w:pStyle w:val="14"/>
        <w:tabs>
          <w:tab w:val="right" w:leader="dot" w:pos="8400"/>
          <w:tab w:val="right" w:leader="dot" w:pos="9737"/>
        </w:tabs>
        <w:spacing w:line="360"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b/>
          <w:color w:val="auto"/>
          <w:sz w:val="24"/>
          <w:szCs w:val="24"/>
        </w:rPr>
        <w:fldChar w:fldCharType="begin"/>
      </w:r>
      <w:r>
        <w:rPr>
          <w:rFonts w:hint="eastAsia" w:asciiTheme="minorEastAsia" w:hAnsiTheme="minorEastAsia" w:eastAsiaTheme="minorEastAsia" w:cstheme="minorEastAsia"/>
          <w:b/>
          <w:color w:val="auto"/>
          <w:sz w:val="24"/>
          <w:szCs w:val="24"/>
        </w:rPr>
        <w:instrText xml:space="preserve"> TOC \o "1-2" \h \z \u </w:instrText>
      </w:r>
      <w:r>
        <w:rPr>
          <w:rFonts w:hint="eastAsia" w:asciiTheme="minorEastAsia" w:hAnsiTheme="minorEastAsia" w:eastAsiaTheme="minorEastAsia" w:cstheme="minorEastAsia"/>
          <w:b/>
          <w:color w:val="auto"/>
          <w:sz w:val="24"/>
          <w:szCs w:val="24"/>
        </w:rPr>
        <w:fldChar w:fldCharType="separate"/>
      </w:r>
      <w:r>
        <w:rPr>
          <w:color w:val="auto"/>
        </w:rPr>
        <w:fldChar w:fldCharType="begin"/>
      </w:r>
      <w:r>
        <w:rPr>
          <w:color w:val="auto"/>
        </w:rPr>
        <w:instrText xml:space="preserve"> HYPERLINK \l "_Toc527642949" </w:instrText>
      </w:r>
      <w:r>
        <w:rPr>
          <w:color w:val="auto"/>
        </w:rPr>
        <w:fldChar w:fldCharType="separate"/>
      </w:r>
      <w:r>
        <w:rPr>
          <w:rStyle w:val="27"/>
          <w:rFonts w:hint="eastAsia" w:asciiTheme="minorEastAsia" w:hAnsiTheme="minorEastAsia" w:eastAsiaTheme="minorEastAsia" w:cstheme="minorEastAsia"/>
          <w:color w:val="auto"/>
        </w:rPr>
        <w:t>第一部分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p>
    <w:p w14:paraId="5FF714D7">
      <w:pPr>
        <w:pStyle w:val="14"/>
        <w:tabs>
          <w:tab w:val="right" w:leader="dot" w:pos="8400"/>
          <w:tab w:val="right" w:leader="dot" w:pos="9737"/>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"_Toc527642950" </w:instrText>
      </w:r>
      <w:r>
        <w:rPr>
          <w:color w:val="auto"/>
        </w:rPr>
        <w:fldChar w:fldCharType="separate"/>
      </w:r>
      <w:r>
        <w:rPr>
          <w:rStyle w:val="27"/>
          <w:rFonts w:hint="eastAsia" w:asciiTheme="minorEastAsia" w:hAnsiTheme="minorEastAsia" w:eastAsiaTheme="minorEastAsia" w:cstheme="minorEastAsia"/>
          <w:color w:val="auto"/>
        </w:rPr>
        <w:t>第二部分  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p>
    <w:p w14:paraId="14632A85">
      <w:pPr>
        <w:pStyle w:val="17"/>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"_Toc527642951" </w:instrText>
      </w:r>
      <w:r>
        <w:rPr>
          <w:color w:val="auto"/>
        </w:rPr>
        <w:fldChar w:fldCharType="separate"/>
      </w:r>
      <w:r>
        <w:rPr>
          <w:rFonts w:hint="eastAsia"/>
          <w:color w:val="auto"/>
        </w:rPr>
        <w:t>投标人</w:t>
      </w:r>
      <w:r>
        <w:rPr>
          <w:rStyle w:val="27"/>
          <w:rFonts w:hint="eastAsia" w:asciiTheme="minorEastAsia" w:hAnsiTheme="minorEastAsia" w:eastAsiaTheme="minorEastAsia" w:cstheme="minorEastAsia"/>
          <w:color w:val="auto"/>
        </w:rPr>
        <w:t>须知附表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3</w:t>
      </w:r>
    </w:p>
    <w:p w14:paraId="01052930">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"_Toc527642959" </w:instrText>
      </w:r>
      <w:r>
        <w:rPr>
          <w:color w:val="auto"/>
        </w:rPr>
        <w:fldChar w:fldCharType="separate"/>
      </w:r>
      <w:r>
        <w:rPr>
          <w:rStyle w:val="27"/>
          <w:rFonts w:hint="eastAsia" w:asciiTheme="minorEastAsia" w:hAnsiTheme="minorEastAsia" w:eastAsiaTheme="minorEastAsia" w:cstheme="minorEastAsia"/>
          <w:color w:val="auto"/>
        </w:rPr>
        <w:t>第三部分  技术要求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4</w:t>
      </w:r>
    </w:p>
    <w:p w14:paraId="18EB45E8">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"_Toc527642960" </w:instrText>
      </w:r>
      <w:r>
        <w:rPr>
          <w:color w:val="auto"/>
        </w:rPr>
        <w:fldChar w:fldCharType="separate"/>
      </w:r>
      <w:r>
        <w:rPr>
          <w:rStyle w:val="27"/>
          <w:rFonts w:hint="eastAsia" w:asciiTheme="minorEastAsia" w:hAnsiTheme="minorEastAsia" w:eastAsiaTheme="minorEastAsia" w:cstheme="minorEastAsia"/>
          <w:color w:val="auto"/>
        </w:rPr>
        <w:t>第四部分 合同条款及格式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5</w:t>
      </w:r>
    </w:p>
    <w:p w14:paraId="7F375F39">
      <w:pPr>
        <w:pStyle w:val="14"/>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"_Toc527642969" </w:instrText>
      </w:r>
      <w:r>
        <w:rPr>
          <w:color w:val="auto"/>
        </w:rPr>
        <w:fldChar w:fldCharType="separate"/>
      </w:r>
      <w:r>
        <w:rPr>
          <w:rStyle w:val="27"/>
          <w:rFonts w:hint="eastAsia" w:asciiTheme="minorEastAsia" w:hAnsiTheme="minorEastAsia" w:eastAsiaTheme="minorEastAsia" w:cstheme="minorEastAsia"/>
          <w:color w:val="auto"/>
        </w:rPr>
        <w:t>第五部分 响应文件格式格式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45</w:t>
      </w:r>
      <w:r>
        <w:rPr>
          <w:rFonts w:hint="eastAsia" w:asciiTheme="minorEastAsia" w:hAnsiTheme="minorEastAsia" w:eastAsiaTheme="minorEastAsia" w:cstheme="minorEastAsia"/>
          <w:color w:val="auto"/>
        </w:rPr>
        <w:fldChar w:fldCharType="end"/>
      </w:r>
    </w:p>
    <w:p w14:paraId="6925591E">
      <w:pPr>
        <w:pStyle w:val="14"/>
        <w:tabs>
          <w:tab w:val="right" w:leader="dot" w:pos="8541"/>
        </w:tabs>
        <w:spacing w:line="360" w:lineRule="auto"/>
        <w:rPr>
          <w:rStyle w:val="27"/>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b/>
          <w:color w:val="auto"/>
          <w:sz w:val="24"/>
          <w:szCs w:val="24"/>
        </w:rPr>
        <w:fldChar w:fldCharType="end"/>
      </w:r>
      <w:r>
        <w:rPr>
          <w:rStyle w:val="27"/>
          <w:rFonts w:hint="eastAsia" w:asciiTheme="minorEastAsia" w:hAnsiTheme="minorEastAsia" w:eastAsiaTheme="minorEastAsia" w:cstheme="minorEastAsia"/>
          <w:color w:val="auto"/>
          <w:u w:val="none"/>
        </w:rPr>
        <w:t>第六部分 补充条款</w:t>
      </w:r>
      <w:r>
        <w:rPr>
          <w:rStyle w:val="27"/>
          <w:rFonts w:hint="eastAsia" w:asciiTheme="minorEastAsia" w:hAnsiTheme="minorEastAsia" w:eastAsiaTheme="minorEastAsia" w:cstheme="minorEastAsia"/>
          <w:color w:val="auto"/>
          <w:u w:val="none"/>
        </w:rPr>
        <w:tab/>
      </w:r>
      <w:r>
        <w:rPr>
          <w:rStyle w:val="27"/>
          <w:rFonts w:hint="eastAsia" w:asciiTheme="minorEastAsia" w:hAnsiTheme="minorEastAsia" w:eastAsiaTheme="minorEastAsia" w:cstheme="minorEastAsia"/>
          <w:color w:val="auto"/>
          <w:u w:val="none"/>
        </w:rPr>
        <w:t>68</w:t>
      </w:r>
    </w:p>
    <w:p w14:paraId="590F4ECE">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bookmarkStart w:id="1" w:name="_Toc349573118"/>
      <w:bookmarkStart w:id="2" w:name="_Toc349637917"/>
      <w:bookmarkStart w:id="3" w:name="_Toc527642949"/>
      <w:bookmarkStart w:id="4" w:name="_Toc298240402"/>
    </w:p>
    <w:p w14:paraId="461ADE47">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F0BD260">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490A9B81">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45DF1500">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61D941A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1FFC79EB">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BBE2F6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1E5F9CA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AA15EFF">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04BA0C7E">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C3BA986">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5CD7DAE">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C7BC88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06E54A6F">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A6819B7">
      <w:pPr>
        <w:pStyle w:val="8"/>
        <w:jc w:val="center"/>
        <w:rPr>
          <w:rFonts w:ascii="Calibri" w:hAnsi="宋体"/>
          <w:b/>
          <w:sz w:val="36"/>
          <w:szCs w:val="36"/>
        </w:rPr>
      </w:pPr>
      <w:r>
        <w:rPr>
          <w:rFonts w:hint="eastAsia" w:ascii="Calibri" w:hAnsi="宋体"/>
          <w:b/>
          <w:sz w:val="36"/>
          <w:szCs w:val="36"/>
        </w:rPr>
        <w:t>电子交易须知</w:t>
      </w:r>
    </w:p>
    <w:p w14:paraId="05F7857A">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sz w:val="24"/>
          <w:lang w:val="en-US" w:eastAsia="zh-CN"/>
        </w:rPr>
        <w:t>磋商</w:t>
      </w:r>
      <w:r>
        <w:rPr>
          <w:rFonts w:hint="eastAsia" w:ascii="Calibri" w:hAnsi="宋体"/>
          <w:b/>
          <w:sz w:val="24"/>
        </w:rPr>
        <w:t>公告下方附件《</w:t>
      </w:r>
      <w:r>
        <w:rPr>
          <w:rFonts w:hint="eastAsia" w:ascii="Calibri" w:hAnsi="宋体"/>
          <w:b/>
          <w:sz w:val="24"/>
          <w:u w:val="single"/>
        </w:rPr>
        <w:t>全疆服务机构联系表》</w:t>
      </w:r>
      <w:r>
        <w:rPr>
          <w:rFonts w:hint="eastAsia" w:ascii="Calibri" w:hAnsi="宋体"/>
          <w:b/>
          <w:sz w:val="24"/>
        </w:rPr>
        <w:t>。</w:t>
      </w:r>
    </w:p>
    <w:p w14:paraId="1E69BECB">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w:t>
      </w:r>
      <w:r>
        <w:rPr>
          <w:rFonts w:hint="eastAsia" w:ascii="Calibri" w:hAnsi="宋体"/>
          <w:b/>
          <w:sz w:val="24"/>
          <w:lang w:eastAsia="zh-CN"/>
        </w:rPr>
        <w:t>磋商文件</w:t>
      </w:r>
      <w:r>
        <w:rPr>
          <w:rFonts w:hint="eastAsia" w:ascii="Calibri" w:hAnsi="宋体"/>
          <w:b/>
          <w:sz w:val="24"/>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697E3FD8">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61D57734">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3C9D5176">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06098D88">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5ACA9BF">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320BCD15">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50E309A">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7AE3C493">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p w14:paraId="0F4B3849">
      <w:pPr>
        <w:pStyle w:val="19"/>
        <w:spacing w:before="75" w:beforeAutospacing="0" w:after="75" w:afterAutospacing="0" w:line="360" w:lineRule="auto"/>
        <w:jc w:val="both"/>
        <w:rPr>
          <w:rFonts w:asciiTheme="minorEastAsia" w:hAnsiTheme="minorEastAsia" w:eastAsiaTheme="minorEastAsia" w:cstheme="minorEastAsia"/>
          <w:color w:val="auto"/>
          <w:sz w:val="32"/>
          <w:szCs w:val="32"/>
        </w:rPr>
      </w:pPr>
    </w:p>
    <w:bookmarkEnd w:id="1"/>
    <w:bookmarkEnd w:id="2"/>
    <w:bookmarkEnd w:id="3"/>
    <w:bookmarkEnd w:id="4"/>
    <w:p w14:paraId="414C1775">
      <w:pPr>
        <w:pStyle w:val="2"/>
        <w:numPr>
          <w:ilvl w:val="0"/>
          <w:numId w:val="0"/>
        </w:numPr>
        <w:bidi w:val="0"/>
        <w:ind w:firstLine="2520" w:firstLineChars="700"/>
        <w:rPr>
          <w:sz w:val="36"/>
          <w:szCs w:val="32"/>
        </w:rPr>
      </w:pPr>
      <w:bookmarkStart w:id="5" w:name="_Toc6773"/>
      <w:bookmarkStart w:id="6" w:name="_Toc349573119"/>
      <w:bookmarkStart w:id="7" w:name="_Toc527642950"/>
      <w:bookmarkStart w:id="8" w:name="_Toc267301280"/>
      <w:bookmarkStart w:id="9" w:name="_Toc349637918"/>
      <w:bookmarkStart w:id="10" w:name="_Toc298240403"/>
      <w:r>
        <w:rPr>
          <w:rFonts w:hint="eastAsia"/>
          <w:sz w:val="36"/>
          <w:szCs w:val="32"/>
        </w:rPr>
        <w:t>第一</w:t>
      </w:r>
      <w:r>
        <w:rPr>
          <w:sz w:val="36"/>
          <w:szCs w:val="32"/>
        </w:rPr>
        <w:t xml:space="preserve">章  </w:t>
      </w:r>
      <w:r>
        <w:rPr>
          <w:rFonts w:hint="eastAsia"/>
          <w:sz w:val="36"/>
          <w:szCs w:val="32"/>
        </w:rPr>
        <w:t>竞争性磋商公告</w:t>
      </w:r>
      <w:bookmarkEnd w:id="5"/>
    </w:p>
    <w:p w14:paraId="16D0B89B">
      <w:pPr>
        <w:adjustRightInd w:val="0"/>
        <w:snapToGrid w:val="0"/>
        <w:spacing w:line="360" w:lineRule="auto"/>
        <w:rPr>
          <w:rFonts w:ascii="宋体" w:hAnsi="宋体"/>
          <w:szCs w:val="21"/>
        </w:rPr>
      </w:pPr>
    </w:p>
    <w:p w14:paraId="79070502">
      <w:pPr>
        <w:pBdr>
          <w:top w:val="single" w:color="auto" w:sz="4" w:space="1"/>
          <w:left w:val="single" w:color="auto" w:sz="4" w:space="4"/>
          <w:bottom w:val="single" w:color="auto" w:sz="4" w:space="1"/>
          <w:right w:val="single" w:color="auto" w:sz="4" w:space="4"/>
        </w:pBdr>
        <w:spacing w:line="360" w:lineRule="auto"/>
        <w:ind w:firstLine="420" w:firstLineChars="200"/>
        <w:jc w:val="center"/>
        <w:rPr>
          <w:rFonts w:hint="eastAsia" w:ascii="宋体" w:hAnsi="宋体"/>
          <w:szCs w:val="21"/>
        </w:rPr>
      </w:pPr>
      <w:r>
        <w:rPr>
          <w:rFonts w:hint="eastAsia" w:ascii="宋体" w:hAnsi="宋体"/>
          <w:szCs w:val="21"/>
        </w:rPr>
        <w:t>项目概况</w:t>
      </w:r>
    </w:p>
    <w:p w14:paraId="288CE23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lang w:val="en-US" w:eastAsia="zh-CN"/>
        </w:rPr>
        <w:t>伊宁县青创园人力资源产业分园（一期）装修修缮项目</w:t>
      </w:r>
      <w:r>
        <w:rPr>
          <w:rFonts w:hint="eastAsia" w:ascii="宋体" w:hAnsi="宋体"/>
          <w:szCs w:val="21"/>
        </w:rPr>
        <w:t>的潜在供应商应在</w:t>
      </w:r>
      <w:r>
        <w:rPr>
          <w:rFonts w:hint="eastAsia" w:ascii="宋体" w:hAnsi="宋体"/>
          <w:szCs w:val="21"/>
          <w:u w:val="single"/>
        </w:rPr>
        <w:t>政采云平台（https://www.zcygov.cn/）</w:t>
      </w:r>
      <w:r>
        <w:rPr>
          <w:rFonts w:hint="eastAsia" w:ascii="宋体" w:hAnsi="宋体"/>
          <w:szCs w:val="21"/>
        </w:rPr>
        <w:t>获取采购文件，并于</w:t>
      </w:r>
      <w:r>
        <w:rPr>
          <w:rFonts w:hint="eastAsia" w:ascii="宋体" w:hAnsi="宋体"/>
          <w:color w:val="000000" w:themeColor="text1"/>
          <w:szCs w:val="21"/>
          <w:u w:val="single"/>
        </w:rPr>
        <w:t>202</w:t>
      </w:r>
      <w:r>
        <w:rPr>
          <w:rFonts w:hint="eastAsia" w:ascii="宋体" w:hAnsi="宋体"/>
          <w:color w:val="000000" w:themeColor="text1"/>
          <w:szCs w:val="21"/>
          <w:u w:val="single"/>
          <w:lang w:val="en-US" w:eastAsia="zh-CN"/>
        </w:rPr>
        <w:t>5</w:t>
      </w:r>
      <w:r>
        <w:rPr>
          <w:rFonts w:hint="eastAsia" w:ascii="宋体" w:hAnsi="宋体"/>
          <w:bCs/>
          <w:color w:val="000000" w:themeColor="text1"/>
          <w:szCs w:val="21"/>
          <w:u w:val="single"/>
        </w:rPr>
        <w:t>年</w:t>
      </w:r>
      <w:r>
        <w:rPr>
          <w:rFonts w:hint="eastAsia" w:ascii="宋体" w:hAnsi="宋体"/>
          <w:bCs/>
          <w:color w:val="000000" w:themeColor="text1"/>
          <w:szCs w:val="21"/>
          <w:u w:val="single"/>
          <w:lang w:val="en-US" w:eastAsia="zh-CN"/>
        </w:rPr>
        <w:t>7</w:t>
      </w:r>
      <w:r>
        <w:rPr>
          <w:rFonts w:hint="eastAsia" w:ascii="宋体" w:hAnsi="宋体"/>
          <w:bCs/>
          <w:color w:val="000000" w:themeColor="text1"/>
          <w:szCs w:val="21"/>
          <w:u w:val="single"/>
        </w:rPr>
        <w:t>月</w:t>
      </w:r>
      <w:r>
        <w:rPr>
          <w:rFonts w:hint="eastAsia" w:ascii="宋体" w:hAnsi="宋体"/>
          <w:bCs/>
          <w:color w:val="000000" w:themeColor="text1"/>
          <w:szCs w:val="21"/>
          <w:u w:val="single"/>
          <w:lang w:val="en-US" w:eastAsia="zh-CN"/>
        </w:rPr>
        <w:t>17</w:t>
      </w:r>
      <w:r>
        <w:rPr>
          <w:rFonts w:hint="eastAsia" w:ascii="宋体" w:hAnsi="宋体"/>
          <w:bCs/>
          <w:color w:val="000000" w:themeColor="text1"/>
          <w:szCs w:val="21"/>
          <w:u w:val="single"/>
        </w:rPr>
        <w:t>日1</w:t>
      </w:r>
      <w:r>
        <w:rPr>
          <w:rFonts w:hint="eastAsia" w:ascii="宋体" w:hAnsi="宋体"/>
          <w:bCs/>
          <w:color w:val="000000" w:themeColor="text1"/>
          <w:szCs w:val="21"/>
          <w:u w:val="single"/>
          <w:lang w:val="en-US" w:eastAsia="zh-CN"/>
        </w:rPr>
        <w:t>1</w:t>
      </w:r>
      <w:r>
        <w:rPr>
          <w:rFonts w:hint="eastAsia" w:ascii="宋体" w:hAnsi="宋体"/>
          <w:bCs/>
          <w:color w:val="000000" w:themeColor="text1"/>
          <w:szCs w:val="21"/>
          <w:u w:val="single"/>
        </w:rPr>
        <w:t>点</w:t>
      </w:r>
      <w:r>
        <w:rPr>
          <w:rFonts w:hint="eastAsia" w:ascii="宋体" w:hAnsi="宋体"/>
          <w:bCs/>
          <w:color w:val="000000" w:themeColor="text1"/>
          <w:szCs w:val="21"/>
          <w:u w:val="single"/>
          <w:lang w:val="en-US" w:eastAsia="zh-CN"/>
        </w:rPr>
        <w:t>30</w:t>
      </w:r>
      <w:r>
        <w:rPr>
          <w:rFonts w:hint="eastAsia" w:ascii="宋体" w:hAnsi="宋体"/>
          <w:bCs/>
          <w:color w:val="000000" w:themeColor="text1"/>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14:paraId="131F7305">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11" w:name="_Toc17647"/>
      <w:bookmarkStart w:id="12" w:name="_Toc35393621"/>
      <w:bookmarkStart w:id="13" w:name="_Toc35393790"/>
      <w:bookmarkStart w:id="14" w:name="_Toc28359002"/>
      <w:bookmarkStart w:id="15" w:name="_Toc11744"/>
      <w:bookmarkStart w:id="16" w:name="_Toc28359079"/>
      <w:bookmarkStart w:id="17" w:name="_Hlk24379207"/>
      <w:r>
        <w:rPr>
          <w:rFonts w:hint="eastAsia" w:ascii="宋体" w:hAnsi="宋体" w:cs="宋体"/>
          <w:sz w:val="21"/>
          <w:szCs w:val="21"/>
        </w:rPr>
        <w:t>一、项目基本情况</w:t>
      </w:r>
      <w:bookmarkEnd w:id="11"/>
      <w:bookmarkEnd w:id="12"/>
      <w:bookmarkEnd w:id="13"/>
      <w:bookmarkEnd w:id="14"/>
      <w:bookmarkEnd w:id="15"/>
      <w:bookmarkEnd w:id="16"/>
    </w:p>
    <w:p w14:paraId="16055600">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rPr>
        <w:t>项目编号：</w:t>
      </w:r>
      <w:r>
        <w:rPr>
          <w:rFonts w:hint="eastAsia" w:ascii="宋体" w:hAnsi="宋体"/>
          <w:color w:val="000000" w:themeColor="text1"/>
          <w:szCs w:val="21"/>
          <w:lang w:val="en-US" w:eastAsia="zh-CN"/>
        </w:rPr>
        <w:t>YNXCG-CS2025003</w:t>
      </w:r>
    </w:p>
    <w:p w14:paraId="24A117F1">
      <w:pPr>
        <w:pageBreakBefore w:val="0"/>
        <w:kinsoku/>
        <w:wordWrap/>
        <w:overflowPunct/>
        <w:topLinePunct w:val="0"/>
        <w:autoSpaceDE/>
        <w:autoSpaceDN/>
        <w:bidi w:val="0"/>
        <w:snapToGrid/>
        <w:spacing w:line="360" w:lineRule="auto"/>
        <w:ind w:firstLine="420" w:firstLineChars="200"/>
        <w:rPr>
          <w:rFonts w:hint="eastAsia" w:ascii="宋体" w:hAnsi="宋体"/>
          <w:szCs w:val="21"/>
          <w:u w:val="none"/>
          <w:lang w:val="en-US" w:eastAsia="zh-CN"/>
        </w:rPr>
      </w:pPr>
      <w:r>
        <w:rPr>
          <w:rFonts w:hint="eastAsia" w:ascii="宋体" w:hAnsi="宋体"/>
          <w:color w:val="0C0C0C" w:themeColor="text1" w:themeTint="F2"/>
          <w:szCs w:val="21"/>
        </w:rPr>
        <w:t>项目名称：</w:t>
      </w:r>
      <w:bookmarkEnd w:id="17"/>
      <w:r>
        <w:rPr>
          <w:rFonts w:hint="eastAsia" w:ascii="宋体" w:hAnsi="宋体"/>
          <w:szCs w:val="21"/>
          <w:u w:val="none"/>
          <w:lang w:val="en-US" w:eastAsia="zh-CN"/>
        </w:rPr>
        <w:t>伊宁县青创园人力资源产业分园（一期）装修修缮项目</w:t>
      </w:r>
    </w:p>
    <w:p w14:paraId="41F560A9">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预算金额：</w:t>
      </w:r>
      <w:r>
        <w:rPr>
          <w:rFonts w:hint="eastAsia" w:ascii="宋体" w:hAnsi="宋体"/>
          <w:color w:val="000000" w:themeColor="text1"/>
          <w:szCs w:val="21"/>
          <w:lang w:val="en-US" w:eastAsia="zh-CN"/>
        </w:rPr>
        <w:t>2400000</w:t>
      </w:r>
      <w:r>
        <w:rPr>
          <w:rFonts w:hint="eastAsia" w:ascii="宋体" w:hAnsi="宋体"/>
          <w:color w:val="000000" w:themeColor="text1"/>
          <w:szCs w:val="21"/>
        </w:rPr>
        <w:t>.00元</w:t>
      </w:r>
    </w:p>
    <w:p w14:paraId="3ACD9830">
      <w:pPr>
        <w:pageBreakBefore w:val="0"/>
        <w:kinsoku/>
        <w:wordWrap/>
        <w:overflowPunct/>
        <w:topLinePunct w:val="0"/>
        <w:autoSpaceDE/>
        <w:autoSpaceDN/>
        <w:bidi w:val="0"/>
        <w:snapToGrid/>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最高限价：2338946.88元</w:t>
      </w:r>
    </w:p>
    <w:p w14:paraId="7EC94E64">
      <w:pPr>
        <w:pageBreakBefore w:val="0"/>
        <w:kinsoku/>
        <w:wordWrap/>
        <w:overflowPunct/>
        <w:topLinePunct w:val="0"/>
        <w:autoSpaceDE/>
        <w:autoSpaceDN/>
        <w:bidi w:val="0"/>
        <w:snapToGrid/>
        <w:spacing w:line="360" w:lineRule="auto"/>
        <w:ind w:firstLine="420" w:firstLineChars="200"/>
        <w:rPr>
          <w:rFonts w:hint="default" w:ascii="宋体" w:hAnsi="宋体"/>
          <w:color w:val="auto"/>
          <w:szCs w:val="21"/>
          <w:lang w:val="en-US"/>
        </w:rPr>
      </w:pPr>
      <w:r>
        <w:rPr>
          <w:rFonts w:hint="eastAsia" w:ascii="宋体" w:hAnsi="宋体"/>
          <w:color w:val="auto"/>
          <w:szCs w:val="21"/>
          <w:lang w:val="en-US" w:eastAsia="zh-CN"/>
        </w:rPr>
        <w:t>采购需求：提升改造12#教学楼，总面积约7854.64平方，主要包含12#教学楼内部房建墙面、地面、吊顶拆除修复，外部墙体粉刷改造，室外台阶、散水修复，室外配套实施完善等；</w:t>
      </w:r>
    </w:p>
    <w:p w14:paraId="4A5AD2B1">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eastAsia="宋体" w:cs="Times New Roman"/>
          <w:color w:val="auto"/>
          <w:szCs w:val="21"/>
          <w:lang w:val="en-US" w:eastAsia="zh-CN"/>
        </w:rPr>
        <w:t>计划工期：</w:t>
      </w:r>
      <w:r>
        <w:rPr>
          <w:rFonts w:hint="eastAsia" w:ascii="宋体" w:hAnsi="宋体" w:cs="Times New Roman"/>
          <w:color w:val="auto"/>
          <w:szCs w:val="21"/>
          <w:lang w:val="en-US" w:eastAsia="zh-CN"/>
        </w:rPr>
        <w:t>30</w:t>
      </w:r>
      <w:r>
        <w:rPr>
          <w:rFonts w:hint="eastAsia" w:ascii="宋体" w:hAnsi="宋体" w:eastAsia="宋体" w:cs="Times New Roman"/>
          <w:color w:val="auto"/>
          <w:szCs w:val="21"/>
          <w:lang w:val="en-US" w:eastAsia="zh-CN"/>
        </w:rPr>
        <w:t>日</w:t>
      </w:r>
      <w:r>
        <w:rPr>
          <w:rFonts w:hint="eastAsia" w:ascii="宋体" w:hAnsi="宋体"/>
          <w:color w:val="000000" w:themeColor="text1"/>
          <w:szCs w:val="21"/>
        </w:rPr>
        <w:t>（日历日）</w:t>
      </w:r>
    </w:p>
    <w:p w14:paraId="02F6E6FF">
      <w:pPr>
        <w:pStyle w:val="1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ascii="宋体" w:hAnsi="宋体" w:eastAsia="宋体" w:cs="Times New Roman"/>
          <w:color w:val="000000" w:themeColor="text1"/>
          <w:kern w:val="2"/>
          <w:sz w:val="21"/>
          <w:szCs w:val="21"/>
          <w:lang w:val="en-US" w:eastAsia="zh-CN" w:bidi="ar-SA"/>
        </w:rPr>
      </w:pPr>
      <w:r>
        <w:rPr>
          <w:rFonts w:hint="default" w:ascii="宋体" w:hAnsi="宋体" w:eastAsia="宋体" w:cs="Times New Roman"/>
          <w:color w:val="000000" w:themeColor="text1"/>
          <w:kern w:val="2"/>
          <w:sz w:val="21"/>
          <w:szCs w:val="21"/>
          <w:lang w:val="en-US" w:eastAsia="zh-CN" w:bidi="ar-SA"/>
        </w:rPr>
        <w:t>计划开工日期：202</w:t>
      </w:r>
      <w:r>
        <w:rPr>
          <w:rFonts w:hint="eastAsia" w:cs="Times New Roman"/>
          <w:color w:val="000000" w:themeColor="text1"/>
          <w:kern w:val="2"/>
          <w:sz w:val="21"/>
          <w:szCs w:val="21"/>
          <w:lang w:val="en-US" w:eastAsia="zh-CN" w:bidi="ar-SA"/>
        </w:rPr>
        <w:t>5</w:t>
      </w:r>
      <w:r>
        <w:rPr>
          <w:rFonts w:hint="default" w:ascii="宋体" w:hAnsi="宋体" w:eastAsia="宋体" w:cs="Times New Roman"/>
          <w:color w:val="000000" w:themeColor="text1"/>
          <w:kern w:val="2"/>
          <w:sz w:val="21"/>
          <w:szCs w:val="21"/>
          <w:lang w:val="en-US" w:eastAsia="zh-CN" w:bidi="ar-SA"/>
        </w:rPr>
        <w:t>年</w:t>
      </w:r>
      <w:r>
        <w:rPr>
          <w:rFonts w:hint="eastAsia" w:cs="Times New Roman"/>
          <w:color w:val="000000" w:themeColor="text1"/>
          <w:kern w:val="2"/>
          <w:sz w:val="21"/>
          <w:szCs w:val="21"/>
          <w:lang w:val="en-US" w:eastAsia="zh-CN" w:bidi="ar-SA"/>
        </w:rPr>
        <w:t>7</w:t>
      </w:r>
      <w:r>
        <w:rPr>
          <w:rFonts w:hint="default" w:ascii="宋体" w:hAnsi="宋体" w:eastAsia="宋体" w:cs="Times New Roman"/>
          <w:color w:val="000000" w:themeColor="text1"/>
          <w:kern w:val="2"/>
          <w:sz w:val="21"/>
          <w:szCs w:val="21"/>
          <w:lang w:val="en-US" w:eastAsia="zh-CN" w:bidi="ar-SA"/>
        </w:rPr>
        <w:t>月</w:t>
      </w:r>
      <w:r>
        <w:rPr>
          <w:rFonts w:hint="eastAsia" w:cs="Times New Roman"/>
          <w:color w:val="000000" w:themeColor="text1"/>
          <w:kern w:val="2"/>
          <w:sz w:val="21"/>
          <w:szCs w:val="21"/>
          <w:lang w:val="en-US" w:eastAsia="zh-CN" w:bidi="ar-SA"/>
        </w:rPr>
        <w:t>22</w:t>
      </w:r>
      <w:r>
        <w:rPr>
          <w:rFonts w:hint="default" w:ascii="宋体" w:hAnsi="宋体" w:eastAsia="宋体" w:cs="Times New Roman"/>
          <w:color w:val="000000" w:themeColor="text1"/>
          <w:kern w:val="2"/>
          <w:sz w:val="21"/>
          <w:szCs w:val="21"/>
          <w:lang w:val="en-US" w:eastAsia="zh-CN" w:bidi="ar-SA"/>
        </w:rPr>
        <w:t>日</w:t>
      </w:r>
    </w:p>
    <w:p w14:paraId="0530C89A">
      <w:pPr>
        <w:pStyle w:val="15"/>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color w:val="000000" w:themeColor="text1"/>
          <w:lang w:val="en-US"/>
        </w:rPr>
      </w:pPr>
      <w:r>
        <w:rPr>
          <w:rFonts w:hint="default" w:ascii="宋体" w:hAnsi="宋体" w:eastAsia="宋体" w:cs="Times New Roman"/>
          <w:color w:val="000000" w:themeColor="text1"/>
          <w:kern w:val="2"/>
          <w:sz w:val="21"/>
          <w:szCs w:val="21"/>
          <w:lang w:val="en-US" w:eastAsia="zh-CN" w:bidi="ar-SA"/>
        </w:rPr>
        <w:t>计划竣工日期：</w:t>
      </w:r>
      <w:r>
        <w:rPr>
          <w:rFonts w:hint="eastAsia" w:ascii="宋体" w:hAnsi="宋体" w:cs="Times New Roman"/>
          <w:color w:val="000000" w:themeColor="text1"/>
          <w:kern w:val="2"/>
          <w:sz w:val="21"/>
          <w:szCs w:val="21"/>
          <w:lang w:val="en-US" w:eastAsia="zh-CN" w:bidi="ar-SA"/>
        </w:rPr>
        <w:t>2025年8月21日</w:t>
      </w:r>
    </w:p>
    <w:p w14:paraId="1A0A3D1E">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18" w:name="_Toc27012"/>
      <w:bookmarkStart w:id="19" w:name="_Toc35393799"/>
      <w:bookmarkStart w:id="20" w:name="_Toc28359090"/>
      <w:bookmarkStart w:id="21" w:name="_Toc35393630"/>
      <w:bookmarkStart w:id="22" w:name="_Toc26894"/>
      <w:bookmarkStart w:id="23" w:name="_Toc28359013"/>
      <w:bookmarkStart w:id="24" w:name="_Toc1121"/>
      <w:r>
        <w:rPr>
          <w:rFonts w:hint="eastAsia" w:ascii="宋体" w:hAnsi="宋体" w:cs="宋体"/>
          <w:sz w:val="21"/>
          <w:szCs w:val="21"/>
        </w:rPr>
        <w:t>二、申请人的资格要求：</w:t>
      </w:r>
      <w:bookmarkEnd w:id="18"/>
      <w:bookmarkEnd w:id="19"/>
      <w:bookmarkEnd w:id="20"/>
      <w:bookmarkEnd w:id="21"/>
      <w:bookmarkEnd w:id="22"/>
      <w:bookmarkEnd w:id="23"/>
      <w:bookmarkEnd w:id="24"/>
    </w:p>
    <w:p w14:paraId="61FD3FFD">
      <w:pPr>
        <w:pageBreakBefore w:val="0"/>
        <w:kinsoku/>
        <w:wordWrap/>
        <w:overflowPunct/>
        <w:topLinePunct w:val="0"/>
        <w:autoSpaceDE/>
        <w:autoSpaceDN/>
        <w:bidi w:val="0"/>
        <w:snapToGrid/>
        <w:spacing w:line="360" w:lineRule="auto"/>
        <w:ind w:firstLine="420" w:firstLineChars="200"/>
        <w:rPr>
          <w:rFonts w:ascii="宋体" w:hAnsi="宋体"/>
          <w:szCs w:val="21"/>
        </w:rPr>
      </w:pPr>
      <w:bookmarkStart w:id="25" w:name="_Toc28359091"/>
      <w:bookmarkStart w:id="26" w:name="_Toc28359014"/>
      <w:r>
        <w:rPr>
          <w:rFonts w:hint="eastAsia" w:ascii="宋体" w:hAnsi="宋体"/>
          <w:szCs w:val="21"/>
        </w:rPr>
        <w:t>1</w:t>
      </w:r>
      <w:r>
        <w:rPr>
          <w:rFonts w:hint="eastAsia" w:ascii="宋体" w:hAnsi="宋体"/>
          <w:szCs w:val="21"/>
          <w:lang w:eastAsia="zh-CN"/>
        </w:rPr>
        <w:t>、</w:t>
      </w:r>
      <w:r>
        <w:rPr>
          <w:rFonts w:hint="eastAsia" w:ascii="宋体" w:hAnsi="宋体"/>
          <w:szCs w:val="21"/>
        </w:rPr>
        <w:t>满足《中华人民共和国政府采购法》第二十二条规定。</w:t>
      </w:r>
    </w:p>
    <w:p w14:paraId="49E2A274">
      <w:pPr>
        <w:pageBreakBefore w:val="0"/>
        <w:kinsoku/>
        <w:wordWrap/>
        <w:overflowPunct/>
        <w:topLinePunct w:val="0"/>
        <w:autoSpaceDE/>
        <w:autoSpaceDN/>
        <w:bidi w:val="0"/>
        <w:snapToGrid/>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2.落实政府采购政策需满足的资格要求：供应商为中小企业</w:t>
      </w:r>
    </w:p>
    <w:p w14:paraId="2681B2F3">
      <w:pPr>
        <w:pageBreakBefore w:val="0"/>
        <w:kinsoku/>
        <w:wordWrap/>
        <w:overflowPunct/>
        <w:topLinePunct w:val="0"/>
        <w:autoSpaceDE/>
        <w:autoSpaceDN/>
        <w:bidi w:val="0"/>
        <w:snapToGrid/>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本项目的其他资格要求：</w:t>
      </w:r>
    </w:p>
    <w:p w14:paraId="4215EC99">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（1）资质要求：</w:t>
      </w:r>
      <w:bookmarkStart w:id="27" w:name="OLE_LINK7"/>
      <w:bookmarkStart w:id="28" w:name="OLE_LINK6"/>
      <w:r>
        <w:rPr>
          <w:rFonts w:hint="eastAsia" w:ascii="宋体" w:hAnsi="宋体" w:cs="宋体"/>
          <w:color w:val="000000" w:themeColor="text1"/>
          <w:szCs w:val="21"/>
          <w:lang w:val="en-US" w:eastAsia="zh-CN"/>
        </w:rPr>
        <w:t>建筑装饰装修工程专业贰级（含贰级）及以上资质</w:t>
      </w:r>
      <w:bookmarkEnd w:id="27"/>
      <w:r>
        <w:rPr>
          <w:rFonts w:hint="eastAsia" w:ascii="宋体" w:hAnsi="宋体" w:cs="宋体"/>
          <w:color w:val="000000" w:themeColor="text1"/>
          <w:szCs w:val="21"/>
          <w:lang w:val="en-US" w:eastAsia="zh-CN"/>
        </w:rPr>
        <w:t>，具有有效期内的建设行政主管部门颁发的安全生产许可证；</w:t>
      </w:r>
    </w:p>
    <w:bookmarkEnd w:id="28"/>
    <w:p w14:paraId="59E03FC5">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（2）项目负责人要求：</w:t>
      </w:r>
      <w:bookmarkStart w:id="29" w:name="OLE_LINK5"/>
      <w:r>
        <w:rPr>
          <w:rFonts w:hint="eastAsia" w:ascii="宋体" w:hAnsi="宋体" w:cs="宋体"/>
          <w:color w:val="000000" w:themeColor="text1"/>
          <w:szCs w:val="21"/>
          <w:lang w:val="en-US" w:eastAsia="zh-CN"/>
        </w:rPr>
        <w:t>项目经理须具备建筑工程专业二级(含)以上注册建造师执业资格及有效的安全生产考核合格证书，且不得担任其他在建工程；</w:t>
      </w:r>
      <w:bookmarkEnd w:id="29"/>
    </w:p>
    <w:p w14:paraId="2E000930">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参加采购活动前三年内，投标企业未被“信用中国”（www.creditchina.gov.cn）、中国政府采购网（www.ccgp.gov.cn）列入失信被执行人、重大税收违法案件当事人名单、政府采购严重违法失信行为记录名单相关网站截图。</w:t>
      </w:r>
    </w:p>
    <w:p w14:paraId="35D0006C">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（4）法定代表人投标需提供法定代表人资格证明书，委托代理人投标需提供法定代表人授权委托书；</w:t>
      </w:r>
    </w:p>
    <w:p w14:paraId="7DFFFDFC">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（5）投标企业须提供投标人（被授权本单位在职人员）近6个月内任何1月已依法缴纳社会保险的凭据（依法不需要缴纳社会保障资金的供应商，应提供相应证明文件）；</w:t>
      </w:r>
    </w:p>
    <w:p w14:paraId="1EE36BA1">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（6）具有健全的财务会计制度：提供 2023年度财务审计报告或2024 年度财务审计报告或其基本开户银行出具的资信证明；</w:t>
      </w:r>
    </w:p>
    <w:p w14:paraId="124F6EFF">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bookmarkStart w:id="30" w:name="_Toc8591"/>
      <w:bookmarkStart w:id="31" w:name="_Toc21095"/>
      <w:bookmarkStart w:id="32" w:name="_Toc28506"/>
      <w:bookmarkStart w:id="33" w:name="_Toc35393631"/>
      <w:bookmarkStart w:id="34" w:name="_Toc35393800"/>
      <w:r>
        <w:rPr>
          <w:rFonts w:hint="eastAsia" w:ascii="宋体" w:hAnsi="宋体" w:cs="宋体"/>
          <w:szCs w:val="21"/>
          <w:lang w:val="en-US" w:eastAsia="zh-CN"/>
        </w:rPr>
        <w:t>（7）单位负责人为同一人或者存在直接控股、管理关系的不同供应商，不得参加同一合同下的政府采购活动；</w:t>
      </w:r>
    </w:p>
    <w:p w14:paraId="5EFAEE64">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（8）本项目不接受联合体。</w:t>
      </w:r>
    </w:p>
    <w:p w14:paraId="422B4D66">
      <w:pPr>
        <w:pStyle w:val="3"/>
        <w:pageBreakBefore w:val="0"/>
        <w:kinsoku/>
        <w:wordWrap/>
        <w:overflowPunct/>
        <w:topLinePunct w:val="0"/>
        <w:autoSpaceDE/>
        <w:autoSpaceDN/>
        <w:bidi w:val="0"/>
        <w:snapToGrid/>
        <w:spacing w:line="360" w:lineRule="auto"/>
        <w:rPr>
          <w:rFonts w:ascii="宋体" w:hAnsi="宋体" w:cs="宋体"/>
          <w:sz w:val="21"/>
          <w:szCs w:val="21"/>
        </w:rPr>
      </w:pPr>
      <w:r>
        <w:rPr>
          <w:rFonts w:hint="eastAsia" w:ascii="宋体" w:hAnsi="宋体" w:cs="宋体"/>
          <w:sz w:val="21"/>
          <w:szCs w:val="21"/>
        </w:rPr>
        <w:t>三、获取采购文件</w:t>
      </w:r>
      <w:bookmarkEnd w:id="25"/>
      <w:bookmarkEnd w:id="26"/>
      <w:bookmarkEnd w:id="30"/>
      <w:bookmarkEnd w:id="31"/>
      <w:bookmarkEnd w:id="32"/>
      <w:bookmarkEnd w:id="33"/>
      <w:bookmarkEnd w:id="34"/>
    </w:p>
    <w:p w14:paraId="5A2F79FE">
      <w:pPr>
        <w:pageBreakBefore w:val="0"/>
        <w:kinsoku/>
        <w:wordWrap/>
        <w:overflowPunct/>
        <w:topLinePunct w:val="0"/>
        <w:autoSpaceDE/>
        <w:autoSpaceDN/>
        <w:bidi w:val="0"/>
        <w:snapToGrid/>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时间：202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日至202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14</w:t>
      </w:r>
      <w:r>
        <w:rPr>
          <w:rFonts w:hint="eastAsia" w:ascii="宋体" w:hAnsi="宋体" w:cs="宋体"/>
          <w:color w:val="000000" w:themeColor="text1"/>
          <w:szCs w:val="21"/>
        </w:rPr>
        <w:t>日</w:t>
      </w:r>
      <w:r>
        <w:rPr>
          <w:rFonts w:hint="eastAsia" w:ascii="宋体" w:hAnsi="宋体" w:cs="宋体"/>
          <w:color w:val="000000" w:themeColor="text1"/>
          <w:szCs w:val="21"/>
          <w:lang w:eastAsia="zh-CN"/>
        </w:rPr>
        <w:t>，</w:t>
      </w:r>
      <w:r>
        <w:rPr>
          <w:rFonts w:hint="eastAsia" w:ascii="宋体" w:hAnsi="宋体" w:cs="宋体"/>
          <w:color w:val="000000" w:themeColor="text1"/>
          <w:szCs w:val="21"/>
        </w:rPr>
        <w:t>每天00:00至</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59</w:t>
      </w:r>
      <w:r>
        <w:rPr>
          <w:rFonts w:hint="eastAsia" w:ascii="宋体" w:hAnsi="宋体" w:cs="宋体"/>
          <w:color w:val="000000" w:themeColor="text1"/>
          <w:szCs w:val="21"/>
        </w:rPr>
        <w:t>；</w:t>
      </w:r>
    </w:p>
    <w:p w14:paraId="5A0764C9">
      <w:pPr>
        <w:pageBreakBefore w:val="0"/>
        <w:kinsoku/>
        <w:wordWrap/>
        <w:overflowPunct/>
        <w:topLinePunct w:val="0"/>
        <w:autoSpaceDE/>
        <w:autoSpaceDN/>
        <w:bidi w:val="0"/>
        <w:snapToGrid/>
        <w:spacing w:line="360" w:lineRule="auto"/>
        <w:ind w:firstLine="420" w:firstLineChars="200"/>
        <w:rPr>
          <w:rFonts w:ascii="宋体" w:hAnsi="宋体" w:cs="宋体"/>
          <w:szCs w:val="21"/>
        </w:rPr>
      </w:pPr>
      <w:bookmarkStart w:id="35" w:name="_Toc35393632"/>
      <w:bookmarkStart w:id="36" w:name="_Toc28359092"/>
      <w:bookmarkStart w:id="37" w:name="_Toc28359015"/>
      <w:bookmarkStart w:id="38" w:name="_Toc35393801"/>
      <w:r>
        <w:rPr>
          <w:rFonts w:hint="eastAsia" w:ascii="宋体" w:hAnsi="宋体" w:cs="宋体"/>
          <w:szCs w:val="21"/>
        </w:rPr>
        <w:t>地点：政采云平台线上获取</w:t>
      </w:r>
    </w:p>
    <w:p w14:paraId="640CBF6D">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方式：方式：供应商登录政采云平台https://www.zcygov.cn/在线申请获取采购文件（进入“项目采购”应用，在获取采购文件菜单中选择项目，申请获取采购文件）</w:t>
      </w:r>
    </w:p>
    <w:p w14:paraId="58B1FAB5">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 xml:space="preserve">售价（元）：0 </w:t>
      </w:r>
    </w:p>
    <w:p w14:paraId="09B6C595">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39" w:name="_Toc10378"/>
      <w:bookmarkStart w:id="40" w:name="_Toc19739"/>
      <w:bookmarkStart w:id="41" w:name="_Toc16565"/>
      <w:r>
        <w:rPr>
          <w:rFonts w:hint="eastAsia" w:ascii="宋体" w:hAnsi="宋体" w:cs="宋体"/>
          <w:sz w:val="21"/>
          <w:szCs w:val="21"/>
        </w:rPr>
        <w:t>四、</w:t>
      </w:r>
      <w:bookmarkEnd w:id="35"/>
      <w:bookmarkEnd w:id="36"/>
      <w:bookmarkEnd w:id="37"/>
      <w:bookmarkEnd w:id="38"/>
      <w:r>
        <w:rPr>
          <w:rFonts w:hint="eastAsia" w:ascii="宋体" w:hAnsi="宋体" w:cs="宋体"/>
          <w:sz w:val="21"/>
          <w:szCs w:val="21"/>
        </w:rPr>
        <w:t>响应文件提交</w:t>
      </w:r>
      <w:bookmarkEnd w:id="39"/>
      <w:bookmarkEnd w:id="40"/>
      <w:bookmarkEnd w:id="41"/>
      <w:r>
        <w:rPr>
          <w:rFonts w:hint="eastAsia" w:ascii="宋体" w:hAnsi="宋体" w:cs="宋体"/>
          <w:sz w:val="21"/>
          <w:szCs w:val="21"/>
        </w:rPr>
        <w:t xml:space="preserve"> </w:t>
      </w:r>
    </w:p>
    <w:p w14:paraId="50AAAC6E">
      <w:pPr>
        <w:pageBreakBefore w:val="0"/>
        <w:kinsoku/>
        <w:wordWrap/>
        <w:overflowPunct/>
        <w:topLinePunct w:val="0"/>
        <w:autoSpaceDE/>
        <w:autoSpaceDN/>
        <w:bidi w:val="0"/>
        <w:snapToGrid/>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截止时间：202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w:t>
      </w:r>
      <w:r>
        <w:rPr>
          <w:rFonts w:hint="eastAsia" w:ascii="宋体" w:hAnsi="宋体"/>
          <w:bCs/>
          <w:color w:val="000000" w:themeColor="text1"/>
          <w:szCs w:val="21"/>
        </w:rPr>
        <w:t>1</w:t>
      </w:r>
      <w:r>
        <w:rPr>
          <w:rFonts w:hint="eastAsia" w:ascii="宋体" w:hAnsi="宋体"/>
          <w:bCs/>
          <w:color w:val="000000" w:themeColor="text1"/>
          <w:szCs w:val="21"/>
          <w:lang w:val="en-US" w:eastAsia="zh-CN"/>
        </w:rPr>
        <w:t>1</w:t>
      </w:r>
      <w:r>
        <w:rPr>
          <w:rFonts w:hint="eastAsia" w:ascii="宋体" w:hAnsi="宋体"/>
          <w:bCs/>
          <w:color w:val="000000" w:themeColor="text1"/>
          <w:szCs w:val="21"/>
        </w:rPr>
        <w:t>点</w:t>
      </w:r>
      <w:r>
        <w:rPr>
          <w:rFonts w:hint="eastAsia" w:ascii="宋体" w:hAnsi="宋体"/>
          <w:bCs/>
          <w:color w:val="000000" w:themeColor="text1"/>
          <w:szCs w:val="21"/>
          <w:lang w:val="en-US" w:eastAsia="zh-CN"/>
        </w:rPr>
        <w:t>30</w:t>
      </w:r>
      <w:r>
        <w:rPr>
          <w:rFonts w:hint="eastAsia" w:ascii="宋体" w:hAnsi="宋体"/>
          <w:bCs/>
          <w:color w:val="000000" w:themeColor="text1"/>
          <w:szCs w:val="21"/>
        </w:rPr>
        <w:t>分（北京时间）</w:t>
      </w:r>
    </w:p>
    <w:p w14:paraId="3C813690">
      <w:pPr>
        <w:pageBreakBefore w:val="0"/>
        <w:kinsoku/>
        <w:wordWrap/>
        <w:overflowPunct/>
        <w:topLinePunct w:val="0"/>
        <w:autoSpaceDE/>
        <w:autoSpaceDN/>
        <w:bidi w:val="0"/>
        <w:snapToGrid/>
        <w:spacing w:line="360" w:lineRule="auto"/>
        <w:ind w:firstLine="420" w:firstLineChars="200"/>
        <w:rPr>
          <w:rFonts w:hint="eastAsia" w:ascii="宋体" w:hAnsi="宋体"/>
          <w:szCs w:val="21"/>
        </w:rPr>
      </w:pPr>
      <w:r>
        <w:rPr>
          <w:rFonts w:hint="eastAsia" w:ascii="宋体" w:hAnsi="宋体"/>
          <w:szCs w:val="21"/>
        </w:rPr>
        <w:t>地点：请登录政采云投标客户端，在截止时间前将加密的电子响应文件（.jmbs）上传到新疆政府采购网对应的位置（逾期上传或者未上传指定地点的响应文件，采购人不予受理）。</w:t>
      </w:r>
    </w:p>
    <w:p w14:paraId="0EC5DDEC">
      <w:pPr>
        <w:pStyle w:val="3"/>
        <w:pageBreakBefore w:val="0"/>
        <w:numPr>
          <w:ilvl w:val="0"/>
          <w:numId w:val="2"/>
        </w:numPr>
        <w:kinsoku/>
        <w:wordWrap/>
        <w:overflowPunct/>
        <w:topLinePunct w:val="0"/>
        <w:autoSpaceDE/>
        <w:autoSpaceDN/>
        <w:bidi w:val="0"/>
        <w:snapToGrid/>
        <w:spacing w:line="360" w:lineRule="auto"/>
        <w:rPr>
          <w:rFonts w:hint="eastAsia" w:ascii="宋体" w:hAnsi="宋体" w:cs="宋体"/>
          <w:sz w:val="21"/>
          <w:szCs w:val="21"/>
        </w:rPr>
      </w:pPr>
      <w:bookmarkStart w:id="42" w:name="_Toc26539"/>
      <w:bookmarkStart w:id="43" w:name="_Toc11073"/>
      <w:bookmarkStart w:id="44" w:name="_Toc20922"/>
      <w:r>
        <w:rPr>
          <w:rFonts w:hint="eastAsia" w:ascii="宋体" w:hAnsi="宋体" w:cs="宋体"/>
          <w:sz w:val="21"/>
          <w:szCs w:val="21"/>
        </w:rPr>
        <w:t>响应文件</w:t>
      </w:r>
      <w:r>
        <w:rPr>
          <w:rFonts w:hint="eastAsia" w:ascii="宋体" w:hAnsi="宋体" w:cs="宋体"/>
          <w:sz w:val="21"/>
          <w:szCs w:val="21"/>
          <w:lang w:val="en-US" w:eastAsia="zh-CN"/>
        </w:rPr>
        <w:t>开启</w:t>
      </w:r>
      <w:bookmarkEnd w:id="42"/>
      <w:bookmarkEnd w:id="43"/>
      <w:bookmarkEnd w:id="44"/>
    </w:p>
    <w:p w14:paraId="3D2C4199">
      <w:pPr>
        <w:pageBreakBefore w:val="0"/>
        <w:kinsoku/>
        <w:wordWrap/>
        <w:overflowPunct/>
        <w:topLinePunct w:val="0"/>
        <w:autoSpaceDE/>
        <w:autoSpaceDN/>
        <w:bidi w:val="0"/>
        <w:snapToGrid/>
        <w:spacing w:line="360" w:lineRule="auto"/>
        <w:ind w:firstLine="420" w:firstLineChars="200"/>
        <w:rPr>
          <w:rFonts w:hint="eastAsia" w:ascii="宋体" w:hAnsi="宋体"/>
          <w:color w:val="FF0000"/>
          <w:szCs w:val="21"/>
        </w:rPr>
      </w:pPr>
      <w:r>
        <w:rPr>
          <w:rFonts w:hint="eastAsia"/>
          <w:color w:val="000000" w:themeColor="text1"/>
        </w:rPr>
        <w:t>截</w:t>
      </w:r>
      <w:r>
        <w:rPr>
          <w:rFonts w:hint="eastAsia" w:ascii="宋体" w:hAnsi="宋体"/>
          <w:color w:val="000000" w:themeColor="text1"/>
          <w:szCs w:val="21"/>
        </w:rPr>
        <w:t>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日1</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30</w:t>
      </w:r>
      <w:r>
        <w:rPr>
          <w:rFonts w:hint="eastAsia" w:ascii="宋体" w:hAnsi="宋体"/>
          <w:color w:val="000000" w:themeColor="text1"/>
          <w:szCs w:val="21"/>
        </w:rPr>
        <w:t>（北京时间）</w:t>
      </w:r>
    </w:p>
    <w:p w14:paraId="6F19D85A">
      <w:pPr>
        <w:pageBreakBefore w:val="0"/>
        <w:kinsoku/>
        <w:wordWrap/>
        <w:overflowPunct/>
        <w:topLinePunct w:val="0"/>
        <w:autoSpaceDE/>
        <w:autoSpaceDN/>
        <w:bidi w:val="0"/>
        <w:snapToGrid/>
        <w:spacing w:line="360" w:lineRule="auto"/>
        <w:ind w:firstLine="420" w:firstLineChars="200"/>
        <w:rPr>
          <w:rFonts w:hint="default"/>
          <w:lang w:val="en-US"/>
        </w:rPr>
      </w:pPr>
      <w:r>
        <w:rPr>
          <w:rFonts w:hint="eastAsia" w:ascii="宋体" w:hAnsi="宋体"/>
          <w:szCs w:val="21"/>
        </w:rPr>
        <w:t>地点：</w:t>
      </w:r>
      <w:r>
        <w:rPr>
          <w:rFonts w:hint="eastAsia" w:ascii="宋体" w:hAnsi="宋体" w:cs="Times New Roman"/>
          <w:kern w:val="2"/>
          <w:sz w:val="21"/>
          <w:szCs w:val="21"/>
          <w:lang w:val="en-US" w:eastAsia="zh-CN" w:bidi="ar-SA"/>
        </w:rPr>
        <w:t>政采云系统平台（https://www.zcygov.cn/）不见面开标大厅。</w:t>
      </w:r>
    </w:p>
    <w:p w14:paraId="401A80E0">
      <w:pPr>
        <w:pStyle w:val="3"/>
        <w:pageBreakBefore w:val="0"/>
        <w:kinsoku/>
        <w:wordWrap/>
        <w:overflowPunct/>
        <w:topLinePunct w:val="0"/>
        <w:autoSpaceDE/>
        <w:autoSpaceDN/>
        <w:bidi w:val="0"/>
        <w:snapToGrid/>
        <w:spacing w:line="360" w:lineRule="auto"/>
        <w:rPr>
          <w:rFonts w:hint="default" w:ascii="宋体" w:hAnsi="宋体" w:cs="宋体"/>
          <w:sz w:val="21"/>
          <w:szCs w:val="21"/>
          <w:lang w:val="en-US" w:eastAsia="zh-CN"/>
        </w:rPr>
      </w:pPr>
      <w:bookmarkStart w:id="45" w:name="_Toc18903"/>
      <w:bookmarkStart w:id="46" w:name="_Toc20344"/>
      <w:bookmarkStart w:id="47" w:name="_Toc23236"/>
      <w:r>
        <w:rPr>
          <w:rFonts w:hint="eastAsia" w:ascii="宋体" w:hAnsi="宋体" w:cs="宋体"/>
          <w:sz w:val="21"/>
          <w:szCs w:val="21"/>
          <w:lang w:val="en-US" w:eastAsia="zh-CN"/>
        </w:rPr>
        <w:t>六、公告期限 </w:t>
      </w:r>
      <w:bookmarkEnd w:id="45"/>
      <w:bookmarkEnd w:id="46"/>
      <w:bookmarkEnd w:id="47"/>
    </w:p>
    <w:p w14:paraId="24A5C483">
      <w:pPr>
        <w:pageBreakBefore w:val="0"/>
        <w:kinsoku/>
        <w:wordWrap/>
        <w:overflowPunct/>
        <w:topLinePunct w:val="0"/>
        <w:autoSpaceDE/>
        <w:autoSpaceDN/>
        <w:bidi w:val="0"/>
        <w:snapToGrid/>
        <w:spacing w:line="360" w:lineRule="auto"/>
        <w:ind w:firstLine="420" w:firstLineChars="200"/>
      </w:pPr>
      <w:r>
        <w:rPr>
          <w:rFonts w:hint="eastAsia" w:ascii="宋体" w:hAnsi="宋体"/>
          <w:szCs w:val="21"/>
        </w:rPr>
        <w:t>自本公告发布之日起5个工作日。</w:t>
      </w:r>
    </w:p>
    <w:p w14:paraId="16D336E2">
      <w:pPr>
        <w:pStyle w:val="3"/>
        <w:pageBreakBefore w:val="0"/>
        <w:kinsoku/>
        <w:wordWrap/>
        <w:overflowPunct/>
        <w:topLinePunct w:val="0"/>
        <w:autoSpaceDE/>
        <w:autoSpaceDN/>
        <w:bidi w:val="0"/>
        <w:snapToGrid/>
        <w:spacing w:line="360" w:lineRule="auto"/>
        <w:rPr>
          <w:rFonts w:ascii="宋体" w:hAnsi="宋体" w:cs="宋体"/>
          <w:sz w:val="21"/>
          <w:szCs w:val="21"/>
        </w:rPr>
      </w:pPr>
      <w:bookmarkStart w:id="48" w:name="_Toc30767"/>
      <w:bookmarkStart w:id="49" w:name="_Toc35393635"/>
      <w:bookmarkStart w:id="50" w:name="_Toc22554"/>
      <w:bookmarkStart w:id="51" w:name="_Toc35393804"/>
      <w:bookmarkStart w:id="52" w:name="_Toc13541"/>
      <w:r>
        <w:rPr>
          <w:rFonts w:hint="eastAsia" w:ascii="宋体" w:hAnsi="宋体" w:cs="宋体"/>
          <w:sz w:val="21"/>
          <w:szCs w:val="21"/>
          <w:lang w:val="en-US" w:eastAsia="zh-CN"/>
        </w:rPr>
        <w:t>七</w:t>
      </w:r>
      <w:r>
        <w:rPr>
          <w:rFonts w:hint="eastAsia" w:ascii="宋体" w:hAnsi="宋体" w:cs="宋体"/>
          <w:sz w:val="21"/>
          <w:szCs w:val="21"/>
        </w:rPr>
        <w:t>、其他补充事宜</w:t>
      </w:r>
      <w:bookmarkEnd w:id="48"/>
      <w:bookmarkEnd w:id="49"/>
      <w:bookmarkEnd w:id="50"/>
      <w:bookmarkEnd w:id="51"/>
      <w:bookmarkEnd w:id="52"/>
    </w:p>
    <w:p w14:paraId="2FFB87A7">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1、本项目实行网上投标，采用电子投标文件；若供应商参与投标，自行承担投标一切费用。</w:t>
      </w:r>
    </w:p>
    <w:p w14:paraId="5F236CF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31D308FE">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w:t>
      </w:r>
    </w:p>
    <w:p w14:paraId="21EBDD45">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4、加密的电子投标文件应在投标文件递交截止时间前通过政采云平台上传完成。逾期上传或者未上传指定地点的投标文件，采购人不予受理。</w:t>
      </w:r>
    </w:p>
    <w:p w14:paraId="320C815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5、投标文件开启当日，供应商无需到达开标现场，仅需通过政采云平台完成远程解密、开标唱标、询标澄清等交互环节。供应商必须使用能正确解密投标文件的“CA锁”在规定的时间内完成远程解密，因供应商原因未能解密、解密失败或解密超时，视为供应商撤销其投标文件。</w:t>
      </w:r>
    </w:p>
    <w:p w14:paraId="75AD384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6、本项目需要落实的政府采购政策：</w:t>
      </w:r>
      <w:bookmarkStart w:id="53" w:name="_Toc35393805"/>
      <w:bookmarkStart w:id="54" w:name="_Toc28359018"/>
      <w:bookmarkStart w:id="55" w:name="_Toc35393636"/>
      <w:bookmarkStart w:id="56" w:name="_Toc28359095"/>
      <w:r>
        <w:rPr>
          <w:rFonts w:hint="eastAsia" w:cs="宋体"/>
          <w:b w:val="0"/>
          <w:bCs w:val="0"/>
          <w:kern w:val="0"/>
          <w:sz w:val="21"/>
          <w:szCs w:val="21"/>
          <w:lang w:val="en-US" w:eastAsia="zh-CN" w:bidi="ar-SA"/>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制定的《关于印发《政府采购促进中小企业发展管理办法》的通知》（财库〔2020〕46号）；（6）关于落实好政府采购支持中小企业发展的通知（新财购〔2022〕22号）；（7）财政部、民政部、中国残疾人联合会《关于促进残疾人就业政府采购政策的通知》（财库[2017]141号）；（8）财政部、司法部《关于政府采购支持监狱企业发展有关问题的通知》（财库[2014]68号文）。</w:t>
      </w:r>
    </w:p>
    <w:p w14:paraId="607D2DD0">
      <w:pPr>
        <w:pStyle w:val="19"/>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20"/>
        <w:textAlignment w:val="auto"/>
        <w:rPr>
          <w:rFonts w:hint="default" w:cs="宋体"/>
          <w:b w:val="0"/>
          <w:bCs w:val="0"/>
          <w:kern w:val="0"/>
          <w:sz w:val="21"/>
          <w:szCs w:val="21"/>
          <w:lang w:val="en-US" w:eastAsia="zh-CN" w:bidi="ar-SA"/>
        </w:rPr>
      </w:pPr>
      <w:r>
        <w:rPr>
          <w:rFonts w:hint="eastAsia" w:cs="宋体"/>
          <w:b w:val="0"/>
          <w:bCs w:val="0"/>
          <w:kern w:val="0"/>
          <w:sz w:val="21"/>
          <w:szCs w:val="21"/>
          <w:lang w:val="en-US" w:eastAsia="zh-CN" w:bidi="ar-SA"/>
        </w:rPr>
        <w:t>7、为支持和促进中小企业发展，进一步发挥政府采购政策功能，鼓励供应商使用电子保函替代保证金及进行预付款增信，支持供应商基于中标项目进行合同融资。中标供应商若想了解或使用相关金融服务，可登录【兵团政府采购网】-信用融资专题或直接登录【兵团政府采购信用融资服务平台】查看：直达链接：https://jinrong.zcygov.cn/luban/finance/xinjiang金融服务支撑热线：400-903-9583</w:t>
      </w:r>
    </w:p>
    <w:p w14:paraId="5CA21FE9">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default" w:ascii="宋体" w:hAnsi="宋体" w:eastAsia="宋体" w:cs="宋体"/>
          <w:b w:val="0"/>
          <w:bCs w:val="0"/>
          <w:kern w:val="0"/>
          <w:sz w:val="21"/>
          <w:szCs w:val="21"/>
          <w:lang w:val="en-US" w:eastAsia="zh-CN" w:bidi="ar-SA"/>
        </w:rPr>
      </w:pPr>
      <w:r>
        <w:rPr>
          <w:rFonts w:hint="eastAsia" w:cs="宋体"/>
          <w:b w:val="0"/>
          <w:bCs w:val="0"/>
          <w:kern w:val="0"/>
          <w:sz w:val="21"/>
          <w:szCs w:val="21"/>
          <w:lang w:val="en-US" w:eastAsia="zh-CN" w:bidi="ar-SA"/>
        </w:rPr>
        <w:t>8、超过200万元的货物和服务采购项目、超过400万元的工程采购项目中适宜由中小企业提供的，预留该部分采购项目预算总额的40%以上专门面向中小企业采购，其中预留给小微企业的比例不低于60%。对于未预留份额专门面向中小企业的采购项目，以及预留份额项目中的非预留部分采购包，采购人、采购代理机构应当对符合规定的小微企业报价给予10%~20%（工程项目为6%~10%）的扣除，用扣除后的价格参加评审。适用磋商投标法的政府采购工程建设项目，采用综合评估法但未采用低价优先法计算价格分的，评标时应当在采用原报价进行评分的基础上增加其价格得分的6%~10%作为其价格分。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磋商投标法的政府采购工程建设项目，采用综合评估法但未采用低价优先法计算价格分的，评标时应当在采用原报价进行评分的基础上增加其价格得分的2%~4%作为其价格分。</w:t>
      </w:r>
    </w:p>
    <w:p w14:paraId="21C805CE">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szCs w:val="21"/>
        </w:rPr>
      </w:pPr>
      <w:r>
        <w:rPr>
          <w:rFonts w:hint="eastAsia" w:ascii="宋体" w:hAnsi="宋体" w:eastAsia="宋体" w:cs="宋体"/>
          <w:b/>
          <w:bCs/>
          <w:kern w:val="2"/>
          <w:sz w:val="21"/>
          <w:szCs w:val="21"/>
          <w:lang w:val="en-US" w:eastAsia="zh-CN" w:bidi="ar-SA"/>
        </w:rPr>
        <w:t>八、凡对本次采购提出询问，请按以下方式联系。</w:t>
      </w:r>
      <w:bookmarkEnd w:id="53"/>
      <w:bookmarkEnd w:id="54"/>
      <w:bookmarkEnd w:id="55"/>
      <w:bookmarkEnd w:id="56"/>
    </w:p>
    <w:p w14:paraId="6F4C021C">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1.采购人信息</w:t>
      </w:r>
    </w:p>
    <w:p w14:paraId="0A7386AB">
      <w:pPr>
        <w:pageBreakBefore w:val="0"/>
        <w:kinsoku/>
        <w:wordWrap/>
        <w:overflowPunct/>
        <w:topLinePunct w:val="0"/>
        <w:autoSpaceDE/>
        <w:autoSpaceDN/>
        <w:bidi w:val="0"/>
        <w:snapToGrid/>
        <w:spacing w:line="360" w:lineRule="auto"/>
        <w:ind w:firstLine="630" w:firstLineChars="300"/>
        <w:rPr>
          <w:rFonts w:hint="eastAsia" w:ascii="宋体" w:hAnsi="宋体"/>
          <w:color w:val="000000" w:themeColor="text1"/>
          <w:szCs w:val="21"/>
          <w:lang w:val="en-US" w:eastAsia="zh-CN"/>
        </w:rPr>
      </w:pPr>
      <w:r>
        <w:rPr>
          <w:rFonts w:hint="eastAsia" w:ascii="宋体" w:hAnsi="宋体"/>
          <w:szCs w:val="21"/>
        </w:rPr>
        <w:t xml:space="preserve">名   </w:t>
      </w:r>
      <w:r>
        <w:rPr>
          <w:rFonts w:hint="eastAsia" w:ascii="宋体" w:hAnsi="宋体"/>
          <w:color w:val="000000" w:themeColor="text1"/>
          <w:szCs w:val="21"/>
        </w:rPr>
        <w:t xml:space="preserve"> 称：</w:t>
      </w:r>
      <w:r>
        <w:rPr>
          <w:rFonts w:hint="eastAsia" w:ascii="宋体" w:hAnsi="宋体"/>
          <w:color w:val="000000" w:themeColor="text1"/>
          <w:szCs w:val="21"/>
          <w:lang w:val="en-US" w:eastAsia="zh-CN"/>
        </w:rPr>
        <w:t>伊宁县技工学校</w:t>
      </w:r>
    </w:p>
    <w:p w14:paraId="452AF495">
      <w:pPr>
        <w:pageBreakBefore w:val="0"/>
        <w:kinsoku/>
        <w:wordWrap/>
        <w:overflowPunct/>
        <w:topLinePunct w:val="0"/>
        <w:autoSpaceDE/>
        <w:autoSpaceDN/>
        <w:bidi w:val="0"/>
        <w:snapToGrid/>
        <w:spacing w:line="360" w:lineRule="auto"/>
        <w:ind w:firstLine="630" w:firstLineChars="30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地    址：</w:t>
      </w:r>
      <w:r>
        <w:rPr>
          <w:rFonts w:hint="eastAsia" w:cs="Times New Roman" w:eastAsiaTheme="minorEastAsia"/>
          <w:color w:val="000000" w:themeColor="text1"/>
          <w:kern w:val="2"/>
          <w:sz w:val="21"/>
          <w:szCs w:val="21"/>
          <w:lang w:val="en-US" w:eastAsia="zh-CN" w:bidi="ar-SA"/>
        </w:rPr>
        <w:t>伊宁县</w:t>
      </w:r>
    </w:p>
    <w:p w14:paraId="4702E28E">
      <w:pPr>
        <w:pageBreakBefore w:val="0"/>
        <w:kinsoku/>
        <w:wordWrap/>
        <w:overflowPunct/>
        <w:topLinePunct w:val="0"/>
        <w:autoSpaceDE/>
        <w:autoSpaceDN/>
        <w:bidi w:val="0"/>
        <w:snapToGrid/>
        <w:spacing w:line="360" w:lineRule="auto"/>
        <w:ind w:firstLine="630" w:firstLineChars="30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联 系 人：</w:t>
      </w:r>
      <w:r>
        <w:rPr>
          <w:rFonts w:hint="eastAsia" w:cs="Times New Roman" w:eastAsiaTheme="minorEastAsia"/>
          <w:color w:val="000000" w:themeColor="text1"/>
          <w:kern w:val="2"/>
          <w:sz w:val="21"/>
          <w:szCs w:val="21"/>
          <w:lang w:val="en-US" w:eastAsia="zh-CN" w:bidi="ar-SA"/>
        </w:rPr>
        <w:t>马伟龙</w:t>
      </w:r>
    </w:p>
    <w:p w14:paraId="36027324">
      <w:pPr>
        <w:pageBreakBefore w:val="0"/>
        <w:kinsoku/>
        <w:wordWrap/>
        <w:overflowPunct/>
        <w:topLinePunct w:val="0"/>
        <w:autoSpaceDE/>
        <w:autoSpaceDN/>
        <w:bidi w:val="0"/>
        <w:snapToGrid/>
        <w:spacing w:line="360" w:lineRule="auto"/>
        <w:ind w:firstLine="630" w:firstLineChars="300"/>
        <w:rPr>
          <w:rFonts w:hint="eastAsia"/>
          <w:szCs w:val="22"/>
          <w:lang w:val="en-US" w:eastAsia="zh-CN"/>
        </w:rPr>
      </w:pPr>
      <w:r>
        <w:rPr>
          <w:rFonts w:hint="eastAsia" w:ascii="Times New Roman" w:hAnsi="Times New Roman" w:cs="Times New Roman" w:eastAsiaTheme="minorEastAsia"/>
          <w:color w:val="000000" w:themeColor="text1"/>
          <w:kern w:val="2"/>
          <w:sz w:val="21"/>
          <w:szCs w:val="21"/>
          <w:lang w:val="en-US" w:eastAsia="zh-CN" w:bidi="ar-SA"/>
        </w:rPr>
        <w:t>联系方式：</w:t>
      </w:r>
      <w:r>
        <w:rPr>
          <w:rFonts w:hint="eastAsia"/>
          <w:szCs w:val="22"/>
          <w:lang w:val="en-US" w:eastAsia="zh-CN"/>
        </w:rPr>
        <w:t>13109071960</w:t>
      </w:r>
    </w:p>
    <w:p w14:paraId="1B3C25A4">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2.采购代理机构信息</w:t>
      </w:r>
    </w:p>
    <w:p w14:paraId="2A7BDEC1">
      <w:pPr>
        <w:pageBreakBefore w:val="0"/>
        <w:kinsoku/>
        <w:wordWrap/>
        <w:overflowPunct/>
        <w:topLinePunct w:val="0"/>
        <w:autoSpaceDE/>
        <w:autoSpaceDN/>
        <w:bidi w:val="0"/>
        <w:snapToGrid/>
        <w:spacing w:line="360" w:lineRule="auto"/>
        <w:ind w:firstLine="630" w:firstLineChars="300"/>
        <w:rPr>
          <w:rFonts w:hint="eastAsia" w:ascii="宋体" w:hAnsi="宋体"/>
          <w:szCs w:val="21"/>
          <w:lang w:val="en-US" w:eastAsia="zh-CN"/>
        </w:rPr>
      </w:pPr>
      <w:r>
        <w:rPr>
          <w:rFonts w:hint="eastAsia" w:ascii="宋体" w:hAnsi="宋体"/>
          <w:szCs w:val="21"/>
        </w:rPr>
        <w:t>名    称：</w:t>
      </w:r>
      <w:r>
        <w:rPr>
          <w:rFonts w:hint="eastAsia" w:ascii="宋体" w:hAnsi="宋体"/>
          <w:szCs w:val="21"/>
          <w:lang w:val="en-US" w:eastAsia="zh-CN"/>
        </w:rPr>
        <w:t>伊宁县政府采购中心</w:t>
      </w:r>
    </w:p>
    <w:p w14:paraId="1974FFF8">
      <w:pPr>
        <w:pageBreakBefore w:val="0"/>
        <w:kinsoku/>
        <w:wordWrap/>
        <w:overflowPunct/>
        <w:topLinePunct w:val="0"/>
        <w:autoSpaceDE/>
        <w:autoSpaceDN/>
        <w:bidi w:val="0"/>
        <w:snapToGrid/>
        <w:spacing w:line="360" w:lineRule="auto"/>
        <w:ind w:firstLine="630" w:firstLineChars="300"/>
        <w:rPr>
          <w:rFonts w:hint="eastAsia" w:ascii="宋体" w:hAnsi="宋体"/>
          <w:szCs w:val="21"/>
          <w:lang w:val="en-US" w:eastAsia="zh-CN"/>
        </w:rPr>
      </w:pPr>
      <w:r>
        <w:rPr>
          <w:rFonts w:hint="eastAsia" w:ascii="宋体" w:hAnsi="宋体"/>
          <w:szCs w:val="21"/>
        </w:rPr>
        <w:t>地　　址：</w:t>
      </w:r>
      <w:r>
        <w:rPr>
          <w:rFonts w:hint="eastAsia" w:ascii="宋体" w:hAnsi="宋体"/>
          <w:szCs w:val="21"/>
          <w:lang w:val="en-US" w:eastAsia="zh-CN"/>
        </w:rPr>
        <w:t>伊宁县政府二楼219</w:t>
      </w:r>
    </w:p>
    <w:p w14:paraId="296D58BD">
      <w:pPr>
        <w:pageBreakBefore w:val="0"/>
        <w:kinsoku/>
        <w:wordWrap/>
        <w:overflowPunct/>
        <w:topLinePunct w:val="0"/>
        <w:autoSpaceDE/>
        <w:autoSpaceDN/>
        <w:bidi w:val="0"/>
        <w:snapToGrid/>
        <w:spacing w:line="360" w:lineRule="auto"/>
        <w:ind w:firstLine="630" w:firstLineChars="300"/>
        <w:rPr>
          <w:rFonts w:hint="default" w:ascii="宋体" w:hAnsi="宋体" w:eastAsia="宋体"/>
          <w:color w:val="000000" w:themeColor="text1"/>
          <w:szCs w:val="21"/>
          <w:lang w:val="en-US" w:eastAsia="zh-CN"/>
        </w:rPr>
      </w:pPr>
      <w:r>
        <w:rPr>
          <w:rFonts w:hint="eastAsia" w:ascii="宋体" w:hAnsi="宋体"/>
          <w:color w:val="000000" w:themeColor="text1"/>
          <w:szCs w:val="21"/>
        </w:rPr>
        <w:t>联 系 人：</w:t>
      </w:r>
      <w:r>
        <w:rPr>
          <w:rFonts w:hint="eastAsia" w:ascii="宋体" w:hAnsi="宋体"/>
          <w:color w:val="000000" w:themeColor="text1"/>
          <w:szCs w:val="21"/>
          <w:lang w:val="en-US" w:eastAsia="zh-CN"/>
        </w:rPr>
        <w:t>古丽给娜</w:t>
      </w:r>
    </w:p>
    <w:p w14:paraId="3C36EAE8">
      <w:pPr>
        <w:pageBreakBefore w:val="0"/>
        <w:kinsoku/>
        <w:wordWrap/>
        <w:overflowPunct/>
        <w:topLinePunct w:val="0"/>
        <w:autoSpaceDE/>
        <w:autoSpaceDN/>
        <w:bidi w:val="0"/>
        <w:snapToGrid/>
        <w:spacing w:line="360" w:lineRule="auto"/>
        <w:ind w:firstLine="630" w:firstLineChars="300"/>
        <w:rPr>
          <w:color w:val="auto"/>
        </w:rPr>
      </w:pPr>
      <w:r>
        <w:rPr>
          <w:rFonts w:hint="eastAsia" w:ascii="宋体" w:hAnsi="宋体"/>
          <w:color w:val="000000" w:themeColor="text1"/>
          <w:szCs w:val="21"/>
        </w:rPr>
        <w:t>联系方式：</w:t>
      </w:r>
      <w:r>
        <w:rPr>
          <w:rFonts w:hint="eastAsia" w:ascii="宋体" w:hAnsi="宋体"/>
          <w:color w:val="000000" w:themeColor="text1"/>
          <w:szCs w:val="21"/>
          <w:lang w:val="en-US" w:eastAsia="zh-CN"/>
        </w:rPr>
        <w:t xml:space="preserve">18196969533                                          </w:t>
      </w:r>
    </w:p>
    <w:p w14:paraId="0C1B6E20">
      <w:pPr>
        <w:pStyle w:val="28"/>
        <w:ind w:left="0" w:leftChars="0" w:firstLine="0" w:firstLineChars="0"/>
        <w:rPr>
          <w:color w:val="auto"/>
        </w:rPr>
      </w:pPr>
    </w:p>
    <w:p w14:paraId="0BB53A6D">
      <w:pPr>
        <w:pStyle w:val="28"/>
        <w:ind w:left="0" w:leftChars="0" w:firstLine="0" w:firstLineChars="0"/>
        <w:rPr>
          <w:color w:val="auto"/>
        </w:rPr>
      </w:pPr>
    </w:p>
    <w:p w14:paraId="50FEF3EA">
      <w:pPr>
        <w:pStyle w:val="28"/>
        <w:ind w:left="0" w:leftChars="0" w:firstLine="0" w:firstLineChars="0"/>
        <w:rPr>
          <w:color w:val="auto"/>
        </w:rPr>
      </w:pPr>
    </w:p>
    <w:p w14:paraId="099656A7">
      <w:pPr>
        <w:pStyle w:val="2"/>
        <w:numPr>
          <w:ilvl w:val="0"/>
          <w:numId w:val="0"/>
        </w:numPr>
        <w:spacing w:line="360" w:lineRule="auto"/>
        <w:ind w:firstLine="3200" w:firstLineChars="1000"/>
        <w:jc w:val="both"/>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bookmarkEnd w:id="6"/>
      <w:bookmarkEnd w:id="7"/>
      <w:bookmarkEnd w:id="8"/>
      <w:bookmarkEnd w:id="9"/>
      <w:bookmarkEnd w:id="10"/>
    </w:p>
    <w:tbl>
      <w:tblPr>
        <w:tblStyle w:val="23"/>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589"/>
        <w:gridCol w:w="7279"/>
      </w:tblGrid>
      <w:tr w14:paraId="3C39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673DBA7">
            <w:pPr>
              <w:adjustRightInd w:val="0"/>
              <w:snapToGrid w:val="0"/>
              <w:spacing w:line="360" w:lineRule="exact"/>
              <w:jc w:val="center"/>
              <w:rPr>
                <w:rFonts w:eastAsiaTheme="minorEastAsia"/>
                <w:color w:val="auto"/>
                <w:sz w:val="28"/>
                <w:szCs w:val="28"/>
              </w:rPr>
            </w:pPr>
            <w:r>
              <w:rPr>
                <w:rFonts w:eastAsiaTheme="minorEastAsia"/>
                <w:b/>
                <w:color w:val="auto"/>
                <w:szCs w:val="21"/>
              </w:rPr>
              <w:t>条款号</w:t>
            </w:r>
          </w:p>
        </w:tc>
        <w:tc>
          <w:tcPr>
            <w:tcW w:w="1589" w:type="dxa"/>
            <w:vAlign w:val="center"/>
          </w:tcPr>
          <w:p w14:paraId="1CC4752A">
            <w:pPr>
              <w:adjustRightInd w:val="0"/>
              <w:snapToGrid w:val="0"/>
              <w:spacing w:line="360" w:lineRule="exact"/>
              <w:jc w:val="center"/>
              <w:rPr>
                <w:rFonts w:eastAsiaTheme="minorEastAsia"/>
                <w:color w:val="auto"/>
                <w:sz w:val="28"/>
                <w:szCs w:val="28"/>
              </w:rPr>
            </w:pPr>
            <w:r>
              <w:rPr>
                <w:rFonts w:eastAsiaTheme="minorEastAsia"/>
                <w:b/>
                <w:color w:val="auto"/>
                <w:szCs w:val="21"/>
              </w:rPr>
              <w:t>条款名称</w:t>
            </w:r>
          </w:p>
        </w:tc>
        <w:tc>
          <w:tcPr>
            <w:tcW w:w="7279" w:type="dxa"/>
            <w:vAlign w:val="center"/>
          </w:tcPr>
          <w:p w14:paraId="287E1ACF">
            <w:pPr>
              <w:adjustRightInd w:val="0"/>
              <w:snapToGrid w:val="0"/>
              <w:spacing w:line="360" w:lineRule="exact"/>
              <w:jc w:val="center"/>
              <w:rPr>
                <w:rFonts w:eastAsiaTheme="minorEastAsia"/>
                <w:color w:val="auto"/>
                <w:sz w:val="28"/>
                <w:szCs w:val="28"/>
              </w:rPr>
            </w:pPr>
            <w:r>
              <w:rPr>
                <w:rFonts w:eastAsiaTheme="minorEastAsia"/>
                <w:b/>
                <w:color w:val="auto"/>
                <w:szCs w:val="21"/>
              </w:rPr>
              <w:t>编列内容规定</w:t>
            </w:r>
          </w:p>
        </w:tc>
      </w:tr>
      <w:tr w14:paraId="06EA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13D70CC1">
            <w:pPr>
              <w:adjustRightInd w:val="0"/>
              <w:snapToGrid w:val="0"/>
              <w:spacing w:line="360" w:lineRule="exact"/>
              <w:jc w:val="center"/>
              <w:rPr>
                <w:rFonts w:eastAsiaTheme="minorEastAsia"/>
                <w:color w:val="auto"/>
                <w:sz w:val="28"/>
                <w:szCs w:val="28"/>
              </w:rPr>
            </w:pPr>
            <w:r>
              <w:rPr>
                <w:rFonts w:eastAsiaTheme="minorEastAsia"/>
                <w:color w:val="auto"/>
                <w:szCs w:val="21"/>
              </w:rPr>
              <w:t>第1.1款</w:t>
            </w:r>
          </w:p>
        </w:tc>
        <w:tc>
          <w:tcPr>
            <w:tcW w:w="1589" w:type="dxa"/>
            <w:vAlign w:val="center"/>
          </w:tcPr>
          <w:p w14:paraId="39F0D98F">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项目</w:t>
            </w:r>
          </w:p>
        </w:tc>
        <w:tc>
          <w:tcPr>
            <w:tcW w:w="7279" w:type="dxa"/>
            <w:vAlign w:val="center"/>
          </w:tcPr>
          <w:p w14:paraId="52F99CB0">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项目名称：伊宁县青创园人力资源产业分园（一期）装修修缮项目</w:t>
            </w:r>
          </w:p>
          <w:p w14:paraId="258A6005">
            <w:pPr>
              <w:pStyle w:val="21"/>
              <w:spacing w:line="360" w:lineRule="exact"/>
              <w:ind w:firstLine="0" w:firstLineChars="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项目编号：YNXCG-CS2025003</w:t>
            </w:r>
          </w:p>
        </w:tc>
      </w:tr>
      <w:tr w14:paraId="5862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8" w:type="dxa"/>
            <w:vAlign w:val="center"/>
          </w:tcPr>
          <w:p w14:paraId="5B149C6E">
            <w:pPr>
              <w:adjustRightInd w:val="0"/>
              <w:snapToGrid w:val="0"/>
              <w:spacing w:line="360" w:lineRule="exact"/>
              <w:jc w:val="center"/>
              <w:rPr>
                <w:rFonts w:eastAsiaTheme="minorEastAsia"/>
                <w:color w:val="auto"/>
                <w:sz w:val="28"/>
                <w:szCs w:val="28"/>
              </w:rPr>
            </w:pPr>
            <w:r>
              <w:rPr>
                <w:rFonts w:eastAsiaTheme="minorEastAsia"/>
                <w:color w:val="auto"/>
                <w:szCs w:val="21"/>
              </w:rPr>
              <w:t>第1.2款</w:t>
            </w:r>
          </w:p>
        </w:tc>
        <w:tc>
          <w:tcPr>
            <w:tcW w:w="1589" w:type="dxa"/>
            <w:vAlign w:val="center"/>
          </w:tcPr>
          <w:p w14:paraId="516C6C07">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范围</w:t>
            </w:r>
          </w:p>
        </w:tc>
        <w:tc>
          <w:tcPr>
            <w:tcW w:w="7279" w:type="dxa"/>
            <w:vAlign w:val="center"/>
          </w:tcPr>
          <w:p w14:paraId="163F8C53">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文件、施工图纸、工程量清单所示全部内容</w:t>
            </w:r>
          </w:p>
        </w:tc>
      </w:tr>
      <w:tr w14:paraId="4189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2A0214FB">
            <w:pPr>
              <w:adjustRightInd w:val="0"/>
              <w:snapToGrid w:val="0"/>
              <w:spacing w:line="360" w:lineRule="exact"/>
              <w:jc w:val="center"/>
              <w:rPr>
                <w:rFonts w:eastAsiaTheme="minorEastAsia"/>
                <w:color w:val="auto"/>
                <w:sz w:val="28"/>
                <w:szCs w:val="28"/>
              </w:rPr>
            </w:pPr>
            <w:r>
              <w:rPr>
                <w:rFonts w:eastAsiaTheme="minorEastAsia"/>
                <w:color w:val="auto"/>
                <w:szCs w:val="21"/>
              </w:rPr>
              <w:t>第1.3款</w:t>
            </w:r>
          </w:p>
        </w:tc>
        <w:tc>
          <w:tcPr>
            <w:tcW w:w="1589" w:type="dxa"/>
            <w:vAlign w:val="center"/>
          </w:tcPr>
          <w:p w14:paraId="31AF09CA">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项目地点</w:t>
            </w:r>
          </w:p>
        </w:tc>
        <w:tc>
          <w:tcPr>
            <w:tcW w:w="7279" w:type="dxa"/>
            <w:vAlign w:val="center"/>
          </w:tcPr>
          <w:p w14:paraId="06E0AB8C">
            <w:pPr>
              <w:adjustRightInd w:val="0"/>
              <w:snapToGrid w:val="0"/>
              <w:spacing w:line="360" w:lineRule="exact"/>
              <w:jc w:val="left"/>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伊宁县</w:t>
            </w:r>
          </w:p>
        </w:tc>
      </w:tr>
      <w:tr w14:paraId="2A6A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Align w:val="center"/>
          </w:tcPr>
          <w:p w14:paraId="5042DDD0">
            <w:pPr>
              <w:adjustRightInd w:val="0"/>
              <w:snapToGrid w:val="0"/>
              <w:spacing w:line="360" w:lineRule="exact"/>
              <w:jc w:val="center"/>
              <w:rPr>
                <w:rFonts w:eastAsiaTheme="minorEastAsia"/>
                <w:color w:val="auto"/>
                <w:sz w:val="28"/>
                <w:szCs w:val="28"/>
              </w:rPr>
            </w:pPr>
            <w:r>
              <w:rPr>
                <w:rFonts w:eastAsiaTheme="minorEastAsia"/>
                <w:color w:val="auto"/>
                <w:szCs w:val="21"/>
              </w:rPr>
              <w:t>第1.4款</w:t>
            </w:r>
          </w:p>
        </w:tc>
        <w:tc>
          <w:tcPr>
            <w:tcW w:w="1589" w:type="dxa"/>
            <w:vAlign w:val="center"/>
          </w:tcPr>
          <w:p w14:paraId="4154C730">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招标方式</w:t>
            </w:r>
          </w:p>
        </w:tc>
        <w:tc>
          <w:tcPr>
            <w:tcW w:w="7279" w:type="dxa"/>
            <w:vAlign w:val="center"/>
          </w:tcPr>
          <w:p w14:paraId="3F0B4ECE">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竞争性磋商</w:t>
            </w:r>
          </w:p>
        </w:tc>
      </w:tr>
      <w:tr w14:paraId="154D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7D8F95A">
            <w:pPr>
              <w:adjustRightInd w:val="0"/>
              <w:snapToGrid w:val="0"/>
              <w:spacing w:line="360" w:lineRule="exact"/>
              <w:jc w:val="center"/>
              <w:rPr>
                <w:rFonts w:eastAsiaTheme="minorEastAsia"/>
                <w:color w:val="auto"/>
                <w:sz w:val="28"/>
                <w:szCs w:val="28"/>
              </w:rPr>
            </w:pPr>
            <w:r>
              <w:rPr>
                <w:rFonts w:eastAsiaTheme="minorEastAsia"/>
                <w:color w:val="auto"/>
                <w:szCs w:val="21"/>
              </w:rPr>
              <w:t>第1.5款</w:t>
            </w:r>
          </w:p>
        </w:tc>
        <w:tc>
          <w:tcPr>
            <w:tcW w:w="1589" w:type="dxa"/>
            <w:vAlign w:val="center"/>
          </w:tcPr>
          <w:p w14:paraId="7C276115">
            <w:pPr>
              <w:adjustRightInd w:val="0"/>
              <w:snapToGrid w:val="0"/>
              <w:spacing w:line="360" w:lineRule="exact"/>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计划工期、质量等级、付款方式</w:t>
            </w:r>
          </w:p>
        </w:tc>
        <w:tc>
          <w:tcPr>
            <w:tcW w:w="7279" w:type="dxa"/>
            <w:vAlign w:val="center"/>
          </w:tcPr>
          <w:p w14:paraId="54408E2D">
            <w:pPr>
              <w:adjustRightInd w:val="0"/>
              <w:snapToGrid w:val="0"/>
              <w:spacing w:line="36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计划工期：计划开工日期：2025年7月22日，计划竣工日期：2025年8月21日，总工期：30日历天（具体开工日期以开工通知单为准）</w:t>
            </w:r>
          </w:p>
          <w:p w14:paraId="723044A2">
            <w:pPr>
              <w:adjustRightInd w:val="0"/>
              <w:snapToGrid w:val="0"/>
              <w:spacing w:line="36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质量等级：合格</w:t>
            </w:r>
          </w:p>
          <w:p w14:paraId="29253D16">
            <w:pPr>
              <w:adjustRightInd w:val="0"/>
              <w:snapToGrid w:val="0"/>
              <w:spacing w:line="360" w:lineRule="exact"/>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付款方式：合同签订后，支付合同价款的</w:t>
            </w:r>
            <w:r>
              <w:rPr>
                <w:rFonts w:hint="eastAsia" w:cs="Times New Roman"/>
                <w:lang w:val="en-US" w:eastAsia="zh-CN"/>
              </w:rPr>
              <w:t>3</w:t>
            </w:r>
            <w:r>
              <w:rPr>
                <w:rFonts w:hint="eastAsia" w:ascii="Times New Roman" w:hAnsi="Times New Roman" w:eastAsia="宋体" w:cs="Times New Roman"/>
                <w:lang w:val="en-US" w:eastAsia="zh-CN"/>
              </w:rPr>
              <w:t xml:space="preserve">0%，工程全部通过竣工验收后，支付至合同价款的85%；工程完成竣工结算审计后付至结算价的97%；剩余款项质保期满验收合格后一次性付清。  </w:t>
            </w:r>
          </w:p>
        </w:tc>
      </w:tr>
      <w:tr w14:paraId="71F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E4DF9E9">
            <w:pPr>
              <w:adjustRightInd w:val="0"/>
              <w:snapToGrid w:val="0"/>
              <w:spacing w:line="360" w:lineRule="exact"/>
              <w:jc w:val="center"/>
              <w:rPr>
                <w:rFonts w:eastAsiaTheme="minorEastAsia"/>
                <w:color w:val="auto"/>
                <w:sz w:val="28"/>
                <w:szCs w:val="28"/>
              </w:rPr>
            </w:pPr>
            <w:r>
              <w:rPr>
                <w:rFonts w:eastAsiaTheme="minorEastAsia"/>
                <w:color w:val="auto"/>
                <w:szCs w:val="21"/>
              </w:rPr>
              <w:t>第2.1款</w:t>
            </w:r>
          </w:p>
        </w:tc>
        <w:tc>
          <w:tcPr>
            <w:tcW w:w="1589" w:type="dxa"/>
            <w:vAlign w:val="center"/>
          </w:tcPr>
          <w:p w14:paraId="7631A6B2">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招标人</w:t>
            </w:r>
          </w:p>
        </w:tc>
        <w:tc>
          <w:tcPr>
            <w:tcW w:w="7279" w:type="dxa"/>
            <w:vAlign w:val="center"/>
          </w:tcPr>
          <w:p w14:paraId="12D434B4">
            <w:pPr>
              <w:adjustRightInd w:val="0"/>
              <w:snapToGrid w:val="0"/>
              <w:spacing w:line="360" w:lineRule="exact"/>
              <w:jc w:val="left"/>
              <w:rPr>
                <w:rFonts w:hint="default"/>
                <w:szCs w:val="22"/>
                <w:lang w:val="en-US" w:eastAsia="zh-CN"/>
              </w:rPr>
            </w:pPr>
            <w:r>
              <w:rPr>
                <w:rFonts w:hint="default"/>
                <w:szCs w:val="22"/>
                <w:lang w:val="en-US" w:eastAsia="zh-CN"/>
              </w:rPr>
              <w:t>招标单位：</w:t>
            </w:r>
            <w:r>
              <w:rPr>
                <w:rFonts w:hint="eastAsia"/>
                <w:szCs w:val="22"/>
                <w:lang w:val="en-US" w:eastAsia="zh-CN"/>
              </w:rPr>
              <w:t>伊宁县</w:t>
            </w:r>
          </w:p>
          <w:p w14:paraId="0A2924DF">
            <w:pPr>
              <w:adjustRightInd w:val="0"/>
              <w:snapToGrid w:val="0"/>
              <w:spacing w:line="360" w:lineRule="exact"/>
              <w:jc w:val="left"/>
              <w:rPr>
                <w:rFonts w:hint="default"/>
                <w:lang w:val="en-US" w:eastAsia="zh-CN"/>
              </w:rPr>
            </w:pPr>
            <w:r>
              <w:rPr>
                <w:rFonts w:hint="default"/>
                <w:szCs w:val="22"/>
                <w:lang w:val="en-US" w:eastAsia="zh-CN"/>
              </w:rPr>
              <w:t>联系电话：</w:t>
            </w:r>
            <w:r>
              <w:rPr>
                <w:rFonts w:hint="eastAsia"/>
                <w:szCs w:val="22"/>
                <w:lang w:val="en-US" w:eastAsia="zh-CN"/>
              </w:rPr>
              <w:t>13109071960</w:t>
            </w:r>
          </w:p>
        </w:tc>
      </w:tr>
      <w:tr w14:paraId="01E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338" w:type="dxa"/>
            <w:vAlign w:val="center"/>
          </w:tcPr>
          <w:p w14:paraId="2CDB450D">
            <w:pPr>
              <w:adjustRightInd w:val="0"/>
              <w:snapToGrid w:val="0"/>
              <w:spacing w:line="360" w:lineRule="exact"/>
              <w:jc w:val="center"/>
              <w:rPr>
                <w:rFonts w:eastAsiaTheme="minorEastAsia"/>
                <w:color w:val="auto"/>
                <w:sz w:val="28"/>
                <w:szCs w:val="28"/>
              </w:rPr>
            </w:pPr>
            <w:r>
              <w:rPr>
                <w:rFonts w:eastAsiaTheme="minorEastAsia"/>
                <w:color w:val="auto"/>
                <w:szCs w:val="21"/>
              </w:rPr>
              <w:t>第2.2款</w:t>
            </w:r>
          </w:p>
        </w:tc>
        <w:tc>
          <w:tcPr>
            <w:tcW w:w="1589" w:type="dxa"/>
            <w:vAlign w:val="center"/>
          </w:tcPr>
          <w:p w14:paraId="18E797AF">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招标代理机构</w:t>
            </w:r>
          </w:p>
        </w:tc>
        <w:tc>
          <w:tcPr>
            <w:tcW w:w="7279" w:type="dxa"/>
            <w:vAlign w:val="center"/>
          </w:tcPr>
          <w:p w14:paraId="576E658D">
            <w:pPr>
              <w:pStyle w:val="21"/>
              <w:spacing w:line="360" w:lineRule="exact"/>
              <w:ind w:firstLine="0" w:firstLineChars="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名   称：伊宁县政府采购中心</w:t>
            </w:r>
          </w:p>
          <w:p w14:paraId="77E88062">
            <w:pPr>
              <w:pStyle w:val="21"/>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 xml:space="preserve">地   址：伊宁县政府二楼219 </w:t>
            </w:r>
          </w:p>
          <w:p w14:paraId="0207AA52">
            <w:pPr>
              <w:pStyle w:val="21"/>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电   话：18196969533</w:t>
            </w:r>
          </w:p>
        </w:tc>
      </w:tr>
      <w:tr w14:paraId="48C9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19300D0">
            <w:pPr>
              <w:adjustRightInd w:val="0"/>
              <w:snapToGrid w:val="0"/>
              <w:spacing w:line="360" w:lineRule="exact"/>
              <w:jc w:val="center"/>
              <w:rPr>
                <w:rFonts w:eastAsiaTheme="minorEastAsia"/>
                <w:color w:val="auto"/>
                <w:szCs w:val="21"/>
              </w:rPr>
            </w:pPr>
            <w:r>
              <w:rPr>
                <w:rFonts w:eastAsiaTheme="minorEastAsia"/>
                <w:color w:val="auto"/>
                <w:szCs w:val="21"/>
              </w:rPr>
              <w:t>第3.1款</w:t>
            </w:r>
          </w:p>
        </w:tc>
        <w:tc>
          <w:tcPr>
            <w:tcW w:w="1589" w:type="dxa"/>
            <w:vAlign w:val="center"/>
          </w:tcPr>
          <w:p w14:paraId="2AC44ECA">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参谈单位资格条件</w:t>
            </w:r>
          </w:p>
        </w:tc>
        <w:tc>
          <w:tcPr>
            <w:tcW w:w="7279" w:type="dxa"/>
            <w:vAlign w:val="center"/>
          </w:tcPr>
          <w:p w14:paraId="6A5FD7CF">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（一）满足《中华人民共和国政府采购法》第二十二条的相关规定；</w:t>
            </w:r>
          </w:p>
          <w:p w14:paraId="3E609F49">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（二）有效的“一证一码”或“三证合一”的营业执照；</w:t>
            </w:r>
          </w:p>
          <w:p w14:paraId="3226E46C">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三）参加采购活动前三年内，投标企业未被“信用中国”（www.creditchina.gov.cn）、中国政府采购网（www.ccgp.gov.cn）列入失信被执行人、重大税收违法案件当事人名单、政府采购严重违法失信行为记录名单相关网站截图。</w:t>
            </w:r>
          </w:p>
          <w:p w14:paraId="6EE5BBF4">
            <w:pPr>
              <w:pageBreakBefore w:val="0"/>
              <w:kinsoku/>
              <w:wordWrap/>
              <w:overflowPunct/>
              <w:topLinePunct w:val="0"/>
              <w:autoSpaceDE/>
              <w:autoSpaceDN/>
              <w:bidi w:val="0"/>
              <w:snapToGrid/>
              <w:spacing w:line="360" w:lineRule="auto"/>
              <w:rPr>
                <w:rFonts w:hint="eastAsia" w:ascii="宋体" w:hAnsi="宋体" w:cs="宋体"/>
                <w:color w:val="000000" w:themeColor="text1"/>
                <w:szCs w:val="21"/>
                <w:lang w:val="en-US" w:eastAsia="zh-CN"/>
              </w:rPr>
            </w:pPr>
            <w:bookmarkStart w:id="675" w:name="_GoBack"/>
            <w:r>
              <w:rPr>
                <w:rFonts w:hint="eastAsia" w:ascii="Times New Roman" w:hAnsi="Times New Roman" w:cs="Times New Roman" w:eastAsiaTheme="minorEastAsia"/>
                <w:color w:val="auto"/>
                <w:kern w:val="2"/>
                <w:sz w:val="21"/>
                <w:szCs w:val="21"/>
                <w:lang w:val="en-US" w:eastAsia="zh-CN" w:bidi="ar-SA"/>
              </w:rPr>
              <w:t>（四）建筑装饰装修工程专业贰级（含贰级）及以上资质</w:t>
            </w:r>
            <w:r>
              <w:rPr>
                <w:rFonts w:hint="eastAsia" w:ascii="宋体" w:hAnsi="宋体" w:cs="宋体"/>
                <w:color w:val="000000" w:themeColor="text1"/>
                <w:szCs w:val="21"/>
                <w:lang w:val="en-US" w:eastAsia="zh-CN"/>
              </w:rPr>
              <w:t>，具有有效期内的建设行政主管部门颁发的安全生产许可证；项目经理须具备建筑工程专业二级(含)以上注册建造师执业资格及有效的安全生产考核合格证书，且不得担任其他在建工程；</w:t>
            </w:r>
            <w:bookmarkEnd w:id="675"/>
          </w:p>
          <w:p w14:paraId="2A38C3C5">
            <w:pPr>
              <w:pageBreakBefore w:val="0"/>
              <w:kinsoku/>
              <w:wordWrap/>
              <w:overflowPunct/>
              <w:topLinePunct w:val="0"/>
              <w:autoSpaceDE/>
              <w:autoSpaceDN/>
              <w:bidi w:val="0"/>
              <w:snapToGrid/>
              <w:spacing w:line="360" w:lineRule="auto"/>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（五）</w:t>
            </w:r>
            <w:r>
              <w:rPr>
                <w:rFonts w:hint="eastAsia" w:ascii="宋体" w:hAnsi="宋体" w:cs="宋体"/>
                <w:szCs w:val="21"/>
                <w:lang w:val="en-US" w:eastAsia="zh-CN"/>
              </w:rPr>
              <w:t>投标企业须提供投标人（被授权本单位在职人员）近6个月内任何1月已依法缴纳社会保险的凭据（依法不需要缴纳社会保障资金的供应商，应提供相应证明文件）；</w:t>
            </w:r>
          </w:p>
          <w:p w14:paraId="7C87BA1E">
            <w:pPr>
              <w:pStyle w:val="21"/>
              <w:spacing w:line="360" w:lineRule="exact"/>
              <w:ind w:firstLine="0" w:firstLineChars="0"/>
              <w:rPr>
                <w:rFonts w:hint="eastAsia"/>
                <w:lang w:val="en-US" w:eastAsia="zh-CN"/>
              </w:rPr>
            </w:pPr>
            <w:r>
              <w:rPr>
                <w:rFonts w:hint="eastAsia" w:ascii="Times New Roman" w:hAnsi="Times New Roman" w:cs="Times New Roman" w:eastAsiaTheme="minorEastAsia"/>
                <w:color w:val="auto"/>
                <w:kern w:val="2"/>
                <w:sz w:val="21"/>
                <w:szCs w:val="21"/>
                <w:lang w:val="en-US" w:eastAsia="zh-CN" w:bidi="ar-SA"/>
              </w:rPr>
              <w:t>（六）具有健全的财务会计制度：提供 2023年度财务审计报告或2024 年度审计报告或其基本开户银行出具的资信证明复印件。</w:t>
            </w:r>
          </w:p>
          <w:p w14:paraId="13AC719F">
            <w:pPr>
              <w:pStyle w:val="21"/>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（七）本项目不接受联合体投标。</w:t>
            </w:r>
          </w:p>
        </w:tc>
      </w:tr>
      <w:tr w14:paraId="2A1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2DC960CA">
            <w:pPr>
              <w:adjustRightInd w:val="0"/>
              <w:snapToGrid w:val="0"/>
              <w:spacing w:line="360" w:lineRule="exact"/>
              <w:jc w:val="center"/>
              <w:rPr>
                <w:rFonts w:eastAsiaTheme="minorEastAsia"/>
                <w:color w:val="auto"/>
                <w:szCs w:val="21"/>
              </w:rPr>
            </w:pPr>
            <w:r>
              <w:rPr>
                <w:rFonts w:eastAsiaTheme="minorEastAsia"/>
                <w:color w:val="auto"/>
                <w:szCs w:val="21"/>
              </w:rPr>
              <w:t>第4.1款</w:t>
            </w:r>
          </w:p>
        </w:tc>
        <w:tc>
          <w:tcPr>
            <w:tcW w:w="1589" w:type="dxa"/>
            <w:vAlign w:val="center"/>
          </w:tcPr>
          <w:p w14:paraId="177A807B">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联合体形式</w:t>
            </w:r>
          </w:p>
        </w:tc>
        <w:tc>
          <w:tcPr>
            <w:tcW w:w="7279" w:type="dxa"/>
            <w:vAlign w:val="center"/>
          </w:tcPr>
          <w:p w14:paraId="3F2D6D49">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不接受</w:t>
            </w:r>
          </w:p>
        </w:tc>
      </w:tr>
      <w:tr w14:paraId="0D50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FA9CD1B">
            <w:pPr>
              <w:adjustRightInd w:val="0"/>
              <w:snapToGrid w:val="0"/>
              <w:spacing w:line="360" w:lineRule="exact"/>
              <w:jc w:val="center"/>
              <w:rPr>
                <w:rFonts w:eastAsiaTheme="minorEastAsia"/>
                <w:color w:val="auto"/>
                <w:szCs w:val="21"/>
              </w:rPr>
            </w:pPr>
            <w:r>
              <w:rPr>
                <w:rFonts w:eastAsiaTheme="minorEastAsia"/>
                <w:color w:val="auto"/>
                <w:szCs w:val="21"/>
              </w:rPr>
              <w:t>第4.1.1款</w:t>
            </w:r>
          </w:p>
        </w:tc>
        <w:tc>
          <w:tcPr>
            <w:tcW w:w="1589" w:type="dxa"/>
            <w:vAlign w:val="center"/>
          </w:tcPr>
          <w:p w14:paraId="554E03F8">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对联合体各方的要求</w:t>
            </w:r>
          </w:p>
        </w:tc>
        <w:tc>
          <w:tcPr>
            <w:tcW w:w="7279" w:type="dxa"/>
            <w:vAlign w:val="center"/>
          </w:tcPr>
          <w:p w14:paraId="587B1512">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t>
            </w:r>
          </w:p>
        </w:tc>
      </w:tr>
      <w:tr w14:paraId="5CBC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174203B5">
            <w:pPr>
              <w:adjustRightInd w:val="0"/>
              <w:snapToGrid w:val="0"/>
              <w:spacing w:line="360" w:lineRule="exact"/>
              <w:jc w:val="center"/>
              <w:rPr>
                <w:rFonts w:eastAsiaTheme="minorEastAsia"/>
                <w:color w:val="auto"/>
                <w:szCs w:val="21"/>
              </w:rPr>
            </w:pPr>
            <w:r>
              <w:rPr>
                <w:rFonts w:eastAsiaTheme="minorEastAsia"/>
                <w:color w:val="auto"/>
                <w:szCs w:val="21"/>
              </w:rPr>
              <w:t>第5.1款</w:t>
            </w:r>
          </w:p>
        </w:tc>
        <w:tc>
          <w:tcPr>
            <w:tcW w:w="1589" w:type="dxa"/>
            <w:vAlign w:val="center"/>
          </w:tcPr>
          <w:p w14:paraId="7AFAAB13">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现场勘察</w:t>
            </w:r>
          </w:p>
        </w:tc>
        <w:tc>
          <w:tcPr>
            <w:tcW w:w="7279" w:type="dxa"/>
            <w:vAlign w:val="center"/>
          </w:tcPr>
          <w:p w14:paraId="386C0592">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不组织</w:t>
            </w:r>
          </w:p>
        </w:tc>
      </w:tr>
      <w:tr w14:paraId="4AF0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12723978">
            <w:pPr>
              <w:adjustRightInd w:val="0"/>
              <w:snapToGrid w:val="0"/>
              <w:spacing w:line="360" w:lineRule="exact"/>
              <w:jc w:val="center"/>
              <w:rPr>
                <w:rFonts w:eastAsiaTheme="minorEastAsia"/>
                <w:color w:val="auto"/>
                <w:szCs w:val="21"/>
              </w:rPr>
            </w:pPr>
            <w:r>
              <w:rPr>
                <w:rFonts w:eastAsiaTheme="minorEastAsia"/>
                <w:color w:val="auto"/>
                <w:szCs w:val="21"/>
              </w:rPr>
              <w:t>第6.1款</w:t>
            </w:r>
          </w:p>
        </w:tc>
        <w:tc>
          <w:tcPr>
            <w:tcW w:w="1589" w:type="dxa"/>
            <w:vAlign w:val="center"/>
          </w:tcPr>
          <w:p w14:paraId="7E71543C">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分包</w:t>
            </w:r>
          </w:p>
        </w:tc>
        <w:tc>
          <w:tcPr>
            <w:tcW w:w="7279" w:type="dxa"/>
            <w:vAlign w:val="center"/>
          </w:tcPr>
          <w:p w14:paraId="51B4D465">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不允许</w:t>
            </w:r>
          </w:p>
        </w:tc>
      </w:tr>
      <w:tr w14:paraId="213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38" w:type="dxa"/>
            <w:vAlign w:val="center"/>
          </w:tcPr>
          <w:p w14:paraId="79C27F2D">
            <w:pPr>
              <w:adjustRightInd w:val="0"/>
              <w:snapToGrid w:val="0"/>
              <w:spacing w:line="360" w:lineRule="exact"/>
              <w:jc w:val="center"/>
              <w:rPr>
                <w:rFonts w:eastAsiaTheme="minorEastAsia"/>
                <w:color w:val="auto"/>
                <w:szCs w:val="21"/>
              </w:rPr>
            </w:pPr>
            <w:r>
              <w:rPr>
                <w:rFonts w:eastAsiaTheme="minorEastAsia"/>
                <w:color w:val="auto"/>
                <w:szCs w:val="21"/>
              </w:rPr>
              <w:t>第10.3款</w:t>
            </w:r>
          </w:p>
        </w:tc>
        <w:tc>
          <w:tcPr>
            <w:tcW w:w="1589" w:type="dxa"/>
            <w:vAlign w:val="center"/>
          </w:tcPr>
          <w:p w14:paraId="5EE6E524">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磋商文件的可能实质性变动内容</w:t>
            </w:r>
          </w:p>
        </w:tc>
        <w:tc>
          <w:tcPr>
            <w:tcW w:w="7279" w:type="dxa"/>
            <w:vAlign w:val="center"/>
          </w:tcPr>
          <w:p w14:paraId="705C93D6">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无</w:t>
            </w:r>
          </w:p>
        </w:tc>
      </w:tr>
      <w:tr w14:paraId="2B44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38" w:type="dxa"/>
            <w:vAlign w:val="center"/>
          </w:tcPr>
          <w:p w14:paraId="09321F3A">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14:paraId="66398C76">
            <w:pPr>
              <w:adjustRightInd w:val="0"/>
              <w:snapToGrid w:val="0"/>
              <w:spacing w:line="360" w:lineRule="exact"/>
              <w:ind w:left="-533" w:leftChars="-254" w:firstLine="533" w:firstLineChars="254"/>
              <w:jc w:val="center"/>
              <w:rPr>
                <w:rFonts w:eastAsiaTheme="minorEastAsia"/>
                <w:color w:val="auto"/>
                <w:szCs w:val="21"/>
              </w:rPr>
            </w:pPr>
            <w:r>
              <w:rPr>
                <w:rFonts w:eastAsiaTheme="minorEastAsia"/>
                <w:color w:val="auto"/>
                <w:szCs w:val="21"/>
              </w:rPr>
              <w:t>投标保证金</w:t>
            </w:r>
          </w:p>
        </w:tc>
        <w:tc>
          <w:tcPr>
            <w:tcW w:w="7279" w:type="dxa"/>
            <w:vAlign w:val="center"/>
          </w:tcPr>
          <w:p w14:paraId="78CD855D">
            <w:pPr>
              <w:adjustRightInd w:val="0"/>
              <w:snapToGrid w:val="0"/>
              <w:spacing w:line="360" w:lineRule="exact"/>
              <w:rPr>
                <w:rFonts w:eastAsiaTheme="minorEastAsia"/>
                <w:color w:val="auto"/>
                <w:szCs w:val="21"/>
                <w:u w:val="single"/>
              </w:rPr>
            </w:pPr>
            <w:r>
              <w:rPr>
                <w:rFonts w:hint="eastAsia" w:eastAsiaTheme="minorEastAsia"/>
                <w:color w:val="auto"/>
                <w:szCs w:val="21"/>
                <w:u w:val="none"/>
                <w:lang w:val="en-US" w:eastAsia="zh-CN"/>
              </w:rPr>
              <w:t>本项目不需要缴纳投标保证金</w:t>
            </w:r>
          </w:p>
        </w:tc>
      </w:tr>
      <w:tr w14:paraId="641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E274D43">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14:paraId="20F45280">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响应文件有效期</w:t>
            </w:r>
          </w:p>
        </w:tc>
        <w:tc>
          <w:tcPr>
            <w:tcW w:w="7279" w:type="dxa"/>
            <w:vAlign w:val="center"/>
          </w:tcPr>
          <w:p w14:paraId="694CE0B3">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w:t>
            </w:r>
            <w:r>
              <w:rPr>
                <w:rFonts w:hint="eastAsia" w:ascii="Times New Roman" w:hAnsi="Times New Roman" w:cs="Times New Roman" w:eastAsiaTheme="minorEastAsia"/>
                <w:color w:val="auto"/>
                <w:kern w:val="2"/>
                <w:sz w:val="21"/>
                <w:szCs w:val="21"/>
                <w:lang w:val="en-US" w:eastAsia="zh-CN" w:bidi="ar-SA"/>
              </w:rPr>
              <w:t>0日（日历日）</w:t>
            </w:r>
          </w:p>
        </w:tc>
      </w:tr>
      <w:tr w14:paraId="02D6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FEAEECD">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18</w:t>
            </w:r>
            <w:r>
              <w:rPr>
                <w:rFonts w:eastAsiaTheme="minorEastAsia"/>
                <w:color w:val="auto"/>
                <w:szCs w:val="21"/>
              </w:rPr>
              <w:t>款</w:t>
            </w:r>
          </w:p>
        </w:tc>
        <w:tc>
          <w:tcPr>
            <w:tcW w:w="1589" w:type="dxa"/>
            <w:vAlign w:val="center"/>
          </w:tcPr>
          <w:p w14:paraId="45FAF30D">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投标文件份数及其他要求</w:t>
            </w:r>
          </w:p>
        </w:tc>
        <w:tc>
          <w:tcPr>
            <w:tcW w:w="7279" w:type="dxa"/>
            <w:vAlign w:val="center"/>
          </w:tcPr>
          <w:p w14:paraId="51447BDE">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电子加密投标文件一份(.jmbs格式)在新疆政府采购网指定位置上传。</w:t>
            </w:r>
          </w:p>
          <w:p w14:paraId="6B97D29F">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其他要求：</w:t>
            </w:r>
          </w:p>
          <w:p w14:paraId="597E8D8A">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kern w:val="2"/>
                <w:sz w:val="24"/>
                <w:szCs w:val="24"/>
                <w:highlight w:val="none"/>
              </w:rPr>
              <w:t>若</w:t>
            </w:r>
            <w:r>
              <w:rPr>
                <w:rFonts w:hint="eastAsia" w:ascii="宋体" w:hAnsi="宋体" w:cs="宋体"/>
                <w:b/>
                <w:bCs/>
                <w:kern w:val="2"/>
                <w:sz w:val="24"/>
                <w:szCs w:val="24"/>
                <w:highlight w:val="none"/>
                <w:lang w:eastAsia="zh-CN"/>
              </w:rPr>
              <w:t>磋商文件</w:t>
            </w:r>
            <w:r>
              <w:rPr>
                <w:rFonts w:hint="eastAsia" w:ascii="宋体" w:hAnsi="宋体" w:eastAsia="宋体" w:cs="宋体"/>
                <w:b/>
                <w:bCs/>
                <w:kern w:val="2"/>
                <w:sz w:val="24"/>
                <w:szCs w:val="24"/>
                <w:highlight w:val="none"/>
              </w:rPr>
              <w:t>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2359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C5A83BD">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14:paraId="0130A92E">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投标文件是否需分册装订</w:t>
            </w:r>
          </w:p>
        </w:tc>
        <w:tc>
          <w:tcPr>
            <w:tcW w:w="7279" w:type="dxa"/>
            <w:vAlign w:val="center"/>
          </w:tcPr>
          <w:p w14:paraId="381AC14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4B2F941B">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□需要，分册装订要求：/</w:t>
            </w:r>
          </w:p>
        </w:tc>
      </w:tr>
      <w:tr w14:paraId="45CB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A097EE3">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14:paraId="43A50B88">
            <w:pPr>
              <w:spacing w:line="360" w:lineRule="auto"/>
              <w:jc w:val="center"/>
              <w:rPr>
                <w:rFonts w:hint="eastAsia" w:ascii="宋体" w:hAnsi="宋体" w:eastAsia="宋体" w:cs="宋体"/>
                <w:kern w:val="2"/>
                <w:sz w:val="24"/>
                <w:szCs w:val="24"/>
                <w:highlight w:val="none"/>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7279" w:type="dxa"/>
            <w:vAlign w:val="center"/>
          </w:tcPr>
          <w:p w14:paraId="78B9EE08">
            <w:pPr>
              <w:spacing w:line="360" w:lineRule="auto"/>
              <w:rPr>
                <w:rFonts w:hint="eastAsia" w:ascii="宋体" w:hAnsi="宋体" w:eastAsia="宋体" w:cs="宋体"/>
                <w:kern w:val="2"/>
                <w:sz w:val="24"/>
                <w:szCs w:val="24"/>
                <w:highlight w:val="none"/>
              </w:rPr>
            </w:pPr>
            <w:r>
              <w:rPr>
                <w:rFonts w:hint="eastAsia" w:ascii="宋体" w:hAnsi="宋体" w:cs="宋体"/>
                <w:color w:val="000000"/>
                <w:sz w:val="24"/>
                <w:highlight w:val="none"/>
              </w:rPr>
              <w:t>新疆政府采购网（www.ccgp-xinjiang.gov.cn/）</w:t>
            </w:r>
          </w:p>
        </w:tc>
      </w:tr>
      <w:tr w14:paraId="0B1D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3CA8EFC">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.1款</w:t>
            </w:r>
          </w:p>
        </w:tc>
        <w:tc>
          <w:tcPr>
            <w:tcW w:w="1589" w:type="dxa"/>
            <w:vAlign w:val="center"/>
          </w:tcPr>
          <w:p w14:paraId="479F8BA5">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7279" w:type="dxa"/>
            <w:vAlign w:val="center"/>
          </w:tcPr>
          <w:p w14:paraId="39CE0745">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2025年7月17日 11:30 时</w:t>
            </w:r>
          </w:p>
          <w:p w14:paraId="7555E0D4">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2025年7月17日 11:30 时</w:t>
            </w:r>
            <w:r>
              <w:rPr>
                <w:rFonts w:hint="eastAsia" w:ascii="宋体" w:hAnsi="宋体" w:cs="宋体"/>
                <w:b/>
                <w:bCs/>
                <w:sz w:val="24"/>
                <w:szCs w:val="24"/>
                <w:highlight w:val="none"/>
                <w:lang w:val="en-US" w:eastAsia="zh-CN"/>
              </w:rPr>
              <w:t>之前将电子投标文件上传到“政采云”平台。应按照本项目磋商文件和政采云平台的要求编制、加密传输投标文件。投标人在使用系统进行投标的过程中遇到涉及平台使用的任何问题，可致电政采云平台技术支持热线咨询，联系方式：400-881-7190。</w:t>
            </w:r>
          </w:p>
          <w:p w14:paraId="3CCABAC3">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14:paraId="7156D69A">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1C73A0C5">
            <w:pPr>
              <w:adjustRightInd w:val="0"/>
              <w:snapToGrid w:val="0"/>
              <w:spacing w:line="360" w:lineRule="exact"/>
              <w:jc w:val="left"/>
              <w:rPr>
                <w:rFonts w:ascii="Times New Roman" w:hAnsi="Times New Roman" w:cs="Times New Roman" w:eastAsiaTheme="minorEastAsia"/>
                <w:color w:val="auto"/>
                <w:kern w:val="2"/>
                <w:sz w:val="21"/>
                <w:szCs w:val="21"/>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1712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38" w:type="dxa"/>
            <w:vAlign w:val="center"/>
          </w:tcPr>
          <w:p w14:paraId="3F84777D">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w:t>
            </w:r>
            <w:r>
              <w:rPr>
                <w:rFonts w:hint="eastAsia" w:eastAsiaTheme="minorEastAsia"/>
                <w:color w:val="auto"/>
                <w:szCs w:val="21"/>
                <w:lang w:val="en-US" w:eastAsia="zh-CN"/>
              </w:rPr>
              <w:t>2</w:t>
            </w:r>
            <w:r>
              <w:rPr>
                <w:rFonts w:eastAsiaTheme="minorEastAsia"/>
                <w:color w:val="auto"/>
                <w:szCs w:val="21"/>
              </w:rPr>
              <w:t xml:space="preserve"> 款</w:t>
            </w:r>
          </w:p>
        </w:tc>
        <w:tc>
          <w:tcPr>
            <w:tcW w:w="1589" w:type="dxa"/>
            <w:vAlign w:val="center"/>
          </w:tcPr>
          <w:p w14:paraId="3CEBBC1A">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投标文件解密时间</w:t>
            </w:r>
          </w:p>
        </w:tc>
        <w:tc>
          <w:tcPr>
            <w:tcW w:w="7279" w:type="dxa"/>
            <w:vAlign w:val="center"/>
          </w:tcPr>
          <w:p w14:paraId="38794684">
            <w:pPr>
              <w:pStyle w:val="19"/>
              <w:spacing w:before="75" w:beforeAutospacing="0" w:after="75" w:afterAutospacing="0" w:line="360" w:lineRule="auto"/>
              <w:jc w:val="left"/>
              <w:rPr>
                <w:rFonts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11</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17</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71FE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338" w:type="dxa"/>
            <w:vAlign w:val="center"/>
          </w:tcPr>
          <w:p w14:paraId="1A0BD602">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1</w:t>
            </w:r>
            <w:r>
              <w:rPr>
                <w:rFonts w:eastAsiaTheme="minorEastAsia"/>
                <w:color w:val="auto"/>
                <w:szCs w:val="21"/>
              </w:rPr>
              <w:t>款</w:t>
            </w:r>
          </w:p>
        </w:tc>
        <w:tc>
          <w:tcPr>
            <w:tcW w:w="1589" w:type="dxa"/>
            <w:vAlign w:val="center"/>
          </w:tcPr>
          <w:p w14:paraId="770432FA">
            <w:pPr>
              <w:adjustRightInd w:val="0"/>
              <w:snapToGrid w:val="0"/>
              <w:spacing w:line="360" w:lineRule="exact"/>
              <w:jc w:val="center"/>
              <w:rPr>
                <w:rFonts w:eastAsiaTheme="minorEastAsia"/>
                <w:color w:val="auto"/>
                <w:szCs w:val="21"/>
              </w:rPr>
            </w:pPr>
            <w:r>
              <w:rPr>
                <w:rFonts w:hint="eastAsia" w:eastAsiaTheme="minorEastAsia"/>
                <w:color w:val="auto"/>
                <w:szCs w:val="21"/>
              </w:rPr>
              <w:t>开标时投标供应商需提供下列</w:t>
            </w:r>
            <w:r>
              <w:rPr>
                <w:rFonts w:hint="eastAsia" w:eastAsiaTheme="minorEastAsia"/>
                <w:color w:val="auto"/>
                <w:szCs w:val="21"/>
                <w:lang w:val="en-US" w:eastAsia="zh-CN"/>
              </w:rPr>
              <w:t>资格证明文件</w:t>
            </w:r>
          </w:p>
        </w:tc>
        <w:tc>
          <w:tcPr>
            <w:tcW w:w="7279" w:type="dxa"/>
            <w:vAlign w:val="center"/>
          </w:tcPr>
          <w:p w14:paraId="757F51F1">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开标前，请各投标人将下列有效证件</w:t>
            </w:r>
            <w:r>
              <w:rPr>
                <w:rFonts w:hint="eastAsia" w:ascii="宋体" w:hAnsi="宋体" w:eastAsia="宋体" w:cs="宋体"/>
                <w:kern w:val="2"/>
                <w:sz w:val="24"/>
                <w:szCs w:val="24"/>
                <w:highlight w:val="none"/>
              </w:rPr>
              <w:t>上传到“政采云”平台</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由资格审查小组进行</w:t>
            </w:r>
            <w:r>
              <w:rPr>
                <w:rFonts w:hint="eastAsia" w:ascii="宋体" w:hAnsi="宋体" w:eastAsia="宋体" w:cs="宋体"/>
                <w:sz w:val="24"/>
                <w:szCs w:val="24"/>
                <w:highlight w:val="none"/>
              </w:rPr>
              <w:t>查验</w:t>
            </w:r>
            <w:r>
              <w:rPr>
                <w:rFonts w:hint="eastAsia" w:ascii="宋体" w:hAnsi="宋体" w:eastAsia="宋体" w:cs="宋体"/>
                <w:color w:val="0000FF"/>
                <w:sz w:val="24"/>
                <w:szCs w:val="24"/>
                <w:highlight w:val="none"/>
              </w:rPr>
              <w:t>。</w:t>
            </w:r>
          </w:p>
          <w:p w14:paraId="5C5914A8">
            <w:pPr>
              <w:spacing w:line="360" w:lineRule="exact"/>
              <w:ind w:firstLine="210" w:firstLineChars="100"/>
              <w:rPr>
                <w:rFonts w:eastAsiaTheme="minorEastAsia"/>
                <w:b/>
                <w:bCs/>
                <w:color w:val="auto"/>
                <w:szCs w:val="22"/>
              </w:rPr>
            </w:pPr>
            <w:r>
              <w:rPr>
                <w:rFonts w:hint="eastAsia" w:eastAsiaTheme="minorEastAsia"/>
                <w:b/>
                <w:bCs/>
                <w:color w:val="auto"/>
                <w:szCs w:val="22"/>
                <w:lang w:val="en-US" w:eastAsia="zh-CN"/>
              </w:rPr>
              <w:t>企业法人营业执照原件、企业资质证书原件、安全生产许可证原件、法人授权委托书原件、被委托人身份证原件及近半年任意一个月社保缴纳证明（2024年11月-2025年4月）、注册建造师证及安全生产考核证原件、 2023年度财务审计报告或2024 年度财务审计报告或其基本开户银行出具的资信证明、“信用中国”（www.creditchina.gov.cn）、中国政府采购网（www.ccgp.gov.cn）网页截图、</w:t>
            </w:r>
            <w:r>
              <w:rPr>
                <w:rFonts w:hint="eastAsia" w:eastAsiaTheme="minorEastAsia"/>
                <w:b/>
                <w:bCs/>
                <w:color w:val="auto"/>
                <w:szCs w:val="22"/>
              </w:rPr>
              <w:t>标保证金</w:t>
            </w:r>
            <w:r>
              <w:rPr>
                <w:rFonts w:hint="eastAsia" w:eastAsiaTheme="minorEastAsia"/>
                <w:b/>
                <w:bCs/>
                <w:color w:val="auto"/>
                <w:szCs w:val="22"/>
                <w:lang w:val="en-US" w:eastAsia="zh-CN"/>
              </w:rPr>
              <w:t>汇款凭证或保函</w:t>
            </w:r>
            <w:r>
              <w:rPr>
                <w:rFonts w:eastAsiaTheme="minorEastAsia"/>
                <w:b/>
                <w:bCs/>
                <w:color w:val="auto"/>
                <w:szCs w:val="22"/>
              </w:rPr>
              <w:t>。</w:t>
            </w:r>
          </w:p>
          <w:p w14:paraId="08B91308">
            <w:pPr>
              <w:spacing w:line="360" w:lineRule="exact"/>
              <w:ind w:firstLine="210" w:firstLineChars="100"/>
              <w:rPr>
                <w:rFonts w:eastAsiaTheme="minorEastAsia"/>
                <w:bCs/>
                <w:color w:val="auto"/>
                <w:szCs w:val="21"/>
              </w:rPr>
            </w:pPr>
            <w:r>
              <w:rPr>
                <w:rFonts w:eastAsiaTheme="minorEastAsia"/>
                <w:b/>
                <w:bCs/>
                <w:color w:val="auto"/>
                <w:szCs w:val="22"/>
              </w:rPr>
              <w:t>注：</w:t>
            </w:r>
            <w:r>
              <w:rPr>
                <w:rFonts w:eastAsiaTheme="minorEastAsia"/>
                <w:b/>
                <w:bCs/>
                <w:color w:val="auto"/>
                <w:szCs w:val="21"/>
              </w:rPr>
              <w:t>以上均满足要求的投标人为有效投标人。</w:t>
            </w:r>
            <w:r>
              <w:rPr>
                <w:rFonts w:eastAsiaTheme="minorEastAsia"/>
                <w:b/>
                <w:bCs/>
                <w:color w:val="auto"/>
              </w:rPr>
              <w:t>证件提供不全或没有</w:t>
            </w:r>
            <w:r>
              <w:rPr>
                <w:rFonts w:hint="eastAsia" w:eastAsiaTheme="minorEastAsia"/>
                <w:b/>
                <w:bCs/>
                <w:color w:val="auto"/>
                <w:lang w:val="en-US" w:eastAsia="zh-CN"/>
              </w:rPr>
              <w:t>上传</w:t>
            </w:r>
            <w:r>
              <w:rPr>
                <w:rFonts w:eastAsiaTheme="minorEastAsia"/>
                <w:b/>
                <w:bCs/>
                <w:color w:val="auto"/>
              </w:rPr>
              <w:t>的，其投标将予以否决。</w:t>
            </w:r>
          </w:p>
        </w:tc>
      </w:tr>
      <w:tr w14:paraId="7BE7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B1F433E">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2</w:t>
            </w:r>
            <w:r>
              <w:rPr>
                <w:rFonts w:eastAsiaTheme="minorEastAsia"/>
                <w:color w:val="auto"/>
                <w:szCs w:val="21"/>
              </w:rPr>
              <w:t>款</w:t>
            </w:r>
          </w:p>
        </w:tc>
        <w:tc>
          <w:tcPr>
            <w:tcW w:w="1589" w:type="dxa"/>
            <w:vAlign w:val="center"/>
          </w:tcPr>
          <w:p w14:paraId="164A7C8A">
            <w:pPr>
              <w:adjustRightInd w:val="0"/>
              <w:snapToGrid w:val="0"/>
              <w:spacing w:line="360" w:lineRule="exact"/>
              <w:jc w:val="center"/>
              <w:rPr>
                <w:rFonts w:eastAsiaTheme="minorEastAsia"/>
                <w:color w:val="auto"/>
                <w:szCs w:val="21"/>
              </w:rPr>
            </w:pPr>
            <w:r>
              <w:rPr>
                <w:rFonts w:hint="eastAsia" w:ascii="Times New Roman" w:hAnsi="Times New Roman" w:cs="Times New Roman" w:eastAsiaTheme="minorEastAsia"/>
                <w:color w:val="auto"/>
              </w:rPr>
              <w:t>是否采用电子</w:t>
            </w:r>
            <w:r>
              <w:rPr>
                <w:rFonts w:hint="eastAsia" w:cs="Times New Roman" w:eastAsiaTheme="minorEastAsia"/>
                <w:color w:val="auto"/>
                <w:lang w:val="en-US" w:eastAsia="zh-CN"/>
              </w:rPr>
              <w:t>磋商</w:t>
            </w:r>
            <w:r>
              <w:rPr>
                <w:rFonts w:hint="eastAsia" w:ascii="Times New Roman" w:hAnsi="Times New Roman" w:cs="Times New Roman" w:eastAsiaTheme="minorEastAsia"/>
                <w:color w:val="auto"/>
              </w:rPr>
              <w:t>投标</w:t>
            </w:r>
          </w:p>
        </w:tc>
        <w:tc>
          <w:tcPr>
            <w:tcW w:w="7279" w:type="dxa"/>
            <w:vAlign w:val="center"/>
          </w:tcPr>
          <w:p w14:paraId="5C7DF661">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否</w:t>
            </w:r>
          </w:p>
          <w:p w14:paraId="6B48EB3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6598545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002BD9BE">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105E56A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438FDF7A">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1742705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4E77699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5A71C9A8">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593262C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06D4063D">
            <w:pPr>
              <w:adjustRightInd w:val="0"/>
              <w:snapToGrid w:val="0"/>
              <w:spacing w:line="360" w:lineRule="exact"/>
              <w:jc w:val="left"/>
              <w:rPr>
                <w:rFonts w:eastAsiaTheme="minorEastAsia"/>
                <w:bCs/>
                <w:color w:val="auto"/>
                <w:szCs w:val="21"/>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072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7675C84">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第23款</w:t>
            </w:r>
          </w:p>
        </w:tc>
        <w:tc>
          <w:tcPr>
            <w:tcW w:w="1589" w:type="dxa"/>
            <w:vAlign w:val="center"/>
          </w:tcPr>
          <w:p w14:paraId="09643E7C">
            <w:pPr>
              <w:adjustRightInd w:val="0"/>
              <w:snapToGrid w:val="0"/>
              <w:spacing w:line="360" w:lineRule="exact"/>
              <w:ind w:firstLine="240" w:firstLineChars="1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评标办法</w:t>
            </w:r>
          </w:p>
        </w:tc>
        <w:tc>
          <w:tcPr>
            <w:tcW w:w="7279" w:type="dxa"/>
            <w:vAlign w:val="center"/>
          </w:tcPr>
          <w:p w14:paraId="19F4F18C">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综合评分法</w:t>
            </w:r>
          </w:p>
        </w:tc>
      </w:tr>
      <w:tr w14:paraId="373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5AF7CC0E">
            <w:pPr>
              <w:adjustRightInd w:val="0"/>
              <w:snapToGrid w:val="0"/>
              <w:spacing w:line="360" w:lineRule="exact"/>
              <w:jc w:val="center"/>
              <w:rPr>
                <w:rFonts w:eastAsiaTheme="minorEastAsia"/>
                <w:color w:val="auto"/>
                <w:szCs w:val="21"/>
              </w:rPr>
            </w:pPr>
            <w:r>
              <w:rPr>
                <w:rFonts w:hint="eastAsia" w:eastAsiaTheme="minorEastAsia"/>
                <w:color w:val="auto"/>
                <w:szCs w:val="21"/>
                <w:lang w:val="en-US" w:eastAsia="zh-CN"/>
              </w:rPr>
              <w:t>第24款</w:t>
            </w:r>
          </w:p>
        </w:tc>
        <w:tc>
          <w:tcPr>
            <w:tcW w:w="1589" w:type="dxa"/>
            <w:vAlign w:val="center"/>
          </w:tcPr>
          <w:p w14:paraId="28A7AB93">
            <w:pPr>
              <w:tabs>
                <w:tab w:val="left" w:pos="321"/>
              </w:tabs>
              <w:spacing w:line="360" w:lineRule="auto"/>
              <w:jc w:val="center"/>
              <w:rPr>
                <w:rFonts w:hint="eastAsia" w:ascii="Times New Roman" w:hAnsi="Times New Roman" w:cs="Times New Roman" w:eastAsiaTheme="minorEastAsia"/>
                <w:color w:val="auto"/>
              </w:rPr>
            </w:pPr>
            <w:r>
              <w:rPr>
                <w:rFonts w:hint="eastAsia" w:ascii="宋体" w:hAnsi="宋体" w:eastAsia="宋体" w:cs="宋体"/>
                <w:sz w:val="24"/>
                <w:szCs w:val="24"/>
                <w:highlight w:val="none"/>
              </w:rPr>
              <w:t>中标（成交）结果公告发布媒介</w:t>
            </w:r>
          </w:p>
        </w:tc>
        <w:tc>
          <w:tcPr>
            <w:tcW w:w="7279" w:type="dxa"/>
            <w:vAlign w:val="center"/>
          </w:tcPr>
          <w:p w14:paraId="6A372696">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1C6AE302">
            <w:pPr>
              <w:tabs>
                <w:tab w:val="left" w:pos="321"/>
              </w:tabs>
              <w:spacing w:line="360" w:lineRule="auto"/>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68C6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38" w:type="dxa"/>
            <w:vAlign w:val="center"/>
          </w:tcPr>
          <w:p w14:paraId="76BA6198">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25</w:t>
            </w:r>
            <w:r>
              <w:rPr>
                <w:rFonts w:eastAsiaTheme="minorEastAsia"/>
                <w:color w:val="auto"/>
                <w:szCs w:val="21"/>
              </w:rPr>
              <w:t>款</w:t>
            </w:r>
          </w:p>
        </w:tc>
        <w:tc>
          <w:tcPr>
            <w:tcW w:w="1589" w:type="dxa"/>
            <w:vAlign w:val="center"/>
          </w:tcPr>
          <w:p w14:paraId="075D812E">
            <w:pPr>
              <w:adjustRightInd w:val="0"/>
              <w:snapToGrid w:val="0"/>
              <w:spacing w:line="360" w:lineRule="exact"/>
              <w:jc w:val="center"/>
              <w:rPr>
                <w:rFonts w:eastAsiaTheme="minorEastAsia"/>
                <w:color w:val="auto"/>
                <w:szCs w:val="21"/>
              </w:rPr>
            </w:pPr>
            <w:r>
              <w:rPr>
                <w:rFonts w:eastAsiaTheme="minorEastAsia"/>
                <w:color w:val="auto"/>
                <w:szCs w:val="21"/>
              </w:rPr>
              <w:t>履约担保</w:t>
            </w:r>
          </w:p>
        </w:tc>
        <w:tc>
          <w:tcPr>
            <w:tcW w:w="7279" w:type="dxa"/>
            <w:vAlign w:val="center"/>
          </w:tcPr>
          <w:p w14:paraId="60E78AFC">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履约保证金金额：  /  </w:t>
            </w:r>
          </w:p>
          <w:p w14:paraId="1F2035A4">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履约保证金递交：成交供应商人收到成交通知书后（签订合同前）向采购人缴纳；收款单位、开户银行、银行账号：与采购人沟通获得。</w:t>
            </w:r>
          </w:p>
          <w:p w14:paraId="77F3B52C">
            <w:pPr>
              <w:adjustRightInd w:val="0"/>
              <w:snapToGrid w:val="0"/>
              <w:spacing w:line="360" w:lineRule="exact"/>
              <w:jc w:val="left"/>
              <w:rPr>
                <w:rFonts w:eastAsiaTheme="minorEastAsia"/>
                <w:color w:val="auto"/>
                <w:szCs w:val="21"/>
              </w:rPr>
            </w:pPr>
            <w:r>
              <w:rPr>
                <w:rFonts w:hint="eastAsia" w:ascii="宋体" w:hAnsi="宋体" w:eastAsia="宋体" w:cs="宋体"/>
                <w:kern w:val="2"/>
                <w:sz w:val="24"/>
                <w:szCs w:val="24"/>
                <w:highlight w:val="none"/>
              </w:rPr>
              <w:t>成交供应商未按磋商文件规定缴纳履约保证金的，视为自动放弃此次成交项目，其磋商保证金将不予退还。</w:t>
            </w:r>
          </w:p>
        </w:tc>
      </w:tr>
      <w:tr w14:paraId="324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38" w:type="dxa"/>
            <w:vAlign w:val="center"/>
          </w:tcPr>
          <w:p w14:paraId="33FB0EA2">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26</w:t>
            </w:r>
            <w:r>
              <w:rPr>
                <w:rFonts w:eastAsiaTheme="minorEastAsia"/>
                <w:color w:val="auto"/>
                <w:szCs w:val="21"/>
              </w:rPr>
              <w:t>款</w:t>
            </w:r>
          </w:p>
        </w:tc>
        <w:tc>
          <w:tcPr>
            <w:tcW w:w="1589" w:type="dxa"/>
            <w:vAlign w:val="center"/>
          </w:tcPr>
          <w:p w14:paraId="3C4057FD">
            <w:pPr>
              <w:spacing w:line="360" w:lineRule="auto"/>
              <w:ind w:firstLine="240" w:firstLineChars="1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代理</w:t>
            </w:r>
          </w:p>
          <w:p w14:paraId="407A2F11">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服务费</w:t>
            </w:r>
          </w:p>
        </w:tc>
        <w:tc>
          <w:tcPr>
            <w:tcW w:w="7279" w:type="dxa"/>
            <w:vAlign w:val="center"/>
          </w:tcPr>
          <w:p w14:paraId="01B97006">
            <w:pPr>
              <w:spacing w:line="360" w:lineRule="auto"/>
              <w:rPr>
                <w:rFonts w:eastAsiaTheme="minorEastAsia"/>
                <w:color w:val="auto"/>
                <w:szCs w:val="21"/>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收取采购代理服务费</w:t>
            </w:r>
          </w:p>
        </w:tc>
      </w:tr>
      <w:tr w14:paraId="5B5F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6FAB45D9">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27</w:t>
            </w:r>
            <w:r>
              <w:rPr>
                <w:rFonts w:eastAsiaTheme="minorEastAsia"/>
                <w:color w:val="auto"/>
                <w:szCs w:val="21"/>
              </w:rPr>
              <w:t>款</w:t>
            </w:r>
          </w:p>
        </w:tc>
        <w:tc>
          <w:tcPr>
            <w:tcW w:w="1589" w:type="dxa"/>
            <w:vAlign w:val="center"/>
          </w:tcPr>
          <w:p w14:paraId="51B798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w:t>
            </w:r>
          </w:p>
        </w:tc>
        <w:tc>
          <w:tcPr>
            <w:tcW w:w="7279" w:type="dxa"/>
            <w:vAlign w:val="center"/>
          </w:tcPr>
          <w:p w14:paraId="4680AC2C">
            <w:pPr>
              <w:adjustRightInd w:val="0"/>
              <w:snapToGrid w:val="0"/>
              <w:spacing w:line="360" w:lineRule="exact"/>
              <w:jc w:val="center"/>
              <w:rPr>
                <w:rFonts w:eastAsiaTheme="minorEastAsia"/>
                <w:color w:val="auto"/>
                <w:szCs w:val="21"/>
              </w:rPr>
            </w:pPr>
            <w:r>
              <w:rPr>
                <w:rFonts w:hint="eastAsia"/>
                <w:color w:val="000000" w:themeColor="text1"/>
                <w:szCs w:val="21"/>
                <w:lang w:val="en-US" w:eastAsia="zh-CN"/>
              </w:rPr>
              <w:t>2</w:t>
            </w:r>
            <w:r>
              <w:rPr>
                <w:rFonts w:hint="eastAsia" w:ascii="宋体" w:hAnsi="宋体" w:eastAsia="宋体" w:cs="宋体"/>
                <w:kern w:val="2"/>
                <w:sz w:val="24"/>
                <w:szCs w:val="24"/>
                <w:highlight w:val="none"/>
                <w:lang w:val="en-US" w:eastAsia="zh-CN"/>
              </w:rPr>
              <w:t xml:space="preserve">338946.88 </w:t>
            </w:r>
            <w:r>
              <w:rPr>
                <w:rFonts w:hint="eastAsia" w:ascii="宋体" w:hAnsi="宋体" w:eastAsia="宋体" w:cs="宋体"/>
                <w:kern w:val="2"/>
                <w:sz w:val="24"/>
                <w:szCs w:val="24"/>
                <w:highlight w:val="none"/>
              </w:rPr>
              <w:t>元（大写：</w:t>
            </w:r>
            <w:r>
              <w:rPr>
                <w:rFonts w:hint="eastAsia" w:ascii="宋体" w:hAnsi="宋体" w:eastAsia="宋体" w:cs="宋体"/>
                <w:kern w:val="2"/>
                <w:sz w:val="24"/>
                <w:szCs w:val="24"/>
                <w:highlight w:val="none"/>
                <w:lang w:val="en-US" w:eastAsia="zh-CN"/>
              </w:rPr>
              <w:t>贰佰叁拾叁万捌仟玖佰肆拾陆元捌角捌分</w:t>
            </w:r>
            <w:r>
              <w:rPr>
                <w:rFonts w:hint="eastAsia" w:ascii="宋体" w:hAnsi="宋体" w:eastAsia="宋体" w:cs="宋体"/>
                <w:kern w:val="2"/>
                <w:sz w:val="24"/>
                <w:szCs w:val="24"/>
                <w:highlight w:val="none"/>
              </w:rPr>
              <w:t>）。(投标人报价均不得超过此限价，超过此限价视为无效投标。)</w:t>
            </w:r>
          </w:p>
        </w:tc>
      </w:tr>
      <w:tr w14:paraId="02C9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349E1F10">
            <w:pPr>
              <w:adjustRightInd w:val="0"/>
              <w:snapToGrid w:val="0"/>
              <w:spacing w:line="360" w:lineRule="exact"/>
              <w:jc w:val="center"/>
              <w:rPr>
                <w:rFonts w:eastAsiaTheme="minorEastAsia"/>
                <w:color w:val="auto"/>
                <w:szCs w:val="21"/>
              </w:rPr>
            </w:pPr>
            <w:bookmarkStart w:id="57" w:name="_Toc298240405"/>
            <w:bookmarkStart w:id="58" w:name="_Toc527642952"/>
            <w:bookmarkStart w:id="59" w:name="_Toc349573121"/>
            <w:bookmarkStart w:id="60" w:name="_Toc267301282"/>
            <w:bookmarkStart w:id="61" w:name="_Toc349637920"/>
            <w:r>
              <w:rPr>
                <w:rFonts w:eastAsiaTheme="minorEastAsia"/>
                <w:color w:val="auto"/>
                <w:szCs w:val="21"/>
              </w:rPr>
              <w:t>第</w:t>
            </w:r>
            <w:r>
              <w:rPr>
                <w:rFonts w:hint="eastAsia" w:eastAsiaTheme="minorEastAsia"/>
                <w:color w:val="auto"/>
                <w:szCs w:val="21"/>
                <w:lang w:val="en-US" w:eastAsia="zh-CN"/>
              </w:rPr>
              <w:t>28</w:t>
            </w:r>
            <w:r>
              <w:rPr>
                <w:rFonts w:eastAsiaTheme="minorEastAsia"/>
                <w:color w:val="auto"/>
                <w:szCs w:val="21"/>
              </w:rPr>
              <w:t>款</w:t>
            </w:r>
          </w:p>
        </w:tc>
        <w:tc>
          <w:tcPr>
            <w:tcW w:w="1589" w:type="dxa"/>
            <w:vAlign w:val="center"/>
          </w:tcPr>
          <w:p w14:paraId="42F1D264">
            <w:pPr>
              <w:adjustRightInd w:val="0"/>
              <w:snapToGrid w:val="0"/>
              <w:spacing w:line="360" w:lineRule="exact"/>
              <w:jc w:val="center"/>
              <w:rPr>
                <w:rFonts w:eastAsiaTheme="minorEastAsia"/>
                <w:color w:val="auto"/>
                <w:szCs w:val="21"/>
              </w:rPr>
            </w:pPr>
            <w:r>
              <w:rPr>
                <w:rFonts w:hint="eastAsia" w:ascii="宋体" w:hAnsi="宋体" w:eastAsia="宋体" w:cs="宋体"/>
                <w:color w:val="auto"/>
                <w:kern w:val="2"/>
                <w:sz w:val="24"/>
                <w:szCs w:val="24"/>
                <w:highlight w:val="none"/>
                <w:lang w:val="en-US" w:eastAsia="zh-CN" w:bidi="ar-SA"/>
              </w:rPr>
              <w:t>标前准备</w:t>
            </w:r>
          </w:p>
        </w:tc>
        <w:tc>
          <w:tcPr>
            <w:tcW w:w="7279" w:type="dxa"/>
            <w:vAlign w:val="center"/>
          </w:tcPr>
          <w:p w14:paraId="419AE4A3">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14:paraId="0814D654">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14:paraId="4878AD56">
            <w:pPr>
              <w:spacing w:line="360" w:lineRule="auto"/>
              <w:rPr>
                <w:rFonts w:hint="eastAsia" w:eastAsiaTheme="minorEastAsia"/>
                <w:color w:val="auto"/>
                <w:szCs w:val="21"/>
              </w:rPr>
            </w:pPr>
            <w:r>
              <w:rPr>
                <w:rFonts w:hint="eastAsia" w:eastAsiaTheme="minorEastAsia"/>
                <w:color w:val="auto"/>
                <w:szCs w:val="21"/>
              </w:rPr>
              <w:t>3</w:t>
            </w:r>
            <w:r>
              <w:rPr>
                <w:rFonts w:hint="eastAsia" w:ascii="宋体" w:hAnsi="宋体" w:eastAsia="宋体" w:cs="宋体"/>
                <w:bCs/>
                <w:color w:val="000000"/>
                <w:sz w:val="24"/>
                <w:szCs w:val="24"/>
                <w:highlight w:val="none"/>
              </w:rPr>
              <w:t>、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1A4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14:paraId="7219D928">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第29款</w:t>
            </w:r>
          </w:p>
        </w:tc>
        <w:tc>
          <w:tcPr>
            <w:tcW w:w="1589" w:type="dxa"/>
            <w:vAlign w:val="center"/>
          </w:tcPr>
          <w:p w14:paraId="4962FED0">
            <w:pPr>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c>
          <w:tcPr>
            <w:tcW w:w="7279" w:type="dxa"/>
            <w:vAlign w:val="center"/>
          </w:tcPr>
          <w:p w14:paraId="181B794A">
            <w:pPr>
              <w:spacing w:line="360" w:lineRule="auto"/>
              <w:rPr>
                <w:rFonts w:hint="eastAsia" w:eastAsiaTheme="minorEastAsia"/>
                <w:color w:val="auto"/>
                <w:szCs w:val="21"/>
              </w:rPr>
            </w:pPr>
            <w:r>
              <w:rPr>
                <w:rFonts w:hint="eastAsia" w:ascii="宋体" w:hAnsi="宋体" w:eastAsia="宋体" w:cs="宋体"/>
                <w:color w:val="auto"/>
                <w:sz w:val="21"/>
                <w:szCs w:val="21"/>
                <w:highlight w:val="none"/>
                <w:lang w:val="en-US" w:eastAsia="zh-CN"/>
              </w:rPr>
              <w:t>本项目所属行业：</w:t>
            </w:r>
            <w:r>
              <w:rPr>
                <w:rFonts w:hint="eastAsia" w:ascii="宋体" w:hAnsi="宋体" w:eastAsia="宋体" w:cs="宋体"/>
                <w:color w:val="000000" w:themeColor="text1"/>
                <w:sz w:val="21"/>
                <w:szCs w:val="21"/>
                <w:highlight w:val="none"/>
                <w:u w:val="single"/>
                <w:lang w:val="en-US" w:eastAsia="zh-CN"/>
              </w:rPr>
              <w:t>建筑业</w:t>
            </w:r>
          </w:p>
        </w:tc>
      </w:tr>
    </w:tbl>
    <w:p w14:paraId="1457BD6B">
      <w:pPr>
        <w:pStyle w:val="3"/>
        <w:spacing w:before="0" w:beforeAutospacing="0" w:after="0" w:afterAutospacing="0" w:line="240" w:lineRule="auto"/>
        <w:jc w:val="both"/>
        <w:rPr>
          <w:rFonts w:hint="eastAsia" w:asciiTheme="minorEastAsia" w:hAnsiTheme="minorEastAsia" w:eastAsiaTheme="minorEastAsia" w:cstheme="minorEastAsia"/>
          <w:color w:val="auto"/>
          <w:sz w:val="28"/>
          <w:szCs w:val="28"/>
        </w:rPr>
      </w:pPr>
    </w:p>
    <w:bookmarkEnd w:id="57"/>
    <w:bookmarkEnd w:id="58"/>
    <w:bookmarkEnd w:id="59"/>
    <w:bookmarkEnd w:id="60"/>
    <w:bookmarkEnd w:id="61"/>
    <w:p w14:paraId="1380D649">
      <w:pPr>
        <w:shd w:val="clear" w:color="auto" w:fill="auto"/>
        <w:spacing w:line="440" w:lineRule="exact"/>
        <w:jc w:val="center"/>
        <w:outlineLvl w:val="2"/>
        <w:rPr>
          <w:rFonts w:hint="eastAsia" w:ascii="宋体"/>
          <w:color w:val="auto"/>
          <w:sz w:val="28"/>
          <w:szCs w:val="28"/>
          <w:highlight w:val="none"/>
        </w:rPr>
      </w:pPr>
      <w:bookmarkStart w:id="62" w:name="_Toc469495724"/>
      <w:bookmarkStart w:id="63" w:name="_Toc25428"/>
      <w:bookmarkStart w:id="64" w:name="_Toc267301283"/>
      <w:bookmarkStart w:id="65" w:name="_Toc298240406"/>
      <w:bookmarkStart w:id="66" w:name="_Toc349573122"/>
      <w:bookmarkStart w:id="67" w:name="_Toc527642953"/>
      <w:bookmarkStart w:id="68" w:name="_Toc349637921"/>
      <w:r>
        <w:rPr>
          <w:rFonts w:hint="eastAsia" w:ascii="宋体"/>
          <w:b/>
          <w:color w:val="auto"/>
          <w:sz w:val="28"/>
          <w:szCs w:val="28"/>
          <w:highlight w:val="none"/>
        </w:rPr>
        <w:t>（一）</w:t>
      </w:r>
      <w:r>
        <w:rPr>
          <w:rFonts w:hint="eastAsia" w:ascii="宋体"/>
          <w:b/>
          <w:color w:val="auto"/>
          <w:sz w:val="28"/>
          <w:szCs w:val="32"/>
          <w:highlight w:val="none"/>
        </w:rPr>
        <w:t>总  则</w:t>
      </w:r>
      <w:bookmarkEnd w:id="62"/>
      <w:bookmarkEnd w:id="63"/>
    </w:p>
    <w:p w14:paraId="6639661E">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14:paraId="152B2048">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w:t>
      </w:r>
      <w:r>
        <w:rPr>
          <w:rFonts w:hint="eastAsia" w:ascii="宋体"/>
          <w:color w:val="auto"/>
          <w:szCs w:val="21"/>
          <w:highlight w:val="none"/>
          <w:lang w:val="en-US" w:eastAsia="zh-CN"/>
        </w:rPr>
        <w:t>磋商</w:t>
      </w:r>
      <w:r>
        <w:rPr>
          <w:rFonts w:hint="eastAsia" w:ascii="宋体"/>
          <w:color w:val="auto"/>
          <w:szCs w:val="21"/>
          <w:highlight w:val="none"/>
        </w:rPr>
        <w:t>采购项目名称：见投标人须知前附表。</w:t>
      </w:r>
    </w:p>
    <w:p w14:paraId="4F9803C7">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14:paraId="0ACA2345">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14:paraId="6068CA74">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14:paraId="4003EB50">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14:paraId="38213A41">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14:paraId="2C418358">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14:paraId="51785D57">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23A16555">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03A0D870">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2BCB563D">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磋商</w:t>
      </w:r>
      <w:r>
        <w:rPr>
          <w:rFonts w:hint="eastAsia" w:ascii="宋体"/>
          <w:b/>
          <w:color w:val="auto"/>
          <w:szCs w:val="21"/>
          <w:highlight w:val="none"/>
        </w:rPr>
        <w:t>范围：</w:t>
      </w:r>
    </w:p>
    <w:p w14:paraId="08C71699">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2AFBB6FF">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30F469D6">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14:paraId="3F0CDC88">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6B6EFF96">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14:paraId="6834F752">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4A798B58">
      <w:pPr>
        <w:shd w:val="clear" w:color="auto" w:fill="auto"/>
        <w:snapToGrid w:val="0"/>
        <w:spacing w:line="440" w:lineRule="exact"/>
        <w:ind w:firstLine="420" w:firstLineChars="200"/>
        <w:rPr>
          <w:rFonts w:hint="eastAsia" w:ascii="宋体"/>
          <w:b/>
          <w:color w:val="000000" w:themeColor="text1"/>
          <w:szCs w:val="21"/>
          <w:highlight w:val="none"/>
        </w:rPr>
      </w:pPr>
      <w:r>
        <w:rPr>
          <w:rFonts w:hint="eastAsia" w:ascii="宋体"/>
          <w:b/>
          <w:color w:val="000000" w:themeColor="text1"/>
          <w:szCs w:val="21"/>
          <w:highlight w:val="none"/>
        </w:rPr>
        <w:t>5.计价方式：</w:t>
      </w:r>
    </w:p>
    <w:p w14:paraId="3506F9DF">
      <w:pPr>
        <w:shd w:val="clear" w:color="auto" w:fill="auto"/>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5.1本次</w:t>
      </w:r>
      <w:r>
        <w:rPr>
          <w:rFonts w:hint="eastAsia" w:ascii="宋体" w:cs="Times New Roman"/>
          <w:color w:val="auto"/>
          <w:szCs w:val="21"/>
          <w:highlight w:val="none"/>
          <w:lang w:val="en-US" w:eastAsia="zh-CN"/>
        </w:rPr>
        <w:t>磋商</w:t>
      </w:r>
      <w:r>
        <w:rPr>
          <w:rFonts w:hint="eastAsia" w:ascii="宋体" w:hAnsi="Times New Roman" w:eastAsia="宋体" w:cs="Times New Roman"/>
          <w:color w:val="auto"/>
          <w:szCs w:val="21"/>
          <w:highlight w:val="none"/>
        </w:rPr>
        <w:t>项目合同采用 固定</w:t>
      </w:r>
      <w:r>
        <w:rPr>
          <w:rFonts w:hint="eastAsia" w:ascii="宋体" w:hAnsi="Times New Roman" w:eastAsia="宋体" w:cs="Times New Roman"/>
          <w:color w:val="auto"/>
          <w:szCs w:val="21"/>
          <w:highlight w:val="none"/>
          <w:lang w:val="en-US" w:eastAsia="zh-CN"/>
        </w:rPr>
        <w:t>单价</w:t>
      </w:r>
      <w:r>
        <w:rPr>
          <w:rFonts w:hint="eastAsia" w:ascii="宋体" w:hAnsi="Times New Roman" w:eastAsia="宋体" w:cs="Times New Roman"/>
          <w:color w:val="auto"/>
          <w:szCs w:val="21"/>
          <w:highlight w:val="none"/>
        </w:rPr>
        <w:t xml:space="preserve"> 。</w:t>
      </w:r>
    </w:p>
    <w:p w14:paraId="36FB2411">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14:paraId="70CA88E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w:t>
      </w:r>
      <w:r>
        <w:rPr>
          <w:rFonts w:hint="eastAsia" w:ascii="宋体"/>
          <w:color w:val="auto"/>
          <w:szCs w:val="21"/>
          <w:highlight w:val="none"/>
          <w:lang w:val="en-US" w:eastAsia="zh-CN"/>
        </w:rPr>
        <w:t>磋商</w:t>
      </w:r>
      <w:r>
        <w:rPr>
          <w:rFonts w:hint="eastAsia" w:ascii="宋体"/>
          <w:color w:val="auto"/>
          <w:szCs w:val="21"/>
          <w:highlight w:val="none"/>
        </w:rPr>
        <w:t>评标采用</w:t>
      </w:r>
      <w:r>
        <w:rPr>
          <w:rFonts w:hint="eastAsia" w:ascii="宋体"/>
          <w:color w:val="auto"/>
          <w:szCs w:val="21"/>
          <w:highlight w:val="none"/>
          <w:u w:val="single"/>
        </w:rPr>
        <w:t xml:space="preserve">  符合</w:t>
      </w:r>
      <w:r>
        <w:rPr>
          <w:rFonts w:hint="eastAsia" w:ascii="宋体"/>
          <w:color w:val="auto"/>
          <w:szCs w:val="21"/>
          <w:highlight w:val="none"/>
          <w:u w:val="single"/>
          <w:lang w:eastAsia="zh-CN"/>
        </w:rPr>
        <w:t>磋商文件</w:t>
      </w:r>
      <w:r>
        <w:rPr>
          <w:rFonts w:hint="eastAsia" w:ascii="宋体"/>
          <w:color w:val="auto"/>
          <w:szCs w:val="21"/>
          <w:highlight w:val="none"/>
          <w:u w:val="single"/>
        </w:rPr>
        <w:t xml:space="preserve">的综合评分法 </w:t>
      </w:r>
      <w:r>
        <w:rPr>
          <w:rFonts w:hint="eastAsia" w:ascii="宋体"/>
          <w:color w:val="auto"/>
          <w:szCs w:val="21"/>
          <w:highlight w:val="none"/>
        </w:rPr>
        <w:t>（详见评标办法）</w:t>
      </w:r>
    </w:p>
    <w:p w14:paraId="2E4E8DE1">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14:paraId="609F892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00A6AC6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07A5C32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，并完成CA数字证书申领。因未注册入库、未办理CA数字证书等原因造成无法投标或投标失败等后果由供应商自行承担。</w:t>
      </w:r>
    </w:p>
    <w:p w14:paraId="34C6B24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w:t>
      </w:r>
      <w:r>
        <w:rPr>
          <w:rFonts w:hint="eastAsia" w:ascii="宋体"/>
          <w:color w:val="auto"/>
          <w:szCs w:val="21"/>
          <w:highlight w:val="none"/>
          <w:lang w:eastAsia="zh-CN"/>
        </w:rPr>
        <w:t>响应文件</w:t>
      </w:r>
      <w:r>
        <w:rPr>
          <w:rFonts w:hint="eastAsia" w:ascii="宋体"/>
          <w:color w:val="auto"/>
          <w:szCs w:val="21"/>
          <w:highlight w:val="none"/>
        </w:rPr>
        <w:t>中的有关信息与库中的信息相一致。否则，投标人因此蒙受损失，招标人概不负责。</w:t>
      </w:r>
    </w:p>
    <w:p w14:paraId="28376133">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14:paraId="1CD861B6">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51A6CC00">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69" w:name="_Toc152045539"/>
      <w:bookmarkStart w:id="70" w:name="_Toc296602429"/>
      <w:bookmarkStart w:id="71" w:name="_Toc247527563"/>
      <w:bookmarkStart w:id="72" w:name="_Toc152042315"/>
      <w:bookmarkStart w:id="73" w:name="_Toc144974507"/>
      <w:bookmarkStart w:id="74" w:name="_Toc247513962"/>
      <w:bookmarkStart w:id="75" w:name="_Toc247592876"/>
      <w:r>
        <w:rPr>
          <w:rFonts w:hint="eastAsia"/>
          <w:b/>
          <w:color w:val="auto"/>
          <w:szCs w:val="21"/>
          <w:highlight w:val="none"/>
        </w:rPr>
        <w:t xml:space="preserve"> 踏勘现场</w:t>
      </w:r>
      <w:bookmarkEnd w:id="69"/>
      <w:bookmarkEnd w:id="70"/>
      <w:bookmarkEnd w:id="71"/>
      <w:bookmarkEnd w:id="72"/>
      <w:bookmarkEnd w:id="73"/>
      <w:bookmarkEnd w:id="74"/>
      <w:bookmarkEnd w:id="75"/>
    </w:p>
    <w:p w14:paraId="19BABDCC">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14:paraId="0928009E">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40E3E90A">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2AE6343A">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w:t>
      </w:r>
      <w:r>
        <w:rPr>
          <w:rFonts w:hint="eastAsia" w:ascii="宋体"/>
          <w:color w:val="auto"/>
          <w:szCs w:val="21"/>
          <w:highlight w:val="none"/>
          <w:lang w:eastAsia="zh-CN"/>
        </w:rPr>
        <w:t>响应文件</w:t>
      </w:r>
      <w:r>
        <w:rPr>
          <w:rFonts w:hint="eastAsia" w:ascii="宋体"/>
          <w:color w:val="auto"/>
          <w:szCs w:val="21"/>
          <w:highlight w:val="none"/>
        </w:rPr>
        <w:t>时参考，招标人不对投标人据此作出的判断和决策负责。</w:t>
      </w:r>
      <w:bookmarkStart w:id="76" w:name="_Toc144974508"/>
      <w:bookmarkStart w:id="77" w:name="_Toc247527564"/>
      <w:bookmarkStart w:id="78" w:name="_Toc296602430"/>
      <w:bookmarkStart w:id="79" w:name="_Toc152045540"/>
      <w:bookmarkStart w:id="80" w:name="_Toc247513963"/>
      <w:bookmarkStart w:id="81" w:name="_Toc247592877"/>
      <w:bookmarkStart w:id="82" w:name="_Toc152042316"/>
    </w:p>
    <w:p w14:paraId="17B99A34">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76"/>
      <w:bookmarkEnd w:id="77"/>
      <w:bookmarkEnd w:id="78"/>
      <w:bookmarkEnd w:id="79"/>
      <w:bookmarkEnd w:id="80"/>
      <w:bookmarkEnd w:id="81"/>
      <w:bookmarkEnd w:id="82"/>
    </w:p>
    <w:p w14:paraId="6AB18C62">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213C30BC">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65378E24">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3BA85A43">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14:paraId="78F7B78D">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DE105EC">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w:t>
      </w:r>
      <w:r>
        <w:rPr>
          <w:rFonts w:hint="eastAsia" w:ascii="宋体"/>
          <w:color w:val="auto"/>
          <w:szCs w:val="21"/>
          <w:highlight w:val="none"/>
          <w:lang w:eastAsia="zh-CN"/>
        </w:rPr>
        <w:t>响应文件</w:t>
      </w:r>
      <w:r>
        <w:rPr>
          <w:rFonts w:hint="eastAsia" w:ascii="宋体"/>
          <w:color w:val="auto"/>
          <w:szCs w:val="21"/>
          <w:highlight w:val="none"/>
        </w:rPr>
        <w:t>一并提交招标人。联合体各方签订共同投标协议后，不得再以自己名义单独在同一项目中投标，也不得组成新的联合体参加同一项目投标。</w:t>
      </w:r>
    </w:p>
    <w:p w14:paraId="50ABF100">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167D2245">
      <w:pPr>
        <w:pStyle w:val="10"/>
        <w:shd w:val="clear" w:color="auto" w:fill="auto"/>
        <w:spacing w:after="0" w:line="400" w:lineRule="exact"/>
        <w:ind w:left="0" w:leftChars="0" w:firstLine="424" w:firstLineChars="202"/>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11.4 联合体各方应当共同与招标人签订采购合同，就采购合同约定的事项对招标人承担连带责任。</w:t>
      </w:r>
    </w:p>
    <w:p w14:paraId="0A604FD0">
      <w:pPr>
        <w:shd w:val="clear" w:color="auto" w:fill="auto"/>
        <w:spacing w:line="440" w:lineRule="exact"/>
        <w:ind w:firstLine="411" w:firstLineChars="196"/>
        <w:jc w:val="left"/>
        <w:rPr>
          <w:rFonts w:hint="eastAsia" w:ascii="宋体"/>
          <w:b/>
          <w:color w:val="000000" w:themeColor="text1"/>
          <w:szCs w:val="21"/>
          <w:highlight w:val="none"/>
        </w:rPr>
      </w:pPr>
      <w:r>
        <w:rPr>
          <w:rFonts w:hint="eastAsia" w:ascii="宋体"/>
          <w:b/>
          <w:color w:val="000000" w:themeColor="text1"/>
          <w:szCs w:val="21"/>
          <w:highlight w:val="none"/>
        </w:rPr>
        <w:t>12.</w:t>
      </w:r>
      <w:r>
        <w:rPr>
          <w:rFonts w:hint="eastAsia" w:ascii="宋体"/>
          <w:b/>
          <w:color w:val="000000" w:themeColor="text1"/>
          <w:szCs w:val="21"/>
          <w:highlight w:val="none"/>
          <w:lang w:val="en-US" w:eastAsia="zh-CN"/>
        </w:rPr>
        <w:t>磋商</w:t>
      </w:r>
      <w:r>
        <w:rPr>
          <w:rFonts w:hint="eastAsia" w:ascii="宋体"/>
          <w:b/>
          <w:color w:val="000000" w:themeColor="text1"/>
          <w:szCs w:val="21"/>
          <w:highlight w:val="none"/>
        </w:rPr>
        <w:t>代理费</w:t>
      </w:r>
    </w:p>
    <w:p w14:paraId="53B6D858">
      <w:pPr>
        <w:shd w:val="clear" w:color="auto" w:fill="auto"/>
        <w:spacing w:line="440" w:lineRule="exact"/>
        <w:ind w:firstLine="420" w:firstLineChars="200"/>
        <w:rPr>
          <w:rFonts w:hint="eastAsia" w:ascii="宋体" w:hAnsi="宋体"/>
          <w:color w:val="auto"/>
          <w:sz w:val="21"/>
          <w:szCs w:val="21"/>
          <w:highlight w:val="none"/>
        </w:rPr>
      </w:pPr>
      <w:r>
        <w:rPr>
          <w:rFonts w:hint="eastAsia" w:ascii="宋体"/>
          <w:bCs/>
          <w:color w:val="auto"/>
          <w:szCs w:val="21"/>
          <w:highlight w:val="none"/>
        </w:rPr>
        <w:t>12.1</w:t>
      </w:r>
      <w:r>
        <w:rPr>
          <w:rFonts w:hint="eastAsia" w:ascii="宋体" w:cs="Times New Roman"/>
          <w:color w:val="auto"/>
          <w:kern w:val="2"/>
          <w:sz w:val="21"/>
          <w:szCs w:val="21"/>
          <w:highlight w:val="none"/>
          <w:lang w:val="en-US" w:eastAsia="zh-CN" w:bidi="ar-SA"/>
        </w:rPr>
        <w:t>本项目不收取招标代理费</w:t>
      </w:r>
      <w:r>
        <w:rPr>
          <w:rFonts w:hint="eastAsia" w:ascii="宋体" w:hAnsi="Times New Roman" w:eastAsia="宋体" w:cs="Times New Roman"/>
          <w:color w:val="auto"/>
          <w:kern w:val="2"/>
          <w:sz w:val="21"/>
          <w:szCs w:val="21"/>
          <w:highlight w:val="none"/>
          <w:lang w:val="en-US" w:eastAsia="zh-CN" w:bidi="ar-SA"/>
        </w:rPr>
        <w:t>。</w:t>
      </w:r>
    </w:p>
    <w:p w14:paraId="68146662">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14:paraId="0D0F74A3">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w:t>
      </w:r>
      <w:r>
        <w:rPr>
          <w:rFonts w:hint="eastAsia" w:ascii="宋体" w:hAnsi="宋体"/>
          <w:color w:val="auto"/>
          <w:szCs w:val="21"/>
          <w:highlight w:val="none"/>
          <w:lang w:eastAsia="zh-CN"/>
        </w:rPr>
        <w:t>响应文件</w:t>
      </w:r>
      <w:r>
        <w:rPr>
          <w:rFonts w:hint="eastAsia" w:ascii="宋体" w:hAnsi="宋体"/>
          <w:color w:val="auto"/>
          <w:szCs w:val="21"/>
          <w:highlight w:val="none"/>
        </w:rPr>
        <w:t>，</w:t>
      </w:r>
      <w:r>
        <w:rPr>
          <w:rFonts w:hint="eastAsia" w:ascii="宋体" w:hAnsi="宋体"/>
          <w:color w:val="auto"/>
          <w:szCs w:val="21"/>
          <w:highlight w:val="none"/>
          <w:lang w:eastAsia="zh-CN"/>
        </w:rPr>
        <w:t>响应文件</w:t>
      </w:r>
      <w:r>
        <w:rPr>
          <w:rFonts w:hint="eastAsia" w:ascii="宋体" w:hAnsi="宋体"/>
          <w:color w:val="auto"/>
          <w:szCs w:val="21"/>
          <w:highlight w:val="none"/>
        </w:rPr>
        <w:t>宜编制页码和目录，以便评委审核。否则，由此产生的一切后果由投标人承担。</w:t>
      </w:r>
    </w:p>
    <w:p w14:paraId="48584528">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14:paraId="557FCBC9">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00D494C0">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629D6950">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355B21A1">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w:t>
      </w:r>
      <w:r>
        <w:rPr>
          <w:rFonts w:hint="eastAsia" w:ascii="宋体"/>
          <w:bCs/>
          <w:color w:val="auto"/>
          <w:szCs w:val="21"/>
          <w:highlight w:val="none"/>
          <w:lang w:val="en-US" w:eastAsia="zh-CN"/>
        </w:rPr>
        <w:t>磋商</w:t>
      </w:r>
      <w:r>
        <w:rPr>
          <w:rFonts w:hint="eastAsia" w:ascii="宋体"/>
          <w:bCs/>
          <w:color w:val="auto"/>
          <w:szCs w:val="21"/>
          <w:highlight w:val="none"/>
        </w:rPr>
        <w:t>项目所在地的与履行合同有关的各种情况，包括但不限于：</w:t>
      </w:r>
    </w:p>
    <w:p w14:paraId="2B2316C0">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446DE4EC">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12E74ED4">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116B3D81">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14:paraId="6D95DC23">
      <w:pPr>
        <w:pStyle w:val="3"/>
        <w:spacing w:before="100" w:beforeAutospacing="1" w:after="100" w:afterAutospacing="1"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磋商文件</w:t>
      </w:r>
      <w:bookmarkEnd w:id="64"/>
      <w:bookmarkEnd w:id="65"/>
      <w:bookmarkEnd w:id="66"/>
      <w:bookmarkEnd w:id="67"/>
      <w:bookmarkEnd w:id="68"/>
    </w:p>
    <w:p w14:paraId="74AD91E6">
      <w:pPr>
        <w:shd w:val="clear" w:color="auto" w:fill="auto"/>
        <w:spacing w:line="440" w:lineRule="exact"/>
        <w:ind w:firstLine="420" w:firstLineChars="200"/>
        <w:rPr>
          <w:rFonts w:hint="eastAsia"/>
          <w:b/>
          <w:color w:val="auto"/>
          <w:szCs w:val="21"/>
          <w:highlight w:val="none"/>
        </w:rPr>
      </w:pPr>
      <w:bookmarkStart w:id="83" w:name="_Toc7276"/>
      <w:bookmarkStart w:id="84" w:name="_Toc18339"/>
      <w:r>
        <w:rPr>
          <w:rFonts w:hint="eastAsia"/>
          <w:b/>
          <w:color w:val="auto"/>
          <w:szCs w:val="21"/>
          <w:highlight w:val="none"/>
        </w:rPr>
        <w:t>1</w:t>
      </w:r>
      <w:r>
        <w:rPr>
          <w:rFonts w:hint="eastAsia"/>
          <w:b/>
          <w:color w:val="auto"/>
          <w:szCs w:val="21"/>
          <w:highlight w:val="none"/>
          <w:lang w:val="en-US" w:eastAsia="zh-CN"/>
        </w:rPr>
        <w:t>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19C519F0">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4EDAEDF3">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5</w:t>
      </w:r>
      <w:r>
        <w:rPr>
          <w:rFonts w:hint="eastAsia"/>
          <w:b/>
          <w:color w:val="auto"/>
          <w:szCs w:val="21"/>
          <w:highlight w:val="none"/>
        </w:rPr>
        <w:t xml:space="preserve">. </w:t>
      </w:r>
      <w:r>
        <w:rPr>
          <w:rFonts w:hint="eastAsia"/>
          <w:b/>
          <w:color w:val="auto"/>
          <w:szCs w:val="21"/>
          <w:highlight w:val="none"/>
          <w:lang w:eastAsia="zh-CN"/>
        </w:rPr>
        <w:t>磋商文件</w:t>
      </w:r>
      <w:r>
        <w:rPr>
          <w:rFonts w:hint="eastAsia"/>
          <w:b/>
          <w:color w:val="auto"/>
          <w:szCs w:val="21"/>
          <w:highlight w:val="none"/>
        </w:rPr>
        <w:t>的组成</w:t>
      </w:r>
    </w:p>
    <w:p w14:paraId="7D018841">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磋商文件</w:t>
      </w:r>
      <w:r>
        <w:rPr>
          <w:rFonts w:hint="eastAsia" w:ascii="宋体"/>
          <w:color w:val="auto"/>
          <w:szCs w:val="21"/>
          <w:highlight w:val="none"/>
        </w:rPr>
        <w:t>包括内容：</w:t>
      </w:r>
    </w:p>
    <w:p w14:paraId="74BE3743">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TOC \o "1-2" \h \z \u </w:instrText>
      </w:r>
      <w:r>
        <w:rPr>
          <w:rFonts w:hint="eastAsia" w:ascii="宋体"/>
          <w:color w:val="auto"/>
          <w:szCs w:val="21"/>
          <w:highlight w:val="none"/>
        </w:rPr>
        <w:fldChar w:fldCharType="separate"/>
      </w:r>
      <w:r>
        <w:rPr>
          <w:rFonts w:hint="eastAsia" w:ascii="宋体"/>
          <w:color w:val="auto"/>
          <w:szCs w:val="21"/>
          <w:highlight w:val="none"/>
        </w:rPr>
        <w:fldChar w:fldCharType="begin"/>
      </w:r>
      <w:r>
        <w:rPr>
          <w:rFonts w:hint="eastAsia" w:ascii="宋体"/>
          <w:color w:val="auto"/>
          <w:szCs w:val="21"/>
          <w:highlight w:val="none"/>
        </w:rPr>
        <w:instrText xml:space="preserve"> HYPERLINK \l "_Toc527642949" </w:instrText>
      </w:r>
      <w:r>
        <w:rPr>
          <w:rFonts w:hint="eastAsia" w:ascii="宋体"/>
          <w:color w:val="auto"/>
          <w:szCs w:val="21"/>
          <w:highlight w:val="none"/>
        </w:rPr>
        <w:fldChar w:fldCharType="separate"/>
      </w:r>
      <w:r>
        <w:rPr>
          <w:rFonts w:hint="eastAsia" w:ascii="宋体"/>
          <w:color w:val="auto"/>
          <w:szCs w:val="21"/>
          <w:highlight w:val="none"/>
        </w:rPr>
        <w:t>（1）竞争性磋商公告</w:t>
      </w:r>
      <w:r>
        <w:rPr>
          <w:rFonts w:hint="eastAsia" w:ascii="宋体"/>
          <w:color w:val="auto"/>
          <w:szCs w:val="21"/>
          <w:highlight w:val="none"/>
        </w:rPr>
        <w:fldChar w:fldCharType="end"/>
      </w:r>
    </w:p>
    <w:p w14:paraId="680F14B5">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"_Toc527642950" </w:instrText>
      </w:r>
      <w:r>
        <w:rPr>
          <w:rFonts w:hint="eastAsia" w:ascii="宋体"/>
          <w:color w:val="auto"/>
          <w:szCs w:val="21"/>
          <w:highlight w:val="none"/>
        </w:rPr>
        <w:fldChar w:fldCharType="separate"/>
      </w:r>
      <w:r>
        <w:rPr>
          <w:rFonts w:hint="eastAsia" w:ascii="宋体"/>
          <w:color w:val="auto"/>
          <w:szCs w:val="21"/>
          <w:highlight w:val="none"/>
        </w:rPr>
        <w:t>（2）投标人须知</w:t>
      </w:r>
      <w:r>
        <w:rPr>
          <w:rFonts w:hint="eastAsia" w:ascii="宋体"/>
          <w:color w:val="auto"/>
          <w:szCs w:val="21"/>
          <w:highlight w:val="none"/>
        </w:rPr>
        <w:fldChar w:fldCharType="end"/>
      </w:r>
    </w:p>
    <w:p w14:paraId="58E42DAB">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"_Toc527642959" </w:instrText>
      </w:r>
      <w:r>
        <w:rPr>
          <w:rFonts w:hint="eastAsia" w:ascii="宋体"/>
          <w:color w:val="auto"/>
          <w:szCs w:val="21"/>
          <w:highlight w:val="none"/>
        </w:rPr>
        <w:fldChar w:fldCharType="separate"/>
      </w:r>
      <w:r>
        <w:rPr>
          <w:rFonts w:hint="eastAsia" w:ascii="宋体"/>
          <w:color w:val="auto"/>
          <w:szCs w:val="21"/>
          <w:highlight w:val="none"/>
        </w:rPr>
        <w:t>（3）技术要求</w:t>
      </w:r>
      <w:r>
        <w:rPr>
          <w:rFonts w:hint="eastAsia" w:ascii="宋体"/>
          <w:color w:val="auto"/>
          <w:szCs w:val="21"/>
          <w:highlight w:val="none"/>
        </w:rPr>
        <w:fldChar w:fldCharType="end"/>
      </w:r>
    </w:p>
    <w:p w14:paraId="282AD697">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"_Toc527642960"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）合同条款及格式</w:t>
      </w:r>
      <w:r>
        <w:rPr>
          <w:rFonts w:hint="eastAsia" w:ascii="宋体"/>
          <w:color w:val="auto"/>
          <w:szCs w:val="21"/>
          <w:highlight w:val="none"/>
        </w:rPr>
        <w:fldChar w:fldCharType="end"/>
      </w:r>
    </w:p>
    <w:p w14:paraId="0848969E">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"_Toc527642969"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）响应文件格式</w:t>
      </w:r>
      <w:r>
        <w:rPr>
          <w:rFonts w:hint="eastAsia" w:ascii="宋体"/>
          <w:color w:val="auto"/>
          <w:szCs w:val="21"/>
          <w:highlight w:val="none"/>
        </w:rPr>
        <w:fldChar w:fldCharType="end"/>
      </w:r>
    </w:p>
    <w:p w14:paraId="3FE768F3">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end"/>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 补充条款</w:t>
      </w:r>
    </w:p>
    <w:p w14:paraId="076D0C2C">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w:t>
      </w:r>
      <w:r>
        <w:rPr>
          <w:rFonts w:hint="eastAsia" w:ascii="宋体"/>
          <w:color w:val="auto"/>
          <w:szCs w:val="21"/>
          <w:highlight w:val="none"/>
          <w:lang w:val="en-US" w:eastAsia="zh-CN"/>
        </w:rPr>
        <w:t>磋商</w:t>
      </w:r>
      <w:r>
        <w:rPr>
          <w:rFonts w:hint="eastAsia" w:ascii="宋体"/>
          <w:color w:val="auto"/>
          <w:szCs w:val="21"/>
          <w:highlight w:val="none"/>
        </w:rPr>
        <w:t>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236AB0DA">
      <w:pPr>
        <w:pStyle w:val="11"/>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2B6C0728">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w:t>
      </w:r>
      <w:r>
        <w:rPr>
          <w:rFonts w:hint="eastAsia" w:ascii="宋体"/>
          <w:color w:val="auto"/>
          <w:szCs w:val="21"/>
          <w:highlight w:val="none"/>
          <w:lang w:eastAsia="zh-CN"/>
        </w:rPr>
        <w:t>响应文件</w:t>
      </w:r>
      <w:r>
        <w:rPr>
          <w:rFonts w:hint="eastAsia" w:ascii="宋体"/>
          <w:color w:val="auto"/>
          <w:szCs w:val="21"/>
          <w:highlight w:val="none"/>
        </w:rPr>
        <w:t>编制的，将相应延长投标截止时间。</w:t>
      </w:r>
    </w:p>
    <w:p w14:paraId="2F79439C">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磋商文件</w:t>
      </w:r>
      <w:r>
        <w:rPr>
          <w:rFonts w:hint="eastAsia" w:ascii="宋体"/>
          <w:b/>
          <w:bCs/>
          <w:color w:val="auto"/>
          <w:szCs w:val="21"/>
          <w:highlight w:val="none"/>
        </w:rPr>
        <w:t>的修改、补充、解释</w:t>
      </w:r>
    </w:p>
    <w:p w14:paraId="0E470ADB">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磋商文件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542BF2E8">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w:t>
      </w:r>
      <w:r>
        <w:rPr>
          <w:rFonts w:hint="eastAsia" w:ascii="宋体" w:hAnsi="宋体"/>
          <w:color w:val="auto"/>
          <w:szCs w:val="21"/>
          <w:highlight w:val="none"/>
          <w:lang w:eastAsia="zh-CN"/>
        </w:rPr>
        <w:t>响应文件</w:t>
      </w:r>
      <w:r>
        <w:rPr>
          <w:rFonts w:hint="eastAsia" w:ascii="宋体" w:hAnsi="宋体"/>
          <w:color w:val="auto"/>
          <w:szCs w:val="21"/>
          <w:highlight w:val="none"/>
        </w:rPr>
        <w:t>编制的，应当在投标截止时间至少</w:t>
      </w:r>
      <w:r>
        <w:rPr>
          <w:rFonts w:hint="eastAsia" w:ascii="宋体" w:hAnsi="宋体"/>
          <w:color w:val="auto"/>
          <w:szCs w:val="21"/>
          <w:highlight w:val="none"/>
          <w:lang w:val="en-US" w:eastAsia="zh-CN"/>
        </w:rPr>
        <w:t>5</w:t>
      </w:r>
      <w:r>
        <w:rPr>
          <w:rFonts w:hint="eastAsia" w:ascii="宋体" w:hAnsi="宋体"/>
          <w:color w:val="auto"/>
          <w:szCs w:val="21"/>
          <w:highlight w:val="none"/>
        </w:rPr>
        <w:t>日前，在原公告发布媒体上发布澄清公告，澄清或者修改的内容为采购文件的组成部分；不足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w:t>
      </w:r>
      <w:r>
        <w:rPr>
          <w:rFonts w:hint="eastAsia" w:ascii="宋体" w:hAnsi="宋体"/>
          <w:color w:val="auto"/>
          <w:szCs w:val="21"/>
          <w:highlight w:val="none"/>
          <w:lang w:eastAsia="zh-CN"/>
        </w:rPr>
        <w:t>响应文件</w:t>
      </w:r>
      <w:r>
        <w:rPr>
          <w:rFonts w:hint="eastAsia" w:ascii="宋体" w:hAnsi="宋体"/>
          <w:color w:val="auto"/>
          <w:szCs w:val="21"/>
          <w:highlight w:val="none"/>
        </w:rPr>
        <w:t>的截止时间。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064EAA15">
      <w:pPr>
        <w:shd w:val="clear" w:color="auto" w:fill="auto"/>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的解释</w:t>
      </w:r>
      <w:r>
        <w:rPr>
          <w:rFonts w:hint="eastAsia" w:ascii="宋体" w:hAnsi="宋体"/>
          <w:bCs/>
          <w:color w:val="auto"/>
          <w:szCs w:val="21"/>
          <w:highlight w:val="none"/>
          <w:lang w:val="en-US" w:eastAsia="zh-CN"/>
        </w:rPr>
        <w:t xml:space="preserve"> </w:t>
      </w:r>
    </w:p>
    <w:p w14:paraId="77B89DC7">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磋商文件</w:t>
      </w:r>
      <w:r>
        <w:rPr>
          <w:rFonts w:hint="eastAsia" w:ascii="宋体" w:hAnsi="宋体"/>
          <w:color w:val="auto"/>
          <w:szCs w:val="21"/>
          <w:highlight w:val="none"/>
        </w:rPr>
        <w:t>由招标人（或其委托的招标代理机构）负责解释。</w:t>
      </w:r>
    </w:p>
    <w:p w14:paraId="7CABE9B1">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磋商文件</w:t>
      </w:r>
      <w:r>
        <w:rPr>
          <w:rFonts w:hint="eastAsia" w:ascii="宋体" w:hAnsi="宋体"/>
          <w:b/>
          <w:color w:val="auto"/>
          <w:szCs w:val="21"/>
          <w:highlight w:val="none"/>
        </w:rPr>
        <w:t>的发出</w:t>
      </w:r>
    </w:p>
    <w:p w14:paraId="20178563">
      <w:pPr>
        <w:shd w:val="clear" w:color="auto" w:fill="auto"/>
        <w:spacing w:line="400" w:lineRule="exact"/>
        <w:ind w:firstLine="315" w:firstLineChars="150"/>
        <w:rPr>
          <w:rFonts w:ascii="宋体" w:hAnsi="宋体"/>
          <w:color w:val="auto"/>
          <w:szCs w:val="21"/>
          <w:highlight w:val="gree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磋商文件</w:t>
      </w:r>
      <w:r>
        <w:rPr>
          <w:rFonts w:hint="eastAsia" w:ascii="宋体" w:hAnsi="宋体"/>
          <w:color w:val="auto"/>
          <w:szCs w:val="21"/>
          <w:highlight w:val="none"/>
        </w:rPr>
        <w:t>、</w:t>
      </w:r>
      <w:r>
        <w:rPr>
          <w:rFonts w:hint="eastAsia" w:ascii="宋体" w:hAnsi="宋体"/>
          <w:color w:val="auto"/>
          <w:szCs w:val="21"/>
          <w:highlight w:val="none"/>
          <w:lang w:eastAsia="zh-CN"/>
        </w:rPr>
        <w:t>磋商文件</w:t>
      </w:r>
      <w:r>
        <w:rPr>
          <w:rFonts w:hint="eastAsia" w:ascii="宋体" w:hAnsi="宋体"/>
          <w:color w:val="auto"/>
          <w:szCs w:val="21"/>
          <w:highlight w:val="none"/>
        </w:rPr>
        <w:t>的澄清、修改、补充及</w:t>
      </w:r>
      <w:r>
        <w:rPr>
          <w:rFonts w:hint="eastAsia" w:ascii="宋体" w:hAnsi="宋体"/>
          <w:color w:val="auto"/>
          <w:szCs w:val="21"/>
          <w:highlight w:val="none"/>
          <w:lang w:val="en-US" w:eastAsia="zh-CN"/>
        </w:rPr>
        <w:t>磋商</w:t>
      </w:r>
      <w:r>
        <w:rPr>
          <w:rFonts w:hint="eastAsia" w:ascii="宋体" w:hAnsi="宋体"/>
          <w:color w:val="auto"/>
          <w:szCs w:val="21"/>
          <w:highlight w:val="none"/>
        </w:rPr>
        <w:t>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0515C3ED">
      <w:pPr>
        <w:shd w:val="clear" w:color="auto" w:fill="auto"/>
        <w:spacing w:line="440" w:lineRule="exact"/>
        <w:ind w:firstLine="279" w:firstLineChars="133"/>
        <w:rPr>
          <w:rFonts w:hint="eastAsia" w:ascii="宋体"/>
          <w:color w:val="auto"/>
          <w:szCs w:val="21"/>
          <w:highlight w:val="none"/>
        </w:rPr>
      </w:pPr>
      <w:bookmarkStart w:id="85"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727D90AC">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634D0788">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86" w:name="_Toc31024"/>
      <w:r>
        <w:rPr>
          <w:rFonts w:hint="eastAsia" w:ascii="宋体"/>
          <w:b/>
          <w:color w:val="auto"/>
          <w:sz w:val="28"/>
          <w:szCs w:val="28"/>
          <w:highlight w:val="none"/>
        </w:rPr>
        <w:t>（三）响应文件的编制</w:t>
      </w:r>
      <w:bookmarkEnd w:id="85"/>
      <w:bookmarkEnd w:id="86"/>
    </w:p>
    <w:p w14:paraId="31EBEE8B">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701588F4">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w:t>
      </w:r>
      <w:r>
        <w:rPr>
          <w:rFonts w:hint="eastAsia" w:ascii="宋体" w:hAnsi="宋体"/>
          <w:color w:val="auto"/>
          <w:szCs w:val="21"/>
          <w:highlight w:val="none"/>
          <w:lang w:eastAsia="zh-CN"/>
        </w:rPr>
        <w:t>响应文件</w:t>
      </w:r>
      <w:r>
        <w:rPr>
          <w:rFonts w:hint="eastAsia" w:ascii="宋体" w:hAnsi="宋体"/>
          <w:color w:val="auto"/>
          <w:szCs w:val="21"/>
          <w:highlight w:val="none"/>
        </w:rPr>
        <w:t>、技术文件和资料，以及投标人与招标人就有关投标的所有来往函电均应使用中文。</w:t>
      </w:r>
      <w:r>
        <w:rPr>
          <w:rFonts w:hint="eastAsia" w:ascii="宋体" w:hAnsi="宋体"/>
          <w:color w:val="auto"/>
          <w:szCs w:val="21"/>
          <w:highlight w:val="none"/>
          <w:lang w:eastAsia="zh-CN"/>
        </w:rPr>
        <w:t>响应文件</w:t>
      </w:r>
      <w:r>
        <w:rPr>
          <w:rFonts w:hint="eastAsia" w:ascii="宋体" w:hAnsi="宋体"/>
          <w:color w:val="auto"/>
          <w:szCs w:val="21"/>
          <w:highlight w:val="none"/>
        </w:rPr>
        <w:t>中若有英文或其他语言文字的资料，应提供相应的中文翻译资料。对不同文本</w:t>
      </w:r>
      <w:r>
        <w:rPr>
          <w:rFonts w:hint="eastAsia" w:ascii="宋体" w:hAnsi="宋体"/>
          <w:color w:val="auto"/>
          <w:szCs w:val="21"/>
          <w:highlight w:val="none"/>
          <w:lang w:eastAsia="zh-CN"/>
        </w:rPr>
        <w:t>响应文件</w:t>
      </w:r>
      <w:r>
        <w:rPr>
          <w:rFonts w:hint="eastAsia" w:ascii="宋体" w:hAnsi="宋体"/>
          <w:color w:val="auto"/>
          <w:szCs w:val="21"/>
          <w:highlight w:val="none"/>
        </w:rPr>
        <w:t>的解释发生异议的，以中文文本为准。</w:t>
      </w:r>
    </w:p>
    <w:p w14:paraId="51DB6A68">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7AA7C122">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lang w:val="en-US" w:eastAsia="zh-CN"/>
        </w:rPr>
        <w:t>20</w:t>
      </w:r>
      <w:r>
        <w:rPr>
          <w:rFonts w:hint="eastAsia"/>
          <w:b/>
          <w:color w:val="auto"/>
          <w:szCs w:val="21"/>
          <w:highlight w:val="none"/>
        </w:rPr>
        <w:t>. 响应</w:t>
      </w:r>
      <w:r>
        <w:rPr>
          <w:rFonts w:hint="eastAsia" w:ascii="宋体" w:hAnsi="宋体"/>
          <w:b/>
          <w:color w:val="auto"/>
          <w:szCs w:val="21"/>
          <w:highlight w:val="none"/>
        </w:rPr>
        <w:t>文件的组成</w:t>
      </w:r>
    </w:p>
    <w:p w14:paraId="7AAF8FE4">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一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开标一览表及资格证明文件</w:t>
      </w:r>
    </w:p>
    <w:p w14:paraId="2C4EF161">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二</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商务及技术文件</w:t>
      </w:r>
    </w:p>
    <w:p w14:paraId="7AD63114">
      <w:pPr>
        <w:spacing w:line="360" w:lineRule="auto"/>
        <w:ind w:left="73" w:leftChars="35"/>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注：磋商响应文件中，所有</w:t>
      </w:r>
      <w:r>
        <w:rPr>
          <w:rFonts w:hint="eastAsia" w:ascii="宋体" w:hAnsi="宋体" w:eastAsia="宋体" w:cs="宋体"/>
          <w:b/>
          <w:color w:val="auto"/>
          <w:kern w:val="0"/>
          <w:szCs w:val="21"/>
          <w:highlight w:val="none"/>
          <w:u w:val="single"/>
          <w:lang w:val="en-US" w:eastAsia="zh-CN"/>
        </w:rPr>
        <w:t>投标人</w:t>
      </w:r>
      <w:r>
        <w:rPr>
          <w:rFonts w:hint="eastAsia" w:ascii="宋体" w:hAnsi="宋体" w:eastAsia="宋体" w:cs="宋体"/>
          <w:b/>
          <w:color w:val="auto"/>
          <w:kern w:val="0"/>
          <w:szCs w:val="21"/>
          <w:highlight w:val="none"/>
          <w:u w:val="single"/>
        </w:rPr>
        <w:t>签字、法人代表签字、法人代表授权人签字和其它签字处须同时加盖有关有法律效力的印章方为有效</w:t>
      </w:r>
      <w:r>
        <w:rPr>
          <w:rFonts w:hint="eastAsia" w:ascii="宋体" w:hAnsi="宋体" w:eastAsia="宋体" w:cs="宋体"/>
          <w:b/>
          <w:color w:val="auto"/>
          <w:kern w:val="0"/>
          <w:szCs w:val="21"/>
          <w:highlight w:val="none"/>
          <w:u w:val="single"/>
          <w:lang w:eastAsia="zh-CN"/>
        </w:rPr>
        <w:t>。</w:t>
      </w:r>
    </w:p>
    <w:p w14:paraId="0DFDEE87">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响应文件的要求</w:t>
      </w:r>
    </w:p>
    <w:p w14:paraId="6A9D3024">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14:paraId="78A53658">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）响应文件格式应按本采购文件第六章格式要求编制，不得对采购文件格式进行增删更改，否则按无效标处理。</w:t>
      </w:r>
    </w:p>
    <w:p w14:paraId="69B58156">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14F86322">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）响应文件为电子响应文件，电子响应文件按“政采云供应商项目采购-电子招投标操作指南”及本采购文件要求制作、加密传输。</w:t>
      </w:r>
    </w:p>
    <w:p w14:paraId="7AD2C284">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）响应文件未在投标截止时间前完成传输的，视为响应文件撤回；响应文件未按时解密也未提供备份响应文件的，亦视为响应文件撤回。</w:t>
      </w:r>
    </w:p>
    <w:p w14:paraId="31DD34A6">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lang w:eastAsia="zh-CN"/>
        </w:rPr>
        <w:t>磋商</w:t>
      </w:r>
      <w:r>
        <w:rPr>
          <w:rFonts w:hint="eastAsia" w:ascii="宋体"/>
          <w:b/>
          <w:color w:val="auto"/>
          <w:szCs w:val="21"/>
          <w:highlight w:val="none"/>
        </w:rPr>
        <w:t>报价</w:t>
      </w:r>
    </w:p>
    <w:p w14:paraId="49F59792">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796A03A2">
      <w:pPr>
        <w:shd w:val="clear" w:color="auto" w:fill="auto"/>
        <w:spacing w:line="440" w:lineRule="exact"/>
        <w:ind w:firstLine="420" w:firstLineChars="200"/>
        <w:rPr>
          <w:rFonts w:hint="eastAsia" w:ascii="宋体"/>
          <w:color w:val="000000"/>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.2除本磋商文件另有规定外，</w:t>
      </w:r>
      <w:r>
        <w:rPr>
          <w:rFonts w:hint="eastAsia" w:ascii="宋体"/>
          <w:color w:val="auto"/>
          <w:szCs w:val="21"/>
          <w:highlight w:val="none"/>
          <w:lang w:val="en-US" w:eastAsia="zh-CN"/>
        </w:rPr>
        <w:t>投标人</w:t>
      </w:r>
      <w:r>
        <w:rPr>
          <w:rFonts w:hint="eastAsia" w:ascii="宋体"/>
          <w:color w:val="auto"/>
          <w:szCs w:val="21"/>
          <w:highlight w:val="none"/>
        </w:rPr>
        <w:t>应按磋商文件所附相应的投标一览表格式标明拟提供服务的单价和总价等内容。报价以人民币报价，不接受有任何选择性报价</w:t>
      </w:r>
      <w:r>
        <w:rPr>
          <w:rFonts w:hint="eastAsia" w:ascii="宋体"/>
          <w:color w:val="000000"/>
          <w:szCs w:val="21"/>
          <w:highlight w:val="none"/>
        </w:rPr>
        <w:t>。</w:t>
      </w:r>
    </w:p>
    <w:p w14:paraId="77DB0C02">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.3本项目报价为分次报价，供应商响应文件中的报价作为第一次报价；以最终磋商报价作为评审价</w:t>
      </w:r>
      <w:r>
        <w:rPr>
          <w:rFonts w:hint="eastAsia" w:ascii="宋体"/>
          <w:color w:val="auto"/>
          <w:szCs w:val="21"/>
          <w:highlight w:val="none"/>
          <w:lang w:eastAsia="zh-CN"/>
        </w:rPr>
        <w:t>。</w:t>
      </w:r>
    </w:p>
    <w:p w14:paraId="72B315F1">
      <w:pPr>
        <w:spacing w:line="360" w:lineRule="auto"/>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.4投标报价应注意下列要求：</w:t>
      </w:r>
    </w:p>
    <w:p w14:paraId="4200F596">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21.4.1</w:t>
      </w:r>
      <w:r>
        <w:rPr>
          <w:rFonts w:hint="eastAsia" w:ascii="宋体" w:hAnsi="Times New Roman" w:eastAsia="宋体" w:cs="Times New Roman"/>
          <w:color w:val="auto"/>
          <w:szCs w:val="21"/>
          <w:highlight w:val="none"/>
        </w:rPr>
        <w:t>投标报价应包括实施该项目涵盖的所有费用。</w:t>
      </w:r>
    </w:p>
    <w:p w14:paraId="57942AA7">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21.4.2</w:t>
      </w:r>
      <w:r>
        <w:rPr>
          <w:rFonts w:hint="eastAsia" w:ascii="宋体" w:hAnsi="Times New Roman" w:eastAsia="宋体" w:cs="Times New Roman"/>
          <w:color w:val="auto"/>
          <w:szCs w:val="21"/>
          <w:highlight w:val="none"/>
        </w:rPr>
        <w:t>算术性修正。算术性修正是指对磋商响应文件的报价明细进行校核，并对其算术上和运算上的差错给予修正。修正的原则如下：</w:t>
      </w:r>
    </w:p>
    <w:p w14:paraId="3626E59D">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21.4.3</w:t>
      </w:r>
      <w:r>
        <w:rPr>
          <w:rFonts w:hint="eastAsia" w:ascii="宋体" w:hAnsi="Times New Roman" w:eastAsia="宋体" w:cs="Times New Roman"/>
          <w:color w:val="auto"/>
          <w:szCs w:val="21"/>
          <w:highlight w:val="none"/>
        </w:rPr>
        <w:t xml:space="preserve"> 当以数字表示的金额与文字表示的金额有差异时，以文字表示的金额为准；</w:t>
      </w:r>
    </w:p>
    <w:p w14:paraId="6B3D67CD">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21.4.4</w:t>
      </w:r>
      <w:r>
        <w:rPr>
          <w:rFonts w:hint="eastAsia" w:ascii="宋体" w:hAnsi="Times New Roman" w:eastAsia="宋体" w:cs="Times New Roman"/>
          <w:color w:val="auto"/>
          <w:szCs w:val="21"/>
          <w:highlight w:val="none"/>
        </w:rPr>
        <w:t xml:space="preserve"> 当单价与数量相乘不等于合价时，以单价计算为准。如果单价有明显的小数点位置差错，应以标出的合价为准，同时对单价予以修正；</w:t>
      </w:r>
    </w:p>
    <w:p w14:paraId="749901B1">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21.4.5</w:t>
      </w:r>
      <w:r>
        <w:rPr>
          <w:rFonts w:hint="eastAsia" w:ascii="宋体" w:hAnsi="Times New Roman" w:eastAsia="宋体" w:cs="Times New Roman"/>
          <w:color w:val="auto"/>
          <w:szCs w:val="21"/>
          <w:highlight w:val="none"/>
        </w:rPr>
        <w:t>当各明细部分的价格累计不等于合价时，应以各明细的累计计数为准，修正合价。</w:t>
      </w:r>
    </w:p>
    <w:p w14:paraId="25998FD2">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21.5</w:t>
      </w:r>
      <w:r>
        <w:rPr>
          <w:rFonts w:hint="eastAsia" w:ascii="宋体" w:hAnsi="Times New Roman" w:eastAsia="宋体" w:cs="Times New Roman"/>
          <w:color w:val="auto"/>
          <w:szCs w:val="21"/>
          <w:highlight w:val="none"/>
        </w:rPr>
        <w:t>按以上原则对算术性差错修正，应取得</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的同意，并确认修正后最终投标价。如果</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拒绝确认，则其磋商响应文件将不予以评审并按废标处理，没收其投标担保。</w:t>
      </w:r>
    </w:p>
    <w:p w14:paraId="03CBDA97">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投标报价应由法定代表人或被授权人签署。</w:t>
      </w:r>
    </w:p>
    <w:p w14:paraId="36765CD5">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w:t>
      </w:r>
      <w:r>
        <w:rPr>
          <w:rFonts w:hint="eastAsia" w:ascii="宋体" w:hAnsi="宋体"/>
          <w:b/>
          <w:color w:val="auto"/>
          <w:szCs w:val="21"/>
          <w:highlight w:val="none"/>
          <w:lang w:val="en-US" w:eastAsia="zh-CN"/>
        </w:rPr>
        <w:t>磋商</w:t>
      </w:r>
      <w:r>
        <w:rPr>
          <w:rFonts w:hint="eastAsia" w:ascii="宋体" w:hAnsi="宋体"/>
          <w:b/>
          <w:color w:val="auto"/>
          <w:szCs w:val="21"/>
          <w:highlight w:val="none"/>
        </w:rPr>
        <w:t>设置的最高限价，</w:t>
      </w:r>
      <w:r>
        <w:rPr>
          <w:rFonts w:hint="eastAsia" w:ascii="宋体" w:hAnsi="宋体"/>
          <w:b/>
          <w:bCs/>
          <w:color w:val="auto"/>
          <w:szCs w:val="21"/>
          <w:highlight w:val="none"/>
        </w:rPr>
        <w:t>否则将作为无效投标处理。</w:t>
      </w:r>
    </w:p>
    <w:p w14:paraId="49B65A77">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w:t>
      </w:r>
      <w:r>
        <w:rPr>
          <w:rFonts w:hint="eastAsia" w:ascii="宋体"/>
          <w:color w:val="auto"/>
          <w:szCs w:val="21"/>
          <w:highlight w:val="none"/>
          <w:lang w:eastAsia="zh-CN"/>
        </w:rPr>
        <w:t>响应文件</w:t>
      </w:r>
      <w:r>
        <w:rPr>
          <w:rFonts w:hint="eastAsia" w:ascii="宋体"/>
          <w:color w:val="auto"/>
          <w:szCs w:val="21"/>
          <w:highlight w:val="none"/>
        </w:rPr>
        <w:t>中未列明全面实现投标货物功能而必须配置的配套或辅助设施及相应技术措施的费用，这些费用将被视为已包含在总投标价中。</w:t>
      </w:r>
    </w:p>
    <w:p w14:paraId="08F3855C">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78B580CA">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546B1BFE">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.12投标人不得对从第三方采购货物的随机备品、备件另行收费，否则在计算评标价时这部分费用将不予扣除，在授予合同时将从中标价格中扣除该部分费用。</w:t>
      </w:r>
    </w:p>
    <w:p w14:paraId="28070D68">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.13投标人应根据货物的技术状况列出随机备品备件的清单和数量，并将该备品备件价格计入总投标价，若所提供的产品无需备件，则应在</w:t>
      </w:r>
      <w:r>
        <w:rPr>
          <w:rFonts w:hint="eastAsia" w:ascii="宋体"/>
          <w:color w:val="auto"/>
          <w:szCs w:val="21"/>
          <w:highlight w:val="none"/>
          <w:lang w:eastAsia="zh-CN"/>
        </w:rPr>
        <w:t>响应文件</w:t>
      </w:r>
      <w:r>
        <w:rPr>
          <w:rFonts w:hint="eastAsia" w:ascii="宋体"/>
          <w:color w:val="auto"/>
          <w:szCs w:val="21"/>
          <w:highlight w:val="none"/>
        </w:rPr>
        <w:t>中说明；无论投标人在报价中列明随机备品备件的数量及价格多少，在质保期内招标人均无需为维护维修保养所需的专用工具和备品备件另行支付费用。</w:t>
      </w:r>
    </w:p>
    <w:p w14:paraId="07A5C9DF">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0F852067">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5FFA1F83">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w:t>
      </w:r>
      <w:r>
        <w:rPr>
          <w:rFonts w:hint="eastAsia" w:ascii="宋体"/>
          <w:color w:val="auto"/>
          <w:szCs w:val="21"/>
          <w:highlight w:val="none"/>
          <w:lang w:eastAsia="zh-CN"/>
        </w:rPr>
        <w:t>响应文件</w:t>
      </w:r>
      <w:r>
        <w:rPr>
          <w:rFonts w:hint="eastAsia" w:ascii="宋体"/>
          <w:color w:val="auto"/>
          <w:szCs w:val="21"/>
          <w:highlight w:val="none"/>
        </w:rPr>
        <w:t>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23FCACEB">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w:t>
      </w:r>
      <w:r>
        <w:rPr>
          <w:rFonts w:hint="eastAsia" w:ascii="宋体"/>
          <w:color w:val="auto"/>
          <w:szCs w:val="21"/>
          <w:highlight w:val="none"/>
          <w:lang w:eastAsia="zh-CN"/>
        </w:rPr>
        <w:t>响应文件</w:t>
      </w:r>
      <w:r>
        <w:rPr>
          <w:rFonts w:hint="eastAsia" w:ascii="宋体"/>
          <w:color w:val="auto"/>
          <w:szCs w:val="21"/>
          <w:highlight w:val="none"/>
        </w:rPr>
        <w:t>；投标人拒绝延长的，其投标失效，但投标人有权收回其投标保证金。</w:t>
      </w:r>
    </w:p>
    <w:p w14:paraId="6664B3AD">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4DA79EAD">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w:t>
      </w:r>
      <w:r>
        <w:rPr>
          <w:rFonts w:hint="eastAsia" w:ascii="宋体"/>
          <w:color w:val="auto"/>
          <w:szCs w:val="21"/>
          <w:highlight w:val="none"/>
          <w:lang w:eastAsia="zh-CN"/>
        </w:rPr>
        <w:t>响应文件</w:t>
      </w:r>
      <w:r>
        <w:rPr>
          <w:rFonts w:hint="eastAsia" w:ascii="宋体"/>
          <w:color w:val="auto"/>
          <w:szCs w:val="21"/>
          <w:highlight w:val="none"/>
        </w:rPr>
        <w:t>的同时，应按投标人须知前附表规定的金额、担保形式和第六章“</w:t>
      </w:r>
      <w:r>
        <w:rPr>
          <w:rFonts w:hint="eastAsia" w:ascii="宋体"/>
          <w:color w:val="auto"/>
          <w:szCs w:val="21"/>
          <w:highlight w:val="none"/>
          <w:lang w:eastAsia="zh-CN"/>
        </w:rPr>
        <w:t>响应文件</w:t>
      </w:r>
      <w:r>
        <w:rPr>
          <w:rFonts w:hint="eastAsia" w:ascii="宋体"/>
          <w:color w:val="auto"/>
          <w:szCs w:val="21"/>
          <w:highlight w:val="none"/>
        </w:rPr>
        <w:t>格式”规定的投标保证金格式递交投标保证金，并作为其</w:t>
      </w:r>
      <w:r>
        <w:rPr>
          <w:rFonts w:hint="eastAsia" w:ascii="宋体"/>
          <w:color w:val="auto"/>
          <w:szCs w:val="21"/>
          <w:highlight w:val="none"/>
          <w:lang w:eastAsia="zh-CN"/>
        </w:rPr>
        <w:t>响应文件</w:t>
      </w:r>
      <w:r>
        <w:rPr>
          <w:rFonts w:hint="eastAsia" w:ascii="宋体"/>
          <w:color w:val="auto"/>
          <w:szCs w:val="21"/>
          <w:highlight w:val="none"/>
        </w:rPr>
        <w:t>的组成部分。投标人不按要求提交投标保证金的，评标委员会将否决其投标。</w:t>
      </w:r>
    </w:p>
    <w:p w14:paraId="1454A35E">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46CEBE7F">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0A655F09">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w:t>
      </w:r>
      <w:r>
        <w:rPr>
          <w:rFonts w:hint="eastAsia" w:ascii="宋体"/>
          <w:color w:val="auto"/>
          <w:szCs w:val="21"/>
          <w:highlight w:val="none"/>
          <w:lang w:eastAsia="zh-CN"/>
        </w:rPr>
        <w:t>响应文件</w:t>
      </w:r>
      <w:r>
        <w:rPr>
          <w:rFonts w:hint="eastAsia" w:ascii="宋体"/>
          <w:color w:val="auto"/>
          <w:szCs w:val="21"/>
          <w:highlight w:val="none"/>
        </w:rPr>
        <w:t>；</w:t>
      </w:r>
    </w:p>
    <w:p w14:paraId="500FB7FB">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eastAsia="zh-CN"/>
        </w:rPr>
        <w:t>成交</w:t>
      </w:r>
      <w:r>
        <w:rPr>
          <w:rFonts w:hint="eastAsia" w:ascii="宋体"/>
          <w:color w:val="auto"/>
          <w:szCs w:val="21"/>
          <w:highlight w:val="none"/>
        </w:rPr>
        <w:t>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59345881">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14:paraId="72E8E637">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14:paraId="1087B3DD">
      <w:pPr>
        <w:shd w:val="clear" w:color="auto" w:fill="auto"/>
        <w:spacing w:line="400" w:lineRule="exact"/>
        <w:ind w:firstLine="420" w:firstLineChars="200"/>
        <w:rPr>
          <w:rFonts w:hint="eastAsia" w:ascii="宋体"/>
          <w:color w:val="auto"/>
          <w:szCs w:val="21"/>
          <w:highlight w:val="none"/>
        </w:rPr>
      </w:pPr>
      <w:bookmarkStart w:id="87"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14:paraId="2E94EA27">
      <w:pPr>
        <w:pStyle w:val="2"/>
        <w:numPr>
          <w:ilvl w:val="0"/>
          <w:numId w:val="0"/>
        </w:numPr>
        <w:shd w:val="clear" w:color="auto" w:fill="auto"/>
        <w:bidi w:val="0"/>
        <w:ind w:leftChars="0" w:firstLine="2240" w:firstLineChars="800"/>
        <w:jc w:val="both"/>
        <w:rPr>
          <w:rFonts w:hint="eastAsia"/>
          <w:color w:val="auto"/>
          <w:sz w:val="28"/>
          <w:szCs w:val="28"/>
          <w:highlight w:val="none"/>
        </w:rPr>
      </w:pPr>
      <w:bookmarkStart w:id="88" w:name="_Toc15800"/>
      <w:bookmarkStart w:id="89" w:name="_Toc859"/>
      <w:bookmarkStart w:id="90" w:name="_Toc31427"/>
    </w:p>
    <w:p w14:paraId="62517E0A">
      <w:pPr>
        <w:pStyle w:val="2"/>
        <w:numPr>
          <w:ilvl w:val="0"/>
          <w:numId w:val="0"/>
        </w:numPr>
        <w:shd w:val="clear" w:color="auto" w:fill="auto"/>
        <w:bidi w:val="0"/>
        <w:ind w:leftChars="0" w:firstLine="2240" w:firstLineChars="800"/>
        <w:jc w:val="both"/>
        <w:rPr>
          <w:rFonts w:hint="eastAsia"/>
          <w:color w:val="auto"/>
          <w:sz w:val="28"/>
          <w:szCs w:val="28"/>
          <w:highlight w:val="none"/>
        </w:rPr>
      </w:pPr>
      <w:r>
        <w:rPr>
          <w:rFonts w:hint="eastAsia"/>
          <w:color w:val="auto"/>
          <w:sz w:val="28"/>
          <w:szCs w:val="28"/>
          <w:highlight w:val="none"/>
        </w:rPr>
        <w:t>（四）</w:t>
      </w:r>
      <w:bookmarkEnd w:id="87"/>
      <w:r>
        <w:rPr>
          <w:rFonts w:hint="eastAsia"/>
          <w:color w:val="auto"/>
          <w:sz w:val="28"/>
          <w:szCs w:val="28"/>
          <w:highlight w:val="none"/>
          <w:lang w:eastAsia="zh-CN"/>
        </w:rPr>
        <w:t>响应文件</w:t>
      </w:r>
      <w:r>
        <w:rPr>
          <w:rFonts w:hint="eastAsia"/>
          <w:color w:val="auto"/>
          <w:sz w:val="28"/>
          <w:szCs w:val="28"/>
          <w:highlight w:val="none"/>
        </w:rPr>
        <w:t>的制作、上传及递交要求</w:t>
      </w:r>
      <w:bookmarkEnd w:id="88"/>
      <w:bookmarkEnd w:id="89"/>
      <w:bookmarkEnd w:id="90"/>
    </w:p>
    <w:p w14:paraId="4BCDD435">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的制作要求</w:t>
      </w:r>
    </w:p>
    <w:p w14:paraId="5CAB5D5C">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组成内容及项目</w:t>
      </w:r>
      <w:r>
        <w:rPr>
          <w:rFonts w:hint="eastAsia" w:ascii="宋体" w:hAnsi="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rPr>
        <w:t>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的将视情况处理（拒收等），由此产生的责任由供应商自行承担。</w:t>
      </w:r>
    </w:p>
    <w:p w14:paraId="52FE4035">
      <w:pPr>
        <w:pStyle w:val="6"/>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部分：供应商应根据“政采云供应商项目采购-电子招投标操作指南”及本采购文件规定的格式和顺序编制电子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并进行关联定位。本文件《第六章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格式》未提供格式的，请供应商自行拟定格式，并加盖单位公章，否则视为未提供。</w:t>
      </w:r>
    </w:p>
    <w:p w14:paraId="34BDF129">
      <w:pPr>
        <w:pStyle w:val="6"/>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：通过“政采云”平台电子投标工具制作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所产生的备份文件。</w:t>
      </w:r>
    </w:p>
    <w:p w14:paraId="46B62A1E">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中所须加盖公章部分均采用CA签章。</w:t>
      </w:r>
    </w:p>
    <w:p w14:paraId="1B1DEFAB">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视同未提供。</w:t>
      </w:r>
    </w:p>
    <w:p w14:paraId="63F91E54">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0B0B59A2">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1F26B4EB">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有针对性、简洁明了。</w:t>
      </w:r>
    </w:p>
    <w:p w14:paraId="537DDE64">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w:t>
      </w:r>
    </w:p>
    <w:p w14:paraId="003422E1">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电子加密响应文件（“.jmbs”格式）</w:t>
      </w:r>
      <w:r>
        <w:rPr>
          <w:rFonts w:hint="eastAsia" w:ascii="宋体" w:hAnsi="宋体" w:eastAsia="宋体" w:cs="宋体"/>
          <w:b/>
          <w:bCs/>
          <w:color w:val="auto"/>
          <w:sz w:val="21"/>
          <w:szCs w:val="21"/>
          <w:highlight w:val="none"/>
        </w:rPr>
        <w:t>：</w:t>
      </w:r>
    </w:p>
    <w:p w14:paraId="72B0A232">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供应商应在投标截止时间前将电子加密响应文件成功上传递交至新疆政府采购云平台，否则投标无效；</w:t>
      </w:r>
    </w:p>
    <w:p w14:paraId="75A1A693">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b.供应商成功上传电子加密响应文件后，可自行打印响应文件接收回执。</w:t>
      </w:r>
    </w:p>
    <w:p w14:paraId="205837C9">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的递交要求</w:t>
      </w:r>
    </w:p>
    <w:p w14:paraId="6CB8148A">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递交截止时间以前完成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，将被拒收。</w:t>
      </w:r>
    </w:p>
    <w:p w14:paraId="0F686E4E">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27．响应文件的补充、修改与撤回</w:t>
      </w:r>
    </w:p>
    <w:p w14:paraId="678021B7">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撤回。投标截止时间后传输递交的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，“政府采购云平台”将予以拒收。投标截止时间后，供应商不得修改（补充）或撤回其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4C381DBD">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91" w:name="_Toc469495728"/>
      <w:bookmarkStart w:id="92" w:name="_Toc6569"/>
      <w:r>
        <w:rPr>
          <w:rFonts w:hint="eastAsia" w:ascii="黑体" w:eastAsia="黑体"/>
          <w:color w:val="auto"/>
          <w:sz w:val="28"/>
          <w:szCs w:val="28"/>
          <w:highlight w:val="none"/>
        </w:rPr>
        <w:t>（五）开 标、评标和定标</w:t>
      </w:r>
      <w:bookmarkEnd w:id="91"/>
      <w:bookmarkEnd w:id="92"/>
    </w:p>
    <w:p w14:paraId="163B9A93">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开标</w:t>
      </w:r>
    </w:p>
    <w:p w14:paraId="67DF24CD">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93" w:name="_Toc73975822"/>
      <w:r>
        <w:rPr>
          <w:rFonts w:hint="eastAsia" w:ascii="宋体" w:hAnsi="宋体" w:eastAsia="宋体" w:cs="宋体"/>
          <w:b/>
          <w:bCs/>
          <w:color w:val="auto"/>
          <w:sz w:val="21"/>
          <w:szCs w:val="21"/>
          <w:highlight w:val="none"/>
          <w:lang w:val="en-US" w:eastAsia="zh-CN"/>
        </w:rPr>
        <w:t>28.1开标邀请</w:t>
      </w:r>
      <w:bookmarkEnd w:id="93"/>
    </w:p>
    <w:p w14:paraId="5AFD924D">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2C70BA56">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7694E621">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2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09ABC4A4">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无法按时解密等一切后果由供应商自行承担。</w:t>
      </w:r>
    </w:p>
    <w:p w14:paraId="7D0D2729">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94" w:name="_Toc7364"/>
      <w:bookmarkStart w:id="95"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w:t>
      </w:r>
      <w:bookmarkEnd w:id="94"/>
      <w:bookmarkEnd w:id="95"/>
    </w:p>
    <w:p w14:paraId="0345F45E">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3404DF9F">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1F396B2D">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460DD936">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3.1</w:t>
      </w:r>
      <w:r>
        <w:rPr>
          <w:rFonts w:hint="eastAsia" w:ascii="宋体" w:hAnsi="宋体" w:eastAsia="宋体" w:cs="宋体"/>
          <w:color w:val="auto"/>
          <w:kern w:val="0"/>
          <w:sz w:val="21"/>
          <w:szCs w:val="21"/>
          <w:highlight w:val="none"/>
        </w:rPr>
        <w:t>投标供应商资格审查”）， 审查结束公布投标供应商的资格符合情况。资格审查未获通过的供应商，其商务技术文件及报价文件不再进入评审。</w:t>
      </w:r>
    </w:p>
    <w:p w14:paraId="13C665EE">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065F5B11">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0B774E90">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7D4FA690">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42CEE839">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74D261FC">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525F98DD">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3A8F918D">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1B698F27">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67645D">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682FEE91">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评审工作的组织</w:t>
      </w:r>
    </w:p>
    <w:p w14:paraId="01F158B8">
      <w:pPr>
        <w:widowControl/>
        <w:shd w:val="clear" w:color="auto" w:fill="auto"/>
        <w:spacing w:line="440" w:lineRule="exact"/>
        <w:ind w:firstLine="210" w:firstLineChars="100"/>
        <w:rPr>
          <w:rFonts w:hint="eastAsia" w:ascii="宋体" w:hAnsi="Times New Roman" w:eastAsia="宋体" w:cs="Times New Roman"/>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w:t>
      </w:r>
      <w:r>
        <w:rPr>
          <w:rFonts w:hint="eastAsia" w:ascii="宋体" w:hAnsi="Times New Roman" w:eastAsia="宋体" w:cs="Times New Roman"/>
          <w:color w:val="auto"/>
          <w:szCs w:val="21"/>
          <w:highlight w:val="none"/>
        </w:rPr>
        <w:t>令）》第四十五条的相关规定履行职责。</w:t>
      </w:r>
    </w:p>
    <w:p w14:paraId="55D0FBD3">
      <w:pPr>
        <w:widowControl/>
        <w:shd w:val="clear" w:color="auto" w:fill="auto"/>
        <w:spacing w:line="440" w:lineRule="exact"/>
        <w:ind w:firstLine="210" w:firstLineChars="1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30</w:t>
      </w:r>
      <w:r>
        <w:rPr>
          <w:rFonts w:hint="eastAsia" w:ascii="宋体" w:hAnsi="Times New Roman" w:eastAsia="宋体" w:cs="Times New Roman"/>
          <w:color w:val="auto"/>
          <w:szCs w:val="21"/>
          <w:highlight w:val="none"/>
        </w:rPr>
        <w:t>. 评标委员会的组建</w:t>
      </w:r>
    </w:p>
    <w:p w14:paraId="54CD29C4">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.1评标委员会由采购人或采购代理机构依法组建，成员由采购人代表和评审专家组成，成员人数为</w:t>
      </w:r>
      <w:r>
        <w:rPr>
          <w:rFonts w:hint="eastAsia" w:ascii="宋体"/>
          <w:color w:val="auto"/>
          <w:szCs w:val="21"/>
          <w:highlight w:val="none"/>
          <w:lang w:val="en-US" w:eastAsia="zh-CN"/>
        </w:rPr>
        <w:t>3</w:t>
      </w:r>
      <w:r>
        <w:rPr>
          <w:rFonts w:hint="eastAsia" w:ascii="宋体"/>
          <w:color w:val="auto"/>
          <w:szCs w:val="21"/>
          <w:highlight w:val="none"/>
        </w:rPr>
        <w:t>人或以上单数，其中评审专家不少于成员总数的三分之二。</w:t>
      </w:r>
    </w:p>
    <w:p w14:paraId="3446BAC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4AA15DC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.评标委员会的职责</w:t>
      </w:r>
    </w:p>
    <w:p w14:paraId="6679B18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w:t>
      </w:r>
      <w:r>
        <w:rPr>
          <w:rFonts w:hint="eastAsia" w:ascii="宋体"/>
          <w:color w:val="auto"/>
          <w:szCs w:val="21"/>
          <w:highlight w:val="none"/>
          <w:lang w:eastAsia="zh-CN"/>
        </w:rPr>
        <w:t>响应文件</w:t>
      </w:r>
      <w:r>
        <w:rPr>
          <w:rFonts w:hint="eastAsia" w:ascii="宋体"/>
          <w:color w:val="auto"/>
          <w:szCs w:val="21"/>
          <w:highlight w:val="none"/>
        </w:rPr>
        <w:t>是否符合采购文件的商务、技术等实质性要求。</w:t>
      </w:r>
    </w:p>
    <w:p w14:paraId="02DE3C67">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w:t>
      </w:r>
      <w:r>
        <w:rPr>
          <w:rFonts w:hint="eastAsia" w:ascii="宋体"/>
          <w:color w:val="auto"/>
          <w:szCs w:val="21"/>
          <w:highlight w:val="none"/>
          <w:lang w:eastAsia="zh-CN"/>
        </w:rPr>
        <w:t>响应文件</w:t>
      </w:r>
      <w:r>
        <w:rPr>
          <w:rFonts w:hint="eastAsia" w:ascii="宋体"/>
          <w:color w:val="auto"/>
          <w:szCs w:val="21"/>
          <w:highlight w:val="none"/>
        </w:rPr>
        <w:t>有关事项作出澄清或者说明。</w:t>
      </w:r>
    </w:p>
    <w:p w14:paraId="610CDADF">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w:t>
      </w:r>
      <w:r>
        <w:rPr>
          <w:rFonts w:hint="eastAsia" w:ascii="宋体"/>
          <w:color w:val="auto"/>
          <w:szCs w:val="21"/>
          <w:highlight w:val="none"/>
          <w:lang w:eastAsia="zh-CN"/>
        </w:rPr>
        <w:t>响应文件</w:t>
      </w:r>
      <w:r>
        <w:rPr>
          <w:rFonts w:hint="eastAsia" w:ascii="宋体"/>
          <w:color w:val="auto"/>
          <w:szCs w:val="21"/>
          <w:highlight w:val="none"/>
        </w:rPr>
        <w:t>进行比较和评价。</w:t>
      </w:r>
    </w:p>
    <w:p w14:paraId="19DE930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5B0BA2E4">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1BFD05A5">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评标原则</w:t>
      </w:r>
    </w:p>
    <w:p w14:paraId="0AA38B0F">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w:t>
      </w:r>
      <w:r>
        <w:rPr>
          <w:rFonts w:hint="eastAsia" w:ascii="宋体"/>
          <w:color w:val="auto"/>
          <w:szCs w:val="21"/>
          <w:highlight w:val="none"/>
          <w:lang w:eastAsia="zh-CN"/>
        </w:rPr>
        <w:t>响应文件</w:t>
      </w:r>
      <w:r>
        <w:rPr>
          <w:rFonts w:hint="eastAsia" w:ascii="宋体"/>
          <w:color w:val="auto"/>
          <w:szCs w:val="21"/>
          <w:highlight w:val="none"/>
        </w:rPr>
        <w:t>进行综合评审，评标委员会按照采购文件规定的评标细则进行评分。</w:t>
      </w:r>
    </w:p>
    <w:p w14:paraId="3B5FF2E5">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21A8CCB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97DCBB7">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689A866">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3E13C05D">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评委纪律</w:t>
      </w:r>
    </w:p>
    <w:p w14:paraId="11860AB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宋体"/>
          <w:color w:val="auto"/>
          <w:szCs w:val="21"/>
          <w:highlight w:val="none"/>
          <w:lang w:val="en-US" w:eastAsia="zh-CN"/>
        </w:rPr>
        <w:t>新疆</w:t>
      </w:r>
      <w:r>
        <w:rPr>
          <w:rFonts w:hint="eastAsia" w:ascii="宋体"/>
          <w:color w:val="auto"/>
          <w:szCs w:val="21"/>
          <w:highlight w:val="none"/>
        </w:rPr>
        <w:t>政府采购活动现场组织管理办法中规定的其他禁止行为。</w:t>
      </w:r>
    </w:p>
    <w:p w14:paraId="403EBCDA">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评标程序</w:t>
      </w:r>
    </w:p>
    <w:p w14:paraId="2F41B36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381E9997">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宋体"/>
          <w:color w:val="auto"/>
          <w:szCs w:val="21"/>
          <w:highlight w:val="none"/>
          <w:lang w:eastAsia="zh-CN"/>
        </w:rPr>
        <w:t>响应文件</w:t>
      </w:r>
      <w:r>
        <w:rPr>
          <w:rFonts w:hint="eastAsia" w:ascii="宋体"/>
          <w:color w:val="auto"/>
          <w:szCs w:val="21"/>
          <w:highlight w:val="none"/>
        </w:rPr>
        <w:t>无效情形，评审方法、评审依据、评审标准等。</w:t>
      </w:r>
    </w:p>
    <w:p w14:paraId="582AE75B">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w:t>
      </w:r>
      <w:r>
        <w:rPr>
          <w:rFonts w:hint="eastAsia" w:ascii="宋体"/>
          <w:color w:val="auto"/>
          <w:szCs w:val="21"/>
          <w:highlight w:val="none"/>
          <w:lang w:eastAsia="zh-CN"/>
        </w:rPr>
        <w:t>响应文件</w:t>
      </w:r>
      <w:r>
        <w:rPr>
          <w:rFonts w:hint="eastAsia" w:ascii="宋体"/>
          <w:color w:val="auto"/>
          <w:szCs w:val="21"/>
          <w:highlight w:val="none"/>
        </w:rPr>
        <w:t>的有效性、符合性、完整性和响应程度进行审查，确定是否对采购文件作出实质性响应。</w:t>
      </w:r>
    </w:p>
    <w:p w14:paraId="1969A1CE">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w:t>
      </w:r>
      <w:r>
        <w:rPr>
          <w:rFonts w:hint="eastAsia" w:ascii="宋体"/>
          <w:color w:val="auto"/>
          <w:szCs w:val="21"/>
          <w:highlight w:val="none"/>
          <w:lang w:eastAsia="zh-CN"/>
        </w:rPr>
        <w:t>响应文件</w:t>
      </w:r>
      <w:r>
        <w:rPr>
          <w:rFonts w:hint="eastAsia" w:ascii="宋体"/>
          <w:color w:val="auto"/>
          <w:szCs w:val="21"/>
          <w:highlight w:val="none"/>
        </w:rPr>
        <w:t>进行评估、比较，并给予评价或打分，不受任何单位和个人的干预。</w:t>
      </w:r>
    </w:p>
    <w:p w14:paraId="7919B94E">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34.5</w:t>
      </w:r>
      <w:r>
        <w:rPr>
          <w:rFonts w:hint="eastAsia" w:ascii="宋体" w:hAnsi="Times New Roman" w:eastAsia="宋体" w:cs="Times New Roman"/>
          <w:color w:val="auto"/>
          <w:szCs w:val="21"/>
          <w:highlight w:val="none"/>
        </w:rPr>
        <w:t>符合性审查</w:t>
      </w:r>
      <w:r>
        <w:rPr>
          <w:rFonts w:hint="eastAsia" w:ascii="宋体" w:hAnsi="Times New Roman" w:eastAsia="宋体" w:cs="Times New Roman"/>
          <w:color w:val="auto"/>
          <w:szCs w:val="21"/>
          <w:highlight w:val="none"/>
          <w:lang w:eastAsia="zh-CN"/>
        </w:rPr>
        <w:t>。</w:t>
      </w:r>
      <w:r>
        <w:rPr>
          <w:rFonts w:hint="eastAsia" w:ascii="宋体" w:hAnsi="宋体" w:eastAsia="宋体" w:cs="宋体"/>
          <w:color w:val="auto"/>
          <w:kern w:val="0"/>
          <w:szCs w:val="21"/>
          <w:highlight w:val="none"/>
          <w:lang w:val="en-US" w:eastAsia="zh-CN"/>
        </w:rPr>
        <w:t>磋商小组应当对符合资格的磋商供应商的磋商响应文件进行符合性审查，以确定其是否满足采购文件的实质性要求。不满足采购文件的实质性要求的，投标无效。</w:t>
      </w:r>
    </w:p>
    <w:p w14:paraId="48A66EBB">
      <w:pPr>
        <w:adjustRightInd w:val="0"/>
        <w:spacing w:line="360" w:lineRule="auto"/>
        <w:ind w:firstLine="411" w:firstLineChars="196"/>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34.6</w:t>
      </w:r>
      <w:r>
        <w:rPr>
          <w:rFonts w:hint="eastAsia" w:ascii="宋体" w:hAnsi="Times New Roman" w:eastAsia="宋体" w:cs="Times New Roman"/>
          <w:color w:val="auto"/>
          <w:szCs w:val="21"/>
          <w:highlight w:val="none"/>
        </w:rPr>
        <w:t>与各磋商响应方进行磋商。</w:t>
      </w:r>
    </w:p>
    <w:p w14:paraId="0774C5DC">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0A3901D3">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2.经磋商确定采购文件的变动情况。对采购文件作出的实质性变动是采购文件的有效组成部分，磋商小组应当及时以书面形式同时通知所有参加磋商的供应商。</w:t>
      </w:r>
    </w:p>
    <w:p w14:paraId="514FD6DE">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17C23107">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4.各磋商响应方在本项目全部磋商结束后在规定时间内进行最后报价（供应商需在30分钟内线上提交最终报价）。</w:t>
      </w:r>
    </w:p>
    <w:p w14:paraId="10A67482">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34.7汇总商务技术得分。</w:t>
      </w:r>
      <w:r>
        <w:rPr>
          <w:rFonts w:hint="eastAsia" w:ascii="宋体" w:hAnsi="宋体" w:eastAsia="宋体" w:cs="宋体"/>
          <w:color w:val="auto"/>
          <w:kern w:val="0"/>
          <w:szCs w:val="21"/>
          <w:highlight w:val="none"/>
          <w:lang w:val="en-US" w:eastAsia="zh-CN"/>
        </w:rPr>
        <w:t>磋商小组各成员应当独立对每个磋商供应商的商务和技术文件进行评价，并汇总商务技术得分情况。</w:t>
      </w:r>
    </w:p>
    <w:p w14:paraId="2BF97C85">
      <w:pPr>
        <w:adjustRightInd w:val="0"/>
        <w:spacing w:line="360" w:lineRule="auto"/>
        <w:ind w:firstLine="411" w:firstLineChars="196"/>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34.8报价评审。</w:t>
      </w:r>
    </w:p>
    <w:p w14:paraId="06B00AE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磋商响应文件报价出现前后不一致的，按照下列规定修正：</w:t>
      </w:r>
    </w:p>
    <w:p w14:paraId="61A863CC">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磋商响应文件中开标一览表(报价表)内容与磋商响应文件中相应内容不一致的，以开标一览表(报价表)为准;</w:t>
      </w:r>
    </w:p>
    <w:p w14:paraId="5497070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大写金额和小写金额不一致的，以大写金额为准;</w:t>
      </w:r>
    </w:p>
    <w:p w14:paraId="5A112F29">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单价金额小数点或者百分比有明显错位的，以开标一览表的总价为准，并修改单价;</w:t>
      </w:r>
    </w:p>
    <w:p w14:paraId="6FDF7D6A">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总价金额与按单价汇总金额不一致的，以单价金额计算结果为准。</w:t>
      </w:r>
    </w:p>
    <w:p w14:paraId="59F62E03">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同时出现两种以上不一致的，按照规定的顺序修正。</w:t>
      </w:r>
    </w:p>
    <w:p w14:paraId="751A43C3">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磋商响应文件出现不是唯一的、有选择性投标报价的，投标无效。</w:t>
      </w:r>
    </w:p>
    <w:p w14:paraId="0B5E006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投标报价超过采购文件中规定的预算金额或者最高限价的，投标无效。</w:t>
      </w:r>
    </w:p>
    <w:p w14:paraId="1D91F76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34283E5A">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Times New Roman" w:eastAsia="宋体" w:cs="Times New Roman"/>
          <w:color w:val="auto"/>
          <w:szCs w:val="21"/>
          <w:highlight w:val="none"/>
          <w:lang w:val="en-US" w:eastAsia="zh-CN"/>
        </w:rPr>
        <w:t>34.9排序与推荐。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文件满足</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全部实质性要求，且按照评审因素的量化指标评审得分最高的投标人为排名第一的中标候选人。</w:t>
      </w:r>
    </w:p>
    <w:p w14:paraId="279488E7">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33FDC5">
      <w:pPr>
        <w:rPr>
          <w:rFonts w:hint="eastAsia"/>
          <w:color w:val="auto"/>
        </w:rPr>
      </w:pPr>
    </w:p>
    <w:p w14:paraId="4D4635BE">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综合评分法货物项目的价格分值占总分值的比重(即权值)为</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57E088C6">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要求且最后报价最低的供应商的价格为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基准价，其价格分为满分。其他供应商的价格分统一按照下列公式计算：</w:t>
      </w:r>
    </w:p>
    <w:p w14:paraId="511B3BFA">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770DAA8F">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3E27B77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w:t>
      </w:r>
      <w:r>
        <w:rPr>
          <w:rFonts w:hint="eastAsia" w:ascii="宋体"/>
          <w:color w:val="auto"/>
          <w:szCs w:val="21"/>
          <w:highlight w:val="none"/>
          <w:lang w:eastAsia="zh-CN"/>
        </w:rPr>
        <w:t>响应文件</w:t>
      </w:r>
      <w:r>
        <w:rPr>
          <w:rFonts w:hint="eastAsia" w:ascii="宋体"/>
          <w:color w:val="auto"/>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3E6B56E">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34.6</w:t>
      </w:r>
      <w:r>
        <w:rPr>
          <w:rFonts w:hint="eastAsia" w:ascii="宋体"/>
          <w:color w:val="auto"/>
          <w:szCs w:val="21"/>
          <w:highlight w:val="none"/>
        </w:rPr>
        <w:t xml:space="preserve"> 评标委员会根据评审汇总情况和采购文件规定确定中标候选供应商排序名单。</w:t>
      </w:r>
    </w:p>
    <w:p w14:paraId="32AD1658">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0B05EEEC">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14:paraId="04FB0BC7">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14:paraId="12AE1589">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7C196053">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5AEDF4B2">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C6ACC1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35．澄清、说明或补正的形式</w:t>
      </w:r>
    </w:p>
    <w:p w14:paraId="13DD6F5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6AB2089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471F19D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6A3B20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36．错误修正的原则</w:t>
      </w:r>
    </w:p>
    <w:p w14:paraId="78154EF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2C6F4A4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14:paraId="657479F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235351C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响应文件中的大写金额和小写金额不一致的，以大写金额为准；</w:t>
      </w:r>
    </w:p>
    <w:p w14:paraId="1EE6ED4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5FB47C3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4A4EE17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201A936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6237F8A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对不同文字文本响应文件的解释发生异议的，以中文文本为准；</w:t>
      </w:r>
    </w:p>
    <w:p w14:paraId="23CC8E96">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b/>
          <w:bCs/>
          <w:color w:val="auto"/>
          <w:szCs w:val="21"/>
          <w:highlight w:val="none"/>
          <w:lang w:val="en-US" w:eastAsia="zh-CN"/>
        </w:rPr>
        <w:t>修正应当采用电子询标的形式，并加盖公章（电子印章）。</w:t>
      </w:r>
    </w:p>
    <w:p w14:paraId="62A274E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37．无效响应文件</w:t>
      </w:r>
    </w:p>
    <w:p w14:paraId="4EBCF9C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有下列情形之一的，响应文件按无效标处理：</w:t>
      </w:r>
    </w:p>
    <w:p w14:paraId="13D7E16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1DD2416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37.2投标人提交两份或两份以上内容不同的响应文件，未声明哪一份有效的；</w:t>
      </w:r>
    </w:p>
    <w:p w14:paraId="4453960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响应文件非投标人法定代表人签署的，未提供或提供无效的法定代表人授权书；</w:t>
      </w:r>
    </w:p>
    <w:p w14:paraId="6289EC1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未按磋商文件规定装订；</w:t>
      </w:r>
    </w:p>
    <w:p w14:paraId="4BDD359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响应文件内容未按磋商文件规定签字或盖章的；</w:t>
      </w:r>
    </w:p>
    <w:p w14:paraId="1CA5654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响应文件组成漏项或未按规定的格式编制或响应文件正、副本份数不足或内容不全或内容字迹模糊辨认不清的等而导致评标活动无法正常进行；</w:t>
      </w:r>
    </w:p>
    <w:p w14:paraId="17260EB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投标人未按磋商文件变更通知更改响应文件的；</w:t>
      </w:r>
    </w:p>
    <w:p w14:paraId="75AD939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79D59B6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标项投标报价超过磋商文件规定的预算金额或最高限价</w:t>
      </w:r>
    </w:p>
    <w:p w14:paraId="085923B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08B9D62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50B809D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未实质性响应磋商文件中条款要求的响应文件；</w:t>
      </w:r>
    </w:p>
    <w:p w14:paraId="3DD1CE4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不符合磋商范围、技术规格、技术标准的要求无法满足采购人使用要求；</w:t>
      </w:r>
    </w:p>
    <w:p w14:paraId="23D3240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响应文件附有采购人不能接受的条款；</w:t>
      </w:r>
    </w:p>
    <w:p w14:paraId="0AEA09C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响应文件中提供了赠品或者与本项目采购无关的其他商品、服务；</w:t>
      </w:r>
    </w:p>
    <w:p w14:paraId="435773F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响应文件中承诺的投标有效期少于磋商文件中载明的投标有效期；</w:t>
      </w:r>
    </w:p>
    <w:p w14:paraId="0CD69FF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4F67720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1E09B9C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38．废标</w:t>
      </w:r>
    </w:p>
    <w:p w14:paraId="2C2C176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符合磋商文件规定废标情形的；</w:t>
      </w:r>
    </w:p>
    <w:p w14:paraId="5583CFD4">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402D645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44BE8B3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23D7694D">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39．突发情况处理</w:t>
      </w:r>
    </w:p>
    <w:p w14:paraId="015CE4A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4C77A8E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5407191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490FCC3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1149283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2CFC839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1E6E18F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2ED3C91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5AB2B37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78FCE6F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3B685F3A">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40</w:t>
      </w:r>
      <w:r>
        <w:rPr>
          <w:rFonts w:hint="eastAsia" w:ascii="宋体"/>
          <w:b/>
          <w:color w:val="auto"/>
          <w:szCs w:val="21"/>
          <w:highlight w:val="none"/>
        </w:rPr>
        <w:t>. 定标</w:t>
      </w:r>
    </w:p>
    <w:p w14:paraId="2007791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96" w:name="_Toc469495729"/>
      <w:r>
        <w:rPr>
          <w:rFonts w:hint="eastAsia" w:ascii="宋体"/>
          <w:b w:val="0"/>
          <w:bCs w:val="0"/>
          <w:color w:val="auto"/>
          <w:szCs w:val="21"/>
          <w:highlight w:val="none"/>
          <w:lang w:val="en-US" w:eastAsia="zh-CN"/>
        </w:rPr>
        <w:t>40.1采购结果确认（确定中标供应商）</w:t>
      </w:r>
    </w:p>
    <w:p w14:paraId="0DB5EAF0">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18E0195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751101B2">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7058BEE4">
      <w:pPr>
        <w:shd w:val="clear" w:color="auto" w:fill="auto"/>
        <w:spacing w:line="440" w:lineRule="exact"/>
        <w:ind w:firstLine="420" w:firstLineChars="2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40.2采购结果经采购人确认后2个工作日内，采购代理机构将在</w:t>
      </w:r>
      <w:r>
        <w:rPr>
          <w:rFonts w:hint="eastAsia" w:ascii="宋体"/>
          <w:b/>
          <w:bCs/>
          <w:color w:val="auto"/>
          <w:szCs w:val="21"/>
          <w:highlight w:val="none"/>
          <w:lang w:val="en-US" w:eastAsia="zh-CN"/>
        </w:rPr>
        <w:t>新疆政府采购网（</w:t>
      </w:r>
      <w:r>
        <w:rPr>
          <w:rFonts w:hint="eastAsia" w:ascii="宋体"/>
          <w:b/>
          <w:bCs/>
          <w:color w:val="auto"/>
          <w:szCs w:val="21"/>
          <w:highlight w:val="none"/>
          <w:lang w:val="en-US" w:eastAsia="zh-CN"/>
        </w:rPr>
        <w:fldChar w:fldCharType="begin"/>
      </w:r>
      <w:r>
        <w:rPr>
          <w:rFonts w:hint="eastAsia" w:ascii="宋体"/>
          <w:b/>
          <w:bCs/>
          <w:color w:val="auto"/>
          <w:szCs w:val="21"/>
          <w:highlight w:val="none"/>
          <w:lang w:val="en-US" w:eastAsia="zh-CN"/>
        </w:rPr>
        <w:instrText xml:space="preserve">HYPERLINK "http://www.zcygov.cn"</w:instrText>
      </w:r>
      <w:r>
        <w:rPr>
          <w:rFonts w:hint="eastAsia" w:ascii="宋体"/>
          <w:b/>
          <w:bCs/>
          <w:color w:val="auto"/>
          <w:szCs w:val="21"/>
          <w:highlight w:val="none"/>
          <w:lang w:val="en-US" w:eastAsia="zh-CN"/>
        </w:rPr>
        <w:fldChar w:fldCharType="separate"/>
      </w:r>
      <w:r>
        <w:rPr>
          <w:rFonts w:hint="eastAsia" w:ascii="宋体"/>
          <w:b/>
          <w:bCs/>
          <w:color w:val="auto"/>
          <w:szCs w:val="21"/>
          <w:highlight w:val="none"/>
          <w:lang w:val="en-US" w:eastAsia="zh-CN"/>
        </w:rPr>
        <w:t>www.zcygov.cn</w:t>
      </w:r>
      <w:r>
        <w:rPr>
          <w:rFonts w:hint="eastAsia" w:ascii="宋体"/>
          <w:b/>
          <w:bCs/>
          <w:color w:val="auto"/>
          <w:szCs w:val="21"/>
          <w:highlight w:val="none"/>
          <w:lang w:val="en-US" w:eastAsia="zh-CN"/>
        </w:rPr>
        <w:fldChar w:fldCharType="end"/>
      </w:r>
      <w:r>
        <w:rPr>
          <w:rFonts w:hint="eastAsia" w:ascii="宋体"/>
          <w:b/>
          <w:bCs/>
          <w:color w:val="auto"/>
          <w:szCs w:val="21"/>
          <w:highlight w:val="none"/>
          <w:lang w:val="en-US" w:eastAsia="zh-CN"/>
        </w:rPr>
        <w:t>）上公告采购结果，中标公告期限为1个工作日。</w:t>
      </w:r>
    </w:p>
    <w:p w14:paraId="5EC0395C">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成交通知书</w:t>
      </w:r>
    </w:p>
    <w:p w14:paraId="5597BA38">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14:paraId="07A4526F">
      <w:pPr>
        <w:shd w:val="clear" w:color="auto" w:fill="auto"/>
        <w:spacing w:line="440" w:lineRule="exact"/>
        <w:ind w:firstLine="420" w:firstLineChars="200"/>
        <w:jc w:val="left"/>
        <w:rPr>
          <w:rFonts w:hint="eastAsia" w:ascii="黑体" w:eastAsia="黑体"/>
          <w:color w:val="auto"/>
          <w:sz w:val="28"/>
          <w:szCs w:val="28"/>
          <w:highlight w:val="none"/>
        </w:rPr>
      </w:pPr>
      <w:r>
        <w:rPr>
          <w:rFonts w:hint="eastAsia" w:ascii="宋体"/>
          <w:b w:val="0"/>
          <w:bCs w:val="0"/>
          <w:color w:val="auto"/>
          <w:szCs w:val="21"/>
          <w:highlight w:val="none"/>
          <w:lang w:val="en-US" w:eastAsia="zh-CN"/>
        </w:rPr>
        <w:t>41.2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bookmarkStart w:id="97" w:name="_Toc21524"/>
    </w:p>
    <w:p w14:paraId="595D7631">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96"/>
      <w:bookmarkEnd w:id="97"/>
    </w:p>
    <w:p w14:paraId="73613EFC">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98" w:name="_Toc73975842"/>
      <w:bookmarkStart w:id="99" w:name="_Toc469495730"/>
      <w:r>
        <w:rPr>
          <w:rFonts w:hint="eastAsia" w:ascii="宋体"/>
          <w:b w:val="0"/>
          <w:bCs w:val="0"/>
          <w:color w:val="auto"/>
          <w:szCs w:val="21"/>
          <w:highlight w:val="none"/>
          <w:lang w:val="en-US" w:eastAsia="zh-CN"/>
        </w:rPr>
        <w:t>42．履约保证金</w:t>
      </w:r>
      <w:bookmarkEnd w:id="98"/>
    </w:p>
    <w:p w14:paraId="70B82DA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中标供应商在签订合同后5个工作日内向采购人交纳不超过中标价3%的履约保证金（鼓励以银行、保险公司出具的履约保函形式提交；若以电汇、银行转账方式提交的，必须转到采购人的指定账户）。</w:t>
      </w:r>
    </w:p>
    <w:p w14:paraId="26FF407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5A39557F">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如果中标供应商在建设期内没有涉及采购人的应付而未付金额或违约行为，采购人在项目验收合格后或提前终止合同后全额无息退还履约保证金。</w:t>
      </w:r>
    </w:p>
    <w:p w14:paraId="34710D5E">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100" w:name="_Toc73975843"/>
      <w:r>
        <w:rPr>
          <w:rFonts w:hint="eastAsia" w:ascii="宋体"/>
          <w:b w:val="0"/>
          <w:bCs w:val="0"/>
          <w:color w:val="auto"/>
          <w:szCs w:val="21"/>
          <w:highlight w:val="none"/>
          <w:lang w:val="en-US" w:eastAsia="zh-CN"/>
        </w:rPr>
        <w:t>43．签订合同及公告</w:t>
      </w:r>
      <w:bookmarkEnd w:id="100"/>
    </w:p>
    <w:p w14:paraId="7539809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6189A17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04613C05">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采购文件、中标供应商的响应文件及评标过程中有关澄清文件等均作为签订合同的依据。所签订的合同不得对采购文件和中标供应商的响应文件的内容作实质性修改。</w:t>
      </w:r>
    </w:p>
    <w:p w14:paraId="430414D7">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101" w:name="_Toc29743"/>
      <w:r>
        <w:rPr>
          <w:rFonts w:hint="eastAsia" w:ascii="黑体" w:eastAsia="黑体"/>
          <w:color w:val="auto"/>
          <w:sz w:val="28"/>
          <w:szCs w:val="28"/>
          <w:highlight w:val="none"/>
        </w:rPr>
        <w:t>（七）纪律和监督</w:t>
      </w:r>
      <w:bookmarkEnd w:id="99"/>
      <w:bookmarkEnd w:id="101"/>
    </w:p>
    <w:p w14:paraId="188CCB28">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21D58774">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.1招标人不得泄漏</w:t>
      </w:r>
      <w:r>
        <w:rPr>
          <w:rFonts w:hint="eastAsia" w:ascii="宋体"/>
          <w:color w:val="auto"/>
          <w:kern w:val="10"/>
          <w:szCs w:val="21"/>
          <w:highlight w:val="none"/>
          <w:lang w:val="en-US" w:eastAsia="zh-CN"/>
        </w:rPr>
        <w:t>磋商</w:t>
      </w:r>
      <w:r>
        <w:rPr>
          <w:rFonts w:hint="eastAsia" w:ascii="宋体"/>
          <w:color w:val="auto"/>
          <w:kern w:val="10"/>
          <w:szCs w:val="21"/>
          <w:highlight w:val="none"/>
        </w:rPr>
        <w:t xml:space="preserve">投标活动中应当保密的情况和资料，不得与投标人串通损害国家利益，社会公共利益或者他人合法权益。 </w:t>
      </w:r>
    </w:p>
    <w:p w14:paraId="797CC477">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63FA70E6">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22CE6C18">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62F91691">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w:t>
      </w:r>
    </w:p>
    <w:p w14:paraId="7C676AE7">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0AB78260">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08241D57">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的评审和比较、中标候选人的推荐情况以及评标有关的其他情况。在评标活动中，与评标活动有关的工作人员不得擅离职守，影响评标程序正常进行。</w:t>
      </w:r>
    </w:p>
    <w:p w14:paraId="7D75C34C">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0512881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48．质疑和投诉</w:t>
      </w:r>
    </w:p>
    <w:p w14:paraId="4F07117A">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48.1.供应商认为采购文件、采购过程和中标、成交结果使自己的权益受到损害的，可以在知道或者应知其</w:t>
      </w:r>
      <w:r>
        <w:rPr>
          <w:rFonts w:hint="eastAsia" w:ascii="宋体" w:hAnsi="Times New Roman" w:eastAsia="宋体" w:cs="Times New Roman"/>
          <w:b w:val="0"/>
          <w:bCs w:val="0"/>
          <w:color w:val="auto"/>
          <w:szCs w:val="21"/>
          <w:highlight w:val="none"/>
          <w:lang w:val="en-US" w:eastAsia="zh-CN"/>
        </w:rPr>
        <w:t>权益受到损害之日起七个工作日内，以书面形式向</w:t>
      </w:r>
      <w:r>
        <w:rPr>
          <w:rFonts w:hint="eastAsia" w:ascii="宋体"/>
          <w:b w:val="0"/>
          <w:bCs w:val="0"/>
          <w:color w:val="auto"/>
          <w:szCs w:val="21"/>
          <w:highlight w:val="none"/>
          <w:lang w:val="en-US" w:eastAsia="zh-CN"/>
        </w:rPr>
        <w:t>采购人提出质疑（质疑材料递交地址：伊宁市开发区金茂新天地A座514室，电话：18196969533）。供应商应当在法定质疑期内一次性提出针对同一采购程序环节的质疑。供应商应知其权益受到损害之日，是指：</w:t>
      </w:r>
    </w:p>
    <w:p w14:paraId="6DD41D8E">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5118D1B">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22E0DDB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14:paraId="4BD5B969">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55E3787">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725157F8">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39AD5A03">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48.5供应商有下列情形之一的，将其列入不良行为记录名单：</w:t>
      </w:r>
    </w:p>
    <w:p w14:paraId="40CF3F31">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49B152A6">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2DFFEFAC">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5CC76760">
      <w:pPr>
        <w:shd w:val="clear" w:color="auto" w:fill="auto"/>
        <w:jc w:val="left"/>
        <w:rPr>
          <w:rFonts w:hint="eastAsia" w:ascii="宋体" w:hAnsi="宋体" w:eastAsia="宋体" w:cs="宋体"/>
          <w:b/>
          <w:bCs/>
          <w:color w:val="auto"/>
          <w:sz w:val="21"/>
          <w:szCs w:val="21"/>
          <w:highlight w:val="none"/>
          <w:lang w:eastAsia="zh-CN"/>
        </w:rPr>
      </w:pPr>
    </w:p>
    <w:p w14:paraId="4B145FC8">
      <w:pPr>
        <w:shd w:val="clear" w:color="auto" w:fill="auto"/>
        <w:jc w:val="left"/>
        <w:rPr>
          <w:rFonts w:hint="eastAsia" w:ascii="宋体" w:hAnsi="宋体" w:eastAsia="宋体" w:cs="宋体"/>
          <w:b/>
          <w:bCs/>
          <w:color w:val="auto"/>
          <w:sz w:val="21"/>
          <w:szCs w:val="21"/>
          <w:highlight w:val="none"/>
          <w:lang w:eastAsia="zh-CN"/>
        </w:rPr>
      </w:pPr>
    </w:p>
    <w:bookmarkEnd w:id="83"/>
    <w:bookmarkEnd w:id="84"/>
    <w:p w14:paraId="7290E852">
      <w:pPr>
        <w:shd w:val="clear" w:color="auto" w:fill="auto"/>
        <w:jc w:val="left"/>
        <w:rPr>
          <w:rFonts w:hint="eastAsia" w:ascii="宋体" w:hAnsi="宋体" w:eastAsia="宋体" w:cs="宋体"/>
          <w:b/>
          <w:bCs/>
          <w:color w:val="auto"/>
          <w:sz w:val="21"/>
          <w:szCs w:val="21"/>
          <w:highlight w:val="none"/>
          <w:lang w:eastAsia="zh-CN"/>
        </w:rPr>
      </w:pPr>
    </w:p>
    <w:p w14:paraId="3B7FD30B">
      <w:pPr>
        <w:shd w:val="clear" w:color="auto" w:fill="auto"/>
        <w:jc w:val="left"/>
        <w:rPr>
          <w:rFonts w:hint="eastAsia" w:ascii="宋体" w:hAnsi="宋体" w:eastAsia="宋体" w:cs="宋体"/>
          <w:b/>
          <w:bCs/>
          <w:color w:val="auto"/>
          <w:sz w:val="21"/>
          <w:szCs w:val="21"/>
          <w:highlight w:val="none"/>
          <w:lang w:eastAsia="zh-CN"/>
        </w:rPr>
      </w:pPr>
    </w:p>
    <w:p w14:paraId="497D13AE">
      <w:pPr>
        <w:shd w:val="clear" w:color="auto" w:fill="auto"/>
        <w:jc w:val="left"/>
        <w:rPr>
          <w:rFonts w:hint="eastAsia" w:ascii="宋体" w:hAnsi="宋体" w:eastAsia="宋体" w:cs="宋体"/>
          <w:b/>
          <w:bCs/>
          <w:color w:val="auto"/>
          <w:sz w:val="21"/>
          <w:szCs w:val="21"/>
          <w:highlight w:val="none"/>
          <w:lang w:eastAsia="zh-CN"/>
        </w:rPr>
      </w:pPr>
    </w:p>
    <w:p w14:paraId="65C76350">
      <w:pPr>
        <w:pStyle w:val="28"/>
        <w:ind w:left="0" w:leftChars="0" w:firstLine="0" w:firstLineChars="0"/>
        <w:rPr>
          <w:rFonts w:hint="eastAsia" w:ascii="宋体" w:hAnsi="宋体" w:eastAsia="宋体" w:cs="宋体"/>
          <w:b/>
          <w:bCs/>
          <w:color w:val="auto"/>
          <w:sz w:val="21"/>
          <w:szCs w:val="21"/>
          <w:highlight w:val="none"/>
          <w:lang w:eastAsia="zh-CN"/>
        </w:rPr>
      </w:pPr>
    </w:p>
    <w:p w14:paraId="4E7C742A">
      <w:pPr>
        <w:pStyle w:val="28"/>
        <w:rPr>
          <w:rFonts w:hint="eastAsia" w:ascii="宋体" w:hAnsi="宋体" w:eastAsia="宋体" w:cs="宋体"/>
          <w:b/>
          <w:bCs/>
          <w:color w:val="auto"/>
          <w:sz w:val="21"/>
          <w:szCs w:val="21"/>
          <w:highlight w:val="none"/>
          <w:lang w:eastAsia="zh-CN"/>
        </w:rPr>
      </w:pPr>
    </w:p>
    <w:p w14:paraId="5887D128">
      <w:pPr>
        <w:shd w:val="clear" w:color="auto" w:fill="auto"/>
        <w:jc w:val="left"/>
        <w:rPr>
          <w:rFonts w:hint="eastAsia" w:ascii="宋体" w:hAnsi="宋体" w:eastAsia="宋体" w:cs="宋体"/>
          <w:b/>
          <w:bCs/>
          <w:color w:val="auto"/>
          <w:sz w:val="21"/>
          <w:szCs w:val="21"/>
          <w:highlight w:val="none"/>
          <w:lang w:eastAsia="zh-CN"/>
        </w:rPr>
      </w:pPr>
    </w:p>
    <w:p w14:paraId="5237778D">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3F67E903">
      <w:pPr>
        <w:shd w:val="clear" w:color="auto" w:fill="auto"/>
        <w:jc w:val="center"/>
        <w:rPr>
          <w:rFonts w:hint="eastAsia" w:ascii="宋体" w:hAnsi="宋体" w:eastAsia="宋体" w:cs="宋体"/>
          <w:b/>
          <w:bCs/>
          <w:color w:val="auto"/>
          <w:sz w:val="32"/>
          <w:szCs w:val="32"/>
          <w:highlight w:val="none"/>
          <w:lang w:eastAsia="zh-CN"/>
        </w:rPr>
      </w:pPr>
    </w:p>
    <w:p w14:paraId="6DA73837">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403ED6AC">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14:paraId="1FDF92E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33C07F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235229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3E4993B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164A53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608FDE7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FF2701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2E324DE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14:paraId="7E194EF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14:paraId="5EFDAC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14:paraId="68E4CC5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14:paraId="54BBC13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59A982A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14:paraId="60C1E72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14:paraId="60151F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14:paraId="567310C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14:paraId="274CA80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14:paraId="126EA2B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14:paraId="1B2B4E4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14:paraId="602C81F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14:paraId="56CFF13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A27FBE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6CEA2C8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14:paraId="79648D09">
      <w:pPr>
        <w:pStyle w:val="21"/>
        <w:rPr>
          <w:color w:val="auto"/>
        </w:rPr>
      </w:pPr>
    </w:p>
    <w:p w14:paraId="67FE4192">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25778"/>
      <w:bookmarkStart w:id="103" w:name="_Toc32302"/>
      <w:bookmarkStart w:id="104" w:name="_Toc7619"/>
      <w:r>
        <w:rPr>
          <w:rFonts w:hint="eastAsia" w:ascii="黑体" w:eastAsia="黑体"/>
          <w:color w:val="auto"/>
          <w:sz w:val="30"/>
          <w:szCs w:val="30"/>
          <w:highlight w:val="none"/>
        </w:rPr>
        <w:t>第三</w:t>
      </w:r>
      <w:r>
        <w:rPr>
          <w:rFonts w:hint="eastAsia" w:ascii="黑体" w:eastAsia="黑体"/>
          <w:color w:val="auto"/>
          <w:sz w:val="30"/>
          <w:szCs w:val="30"/>
          <w:highlight w:val="none"/>
          <w:lang w:val="en-US" w:eastAsia="zh-CN"/>
        </w:rPr>
        <w:t>部分</w:t>
      </w:r>
      <w:r>
        <w:rPr>
          <w:rFonts w:hint="eastAsia" w:ascii="黑体" w:eastAsia="黑体"/>
          <w:color w:val="auto"/>
          <w:sz w:val="30"/>
          <w:szCs w:val="30"/>
          <w:highlight w:val="none"/>
        </w:rPr>
        <w:t xml:space="preserve">  评标办法</w:t>
      </w:r>
      <w:bookmarkEnd w:id="102"/>
      <w:bookmarkEnd w:id="103"/>
      <w:bookmarkEnd w:id="104"/>
    </w:p>
    <w:p w14:paraId="21A10CD2">
      <w:pPr>
        <w:shd w:val="clear" w:color="auto" w:fill="auto"/>
        <w:jc w:val="center"/>
        <w:outlineLvl w:val="1"/>
        <w:rPr>
          <w:rFonts w:hint="eastAsia" w:ascii="宋体" w:hAnsi="Times New Roman" w:eastAsia="宋体" w:cs="Times New Roman"/>
          <w:b/>
          <w:color w:val="auto"/>
          <w:sz w:val="28"/>
          <w:szCs w:val="28"/>
          <w:highlight w:val="none"/>
        </w:rPr>
      </w:pPr>
      <w:bookmarkStart w:id="105" w:name="_Toc22646"/>
      <w:bookmarkStart w:id="106" w:name="_Toc15723"/>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5"/>
      <w:bookmarkEnd w:id="106"/>
    </w:p>
    <w:p w14:paraId="70065E0D">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14:paraId="347DC669">
      <w:pPr>
        <w:spacing w:line="440" w:lineRule="exact"/>
        <w:ind w:firstLine="535" w:firstLineChars="255"/>
        <w:rPr>
          <w:rFonts w:hint="eastAsia" w:ascii="宋体" w:hAnsi="宋体" w:cs="宋体"/>
          <w:szCs w:val="21"/>
        </w:rPr>
      </w:pPr>
      <w:r>
        <w:rPr>
          <w:rFonts w:hint="eastAsia" w:ascii="宋体" w:hAnsi="宋体" w:cs="宋体"/>
          <w:szCs w:val="21"/>
        </w:rPr>
        <w:t>1.1本项目的</w:t>
      </w:r>
      <w:r>
        <w:rPr>
          <w:rFonts w:hint="eastAsia" w:ascii="宋体" w:hAnsi="宋体" w:cs="宋体"/>
          <w:szCs w:val="21"/>
          <w:lang w:val="en-US" w:eastAsia="zh-CN"/>
        </w:rPr>
        <w:t>磋商</w:t>
      </w:r>
      <w:r>
        <w:rPr>
          <w:rFonts w:hint="eastAsia" w:ascii="宋体" w:hAnsi="宋体" w:cs="宋体"/>
          <w:szCs w:val="21"/>
        </w:rPr>
        <w:t>按照《中华人民共和国政府采购法》、《政府采购服务和服务招标磋商管理办法》、《政府采购竞争性磋商采购方式管理暂行办法》及政府采购的有关规定进行。</w:t>
      </w:r>
    </w:p>
    <w:p w14:paraId="14D940F0">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14:paraId="6ECF6986">
      <w:pPr>
        <w:spacing w:line="440" w:lineRule="exact"/>
        <w:ind w:firstLine="535" w:firstLineChars="255"/>
        <w:rPr>
          <w:rFonts w:hint="eastAsia" w:ascii="宋体" w:hAnsi="宋体" w:cs="宋体"/>
          <w:szCs w:val="21"/>
        </w:rPr>
      </w:pPr>
      <w:r>
        <w:rPr>
          <w:rFonts w:hint="eastAsia" w:ascii="宋体" w:hAnsi="宋体" w:cs="宋体"/>
          <w:szCs w:val="21"/>
        </w:rPr>
        <w:t>1.3招标代理机构组织</w:t>
      </w:r>
      <w:r>
        <w:rPr>
          <w:rFonts w:hint="eastAsia" w:ascii="宋体" w:hAnsi="宋体" w:cs="宋体"/>
          <w:szCs w:val="21"/>
          <w:lang w:val="en-US" w:eastAsia="zh-CN"/>
        </w:rPr>
        <w:t>磋商</w:t>
      </w:r>
      <w:r>
        <w:rPr>
          <w:rFonts w:hint="eastAsia" w:ascii="宋体" w:hAnsi="宋体" w:cs="宋体"/>
          <w:szCs w:val="21"/>
        </w:rPr>
        <w:t>、开标、评标工作，全过程接受政府采购有关部门的监督、管理和指导。</w:t>
      </w:r>
    </w:p>
    <w:p w14:paraId="09ACD3A7">
      <w:pPr>
        <w:spacing w:line="440" w:lineRule="exact"/>
        <w:ind w:firstLine="535" w:firstLineChars="255"/>
        <w:rPr>
          <w:rFonts w:hint="eastAsia" w:ascii="宋体" w:hAnsi="宋体" w:cs="宋体"/>
          <w:szCs w:val="21"/>
        </w:rPr>
      </w:pPr>
      <w:r>
        <w:rPr>
          <w:rFonts w:hint="eastAsia" w:ascii="宋体" w:hAnsi="宋体" w:cs="宋体"/>
          <w:szCs w:val="21"/>
        </w:rPr>
        <w:t>1.4评标按照磋商文件规定的内容进行，采取综合比较和分项打分相结合的评标方法（综合评分法），避免纯技术或纯经济的倾向。</w:t>
      </w:r>
    </w:p>
    <w:p w14:paraId="12A100F5">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1.5本办法的评标对象是指供应商按照磋商文件要求提供的有效响应文件，包括供应商应磋商小组要求对原响应文件作出的正式书面澄清文件。</w:t>
      </w:r>
    </w:p>
    <w:p w14:paraId="14EFB6F4">
      <w:pPr>
        <w:tabs>
          <w:tab w:val="left" w:pos="567"/>
          <w:tab w:val="left" w:pos="1145"/>
        </w:tabs>
        <w:spacing w:line="440" w:lineRule="exact"/>
        <w:ind w:firstLine="535" w:firstLineChars="255"/>
        <w:rPr>
          <w:rFonts w:hint="eastAsia" w:ascii="宋体" w:hAnsi="宋体" w:eastAsia="宋体" w:cs="宋体"/>
          <w:szCs w:val="21"/>
        </w:rPr>
      </w:pPr>
      <w:r>
        <w:rPr>
          <w:rFonts w:hint="eastAsia" w:ascii="宋体" w:hAnsi="宋体" w:cs="宋体"/>
          <w:szCs w:val="21"/>
        </w:rPr>
        <w:t>2、磋商组织机构的组成</w:t>
      </w:r>
    </w:p>
    <w:p w14:paraId="3758A639">
      <w:pPr>
        <w:tabs>
          <w:tab w:val="left" w:pos="567"/>
          <w:tab w:val="left" w:pos="1145"/>
        </w:tabs>
        <w:spacing w:line="440" w:lineRule="exact"/>
        <w:ind w:firstLine="535" w:firstLineChars="255"/>
        <w:rPr>
          <w:rFonts w:hint="eastAsia" w:ascii="宋体" w:hAnsi="宋体" w:cs="宋体"/>
          <w:szCs w:val="21"/>
        </w:rPr>
      </w:pPr>
      <w:r>
        <w:rPr>
          <w:rFonts w:hint="eastAsia" w:ascii="宋体" w:hAnsi="宋体" w:eastAsia="宋体" w:cs="宋体"/>
          <w:szCs w:val="21"/>
        </w:rPr>
        <w:t>2.1磋商小组成员由招标人的代表和随机抽取的有关方面的专家</w:t>
      </w:r>
      <w:r>
        <w:rPr>
          <w:rFonts w:hint="eastAsia" w:ascii="宋体" w:hAnsi="宋体" w:eastAsia="宋体" w:cs="宋体"/>
          <w:szCs w:val="21"/>
          <w:lang w:val="en-US" w:eastAsia="zh-CN"/>
        </w:rPr>
        <w:t>3</w:t>
      </w:r>
      <w:r>
        <w:rPr>
          <w:rFonts w:hint="eastAsia" w:ascii="宋体" w:hAnsi="宋体" w:eastAsia="宋体" w:cs="宋体"/>
          <w:szCs w:val="21"/>
        </w:rPr>
        <w:t>名组成</w:t>
      </w:r>
      <w:r>
        <w:rPr>
          <w:rFonts w:hint="eastAsia" w:ascii="宋体" w:hAnsi="宋体" w:cs="宋体"/>
          <w:szCs w:val="21"/>
        </w:rPr>
        <w:t>，磋商小组的成员在评标过程中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14:paraId="065C36FB">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2.2评标工作组由招标人及有关专家组成，由磋商小组确认，并接受其领导。</w:t>
      </w:r>
    </w:p>
    <w:p w14:paraId="1498D93D">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2.3磋商小组应相对独立工作，负责评标、撰写技术、商务评标报告。采购代理机构负责评标过程中资料的保管、发放、回收，整理、汇总评标资料。</w:t>
      </w:r>
    </w:p>
    <w:p w14:paraId="353F5EEE">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3、磋商小组职责</w:t>
      </w:r>
    </w:p>
    <w:p w14:paraId="32FDC8DE">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3.1审查磋商文件是否符合磋商文件要求，并作出评价；</w:t>
      </w:r>
    </w:p>
    <w:p w14:paraId="664638E6">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3.2要求供应商对磋商文件有关事项作出解释或者澄清；</w:t>
      </w:r>
    </w:p>
    <w:p w14:paraId="36512544">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3.3推荐成交候选人名单；</w:t>
      </w:r>
    </w:p>
    <w:p w14:paraId="327E4AD8">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14:paraId="57C758BA">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4、磋商小组义务</w:t>
      </w:r>
    </w:p>
    <w:p w14:paraId="1A3E1085">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14:paraId="5E6355C8">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4.2按照磋商文件规定的评标方法和评标标准进行评标，对评审意见承担个人责任；</w:t>
      </w:r>
    </w:p>
    <w:p w14:paraId="4CD0FC0A">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4.3对评标过程和结果，以及供应商的商业秘密保密；</w:t>
      </w:r>
    </w:p>
    <w:p w14:paraId="5F74DB79">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14:paraId="6762BDF4">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14:paraId="10CE8597">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4.6配合招标人、招标代理机构答复磋商供应商提出的质疑。</w:t>
      </w:r>
    </w:p>
    <w:p w14:paraId="4547B8C0">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14:paraId="00755BED">
      <w:pPr>
        <w:pStyle w:val="18"/>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5.1本次评标首先由磋商小组对供应商的响应文件进行初审，对未能通过初审的响应文件作废标处理；</w:t>
      </w:r>
    </w:p>
    <w:p w14:paraId="7BD9BF7F">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5.2对通过初审的供应商的响应文件进行详细的比较和评价。如需要，进行必要的澄清工作；</w:t>
      </w:r>
    </w:p>
    <w:p w14:paraId="770BD44E">
      <w:pPr>
        <w:spacing w:line="360" w:lineRule="auto"/>
        <w:rPr>
          <w:rFonts w:hint="eastAsia" w:ascii="宋体"/>
          <w:color w:val="000000"/>
          <w:szCs w:val="21"/>
        </w:rPr>
      </w:pPr>
      <w:r>
        <w:rPr>
          <w:rFonts w:hint="eastAsia" w:ascii="宋体" w:hAnsi="宋体" w:cs="宋体"/>
          <w:szCs w:val="21"/>
        </w:rPr>
        <w:t xml:space="preserve">     5.3</w:t>
      </w:r>
      <w:r>
        <w:rPr>
          <w:rFonts w:hint="eastAsia" w:ascii="宋体"/>
          <w:color w:val="000000"/>
          <w:szCs w:val="21"/>
        </w:rPr>
        <w:t>评标报告与推荐成交候选人</w:t>
      </w:r>
    </w:p>
    <w:p w14:paraId="1D1A8B02">
      <w:pPr>
        <w:widowControl/>
        <w:spacing w:line="440" w:lineRule="exact"/>
        <w:ind w:firstLine="480"/>
        <w:rPr>
          <w:rFonts w:hint="eastAsia" w:ascii="宋体" w:hAnsi="宋体" w:cs="宋体"/>
          <w:kern w:val="0"/>
          <w:szCs w:val="21"/>
        </w:rPr>
      </w:pPr>
      <w:r>
        <w:rPr>
          <w:rFonts w:hint="eastAsia" w:ascii="宋体" w:hAnsi="宋体" w:cs="宋体"/>
          <w:szCs w:val="21"/>
        </w:rPr>
        <w:t>5.3</w:t>
      </w:r>
      <w:r>
        <w:rPr>
          <w:rFonts w:hint="eastAsia" w:ascii="宋体" w:hAnsi="宋体" w:cs="宋体"/>
          <w:kern w:val="0"/>
          <w:szCs w:val="21"/>
        </w:rPr>
        <w:t>磋商小组各成员应当独立对每个有效响应的文件进行评价、打分，然后汇总每个供应商每项评分因素的得分。</w:t>
      </w:r>
    </w:p>
    <w:p w14:paraId="4BB69F9C">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综合评分法服务项目的价格分值占总分值</w:t>
      </w:r>
      <w:r>
        <w:rPr>
          <w:rFonts w:hint="eastAsia" w:ascii="宋体" w:hAnsi="宋体" w:cs="宋体"/>
          <w:color w:val="auto"/>
          <w:kern w:val="0"/>
          <w:szCs w:val="21"/>
          <w:highlight w:val="none"/>
        </w:rPr>
        <w:t>的比重(即权值)为</w:t>
      </w:r>
      <w:r>
        <w:rPr>
          <w:rFonts w:hint="eastAsia" w:ascii="宋体" w:hAnsi="宋体" w:cs="宋体"/>
          <w:color w:val="auto"/>
          <w:kern w:val="0"/>
          <w:szCs w:val="21"/>
          <w:highlight w:val="none"/>
          <w:lang w:val="en-US" w:eastAsia="zh-CN"/>
        </w:rPr>
        <w:t>30％</w:t>
      </w:r>
      <w:r>
        <w:rPr>
          <w:rFonts w:hint="eastAsia" w:ascii="宋体" w:hAnsi="宋体" w:cs="宋体"/>
          <w:color w:val="0000FF"/>
          <w:kern w:val="0"/>
          <w:szCs w:val="21"/>
        </w:rPr>
        <w:t>，</w:t>
      </w:r>
      <w:r>
        <w:rPr>
          <w:rFonts w:hint="eastAsia" w:ascii="宋体" w:hAnsi="宋体" w:cs="宋体"/>
          <w:kern w:val="0"/>
          <w:szCs w:val="21"/>
        </w:rPr>
        <w:t>采购项目中含不同采购对象的，以占项目资金比例最高的采购对象确定其项目属性。其价格不列为评分因素，有特殊情况需要在上述规定范围外设定价格分权重的。</w:t>
      </w:r>
    </w:p>
    <w:p w14:paraId="7B87F1CB">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综合评分法中的价格分统一采用低价优先法计算，即满足磋商文件要求且最后报价最低的供应商的价格为磋商基准价，其价格分为满分。其他供应商的价格分统一按照下列公式计算：</w:t>
      </w:r>
    </w:p>
    <w:p w14:paraId="4FF5D287">
      <w:pPr>
        <w:widowControl/>
        <w:spacing w:line="440" w:lineRule="exact"/>
        <w:ind w:firstLine="480"/>
        <w:rPr>
          <w:rFonts w:hint="eastAsia" w:ascii="宋体" w:hAnsi="宋体" w:cs="宋体"/>
          <w:kern w:val="0"/>
          <w:szCs w:val="21"/>
        </w:rPr>
      </w:pPr>
      <w:r>
        <w:rPr>
          <w:rFonts w:hint="eastAsia" w:ascii="宋体" w:hAnsi="宋体" w:cs="宋体"/>
          <w:kern w:val="0"/>
          <w:szCs w:val="21"/>
        </w:rPr>
        <w:t>　磋商报价得分=（磋商基准价/最后磋商报价）×价格权值×100</w:t>
      </w:r>
    </w:p>
    <w:p w14:paraId="247111EF">
      <w:pPr>
        <w:widowControl/>
        <w:spacing w:line="360" w:lineRule="auto"/>
        <w:ind w:firstLine="480"/>
        <w:rPr>
          <w:rFonts w:hint="eastAsia" w:ascii="宋体" w:hAnsi="宋体" w:cs="宋体"/>
          <w:kern w:val="0"/>
          <w:szCs w:val="21"/>
        </w:rPr>
      </w:pPr>
      <w:r>
        <w:rPr>
          <w:rFonts w:hint="eastAsia" w:ascii="宋体" w:hAnsi="宋体" w:cs="宋体"/>
          <w:kern w:val="0"/>
          <w:szCs w:val="21"/>
        </w:rPr>
        <w:t>　项目评审过程中，不得去掉最后报价中的最高报价和最低报价。</w:t>
      </w:r>
    </w:p>
    <w:p w14:paraId="17AD6810">
      <w:pPr>
        <w:shd w:val="clear" w:color="auto" w:fill="auto"/>
        <w:spacing w:line="360" w:lineRule="auto"/>
        <w:jc w:val="left"/>
        <w:outlineLvl w:val="9"/>
        <w:rPr>
          <w:rFonts w:hint="eastAsia" w:ascii="宋体" w:hAnsi="宋体" w:eastAsia="宋体" w:cs="宋体"/>
          <w:kern w:val="0"/>
          <w:szCs w:val="21"/>
          <w:lang w:val="zh-CN"/>
        </w:rPr>
      </w:pPr>
      <w:bookmarkStart w:id="107" w:name="_Toc28143"/>
      <w:bookmarkStart w:id="108" w:name="_Toc31289"/>
      <w:bookmarkStart w:id="109" w:name="_Toc10523"/>
      <w:r>
        <w:rPr>
          <w:rFonts w:hint="eastAsia" w:ascii="宋体" w:hAnsi="宋体" w:eastAsia="宋体" w:cs="宋体"/>
          <w:kern w:val="0"/>
          <w:szCs w:val="21"/>
        </w:rPr>
        <w:t>  </w:t>
      </w:r>
      <w:bookmarkEnd w:id="107"/>
      <w:bookmarkEnd w:id="108"/>
      <w:bookmarkEnd w:id="109"/>
      <w:r>
        <w:rPr>
          <w:rFonts w:hint="eastAsia" w:ascii="宋体" w:hAnsi="宋体" w:eastAsia="宋体" w:cs="宋体"/>
          <w:kern w:val="0"/>
          <w:szCs w:val="21"/>
          <w:lang w:val="zh-CN"/>
        </w:rPr>
        <w:t>磋商小组应当根据综合评分情况，按照评审得分由高到低顺序推荐3名成交候选投标人。评审得分相同的，按照最终报价由低到高的顺序推荐。评审得分且最终报价相同的，按照技术指标优劣顺序推荐。</w:t>
      </w:r>
    </w:p>
    <w:p w14:paraId="764B0762">
      <w:pPr>
        <w:shd w:val="clear" w:color="auto" w:fill="auto"/>
        <w:spacing w:line="360" w:lineRule="auto"/>
        <w:jc w:val="left"/>
        <w:outlineLvl w:val="9"/>
        <w:rPr>
          <w:rFonts w:hint="eastAsia" w:ascii="宋体"/>
          <w:b/>
          <w:color w:val="auto"/>
          <w:sz w:val="28"/>
          <w:szCs w:val="28"/>
          <w:highlight w:val="none"/>
        </w:rPr>
      </w:pPr>
    </w:p>
    <w:p w14:paraId="751A8F3B">
      <w:pPr>
        <w:shd w:val="clear" w:color="auto" w:fill="auto"/>
        <w:spacing w:line="360" w:lineRule="auto"/>
        <w:jc w:val="left"/>
        <w:outlineLvl w:val="9"/>
        <w:rPr>
          <w:rFonts w:hint="eastAsia" w:ascii="宋体"/>
          <w:b/>
          <w:color w:val="auto"/>
          <w:sz w:val="28"/>
          <w:szCs w:val="28"/>
          <w:highlight w:val="none"/>
        </w:rPr>
      </w:pPr>
    </w:p>
    <w:p w14:paraId="3202AAD2">
      <w:pPr>
        <w:shd w:val="clear" w:color="auto" w:fill="auto"/>
        <w:spacing w:line="360" w:lineRule="auto"/>
        <w:jc w:val="left"/>
        <w:outlineLvl w:val="9"/>
        <w:rPr>
          <w:rFonts w:hint="eastAsia" w:ascii="宋体"/>
          <w:b/>
          <w:color w:val="auto"/>
          <w:sz w:val="28"/>
          <w:szCs w:val="28"/>
          <w:highlight w:val="none"/>
        </w:rPr>
      </w:pPr>
    </w:p>
    <w:p w14:paraId="2E82A377">
      <w:pPr>
        <w:shd w:val="clear" w:color="auto" w:fill="auto"/>
        <w:spacing w:line="360" w:lineRule="auto"/>
        <w:jc w:val="left"/>
        <w:outlineLvl w:val="9"/>
        <w:rPr>
          <w:rFonts w:hint="eastAsia" w:ascii="宋体"/>
          <w:b/>
          <w:color w:val="auto"/>
          <w:sz w:val="28"/>
          <w:szCs w:val="28"/>
          <w:highlight w:val="none"/>
        </w:rPr>
      </w:pPr>
    </w:p>
    <w:p w14:paraId="0CA08528">
      <w:pPr>
        <w:shd w:val="clear" w:color="auto" w:fill="auto"/>
        <w:spacing w:line="360" w:lineRule="auto"/>
        <w:jc w:val="left"/>
        <w:outlineLvl w:val="9"/>
        <w:rPr>
          <w:rFonts w:hint="eastAsia" w:ascii="宋体"/>
          <w:b/>
          <w:color w:val="auto"/>
          <w:sz w:val="28"/>
          <w:szCs w:val="28"/>
          <w:highlight w:val="none"/>
        </w:rPr>
      </w:pPr>
    </w:p>
    <w:p w14:paraId="501A665D">
      <w:pPr>
        <w:shd w:val="clear" w:color="auto" w:fill="auto"/>
        <w:spacing w:line="360" w:lineRule="auto"/>
        <w:jc w:val="left"/>
        <w:outlineLvl w:val="9"/>
        <w:rPr>
          <w:rFonts w:hint="eastAsia" w:ascii="宋体"/>
          <w:b/>
          <w:color w:val="auto"/>
          <w:sz w:val="28"/>
          <w:szCs w:val="28"/>
          <w:highlight w:val="none"/>
        </w:rPr>
      </w:pPr>
    </w:p>
    <w:p w14:paraId="126A0EC0">
      <w:pPr>
        <w:shd w:val="clear" w:color="auto" w:fill="auto"/>
        <w:spacing w:line="360" w:lineRule="auto"/>
        <w:jc w:val="left"/>
        <w:outlineLvl w:val="9"/>
        <w:rPr>
          <w:rFonts w:hint="eastAsia" w:ascii="宋体"/>
          <w:b/>
          <w:color w:val="auto"/>
          <w:sz w:val="28"/>
          <w:szCs w:val="28"/>
          <w:highlight w:val="none"/>
        </w:rPr>
      </w:pPr>
    </w:p>
    <w:p w14:paraId="2741CAEE">
      <w:pPr>
        <w:pStyle w:val="28"/>
        <w:rPr>
          <w:rFonts w:hint="eastAsia" w:ascii="宋体"/>
          <w:b/>
          <w:color w:val="auto"/>
          <w:sz w:val="28"/>
          <w:szCs w:val="28"/>
          <w:highlight w:val="none"/>
        </w:rPr>
      </w:pPr>
    </w:p>
    <w:p w14:paraId="390587C6">
      <w:pPr>
        <w:pStyle w:val="28"/>
        <w:rPr>
          <w:rFonts w:hint="eastAsia" w:ascii="宋体"/>
          <w:b/>
          <w:color w:val="auto"/>
          <w:sz w:val="28"/>
          <w:szCs w:val="28"/>
          <w:highlight w:val="none"/>
        </w:rPr>
      </w:pPr>
    </w:p>
    <w:p w14:paraId="164DC45B">
      <w:pPr>
        <w:pStyle w:val="28"/>
        <w:rPr>
          <w:rFonts w:hint="eastAsia" w:ascii="宋体"/>
          <w:b/>
          <w:color w:val="auto"/>
          <w:sz w:val="28"/>
          <w:szCs w:val="28"/>
          <w:highlight w:val="none"/>
        </w:rPr>
      </w:pPr>
    </w:p>
    <w:p w14:paraId="245C8FF5">
      <w:pPr>
        <w:pStyle w:val="28"/>
        <w:rPr>
          <w:rFonts w:hint="eastAsia" w:ascii="宋体"/>
          <w:b/>
          <w:color w:val="auto"/>
          <w:sz w:val="28"/>
          <w:szCs w:val="28"/>
          <w:highlight w:val="none"/>
        </w:rPr>
      </w:pPr>
    </w:p>
    <w:p w14:paraId="54C05F8F">
      <w:pPr>
        <w:pStyle w:val="28"/>
        <w:rPr>
          <w:rFonts w:hint="eastAsia" w:ascii="宋体"/>
          <w:b/>
          <w:color w:val="auto"/>
          <w:sz w:val="28"/>
          <w:szCs w:val="28"/>
          <w:highlight w:val="none"/>
        </w:rPr>
      </w:pPr>
    </w:p>
    <w:p w14:paraId="08B1E0A9">
      <w:pPr>
        <w:pStyle w:val="28"/>
        <w:rPr>
          <w:rFonts w:hint="eastAsia" w:ascii="宋体"/>
          <w:b/>
          <w:color w:val="auto"/>
          <w:sz w:val="28"/>
          <w:szCs w:val="28"/>
          <w:highlight w:val="none"/>
        </w:rPr>
      </w:pPr>
    </w:p>
    <w:p w14:paraId="4291DEA3">
      <w:pPr>
        <w:shd w:val="clear" w:color="auto" w:fill="auto"/>
        <w:spacing w:line="360" w:lineRule="auto"/>
        <w:jc w:val="left"/>
        <w:outlineLvl w:val="9"/>
        <w:rPr>
          <w:rFonts w:hint="eastAsia" w:ascii="宋体"/>
          <w:b/>
          <w:color w:val="auto"/>
          <w:sz w:val="28"/>
          <w:szCs w:val="28"/>
          <w:highlight w:val="none"/>
        </w:rPr>
      </w:pPr>
    </w:p>
    <w:p w14:paraId="7A66506A">
      <w:pPr>
        <w:pStyle w:val="29"/>
        <w:spacing w:line="360" w:lineRule="auto"/>
        <w:rPr>
          <w:rFonts w:asciiTheme="minorEastAsia" w:hAnsiTheme="minorEastAsia" w:eastAsiaTheme="minorEastAsia" w:cstheme="minorEastAsia"/>
          <w:color w:val="auto"/>
          <w:szCs w:val="24"/>
        </w:rPr>
      </w:pPr>
    </w:p>
    <w:p w14:paraId="452AB1EC">
      <w:pPr>
        <w:pStyle w:val="29"/>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附表一：</w:t>
      </w:r>
    </w:p>
    <w:p w14:paraId="78556CC6">
      <w:pPr>
        <w:spacing w:line="360" w:lineRule="auto"/>
        <w:jc w:val="center"/>
        <w:rPr>
          <w:rFonts w:asciiTheme="minorEastAsia" w:hAnsiTheme="minorEastAsia" w:eastAsiaTheme="minorEastAsia" w:cstheme="minorEastAsia"/>
          <w:b/>
          <w:color w:val="auto"/>
          <w:sz w:val="32"/>
          <w:szCs w:val="24"/>
        </w:rPr>
      </w:pPr>
      <w:bookmarkStart w:id="110" w:name="_Toc267301287"/>
      <w:bookmarkStart w:id="111" w:name="_Toc298240410"/>
      <w:bookmarkStart w:id="112" w:name="_Toc471489758"/>
      <w:bookmarkStart w:id="113" w:name="_Toc527642957"/>
      <w:bookmarkStart w:id="114" w:name="_Toc349637925"/>
      <w:bookmarkStart w:id="115" w:name="_Toc349573126"/>
      <w:bookmarkStart w:id="116" w:name="_Toc267301288"/>
      <w:r>
        <w:rPr>
          <w:rFonts w:hint="eastAsia" w:asciiTheme="minorEastAsia" w:hAnsiTheme="minorEastAsia" w:eastAsiaTheme="minorEastAsia" w:cstheme="minorEastAsia"/>
          <w:b/>
          <w:color w:val="auto"/>
          <w:sz w:val="32"/>
          <w:szCs w:val="24"/>
          <w:lang w:val="zh-CN"/>
        </w:rPr>
        <w:t>（1）初步评审标准</w:t>
      </w:r>
      <w:r>
        <w:rPr>
          <w:rFonts w:hint="eastAsia" w:asciiTheme="minorEastAsia" w:hAnsiTheme="minorEastAsia" w:eastAsiaTheme="minorEastAsia" w:cstheme="minorEastAsia"/>
          <w:b/>
          <w:color w:val="auto"/>
          <w:sz w:val="32"/>
          <w:szCs w:val="24"/>
        </w:rPr>
        <w:t>-形式评审</w:t>
      </w:r>
    </w:p>
    <w:tbl>
      <w:tblPr>
        <w:tblStyle w:val="22"/>
        <w:tblW w:w="9451" w:type="dxa"/>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8655"/>
      </w:tblGrid>
      <w:tr w14:paraId="33C4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4DFABF4A">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序号</w:t>
            </w:r>
          </w:p>
        </w:tc>
        <w:tc>
          <w:tcPr>
            <w:tcW w:w="8655" w:type="dxa"/>
            <w:tcBorders>
              <w:top w:val="single" w:color="auto" w:sz="4" w:space="0"/>
              <w:left w:val="single" w:color="auto" w:sz="4" w:space="0"/>
              <w:bottom w:val="single" w:color="auto" w:sz="4" w:space="0"/>
            </w:tcBorders>
            <w:vAlign w:val="center"/>
          </w:tcPr>
          <w:p w14:paraId="24B79400">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标  准</w:t>
            </w:r>
          </w:p>
        </w:tc>
      </w:tr>
      <w:tr w14:paraId="390D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796" w:type="dxa"/>
            <w:tcBorders>
              <w:top w:val="single" w:color="auto" w:sz="4" w:space="0"/>
              <w:bottom w:val="single" w:color="auto" w:sz="4" w:space="0"/>
              <w:right w:val="single" w:color="auto" w:sz="4" w:space="0"/>
            </w:tcBorders>
            <w:vAlign w:val="center"/>
          </w:tcPr>
          <w:p w14:paraId="4A5072F0">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w:t>
            </w:r>
          </w:p>
        </w:tc>
        <w:tc>
          <w:tcPr>
            <w:tcW w:w="8655" w:type="dxa"/>
            <w:tcBorders>
              <w:top w:val="single" w:color="auto" w:sz="4" w:space="0"/>
              <w:left w:val="single" w:color="auto" w:sz="4" w:space="0"/>
              <w:bottom w:val="single" w:color="auto" w:sz="4" w:space="0"/>
            </w:tcBorders>
            <w:vAlign w:val="center"/>
          </w:tcPr>
          <w:p w14:paraId="384CF034">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投标保证金的缴纳主体与</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一致的，按照磋商文件要求提供投标担保，或者所提供的投标担保</w:t>
            </w:r>
            <w:r>
              <w:rPr>
                <w:rFonts w:hint="eastAsia" w:asciiTheme="minorEastAsia" w:hAnsiTheme="minorEastAsia" w:eastAsiaTheme="minorEastAsia" w:cstheme="minorEastAsia"/>
                <w:color w:val="auto"/>
                <w:sz w:val="24"/>
                <w:szCs w:val="24"/>
                <w:lang w:val="en-US" w:eastAsia="zh-CN"/>
              </w:rPr>
              <w:t>没</w:t>
            </w:r>
            <w:r>
              <w:rPr>
                <w:rFonts w:hint="eastAsia" w:asciiTheme="minorEastAsia" w:hAnsiTheme="minorEastAsia" w:eastAsiaTheme="minorEastAsia" w:cstheme="minorEastAsia"/>
                <w:color w:val="auto"/>
                <w:sz w:val="24"/>
                <w:szCs w:val="24"/>
              </w:rPr>
              <w:t>有瑕疵的；</w:t>
            </w:r>
          </w:p>
        </w:tc>
      </w:tr>
      <w:tr w14:paraId="06AB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auto" w:sz="4" w:space="0"/>
              <w:bottom w:val="single" w:color="auto" w:sz="4" w:space="0"/>
              <w:right w:val="single" w:color="auto" w:sz="4" w:space="0"/>
            </w:tcBorders>
            <w:vAlign w:val="center"/>
          </w:tcPr>
          <w:p w14:paraId="716BBCA5">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w:t>
            </w:r>
          </w:p>
        </w:tc>
        <w:tc>
          <w:tcPr>
            <w:tcW w:w="8655" w:type="dxa"/>
            <w:tcBorders>
              <w:top w:val="single" w:color="auto" w:sz="4" w:space="0"/>
              <w:left w:val="single" w:color="auto" w:sz="4" w:space="0"/>
              <w:bottom w:val="single" w:color="auto" w:sz="4" w:space="0"/>
            </w:tcBorders>
            <w:vAlign w:val="center"/>
          </w:tcPr>
          <w:p w14:paraId="5B9BC17A">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的项目负责人是</w:t>
            </w: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的注册执业人员，或者具备项目负责人资格条件的；</w:t>
            </w:r>
          </w:p>
        </w:tc>
      </w:tr>
      <w:tr w14:paraId="5B73E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62655C28">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w:t>
            </w:r>
          </w:p>
        </w:tc>
        <w:tc>
          <w:tcPr>
            <w:tcW w:w="8655" w:type="dxa"/>
            <w:tcBorders>
              <w:top w:val="single" w:color="auto" w:sz="4" w:space="0"/>
              <w:left w:val="single" w:color="auto" w:sz="4" w:space="0"/>
              <w:bottom w:val="single" w:color="auto" w:sz="4" w:space="0"/>
            </w:tcBorders>
            <w:vAlign w:val="center"/>
          </w:tcPr>
          <w:p w14:paraId="5590C26A">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磋商响应文件有投标单位法定代表人或其授权代表签字和加盖投标单位公章的；</w:t>
            </w:r>
          </w:p>
        </w:tc>
      </w:tr>
      <w:tr w14:paraId="3BFE9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96" w:type="dxa"/>
            <w:tcBorders>
              <w:top w:val="single" w:color="auto" w:sz="4" w:space="0"/>
              <w:bottom w:val="single" w:color="auto" w:sz="4" w:space="0"/>
              <w:right w:val="single" w:color="auto" w:sz="4" w:space="0"/>
            </w:tcBorders>
            <w:vAlign w:val="center"/>
          </w:tcPr>
          <w:p w14:paraId="1493268F">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4</w:t>
            </w:r>
          </w:p>
        </w:tc>
        <w:tc>
          <w:tcPr>
            <w:tcW w:w="8655" w:type="dxa"/>
            <w:tcBorders>
              <w:top w:val="single" w:color="auto" w:sz="4" w:space="0"/>
              <w:left w:val="single" w:color="auto" w:sz="4" w:space="0"/>
              <w:bottom w:val="single" w:color="auto" w:sz="4" w:space="0"/>
            </w:tcBorders>
            <w:vAlign w:val="center"/>
          </w:tcPr>
          <w:p w14:paraId="04E18DCA">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投标工程的完成期限</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超过磋商文件规定期限的；</w:t>
            </w:r>
          </w:p>
        </w:tc>
      </w:tr>
      <w:tr w14:paraId="4D5BB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6" w:type="dxa"/>
            <w:tcBorders>
              <w:top w:val="single" w:color="auto" w:sz="4" w:space="0"/>
              <w:bottom w:val="single" w:color="auto" w:sz="4" w:space="0"/>
              <w:right w:val="single" w:color="auto" w:sz="4" w:space="0"/>
            </w:tcBorders>
            <w:vAlign w:val="center"/>
          </w:tcPr>
          <w:p w14:paraId="2D7275EA">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5</w:t>
            </w:r>
          </w:p>
        </w:tc>
        <w:tc>
          <w:tcPr>
            <w:tcW w:w="8655" w:type="dxa"/>
            <w:tcBorders>
              <w:top w:val="single" w:color="auto" w:sz="4" w:space="0"/>
              <w:left w:val="single" w:color="auto" w:sz="4" w:space="0"/>
              <w:bottom w:val="single" w:color="auto" w:sz="4" w:space="0"/>
            </w:tcBorders>
            <w:vAlign w:val="center"/>
          </w:tcPr>
          <w:p w14:paraId="2E10792B">
            <w:pPr>
              <w:spacing w:line="36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项目负责人要求：须具备贰级及以上注册建造师证（建筑工程）、具有有效的安全生产考核证，必须为本单位注册，不接受临时注册建造师；</w:t>
            </w:r>
          </w:p>
        </w:tc>
      </w:tr>
      <w:tr w14:paraId="5880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96" w:type="dxa"/>
            <w:tcBorders>
              <w:top w:val="single" w:color="auto" w:sz="4" w:space="0"/>
              <w:bottom w:val="single" w:color="auto" w:sz="4" w:space="0"/>
              <w:right w:val="single" w:color="auto" w:sz="4" w:space="0"/>
            </w:tcBorders>
            <w:vAlign w:val="center"/>
          </w:tcPr>
          <w:p w14:paraId="21D326AE">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8655" w:type="dxa"/>
            <w:tcBorders>
              <w:top w:val="single" w:color="auto" w:sz="4" w:space="0"/>
              <w:left w:val="single" w:color="auto" w:sz="4" w:space="0"/>
              <w:bottom w:val="single" w:color="auto" w:sz="4" w:space="0"/>
            </w:tcBorders>
            <w:vAlign w:val="center"/>
          </w:tcPr>
          <w:p w14:paraId="40F9019C">
            <w:pPr>
              <w:autoSpaceDE w:val="0"/>
              <w:autoSpaceDN w:val="0"/>
              <w:adjustRightInd w:val="0"/>
              <w:spacing w:line="360" w:lineRule="exact"/>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磋商文件载明的技术规格、技术标准、货物包装方式、检验标准和方法等，符合磋商文件要求的；</w:t>
            </w:r>
          </w:p>
        </w:tc>
      </w:tr>
      <w:tr w14:paraId="063A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14:paraId="6D02328A">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8655" w:type="dxa"/>
            <w:tcBorders>
              <w:top w:val="single" w:color="auto" w:sz="4" w:space="0"/>
              <w:left w:val="single" w:color="auto" w:sz="4" w:space="0"/>
              <w:bottom w:val="single" w:color="auto" w:sz="4" w:space="0"/>
            </w:tcBorders>
            <w:vAlign w:val="center"/>
          </w:tcPr>
          <w:p w14:paraId="69BBE8DC">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磋商文件</w:t>
            </w:r>
            <w:r>
              <w:rPr>
                <w:rFonts w:hint="eastAsia" w:asciiTheme="minorEastAsia" w:hAnsiTheme="minorEastAsia" w:eastAsiaTheme="minorEastAsia" w:cstheme="minorEastAsia"/>
                <w:color w:val="auto"/>
                <w:sz w:val="24"/>
                <w:szCs w:val="24"/>
                <w:lang w:val="zh-CN" w:eastAsia="zh-CN"/>
              </w:rPr>
              <w:t>未</w:t>
            </w:r>
            <w:r>
              <w:rPr>
                <w:rFonts w:hint="eastAsia" w:asciiTheme="minorEastAsia" w:hAnsiTheme="minorEastAsia" w:eastAsiaTheme="minorEastAsia" w:cstheme="minorEastAsia"/>
                <w:color w:val="auto"/>
                <w:sz w:val="24"/>
                <w:szCs w:val="24"/>
                <w:lang w:val="zh-CN"/>
              </w:rPr>
              <w:t>附有招标人不能接受条件的；</w:t>
            </w:r>
          </w:p>
        </w:tc>
      </w:tr>
      <w:tr w14:paraId="6313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96" w:type="dxa"/>
            <w:tcBorders>
              <w:top w:val="single" w:color="auto" w:sz="4" w:space="0"/>
              <w:bottom w:val="single" w:color="auto" w:sz="4" w:space="0"/>
              <w:right w:val="single" w:color="auto" w:sz="4" w:space="0"/>
            </w:tcBorders>
            <w:vAlign w:val="center"/>
          </w:tcPr>
          <w:p w14:paraId="14C0C3D7">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8655" w:type="dxa"/>
            <w:tcBorders>
              <w:top w:val="single" w:color="auto" w:sz="4" w:space="0"/>
              <w:left w:val="single" w:color="auto" w:sz="4" w:space="0"/>
              <w:bottom w:val="single" w:color="auto" w:sz="4" w:space="0"/>
            </w:tcBorders>
            <w:vAlign w:val="center"/>
          </w:tcPr>
          <w:p w14:paraId="7A2EC6FD">
            <w:pPr>
              <w:autoSpaceDE w:val="0"/>
              <w:autoSpaceDN w:val="0"/>
              <w:adjustRightInd w:val="0"/>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满足磋商文件实质性要求的其他情形。</w:t>
            </w:r>
          </w:p>
        </w:tc>
      </w:tr>
    </w:tbl>
    <w:p w14:paraId="2677E2A2">
      <w:pPr>
        <w:spacing w:line="360" w:lineRule="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备注：1、如果资格评审中有一项不满足审查标准的，磋商小组将认定该</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不通过资格审查，不得进入下一阶段评审。并且不允许</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通过修改或撤销其不符合要求的差异或保留，使之成为具有响应性的投标。</w:t>
      </w:r>
    </w:p>
    <w:p w14:paraId="108F9B96">
      <w:pPr>
        <w:pStyle w:val="29"/>
        <w:spacing w:line="360" w:lineRule="auto"/>
        <w:rPr>
          <w:rFonts w:hint="default" w:asciiTheme="minorEastAsia" w:hAnsiTheme="minorEastAsia" w:eastAsiaTheme="minorEastAsia" w:cstheme="minorEastAsia"/>
          <w:color w:val="auto"/>
          <w:szCs w:val="24"/>
        </w:rPr>
      </w:pPr>
    </w:p>
    <w:p w14:paraId="6E971D68">
      <w:pPr>
        <w:pStyle w:val="29"/>
        <w:spacing w:line="360" w:lineRule="auto"/>
        <w:rPr>
          <w:rFonts w:hint="default" w:asciiTheme="minorEastAsia" w:hAnsiTheme="minorEastAsia" w:eastAsiaTheme="minorEastAsia" w:cstheme="minorEastAsia"/>
          <w:color w:val="auto"/>
          <w:szCs w:val="24"/>
        </w:rPr>
      </w:pPr>
    </w:p>
    <w:p w14:paraId="36A19D6A">
      <w:pPr>
        <w:pStyle w:val="29"/>
        <w:spacing w:line="360" w:lineRule="auto"/>
        <w:rPr>
          <w:rFonts w:hint="default" w:asciiTheme="minorEastAsia" w:hAnsiTheme="minorEastAsia" w:eastAsiaTheme="minorEastAsia" w:cstheme="minorEastAsia"/>
          <w:color w:val="auto"/>
          <w:szCs w:val="24"/>
        </w:rPr>
      </w:pPr>
    </w:p>
    <w:p w14:paraId="559C0BAB">
      <w:pPr>
        <w:pStyle w:val="29"/>
        <w:spacing w:line="360" w:lineRule="auto"/>
        <w:rPr>
          <w:rFonts w:hint="default" w:asciiTheme="minorEastAsia" w:hAnsiTheme="minorEastAsia" w:eastAsiaTheme="minorEastAsia" w:cstheme="minorEastAsia"/>
          <w:color w:val="auto"/>
          <w:szCs w:val="24"/>
        </w:rPr>
      </w:pPr>
    </w:p>
    <w:p w14:paraId="2966EB2B">
      <w:pPr>
        <w:pStyle w:val="29"/>
        <w:spacing w:line="360" w:lineRule="auto"/>
        <w:rPr>
          <w:rFonts w:hint="default" w:asciiTheme="minorEastAsia" w:hAnsiTheme="minorEastAsia" w:eastAsiaTheme="minorEastAsia" w:cstheme="minorEastAsia"/>
          <w:color w:val="auto"/>
          <w:szCs w:val="24"/>
        </w:rPr>
      </w:pPr>
    </w:p>
    <w:p w14:paraId="54231C1F">
      <w:pPr>
        <w:pStyle w:val="29"/>
        <w:spacing w:line="360" w:lineRule="auto"/>
        <w:rPr>
          <w:rFonts w:asciiTheme="minorEastAsia" w:hAnsiTheme="minorEastAsia" w:eastAsiaTheme="minorEastAsia" w:cstheme="minorEastAsia"/>
          <w:color w:val="auto"/>
          <w:szCs w:val="24"/>
        </w:rPr>
      </w:pPr>
    </w:p>
    <w:p w14:paraId="7B76BDF7">
      <w:pPr>
        <w:pStyle w:val="29"/>
        <w:spacing w:line="360" w:lineRule="auto"/>
        <w:rPr>
          <w:rFonts w:asciiTheme="minorEastAsia" w:hAnsiTheme="minorEastAsia" w:eastAsiaTheme="minorEastAsia" w:cstheme="minorEastAsia"/>
          <w:color w:val="auto"/>
          <w:szCs w:val="24"/>
        </w:rPr>
      </w:pPr>
    </w:p>
    <w:p w14:paraId="49186565">
      <w:pPr>
        <w:pStyle w:val="29"/>
        <w:spacing w:line="360" w:lineRule="auto"/>
        <w:rPr>
          <w:rFonts w:asciiTheme="minorEastAsia" w:hAnsiTheme="minorEastAsia" w:eastAsiaTheme="minorEastAsia" w:cstheme="minorEastAsia"/>
          <w:color w:val="auto"/>
          <w:szCs w:val="24"/>
        </w:rPr>
      </w:pPr>
    </w:p>
    <w:p w14:paraId="074BB863">
      <w:pPr>
        <w:pStyle w:val="29"/>
        <w:spacing w:line="360" w:lineRule="auto"/>
        <w:rPr>
          <w:rFonts w:asciiTheme="minorEastAsia" w:hAnsiTheme="minorEastAsia" w:eastAsiaTheme="minorEastAsia" w:cstheme="minorEastAsia"/>
          <w:color w:val="auto"/>
          <w:szCs w:val="24"/>
        </w:rPr>
      </w:pPr>
    </w:p>
    <w:p w14:paraId="59DB6F4F">
      <w:pPr>
        <w:pStyle w:val="29"/>
        <w:spacing w:line="360" w:lineRule="auto"/>
        <w:rPr>
          <w:rFonts w:asciiTheme="minorEastAsia" w:hAnsiTheme="minorEastAsia" w:eastAsiaTheme="minorEastAsia" w:cstheme="minorEastAsia"/>
          <w:color w:val="auto"/>
          <w:szCs w:val="24"/>
        </w:rPr>
      </w:pPr>
    </w:p>
    <w:p w14:paraId="4F34AA42">
      <w:pPr>
        <w:pStyle w:val="29"/>
        <w:spacing w:line="360" w:lineRule="auto"/>
        <w:rPr>
          <w:rFonts w:asciiTheme="minorEastAsia" w:hAnsiTheme="minorEastAsia" w:eastAsiaTheme="minorEastAsia" w:cstheme="minorEastAsia"/>
          <w:color w:val="auto"/>
          <w:szCs w:val="24"/>
        </w:rPr>
      </w:pPr>
    </w:p>
    <w:p w14:paraId="7C34E81E">
      <w:pPr>
        <w:pStyle w:val="29"/>
        <w:spacing w:line="360" w:lineRule="auto"/>
        <w:rPr>
          <w:rFonts w:hint="default" w:asciiTheme="minorEastAsia" w:hAnsiTheme="minorEastAsia" w:eastAsiaTheme="minorEastAsia" w:cstheme="minorEastAsia"/>
          <w:color w:val="auto"/>
          <w:szCs w:val="24"/>
          <w:lang w:val="zh-CN"/>
        </w:rPr>
      </w:pPr>
      <w:r>
        <w:rPr>
          <w:rFonts w:asciiTheme="minorEastAsia" w:hAnsiTheme="minorEastAsia" w:eastAsiaTheme="minorEastAsia" w:cstheme="minorEastAsia"/>
          <w:color w:val="auto"/>
          <w:szCs w:val="24"/>
        </w:rPr>
        <w:t>附表二：</w:t>
      </w:r>
    </w:p>
    <w:p w14:paraId="35C8970B">
      <w:pPr>
        <w:spacing w:line="360" w:lineRule="auto"/>
        <w:jc w:val="center"/>
        <w:rPr>
          <w:rFonts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b/>
          <w:color w:val="auto"/>
          <w:sz w:val="32"/>
          <w:szCs w:val="24"/>
        </w:rPr>
        <w:t>（2）初步评审标准-响应性评审</w:t>
      </w:r>
    </w:p>
    <w:tbl>
      <w:tblPr>
        <w:tblStyle w:val="22"/>
        <w:tblpPr w:leftFromText="180" w:rightFromText="180" w:vertAnchor="text" w:horzAnchor="margin" w:tblpX="-46" w:tblpY="158"/>
        <w:tblW w:w="100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
        <w:gridCol w:w="477"/>
        <w:gridCol w:w="6633"/>
        <w:gridCol w:w="1997"/>
      </w:tblGrid>
      <w:tr w14:paraId="5680B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30" w:type="dxa"/>
            <w:vMerge w:val="restart"/>
            <w:tcBorders>
              <w:top w:val="single" w:color="auto" w:sz="12" w:space="0"/>
              <w:left w:val="single" w:color="auto" w:sz="12" w:space="0"/>
              <w:bottom w:val="single" w:color="auto" w:sz="4" w:space="0"/>
              <w:right w:val="single" w:color="auto" w:sz="6" w:space="0"/>
            </w:tcBorders>
            <w:vAlign w:val="center"/>
          </w:tcPr>
          <w:p w14:paraId="494BF580">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110" w:type="dxa"/>
            <w:gridSpan w:val="2"/>
            <w:vMerge w:val="restart"/>
            <w:tcBorders>
              <w:top w:val="single" w:color="auto" w:sz="12" w:space="0"/>
              <w:left w:val="single" w:color="auto" w:sz="6" w:space="0"/>
              <w:bottom w:val="single" w:color="auto" w:sz="4" w:space="0"/>
              <w:right w:val="single" w:color="auto" w:sz="6" w:space="0"/>
            </w:tcBorders>
            <w:vAlign w:val="center"/>
          </w:tcPr>
          <w:p w14:paraId="52C397E0">
            <w:pPr>
              <w:spacing w:line="360" w:lineRule="exact"/>
              <w:jc w:val="center"/>
              <w:rPr>
                <w:rFonts w:asciiTheme="minorEastAsia" w:hAnsiTheme="minorEastAsia" w:eastAsiaTheme="minorEastAsia" w:cstheme="minorEastAsia"/>
                <w:b/>
                <w:color w:val="auto"/>
                <w:sz w:val="20"/>
                <w:szCs w:val="21"/>
              </w:rPr>
            </w:pPr>
            <w:r>
              <w:rPr>
                <w:rFonts w:hint="eastAsia" w:asciiTheme="minorEastAsia" w:hAnsiTheme="minorEastAsia" w:eastAsiaTheme="minorEastAsia" w:cstheme="minorEastAsia"/>
                <w:color w:val="auto"/>
                <w:sz w:val="24"/>
                <w:szCs w:val="24"/>
              </w:rPr>
              <w:t>评审内容</w:t>
            </w:r>
          </w:p>
        </w:tc>
        <w:tc>
          <w:tcPr>
            <w:tcW w:w="1997" w:type="dxa"/>
            <w:tcBorders>
              <w:top w:val="single" w:color="auto" w:sz="12" w:space="0"/>
              <w:left w:val="single" w:color="auto" w:sz="6" w:space="0"/>
              <w:bottom w:val="single" w:color="auto" w:sz="6" w:space="0"/>
              <w:right w:val="single" w:color="auto" w:sz="12" w:space="0"/>
            </w:tcBorders>
            <w:vAlign w:val="center"/>
          </w:tcPr>
          <w:p w14:paraId="06BACF90">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w:t>
            </w:r>
          </w:p>
          <w:p w14:paraId="42C6DA82">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w:t>
            </w:r>
          </w:p>
        </w:tc>
      </w:tr>
      <w:tr w14:paraId="6689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trPr>
        <w:tc>
          <w:tcPr>
            <w:tcW w:w="930" w:type="dxa"/>
            <w:vMerge w:val="continue"/>
            <w:tcBorders>
              <w:top w:val="single" w:color="auto" w:sz="12" w:space="0"/>
              <w:left w:val="single" w:color="auto" w:sz="12" w:space="0"/>
              <w:bottom w:val="single" w:color="auto" w:sz="4" w:space="0"/>
              <w:right w:val="single" w:color="auto" w:sz="6" w:space="0"/>
            </w:tcBorders>
            <w:vAlign w:val="center"/>
          </w:tcPr>
          <w:p w14:paraId="7DBED620">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7110" w:type="dxa"/>
            <w:gridSpan w:val="2"/>
            <w:vMerge w:val="continue"/>
            <w:tcBorders>
              <w:top w:val="single" w:color="auto" w:sz="12" w:space="0"/>
              <w:left w:val="single" w:color="auto" w:sz="6" w:space="0"/>
              <w:bottom w:val="single" w:color="auto" w:sz="4" w:space="0"/>
              <w:right w:val="single" w:color="auto" w:sz="6" w:space="0"/>
            </w:tcBorders>
            <w:vAlign w:val="center"/>
          </w:tcPr>
          <w:p w14:paraId="7F1BCB8C">
            <w:pPr>
              <w:spacing w:line="360" w:lineRule="exact"/>
              <w:rPr>
                <w:rFonts w:asciiTheme="minorEastAsia" w:hAnsiTheme="minorEastAsia" w:eastAsiaTheme="minorEastAsia" w:cstheme="minorEastAsia"/>
                <w:color w:val="auto"/>
                <w:sz w:val="20"/>
              </w:rPr>
            </w:pPr>
          </w:p>
        </w:tc>
        <w:tc>
          <w:tcPr>
            <w:tcW w:w="1997" w:type="dxa"/>
            <w:tcBorders>
              <w:top w:val="single" w:color="auto" w:sz="6" w:space="0"/>
              <w:left w:val="single" w:color="auto" w:sz="6" w:space="0"/>
              <w:bottom w:val="single" w:color="auto" w:sz="6" w:space="0"/>
              <w:right w:val="single" w:color="auto" w:sz="12" w:space="0"/>
            </w:tcBorders>
            <w:vAlign w:val="center"/>
          </w:tcPr>
          <w:p w14:paraId="1CC635D0">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（通过打√、不通过打×）</w:t>
            </w:r>
          </w:p>
        </w:tc>
      </w:tr>
      <w:tr w14:paraId="66CBC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930" w:type="dxa"/>
            <w:vMerge w:val="restart"/>
            <w:tcBorders>
              <w:top w:val="single" w:color="auto" w:sz="4" w:space="0"/>
              <w:left w:val="single" w:color="auto" w:sz="12" w:space="0"/>
              <w:right w:val="single" w:color="auto" w:sz="6" w:space="0"/>
            </w:tcBorders>
            <w:vAlign w:val="center"/>
          </w:tcPr>
          <w:p w14:paraId="7606CB44">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w:t>
            </w:r>
          </w:p>
          <w:p w14:paraId="256ED393">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w:t>
            </w:r>
          </w:p>
          <w:p w14:paraId="6938795B">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w:t>
            </w:r>
          </w:p>
          <w:p w14:paraId="2F84F78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准</w:t>
            </w:r>
          </w:p>
        </w:tc>
        <w:tc>
          <w:tcPr>
            <w:tcW w:w="477" w:type="dxa"/>
            <w:tcBorders>
              <w:top w:val="single" w:color="auto" w:sz="4" w:space="0"/>
              <w:left w:val="single" w:color="auto" w:sz="6" w:space="0"/>
              <w:bottom w:val="single" w:color="auto" w:sz="6" w:space="0"/>
              <w:right w:val="single" w:color="auto" w:sz="4" w:space="0"/>
            </w:tcBorders>
            <w:vAlign w:val="center"/>
          </w:tcPr>
          <w:p w14:paraId="3FABCDC3">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633" w:type="dxa"/>
            <w:tcBorders>
              <w:top w:val="single" w:color="auto" w:sz="6" w:space="0"/>
              <w:left w:val="single" w:color="auto" w:sz="4" w:space="0"/>
              <w:bottom w:val="single" w:color="auto" w:sz="6" w:space="0"/>
              <w:right w:val="single" w:color="auto" w:sz="4" w:space="0"/>
            </w:tcBorders>
            <w:vAlign w:val="center"/>
          </w:tcPr>
          <w:p w14:paraId="30DEDC69">
            <w:pPr>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高于设定的工程预算招标控制价（工程限额）的；</w:t>
            </w:r>
          </w:p>
        </w:tc>
        <w:tc>
          <w:tcPr>
            <w:tcW w:w="1997" w:type="dxa"/>
            <w:tcBorders>
              <w:top w:val="single" w:color="auto" w:sz="6" w:space="0"/>
              <w:left w:val="single" w:color="auto" w:sz="4" w:space="0"/>
              <w:bottom w:val="single" w:color="auto" w:sz="6" w:space="0"/>
              <w:right w:val="single" w:color="auto" w:sz="12" w:space="0"/>
            </w:tcBorders>
          </w:tcPr>
          <w:p w14:paraId="75077A0B">
            <w:pPr>
              <w:autoSpaceDE w:val="0"/>
              <w:autoSpaceDN w:val="0"/>
              <w:adjustRightInd w:val="0"/>
              <w:spacing w:line="360" w:lineRule="exact"/>
              <w:jc w:val="left"/>
              <w:rPr>
                <w:rFonts w:asciiTheme="minorEastAsia" w:hAnsiTheme="minorEastAsia" w:eastAsiaTheme="minorEastAsia" w:cstheme="minorEastAsia"/>
                <w:color w:val="auto"/>
                <w:sz w:val="24"/>
                <w:szCs w:val="24"/>
              </w:rPr>
            </w:pPr>
          </w:p>
        </w:tc>
      </w:tr>
      <w:tr w14:paraId="4E5DA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4D1F905F">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nil"/>
              <w:left w:val="single" w:color="auto" w:sz="6" w:space="0"/>
              <w:bottom w:val="single" w:color="auto" w:sz="6" w:space="0"/>
              <w:right w:val="single" w:color="auto" w:sz="6" w:space="0"/>
            </w:tcBorders>
            <w:vAlign w:val="center"/>
          </w:tcPr>
          <w:p w14:paraId="3762D4C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633" w:type="dxa"/>
            <w:tcBorders>
              <w:top w:val="nil"/>
              <w:left w:val="single" w:color="auto" w:sz="6" w:space="0"/>
              <w:bottom w:val="single" w:color="auto" w:sz="6" w:space="0"/>
              <w:right w:val="single" w:color="auto" w:sz="6" w:space="0"/>
            </w:tcBorders>
            <w:vAlign w:val="center"/>
          </w:tcPr>
          <w:p w14:paraId="2780C3BA">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按磋商文件规定的格式填写，</w:t>
            </w:r>
            <w:r>
              <w:rPr>
                <w:rFonts w:hint="eastAsia" w:asciiTheme="minorEastAsia" w:hAnsiTheme="minorEastAsia" w:eastAsiaTheme="minorEastAsia" w:cstheme="minorEastAsia"/>
                <w:color w:val="auto"/>
                <w:sz w:val="24"/>
                <w:szCs w:val="24"/>
                <w:lang w:val="en-US" w:eastAsia="zh-CN"/>
              </w:rPr>
              <w:t>未存在</w:t>
            </w:r>
            <w:r>
              <w:rPr>
                <w:rFonts w:hint="eastAsia" w:asciiTheme="minorEastAsia" w:hAnsiTheme="minorEastAsia" w:eastAsiaTheme="minorEastAsia" w:cstheme="minorEastAsia"/>
                <w:color w:val="auto"/>
                <w:sz w:val="24"/>
                <w:szCs w:val="24"/>
              </w:rPr>
              <w:t>内容不全或关键字迹模糊、无法辨认的；</w:t>
            </w:r>
          </w:p>
        </w:tc>
        <w:tc>
          <w:tcPr>
            <w:tcW w:w="1997" w:type="dxa"/>
            <w:tcBorders>
              <w:top w:val="single" w:color="auto" w:sz="6" w:space="0"/>
              <w:left w:val="single" w:color="auto" w:sz="6" w:space="0"/>
              <w:bottom w:val="single" w:color="auto" w:sz="6" w:space="0"/>
              <w:right w:val="single" w:color="auto" w:sz="12" w:space="0"/>
            </w:tcBorders>
          </w:tcPr>
          <w:p w14:paraId="0B8D2E6F">
            <w:pPr>
              <w:spacing w:line="360" w:lineRule="exact"/>
              <w:rPr>
                <w:rFonts w:asciiTheme="minorEastAsia" w:hAnsiTheme="minorEastAsia" w:eastAsiaTheme="minorEastAsia" w:cstheme="minorEastAsia"/>
                <w:color w:val="auto"/>
                <w:sz w:val="20"/>
                <w:szCs w:val="21"/>
              </w:rPr>
            </w:pPr>
          </w:p>
        </w:tc>
      </w:tr>
      <w:tr w14:paraId="24407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39594667">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2BFEE8ED">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6633" w:type="dxa"/>
            <w:tcBorders>
              <w:top w:val="single" w:color="auto" w:sz="6" w:space="0"/>
              <w:left w:val="single" w:color="auto" w:sz="6" w:space="0"/>
              <w:bottom w:val="single" w:color="auto" w:sz="6" w:space="0"/>
              <w:right w:val="single" w:color="auto" w:sz="6" w:space="0"/>
            </w:tcBorders>
            <w:vAlign w:val="center"/>
          </w:tcPr>
          <w:p w14:paraId="74A35CCE">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改变磋商文件提供的工程量清单中的计量单位、工程量的；</w:t>
            </w:r>
          </w:p>
        </w:tc>
        <w:tc>
          <w:tcPr>
            <w:tcW w:w="1997" w:type="dxa"/>
            <w:tcBorders>
              <w:top w:val="single" w:color="auto" w:sz="6" w:space="0"/>
              <w:left w:val="single" w:color="auto" w:sz="6" w:space="0"/>
              <w:bottom w:val="single" w:color="auto" w:sz="6" w:space="0"/>
              <w:right w:val="single" w:color="auto" w:sz="12" w:space="0"/>
            </w:tcBorders>
          </w:tcPr>
          <w:p w14:paraId="743AFB4E">
            <w:pPr>
              <w:spacing w:line="360" w:lineRule="exact"/>
              <w:rPr>
                <w:rFonts w:asciiTheme="minorEastAsia" w:hAnsiTheme="minorEastAsia" w:eastAsiaTheme="minorEastAsia" w:cstheme="minorEastAsia"/>
                <w:color w:val="auto"/>
                <w:sz w:val="20"/>
                <w:szCs w:val="21"/>
              </w:rPr>
            </w:pPr>
          </w:p>
        </w:tc>
      </w:tr>
      <w:tr w14:paraId="3399A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30" w:type="dxa"/>
            <w:vMerge w:val="continue"/>
            <w:tcBorders>
              <w:left w:val="single" w:color="auto" w:sz="12" w:space="0"/>
              <w:right w:val="single" w:color="auto" w:sz="6" w:space="0"/>
            </w:tcBorders>
            <w:vAlign w:val="center"/>
          </w:tcPr>
          <w:p w14:paraId="715F334C">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13495501">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6633" w:type="dxa"/>
            <w:tcBorders>
              <w:top w:val="single" w:color="auto" w:sz="6" w:space="0"/>
              <w:left w:val="single" w:color="auto" w:sz="6" w:space="0"/>
              <w:bottom w:val="single" w:color="auto" w:sz="6" w:space="0"/>
              <w:right w:val="single" w:color="auto" w:sz="6" w:space="0"/>
            </w:tcBorders>
            <w:vAlign w:val="center"/>
          </w:tcPr>
          <w:p w14:paraId="40DBA67E">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将工程排污费、社会保障费、住房公积金、危险作业意外伤害保险等规费和营业税、城市维护建设税、教育费附加等税金，以及安全文明施工费列入</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投标竞争性费用的；</w:t>
            </w:r>
          </w:p>
        </w:tc>
        <w:tc>
          <w:tcPr>
            <w:tcW w:w="1997" w:type="dxa"/>
            <w:tcBorders>
              <w:top w:val="single" w:color="auto" w:sz="6" w:space="0"/>
              <w:left w:val="single" w:color="auto" w:sz="6" w:space="0"/>
              <w:bottom w:val="single" w:color="auto" w:sz="6" w:space="0"/>
              <w:right w:val="single" w:color="auto" w:sz="12" w:space="0"/>
            </w:tcBorders>
          </w:tcPr>
          <w:p w14:paraId="6DE4988F">
            <w:pPr>
              <w:spacing w:line="360" w:lineRule="exact"/>
              <w:rPr>
                <w:rFonts w:asciiTheme="minorEastAsia" w:hAnsiTheme="minorEastAsia" w:eastAsiaTheme="minorEastAsia" w:cstheme="minorEastAsia"/>
                <w:color w:val="auto"/>
                <w:sz w:val="20"/>
                <w:szCs w:val="21"/>
              </w:rPr>
            </w:pPr>
          </w:p>
        </w:tc>
      </w:tr>
      <w:tr w14:paraId="4F059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472CD918">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24A354F3">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6633" w:type="dxa"/>
            <w:tcBorders>
              <w:top w:val="single" w:color="auto" w:sz="6" w:space="0"/>
              <w:left w:val="single" w:color="auto" w:sz="6" w:space="0"/>
              <w:bottom w:val="single" w:color="auto" w:sz="6" w:space="0"/>
              <w:right w:val="single" w:color="auto" w:sz="6" w:space="0"/>
            </w:tcBorders>
            <w:vAlign w:val="center"/>
          </w:tcPr>
          <w:p w14:paraId="43B7FA09">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名称、组织机构与资格预审时</w:t>
            </w:r>
            <w:r>
              <w:rPr>
                <w:rFonts w:hint="eastAsia" w:asciiTheme="minorEastAsia" w:hAnsiTheme="minorEastAsia" w:eastAsiaTheme="minorEastAsia" w:cstheme="minorEastAsia"/>
                <w:color w:val="auto"/>
                <w:sz w:val="24"/>
                <w:szCs w:val="24"/>
                <w:lang w:val="en-US" w:eastAsia="zh-CN"/>
              </w:rPr>
              <w:t>相</w:t>
            </w:r>
            <w:r>
              <w:rPr>
                <w:rFonts w:hint="eastAsia" w:asciiTheme="minorEastAsia" w:hAnsiTheme="minorEastAsia" w:eastAsiaTheme="minorEastAsia" w:cstheme="minorEastAsia"/>
                <w:color w:val="auto"/>
                <w:sz w:val="24"/>
                <w:szCs w:val="24"/>
              </w:rPr>
              <w:t>符，</w:t>
            </w: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以他人名义投标的；</w:t>
            </w:r>
          </w:p>
        </w:tc>
        <w:tc>
          <w:tcPr>
            <w:tcW w:w="1997" w:type="dxa"/>
            <w:tcBorders>
              <w:top w:val="single" w:color="auto" w:sz="6" w:space="0"/>
              <w:left w:val="single" w:color="auto" w:sz="6" w:space="0"/>
              <w:bottom w:val="single" w:color="auto" w:sz="6" w:space="0"/>
              <w:right w:val="single" w:color="auto" w:sz="12" w:space="0"/>
            </w:tcBorders>
          </w:tcPr>
          <w:p w14:paraId="39E4FBEA">
            <w:pPr>
              <w:spacing w:line="360" w:lineRule="exact"/>
              <w:rPr>
                <w:rFonts w:asciiTheme="minorEastAsia" w:hAnsiTheme="minorEastAsia" w:eastAsiaTheme="minorEastAsia" w:cstheme="minorEastAsia"/>
                <w:color w:val="auto"/>
                <w:sz w:val="20"/>
                <w:szCs w:val="21"/>
              </w:rPr>
            </w:pPr>
          </w:p>
        </w:tc>
      </w:tr>
      <w:tr w14:paraId="51C63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930" w:type="dxa"/>
            <w:vMerge w:val="continue"/>
            <w:tcBorders>
              <w:left w:val="single" w:color="auto" w:sz="12" w:space="0"/>
              <w:right w:val="single" w:color="auto" w:sz="6" w:space="0"/>
            </w:tcBorders>
            <w:vAlign w:val="center"/>
          </w:tcPr>
          <w:p w14:paraId="4115F359">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47CECE5E">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6633" w:type="dxa"/>
            <w:tcBorders>
              <w:top w:val="single" w:color="auto" w:sz="6" w:space="0"/>
              <w:left w:val="single" w:color="auto" w:sz="6" w:space="0"/>
              <w:bottom w:val="single" w:color="auto" w:sz="6" w:space="0"/>
              <w:right w:val="single" w:color="auto" w:sz="6" w:space="0"/>
            </w:tcBorders>
            <w:vAlign w:val="center"/>
          </w:tcPr>
          <w:p w14:paraId="7E50EDF8">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不存在投标人</w:t>
            </w:r>
            <w:r>
              <w:rPr>
                <w:rFonts w:hint="eastAsia" w:asciiTheme="minorEastAsia" w:hAnsiTheme="minorEastAsia" w:eastAsiaTheme="minorEastAsia" w:cstheme="minorEastAsia"/>
                <w:color w:val="auto"/>
                <w:sz w:val="24"/>
                <w:szCs w:val="24"/>
              </w:rPr>
              <w:t>之间或者</w:t>
            </w: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与采购人串通投标的；</w:t>
            </w:r>
          </w:p>
        </w:tc>
        <w:tc>
          <w:tcPr>
            <w:tcW w:w="1997" w:type="dxa"/>
            <w:tcBorders>
              <w:top w:val="single" w:color="auto" w:sz="6" w:space="0"/>
              <w:left w:val="single" w:color="auto" w:sz="6" w:space="0"/>
              <w:bottom w:val="single" w:color="auto" w:sz="6" w:space="0"/>
              <w:right w:val="single" w:color="auto" w:sz="12" w:space="0"/>
            </w:tcBorders>
          </w:tcPr>
          <w:p w14:paraId="5880A191">
            <w:pPr>
              <w:spacing w:line="360" w:lineRule="exact"/>
              <w:rPr>
                <w:rFonts w:asciiTheme="minorEastAsia" w:hAnsiTheme="minorEastAsia" w:eastAsiaTheme="minorEastAsia" w:cstheme="minorEastAsia"/>
                <w:color w:val="auto"/>
                <w:sz w:val="20"/>
                <w:szCs w:val="21"/>
              </w:rPr>
            </w:pPr>
          </w:p>
        </w:tc>
      </w:tr>
      <w:tr w14:paraId="0E49A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14:paraId="101D8DF3">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14:paraId="4D3A6D6A">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6633" w:type="dxa"/>
            <w:tcBorders>
              <w:top w:val="single" w:color="auto" w:sz="6" w:space="0"/>
              <w:left w:val="single" w:color="auto" w:sz="6" w:space="0"/>
              <w:bottom w:val="single" w:color="auto" w:sz="6" w:space="0"/>
              <w:right w:val="single" w:color="auto" w:sz="6" w:space="0"/>
            </w:tcBorders>
            <w:vAlign w:val="center"/>
          </w:tcPr>
          <w:p w14:paraId="62C29AEE">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履约担保、违约赔偿、变更工程结算等的承诺，符合磋商文件要求的。</w:t>
            </w:r>
          </w:p>
        </w:tc>
        <w:tc>
          <w:tcPr>
            <w:tcW w:w="1997" w:type="dxa"/>
            <w:tcBorders>
              <w:top w:val="single" w:color="auto" w:sz="6" w:space="0"/>
              <w:left w:val="single" w:color="auto" w:sz="6" w:space="0"/>
              <w:bottom w:val="single" w:color="auto" w:sz="6" w:space="0"/>
              <w:right w:val="single" w:color="auto" w:sz="12" w:space="0"/>
            </w:tcBorders>
          </w:tcPr>
          <w:p w14:paraId="7FABC806">
            <w:pPr>
              <w:spacing w:line="360" w:lineRule="exact"/>
              <w:rPr>
                <w:rFonts w:asciiTheme="minorEastAsia" w:hAnsiTheme="minorEastAsia" w:eastAsiaTheme="minorEastAsia" w:cstheme="minorEastAsia"/>
                <w:color w:val="auto"/>
                <w:sz w:val="20"/>
                <w:szCs w:val="21"/>
              </w:rPr>
            </w:pPr>
          </w:p>
        </w:tc>
      </w:tr>
      <w:tr w14:paraId="05441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30" w:type="dxa"/>
            <w:tcBorders>
              <w:top w:val="single" w:color="auto" w:sz="6" w:space="0"/>
              <w:left w:val="single" w:color="auto" w:sz="12" w:space="0"/>
              <w:bottom w:val="single" w:color="auto" w:sz="12" w:space="0"/>
              <w:right w:val="single" w:color="auto" w:sz="6" w:space="0"/>
            </w:tcBorders>
            <w:vAlign w:val="center"/>
          </w:tcPr>
          <w:p w14:paraId="5D2FABAC">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w:t>
            </w:r>
          </w:p>
        </w:tc>
        <w:tc>
          <w:tcPr>
            <w:tcW w:w="7110" w:type="dxa"/>
            <w:gridSpan w:val="2"/>
            <w:tcBorders>
              <w:top w:val="single" w:color="auto" w:sz="6" w:space="0"/>
              <w:left w:val="single" w:color="auto" w:sz="6" w:space="0"/>
              <w:bottom w:val="single" w:color="auto" w:sz="12" w:space="0"/>
              <w:right w:val="single" w:color="auto" w:sz="6" w:space="0"/>
            </w:tcBorders>
          </w:tcPr>
          <w:p w14:paraId="170DB86B">
            <w:pPr>
              <w:autoSpaceDE w:val="0"/>
              <w:autoSpaceDN w:val="0"/>
              <w:adjustRightInd w:val="0"/>
              <w:spacing w:line="36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是否通过评审（通过打√、不通过打×）</w:t>
            </w:r>
          </w:p>
        </w:tc>
        <w:tc>
          <w:tcPr>
            <w:tcW w:w="1997" w:type="dxa"/>
            <w:tcBorders>
              <w:top w:val="single" w:color="auto" w:sz="6" w:space="0"/>
              <w:left w:val="single" w:color="auto" w:sz="6" w:space="0"/>
              <w:bottom w:val="single" w:color="auto" w:sz="12" w:space="0"/>
              <w:right w:val="single" w:color="auto" w:sz="12" w:space="0"/>
            </w:tcBorders>
          </w:tcPr>
          <w:p w14:paraId="667F9D3F">
            <w:pPr>
              <w:spacing w:line="360" w:lineRule="exact"/>
              <w:rPr>
                <w:rFonts w:asciiTheme="minorEastAsia" w:hAnsiTheme="minorEastAsia" w:eastAsiaTheme="minorEastAsia" w:cstheme="minorEastAsia"/>
                <w:color w:val="auto"/>
                <w:sz w:val="20"/>
                <w:szCs w:val="21"/>
              </w:rPr>
            </w:pPr>
          </w:p>
        </w:tc>
      </w:tr>
    </w:tbl>
    <w:p w14:paraId="2B330FFA">
      <w:pPr>
        <w:tabs>
          <w:tab w:val="left" w:pos="900"/>
        </w:tabs>
        <w:spacing w:line="360" w:lineRule="auto"/>
        <w:rPr>
          <w:rFonts w:asciiTheme="minorEastAsia" w:hAnsiTheme="minorEastAsia" w:eastAsiaTheme="minorEastAsia" w:cstheme="minorEastAsia"/>
          <w:color w:val="auto"/>
          <w:szCs w:val="21"/>
        </w:rPr>
      </w:pPr>
    </w:p>
    <w:p w14:paraId="280EFDFB">
      <w:pPr>
        <w:pStyle w:val="21"/>
        <w:spacing w:line="360" w:lineRule="auto"/>
        <w:ind w:firstLine="480"/>
        <w:rPr>
          <w:rFonts w:asciiTheme="minorEastAsia" w:hAnsiTheme="minorEastAsia" w:eastAsiaTheme="minorEastAsia" w:cstheme="minorEastAsia"/>
          <w:color w:val="auto"/>
          <w:szCs w:val="24"/>
          <w:lang w:val="zh-CN"/>
        </w:rPr>
      </w:pPr>
    </w:p>
    <w:p w14:paraId="2F757790">
      <w:pPr>
        <w:pStyle w:val="21"/>
        <w:spacing w:line="360" w:lineRule="auto"/>
        <w:ind w:firstLine="480"/>
        <w:rPr>
          <w:rFonts w:asciiTheme="minorEastAsia" w:hAnsiTheme="minorEastAsia" w:eastAsiaTheme="minorEastAsia" w:cstheme="minorEastAsia"/>
          <w:color w:val="auto"/>
          <w:szCs w:val="24"/>
          <w:lang w:val="zh-CN"/>
        </w:rPr>
      </w:pPr>
    </w:p>
    <w:p w14:paraId="4D2F68CA">
      <w:pPr>
        <w:pStyle w:val="21"/>
        <w:spacing w:line="360" w:lineRule="auto"/>
        <w:ind w:firstLine="480"/>
        <w:rPr>
          <w:rFonts w:asciiTheme="minorEastAsia" w:hAnsiTheme="minorEastAsia" w:eastAsiaTheme="minorEastAsia" w:cstheme="minorEastAsia"/>
          <w:color w:val="auto"/>
          <w:szCs w:val="24"/>
          <w:lang w:val="zh-CN"/>
        </w:rPr>
      </w:pPr>
    </w:p>
    <w:p w14:paraId="32B49C61">
      <w:pPr>
        <w:rPr>
          <w:color w:val="auto"/>
          <w:lang w:val="zh-CN"/>
        </w:rPr>
      </w:pPr>
    </w:p>
    <w:p w14:paraId="4785F309">
      <w:pPr>
        <w:pStyle w:val="28"/>
        <w:rPr>
          <w:color w:val="auto"/>
          <w:lang w:val="zh-CN"/>
        </w:rPr>
      </w:pPr>
    </w:p>
    <w:p w14:paraId="460265A2">
      <w:pPr>
        <w:pStyle w:val="28"/>
        <w:rPr>
          <w:color w:val="auto"/>
          <w:lang w:val="zh-CN"/>
        </w:rPr>
      </w:pPr>
    </w:p>
    <w:p w14:paraId="0204D89B">
      <w:pPr>
        <w:pStyle w:val="28"/>
        <w:rPr>
          <w:color w:val="auto"/>
          <w:lang w:val="zh-CN"/>
        </w:rPr>
      </w:pPr>
    </w:p>
    <w:p w14:paraId="2DF3509B">
      <w:pPr>
        <w:pStyle w:val="28"/>
        <w:rPr>
          <w:color w:val="auto"/>
          <w:lang w:val="zh-CN"/>
        </w:rPr>
      </w:pPr>
    </w:p>
    <w:p w14:paraId="30FA375B">
      <w:pPr>
        <w:pStyle w:val="28"/>
        <w:rPr>
          <w:color w:val="auto"/>
          <w:lang w:val="zh-CN"/>
        </w:rPr>
      </w:pPr>
    </w:p>
    <w:p w14:paraId="5BFE1964">
      <w:pPr>
        <w:pStyle w:val="21"/>
        <w:spacing w:line="360" w:lineRule="auto"/>
        <w:ind w:firstLine="480"/>
        <w:rPr>
          <w:rFonts w:asciiTheme="minorEastAsia" w:hAnsiTheme="minorEastAsia" w:eastAsiaTheme="minorEastAsia" w:cstheme="minorEastAsia"/>
          <w:color w:val="auto"/>
          <w:szCs w:val="24"/>
          <w:lang w:val="zh-CN"/>
        </w:rPr>
      </w:pPr>
    </w:p>
    <w:p w14:paraId="7A7ACE51">
      <w:pPr>
        <w:pStyle w:val="21"/>
        <w:spacing w:line="360" w:lineRule="auto"/>
        <w:ind w:firstLine="0" w:firstLineChars="0"/>
        <w:jc w:val="center"/>
        <w:rPr>
          <w:rFonts w:asciiTheme="minorEastAsia" w:hAnsiTheme="minorEastAsia" w:eastAsiaTheme="minorEastAsia" w:cstheme="minorEastAsia"/>
          <w:b/>
          <w:color w:val="auto"/>
          <w:sz w:val="32"/>
          <w:szCs w:val="24"/>
          <w:lang w:val="zh-CN"/>
        </w:rPr>
      </w:pPr>
      <w:r>
        <w:rPr>
          <w:rFonts w:hint="eastAsia" w:asciiTheme="minorEastAsia" w:hAnsiTheme="minorEastAsia" w:eastAsiaTheme="minorEastAsia" w:cstheme="minorEastAsia"/>
          <w:b/>
          <w:color w:val="auto"/>
          <w:sz w:val="32"/>
          <w:szCs w:val="24"/>
          <w:lang w:val="zh-CN"/>
        </w:rPr>
        <w:t>详细评审内容标准</w:t>
      </w:r>
    </w:p>
    <w:tbl>
      <w:tblPr>
        <w:tblStyle w:val="22"/>
        <w:tblpPr w:leftFromText="180" w:rightFromText="180" w:vertAnchor="text" w:horzAnchor="page" w:tblpX="1100" w:tblpY="208"/>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1"/>
        <w:gridCol w:w="850"/>
        <w:gridCol w:w="6567"/>
      </w:tblGrid>
      <w:tr w14:paraId="4546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Align w:val="center"/>
          </w:tcPr>
          <w:p w14:paraId="59A52BC9">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2521" w:type="dxa"/>
            <w:gridSpan w:val="2"/>
            <w:vAlign w:val="center"/>
          </w:tcPr>
          <w:p w14:paraId="41A2C2BB">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权重值%</w:t>
            </w:r>
          </w:p>
        </w:tc>
        <w:tc>
          <w:tcPr>
            <w:tcW w:w="6567" w:type="dxa"/>
            <w:vAlign w:val="center"/>
          </w:tcPr>
          <w:p w14:paraId="3B92F101">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评分标准说明</w:t>
            </w:r>
          </w:p>
        </w:tc>
      </w:tr>
      <w:tr w14:paraId="0DB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763" w:type="dxa"/>
            <w:gridSpan w:val="4"/>
            <w:vAlign w:val="center"/>
          </w:tcPr>
          <w:p w14:paraId="66E3BB0F">
            <w:pPr>
              <w:numPr>
                <w:ilvl w:val="0"/>
                <w:numId w:val="3"/>
              </w:num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经济标报价部分权重K1=</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0%；2、商务标权重K2=10%；3、技术标权重K2=</w:t>
            </w: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0%；  K1+K2+K3=100%</w:t>
            </w:r>
          </w:p>
        </w:tc>
      </w:tr>
      <w:tr w14:paraId="4FE7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763" w:type="dxa"/>
            <w:gridSpan w:val="4"/>
            <w:vAlign w:val="center"/>
          </w:tcPr>
          <w:p w14:paraId="32281A1A">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一、经济标报价</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0分</w:t>
            </w:r>
          </w:p>
        </w:tc>
      </w:tr>
      <w:tr w14:paraId="237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675" w:type="dxa"/>
            <w:vAlign w:val="center"/>
          </w:tcPr>
          <w:p w14:paraId="0E1FD231">
            <w:pPr>
              <w:widowControl/>
              <w:spacing w:line="360" w:lineRule="exact"/>
              <w:ind w:left="630" w:hanging="630" w:hangingChars="300"/>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w:t>
            </w:r>
          </w:p>
        </w:tc>
        <w:tc>
          <w:tcPr>
            <w:tcW w:w="2521" w:type="dxa"/>
            <w:gridSpan w:val="2"/>
            <w:vAlign w:val="center"/>
          </w:tcPr>
          <w:p w14:paraId="02EC333B">
            <w:pPr>
              <w:spacing w:line="360" w:lineRule="exact"/>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 分</w:t>
            </w:r>
          </w:p>
        </w:tc>
        <w:tc>
          <w:tcPr>
            <w:tcW w:w="6567" w:type="dxa"/>
            <w:vAlign w:val="center"/>
          </w:tcPr>
          <w:p w14:paraId="42E7F963">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按照财政部《政府采购竞争性磋商采购方式管理暂行办法》（财库[2014]214 </w:t>
            </w:r>
            <w:r>
              <w:rPr>
                <w:rFonts w:hint="eastAsia" w:asciiTheme="minorEastAsia" w:hAnsiTheme="minorEastAsia" w:eastAsiaTheme="minorEastAsia" w:cstheme="minorEastAsia"/>
                <w:color w:val="auto"/>
                <w:spacing w:val="-4"/>
                <w:szCs w:val="21"/>
              </w:rPr>
              <w:t>号）的有关规定：价格分采用低价优先法计算，即满足竞争</w:t>
            </w:r>
            <w:r>
              <w:rPr>
                <w:rFonts w:hint="eastAsia" w:asciiTheme="minorEastAsia" w:hAnsiTheme="minorEastAsia" w:eastAsiaTheme="minorEastAsia" w:cstheme="minorEastAsia"/>
                <w:color w:val="auto"/>
                <w:spacing w:val="-117"/>
                <w:szCs w:val="21"/>
              </w:rPr>
              <w:t xml:space="preserve"> </w:t>
            </w:r>
            <w:r>
              <w:rPr>
                <w:rFonts w:hint="eastAsia" w:asciiTheme="minorEastAsia" w:hAnsiTheme="minorEastAsia" w:eastAsiaTheme="minorEastAsia" w:cstheme="minorEastAsia"/>
                <w:color w:val="auto"/>
                <w:szCs w:val="21"/>
              </w:rPr>
              <w:t xml:space="preserve">性磋商文件要求且最后报价最低的投标人的价格为磋商基准价，其价格分为满分。其他投标人的价格分统一按照下列公式计算： 磋商报价得分=（磋商基准价/最后磋商报价）×价格权值×100 </w:t>
            </w:r>
          </w:p>
        </w:tc>
      </w:tr>
      <w:tr w14:paraId="0CE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763" w:type="dxa"/>
            <w:gridSpan w:val="4"/>
            <w:tcBorders>
              <w:top w:val="single" w:color="auto" w:sz="4" w:space="0"/>
              <w:left w:val="single" w:color="auto" w:sz="4" w:space="0"/>
              <w:bottom w:val="single" w:color="auto" w:sz="4" w:space="0"/>
              <w:right w:val="single" w:color="auto" w:sz="4" w:space="0"/>
            </w:tcBorders>
            <w:vAlign w:val="center"/>
          </w:tcPr>
          <w:p w14:paraId="5C20BE84">
            <w:pPr>
              <w:pStyle w:val="4"/>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二、商务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标</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rPr>
              <w:t>分</w:t>
            </w:r>
          </w:p>
        </w:tc>
      </w:tr>
      <w:tr w14:paraId="63AB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75" w:type="dxa"/>
            <w:tcBorders>
              <w:left w:val="single" w:color="auto" w:sz="4" w:space="0"/>
              <w:right w:val="single" w:color="auto" w:sz="4" w:space="0"/>
            </w:tcBorders>
            <w:vAlign w:val="center"/>
          </w:tcPr>
          <w:p w14:paraId="1E12FFF5">
            <w:pPr>
              <w:tabs>
                <w:tab w:val="left" w:pos="749"/>
                <w:tab w:val="left" w:pos="3346"/>
                <w:tab w:val="left" w:pos="3873"/>
                <w:tab w:val="left" w:pos="9611"/>
              </w:tabs>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671" w:type="dxa"/>
            <w:tcBorders>
              <w:left w:val="single" w:color="auto" w:sz="4" w:space="0"/>
              <w:right w:val="single" w:color="auto" w:sz="4" w:space="0"/>
            </w:tcBorders>
            <w:vAlign w:val="center"/>
          </w:tcPr>
          <w:p w14:paraId="29E58E14">
            <w:pPr>
              <w:tabs>
                <w:tab w:val="left" w:pos="749"/>
                <w:tab w:val="left" w:pos="3346"/>
                <w:tab w:val="left" w:pos="3873"/>
                <w:tab w:val="left" w:pos="9611"/>
              </w:tabs>
              <w:spacing w:line="360" w:lineRule="exact"/>
              <w:ind w:left="22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14:paraId="52B7E31F">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分值</w:t>
            </w:r>
          </w:p>
        </w:tc>
        <w:tc>
          <w:tcPr>
            <w:tcW w:w="6567" w:type="dxa"/>
            <w:tcBorders>
              <w:top w:val="single" w:color="auto" w:sz="4" w:space="0"/>
              <w:left w:val="single" w:color="auto" w:sz="4" w:space="0"/>
              <w:right w:val="single" w:color="auto" w:sz="4" w:space="0"/>
            </w:tcBorders>
            <w:vAlign w:val="center"/>
          </w:tcPr>
          <w:p w14:paraId="423CA3EF">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评审内容</w:t>
            </w:r>
          </w:p>
        </w:tc>
      </w:tr>
      <w:tr w14:paraId="30A8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right w:val="single" w:color="auto" w:sz="4" w:space="0"/>
            </w:tcBorders>
            <w:vAlign w:val="center"/>
          </w:tcPr>
          <w:p w14:paraId="5B8E9AC5">
            <w:pPr>
              <w:tabs>
                <w:tab w:val="left" w:pos="761"/>
                <w:tab w:val="left" w:pos="1662"/>
                <w:tab w:val="left" w:pos="3363"/>
                <w:tab w:val="left" w:pos="3887"/>
                <w:tab w:val="left" w:pos="9649"/>
              </w:tabs>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671" w:type="dxa"/>
            <w:tcBorders>
              <w:top w:val="single" w:color="auto" w:sz="4" w:space="0"/>
              <w:left w:val="single" w:color="auto" w:sz="4" w:space="0"/>
              <w:right w:val="single" w:color="auto" w:sz="4" w:space="0"/>
            </w:tcBorders>
            <w:vAlign w:val="center"/>
          </w:tcPr>
          <w:p w14:paraId="18C31C7F">
            <w:pPr>
              <w:tabs>
                <w:tab w:val="left" w:pos="761"/>
                <w:tab w:val="left" w:pos="1662"/>
                <w:tab w:val="left" w:pos="3363"/>
                <w:tab w:val="left" w:pos="3887"/>
                <w:tab w:val="left" w:pos="9649"/>
              </w:tabs>
              <w:jc w:val="center"/>
              <w:rPr>
                <w:rFonts w:asciiTheme="minorEastAsia" w:hAnsiTheme="minorEastAsia" w:eastAsiaTheme="minorEastAsia" w:cstheme="minorEastAsia"/>
                <w:color w:val="auto"/>
                <w:szCs w:val="18"/>
              </w:rPr>
            </w:pPr>
            <w:r>
              <w:rPr>
                <w:rFonts w:hint="eastAsia" w:asciiTheme="minorEastAsia" w:hAnsiTheme="minorEastAsia" w:eastAsiaTheme="minorEastAsia" w:cstheme="minorEastAsia"/>
                <w:color w:val="auto"/>
                <w:szCs w:val="18"/>
              </w:rPr>
              <w:t>投标人近3 年类似业绩</w:t>
            </w:r>
          </w:p>
        </w:tc>
        <w:tc>
          <w:tcPr>
            <w:tcW w:w="850" w:type="dxa"/>
            <w:tcBorders>
              <w:top w:val="single" w:color="auto" w:sz="4" w:space="0"/>
              <w:left w:val="single" w:color="auto" w:sz="4" w:space="0"/>
              <w:bottom w:val="single" w:color="auto" w:sz="4" w:space="0"/>
              <w:right w:val="single" w:color="auto" w:sz="4" w:space="0"/>
            </w:tcBorders>
            <w:vAlign w:val="center"/>
          </w:tcPr>
          <w:p w14:paraId="0E4E6427">
            <w:pPr>
              <w:tabs>
                <w:tab w:val="left" w:pos="761"/>
                <w:tab w:val="left" w:pos="1662"/>
                <w:tab w:val="left" w:pos="3363"/>
                <w:tab w:val="left" w:pos="3887"/>
                <w:tab w:val="left" w:pos="9649"/>
              </w:tabs>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lang w:val="en-US" w:eastAsia="zh-CN"/>
              </w:rPr>
              <w:t>4分</w:t>
            </w:r>
          </w:p>
        </w:tc>
        <w:tc>
          <w:tcPr>
            <w:tcW w:w="6567" w:type="dxa"/>
            <w:tcBorders>
              <w:top w:val="single" w:color="auto" w:sz="4" w:space="0"/>
              <w:left w:val="single" w:color="auto" w:sz="4" w:space="0"/>
              <w:bottom w:val="single" w:color="auto" w:sz="4" w:space="0"/>
              <w:right w:val="single" w:color="auto" w:sz="4" w:space="0"/>
            </w:tcBorders>
            <w:vAlign w:val="center"/>
          </w:tcPr>
          <w:p w14:paraId="73AB5704">
            <w:pPr>
              <w:tabs>
                <w:tab w:val="left" w:pos="761"/>
                <w:tab w:val="left" w:pos="1662"/>
                <w:tab w:val="left" w:pos="3363"/>
                <w:tab w:val="left" w:pos="3887"/>
                <w:tab w:val="left" w:pos="9649"/>
              </w:tabs>
              <w:ind w:left="43"/>
              <w:rPr>
                <w:rFonts w:hint="default" w:asciiTheme="minorEastAsia" w:hAnsiTheme="minorEastAsia" w:eastAsiaTheme="minorEastAsia" w:cstheme="minorEastAsia"/>
                <w:color w:val="auto"/>
                <w:sz w:val="24"/>
                <w:szCs w:val="24"/>
                <w:lang w:val="en-US" w:eastAsia="zh-CN"/>
              </w:rPr>
            </w:pPr>
            <w:r>
              <w:rPr>
                <w:rFonts w:asciiTheme="minorEastAsia" w:hAnsiTheme="minorEastAsia" w:eastAsiaTheme="minorEastAsia" w:cstheme="minorEastAsia"/>
                <w:color w:val="auto"/>
                <w:sz w:val="21"/>
                <w:szCs w:val="21"/>
              </w:rPr>
              <w:t>近3年（202</w:t>
            </w:r>
            <w:r>
              <w:rPr>
                <w:rFonts w:hint="eastAsia" w:asciiTheme="minorEastAsia" w:hAnsiTheme="minorEastAsia" w:eastAsiaTheme="minorEastAsia" w:cstheme="minorEastAsia"/>
                <w:color w:val="auto"/>
                <w:sz w:val="21"/>
                <w:szCs w:val="21"/>
                <w:lang w:val="en-US" w:eastAsia="zh-CN"/>
              </w:rPr>
              <w:t>2</w:t>
            </w:r>
            <w:r>
              <w:rPr>
                <w:rFonts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asciiTheme="minorEastAsia" w:hAnsiTheme="minorEastAsia" w:eastAsiaTheme="minorEastAsia" w:cstheme="minorEastAsia"/>
                <w:color w:val="auto"/>
                <w:sz w:val="21"/>
                <w:szCs w:val="21"/>
              </w:rPr>
              <w:t>月1日至投标截止日期）类似的业绩，每项业绩得</w:t>
            </w:r>
            <w:r>
              <w:rPr>
                <w:rFonts w:hint="eastAsia" w:asciiTheme="minorEastAsia" w:hAnsiTheme="minorEastAsia" w:eastAsiaTheme="minorEastAsia" w:cstheme="minorEastAsia"/>
                <w:color w:val="auto"/>
                <w:sz w:val="21"/>
                <w:szCs w:val="21"/>
                <w:lang w:val="en-US" w:eastAsia="zh-CN"/>
              </w:rPr>
              <w:t>1</w:t>
            </w:r>
            <w:r>
              <w:rPr>
                <w:rFonts w:asciiTheme="minorEastAsia" w:hAnsiTheme="minorEastAsia" w:eastAsiaTheme="minorEastAsia" w:cstheme="minorEastAsia"/>
                <w:color w:val="auto"/>
                <w:sz w:val="21"/>
                <w:szCs w:val="21"/>
              </w:rPr>
              <w:t xml:space="preserve"> 分，共4分，得满为止（提供中标通知书及合同）。</w:t>
            </w:r>
          </w:p>
        </w:tc>
      </w:tr>
      <w:tr w14:paraId="00FC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bottom w:val="single" w:color="auto" w:sz="4" w:space="0"/>
              <w:right w:val="single" w:color="auto" w:sz="4" w:space="0"/>
            </w:tcBorders>
            <w:vAlign w:val="center"/>
          </w:tcPr>
          <w:p w14:paraId="369BF89F">
            <w:pPr>
              <w:tabs>
                <w:tab w:val="left" w:pos="1642"/>
                <w:tab w:val="left" w:pos="3363"/>
                <w:tab w:val="left" w:pos="3887"/>
                <w:tab w:val="left" w:pos="9649"/>
              </w:tabs>
              <w:ind w:left="43" w:firstLine="210" w:firstLineChars="1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p>
        </w:tc>
        <w:tc>
          <w:tcPr>
            <w:tcW w:w="1671" w:type="dxa"/>
            <w:tcBorders>
              <w:top w:val="single" w:color="auto" w:sz="4" w:space="0"/>
              <w:left w:val="single" w:color="auto" w:sz="4" w:space="0"/>
              <w:bottom w:val="single" w:color="auto" w:sz="4" w:space="0"/>
              <w:right w:val="single" w:color="auto" w:sz="4" w:space="0"/>
            </w:tcBorders>
            <w:vAlign w:val="center"/>
          </w:tcPr>
          <w:p w14:paraId="05E01AE6">
            <w:pPr>
              <w:tabs>
                <w:tab w:val="left" w:pos="1642"/>
                <w:tab w:val="left" w:pos="3363"/>
                <w:tab w:val="left" w:pos="3887"/>
                <w:tab w:val="left" w:pos="9649"/>
              </w:tabs>
              <w:ind w:left="43"/>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项目管理人员组成</w:t>
            </w:r>
          </w:p>
        </w:tc>
        <w:tc>
          <w:tcPr>
            <w:tcW w:w="850" w:type="dxa"/>
            <w:tcBorders>
              <w:top w:val="single" w:color="auto" w:sz="4" w:space="0"/>
              <w:left w:val="single" w:color="auto" w:sz="4" w:space="0"/>
              <w:bottom w:val="single" w:color="auto" w:sz="4" w:space="0"/>
              <w:right w:val="single" w:color="auto" w:sz="4" w:space="0"/>
            </w:tcBorders>
            <w:vAlign w:val="center"/>
          </w:tcPr>
          <w:p w14:paraId="39760ABD">
            <w:pPr>
              <w:tabs>
                <w:tab w:val="left" w:pos="741"/>
                <w:tab w:val="left" w:pos="1642"/>
                <w:tab w:val="left" w:pos="3363"/>
                <w:tab w:val="left" w:pos="3887"/>
                <w:tab w:val="left" w:pos="9649"/>
              </w:tabs>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rPr>
              <w:t>4</w:t>
            </w:r>
            <w:r>
              <w:rPr>
                <w:rFonts w:hint="eastAsia" w:asciiTheme="minorEastAsia" w:hAnsiTheme="minorEastAsia" w:eastAsiaTheme="minorEastAsia" w:cstheme="minorEastAsia"/>
                <w:color w:val="auto"/>
                <w:szCs w:val="18"/>
                <w:lang w:val="en-US" w:eastAsia="zh-CN"/>
              </w:rPr>
              <w:t>分</w:t>
            </w:r>
          </w:p>
        </w:tc>
        <w:tc>
          <w:tcPr>
            <w:tcW w:w="6567" w:type="dxa"/>
            <w:tcBorders>
              <w:top w:val="single" w:color="auto" w:sz="4" w:space="0"/>
              <w:left w:val="single" w:color="auto" w:sz="4" w:space="0"/>
              <w:bottom w:val="single" w:color="auto" w:sz="4" w:space="0"/>
              <w:right w:val="single" w:color="auto" w:sz="4" w:space="0"/>
            </w:tcBorders>
            <w:vAlign w:val="center"/>
          </w:tcPr>
          <w:p w14:paraId="1B954E5F">
            <w:pPr>
              <w:tabs>
                <w:tab w:val="left" w:pos="1642"/>
                <w:tab w:val="left" w:pos="3363"/>
                <w:tab w:val="left" w:pos="3887"/>
                <w:tab w:val="left" w:pos="9649"/>
              </w:tabs>
              <w:ind w:left="4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Cs w:val="21"/>
              </w:rPr>
              <w:t>本项目管理机构除项目经理以外，还应当包括技术负责人、施工员、安全员、质检员等岗位。有与项目规模大小相匹配的管理机构且相应岗位 证书齐全的得4分；。岗位或证书每缺少1个扣1分，未提供不得分</w:t>
            </w:r>
            <w:r>
              <w:rPr>
                <w:rFonts w:hint="eastAsia" w:asciiTheme="minorEastAsia" w:hAnsiTheme="minorEastAsia" w:eastAsiaTheme="minorEastAsia" w:cstheme="minorEastAsia"/>
                <w:color w:val="auto"/>
                <w:szCs w:val="21"/>
                <w:lang w:eastAsia="zh-CN"/>
              </w:rPr>
              <w:t>。</w:t>
            </w:r>
          </w:p>
        </w:tc>
      </w:tr>
      <w:tr w14:paraId="68A2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5" w:type="dxa"/>
            <w:tcBorders>
              <w:top w:val="single" w:color="auto" w:sz="4" w:space="0"/>
              <w:left w:val="single" w:color="auto" w:sz="4" w:space="0"/>
              <w:bottom w:val="single" w:color="auto" w:sz="4" w:space="0"/>
              <w:right w:val="single" w:color="auto" w:sz="4" w:space="0"/>
            </w:tcBorders>
            <w:vAlign w:val="center"/>
          </w:tcPr>
          <w:p w14:paraId="755A394B">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671" w:type="dxa"/>
            <w:tcBorders>
              <w:top w:val="single" w:color="auto" w:sz="4" w:space="0"/>
              <w:left w:val="single" w:color="auto" w:sz="4" w:space="0"/>
              <w:bottom w:val="single" w:color="auto" w:sz="4" w:space="0"/>
              <w:right w:val="single" w:color="auto" w:sz="4" w:space="0"/>
            </w:tcBorders>
            <w:vAlign w:val="center"/>
          </w:tcPr>
          <w:p w14:paraId="2E2B7268">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工程概况及特点</w:t>
            </w:r>
          </w:p>
        </w:tc>
        <w:tc>
          <w:tcPr>
            <w:tcW w:w="850" w:type="dxa"/>
            <w:tcBorders>
              <w:top w:val="single" w:color="auto" w:sz="4" w:space="0"/>
              <w:left w:val="single" w:color="auto" w:sz="4" w:space="0"/>
              <w:bottom w:val="single" w:color="auto" w:sz="4" w:space="0"/>
              <w:right w:val="single" w:color="auto" w:sz="4" w:space="0"/>
            </w:tcBorders>
            <w:vAlign w:val="center"/>
          </w:tcPr>
          <w:p w14:paraId="50941EEE">
            <w:pPr>
              <w:widowControl/>
              <w:spacing w:line="36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2分</w:t>
            </w:r>
          </w:p>
        </w:tc>
        <w:tc>
          <w:tcPr>
            <w:tcW w:w="6567" w:type="dxa"/>
            <w:tcBorders>
              <w:top w:val="single" w:color="auto" w:sz="4" w:space="0"/>
              <w:left w:val="single" w:color="auto" w:sz="4" w:space="0"/>
              <w:bottom w:val="single" w:color="auto" w:sz="4" w:space="0"/>
              <w:right w:val="single" w:color="auto" w:sz="4" w:space="0"/>
            </w:tcBorders>
            <w:vAlign w:val="center"/>
          </w:tcPr>
          <w:p w14:paraId="6E59CD04">
            <w:pPr>
              <w:pStyle w:val="35"/>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根据投标投标文件与磋商文件要求的满足程度，工程总体概况及特点内 容完整，分析叙述清楚整且完全符合项目实际情况的得2分，每有一项 缺项或漏项扣1分。每有一处瑕疵或缺陷扣0.5分，扣完为止。</w:t>
            </w:r>
          </w:p>
        </w:tc>
      </w:tr>
      <w:tr w14:paraId="391A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5633CA68">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w:t>
            </w:r>
          </w:p>
        </w:tc>
        <w:tc>
          <w:tcPr>
            <w:tcW w:w="1671" w:type="dxa"/>
            <w:vAlign w:val="center"/>
          </w:tcPr>
          <w:p w14:paraId="6A81106D">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施工准备计划</w:t>
            </w:r>
          </w:p>
        </w:tc>
        <w:tc>
          <w:tcPr>
            <w:tcW w:w="850" w:type="dxa"/>
            <w:vAlign w:val="center"/>
          </w:tcPr>
          <w:p w14:paraId="01BDCED7">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3分</w:t>
            </w:r>
          </w:p>
        </w:tc>
        <w:tc>
          <w:tcPr>
            <w:tcW w:w="6567" w:type="dxa"/>
            <w:vAlign w:val="center"/>
          </w:tcPr>
          <w:p w14:paraId="4C3FB1A8">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据投标单位提供的施工准备计划，包括但不限于: 1、施工技术、现场管理计划应能充分保证工程需要； 2、资源投入计划、施工部署、施工方法与进度计划能够相互呼应满足 施工需要； 3、物资储备能充分保证工程需要。 以上内容完整可行、符合项目实际情况的得3分；每有一项缺项或漏项 扣1分。每有一处瑕疵或缺陷扣0.5分，扣完为止。</w:t>
            </w:r>
          </w:p>
        </w:tc>
      </w:tr>
      <w:tr w14:paraId="702E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238FA52C">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5</w:t>
            </w:r>
          </w:p>
        </w:tc>
        <w:tc>
          <w:tcPr>
            <w:tcW w:w="1671" w:type="dxa"/>
            <w:vAlign w:val="center"/>
          </w:tcPr>
          <w:p w14:paraId="6D1F1259">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施工方案</w:t>
            </w:r>
          </w:p>
        </w:tc>
        <w:tc>
          <w:tcPr>
            <w:tcW w:w="850" w:type="dxa"/>
            <w:vAlign w:val="center"/>
          </w:tcPr>
          <w:p w14:paraId="0ABF3D56">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10分</w:t>
            </w:r>
          </w:p>
        </w:tc>
        <w:tc>
          <w:tcPr>
            <w:tcW w:w="6567" w:type="dxa"/>
            <w:vAlign w:val="center"/>
          </w:tcPr>
          <w:p w14:paraId="32E5EEA2">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根据投标单位提供的实施方案，包括但不限于： 1、对项目总体概况表述清晰、完整，符合工程实际情况； 2、部署及措施先进、可靠； 3、针对项目的重点、难点分析透彻，解决方案切实可行； 4、施工方案布置有针对性、满足施工需要，符合安全、文明生产要求 等； 5、提高生产率、缩短工期、提高质量、降低消耗、减轻劳动强度。 以上内容方案完整、可行、准确，完全符合项目实际情况的得10分； 每有一项缺项或漏项扣2分。每有一处瑕疵或缺陷扣1分，扣完为止。</w:t>
            </w:r>
          </w:p>
        </w:tc>
      </w:tr>
      <w:tr w14:paraId="7AE0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6FC4AC54">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w:t>
            </w:r>
          </w:p>
        </w:tc>
        <w:tc>
          <w:tcPr>
            <w:tcW w:w="1671" w:type="dxa"/>
            <w:vAlign w:val="center"/>
          </w:tcPr>
          <w:p w14:paraId="3492727E">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施工进度计划</w:t>
            </w:r>
          </w:p>
        </w:tc>
        <w:tc>
          <w:tcPr>
            <w:tcW w:w="850" w:type="dxa"/>
            <w:vAlign w:val="center"/>
          </w:tcPr>
          <w:p w14:paraId="046106E4">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8分</w:t>
            </w:r>
          </w:p>
        </w:tc>
        <w:tc>
          <w:tcPr>
            <w:tcW w:w="6567" w:type="dxa"/>
            <w:vAlign w:val="center"/>
          </w:tcPr>
          <w:p w14:paraId="6B9FCB96">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根据投标单位提供的施工进度，包括但不限于: 1、总工期及节点工期满足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要求； 2、进度计划应在空间和时间上做合理的统筹安排且符合施工的科学规 律。 3、施工进度计划内容全面，线路清晰、准确、完整，计划编制合理、 可行； 4、进度计划的措施有力、合理、可行。 以上内容完整、科学、符合项目实际情况的得8分；每有一项缺项或漏 项扣2分，每有一处瑕疵或缺陷扣1分，扣完为止。</w:t>
            </w:r>
          </w:p>
        </w:tc>
      </w:tr>
      <w:tr w14:paraId="3643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CA2886B">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7</w:t>
            </w:r>
          </w:p>
        </w:tc>
        <w:tc>
          <w:tcPr>
            <w:tcW w:w="1671" w:type="dxa"/>
            <w:vAlign w:val="center"/>
          </w:tcPr>
          <w:p w14:paraId="4D3E2DAB">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劳动力用量计划</w:t>
            </w:r>
          </w:p>
        </w:tc>
        <w:tc>
          <w:tcPr>
            <w:tcW w:w="850" w:type="dxa"/>
            <w:vAlign w:val="center"/>
          </w:tcPr>
          <w:p w14:paraId="1BBC91E1">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4C3ACCFB">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根据投标单位提供的劳动力用量计划，包括但不限于: 1、劳动力用量计划须根据工程进度计划的安排计算，并与工程进度计 划相一致； 2、劳动力用量计划降低消耗、减轻劳动强度。 以上内容完整、科学、符合项目实际情况的得4分；每有一项缺项或漏项扣2分，每有一处瑕疵或缺陷扣1分，扣完为止。</w:t>
            </w:r>
          </w:p>
        </w:tc>
      </w:tr>
      <w:tr w14:paraId="4B32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32A3DA02">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w:t>
            </w:r>
          </w:p>
        </w:tc>
        <w:tc>
          <w:tcPr>
            <w:tcW w:w="1671" w:type="dxa"/>
            <w:vAlign w:val="center"/>
          </w:tcPr>
          <w:p w14:paraId="7CFD264F">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材料用量计划</w:t>
            </w:r>
          </w:p>
        </w:tc>
        <w:tc>
          <w:tcPr>
            <w:tcW w:w="850" w:type="dxa"/>
            <w:vAlign w:val="center"/>
          </w:tcPr>
          <w:p w14:paraId="1E918B96">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60E4D8C2">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根据投标单位提供的材料用量计划，包括但不限于: 1、材料用量计划与施工进度计划相呼应且满足施工需要； 2、周转材料与主体搭配周全合理。 以上内容完整、科学、符合项目实际情况的得4分；每有一项缺项或漏 项扣2分，每有一处瑕疵或缺陷扣1分，扣完为止。</w:t>
            </w:r>
          </w:p>
        </w:tc>
      </w:tr>
      <w:tr w14:paraId="38EB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5A7C2FD5">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9</w:t>
            </w:r>
          </w:p>
        </w:tc>
        <w:tc>
          <w:tcPr>
            <w:tcW w:w="1671" w:type="dxa"/>
            <w:vAlign w:val="center"/>
          </w:tcPr>
          <w:p w14:paraId="002340F1">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施工平面图</w:t>
            </w:r>
          </w:p>
        </w:tc>
        <w:tc>
          <w:tcPr>
            <w:tcW w:w="850" w:type="dxa"/>
            <w:vAlign w:val="center"/>
          </w:tcPr>
          <w:p w14:paraId="1B5D80C0">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14:paraId="15B8E6E7">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根据投标单位提供的施工平面，包括但不限于: 1、施工平面图，符合工程实际，布置紧凑； 2、总体布局便于施工和管理并符合劳保、安全要求。 以上内容合理、科学、符合项目实际情况的得6分；每有一项缺项或漏 项扣3分，每有一处瑕疵或缺陷扣1分，扣完为止</w:t>
            </w:r>
          </w:p>
        </w:tc>
      </w:tr>
      <w:tr w14:paraId="712E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4FFD84E6">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w:t>
            </w:r>
          </w:p>
        </w:tc>
        <w:tc>
          <w:tcPr>
            <w:tcW w:w="1671" w:type="dxa"/>
            <w:vAlign w:val="center"/>
          </w:tcPr>
          <w:p w14:paraId="1CD87E3A">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机械设备用量计划</w:t>
            </w:r>
          </w:p>
        </w:tc>
        <w:tc>
          <w:tcPr>
            <w:tcW w:w="850" w:type="dxa"/>
            <w:vAlign w:val="center"/>
          </w:tcPr>
          <w:p w14:paraId="6051BF36">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14:paraId="3EE1F7BD">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根据投标单位提供的机械设备用量计划，包括但不限于: 1、根据项目情况，施工机械投入与施工季度计划相呼应且能满足工 序衔接的要求； 2、施工机械与主体搭配周全合理。 以上内容完整、科学、符合项目实际情况的得4分；每有一项缺项或漏 项扣2分，每有一处瑕疵或缺陷扣1分，扣完为止。</w:t>
            </w:r>
          </w:p>
        </w:tc>
      </w:tr>
      <w:tr w14:paraId="5122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blHeader/>
        </w:trPr>
        <w:tc>
          <w:tcPr>
            <w:tcW w:w="675" w:type="dxa"/>
            <w:vAlign w:val="center"/>
          </w:tcPr>
          <w:p w14:paraId="37DE280A">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11</w:t>
            </w:r>
          </w:p>
        </w:tc>
        <w:tc>
          <w:tcPr>
            <w:tcW w:w="1671" w:type="dxa"/>
            <w:vAlign w:val="center"/>
          </w:tcPr>
          <w:p w14:paraId="146078A2">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质量、工期保证措施和体系 </w:t>
            </w:r>
          </w:p>
        </w:tc>
        <w:tc>
          <w:tcPr>
            <w:tcW w:w="850" w:type="dxa"/>
            <w:vAlign w:val="center"/>
          </w:tcPr>
          <w:p w14:paraId="38D38039">
            <w:pPr>
              <w:spacing w:line="360" w:lineRule="exact"/>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8分</w:t>
            </w:r>
          </w:p>
        </w:tc>
        <w:tc>
          <w:tcPr>
            <w:tcW w:w="6567" w:type="dxa"/>
            <w:vAlign w:val="center"/>
          </w:tcPr>
          <w:p w14:paraId="52E442C2">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根据投标单位提供的质量保证、工期保证等措施，包括但不限于： 1、工期、质量目标明确，满足</w:t>
            </w:r>
            <w:r>
              <w:rPr>
                <w:rFonts w:hint="eastAsia" w:asciiTheme="minorEastAsia" w:hAnsiTheme="minorEastAsia" w:eastAsiaTheme="minorEastAsia" w:cstheme="minorEastAsia"/>
                <w:color w:val="auto"/>
                <w:szCs w:val="21"/>
                <w:lang w:eastAsia="zh-CN"/>
              </w:rPr>
              <w:t>磋商文件</w:t>
            </w:r>
            <w:r>
              <w:rPr>
                <w:rFonts w:asciiTheme="minorEastAsia" w:hAnsiTheme="minorEastAsia" w:eastAsiaTheme="minorEastAsia" w:cstheme="minorEastAsia"/>
                <w:color w:val="auto"/>
                <w:szCs w:val="21"/>
              </w:rPr>
              <w:t>的要求； 2、质量保证措施符合施工规律、国家强制性标准，实施措施全面有效； 3、管理体系齐全、保证措施全面、有效； 4、提高生产率、缩短工期、提高质量、提高进度提案； 以上内容完整切实可行的得8分；每有一项缺项或漏项扣2分，每有一处瑕疵或缺陷扣1分，扣完为止。</w:t>
            </w:r>
          </w:p>
        </w:tc>
      </w:tr>
      <w:tr w14:paraId="2B64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675" w:type="dxa"/>
            <w:vAlign w:val="center"/>
          </w:tcPr>
          <w:p w14:paraId="3AADE2EA">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12</w:t>
            </w:r>
          </w:p>
        </w:tc>
        <w:tc>
          <w:tcPr>
            <w:tcW w:w="1671" w:type="dxa"/>
            <w:vAlign w:val="center"/>
          </w:tcPr>
          <w:p w14:paraId="439A5833">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安全保证措施和体系</w:t>
            </w:r>
          </w:p>
        </w:tc>
        <w:tc>
          <w:tcPr>
            <w:tcW w:w="850" w:type="dxa"/>
            <w:vAlign w:val="center"/>
          </w:tcPr>
          <w:p w14:paraId="132A3B1D">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14:paraId="64E92C13">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根据投标单位提供的安全保证措施和体系，包括但不限于： 1、安全目标明确，满足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的要求； 2、安全管理机构健全，职责分工明确，管理制度齐全； 3、实施与监控措施全面、有效。 以上内容完整切实可行的得6分；每有一项缺项或漏项扣2分，每有一 处瑕疵或缺陷扣1分，扣完为止。</w:t>
            </w:r>
          </w:p>
        </w:tc>
      </w:tr>
      <w:tr w14:paraId="2BA2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327E42FB">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3</w:t>
            </w:r>
          </w:p>
        </w:tc>
        <w:tc>
          <w:tcPr>
            <w:tcW w:w="1671" w:type="dxa"/>
            <w:vAlign w:val="center"/>
          </w:tcPr>
          <w:p w14:paraId="39E8E207">
            <w:pPr>
              <w:spacing w:line="3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现场文明施工措施</w:t>
            </w:r>
          </w:p>
        </w:tc>
        <w:tc>
          <w:tcPr>
            <w:tcW w:w="850" w:type="dxa"/>
            <w:vAlign w:val="center"/>
          </w:tcPr>
          <w:p w14:paraId="0E57282C">
            <w:pPr>
              <w:spacing w:line="360" w:lineRule="exact"/>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 xml:space="preserve">  4分</w:t>
            </w:r>
          </w:p>
        </w:tc>
        <w:tc>
          <w:tcPr>
            <w:tcW w:w="6567" w:type="dxa"/>
            <w:vAlign w:val="center"/>
          </w:tcPr>
          <w:p w14:paraId="4371BC38">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根据投标单位提供的现场文明施工措施，根据投标单位提供的现场文明 施工措施，包括但不限于： 1、现场文明施工措施目标明确； 2、现场施工管理制度齐全、机构健全，职责分工明确； 以上内容完整符合工程实际情况，表述清晰的得4分；每有一项缺项或 漏项扣2分，每有一处瑕疵或缺陷扣1分，扣完为止。</w:t>
            </w:r>
          </w:p>
        </w:tc>
      </w:tr>
      <w:tr w14:paraId="04AC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6DAA8911">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4</w:t>
            </w:r>
          </w:p>
        </w:tc>
        <w:tc>
          <w:tcPr>
            <w:tcW w:w="1671" w:type="dxa"/>
            <w:vAlign w:val="center"/>
          </w:tcPr>
          <w:p w14:paraId="3E68215D">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承诺</w:t>
            </w:r>
          </w:p>
        </w:tc>
        <w:tc>
          <w:tcPr>
            <w:tcW w:w="850" w:type="dxa"/>
            <w:vAlign w:val="center"/>
          </w:tcPr>
          <w:p w14:paraId="7443DC0C">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3分</w:t>
            </w:r>
          </w:p>
        </w:tc>
        <w:tc>
          <w:tcPr>
            <w:tcW w:w="6567" w:type="dxa"/>
            <w:vAlign w:val="center"/>
          </w:tcPr>
          <w:p w14:paraId="7E60E3CE">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有承诺、有违约经济处罚且措施可行的得3分；有承诺、无违约经济 处罚且措施可行的得2分，未提供不得分。</w:t>
            </w:r>
          </w:p>
        </w:tc>
      </w:tr>
      <w:tr w14:paraId="51FA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5533F639">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合计</w:t>
            </w:r>
          </w:p>
        </w:tc>
        <w:tc>
          <w:tcPr>
            <w:tcW w:w="9088" w:type="dxa"/>
            <w:gridSpan w:val="3"/>
            <w:vAlign w:val="center"/>
          </w:tcPr>
          <w:p w14:paraId="204882A3">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14:paraId="2FFF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14:paraId="17C0E2D8">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得分</w:t>
            </w:r>
          </w:p>
        </w:tc>
        <w:tc>
          <w:tcPr>
            <w:tcW w:w="9088" w:type="dxa"/>
            <w:gridSpan w:val="3"/>
            <w:vAlign w:val="center"/>
          </w:tcPr>
          <w:p w14:paraId="5D4A8329">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0%</w:t>
            </w:r>
          </w:p>
        </w:tc>
      </w:tr>
      <w:bookmarkEnd w:id="110"/>
      <w:bookmarkEnd w:id="111"/>
      <w:bookmarkEnd w:id="112"/>
      <w:bookmarkEnd w:id="113"/>
      <w:bookmarkEnd w:id="114"/>
      <w:bookmarkEnd w:id="115"/>
    </w:tbl>
    <w:p w14:paraId="1A5776FE">
      <w:pPr>
        <w:keepNext w:val="0"/>
        <w:keepLines w:val="0"/>
        <w:pageBreakBefore w:val="0"/>
        <w:widowControl w:val="0"/>
        <w:shd w:val="clear" w:color="auto" w:fill="auto"/>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DDEB09">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2、供应商在评标过程中，所进行的力图影响评标结果的不符合</w:t>
      </w:r>
      <w:r>
        <w:rPr>
          <w:rFonts w:hint="eastAsia" w:ascii="宋体" w:hAnsi="宋体" w:cs="宋体"/>
          <w:color w:val="auto"/>
          <w:szCs w:val="21"/>
          <w:highlight w:val="none"/>
          <w:lang w:val="en-US" w:eastAsia="zh-CN" w:bidi="ar-SA"/>
        </w:rPr>
        <w:t>磋商</w:t>
      </w:r>
      <w:r>
        <w:rPr>
          <w:rFonts w:hint="eastAsia" w:ascii="宋体" w:hAnsi="宋体" w:eastAsia="宋体" w:cs="宋体"/>
          <w:color w:val="auto"/>
          <w:szCs w:val="21"/>
          <w:highlight w:val="none"/>
          <w:lang w:val="en-US" w:eastAsia="zh-CN" w:bidi="ar-SA"/>
        </w:rPr>
        <w:t>规则的活动，可能导致其被取消中标资格。</w:t>
      </w:r>
    </w:p>
    <w:p w14:paraId="5835BA81">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3、与磋商文件有重大偏离的响应文件将被拒绝。</w:t>
      </w:r>
    </w:p>
    <w:p w14:paraId="37F8B0AB">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30%×100</w:t>
      </w:r>
    </w:p>
    <w:p w14:paraId="363C13E8">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14:paraId="012B81AD">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5、最低报价不作为评标的唯一依据。采购人不承诺将合同授予报价最低的投标人。</w:t>
      </w:r>
    </w:p>
    <w:p w14:paraId="56F11997">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SA"/>
        </w:rPr>
        <w:t>6、经评标委员会评议，认为投标报价过高、超出采购人预算的项目，可以不确立中标人，做为废标处理。</w:t>
      </w:r>
    </w:p>
    <w:p w14:paraId="5434A6A8">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14:paraId="785E2B89">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有下列情形之一的,其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拒收:</w:t>
      </w:r>
    </w:p>
    <w:p w14:paraId="0503639C">
      <w:pPr>
        <w:keepNext w:val="0"/>
        <w:keepLines w:val="0"/>
        <w:pageBreakBefore w:val="0"/>
        <w:widowControl w:val="0"/>
        <w:shd w:val="clear" w:color="auto" w:fill="auto"/>
        <w:kinsoku/>
        <w:wordWrap/>
        <w:overflowPunct/>
        <w:topLinePunct w:val="0"/>
        <w:autoSpaceDE/>
        <w:autoSpaceDN/>
        <w:bidi w:val="0"/>
        <w:adjustRightInd/>
        <w:snapToGrid w:val="0"/>
        <w:spacing w:line="400" w:lineRule="exact"/>
        <w:textAlignment w:val="auto"/>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w:t>
      </w:r>
      <w:r>
        <w:rPr>
          <w:rFonts w:hint="eastAsia" w:ascii="宋体" w:hAnsi="宋体" w:cs="宋体"/>
          <w:b/>
          <w:bCs/>
          <w:color w:val="auto"/>
          <w:szCs w:val="21"/>
          <w:highlight w:val="none"/>
          <w:lang w:val="en-US" w:eastAsia="zh-CN"/>
        </w:rPr>
        <w:t>磋商</w:t>
      </w:r>
      <w:r>
        <w:rPr>
          <w:rFonts w:hint="eastAsia" w:ascii="宋体" w:hAnsi="宋体" w:cs="宋体"/>
          <w:b/>
          <w:bCs/>
          <w:color w:val="auto"/>
          <w:szCs w:val="21"/>
          <w:highlight w:val="none"/>
        </w:rPr>
        <w:t>投标系统递交有效电子</w:t>
      </w:r>
      <w:r>
        <w:rPr>
          <w:rFonts w:hint="eastAsia" w:ascii="宋体" w:hAnsi="宋体" w:cs="宋体"/>
          <w:b/>
          <w:bCs/>
          <w:color w:val="auto"/>
          <w:szCs w:val="21"/>
          <w:highlight w:val="none"/>
          <w:lang w:eastAsia="zh-CN"/>
        </w:rPr>
        <w:t>响应文件</w:t>
      </w:r>
      <w:r>
        <w:rPr>
          <w:rFonts w:hint="eastAsia" w:ascii="宋体" w:hAnsi="宋体" w:cs="宋体"/>
          <w:b/>
          <w:bCs/>
          <w:color w:val="auto"/>
          <w:szCs w:val="21"/>
          <w:highlight w:val="none"/>
        </w:rPr>
        <w:t>的，开标系统不予接收。</w:t>
      </w:r>
    </w:p>
    <w:p w14:paraId="18303073">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w:t>
      </w:r>
      <w:r>
        <w:rPr>
          <w:rFonts w:hint="eastAsia" w:ascii="宋体" w:hAnsi="宋体"/>
          <w:b/>
          <w:color w:val="auto"/>
          <w:szCs w:val="21"/>
          <w:highlight w:val="none"/>
          <w:lang w:eastAsia="zh-CN"/>
        </w:rPr>
        <w:t>响应文件</w:t>
      </w:r>
      <w:r>
        <w:rPr>
          <w:rFonts w:hint="eastAsia" w:ascii="宋体" w:hAnsi="宋体"/>
          <w:b/>
          <w:color w:val="auto"/>
          <w:szCs w:val="21"/>
          <w:highlight w:val="none"/>
        </w:rPr>
        <w:t>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进行解密的，其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按无效标处理），以网上招投标系统解密倒计时为准】</w:t>
      </w:r>
      <w:r>
        <w:rPr>
          <w:rFonts w:hint="eastAsia" w:ascii="宋体" w:hAnsi="宋体"/>
          <w:b/>
          <w:color w:val="auto"/>
          <w:szCs w:val="21"/>
          <w:highlight w:val="none"/>
        </w:rPr>
        <w:t>，因系统原因未能成功解密的</w:t>
      </w:r>
      <w:r>
        <w:rPr>
          <w:rFonts w:hint="eastAsia" w:ascii="宋体" w:hAnsi="宋体"/>
          <w:b/>
          <w:color w:val="auto"/>
          <w:szCs w:val="21"/>
          <w:highlight w:val="none"/>
          <w:lang w:eastAsia="zh-CN"/>
        </w:rPr>
        <w:t>响应文件</w:t>
      </w:r>
      <w:r>
        <w:rPr>
          <w:rFonts w:hint="eastAsia" w:ascii="宋体" w:hAnsi="宋体"/>
          <w:b/>
          <w:color w:val="auto"/>
          <w:szCs w:val="21"/>
          <w:highlight w:val="none"/>
        </w:rPr>
        <w:t>，可导入</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也无法导入的，则</w:t>
      </w:r>
      <w:r>
        <w:rPr>
          <w:rFonts w:hint="eastAsia" w:ascii="宋体" w:hAnsi="宋体"/>
          <w:b/>
          <w:color w:val="auto"/>
          <w:szCs w:val="21"/>
          <w:highlight w:val="none"/>
          <w:lang w:eastAsia="zh-CN"/>
        </w:rPr>
        <w:t>响应文件</w:t>
      </w:r>
      <w:r>
        <w:rPr>
          <w:rFonts w:hint="eastAsia" w:ascii="宋体" w:hAnsi="宋体"/>
          <w:b/>
          <w:color w:val="auto"/>
          <w:szCs w:val="21"/>
          <w:highlight w:val="none"/>
        </w:rPr>
        <w:t>被否决。</w:t>
      </w:r>
    </w:p>
    <w:p w14:paraId="54B891CC">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.2投标人有下列情形之一的,资格审查其投标作无效投标处理</w:t>
      </w:r>
    </w:p>
    <w:p w14:paraId="761A084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14:paraId="66DA809E">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代理服务的；</w:t>
      </w:r>
    </w:p>
    <w:p w14:paraId="0D18F8FE">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14:paraId="04C184EC">
      <w:pPr>
        <w:shd w:val="clear" w:color="auto" w:fill="auto"/>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14:paraId="09F984DF">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14:paraId="0A7610B5">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)联合体投标未提交联合体协议的；</w:t>
      </w:r>
    </w:p>
    <w:p w14:paraId="30785913">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)被暂停营业的；</w:t>
      </w:r>
    </w:p>
    <w:p w14:paraId="757FFE0F">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)被暂停或取消投标资格的；</w:t>
      </w:r>
    </w:p>
    <w:p w14:paraId="37580869">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)财产被接管或冻结的；</w:t>
      </w:r>
    </w:p>
    <w:p w14:paraId="6C866AAB">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)投标人单位负责人为同一人或者存在控股、管理关系的不同单位的；</w:t>
      </w:r>
    </w:p>
    <w:p w14:paraId="3FAD9634">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）投标人基本资格条件和特定资格条件中有一项及以上不符合要求的；</w:t>
      </w:r>
    </w:p>
    <w:p w14:paraId="0F313A82">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）投标人使用相同的MAC地址进行报名的；</w:t>
      </w:r>
    </w:p>
    <w:p w14:paraId="699C2098">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）其它情形，经评标委员会委提出按无效投标处理，并经公共资源交易监督部门核准的；</w:t>
      </w:r>
    </w:p>
    <w:p w14:paraId="36F7A647">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）投标人使用相同IP地址报名的，一经发现，监管部门将进一步核实，查实后按串通投标处理；</w:t>
      </w:r>
    </w:p>
    <w:p w14:paraId="3F80558F">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14:paraId="16157CF0">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14:paraId="4EBF5B2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签字、盖章不全，经评标委员会一致认定对开评标内容有实质性影响并经监督部门核准的；</w:t>
      </w:r>
    </w:p>
    <w:p w14:paraId="5B34E38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14:paraId="263355B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14:paraId="461BECDA">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14:paraId="7BA0B272">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给定的单价最高限价，否则，其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将按无效投标处理。</w:t>
      </w:r>
    </w:p>
    <w:p w14:paraId="04B86BAD">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14:paraId="2BF3C17B">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14:paraId="2EC3F7C4">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w:t>
      </w:r>
      <w:r>
        <w:rPr>
          <w:rFonts w:hint="eastAsia" w:ascii="Tahoma" w:hAnsi="Tahoma" w:eastAsia="宋体" w:cs="Tahoma"/>
          <w:color w:val="auto"/>
          <w:kern w:val="0"/>
          <w:szCs w:val="21"/>
          <w:highlight w:val="none"/>
          <w:shd w:val="clear" w:color="auto" w:fill="FFFFFF"/>
          <w:lang w:eastAsia="zh-CN" w:bidi="ar"/>
        </w:rPr>
        <w:t>磋商文件</w:t>
      </w:r>
      <w:r>
        <w:rPr>
          <w:rFonts w:ascii="Tahoma" w:hAnsi="Tahoma" w:eastAsia="Tahoma" w:cs="Tahoma"/>
          <w:color w:val="auto"/>
          <w:kern w:val="0"/>
          <w:szCs w:val="21"/>
          <w:highlight w:val="none"/>
          <w:shd w:val="clear" w:color="auto" w:fill="FFFFFF"/>
          <w:lang w:bidi="ar"/>
        </w:rPr>
        <w:t>的规定提交投标保证金的；</w:t>
      </w:r>
    </w:p>
    <w:p w14:paraId="2A88D862">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ahoma" w:hAnsi="Tahoma" w:eastAsia="宋体" w:cs="Tahoma"/>
          <w:color w:val="auto"/>
          <w:kern w:val="0"/>
          <w:szCs w:val="21"/>
          <w:highlight w:val="none"/>
          <w:shd w:val="clear" w:color="auto" w:fill="FFFFFF"/>
          <w:lang w:eastAsia="zh-CN" w:bidi="ar"/>
        </w:rPr>
        <w:t>响应文件</w:t>
      </w:r>
      <w:r>
        <w:rPr>
          <w:rFonts w:ascii="Tahoma" w:hAnsi="Tahoma" w:eastAsia="Tahoma" w:cs="Tahoma"/>
          <w:color w:val="auto"/>
          <w:kern w:val="0"/>
          <w:szCs w:val="21"/>
          <w:highlight w:val="none"/>
          <w:shd w:val="clear" w:color="auto" w:fill="FFFFFF"/>
          <w:lang w:bidi="ar"/>
        </w:rPr>
        <w:t>含有采购人不能接受的附加条件的;</w:t>
      </w:r>
    </w:p>
    <w:p w14:paraId="37C0CCDB">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14:paraId="1AEACA97">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02C7E1EE">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4E60027F">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675D1C2C">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含有违反国家法律、法规的内容，或附有招标人不能接受的条件的；</w:t>
      </w:r>
    </w:p>
    <w:p w14:paraId="1B6B59BF">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14:paraId="2EBB0629">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14:paraId="41F6B0A0">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14:paraId="2CBA47D7">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72369918">
      <w:pPr>
        <w:shd w:val="clear" w:color="auto" w:fill="auto"/>
        <w:snapToGrid w:val="0"/>
        <w:spacing w:line="400" w:lineRule="exact"/>
        <w:ind w:firstLine="420" w:firstLineChars="200"/>
        <w:rPr>
          <w:rFonts w:hint="eastAsia" w:ascii="宋体" w:hAnsi="宋体" w:eastAsia="宋体" w:cs="宋体"/>
          <w:color w:val="auto"/>
          <w:szCs w:val="21"/>
          <w:highlight w:val="none"/>
          <w:lang w:eastAsia="zh-CN"/>
        </w:rPr>
        <w:sectPr>
          <w:headerReference r:id="rId3" w:type="default"/>
          <w:footerReference r:id="rId4"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w:t>
      </w:r>
      <w:r>
        <w:rPr>
          <w:rFonts w:hint="eastAsia" w:ascii="宋体" w:hAnsi="宋体" w:cs="宋体"/>
          <w:color w:val="auto"/>
          <w:szCs w:val="21"/>
          <w:highlight w:val="none"/>
          <w:lang w:eastAsia="zh-CN"/>
        </w:rPr>
        <w:t>。</w:t>
      </w:r>
    </w:p>
    <w:p w14:paraId="4371021B">
      <w:pPr>
        <w:pStyle w:val="11"/>
        <w:tabs>
          <w:tab w:val="left" w:pos="720"/>
          <w:tab w:val="left" w:pos="900"/>
          <w:tab w:val="left" w:pos="1260"/>
        </w:tabs>
        <w:adjustRightInd w:val="0"/>
        <w:spacing w:line="360" w:lineRule="auto"/>
        <w:rPr>
          <w:rFonts w:asciiTheme="minorEastAsia" w:hAnsiTheme="minorEastAsia" w:eastAsiaTheme="minorEastAsia" w:cstheme="minorEastAsia"/>
          <w:bCs/>
          <w:color w:val="auto"/>
          <w:sz w:val="24"/>
        </w:rPr>
      </w:pPr>
    </w:p>
    <w:p w14:paraId="57D64D21">
      <w:pPr>
        <w:pStyle w:val="2"/>
        <w:numPr>
          <w:ilvl w:val="0"/>
          <w:numId w:val="0"/>
        </w:numPr>
        <w:spacing w:line="360" w:lineRule="auto"/>
        <w:jc w:val="center"/>
        <w:rPr>
          <w:rFonts w:asciiTheme="minorEastAsia" w:hAnsiTheme="minorEastAsia" w:eastAsiaTheme="minorEastAsia" w:cstheme="minorEastAsia"/>
          <w:color w:val="auto"/>
          <w:sz w:val="32"/>
          <w:szCs w:val="32"/>
        </w:rPr>
      </w:pPr>
      <w:bookmarkStart w:id="117" w:name="_Toc349637926"/>
      <w:bookmarkStart w:id="118" w:name="_Toc349573127"/>
      <w:bookmarkStart w:id="119" w:name="_Toc298240411"/>
      <w:bookmarkStart w:id="120" w:name="_Toc527642959"/>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技术要求</w:t>
      </w:r>
      <w:bookmarkEnd w:id="116"/>
      <w:bookmarkEnd w:id="117"/>
      <w:bookmarkEnd w:id="118"/>
      <w:bookmarkEnd w:id="119"/>
      <w:bookmarkEnd w:id="120"/>
    </w:p>
    <w:p w14:paraId="40285D00">
      <w:pPr>
        <w:spacing w:line="360" w:lineRule="auto"/>
        <w:ind w:left="1680" w:hanging="1680" w:hangingChars="700"/>
        <w:jc w:val="left"/>
        <w:rPr>
          <w:rFonts w:asciiTheme="minorEastAsia" w:hAnsiTheme="minorEastAsia" w:eastAsiaTheme="minorEastAsia" w:cstheme="minorEastAsia"/>
          <w:bCs/>
          <w:color w:val="auto"/>
          <w:kern w:val="0"/>
          <w:sz w:val="24"/>
          <w:szCs w:val="22"/>
        </w:rPr>
      </w:pPr>
      <w:bookmarkStart w:id="121" w:name="_Toc267301295"/>
      <w:r>
        <w:rPr>
          <w:rFonts w:hint="eastAsia" w:asciiTheme="minorEastAsia" w:hAnsiTheme="minorEastAsia" w:eastAsiaTheme="minorEastAsia" w:cstheme="minorEastAsia"/>
          <w:bCs/>
          <w:color w:val="auto"/>
          <w:kern w:val="0"/>
          <w:sz w:val="24"/>
          <w:szCs w:val="22"/>
        </w:rPr>
        <w:t>一、项目名称：见投标人须知附表</w:t>
      </w:r>
    </w:p>
    <w:p w14:paraId="26619DEE">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二、</w:t>
      </w:r>
      <w:r>
        <w:rPr>
          <w:rFonts w:hint="eastAsia" w:asciiTheme="minorEastAsia" w:hAnsiTheme="minorEastAsia" w:eastAsiaTheme="minorEastAsia" w:cstheme="minorEastAsia"/>
          <w:bCs/>
          <w:color w:val="auto"/>
          <w:kern w:val="0"/>
          <w:sz w:val="24"/>
          <w:szCs w:val="22"/>
          <w:lang w:val="en-US" w:eastAsia="zh-CN"/>
        </w:rPr>
        <w:t>磋商</w:t>
      </w:r>
      <w:r>
        <w:rPr>
          <w:rFonts w:hint="eastAsia" w:asciiTheme="minorEastAsia" w:hAnsiTheme="minorEastAsia" w:eastAsiaTheme="minorEastAsia" w:cstheme="minorEastAsia"/>
          <w:bCs/>
          <w:color w:val="auto"/>
          <w:kern w:val="0"/>
          <w:sz w:val="24"/>
          <w:szCs w:val="22"/>
        </w:rPr>
        <w:t>编号：见投标人须知附表</w:t>
      </w:r>
    </w:p>
    <w:p w14:paraId="2D071E83">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三、最高投标限价：见投标人须知附表</w:t>
      </w:r>
    </w:p>
    <w:p w14:paraId="75216603">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四、质量要求：见投标人须知附表</w:t>
      </w:r>
    </w:p>
    <w:p w14:paraId="77A53E21">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五、工期：见投标人须知附表</w:t>
      </w:r>
    </w:p>
    <w:p w14:paraId="14F65300">
      <w:pPr>
        <w:spacing w:line="360" w:lineRule="auto"/>
        <w:ind w:firstLine="480" w:firstLineChars="200"/>
        <w:rPr>
          <w:rFonts w:asciiTheme="minorEastAsia" w:hAnsiTheme="minorEastAsia" w:eastAsiaTheme="minorEastAsia" w:cstheme="minorEastAsia"/>
          <w:snapToGrid w:val="0"/>
          <w:color w:val="auto"/>
          <w:sz w:val="24"/>
        </w:rPr>
      </w:pP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范围：本工程范围内的磋商文件及工程量清单，磋商文件补充范围内的全部施工内容（包括</w:t>
      </w: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答疑等内容）。</w:t>
      </w:r>
    </w:p>
    <w:p w14:paraId="1B3A48D4">
      <w:pPr>
        <w:spacing w:line="360" w:lineRule="auto"/>
        <w:rPr>
          <w:rFonts w:asciiTheme="minorEastAsia" w:hAnsiTheme="minorEastAsia" w:eastAsiaTheme="minorEastAsia" w:cstheme="minorEastAsia"/>
          <w:snapToGrid w:val="0"/>
          <w:color w:val="auto"/>
          <w:sz w:val="24"/>
          <w:szCs w:val="22"/>
        </w:rPr>
      </w:pPr>
      <w:r>
        <w:rPr>
          <w:rFonts w:hint="eastAsia" w:asciiTheme="minorEastAsia" w:hAnsiTheme="minorEastAsia" w:eastAsiaTheme="minorEastAsia" w:cstheme="minorEastAsia"/>
          <w:snapToGrid w:val="0"/>
          <w:color w:val="auto"/>
          <w:sz w:val="24"/>
          <w:szCs w:val="22"/>
        </w:rPr>
        <w:t>六、 技术要求内容：(详见工程量清单)</w:t>
      </w:r>
    </w:p>
    <w:p w14:paraId="698E38EB">
      <w:pPr>
        <w:pStyle w:val="2"/>
        <w:numPr>
          <w:ilvl w:val="0"/>
          <w:numId w:val="0"/>
        </w:numPr>
        <w:spacing w:line="360" w:lineRule="auto"/>
        <w:ind w:left="360"/>
        <w:rPr>
          <w:rFonts w:asciiTheme="minorEastAsia" w:hAnsiTheme="minorEastAsia" w:eastAsiaTheme="minorEastAsia" w:cstheme="minorEastAsia"/>
          <w:color w:val="auto"/>
          <w:sz w:val="24"/>
          <w:szCs w:val="24"/>
        </w:rPr>
      </w:pPr>
      <w:bookmarkStart w:id="122" w:name="_Toc349637935"/>
      <w:bookmarkStart w:id="123" w:name="_Toc349573136"/>
      <w:r>
        <w:rPr>
          <w:rFonts w:hint="eastAsia" w:asciiTheme="minorEastAsia" w:hAnsiTheme="minorEastAsia" w:eastAsiaTheme="minorEastAsia" w:cstheme="minorEastAsia"/>
          <w:color w:val="auto"/>
          <w:sz w:val="24"/>
          <w:szCs w:val="24"/>
        </w:rPr>
        <w:t>1、本工程完成必须符合国家和地方现行相关质量评定标准和施工技术规范、施工图设计要求。</w:t>
      </w:r>
    </w:p>
    <w:p w14:paraId="00A4736E">
      <w:pPr>
        <w:pStyle w:val="2"/>
        <w:numPr>
          <w:ilvl w:val="0"/>
          <w:numId w:val="0"/>
        </w:numPr>
        <w:spacing w:line="360" w:lineRule="auto"/>
        <w:ind w:left="3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2、本工程的材料检验和质量、工艺试验按国家、地方现行相关规定执行。</w:t>
      </w:r>
    </w:p>
    <w:p w14:paraId="46A868F0">
      <w:pPr>
        <w:spacing w:line="360" w:lineRule="auto"/>
        <w:rPr>
          <w:rFonts w:asciiTheme="minorEastAsia" w:hAnsiTheme="minorEastAsia" w:eastAsiaTheme="minorEastAsia" w:cstheme="minorEastAsia"/>
          <w:b/>
          <w:bCs/>
          <w:snapToGrid w:val="0"/>
          <w:color w:val="auto"/>
          <w:sz w:val="24"/>
          <w:szCs w:val="22"/>
          <w:lang w:val="zh-CN"/>
        </w:rPr>
      </w:pPr>
      <w:r>
        <w:rPr>
          <w:rFonts w:hint="eastAsia" w:asciiTheme="minorEastAsia" w:hAnsiTheme="minorEastAsia" w:eastAsiaTheme="minorEastAsia" w:cstheme="minorEastAsia"/>
          <w:b/>
          <w:bCs/>
          <w:snapToGrid w:val="0"/>
          <w:color w:val="auto"/>
          <w:sz w:val="24"/>
          <w:szCs w:val="22"/>
        </w:rPr>
        <w:t>备注：若</w:t>
      </w:r>
      <w:r>
        <w:rPr>
          <w:rFonts w:hint="eastAsia" w:asciiTheme="minorEastAsia" w:hAnsiTheme="minorEastAsia" w:eastAsiaTheme="minorEastAsia" w:cstheme="minorEastAsia"/>
          <w:b/>
          <w:bCs/>
          <w:snapToGrid w:val="0"/>
          <w:color w:val="auto"/>
          <w:sz w:val="24"/>
          <w:szCs w:val="22"/>
          <w:lang w:eastAsia="zh-CN"/>
        </w:rPr>
        <w:t>磋商文件</w:t>
      </w:r>
      <w:r>
        <w:rPr>
          <w:rFonts w:hint="eastAsia" w:asciiTheme="minorEastAsia" w:hAnsiTheme="minorEastAsia" w:eastAsiaTheme="minorEastAsia" w:cstheme="minorEastAsia"/>
          <w:b/>
          <w:bCs/>
          <w:snapToGrid w:val="0"/>
          <w:color w:val="auto"/>
          <w:sz w:val="24"/>
          <w:szCs w:val="22"/>
        </w:rPr>
        <w:t>中附表表格格式与工程量清单中表格格式不一致的，以工程量清单表格格式为主。</w:t>
      </w:r>
    </w:p>
    <w:p w14:paraId="1F551505">
      <w:pPr>
        <w:spacing w:line="360" w:lineRule="auto"/>
        <w:ind w:firstLine="480" w:firstLineChars="200"/>
        <w:rPr>
          <w:rFonts w:asciiTheme="minorEastAsia" w:hAnsiTheme="minorEastAsia" w:eastAsiaTheme="minorEastAsia" w:cstheme="minorEastAsia"/>
          <w:snapToGrid w:val="0"/>
          <w:color w:val="auto"/>
          <w:sz w:val="24"/>
          <w:szCs w:val="22"/>
          <w:lang w:val="zh-CN"/>
        </w:rPr>
      </w:pPr>
    </w:p>
    <w:p w14:paraId="5910532E">
      <w:pPr>
        <w:pStyle w:val="28"/>
        <w:rPr>
          <w:rFonts w:asciiTheme="minorEastAsia" w:hAnsiTheme="minorEastAsia" w:eastAsiaTheme="minorEastAsia" w:cstheme="minorEastAsia"/>
          <w:snapToGrid w:val="0"/>
          <w:color w:val="auto"/>
          <w:sz w:val="24"/>
          <w:szCs w:val="22"/>
          <w:lang w:val="zh-CN"/>
        </w:rPr>
      </w:pPr>
    </w:p>
    <w:p w14:paraId="25FDDAF0">
      <w:pPr>
        <w:pStyle w:val="28"/>
        <w:rPr>
          <w:rFonts w:asciiTheme="minorEastAsia" w:hAnsiTheme="minorEastAsia" w:eastAsiaTheme="minorEastAsia" w:cstheme="minorEastAsia"/>
          <w:snapToGrid w:val="0"/>
          <w:color w:val="auto"/>
          <w:sz w:val="24"/>
          <w:szCs w:val="22"/>
          <w:lang w:val="zh-CN"/>
        </w:rPr>
      </w:pPr>
    </w:p>
    <w:p w14:paraId="7B4102DC">
      <w:pPr>
        <w:pStyle w:val="28"/>
        <w:rPr>
          <w:rFonts w:asciiTheme="minorEastAsia" w:hAnsiTheme="minorEastAsia" w:eastAsiaTheme="minorEastAsia" w:cstheme="minorEastAsia"/>
          <w:snapToGrid w:val="0"/>
          <w:color w:val="auto"/>
          <w:sz w:val="24"/>
          <w:szCs w:val="22"/>
          <w:lang w:val="zh-CN"/>
        </w:rPr>
      </w:pPr>
    </w:p>
    <w:p w14:paraId="534CA816">
      <w:pPr>
        <w:pStyle w:val="28"/>
        <w:rPr>
          <w:rFonts w:asciiTheme="minorEastAsia" w:hAnsiTheme="minorEastAsia" w:eastAsiaTheme="minorEastAsia" w:cstheme="minorEastAsia"/>
          <w:snapToGrid w:val="0"/>
          <w:color w:val="auto"/>
          <w:sz w:val="24"/>
          <w:szCs w:val="22"/>
          <w:lang w:val="zh-CN"/>
        </w:rPr>
      </w:pPr>
    </w:p>
    <w:p w14:paraId="1471B89E">
      <w:pPr>
        <w:pStyle w:val="28"/>
        <w:rPr>
          <w:rFonts w:asciiTheme="minorEastAsia" w:hAnsiTheme="minorEastAsia" w:eastAsiaTheme="minorEastAsia" w:cstheme="minorEastAsia"/>
          <w:snapToGrid w:val="0"/>
          <w:color w:val="auto"/>
          <w:sz w:val="24"/>
          <w:szCs w:val="22"/>
          <w:lang w:val="zh-CN"/>
        </w:rPr>
      </w:pPr>
    </w:p>
    <w:p w14:paraId="3F26B915">
      <w:pPr>
        <w:pStyle w:val="28"/>
        <w:rPr>
          <w:rFonts w:asciiTheme="minorEastAsia" w:hAnsiTheme="minorEastAsia" w:eastAsiaTheme="minorEastAsia" w:cstheme="minorEastAsia"/>
          <w:snapToGrid w:val="0"/>
          <w:color w:val="auto"/>
          <w:sz w:val="24"/>
          <w:szCs w:val="22"/>
          <w:lang w:val="zh-CN"/>
        </w:rPr>
      </w:pPr>
    </w:p>
    <w:p w14:paraId="545A0B34">
      <w:pPr>
        <w:pStyle w:val="28"/>
        <w:rPr>
          <w:rFonts w:asciiTheme="minorEastAsia" w:hAnsiTheme="minorEastAsia" w:eastAsiaTheme="minorEastAsia" w:cstheme="minorEastAsia"/>
          <w:snapToGrid w:val="0"/>
          <w:color w:val="auto"/>
          <w:sz w:val="24"/>
          <w:szCs w:val="22"/>
          <w:lang w:val="zh-CN"/>
        </w:rPr>
      </w:pPr>
    </w:p>
    <w:p w14:paraId="57CF6949">
      <w:pPr>
        <w:pStyle w:val="28"/>
        <w:rPr>
          <w:rFonts w:asciiTheme="minorEastAsia" w:hAnsiTheme="minorEastAsia" w:eastAsiaTheme="minorEastAsia" w:cstheme="minorEastAsia"/>
          <w:snapToGrid w:val="0"/>
          <w:color w:val="auto"/>
          <w:sz w:val="24"/>
          <w:szCs w:val="22"/>
          <w:lang w:val="zh-CN"/>
        </w:rPr>
      </w:pPr>
    </w:p>
    <w:bookmarkEnd w:id="121"/>
    <w:bookmarkEnd w:id="122"/>
    <w:bookmarkEnd w:id="123"/>
    <w:p w14:paraId="5736E990">
      <w:pPr>
        <w:pStyle w:val="2"/>
        <w:numPr>
          <w:ilvl w:val="0"/>
          <w:numId w:val="0"/>
        </w:numPr>
        <w:spacing w:line="360" w:lineRule="auto"/>
        <w:jc w:val="center"/>
        <w:rPr>
          <w:rFonts w:asciiTheme="minorEastAsia" w:hAnsiTheme="minorEastAsia" w:eastAsiaTheme="minorEastAsia" w:cstheme="minorEastAsia"/>
          <w:color w:val="auto"/>
          <w:sz w:val="32"/>
          <w:szCs w:val="32"/>
        </w:rPr>
      </w:pPr>
      <w:bookmarkStart w:id="124" w:name="_Toc527642960"/>
      <w:bookmarkStart w:id="125" w:name="_Toc507690271"/>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 xml:space="preserve">部分  </w:t>
      </w:r>
      <w:bookmarkEnd w:id="124"/>
      <w:bookmarkEnd w:id="125"/>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Cs/>
          <w:color w:val="auto"/>
          <w:sz w:val="32"/>
          <w:szCs w:val="32"/>
        </w:rPr>
        <w:t>合同条款及格式</w:t>
      </w:r>
    </w:p>
    <w:p w14:paraId="1E3AB50D">
      <w:pPr>
        <w:pStyle w:val="6"/>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合同通用条款</w:t>
      </w:r>
    </w:p>
    <w:p w14:paraId="4FB5006F">
      <w:pPr>
        <w:pStyle w:val="6"/>
        <w:spacing w:beforeLines="50" w:afterLines="50"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本工程通用条款采用建设工程施工合同示范文本（GF-2017-0201）中的通用条款。</w:t>
      </w:r>
    </w:p>
    <w:p w14:paraId="4C8EBB39">
      <w:pPr>
        <w:pStyle w:val="6"/>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合同专用条款（具体以签订的合同为准）</w:t>
      </w:r>
    </w:p>
    <w:p w14:paraId="01929DE2">
      <w:pPr>
        <w:pStyle w:val="30"/>
        <w:spacing w:line="360" w:lineRule="auto"/>
        <w:ind w:right="0"/>
        <w:rPr>
          <w:rFonts w:asciiTheme="minorEastAsia" w:hAnsiTheme="minorEastAsia" w:eastAsiaTheme="minorEastAsia" w:cstheme="minorEastAsia"/>
          <w:b/>
          <w:bCs/>
          <w:color w:val="auto"/>
        </w:rPr>
      </w:pPr>
      <w:bookmarkStart w:id="126" w:name="_Toc351203633"/>
      <w:r>
        <w:rPr>
          <w:rFonts w:hint="eastAsia" w:asciiTheme="minorEastAsia" w:hAnsiTheme="minorEastAsia" w:eastAsiaTheme="minorEastAsia" w:cstheme="minorEastAsia"/>
          <w:b/>
          <w:bCs/>
          <w:color w:val="auto"/>
        </w:rPr>
        <w:t>1</w:t>
      </w:r>
      <w:bookmarkStart w:id="127" w:name="_Toc292559361"/>
      <w:bookmarkStart w:id="128" w:name="_Toc296347155"/>
      <w:bookmarkStart w:id="129" w:name="_Toc296944495"/>
      <w:bookmarkStart w:id="130" w:name="_Toc297120456"/>
      <w:bookmarkStart w:id="131" w:name="_Toc296890984"/>
      <w:bookmarkStart w:id="132" w:name="_Toc296346657"/>
      <w:bookmarkStart w:id="133" w:name="_Toc297048342"/>
      <w:bookmarkStart w:id="134" w:name="_Toc292559866"/>
      <w:bookmarkStart w:id="135" w:name="_Toc296891196"/>
      <w:bookmarkStart w:id="136" w:name="_Toc296503156"/>
      <w:r>
        <w:rPr>
          <w:rFonts w:hint="eastAsia" w:asciiTheme="minorEastAsia" w:hAnsiTheme="minorEastAsia" w:eastAsiaTheme="minorEastAsia" w:cstheme="minorEastAsia"/>
          <w:b/>
          <w:bCs/>
          <w:color w:val="auto"/>
        </w:rPr>
        <w:t>. 一般约定</w:t>
      </w:r>
      <w:bookmarkEnd w:id="126"/>
    </w:p>
    <w:bookmarkEnd w:id="127"/>
    <w:bookmarkEnd w:id="128"/>
    <w:bookmarkEnd w:id="129"/>
    <w:bookmarkEnd w:id="130"/>
    <w:bookmarkEnd w:id="131"/>
    <w:bookmarkEnd w:id="132"/>
    <w:bookmarkEnd w:id="133"/>
    <w:bookmarkEnd w:id="134"/>
    <w:bookmarkEnd w:id="135"/>
    <w:bookmarkEnd w:id="136"/>
    <w:p w14:paraId="21C5961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 词语定义</w:t>
      </w:r>
    </w:p>
    <w:p w14:paraId="0A905FA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1.1.1合同</w:t>
      </w:r>
    </w:p>
    <w:p w14:paraId="10996073">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1.1.1 其他合同文件包括：</w:t>
      </w:r>
      <w:r>
        <w:rPr>
          <w:rFonts w:hint="eastAsia" w:asciiTheme="minorEastAsia" w:hAnsiTheme="minorEastAsia" w:eastAsiaTheme="minorEastAsia" w:cstheme="minorEastAsia"/>
          <w:color w:val="auto"/>
          <w:u w:val="single"/>
        </w:rPr>
        <w:t xml:space="preserve"> 其它有关本工程的洽商、变更等书面协议。                       </w:t>
      </w:r>
    </w:p>
    <w:p w14:paraId="2AAEEDF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 合同当事人及其他相关方</w:t>
      </w:r>
    </w:p>
    <w:p w14:paraId="7BB50CE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1.1.2.4监理人：</w:t>
      </w:r>
    </w:p>
    <w:p w14:paraId="0D00293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A5F38A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01286C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4C882F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20B03A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FD781D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1.1.2.5 设计人：</w:t>
      </w:r>
    </w:p>
    <w:p w14:paraId="18C56B0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67756B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AB3E40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494569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05317D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FD2FBC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工程和设备</w:t>
      </w:r>
    </w:p>
    <w:p w14:paraId="491E865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1.1.3.7 作为施工现场组成部分的其他场所包括：</w:t>
      </w:r>
      <w:r>
        <w:rPr>
          <w:rFonts w:hint="eastAsia" w:asciiTheme="minorEastAsia" w:hAnsiTheme="minorEastAsia" w:eastAsiaTheme="minorEastAsia" w:cstheme="minorEastAsia"/>
          <w:color w:val="auto"/>
          <w:u w:val="single"/>
        </w:rPr>
        <w:t xml:space="preserve">              </w:t>
      </w:r>
    </w:p>
    <w:p w14:paraId="160809A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1.1.3.9 永久占地包括：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C0948F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1.1.3.10 临时占地包括：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F813D79">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1.3法律 </w:t>
      </w:r>
    </w:p>
    <w:p w14:paraId="0E6F254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适用于合同的其他规范性文件：</w:t>
      </w:r>
      <w:r>
        <w:rPr>
          <w:rFonts w:hint="eastAsia" w:asciiTheme="minorEastAsia" w:hAnsiTheme="minorEastAsia" w:eastAsiaTheme="minorEastAsia" w:cstheme="minorEastAsia"/>
          <w:color w:val="auto"/>
          <w:u w:val="single"/>
        </w:rPr>
        <w:t xml:space="preserve">          /            </w:t>
      </w:r>
    </w:p>
    <w:p w14:paraId="6DD51BA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 标准和规范</w:t>
      </w:r>
    </w:p>
    <w:p w14:paraId="020A70A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1.4.1适用于工程的标准规范包括：</w:t>
      </w:r>
      <w:r>
        <w:rPr>
          <w:rFonts w:hint="eastAsia" w:ascii="宋体" w:hAnsi="宋体"/>
          <w:color w:val="auto"/>
          <w:u w:val="single"/>
        </w:rPr>
        <w:t>本工程项目的施工、材料及设备</w:t>
      </w:r>
      <w:r>
        <w:rPr>
          <w:rFonts w:hint="eastAsia" w:ascii="宋体" w:hAnsi="宋体"/>
          <w:color w:val="auto"/>
          <w:u w:val="single"/>
          <w:lang w:val="en-US" w:eastAsia="zh-CN"/>
        </w:rPr>
        <w:t>磋商</w:t>
      </w:r>
      <w:r>
        <w:rPr>
          <w:rFonts w:hint="eastAsia" w:ascii="宋体" w:hAnsi="宋体"/>
          <w:color w:val="auto"/>
          <w:u w:val="single"/>
        </w:rPr>
        <w:t>必须达到现行中华人民共和国及省、自治区、直辖市或行业的工程建设标准、规范的要求，如下述标准及规范有新出版者，以新出版者为准</w:t>
      </w:r>
      <w:r>
        <w:rPr>
          <w:rFonts w:ascii="宋体" w:hAnsi="宋体"/>
          <w:color w:val="auto"/>
        </w:rPr>
        <w:t>。</w:t>
      </w:r>
    </w:p>
    <w:p w14:paraId="3D9EEA1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1.4.2 发包人提供国外标准、规范的名称：</w:t>
      </w:r>
      <w:r>
        <w:rPr>
          <w:rFonts w:hint="eastAsia" w:asciiTheme="minorEastAsia" w:hAnsiTheme="minorEastAsia" w:eastAsiaTheme="minorEastAsia" w:cstheme="minorEastAsia"/>
          <w:color w:val="auto"/>
          <w:u w:val="single"/>
        </w:rPr>
        <w:t xml:space="preserve">     /      </w:t>
      </w:r>
    </w:p>
    <w:p w14:paraId="4BD6317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发包人提供国外标准、规范的份数：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5297E5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发包人提供国外标准、规范的名称：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284A9AA">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1.4.3发包人对工程的技术标准和功能要求的特殊要求：</w:t>
      </w:r>
      <w:r>
        <w:rPr>
          <w:rFonts w:hint="eastAsia" w:asciiTheme="minorEastAsia" w:hAnsiTheme="minorEastAsia" w:eastAsiaTheme="minorEastAsia" w:cstheme="minorEastAsia"/>
          <w:color w:val="auto"/>
          <w:u w:val="single"/>
        </w:rPr>
        <w:t xml:space="preserve">   /    </w:t>
      </w:r>
    </w:p>
    <w:p w14:paraId="67037C9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 合同文件的优先顺序</w:t>
      </w:r>
    </w:p>
    <w:p w14:paraId="3D1344C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合同文件组成及优先顺序为：</w:t>
      </w:r>
      <w:r>
        <w:rPr>
          <w:rFonts w:hint="eastAsia" w:asciiTheme="minorEastAsia" w:hAnsiTheme="minorEastAsia" w:eastAsiaTheme="minorEastAsia" w:cstheme="minorEastAsia"/>
          <w:color w:val="auto"/>
          <w:u w:val="single"/>
        </w:rPr>
        <w:t>1、本合同协议书；2、中标通知书；3、商务标及其商务标附录；4、专用条款及其附件；5、通用合同条款；6、技术标准和要求；7、图纸 8、已标价的工程量清单；9、其他合同文件。</w:t>
      </w:r>
    </w:p>
    <w:p w14:paraId="5594C12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 图纸和承包人文件</w:t>
      </w:r>
      <w:r>
        <w:rPr>
          <w:rFonts w:hint="eastAsia" w:asciiTheme="minorEastAsia" w:hAnsiTheme="minorEastAsia" w:eastAsiaTheme="minorEastAsia" w:cstheme="minorEastAsia"/>
          <w:b/>
          <w:color w:val="auto"/>
        </w:rPr>
        <w:tab/>
      </w:r>
    </w:p>
    <w:p w14:paraId="149FC38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 图纸的提供</w:t>
      </w:r>
    </w:p>
    <w:p w14:paraId="5333742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发包人向承包人提供图纸的期限：</w:t>
      </w:r>
      <w:r>
        <w:rPr>
          <w:rFonts w:hint="eastAsia" w:asciiTheme="minorEastAsia" w:hAnsiTheme="minorEastAsia" w:eastAsiaTheme="minorEastAsia" w:cstheme="minorEastAsia"/>
          <w:color w:val="auto"/>
          <w:u w:val="single"/>
        </w:rPr>
        <w:t xml:space="preserve"> /</w:t>
      </w:r>
    </w:p>
    <w:p w14:paraId="19CEF7F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发包人向承包人提供图纸的数量：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4AFD19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发包人向承包人提供图纸的内容：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9D105B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1.6.4 承包人文件</w:t>
      </w:r>
    </w:p>
    <w:p w14:paraId="17B71C15">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需要由承包人提供的文件，包括：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76D5F8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承包人提供的文件的期限为：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F93EDF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承包人提供的文件的数量为：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378E18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承包人提供的文件的形式为：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D17AAE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发包人审批承包人文件的期限：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1C7CDB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1.6.5 现场图纸准备</w:t>
      </w:r>
    </w:p>
    <w:p w14:paraId="5922EA6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关于现场图纸准备的约定：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2B2A51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 联络</w:t>
      </w:r>
    </w:p>
    <w:p w14:paraId="61A8E68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1.7.1发包人和承包人应当在</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天内将与合同有关的通知、批准、证明、证书、指示、指令、要求、请求、同意、意见、确定和决定等书面函件送达对方当事人。</w:t>
      </w:r>
    </w:p>
    <w:p w14:paraId="77AD1D1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 发包人接收文件的地点：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D80449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A5DF87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666290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811FD1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DB832C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693C48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1.10 交通运输</w:t>
      </w:r>
    </w:p>
    <w:p w14:paraId="00793A4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37" w:name="_Toc304295521"/>
      <w:bookmarkStart w:id="138" w:name="_Toc318581155"/>
      <w:bookmarkStart w:id="139" w:name="_Toc303539100"/>
      <w:bookmarkStart w:id="140" w:name="_Toc300934943"/>
      <w:bookmarkStart w:id="141" w:name="_Toc312677986"/>
      <w:r>
        <w:rPr>
          <w:rFonts w:hint="eastAsia" w:asciiTheme="minorEastAsia" w:hAnsiTheme="minorEastAsia" w:eastAsiaTheme="minorEastAsia" w:cstheme="minorEastAsia"/>
          <w:color w:val="auto"/>
        </w:rPr>
        <w:t>.10.1 出入现场的权利</w:t>
      </w:r>
    </w:p>
    <w:p w14:paraId="3D41D0C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关于出入现场的权利的约定：</w:t>
      </w:r>
      <w:r>
        <w:rPr>
          <w:rFonts w:hint="eastAsia" w:asciiTheme="minorEastAsia" w:hAnsiTheme="minorEastAsia" w:eastAsiaTheme="minorEastAsia" w:cstheme="minorEastAsia"/>
          <w:color w:val="auto"/>
          <w:u w:val="single"/>
        </w:rPr>
        <w:t xml:space="preserve">                 /           。</w:t>
      </w:r>
    </w:p>
    <w:bookmarkEnd w:id="137"/>
    <w:bookmarkEnd w:id="138"/>
    <w:bookmarkEnd w:id="139"/>
    <w:bookmarkEnd w:id="140"/>
    <w:bookmarkEnd w:id="141"/>
    <w:p w14:paraId="378FAC1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42" w:name="_Toc318581156"/>
      <w:bookmarkStart w:id="143" w:name="_Toc312677987"/>
      <w:bookmarkStart w:id="144" w:name="_Toc304295522"/>
      <w:bookmarkStart w:id="145" w:name="_Toc303539101"/>
      <w:bookmarkStart w:id="146" w:name="_Toc300934944"/>
      <w:r>
        <w:rPr>
          <w:rFonts w:hint="eastAsia" w:asciiTheme="minorEastAsia" w:hAnsiTheme="minorEastAsia" w:eastAsiaTheme="minorEastAsia" w:cstheme="minorEastAsia"/>
          <w:color w:val="auto"/>
        </w:rPr>
        <w:t>.10.3 场内交通</w:t>
      </w:r>
    </w:p>
    <w:p w14:paraId="21B5CF4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关于场外交通和场内交通的边界的约定：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FEE192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关于发包人向承包人免费提供满足工程施工需要的场内道路和交通设施的约定：</w:t>
      </w:r>
      <w:bookmarkEnd w:id="142"/>
      <w:bookmarkEnd w:id="143"/>
      <w:bookmarkEnd w:id="144"/>
      <w:bookmarkEnd w:id="145"/>
      <w:bookmarkEnd w:id="146"/>
      <w:bookmarkStart w:id="147" w:name="_Toc318581157"/>
      <w:r>
        <w:rPr>
          <w:rFonts w:hint="eastAsia" w:asciiTheme="minorEastAsia" w:hAnsiTheme="minorEastAsia" w:eastAsiaTheme="minorEastAsia" w:cstheme="minorEastAsia"/>
          <w:color w:val="auto"/>
          <w:u w:val="single"/>
        </w:rPr>
        <w:t xml:space="preserve">    /                 </w:t>
      </w:r>
    </w:p>
    <w:p w14:paraId="7A58FBC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1.10.4超大件和超重件的运输</w:t>
      </w:r>
    </w:p>
    <w:p w14:paraId="337387A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运输超大件或超重件所需的道路和桥梁临时加固改造费用和其他有关费用由</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承担。</w:t>
      </w:r>
    </w:p>
    <w:bookmarkEnd w:id="147"/>
    <w:p w14:paraId="225CF154">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1.11 知识产权</w:t>
      </w:r>
    </w:p>
    <w:p w14:paraId="614EDFBE">
      <w:pPr>
        <w:pStyle w:val="30"/>
        <w:spacing w:before="0" w:after="0"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1.11.1关于发包人提供给承包人的图纸、发包人为实施工程自行编制或委托编制的技术规范以及反映发包人关于合同要求或其他类似性质的文件的著作权的归属：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A2DFFDB">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关于发包人提供的上述文件的使用限制的要求：</w:t>
      </w:r>
      <w:r>
        <w:rPr>
          <w:rFonts w:hint="eastAsia" w:asciiTheme="minorEastAsia" w:hAnsiTheme="minorEastAsia" w:eastAsiaTheme="minorEastAsia" w:cstheme="minorEastAsia"/>
          <w:color w:val="auto"/>
          <w:sz w:val="24"/>
          <w:u w:val="single"/>
        </w:rPr>
        <w:t xml:space="preserve">                               。</w:t>
      </w:r>
    </w:p>
    <w:p w14:paraId="47A3E956">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 关于承包人为实施工程所编制文件的著作权的归属：</w:t>
      </w:r>
      <w:r>
        <w:rPr>
          <w:rFonts w:hint="eastAsia" w:asciiTheme="minorEastAsia" w:hAnsiTheme="minorEastAsia" w:eastAsiaTheme="minorEastAsia" w:cstheme="minorEastAsia"/>
          <w:color w:val="auto"/>
          <w:sz w:val="24"/>
          <w:u w:val="single"/>
        </w:rPr>
        <w:t xml:space="preserve">                  。</w:t>
      </w:r>
    </w:p>
    <w:p w14:paraId="52C73D59">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1.11.3关于承包人提供的上述文件的使用限制的要求：</w:t>
      </w:r>
      <w:r>
        <w:rPr>
          <w:rFonts w:hint="eastAsia" w:asciiTheme="minorEastAsia" w:hAnsiTheme="minorEastAsia" w:eastAsiaTheme="minorEastAsia" w:cstheme="minorEastAsia"/>
          <w:color w:val="auto"/>
          <w:sz w:val="24"/>
          <w:u w:val="single"/>
        </w:rPr>
        <w:t xml:space="preserve">                       。</w:t>
      </w:r>
    </w:p>
    <w:p w14:paraId="67B7F590">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1.11.4 承包人在施工过程中所采用的专利、专有技术、技术秘密的使用费的承担方式：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18A4DE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1.13工程量清单错误的修正</w:t>
      </w:r>
    </w:p>
    <w:p w14:paraId="75C0105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出现工程量清单错误时，是否调整合同价格：</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A9FD0C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允许调整合同价格的工程量偏差范围：</w:t>
      </w:r>
      <w:r>
        <w:rPr>
          <w:rFonts w:hint="eastAsia" w:asciiTheme="minorEastAsia" w:hAnsiTheme="minorEastAsia" w:eastAsiaTheme="minorEastAsia" w:cstheme="minorEastAsia"/>
          <w:color w:val="auto"/>
          <w:u w:val="single"/>
        </w:rPr>
        <w:t xml:space="preserve">   ％</w:t>
      </w:r>
    </w:p>
    <w:p w14:paraId="7A6FEB8A">
      <w:pPr>
        <w:pStyle w:val="30"/>
        <w:spacing w:line="360" w:lineRule="auto"/>
        <w:ind w:right="0"/>
        <w:rPr>
          <w:rFonts w:asciiTheme="minorEastAsia" w:hAnsiTheme="minorEastAsia" w:eastAsiaTheme="minorEastAsia" w:cstheme="minorEastAsia"/>
          <w:b/>
          <w:bCs/>
          <w:color w:val="auto"/>
        </w:rPr>
      </w:pPr>
      <w:bookmarkStart w:id="148" w:name="_Toc351203634"/>
      <w:r>
        <w:rPr>
          <w:rFonts w:hint="eastAsia" w:asciiTheme="minorEastAsia" w:hAnsiTheme="minorEastAsia" w:eastAsiaTheme="minorEastAsia" w:cstheme="minorEastAsia"/>
          <w:b/>
          <w:bCs/>
          <w:color w:val="auto"/>
        </w:rPr>
        <w:t>2</w:t>
      </w:r>
      <w:bookmarkStart w:id="149" w:name="_Toc297048343"/>
      <w:bookmarkStart w:id="150" w:name="_Toc296503157"/>
      <w:bookmarkStart w:id="151" w:name="_Toc296944496"/>
      <w:bookmarkStart w:id="152" w:name="_Toc296890985"/>
      <w:bookmarkStart w:id="153" w:name="_Toc297120457"/>
      <w:bookmarkStart w:id="154" w:name="_Toc292559362"/>
      <w:bookmarkStart w:id="155" w:name="_Toc296891197"/>
      <w:bookmarkStart w:id="156" w:name="_Toc296347156"/>
      <w:bookmarkStart w:id="157" w:name="_Toc296346658"/>
      <w:bookmarkStart w:id="158" w:name="_Toc292559867"/>
      <w:r>
        <w:rPr>
          <w:rFonts w:hint="eastAsia" w:asciiTheme="minorEastAsia" w:hAnsiTheme="minorEastAsia" w:eastAsiaTheme="minorEastAsia" w:cstheme="minorEastAsia"/>
          <w:b/>
          <w:bCs/>
          <w:color w:val="auto"/>
        </w:rPr>
        <w:t>. 发包人</w:t>
      </w:r>
      <w:bookmarkEnd w:id="148"/>
    </w:p>
    <w:bookmarkEnd w:id="149"/>
    <w:bookmarkEnd w:id="150"/>
    <w:bookmarkEnd w:id="151"/>
    <w:bookmarkEnd w:id="152"/>
    <w:bookmarkEnd w:id="153"/>
    <w:bookmarkEnd w:id="154"/>
    <w:bookmarkEnd w:id="155"/>
    <w:bookmarkEnd w:id="156"/>
    <w:bookmarkEnd w:id="157"/>
    <w:bookmarkEnd w:id="158"/>
    <w:p w14:paraId="40DD0F9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2.2 发包人代表</w:t>
      </w:r>
    </w:p>
    <w:p w14:paraId="5EDF1C6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发包人代表：</w:t>
      </w:r>
    </w:p>
    <w:p w14:paraId="3AAC688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769490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D91DB6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    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F1A5C5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C7DA0D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0E7590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D61E40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发包人对发包人代表的授权范围如下：</w:t>
      </w:r>
      <w:r>
        <w:rPr>
          <w:rFonts w:hint="eastAsia" w:asciiTheme="minorEastAsia" w:hAnsiTheme="minorEastAsia" w:eastAsiaTheme="minorEastAsia" w:cstheme="minorEastAsia"/>
          <w:color w:val="auto"/>
          <w:u w:val="single"/>
        </w:rPr>
        <w:t>1、协调各有关单位工作；2、工程进度与工程量的确认；3、督促并控制好工程进度、质量、投资。</w:t>
      </w:r>
    </w:p>
    <w:p w14:paraId="57F07C7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2.4 施工现场、施工条件和基础资料的提供</w:t>
      </w:r>
    </w:p>
    <w:p w14:paraId="7119B1B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 提供施工现场</w:t>
      </w:r>
    </w:p>
    <w:p w14:paraId="3AC78B9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关于发包人移交施工现场的期限要求：</w:t>
      </w:r>
      <w:r>
        <w:rPr>
          <w:rFonts w:hint="eastAsia" w:asciiTheme="minorEastAsia" w:hAnsiTheme="minorEastAsia" w:eastAsiaTheme="minorEastAsia" w:cstheme="minorEastAsia"/>
          <w:color w:val="auto"/>
          <w:u w:val="single"/>
        </w:rPr>
        <w:t xml:space="preserve">开工前  </w:t>
      </w:r>
      <w:r>
        <w:rPr>
          <w:rFonts w:hint="eastAsia" w:asciiTheme="minorEastAsia" w:hAnsiTheme="minorEastAsia" w:eastAsiaTheme="minorEastAsia" w:cstheme="minorEastAsia"/>
          <w:color w:val="auto"/>
        </w:rPr>
        <w:t>。</w:t>
      </w:r>
    </w:p>
    <w:p w14:paraId="312FD29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 提供施工条件</w:t>
      </w:r>
    </w:p>
    <w:p w14:paraId="26AB42B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关于发包人应负责提供施工所需要的条件，包括：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2EAEDB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2.5 资金来源证明及支付担保</w:t>
      </w:r>
    </w:p>
    <w:p w14:paraId="203D609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发包人提供资金来源证明的期限要求：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D7DA0C5">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发包人是否提供支付担保：</w:t>
      </w:r>
      <w:r>
        <w:rPr>
          <w:rFonts w:hint="eastAsia" w:asciiTheme="minorEastAsia" w:hAnsiTheme="minorEastAsia" w:eastAsiaTheme="minorEastAsia" w:cstheme="minorEastAsia"/>
          <w:color w:val="auto"/>
          <w:u w:val="single"/>
        </w:rPr>
        <w:t xml:space="preserve">    /  。</w:t>
      </w:r>
    </w:p>
    <w:p w14:paraId="0AC7E61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发包人提供支付担保的形式：</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w:t>
      </w:r>
    </w:p>
    <w:p w14:paraId="1D0864B0">
      <w:pPr>
        <w:pStyle w:val="30"/>
        <w:spacing w:line="360" w:lineRule="auto"/>
        <w:ind w:right="0"/>
        <w:rPr>
          <w:rFonts w:asciiTheme="minorEastAsia" w:hAnsiTheme="minorEastAsia" w:eastAsiaTheme="minorEastAsia" w:cstheme="minorEastAsia"/>
          <w:b/>
          <w:bCs/>
          <w:color w:val="auto"/>
        </w:rPr>
      </w:pPr>
      <w:bookmarkStart w:id="159" w:name="_Toc351203635"/>
      <w:r>
        <w:rPr>
          <w:rFonts w:hint="eastAsia" w:asciiTheme="minorEastAsia" w:hAnsiTheme="minorEastAsia" w:eastAsiaTheme="minorEastAsia" w:cstheme="minorEastAsia"/>
          <w:b/>
          <w:bCs/>
          <w:color w:val="auto"/>
        </w:rPr>
        <w:t>3</w:t>
      </w:r>
      <w:bookmarkStart w:id="160" w:name="_Toc297048344"/>
      <w:bookmarkStart w:id="161" w:name="_Toc296346659"/>
      <w:bookmarkStart w:id="162" w:name="_Toc296890986"/>
      <w:bookmarkStart w:id="163" w:name="_Toc297120458"/>
      <w:bookmarkStart w:id="164" w:name="_Toc296503158"/>
      <w:bookmarkStart w:id="165" w:name="_Toc292559363"/>
      <w:bookmarkStart w:id="166" w:name="_Toc296944497"/>
      <w:bookmarkStart w:id="167" w:name="_Toc296891198"/>
      <w:bookmarkStart w:id="168" w:name="_Toc296347157"/>
      <w:bookmarkStart w:id="169" w:name="_Toc292559868"/>
      <w:r>
        <w:rPr>
          <w:rFonts w:hint="eastAsia" w:asciiTheme="minorEastAsia" w:hAnsiTheme="minorEastAsia" w:eastAsiaTheme="minorEastAsia" w:cstheme="minorEastAsia"/>
          <w:b/>
          <w:bCs/>
          <w:color w:val="auto"/>
        </w:rPr>
        <w:t>. 承包人</w:t>
      </w:r>
      <w:bookmarkEnd w:id="159"/>
    </w:p>
    <w:bookmarkEnd w:id="160"/>
    <w:bookmarkEnd w:id="161"/>
    <w:bookmarkEnd w:id="162"/>
    <w:bookmarkEnd w:id="163"/>
    <w:bookmarkEnd w:id="164"/>
    <w:bookmarkEnd w:id="165"/>
    <w:bookmarkEnd w:id="166"/>
    <w:bookmarkEnd w:id="167"/>
    <w:bookmarkEnd w:id="168"/>
    <w:bookmarkEnd w:id="169"/>
    <w:p w14:paraId="58BF4EF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3.1 承包人的一般义务</w:t>
      </w:r>
    </w:p>
    <w:p w14:paraId="6E4CF2F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（9）承包人提交的竣工资料的内容：</w:t>
      </w:r>
      <w:r>
        <w:rPr>
          <w:rFonts w:hint="eastAsia" w:asciiTheme="minorEastAsia" w:hAnsiTheme="minorEastAsia" w:eastAsiaTheme="minorEastAsia" w:cstheme="minorEastAsia"/>
          <w:color w:val="auto"/>
          <w:u w:val="single"/>
        </w:rPr>
        <w:t xml:space="preserve">    /  。</w:t>
      </w:r>
    </w:p>
    <w:p w14:paraId="1382EC03">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承包人需要提交的竣工资料套数：</w:t>
      </w:r>
      <w:r>
        <w:rPr>
          <w:rFonts w:hint="eastAsia" w:asciiTheme="minorEastAsia" w:hAnsiTheme="minorEastAsia" w:eastAsiaTheme="minorEastAsia" w:cstheme="minorEastAsia"/>
          <w:color w:val="auto"/>
          <w:u w:val="single"/>
        </w:rPr>
        <w:t xml:space="preserve">     /  。</w:t>
      </w:r>
    </w:p>
    <w:p w14:paraId="51C66439">
      <w:pPr>
        <w:spacing w:line="360" w:lineRule="auto"/>
        <w:ind w:firstLine="360" w:firstLineChars="15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承包人提交的竣工资料的费用承担：</w:t>
      </w:r>
      <w:r>
        <w:rPr>
          <w:rFonts w:hint="eastAsia" w:asciiTheme="minorEastAsia" w:hAnsiTheme="minorEastAsia" w:eastAsiaTheme="minorEastAsia" w:cstheme="minorEastAsia"/>
          <w:color w:val="auto"/>
          <w:kern w:val="0"/>
          <w:sz w:val="24"/>
          <w:u w:val="single"/>
        </w:rPr>
        <w:t xml:space="preserve">   /     </w:t>
      </w:r>
      <w:r>
        <w:rPr>
          <w:rFonts w:hint="eastAsia" w:asciiTheme="minorEastAsia" w:hAnsiTheme="minorEastAsia" w:eastAsiaTheme="minorEastAsia" w:cstheme="minorEastAsia"/>
          <w:color w:val="auto"/>
          <w:kern w:val="0"/>
          <w:sz w:val="24"/>
        </w:rPr>
        <w:t>。</w:t>
      </w:r>
    </w:p>
    <w:p w14:paraId="2EAA5FE1">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承包人提交的竣工资料移交时间：</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BD0D19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承包人提交的竣工资料形式要求：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4F8A975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（10）承包人应履行的其他义务：</w:t>
      </w:r>
    </w:p>
    <w:p w14:paraId="77C1A678">
      <w:pPr>
        <w:pStyle w:val="30"/>
        <w:spacing w:line="360" w:lineRule="auto"/>
        <w:ind w:left="0" w:right="0" w:firstLine="480" w:firstLine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1）承包人在施工时，必须全面协调好与周边环境关系，施工时承包人因自身原因未处理好周边环境关系而导致工程停工，发包人将不承担由此引起的工期延误及其他工程费用损失。</w:t>
      </w:r>
    </w:p>
    <w:p w14:paraId="6B8C680C">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3.2 项目经理</w:t>
      </w:r>
    </w:p>
    <w:p w14:paraId="61FC94F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3.2.1 项目经理：</w:t>
      </w:r>
    </w:p>
    <w:p w14:paraId="65CB8FB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3B3323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A0BE45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B2029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5EFBE2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执业印章号：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51A1A4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9824A8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34295D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EC1EBC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E025C5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承包人对项目经理的授权范围如下：</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5C08C9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关于项目经理每月在施工现场的时间要求：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77FB52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承包人未提交劳动合同，以及没有为项目经理缴纳社会保险证明的违约责任：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1443C15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项目经理未经批准，擅自离开施工现场的违约责任：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CF439C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3.2.3 承包人擅自更换项目经理的违约责任：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1D0EB09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3.2.4 承包人无正当理由拒绝更换项目经理的违约责任：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1FFD19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3.3 承包人人员</w:t>
      </w:r>
    </w:p>
    <w:p w14:paraId="3196FC3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3.3.1 承包人提交项目管理机构及施工现场管理人员安排报告的期限：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 xml:space="preserve">。 </w:t>
      </w:r>
    </w:p>
    <w:p w14:paraId="282B4D4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3.3.3 承包人无正当理由拒绝撤换主要施工管理人员的违约责任：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5C4C20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3.3.4 承包人主要施工管理人员离开施工现场的批准要求： </w:t>
      </w:r>
      <w:r>
        <w:rPr>
          <w:rFonts w:hint="eastAsia" w:asciiTheme="minorEastAsia" w:hAnsiTheme="minorEastAsia" w:eastAsiaTheme="minorEastAsia" w:cstheme="minorEastAsia"/>
          <w:color w:val="auto"/>
          <w:u w:val="single"/>
        </w:rPr>
        <w:t xml:space="preserve">执行通用条款  </w:t>
      </w:r>
      <w:r>
        <w:rPr>
          <w:rFonts w:hint="eastAsia" w:asciiTheme="minorEastAsia" w:hAnsiTheme="minorEastAsia" w:eastAsiaTheme="minorEastAsia" w:cstheme="minorEastAsia"/>
          <w:color w:val="auto"/>
        </w:rPr>
        <w:t>。</w:t>
      </w:r>
    </w:p>
    <w:p w14:paraId="17909F9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3.3.5承包人擅自更换主要施工管理人员的违约责任：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938460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承包人主要施工管理人员擅自离开施工现场的违约责任：项目管理班子人员在施工现场时间必须与响应文件的承诺相一致。如未经工程师书面同意达不到承诺要求的，</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69F507E">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w:t>
      </w:r>
      <w:bookmarkStart w:id="170" w:name="_Toc296891199"/>
      <w:bookmarkStart w:id="171" w:name="_Toc296347158"/>
      <w:bookmarkStart w:id="172" w:name="_Toc296890987"/>
      <w:bookmarkStart w:id="173" w:name="_Toc303539102"/>
      <w:bookmarkStart w:id="174" w:name="_Toc312677988"/>
      <w:bookmarkStart w:id="175" w:name="_Toc297216151"/>
      <w:bookmarkStart w:id="176" w:name="_Toc297123492"/>
      <w:bookmarkStart w:id="177" w:name="_Toc292559869"/>
      <w:bookmarkStart w:id="178" w:name="_Toc297048345"/>
      <w:bookmarkStart w:id="179" w:name="_Toc300934945"/>
      <w:bookmarkStart w:id="180" w:name="_Toc292559364"/>
      <w:bookmarkStart w:id="181" w:name="_Toc304295523"/>
      <w:bookmarkStart w:id="182" w:name="_Toc297120459"/>
      <w:bookmarkStart w:id="183" w:name="_Toc296346660"/>
      <w:bookmarkStart w:id="184" w:name="_Toc296944498"/>
      <w:bookmarkStart w:id="185" w:name="_Toc296503159"/>
      <w:r>
        <w:rPr>
          <w:rFonts w:hint="eastAsia" w:asciiTheme="minorEastAsia" w:hAnsiTheme="minorEastAsia" w:eastAsiaTheme="minorEastAsia" w:cstheme="minorEastAsia"/>
          <w:b/>
          <w:color w:val="auto"/>
        </w:rPr>
        <w:t>.5 分包</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14:paraId="1271CFA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186" w:name="_Toc292559365"/>
      <w:bookmarkStart w:id="187" w:name="_Toc300934946"/>
      <w:bookmarkStart w:id="188" w:name="_Toc296891200"/>
      <w:bookmarkStart w:id="189" w:name="_Toc292559870"/>
      <w:bookmarkStart w:id="190" w:name="_Toc297123493"/>
      <w:bookmarkStart w:id="191" w:name="_Toc297120460"/>
      <w:bookmarkStart w:id="192" w:name="_Toc296346661"/>
      <w:bookmarkStart w:id="193" w:name="_Toc303539103"/>
      <w:bookmarkStart w:id="194" w:name="_Toc296347159"/>
      <w:bookmarkStart w:id="195" w:name="_Toc297216152"/>
      <w:bookmarkStart w:id="196" w:name="_Toc296944499"/>
      <w:bookmarkStart w:id="197" w:name="_Toc296890988"/>
      <w:bookmarkStart w:id="198" w:name="_Toc297048346"/>
      <w:bookmarkStart w:id="199" w:name="_Toc296503160"/>
      <w:bookmarkStart w:id="200" w:name="_Toc304295524"/>
      <w:bookmarkStart w:id="201" w:name="_Toc312677989"/>
      <w:bookmarkStart w:id="202" w:name="_Toc318581158"/>
      <w:r>
        <w:rPr>
          <w:rFonts w:hint="eastAsia" w:asciiTheme="minorEastAsia" w:hAnsiTheme="minorEastAsia" w:eastAsiaTheme="minorEastAsia" w:cstheme="minorEastAsia"/>
          <w:color w:val="auto"/>
        </w:rPr>
        <w:t>.5.1 分包的一般约定</w:t>
      </w:r>
    </w:p>
    <w:p w14:paraId="443E71E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禁止分包的工程包括：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7BAD55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主体结构、关键性工作的范围：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300934947"/>
      <w:bookmarkStart w:id="204" w:name="_Toc296944500"/>
      <w:bookmarkStart w:id="205" w:name="_Toc297123494"/>
      <w:bookmarkStart w:id="206" w:name="_Toc296891201"/>
      <w:bookmarkStart w:id="207" w:name="_Toc296890989"/>
      <w:bookmarkStart w:id="208" w:name="_Toc304295525"/>
      <w:bookmarkStart w:id="209" w:name="_Toc297048347"/>
      <w:bookmarkStart w:id="210" w:name="_Toc296346662"/>
      <w:bookmarkStart w:id="211" w:name="_Toc296503161"/>
      <w:bookmarkStart w:id="212" w:name="_Toc296347160"/>
      <w:bookmarkStart w:id="213" w:name="_Toc297216153"/>
      <w:bookmarkStart w:id="214" w:name="_Toc297120461"/>
      <w:bookmarkStart w:id="215" w:name="_Toc303539104"/>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14:paraId="4C7222E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216" w:name="_Toc312677990"/>
      <w:bookmarkStart w:id="217" w:name="_Toc318581159"/>
      <w:r>
        <w:rPr>
          <w:rFonts w:hint="eastAsia" w:asciiTheme="minorEastAsia" w:hAnsiTheme="minorEastAsia" w:eastAsiaTheme="minorEastAsia" w:cstheme="minorEastAsia"/>
          <w:color w:val="auto"/>
        </w:rPr>
        <w:t>.5.2分包的确定</w:t>
      </w:r>
    </w:p>
    <w:p w14:paraId="70A00E5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允许分包的专业工程包括：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E60612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其他关于分包的约定：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58236D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3.5.4 分包合同价款</w:t>
      </w:r>
    </w:p>
    <w:p w14:paraId="0AA2A77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关于分包合同价款支付的约定：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16"/>
    <w:bookmarkEnd w:id="217"/>
    <w:p w14:paraId="31A43D0E">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3.6 工程照管与成品、半成品保护</w:t>
      </w:r>
    </w:p>
    <w:p w14:paraId="1AF064D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承包人负责照管工程及工程相关的材料、工程设备的起始时间：</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0190CF3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3.7 履约担保</w:t>
      </w:r>
    </w:p>
    <w:p w14:paraId="039FB31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承包人是否提供履约担保：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95028F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承包人提供履约担保的形式、金额及期限的：</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C59E8C0">
      <w:pPr>
        <w:pStyle w:val="30"/>
        <w:spacing w:line="360" w:lineRule="auto"/>
        <w:ind w:right="0"/>
        <w:rPr>
          <w:rFonts w:asciiTheme="minorEastAsia" w:hAnsiTheme="minorEastAsia" w:eastAsiaTheme="minorEastAsia" w:cstheme="minorEastAsia"/>
          <w:b/>
          <w:bCs/>
          <w:color w:val="auto"/>
        </w:rPr>
      </w:pPr>
      <w:bookmarkStart w:id="218" w:name="_Toc351203636"/>
      <w:r>
        <w:rPr>
          <w:rFonts w:hint="eastAsia" w:asciiTheme="minorEastAsia" w:hAnsiTheme="minorEastAsia" w:eastAsiaTheme="minorEastAsia" w:cstheme="minorEastAsia"/>
          <w:b/>
          <w:bCs/>
          <w:color w:val="auto"/>
        </w:rPr>
        <w:t>4</w:t>
      </w:r>
      <w:bookmarkStart w:id="219" w:name="_Toc296890990"/>
      <w:bookmarkStart w:id="220" w:name="_Toc296347161"/>
      <w:bookmarkStart w:id="221" w:name="_Toc296346663"/>
      <w:bookmarkStart w:id="222" w:name="_Toc267251413"/>
      <w:bookmarkStart w:id="223" w:name="_Toc292559366"/>
      <w:bookmarkStart w:id="224" w:name="_Toc292559871"/>
      <w:bookmarkStart w:id="225" w:name="_Toc297120462"/>
      <w:bookmarkStart w:id="226" w:name="_Toc296944501"/>
      <w:bookmarkStart w:id="227" w:name="_Toc296503162"/>
      <w:bookmarkStart w:id="228" w:name="_Toc297048348"/>
      <w:bookmarkStart w:id="229" w:name="_Toc296891202"/>
      <w:r>
        <w:rPr>
          <w:rFonts w:hint="eastAsia" w:asciiTheme="minorEastAsia" w:hAnsiTheme="minorEastAsia" w:eastAsiaTheme="minorEastAsia" w:cstheme="minorEastAsia"/>
          <w:b/>
          <w:bCs/>
          <w:color w:val="auto"/>
        </w:rPr>
        <w:t>. 监</w:t>
      </w:r>
      <w:bookmarkEnd w:id="219"/>
      <w:bookmarkEnd w:id="220"/>
      <w:bookmarkEnd w:id="221"/>
      <w:bookmarkEnd w:id="222"/>
      <w:bookmarkEnd w:id="223"/>
      <w:bookmarkEnd w:id="224"/>
      <w:bookmarkEnd w:id="225"/>
      <w:bookmarkEnd w:id="226"/>
      <w:bookmarkEnd w:id="227"/>
      <w:bookmarkEnd w:id="228"/>
      <w:bookmarkEnd w:id="229"/>
      <w:r>
        <w:rPr>
          <w:rFonts w:hint="eastAsia" w:asciiTheme="minorEastAsia" w:hAnsiTheme="minorEastAsia" w:eastAsiaTheme="minorEastAsia" w:cstheme="minorEastAsia"/>
          <w:b/>
          <w:bCs/>
          <w:color w:val="auto"/>
        </w:rPr>
        <w:t>理人</w:t>
      </w:r>
      <w:bookmarkEnd w:id="218"/>
    </w:p>
    <w:p w14:paraId="27C549D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4.1监理人的一般规定</w:t>
      </w:r>
    </w:p>
    <w:p w14:paraId="62940EFE">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关于监理人的监理内容：</w:t>
      </w:r>
      <w:r>
        <w:rPr>
          <w:rFonts w:hint="eastAsia" w:asciiTheme="minorEastAsia" w:hAnsiTheme="minorEastAsia" w:eastAsiaTheme="minorEastAsia" w:cstheme="minorEastAsia"/>
          <w:color w:val="auto"/>
          <w:u w:val="single"/>
        </w:rPr>
        <w:t>无</w:t>
      </w:r>
      <w:r>
        <w:rPr>
          <w:rFonts w:hint="eastAsia" w:asciiTheme="minorEastAsia" w:hAnsiTheme="minorEastAsia" w:eastAsiaTheme="minorEastAsia" w:cstheme="minorEastAsia"/>
          <w:color w:val="auto"/>
        </w:rPr>
        <w:t>。</w:t>
      </w:r>
    </w:p>
    <w:p w14:paraId="1A6887D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关于监理人的监理权限：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6576153F">
      <w:pPr>
        <w:spacing w:line="360" w:lineRule="auto"/>
        <w:ind w:firstLine="360" w:firstLineChars="15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关于监理人在施工现场的办公场所、生活场所的提供和费用承担的约定：</w:t>
      </w:r>
      <w:r>
        <w:rPr>
          <w:rFonts w:hint="eastAsia" w:asciiTheme="minorEastAsia" w:hAnsiTheme="minorEastAsia" w:eastAsiaTheme="minorEastAsia" w:cstheme="minorEastAsia"/>
          <w:color w:val="auto"/>
          <w:sz w:val="24"/>
          <w:u w:val="single"/>
        </w:rPr>
        <w:t xml:space="preserve">          </w:t>
      </w:r>
    </w:p>
    <w:p w14:paraId="5776D5E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4.4 商定或确定</w:t>
      </w:r>
    </w:p>
    <w:p w14:paraId="4FF689EB">
      <w:pPr>
        <w:pStyle w:val="30"/>
        <w:spacing w:line="360" w:lineRule="auto"/>
        <w:ind w:right="0"/>
        <w:rPr>
          <w:rFonts w:asciiTheme="minorEastAsia" w:hAnsiTheme="minorEastAsia" w:eastAsiaTheme="minorEastAsia" w:cstheme="minorEastAsia"/>
          <w:color w:val="auto"/>
        </w:rPr>
      </w:pPr>
      <w:bookmarkStart w:id="230" w:name="_Toc267251418"/>
      <w:r>
        <w:rPr>
          <w:rFonts w:hint="eastAsia" w:asciiTheme="minorEastAsia" w:hAnsiTheme="minorEastAsia" w:eastAsiaTheme="minorEastAsia" w:cstheme="minorEastAsia"/>
          <w:color w:val="auto"/>
        </w:rPr>
        <w:t>在发包人和承包人不能通过协商达成一致意见时，发包人授权监理人对以下事项进行确定：</w:t>
      </w:r>
    </w:p>
    <w:p w14:paraId="3DA5CC6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C2CEF4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DF93BB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01716D9">
      <w:pPr>
        <w:pStyle w:val="30"/>
        <w:spacing w:line="360" w:lineRule="auto"/>
        <w:ind w:right="0"/>
        <w:rPr>
          <w:rFonts w:asciiTheme="minorEastAsia" w:hAnsiTheme="minorEastAsia" w:eastAsiaTheme="minorEastAsia" w:cstheme="minorEastAsia"/>
          <w:b/>
          <w:bCs/>
          <w:color w:val="auto"/>
        </w:rPr>
      </w:pPr>
      <w:bookmarkStart w:id="231" w:name="_Toc351203637"/>
      <w:r>
        <w:rPr>
          <w:rFonts w:hint="eastAsia" w:asciiTheme="minorEastAsia" w:hAnsiTheme="minorEastAsia" w:eastAsiaTheme="minorEastAsia" w:cstheme="minorEastAsia"/>
          <w:b/>
          <w:bCs/>
          <w:color w:val="auto"/>
        </w:rPr>
        <w:t>5</w:t>
      </w:r>
      <w:bookmarkEnd w:id="230"/>
      <w:bookmarkStart w:id="232" w:name="_Toc296347162"/>
      <w:bookmarkStart w:id="233" w:name="_Toc296944502"/>
      <w:bookmarkStart w:id="234" w:name="_Toc297120463"/>
      <w:bookmarkStart w:id="235" w:name="_Toc292559367"/>
      <w:bookmarkStart w:id="236" w:name="_Toc296503163"/>
      <w:bookmarkStart w:id="237" w:name="_Toc296891203"/>
      <w:bookmarkStart w:id="238" w:name="_Toc292559872"/>
      <w:bookmarkStart w:id="239" w:name="_Toc296890991"/>
      <w:bookmarkStart w:id="240" w:name="_Toc296346664"/>
      <w:bookmarkStart w:id="241" w:name="_Toc297048349"/>
      <w:r>
        <w:rPr>
          <w:rFonts w:hint="eastAsia" w:asciiTheme="minorEastAsia" w:hAnsiTheme="minorEastAsia" w:eastAsiaTheme="minorEastAsia" w:cstheme="minorEastAsia"/>
          <w:b/>
          <w:bCs/>
          <w:color w:val="auto"/>
        </w:rPr>
        <w:t>. 工程质量</w:t>
      </w:r>
      <w:bookmarkEnd w:id="231"/>
    </w:p>
    <w:p w14:paraId="5FA0659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5.1 质量要求</w:t>
      </w:r>
    </w:p>
    <w:p w14:paraId="77121DC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w:t>
      </w:r>
      <w:bookmarkStart w:id="242" w:name="_Toc304295527"/>
      <w:bookmarkStart w:id="243" w:name="_Toc303539106"/>
      <w:bookmarkStart w:id="244" w:name="_Toc318581164"/>
      <w:bookmarkStart w:id="245" w:name="_Toc300934949"/>
      <w:bookmarkStart w:id="246" w:name="_Toc297216155"/>
      <w:bookmarkStart w:id="247" w:name="_Toc297123496"/>
      <w:bookmarkStart w:id="248" w:name="_Toc312677997"/>
      <w:r>
        <w:rPr>
          <w:rFonts w:hint="eastAsia" w:asciiTheme="minorEastAsia" w:hAnsiTheme="minorEastAsia" w:eastAsiaTheme="minorEastAsia" w:cstheme="minorEastAsia"/>
          <w:color w:val="auto"/>
        </w:rPr>
        <w:t>.1.1 特殊质量标准和要求：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4351A23">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关于工程奖项的约定：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359881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 隐蔽工程检查</w:t>
      </w:r>
    </w:p>
    <w:p w14:paraId="137C913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5.3.2承包人提前通知监理人隐蔽工程检查的期限的约定：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7B7B759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监理人不能按时进行检查时，应提前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14:paraId="0FE1FE2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14:paraId="5386D350">
      <w:pPr>
        <w:pStyle w:val="30"/>
        <w:spacing w:line="360" w:lineRule="auto"/>
        <w:ind w:right="0"/>
        <w:rPr>
          <w:rFonts w:asciiTheme="minorEastAsia" w:hAnsiTheme="minorEastAsia" w:eastAsiaTheme="minorEastAsia" w:cstheme="minorEastAsia"/>
          <w:b/>
          <w:bCs/>
          <w:color w:val="auto"/>
        </w:rPr>
      </w:pPr>
      <w:bookmarkStart w:id="249" w:name="_Toc351203638"/>
      <w:r>
        <w:rPr>
          <w:rFonts w:hint="eastAsia" w:asciiTheme="minorEastAsia" w:hAnsiTheme="minorEastAsia" w:eastAsiaTheme="minorEastAsia" w:cstheme="minorEastAsia"/>
          <w:b/>
          <w:bCs/>
          <w:color w:val="auto"/>
        </w:rPr>
        <w:t>6. 安全文明施工与环境保护</w:t>
      </w:r>
      <w:bookmarkEnd w:id="249"/>
    </w:p>
    <w:p w14:paraId="131E198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6.1安全文明施工</w:t>
      </w:r>
    </w:p>
    <w:p w14:paraId="0438F87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6.1.1 项目安全生产的达标目标及相应事项的约定：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63D59B2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6.1.4 关于治安保卫的特别约定：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87847C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关于编制施工场地治安管理计划的约定：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324936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6.1.5 文明施工</w:t>
      </w:r>
    </w:p>
    <w:p w14:paraId="1DD1ED62">
      <w:pPr>
        <w:pStyle w:val="30"/>
        <w:spacing w:line="360" w:lineRule="auto"/>
        <w:ind w:right="0"/>
        <w:rPr>
          <w:rFonts w:asciiTheme="minorEastAsia" w:hAnsiTheme="minorEastAsia" w:eastAsiaTheme="minorEastAsia" w:cstheme="minorEastAsia"/>
          <w:bCs/>
          <w:color w:val="auto"/>
          <w:u w:val="single"/>
        </w:rPr>
      </w:pPr>
      <w:r>
        <w:rPr>
          <w:rFonts w:hint="eastAsia" w:asciiTheme="minorEastAsia" w:hAnsiTheme="minorEastAsia" w:eastAsiaTheme="minorEastAsia" w:cstheme="minorEastAsia"/>
          <w:color w:val="auto"/>
        </w:rPr>
        <w:t>合同当事人对文明施工的要求：①</w:t>
      </w:r>
      <w:r>
        <w:rPr>
          <w:rFonts w:hint="eastAsia" w:asciiTheme="minorEastAsia" w:hAnsiTheme="minorEastAsia" w:eastAsiaTheme="minorEastAsia" w:cstheme="minorEastAsia"/>
          <w:color w:val="auto"/>
          <w:u w:val="single"/>
        </w:rPr>
        <w:t>承包人必须按照规定进行施工现场文明施工管理，</w:t>
      </w:r>
      <w:r>
        <w:rPr>
          <w:rFonts w:hint="eastAsia" w:asciiTheme="minorEastAsia" w:hAnsiTheme="minorEastAsia" w:eastAsiaTheme="minorEastAsia" w:cstheme="minorEastAsia"/>
          <w:bCs/>
          <w:color w:val="auto"/>
          <w:u w:val="single"/>
        </w:rPr>
        <w:t>所发生的费用由承包人承担。</w:t>
      </w:r>
      <w:r>
        <w:rPr>
          <w:rFonts w:hint="eastAsia" w:asciiTheme="minorEastAsia" w:hAnsiTheme="minorEastAsia" w:eastAsiaTheme="minorEastAsia" w:cstheme="minorEastAsia"/>
          <w:color w:val="auto"/>
        </w:rPr>
        <w:t>②</w:t>
      </w:r>
      <w:r>
        <w:rPr>
          <w:rFonts w:hint="eastAsia" w:asciiTheme="minorEastAsia" w:hAnsiTheme="minorEastAsia" w:eastAsiaTheme="minorEastAsia" w:cstheme="minorEastAsia"/>
          <w:bCs/>
          <w:color w:val="auto"/>
          <w:u w:val="single"/>
        </w:rPr>
        <w:t>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建设项目所在地文明施工、标准化管理规定，明确具体措施，积极落实各项安全生产工作，杜绝重大伤亡事故。</w:t>
      </w:r>
    </w:p>
    <w:p w14:paraId="62B5D4B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6.1.6 关于安全文明施工费支付比例和支付期限的约定：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42"/>
    <w:bookmarkEnd w:id="243"/>
    <w:bookmarkEnd w:id="244"/>
    <w:bookmarkEnd w:id="245"/>
    <w:bookmarkEnd w:id="246"/>
    <w:bookmarkEnd w:id="247"/>
    <w:bookmarkEnd w:id="248"/>
    <w:p w14:paraId="16007480">
      <w:pPr>
        <w:pStyle w:val="30"/>
        <w:spacing w:line="360" w:lineRule="auto"/>
        <w:ind w:right="0"/>
        <w:rPr>
          <w:rFonts w:asciiTheme="minorEastAsia" w:hAnsiTheme="minorEastAsia" w:eastAsiaTheme="minorEastAsia" w:cstheme="minorEastAsia"/>
          <w:b/>
          <w:bCs/>
          <w:color w:val="auto"/>
        </w:rPr>
      </w:pPr>
      <w:bookmarkStart w:id="250" w:name="_Toc351203639"/>
      <w:r>
        <w:rPr>
          <w:rFonts w:hint="eastAsia" w:asciiTheme="minorEastAsia" w:hAnsiTheme="minorEastAsia" w:eastAsiaTheme="minorEastAsia" w:cstheme="minorEastAsia"/>
          <w:b/>
          <w:bCs/>
          <w:color w:val="auto"/>
        </w:rPr>
        <w:t>7. 工期和进度</w:t>
      </w:r>
      <w:bookmarkEnd w:id="250"/>
    </w:p>
    <w:p w14:paraId="154917A9">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7.1 施工组织设计</w:t>
      </w:r>
    </w:p>
    <w:p w14:paraId="29D6B2C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7.1.1 合同当事人约定的施工组织设计应包括的其他内容：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5EB97A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7.1.2 施工组织设计的提交和修改</w:t>
      </w:r>
    </w:p>
    <w:p w14:paraId="5D8CD1C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承包人提交详细施工组织设计的期限的约定：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2AB90B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发包人和监理人在收到详细的施工组织设计后确认或提出修改意见的期限：</w:t>
      </w:r>
      <w:r>
        <w:rPr>
          <w:rFonts w:hint="eastAsia" w:asciiTheme="minorEastAsia" w:hAnsiTheme="minorEastAsia" w:eastAsiaTheme="minorEastAsia" w:cstheme="minorEastAsia"/>
          <w:color w:val="auto"/>
          <w:u w:val="single"/>
        </w:rPr>
        <w:t xml:space="preserve">                。</w:t>
      </w:r>
    </w:p>
    <w:p w14:paraId="52691A05">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1" w:name="_Toc297216173"/>
      <w:bookmarkStart w:id="252" w:name="_Toc297123514"/>
      <w:bookmarkStart w:id="253" w:name="_Toc304295541"/>
      <w:bookmarkStart w:id="254" w:name="_Toc312678005"/>
      <w:bookmarkStart w:id="255" w:name="_Toc303539123"/>
      <w:bookmarkStart w:id="256" w:name="_Toc312677479"/>
      <w:bookmarkStart w:id="257" w:name="_Toc300934966"/>
      <w:r>
        <w:rPr>
          <w:rFonts w:hint="eastAsia" w:asciiTheme="minorEastAsia" w:hAnsiTheme="minorEastAsia" w:eastAsiaTheme="minorEastAsia" w:cstheme="minorEastAsia"/>
          <w:b/>
          <w:color w:val="auto"/>
        </w:rPr>
        <w:t>.2 施工进度计划</w:t>
      </w:r>
    </w:p>
    <w:p w14:paraId="6D118B8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7.2.2 施工进度计划的修订</w:t>
      </w:r>
    </w:p>
    <w:p w14:paraId="080041E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发包人和监理人在收到修订的施工进度计划后确认或提出修改意见的期限：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00F559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7.3 开工</w:t>
      </w:r>
    </w:p>
    <w:p w14:paraId="6672922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7.3.1 开工准备</w:t>
      </w:r>
    </w:p>
    <w:p w14:paraId="2A34E34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关于承包人提交工程开工报审表的期限：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1F84367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7370178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495BEC0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7.3.2开工通知</w:t>
      </w:r>
    </w:p>
    <w:p w14:paraId="628B807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因发包人原因造成监理人未能在计划开工日期之日起</w:t>
      </w:r>
      <w:r>
        <w:rPr>
          <w:rFonts w:hint="eastAsia" w:asciiTheme="minorEastAsia" w:hAnsiTheme="minorEastAsia" w:eastAsiaTheme="minorEastAsia" w:cstheme="minorEastAsia"/>
          <w:color w:val="auto"/>
          <w:u w:val="single"/>
        </w:rPr>
        <w:t xml:space="preserve"> 60</w:t>
      </w:r>
      <w:r>
        <w:rPr>
          <w:rFonts w:hint="eastAsia" w:asciiTheme="minorEastAsia" w:hAnsiTheme="minorEastAsia" w:eastAsiaTheme="minorEastAsia" w:cstheme="minorEastAsia"/>
          <w:color w:val="auto"/>
        </w:rPr>
        <w:t>天内发出开工通知的，承包人有权提出价格调整要求，或者解除合同。</w:t>
      </w:r>
    </w:p>
    <w:bookmarkEnd w:id="251"/>
    <w:bookmarkEnd w:id="252"/>
    <w:bookmarkEnd w:id="253"/>
    <w:bookmarkEnd w:id="254"/>
    <w:bookmarkEnd w:id="255"/>
    <w:bookmarkEnd w:id="256"/>
    <w:bookmarkEnd w:id="257"/>
    <w:p w14:paraId="4E601EB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7.4 测量放线</w:t>
      </w:r>
    </w:p>
    <w:p w14:paraId="21B60A3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7.4.1发包人通过监理人向承包人提供测量基准点、基准线和水准点及其书面资料的期限：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1987C7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8" w:name="_Toc300934968"/>
      <w:bookmarkStart w:id="259" w:name="_Toc297216175"/>
      <w:bookmarkStart w:id="260" w:name="_Toc303539125"/>
      <w:bookmarkStart w:id="261" w:name="_Toc312677484"/>
      <w:bookmarkStart w:id="262" w:name="_Toc297123516"/>
      <w:bookmarkStart w:id="263" w:name="_Toc304295546"/>
      <w:bookmarkStart w:id="264" w:name="_Toc312678010"/>
      <w:r>
        <w:rPr>
          <w:rFonts w:hint="eastAsia" w:asciiTheme="minorEastAsia" w:hAnsiTheme="minorEastAsia" w:eastAsiaTheme="minorEastAsia" w:cstheme="minorEastAsia"/>
          <w:b/>
          <w:color w:val="auto"/>
        </w:rPr>
        <w:t>.5 工期延误</w:t>
      </w:r>
    </w:p>
    <w:bookmarkEnd w:id="258"/>
    <w:bookmarkEnd w:id="259"/>
    <w:bookmarkEnd w:id="260"/>
    <w:bookmarkEnd w:id="261"/>
    <w:bookmarkEnd w:id="262"/>
    <w:bookmarkEnd w:id="263"/>
    <w:bookmarkEnd w:id="264"/>
    <w:p w14:paraId="2B03E9D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7.5.1 因发包人原因导致工期延误</w:t>
      </w:r>
    </w:p>
    <w:p w14:paraId="56C6A4E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（7）因发包人原因导致工期延误的其他情形：</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4A2F898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bookmarkStart w:id="265" w:name="_Toc312677486"/>
      <w:bookmarkStart w:id="266" w:name="_Toc318581169"/>
      <w:bookmarkStart w:id="267" w:name="_Toc312678012"/>
      <w:bookmarkStart w:id="268" w:name="_Toc297123518"/>
      <w:bookmarkStart w:id="269" w:name="_Toc304295548"/>
      <w:bookmarkStart w:id="270" w:name="_Toc297216177"/>
      <w:bookmarkStart w:id="271" w:name="_Toc303539127"/>
      <w:bookmarkStart w:id="272" w:name="_Toc300934970"/>
      <w:r>
        <w:rPr>
          <w:rFonts w:hint="eastAsia" w:asciiTheme="minorEastAsia" w:hAnsiTheme="minorEastAsia" w:eastAsiaTheme="minorEastAsia" w:cstheme="minorEastAsia"/>
          <w:color w:val="auto"/>
        </w:rPr>
        <w:t>.5.2 因承包人原因导致工期延误</w:t>
      </w:r>
    </w:p>
    <w:bookmarkEnd w:id="265"/>
    <w:bookmarkEnd w:id="266"/>
    <w:bookmarkEnd w:id="267"/>
    <w:p w14:paraId="6D506C7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因</w:t>
      </w:r>
      <w:bookmarkStart w:id="273" w:name="_Toc312678013"/>
      <w:bookmarkStart w:id="274" w:name="_Toc312677487"/>
      <w:bookmarkStart w:id="275" w:name="_Toc318581170"/>
      <w:r>
        <w:rPr>
          <w:rFonts w:hint="eastAsia" w:asciiTheme="minorEastAsia" w:hAnsiTheme="minorEastAsia" w:eastAsiaTheme="minorEastAsia" w:cstheme="minorEastAsia"/>
          <w:color w:val="auto"/>
        </w:rPr>
        <w:t>承包人原因造成工期延误，逾期竣工违约金的计算方法为：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268"/>
      <w:bookmarkEnd w:id="269"/>
      <w:bookmarkEnd w:id="270"/>
      <w:bookmarkEnd w:id="271"/>
      <w:bookmarkEnd w:id="272"/>
      <w:bookmarkEnd w:id="273"/>
      <w:bookmarkEnd w:id="274"/>
    </w:p>
    <w:bookmarkEnd w:id="275"/>
    <w:p w14:paraId="01F25B5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因承包人原因造成工期延误，逾</w:t>
      </w:r>
      <w:bookmarkStart w:id="276" w:name="_Toc318581171"/>
      <w:bookmarkStart w:id="277" w:name="_Toc312678014"/>
      <w:r>
        <w:rPr>
          <w:rFonts w:hint="eastAsia" w:asciiTheme="minorEastAsia" w:hAnsiTheme="minorEastAsia" w:eastAsiaTheme="minorEastAsia" w:cstheme="minorEastAsia"/>
          <w:color w:val="auto"/>
        </w:rPr>
        <w:t>期竣工违约金的上限：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76"/>
    <w:bookmarkEnd w:id="277"/>
    <w:p w14:paraId="3640934A">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78" w:name="_Toc304295549"/>
      <w:bookmarkStart w:id="279" w:name="_Toc303539128"/>
      <w:bookmarkStart w:id="280" w:name="_Toc312678015"/>
      <w:bookmarkStart w:id="281" w:name="_Toc300934971"/>
      <w:bookmarkStart w:id="282" w:name="_Toc297123519"/>
      <w:bookmarkStart w:id="283" w:name="_Toc297216178"/>
      <w:r>
        <w:rPr>
          <w:rFonts w:hint="eastAsia" w:asciiTheme="minorEastAsia" w:hAnsiTheme="minorEastAsia" w:eastAsiaTheme="minorEastAsia" w:cstheme="minorEastAsia"/>
          <w:b/>
          <w:color w:val="auto"/>
        </w:rPr>
        <w:t>.6 不</w:t>
      </w:r>
      <w:bookmarkEnd w:id="278"/>
      <w:bookmarkEnd w:id="279"/>
      <w:bookmarkEnd w:id="280"/>
      <w:bookmarkEnd w:id="281"/>
      <w:bookmarkEnd w:id="282"/>
      <w:bookmarkEnd w:id="283"/>
      <w:r>
        <w:rPr>
          <w:rFonts w:hint="eastAsia" w:asciiTheme="minorEastAsia" w:hAnsiTheme="minorEastAsia" w:eastAsiaTheme="minorEastAsia" w:cstheme="minorEastAsia"/>
          <w:b/>
          <w:color w:val="auto"/>
        </w:rPr>
        <w:t>利物质条件</w:t>
      </w:r>
    </w:p>
    <w:p w14:paraId="5D06A63B">
      <w:pPr>
        <w:pStyle w:val="30"/>
        <w:spacing w:line="360" w:lineRule="auto"/>
        <w:ind w:right="0"/>
        <w:rPr>
          <w:rFonts w:asciiTheme="minorEastAsia" w:hAnsiTheme="minorEastAsia" w:eastAsiaTheme="minorEastAsia" w:cstheme="minorEastAsia"/>
          <w:color w:val="auto"/>
          <w:u w:val="single"/>
        </w:rPr>
      </w:pPr>
      <w:bookmarkStart w:id="284" w:name="_Toc318581172"/>
      <w:bookmarkStart w:id="285" w:name="_Toc312678016"/>
      <w:bookmarkStart w:id="286" w:name="_Toc297123520"/>
      <w:bookmarkStart w:id="287" w:name="_Toc304295550"/>
      <w:bookmarkStart w:id="288" w:name="_Toc303539129"/>
      <w:bookmarkStart w:id="289" w:name="_Toc300934972"/>
      <w:bookmarkStart w:id="290" w:name="_Toc297216179"/>
      <w:r>
        <w:rPr>
          <w:rFonts w:hint="eastAsia" w:asciiTheme="minorEastAsia" w:hAnsiTheme="minorEastAsia" w:eastAsiaTheme="minorEastAsia" w:cstheme="minorEastAsia"/>
          <w:color w:val="auto"/>
        </w:rPr>
        <w:t>不利物质条件的其他情形和有关约定：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84"/>
    <w:bookmarkEnd w:id="285"/>
    <w:bookmarkEnd w:id="286"/>
    <w:bookmarkEnd w:id="287"/>
    <w:bookmarkEnd w:id="288"/>
    <w:bookmarkEnd w:id="289"/>
    <w:bookmarkEnd w:id="290"/>
    <w:p w14:paraId="4F99A735">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91" w:name="_Toc303539130"/>
      <w:bookmarkStart w:id="292" w:name="_Toc300934973"/>
      <w:bookmarkStart w:id="293" w:name="_Toc312678017"/>
      <w:bookmarkStart w:id="294" w:name="_Toc297123521"/>
      <w:bookmarkStart w:id="295" w:name="_Toc304295551"/>
      <w:bookmarkStart w:id="296" w:name="_Toc297216180"/>
      <w:r>
        <w:rPr>
          <w:rFonts w:hint="eastAsia" w:asciiTheme="minorEastAsia" w:hAnsiTheme="minorEastAsia" w:eastAsiaTheme="minorEastAsia" w:cstheme="minorEastAsia"/>
          <w:b/>
          <w:color w:val="auto"/>
        </w:rPr>
        <w:t>.7异常恶劣的气候条件</w:t>
      </w:r>
    </w:p>
    <w:bookmarkEnd w:id="291"/>
    <w:bookmarkEnd w:id="292"/>
    <w:bookmarkEnd w:id="293"/>
    <w:bookmarkEnd w:id="294"/>
    <w:bookmarkEnd w:id="295"/>
    <w:bookmarkEnd w:id="296"/>
    <w:p w14:paraId="7B719E3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发包人和承包人同意以下情形视为异常恶劣的气候条件：</w:t>
      </w:r>
    </w:p>
    <w:p w14:paraId="262EFC5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7CF9D6E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1A9BE2F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0A80CE56">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7.9 提前竣工的奖励</w:t>
      </w:r>
    </w:p>
    <w:p w14:paraId="3EBB549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7.9.2提前竣工的奖励：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EA8F6D4">
      <w:pPr>
        <w:pStyle w:val="30"/>
        <w:spacing w:line="360" w:lineRule="auto"/>
        <w:ind w:right="0"/>
        <w:rPr>
          <w:rFonts w:asciiTheme="minorEastAsia" w:hAnsiTheme="minorEastAsia" w:eastAsiaTheme="minorEastAsia" w:cstheme="minorEastAsia"/>
          <w:b/>
          <w:bCs/>
          <w:color w:val="auto"/>
        </w:rPr>
      </w:pPr>
      <w:bookmarkStart w:id="297" w:name="_Toc351203640"/>
      <w:r>
        <w:rPr>
          <w:rFonts w:hint="eastAsia" w:asciiTheme="minorEastAsia" w:hAnsiTheme="minorEastAsia" w:eastAsiaTheme="minorEastAsia" w:cstheme="minorEastAsia"/>
          <w:b/>
          <w:bCs/>
          <w:color w:val="auto"/>
        </w:rPr>
        <w:t>8. 材料与设备</w:t>
      </w:r>
      <w:bookmarkEnd w:id="297"/>
    </w:p>
    <w:bookmarkEnd w:id="232"/>
    <w:bookmarkEnd w:id="233"/>
    <w:bookmarkEnd w:id="234"/>
    <w:bookmarkEnd w:id="235"/>
    <w:bookmarkEnd w:id="236"/>
    <w:bookmarkEnd w:id="237"/>
    <w:bookmarkEnd w:id="238"/>
    <w:bookmarkEnd w:id="239"/>
    <w:bookmarkEnd w:id="240"/>
    <w:bookmarkEnd w:id="241"/>
    <w:p w14:paraId="627BB7F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bookmarkStart w:id="298" w:name="_Toc296347166"/>
      <w:bookmarkStart w:id="299" w:name="_Toc296346668"/>
      <w:bookmarkStart w:id="300" w:name="_Toc297120467"/>
      <w:bookmarkStart w:id="301" w:name="_Toc296503167"/>
      <w:bookmarkStart w:id="302" w:name="_Toc312678019"/>
      <w:bookmarkStart w:id="303" w:name="_Toc296944506"/>
      <w:bookmarkStart w:id="304" w:name="_Toc303539136"/>
      <w:bookmarkStart w:id="305" w:name="_Toc296891207"/>
      <w:bookmarkStart w:id="306" w:name="_Toc300934979"/>
      <w:bookmarkStart w:id="307" w:name="_Toc292559372"/>
      <w:bookmarkStart w:id="308" w:name="_Toc297216186"/>
      <w:bookmarkStart w:id="309" w:name="_Toc292559877"/>
      <w:bookmarkStart w:id="310" w:name="_Toc280868654"/>
      <w:bookmarkStart w:id="311" w:name="_Toc304295556"/>
      <w:bookmarkStart w:id="312" w:name="_Toc297048353"/>
      <w:bookmarkStart w:id="313" w:name="_Toc312677493"/>
      <w:bookmarkStart w:id="314" w:name="_Toc297123527"/>
      <w:bookmarkStart w:id="315" w:name="_Toc296890995"/>
      <w:bookmarkStart w:id="316" w:name="_Toc280868656"/>
      <w:bookmarkStart w:id="317" w:name="_Toc280868655"/>
      <w:bookmarkStart w:id="318" w:name="_Toc267251424"/>
      <w:r>
        <w:rPr>
          <w:rFonts w:hint="eastAsia" w:asciiTheme="minorEastAsia" w:hAnsiTheme="minorEastAsia" w:eastAsiaTheme="minorEastAsia" w:cstheme="minorEastAsia"/>
          <w:color w:val="auto"/>
        </w:rPr>
        <w:t>.4材料与工程设备的保管与使用</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495D30D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8</w:t>
      </w:r>
      <w:bookmarkStart w:id="319" w:name="_Toc292559878"/>
      <w:bookmarkStart w:id="320" w:name="_Toc292559373"/>
      <w:bookmarkStart w:id="321" w:name="_Toc296347167"/>
      <w:bookmarkStart w:id="322" w:name="_Toc300934980"/>
      <w:bookmarkStart w:id="323" w:name="_Toc296503168"/>
      <w:bookmarkStart w:id="324" w:name="_Toc296346669"/>
      <w:bookmarkStart w:id="325" w:name="_Toc296891208"/>
      <w:bookmarkStart w:id="326" w:name="_Toc297048354"/>
      <w:bookmarkStart w:id="327" w:name="_Toc312677494"/>
      <w:bookmarkStart w:id="328" w:name="_Toc318581173"/>
      <w:bookmarkStart w:id="329" w:name="_Toc297123528"/>
      <w:bookmarkStart w:id="330" w:name="_Toc297216187"/>
      <w:bookmarkStart w:id="331" w:name="_Toc296944507"/>
      <w:bookmarkStart w:id="332" w:name="_Toc304295557"/>
      <w:bookmarkStart w:id="333" w:name="_Toc312678020"/>
      <w:bookmarkStart w:id="334" w:name="_Toc303539137"/>
      <w:bookmarkStart w:id="335" w:name="_Toc296890996"/>
      <w:bookmarkStart w:id="336" w:name="_Toc297120468"/>
      <w:r>
        <w:rPr>
          <w:rFonts w:hint="eastAsia" w:asciiTheme="minorEastAsia" w:hAnsiTheme="minorEastAsia" w:eastAsiaTheme="minorEastAsia" w:cstheme="minorEastAsia"/>
          <w:color w:val="auto"/>
        </w:rPr>
        <w:t>.4.1发包人供应的材料设备的保管费用的承担：</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319"/>
      <w:bookmarkEnd w:id="320"/>
    </w:p>
    <w:p w14:paraId="2C3A868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 样品</w:t>
      </w:r>
    </w:p>
    <w:p w14:paraId="5491771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8.6.1</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样品的报送与封存</w:t>
      </w:r>
    </w:p>
    <w:p w14:paraId="5038D8F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需要承包人报送样品的材料或工程设备，样品的种类、名称、规格、数量要求：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EA8BCD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 施工设备和临时设施</w:t>
      </w:r>
    </w:p>
    <w:p w14:paraId="2CE0F1D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8.8.1 承包人提供的施工设备和临时设施</w:t>
      </w:r>
    </w:p>
    <w:p w14:paraId="1E1536B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关于修建临时设施费用承担的约定：</w:t>
      </w:r>
      <w:r>
        <w:rPr>
          <w:rFonts w:hint="eastAsia" w:asciiTheme="minorEastAsia" w:hAnsiTheme="minorEastAsia" w:eastAsiaTheme="minorEastAsia" w:cstheme="minorEastAsia"/>
          <w:color w:val="auto"/>
          <w:u w:val="single"/>
        </w:rPr>
        <w:t xml:space="preserve">  /。</w:t>
      </w:r>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5BAA4EF5">
      <w:pPr>
        <w:pStyle w:val="30"/>
        <w:spacing w:line="360" w:lineRule="auto"/>
        <w:ind w:right="0"/>
        <w:rPr>
          <w:rFonts w:asciiTheme="minorEastAsia" w:hAnsiTheme="minorEastAsia" w:eastAsiaTheme="minorEastAsia" w:cstheme="minorEastAsia"/>
          <w:b/>
          <w:bCs/>
          <w:color w:val="auto"/>
        </w:rPr>
      </w:pPr>
      <w:bookmarkStart w:id="337" w:name="_Toc351203641"/>
      <w:r>
        <w:rPr>
          <w:rFonts w:hint="eastAsia" w:asciiTheme="minorEastAsia" w:hAnsiTheme="minorEastAsia" w:eastAsiaTheme="minorEastAsia" w:cstheme="minorEastAsia"/>
          <w:b/>
          <w:bCs/>
          <w:color w:val="auto"/>
        </w:rPr>
        <w:t>9</w:t>
      </w:r>
      <w:bookmarkEnd w:id="316"/>
      <w:bookmarkEnd w:id="317"/>
      <w:bookmarkEnd w:id="318"/>
      <w:bookmarkStart w:id="338" w:name="_Toc300934982"/>
      <w:bookmarkStart w:id="339" w:name="_Toc312677495"/>
      <w:bookmarkStart w:id="340" w:name="_Toc303539139"/>
      <w:bookmarkStart w:id="341" w:name="_Toc312678021"/>
      <w:bookmarkStart w:id="342" w:name="_Toc297216192"/>
      <w:bookmarkStart w:id="343" w:name="_Toc297123533"/>
      <w:bookmarkStart w:id="344" w:name="_Toc304295559"/>
      <w:bookmarkStart w:id="345" w:name="_Toc296891213"/>
      <w:bookmarkStart w:id="346" w:name="_Toc296347172"/>
      <w:bookmarkStart w:id="347" w:name="_Toc267251427"/>
      <w:bookmarkStart w:id="348" w:name="_Toc296346674"/>
      <w:bookmarkStart w:id="349" w:name="_Toc292559378"/>
      <w:bookmarkStart w:id="350" w:name="_Toc296944512"/>
      <w:bookmarkStart w:id="351" w:name="_Toc296891001"/>
      <w:bookmarkStart w:id="352" w:name="_Toc292559883"/>
      <w:bookmarkStart w:id="353" w:name="_Toc296503173"/>
      <w:bookmarkStart w:id="354" w:name="_Toc267251428"/>
      <w:bookmarkStart w:id="355" w:name="_Toc297048359"/>
      <w:bookmarkStart w:id="356" w:name="_Toc297120473"/>
      <w:r>
        <w:rPr>
          <w:rFonts w:hint="eastAsia" w:asciiTheme="minorEastAsia" w:hAnsiTheme="minorEastAsia" w:eastAsiaTheme="minorEastAsia" w:cstheme="minorEastAsia"/>
          <w:b/>
          <w:bCs/>
          <w:color w:val="auto"/>
        </w:rPr>
        <w:t>. 试验与检验</w:t>
      </w:r>
      <w:bookmarkEnd w:id="337"/>
    </w:p>
    <w:bookmarkEnd w:id="338"/>
    <w:bookmarkEnd w:id="339"/>
    <w:bookmarkEnd w:id="340"/>
    <w:bookmarkEnd w:id="341"/>
    <w:bookmarkEnd w:id="342"/>
    <w:bookmarkEnd w:id="343"/>
    <w:bookmarkEnd w:id="344"/>
    <w:p w14:paraId="6B877AE9">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9</w:t>
      </w:r>
      <w:bookmarkStart w:id="357" w:name="_Toc312677496"/>
      <w:bookmarkStart w:id="358" w:name="_Toc300934983"/>
      <w:bookmarkStart w:id="359" w:name="_Toc304295560"/>
      <w:bookmarkStart w:id="360" w:name="_Toc297123534"/>
      <w:bookmarkStart w:id="361" w:name="_Toc312678022"/>
      <w:bookmarkStart w:id="362" w:name="_Toc297216193"/>
      <w:bookmarkStart w:id="363" w:name="_Toc303539140"/>
      <w:r>
        <w:rPr>
          <w:rFonts w:hint="eastAsia" w:asciiTheme="minorEastAsia" w:hAnsiTheme="minorEastAsia" w:eastAsiaTheme="minorEastAsia" w:cstheme="minorEastAsia"/>
          <w:b/>
          <w:color w:val="auto"/>
        </w:rPr>
        <w:t>.1试验设备与试验人员</w:t>
      </w:r>
    </w:p>
    <w:bookmarkEnd w:id="357"/>
    <w:bookmarkEnd w:id="358"/>
    <w:bookmarkEnd w:id="359"/>
    <w:bookmarkEnd w:id="360"/>
    <w:bookmarkEnd w:id="361"/>
    <w:bookmarkEnd w:id="362"/>
    <w:bookmarkEnd w:id="363"/>
    <w:p w14:paraId="371D780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bookmarkStart w:id="364" w:name="_Toc312677497"/>
      <w:bookmarkStart w:id="365" w:name="_Toc304295561"/>
      <w:bookmarkStart w:id="366" w:name="_Toc300934984"/>
      <w:bookmarkStart w:id="367" w:name="_Toc312678023"/>
      <w:bookmarkStart w:id="368" w:name="_Toc297216194"/>
      <w:bookmarkStart w:id="369" w:name="_Toc297123535"/>
      <w:bookmarkStart w:id="370" w:name="_Toc303539141"/>
      <w:bookmarkStart w:id="371" w:name="_Toc318581174"/>
      <w:r>
        <w:rPr>
          <w:rFonts w:hint="eastAsia" w:asciiTheme="minorEastAsia" w:hAnsiTheme="minorEastAsia" w:eastAsiaTheme="minorEastAsia" w:cstheme="minorEastAsia"/>
          <w:color w:val="auto"/>
        </w:rPr>
        <w:t>.1.2 试验设备</w:t>
      </w:r>
    </w:p>
    <w:p w14:paraId="495A09F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施工现场需要配置的试验场所：</w:t>
      </w:r>
      <w:bookmarkEnd w:id="364"/>
      <w:bookmarkEnd w:id="365"/>
      <w:bookmarkEnd w:id="366"/>
      <w:bookmarkEnd w:id="367"/>
      <w:bookmarkEnd w:id="368"/>
      <w:bookmarkEnd w:id="369"/>
      <w:bookmarkEnd w:id="370"/>
      <w:bookmarkStart w:id="372" w:name="_Toc297123536"/>
      <w:bookmarkStart w:id="373" w:name="_Toc312678024"/>
      <w:bookmarkStart w:id="374" w:name="_Toc312677498"/>
      <w:bookmarkStart w:id="375" w:name="_Toc303539142"/>
      <w:bookmarkStart w:id="376" w:name="_Toc304295562"/>
      <w:bookmarkStart w:id="377" w:name="_Toc297216195"/>
      <w:bookmarkStart w:id="378" w:name="_Toc300934985"/>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5CB2EE0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施工现场需要配备的试验设备：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1C1146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施工现场需要具备的其他试验条件：</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EEC015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9.4 现场工艺试验 </w:t>
      </w:r>
    </w:p>
    <w:p w14:paraId="6B32AB8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现场工艺试验的有关约定：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371"/>
    <w:bookmarkEnd w:id="372"/>
    <w:bookmarkEnd w:id="373"/>
    <w:bookmarkEnd w:id="374"/>
    <w:bookmarkEnd w:id="375"/>
    <w:bookmarkEnd w:id="376"/>
    <w:bookmarkEnd w:id="377"/>
    <w:bookmarkEnd w:id="378"/>
    <w:p w14:paraId="20974D15">
      <w:pPr>
        <w:pStyle w:val="30"/>
        <w:spacing w:line="360" w:lineRule="auto"/>
        <w:ind w:right="0"/>
        <w:rPr>
          <w:rFonts w:asciiTheme="minorEastAsia" w:hAnsiTheme="minorEastAsia" w:eastAsiaTheme="minorEastAsia" w:cstheme="minorEastAsia"/>
          <w:b/>
          <w:bCs/>
          <w:color w:val="auto"/>
        </w:rPr>
      </w:pPr>
      <w:bookmarkStart w:id="379" w:name="_Toc351203642"/>
      <w:r>
        <w:rPr>
          <w:rFonts w:hint="eastAsia" w:asciiTheme="minorEastAsia" w:hAnsiTheme="minorEastAsia" w:eastAsiaTheme="minorEastAsia" w:cstheme="minorEastAsia"/>
          <w:b/>
          <w:bCs/>
          <w:color w:val="auto"/>
        </w:rPr>
        <w:t>1</w:t>
      </w:r>
      <w:bookmarkEnd w:id="345"/>
      <w:bookmarkEnd w:id="346"/>
      <w:bookmarkEnd w:id="347"/>
      <w:bookmarkEnd w:id="348"/>
      <w:bookmarkEnd w:id="349"/>
      <w:bookmarkEnd w:id="350"/>
      <w:bookmarkEnd w:id="351"/>
      <w:bookmarkEnd w:id="352"/>
      <w:bookmarkEnd w:id="353"/>
      <w:bookmarkEnd w:id="354"/>
      <w:bookmarkEnd w:id="355"/>
      <w:bookmarkEnd w:id="356"/>
      <w:bookmarkStart w:id="380" w:name="_Toc297123540"/>
      <w:bookmarkStart w:id="381" w:name="_Toc297048379"/>
      <w:bookmarkStart w:id="382" w:name="_Toc304295566"/>
      <w:bookmarkStart w:id="383" w:name="_Toc296503193"/>
      <w:bookmarkStart w:id="384" w:name="_Toc296891021"/>
      <w:bookmarkStart w:id="385" w:name="_Toc292559903"/>
      <w:bookmarkStart w:id="386" w:name="_Toc296891233"/>
      <w:bookmarkStart w:id="387" w:name="_Toc296346694"/>
      <w:bookmarkStart w:id="388" w:name="_Toc297216199"/>
      <w:bookmarkStart w:id="389" w:name="_Toc296347192"/>
      <w:bookmarkStart w:id="390" w:name="_Toc296944532"/>
      <w:bookmarkStart w:id="391" w:name="_Toc303539146"/>
      <w:bookmarkStart w:id="392" w:name="_Toc300934989"/>
      <w:bookmarkStart w:id="393" w:name="_Toc297120493"/>
      <w:bookmarkStart w:id="394" w:name="_Toc292559398"/>
      <w:bookmarkStart w:id="395" w:name="_Toc312678025"/>
      <w:bookmarkStart w:id="396" w:name="_Toc312677499"/>
      <w:bookmarkStart w:id="397" w:name="_Toc267251440"/>
      <w:bookmarkStart w:id="398" w:name="_Toc267251439"/>
      <w:bookmarkStart w:id="399" w:name="_Toc267251435"/>
      <w:bookmarkStart w:id="400" w:name="_Toc267251433"/>
      <w:bookmarkStart w:id="401" w:name="_Toc267251441"/>
      <w:bookmarkStart w:id="402" w:name="_Toc267251437"/>
      <w:bookmarkStart w:id="403" w:name="_Toc267251442"/>
      <w:r>
        <w:rPr>
          <w:rFonts w:hint="eastAsia" w:asciiTheme="minorEastAsia" w:hAnsiTheme="minorEastAsia" w:eastAsiaTheme="minorEastAsia" w:cstheme="minorEastAsia"/>
          <w:b/>
          <w:bCs/>
          <w:color w:val="auto"/>
        </w:rPr>
        <w:t>0. 变更</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bookmarkEnd w:id="395"/>
    <w:bookmarkEnd w:id="396"/>
    <w:p w14:paraId="2A4A405B">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04" w:name="_Toc312678026"/>
      <w:bookmarkStart w:id="405" w:name="_Toc297123541"/>
      <w:bookmarkStart w:id="406" w:name="_Toc297048380"/>
      <w:bookmarkStart w:id="407" w:name="_Toc303539147"/>
      <w:bookmarkStart w:id="408" w:name="_Toc292559904"/>
      <w:bookmarkStart w:id="409" w:name="_Toc304295567"/>
      <w:bookmarkStart w:id="410" w:name="_Toc296944533"/>
      <w:bookmarkStart w:id="411" w:name="_Toc296346695"/>
      <w:bookmarkStart w:id="412" w:name="_Toc297120494"/>
      <w:bookmarkStart w:id="413" w:name="_Toc292559399"/>
      <w:bookmarkStart w:id="414" w:name="_Toc312677500"/>
      <w:bookmarkStart w:id="415" w:name="_Toc297216200"/>
      <w:bookmarkStart w:id="416" w:name="_Toc296891022"/>
      <w:bookmarkStart w:id="417" w:name="_Toc300934990"/>
      <w:bookmarkStart w:id="418" w:name="_Toc296891234"/>
      <w:bookmarkStart w:id="419" w:name="_Toc296503194"/>
      <w:bookmarkStart w:id="420" w:name="_Toc296347193"/>
      <w:r>
        <w:rPr>
          <w:rFonts w:hint="eastAsia" w:asciiTheme="minorEastAsia" w:hAnsiTheme="minorEastAsia" w:eastAsiaTheme="minorEastAsia" w:cstheme="minorEastAsia"/>
          <w:b/>
          <w:color w:val="auto"/>
        </w:rPr>
        <w:t>0.1变更的范围</w:t>
      </w:r>
    </w:p>
    <w:p w14:paraId="564B027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关于变更的范围的约定：</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u w:val="single"/>
        </w:rPr>
        <w:t>。</w:t>
      </w:r>
    </w:p>
    <w:p w14:paraId="2A55D11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 变更估价</w:t>
      </w:r>
    </w:p>
    <w:p w14:paraId="24497B1E">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10.4.1 变更估价原则</w:t>
      </w:r>
    </w:p>
    <w:p w14:paraId="1FB547A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关于变更估价的约定: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783AAA6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Start w:id="421" w:name="_Toc292559402"/>
      <w:bookmarkStart w:id="422" w:name="_Toc297216203"/>
      <w:bookmarkStart w:id="423" w:name="_Toc296891025"/>
      <w:bookmarkStart w:id="424" w:name="_Toc297123544"/>
      <w:bookmarkStart w:id="425" w:name="_Toc296347196"/>
      <w:bookmarkStart w:id="426" w:name="_Toc296891237"/>
      <w:bookmarkStart w:id="427" w:name="_Toc296503197"/>
      <w:bookmarkStart w:id="428" w:name="_Toc297048383"/>
      <w:bookmarkStart w:id="429" w:name="_Toc292559907"/>
      <w:bookmarkStart w:id="430" w:name="_Toc296944536"/>
      <w:bookmarkStart w:id="431" w:name="_Toc300934993"/>
      <w:bookmarkStart w:id="432" w:name="_Toc296346698"/>
      <w:bookmarkStart w:id="433" w:name="_Toc303539150"/>
      <w:bookmarkStart w:id="434" w:name="_Toc297120497"/>
      <w:bookmarkStart w:id="435" w:name="_Toc304295570"/>
      <w:bookmarkStart w:id="436" w:name="_Toc312677503"/>
      <w:bookmarkStart w:id="437" w:name="_Toc312678029"/>
      <w:r>
        <w:rPr>
          <w:rFonts w:hint="eastAsia" w:asciiTheme="minorEastAsia" w:hAnsiTheme="minorEastAsia" w:eastAsiaTheme="minorEastAsia" w:cstheme="minorEastAsia"/>
          <w:color w:val="auto"/>
        </w:rPr>
        <w:t>0.5承</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8" w:name="_Toc292559408"/>
      <w:bookmarkStart w:id="439" w:name="_Toc296503203"/>
      <w:bookmarkStart w:id="440" w:name="_Toc296944542"/>
      <w:bookmarkStart w:id="441" w:name="_Toc300934994"/>
      <w:bookmarkStart w:id="442" w:name="_Toc297120503"/>
      <w:bookmarkStart w:id="443" w:name="_Toc296346704"/>
      <w:bookmarkStart w:id="444" w:name="_Toc303539151"/>
      <w:bookmarkStart w:id="445" w:name="_Toc297048389"/>
      <w:bookmarkStart w:id="446" w:name="_Toc296891243"/>
      <w:bookmarkStart w:id="447" w:name="_Toc297123545"/>
      <w:bookmarkStart w:id="448" w:name="_Toc297216204"/>
      <w:bookmarkStart w:id="449" w:name="_Toc292559913"/>
      <w:bookmarkStart w:id="450" w:name="_Toc296891031"/>
      <w:bookmarkStart w:id="451" w:name="_Toc296347202"/>
      <w:r>
        <w:rPr>
          <w:rFonts w:hint="eastAsia" w:asciiTheme="minorEastAsia" w:hAnsiTheme="minorEastAsia" w:eastAsiaTheme="minorEastAsia" w:cstheme="minorEastAsia"/>
          <w:color w:val="auto"/>
        </w:rPr>
        <w:t>包人的合理化建议</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2E72760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监理人审查承包人合理化建议的期限：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0C67BE2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188D11A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w:t>
      </w:r>
      <w:bookmarkStart w:id="452" w:name="_Toc292559409"/>
      <w:bookmarkStart w:id="453" w:name="_Toc318581175"/>
      <w:bookmarkStart w:id="454" w:name="_Toc297216205"/>
      <w:bookmarkStart w:id="455" w:name="_Toc296891244"/>
      <w:bookmarkStart w:id="456" w:name="_Toc297123546"/>
      <w:bookmarkStart w:id="457" w:name="_Toc312678030"/>
      <w:bookmarkStart w:id="458" w:name="_Toc297120504"/>
      <w:bookmarkStart w:id="459" w:name="_Toc303539152"/>
      <w:bookmarkStart w:id="460" w:name="_Toc292559914"/>
      <w:bookmarkStart w:id="461" w:name="_Toc300934995"/>
      <w:bookmarkStart w:id="462" w:name="_Toc296503204"/>
      <w:bookmarkStart w:id="463" w:name="_Toc296944543"/>
      <w:bookmarkStart w:id="464" w:name="_Toc297048390"/>
      <w:bookmarkStart w:id="465" w:name="_Toc296891032"/>
      <w:bookmarkStart w:id="466" w:name="_Toc304295571"/>
      <w:bookmarkStart w:id="467" w:name="_Toc296346705"/>
      <w:bookmarkStart w:id="468" w:name="_Toc296347203"/>
      <w:bookmarkStart w:id="469" w:name="_Toc312677504"/>
      <w:r>
        <w:rPr>
          <w:rFonts w:hint="eastAsia" w:asciiTheme="minorEastAsia" w:hAnsiTheme="minorEastAsia" w:eastAsiaTheme="minorEastAsia" w:cstheme="minorEastAsia"/>
          <w:color w:val="auto"/>
        </w:rPr>
        <w:t>包人提出的合理化建议降低了合同价格或者提高了工程经济效益的奖励的方法和金额为：</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14D2522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70" w:name="_Toc312677507"/>
      <w:bookmarkStart w:id="471" w:name="_Toc297120499"/>
      <w:bookmarkStart w:id="472" w:name="_Toc312678033"/>
      <w:bookmarkStart w:id="473" w:name="_Toc297048385"/>
      <w:bookmarkStart w:id="474" w:name="_Toc292559909"/>
      <w:bookmarkStart w:id="475" w:name="_Toc292559404"/>
      <w:bookmarkStart w:id="476" w:name="_Toc297216207"/>
      <w:bookmarkStart w:id="477" w:name="_Toc296891239"/>
      <w:bookmarkStart w:id="478" w:name="_Toc300934997"/>
      <w:bookmarkStart w:id="479" w:name="_Toc297123548"/>
      <w:bookmarkStart w:id="480" w:name="_Toc303539154"/>
      <w:bookmarkStart w:id="481" w:name="_Toc296503199"/>
      <w:bookmarkStart w:id="482" w:name="_Toc296891027"/>
      <w:bookmarkStart w:id="483" w:name="_Toc304295574"/>
      <w:bookmarkStart w:id="484" w:name="_Toc296944538"/>
      <w:bookmarkStart w:id="485" w:name="_Toc296346700"/>
      <w:bookmarkStart w:id="486" w:name="_Toc296347198"/>
      <w:r>
        <w:rPr>
          <w:rFonts w:hint="eastAsia" w:asciiTheme="minorEastAsia" w:hAnsiTheme="minorEastAsia" w:eastAsiaTheme="minorEastAsia" w:cstheme="minorEastAsia"/>
          <w:b/>
          <w:color w:val="auto"/>
        </w:rPr>
        <w:t>0.7 暂估价</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Start w:id="487" w:name="_Toc312677508"/>
      <w:bookmarkStart w:id="488" w:name="_Toc312678034"/>
      <w:bookmarkStart w:id="489" w:name="_Toc318581176"/>
    </w:p>
    <w:bookmarkEnd w:id="487"/>
    <w:bookmarkEnd w:id="488"/>
    <w:bookmarkEnd w:id="489"/>
    <w:p w14:paraId="7F63104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490" w:name="_Toc312678035"/>
      <w:bookmarkStart w:id="491" w:name="_Toc312677509"/>
      <w:bookmarkStart w:id="492" w:name="_Toc318581177"/>
      <w:r>
        <w:rPr>
          <w:rFonts w:hint="eastAsia" w:asciiTheme="minorEastAsia" w:hAnsiTheme="minorEastAsia" w:eastAsiaTheme="minorEastAsia" w:cstheme="minorEastAsia"/>
          <w:color w:val="auto"/>
        </w:rPr>
        <w:t>0.7.1 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bookmarkEnd w:id="490"/>
    <w:bookmarkEnd w:id="491"/>
    <w:bookmarkEnd w:id="492"/>
    <w:p w14:paraId="717E6C5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的暂估价项目的确认和批准采取招标方式确定。</w:t>
      </w:r>
    </w:p>
    <w:p w14:paraId="7149587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10.7.2 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p w14:paraId="411B4DB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的暂估价项目的确认和批准采取直接实施方式确定。</w:t>
      </w:r>
    </w:p>
    <w:p w14:paraId="30F271E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第3种方式：承包人直接实施的暂估价项目</w:t>
      </w:r>
    </w:p>
    <w:p w14:paraId="3B12917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承包人直接实施的暂估价项目的约定：</w:t>
      </w:r>
      <w:r>
        <w:rPr>
          <w:rFonts w:hint="eastAsia" w:asciiTheme="minorEastAsia" w:hAnsiTheme="minorEastAsia" w:eastAsiaTheme="minorEastAsia" w:cstheme="minorEastAsia"/>
          <w:color w:val="auto"/>
          <w:u w:val="single"/>
        </w:rPr>
        <w:t xml:space="preserve">/ </w:t>
      </w:r>
    </w:p>
    <w:p w14:paraId="0CBBAC2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10.8 暂列金额</w:t>
      </w:r>
    </w:p>
    <w:p w14:paraId="63AD43E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合同当事人关于暂列金额使用的约定：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bCs/>
          <w:color w:val="auto"/>
        </w:rPr>
        <w:t>。</w:t>
      </w:r>
    </w:p>
    <w:p w14:paraId="32F1CDDC">
      <w:pPr>
        <w:pStyle w:val="30"/>
        <w:spacing w:line="360" w:lineRule="auto"/>
        <w:ind w:right="0"/>
        <w:rPr>
          <w:rFonts w:asciiTheme="minorEastAsia" w:hAnsiTheme="minorEastAsia" w:eastAsiaTheme="minorEastAsia" w:cstheme="minorEastAsia"/>
          <w:b/>
          <w:bCs/>
          <w:color w:val="auto"/>
        </w:rPr>
      </w:pPr>
      <w:bookmarkStart w:id="493" w:name="_Toc351203643"/>
      <w:r>
        <w:rPr>
          <w:rFonts w:hint="eastAsia" w:asciiTheme="minorEastAsia" w:hAnsiTheme="minorEastAsia" w:eastAsiaTheme="minorEastAsia" w:cstheme="minorEastAsia"/>
          <w:b/>
          <w:bCs/>
          <w:color w:val="auto"/>
        </w:rPr>
        <w:t>11. 价格调整</w:t>
      </w:r>
      <w:bookmarkEnd w:id="493"/>
    </w:p>
    <w:p w14:paraId="4C7FA07C">
      <w:pPr>
        <w:pStyle w:val="30"/>
        <w:spacing w:line="360" w:lineRule="auto"/>
        <w:ind w:right="0"/>
        <w:rPr>
          <w:rFonts w:asciiTheme="minorEastAsia" w:hAnsiTheme="minorEastAsia" w:eastAsiaTheme="minorEastAsia" w:cstheme="minorEastAsia"/>
          <w:b/>
          <w:color w:val="auto"/>
        </w:rPr>
      </w:pPr>
      <w:bookmarkStart w:id="494" w:name="_Toc297216209"/>
      <w:bookmarkStart w:id="495" w:name="_Toc296347200"/>
      <w:bookmarkStart w:id="496" w:name="_Toc303539157"/>
      <w:bookmarkStart w:id="497" w:name="_Toc296346702"/>
      <w:bookmarkStart w:id="498" w:name="_Toc297120501"/>
      <w:bookmarkStart w:id="499" w:name="_Toc296944540"/>
      <w:bookmarkStart w:id="500" w:name="_Toc304295577"/>
      <w:bookmarkStart w:id="501" w:name="_Toc292559911"/>
      <w:bookmarkStart w:id="502" w:name="_Toc292559406"/>
      <w:bookmarkStart w:id="503" w:name="_Toc296503201"/>
      <w:bookmarkStart w:id="504" w:name="_Toc297048387"/>
      <w:bookmarkStart w:id="505" w:name="_Toc300935000"/>
      <w:bookmarkStart w:id="506" w:name="_Toc296891241"/>
      <w:bookmarkStart w:id="507" w:name="_Toc297123550"/>
      <w:bookmarkStart w:id="508" w:name="_Toc312678039"/>
      <w:bookmarkStart w:id="509" w:name="_Toc296891029"/>
      <w:r>
        <w:rPr>
          <w:rFonts w:hint="eastAsia" w:asciiTheme="minorEastAsia" w:hAnsiTheme="minorEastAsia" w:eastAsiaTheme="minorEastAsia" w:cstheme="minorEastAsia"/>
          <w:b/>
          <w:color w:val="auto"/>
        </w:rPr>
        <w:t>11.1 市场价格波动引起的调整</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14:paraId="20D8DFE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（1）市场价格波动是否调整合同价格的约定：</w:t>
      </w:r>
      <w:r>
        <w:rPr>
          <w:rFonts w:hint="eastAsia" w:asciiTheme="minorEastAsia" w:hAnsiTheme="minorEastAsia" w:eastAsiaTheme="minorEastAsia" w:cstheme="minorEastAsia"/>
          <w:color w:val="auto"/>
          <w:u w:val="single"/>
        </w:rPr>
        <w:t xml:space="preserve">    /   。</w:t>
      </w:r>
    </w:p>
    <w:p w14:paraId="7F269D1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因市场价格波动调整合同价格，采用以下第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种方式对合同价格进行调整：</w:t>
      </w:r>
    </w:p>
    <w:p w14:paraId="56B9983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第1种方式：采用价格指数进行价格调整。</w:t>
      </w:r>
    </w:p>
    <w:p w14:paraId="6FDAD013">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关于各可调因子、定值和变值权重，以及基本价格指数及其来源的约定：</w:t>
      </w:r>
      <w:r>
        <w:rPr>
          <w:rFonts w:hint="eastAsia" w:asciiTheme="minorEastAsia" w:hAnsiTheme="minorEastAsia" w:eastAsiaTheme="minorEastAsia" w:cstheme="minorEastAsia"/>
          <w:color w:val="auto"/>
          <w:u w:val="single"/>
        </w:rPr>
        <w:t xml:space="preserve">               ：</w:t>
      </w:r>
    </w:p>
    <w:p w14:paraId="0821A03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第2种方式：采用造价信息进行价格调整。</w:t>
      </w:r>
    </w:p>
    <w:p w14:paraId="3D3C223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（2）关于基准价格的约定：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046859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专用合同条款①承包人在已标价工程量清单或预算书中载明材料单价低于基准价格的：专用合同条款合同履行期间材料单价涨幅以基准价格为基础超过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时，或材料单价跌幅以在已标价工程量清单或预算书中载明材料单价为基础超过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时，其超过部分据实调整。</w:t>
      </w:r>
    </w:p>
    <w:p w14:paraId="42AD949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②承包人在已标价工程量清单或预算书中载明材料单价高于基准价格的：专用合同条款合同履行期间材料单价跌幅以基准价格为基础超过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时，材料单价涨幅以在已标价工程量清单或预算书中载明材料单价为基础超过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14:paraId="251E3D1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③承包人在已标价工程量清单或预算书中载明材料单价等于基准价格的：专用合同条款合同履行期间材料单价涨跌幅以基准价格为基础超过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14:paraId="7A0230E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第3种方式：其他价格调整方式：</w:t>
      </w:r>
      <w:r>
        <w:rPr>
          <w:rFonts w:hint="eastAsia" w:asciiTheme="minorEastAsia" w:hAnsiTheme="minorEastAsia" w:eastAsiaTheme="minorEastAsia" w:cstheme="minorEastAsia"/>
          <w:color w:val="auto"/>
          <w:u w:val="single"/>
        </w:rPr>
        <w:t xml:space="preserve">   /         。</w:t>
      </w:r>
    </w:p>
    <w:bookmarkEnd w:id="397"/>
    <w:bookmarkEnd w:id="398"/>
    <w:bookmarkEnd w:id="399"/>
    <w:bookmarkEnd w:id="400"/>
    <w:bookmarkEnd w:id="401"/>
    <w:bookmarkEnd w:id="402"/>
    <w:p w14:paraId="68D4B28E">
      <w:pPr>
        <w:pStyle w:val="30"/>
        <w:spacing w:line="360" w:lineRule="auto"/>
        <w:ind w:right="0"/>
        <w:rPr>
          <w:rFonts w:asciiTheme="minorEastAsia" w:hAnsiTheme="minorEastAsia" w:eastAsiaTheme="minorEastAsia" w:cstheme="minorEastAsia"/>
          <w:b/>
          <w:bCs/>
          <w:color w:val="auto"/>
        </w:rPr>
      </w:pPr>
      <w:bookmarkStart w:id="510" w:name="_Toc296944544"/>
      <w:bookmarkStart w:id="511" w:name="_Toc296347204"/>
      <w:bookmarkStart w:id="512" w:name="_Toc297120505"/>
      <w:bookmarkStart w:id="513" w:name="_Toc292559915"/>
      <w:bookmarkStart w:id="514" w:name="_Toc292559410"/>
      <w:bookmarkStart w:id="515" w:name="_Toc296891033"/>
      <w:bookmarkStart w:id="516" w:name="_Toc296346706"/>
      <w:bookmarkStart w:id="517" w:name="_Toc296891245"/>
      <w:bookmarkStart w:id="518" w:name="_Toc296503205"/>
      <w:bookmarkStart w:id="519" w:name="_Toc297048391"/>
      <w:bookmarkStart w:id="520" w:name="_Toc351203644"/>
      <w:bookmarkStart w:id="521" w:name="_Toc297123552"/>
      <w:bookmarkStart w:id="522" w:name="_Toc303539159"/>
      <w:bookmarkStart w:id="523" w:name="_Toc304295579"/>
      <w:bookmarkStart w:id="524" w:name="_Toc312678040"/>
      <w:bookmarkStart w:id="525" w:name="_Toc300935002"/>
      <w:bookmarkStart w:id="526" w:name="_Toc297216211"/>
      <w:r>
        <w:rPr>
          <w:rFonts w:hint="eastAsia" w:asciiTheme="minorEastAsia" w:hAnsiTheme="minorEastAsia" w:eastAsiaTheme="minorEastAsia" w:cstheme="minorEastAsia"/>
          <w:b/>
          <w:bCs/>
          <w:color w:val="auto"/>
        </w:rPr>
        <w:t xml:space="preserve">12. </w:t>
      </w:r>
      <w:bookmarkEnd w:id="510"/>
      <w:bookmarkEnd w:id="511"/>
      <w:bookmarkEnd w:id="512"/>
      <w:bookmarkEnd w:id="513"/>
      <w:bookmarkEnd w:id="514"/>
      <w:bookmarkEnd w:id="515"/>
      <w:bookmarkEnd w:id="516"/>
      <w:bookmarkEnd w:id="517"/>
      <w:bookmarkEnd w:id="518"/>
      <w:bookmarkEnd w:id="519"/>
      <w:r>
        <w:rPr>
          <w:rFonts w:hint="eastAsia" w:asciiTheme="minorEastAsia" w:hAnsiTheme="minorEastAsia" w:eastAsiaTheme="minorEastAsia" w:cstheme="minorEastAsia"/>
          <w:b/>
          <w:bCs/>
          <w:color w:val="auto"/>
        </w:rPr>
        <w:t>合同价格、计量与支付</w:t>
      </w:r>
      <w:bookmarkEnd w:id="520"/>
      <w:r>
        <w:rPr>
          <w:rFonts w:hint="eastAsia" w:asciiTheme="minorEastAsia" w:hAnsiTheme="minorEastAsia" w:eastAsiaTheme="minorEastAsia" w:cstheme="minorEastAsia"/>
          <w:b/>
          <w:bCs/>
          <w:color w:val="auto"/>
        </w:rPr>
        <w:t xml:space="preserve"> </w:t>
      </w:r>
    </w:p>
    <w:p w14:paraId="21A91665">
      <w:pPr>
        <w:pStyle w:val="30"/>
        <w:spacing w:line="360" w:lineRule="auto"/>
        <w:ind w:right="0"/>
        <w:rPr>
          <w:rFonts w:asciiTheme="minorEastAsia" w:hAnsiTheme="minorEastAsia" w:eastAsiaTheme="minorEastAsia" w:cstheme="minorEastAsia"/>
          <w:color w:val="auto"/>
          <w:u w:val="single"/>
        </w:rPr>
      </w:pPr>
      <w:bookmarkStart w:id="527" w:name="_Toc292559916"/>
      <w:bookmarkStart w:id="528" w:name="_Toc267251461"/>
      <w:bookmarkStart w:id="529" w:name="_Toc292559411"/>
      <w:bookmarkStart w:id="530" w:name="_Toc296347205"/>
      <w:bookmarkStart w:id="531" w:name="_Toc296944545"/>
      <w:bookmarkStart w:id="532" w:name="_Toc296891034"/>
      <w:bookmarkStart w:id="533" w:name="_Toc296503206"/>
      <w:bookmarkStart w:id="534" w:name="_Toc296891246"/>
      <w:bookmarkStart w:id="535" w:name="_Toc297120506"/>
      <w:bookmarkStart w:id="536" w:name="_Toc296346707"/>
      <w:bookmarkStart w:id="537" w:name="_Toc297048392"/>
      <w:bookmarkStart w:id="538" w:name="_Toc300935003"/>
      <w:bookmarkStart w:id="539" w:name="_Toc304295580"/>
      <w:bookmarkStart w:id="540" w:name="_Toc312678041"/>
      <w:bookmarkStart w:id="541" w:name="_Toc297123553"/>
      <w:bookmarkStart w:id="542" w:name="_Toc303539160"/>
      <w:bookmarkStart w:id="543" w:name="_Toc297216212"/>
      <w:r>
        <w:rPr>
          <w:rFonts w:hint="eastAsia" w:asciiTheme="minorEastAsia" w:hAnsiTheme="minorEastAsia" w:eastAsiaTheme="minorEastAsia" w:cstheme="minorEastAsia"/>
          <w:b/>
          <w:color w:val="auto"/>
        </w:rPr>
        <w:t>12.1 合</w:t>
      </w:r>
      <w:bookmarkEnd w:id="527"/>
      <w:bookmarkEnd w:id="528"/>
      <w:bookmarkEnd w:id="529"/>
      <w:r>
        <w:rPr>
          <w:rFonts w:hint="eastAsia" w:asciiTheme="minorEastAsia" w:hAnsiTheme="minorEastAsia" w:eastAsiaTheme="minorEastAsia" w:cstheme="minorEastAsia"/>
          <w:b/>
          <w:color w:val="auto"/>
        </w:rPr>
        <w:t>同价</w:t>
      </w:r>
      <w:bookmarkEnd w:id="530"/>
      <w:bookmarkEnd w:id="531"/>
      <w:bookmarkEnd w:id="532"/>
      <w:bookmarkEnd w:id="533"/>
      <w:bookmarkEnd w:id="534"/>
      <w:bookmarkEnd w:id="535"/>
      <w:bookmarkEnd w:id="536"/>
      <w:bookmarkEnd w:id="537"/>
      <w:r>
        <w:rPr>
          <w:rFonts w:hint="eastAsia" w:asciiTheme="minorEastAsia" w:hAnsiTheme="minorEastAsia" w:eastAsiaTheme="minorEastAsia" w:cstheme="minorEastAsia"/>
          <w:b/>
          <w:color w:val="auto"/>
        </w:rPr>
        <w:t>格形式：</w:t>
      </w:r>
      <w:bookmarkEnd w:id="538"/>
      <w:bookmarkEnd w:id="539"/>
      <w:bookmarkEnd w:id="540"/>
      <w:bookmarkEnd w:id="541"/>
      <w:bookmarkEnd w:id="542"/>
      <w:bookmarkEnd w:id="543"/>
      <w:r>
        <w:rPr>
          <w:rFonts w:hint="eastAsia" w:asciiTheme="minorEastAsia" w:hAnsiTheme="minorEastAsia" w:eastAsiaTheme="minorEastAsia" w:cstheme="minorEastAsia"/>
          <w:b/>
          <w:color w:val="auto"/>
          <w:u w:val="single"/>
        </w:rPr>
        <w:t xml:space="preserve">    /   </w:t>
      </w:r>
      <w:r>
        <w:rPr>
          <w:rFonts w:hint="eastAsia" w:asciiTheme="minorEastAsia" w:hAnsiTheme="minorEastAsia" w:eastAsiaTheme="minorEastAsia" w:cstheme="minorEastAsia"/>
          <w:color w:val="auto"/>
          <w:u w:val="single"/>
        </w:rPr>
        <w:t xml:space="preserve"> 。</w:t>
      </w:r>
    </w:p>
    <w:p w14:paraId="2DFA6D0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w:t>
      </w:r>
    </w:p>
    <w:p w14:paraId="0A5C85F4">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综合单价包含的风险范围： </w:t>
      </w:r>
      <w:r>
        <w:rPr>
          <w:rFonts w:hint="eastAsia" w:asciiTheme="minorEastAsia" w:hAnsiTheme="minorEastAsia" w:eastAsiaTheme="minorEastAsia" w:cstheme="minorEastAsia"/>
          <w:color w:val="auto"/>
          <w:kern w:val="0"/>
          <w:sz w:val="24"/>
          <w:u w:val="single"/>
        </w:rPr>
        <w:t xml:space="preserve">   / 。</w:t>
      </w:r>
    </w:p>
    <w:p w14:paraId="50D0863B">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风险费用的计算方法：</w:t>
      </w:r>
      <w:r>
        <w:rPr>
          <w:rFonts w:hint="eastAsia" w:asciiTheme="minorEastAsia" w:hAnsiTheme="minorEastAsia" w:eastAsiaTheme="minorEastAsia" w:cstheme="minorEastAsia"/>
          <w:color w:val="auto"/>
          <w:kern w:val="0"/>
          <w:sz w:val="24"/>
          <w:u w:val="single"/>
        </w:rPr>
        <w:t xml:space="preserve">    /  。</w:t>
      </w:r>
    </w:p>
    <w:p w14:paraId="4DA046C8">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风险范围以外合同价格的调整方法：  </w:t>
      </w:r>
      <w:r>
        <w:rPr>
          <w:rFonts w:hint="eastAsia" w:asciiTheme="minorEastAsia" w:hAnsiTheme="minorEastAsia" w:eastAsiaTheme="minorEastAsia" w:cstheme="minorEastAsia"/>
          <w:color w:val="auto"/>
          <w:kern w:val="0"/>
          <w:sz w:val="24"/>
          <w:u w:val="single"/>
        </w:rPr>
        <w:t xml:space="preserve">    /     。</w:t>
      </w:r>
    </w:p>
    <w:p w14:paraId="2212420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w:t>
      </w:r>
    </w:p>
    <w:p w14:paraId="1566150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总价包含的风险范围：</w:t>
      </w:r>
      <w:r>
        <w:rPr>
          <w:rFonts w:hint="eastAsia" w:asciiTheme="minorEastAsia" w:hAnsiTheme="minorEastAsia" w:eastAsiaTheme="minorEastAsia" w:cstheme="minorEastAsia"/>
          <w:color w:val="auto"/>
          <w:u w:val="single"/>
        </w:rPr>
        <w:t xml:space="preserve">    /  。</w:t>
      </w:r>
    </w:p>
    <w:p w14:paraId="6248669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风险费用的计算方法：</w:t>
      </w:r>
      <w:r>
        <w:rPr>
          <w:rFonts w:hint="eastAsia" w:asciiTheme="minorEastAsia" w:hAnsiTheme="minorEastAsia" w:eastAsiaTheme="minorEastAsia" w:cstheme="minorEastAsia"/>
          <w:color w:val="auto"/>
          <w:u w:val="single"/>
        </w:rPr>
        <w:t xml:space="preserve">    /  。</w:t>
      </w:r>
    </w:p>
    <w:p w14:paraId="5E0A727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风险范围以外合同价格的调整方法：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bookmarkEnd w:id="521"/>
    <w:bookmarkEnd w:id="522"/>
    <w:bookmarkEnd w:id="523"/>
    <w:bookmarkEnd w:id="524"/>
    <w:bookmarkEnd w:id="525"/>
    <w:bookmarkEnd w:id="526"/>
    <w:p w14:paraId="1F95E671">
      <w:pPr>
        <w:pStyle w:val="30"/>
        <w:spacing w:line="360" w:lineRule="auto"/>
        <w:ind w:right="0"/>
        <w:rPr>
          <w:rFonts w:asciiTheme="minorEastAsia" w:hAnsiTheme="minorEastAsia" w:eastAsiaTheme="minorEastAsia" w:cstheme="minorEastAsia"/>
          <w:b/>
          <w:color w:val="auto"/>
        </w:rPr>
      </w:pPr>
      <w:bookmarkStart w:id="544" w:name="_Toc300935004"/>
      <w:bookmarkStart w:id="545" w:name="_Toc304295581"/>
      <w:bookmarkStart w:id="546" w:name="_Toc312678042"/>
      <w:bookmarkStart w:id="547" w:name="_Toc297123554"/>
      <w:bookmarkStart w:id="548" w:name="_Toc303539161"/>
      <w:bookmarkStart w:id="549" w:name="_Toc297216213"/>
      <w:bookmarkStart w:id="550" w:name="_Toc292559412"/>
      <w:bookmarkStart w:id="551" w:name="_Toc297048393"/>
      <w:bookmarkStart w:id="552" w:name="_Toc296944546"/>
      <w:bookmarkStart w:id="553" w:name="_Toc296346708"/>
      <w:bookmarkStart w:id="554" w:name="_Toc296503207"/>
      <w:bookmarkStart w:id="555" w:name="_Toc297120507"/>
      <w:bookmarkStart w:id="556" w:name="_Toc292559917"/>
      <w:bookmarkStart w:id="557" w:name="_Toc296891035"/>
      <w:bookmarkStart w:id="558" w:name="_Toc296891247"/>
      <w:bookmarkStart w:id="559" w:name="_Toc296347206"/>
      <w:r>
        <w:rPr>
          <w:rFonts w:hint="eastAsia" w:asciiTheme="minorEastAsia" w:hAnsiTheme="minorEastAsia" w:eastAsiaTheme="minorEastAsia" w:cstheme="minorEastAsia"/>
          <w:b/>
          <w:color w:val="auto"/>
        </w:rPr>
        <w:t>12.2 预付款</w:t>
      </w:r>
    </w:p>
    <w:bookmarkEnd w:id="544"/>
    <w:bookmarkEnd w:id="545"/>
    <w:bookmarkEnd w:id="546"/>
    <w:bookmarkEnd w:id="547"/>
    <w:bookmarkEnd w:id="548"/>
    <w:bookmarkEnd w:id="549"/>
    <w:p w14:paraId="1664C10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12.2.1 预付款的支付</w:t>
      </w:r>
    </w:p>
    <w:p w14:paraId="047EBD7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预付款支付比例或金额：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 </w:t>
      </w:r>
    </w:p>
    <w:p w14:paraId="6BC3BD6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预付款支付期限：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A080B3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预付款扣回的方式：</w:t>
      </w:r>
      <w:r>
        <w:rPr>
          <w:rFonts w:hint="eastAsia" w:asciiTheme="minorEastAsia" w:hAnsiTheme="minorEastAsia" w:eastAsiaTheme="minorEastAsia" w:cstheme="minorEastAsia"/>
          <w:color w:val="auto"/>
          <w:u w:val="single"/>
        </w:rPr>
        <w:t xml:space="preserve">                     </w:t>
      </w:r>
    </w:p>
    <w:p w14:paraId="454CB18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12.2.2 预付款担保</w:t>
      </w:r>
    </w:p>
    <w:p w14:paraId="642F225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承包人提交预付款担保的期限：</w:t>
      </w:r>
      <w:r>
        <w:rPr>
          <w:rFonts w:hint="eastAsia" w:asciiTheme="minorEastAsia" w:hAnsiTheme="minorEastAsia" w:eastAsiaTheme="minorEastAsia" w:cstheme="minorEastAsia"/>
          <w:color w:val="auto"/>
          <w:u w:val="single"/>
        </w:rPr>
        <w:t xml:space="preserve">                   </w:t>
      </w:r>
    </w:p>
    <w:p w14:paraId="029C111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预付款担保的形式为：</w:t>
      </w:r>
      <w:r>
        <w:rPr>
          <w:rFonts w:hint="eastAsia" w:asciiTheme="minorEastAsia" w:hAnsiTheme="minorEastAsia" w:eastAsiaTheme="minorEastAsia" w:cstheme="minorEastAsia"/>
          <w:color w:val="auto"/>
          <w:u w:val="single"/>
        </w:rPr>
        <w:t xml:space="preserve">                            </w:t>
      </w:r>
    </w:p>
    <w:bookmarkEnd w:id="550"/>
    <w:bookmarkEnd w:id="551"/>
    <w:bookmarkEnd w:id="552"/>
    <w:bookmarkEnd w:id="553"/>
    <w:bookmarkEnd w:id="554"/>
    <w:bookmarkEnd w:id="555"/>
    <w:bookmarkEnd w:id="556"/>
    <w:bookmarkEnd w:id="557"/>
    <w:bookmarkEnd w:id="558"/>
    <w:bookmarkEnd w:id="559"/>
    <w:p w14:paraId="2F2A281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12.3 计量</w:t>
      </w:r>
    </w:p>
    <w:p w14:paraId="299B4B4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12.3.1 计量原则</w:t>
      </w:r>
    </w:p>
    <w:p w14:paraId="3C49819B">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工程量计算规则：</w:t>
      </w:r>
      <w:r>
        <w:rPr>
          <w:rFonts w:hint="eastAsia" w:asciiTheme="minorEastAsia" w:hAnsiTheme="minorEastAsia" w:eastAsiaTheme="minorEastAsia" w:cstheme="minorEastAsia"/>
          <w:color w:val="auto"/>
          <w:u w:val="single"/>
        </w:rPr>
        <w:t xml:space="preserve">    /    。</w:t>
      </w:r>
    </w:p>
    <w:p w14:paraId="1DDD25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12.3.2 计量周期</w:t>
      </w:r>
    </w:p>
    <w:p w14:paraId="7A6A134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关于计量周期的约定：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15E4E9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12.3.3 单价合同的计量</w:t>
      </w:r>
    </w:p>
    <w:p w14:paraId="4C9433F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关于单价合同计量的约定：</w:t>
      </w:r>
      <w:r>
        <w:rPr>
          <w:rFonts w:hint="eastAsia" w:asciiTheme="minorEastAsia" w:hAnsiTheme="minorEastAsia" w:eastAsiaTheme="minorEastAsia" w:cstheme="minorEastAsia"/>
          <w:color w:val="auto"/>
          <w:u w:val="single"/>
        </w:rPr>
        <w:t xml:space="preserve">   /      。</w:t>
      </w:r>
    </w:p>
    <w:p w14:paraId="013CA45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12.3.4 总价合同的计量</w:t>
      </w:r>
    </w:p>
    <w:p w14:paraId="4EF6FF8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关于总价合同计量的约定：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02873A8D">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12.3.5总价合同采用支付分解表计量支付的，是否适用第12.3.4 项〔总价合同的计量〕约定进行计量：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5F298A7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12.3.6 其他价格形式合同的计量</w:t>
      </w:r>
    </w:p>
    <w:p w14:paraId="647C3D9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其他价格形式的计量方式和程序：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3F6E6562">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12.4 工程进度款支付</w:t>
      </w:r>
    </w:p>
    <w:p w14:paraId="33EAEF53">
      <w:pPr>
        <w:pStyle w:val="30"/>
        <w:spacing w:line="360" w:lineRule="auto"/>
        <w:ind w:right="0"/>
        <w:rPr>
          <w:rFonts w:asciiTheme="minorEastAsia" w:hAnsiTheme="minorEastAsia" w:eastAsiaTheme="minorEastAsia" w:cstheme="minorEastAsia"/>
          <w:color w:val="auto"/>
        </w:rPr>
      </w:pPr>
      <w:bookmarkStart w:id="560" w:name="_Toc297048397"/>
      <w:bookmarkStart w:id="561" w:name="_Toc292559921"/>
      <w:bookmarkStart w:id="562" w:name="_Toc292559416"/>
      <w:bookmarkStart w:id="563" w:name="_Toc303539163"/>
      <w:bookmarkStart w:id="564" w:name="_Toc297120511"/>
      <w:bookmarkStart w:id="565" w:name="_Toc296891251"/>
      <w:bookmarkStart w:id="566" w:name="_Toc296347210"/>
      <w:bookmarkStart w:id="567" w:name="_Toc297123556"/>
      <w:bookmarkStart w:id="568" w:name="_Toc300935006"/>
      <w:bookmarkStart w:id="569" w:name="_Toc296891039"/>
      <w:bookmarkStart w:id="570" w:name="_Toc296503211"/>
      <w:bookmarkStart w:id="571" w:name="_Toc296944550"/>
      <w:bookmarkStart w:id="572" w:name="_Toc296346712"/>
      <w:bookmarkStart w:id="573" w:name="_Toc297216215"/>
      <w:r>
        <w:rPr>
          <w:rFonts w:hint="eastAsia" w:asciiTheme="minorEastAsia" w:hAnsiTheme="minorEastAsia" w:eastAsiaTheme="minorEastAsia" w:cstheme="minorEastAsia"/>
          <w:color w:val="auto"/>
        </w:rPr>
        <w:t>12.4.1 付款周期</w:t>
      </w:r>
    </w:p>
    <w:p w14:paraId="71E5FAD2">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关于付款周期的约定：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F1FD0D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12.4.2 进度付款申请单的编制</w:t>
      </w:r>
    </w:p>
    <w:p w14:paraId="2AD2853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关于进度付款申请单编制的约定：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24B08E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Theme="minorEastAsia" w:hAnsiTheme="minorEastAsia" w:eastAsiaTheme="minorEastAsia" w:cstheme="minorEastAsia"/>
          <w:color w:val="auto"/>
        </w:rPr>
        <w:t>2.4.3 进度付款申请单的提交</w:t>
      </w:r>
    </w:p>
    <w:p w14:paraId="65ED54E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B35F43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20E8E4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（3）其他价格形式合同进度付款申请单提交的约定：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BC1E5E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12.4.4 进度款审核和支付</w:t>
      </w:r>
    </w:p>
    <w:p w14:paraId="0DF627D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（1）监理人审查并报送发包人的期限：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9808770">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发包人完成审批并签发进度款支付证书的期限：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2852BB08">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（2）发包人支付进度款的期限：</w:t>
      </w:r>
      <w:r>
        <w:rPr>
          <w:rFonts w:hint="eastAsia" w:asciiTheme="minorEastAsia" w:hAnsiTheme="minorEastAsia" w:eastAsiaTheme="minorEastAsia" w:cstheme="minorEastAsia"/>
          <w:color w:val="auto"/>
          <w:u w:val="single"/>
        </w:rPr>
        <w:t xml:space="preserve">                         。</w:t>
      </w:r>
    </w:p>
    <w:p w14:paraId="6E3A382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发包人逾期支付进度款的违约金的计算方式：</w:t>
      </w:r>
    </w:p>
    <w:p w14:paraId="17BB06B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12.4.6 支付分解表的编制</w:t>
      </w:r>
    </w:p>
    <w:p w14:paraId="10BA843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2、总价合同支付分解表的编制与审批：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p w14:paraId="30C15EE5">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3、单价合同的总价项目支付分解表的编制与审批：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03"/>
    <w:p w14:paraId="65A448CD">
      <w:pPr>
        <w:pStyle w:val="30"/>
        <w:spacing w:line="360" w:lineRule="auto"/>
        <w:ind w:right="0"/>
        <w:rPr>
          <w:rFonts w:asciiTheme="minorEastAsia" w:hAnsiTheme="minorEastAsia" w:eastAsiaTheme="minorEastAsia" w:cstheme="minorEastAsia"/>
          <w:b/>
          <w:bCs/>
          <w:color w:val="auto"/>
        </w:rPr>
      </w:pPr>
      <w:bookmarkStart w:id="574" w:name="_Toc351203645"/>
      <w:bookmarkStart w:id="575" w:name="_Toc296347218"/>
      <w:bookmarkStart w:id="576" w:name="_Toc297120519"/>
      <w:bookmarkStart w:id="577" w:name="_Toc304295593"/>
      <w:bookmarkStart w:id="578" w:name="_Toc296346720"/>
      <w:bookmarkStart w:id="579" w:name="_Toc297123564"/>
      <w:bookmarkStart w:id="580" w:name="_Toc312678053"/>
      <w:bookmarkStart w:id="581" w:name="_Toc296944558"/>
      <w:bookmarkStart w:id="582" w:name="_Toc297216223"/>
      <w:bookmarkStart w:id="583" w:name="_Toc300935015"/>
      <w:bookmarkStart w:id="584" w:name="_Toc303539172"/>
      <w:bookmarkStart w:id="585" w:name="_Toc296503219"/>
      <w:bookmarkStart w:id="586" w:name="_Toc296891259"/>
      <w:bookmarkStart w:id="587" w:name="_Toc292559424"/>
      <w:bookmarkStart w:id="588" w:name="_Toc292559929"/>
      <w:bookmarkStart w:id="589" w:name="_Toc297048405"/>
      <w:bookmarkStart w:id="590" w:name="_Toc296891047"/>
      <w:r>
        <w:rPr>
          <w:rFonts w:hint="eastAsia" w:asciiTheme="minorEastAsia" w:hAnsiTheme="minorEastAsia" w:eastAsiaTheme="minorEastAsia" w:cstheme="minorEastAsia"/>
          <w:b/>
          <w:bCs/>
          <w:color w:val="auto"/>
        </w:rPr>
        <w:t>13. 验收和工程试车</w:t>
      </w:r>
      <w:bookmarkEnd w:id="574"/>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1C10B23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13.1 分部分项工程验收</w:t>
      </w:r>
    </w:p>
    <w:p w14:paraId="58E6385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13.1.2监理人不能按时进行验收时，应提前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14:paraId="19DA3287">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14:paraId="381BDB64">
      <w:pPr>
        <w:pStyle w:val="30"/>
        <w:spacing w:line="360" w:lineRule="auto"/>
        <w:ind w:right="0"/>
        <w:rPr>
          <w:rFonts w:asciiTheme="minorEastAsia" w:hAnsiTheme="minorEastAsia" w:eastAsiaTheme="minorEastAsia" w:cstheme="minorEastAsia"/>
          <w:color w:val="auto"/>
        </w:rPr>
      </w:pPr>
      <w:bookmarkStart w:id="591" w:name="_Toc296944562"/>
      <w:bookmarkStart w:id="592" w:name="_Toc300935016"/>
      <w:bookmarkStart w:id="593" w:name="_Toc292559428"/>
      <w:bookmarkStart w:id="594" w:name="_Toc304295596"/>
      <w:bookmarkStart w:id="595" w:name="_Toc303539173"/>
      <w:bookmarkStart w:id="596" w:name="_Toc297216224"/>
      <w:bookmarkStart w:id="597" w:name="_Toc296891051"/>
      <w:bookmarkStart w:id="598" w:name="_Toc297048409"/>
      <w:bookmarkStart w:id="599" w:name="_Toc296891263"/>
      <w:bookmarkStart w:id="600" w:name="_Toc296346724"/>
      <w:bookmarkStart w:id="601" w:name="_Toc297123565"/>
      <w:bookmarkStart w:id="602" w:name="_Toc292559933"/>
      <w:bookmarkStart w:id="603" w:name="_Toc312678056"/>
      <w:bookmarkStart w:id="604" w:name="_Toc296503223"/>
      <w:bookmarkStart w:id="605" w:name="_Toc297120523"/>
      <w:bookmarkStart w:id="606" w:name="_Toc296347222"/>
      <w:bookmarkStart w:id="607" w:name="_Toc267251474"/>
      <w:bookmarkStart w:id="608" w:name="_Toc267251470"/>
      <w:bookmarkStart w:id="609" w:name="_Toc267251471"/>
      <w:bookmarkStart w:id="610" w:name="_Toc267251476"/>
      <w:bookmarkStart w:id="611" w:name="_Toc267251475"/>
      <w:bookmarkStart w:id="612" w:name="_Toc267251473"/>
      <w:bookmarkStart w:id="613" w:name="_Toc267251472"/>
      <w:r>
        <w:rPr>
          <w:rFonts w:hint="eastAsia" w:asciiTheme="minorEastAsia" w:hAnsiTheme="minorEastAsia" w:eastAsiaTheme="minorEastAsia" w:cstheme="minorEastAsia"/>
          <w:color w:val="auto"/>
        </w:rPr>
        <w:t>13.2 竣工验收</w:t>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48BC60FD">
      <w:pPr>
        <w:pStyle w:val="30"/>
        <w:spacing w:line="360" w:lineRule="auto"/>
        <w:ind w:right="0"/>
        <w:rPr>
          <w:rFonts w:asciiTheme="minorEastAsia" w:hAnsiTheme="minorEastAsia" w:eastAsiaTheme="minorEastAsia" w:cstheme="minorEastAsia"/>
          <w:color w:val="auto"/>
        </w:rPr>
      </w:pPr>
      <w:bookmarkStart w:id="614" w:name="_Toc280868704"/>
      <w:bookmarkStart w:id="615" w:name="_Toc280868705"/>
      <w:bookmarkStart w:id="616" w:name="_Toc280868706"/>
      <w:bookmarkStart w:id="617" w:name="_Toc280868707"/>
      <w:bookmarkStart w:id="618" w:name="_Toc280868708"/>
      <w:bookmarkStart w:id="619" w:name="_Toc280868709"/>
      <w:r>
        <w:rPr>
          <w:rFonts w:hint="eastAsia" w:asciiTheme="minorEastAsia" w:hAnsiTheme="minorEastAsia" w:eastAsiaTheme="minorEastAsia" w:cstheme="minorEastAsia"/>
          <w:color w:val="auto"/>
        </w:rPr>
        <w:t>13.2.2竣工验收程序</w:t>
      </w:r>
    </w:p>
    <w:bookmarkEnd w:id="614"/>
    <w:p w14:paraId="552C2472">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关于竣工验收程序的约定：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14:paraId="6750DE6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发包人不按照本项约定组织竣工验收、颁发工程接收证书的违约金的计算方法：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5"/>
    <w:p w14:paraId="3DAB3B1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13.2.5移交、接收全部与部分工程</w:t>
      </w:r>
    </w:p>
    <w:bookmarkEnd w:id="616"/>
    <w:p w14:paraId="516A22D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承包人向发包人移交工程的期限：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41D4B7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发包人未按本合同约定接收全部或部分工程的，违约金的计算方法为：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7"/>
    <w:p w14:paraId="2FA6320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承包人未按时移交工程的，违约金的计算方法为：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F1A228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 工程试车</w:t>
      </w:r>
    </w:p>
    <w:bookmarkEnd w:id="618"/>
    <w:p w14:paraId="32AABA5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13.3.1 试车程序</w:t>
      </w:r>
    </w:p>
    <w:p w14:paraId="4BD106F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工程试车内容：</w:t>
      </w:r>
      <w:r>
        <w:rPr>
          <w:rFonts w:hint="eastAsia" w:asciiTheme="minorEastAsia" w:hAnsiTheme="minorEastAsia" w:eastAsiaTheme="minorEastAsia" w:cstheme="minorEastAsia"/>
          <w:color w:val="auto"/>
          <w:u w:val="single"/>
        </w:rPr>
        <w:t xml:space="preserve">                            </w:t>
      </w:r>
    </w:p>
    <w:p w14:paraId="770E7B0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（1）单机无负荷试车费用由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14:paraId="3054654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（2）无负荷联动试车费用由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14:paraId="0124D84B">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13.3.3 投料试车</w:t>
      </w:r>
    </w:p>
    <w:p w14:paraId="2F03B6C1">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关于投料试车相关事项的约定：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ABB8AA8">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13.6 竣工退场</w:t>
      </w:r>
    </w:p>
    <w:p w14:paraId="57A5CED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13.6.1 竣工退场</w:t>
      </w:r>
    </w:p>
    <w:p w14:paraId="39EF8C8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承包人完成竣工退场的期限：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2B713ED">
      <w:pPr>
        <w:pStyle w:val="30"/>
        <w:spacing w:line="360" w:lineRule="auto"/>
        <w:ind w:right="0"/>
        <w:rPr>
          <w:rFonts w:asciiTheme="minorEastAsia" w:hAnsiTheme="minorEastAsia" w:eastAsiaTheme="minorEastAsia" w:cstheme="minorEastAsia"/>
          <w:b/>
          <w:bCs/>
          <w:color w:val="auto"/>
        </w:rPr>
      </w:pPr>
      <w:bookmarkStart w:id="620" w:name="_Toc351203646"/>
      <w:r>
        <w:rPr>
          <w:rFonts w:hint="eastAsia" w:asciiTheme="minorEastAsia" w:hAnsiTheme="minorEastAsia" w:eastAsiaTheme="minorEastAsia" w:cstheme="minorEastAsia"/>
          <w:b/>
          <w:bCs/>
          <w:color w:val="auto"/>
        </w:rPr>
        <w:t>14. 竣工结算</w:t>
      </w:r>
      <w:bookmarkEnd w:id="620"/>
    </w:p>
    <w:p w14:paraId="2185C2FA">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14.1 竣工付款申请</w:t>
      </w:r>
    </w:p>
    <w:p w14:paraId="09388A65">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承包人提交竣工付款申请单的期限：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A35609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竣工付款申请单应包括的内容：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253F271">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14.2 竣工结算审核</w:t>
      </w:r>
    </w:p>
    <w:p w14:paraId="4832B5B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发包人审批竣工付款申请单的期限：</w:t>
      </w:r>
      <w:r>
        <w:rPr>
          <w:rFonts w:hint="eastAsia" w:asciiTheme="minorEastAsia" w:hAnsiTheme="minorEastAsia" w:eastAsiaTheme="minorEastAsia" w:cstheme="minorEastAsia"/>
          <w:color w:val="auto"/>
          <w:u w:val="single"/>
        </w:rPr>
        <w:t>执行通用条款。</w:t>
      </w:r>
    </w:p>
    <w:p w14:paraId="19CC6BD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发包人完成竣工付款的期限：</w:t>
      </w:r>
      <w:r>
        <w:rPr>
          <w:rFonts w:hint="eastAsia" w:asciiTheme="minorEastAsia" w:hAnsiTheme="minorEastAsia" w:eastAsiaTheme="minorEastAsia" w:cstheme="minorEastAsia"/>
          <w:color w:val="auto"/>
          <w:u w:val="single"/>
        </w:rPr>
        <w:t>执行通用条款</w:t>
      </w:r>
      <w:r>
        <w:rPr>
          <w:rFonts w:hint="eastAsia" w:asciiTheme="minorEastAsia" w:hAnsiTheme="minorEastAsia" w:eastAsiaTheme="minorEastAsia" w:cstheme="minorEastAsia"/>
          <w:color w:val="auto"/>
        </w:rPr>
        <w:t>。</w:t>
      </w:r>
    </w:p>
    <w:p w14:paraId="25607CD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关于竣工付款证书异议部分复核的方式和程序：</w:t>
      </w:r>
      <w:r>
        <w:rPr>
          <w:rFonts w:hint="eastAsia" w:asciiTheme="minorEastAsia" w:hAnsiTheme="minorEastAsia" w:eastAsiaTheme="minorEastAsia" w:cstheme="minorEastAsia"/>
          <w:color w:val="auto"/>
          <w:u w:val="single"/>
        </w:rPr>
        <w:t>执行通用条款。</w:t>
      </w:r>
    </w:p>
    <w:p w14:paraId="70288474">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14.4 最终结清</w:t>
      </w:r>
    </w:p>
    <w:p w14:paraId="40F08DB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14.4.1 最终结清申请单</w:t>
      </w:r>
    </w:p>
    <w:p w14:paraId="3B10BB0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承包人提交最终结清申请单的份数：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E85013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承包人提交最终结算申请单的期限：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49ABA6E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14.4.2 最终结清证书和支付</w:t>
      </w:r>
    </w:p>
    <w:p w14:paraId="1D735CD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（1）发包人完成最终结清申请单的审批并颁发最终结清证书的期限：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8A6E8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（2）发包人完成支付的期限：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07"/>
    <w:bookmarkEnd w:id="608"/>
    <w:bookmarkEnd w:id="609"/>
    <w:bookmarkEnd w:id="610"/>
    <w:bookmarkEnd w:id="611"/>
    <w:bookmarkEnd w:id="612"/>
    <w:bookmarkEnd w:id="613"/>
    <w:bookmarkEnd w:id="619"/>
    <w:p w14:paraId="160585D2">
      <w:pPr>
        <w:pStyle w:val="30"/>
        <w:spacing w:line="360" w:lineRule="auto"/>
        <w:ind w:right="0"/>
        <w:rPr>
          <w:rFonts w:asciiTheme="minorEastAsia" w:hAnsiTheme="minorEastAsia" w:eastAsiaTheme="minorEastAsia" w:cstheme="minorEastAsia"/>
          <w:b/>
          <w:bCs/>
          <w:color w:val="auto"/>
        </w:rPr>
      </w:pPr>
      <w:bookmarkStart w:id="621" w:name="_Toc351203647"/>
      <w:bookmarkStart w:id="622" w:name="_Toc267251483"/>
      <w:bookmarkStart w:id="623" w:name="_Toc267251484"/>
      <w:bookmarkStart w:id="624" w:name="_Toc267251482"/>
      <w:bookmarkStart w:id="625" w:name="_Toc267251489"/>
      <w:bookmarkStart w:id="626" w:name="_Toc267251486"/>
      <w:bookmarkStart w:id="627" w:name="_Toc267251488"/>
      <w:bookmarkStart w:id="628" w:name="_Toc267251490"/>
      <w:bookmarkStart w:id="629" w:name="_Toc267251485"/>
      <w:bookmarkStart w:id="630" w:name="_Toc267251502"/>
      <w:bookmarkStart w:id="631" w:name="_Toc267251501"/>
      <w:bookmarkStart w:id="632" w:name="_Toc267251497"/>
      <w:bookmarkStart w:id="633" w:name="_Toc267251494"/>
      <w:bookmarkStart w:id="634" w:name="_Toc267251491"/>
      <w:bookmarkStart w:id="635" w:name="_Toc267251499"/>
      <w:bookmarkStart w:id="636" w:name="_Toc267251493"/>
      <w:bookmarkStart w:id="637" w:name="_Toc267251503"/>
      <w:bookmarkStart w:id="638" w:name="_Toc267251492"/>
      <w:bookmarkStart w:id="639" w:name="_Toc267251498"/>
      <w:bookmarkStart w:id="640" w:name="_Toc267251496"/>
      <w:bookmarkStart w:id="641" w:name="_Toc267251495"/>
      <w:bookmarkStart w:id="642" w:name="_Toc267251504"/>
      <w:bookmarkStart w:id="643" w:name="_Toc267251506"/>
      <w:bookmarkStart w:id="644" w:name="_Toc267251507"/>
      <w:bookmarkStart w:id="645" w:name="_Toc267251508"/>
      <w:bookmarkStart w:id="646" w:name="_Toc267251513"/>
      <w:bookmarkStart w:id="647" w:name="_Toc267251515"/>
      <w:bookmarkStart w:id="648" w:name="_Toc267251511"/>
      <w:bookmarkStart w:id="649" w:name="_Toc267251514"/>
      <w:bookmarkStart w:id="650" w:name="_Toc267251509"/>
      <w:bookmarkStart w:id="651" w:name="_Toc267251510"/>
      <w:r>
        <w:rPr>
          <w:rFonts w:hint="eastAsia" w:asciiTheme="minorEastAsia" w:hAnsiTheme="minorEastAsia" w:eastAsiaTheme="minorEastAsia" w:cstheme="minorEastAsia"/>
          <w:b/>
          <w:bCs/>
          <w:color w:val="auto"/>
        </w:rPr>
        <w:t>15. 缺陷责任期与保修</w:t>
      </w:r>
      <w:bookmarkEnd w:id="621"/>
    </w:p>
    <w:p w14:paraId="257162AB">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15.2缺陷责任期</w:t>
      </w:r>
      <w:bookmarkEnd w:id="622"/>
    </w:p>
    <w:p w14:paraId="28CDADC8">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缺陷责任期的具体期限：</w:t>
      </w:r>
      <w:r>
        <w:rPr>
          <w:rFonts w:hint="eastAsia" w:asciiTheme="minorEastAsia" w:hAnsiTheme="minorEastAsia" w:eastAsiaTheme="minorEastAsia" w:cstheme="minorEastAsia"/>
          <w:color w:val="auto"/>
          <w:u w:val="single"/>
        </w:rPr>
        <w:t xml:space="preserve">      /   </w:t>
      </w:r>
    </w:p>
    <w:p w14:paraId="0F2A91EE">
      <w:pPr>
        <w:pStyle w:val="30"/>
        <w:spacing w:line="360" w:lineRule="auto"/>
        <w:ind w:right="0"/>
        <w:rPr>
          <w:rFonts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15.3 质量保证金</w:t>
      </w:r>
    </w:p>
    <w:p w14:paraId="11B3276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关于是否扣留质量保证金的约定：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14:paraId="2B28A4A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15.3.1 承包人提供质量保证金的方式</w:t>
      </w:r>
    </w:p>
    <w:p w14:paraId="1F4F381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质量保证金采用以下第</w:t>
      </w:r>
      <w:r>
        <w:rPr>
          <w:rFonts w:hint="eastAsia" w:asciiTheme="minorEastAsia" w:hAnsiTheme="minorEastAsia" w:eastAsiaTheme="minorEastAsia" w:cstheme="minorEastAsia"/>
          <w:color w:val="auto"/>
          <w:u w:val="single"/>
        </w:rPr>
        <w:t xml:space="preserve">3  </w:t>
      </w:r>
      <w:r>
        <w:rPr>
          <w:rFonts w:hint="eastAsia" w:asciiTheme="minorEastAsia" w:hAnsiTheme="minorEastAsia" w:eastAsiaTheme="minorEastAsia" w:cstheme="minorEastAsia"/>
          <w:color w:val="auto"/>
        </w:rPr>
        <w:t>种方式：</w:t>
      </w:r>
    </w:p>
    <w:p w14:paraId="30E8D1F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（1）质量保证金保函，保证金额为：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2981386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的工程款；</w:t>
      </w:r>
    </w:p>
    <w:p w14:paraId="49A33AE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2A2DA4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15.3.2 质量保证金的扣留 </w:t>
      </w:r>
    </w:p>
    <w:p w14:paraId="105AD9C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质量保证金的扣留采取以下第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w:t>
      </w:r>
    </w:p>
    <w:p w14:paraId="001D8D8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（1）在支付工程进度款时逐次扣留，在此情形下，质量保证金的计算基数不包括预付款的支付、扣回以及价格调整的金额；</w:t>
      </w:r>
    </w:p>
    <w:p w14:paraId="0C09776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（2）工程竣工结算时一次性扣留质量保证金；</w:t>
      </w:r>
    </w:p>
    <w:p w14:paraId="61D806B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（3）其他扣留方式: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183158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关于质量保证金的补充约定：</w:t>
      </w:r>
      <w:r>
        <w:rPr>
          <w:rFonts w:hint="eastAsia" w:asciiTheme="minorEastAsia" w:hAnsiTheme="minorEastAsia" w:eastAsiaTheme="minorEastAsia" w:cstheme="minorEastAsia"/>
          <w:color w:val="auto"/>
          <w:u w:val="single"/>
        </w:rPr>
        <w:t xml:space="preserve">  </w:t>
      </w:r>
      <w:bookmarkEnd w:id="623"/>
      <w:bookmarkEnd w:id="624"/>
      <w:r>
        <w:rPr>
          <w:rFonts w:hint="eastAsia" w:asciiTheme="minorEastAsia" w:hAnsiTheme="minorEastAsia" w:eastAsiaTheme="minorEastAsia" w:cstheme="minorEastAsia"/>
          <w:color w:val="auto"/>
          <w:u w:val="single"/>
        </w:rPr>
        <w:t xml:space="preserve">     。</w:t>
      </w:r>
    </w:p>
    <w:bookmarkEnd w:id="625"/>
    <w:bookmarkEnd w:id="626"/>
    <w:bookmarkEnd w:id="627"/>
    <w:bookmarkEnd w:id="628"/>
    <w:bookmarkEnd w:id="629"/>
    <w:p w14:paraId="105AD2D6">
      <w:pPr>
        <w:pStyle w:val="30"/>
        <w:spacing w:line="360" w:lineRule="auto"/>
        <w:ind w:right="0"/>
        <w:rPr>
          <w:rFonts w:asciiTheme="minorEastAsia" w:hAnsiTheme="minorEastAsia" w:eastAsiaTheme="minorEastAsia" w:cstheme="minorEastAsia"/>
          <w:b/>
          <w:bCs/>
          <w:color w:val="auto"/>
        </w:rPr>
      </w:pPr>
      <w:bookmarkStart w:id="652" w:name="_Toc351203648"/>
      <w:bookmarkStart w:id="653" w:name="_Toc280868717"/>
      <w:bookmarkStart w:id="654" w:name="_Toc280868718"/>
      <w:r>
        <w:rPr>
          <w:rFonts w:hint="eastAsia" w:asciiTheme="minorEastAsia" w:hAnsiTheme="minorEastAsia" w:eastAsiaTheme="minorEastAsia" w:cstheme="minorEastAsia"/>
          <w:b/>
          <w:bCs/>
          <w:color w:val="auto"/>
        </w:rPr>
        <w:t>16. 违约</w:t>
      </w:r>
      <w:bookmarkEnd w:id="652"/>
    </w:p>
    <w:p w14:paraId="555146E5">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16.1 发包人违约</w:t>
      </w:r>
    </w:p>
    <w:p w14:paraId="479B73C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16.1.1发包人违约的情形</w:t>
      </w:r>
    </w:p>
    <w:p w14:paraId="1E76134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0550981">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16.1.2 发包人违约的责任</w:t>
      </w:r>
    </w:p>
    <w:p w14:paraId="3114416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发包人违约责任的承担方式和计算方法：</w:t>
      </w:r>
    </w:p>
    <w:p w14:paraId="3DB2335C">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（1）因发包人原因未能在计划开工日期前7天内下达开工通知的违约责任：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728E39D">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（2）因发包人原因未能按合同约定支付合同价款的违约责任：</w:t>
      </w:r>
      <w:r>
        <w:rPr>
          <w:rFonts w:hint="eastAsia" w:asciiTheme="minorEastAsia" w:hAnsiTheme="minorEastAsia" w:eastAsiaTheme="minorEastAsia" w:cstheme="minorEastAsia"/>
          <w:color w:val="auto"/>
          <w:u w:val="single"/>
        </w:rPr>
        <w:t xml:space="preserve">         。</w:t>
      </w:r>
    </w:p>
    <w:p w14:paraId="095B8D0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CC816E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77785756">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（5）因发包人违反合同约定造成暂停施工的违约责任：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1CA38FC">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（6）发包人无正当理由没有在约定期限内发出复工指示，导致承包人无法复工的违约责任：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5BB4F4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（7）其他：</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08E4028">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16.1.3 因发包人违约解除合同</w:t>
      </w:r>
    </w:p>
    <w:p w14:paraId="4FDF960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承包人按16.1.1项〔发包人违约的情形〕约定暂停施工满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天后发包人仍不纠正其违约行为并致使合同目的不能实现的，承包人有权解除合同。</w:t>
      </w:r>
    </w:p>
    <w:p w14:paraId="111B6493">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16.2 承包人违约</w:t>
      </w:r>
    </w:p>
    <w:p w14:paraId="5AEAE890">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16.2.1 承包人违约的情形</w:t>
      </w:r>
    </w:p>
    <w:p w14:paraId="6FF87DBE">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064929A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16.2.2承包人违约的责任</w:t>
      </w:r>
    </w:p>
    <w:p w14:paraId="1E79CF23">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承包人违约责任的承担方式和计算方法：</w:t>
      </w:r>
      <w:r>
        <w:rPr>
          <w:rFonts w:hint="eastAsia" w:asciiTheme="minorEastAsia" w:hAnsiTheme="minorEastAsia" w:eastAsiaTheme="minorEastAsia" w:cstheme="minorEastAsia"/>
          <w:color w:val="auto"/>
          <w:u w:val="single"/>
        </w:rPr>
        <w:t xml:space="preserve">       /     。</w:t>
      </w:r>
    </w:p>
    <w:p w14:paraId="2C9E02A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16.2.3 因承包人违约解除合同</w:t>
      </w:r>
    </w:p>
    <w:p w14:paraId="21729A07">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关于承包人违约解除合同的特别约定：</w:t>
      </w:r>
      <w:r>
        <w:rPr>
          <w:rFonts w:hint="eastAsia" w:asciiTheme="minorEastAsia" w:hAnsiTheme="minorEastAsia" w:eastAsiaTheme="minorEastAsia" w:cstheme="minorEastAsia"/>
          <w:color w:val="auto"/>
          <w:u w:val="single"/>
        </w:rPr>
        <w:t xml:space="preserve">   /  。</w:t>
      </w:r>
    </w:p>
    <w:p w14:paraId="1CACB61E">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4B72ADEE">
      <w:pPr>
        <w:pStyle w:val="30"/>
        <w:spacing w:line="360" w:lineRule="auto"/>
        <w:ind w:right="0"/>
        <w:rPr>
          <w:rFonts w:asciiTheme="minorEastAsia" w:hAnsiTheme="minorEastAsia" w:eastAsiaTheme="minorEastAsia" w:cstheme="minorEastAsia"/>
          <w:b/>
          <w:bCs/>
          <w:color w:val="auto"/>
        </w:rPr>
      </w:pPr>
      <w:bookmarkStart w:id="655" w:name="_Toc351203649"/>
      <w:r>
        <w:rPr>
          <w:rFonts w:hint="eastAsia" w:asciiTheme="minorEastAsia" w:hAnsiTheme="minorEastAsia" w:eastAsiaTheme="minorEastAsia" w:cstheme="minorEastAsia"/>
          <w:b/>
          <w:bCs/>
          <w:color w:val="auto"/>
        </w:rPr>
        <w:t>17. 不可抗力</w:t>
      </w:r>
      <w:bookmarkEnd w:id="655"/>
      <w:r>
        <w:rPr>
          <w:rFonts w:hint="eastAsia" w:asciiTheme="minorEastAsia" w:hAnsiTheme="minorEastAsia" w:eastAsiaTheme="minorEastAsia" w:cstheme="minorEastAsia"/>
          <w:b/>
          <w:bCs/>
          <w:color w:val="auto"/>
        </w:rPr>
        <w:t xml:space="preserve"> </w:t>
      </w:r>
      <w:bookmarkEnd w:id="653"/>
    </w:p>
    <w:p w14:paraId="1F2E749F">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17.1 不可抗力的确认</w:t>
      </w:r>
    </w:p>
    <w:p w14:paraId="66D331D9">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除通用合同条款约定的不可抗力事件之外，视为不可抗力的其他情形：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36782743">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17.4 因不可抗力解除合同</w:t>
      </w:r>
    </w:p>
    <w:p w14:paraId="75E837C2">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合同解除后，发包人应在商定或确定发包人应支付款项后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天内完成款项的支付。</w:t>
      </w:r>
    </w:p>
    <w:p w14:paraId="4988E2FE">
      <w:pPr>
        <w:pStyle w:val="30"/>
        <w:spacing w:line="360" w:lineRule="auto"/>
        <w:ind w:right="0"/>
        <w:rPr>
          <w:rFonts w:asciiTheme="minorEastAsia" w:hAnsiTheme="minorEastAsia" w:eastAsiaTheme="minorEastAsia" w:cstheme="minorEastAsia"/>
          <w:b/>
          <w:bCs/>
          <w:color w:val="auto"/>
        </w:rPr>
      </w:pPr>
      <w:bookmarkStart w:id="656" w:name="_Toc351203650"/>
      <w:r>
        <w:rPr>
          <w:rFonts w:hint="eastAsia" w:asciiTheme="minorEastAsia" w:hAnsiTheme="minorEastAsia" w:eastAsiaTheme="minorEastAsia" w:cstheme="minorEastAsia"/>
          <w:b/>
          <w:bCs/>
          <w:color w:val="auto"/>
        </w:rPr>
        <w:t>18. 保险</w:t>
      </w:r>
      <w:bookmarkEnd w:id="656"/>
    </w:p>
    <w:bookmarkEnd w:id="654"/>
    <w:p w14:paraId="3A4E73BD">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18.1 工程保险</w:t>
      </w:r>
    </w:p>
    <w:p w14:paraId="27F0AD8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关于工程保险的特别约定：</w:t>
      </w:r>
      <w:r>
        <w:rPr>
          <w:rFonts w:hint="eastAsia" w:asciiTheme="minorEastAsia" w:hAnsiTheme="minorEastAsia" w:eastAsiaTheme="minorEastAsia" w:cstheme="minorEastAsia"/>
          <w:color w:val="auto"/>
          <w:u w:val="single"/>
        </w:rPr>
        <w:t xml:space="preserve">                                 。</w:t>
      </w:r>
    </w:p>
    <w:p w14:paraId="59E8E210">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18.3 其他保险</w:t>
      </w:r>
    </w:p>
    <w:p w14:paraId="7382B529">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关于其他保险的约定：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4F4EAA">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承包人是否应为其施工设备等办理财产保险：</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51429D7">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18.7 通知义务</w:t>
      </w:r>
    </w:p>
    <w:p w14:paraId="48732154">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关于变更保险合同时的通知义务的约定：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30"/>
    <w:bookmarkEnd w:id="631"/>
    <w:bookmarkEnd w:id="632"/>
    <w:bookmarkEnd w:id="633"/>
    <w:bookmarkEnd w:id="634"/>
    <w:bookmarkEnd w:id="635"/>
    <w:bookmarkEnd w:id="636"/>
    <w:bookmarkEnd w:id="637"/>
    <w:bookmarkEnd w:id="638"/>
    <w:bookmarkEnd w:id="639"/>
    <w:bookmarkEnd w:id="640"/>
    <w:bookmarkEnd w:id="641"/>
    <w:p w14:paraId="13C43559">
      <w:pPr>
        <w:pStyle w:val="30"/>
        <w:spacing w:line="360" w:lineRule="auto"/>
        <w:ind w:right="0"/>
        <w:rPr>
          <w:rFonts w:asciiTheme="minorEastAsia" w:hAnsiTheme="minorEastAsia" w:eastAsiaTheme="minorEastAsia" w:cstheme="minorEastAsia"/>
          <w:b/>
          <w:bCs/>
          <w:color w:val="auto"/>
        </w:rPr>
      </w:pPr>
      <w:bookmarkStart w:id="657" w:name="_Toc351203651"/>
      <w:r>
        <w:rPr>
          <w:rFonts w:hint="eastAsia" w:asciiTheme="minorEastAsia" w:hAnsiTheme="minorEastAsia" w:eastAsiaTheme="minorEastAsia" w:cstheme="minorEastAsia"/>
          <w:b/>
          <w:bCs/>
          <w:color w:val="auto"/>
        </w:rPr>
        <w:t>20. 争议解决</w:t>
      </w:r>
      <w:bookmarkEnd w:id="657"/>
    </w:p>
    <w:bookmarkEnd w:id="642"/>
    <w:bookmarkEnd w:id="643"/>
    <w:p w14:paraId="684EA11E">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20.3 争</w:t>
      </w:r>
      <w:bookmarkEnd w:id="644"/>
      <w:r>
        <w:rPr>
          <w:rFonts w:hint="eastAsia" w:asciiTheme="minorEastAsia" w:hAnsiTheme="minorEastAsia" w:eastAsiaTheme="minorEastAsia" w:cstheme="minorEastAsia"/>
          <w:b/>
          <w:color w:val="auto"/>
        </w:rPr>
        <w:t>议评审</w:t>
      </w:r>
    </w:p>
    <w:p w14:paraId="60B919C0">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合同当事人是否同意将工程争议提交争议评审小组决定：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14:paraId="17E590FD">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20.3.1 争议评审小组的确定</w:t>
      </w:r>
    </w:p>
    <w:p w14:paraId="3C051EAF">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争议评审小组成员的确定：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A43D73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选定争议评审员的期限：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ED7451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争议评审小组成员的报酬承担方式：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BFD7924">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20C39F36">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20.3.2 争议评审小组的决定  </w:t>
      </w:r>
    </w:p>
    <w:p w14:paraId="0BE34DEF">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合同当事人关于本项的约定：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6548C2F2">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20.4仲裁或诉讼</w:t>
      </w:r>
      <w:bookmarkEnd w:id="645"/>
    </w:p>
    <w:bookmarkEnd w:id="646"/>
    <w:bookmarkEnd w:id="647"/>
    <w:bookmarkEnd w:id="648"/>
    <w:bookmarkEnd w:id="649"/>
    <w:bookmarkEnd w:id="650"/>
    <w:bookmarkEnd w:id="651"/>
    <w:p w14:paraId="05B78B4A">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因合同及合同有关事项发生的争议，按下列第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种方式解决：</w:t>
      </w:r>
    </w:p>
    <w:p w14:paraId="3568E781">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第一种解决方式：双方达成仲裁协议，向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仲裁委员会申请仲裁；</w:t>
      </w:r>
    </w:p>
    <w:p w14:paraId="56D030E6">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第二种解决方式：向</w:t>
      </w:r>
      <w:r>
        <w:rPr>
          <w:rFonts w:hint="eastAsia" w:asciiTheme="minorEastAsia" w:hAnsiTheme="minorEastAsia" w:eastAsiaTheme="minorEastAsia" w:cstheme="minorEastAsia"/>
          <w:color w:val="auto"/>
          <w:u w:val="single"/>
        </w:rPr>
        <w:t>工程项目建设地</w:t>
      </w:r>
      <w:r>
        <w:rPr>
          <w:rFonts w:hint="eastAsia" w:asciiTheme="minorEastAsia" w:hAnsiTheme="minorEastAsia" w:eastAsiaTheme="minorEastAsia" w:cstheme="minorEastAsia"/>
          <w:color w:val="auto"/>
        </w:rPr>
        <w:t>人民法院起诉。</w:t>
      </w:r>
    </w:p>
    <w:p w14:paraId="3771E884">
      <w:pPr>
        <w:pStyle w:val="30"/>
        <w:spacing w:line="360" w:lineRule="auto"/>
        <w:ind w:left="0" w:right="0"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21、补充条款 </w:t>
      </w:r>
    </w:p>
    <w:p w14:paraId="6B3AD753">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 xml:space="preserve">    无   </w:t>
      </w:r>
    </w:p>
    <w:p w14:paraId="14DF2E1D">
      <w:pPr>
        <w:spacing w:line="360" w:lineRule="auto"/>
        <w:rPr>
          <w:rFonts w:asciiTheme="minorEastAsia" w:hAnsiTheme="minorEastAsia" w:eastAsiaTheme="minorEastAsia" w:cstheme="minorEastAsia"/>
          <w:color w:val="auto"/>
        </w:rPr>
      </w:pPr>
    </w:p>
    <w:p w14:paraId="4ECCBB51">
      <w:pPr>
        <w:spacing w:line="360" w:lineRule="auto"/>
        <w:rPr>
          <w:rFonts w:asciiTheme="minorEastAsia" w:hAnsiTheme="minorEastAsia" w:eastAsiaTheme="minorEastAsia" w:cstheme="minorEastAsia"/>
          <w:color w:val="auto"/>
        </w:rPr>
      </w:pPr>
    </w:p>
    <w:p w14:paraId="50FC113E">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page"/>
      </w:r>
    </w:p>
    <w:p w14:paraId="104C7476">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附件1：</w:t>
      </w:r>
    </w:p>
    <w:p w14:paraId="63C9B861">
      <w:pPr>
        <w:pStyle w:val="30"/>
        <w:spacing w:line="360" w:lineRule="auto"/>
        <w:ind w:left="0" w:right="720"/>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工  程  质  量  保  修  书</w:t>
      </w:r>
    </w:p>
    <w:p w14:paraId="78BE184D">
      <w:pPr>
        <w:pStyle w:val="30"/>
        <w:spacing w:line="360" w:lineRule="auto"/>
        <w:ind w:left="0" w:right="720" w:firstLine="480" w:firstLineChars="200"/>
        <w:rPr>
          <w:rFonts w:asciiTheme="minorEastAsia" w:hAnsiTheme="minorEastAsia" w:eastAsiaTheme="minorEastAsia" w:cstheme="minorEastAsia"/>
          <w:color w:val="auto"/>
        </w:rPr>
      </w:pPr>
    </w:p>
    <w:p w14:paraId="3EFF3460">
      <w:pPr>
        <w:pStyle w:val="31"/>
        <w:spacing w:line="360" w:lineRule="auto"/>
        <w:ind w:left="420" w:leftChars="200" w:right="72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发包人（全称）：</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承包人（全称）：</w:t>
      </w:r>
      <w:r>
        <w:rPr>
          <w:rFonts w:hint="eastAsia" w:asciiTheme="minorEastAsia" w:hAnsiTheme="minorEastAsia" w:eastAsiaTheme="minorEastAsia" w:cstheme="minorEastAsia"/>
          <w:color w:val="auto"/>
          <w:szCs w:val="24"/>
          <w:u w:val="single"/>
        </w:rPr>
        <w:t xml:space="preserve">                                                   </w:t>
      </w:r>
    </w:p>
    <w:p w14:paraId="0904ED65">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为保证</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rPr>
        <w:t>（工程名称）在合理使用期限内正常使用，发包人承包人协商一致签订工程质量保修书。承包人在质量保修期内按照有关管理规定及双方约定承担工程质量保修责任。</w:t>
      </w:r>
    </w:p>
    <w:p w14:paraId="330F383A">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一、工程质量保修范围和内容</w:t>
      </w:r>
    </w:p>
    <w:p w14:paraId="463DE3F5">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质量保修范围包括装修工程施工等项目。具体质量保修内容双方约定如下：</w:t>
      </w:r>
      <w:r>
        <w:rPr>
          <w:rFonts w:hint="eastAsia" w:asciiTheme="minorEastAsia" w:hAnsiTheme="minorEastAsia" w:eastAsiaTheme="minorEastAsia" w:cstheme="minorEastAsia"/>
          <w:color w:val="auto"/>
          <w:szCs w:val="24"/>
          <w:u w:val="single"/>
        </w:rPr>
        <w:t xml:space="preserve">              。</w:t>
      </w:r>
    </w:p>
    <w:p w14:paraId="475E0283">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二、质量保修期</w:t>
      </w:r>
    </w:p>
    <w:p w14:paraId="3D59DF50">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质量保修期从工程实际竣工之日算起。分单项竣工验收的工程，按单项工程分别计算质量保修期。</w:t>
      </w:r>
    </w:p>
    <w:p w14:paraId="3A2FDCDE">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双方根据国家有关规定，结合具体工程约定质量保修期如下：</w:t>
      </w:r>
    </w:p>
    <w:p w14:paraId="2C0D8F62">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1、地基基础工程和主体结构工程为设计文件规定的该工程合理使用年限；</w:t>
      </w:r>
    </w:p>
    <w:p w14:paraId="7B7CB946">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14:paraId="6FB1E7D6">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3、整体工程质保期为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14:paraId="0F8121CC">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4、其他项目保修期限约定如下：</w:t>
      </w:r>
      <w:r>
        <w:rPr>
          <w:rFonts w:hint="eastAsia" w:asciiTheme="minorEastAsia" w:hAnsiTheme="minorEastAsia" w:eastAsiaTheme="minorEastAsia" w:cstheme="minorEastAsia"/>
          <w:color w:val="auto"/>
          <w:sz w:val="24"/>
          <w:szCs w:val="24"/>
          <w:u w:val="single"/>
        </w:rPr>
        <w:t xml:space="preserve">   年</w:t>
      </w:r>
      <w:r>
        <w:rPr>
          <w:rFonts w:hint="eastAsia" w:asciiTheme="minorEastAsia" w:hAnsiTheme="minorEastAsia" w:eastAsiaTheme="minorEastAsia" w:cstheme="minorEastAsia"/>
          <w:color w:val="auto"/>
          <w:sz w:val="24"/>
          <w:szCs w:val="24"/>
        </w:rPr>
        <w:t>；</w:t>
      </w:r>
    </w:p>
    <w:p w14:paraId="70F33107">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5、质量保修期自工程竣工验收合格签字之日起计算。</w:t>
      </w:r>
    </w:p>
    <w:p w14:paraId="571F47D1">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三、质量保修责任</w:t>
      </w:r>
    </w:p>
    <w:p w14:paraId="2948BD85">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属于保修范围和内容的项目， 承包人应在接到修理通知之后7天内派人修理。承包人不在约定期限内派人修理，发包人可委托其他人员修理，保修费用从质量保修金内扣除。</w:t>
      </w:r>
    </w:p>
    <w:p w14:paraId="096CA9EE">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发生须紧急抢修事故，承包人接到事故通知后，应立即到达事故现场抢修。非承包人施工质量引起的事故，抢修费用由发包人承担。</w:t>
      </w:r>
    </w:p>
    <w:p w14:paraId="107B90C3">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在国家规定的工程合理使用期限内，承包人确保地基基础工程和主体结构的质量。因承包人原因致使工程在合理使用期限内造成人身和财产损害的，承包人应承担损害赔偿责任。</w:t>
      </w:r>
    </w:p>
    <w:p w14:paraId="2E0F7334">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四、质量保修金的支付：本工程约定的工程质量保金为施工结算价款的</w:t>
      </w:r>
      <w:r>
        <w:rPr>
          <w:rFonts w:hint="eastAsia" w:asciiTheme="minorEastAsia" w:hAnsiTheme="minorEastAsia" w:eastAsiaTheme="minorEastAsia" w:cstheme="minorEastAsia"/>
          <w:color w:val="auto"/>
          <w:szCs w:val="24"/>
          <w:u w:val="single"/>
        </w:rPr>
        <w:t xml:space="preserve"> 3 </w:t>
      </w:r>
      <w:r>
        <w:rPr>
          <w:rFonts w:hint="eastAsia" w:asciiTheme="minorEastAsia" w:hAnsiTheme="minorEastAsia" w:eastAsiaTheme="minorEastAsia" w:cstheme="minorEastAsia"/>
          <w:color w:val="auto"/>
          <w:szCs w:val="24"/>
        </w:rPr>
        <w:t>%</w:t>
      </w:r>
    </w:p>
    <w:p w14:paraId="4E5974F0">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五、质量保修金的返还：发包人在质量保修期满无质量问题后14天内，将剩余保修金无息返还剩余质量保修金。</w:t>
      </w:r>
    </w:p>
    <w:p w14:paraId="621D636E">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六、其他</w:t>
      </w:r>
    </w:p>
    <w:p w14:paraId="4AD9D2D8">
      <w:pPr>
        <w:pStyle w:val="31"/>
        <w:spacing w:line="360" w:lineRule="auto"/>
        <w:ind w:left="0" w:right="720" w:firstLine="480" w:firstLineChars="200"/>
        <w:rPr>
          <w:rFonts w:asciiTheme="minorEastAsia" w:hAnsiTheme="minorEastAsia" w:eastAsiaTheme="minorEastAsia" w:cstheme="minorEastAsia"/>
          <w:color w:val="auto"/>
          <w:szCs w:val="24"/>
          <w:u w:val="single"/>
        </w:rPr>
      </w:pPr>
      <w:r>
        <w:rPr>
          <w:rFonts w:hint="eastAsia" w:asciiTheme="minorEastAsia" w:hAnsiTheme="minorEastAsia" w:eastAsiaTheme="minorEastAsia" w:cstheme="minorEastAsia"/>
          <w:color w:val="auto"/>
          <w:szCs w:val="24"/>
        </w:rPr>
        <w:t>双方约定的其他工程质量保修事项：</w:t>
      </w:r>
      <w:r>
        <w:rPr>
          <w:rFonts w:hint="eastAsia" w:asciiTheme="minorEastAsia" w:hAnsiTheme="minorEastAsia" w:eastAsiaTheme="minorEastAsia" w:cstheme="minorEastAsia"/>
          <w:color w:val="auto"/>
          <w:szCs w:val="24"/>
          <w:u w:val="single"/>
        </w:rPr>
        <w:t xml:space="preserve">  承包人负责保修期间收集整理完整工程资料。  </w:t>
      </w:r>
    </w:p>
    <w:p w14:paraId="07386F1A">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本工程质量保修书作为施工合同附件，由施工合同发包人承包人双方共同签署。</w:t>
      </w:r>
    </w:p>
    <w:p w14:paraId="3F4D3B57">
      <w:pPr>
        <w:pStyle w:val="31"/>
        <w:spacing w:line="360" w:lineRule="auto"/>
        <w:ind w:left="0" w:right="720" w:firstLine="409" w:firstLineChars="133"/>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34"/>
          <w:szCs w:val="24"/>
        </w:rPr>
        <w:t>发包人（公章）</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34"/>
          <w:szCs w:val="24"/>
        </w:rPr>
        <w:t>承包人（公章）</w:t>
      </w:r>
      <w:r>
        <w:rPr>
          <w:rFonts w:hint="eastAsia" w:asciiTheme="minorEastAsia" w:hAnsiTheme="minorEastAsia" w:eastAsiaTheme="minorEastAsia" w:cstheme="minorEastAsia"/>
          <w:color w:val="auto"/>
          <w:szCs w:val="24"/>
        </w:rPr>
        <w:t>：</w:t>
      </w:r>
    </w:p>
    <w:p w14:paraId="4A6EAB60">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法定代表人（签字）：              法定代表人（签字）：</w:t>
      </w:r>
    </w:p>
    <w:p w14:paraId="04924379">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 xml:space="preserve">日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日</w:t>
      </w:r>
    </w:p>
    <w:p w14:paraId="5F41EB98">
      <w:pPr>
        <w:autoSpaceDE w:val="0"/>
        <w:autoSpaceDN w:val="0"/>
        <w:adjustRightInd w:val="0"/>
        <w:spacing w:line="360" w:lineRule="auto"/>
        <w:rPr>
          <w:rFonts w:asciiTheme="minorEastAsia" w:hAnsiTheme="minorEastAsia" w:eastAsiaTheme="minorEastAsia" w:cstheme="minorEastAsia"/>
          <w:color w:val="auto"/>
          <w:sz w:val="32"/>
          <w:szCs w:val="32"/>
        </w:rPr>
      </w:pPr>
      <w:bookmarkStart w:id="658" w:name="_Toc527642969"/>
      <w:bookmarkStart w:id="659" w:name="_Toc349637943"/>
      <w:bookmarkStart w:id="660" w:name="_Toc507690272"/>
      <w:bookmarkStart w:id="661" w:name="_Toc349573144"/>
      <w:bookmarkStart w:id="662" w:name="_Toc298240429"/>
    </w:p>
    <w:p w14:paraId="71462E80">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14:paraId="1428C6FA">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14:paraId="6A4AE8B8">
      <w:pPr>
        <w:autoSpaceDE w:val="0"/>
        <w:autoSpaceDN w:val="0"/>
        <w:adjustRightInd w:val="0"/>
        <w:spacing w:line="360" w:lineRule="auto"/>
        <w:jc w:val="center"/>
        <w:rPr>
          <w:rFonts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color w:val="auto"/>
          <w:sz w:val="32"/>
          <w:szCs w:val="32"/>
        </w:rPr>
        <w:t>第</w:t>
      </w:r>
      <w:r>
        <w:rPr>
          <w:rFonts w:hint="eastAsia" w:asciiTheme="minorEastAsia" w:hAnsiTheme="minorEastAsia" w:eastAsiaTheme="minorEastAsia" w:cstheme="minorEastAsia"/>
          <w:b/>
          <w:color w:val="auto"/>
          <w:sz w:val="32"/>
          <w:szCs w:val="32"/>
          <w:lang w:val="en-US" w:eastAsia="zh-CN"/>
        </w:rPr>
        <w:t>六</w:t>
      </w:r>
      <w:r>
        <w:rPr>
          <w:rFonts w:hint="eastAsia" w:asciiTheme="minorEastAsia" w:hAnsiTheme="minorEastAsia" w:eastAsiaTheme="minorEastAsia" w:cstheme="minorEastAsia"/>
          <w:b/>
          <w:color w:val="auto"/>
          <w:sz w:val="32"/>
          <w:szCs w:val="32"/>
        </w:rPr>
        <w:t>部分　</w:t>
      </w:r>
      <w:bookmarkEnd w:id="658"/>
      <w:bookmarkEnd w:id="659"/>
      <w:bookmarkEnd w:id="660"/>
      <w:bookmarkEnd w:id="661"/>
      <w:bookmarkEnd w:id="662"/>
      <w:r>
        <w:rPr>
          <w:rFonts w:hint="eastAsia" w:asciiTheme="minorEastAsia" w:hAnsiTheme="minorEastAsia" w:eastAsiaTheme="minorEastAsia" w:cstheme="minorEastAsia"/>
          <w:b/>
          <w:color w:val="auto"/>
          <w:sz w:val="32"/>
          <w:szCs w:val="32"/>
          <w:lang w:val="zh-CN"/>
        </w:rPr>
        <w:t>响应文件格式</w:t>
      </w:r>
    </w:p>
    <w:p w14:paraId="52D63096">
      <w:pPr>
        <w:spacing w:line="360" w:lineRule="auto"/>
        <w:jc w:val="center"/>
        <w:rPr>
          <w:rFonts w:asciiTheme="minorEastAsia" w:hAnsiTheme="minorEastAsia" w:eastAsiaTheme="minorEastAsia" w:cstheme="minorEastAsia"/>
          <w:color w:val="auto"/>
          <w:sz w:val="32"/>
          <w:szCs w:val="32"/>
        </w:rPr>
      </w:pPr>
    </w:p>
    <w:p w14:paraId="77C6D96D">
      <w:pPr>
        <w:autoSpaceDE w:val="0"/>
        <w:autoSpaceDN w:val="0"/>
        <w:adjustRightInd w:val="0"/>
        <w:spacing w:line="360" w:lineRule="auto"/>
        <w:jc w:val="center"/>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 w:val="24"/>
          <w:szCs w:val="24"/>
          <w:lang w:val="zh-CN"/>
        </w:rPr>
        <w:t>注：为了便于查找，标注目录及页码</w:t>
      </w:r>
    </w:p>
    <w:p w14:paraId="385292C8">
      <w:pPr>
        <w:autoSpaceDE w:val="0"/>
        <w:autoSpaceDN w:val="0"/>
        <w:adjustRightInd w:val="0"/>
        <w:spacing w:line="360" w:lineRule="auto"/>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（以下内容需按要求提供相应证明材料）</w:t>
      </w:r>
    </w:p>
    <w:p w14:paraId="1EAC3E71">
      <w:pPr>
        <w:autoSpaceDE w:val="0"/>
        <w:autoSpaceDN w:val="0"/>
        <w:adjustRightInd w:val="0"/>
        <w:spacing w:line="360" w:lineRule="auto"/>
        <w:jc w:val="center"/>
        <w:rPr>
          <w:rFonts w:asciiTheme="minorEastAsia" w:hAnsiTheme="minorEastAsia" w:eastAsiaTheme="minorEastAsia" w:cstheme="minorEastAsia"/>
          <w:b/>
          <w:bCs/>
          <w:color w:val="auto"/>
          <w:sz w:val="32"/>
          <w:szCs w:val="32"/>
          <w:lang w:val="zh-CN"/>
        </w:rPr>
      </w:pPr>
    </w:p>
    <w:p w14:paraId="2CEB974A">
      <w:pPr>
        <w:autoSpaceDE w:val="0"/>
        <w:autoSpaceDN w:val="0"/>
        <w:adjustRightInd w:val="0"/>
        <w:spacing w:line="360" w:lineRule="auto"/>
        <w:rPr>
          <w:rFonts w:asciiTheme="minorEastAsia" w:hAnsiTheme="minorEastAsia" w:eastAsiaTheme="minorEastAsia" w:cstheme="minorEastAsia"/>
          <w:b/>
          <w:bCs/>
          <w:color w:val="auto"/>
          <w:sz w:val="32"/>
          <w:szCs w:val="32"/>
          <w:lang w:val="zh-CN"/>
        </w:rPr>
      </w:pPr>
    </w:p>
    <w:p w14:paraId="0D1421E2">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color w:val="auto"/>
          <w:sz w:val="24"/>
          <w:szCs w:val="24"/>
          <w:lang w:val="zh-CN"/>
        </w:rPr>
        <w:br w:type="page"/>
      </w:r>
      <w:bookmarkStart w:id="663" w:name="_Toc383102810"/>
      <w:bookmarkStart w:id="664" w:name="_Toc414108641"/>
      <w:r>
        <w:rPr>
          <w:rFonts w:hint="eastAsia" w:asciiTheme="minorEastAsia" w:hAnsiTheme="minorEastAsia" w:eastAsiaTheme="minorEastAsia" w:cstheme="minorEastAsia"/>
          <w:color w:val="auto"/>
          <w:lang w:val="zh-CN"/>
        </w:rPr>
        <w:t>商</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63"/>
      <w:bookmarkEnd w:id="664"/>
    </w:p>
    <w:p w14:paraId="315FF503">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商务标封面示例</w:t>
      </w:r>
    </w:p>
    <w:p w14:paraId="7D2A7AF7">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14:paraId="6FEB84BD">
      <w:pPr>
        <w:autoSpaceDE w:val="0"/>
        <w:autoSpaceDN w:val="0"/>
        <w:adjustRightInd w:val="0"/>
        <w:spacing w:line="360" w:lineRule="auto"/>
        <w:rPr>
          <w:rFonts w:asciiTheme="minorEastAsia" w:hAnsiTheme="minorEastAsia" w:eastAsiaTheme="minorEastAsia" w:cstheme="minorEastAsia"/>
          <w:color w:val="auto"/>
          <w:szCs w:val="21"/>
        </w:rPr>
      </w:pPr>
    </w:p>
    <w:p w14:paraId="7688863F">
      <w:pPr>
        <w:spacing w:line="360" w:lineRule="auto"/>
        <w:jc w:val="center"/>
        <w:rPr>
          <w:rFonts w:asciiTheme="minorEastAsia" w:hAnsiTheme="minorEastAsia" w:eastAsiaTheme="minorEastAsia" w:cstheme="minorEastAsia"/>
          <w:b/>
          <w:bCs/>
          <w:color w:val="auto"/>
          <w:lang w:val="zh-CN"/>
        </w:rPr>
      </w:pPr>
    </w:p>
    <w:p w14:paraId="017CDAC0">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响应文件商务标</w:t>
      </w:r>
    </w:p>
    <w:p w14:paraId="40D3A213">
      <w:pPr>
        <w:autoSpaceDE w:val="0"/>
        <w:autoSpaceDN w:val="0"/>
        <w:adjustRightInd w:val="0"/>
        <w:spacing w:line="360" w:lineRule="auto"/>
        <w:rPr>
          <w:rFonts w:asciiTheme="minorEastAsia" w:hAnsiTheme="minorEastAsia" w:eastAsiaTheme="minorEastAsia" w:cstheme="minorEastAsia"/>
          <w:color w:val="auto"/>
          <w:szCs w:val="21"/>
        </w:rPr>
      </w:pPr>
    </w:p>
    <w:p w14:paraId="66F344A7">
      <w:pPr>
        <w:autoSpaceDE w:val="0"/>
        <w:autoSpaceDN w:val="0"/>
        <w:adjustRightInd w:val="0"/>
        <w:spacing w:line="360" w:lineRule="auto"/>
        <w:rPr>
          <w:rFonts w:asciiTheme="minorEastAsia" w:hAnsiTheme="minorEastAsia" w:eastAsiaTheme="minorEastAsia" w:cstheme="minorEastAsia"/>
          <w:color w:val="auto"/>
          <w:szCs w:val="21"/>
        </w:rPr>
      </w:pPr>
    </w:p>
    <w:p w14:paraId="0CA44ACF">
      <w:pPr>
        <w:autoSpaceDE w:val="0"/>
        <w:autoSpaceDN w:val="0"/>
        <w:adjustRightInd w:val="0"/>
        <w:spacing w:line="360" w:lineRule="auto"/>
        <w:rPr>
          <w:rFonts w:asciiTheme="minorEastAsia" w:hAnsiTheme="minorEastAsia" w:eastAsiaTheme="minorEastAsia" w:cstheme="minorEastAsia"/>
          <w:color w:val="auto"/>
          <w:szCs w:val="21"/>
        </w:rPr>
      </w:pPr>
    </w:p>
    <w:p w14:paraId="1323F3EA">
      <w:pPr>
        <w:pStyle w:val="21"/>
        <w:spacing w:line="360" w:lineRule="auto"/>
        <w:ind w:firstLine="480"/>
        <w:rPr>
          <w:rFonts w:asciiTheme="minorEastAsia" w:hAnsiTheme="minorEastAsia" w:eastAsiaTheme="minorEastAsia" w:cstheme="minorEastAsia"/>
          <w:color w:val="auto"/>
          <w:szCs w:val="21"/>
        </w:rPr>
      </w:pPr>
    </w:p>
    <w:p w14:paraId="15578C7D">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76FDD2D0">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3F9461D3">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p w14:paraId="35F6EF14">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5F586341">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7FAA2BBA">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1B6A23D2">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6D026853">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4BFF08A9">
      <w:pPr>
        <w:autoSpaceDE w:val="0"/>
        <w:autoSpaceDN w:val="0"/>
        <w:adjustRightInd w:val="0"/>
        <w:spacing w:line="360" w:lineRule="auto"/>
        <w:jc w:val="left"/>
        <w:rPr>
          <w:rFonts w:asciiTheme="minorEastAsia" w:hAnsiTheme="minorEastAsia" w:eastAsiaTheme="minorEastAsia" w:cstheme="minorEastAsia"/>
          <w:color w:val="auto"/>
          <w:szCs w:val="21"/>
        </w:rPr>
      </w:pPr>
    </w:p>
    <w:p w14:paraId="4B333CC3">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037BD105">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593B6C9C">
      <w:pPr>
        <w:autoSpaceDE w:val="0"/>
        <w:autoSpaceDN w:val="0"/>
        <w:adjustRightInd w:val="0"/>
        <w:spacing w:line="360" w:lineRule="auto"/>
        <w:jc w:val="center"/>
        <w:rPr>
          <w:rFonts w:asciiTheme="minorEastAsia" w:hAnsiTheme="minorEastAsia" w:eastAsiaTheme="minorEastAsia" w:cstheme="minorEastAsia"/>
          <w:color w:val="auto"/>
          <w:lang w:val="zh-CN"/>
        </w:rPr>
      </w:pPr>
    </w:p>
    <w:p w14:paraId="00D46B05">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商务标目录</w:t>
      </w:r>
    </w:p>
    <w:p w14:paraId="4B98FCA0">
      <w:pPr>
        <w:autoSpaceDE w:val="0"/>
        <w:autoSpaceDN w:val="0"/>
        <w:adjustRightInd w:val="0"/>
        <w:spacing w:line="360" w:lineRule="auto"/>
        <w:rPr>
          <w:rFonts w:asciiTheme="minorEastAsia" w:hAnsiTheme="minorEastAsia" w:eastAsiaTheme="minorEastAsia" w:cstheme="minorEastAsia"/>
          <w:color w:val="auto"/>
          <w:szCs w:val="21"/>
        </w:rPr>
      </w:pPr>
    </w:p>
    <w:p w14:paraId="0569BA70">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1、投标承诺书（一）</w:t>
      </w:r>
    </w:p>
    <w:p w14:paraId="6919C915">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2、投标承诺书（二）</w:t>
      </w:r>
    </w:p>
    <w:p w14:paraId="1D2C31BD">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3、投标承诺书（三）</w:t>
      </w:r>
    </w:p>
    <w:p w14:paraId="536159C5">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4、法定代表人身份证明书</w:t>
      </w:r>
    </w:p>
    <w:p w14:paraId="1C5847B2">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5、法定代表人授权委托书</w:t>
      </w:r>
    </w:p>
    <w:p w14:paraId="45DD7084">
      <w:pPr>
        <w:autoSpaceDE w:val="0"/>
        <w:autoSpaceDN w:val="0"/>
        <w:adjustRightInd w:val="0"/>
        <w:spacing w:line="360" w:lineRule="auto"/>
        <w:ind w:left="420" w:leftChars="1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6、投标人概况（企业营业执照副本复印件、资质证书副本复印件、安全生产许可证复印件、注册建造师证书复印件）；</w:t>
      </w:r>
    </w:p>
    <w:p w14:paraId="60C71166">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7、项目管理人员</w:t>
      </w:r>
    </w:p>
    <w:p w14:paraId="1825268B">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8、投标保证金</w:t>
      </w:r>
      <w:r>
        <w:rPr>
          <w:rFonts w:hint="eastAsia" w:asciiTheme="minorEastAsia" w:hAnsiTheme="minorEastAsia" w:eastAsiaTheme="minorEastAsia" w:cstheme="minorEastAsia"/>
          <w:color w:val="auto"/>
          <w:szCs w:val="21"/>
          <w:lang w:val="en-US" w:eastAsia="zh-CN"/>
        </w:rPr>
        <w:t>缴纳凭证</w:t>
      </w:r>
    </w:p>
    <w:p w14:paraId="6D7148FA">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9、磋商文件要求的其他证明材料</w:t>
      </w:r>
    </w:p>
    <w:p w14:paraId="5A3CE40C">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10、中小企业声明函（工程、服务）</w:t>
      </w:r>
    </w:p>
    <w:p w14:paraId="5079FD75">
      <w:pPr>
        <w:autoSpaceDE w:val="0"/>
        <w:autoSpaceDN w:val="0"/>
        <w:adjustRightInd w:val="0"/>
        <w:spacing w:line="360" w:lineRule="auto"/>
        <w:rPr>
          <w:rFonts w:asciiTheme="minorEastAsia" w:hAnsiTheme="minorEastAsia" w:eastAsiaTheme="minorEastAsia" w:cstheme="minorEastAsia"/>
          <w:color w:val="auto"/>
          <w:szCs w:val="21"/>
        </w:rPr>
      </w:pPr>
    </w:p>
    <w:p w14:paraId="4DD107A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注：为了便于查找，请按上述顺序编排商务标内容，并在目录中标明每项内容的起始页码。</w:t>
      </w:r>
    </w:p>
    <w:p w14:paraId="7876CFAF">
      <w:pPr>
        <w:autoSpaceDE w:val="0"/>
        <w:autoSpaceDN w:val="0"/>
        <w:adjustRightInd w:val="0"/>
        <w:spacing w:line="360" w:lineRule="auto"/>
        <w:rPr>
          <w:rFonts w:asciiTheme="minorEastAsia" w:hAnsiTheme="minorEastAsia" w:eastAsiaTheme="minorEastAsia" w:cstheme="minorEastAsia"/>
          <w:color w:val="auto"/>
          <w:szCs w:val="21"/>
        </w:rPr>
      </w:pPr>
    </w:p>
    <w:p w14:paraId="2DF82032">
      <w:pPr>
        <w:autoSpaceDE w:val="0"/>
        <w:autoSpaceDN w:val="0"/>
        <w:adjustRightInd w:val="0"/>
        <w:spacing w:line="360" w:lineRule="auto"/>
        <w:rPr>
          <w:rFonts w:asciiTheme="minorEastAsia" w:hAnsiTheme="minorEastAsia" w:eastAsiaTheme="minorEastAsia" w:cstheme="minorEastAsia"/>
          <w:color w:val="auto"/>
          <w:szCs w:val="21"/>
        </w:rPr>
      </w:pPr>
    </w:p>
    <w:p w14:paraId="5E08D701">
      <w:pPr>
        <w:autoSpaceDE w:val="0"/>
        <w:autoSpaceDN w:val="0"/>
        <w:adjustRightInd w:val="0"/>
        <w:spacing w:line="360" w:lineRule="auto"/>
        <w:rPr>
          <w:rFonts w:asciiTheme="minorEastAsia" w:hAnsiTheme="minorEastAsia" w:eastAsiaTheme="minorEastAsia" w:cstheme="minorEastAsia"/>
          <w:color w:val="auto"/>
          <w:szCs w:val="21"/>
        </w:rPr>
      </w:pPr>
    </w:p>
    <w:p w14:paraId="3BB318DD">
      <w:pPr>
        <w:autoSpaceDE w:val="0"/>
        <w:autoSpaceDN w:val="0"/>
        <w:adjustRightInd w:val="0"/>
        <w:spacing w:line="360" w:lineRule="auto"/>
        <w:rPr>
          <w:rFonts w:asciiTheme="minorEastAsia" w:hAnsiTheme="minorEastAsia" w:eastAsiaTheme="minorEastAsia" w:cstheme="minorEastAsia"/>
          <w:color w:val="auto"/>
          <w:szCs w:val="21"/>
        </w:rPr>
      </w:pPr>
    </w:p>
    <w:p w14:paraId="7F914E2A">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14:paraId="42B085BC">
      <w:pPr>
        <w:pStyle w:val="4"/>
        <w:spacing w:line="360" w:lineRule="auto"/>
        <w:jc w:val="center"/>
        <w:rPr>
          <w:rFonts w:asciiTheme="minorEastAsia" w:hAnsiTheme="minorEastAsia" w:eastAsiaTheme="minorEastAsia" w:cstheme="minorEastAsia"/>
          <w:color w:val="auto"/>
        </w:rPr>
      </w:pPr>
      <w:bookmarkStart w:id="665" w:name="_Toc414108642"/>
      <w:r>
        <w:rPr>
          <w:rFonts w:hint="eastAsia" w:asciiTheme="minorEastAsia" w:hAnsiTheme="minorEastAsia" w:eastAsiaTheme="minorEastAsia" w:cstheme="minorEastAsia"/>
          <w:color w:val="auto"/>
          <w:lang w:val="zh-CN"/>
        </w:rPr>
        <w:t>投标承诺书（一）</w:t>
      </w:r>
      <w:bookmarkEnd w:id="665"/>
    </w:p>
    <w:p w14:paraId="2A475C41">
      <w:pPr>
        <w:autoSpaceDE w:val="0"/>
        <w:autoSpaceDN w:val="0"/>
        <w:adjustRightInd w:val="0"/>
        <w:spacing w:line="360" w:lineRule="auto"/>
        <w:rPr>
          <w:rFonts w:asciiTheme="minorEastAsia" w:hAnsiTheme="minorEastAsia" w:eastAsiaTheme="minorEastAsia" w:cstheme="minorEastAsia"/>
          <w:color w:val="auto"/>
          <w:szCs w:val="21"/>
        </w:rPr>
      </w:pPr>
    </w:p>
    <w:p w14:paraId="3550CC61">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招标人：</w:t>
      </w:r>
      <w:r>
        <w:rPr>
          <w:rFonts w:hint="eastAsia" w:asciiTheme="minorEastAsia" w:hAnsiTheme="minorEastAsia" w:eastAsiaTheme="minorEastAsia" w:cstheme="minorEastAsia"/>
          <w:color w:val="auto"/>
          <w:u w:val="single"/>
        </w:rPr>
        <w:t xml:space="preserve">                 </w:t>
      </w:r>
    </w:p>
    <w:p w14:paraId="586ECDF6">
      <w:pPr>
        <w:autoSpaceDE w:val="0"/>
        <w:autoSpaceDN w:val="0"/>
        <w:adjustRightInd w:val="0"/>
        <w:spacing w:line="360" w:lineRule="auto"/>
        <w:rPr>
          <w:rFonts w:asciiTheme="minorEastAsia" w:hAnsiTheme="minorEastAsia" w:eastAsiaTheme="minorEastAsia" w:cstheme="minorEastAsia"/>
          <w:color w:val="auto"/>
          <w:szCs w:val="21"/>
        </w:rPr>
      </w:pPr>
    </w:p>
    <w:p w14:paraId="66F9C122">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、根据已收到的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工程的磋商文件，我单位经考察现场和研究贵方的磋商文件后，将接受该工程磋商文件中各条款内容并且以经济标中所报投标价格承包本</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范围内的工程。</w:t>
      </w:r>
    </w:p>
    <w:p w14:paraId="06EF055F">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、如果我方中标，非业主原因，我方保证将在下列日期内组织施工。</w:t>
      </w:r>
    </w:p>
    <w:p w14:paraId="5D53672D">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总</w:t>
      </w:r>
      <w:r>
        <w:rPr>
          <w:rFonts w:hint="eastAsia" w:asciiTheme="minorEastAsia" w:hAnsiTheme="minorEastAsia" w:eastAsiaTheme="minorEastAsia" w:cstheme="minorEastAsia"/>
          <w:color w:val="auto"/>
          <w:szCs w:val="21"/>
        </w:rPr>
        <w:t>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7E3B1C02">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、如果我方中标，非业主原因，我方保证将按下列质量等级完成本工程。</w:t>
      </w:r>
    </w:p>
    <w:p w14:paraId="18CDE994">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质量等级：</w:t>
      </w:r>
      <w:r>
        <w:rPr>
          <w:rFonts w:hint="eastAsia" w:asciiTheme="minorEastAsia" w:hAnsiTheme="minorEastAsia" w:eastAsiaTheme="minorEastAsia" w:cstheme="minorEastAsia"/>
          <w:color w:val="auto"/>
          <w:u w:val="single"/>
        </w:rPr>
        <w:t xml:space="preserve">      </w:t>
      </w:r>
    </w:p>
    <w:p w14:paraId="11047A1B">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lang w:val="zh-CN"/>
        </w:rPr>
        <w:t>、如果我方中标，我方将按磋商文件规定的时间内签订承包合同。如果我方违约，除履约保证金外，我方还将以中标价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作为赔偿金，同时贵方有权终止我方中标并选择其它中标人。</w:t>
      </w:r>
    </w:p>
    <w:p w14:paraId="441AAC9C">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lang w:val="zh-CN"/>
        </w:rPr>
        <w:t>、贵方的磋商文件、中标通知书、我方的响应文件将构成约束双方的合同一部分。</w:t>
      </w:r>
    </w:p>
    <w:p w14:paraId="13D8A06F">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lang w:val="zh-CN"/>
        </w:rPr>
        <w:t>、如果我方未中标，贵方没有必要对我方做出任何解释和说明，我方将充分尊重和理解贵方的选择。</w:t>
      </w:r>
    </w:p>
    <w:p w14:paraId="29F19E2E">
      <w:pPr>
        <w:autoSpaceDE w:val="0"/>
        <w:autoSpaceDN w:val="0"/>
        <w:adjustRightInd w:val="0"/>
        <w:spacing w:line="360" w:lineRule="auto"/>
        <w:rPr>
          <w:rFonts w:asciiTheme="minorEastAsia" w:hAnsiTheme="minorEastAsia" w:eastAsiaTheme="minorEastAsia" w:cstheme="minorEastAsia"/>
          <w:color w:val="auto"/>
          <w:szCs w:val="21"/>
        </w:rPr>
      </w:pPr>
    </w:p>
    <w:p w14:paraId="3E1AA7CA">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0B0C8CEF">
      <w:pPr>
        <w:autoSpaceDE w:val="0"/>
        <w:autoSpaceDN w:val="0"/>
        <w:adjustRightInd w:val="0"/>
        <w:spacing w:line="360" w:lineRule="auto"/>
        <w:rPr>
          <w:rFonts w:asciiTheme="minorEastAsia" w:hAnsiTheme="minorEastAsia" w:eastAsiaTheme="minorEastAsia" w:cstheme="minorEastAsia"/>
          <w:color w:val="auto"/>
          <w:lang w:val="zh-CN"/>
        </w:rPr>
      </w:pPr>
    </w:p>
    <w:p w14:paraId="73C58614">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31308A5E">
      <w:pPr>
        <w:autoSpaceDE w:val="0"/>
        <w:autoSpaceDN w:val="0"/>
        <w:adjustRightInd w:val="0"/>
        <w:spacing w:line="360" w:lineRule="auto"/>
        <w:rPr>
          <w:rFonts w:asciiTheme="minorEastAsia" w:hAnsiTheme="minorEastAsia" w:eastAsiaTheme="minorEastAsia" w:cstheme="minorEastAsia"/>
          <w:color w:val="auto"/>
          <w:szCs w:val="21"/>
        </w:rPr>
      </w:pPr>
    </w:p>
    <w:p w14:paraId="043A3408">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14:paraId="0BECAC61">
      <w:pPr>
        <w:autoSpaceDE w:val="0"/>
        <w:autoSpaceDN w:val="0"/>
        <w:adjustRightInd w:val="0"/>
        <w:spacing w:line="360" w:lineRule="auto"/>
        <w:rPr>
          <w:rFonts w:asciiTheme="minorEastAsia" w:hAnsiTheme="minorEastAsia" w:eastAsiaTheme="minorEastAsia" w:cstheme="minorEastAsia"/>
          <w:color w:val="auto"/>
          <w:szCs w:val="21"/>
        </w:rPr>
      </w:pPr>
    </w:p>
    <w:p w14:paraId="1200EAB7">
      <w:pPr>
        <w:autoSpaceDE w:val="0"/>
        <w:autoSpaceDN w:val="0"/>
        <w:adjustRightInd w:val="0"/>
        <w:spacing w:line="360" w:lineRule="auto"/>
        <w:rPr>
          <w:rFonts w:asciiTheme="minorEastAsia" w:hAnsiTheme="minorEastAsia" w:eastAsiaTheme="minorEastAsia" w:cstheme="minorEastAsia"/>
          <w:color w:val="auto"/>
          <w:szCs w:val="21"/>
        </w:rPr>
      </w:pPr>
    </w:p>
    <w:p w14:paraId="2673FAA8">
      <w:pPr>
        <w:pStyle w:val="4"/>
        <w:spacing w:line="360" w:lineRule="auto"/>
        <w:jc w:val="center"/>
        <w:rPr>
          <w:rFonts w:asciiTheme="minorEastAsia" w:hAnsiTheme="minorEastAsia" w:eastAsiaTheme="minorEastAsia" w:cstheme="minorEastAsia"/>
          <w:color w:val="auto"/>
        </w:rPr>
      </w:pPr>
      <w:bookmarkStart w:id="666" w:name="_Toc414108643"/>
      <w:r>
        <w:rPr>
          <w:rFonts w:hint="eastAsia" w:asciiTheme="minorEastAsia" w:hAnsiTheme="minorEastAsia" w:eastAsiaTheme="minorEastAsia" w:cstheme="minorEastAsia"/>
          <w:color w:val="auto"/>
          <w:lang w:val="zh-CN"/>
        </w:rPr>
        <w:t>投标承诺书（二）</w:t>
      </w:r>
      <w:bookmarkEnd w:id="666"/>
    </w:p>
    <w:p w14:paraId="208C38ED">
      <w:pPr>
        <w:autoSpaceDE w:val="0"/>
        <w:autoSpaceDN w:val="0"/>
        <w:adjustRightInd w:val="0"/>
        <w:spacing w:line="360" w:lineRule="auto"/>
        <w:rPr>
          <w:rFonts w:asciiTheme="minorEastAsia" w:hAnsiTheme="minorEastAsia" w:eastAsiaTheme="minorEastAsia" w:cstheme="minorEastAsia"/>
          <w:color w:val="auto"/>
          <w:szCs w:val="21"/>
        </w:rPr>
      </w:pPr>
    </w:p>
    <w:p w14:paraId="31FDFEF8">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招标</w:t>
      </w:r>
      <w:r>
        <w:rPr>
          <w:rFonts w:hint="eastAsia" w:asciiTheme="minorEastAsia" w:hAnsiTheme="minorEastAsia" w:eastAsiaTheme="minorEastAsia" w:cstheme="minorEastAsia"/>
          <w:color w:val="auto"/>
          <w:lang w:val="zh-CN"/>
        </w:rPr>
        <w:t>人：</w:t>
      </w:r>
      <w:r>
        <w:rPr>
          <w:rFonts w:hint="eastAsia" w:asciiTheme="minorEastAsia" w:hAnsiTheme="minorEastAsia" w:eastAsiaTheme="minorEastAsia" w:cstheme="minorEastAsia"/>
          <w:color w:val="auto"/>
          <w:u w:val="single"/>
        </w:rPr>
        <w:t xml:space="preserve">                 </w:t>
      </w:r>
    </w:p>
    <w:p w14:paraId="3B21CABB">
      <w:pPr>
        <w:autoSpaceDE w:val="0"/>
        <w:autoSpaceDN w:val="0"/>
        <w:adjustRightInd w:val="0"/>
        <w:spacing w:line="360" w:lineRule="auto"/>
        <w:rPr>
          <w:rFonts w:asciiTheme="minorEastAsia" w:hAnsiTheme="minorEastAsia" w:eastAsiaTheme="minorEastAsia" w:cstheme="minorEastAsia"/>
          <w:color w:val="auto"/>
          <w:szCs w:val="21"/>
        </w:rPr>
      </w:pPr>
    </w:p>
    <w:p w14:paraId="733F96EF">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如果我方中标，施工项目负责人为：</w:t>
      </w:r>
    </w:p>
    <w:tbl>
      <w:tblPr>
        <w:tblStyle w:val="22"/>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31E05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531F0018">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73A2D685">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752B725C">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职称</w:t>
            </w:r>
          </w:p>
        </w:tc>
        <w:tc>
          <w:tcPr>
            <w:tcW w:w="2274" w:type="dxa"/>
            <w:tcBorders>
              <w:top w:val="single" w:color="auto" w:sz="4" w:space="0"/>
              <w:left w:val="single" w:color="auto" w:sz="4" w:space="0"/>
              <w:bottom w:val="single" w:color="auto" w:sz="4" w:space="0"/>
            </w:tcBorders>
            <w:vAlign w:val="center"/>
          </w:tcPr>
          <w:p w14:paraId="4B432A2F">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14:paraId="139AB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15E2A410">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74E515D0">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3F1316DF">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注册建造师证书编号</w:t>
            </w:r>
          </w:p>
        </w:tc>
        <w:tc>
          <w:tcPr>
            <w:tcW w:w="2274" w:type="dxa"/>
            <w:tcBorders>
              <w:top w:val="single" w:color="auto" w:sz="4" w:space="0"/>
              <w:left w:val="single" w:color="auto" w:sz="4" w:space="0"/>
              <w:bottom w:val="single" w:color="auto" w:sz="4" w:space="0"/>
            </w:tcBorders>
            <w:vAlign w:val="center"/>
          </w:tcPr>
          <w:p w14:paraId="36A93ABD">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14:paraId="043EC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1E417332">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3AE445F6">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bl>
    <w:p w14:paraId="2E009B74">
      <w:pPr>
        <w:autoSpaceDE w:val="0"/>
        <w:autoSpaceDN w:val="0"/>
        <w:adjustRightInd w:val="0"/>
        <w:spacing w:line="360" w:lineRule="auto"/>
        <w:rPr>
          <w:rFonts w:asciiTheme="minorEastAsia" w:hAnsiTheme="minorEastAsia" w:eastAsiaTheme="minorEastAsia" w:cstheme="minorEastAsia"/>
          <w:color w:val="auto"/>
          <w:szCs w:val="21"/>
        </w:rPr>
      </w:pPr>
    </w:p>
    <w:p w14:paraId="2275FB94">
      <w:pPr>
        <w:autoSpaceDE w:val="0"/>
        <w:autoSpaceDN w:val="0"/>
        <w:adjustRightIn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中标后，若由于特殊原因须更换施工项目负责人时，我方将以资质以及信誉不低于此注册建造师的人员替换，并报业主审查。经审查通过后，方可更换。若未经业主批准，我方擅自更换施工项目负责人，我方愿以合同价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w:t>
      </w:r>
    </w:p>
    <w:p w14:paraId="7D19A8B6">
      <w:pPr>
        <w:autoSpaceDE w:val="0"/>
        <w:autoSpaceDN w:val="0"/>
        <w:adjustRightInd w:val="0"/>
        <w:spacing w:line="360" w:lineRule="auto"/>
        <w:rPr>
          <w:rFonts w:asciiTheme="minorEastAsia" w:hAnsiTheme="minorEastAsia" w:eastAsiaTheme="minorEastAsia" w:cstheme="minorEastAsia"/>
          <w:color w:val="auto"/>
          <w:szCs w:val="21"/>
        </w:rPr>
      </w:pPr>
    </w:p>
    <w:p w14:paraId="55DDD3C0">
      <w:pPr>
        <w:autoSpaceDE w:val="0"/>
        <w:autoSpaceDN w:val="0"/>
        <w:adjustRightInd w:val="0"/>
        <w:spacing w:line="360" w:lineRule="auto"/>
        <w:rPr>
          <w:rFonts w:asciiTheme="minorEastAsia" w:hAnsiTheme="minorEastAsia" w:eastAsiaTheme="minorEastAsia" w:cstheme="minorEastAsia"/>
          <w:color w:val="auto"/>
          <w:szCs w:val="21"/>
        </w:rPr>
      </w:pPr>
    </w:p>
    <w:p w14:paraId="543B9A1F">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2AA2649F">
      <w:pPr>
        <w:autoSpaceDE w:val="0"/>
        <w:autoSpaceDN w:val="0"/>
        <w:adjustRightInd w:val="0"/>
        <w:spacing w:line="360" w:lineRule="auto"/>
        <w:rPr>
          <w:rFonts w:asciiTheme="minorEastAsia" w:hAnsiTheme="minorEastAsia" w:eastAsiaTheme="minorEastAsia" w:cstheme="minorEastAsia"/>
          <w:color w:val="auto"/>
          <w:lang w:val="zh-CN"/>
        </w:rPr>
      </w:pPr>
    </w:p>
    <w:p w14:paraId="1A3EFA04">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70741CA2">
      <w:pPr>
        <w:autoSpaceDE w:val="0"/>
        <w:autoSpaceDN w:val="0"/>
        <w:adjustRightInd w:val="0"/>
        <w:spacing w:line="360" w:lineRule="auto"/>
        <w:rPr>
          <w:rFonts w:asciiTheme="minorEastAsia" w:hAnsiTheme="minorEastAsia" w:eastAsiaTheme="minorEastAsia" w:cstheme="minorEastAsia"/>
          <w:color w:val="auto"/>
        </w:rPr>
      </w:pPr>
    </w:p>
    <w:p w14:paraId="2C0ED4C1">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14:paraId="18F57BBC">
      <w:pPr>
        <w:autoSpaceDE w:val="0"/>
        <w:autoSpaceDN w:val="0"/>
        <w:adjustRightInd w:val="0"/>
        <w:spacing w:line="360" w:lineRule="auto"/>
        <w:rPr>
          <w:rFonts w:asciiTheme="minorEastAsia" w:hAnsiTheme="minorEastAsia" w:eastAsiaTheme="minorEastAsia" w:cstheme="minorEastAsia"/>
          <w:color w:val="auto"/>
          <w:szCs w:val="21"/>
        </w:rPr>
      </w:pPr>
    </w:p>
    <w:p w14:paraId="64243939">
      <w:pPr>
        <w:autoSpaceDE w:val="0"/>
        <w:autoSpaceDN w:val="0"/>
        <w:adjustRightInd w:val="0"/>
        <w:spacing w:line="360" w:lineRule="auto"/>
        <w:rPr>
          <w:rFonts w:asciiTheme="minorEastAsia" w:hAnsiTheme="minorEastAsia" w:eastAsiaTheme="minorEastAsia" w:cstheme="minorEastAsia"/>
          <w:color w:val="auto"/>
          <w:szCs w:val="21"/>
        </w:rPr>
      </w:pPr>
    </w:p>
    <w:p w14:paraId="2ACBFB92">
      <w:pPr>
        <w:autoSpaceDE w:val="0"/>
        <w:autoSpaceDN w:val="0"/>
        <w:adjustRightInd w:val="0"/>
        <w:spacing w:line="360" w:lineRule="auto"/>
        <w:rPr>
          <w:rFonts w:asciiTheme="minorEastAsia" w:hAnsiTheme="minorEastAsia" w:eastAsiaTheme="minorEastAsia" w:cstheme="minorEastAsia"/>
          <w:color w:val="auto"/>
          <w:szCs w:val="21"/>
        </w:rPr>
      </w:pPr>
    </w:p>
    <w:p w14:paraId="47E0F2B8">
      <w:pPr>
        <w:spacing w:line="360" w:lineRule="auto"/>
        <w:ind w:left="424"/>
        <w:jc w:val="center"/>
        <w:rPr>
          <w:rFonts w:asciiTheme="minorEastAsia" w:hAnsiTheme="minorEastAsia" w:eastAsiaTheme="minorEastAsia" w:cstheme="minorEastAsia"/>
          <w:b/>
          <w:bCs/>
          <w:color w:val="auto"/>
          <w:sz w:val="32"/>
          <w:szCs w:val="32"/>
          <w:lang w:val="zh-CN"/>
        </w:rPr>
      </w:pPr>
      <w:bookmarkStart w:id="667" w:name="_Toc414108644"/>
      <w:r>
        <w:rPr>
          <w:rFonts w:hint="eastAsia" w:asciiTheme="minorEastAsia" w:hAnsiTheme="minorEastAsia" w:eastAsiaTheme="minorEastAsia" w:cstheme="minorEastAsia"/>
          <w:b/>
          <w:bCs/>
          <w:color w:val="auto"/>
          <w:sz w:val="32"/>
          <w:szCs w:val="32"/>
          <w:lang w:val="zh-CN"/>
        </w:rPr>
        <w:t>投标承诺书（三）</w:t>
      </w:r>
    </w:p>
    <w:p w14:paraId="7CDDC526">
      <w:pPr>
        <w:spacing w:line="360" w:lineRule="auto"/>
        <w:ind w:left="424"/>
        <w:jc w:val="center"/>
        <w:rPr>
          <w:rFonts w:asciiTheme="minorEastAsia" w:hAnsiTheme="minorEastAsia" w:eastAsiaTheme="minorEastAsia" w:cstheme="minorEastAsia"/>
          <w:b/>
          <w:color w:val="auto"/>
          <w:kern w:val="1"/>
          <w:szCs w:val="21"/>
        </w:rPr>
      </w:pPr>
    </w:p>
    <w:p w14:paraId="5B927ED8">
      <w:pPr>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致：</w:t>
      </w:r>
      <w:r>
        <w:rPr>
          <w:rFonts w:hint="eastAsia" w:asciiTheme="minorEastAsia" w:hAnsiTheme="minorEastAsia" w:eastAsiaTheme="minorEastAsia" w:cstheme="minorEastAsia"/>
          <w:color w:val="auto"/>
          <w:szCs w:val="21"/>
          <w:u w:val="single"/>
        </w:rPr>
        <w:t xml:space="preserve"> （招标人）     </w:t>
      </w:r>
    </w:p>
    <w:p w14:paraId="7DCD0001">
      <w:pPr>
        <w:spacing w:line="360" w:lineRule="auto"/>
        <w:rPr>
          <w:rFonts w:asciiTheme="minorEastAsia" w:hAnsiTheme="minorEastAsia" w:eastAsiaTheme="minorEastAsia" w:cstheme="minorEastAsia"/>
          <w:color w:val="auto"/>
          <w:szCs w:val="21"/>
          <w:u w:val="single"/>
        </w:rPr>
      </w:pPr>
    </w:p>
    <w:p w14:paraId="4BC014F7">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w:t>
      </w:r>
      <w:r>
        <w:rPr>
          <w:rFonts w:hint="eastAsia" w:asciiTheme="minorEastAsia" w:hAnsiTheme="minorEastAsia" w:eastAsiaTheme="minorEastAsia" w:cstheme="minorEastAsia"/>
          <w:color w:val="auto"/>
          <w:szCs w:val="21"/>
          <w:u w:val="single"/>
        </w:rPr>
        <w:t xml:space="preserve">    （投标人名称）       </w:t>
      </w:r>
      <w:r>
        <w:rPr>
          <w:rFonts w:hint="eastAsia" w:asciiTheme="minorEastAsia" w:hAnsiTheme="minorEastAsia" w:eastAsiaTheme="minorEastAsia" w:cstheme="minorEastAsia"/>
          <w:color w:val="auto"/>
          <w:szCs w:val="21"/>
        </w:rPr>
        <w:t>作为</w:t>
      </w:r>
      <w:r>
        <w:rPr>
          <w:rFonts w:hint="eastAsia" w:asciiTheme="minorEastAsia" w:hAnsiTheme="minorEastAsia" w:eastAsiaTheme="minorEastAsia" w:cstheme="minorEastAsia"/>
          <w:color w:val="auto"/>
          <w:szCs w:val="21"/>
          <w:u w:val="single"/>
        </w:rPr>
        <w:t xml:space="preserve">      （项目名称） </w:t>
      </w:r>
      <w:r>
        <w:rPr>
          <w:rFonts w:hint="eastAsia" w:asciiTheme="minorEastAsia" w:hAnsiTheme="minorEastAsia" w:eastAsiaTheme="minorEastAsia" w:cstheme="minorEastAsia"/>
          <w:i/>
          <w:color w:val="auto"/>
          <w:szCs w:val="21"/>
          <w:u w:val="single"/>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项目（以下简称“本项目”）的投标人在此郑重承诺。</w:t>
      </w:r>
    </w:p>
    <w:p w14:paraId="7506CDE6">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活动并承担一切法律后果。</w:t>
      </w:r>
    </w:p>
    <w:p w14:paraId="36B06A52">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特此承诺！</w:t>
      </w:r>
    </w:p>
    <w:p w14:paraId="195D4F59">
      <w:pPr>
        <w:spacing w:line="360" w:lineRule="auto"/>
        <w:rPr>
          <w:rFonts w:asciiTheme="minorEastAsia" w:hAnsiTheme="minorEastAsia" w:eastAsiaTheme="minorEastAsia" w:cstheme="minorEastAsia"/>
          <w:color w:val="auto"/>
          <w:szCs w:val="21"/>
        </w:rPr>
      </w:pPr>
    </w:p>
    <w:p w14:paraId="1A48181D">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投标人名称：（公章）</w:t>
      </w:r>
    </w:p>
    <w:p w14:paraId="37C379E7">
      <w:pPr>
        <w:pStyle w:val="20"/>
        <w:tabs>
          <w:tab w:val="left" w:pos="630"/>
        </w:tabs>
        <w:spacing w:line="360" w:lineRule="auto"/>
        <w:ind w:firstLine="210"/>
        <w:rPr>
          <w:rFonts w:asciiTheme="minorEastAsia" w:hAnsiTheme="minorEastAsia" w:eastAsiaTheme="minorEastAsia" w:cstheme="minorEastAsia"/>
          <w:color w:val="auto"/>
        </w:rPr>
      </w:pPr>
    </w:p>
    <w:p w14:paraId="178AB3A4">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法定代表人：（盖章）</w:t>
      </w:r>
    </w:p>
    <w:p w14:paraId="7372F132">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1F6ED922">
      <w:pPr>
        <w:spacing w:line="360" w:lineRule="auto"/>
        <w:jc w:val="righ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kern w:val="1"/>
          <w:szCs w:val="21"/>
        </w:rPr>
        <w:t>日期：</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年</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月</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日</w:t>
      </w:r>
    </w:p>
    <w:p w14:paraId="3FAC2305">
      <w:pPr>
        <w:pStyle w:val="4"/>
        <w:spacing w:line="360" w:lineRule="auto"/>
        <w:rPr>
          <w:rFonts w:asciiTheme="minorEastAsia" w:hAnsiTheme="minorEastAsia" w:eastAsiaTheme="minorEastAsia" w:cstheme="minorEastAsia"/>
          <w:color w:val="auto"/>
          <w:lang w:val="zh-CN"/>
        </w:rPr>
      </w:pPr>
    </w:p>
    <w:p w14:paraId="0E2E0974">
      <w:pPr>
        <w:spacing w:line="360" w:lineRule="auto"/>
        <w:rPr>
          <w:rFonts w:asciiTheme="minorEastAsia" w:hAnsiTheme="minorEastAsia" w:eastAsiaTheme="minorEastAsia" w:cstheme="minorEastAsia"/>
          <w:color w:val="auto"/>
          <w:lang w:val="zh-CN"/>
        </w:rPr>
      </w:pPr>
    </w:p>
    <w:p w14:paraId="4F00926E">
      <w:pPr>
        <w:pStyle w:val="28"/>
        <w:ind w:firstLine="420"/>
        <w:rPr>
          <w:rFonts w:asciiTheme="minorEastAsia" w:hAnsiTheme="minorEastAsia" w:eastAsiaTheme="minorEastAsia" w:cstheme="minorEastAsia"/>
          <w:color w:val="auto"/>
        </w:rPr>
      </w:pPr>
    </w:p>
    <w:p w14:paraId="5F5E8F20">
      <w:pPr>
        <w:pStyle w:val="28"/>
        <w:ind w:firstLine="420"/>
        <w:rPr>
          <w:rFonts w:asciiTheme="minorEastAsia" w:hAnsiTheme="minorEastAsia" w:eastAsiaTheme="minorEastAsia" w:cstheme="minorEastAsia"/>
          <w:color w:val="auto"/>
        </w:rPr>
      </w:pPr>
    </w:p>
    <w:p w14:paraId="336040DB">
      <w:pPr>
        <w:pStyle w:val="28"/>
        <w:ind w:firstLine="420"/>
        <w:rPr>
          <w:rFonts w:asciiTheme="minorEastAsia" w:hAnsiTheme="minorEastAsia" w:eastAsiaTheme="minorEastAsia" w:cstheme="minorEastAsia"/>
          <w:color w:val="auto"/>
        </w:rPr>
      </w:pPr>
    </w:p>
    <w:p w14:paraId="01E1912B">
      <w:pPr>
        <w:pStyle w:val="4"/>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法定代表人身份证明书</w:t>
      </w:r>
      <w:bookmarkEnd w:id="667"/>
    </w:p>
    <w:p w14:paraId="5B909D0F">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企业名称：</w:t>
      </w:r>
      <w:r>
        <w:rPr>
          <w:rFonts w:hint="eastAsia" w:asciiTheme="minorEastAsia" w:hAnsiTheme="minorEastAsia" w:eastAsiaTheme="minorEastAsia" w:cstheme="minorEastAsia"/>
          <w:color w:val="auto"/>
          <w:u w:val="single"/>
        </w:rPr>
        <w:t xml:space="preserve">                                                   </w:t>
      </w:r>
    </w:p>
    <w:p w14:paraId="6DA1DF6A">
      <w:pPr>
        <w:autoSpaceDE w:val="0"/>
        <w:autoSpaceDN w:val="0"/>
        <w:adjustRightInd w:val="0"/>
        <w:spacing w:line="400" w:lineRule="exact"/>
        <w:rPr>
          <w:rFonts w:asciiTheme="minorEastAsia" w:hAnsiTheme="minorEastAsia" w:eastAsiaTheme="minorEastAsia" w:cstheme="minorEastAsia"/>
          <w:color w:val="auto"/>
          <w:szCs w:val="21"/>
        </w:rPr>
      </w:pPr>
    </w:p>
    <w:p w14:paraId="77AD8795">
      <w:pPr>
        <w:autoSpaceDE w:val="0"/>
        <w:autoSpaceDN w:val="0"/>
        <w:adjustRightInd w:val="0"/>
        <w:spacing w:line="400" w:lineRule="exact"/>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lang w:val="zh-CN"/>
        </w:rPr>
        <w:t>企业类型：</w:t>
      </w:r>
      <w:r>
        <w:rPr>
          <w:rFonts w:hint="eastAsia" w:asciiTheme="minorEastAsia" w:hAnsiTheme="minorEastAsia" w:eastAsiaTheme="minorEastAsia" w:cstheme="minorEastAsia"/>
          <w:color w:val="auto"/>
          <w:u w:val="single"/>
        </w:rPr>
        <w:t xml:space="preserve">                                                   </w:t>
      </w:r>
    </w:p>
    <w:p w14:paraId="5AE2C44C">
      <w:pPr>
        <w:autoSpaceDE w:val="0"/>
        <w:autoSpaceDN w:val="0"/>
        <w:adjustRightInd w:val="0"/>
        <w:spacing w:line="400" w:lineRule="exact"/>
        <w:rPr>
          <w:rFonts w:asciiTheme="minorEastAsia" w:hAnsiTheme="minorEastAsia" w:eastAsiaTheme="minorEastAsia" w:cstheme="minorEastAsia"/>
          <w:color w:val="auto"/>
          <w:szCs w:val="21"/>
        </w:rPr>
      </w:pPr>
    </w:p>
    <w:p w14:paraId="792BB98C">
      <w:pPr>
        <w:autoSpaceDE w:val="0"/>
        <w:autoSpaceDN w:val="0"/>
        <w:adjustRightIn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地</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址：</w:t>
      </w:r>
      <w:r>
        <w:rPr>
          <w:rFonts w:hint="eastAsia" w:asciiTheme="minorEastAsia" w:hAnsiTheme="minorEastAsia" w:eastAsiaTheme="minorEastAsia" w:cstheme="minorEastAsia"/>
          <w:color w:val="auto"/>
          <w:szCs w:val="21"/>
          <w:u w:val="single"/>
        </w:rPr>
        <w:t xml:space="preserve">                                                   </w:t>
      </w:r>
    </w:p>
    <w:p w14:paraId="637C0883">
      <w:pPr>
        <w:autoSpaceDE w:val="0"/>
        <w:autoSpaceDN w:val="0"/>
        <w:adjustRightInd w:val="0"/>
        <w:spacing w:line="400" w:lineRule="exact"/>
        <w:rPr>
          <w:rFonts w:asciiTheme="minorEastAsia" w:hAnsiTheme="minorEastAsia" w:eastAsiaTheme="minorEastAsia" w:cstheme="minorEastAsia"/>
          <w:color w:val="auto"/>
          <w:szCs w:val="21"/>
        </w:rPr>
      </w:pPr>
    </w:p>
    <w:p w14:paraId="1B718E7F">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营业期限：</w:t>
      </w:r>
      <w:r>
        <w:rPr>
          <w:rFonts w:hint="eastAsia" w:asciiTheme="minorEastAsia" w:hAnsiTheme="minorEastAsia" w:eastAsiaTheme="minorEastAsia" w:cstheme="minorEastAsia"/>
          <w:color w:val="auto"/>
          <w:u w:val="single"/>
        </w:rPr>
        <w:t xml:space="preserve">                                                   </w:t>
      </w:r>
    </w:p>
    <w:p w14:paraId="3DAE5A16">
      <w:pPr>
        <w:autoSpaceDE w:val="0"/>
        <w:autoSpaceDN w:val="0"/>
        <w:adjustRightInd w:val="0"/>
        <w:spacing w:line="400" w:lineRule="exact"/>
        <w:rPr>
          <w:rFonts w:asciiTheme="minorEastAsia" w:hAnsiTheme="minorEastAsia" w:eastAsiaTheme="minorEastAsia" w:cstheme="minorEastAsia"/>
          <w:color w:val="auto"/>
          <w:szCs w:val="21"/>
        </w:rPr>
      </w:pPr>
    </w:p>
    <w:p w14:paraId="5954A2EE">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成立时间：</w:t>
      </w:r>
      <w:r>
        <w:rPr>
          <w:rFonts w:hint="eastAsia" w:asciiTheme="minorEastAsia" w:hAnsiTheme="minorEastAsia" w:eastAsiaTheme="minorEastAsia" w:cstheme="minorEastAsia"/>
          <w:color w:val="auto"/>
          <w:u w:val="single"/>
        </w:rPr>
        <w:t xml:space="preserve">                                                   </w:t>
      </w:r>
    </w:p>
    <w:p w14:paraId="49FBEE6A">
      <w:pPr>
        <w:autoSpaceDE w:val="0"/>
        <w:autoSpaceDN w:val="0"/>
        <w:adjustRightInd w:val="0"/>
        <w:spacing w:line="360" w:lineRule="auto"/>
        <w:rPr>
          <w:rFonts w:asciiTheme="minorEastAsia" w:hAnsiTheme="minorEastAsia" w:eastAsiaTheme="minorEastAsia" w:cstheme="minorEastAsia"/>
          <w:color w:val="auto"/>
          <w:szCs w:val="21"/>
        </w:rPr>
      </w:pPr>
    </w:p>
    <w:p w14:paraId="2099D96F">
      <w:pPr>
        <w:autoSpaceDE w:val="0"/>
        <w:autoSpaceDN w:val="0"/>
        <w:adjustRightInd w:val="0"/>
        <w:spacing w:line="360" w:lineRule="auto"/>
        <w:rPr>
          <w:rFonts w:asciiTheme="minorEastAsia" w:hAnsiTheme="minorEastAsia" w:eastAsiaTheme="minorEastAsia" w:cstheme="minorEastAsia"/>
          <w:color w:val="auto"/>
          <w:szCs w:val="21"/>
        </w:rPr>
      </w:pPr>
    </w:p>
    <w:p w14:paraId="6DED8879">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姓名：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7C847757">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的法定代表人。</w:t>
      </w:r>
    </w:p>
    <w:p w14:paraId="2CB9E71E">
      <w:pPr>
        <w:autoSpaceDE w:val="0"/>
        <w:autoSpaceDN w:val="0"/>
        <w:adjustRightInd w:val="0"/>
        <w:spacing w:line="360" w:lineRule="auto"/>
        <w:rPr>
          <w:rFonts w:asciiTheme="minorEastAsia" w:hAnsiTheme="minorEastAsia" w:eastAsiaTheme="minorEastAsia" w:cstheme="minorEastAsia"/>
          <w:color w:val="auto"/>
          <w:szCs w:val="21"/>
        </w:rPr>
      </w:pPr>
    </w:p>
    <w:p w14:paraId="4A22A9F7">
      <w:pPr>
        <w:autoSpaceDE w:val="0"/>
        <w:autoSpaceDN w:val="0"/>
        <w:adjustRightInd w:val="0"/>
        <w:spacing w:line="360" w:lineRule="auto"/>
        <w:rPr>
          <w:rFonts w:asciiTheme="minorEastAsia" w:hAnsiTheme="minorEastAsia" w:eastAsiaTheme="minorEastAsia" w:cstheme="minorEastAsia"/>
          <w:color w:val="auto"/>
          <w:szCs w:val="21"/>
        </w:rPr>
      </w:pPr>
    </w:p>
    <w:p w14:paraId="32437659">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特此证明。</w:t>
      </w:r>
    </w:p>
    <w:p w14:paraId="7090BD32">
      <w:pPr>
        <w:autoSpaceDE w:val="0"/>
        <w:autoSpaceDN w:val="0"/>
        <w:adjustRightInd w:val="0"/>
        <w:spacing w:line="360" w:lineRule="auto"/>
        <w:rPr>
          <w:rFonts w:asciiTheme="minorEastAsia" w:hAnsiTheme="minorEastAsia" w:eastAsiaTheme="minorEastAsia" w:cstheme="minorEastAsia"/>
          <w:color w:val="auto"/>
          <w:szCs w:val="21"/>
        </w:rPr>
      </w:pPr>
    </w:p>
    <w:p w14:paraId="0C173ACC">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（盖章）</w:t>
      </w:r>
    </w:p>
    <w:p w14:paraId="031836E8">
      <w:pPr>
        <w:autoSpaceDE w:val="0"/>
        <w:autoSpaceDN w:val="0"/>
        <w:adjustRightInd w:val="0"/>
        <w:spacing w:line="360" w:lineRule="auto"/>
        <w:rPr>
          <w:rFonts w:asciiTheme="minorEastAsia" w:hAnsiTheme="minorEastAsia" w:eastAsiaTheme="minorEastAsia" w:cstheme="minorEastAsia"/>
          <w:color w:val="auto"/>
          <w:lang w:val="zh-CN"/>
        </w:rPr>
      </w:pPr>
    </w:p>
    <w:p w14:paraId="2C35E80F">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14:paraId="0E7361AE">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（附法定代表人身份证复印件）</w:t>
      </w:r>
      <w:r>
        <w:rPr>
          <w:rFonts w:hint="eastAsia" w:asciiTheme="minorEastAsia" w:hAnsiTheme="minorEastAsia" w:eastAsiaTheme="minorEastAsia" w:cstheme="minorEastAsia"/>
          <w:color w:val="auto"/>
          <w:lang w:val="zh-CN"/>
        </w:rPr>
        <w:br w:type="page"/>
      </w:r>
    </w:p>
    <w:p w14:paraId="6FA6F642">
      <w:pPr>
        <w:pStyle w:val="4"/>
        <w:spacing w:line="360" w:lineRule="auto"/>
        <w:jc w:val="center"/>
        <w:rPr>
          <w:rFonts w:asciiTheme="minorEastAsia" w:hAnsiTheme="minorEastAsia" w:eastAsiaTheme="minorEastAsia" w:cstheme="minorEastAsia"/>
          <w:color w:val="auto"/>
          <w:szCs w:val="21"/>
        </w:rPr>
      </w:pPr>
      <w:bookmarkStart w:id="668" w:name="_Toc414108645"/>
      <w:r>
        <w:rPr>
          <w:rFonts w:hint="eastAsia" w:asciiTheme="minorEastAsia" w:hAnsiTheme="minorEastAsia" w:eastAsiaTheme="minorEastAsia" w:cstheme="minorEastAsia"/>
          <w:color w:val="auto"/>
          <w:lang w:val="zh-CN"/>
        </w:rPr>
        <w:t>法定代表人授权委托书</w:t>
      </w:r>
      <w:bookmarkEnd w:id="668"/>
    </w:p>
    <w:p w14:paraId="2408D906">
      <w:pPr>
        <w:autoSpaceDE w:val="0"/>
        <w:autoSpaceDN w:val="0"/>
        <w:adjustRightInd w:val="0"/>
        <w:spacing w:line="360" w:lineRule="auto"/>
        <w:rPr>
          <w:rFonts w:asciiTheme="minorEastAsia" w:hAnsiTheme="minorEastAsia" w:eastAsiaTheme="minorEastAsia" w:cstheme="minorEastAsia"/>
          <w:color w:val="auto"/>
          <w:szCs w:val="21"/>
        </w:rPr>
      </w:pPr>
    </w:p>
    <w:p w14:paraId="00C80487">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本授权委托书声明：我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（投标人名称）的法定代表人，现授权委托</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（姓名）为我公司代理人，以本公司的名义参加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（采购人）的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工程的投标活动。代理人签署的响应文件和参加整个工程</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投标活动中所签署的一切文件和处理与之有关的一切事物，我均予以承认。</w:t>
      </w:r>
    </w:p>
    <w:p w14:paraId="383CCE6A">
      <w:pPr>
        <w:autoSpaceDE w:val="0"/>
        <w:autoSpaceDN w:val="0"/>
        <w:adjustRightInd w:val="0"/>
        <w:spacing w:line="360" w:lineRule="auto"/>
        <w:rPr>
          <w:rFonts w:asciiTheme="minorEastAsia" w:hAnsiTheme="minorEastAsia" w:eastAsiaTheme="minorEastAsia" w:cstheme="minorEastAsia"/>
          <w:color w:val="auto"/>
          <w:szCs w:val="21"/>
        </w:rPr>
      </w:pPr>
    </w:p>
    <w:p w14:paraId="62767A4D">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p>
    <w:p w14:paraId="3F407F00">
      <w:pPr>
        <w:autoSpaceDE w:val="0"/>
        <w:autoSpaceDN w:val="0"/>
        <w:adjustRightInd w:val="0"/>
        <w:spacing w:line="360" w:lineRule="auto"/>
        <w:rPr>
          <w:rFonts w:asciiTheme="minorEastAsia" w:hAnsiTheme="minorEastAsia" w:eastAsiaTheme="minorEastAsia" w:cstheme="minorEastAsia"/>
          <w:color w:val="auto"/>
          <w:szCs w:val="21"/>
        </w:rPr>
      </w:pPr>
    </w:p>
    <w:p w14:paraId="5CA8E6D1">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单</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部门：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u w:val="single"/>
        </w:rPr>
        <w:t xml:space="preserve">             </w:t>
      </w:r>
    </w:p>
    <w:p w14:paraId="030E2D9A">
      <w:pPr>
        <w:autoSpaceDE w:val="0"/>
        <w:autoSpaceDN w:val="0"/>
        <w:adjustRightInd w:val="0"/>
        <w:spacing w:line="360" w:lineRule="auto"/>
        <w:rPr>
          <w:rFonts w:asciiTheme="minorEastAsia" w:hAnsiTheme="minorEastAsia" w:eastAsiaTheme="minorEastAsia" w:cstheme="minorEastAsia"/>
          <w:color w:val="auto"/>
          <w:szCs w:val="21"/>
        </w:rPr>
      </w:pPr>
    </w:p>
    <w:p w14:paraId="4EF51F41">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代理人无转委权。特此委托。</w:t>
      </w:r>
    </w:p>
    <w:p w14:paraId="2C774B01">
      <w:pPr>
        <w:autoSpaceDE w:val="0"/>
        <w:autoSpaceDN w:val="0"/>
        <w:adjustRightInd w:val="0"/>
        <w:spacing w:line="360" w:lineRule="auto"/>
        <w:rPr>
          <w:rFonts w:asciiTheme="minorEastAsia" w:hAnsiTheme="minorEastAsia" w:eastAsiaTheme="minorEastAsia" w:cstheme="minorEastAsia"/>
          <w:color w:val="auto"/>
          <w:szCs w:val="21"/>
        </w:rPr>
      </w:pPr>
    </w:p>
    <w:p w14:paraId="6B6DA8BF">
      <w:pPr>
        <w:autoSpaceDE w:val="0"/>
        <w:autoSpaceDN w:val="0"/>
        <w:adjustRightInd w:val="0"/>
        <w:spacing w:line="360" w:lineRule="auto"/>
        <w:rPr>
          <w:rFonts w:asciiTheme="minorEastAsia" w:hAnsiTheme="minorEastAsia" w:eastAsiaTheme="minorEastAsia" w:cstheme="minorEastAsia"/>
          <w:color w:val="auto"/>
          <w:lang w:val="zh-CN"/>
        </w:rPr>
      </w:pPr>
    </w:p>
    <w:p w14:paraId="3E407DCF">
      <w:pPr>
        <w:autoSpaceDE w:val="0"/>
        <w:autoSpaceDN w:val="0"/>
        <w:adjustRightInd w:val="0"/>
        <w:spacing w:line="360" w:lineRule="auto"/>
        <w:rPr>
          <w:rFonts w:asciiTheme="minorEastAsia" w:hAnsiTheme="minorEastAsia" w:eastAsiaTheme="minorEastAsia" w:cstheme="minorEastAsia"/>
          <w:color w:val="auto"/>
          <w:lang w:val="zh-CN"/>
        </w:rPr>
      </w:pPr>
    </w:p>
    <w:p w14:paraId="1103A86D">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28943C18">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法定代表人：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14:paraId="0E93342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14:paraId="209F8812">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（附被授权人身份证复印件）</w:t>
      </w:r>
    </w:p>
    <w:p w14:paraId="05941EE4">
      <w:pPr>
        <w:autoSpaceDE w:val="0"/>
        <w:autoSpaceDN w:val="0"/>
        <w:adjustRightInd w:val="0"/>
        <w:spacing w:line="360" w:lineRule="auto"/>
        <w:rPr>
          <w:rFonts w:asciiTheme="minorEastAsia" w:hAnsiTheme="minorEastAsia" w:eastAsiaTheme="minorEastAsia" w:cstheme="minorEastAsia"/>
          <w:color w:val="auto"/>
          <w:szCs w:val="21"/>
        </w:rPr>
      </w:pPr>
    </w:p>
    <w:p w14:paraId="26AB4391">
      <w:pPr>
        <w:autoSpaceDE w:val="0"/>
        <w:autoSpaceDN w:val="0"/>
        <w:adjustRightInd w:val="0"/>
        <w:spacing w:line="360" w:lineRule="auto"/>
        <w:rPr>
          <w:rFonts w:asciiTheme="minorEastAsia" w:hAnsiTheme="minorEastAsia" w:eastAsiaTheme="minorEastAsia" w:cstheme="minorEastAsia"/>
          <w:color w:val="auto"/>
          <w:szCs w:val="21"/>
        </w:rPr>
      </w:pPr>
    </w:p>
    <w:p w14:paraId="10D0E241">
      <w:pPr>
        <w:autoSpaceDE w:val="0"/>
        <w:autoSpaceDN w:val="0"/>
        <w:adjustRightInd w:val="0"/>
        <w:spacing w:line="360" w:lineRule="auto"/>
        <w:rPr>
          <w:rFonts w:asciiTheme="minorEastAsia" w:hAnsiTheme="minorEastAsia" w:eastAsiaTheme="minorEastAsia" w:cstheme="minorEastAsia"/>
          <w:color w:val="auto"/>
          <w:szCs w:val="21"/>
        </w:rPr>
      </w:pPr>
    </w:p>
    <w:p w14:paraId="2DA2FF7C">
      <w:pPr>
        <w:pStyle w:val="4"/>
        <w:spacing w:line="360" w:lineRule="auto"/>
        <w:jc w:val="center"/>
        <w:rPr>
          <w:rFonts w:asciiTheme="minorEastAsia" w:hAnsiTheme="minorEastAsia" w:eastAsiaTheme="minorEastAsia" w:cstheme="minorEastAsia"/>
          <w:color w:val="auto"/>
        </w:rPr>
      </w:pPr>
      <w:bookmarkStart w:id="669" w:name="_Toc414108646"/>
      <w:r>
        <w:rPr>
          <w:rFonts w:hint="eastAsia" w:asciiTheme="minorEastAsia" w:hAnsiTheme="minorEastAsia" w:eastAsiaTheme="minorEastAsia" w:cstheme="minorEastAsia"/>
          <w:color w:val="auto"/>
          <w:lang w:val="zh-CN"/>
        </w:rPr>
        <w:t>投标人概况</w:t>
      </w:r>
      <w:bookmarkEnd w:id="66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2CE3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B9DACE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6897" w:type="dxa"/>
            <w:gridSpan w:val="9"/>
            <w:vAlign w:val="center"/>
          </w:tcPr>
          <w:p w14:paraId="71688ADC">
            <w:pPr>
              <w:spacing w:line="360" w:lineRule="auto"/>
              <w:jc w:val="center"/>
              <w:rPr>
                <w:rFonts w:asciiTheme="minorEastAsia" w:hAnsiTheme="minorEastAsia" w:eastAsiaTheme="minorEastAsia" w:cstheme="minorEastAsia"/>
                <w:color w:val="auto"/>
                <w:szCs w:val="21"/>
              </w:rPr>
            </w:pPr>
          </w:p>
        </w:tc>
      </w:tr>
      <w:tr w14:paraId="2FB7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B4D5B9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3385" w:type="dxa"/>
            <w:gridSpan w:val="5"/>
            <w:vAlign w:val="center"/>
          </w:tcPr>
          <w:p w14:paraId="5A155B1E">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46B69E4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2268" w:type="dxa"/>
            <w:gridSpan w:val="3"/>
            <w:vAlign w:val="center"/>
          </w:tcPr>
          <w:p w14:paraId="4DCD9FBD">
            <w:pPr>
              <w:spacing w:line="360" w:lineRule="auto"/>
              <w:jc w:val="center"/>
              <w:rPr>
                <w:rFonts w:asciiTheme="minorEastAsia" w:hAnsiTheme="minorEastAsia" w:eastAsiaTheme="minorEastAsia" w:cstheme="minorEastAsia"/>
                <w:color w:val="auto"/>
                <w:szCs w:val="21"/>
              </w:rPr>
            </w:pPr>
          </w:p>
        </w:tc>
      </w:tr>
      <w:tr w14:paraId="3C08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44A9141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p>
        </w:tc>
        <w:tc>
          <w:tcPr>
            <w:tcW w:w="897" w:type="dxa"/>
            <w:vAlign w:val="center"/>
          </w:tcPr>
          <w:p w14:paraId="2681D47E">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tc>
        <w:tc>
          <w:tcPr>
            <w:tcW w:w="2488" w:type="dxa"/>
            <w:gridSpan w:val="4"/>
            <w:vAlign w:val="center"/>
          </w:tcPr>
          <w:p w14:paraId="7030B262">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2B2424F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tc>
        <w:tc>
          <w:tcPr>
            <w:tcW w:w="2268" w:type="dxa"/>
            <w:gridSpan w:val="3"/>
            <w:vAlign w:val="center"/>
          </w:tcPr>
          <w:p w14:paraId="088B529F">
            <w:pPr>
              <w:spacing w:line="360" w:lineRule="auto"/>
              <w:jc w:val="center"/>
              <w:rPr>
                <w:rFonts w:asciiTheme="minorEastAsia" w:hAnsiTheme="minorEastAsia" w:eastAsiaTheme="minorEastAsia" w:cstheme="minorEastAsia"/>
                <w:color w:val="auto"/>
                <w:szCs w:val="21"/>
              </w:rPr>
            </w:pPr>
          </w:p>
        </w:tc>
      </w:tr>
      <w:tr w14:paraId="633E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7B0CE282">
            <w:pPr>
              <w:spacing w:line="360" w:lineRule="auto"/>
              <w:jc w:val="center"/>
              <w:rPr>
                <w:rFonts w:asciiTheme="minorEastAsia" w:hAnsiTheme="minorEastAsia" w:eastAsiaTheme="minorEastAsia" w:cstheme="minorEastAsia"/>
                <w:color w:val="auto"/>
                <w:szCs w:val="21"/>
              </w:rPr>
            </w:pPr>
          </w:p>
        </w:tc>
        <w:tc>
          <w:tcPr>
            <w:tcW w:w="897" w:type="dxa"/>
            <w:vAlign w:val="center"/>
          </w:tcPr>
          <w:p w14:paraId="3841C2C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tc>
        <w:tc>
          <w:tcPr>
            <w:tcW w:w="2488" w:type="dxa"/>
            <w:gridSpan w:val="4"/>
            <w:vAlign w:val="center"/>
          </w:tcPr>
          <w:p w14:paraId="32DBF36F">
            <w:pPr>
              <w:spacing w:line="360" w:lineRule="auto"/>
              <w:jc w:val="center"/>
              <w:rPr>
                <w:rFonts w:asciiTheme="minorEastAsia" w:hAnsiTheme="minorEastAsia" w:eastAsiaTheme="minorEastAsia" w:cstheme="minorEastAsia"/>
                <w:color w:val="auto"/>
                <w:szCs w:val="21"/>
              </w:rPr>
            </w:pPr>
          </w:p>
        </w:tc>
        <w:tc>
          <w:tcPr>
            <w:tcW w:w="1244" w:type="dxa"/>
            <w:vAlign w:val="center"/>
          </w:tcPr>
          <w:p w14:paraId="485F38F2">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  址</w:t>
            </w:r>
          </w:p>
        </w:tc>
        <w:tc>
          <w:tcPr>
            <w:tcW w:w="2268" w:type="dxa"/>
            <w:gridSpan w:val="3"/>
            <w:vAlign w:val="center"/>
          </w:tcPr>
          <w:p w14:paraId="51A4B163">
            <w:pPr>
              <w:spacing w:line="360" w:lineRule="auto"/>
              <w:jc w:val="center"/>
              <w:rPr>
                <w:rFonts w:asciiTheme="minorEastAsia" w:hAnsiTheme="minorEastAsia" w:eastAsiaTheme="minorEastAsia" w:cstheme="minorEastAsia"/>
                <w:color w:val="auto"/>
                <w:szCs w:val="21"/>
              </w:rPr>
            </w:pPr>
          </w:p>
        </w:tc>
      </w:tr>
      <w:tr w14:paraId="0D76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96D75E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组织结构</w:t>
            </w:r>
          </w:p>
        </w:tc>
        <w:tc>
          <w:tcPr>
            <w:tcW w:w="6897" w:type="dxa"/>
            <w:gridSpan w:val="9"/>
            <w:vAlign w:val="center"/>
          </w:tcPr>
          <w:p w14:paraId="569847F3">
            <w:pPr>
              <w:spacing w:line="360" w:lineRule="auto"/>
              <w:jc w:val="center"/>
              <w:rPr>
                <w:rFonts w:asciiTheme="minorEastAsia" w:hAnsiTheme="minorEastAsia" w:eastAsiaTheme="minorEastAsia" w:cstheme="minorEastAsia"/>
                <w:color w:val="auto"/>
                <w:szCs w:val="21"/>
              </w:rPr>
            </w:pPr>
          </w:p>
        </w:tc>
      </w:tr>
      <w:tr w14:paraId="5895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7C89468">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897" w:type="dxa"/>
            <w:vAlign w:val="center"/>
          </w:tcPr>
          <w:p w14:paraId="11C0028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14:paraId="687F3D60">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14:paraId="0F8A51C9">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14:paraId="443F7812">
            <w:pPr>
              <w:spacing w:line="360" w:lineRule="auto"/>
              <w:jc w:val="center"/>
              <w:rPr>
                <w:rFonts w:asciiTheme="minorEastAsia" w:hAnsiTheme="minorEastAsia" w:eastAsiaTheme="minorEastAsia" w:cstheme="minorEastAsia"/>
                <w:color w:val="auto"/>
                <w:szCs w:val="21"/>
              </w:rPr>
            </w:pPr>
          </w:p>
        </w:tc>
        <w:tc>
          <w:tcPr>
            <w:tcW w:w="707" w:type="dxa"/>
            <w:vAlign w:val="center"/>
          </w:tcPr>
          <w:p w14:paraId="094470A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14:paraId="24573ECF">
            <w:pPr>
              <w:spacing w:line="360" w:lineRule="auto"/>
              <w:jc w:val="center"/>
              <w:rPr>
                <w:rFonts w:asciiTheme="minorEastAsia" w:hAnsiTheme="minorEastAsia" w:eastAsiaTheme="minorEastAsia" w:cstheme="minorEastAsia"/>
                <w:color w:val="auto"/>
                <w:szCs w:val="21"/>
              </w:rPr>
            </w:pPr>
          </w:p>
        </w:tc>
      </w:tr>
      <w:tr w14:paraId="7840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17CEF0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技术负责人</w:t>
            </w:r>
          </w:p>
        </w:tc>
        <w:tc>
          <w:tcPr>
            <w:tcW w:w="897" w:type="dxa"/>
            <w:vAlign w:val="center"/>
          </w:tcPr>
          <w:p w14:paraId="20199CA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14:paraId="5F1284DE">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14:paraId="675C484C">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14:paraId="72CA2706">
            <w:pPr>
              <w:spacing w:line="360" w:lineRule="auto"/>
              <w:jc w:val="center"/>
              <w:rPr>
                <w:rFonts w:asciiTheme="minorEastAsia" w:hAnsiTheme="minorEastAsia" w:eastAsiaTheme="minorEastAsia" w:cstheme="minorEastAsia"/>
                <w:color w:val="auto"/>
                <w:szCs w:val="21"/>
              </w:rPr>
            </w:pPr>
          </w:p>
        </w:tc>
        <w:tc>
          <w:tcPr>
            <w:tcW w:w="707" w:type="dxa"/>
            <w:vAlign w:val="center"/>
          </w:tcPr>
          <w:p w14:paraId="2D137AC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14:paraId="524A727C">
            <w:pPr>
              <w:spacing w:line="360" w:lineRule="auto"/>
              <w:jc w:val="center"/>
              <w:rPr>
                <w:rFonts w:asciiTheme="minorEastAsia" w:hAnsiTheme="minorEastAsia" w:eastAsiaTheme="minorEastAsia" w:cstheme="minorEastAsia"/>
                <w:color w:val="auto"/>
                <w:szCs w:val="21"/>
              </w:rPr>
            </w:pPr>
          </w:p>
        </w:tc>
      </w:tr>
      <w:tr w14:paraId="2572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6DA95C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成立时间</w:t>
            </w:r>
          </w:p>
        </w:tc>
        <w:tc>
          <w:tcPr>
            <w:tcW w:w="1916" w:type="dxa"/>
            <w:gridSpan w:val="2"/>
            <w:vAlign w:val="center"/>
          </w:tcPr>
          <w:p w14:paraId="51781617">
            <w:pPr>
              <w:spacing w:line="360" w:lineRule="auto"/>
              <w:jc w:val="center"/>
              <w:rPr>
                <w:rFonts w:asciiTheme="minorEastAsia" w:hAnsiTheme="minorEastAsia" w:eastAsiaTheme="minorEastAsia" w:cstheme="minorEastAsia"/>
                <w:color w:val="auto"/>
                <w:szCs w:val="21"/>
              </w:rPr>
            </w:pPr>
          </w:p>
        </w:tc>
        <w:tc>
          <w:tcPr>
            <w:tcW w:w="4981" w:type="dxa"/>
            <w:gridSpan w:val="7"/>
            <w:vAlign w:val="center"/>
          </w:tcPr>
          <w:p w14:paraId="5F7BEA1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r>
      <w:tr w14:paraId="5654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1E029C2">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企业资质等级</w:t>
            </w:r>
          </w:p>
        </w:tc>
        <w:tc>
          <w:tcPr>
            <w:tcW w:w="1916" w:type="dxa"/>
            <w:gridSpan w:val="2"/>
            <w:vAlign w:val="center"/>
          </w:tcPr>
          <w:p w14:paraId="321EF887">
            <w:pPr>
              <w:spacing w:line="360" w:lineRule="auto"/>
              <w:jc w:val="center"/>
              <w:rPr>
                <w:rFonts w:asciiTheme="minorEastAsia" w:hAnsiTheme="minorEastAsia" w:eastAsiaTheme="minorEastAsia" w:cstheme="minorEastAsia"/>
                <w:color w:val="auto"/>
                <w:szCs w:val="21"/>
              </w:rPr>
            </w:pPr>
          </w:p>
        </w:tc>
        <w:tc>
          <w:tcPr>
            <w:tcW w:w="992" w:type="dxa"/>
            <w:vMerge w:val="restart"/>
            <w:vAlign w:val="center"/>
          </w:tcPr>
          <w:p w14:paraId="524B95D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w:t>
            </w:r>
          </w:p>
        </w:tc>
        <w:tc>
          <w:tcPr>
            <w:tcW w:w="1982" w:type="dxa"/>
            <w:gridSpan w:val="4"/>
            <w:vAlign w:val="center"/>
          </w:tcPr>
          <w:p w14:paraId="38E2157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2007" w:type="dxa"/>
            <w:gridSpan w:val="2"/>
            <w:vAlign w:val="center"/>
          </w:tcPr>
          <w:p w14:paraId="022D04C6">
            <w:pPr>
              <w:spacing w:line="360" w:lineRule="auto"/>
              <w:jc w:val="center"/>
              <w:rPr>
                <w:rFonts w:asciiTheme="minorEastAsia" w:hAnsiTheme="minorEastAsia" w:eastAsiaTheme="minorEastAsia" w:cstheme="minorEastAsia"/>
                <w:color w:val="auto"/>
                <w:szCs w:val="21"/>
              </w:rPr>
            </w:pPr>
          </w:p>
        </w:tc>
      </w:tr>
      <w:tr w14:paraId="223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FF3BE3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营业执照号</w:t>
            </w:r>
          </w:p>
        </w:tc>
        <w:tc>
          <w:tcPr>
            <w:tcW w:w="1916" w:type="dxa"/>
            <w:gridSpan w:val="2"/>
            <w:vAlign w:val="center"/>
          </w:tcPr>
          <w:p w14:paraId="3C78BB3D">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5C23C41E">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6BD89E02">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高级职称人员</w:t>
            </w:r>
          </w:p>
        </w:tc>
        <w:tc>
          <w:tcPr>
            <w:tcW w:w="2007" w:type="dxa"/>
            <w:gridSpan w:val="2"/>
            <w:vAlign w:val="center"/>
          </w:tcPr>
          <w:p w14:paraId="09870AD5">
            <w:pPr>
              <w:spacing w:line="360" w:lineRule="auto"/>
              <w:jc w:val="center"/>
              <w:rPr>
                <w:rFonts w:asciiTheme="minorEastAsia" w:hAnsiTheme="minorEastAsia" w:eastAsiaTheme="minorEastAsia" w:cstheme="minorEastAsia"/>
                <w:color w:val="auto"/>
                <w:szCs w:val="21"/>
              </w:rPr>
            </w:pPr>
          </w:p>
        </w:tc>
      </w:tr>
      <w:tr w14:paraId="3AF0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1C0F54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注册资金</w:t>
            </w:r>
          </w:p>
        </w:tc>
        <w:tc>
          <w:tcPr>
            <w:tcW w:w="1916" w:type="dxa"/>
            <w:gridSpan w:val="2"/>
            <w:vAlign w:val="center"/>
          </w:tcPr>
          <w:p w14:paraId="32C1F32B">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74556247">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78DB66D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中级职称人员</w:t>
            </w:r>
          </w:p>
        </w:tc>
        <w:tc>
          <w:tcPr>
            <w:tcW w:w="2007" w:type="dxa"/>
            <w:gridSpan w:val="2"/>
            <w:vAlign w:val="center"/>
          </w:tcPr>
          <w:p w14:paraId="6A4740A8">
            <w:pPr>
              <w:spacing w:line="360" w:lineRule="auto"/>
              <w:jc w:val="center"/>
              <w:rPr>
                <w:rFonts w:asciiTheme="minorEastAsia" w:hAnsiTheme="minorEastAsia" w:eastAsiaTheme="minorEastAsia" w:cstheme="minorEastAsia"/>
                <w:color w:val="auto"/>
                <w:szCs w:val="21"/>
              </w:rPr>
            </w:pPr>
          </w:p>
        </w:tc>
      </w:tr>
      <w:tr w14:paraId="7F36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3F34E05">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w:t>
            </w:r>
          </w:p>
        </w:tc>
        <w:tc>
          <w:tcPr>
            <w:tcW w:w="1916" w:type="dxa"/>
            <w:gridSpan w:val="2"/>
            <w:vAlign w:val="center"/>
          </w:tcPr>
          <w:p w14:paraId="03A5935E">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57A9EDD8">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38FDA8BF">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初级职称人员</w:t>
            </w:r>
          </w:p>
        </w:tc>
        <w:tc>
          <w:tcPr>
            <w:tcW w:w="2007" w:type="dxa"/>
            <w:gridSpan w:val="2"/>
            <w:vAlign w:val="center"/>
          </w:tcPr>
          <w:p w14:paraId="5893FDCE">
            <w:pPr>
              <w:spacing w:line="360" w:lineRule="auto"/>
              <w:jc w:val="center"/>
              <w:rPr>
                <w:rFonts w:asciiTheme="minorEastAsia" w:hAnsiTheme="minorEastAsia" w:eastAsiaTheme="minorEastAsia" w:cstheme="minorEastAsia"/>
                <w:color w:val="auto"/>
                <w:szCs w:val="21"/>
              </w:rPr>
            </w:pPr>
          </w:p>
        </w:tc>
      </w:tr>
      <w:tr w14:paraId="1754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7CD4CF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账号</w:t>
            </w:r>
          </w:p>
        </w:tc>
        <w:tc>
          <w:tcPr>
            <w:tcW w:w="1916" w:type="dxa"/>
            <w:gridSpan w:val="2"/>
            <w:vAlign w:val="center"/>
          </w:tcPr>
          <w:p w14:paraId="398C50D3">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14:paraId="3E268ED3">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14:paraId="0141ABCB">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  工</w:t>
            </w:r>
          </w:p>
        </w:tc>
        <w:tc>
          <w:tcPr>
            <w:tcW w:w="2007" w:type="dxa"/>
            <w:gridSpan w:val="2"/>
            <w:vAlign w:val="center"/>
          </w:tcPr>
          <w:p w14:paraId="2FCC805B">
            <w:pPr>
              <w:spacing w:line="360" w:lineRule="auto"/>
              <w:jc w:val="center"/>
              <w:rPr>
                <w:rFonts w:asciiTheme="minorEastAsia" w:hAnsiTheme="minorEastAsia" w:eastAsiaTheme="minorEastAsia" w:cstheme="minorEastAsia"/>
                <w:color w:val="auto"/>
                <w:szCs w:val="21"/>
              </w:rPr>
            </w:pPr>
          </w:p>
        </w:tc>
      </w:tr>
      <w:tr w14:paraId="2E1F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17A00FE">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经营范围</w:t>
            </w:r>
          </w:p>
        </w:tc>
        <w:tc>
          <w:tcPr>
            <w:tcW w:w="6897" w:type="dxa"/>
            <w:gridSpan w:val="9"/>
            <w:vAlign w:val="center"/>
          </w:tcPr>
          <w:p w14:paraId="0374E337">
            <w:pPr>
              <w:spacing w:line="360" w:lineRule="auto"/>
              <w:jc w:val="center"/>
              <w:rPr>
                <w:rFonts w:asciiTheme="minorEastAsia" w:hAnsiTheme="minorEastAsia" w:eastAsiaTheme="minorEastAsia" w:cstheme="minorEastAsia"/>
                <w:color w:val="auto"/>
                <w:szCs w:val="21"/>
              </w:rPr>
            </w:pPr>
          </w:p>
        </w:tc>
      </w:tr>
      <w:tr w14:paraId="34E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8D10EA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6897" w:type="dxa"/>
            <w:gridSpan w:val="9"/>
            <w:vAlign w:val="center"/>
          </w:tcPr>
          <w:p w14:paraId="3B2D8E1E">
            <w:pPr>
              <w:spacing w:line="360" w:lineRule="auto"/>
              <w:jc w:val="center"/>
              <w:rPr>
                <w:rFonts w:asciiTheme="minorEastAsia" w:hAnsiTheme="minorEastAsia" w:eastAsiaTheme="minorEastAsia" w:cstheme="minorEastAsia"/>
                <w:color w:val="auto"/>
                <w:szCs w:val="21"/>
              </w:rPr>
            </w:pPr>
          </w:p>
        </w:tc>
      </w:tr>
    </w:tbl>
    <w:p w14:paraId="3BF2CA0A">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备注：本表后应附企业法人营业执照的证明材料、企业资质证书副本、安全生产许可证、等材料的复印件。</w:t>
      </w:r>
    </w:p>
    <w:p w14:paraId="3417C418">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14:paraId="5E57CEB2">
      <w:pPr>
        <w:pStyle w:val="4"/>
        <w:spacing w:line="360" w:lineRule="auto"/>
        <w:jc w:val="center"/>
        <w:rPr>
          <w:rFonts w:asciiTheme="minorEastAsia" w:hAnsiTheme="minorEastAsia" w:eastAsiaTheme="minorEastAsia" w:cstheme="minorEastAsia"/>
          <w:color w:val="auto"/>
        </w:rPr>
      </w:pPr>
      <w:bookmarkStart w:id="670" w:name="_Toc414108648"/>
      <w:r>
        <w:rPr>
          <w:rFonts w:hint="eastAsia" w:asciiTheme="minorEastAsia" w:hAnsiTheme="minorEastAsia" w:eastAsiaTheme="minorEastAsia" w:cstheme="minorEastAsia"/>
          <w:color w:val="auto"/>
          <w:lang w:val="zh-CN"/>
        </w:rPr>
        <w:t>项目负责人简历</w:t>
      </w:r>
      <w:bookmarkEnd w:id="670"/>
    </w:p>
    <w:p w14:paraId="3199F5ED">
      <w:pPr>
        <w:spacing w:line="360" w:lineRule="auto"/>
        <w:ind w:left="210" w:hanging="210" w:hangingChars="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项目负责人介绍应包括：姓名、性别、年龄、职称、学历、参加工作时间、从事项目管理年限、注册建造师（项目负责人）证书编号以及其他内容。</w:t>
      </w:r>
    </w:p>
    <w:p w14:paraId="4BBB727A">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2、项目负责人简历相关证明材料（注册建造师（项目负责人）证书、职称证书复印件）。</w:t>
      </w:r>
    </w:p>
    <w:p w14:paraId="1DFE59D3">
      <w:pPr>
        <w:spacing w:line="360"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四、拟派项目负责人资格一览表</w:t>
      </w:r>
    </w:p>
    <w:tbl>
      <w:tblPr>
        <w:tblStyle w:val="2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951"/>
      </w:tblGrid>
      <w:tr w14:paraId="75C1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0A4605FC">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2123" w:type="dxa"/>
            <w:vAlign w:val="center"/>
          </w:tcPr>
          <w:p w14:paraId="16471A14">
            <w:pPr>
              <w:pStyle w:val="10"/>
              <w:spacing w:line="360" w:lineRule="auto"/>
              <w:jc w:val="center"/>
              <w:rPr>
                <w:rFonts w:asciiTheme="minorEastAsia" w:hAnsiTheme="minorEastAsia" w:eastAsiaTheme="minorEastAsia" w:cstheme="minorEastAsia"/>
                <w:color w:val="auto"/>
                <w:szCs w:val="30"/>
              </w:rPr>
            </w:pPr>
          </w:p>
        </w:tc>
        <w:tc>
          <w:tcPr>
            <w:tcW w:w="2141" w:type="dxa"/>
            <w:vAlign w:val="center"/>
          </w:tcPr>
          <w:p w14:paraId="5E5502F3">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年  龄</w:t>
            </w:r>
          </w:p>
        </w:tc>
        <w:tc>
          <w:tcPr>
            <w:tcW w:w="2951" w:type="dxa"/>
            <w:vAlign w:val="center"/>
          </w:tcPr>
          <w:p w14:paraId="073BD520">
            <w:pPr>
              <w:spacing w:line="360" w:lineRule="auto"/>
              <w:jc w:val="center"/>
              <w:rPr>
                <w:rFonts w:asciiTheme="minorEastAsia" w:hAnsiTheme="minorEastAsia" w:eastAsiaTheme="minorEastAsia" w:cstheme="minorEastAsia"/>
                <w:color w:val="auto"/>
                <w:sz w:val="30"/>
                <w:szCs w:val="30"/>
              </w:rPr>
            </w:pPr>
          </w:p>
        </w:tc>
      </w:tr>
      <w:tr w14:paraId="62B3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59AE9736">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学  历</w:t>
            </w:r>
          </w:p>
        </w:tc>
        <w:tc>
          <w:tcPr>
            <w:tcW w:w="2123" w:type="dxa"/>
            <w:vAlign w:val="center"/>
          </w:tcPr>
          <w:p w14:paraId="621C9A7F">
            <w:pPr>
              <w:pStyle w:val="10"/>
              <w:spacing w:line="360" w:lineRule="auto"/>
              <w:jc w:val="center"/>
              <w:rPr>
                <w:rFonts w:asciiTheme="minorEastAsia" w:hAnsiTheme="minorEastAsia" w:eastAsiaTheme="minorEastAsia" w:cstheme="minorEastAsia"/>
                <w:color w:val="auto"/>
                <w:szCs w:val="30"/>
              </w:rPr>
            </w:pPr>
          </w:p>
        </w:tc>
        <w:tc>
          <w:tcPr>
            <w:tcW w:w="2141" w:type="dxa"/>
            <w:vAlign w:val="center"/>
          </w:tcPr>
          <w:p w14:paraId="6C383F89">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务</w:t>
            </w:r>
          </w:p>
        </w:tc>
        <w:tc>
          <w:tcPr>
            <w:tcW w:w="2951" w:type="dxa"/>
            <w:vAlign w:val="center"/>
          </w:tcPr>
          <w:p w14:paraId="4FE2B718">
            <w:pPr>
              <w:spacing w:line="360" w:lineRule="auto"/>
              <w:jc w:val="center"/>
              <w:rPr>
                <w:rFonts w:asciiTheme="minorEastAsia" w:hAnsiTheme="minorEastAsia" w:eastAsiaTheme="minorEastAsia" w:cstheme="minorEastAsia"/>
                <w:color w:val="auto"/>
                <w:sz w:val="30"/>
                <w:szCs w:val="30"/>
              </w:rPr>
            </w:pPr>
          </w:p>
        </w:tc>
      </w:tr>
      <w:tr w14:paraId="097E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37E74812">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从事相关工作年限</w:t>
            </w:r>
          </w:p>
        </w:tc>
        <w:tc>
          <w:tcPr>
            <w:tcW w:w="5092" w:type="dxa"/>
            <w:gridSpan w:val="2"/>
            <w:vAlign w:val="center"/>
          </w:tcPr>
          <w:p w14:paraId="798D209E">
            <w:pPr>
              <w:pStyle w:val="10"/>
              <w:spacing w:line="360" w:lineRule="auto"/>
              <w:jc w:val="center"/>
              <w:rPr>
                <w:rFonts w:asciiTheme="minorEastAsia" w:hAnsiTheme="minorEastAsia" w:eastAsiaTheme="minorEastAsia" w:cstheme="minorEastAsia"/>
                <w:color w:val="auto"/>
                <w:szCs w:val="30"/>
              </w:rPr>
            </w:pPr>
          </w:p>
        </w:tc>
      </w:tr>
      <w:tr w14:paraId="2B3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17435953">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在本项目中拟担任的职务</w:t>
            </w:r>
          </w:p>
        </w:tc>
        <w:tc>
          <w:tcPr>
            <w:tcW w:w="5092" w:type="dxa"/>
            <w:gridSpan w:val="2"/>
            <w:vAlign w:val="center"/>
          </w:tcPr>
          <w:p w14:paraId="3B863025">
            <w:pPr>
              <w:pStyle w:val="10"/>
              <w:spacing w:line="360" w:lineRule="auto"/>
              <w:jc w:val="center"/>
              <w:rPr>
                <w:rFonts w:asciiTheme="minorEastAsia" w:hAnsiTheme="minorEastAsia" w:eastAsiaTheme="minorEastAsia" w:cstheme="minorEastAsia"/>
                <w:color w:val="auto"/>
                <w:szCs w:val="30"/>
              </w:rPr>
            </w:pPr>
          </w:p>
        </w:tc>
      </w:tr>
      <w:tr w14:paraId="73E9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06C09EE5">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联系方式</w:t>
            </w:r>
          </w:p>
        </w:tc>
        <w:tc>
          <w:tcPr>
            <w:tcW w:w="7215" w:type="dxa"/>
            <w:gridSpan w:val="3"/>
            <w:vAlign w:val="center"/>
          </w:tcPr>
          <w:p w14:paraId="1AF94CC9">
            <w:pPr>
              <w:pStyle w:val="10"/>
              <w:spacing w:line="360" w:lineRule="auto"/>
              <w:jc w:val="center"/>
              <w:rPr>
                <w:rFonts w:asciiTheme="minorEastAsia" w:hAnsiTheme="minorEastAsia" w:eastAsiaTheme="minorEastAsia" w:cstheme="minorEastAsia"/>
                <w:color w:val="auto"/>
                <w:szCs w:val="30"/>
              </w:rPr>
            </w:pPr>
          </w:p>
        </w:tc>
      </w:tr>
      <w:tr w14:paraId="01B7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45D542C2">
            <w:pPr>
              <w:pStyle w:val="10"/>
              <w:spacing w:line="360" w:lineRule="auto"/>
              <w:rPr>
                <w:rFonts w:asciiTheme="minorEastAsia" w:hAnsiTheme="minorEastAsia" w:eastAsiaTheme="minorEastAsia" w:cstheme="minorEastAsia"/>
                <w:color w:val="auto"/>
                <w:szCs w:val="30"/>
              </w:rPr>
            </w:pPr>
          </w:p>
        </w:tc>
        <w:tc>
          <w:tcPr>
            <w:tcW w:w="8245" w:type="dxa"/>
            <w:gridSpan w:val="4"/>
            <w:vAlign w:val="center"/>
          </w:tcPr>
          <w:p w14:paraId="4DB938B9">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类似工作经历</w:t>
            </w:r>
          </w:p>
        </w:tc>
      </w:tr>
      <w:tr w14:paraId="01B5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2F626366">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工作</w:t>
            </w:r>
          </w:p>
          <w:p w14:paraId="7962BE84">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经历</w:t>
            </w:r>
          </w:p>
        </w:tc>
        <w:tc>
          <w:tcPr>
            <w:tcW w:w="8245" w:type="dxa"/>
            <w:gridSpan w:val="4"/>
          </w:tcPr>
          <w:p w14:paraId="7E25379B">
            <w:pPr>
              <w:pStyle w:val="10"/>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（单位、担任职务、工作时间）</w:t>
            </w:r>
          </w:p>
        </w:tc>
      </w:tr>
    </w:tbl>
    <w:p w14:paraId="2A9674AE">
      <w:pPr>
        <w:pStyle w:val="10"/>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参选单位：（盖章）</w:t>
      </w:r>
    </w:p>
    <w:p w14:paraId="459C3660">
      <w:pPr>
        <w:pStyle w:val="10"/>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法定代表人或委托代理人：（签字）</w:t>
      </w:r>
    </w:p>
    <w:p w14:paraId="25F296EB">
      <w:pPr>
        <w:spacing w:line="360" w:lineRule="auto"/>
        <w:jc w:val="right"/>
        <w:rPr>
          <w:rFonts w:asciiTheme="minorEastAsia" w:hAnsiTheme="minorEastAsia" w:eastAsiaTheme="minorEastAsia" w:cstheme="minorEastAsia"/>
          <w:color w:val="auto"/>
          <w:sz w:val="24"/>
          <w:szCs w:val="30"/>
        </w:rPr>
      </w:pPr>
      <w:r>
        <w:rPr>
          <w:rFonts w:hint="eastAsia" w:asciiTheme="minorEastAsia" w:hAnsiTheme="minorEastAsia" w:eastAsiaTheme="minorEastAsia" w:cstheme="minorEastAsia"/>
          <w:color w:val="auto"/>
          <w:sz w:val="24"/>
          <w:szCs w:val="30"/>
        </w:rPr>
        <w:t>日期：     年  月  日</w:t>
      </w:r>
    </w:p>
    <w:p w14:paraId="235A0AA3">
      <w:pPr>
        <w:spacing w:line="360" w:lineRule="auto"/>
        <w:jc w:val="right"/>
        <w:rPr>
          <w:rFonts w:asciiTheme="minorEastAsia" w:hAnsiTheme="minorEastAsia" w:eastAsiaTheme="minorEastAsia" w:cstheme="minorEastAsia"/>
          <w:color w:val="auto"/>
          <w:sz w:val="24"/>
          <w:szCs w:val="30"/>
        </w:rPr>
      </w:pPr>
    </w:p>
    <w:p w14:paraId="16A6BF96">
      <w:pPr>
        <w:pStyle w:val="4"/>
        <w:spacing w:line="360" w:lineRule="auto"/>
        <w:jc w:val="center"/>
        <w:rPr>
          <w:rFonts w:asciiTheme="minorEastAsia" w:hAnsiTheme="minorEastAsia" w:eastAsiaTheme="minorEastAsia" w:cstheme="minorEastAsia"/>
          <w:color w:val="auto"/>
          <w:szCs w:val="21"/>
        </w:rPr>
      </w:pPr>
      <w:bookmarkStart w:id="671" w:name="_Toc414108649"/>
      <w:r>
        <w:rPr>
          <w:rFonts w:hint="eastAsia" w:asciiTheme="minorEastAsia" w:hAnsiTheme="minorEastAsia" w:eastAsiaTheme="minorEastAsia" w:cstheme="minorEastAsia"/>
          <w:color w:val="auto"/>
          <w:lang w:val="zh-CN"/>
        </w:rPr>
        <w:t>项目管理人员</w:t>
      </w:r>
      <w:bookmarkEnd w:id="671"/>
    </w:p>
    <w:p w14:paraId="06223E1B">
      <w:pPr>
        <w:autoSpaceDE w:val="0"/>
        <w:autoSpaceDN w:val="0"/>
        <w:adjustRightInd w:val="0"/>
        <w:spacing w:line="360" w:lineRule="auto"/>
        <w:ind w:left="630" w:leftChars="2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、项目管理人员应包括：项目工程师、质量管理员、施工管理员、材料管理员、安全管理员、资料员等和项目项目负责人需要配备的其他关键人员</w:t>
      </w:r>
    </w:p>
    <w:p w14:paraId="72E12D4B">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、上述人员简历介绍应包括姓名、职称等基本信息</w:t>
      </w:r>
    </w:p>
    <w:p w14:paraId="369ECD07">
      <w:pPr>
        <w:autoSpaceDE w:val="0"/>
        <w:autoSpaceDN w:val="0"/>
        <w:adjustRightInd w:val="0"/>
        <w:spacing w:line="360" w:lineRule="auto"/>
        <w:ind w:firstLine="42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、项目管理人员简历中应付职称证书或上岗证书复印件</w:t>
      </w:r>
    </w:p>
    <w:p w14:paraId="4B75FF6F">
      <w:pPr>
        <w:widowControl/>
        <w:spacing w:line="360" w:lineRule="auto"/>
        <w:ind w:firstLine="600"/>
        <w:jc w:val="center"/>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拟派项目作业人员一览表</w:t>
      </w:r>
    </w:p>
    <w:tbl>
      <w:tblPr>
        <w:tblStyle w:val="22"/>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35C1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1E5B8747">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1709" w:type="dxa"/>
            <w:vAlign w:val="center"/>
          </w:tcPr>
          <w:p w14:paraId="56DCCF5B">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称</w:t>
            </w:r>
          </w:p>
        </w:tc>
        <w:tc>
          <w:tcPr>
            <w:tcW w:w="1875" w:type="dxa"/>
            <w:vAlign w:val="center"/>
          </w:tcPr>
          <w:p w14:paraId="67172C4C">
            <w:pPr>
              <w:pStyle w:val="10"/>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建议职务</w:t>
            </w:r>
          </w:p>
        </w:tc>
        <w:tc>
          <w:tcPr>
            <w:tcW w:w="2475" w:type="dxa"/>
            <w:vAlign w:val="center"/>
          </w:tcPr>
          <w:p w14:paraId="7EAAE6E3">
            <w:pPr>
              <w:pStyle w:val="10"/>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从事相关工作年限</w:t>
            </w:r>
          </w:p>
        </w:tc>
        <w:tc>
          <w:tcPr>
            <w:tcW w:w="3075" w:type="dxa"/>
            <w:vAlign w:val="center"/>
          </w:tcPr>
          <w:p w14:paraId="4E1BA188">
            <w:pPr>
              <w:pStyle w:val="10"/>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在本项目中负责的内容</w:t>
            </w:r>
          </w:p>
        </w:tc>
      </w:tr>
      <w:tr w14:paraId="1EC6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74D0B8A0">
            <w:pPr>
              <w:pStyle w:val="10"/>
              <w:spacing w:line="360" w:lineRule="auto"/>
              <w:jc w:val="center"/>
              <w:rPr>
                <w:rFonts w:asciiTheme="minorEastAsia" w:hAnsiTheme="minorEastAsia" w:eastAsiaTheme="minorEastAsia" w:cstheme="minorEastAsia"/>
                <w:color w:val="auto"/>
                <w:szCs w:val="30"/>
              </w:rPr>
            </w:pPr>
          </w:p>
        </w:tc>
        <w:tc>
          <w:tcPr>
            <w:tcW w:w="1709" w:type="dxa"/>
            <w:vAlign w:val="center"/>
          </w:tcPr>
          <w:p w14:paraId="5649CDA0">
            <w:pPr>
              <w:pStyle w:val="10"/>
              <w:spacing w:line="360" w:lineRule="auto"/>
              <w:jc w:val="center"/>
              <w:rPr>
                <w:rFonts w:asciiTheme="minorEastAsia" w:hAnsiTheme="minorEastAsia" w:eastAsiaTheme="minorEastAsia" w:cstheme="minorEastAsia"/>
                <w:color w:val="auto"/>
                <w:szCs w:val="30"/>
              </w:rPr>
            </w:pPr>
          </w:p>
        </w:tc>
        <w:tc>
          <w:tcPr>
            <w:tcW w:w="1875" w:type="dxa"/>
            <w:vAlign w:val="center"/>
          </w:tcPr>
          <w:p w14:paraId="3BB71200">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3A57B380">
            <w:pPr>
              <w:pStyle w:val="10"/>
              <w:spacing w:line="360" w:lineRule="auto"/>
              <w:jc w:val="center"/>
              <w:rPr>
                <w:rFonts w:asciiTheme="minorEastAsia" w:hAnsiTheme="minorEastAsia" w:eastAsiaTheme="minorEastAsia" w:cstheme="minorEastAsia"/>
                <w:color w:val="auto"/>
                <w:szCs w:val="30"/>
              </w:rPr>
            </w:pPr>
          </w:p>
        </w:tc>
        <w:tc>
          <w:tcPr>
            <w:tcW w:w="3075" w:type="dxa"/>
            <w:vAlign w:val="center"/>
          </w:tcPr>
          <w:p w14:paraId="7E2981D8">
            <w:pPr>
              <w:pStyle w:val="10"/>
              <w:spacing w:line="360" w:lineRule="auto"/>
              <w:jc w:val="center"/>
              <w:rPr>
                <w:rFonts w:asciiTheme="minorEastAsia" w:hAnsiTheme="minorEastAsia" w:eastAsiaTheme="minorEastAsia" w:cstheme="minorEastAsia"/>
                <w:color w:val="auto"/>
                <w:szCs w:val="30"/>
              </w:rPr>
            </w:pPr>
          </w:p>
        </w:tc>
      </w:tr>
      <w:tr w14:paraId="22F7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BDABE31">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72A1F306">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30DD9518">
            <w:pPr>
              <w:pStyle w:val="12"/>
              <w:spacing w:line="360" w:lineRule="auto"/>
              <w:ind w:left="-5" w:leftChars="-22" w:hanging="41" w:hangingChars="15"/>
              <w:jc w:val="center"/>
              <w:rPr>
                <w:rFonts w:asciiTheme="minorEastAsia" w:hAnsiTheme="minorEastAsia" w:eastAsiaTheme="minorEastAsia" w:cstheme="minorEastAsia"/>
                <w:color w:val="auto"/>
                <w:spacing w:val="-12"/>
                <w:sz w:val="30"/>
                <w:szCs w:val="30"/>
              </w:rPr>
            </w:pPr>
          </w:p>
        </w:tc>
        <w:tc>
          <w:tcPr>
            <w:tcW w:w="2475" w:type="dxa"/>
            <w:vAlign w:val="center"/>
          </w:tcPr>
          <w:p w14:paraId="1505EEA9">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4A77EF89">
            <w:pPr>
              <w:spacing w:line="360" w:lineRule="auto"/>
              <w:jc w:val="center"/>
              <w:rPr>
                <w:rFonts w:asciiTheme="minorEastAsia" w:hAnsiTheme="minorEastAsia" w:eastAsiaTheme="minorEastAsia" w:cstheme="minorEastAsia"/>
                <w:color w:val="auto"/>
                <w:sz w:val="30"/>
                <w:szCs w:val="30"/>
              </w:rPr>
            </w:pPr>
          </w:p>
        </w:tc>
      </w:tr>
      <w:tr w14:paraId="013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07645D57">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33BE8C2C">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774F3EDE">
            <w:pPr>
              <w:pStyle w:val="12"/>
              <w:spacing w:line="360" w:lineRule="auto"/>
              <w:jc w:val="center"/>
              <w:rPr>
                <w:rFonts w:asciiTheme="minorEastAsia" w:hAnsiTheme="minorEastAsia" w:eastAsiaTheme="minorEastAsia" w:cstheme="minorEastAsia"/>
                <w:color w:val="auto"/>
                <w:sz w:val="30"/>
                <w:szCs w:val="30"/>
              </w:rPr>
            </w:pPr>
          </w:p>
        </w:tc>
        <w:tc>
          <w:tcPr>
            <w:tcW w:w="2475" w:type="dxa"/>
            <w:vAlign w:val="center"/>
          </w:tcPr>
          <w:p w14:paraId="4003126B">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7308EE51">
            <w:pPr>
              <w:spacing w:line="360" w:lineRule="auto"/>
              <w:jc w:val="center"/>
              <w:rPr>
                <w:rFonts w:asciiTheme="minorEastAsia" w:hAnsiTheme="minorEastAsia" w:eastAsiaTheme="minorEastAsia" w:cstheme="minorEastAsia"/>
                <w:color w:val="auto"/>
                <w:sz w:val="30"/>
                <w:szCs w:val="30"/>
              </w:rPr>
            </w:pPr>
          </w:p>
        </w:tc>
      </w:tr>
      <w:tr w14:paraId="7F54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024ECC1">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0B6356A9">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6AD1CF58">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394047C3">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57EB9973">
            <w:pPr>
              <w:spacing w:line="360" w:lineRule="auto"/>
              <w:jc w:val="center"/>
              <w:rPr>
                <w:rFonts w:asciiTheme="minorEastAsia" w:hAnsiTheme="minorEastAsia" w:eastAsiaTheme="minorEastAsia" w:cstheme="minorEastAsia"/>
                <w:color w:val="auto"/>
                <w:sz w:val="30"/>
                <w:szCs w:val="30"/>
              </w:rPr>
            </w:pPr>
          </w:p>
        </w:tc>
      </w:tr>
      <w:tr w14:paraId="715B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1B4623F">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54B456E1">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1C594743">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163D1EE9">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310B1D42">
            <w:pPr>
              <w:spacing w:line="360" w:lineRule="auto"/>
              <w:jc w:val="center"/>
              <w:rPr>
                <w:rFonts w:asciiTheme="minorEastAsia" w:hAnsiTheme="minorEastAsia" w:eastAsiaTheme="minorEastAsia" w:cstheme="minorEastAsia"/>
                <w:color w:val="auto"/>
                <w:sz w:val="30"/>
                <w:szCs w:val="30"/>
              </w:rPr>
            </w:pPr>
          </w:p>
        </w:tc>
      </w:tr>
      <w:tr w14:paraId="0ED2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3361BE2">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0B3732E1">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422B6316">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4FAE6D84">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7B030D54">
            <w:pPr>
              <w:spacing w:line="360" w:lineRule="auto"/>
              <w:jc w:val="center"/>
              <w:rPr>
                <w:rFonts w:asciiTheme="minorEastAsia" w:hAnsiTheme="minorEastAsia" w:eastAsiaTheme="minorEastAsia" w:cstheme="minorEastAsia"/>
                <w:color w:val="auto"/>
                <w:sz w:val="30"/>
                <w:szCs w:val="30"/>
              </w:rPr>
            </w:pPr>
          </w:p>
        </w:tc>
      </w:tr>
      <w:tr w14:paraId="4BB8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F04ACB1">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4F56B10E">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3EF2FEDE">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0D2D9912">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7BD8AE34">
            <w:pPr>
              <w:spacing w:line="360" w:lineRule="auto"/>
              <w:jc w:val="center"/>
              <w:rPr>
                <w:rFonts w:asciiTheme="minorEastAsia" w:hAnsiTheme="minorEastAsia" w:eastAsiaTheme="minorEastAsia" w:cstheme="minorEastAsia"/>
                <w:color w:val="auto"/>
                <w:sz w:val="30"/>
                <w:szCs w:val="30"/>
              </w:rPr>
            </w:pPr>
          </w:p>
        </w:tc>
      </w:tr>
      <w:tr w14:paraId="45BC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1BAAAB4">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14:paraId="723AC746">
            <w:pPr>
              <w:pStyle w:val="12"/>
              <w:spacing w:line="360" w:lineRule="auto"/>
              <w:jc w:val="center"/>
              <w:rPr>
                <w:rFonts w:asciiTheme="minorEastAsia" w:hAnsiTheme="minorEastAsia" w:eastAsiaTheme="minorEastAsia" w:cstheme="minorEastAsia"/>
                <w:color w:val="auto"/>
                <w:sz w:val="30"/>
                <w:szCs w:val="30"/>
              </w:rPr>
            </w:pPr>
          </w:p>
        </w:tc>
        <w:tc>
          <w:tcPr>
            <w:tcW w:w="1875" w:type="dxa"/>
            <w:vAlign w:val="center"/>
          </w:tcPr>
          <w:p w14:paraId="5F3BDEEA">
            <w:pPr>
              <w:pStyle w:val="10"/>
              <w:spacing w:line="360" w:lineRule="auto"/>
              <w:jc w:val="center"/>
              <w:rPr>
                <w:rFonts w:asciiTheme="minorEastAsia" w:hAnsiTheme="minorEastAsia" w:eastAsiaTheme="minorEastAsia" w:cstheme="minorEastAsia"/>
                <w:color w:val="auto"/>
                <w:szCs w:val="30"/>
              </w:rPr>
            </w:pPr>
          </w:p>
        </w:tc>
        <w:tc>
          <w:tcPr>
            <w:tcW w:w="2475" w:type="dxa"/>
            <w:vAlign w:val="center"/>
          </w:tcPr>
          <w:p w14:paraId="26A93DC8">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14:paraId="57B5C499">
            <w:pPr>
              <w:spacing w:line="360" w:lineRule="auto"/>
              <w:jc w:val="center"/>
              <w:rPr>
                <w:rFonts w:asciiTheme="minorEastAsia" w:hAnsiTheme="minorEastAsia" w:eastAsiaTheme="minorEastAsia" w:cstheme="minorEastAsia"/>
                <w:color w:val="auto"/>
                <w:sz w:val="30"/>
                <w:szCs w:val="30"/>
              </w:rPr>
            </w:pPr>
          </w:p>
        </w:tc>
      </w:tr>
    </w:tbl>
    <w:p w14:paraId="50576339">
      <w:pPr>
        <w:pStyle w:val="10"/>
        <w:spacing w:line="360" w:lineRule="auto"/>
        <w:jc w:val="left"/>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投标人：（盖章）</w:t>
      </w:r>
    </w:p>
    <w:p w14:paraId="37172A48">
      <w:pPr>
        <w:pStyle w:val="10"/>
        <w:wordWrap w:val="0"/>
        <w:spacing w:line="360" w:lineRule="auto"/>
        <w:ind w:firstLine="0"/>
        <w:rPr>
          <w:rFonts w:asciiTheme="minorEastAsia" w:hAnsiTheme="minorEastAsia" w:eastAsiaTheme="minorEastAsia" w:cstheme="minorEastAsia"/>
          <w:color w:val="auto"/>
          <w:szCs w:val="30"/>
        </w:rPr>
      </w:pPr>
    </w:p>
    <w:p w14:paraId="1A015809">
      <w:pPr>
        <w:pStyle w:val="10"/>
        <w:wordWrap w:val="0"/>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 xml:space="preserve">法定代表人或委托代理人：（签字或盖章）                               </w:t>
      </w:r>
    </w:p>
    <w:p w14:paraId="21710D94">
      <w:pPr>
        <w:pStyle w:val="10"/>
        <w:wordWrap w:val="0"/>
        <w:spacing w:line="360" w:lineRule="auto"/>
        <w:ind w:firstLine="511" w:firstLineChars="213"/>
        <w:jc w:val="right"/>
        <w:rPr>
          <w:rFonts w:asciiTheme="minorEastAsia" w:hAnsiTheme="minorEastAsia" w:eastAsiaTheme="minorEastAsia" w:cstheme="minorEastAsia"/>
          <w:color w:val="auto"/>
          <w:szCs w:val="30"/>
        </w:rPr>
      </w:pPr>
    </w:p>
    <w:p w14:paraId="736E444E">
      <w:pPr>
        <w:pStyle w:val="10"/>
        <w:wordWrap w:val="0"/>
        <w:spacing w:line="360" w:lineRule="auto"/>
        <w:ind w:firstLine="511" w:firstLineChars="213"/>
        <w:jc w:val="right"/>
        <w:rPr>
          <w:rFonts w:asciiTheme="minorEastAsia" w:hAnsiTheme="minorEastAsia" w:eastAsiaTheme="minorEastAsia" w:cstheme="minorEastAsia"/>
          <w:color w:val="auto"/>
          <w:szCs w:val="30"/>
        </w:rPr>
      </w:pPr>
    </w:p>
    <w:p w14:paraId="06A2416C">
      <w:pPr>
        <w:pStyle w:val="10"/>
        <w:wordWrap w:val="0"/>
        <w:spacing w:line="360" w:lineRule="auto"/>
        <w:ind w:firstLine="511" w:firstLineChars="213"/>
        <w:jc w:val="right"/>
        <w:rPr>
          <w:rFonts w:ascii="宋体" w:hAnsi="宋体"/>
          <w:color w:val="auto"/>
          <w:sz w:val="24"/>
        </w:rPr>
      </w:pPr>
      <w:r>
        <w:rPr>
          <w:rFonts w:hint="eastAsia" w:asciiTheme="minorEastAsia" w:hAnsiTheme="minorEastAsia" w:eastAsiaTheme="minorEastAsia" w:cstheme="minorEastAsia"/>
          <w:color w:val="auto"/>
          <w:szCs w:val="30"/>
        </w:rPr>
        <w:t>日期：    年  月   日</w:t>
      </w:r>
      <w:bookmarkStart w:id="672" w:name="_Toc414108650"/>
    </w:p>
    <w:p w14:paraId="5D0DEA0F">
      <w:pPr>
        <w:pStyle w:val="6"/>
        <w:spacing w:line="360" w:lineRule="auto"/>
        <w:ind w:firstLine="480"/>
        <w:rPr>
          <w:rFonts w:ascii="宋体" w:hAnsi="宋体"/>
          <w:color w:val="auto"/>
          <w:sz w:val="24"/>
        </w:rPr>
      </w:pPr>
    </w:p>
    <w:p w14:paraId="497C797F">
      <w:pPr>
        <w:numPr>
          <w:ilvl w:val="0"/>
          <w:numId w:val="4"/>
        </w:numPr>
        <w:spacing w:line="480" w:lineRule="exact"/>
        <w:jc w:val="center"/>
        <w:rPr>
          <w:rFonts w:ascii="黑体" w:hAnsi="黑体" w:eastAsia="黑体" w:cs="黑体"/>
          <w:color w:val="auto"/>
          <w:sz w:val="32"/>
          <w:szCs w:val="32"/>
        </w:rPr>
      </w:pPr>
      <w:r>
        <w:rPr>
          <w:rFonts w:hint="eastAsia" w:ascii="黑体" w:hAnsi="黑体" w:eastAsia="黑体" w:cs="黑体"/>
          <w:color w:val="auto"/>
          <w:sz w:val="32"/>
          <w:szCs w:val="32"/>
        </w:rPr>
        <w:t>投标保证金（投标保证金</w:t>
      </w:r>
      <w:r>
        <w:rPr>
          <w:rFonts w:hint="eastAsia" w:ascii="黑体" w:hAnsi="黑体" w:eastAsia="黑体" w:cs="黑体"/>
          <w:color w:val="auto"/>
          <w:sz w:val="32"/>
          <w:szCs w:val="32"/>
          <w:lang w:eastAsia="zh-CN"/>
        </w:rPr>
        <w:t>汇款凭证截图</w:t>
      </w:r>
      <w:r>
        <w:rPr>
          <w:rFonts w:hint="eastAsia" w:ascii="黑体" w:hAnsi="黑体" w:eastAsia="黑体" w:cs="黑体"/>
          <w:color w:val="auto"/>
          <w:sz w:val="32"/>
          <w:szCs w:val="32"/>
        </w:rPr>
        <w:t>或保险保函复印件）</w:t>
      </w:r>
    </w:p>
    <w:p w14:paraId="101D30FA">
      <w:pPr>
        <w:spacing w:line="480" w:lineRule="exact"/>
        <w:ind w:firstLine="5880" w:firstLineChars="2450"/>
        <w:jc w:val="right"/>
        <w:rPr>
          <w:rFonts w:ascii="宋体" w:hAnsi="宋体"/>
          <w:color w:val="auto"/>
          <w:sz w:val="24"/>
          <w:szCs w:val="21"/>
        </w:rPr>
      </w:pPr>
      <w:r>
        <w:rPr>
          <w:rFonts w:hint="eastAsia" w:ascii="宋体" w:hAnsi="宋体"/>
          <w:color w:val="auto"/>
          <w:sz w:val="24"/>
          <w:szCs w:val="21"/>
        </w:rPr>
        <w:t>保函编号：</w:t>
      </w:r>
      <w:r>
        <w:rPr>
          <w:rFonts w:hint="eastAsia" w:ascii="宋体" w:hAnsi="宋体"/>
          <w:color w:val="auto"/>
          <w:sz w:val="24"/>
          <w:szCs w:val="21"/>
          <w:u w:val="single"/>
        </w:rPr>
        <w:t xml:space="preserve">       </w:t>
      </w:r>
    </w:p>
    <w:p w14:paraId="55A282CB">
      <w:pPr>
        <w:spacing w:line="480" w:lineRule="exac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（招标人名称）：</w:t>
      </w:r>
    </w:p>
    <w:p w14:paraId="2FD52845">
      <w:pPr>
        <w:spacing w:line="480" w:lineRule="exact"/>
        <w:ind w:firstLine="480" w:firstLineChars="200"/>
        <w:rPr>
          <w:rFonts w:ascii="宋体" w:hAnsi="宋体"/>
          <w:color w:val="auto"/>
          <w:sz w:val="24"/>
          <w:szCs w:val="21"/>
        </w:rPr>
      </w:pPr>
      <w:r>
        <w:rPr>
          <w:rFonts w:hint="eastAsia" w:ascii="宋体" w:hAnsi="宋体"/>
          <w:color w:val="auto"/>
          <w:sz w:val="24"/>
          <w:szCs w:val="21"/>
        </w:rPr>
        <w:t>鉴于</w:t>
      </w:r>
      <w:r>
        <w:rPr>
          <w:rFonts w:hint="eastAsia" w:ascii="宋体" w:hAnsi="宋体"/>
          <w:color w:val="auto"/>
          <w:sz w:val="24"/>
          <w:szCs w:val="21"/>
          <w:u w:val="single"/>
        </w:rPr>
        <w:t xml:space="preserve">               </w:t>
      </w:r>
      <w:r>
        <w:rPr>
          <w:rFonts w:hint="eastAsia" w:ascii="宋体" w:hAnsi="宋体"/>
          <w:color w:val="auto"/>
          <w:sz w:val="24"/>
          <w:szCs w:val="21"/>
        </w:rPr>
        <w:t>（投标人名称）（以下简称“投标人”）参加你方</w:t>
      </w:r>
      <w:r>
        <w:rPr>
          <w:rFonts w:hint="eastAsia" w:ascii="宋体" w:hAnsi="宋体"/>
          <w:color w:val="auto"/>
          <w:sz w:val="24"/>
          <w:szCs w:val="21"/>
          <w:u w:val="single"/>
        </w:rPr>
        <w:t xml:space="preserve">    </w:t>
      </w:r>
      <w:r>
        <w:rPr>
          <w:rFonts w:hint="eastAsia" w:ascii="宋体" w:hAnsi="宋体"/>
          <w:color w:val="auto"/>
          <w:sz w:val="24"/>
          <w:szCs w:val="21"/>
        </w:rPr>
        <w:t>（项目名称）</w:t>
      </w:r>
      <w:r>
        <w:rPr>
          <w:rFonts w:hint="eastAsia" w:ascii="宋体" w:hAnsi="宋体"/>
          <w:color w:val="auto"/>
          <w:sz w:val="24"/>
          <w:szCs w:val="21"/>
          <w:u w:val="single"/>
        </w:rPr>
        <w:t xml:space="preserve">     </w:t>
      </w:r>
      <w:r>
        <w:rPr>
          <w:rFonts w:hint="eastAsia" w:ascii="宋体" w:hAnsi="宋体"/>
          <w:color w:val="auto"/>
          <w:sz w:val="24"/>
          <w:szCs w:val="21"/>
        </w:rPr>
        <w:t>标段的施工投标，</w:t>
      </w:r>
      <w:r>
        <w:rPr>
          <w:rFonts w:hint="eastAsia" w:ascii="宋体" w:hAnsi="宋体"/>
          <w:color w:val="auto"/>
          <w:sz w:val="24"/>
          <w:szCs w:val="21"/>
          <w:u w:val="single"/>
        </w:rPr>
        <w:t xml:space="preserve">                           </w:t>
      </w:r>
      <w:r>
        <w:rPr>
          <w:rFonts w:hint="eastAsia" w:ascii="宋体" w:hAnsi="宋体"/>
          <w:color w:val="auto"/>
          <w:sz w:val="24"/>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4"/>
          <w:szCs w:val="21"/>
          <w:u w:val="single"/>
        </w:rPr>
        <w:t xml:space="preserve">                  </w:t>
      </w:r>
      <w:r>
        <w:rPr>
          <w:rFonts w:hint="eastAsia" w:ascii="宋体" w:hAnsi="宋体"/>
          <w:color w:val="auto"/>
          <w:sz w:val="24"/>
          <w:szCs w:val="21"/>
        </w:rPr>
        <w:t>（投标保函额度）的任何你方要求的金额：</w:t>
      </w:r>
    </w:p>
    <w:p w14:paraId="20678F06">
      <w:pPr>
        <w:spacing w:line="480" w:lineRule="exact"/>
        <w:ind w:firstLine="480" w:firstLineChars="200"/>
        <w:rPr>
          <w:rFonts w:ascii="宋体" w:hAnsi="宋体"/>
          <w:color w:val="auto"/>
          <w:sz w:val="24"/>
          <w:szCs w:val="21"/>
        </w:rPr>
      </w:pPr>
      <w:r>
        <w:rPr>
          <w:rFonts w:hint="eastAsia" w:ascii="宋体" w:hAnsi="宋体"/>
          <w:color w:val="auto"/>
          <w:sz w:val="24"/>
          <w:szCs w:val="21"/>
        </w:rPr>
        <w:t>1．投标人在规定的投标有效期内撤销或者修改其投标文件。</w:t>
      </w:r>
    </w:p>
    <w:p w14:paraId="58B174AF">
      <w:pPr>
        <w:spacing w:line="480" w:lineRule="exact"/>
        <w:ind w:firstLine="480" w:firstLineChars="200"/>
        <w:rPr>
          <w:rFonts w:ascii="宋体" w:hAnsi="宋体"/>
          <w:color w:val="auto"/>
          <w:sz w:val="24"/>
          <w:szCs w:val="21"/>
        </w:rPr>
      </w:pPr>
      <w:r>
        <w:rPr>
          <w:rFonts w:hint="eastAsia" w:ascii="宋体" w:hAnsi="宋体"/>
          <w:color w:val="auto"/>
          <w:sz w:val="24"/>
          <w:szCs w:val="21"/>
        </w:rPr>
        <w:t>2．投标人在收到中标通知书后无正当理由而未在规定期限内与贵方签署合同。</w:t>
      </w:r>
    </w:p>
    <w:p w14:paraId="3E3B83A9">
      <w:pPr>
        <w:spacing w:line="480" w:lineRule="exact"/>
        <w:ind w:firstLine="480" w:firstLineChars="200"/>
        <w:rPr>
          <w:rFonts w:ascii="宋体" w:hAnsi="宋体"/>
          <w:color w:val="auto"/>
          <w:sz w:val="24"/>
          <w:szCs w:val="21"/>
        </w:rPr>
      </w:pPr>
      <w:r>
        <w:rPr>
          <w:rFonts w:hint="eastAsia" w:ascii="宋体" w:hAnsi="宋体"/>
          <w:color w:val="auto"/>
          <w:sz w:val="24"/>
          <w:szCs w:val="21"/>
        </w:rPr>
        <w:t>3．投标人在收到中标通知书后未能在</w:t>
      </w:r>
      <w:r>
        <w:rPr>
          <w:rFonts w:hint="eastAsia" w:ascii="宋体" w:hAnsi="宋体"/>
          <w:color w:val="auto"/>
          <w:sz w:val="24"/>
          <w:szCs w:val="21"/>
          <w:lang w:eastAsia="zh-CN"/>
        </w:rPr>
        <w:t>磋商文件</w:t>
      </w:r>
      <w:r>
        <w:rPr>
          <w:rFonts w:hint="eastAsia" w:ascii="宋体" w:hAnsi="宋体"/>
          <w:color w:val="auto"/>
          <w:sz w:val="24"/>
          <w:szCs w:val="21"/>
        </w:rPr>
        <w:t>规定期限内向贵方提交</w:t>
      </w:r>
      <w:r>
        <w:rPr>
          <w:rFonts w:hint="eastAsia" w:ascii="宋体" w:hAnsi="宋体"/>
          <w:color w:val="auto"/>
          <w:sz w:val="24"/>
          <w:szCs w:val="21"/>
          <w:lang w:eastAsia="zh-CN"/>
        </w:rPr>
        <w:t>磋商文件</w:t>
      </w:r>
      <w:r>
        <w:rPr>
          <w:rFonts w:hint="eastAsia" w:ascii="宋体" w:hAnsi="宋体"/>
          <w:color w:val="auto"/>
          <w:sz w:val="24"/>
          <w:szCs w:val="21"/>
        </w:rPr>
        <w:t>所要求的履约担保。</w:t>
      </w:r>
    </w:p>
    <w:p w14:paraId="0F98F007">
      <w:pPr>
        <w:spacing w:line="480" w:lineRule="exact"/>
        <w:ind w:firstLine="480" w:firstLineChars="200"/>
        <w:rPr>
          <w:rFonts w:ascii="宋体" w:hAnsi="宋体"/>
          <w:color w:val="auto"/>
          <w:sz w:val="24"/>
          <w:szCs w:val="21"/>
        </w:rPr>
      </w:pPr>
      <w:r>
        <w:rPr>
          <w:rFonts w:hint="eastAsia" w:ascii="宋体" w:hAnsi="宋体"/>
          <w:color w:val="auto"/>
          <w:sz w:val="24"/>
          <w:szCs w:val="21"/>
        </w:rPr>
        <w:t>本保函在投标有效期内保持有效，除非你方提前终止或解除本保函。要求我方承担保证责任的通知应在投标有效期内送达我方。保函失效后请将本保函交投标人退回我方注销。</w:t>
      </w:r>
    </w:p>
    <w:p w14:paraId="137CC231">
      <w:pPr>
        <w:spacing w:line="480" w:lineRule="exact"/>
        <w:ind w:firstLine="480" w:firstLineChars="200"/>
        <w:rPr>
          <w:rFonts w:ascii="宋体" w:hAnsi="宋体"/>
          <w:color w:val="auto"/>
          <w:sz w:val="24"/>
          <w:szCs w:val="21"/>
        </w:rPr>
      </w:pPr>
      <w:r>
        <w:rPr>
          <w:rFonts w:hint="eastAsia" w:ascii="宋体" w:hAnsi="宋体"/>
          <w:color w:val="auto"/>
          <w:sz w:val="24"/>
          <w:szCs w:val="21"/>
        </w:rPr>
        <w:t>本保函项下所有权利和义务均受中华人民共和国法律管辖和制约。</w:t>
      </w:r>
    </w:p>
    <w:p w14:paraId="6FBECEB7">
      <w:pPr>
        <w:spacing w:line="48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lang w:val="en-US" w:eastAsia="zh-CN"/>
        </w:rPr>
        <w:t xml:space="preserve">             </w:t>
      </w:r>
      <w:r>
        <w:rPr>
          <w:rFonts w:hint="eastAsia" w:ascii="宋体" w:hAnsi="宋体"/>
          <w:color w:val="auto"/>
          <w:sz w:val="24"/>
          <w:szCs w:val="21"/>
        </w:rPr>
        <w:t>担保人名称：</w:t>
      </w:r>
      <w:r>
        <w:rPr>
          <w:rFonts w:hint="eastAsia" w:ascii="宋体" w:hAnsi="宋体"/>
          <w:color w:val="auto"/>
          <w:sz w:val="24"/>
          <w:szCs w:val="21"/>
          <w:u w:val="single"/>
        </w:rPr>
        <w:t xml:space="preserve">                                </w:t>
      </w:r>
      <w:r>
        <w:rPr>
          <w:rFonts w:hint="eastAsia" w:ascii="宋体" w:hAnsi="宋体"/>
          <w:color w:val="auto"/>
          <w:sz w:val="24"/>
          <w:szCs w:val="21"/>
        </w:rPr>
        <w:t>（盖单位章）</w:t>
      </w:r>
    </w:p>
    <w:p w14:paraId="14E3D476">
      <w:pPr>
        <w:spacing w:line="48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hint="eastAsia" w:ascii="宋体" w:hAnsi="宋体"/>
          <w:color w:val="auto"/>
          <w:sz w:val="24"/>
          <w:szCs w:val="21"/>
        </w:rPr>
        <w:t>（签字）</w:t>
      </w:r>
    </w:p>
    <w:p w14:paraId="382DD089">
      <w:pPr>
        <w:spacing w:line="480" w:lineRule="exact"/>
        <w:rPr>
          <w:rFonts w:ascii="宋体" w:hAnsi="宋体"/>
          <w:color w:val="auto"/>
          <w:sz w:val="24"/>
          <w:szCs w:val="21"/>
        </w:rPr>
      </w:pPr>
      <w:r>
        <w:rPr>
          <w:rFonts w:hint="eastAsia" w:ascii="宋体" w:hAnsi="宋体"/>
          <w:color w:val="auto"/>
          <w:sz w:val="24"/>
          <w:szCs w:val="21"/>
        </w:rPr>
        <w:t xml:space="preserve">              地    址：</w:t>
      </w:r>
      <w:r>
        <w:rPr>
          <w:rFonts w:hint="eastAsia" w:ascii="宋体" w:hAnsi="宋体"/>
          <w:color w:val="auto"/>
          <w:sz w:val="24"/>
          <w:szCs w:val="21"/>
          <w:u w:val="single"/>
        </w:rPr>
        <w:t xml:space="preserve">                                            </w:t>
      </w:r>
    </w:p>
    <w:p w14:paraId="5ED628EE">
      <w:pPr>
        <w:spacing w:line="480" w:lineRule="exact"/>
        <w:rPr>
          <w:rFonts w:ascii="宋体" w:hAnsi="宋体"/>
          <w:color w:val="auto"/>
          <w:sz w:val="24"/>
          <w:szCs w:val="21"/>
        </w:rPr>
      </w:pPr>
      <w:r>
        <w:rPr>
          <w:rFonts w:hint="eastAsia" w:ascii="宋体" w:hAnsi="宋体"/>
          <w:color w:val="auto"/>
          <w:sz w:val="24"/>
          <w:szCs w:val="21"/>
        </w:rPr>
        <w:t xml:space="preserve">              邮政编码：</w:t>
      </w:r>
      <w:r>
        <w:rPr>
          <w:rFonts w:hint="eastAsia" w:ascii="宋体" w:hAnsi="宋体"/>
          <w:color w:val="auto"/>
          <w:sz w:val="24"/>
          <w:szCs w:val="21"/>
          <w:u w:val="single"/>
        </w:rPr>
        <w:t xml:space="preserve">                                            </w:t>
      </w:r>
    </w:p>
    <w:p w14:paraId="3C0E1612">
      <w:pPr>
        <w:spacing w:line="480" w:lineRule="exact"/>
        <w:rPr>
          <w:rFonts w:ascii="宋体" w:hAnsi="宋体"/>
          <w:color w:val="auto"/>
          <w:sz w:val="24"/>
          <w:szCs w:val="21"/>
        </w:rPr>
      </w:pPr>
      <w:r>
        <w:rPr>
          <w:rFonts w:hint="eastAsia" w:ascii="宋体" w:hAnsi="宋体"/>
          <w:color w:val="auto"/>
          <w:sz w:val="24"/>
          <w:szCs w:val="21"/>
        </w:rPr>
        <w:t xml:space="preserve">              电    话：</w:t>
      </w:r>
      <w:r>
        <w:rPr>
          <w:rFonts w:hint="eastAsia" w:ascii="宋体" w:hAnsi="宋体"/>
          <w:color w:val="auto"/>
          <w:sz w:val="24"/>
          <w:szCs w:val="21"/>
          <w:u w:val="single"/>
        </w:rPr>
        <w:t xml:space="preserve">                                            </w:t>
      </w:r>
    </w:p>
    <w:p w14:paraId="0CB0A519">
      <w:pPr>
        <w:spacing w:line="480" w:lineRule="exact"/>
        <w:rPr>
          <w:rFonts w:ascii="宋体" w:hAnsi="宋体"/>
          <w:color w:val="auto"/>
          <w:sz w:val="24"/>
          <w:szCs w:val="21"/>
        </w:rPr>
      </w:pPr>
      <w:r>
        <w:rPr>
          <w:rFonts w:hint="eastAsia" w:ascii="宋体" w:hAnsi="宋体"/>
          <w:color w:val="auto"/>
          <w:sz w:val="24"/>
          <w:szCs w:val="21"/>
        </w:rPr>
        <w:t xml:space="preserve">              传    真：</w:t>
      </w:r>
      <w:r>
        <w:rPr>
          <w:rFonts w:hint="eastAsia" w:ascii="宋体" w:hAnsi="宋体"/>
          <w:color w:val="auto"/>
          <w:sz w:val="24"/>
          <w:szCs w:val="21"/>
          <w:u w:val="single"/>
        </w:rPr>
        <w:t xml:space="preserve">                                            </w:t>
      </w:r>
    </w:p>
    <w:p w14:paraId="4001B2F6">
      <w:pPr>
        <w:spacing w:line="480" w:lineRule="exact"/>
        <w:jc w:val="righ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 xml:space="preserve">日      </w:t>
      </w:r>
    </w:p>
    <w:p w14:paraId="52739C96">
      <w:pPr>
        <w:pStyle w:val="3"/>
        <w:spacing w:line="480" w:lineRule="exact"/>
        <w:jc w:val="center"/>
        <w:rPr>
          <w:rFonts w:ascii="宋体" w:hAnsi="宋体"/>
          <w:color w:val="auto"/>
          <w:sz w:val="24"/>
          <w:szCs w:val="21"/>
        </w:rPr>
      </w:pPr>
      <w:r>
        <w:rPr>
          <w:rFonts w:hint="eastAsia" w:ascii="宋体" w:hAnsi="宋体"/>
          <w:color w:val="auto"/>
          <w:sz w:val="24"/>
          <w:szCs w:val="21"/>
        </w:rPr>
        <w:t>备注：经过招标人事先的书面同意，投标人可采用招标人认可的投标保函格式，但相关内容不得背离</w:t>
      </w:r>
      <w:r>
        <w:rPr>
          <w:rFonts w:hint="eastAsia" w:ascii="宋体" w:hAnsi="宋体"/>
          <w:color w:val="auto"/>
          <w:sz w:val="24"/>
          <w:szCs w:val="21"/>
          <w:lang w:eastAsia="zh-CN"/>
        </w:rPr>
        <w:t>磋商文件</w:t>
      </w:r>
      <w:r>
        <w:rPr>
          <w:rFonts w:hint="eastAsia" w:ascii="宋体" w:hAnsi="宋体"/>
          <w:color w:val="auto"/>
          <w:sz w:val="24"/>
          <w:szCs w:val="21"/>
        </w:rPr>
        <w:t>约定的实质性内容。</w:t>
      </w:r>
    </w:p>
    <w:p w14:paraId="141239DD">
      <w:pPr>
        <w:spacing w:line="360" w:lineRule="auto"/>
        <w:rPr>
          <w:color w:val="auto"/>
        </w:rPr>
      </w:pPr>
    </w:p>
    <w:p w14:paraId="6BEF7052">
      <w:pPr>
        <w:numPr>
          <w:ilvl w:val="0"/>
          <w:numId w:val="0"/>
        </w:numPr>
        <w:spacing w:before="116" w:line="225"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pacing w:val="12"/>
          <w:sz w:val="32"/>
          <w:szCs w:val="32"/>
          <w:highlight w:val="none"/>
          <w:lang w:val="en-US" w:eastAsia="zh-CN"/>
        </w:rPr>
        <w:t>六.</w:t>
      </w:r>
      <w:r>
        <w:rPr>
          <w:rFonts w:ascii="宋体" w:hAnsi="宋体" w:eastAsia="宋体" w:cs="宋体"/>
          <w:b/>
          <w:bCs/>
          <w:color w:val="auto"/>
          <w:spacing w:val="12"/>
          <w:sz w:val="32"/>
          <w:szCs w:val="32"/>
          <w:highlight w:val="none"/>
        </w:rPr>
        <w:t>中</w:t>
      </w:r>
      <w:r>
        <w:rPr>
          <w:rFonts w:ascii="宋体" w:hAnsi="宋体" w:eastAsia="宋体" w:cs="宋体"/>
          <w:b/>
          <w:bCs/>
          <w:color w:val="auto"/>
          <w:spacing w:val="8"/>
          <w:sz w:val="32"/>
          <w:szCs w:val="32"/>
          <w:highlight w:val="none"/>
        </w:rPr>
        <w:t>小</w:t>
      </w:r>
      <w:r>
        <w:rPr>
          <w:rFonts w:ascii="宋体" w:hAnsi="宋体" w:eastAsia="宋体" w:cs="宋体"/>
          <w:b/>
          <w:bCs/>
          <w:color w:val="auto"/>
          <w:spacing w:val="6"/>
          <w:sz w:val="32"/>
          <w:szCs w:val="32"/>
          <w:highlight w:val="none"/>
        </w:rPr>
        <w:t>企业声明函 (工程、服务)</w:t>
      </w:r>
    </w:p>
    <w:p w14:paraId="29999E8A">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本公司郑重声明，根据《政府采购促进中</w:t>
      </w:r>
      <w:r>
        <w:rPr>
          <w:rFonts w:hint="eastAsia" w:ascii="宋体" w:hAnsi="宋体" w:eastAsia="宋体" w:cs="宋体"/>
          <w:i w:val="0"/>
          <w:iCs w:val="0"/>
          <w:color w:val="auto"/>
          <w:spacing w:val="5"/>
          <w:sz w:val="24"/>
          <w:szCs w:val="24"/>
          <w:highlight w:val="none"/>
        </w:rPr>
        <w:t>小</w:t>
      </w:r>
      <w:r>
        <w:rPr>
          <w:rFonts w:hint="eastAsia" w:ascii="宋体" w:hAnsi="宋体" w:eastAsia="宋体" w:cs="宋体"/>
          <w:i w:val="0"/>
          <w:iCs w:val="0"/>
          <w:color w:val="auto"/>
          <w:spacing w:val="-22"/>
          <w:sz w:val="24"/>
          <w:szCs w:val="24"/>
          <w:highlight w:val="none"/>
        </w:rPr>
        <w:t>企</w:t>
      </w:r>
      <w:r>
        <w:rPr>
          <w:rFonts w:hint="eastAsia" w:ascii="宋体" w:hAnsi="宋体" w:eastAsia="宋体" w:cs="宋体"/>
          <w:i w:val="0"/>
          <w:iCs w:val="0"/>
          <w:color w:val="auto"/>
          <w:spacing w:val="-12"/>
          <w:sz w:val="24"/>
          <w:szCs w:val="24"/>
          <w:highlight w:val="none"/>
        </w:rPr>
        <w:t>业</w:t>
      </w:r>
      <w:r>
        <w:rPr>
          <w:rFonts w:hint="eastAsia" w:ascii="宋体" w:hAnsi="宋体" w:eastAsia="宋体" w:cs="宋体"/>
          <w:i w:val="0"/>
          <w:iCs w:val="0"/>
          <w:color w:val="auto"/>
          <w:spacing w:val="-11"/>
          <w:sz w:val="24"/>
          <w:szCs w:val="24"/>
          <w:highlight w:val="none"/>
        </w:rPr>
        <w:t>发展管理办法》(财库 ﹝ 2020 ﹞ 46 号) 的规定，本公司</w:t>
      </w:r>
      <w:r>
        <w:rPr>
          <w:rFonts w:hint="eastAsia" w:ascii="宋体" w:hAnsi="宋体" w:eastAsia="宋体" w:cs="宋体"/>
          <w:i w:val="0"/>
          <w:iCs w:val="0"/>
          <w:color w:val="auto"/>
          <w:spacing w:val="-5"/>
          <w:sz w:val="24"/>
          <w:szCs w:val="24"/>
          <w:highlight w:val="none"/>
        </w:rPr>
        <w:t>参加</w:t>
      </w:r>
      <w:r>
        <w:rPr>
          <w:rFonts w:hint="eastAsia" w:ascii="宋体" w:hAnsi="宋体" w:eastAsia="宋体" w:cs="宋体"/>
          <w:i w:val="0"/>
          <w:iCs w:val="0"/>
          <w:color w:val="auto"/>
          <w:spacing w:val="-5"/>
          <w:sz w:val="24"/>
          <w:szCs w:val="24"/>
          <w:highlight w:val="none"/>
          <w:u w:val="single" w:color="auto"/>
        </w:rPr>
        <w:t xml:space="preserve"> (单位名称) </w:t>
      </w:r>
      <w:r>
        <w:rPr>
          <w:rFonts w:hint="eastAsia" w:ascii="宋体" w:hAnsi="宋体" w:eastAsia="宋体" w:cs="宋体"/>
          <w:i w:val="0"/>
          <w:iCs w:val="0"/>
          <w:color w:val="auto"/>
          <w:spacing w:val="-5"/>
          <w:sz w:val="24"/>
          <w:szCs w:val="24"/>
          <w:highlight w:val="none"/>
        </w:rPr>
        <w:t xml:space="preserve"> 的</w:t>
      </w:r>
      <w:r>
        <w:rPr>
          <w:rFonts w:hint="eastAsia" w:ascii="宋体" w:hAnsi="宋体" w:eastAsia="宋体" w:cs="宋体"/>
          <w:i w:val="0"/>
          <w:iCs w:val="0"/>
          <w:color w:val="auto"/>
          <w:spacing w:val="-5"/>
          <w:sz w:val="24"/>
          <w:szCs w:val="24"/>
          <w:highlight w:val="none"/>
          <w:u w:val="single" w:color="auto"/>
        </w:rPr>
        <w:t xml:space="preserve"> (项目名称) </w:t>
      </w:r>
      <w:r>
        <w:rPr>
          <w:rFonts w:hint="eastAsia" w:ascii="宋体" w:hAnsi="宋体" w:eastAsia="宋体" w:cs="宋体"/>
          <w:i w:val="0"/>
          <w:iCs w:val="0"/>
          <w:color w:val="auto"/>
          <w:spacing w:val="-5"/>
          <w:sz w:val="24"/>
          <w:szCs w:val="24"/>
          <w:highlight w:val="none"/>
        </w:rPr>
        <w:t>采购活动，工</w:t>
      </w:r>
      <w:r>
        <w:rPr>
          <w:rFonts w:hint="eastAsia" w:ascii="宋体" w:hAnsi="宋体" w:eastAsia="宋体" w:cs="宋体"/>
          <w:i w:val="0"/>
          <w:iCs w:val="0"/>
          <w:color w:val="auto"/>
          <w:spacing w:val="13"/>
          <w:sz w:val="24"/>
          <w:szCs w:val="24"/>
          <w:highlight w:val="none"/>
        </w:rPr>
        <w:t>程</w:t>
      </w:r>
      <w:r>
        <w:rPr>
          <w:rFonts w:hint="eastAsia" w:ascii="宋体" w:hAnsi="宋体" w:eastAsia="宋体" w:cs="宋体"/>
          <w:i w:val="0"/>
          <w:iCs w:val="0"/>
          <w:color w:val="auto"/>
          <w:spacing w:val="8"/>
          <w:sz w:val="24"/>
          <w:szCs w:val="24"/>
          <w:highlight w:val="none"/>
        </w:rPr>
        <w:t>的施工单位全部为符合政策要求的中小企业。相关企业的具体情</w:t>
      </w:r>
      <w:r>
        <w:rPr>
          <w:rFonts w:hint="eastAsia" w:ascii="宋体" w:hAnsi="宋体" w:eastAsia="宋体" w:cs="宋体"/>
          <w:i w:val="0"/>
          <w:iCs w:val="0"/>
          <w:color w:val="auto"/>
          <w:spacing w:val="2"/>
          <w:sz w:val="24"/>
          <w:szCs w:val="24"/>
          <w:highlight w:val="none"/>
        </w:rPr>
        <w:t>况如下</w:t>
      </w:r>
      <w:r>
        <w:rPr>
          <w:rFonts w:hint="eastAsia" w:ascii="宋体" w:hAnsi="宋体" w:eastAsia="宋体" w:cs="宋体"/>
          <w:i w:val="0"/>
          <w:iCs w:val="0"/>
          <w:color w:val="auto"/>
          <w:spacing w:val="1"/>
          <w:sz w:val="24"/>
          <w:szCs w:val="24"/>
          <w:highlight w:val="none"/>
        </w:rPr>
        <w:t>：</w:t>
      </w:r>
    </w:p>
    <w:p w14:paraId="7A14E0E3">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 xml:space="preserve">1. </w:t>
      </w:r>
      <w:r>
        <w:rPr>
          <w:rFonts w:hint="eastAsia" w:ascii="宋体" w:hAnsi="宋体" w:eastAsia="宋体" w:cs="宋体"/>
          <w:i w:val="0"/>
          <w:iCs w:val="0"/>
          <w:color w:val="auto"/>
          <w:spacing w:val="-11"/>
          <w:sz w:val="24"/>
          <w:szCs w:val="24"/>
          <w:highlight w:val="none"/>
          <w:u w:val="single"/>
        </w:rPr>
        <w:t>(标的名称)</w:t>
      </w:r>
      <w:r>
        <w:rPr>
          <w:rFonts w:hint="eastAsia" w:ascii="宋体" w:hAnsi="宋体" w:eastAsia="宋体" w:cs="宋体"/>
          <w:i w:val="0"/>
          <w:iCs w:val="0"/>
          <w:color w:val="auto"/>
          <w:spacing w:val="-11"/>
          <w:sz w:val="24"/>
          <w:szCs w:val="24"/>
          <w:highlight w:val="none"/>
        </w:rPr>
        <w:t xml:space="preserve"> ，属于</w:t>
      </w:r>
      <w:r>
        <w:rPr>
          <w:rFonts w:hint="eastAsia" w:ascii="宋体" w:hAnsi="宋体" w:eastAsia="宋体" w:cs="宋体"/>
          <w:i w:val="0"/>
          <w:iCs w:val="0"/>
          <w:color w:val="auto"/>
          <w:spacing w:val="-11"/>
          <w:sz w:val="24"/>
          <w:szCs w:val="24"/>
          <w:highlight w:val="none"/>
          <w:u w:val="single"/>
        </w:rPr>
        <w:t>(采购文件中明确的所属行业)</w:t>
      </w:r>
      <w:r>
        <w:rPr>
          <w:rFonts w:hint="eastAsia" w:ascii="宋体" w:hAnsi="宋体" w:eastAsia="宋体" w:cs="宋体"/>
          <w:i w:val="0"/>
          <w:iCs w:val="0"/>
          <w:color w:val="auto"/>
          <w:spacing w:val="-11"/>
          <w:sz w:val="24"/>
          <w:szCs w:val="24"/>
          <w:highlight w:val="none"/>
        </w:rPr>
        <w:t>；</w:t>
      </w:r>
      <w:r>
        <w:rPr>
          <w:rFonts w:hint="eastAsia" w:ascii="宋体" w:hAnsi="宋体" w:eastAsia="宋体" w:cs="宋体"/>
          <w:i w:val="0"/>
          <w:iCs w:val="0"/>
          <w:color w:val="auto"/>
          <w:spacing w:val="-11"/>
          <w:sz w:val="24"/>
          <w:szCs w:val="24"/>
          <w:highlight w:val="none"/>
          <w:u w:val="none"/>
        </w:rPr>
        <w:t>承建企业</w:t>
      </w:r>
      <w:r>
        <w:rPr>
          <w:rFonts w:hint="eastAsia" w:ascii="宋体" w:hAnsi="宋体" w:eastAsia="宋体" w:cs="宋体"/>
          <w:i w:val="0"/>
          <w:iCs w:val="0"/>
          <w:color w:val="auto"/>
          <w:spacing w:val="-11"/>
          <w:sz w:val="24"/>
          <w:szCs w:val="24"/>
          <w:highlight w:val="none"/>
        </w:rPr>
        <w:t>为</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 xml:space="preserve">(企业名称)，从业人员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人，营业收入为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万元，资产总额为</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 ，属于</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(中型企业、小型企业、微型企业)；</w:t>
      </w:r>
    </w:p>
    <w:p w14:paraId="2D853AD2">
      <w:pPr>
        <w:keepNext w:val="0"/>
        <w:keepLines w:val="0"/>
        <w:pageBreakBefore w:val="0"/>
        <w:widowControl w:val="0"/>
        <w:kinsoku/>
        <w:wordWrap/>
        <w:overflowPunct/>
        <w:topLinePunct w:val="0"/>
        <w:autoSpaceDE/>
        <w:autoSpaceDN/>
        <w:bidi w:val="0"/>
        <w:adjustRightInd/>
        <w:snapToGrid/>
        <w:spacing w:before="133" w:line="520" w:lineRule="exact"/>
        <w:ind w:left="18" w:firstLine="65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2.</w:t>
      </w:r>
      <w:r>
        <w:rPr>
          <w:rFonts w:hint="eastAsia" w:ascii="宋体" w:hAnsi="宋体" w:eastAsia="宋体" w:cs="宋体"/>
          <w:i w:val="0"/>
          <w:iCs w:val="0"/>
          <w:color w:val="auto"/>
          <w:spacing w:val="-3"/>
          <w:sz w:val="24"/>
          <w:szCs w:val="24"/>
          <w:highlight w:val="none"/>
          <w:u w:val="single" w:color="auto"/>
        </w:rPr>
        <w:t xml:space="preserve"> (标的名称)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(采购文件中明确的所属行业</w:t>
      </w:r>
      <w:r>
        <w:rPr>
          <w:rFonts w:hint="eastAsia" w:ascii="宋体" w:hAnsi="宋体" w:eastAsia="宋体" w:cs="宋体"/>
          <w:i w:val="0"/>
          <w:iCs w:val="0"/>
          <w:color w:val="auto"/>
          <w:spacing w:val="-3"/>
          <w:sz w:val="24"/>
          <w:szCs w:val="24"/>
          <w:highlight w:val="none"/>
        </w:rPr>
        <w:t>)；</w:t>
      </w:r>
      <w:r>
        <w:rPr>
          <w:rFonts w:hint="eastAsia" w:ascii="宋体" w:hAnsi="宋体" w:eastAsia="宋体" w:cs="宋体"/>
          <w:i w:val="0"/>
          <w:iCs w:val="0"/>
          <w:color w:val="auto"/>
          <w:spacing w:val="14"/>
          <w:sz w:val="24"/>
          <w:szCs w:val="24"/>
          <w:highlight w:val="none"/>
        </w:rPr>
        <w:t>承</w:t>
      </w:r>
      <w:r>
        <w:rPr>
          <w:rFonts w:hint="eastAsia" w:ascii="宋体" w:hAnsi="宋体" w:eastAsia="宋体" w:cs="宋体"/>
          <w:i w:val="0"/>
          <w:iCs w:val="0"/>
          <w:color w:val="auto"/>
          <w:spacing w:val="9"/>
          <w:sz w:val="24"/>
          <w:szCs w:val="24"/>
          <w:highlight w:val="none"/>
        </w:rPr>
        <w:t>建企业为</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u w:val="single" w:color="auto"/>
          <w:lang w:val="en-US" w:eastAsia="zh-CN"/>
        </w:rPr>
        <w:t xml:space="preserve">   </w:t>
      </w:r>
      <w:r>
        <w:rPr>
          <w:rFonts w:hint="eastAsia" w:ascii="宋体" w:hAnsi="宋体" w:eastAsia="宋体" w:cs="宋体"/>
          <w:i w:val="0"/>
          <w:iCs w:val="0"/>
          <w:color w:val="auto"/>
          <w:spacing w:val="9"/>
          <w:sz w:val="24"/>
          <w:szCs w:val="24"/>
          <w:highlight w:val="none"/>
          <w:u w:val="single" w:color="auto"/>
        </w:rPr>
        <w:t>(企业名称</w:t>
      </w:r>
      <w:r>
        <w:rPr>
          <w:rFonts w:hint="eastAsia" w:ascii="宋体" w:hAnsi="宋体" w:eastAsia="宋体" w:cs="宋体"/>
          <w:i w:val="0"/>
          <w:iCs w:val="0"/>
          <w:color w:val="auto"/>
          <w:spacing w:val="9"/>
          <w:sz w:val="24"/>
          <w:szCs w:val="24"/>
          <w:highlight w:val="none"/>
        </w:rPr>
        <w:t>)，从业人员</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rPr>
        <w:t>人，营业</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4"/>
          <w:sz w:val="24"/>
          <w:szCs w:val="24"/>
          <w:highlight w:val="none"/>
        </w:rPr>
        <w:t>收入为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万元，资产总额为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万元，属于</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lang w:val="en-US" w:eastAsia="zh-CN"/>
        </w:rPr>
        <w:t xml:space="preserve">     </w:t>
      </w:r>
      <w:r>
        <w:rPr>
          <w:rFonts w:hint="eastAsia" w:ascii="宋体" w:hAnsi="宋体" w:eastAsia="宋体" w:cs="宋体"/>
          <w:i w:val="0"/>
          <w:iCs w:val="0"/>
          <w:color w:val="auto"/>
          <w:spacing w:val="4"/>
          <w:sz w:val="24"/>
          <w:szCs w:val="24"/>
          <w:highlight w:val="none"/>
          <w:u w:val="single" w:color="auto"/>
        </w:rPr>
        <w:t>(</w:t>
      </w:r>
      <w:r>
        <w:rPr>
          <w:rFonts w:hint="eastAsia" w:ascii="宋体" w:hAnsi="宋体" w:eastAsia="宋体" w:cs="宋体"/>
          <w:i w:val="0"/>
          <w:iCs w:val="0"/>
          <w:color w:val="auto"/>
          <w:spacing w:val="4"/>
          <w:sz w:val="24"/>
          <w:szCs w:val="24"/>
          <w:highlight w:val="none"/>
          <w:u w:val="none" w:color="auto"/>
        </w:rPr>
        <w:t>中型企业</w:t>
      </w:r>
      <w:r>
        <w:rPr>
          <w:rFonts w:hint="eastAsia" w:ascii="宋体" w:hAnsi="宋体" w:eastAsia="宋体" w:cs="宋体"/>
          <w:i w:val="0"/>
          <w:iCs w:val="0"/>
          <w:color w:val="auto"/>
          <w:spacing w:val="1"/>
          <w:sz w:val="24"/>
          <w:szCs w:val="24"/>
          <w:highlight w:val="none"/>
          <w:u w:val="none" w:color="auto"/>
        </w:rPr>
        <w:t>、</w:t>
      </w:r>
      <w:r>
        <w:rPr>
          <w:rFonts w:hint="eastAsia" w:ascii="宋体" w:hAnsi="宋体" w:eastAsia="宋体" w:cs="宋体"/>
          <w:i w:val="0"/>
          <w:iCs w:val="0"/>
          <w:color w:val="auto"/>
          <w:sz w:val="24"/>
          <w:szCs w:val="24"/>
          <w:highlight w:val="none"/>
          <w:u w:val="none" w:color="auto"/>
        </w:rPr>
        <w:t xml:space="preserve"> </w:t>
      </w:r>
      <w:r>
        <w:rPr>
          <w:rFonts w:hint="eastAsia" w:ascii="宋体" w:hAnsi="宋体" w:eastAsia="宋体" w:cs="宋体"/>
          <w:i w:val="0"/>
          <w:iCs w:val="0"/>
          <w:color w:val="auto"/>
          <w:spacing w:val="-4"/>
          <w:sz w:val="24"/>
          <w:szCs w:val="24"/>
          <w:highlight w:val="none"/>
          <w:u w:val="none" w:color="auto"/>
        </w:rPr>
        <w:t>小</w:t>
      </w:r>
      <w:r>
        <w:rPr>
          <w:rFonts w:hint="eastAsia" w:ascii="宋体" w:hAnsi="宋体" w:eastAsia="宋体" w:cs="宋体"/>
          <w:i w:val="0"/>
          <w:iCs w:val="0"/>
          <w:color w:val="auto"/>
          <w:spacing w:val="-3"/>
          <w:sz w:val="24"/>
          <w:szCs w:val="24"/>
          <w:highlight w:val="none"/>
          <w:u w:val="none" w:color="auto"/>
        </w:rPr>
        <w:t>型企业、微型企业)；</w:t>
      </w:r>
    </w:p>
    <w:p w14:paraId="336FDC54">
      <w:pPr>
        <w:keepNext w:val="0"/>
        <w:keepLines w:val="0"/>
        <w:pageBreakBefore w:val="0"/>
        <w:widowControl w:val="0"/>
        <w:kinsoku/>
        <w:wordWrap/>
        <w:overflowPunct/>
        <w:topLinePunct w:val="0"/>
        <w:autoSpaceDE/>
        <w:autoSpaceDN/>
        <w:bidi w:val="0"/>
        <w:adjustRightInd/>
        <w:snapToGrid/>
        <w:spacing w:line="520" w:lineRule="exact"/>
        <w:ind w:left="68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position w:val="4"/>
          <w:sz w:val="24"/>
          <w:szCs w:val="24"/>
          <w:highlight w:val="none"/>
        </w:rPr>
        <w:t>…</w:t>
      </w:r>
      <w:r>
        <w:rPr>
          <w:rFonts w:hint="eastAsia" w:ascii="宋体" w:hAnsi="宋体" w:eastAsia="宋体" w:cs="宋体"/>
          <w:i w:val="0"/>
          <w:iCs w:val="0"/>
          <w:color w:val="auto"/>
          <w:spacing w:val="4"/>
          <w:position w:val="4"/>
          <w:sz w:val="24"/>
          <w:szCs w:val="24"/>
          <w:highlight w:val="none"/>
        </w:rPr>
        <w:t>…</w:t>
      </w:r>
    </w:p>
    <w:p w14:paraId="1DD42584">
      <w:pPr>
        <w:keepNext w:val="0"/>
        <w:keepLines w:val="0"/>
        <w:pageBreakBefore w:val="0"/>
        <w:widowControl w:val="0"/>
        <w:kinsoku/>
        <w:wordWrap/>
        <w:overflowPunct/>
        <w:topLinePunct w:val="0"/>
        <w:autoSpaceDE/>
        <w:autoSpaceDN/>
        <w:bidi w:val="0"/>
        <w:adjustRightInd/>
        <w:snapToGrid/>
        <w:spacing w:before="13" w:line="520" w:lineRule="exact"/>
        <w:ind w:left="35" w:right="86" w:firstLine="67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以上企业，不属于大企业的分支机构，不存在控股股</w:t>
      </w:r>
      <w:r>
        <w:rPr>
          <w:rFonts w:hint="eastAsia" w:ascii="宋体" w:hAnsi="宋体" w:eastAsia="宋体" w:cs="宋体"/>
          <w:i w:val="0"/>
          <w:iCs w:val="0"/>
          <w:color w:val="auto"/>
          <w:spacing w:val="3"/>
          <w:sz w:val="24"/>
          <w:szCs w:val="24"/>
          <w:highlight w:val="none"/>
        </w:rPr>
        <w:t>东</w:t>
      </w:r>
      <w:r>
        <w:rPr>
          <w:rFonts w:hint="eastAsia" w:ascii="宋体" w:hAnsi="宋体" w:eastAsia="宋体" w:cs="宋体"/>
          <w:i w:val="0"/>
          <w:iCs w:val="0"/>
          <w:color w:val="auto"/>
          <w:spacing w:val="16"/>
          <w:sz w:val="24"/>
          <w:szCs w:val="24"/>
          <w:highlight w:val="none"/>
        </w:rPr>
        <w:t>为大</w:t>
      </w:r>
      <w:r>
        <w:rPr>
          <w:rFonts w:hint="eastAsia" w:ascii="宋体" w:hAnsi="宋体" w:eastAsia="宋体" w:cs="宋体"/>
          <w:i w:val="0"/>
          <w:iCs w:val="0"/>
          <w:color w:val="auto"/>
          <w:spacing w:val="8"/>
          <w:sz w:val="24"/>
          <w:szCs w:val="24"/>
          <w:highlight w:val="none"/>
        </w:rPr>
        <w:t>企业的情形，也不存在与大企业的负责人为同一人的情</w:t>
      </w:r>
      <w:r>
        <w:rPr>
          <w:rFonts w:hint="eastAsia" w:ascii="宋体" w:hAnsi="宋体" w:eastAsia="宋体" w:cs="宋体"/>
          <w:i w:val="0"/>
          <w:iCs w:val="0"/>
          <w:color w:val="auto"/>
          <w:spacing w:val="-7"/>
          <w:sz w:val="24"/>
          <w:szCs w:val="24"/>
          <w:highlight w:val="none"/>
        </w:rPr>
        <w:t>形</w:t>
      </w:r>
      <w:r>
        <w:rPr>
          <w:rFonts w:hint="eastAsia" w:ascii="宋体" w:hAnsi="宋体" w:eastAsia="宋体" w:cs="宋体"/>
          <w:i w:val="0"/>
          <w:iCs w:val="0"/>
          <w:color w:val="auto"/>
          <w:spacing w:val="-6"/>
          <w:sz w:val="24"/>
          <w:szCs w:val="24"/>
          <w:highlight w:val="none"/>
        </w:rPr>
        <w:t>。</w:t>
      </w:r>
    </w:p>
    <w:p w14:paraId="6F7B7AC0">
      <w:pPr>
        <w:keepNext w:val="0"/>
        <w:keepLines w:val="0"/>
        <w:pageBreakBefore w:val="0"/>
        <w:widowControl w:val="0"/>
        <w:kinsoku/>
        <w:wordWrap/>
        <w:overflowPunct/>
        <w:topLinePunct w:val="0"/>
        <w:autoSpaceDE/>
        <w:autoSpaceDN/>
        <w:bidi w:val="0"/>
        <w:adjustRightInd/>
        <w:snapToGrid/>
        <w:spacing w:before="1" w:line="520" w:lineRule="exact"/>
        <w:ind w:left="45" w:right="88" w:firstLine="63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本</w:t>
      </w:r>
      <w:r>
        <w:rPr>
          <w:rFonts w:hint="eastAsia" w:ascii="宋体" w:hAnsi="宋体" w:eastAsia="宋体" w:cs="宋体"/>
          <w:i w:val="0"/>
          <w:iCs w:val="0"/>
          <w:color w:val="auto"/>
          <w:spacing w:val="8"/>
          <w:sz w:val="24"/>
          <w:szCs w:val="24"/>
          <w:highlight w:val="none"/>
        </w:rPr>
        <w:t>企业对上述声明内容的真实性负责。如有虚假，将依法</w:t>
      </w:r>
      <w:r>
        <w:rPr>
          <w:rFonts w:hint="eastAsia" w:ascii="宋体" w:hAnsi="宋体" w:eastAsia="宋体" w:cs="宋体"/>
          <w:i w:val="0"/>
          <w:iCs w:val="0"/>
          <w:color w:val="auto"/>
          <w:spacing w:val="5"/>
          <w:sz w:val="24"/>
          <w:szCs w:val="24"/>
          <w:highlight w:val="none"/>
        </w:rPr>
        <w:t>承</w:t>
      </w:r>
      <w:r>
        <w:rPr>
          <w:rFonts w:hint="eastAsia" w:ascii="宋体" w:hAnsi="宋体" w:eastAsia="宋体" w:cs="宋体"/>
          <w:i w:val="0"/>
          <w:iCs w:val="0"/>
          <w:color w:val="auto"/>
          <w:spacing w:val="4"/>
          <w:sz w:val="24"/>
          <w:szCs w:val="24"/>
          <w:highlight w:val="none"/>
        </w:rPr>
        <w:t>担相应责任。</w:t>
      </w:r>
    </w:p>
    <w:p w14:paraId="51F88D05">
      <w:pPr>
        <w:keepNext w:val="0"/>
        <w:keepLines w:val="0"/>
        <w:pageBreakBefore w:val="0"/>
        <w:widowControl w:val="0"/>
        <w:kinsoku/>
        <w:wordWrap/>
        <w:overflowPunct/>
        <w:topLinePunct w:val="0"/>
        <w:autoSpaceDE/>
        <w:autoSpaceDN/>
        <w:bidi w:val="0"/>
        <w:adjustRightInd/>
        <w:snapToGrid/>
        <w:spacing w:before="1" w:line="520" w:lineRule="exact"/>
        <w:ind w:left="3876"/>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企业名称 (盖章)：</w:t>
      </w:r>
    </w:p>
    <w:p w14:paraId="0679C58C">
      <w:pPr>
        <w:keepNext w:val="0"/>
        <w:keepLines w:val="0"/>
        <w:pageBreakBefore w:val="0"/>
        <w:widowControl w:val="0"/>
        <w:kinsoku/>
        <w:wordWrap/>
        <w:overflowPunct/>
        <w:topLinePunct w:val="0"/>
        <w:autoSpaceDE/>
        <w:autoSpaceDN/>
        <w:bidi w:val="0"/>
        <w:adjustRightInd/>
        <w:snapToGrid/>
        <w:spacing w:before="159" w:line="520" w:lineRule="exact"/>
        <w:ind w:left="3942"/>
        <w:jc w:val="left"/>
        <w:textAlignment w:val="auto"/>
        <w:rPr>
          <w:rFonts w:hint="eastAsia" w:ascii="宋体" w:hAnsi="宋体" w:eastAsia="宋体" w:cs="宋体"/>
          <w:i w:val="0"/>
          <w:iCs w:val="0"/>
          <w:color w:val="auto"/>
          <w:spacing w:val="-38"/>
          <w:sz w:val="24"/>
          <w:szCs w:val="24"/>
          <w:highlight w:val="none"/>
          <w:lang w:val="en-US" w:eastAsia="zh-CN"/>
        </w:rPr>
      </w:pPr>
      <w:bookmarkStart w:id="673" w:name="_bookmark2"/>
      <w:bookmarkEnd w:id="673"/>
      <w:r>
        <w:rPr>
          <w:rFonts w:hint="eastAsia" w:ascii="宋体" w:hAnsi="宋体" w:eastAsia="宋体" w:cs="宋体"/>
          <w:i w:val="0"/>
          <w:iCs w:val="0"/>
          <w:color w:val="auto"/>
          <w:spacing w:val="-40"/>
          <w:sz w:val="24"/>
          <w:szCs w:val="24"/>
          <w:highlight w:val="none"/>
        </w:rPr>
        <w:t>日</w:t>
      </w:r>
      <w:r>
        <w:rPr>
          <w:rFonts w:hint="eastAsia" w:ascii="宋体" w:hAnsi="宋体" w:eastAsia="宋体" w:cs="宋体"/>
          <w:i w:val="0"/>
          <w:iCs w:val="0"/>
          <w:color w:val="auto"/>
          <w:spacing w:val="-38"/>
          <w:sz w:val="24"/>
          <w:szCs w:val="24"/>
          <w:highlight w:val="none"/>
        </w:rPr>
        <w:t xml:space="preserve"> 期</w:t>
      </w:r>
      <w:r>
        <w:rPr>
          <w:rFonts w:hint="eastAsia" w:ascii="宋体" w:hAnsi="宋体" w:eastAsia="宋体" w:cs="宋体"/>
          <w:i w:val="0"/>
          <w:iCs w:val="0"/>
          <w:color w:val="auto"/>
          <w:spacing w:val="-38"/>
          <w:sz w:val="24"/>
          <w:szCs w:val="24"/>
          <w:highlight w:val="none"/>
          <w:lang w:val="en-US" w:eastAsia="zh-CN"/>
        </w:rPr>
        <w:t xml:space="preserve"> ；</w:t>
      </w:r>
    </w:p>
    <w:p w14:paraId="49F6CBED">
      <w:pPr>
        <w:pStyle w:val="4"/>
        <w:jc w:val="both"/>
        <w:outlineLvl w:val="9"/>
        <w:rPr>
          <w:rFonts w:hint="eastAsia" w:ascii="宋体" w:hAnsi="宋体" w:eastAsia="宋体" w:cs="宋体"/>
          <w:i w:val="0"/>
          <w:iCs w:val="0"/>
          <w:color w:val="auto"/>
          <w:sz w:val="24"/>
          <w:szCs w:val="24"/>
          <w:highlight w:val="none"/>
        </w:rPr>
      </w:pPr>
    </w:p>
    <w:p w14:paraId="7BC0484F">
      <w:pPr>
        <w:pStyle w:val="46"/>
        <w:shd w:val="clear" w:color="auto" w:fill="auto"/>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9"/>
          <w:position w:val="6"/>
          <w:sz w:val="24"/>
          <w:szCs w:val="24"/>
          <w:highlight w:val="none"/>
        </w:rPr>
        <w:t xml:space="preserve"> </w:t>
      </w:r>
      <w:r>
        <w:rPr>
          <w:rFonts w:hint="eastAsia" w:ascii="宋体" w:hAnsi="宋体" w:eastAsia="宋体" w:cs="宋体"/>
          <w:i w:val="0"/>
          <w:iCs w:val="0"/>
          <w:color w:val="auto"/>
          <w:spacing w:val="9"/>
          <w:sz w:val="24"/>
          <w:szCs w:val="24"/>
          <w:highlight w:val="none"/>
        </w:rPr>
        <w:t>从业人员、营业收入、资产总额填报上一年度数据，无上一年度数据的新成立企业可不填报</w:t>
      </w:r>
      <w:r>
        <w:rPr>
          <w:rFonts w:hint="eastAsia" w:ascii="宋体" w:hAnsi="宋体" w:eastAsia="宋体" w:cs="宋体"/>
          <w:i w:val="0"/>
          <w:iCs w:val="0"/>
          <w:color w:val="auto"/>
          <w:spacing w:val="1"/>
          <w:sz w:val="24"/>
          <w:szCs w:val="24"/>
          <w:highlight w:val="none"/>
        </w:rPr>
        <w:t>。</w:t>
      </w:r>
    </w:p>
    <w:p w14:paraId="230BFE2D">
      <w:pPr>
        <w:pStyle w:val="28"/>
        <w:ind w:firstLine="420"/>
        <w:rPr>
          <w:color w:val="auto"/>
        </w:rPr>
      </w:pPr>
    </w:p>
    <w:p w14:paraId="7F888A1F">
      <w:pPr>
        <w:pStyle w:val="28"/>
        <w:ind w:firstLine="420"/>
        <w:rPr>
          <w:color w:val="auto"/>
        </w:rPr>
      </w:pPr>
    </w:p>
    <w:p w14:paraId="60547111">
      <w:pPr>
        <w:pStyle w:val="28"/>
        <w:ind w:firstLine="420"/>
        <w:rPr>
          <w:color w:val="auto"/>
        </w:rPr>
      </w:pPr>
    </w:p>
    <w:p w14:paraId="6B87239A">
      <w:pPr>
        <w:pStyle w:val="28"/>
        <w:ind w:firstLine="420"/>
        <w:rPr>
          <w:color w:val="auto"/>
        </w:rPr>
      </w:pPr>
    </w:p>
    <w:p w14:paraId="6D48B55E">
      <w:pPr>
        <w:pStyle w:val="28"/>
        <w:ind w:firstLine="420"/>
        <w:rPr>
          <w:color w:val="auto"/>
        </w:rPr>
      </w:pPr>
    </w:p>
    <w:p w14:paraId="2755AE84">
      <w:pPr>
        <w:pStyle w:val="28"/>
        <w:ind w:firstLine="420"/>
        <w:rPr>
          <w:color w:val="auto"/>
        </w:rPr>
      </w:pPr>
    </w:p>
    <w:p w14:paraId="76E02BC2">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磋商文件要求的其他证明材料</w:t>
      </w:r>
      <w:bookmarkEnd w:id="672"/>
      <w:r>
        <w:rPr>
          <w:rFonts w:hint="eastAsia" w:asciiTheme="minorEastAsia" w:hAnsiTheme="minorEastAsia" w:eastAsiaTheme="minorEastAsia" w:cstheme="minorEastAsia"/>
          <w:color w:val="auto"/>
          <w:lang w:val="zh-CN"/>
        </w:rPr>
        <w:br w:type="page"/>
      </w:r>
      <w:r>
        <w:rPr>
          <w:rFonts w:hint="eastAsia" w:asciiTheme="minorEastAsia" w:hAnsiTheme="minorEastAsia" w:eastAsiaTheme="minorEastAsia" w:cstheme="minorEastAsia"/>
          <w:color w:val="auto"/>
          <w:lang w:val="zh-CN"/>
        </w:rPr>
        <w:t>技</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术</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p>
    <w:p w14:paraId="009B87C8">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技术标封面示例</w:t>
      </w:r>
    </w:p>
    <w:p w14:paraId="5951EF5E">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14:paraId="288444A5">
      <w:pPr>
        <w:autoSpaceDE w:val="0"/>
        <w:autoSpaceDN w:val="0"/>
        <w:adjustRightInd w:val="0"/>
        <w:spacing w:line="360" w:lineRule="auto"/>
        <w:rPr>
          <w:rFonts w:asciiTheme="minorEastAsia" w:hAnsiTheme="minorEastAsia" w:eastAsiaTheme="minorEastAsia" w:cstheme="minorEastAsia"/>
          <w:color w:val="auto"/>
          <w:szCs w:val="21"/>
        </w:rPr>
      </w:pPr>
    </w:p>
    <w:p w14:paraId="7EE148F3">
      <w:pPr>
        <w:spacing w:line="360" w:lineRule="auto"/>
        <w:jc w:val="center"/>
        <w:rPr>
          <w:rFonts w:asciiTheme="minorEastAsia" w:hAnsiTheme="minorEastAsia" w:eastAsiaTheme="minorEastAsia" w:cstheme="minorEastAsia"/>
          <w:b/>
          <w:bCs/>
          <w:color w:val="auto"/>
          <w:lang w:val="zh-CN"/>
        </w:rPr>
      </w:pPr>
    </w:p>
    <w:p w14:paraId="598E16DE">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响应文件技术标</w:t>
      </w:r>
    </w:p>
    <w:p w14:paraId="64A78CCF">
      <w:pPr>
        <w:autoSpaceDE w:val="0"/>
        <w:autoSpaceDN w:val="0"/>
        <w:adjustRightInd w:val="0"/>
        <w:spacing w:line="360" w:lineRule="auto"/>
        <w:rPr>
          <w:rFonts w:asciiTheme="minorEastAsia" w:hAnsiTheme="minorEastAsia" w:eastAsiaTheme="minorEastAsia" w:cstheme="minorEastAsia"/>
          <w:color w:val="auto"/>
          <w:szCs w:val="21"/>
        </w:rPr>
      </w:pPr>
    </w:p>
    <w:p w14:paraId="627259FC">
      <w:pPr>
        <w:autoSpaceDE w:val="0"/>
        <w:autoSpaceDN w:val="0"/>
        <w:adjustRightInd w:val="0"/>
        <w:spacing w:line="360" w:lineRule="auto"/>
        <w:rPr>
          <w:rFonts w:asciiTheme="minorEastAsia" w:hAnsiTheme="minorEastAsia" w:eastAsiaTheme="minorEastAsia" w:cstheme="minorEastAsia"/>
          <w:color w:val="auto"/>
          <w:szCs w:val="21"/>
        </w:rPr>
      </w:pPr>
    </w:p>
    <w:p w14:paraId="07BA134E">
      <w:pPr>
        <w:autoSpaceDE w:val="0"/>
        <w:autoSpaceDN w:val="0"/>
        <w:adjustRightInd w:val="0"/>
        <w:spacing w:line="360" w:lineRule="auto"/>
        <w:rPr>
          <w:rFonts w:asciiTheme="minorEastAsia" w:hAnsiTheme="minorEastAsia" w:eastAsiaTheme="minorEastAsia" w:cstheme="minorEastAsia"/>
          <w:color w:val="auto"/>
          <w:szCs w:val="21"/>
        </w:rPr>
      </w:pPr>
    </w:p>
    <w:p w14:paraId="13BF1628">
      <w:pPr>
        <w:autoSpaceDE w:val="0"/>
        <w:autoSpaceDN w:val="0"/>
        <w:adjustRightInd w:val="0"/>
        <w:spacing w:line="360" w:lineRule="auto"/>
        <w:rPr>
          <w:rFonts w:asciiTheme="minorEastAsia" w:hAnsiTheme="minorEastAsia" w:eastAsiaTheme="minorEastAsia" w:cstheme="minorEastAsia"/>
          <w:color w:val="auto"/>
          <w:szCs w:val="21"/>
        </w:rPr>
      </w:pPr>
    </w:p>
    <w:p w14:paraId="084A51FB">
      <w:pPr>
        <w:autoSpaceDE w:val="0"/>
        <w:autoSpaceDN w:val="0"/>
        <w:adjustRightInd w:val="0"/>
        <w:spacing w:line="360" w:lineRule="auto"/>
        <w:jc w:val="left"/>
        <w:rPr>
          <w:rFonts w:asciiTheme="minorEastAsia" w:hAnsiTheme="minorEastAsia" w:eastAsiaTheme="minorEastAsia" w:cstheme="minorEastAsia"/>
          <w:color w:val="auto"/>
          <w:szCs w:val="21"/>
        </w:rPr>
      </w:pPr>
    </w:p>
    <w:p w14:paraId="70D7E2C9">
      <w:pPr>
        <w:pStyle w:val="21"/>
        <w:spacing w:line="360" w:lineRule="auto"/>
        <w:ind w:firstLine="480"/>
        <w:rPr>
          <w:rFonts w:asciiTheme="minorEastAsia" w:hAnsiTheme="minorEastAsia" w:eastAsiaTheme="minorEastAsia" w:cstheme="minorEastAsia"/>
          <w:color w:val="auto"/>
          <w:szCs w:val="21"/>
        </w:rPr>
      </w:pPr>
    </w:p>
    <w:p w14:paraId="76806674">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3EF53992">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27608C0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14:paraId="05C5BEFB">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0DD011FD">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0A3AA25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285A458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20227850">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1F30DF49">
      <w:pPr>
        <w:autoSpaceDE w:val="0"/>
        <w:autoSpaceDN w:val="0"/>
        <w:adjustRightInd w:val="0"/>
        <w:spacing w:line="360" w:lineRule="auto"/>
        <w:jc w:val="left"/>
        <w:rPr>
          <w:rFonts w:asciiTheme="minorEastAsia" w:hAnsiTheme="minorEastAsia" w:eastAsiaTheme="minorEastAsia" w:cstheme="minorEastAsia"/>
          <w:color w:val="auto"/>
          <w:szCs w:val="21"/>
        </w:rPr>
      </w:pPr>
    </w:p>
    <w:p w14:paraId="65769983">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54E9B9F0">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2F6105DD">
      <w:pPr>
        <w:spacing w:line="48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目 录</w:t>
      </w:r>
    </w:p>
    <w:p w14:paraId="37ABFF78">
      <w:pPr>
        <w:topLinePunct/>
        <w:spacing w:line="480" w:lineRule="exact"/>
        <w:ind w:firstLine="240" w:firstLineChars="100"/>
        <w:rPr>
          <w:rFonts w:asciiTheme="minorEastAsia" w:hAnsiTheme="minorEastAsia" w:eastAsiaTheme="minorEastAsia" w:cstheme="minorEastAsia"/>
          <w:color w:val="auto"/>
          <w:sz w:val="24"/>
        </w:rPr>
      </w:pPr>
      <w:bookmarkStart w:id="674" w:name="_Toc414108653"/>
      <w:r>
        <w:rPr>
          <w:rFonts w:hint="eastAsia" w:asciiTheme="minorEastAsia" w:hAnsiTheme="minorEastAsia" w:eastAsiaTheme="minorEastAsia" w:cstheme="minorEastAsia"/>
          <w:color w:val="auto"/>
          <w:sz w:val="24"/>
        </w:rPr>
        <w:t>1、工程概况及特点</w:t>
      </w:r>
    </w:p>
    <w:p w14:paraId="03C73EAD">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2、施工准备计划</w:t>
      </w:r>
    </w:p>
    <w:p w14:paraId="1CD234C9">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3、施工方案</w:t>
      </w:r>
    </w:p>
    <w:p w14:paraId="19621308">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4、施工进度计划</w:t>
      </w:r>
    </w:p>
    <w:p w14:paraId="41D78D0F">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5、施工平面图</w:t>
      </w:r>
    </w:p>
    <w:p w14:paraId="44951AED">
      <w:pPr>
        <w:topLinePunct/>
        <w:spacing w:line="480" w:lineRule="exact"/>
        <w:ind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6、劳动力需用量计划</w:t>
      </w:r>
    </w:p>
    <w:p w14:paraId="3FFE7BB6">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7、</w:t>
      </w:r>
      <w:r>
        <w:rPr>
          <w:rFonts w:ascii="宋体" w:hAnsi="宋体" w:eastAsia="宋体" w:cs="宋体"/>
          <w:sz w:val="24"/>
          <w:szCs w:val="24"/>
        </w:rPr>
        <w:t>材料用量计划</w:t>
      </w:r>
    </w:p>
    <w:p w14:paraId="46ACB6CC">
      <w:pPr>
        <w:topLinePunct/>
        <w:spacing w:line="48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机械设备用量计</w:t>
      </w:r>
    </w:p>
    <w:p w14:paraId="289FABAF">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w:t>
      </w:r>
      <w:r>
        <w:rPr>
          <w:rFonts w:ascii="宋体" w:hAnsi="宋体" w:eastAsia="宋体" w:cs="宋体"/>
          <w:sz w:val="24"/>
          <w:szCs w:val="24"/>
        </w:rPr>
        <w:t>质量、工期保证措施和体系</w:t>
      </w:r>
    </w:p>
    <w:p w14:paraId="7939AC79">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10</w:t>
      </w:r>
      <w:r>
        <w:rPr>
          <w:rFonts w:hint="eastAsia" w:asciiTheme="minorEastAsia" w:hAnsiTheme="minorEastAsia" w:eastAsiaTheme="minorEastAsia" w:cstheme="minorEastAsia"/>
          <w:color w:val="auto"/>
          <w:sz w:val="24"/>
          <w:szCs w:val="22"/>
        </w:rPr>
        <w:t>、安全保证措施和体系</w:t>
      </w:r>
    </w:p>
    <w:p w14:paraId="78169CBB">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11</w:t>
      </w:r>
      <w:r>
        <w:rPr>
          <w:rFonts w:hint="eastAsia" w:asciiTheme="minorEastAsia" w:hAnsiTheme="minorEastAsia" w:eastAsiaTheme="minorEastAsia" w:cstheme="minorEastAsia"/>
          <w:color w:val="auto"/>
          <w:sz w:val="24"/>
          <w:szCs w:val="22"/>
        </w:rPr>
        <w:t>、现场文明施工措施</w:t>
      </w:r>
    </w:p>
    <w:p w14:paraId="330E92DC">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12</w:t>
      </w:r>
      <w:r>
        <w:rPr>
          <w:rFonts w:hint="eastAsia" w:asciiTheme="minorEastAsia" w:hAnsiTheme="minorEastAsia" w:eastAsiaTheme="minorEastAsia" w:cstheme="minorEastAsia"/>
          <w:color w:val="auto"/>
          <w:sz w:val="24"/>
          <w:szCs w:val="22"/>
        </w:rPr>
        <w:t>、承诺</w:t>
      </w:r>
    </w:p>
    <w:p w14:paraId="197ADEE1">
      <w:pPr>
        <w:topLinePunct/>
        <w:spacing w:line="480" w:lineRule="exact"/>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sz w:val="24"/>
        </w:rPr>
        <w:t>注：</w:t>
      </w:r>
      <w:r>
        <w:rPr>
          <w:rFonts w:hint="eastAsia" w:asciiTheme="minorEastAsia" w:hAnsiTheme="minorEastAsia" w:eastAsiaTheme="minorEastAsia" w:cstheme="minorEastAsia"/>
          <w:color w:val="auto"/>
          <w:kern w:val="0"/>
          <w:sz w:val="24"/>
        </w:rPr>
        <w:t>投标文件须按技术标格式目录顺序编写</w:t>
      </w:r>
    </w:p>
    <w:p w14:paraId="67ADA420">
      <w:pPr>
        <w:topLinePunct/>
        <w:spacing w:line="480" w:lineRule="exact"/>
        <w:rPr>
          <w:rFonts w:asciiTheme="minorEastAsia" w:hAnsiTheme="minorEastAsia" w:eastAsiaTheme="minorEastAsia" w:cstheme="minorEastAsia"/>
          <w:b/>
          <w:color w:val="auto"/>
          <w:lang w:val="zh-CN"/>
        </w:rPr>
      </w:pPr>
    </w:p>
    <w:p w14:paraId="7434F254">
      <w:pPr>
        <w:pStyle w:val="4"/>
        <w:spacing w:line="360" w:lineRule="auto"/>
        <w:rPr>
          <w:rFonts w:asciiTheme="minorEastAsia" w:hAnsiTheme="minorEastAsia" w:eastAsiaTheme="minorEastAsia" w:cstheme="minorEastAsia"/>
          <w:color w:val="auto"/>
          <w:sz w:val="21"/>
          <w:lang w:val="zh-CN"/>
        </w:rPr>
      </w:pPr>
    </w:p>
    <w:p w14:paraId="54D9E5ED">
      <w:pPr>
        <w:spacing w:line="360" w:lineRule="auto"/>
        <w:rPr>
          <w:rFonts w:asciiTheme="minorEastAsia" w:hAnsiTheme="minorEastAsia" w:eastAsiaTheme="minorEastAsia" w:cstheme="minorEastAsia"/>
          <w:b/>
          <w:color w:val="auto"/>
          <w:lang w:val="zh-CN"/>
        </w:rPr>
      </w:pPr>
    </w:p>
    <w:p w14:paraId="60D1A7D8">
      <w:pPr>
        <w:pStyle w:val="4"/>
        <w:spacing w:line="360" w:lineRule="auto"/>
        <w:rPr>
          <w:rFonts w:asciiTheme="minorEastAsia" w:hAnsiTheme="minorEastAsia" w:eastAsiaTheme="minorEastAsia" w:cstheme="minorEastAsia"/>
          <w:color w:val="auto"/>
          <w:sz w:val="21"/>
          <w:lang w:val="zh-CN"/>
        </w:rPr>
      </w:pPr>
    </w:p>
    <w:p w14:paraId="42B3D7AD">
      <w:pPr>
        <w:spacing w:line="360" w:lineRule="auto"/>
        <w:rPr>
          <w:rFonts w:asciiTheme="minorEastAsia" w:hAnsiTheme="minorEastAsia" w:eastAsiaTheme="minorEastAsia" w:cstheme="minorEastAsia"/>
          <w:b/>
          <w:color w:val="auto"/>
          <w:lang w:val="zh-CN"/>
        </w:rPr>
      </w:pPr>
    </w:p>
    <w:p w14:paraId="3B16E73E">
      <w:pPr>
        <w:pStyle w:val="4"/>
        <w:spacing w:line="360" w:lineRule="auto"/>
        <w:rPr>
          <w:rFonts w:asciiTheme="minorEastAsia" w:hAnsiTheme="minorEastAsia" w:eastAsiaTheme="minorEastAsia" w:cstheme="minorEastAsia"/>
          <w:color w:val="auto"/>
          <w:sz w:val="21"/>
          <w:lang w:val="zh-CN"/>
        </w:rPr>
      </w:pPr>
    </w:p>
    <w:p w14:paraId="35B1369D">
      <w:pPr>
        <w:spacing w:line="360" w:lineRule="auto"/>
        <w:rPr>
          <w:rFonts w:asciiTheme="minorEastAsia" w:hAnsiTheme="minorEastAsia" w:eastAsiaTheme="minorEastAsia" w:cstheme="minorEastAsia"/>
          <w:b/>
          <w:color w:val="auto"/>
          <w:lang w:val="zh-CN"/>
        </w:rPr>
      </w:pPr>
    </w:p>
    <w:p w14:paraId="52BFAC5E">
      <w:pPr>
        <w:pStyle w:val="28"/>
        <w:ind w:firstLine="420"/>
        <w:rPr>
          <w:color w:val="auto"/>
        </w:rPr>
      </w:pPr>
    </w:p>
    <w:p w14:paraId="27758CF8">
      <w:pPr>
        <w:pStyle w:val="28"/>
        <w:ind w:firstLine="420"/>
        <w:rPr>
          <w:color w:val="auto"/>
        </w:rPr>
      </w:pPr>
    </w:p>
    <w:p w14:paraId="7382D57A">
      <w:pPr>
        <w:pStyle w:val="3"/>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经</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济</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74"/>
    </w:p>
    <w:p w14:paraId="518B162B">
      <w:pPr>
        <w:autoSpaceDE w:val="0"/>
        <w:autoSpaceDN w:val="0"/>
        <w:adjustRightInd w:val="0"/>
        <w:spacing w:line="360" w:lineRule="auto"/>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rPr>
        <w:t xml:space="preserve">经济标封面示例                                 </w:t>
      </w:r>
      <w:r>
        <w:rPr>
          <w:rFonts w:hint="eastAsia" w:asciiTheme="minorEastAsia" w:hAnsiTheme="minorEastAsia" w:eastAsiaTheme="minorEastAsia" w:cstheme="minorEastAsia"/>
          <w:color w:val="auto"/>
          <w:sz w:val="28"/>
        </w:rPr>
        <w:t xml:space="preserve"> </w:t>
      </w:r>
    </w:p>
    <w:p w14:paraId="4671FB1B">
      <w:pPr>
        <w:autoSpaceDE w:val="0"/>
        <w:autoSpaceDN w:val="0"/>
        <w:adjustRightInd w:val="0"/>
        <w:spacing w:line="360" w:lineRule="auto"/>
        <w:ind w:firstLine="7560" w:firstLineChars="27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正本/副本</w:t>
      </w:r>
    </w:p>
    <w:p w14:paraId="3F81C4D0">
      <w:pPr>
        <w:spacing w:line="360" w:lineRule="auto"/>
        <w:rPr>
          <w:rFonts w:asciiTheme="minorEastAsia" w:hAnsiTheme="minorEastAsia" w:eastAsiaTheme="minorEastAsia" w:cstheme="minorEastAsia"/>
          <w:color w:val="auto"/>
        </w:rPr>
      </w:pPr>
    </w:p>
    <w:p w14:paraId="3F769BAC">
      <w:pPr>
        <w:spacing w:line="360" w:lineRule="auto"/>
        <w:rPr>
          <w:rFonts w:asciiTheme="minorEastAsia" w:hAnsiTheme="minorEastAsia" w:eastAsiaTheme="minorEastAsia" w:cstheme="minorEastAsia"/>
          <w:color w:val="auto"/>
        </w:rPr>
      </w:pPr>
    </w:p>
    <w:p w14:paraId="266737A4">
      <w:pPr>
        <w:spacing w:line="360" w:lineRule="auto"/>
        <w:rPr>
          <w:rFonts w:asciiTheme="minorEastAsia" w:hAnsiTheme="minorEastAsia" w:eastAsiaTheme="minorEastAsia" w:cstheme="minorEastAsia"/>
          <w:color w:val="auto"/>
        </w:rPr>
      </w:pPr>
    </w:p>
    <w:p w14:paraId="16B90033">
      <w:pPr>
        <w:spacing w:line="360" w:lineRule="auto"/>
        <w:rPr>
          <w:rFonts w:asciiTheme="minorEastAsia" w:hAnsiTheme="minorEastAsia" w:eastAsiaTheme="minorEastAsia" w:cstheme="minorEastAsia"/>
          <w:color w:val="auto"/>
        </w:rPr>
      </w:pPr>
    </w:p>
    <w:p w14:paraId="458F18CD">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响应文件经济标</w:t>
      </w:r>
    </w:p>
    <w:p w14:paraId="65E4224D">
      <w:pPr>
        <w:spacing w:line="360" w:lineRule="auto"/>
        <w:rPr>
          <w:rFonts w:asciiTheme="minorEastAsia" w:hAnsiTheme="minorEastAsia" w:eastAsiaTheme="minorEastAsia" w:cstheme="minorEastAsia"/>
          <w:color w:val="auto"/>
          <w:sz w:val="28"/>
          <w:szCs w:val="28"/>
        </w:rPr>
      </w:pPr>
    </w:p>
    <w:p w14:paraId="6CE71E2E">
      <w:pPr>
        <w:pStyle w:val="34"/>
        <w:spacing w:line="360" w:lineRule="auto"/>
        <w:ind w:firstLine="0" w:firstLineChars="0"/>
        <w:rPr>
          <w:rFonts w:asciiTheme="minorEastAsia" w:hAnsiTheme="minorEastAsia" w:eastAsiaTheme="minorEastAsia" w:cstheme="minorEastAsia"/>
          <w:color w:val="auto"/>
          <w:sz w:val="28"/>
          <w:szCs w:val="28"/>
        </w:rPr>
      </w:pPr>
    </w:p>
    <w:p w14:paraId="3307D035">
      <w:pPr>
        <w:pStyle w:val="34"/>
        <w:spacing w:line="360" w:lineRule="auto"/>
        <w:ind w:firstLine="0" w:firstLineChars="0"/>
        <w:rPr>
          <w:rFonts w:asciiTheme="minorEastAsia" w:hAnsiTheme="minorEastAsia" w:eastAsiaTheme="minorEastAsia" w:cstheme="minorEastAsia"/>
          <w:color w:val="auto"/>
          <w:sz w:val="28"/>
          <w:szCs w:val="28"/>
        </w:rPr>
      </w:pPr>
    </w:p>
    <w:p w14:paraId="07F69241">
      <w:pPr>
        <w:pStyle w:val="34"/>
        <w:spacing w:line="480" w:lineRule="exact"/>
        <w:ind w:firstLine="0" w:firstLineChars="0"/>
        <w:rPr>
          <w:rFonts w:asciiTheme="minorEastAsia" w:hAnsiTheme="minorEastAsia" w:eastAsiaTheme="minorEastAsia" w:cstheme="minorEastAsia"/>
          <w:color w:val="auto"/>
          <w:sz w:val="28"/>
          <w:szCs w:val="28"/>
        </w:rPr>
      </w:pPr>
    </w:p>
    <w:p w14:paraId="1DE096D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14:paraId="37E6993E">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14:paraId="48AE516E">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14:paraId="056B6626">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14:paraId="5972006C">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14:paraId="514F8E19">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14:paraId="223D332F">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14:paraId="487C1192">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14:paraId="37ED78F6">
      <w:pPr>
        <w:autoSpaceDE w:val="0"/>
        <w:autoSpaceDN w:val="0"/>
        <w:adjustRightInd w:val="0"/>
        <w:spacing w:line="480" w:lineRule="exact"/>
        <w:jc w:val="left"/>
        <w:rPr>
          <w:rFonts w:asciiTheme="minorEastAsia" w:hAnsiTheme="minorEastAsia" w:eastAsiaTheme="minorEastAsia" w:cstheme="minorEastAsia"/>
          <w:color w:val="auto"/>
          <w:szCs w:val="21"/>
        </w:rPr>
      </w:pPr>
    </w:p>
    <w:p w14:paraId="628542B7">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14:paraId="56426104">
      <w:pPr>
        <w:autoSpaceDE w:val="0"/>
        <w:autoSpaceDN w:val="0"/>
        <w:adjustRightInd w:val="0"/>
        <w:spacing w:line="360" w:lineRule="auto"/>
        <w:jc w:val="left"/>
        <w:rPr>
          <w:rFonts w:asciiTheme="minorEastAsia" w:hAnsiTheme="minorEastAsia" w:eastAsiaTheme="minorEastAsia" w:cstheme="minorEastAsia"/>
          <w:color w:val="auto"/>
          <w:lang w:val="zh-CN"/>
        </w:rPr>
      </w:pPr>
    </w:p>
    <w:p w14:paraId="0C98FC0B">
      <w:pPr>
        <w:pStyle w:val="34"/>
        <w:spacing w:line="360" w:lineRule="auto"/>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经济标目录</w:t>
      </w:r>
    </w:p>
    <w:p w14:paraId="1527CD2B">
      <w:pPr>
        <w:pStyle w:val="34"/>
        <w:spacing w:line="360" w:lineRule="auto"/>
        <w:ind w:firstLine="0" w:firstLineChars="0"/>
        <w:jc w:val="center"/>
        <w:rPr>
          <w:rFonts w:asciiTheme="minorEastAsia" w:hAnsiTheme="minorEastAsia" w:eastAsiaTheme="minorEastAsia" w:cstheme="minorEastAsia"/>
          <w:b/>
          <w:color w:val="auto"/>
        </w:rPr>
      </w:pPr>
    </w:p>
    <w:p w14:paraId="680B2FFA">
      <w:pPr>
        <w:pStyle w:val="34"/>
        <w:spacing w:line="360" w:lineRule="auto"/>
        <w:ind w:firstLine="0" w:firstLineChars="0"/>
        <w:jc w:val="center"/>
        <w:rPr>
          <w:rFonts w:asciiTheme="minorEastAsia" w:hAnsiTheme="minorEastAsia" w:eastAsiaTheme="minorEastAsia" w:cstheme="minorEastAsia"/>
          <w:b/>
          <w:color w:val="auto"/>
        </w:rPr>
      </w:pPr>
    </w:p>
    <w:p w14:paraId="3C811367">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注：以工程量清单为依据编制</w:t>
      </w:r>
    </w:p>
    <w:p w14:paraId="451C1707">
      <w:pPr>
        <w:pStyle w:val="34"/>
        <w:spacing w:line="480" w:lineRule="exact"/>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color w:val="auto"/>
        </w:rPr>
        <w:t>投 标 总 价</w:t>
      </w:r>
    </w:p>
    <w:p w14:paraId="0E7EE13A">
      <w:pPr>
        <w:pStyle w:val="34"/>
        <w:spacing w:line="480" w:lineRule="exact"/>
        <w:rPr>
          <w:rFonts w:asciiTheme="minorEastAsia" w:hAnsiTheme="minorEastAsia" w:eastAsiaTheme="minorEastAsia" w:cstheme="minorEastAsia"/>
          <w:color w:val="auto"/>
        </w:rPr>
      </w:pPr>
    </w:p>
    <w:p w14:paraId="102DBC27">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     标    人：</w:t>
      </w:r>
      <w:r>
        <w:rPr>
          <w:rFonts w:hint="eastAsia" w:asciiTheme="minorEastAsia" w:hAnsiTheme="minorEastAsia" w:eastAsiaTheme="minorEastAsia" w:cstheme="minorEastAsia"/>
          <w:color w:val="auto"/>
          <w:u w:val="single"/>
        </w:rPr>
        <w:t xml:space="preserve">                                                         </w:t>
      </w:r>
    </w:p>
    <w:p w14:paraId="4AFCC564">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   程  名  称：</w:t>
      </w:r>
      <w:r>
        <w:rPr>
          <w:rFonts w:hint="eastAsia" w:asciiTheme="minorEastAsia" w:hAnsiTheme="minorEastAsia" w:eastAsiaTheme="minorEastAsia" w:cstheme="minorEastAsia"/>
          <w:color w:val="auto"/>
          <w:u w:val="single"/>
        </w:rPr>
        <w:t xml:space="preserve">                                                         </w:t>
      </w:r>
    </w:p>
    <w:p w14:paraId="6D4661FF">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投标总价（小写）：</w:t>
      </w:r>
      <w:r>
        <w:rPr>
          <w:rFonts w:hint="eastAsia" w:asciiTheme="minorEastAsia" w:hAnsiTheme="minorEastAsia" w:eastAsiaTheme="minorEastAsia" w:cstheme="minorEastAsia"/>
          <w:color w:val="auto"/>
          <w:u w:val="single"/>
        </w:rPr>
        <w:t xml:space="preserve">                                                         </w:t>
      </w:r>
    </w:p>
    <w:p w14:paraId="2779431E">
      <w:pPr>
        <w:pStyle w:val="34"/>
        <w:spacing w:line="480" w:lineRule="exact"/>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（大写） </w:t>
      </w:r>
      <w:r>
        <w:rPr>
          <w:rFonts w:hint="eastAsia" w:asciiTheme="minorEastAsia" w:hAnsiTheme="minorEastAsia" w:eastAsiaTheme="minorEastAsia" w:cstheme="minorEastAsia"/>
          <w:color w:val="auto"/>
          <w:u w:val="single"/>
        </w:rPr>
        <w:t xml:space="preserve">                                                         </w:t>
      </w:r>
    </w:p>
    <w:p w14:paraId="10AACD50">
      <w:pPr>
        <w:pStyle w:val="34"/>
        <w:spacing w:line="480" w:lineRule="exact"/>
        <w:rPr>
          <w:rFonts w:asciiTheme="minorEastAsia" w:hAnsiTheme="minorEastAsia" w:eastAsiaTheme="minorEastAsia" w:cstheme="minorEastAsia"/>
          <w:color w:val="auto"/>
        </w:rPr>
      </w:pPr>
    </w:p>
    <w:p w14:paraId="2101A8C3">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    标    人：</w:t>
      </w:r>
      <w:r>
        <w:rPr>
          <w:rFonts w:hint="eastAsia" w:asciiTheme="minorEastAsia" w:hAnsiTheme="minorEastAsia" w:eastAsiaTheme="minorEastAsia" w:cstheme="minorEastAsia"/>
          <w:color w:val="auto"/>
          <w:u w:val="single"/>
        </w:rPr>
        <w:t xml:space="preserve">                                                          </w:t>
      </w:r>
    </w:p>
    <w:p w14:paraId="3F53BC37">
      <w:pPr>
        <w:spacing w:line="480" w:lineRule="exact"/>
        <w:ind w:firstLine="525" w:firstLineChars="25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（单位盖章）</w:t>
      </w:r>
    </w:p>
    <w:p w14:paraId="709C65D0">
      <w:pPr>
        <w:pStyle w:val="34"/>
        <w:spacing w:line="480" w:lineRule="exact"/>
        <w:rPr>
          <w:rFonts w:asciiTheme="minorEastAsia" w:hAnsiTheme="minorEastAsia" w:eastAsiaTheme="minorEastAsia" w:cstheme="minorEastAsia"/>
          <w:color w:val="auto"/>
        </w:rPr>
      </w:pPr>
    </w:p>
    <w:p w14:paraId="3AB32CDE">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法定代表人或其授权人：</w:t>
      </w:r>
      <w:r>
        <w:rPr>
          <w:rFonts w:hint="eastAsia" w:asciiTheme="minorEastAsia" w:hAnsiTheme="minorEastAsia" w:eastAsiaTheme="minorEastAsia" w:cstheme="minorEastAsia"/>
          <w:color w:val="auto"/>
          <w:u w:val="single"/>
        </w:rPr>
        <w:t xml:space="preserve">                                                    </w:t>
      </w:r>
    </w:p>
    <w:p w14:paraId="68938EC3">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（签字或盖章）</w:t>
      </w:r>
    </w:p>
    <w:p w14:paraId="360606B8">
      <w:pPr>
        <w:pStyle w:val="34"/>
        <w:spacing w:line="480" w:lineRule="exact"/>
        <w:rPr>
          <w:rFonts w:asciiTheme="minorEastAsia" w:hAnsiTheme="minorEastAsia" w:eastAsiaTheme="minorEastAsia" w:cstheme="minorEastAsia"/>
          <w:color w:val="auto"/>
        </w:rPr>
      </w:pPr>
    </w:p>
    <w:p w14:paraId="387EB5D8">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    制    人：</w:t>
      </w:r>
      <w:r>
        <w:rPr>
          <w:rFonts w:hint="eastAsia" w:asciiTheme="minorEastAsia" w:hAnsiTheme="minorEastAsia" w:eastAsiaTheme="minorEastAsia" w:cstheme="minorEastAsia"/>
          <w:color w:val="auto"/>
          <w:u w:val="single"/>
        </w:rPr>
        <w:t xml:space="preserve">                                                          </w:t>
      </w:r>
    </w:p>
    <w:p w14:paraId="6E3A997A">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（造价人员签字）</w:t>
      </w:r>
    </w:p>
    <w:p w14:paraId="1821785E">
      <w:pPr>
        <w:pStyle w:val="34"/>
        <w:spacing w:line="480" w:lineRule="exact"/>
        <w:rPr>
          <w:rFonts w:asciiTheme="minorEastAsia" w:hAnsiTheme="minorEastAsia" w:eastAsiaTheme="minorEastAsia" w:cstheme="minorEastAsia"/>
          <w:color w:val="auto"/>
        </w:rPr>
      </w:pPr>
    </w:p>
    <w:p w14:paraId="118EE4F8">
      <w:pPr>
        <w:pStyle w:val="34"/>
        <w:spacing w:line="480" w:lineRule="exact"/>
        <w:rPr>
          <w:rFonts w:asciiTheme="minorEastAsia" w:hAnsiTheme="minorEastAsia" w:eastAsiaTheme="minorEastAsia" w:cstheme="minorEastAsia"/>
          <w:color w:val="auto"/>
        </w:rPr>
      </w:pPr>
    </w:p>
    <w:p w14:paraId="15CB1BAD">
      <w:pPr>
        <w:pStyle w:val="34"/>
        <w:spacing w:line="480" w:lineRule="exact"/>
        <w:rPr>
          <w:rFonts w:asciiTheme="minorEastAsia" w:hAnsiTheme="minorEastAsia" w:eastAsiaTheme="minorEastAsia" w:cstheme="minorEastAsia"/>
          <w:color w:val="auto"/>
        </w:rPr>
      </w:pPr>
    </w:p>
    <w:p w14:paraId="39531D44">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编 制 时 间: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14:paraId="0828FC63">
      <w:pPr>
        <w:spacing w:line="360" w:lineRule="auto"/>
        <w:rPr>
          <w:rFonts w:ascii="宋体" w:hAnsi="宋体"/>
          <w:b/>
          <w:color w:val="auto"/>
          <w:sz w:val="24"/>
        </w:rPr>
      </w:pPr>
    </w:p>
    <w:sectPr>
      <w:footerReference r:id="rId7" w:type="first"/>
      <w:headerReference r:id="rId5" w:type="default"/>
      <w:footerReference r:id="rId6" w:type="default"/>
      <w:pgSz w:w="11907" w:h="16840"/>
      <w:pgMar w:top="1440" w:right="1080" w:bottom="1440" w:left="1080" w:header="851" w:footer="68" w:gutter="0"/>
      <w:pgNumType w:fmt="decimal"/>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80B5">
    <w:pPr>
      <w:pStyle w:val="12"/>
      <w:ind w:right="360"/>
      <w:jc w:val="both"/>
      <w:rPr>
        <w:rFonts w:hint="default" w:ascii="Times New Roman" w:hAnsi="Times New Roman" w:eastAsia="宋体" w:cs="Times New Roman"/>
        <w:color w:val="800000"/>
        <w:sz w:val="20"/>
        <w:szCs w:val="20"/>
        <w:lang w:val="en-US" w:eastAsia="zh-CN"/>
      </w:rPr>
    </w:pPr>
    <w:r>
      <w:rPr>
        <w:sz w:val="16"/>
      </w:rPr>
      <w:pict>
        <v:shape id="_x0000_s1030" o:spid="_x0000_s103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4A754D">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9797">
    <w:pPr>
      <w:pStyle w:val="12"/>
      <w:ind w:right="360"/>
      <w:jc w:val="right"/>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4B7864F6">
                <w:pPr>
                  <w:pStyle w:val="12"/>
                </w:pPr>
                <w:r>
                  <w:fldChar w:fldCharType="begin"/>
                </w:r>
                <w:r>
                  <w:instrText xml:space="preserve"> PAGE  \* MERGEFORMAT </w:instrText>
                </w:r>
                <w:r>
                  <w:fldChar w:fldCharType="separate"/>
                </w:r>
                <w:r>
                  <w:t>72</w:t>
                </w:r>
                <w:r>
                  <w:fldChar w:fldCharType="end"/>
                </w:r>
              </w:p>
            </w:txbxContent>
          </v:textbox>
        </v:shape>
      </w:pict>
    </w:r>
    <w:r>
      <w:rPr>
        <w:lang w:val="zh-CN"/>
      </w:rPr>
      <w:t xml:space="preserve">  </w:t>
    </w:r>
  </w:p>
  <w:p w14:paraId="5D89B37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5B41">
    <w:pPr>
      <w:pStyle w:val="12"/>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25D0D27">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D4D8">
    <w:pPr>
      <w:pStyle w:val="13"/>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60A">
    <w:pPr>
      <w:pStyle w:val="13"/>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9FEC"/>
    <w:multiLevelType w:val="singleLevel"/>
    <w:tmpl w:val="A5F49FEC"/>
    <w:lvl w:ilvl="0" w:tentative="0">
      <w:start w:val="5"/>
      <w:numFmt w:val="chineseCounting"/>
      <w:suff w:val="nothing"/>
      <w:lvlText w:val="%1、"/>
      <w:lvlJc w:val="left"/>
      <w:rPr>
        <w:rFonts w:hint="eastAsia"/>
      </w:rPr>
    </w:lvl>
  </w:abstractNum>
  <w:abstractNum w:abstractNumId="1">
    <w:nsid w:val="D2F726D3"/>
    <w:multiLevelType w:val="singleLevel"/>
    <w:tmpl w:val="D2F726D3"/>
    <w:lvl w:ilvl="0" w:tentative="0">
      <w:start w:val="5"/>
      <w:numFmt w:val="chineseCounting"/>
      <w:suff w:val="nothing"/>
      <w:lvlText w:val="%1、"/>
      <w:lvlJc w:val="left"/>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006C46"/>
    <w:multiLevelType w:val="singleLevel"/>
    <w:tmpl w:val="5D006C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zYTU4YTMzY2UzNTcwNjRlNGU2NDBkNjcyZjIwZTMifQ=="/>
    <w:docVar w:name="KSO_WPS_MARK_KEY" w:val="5eddd5a3-b1b0-4f45-adc2-95e47dd46a15"/>
  </w:docVars>
  <w:rsids>
    <w:rsidRoot w:val="37640A01"/>
    <w:rsid w:val="000016A6"/>
    <w:rsid w:val="0000246B"/>
    <w:rsid w:val="00005388"/>
    <w:rsid w:val="000100F2"/>
    <w:rsid w:val="0002738B"/>
    <w:rsid w:val="00031B1C"/>
    <w:rsid w:val="00033D85"/>
    <w:rsid w:val="00044961"/>
    <w:rsid w:val="00053A58"/>
    <w:rsid w:val="000624D4"/>
    <w:rsid w:val="000632FC"/>
    <w:rsid w:val="00065C8E"/>
    <w:rsid w:val="000814A0"/>
    <w:rsid w:val="000836D6"/>
    <w:rsid w:val="00086F9E"/>
    <w:rsid w:val="00094348"/>
    <w:rsid w:val="000A65B3"/>
    <w:rsid w:val="000B47D1"/>
    <w:rsid w:val="000B7792"/>
    <w:rsid w:val="000B7EA8"/>
    <w:rsid w:val="000D112F"/>
    <w:rsid w:val="000D325E"/>
    <w:rsid w:val="000D6B9F"/>
    <w:rsid w:val="000F1878"/>
    <w:rsid w:val="000F6E39"/>
    <w:rsid w:val="00103E85"/>
    <w:rsid w:val="0010481C"/>
    <w:rsid w:val="001109CD"/>
    <w:rsid w:val="00121454"/>
    <w:rsid w:val="001234D8"/>
    <w:rsid w:val="00130EE9"/>
    <w:rsid w:val="00137800"/>
    <w:rsid w:val="00156020"/>
    <w:rsid w:val="001624D1"/>
    <w:rsid w:val="00180213"/>
    <w:rsid w:val="00180F07"/>
    <w:rsid w:val="001B15E7"/>
    <w:rsid w:val="001B283F"/>
    <w:rsid w:val="001C080D"/>
    <w:rsid w:val="001C3AA9"/>
    <w:rsid w:val="001C7D2F"/>
    <w:rsid w:val="001D4383"/>
    <w:rsid w:val="001D64B1"/>
    <w:rsid w:val="001D7AB3"/>
    <w:rsid w:val="001F342C"/>
    <w:rsid w:val="001F535F"/>
    <w:rsid w:val="001F57AF"/>
    <w:rsid w:val="001F5E45"/>
    <w:rsid w:val="00205E07"/>
    <w:rsid w:val="00215AF6"/>
    <w:rsid w:val="00245853"/>
    <w:rsid w:val="00253FF0"/>
    <w:rsid w:val="00257F33"/>
    <w:rsid w:val="00264CC7"/>
    <w:rsid w:val="00270DFA"/>
    <w:rsid w:val="002761DF"/>
    <w:rsid w:val="002779E1"/>
    <w:rsid w:val="002845A1"/>
    <w:rsid w:val="002924FC"/>
    <w:rsid w:val="002937ED"/>
    <w:rsid w:val="002D5C87"/>
    <w:rsid w:val="002E3063"/>
    <w:rsid w:val="00300D4E"/>
    <w:rsid w:val="0030607F"/>
    <w:rsid w:val="00310C8B"/>
    <w:rsid w:val="003166F2"/>
    <w:rsid w:val="0033144E"/>
    <w:rsid w:val="00345B38"/>
    <w:rsid w:val="003542E4"/>
    <w:rsid w:val="00356080"/>
    <w:rsid w:val="00356D82"/>
    <w:rsid w:val="00362C50"/>
    <w:rsid w:val="00381428"/>
    <w:rsid w:val="00386850"/>
    <w:rsid w:val="00397E43"/>
    <w:rsid w:val="003A03D9"/>
    <w:rsid w:val="003B643A"/>
    <w:rsid w:val="003C2D01"/>
    <w:rsid w:val="003C4332"/>
    <w:rsid w:val="003D11E6"/>
    <w:rsid w:val="003F4E8B"/>
    <w:rsid w:val="003F53E8"/>
    <w:rsid w:val="00401582"/>
    <w:rsid w:val="00401C1F"/>
    <w:rsid w:val="004132DF"/>
    <w:rsid w:val="00422910"/>
    <w:rsid w:val="00426EB6"/>
    <w:rsid w:val="004326B7"/>
    <w:rsid w:val="0044390E"/>
    <w:rsid w:val="00470ED5"/>
    <w:rsid w:val="00472D83"/>
    <w:rsid w:val="004844B6"/>
    <w:rsid w:val="00484F20"/>
    <w:rsid w:val="004A05ED"/>
    <w:rsid w:val="004A547F"/>
    <w:rsid w:val="004B55EF"/>
    <w:rsid w:val="004C0330"/>
    <w:rsid w:val="004D32AC"/>
    <w:rsid w:val="004D4FBF"/>
    <w:rsid w:val="004E2746"/>
    <w:rsid w:val="004E3FFC"/>
    <w:rsid w:val="004F2AFF"/>
    <w:rsid w:val="004F4FDF"/>
    <w:rsid w:val="005015E2"/>
    <w:rsid w:val="00513819"/>
    <w:rsid w:val="00521DBE"/>
    <w:rsid w:val="005335A5"/>
    <w:rsid w:val="00545989"/>
    <w:rsid w:val="00550103"/>
    <w:rsid w:val="00563377"/>
    <w:rsid w:val="005722D1"/>
    <w:rsid w:val="005A4F5F"/>
    <w:rsid w:val="005A6D4D"/>
    <w:rsid w:val="005B4E12"/>
    <w:rsid w:val="005D5E0C"/>
    <w:rsid w:val="005F6B49"/>
    <w:rsid w:val="006111B4"/>
    <w:rsid w:val="006144BC"/>
    <w:rsid w:val="00617595"/>
    <w:rsid w:val="00624884"/>
    <w:rsid w:val="00625C76"/>
    <w:rsid w:val="00633B0F"/>
    <w:rsid w:val="00637906"/>
    <w:rsid w:val="00643017"/>
    <w:rsid w:val="00667161"/>
    <w:rsid w:val="006A1B69"/>
    <w:rsid w:val="006A6D04"/>
    <w:rsid w:val="006B0F92"/>
    <w:rsid w:val="006B28E2"/>
    <w:rsid w:val="006C4003"/>
    <w:rsid w:val="006C42F9"/>
    <w:rsid w:val="006F4EBD"/>
    <w:rsid w:val="006F580C"/>
    <w:rsid w:val="00716EAB"/>
    <w:rsid w:val="0073177C"/>
    <w:rsid w:val="00735766"/>
    <w:rsid w:val="0075552E"/>
    <w:rsid w:val="007629DC"/>
    <w:rsid w:val="00781208"/>
    <w:rsid w:val="00795AF4"/>
    <w:rsid w:val="00796BA0"/>
    <w:rsid w:val="007B43FD"/>
    <w:rsid w:val="007B61B7"/>
    <w:rsid w:val="007C502D"/>
    <w:rsid w:val="007C730A"/>
    <w:rsid w:val="007D45E4"/>
    <w:rsid w:val="007E1BDF"/>
    <w:rsid w:val="007E4EE0"/>
    <w:rsid w:val="007F2D4F"/>
    <w:rsid w:val="007F3C57"/>
    <w:rsid w:val="007F41D3"/>
    <w:rsid w:val="0080257B"/>
    <w:rsid w:val="00817EEA"/>
    <w:rsid w:val="00821B10"/>
    <w:rsid w:val="00837AFC"/>
    <w:rsid w:val="00863613"/>
    <w:rsid w:val="00863E58"/>
    <w:rsid w:val="00867401"/>
    <w:rsid w:val="00871C41"/>
    <w:rsid w:val="00881FF5"/>
    <w:rsid w:val="00884ED4"/>
    <w:rsid w:val="008A2264"/>
    <w:rsid w:val="008B3A45"/>
    <w:rsid w:val="008D3694"/>
    <w:rsid w:val="008E1BDC"/>
    <w:rsid w:val="008F4424"/>
    <w:rsid w:val="009019BE"/>
    <w:rsid w:val="00907104"/>
    <w:rsid w:val="00956CE9"/>
    <w:rsid w:val="00973934"/>
    <w:rsid w:val="00976BED"/>
    <w:rsid w:val="009952CF"/>
    <w:rsid w:val="009A510E"/>
    <w:rsid w:val="009B6E62"/>
    <w:rsid w:val="009C223D"/>
    <w:rsid w:val="009C4286"/>
    <w:rsid w:val="009E130B"/>
    <w:rsid w:val="009E4CE1"/>
    <w:rsid w:val="009E533F"/>
    <w:rsid w:val="009F20EF"/>
    <w:rsid w:val="00A11C3E"/>
    <w:rsid w:val="00A220BB"/>
    <w:rsid w:val="00A22365"/>
    <w:rsid w:val="00A269C5"/>
    <w:rsid w:val="00A43630"/>
    <w:rsid w:val="00A454EF"/>
    <w:rsid w:val="00A76B4D"/>
    <w:rsid w:val="00A94C69"/>
    <w:rsid w:val="00A954CD"/>
    <w:rsid w:val="00AA2AC6"/>
    <w:rsid w:val="00AA3CB7"/>
    <w:rsid w:val="00AC0F91"/>
    <w:rsid w:val="00AC158F"/>
    <w:rsid w:val="00AD1743"/>
    <w:rsid w:val="00AD5207"/>
    <w:rsid w:val="00AE4EE7"/>
    <w:rsid w:val="00B012AD"/>
    <w:rsid w:val="00B07F04"/>
    <w:rsid w:val="00B11879"/>
    <w:rsid w:val="00B16A5F"/>
    <w:rsid w:val="00B31FC8"/>
    <w:rsid w:val="00B40445"/>
    <w:rsid w:val="00B40FFF"/>
    <w:rsid w:val="00B4129A"/>
    <w:rsid w:val="00B424AC"/>
    <w:rsid w:val="00B504E9"/>
    <w:rsid w:val="00B6386C"/>
    <w:rsid w:val="00B670E3"/>
    <w:rsid w:val="00B727CA"/>
    <w:rsid w:val="00B757C2"/>
    <w:rsid w:val="00B8246A"/>
    <w:rsid w:val="00B949BF"/>
    <w:rsid w:val="00BA4F1C"/>
    <w:rsid w:val="00BA7829"/>
    <w:rsid w:val="00BB0710"/>
    <w:rsid w:val="00BC628F"/>
    <w:rsid w:val="00BE6225"/>
    <w:rsid w:val="00BE79B3"/>
    <w:rsid w:val="00BF3262"/>
    <w:rsid w:val="00BF3AF5"/>
    <w:rsid w:val="00C019C3"/>
    <w:rsid w:val="00C11867"/>
    <w:rsid w:val="00C12D27"/>
    <w:rsid w:val="00C154FC"/>
    <w:rsid w:val="00C2146B"/>
    <w:rsid w:val="00C23B74"/>
    <w:rsid w:val="00C2500B"/>
    <w:rsid w:val="00C37A30"/>
    <w:rsid w:val="00C574D9"/>
    <w:rsid w:val="00C61120"/>
    <w:rsid w:val="00C644E5"/>
    <w:rsid w:val="00CA1CC4"/>
    <w:rsid w:val="00CB0978"/>
    <w:rsid w:val="00CB3087"/>
    <w:rsid w:val="00CC078B"/>
    <w:rsid w:val="00CC6A40"/>
    <w:rsid w:val="00CD4A87"/>
    <w:rsid w:val="00CE1DAE"/>
    <w:rsid w:val="00CE279D"/>
    <w:rsid w:val="00CE729A"/>
    <w:rsid w:val="00CF1D2B"/>
    <w:rsid w:val="00CF3AD5"/>
    <w:rsid w:val="00CF72B5"/>
    <w:rsid w:val="00D14C5F"/>
    <w:rsid w:val="00D33FBF"/>
    <w:rsid w:val="00D34244"/>
    <w:rsid w:val="00D45952"/>
    <w:rsid w:val="00D55597"/>
    <w:rsid w:val="00D67FD3"/>
    <w:rsid w:val="00D740C4"/>
    <w:rsid w:val="00D91727"/>
    <w:rsid w:val="00DA2A8A"/>
    <w:rsid w:val="00DB2371"/>
    <w:rsid w:val="00DD19E7"/>
    <w:rsid w:val="00DD4624"/>
    <w:rsid w:val="00E252C2"/>
    <w:rsid w:val="00E30D76"/>
    <w:rsid w:val="00E45853"/>
    <w:rsid w:val="00E56D4B"/>
    <w:rsid w:val="00E63850"/>
    <w:rsid w:val="00E72944"/>
    <w:rsid w:val="00E81201"/>
    <w:rsid w:val="00EA1757"/>
    <w:rsid w:val="00EB4328"/>
    <w:rsid w:val="00EB7D52"/>
    <w:rsid w:val="00EC0F85"/>
    <w:rsid w:val="00EC585B"/>
    <w:rsid w:val="00ED0326"/>
    <w:rsid w:val="00ED18E2"/>
    <w:rsid w:val="00EE1E50"/>
    <w:rsid w:val="00EF0AC0"/>
    <w:rsid w:val="00EF3BDB"/>
    <w:rsid w:val="00EF4029"/>
    <w:rsid w:val="00F133ED"/>
    <w:rsid w:val="00F1358C"/>
    <w:rsid w:val="00F47DFF"/>
    <w:rsid w:val="00F512C0"/>
    <w:rsid w:val="00F545A9"/>
    <w:rsid w:val="00F57AA1"/>
    <w:rsid w:val="00F71E58"/>
    <w:rsid w:val="00FA42A4"/>
    <w:rsid w:val="00FA5D87"/>
    <w:rsid w:val="00FA71BB"/>
    <w:rsid w:val="00FA7F07"/>
    <w:rsid w:val="00FB6AD2"/>
    <w:rsid w:val="00FC6A2C"/>
    <w:rsid w:val="00FC70B9"/>
    <w:rsid w:val="00FD0F45"/>
    <w:rsid w:val="00FE3422"/>
    <w:rsid w:val="0119677B"/>
    <w:rsid w:val="011C15FF"/>
    <w:rsid w:val="01567C26"/>
    <w:rsid w:val="01721B83"/>
    <w:rsid w:val="01A32417"/>
    <w:rsid w:val="01CF0822"/>
    <w:rsid w:val="01E06C7B"/>
    <w:rsid w:val="01E865B2"/>
    <w:rsid w:val="02210933"/>
    <w:rsid w:val="02360EDB"/>
    <w:rsid w:val="027345B1"/>
    <w:rsid w:val="02830FB3"/>
    <w:rsid w:val="02B075ED"/>
    <w:rsid w:val="02FE10F4"/>
    <w:rsid w:val="035440E1"/>
    <w:rsid w:val="036B7036"/>
    <w:rsid w:val="039E3BFD"/>
    <w:rsid w:val="03A52186"/>
    <w:rsid w:val="03CC5D27"/>
    <w:rsid w:val="03D80929"/>
    <w:rsid w:val="03E05C76"/>
    <w:rsid w:val="041871BE"/>
    <w:rsid w:val="042B435D"/>
    <w:rsid w:val="049F37D5"/>
    <w:rsid w:val="04CB3C60"/>
    <w:rsid w:val="04DD3F64"/>
    <w:rsid w:val="05017C52"/>
    <w:rsid w:val="050F6841"/>
    <w:rsid w:val="05294336"/>
    <w:rsid w:val="055F0D07"/>
    <w:rsid w:val="056106F1"/>
    <w:rsid w:val="057771F1"/>
    <w:rsid w:val="05D37841"/>
    <w:rsid w:val="05D717CC"/>
    <w:rsid w:val="05FB0B46"/>
    <w:rsid w:val="060D6622"/>
    <w:rsid w:val="069F5E3F"/>
    <w:rsid w:val="06E806DB"/>
    <w:rsid w:val="06F714C4"/>
    <w:rsid w:val="0732065F"/>
    <w:rsid w:val="0747450D"/>
    <w:rsid w:val="07603356"/>
    <w:rsid w:val="076B33F2"/>
    <w:rsid w:val="07707311"/>
    <w:rsid w:val="077E1A2E"/>
    <w:rsid w:val="079846CF"/>
    <w:rsid w:val="07D258D6"/>
    <w:rsid w:val="07EF76F4"/>
    <w:rsid w:val="0833233D"/>
    <w:rsid w:val="0837398B"/>
    <w:rsid w:val="083D2D09"/>
    <w:rsid w:val="08770014"/>
    <w:rsid w:val="08A17403"/>
    <w:rsid w:val="08DB07BA"/>
    <w:rsid w:val="09045F63"/>
    <w:rsid w:val="09513E08"/>
    <w:rsid w:val="09BD211A"/>
    <w:rsid w:val="09D92B0A"/>
    <w:rsid w:val="09F47D86"/>
    <w:rsid w:val="0A186249"/>
    <w:rsid w:val="0A197F7E"/>
    <w:rsid w:val="0A385CC9"/>
    <w:rsid w:val="0A5627EE"/>
    <w:rsid w:val="0A9B1208"/>
    <w:rsid w:val="0B1306DF"/>
    <w:rsid w:val="0B3176B9"/>
    <w:rsid w:val="0B350F1E"/>
    <w:rsid w:val="0B567DB2"/>
    <w:rsid w:val="0B8003C6"/>
    <w:rsid w:val="0B953281"/>
    <w:rsid w:val="0BBE4AEF"/>
    <w:rsid w:val="0BC1638D"/>
    <w:rsid w:val="0BE67BA2"/>
    <w:rsid w:val="0C4D1A7D"/>
    <w:rsid w:val="0C6E307A"/>
    <w:rsid w:val="0C79631A"/>
    <w:rsid w:val="0C870073"/>
    <w:rsid w:val="0CD26635"/>
    <w:rsid w:val="0CF04470"/>
    <w:rsid w:val="0D2546FA"/>
    <w:rsid w:val="0D442DD2"/>
    <w:rsid w:val="0D5B011C"/>
    <w:rsid w:val="0D8F6D83"/>
    <w:rsid w:val="0D9C2C0E"/>
    <w:rsid w:val="0DB21270"/>
    <w:rsid w:val="0DFC7AC6"/>
    <w:rsid w:val="0E05260E"/>
    <w:rsid w:val="0E17302F"/>
    <w:rsid w:val="0E8129BA"/>
    <w:rsid w:val="0E87446B"/>
    <w:rsid w:val="0EA95F31"/>
    <w:rsid w:val="0EB951BB"/>
    <w:rsid w:val="0EBB70C4"/>
    <w:rsid w:val="0F240D7A"/>
    <w:rsid w:val="0F3349D4"/>
    <w:rsid w:val="0F40543D"/>
    <w:rsid w:val="0F543075"/>
    <w:rsid w:val="10190546"/>
    <w:rsid w:val="10207882"/>
    <w:rsid w:val="10497440"/>
    <w:rsid w:val="10497C64"/>
    <w:rsid w:val="109147B6"/>
    <w:rsid w:val="10936165"/>
    <w:rsid w:val="109C5D2A"/>
    <w:rsid w:val="10A307B1"/>
    <w:rsid w:val="111D3578"/>
    <w:rsid w:val="113A6706"/>
    <w:rsid w:val="117723FA"/>
    <w:rsid w:val="118F0A79"/>
    <w:rsid w:val="12003DC3"/>
    <w:rsid w:val="122C00C1"/>
    <w:rsid w:val="123407D3"/>
    <w:rsid w:val="1240233E"/>
    <w:rsid w:val="12440260"/>
    <w:rsid w:val="12707929"/>
    <w:rsid w:val="12C64289"/>
    <w:rsid w:val="130F0287"/>
    <w:rsid w:val="13212838"/>
    <w:rsid w:val="134745E8"/>
    <w:rsid w:val="134C478E"/>
    <w:rsid w:val="136D66AD"/>
    <w:rsid w:val="138B6BBE"/>
    <w:rsid w:val="139A1CDC"/>
    <w:rsid w:val="13A22600"/>
    <w:rsid w:val="14223741"/>
    <w:rsid w:val="14335138"/>
    <w:rsid w:val="14432035"/>
    <w:rsid w:val="145C799A"/>
    <w:rsid w:val="145D29CB"/>
    <w:rsid w:val="146B333A"/>
    <w:rsid w:val="14726477"/>
    <w:rsid w:val="14AC287C"/>
    <w:rsid w:val="14B51C4C"/>
    <w:rsid w:val="14C52A4A"/>
    <w:rsid w:val="14E51AA6"/>
    <w:rsid w:val="150E6DF6"/>
    <w:rsid w:val="15610299"/>
    <w:rsid w:val="157058CF"/>
    <w:rsid w:val="159A18B0"/>
    <w:rsid w:val="15FB0BA1"/>
    <w:rsid w:val="1606331B"/>
    <w:rsid w:val="16133262"/>
    <w:rsid w:val="162E6537"/>
    <w:rsid w:val="16721D73"/>
    <w:rsid w:val="16A02D2B"/>
    <w:rsid w:val="16B12103"/>
    <w:rsid w:val="16C136E5"/>
    <w:rsid w:val="16C94170"/>
    <w:rsid w:val="16DC0C5E"/>
    <w:rsid w:val="171777EB"/>
    <w:rsid w:val="17514A69"/>
    <w:rsid w:val="176A242F"/>
    <w:rsid w:val="176D1177"/>
    <w:rsid w:val="17C26BEE"/>
    <w:rsid w:val="18003AE1"/>
    <w:rsid w:val="1807273B"/>
    <w:rsid w:val="189664AC"/>
    <w:rsid w:val="18B708FC"/>
    <w:rsid w:val="18C837D7"/>
    <w:rsid w:val="19045B0B"/>
    <w:rsid w:val="19197971"/>
    <w:rsid w:val="1943415D"/>
    <w:rsid w:val="198E357D"/>
    <w:rsid w:val="19F17461"/>
    <w:rsid w:val="1A092BF4"/>
    <w:rsid w:val="1A0C2BBE"/>
    <w:rsid w:val="1A392464"/>
    <w:rsid w:val="1A4A267C"/>
    <w:rsid w:val="1A50725A"/>
    <w:rsid w:val="1A6E6738"/>
    <w:rsid w:val="1A7B1ADB"/>
    <w:rsid w:val="1A910CAF"/>
    <w:rsid w:val="1AC72FDD"/>
    <w:rsid w:val="1AD52046"/>
    <w:rsid w:val="1AF000F5"/>
    <w:rsid w:val="1AF3309A"/>
    <w:rsid w:val="1B276D1E"/>
    <w:rsid w:val="1B5A7C65"/>
    <w:rsid w:val="1B7A3E63"/>
    <w:rsid w:val="1BA151F5"/>
    <w:rsid w:val="1BB06AD1"/>
    <w:rsid w:val="1BBC5B17"/>
    <w:rsid w:val="1BC25F36"/>
    <w:rsid w:val="1BD71185"/>
    <w:rsid w:val="1BE415A1"/>
    <w:rsid w:val="1C014D39"/>
    <w:rsid w:val="1C4032FE"/>
    <w:rsid w:val="1C41045A"/>
    <w:rsid w:val="1C736226"/>
    <w:rsid w:val="1C817AE6"/>
    <w:rsid w:val="1C8B6B24"/>
    <w:rsid w:val="1CDA105D"/>
    <w:rsid w:val="1CED332D"/>
    <w:rsid w:val="1CED6FE2"/>
    <w:rsid w:val="1CFF0AC4"/>
    <w:rsid w:val="1D444C95"/>
    <w:rsid w:val="1D61136E"/>
    <w:rsid w:val="1DAD628A"/>
    <w:rsid w:val="1DC0012D"/>
    <w:rsid w:val="1DDB2121"/>
    <w:rsid w:val="1E2D1660"/>
    <w:rsid w:val="1E3A73FC"/>
    <w:rsid w:val="1E4D0B27"/>
    <w:rsid w:val="1E8230F0"/>
    <w:rsid w:val="1E960FB4"/>
    <w:rsid w:val="1EDC0D56"/>
    <w:rsid w:val="1EF63DD6"/>
    <w:rsid w:val="1F174A4F"/>
    <w:rsid w:val="1F5F1881"/>
    <w:rsid w:val="1F803082"/>
    <w:rsid w:val="1FA327B0"/>
    <w:rsid w:val="1FB1048A"/>
    <w:rsid w:val="1FF06080"/>
    <w:rsid w:val="2000568E"/>
    <w:rsid w:val="20015A66"/>
    <w:rsid w:val="20024C12"/>
    <w:rsid w:val="20847C5E"/>
    <w:rsid w:val="20EF69A7"/>
    <w:rsid w:val="210E5F6C"/>
    <w:rsid w:val="211D59BC"/>
    <w:rsid w:val="212119CC"/>
    <w:rsid w:val="212149BB"/>
    <w:rsid w:val="21474729"/>
    <w:rsid w:val="215C1D4B"/>
    <w:rsid w:val="21946CF0"/>
    <w:rsid w:val="219A7D02"/>
    <w:rsid w:val="21A128DC"/>
    <w:rsid w:val="21CF6AB1"/>
    <w:rsid w:val="21F1326C"/>
    <w:rsid w:val="21FE759C"/>
    <w:rsid w:val="222F5F26"/>
    <w:rsid w:val="224215E8"/>
    <w:rsid w:val="229720A1"/>
    <w:rsid w:val="22BB61B1"/>
    <w:rsid w:val="22E03145"/>
    <w:rsid w:val="22E079AB"/>
    <w:rsid w:val="22E91FFA"/>
    <w:rsid w:val="236312FC"/>
    <w:rsid w:val="23A523C2"/>
    <w:rsid w:val="23BD599E"/>
    <w:rsid w:val="23CD508A"/>
    <w:rsid w:val="23D03546"/>
    <w:rsid w:val="23FF13A9"/>
    <w:rsid w:val="24151771"/>
    <w:rsid w:val="24287D53"/>
    <w:rsid w:val="249675D0"/>
    <w:rsid w:val="24A501A2"/>
    <w:rsid w:val="24EC5DD1"/>
    <w:rsid w:val="25107448"/>
    <w:rsid w:val="25291CCF"/>
    <w:rsid w:val="252A3AB2"/>
    <w:rsid w:val="25381017"/>
    <w:rsid w:val="253C5C51"/>
    <w:rsid w:val="2562072A"/>
    <w:rsid w:val="257F09F3"/>
    <w:rsid w:val="258F6530"/>
    <w:rsid w:val="26143832"/>
    <w:rsid w:val="26576797"/>
    <w:rsid w:val="26642B4B"/>
    <w:rsid w:val="26F86CAF"/>
    <w:rsid w:val="2730634B"/>
    <w:rsid w:val="274417F4"/>
    <w:rsid w:val="274A4CBD"/>
    <w:rsid w:val="27C052F3"/>
    <w:rsid w:val="27EB4DC2"/>
    <w:rsid w:val="27F37477"/>
    <w:rsid w:val="284607DD"/>
    <w:rsid w:val="284D02F3"/>
    <w:rsid w:val="28592222"/>
    <w:rsid w:val="286B34B1"/>
    <w:rsid w:val="286B7345"/>
    <w:rsid w:val="288042AC"/>
    <w:rsid w:val="28836A4D"/>
    <w:rsid w:val="288834CC"/>
    <w:rsid w:val="28E374EB"/>
    <w:rsid w:val="2914678D"/>
    <w:rsid w:val="29506139"/>
    <w:rsid w:val="297739B7"/>
    <w:rsid w:val="297C0619"/>
    <w:rsid w:val="297C60EF"/>
    <w:rsid w:val="29A819B4"/>
    <w:rsid w:val="29B132C6"/>
    <w:rsid w:val="29BA192D"/>
    <w:rsid w:val="29BE2D99"/>
    <w:rsid w:val="29F33F71"/>
    <w:rsid w:val="2A3A138D"/>
    <w:rsid w:val="2A614DAD"/>
    <w:rsid w:val="2A9943B2"/>
    <w:rsid w:val="2ABE3D6C"/>
    <w:rsid w:val="2B326109"/>
    <w:rsid w:val="2B387FE2"/>
    <w:rsid w:val="2B8A0212"/>
    <w:rsid w:val="2BF97111"/>
    <w:rsid w:val="2C1762D8"/>
    <w:rsid w:val="2C1D1654"/>
    <w:rsid w:val="2C715EFC"/>
    <w:rsid w:val="2C74679D"/>
    <w:rsid w:val="2C8F70C4"/>
    <w:rsid w:val="2C930564"/>
    <w:rsid w:val="2CB76CC5"/>
    <w:rsid w:val="2CD07D87"/>
    <w:rsid w:val="2CE017AE"/>
    <w:rsid w:val="2D2105E2"/>
    <w:rsid w:val="2D35143B"/>
    <w:rsid w:val="2D4D5093"/>
    <w:rsid w:val="2D6329A9"/>
    <w:rsid w:val="2D6C4D84"/>
    <w:rsid w:val="2D815720"/>
    <w:rsid w:val="2D995EDD"/>
    <w:rsid w:val="2E372AE1"/>
    <w:rsid w:val="2E442A83"/>
    <w:rsid w:val="2E46434A"/>
    <w:rsid w:val="2E8B665B"/>
    <w:rsid w:val="2EA34213"/>
    <w:rsid w:val="2EA96AE1"/>
    <w:rsid w:val="2EBF4557"/>
    <w:rsid w:val="2ECA280E"/>
    <w:rsid w:val="2F257C1D"/>
    <w:rsid w:val="2F352047"/>
    <w:rsid w:val="2F4A283C"/>
    <w:rsid w:val="2F526AE0"/>
    <w:rsid w:val="2F724E02"/>
    <w:rsid w:val="2F9A5F9B"/>
    <w:rsid w:val="2FA06136"/>
    <w:rsid w:val="2FA47F3C"/>
    <w:rsid w:val="2FAD7ACE"/>
    <w:rsid w:val="2FB7522E"/>
    <w:rsid w:val="2FD86AB4"/>
    <w:rsid w:val="2FF855BE"/>
    <w:rsid w:val="3026485C"/>
    <w:rsid w:val="304A60A2"/>
    <w:rsid w:val="3064630F"/>
    <w:rsid w:val="308B111F"/>
    <w:rsid w:val="30D727F8"/>
    <w:rsid w:val="30DE2053"/>
    <w:rsid w:val="30EA2F55"/>
    <w:rsid w:val="30FB781C"/>
    <w:rsid w:val="312B7C81"/>
    <w:rsid w:val="315974AF"/>
    <w:rsid w:val="317D5A1D"/>
    <w:rsid w:val="31C5622D"/>
    <w:rsid w:val="31DE6AA2"/>
    <w:rsid w:val="321668FF"/>
    <w:rsid w:val="321C75CA"/>
    <w:rsid w:val="32221084"/>
    <w:rsid w:val="326218BD"/>
    <w:rsid w:val="32C57240"/>
    <w:rsid w:val="32FE4074"/>
    <w:rsid w:val="333D58F1"/>
    <w:rsid w:val="3354659A"/>
    <w:rsid w:val="336B65AC"/>
    <w:rsid w:val="336C7696"/>
    <w:rsid w:val="33792F26"/>
    <w:rsid w:val="33A81F5D"/>
    <w:rsid w:val="33B421B0"/>
    <w:rsid w:val="33C822F5"/>
    <w:rsid w:val="34124B1D"/>
    <w:rsid w:val="341715C0"/>
    <w:rsid w:val="341C4B0F"/>
    <w:rsid w:val="34216F09"/>
    <w:rsid w:val="346C2A8B"/>
    <w:rsid w:val="3487175B"/>
    <w:rsid w:val="34995B59"/>
    <w:rsid w:val="34A367D2"/>
    <w:rsid w:val="34AC10D9"/>
    <w:rsid w:val="34AF08E4"/>
    <w:rsid w:val="350F0004"/>
    <w:rsid w:val="350F1260"/>
    <w:rsid w:val="351D4414"/>
    <w:rsid w:val="357B5E76"/>
    <w:rsid w:val="358856A2"/>
    <w:rsid w:val="359A61DE"/>
    <w:rsid w:val="360016DD"/>
    <w:rsid w:val="36185A41"/>
    <w:rsid w:val="3628478F"/>
    <w:rsid w:val="36334579"/>
    <w:rsid w:val="36733FFE"/>
    <w:rsid w:val="369C7F87"/>
    <w:rsid w:val="36A50FD6"/>
    <w:rsid w:val="36C36A3A"/>
    <w:rsid w:val="36D86D6C"/>
    <w:rsid w:val="36DA0180"/>
    <w:rsid w:val="36E43AC6"/>
    <w:rsid w:val="374B79D2"/>
    <w:rsid w:val="375472C7"/>
    <w:rsid w:val="375D3E89"/>
    <w:rsid w:val="37640A01"/>
    <w:rsid w:val="3779542C"/>
    <w:rsid w:val="37C91FA2"/>
    <w:rsid w:val="380F2E63"/>
    <w:rsid w:val="3844292D"/>
    <w:rsid w:val="388D7FC8"/>
    <w:rsid w:val="38901A41"/>
    <w:rsid w:val="38B32E97"/>
    <w:rsid w:val="393234F6"/>
    <w:rsid w:val="393C716C"/>
    <w:rsid w:val="39602FBB"/>
    <w:rsid w:val="396821D2"/>
    <w:rsid w:val="397D4DF2"/>
    <w:rsid w:val="39AE171D"/>
    <w:rsid w:val="39BC1DBE"/>
    <w:rsid w:val="39C7632D"/>
    <w:rsid w:val="39C918D0"/>
    <w:rsid w:val="39F45E7D"/>
    <w:rsid w:val="39F524E6"/>
    <w:rsid w:val="39FC0581"/>
    <w:rsid w:val="3A362498"/>
    <w:rsid w:val="3A871A53"/>
    <w:rsid w:val="3AB360F8"/>
    <w:rsid w:val="3AB45052"/>
    <w:rsid w:val="3AE179FC"/>
    <w:rsid w:val="3B021339"/>
    <w:rsid w:val="3B021AD7"/>
    <w:rsid w:val="3B194FEF"/>
    <w:rsid w:val="3B2C25BB"/>
    <w:rsid w:val="3B4F27BE"/>
    <w:rsid w:val="3B6E70E8"/>
    <w:rsid w:val="3B7F031A"/>
    <w:rsid w:val="3B8858C7"/>
    <w:rsid w:val="3BC211E2"/>
    <w:rsid w:val="3BC62B7A"/>
    <w:rsid w:val="3BE330AA"/>
    <w:rsid w:val="3C1926A7"/>
    <w:rsid w:val="3C574020"/>
    <w:rsid w:val="3C686F62"/>
    <w:rsid w:val="3C6D0808"/>
    <w:rsid w:val="3C81109D"/>
    <w:rsid w:val="3C876488"/>
    <w:rsid w:val="3C9855D7"/>
    <w:rsid w:val="3CB11983"/>
    <w:rsid w:val="3CBF17A9"/>
    <w:rsid w:val="3CC72F54"/>
    <w:rsid w:val="3CD013FC"/>
    <w:rsid w:val="3CFC4A0B"/>
    <w:rsid w:val="3D023DBB"/>
    <w:rsid w:val="3D216AD8"/>
    <w:rsid w:val="3D233F03"/>
    <w:rsid w:val="3D3102FF"/>
    <w:rsid w:val="3D3A6CFA"/>
    <w:rsid w:val="3D4923D4"/>
    <w:rsid w:val="3D49754A"/>
    <w:rsid w:val="3D5C682B"/>
    <w:rsid w:val="3DA212CB"/>
    <w:rsid w:val="3DA908AC"/>
    <w:rsid w:val="3DAE3D89"/>
    <w:rsid w:val="3E500CD2"/>
    <w:rsid w:val="3E5641C9"/>
    <w:rsid w:val="3E9F211B"/>
    <w:rsid w:val="3EB05C6A"/>
    <w:rsid w:val="3EFD0AF3"/>
    <w:rsid w:val="3F000327"/>
    <w:rsid w:val="3F263339"/>
    <w:rsid w:val="3F6B250C"/>
    <w:rsid w:val="401C475C"/>
    <w:rsid w:val="4024443A"/>
    <w:rsid w:val="40293256"/>
    <w:rsid w:val="40383BFD"/>
    <w:rsid w:val="408F0764"/>
    <w:rsid w:val="40AD00CB"/>
    <w:rsid w:val="40AD4170"/>
    <w:rsid w:val="40C35254"/>
    <w:rsid w:val="40D7128C"/>
    <w:rsid w:val="40DC6726"/>
    <w:rsid w:val="40EA2FF3"/>
    <w:rsid w:val="40F46635"/>
    <w:rsid w:val="410B7187"/>
    <w:rsid w:val="414E1E87"/>
    <w:rsid w:val="417157EF"/>
    <w:rsid w:val="41A60B8F"/>
    <w:rsid w:val="41B26803"/>
    <w:rsid w:val="41EE0F83"/>
    <w:rsid w:val="421B789E"/>
    <w:rsid w:val="42552980"/>
    <w:rsid w:val="4257703E"/>
    <w:rsid w:val="425C31C8"/>
    <w:rsid w:val="427C20AC"/>
    <w:rsid w:val="4298407F"/>
    <w:rsid w:val="42A57F14"/>
    <w:rsid w:val="42AC27B0"/>
    <w:rsid w:val="42B87A7C"/>
    <w:rsid w:val="42C121F4"/>
    <w:rsid w:val="42C45840"/>
    <w:rsid w:val="42CD04D9"/>
    <w:rsid w:val="43825B49"/>
    <w:rsid w:val="43DB268B"/>
    <w:rsid w:val="43F860E9"/>
    <w:rsid w:val="44506D54"/>
    <w:rsid w:val="44625310"/>
    <w:rsid w:val="448259B3"/>
    <w:rsid w:val="449D0A3E"/>
    <w:rsid w:val="44F20D8A"/>
    <w:rsid w:val="44FF5255"/>
    <w:rsid w:val="450E1DB1"/>
    <w:rsid w:val="455407C7"/>
    <w:rsid w:val="45622E50"/>
    <w:rsid w:val="4574179F"/>
    <w:rsid w:val="45813EBC"/>
    <w:rsid w:val="45AC77B2"/>
    <w:rsid w:val="45B55914"/>
    <w:rsid w:val="45C26B04"/>
    <w:rsid w:val="45D747BD"/>
    <w:rsid w:val="45DB181E"/>
    <w:rsid w:val="45DC61CB"/>
    <w:rsid w:val="461666EB"/>
    <w:rsid w:val="46592743"/>
    <w:rsid w:val="4678378C"/>
    <w:rsid w:val="471072A6"/>
    <w:rsid w:val="474326C1"/>
    <w:rsid w:val="475353E4"/>
    <w:rsid w:val="475525BD"/>
    <w:rsid w:val="47AD71EA"/>
    <w:rsid w:val="47E41615"/>
    <w:rsid w:val="48063950"/>
    <w:rsid w:val="48133CBE"/>
    <w:rsid w:val="48465966"/>
    <w:rsid w:val="484C6A03"/>
    <w:rsid w:val="48556B46"/>
    <w:rsid w:val="489C3C76"/>
    <w:rsid w:val="48A6719A"/>
    <w:rsid w:val="48F11B33"/>
    <w:rsid w:val="49061CFA"/>
    <w:rsid w:val="49356DB4"/>
    <w:rsid w:val="493D3155"/>
    <w:rsid w:val="495C2C76"/>
    <w:rsid w:val="49637AB7"/>
    <w:rsid w:val="49A275F1"/>
    <w:rsid w:val="49C86C79"/>
    <w:rsid w:val="49D2118A"/>
    <w:rsid w:val="49F350EC"/>
    <w:rsid w:val="4A107E21"/>
    <w:rsid w:val="4A2A2D74"/>
    <w:rsid w:val="4A302A8D"/>
    <w:rsid w:val="4A3F43A6"/>
    <w:rsid w:val="4A72585A"/>
    <w:rsid w:val="4A9E7A36"/>
    <w:rsid w:val="4AAC55E7"/>
    <w:rsid w:val="4AC45C39"/>
    <w:rsid w:val="4AD373DB"/>
    <w:rsid w:val="4ADF590D"/>
    <w:rsid w:val="4B15132F"/>
    <w:rsid w:val="4BC90BD5"/>
    <w:rsid w:val="4BE84F77"/>
    <w:rsid w:val="4C135CB5"/>
    <w:rsid w:val="4C181F0E"/>
    <w:rsid w:val="4C2B1311"/>
    <w:rsid w:val="4C5F7AA8"/>
    <w:rsid w:val="4CA63CA0"/>
    <w:rsid w:val="4CAD1E26"/>
    <w:rsid w:val="4CB42DC9"/>
    <w:rsid w:val="4CDD74A5"/>
    <w:rsid w:val="4CDF3E13"/>
    <w:rsid w:val="4CE128E3"/>
    <w:rsid w:val="4D0913CF"/>
    <w:rsid w:val="4D355221"/>
    <w:rsid w:val="4D5325E2"/>
    <w:rsid w:val="4D5819A6"/>
    <w:rsid w:val="4D65261C"/>
    <w:rsid w:val="4DF92B80"/>
    <w:rsid w:val="4E327DD4"/>
    <w:rsid w:val="4E423311"/>
    <w:rsid w:val="4E431E8F"/>
    <w:rsid w:val="4E5008D0"/>
    <w:rsid w:val="4E713DB8"/>
    <w:rsid w:val="4E76548B"/>
    <w:rsid w:val="4E915170"/>
    <w:rsid w:val="4EAE3EAF"/>
    <w:rsid w:val="4EAE4A90"/>
    <w:rsid w:val="4ECC5CC5"/>
    <w:rsid w:val="4EE447E9"/>
    <w:rsid w:val="4F362EF6"/>
    <w:rsid w:val="4F373F83"/>
    <w:rsid w:val="4F46314E"/>
    <w:rsid w:val="4F6116DC"/>
    <w:rsid w:val="50304849"/>
    <w:rsid w:val="50431A40"/>
    <w:rsid w:val="5058182C"/>
    <w:rsid w:val="507C59AC"/>
    <w:rsid w:val="50812FC2"/>
    <w:rsid w:val="50955D8A"/>
    <w:rsid w:val="50BF7ED6"/>
    <w:rsid w:val="50DC644B"/>
    <w:rsid w:val="50E7551B"/>
    <w:rsid w:val="50F11EF6"/>
    <w:rsid w:val="50F622FE"/>
    <w:rsid w:val="512F0C70"/>
    <w:rsid w:val="51466933"/>
    <w:rsid w:val="515626A1"/>
    <w:rsid w:val="516E7ED5"/>
    <w:rsid w:val="516F70A0"/>
    <w:rsid w:val="518F0B84"/>
    <w:rsid w:val="51A650B5"/>
    <w:rsid w:val="51C55131"/>
    <w:rsid w:val="51E77834"/>
    <w:rsid w:val="52236041"/>
    <w:rsid w:val="52301389"/>
    <w:rsid w:val="52364E13"/>
    <w:rsid w:val="525A2F72"/>
    <w:rsid w:val="52707F16"/>
    <w:rsid w:val="5289695B"/>
    <w:rsid w:val="52F25F35"/>
    <w:rsid w:val="5306347C"/>
    <w:rsid w:val="530F2662"/>
    <w:rsid w:val="531A2859"/>
    <w:rsid w:val="533010B0"/>
    <w:rsid w:val="53760374"/>
    <w:rsid w:val="53822BBA"/>
    <w:rsid w:val="539B2D1D"/>
    <w:rsid w:val="53B37937"/>
    <w:rsid w:val="53BE2437"/>
    <w:rsid w:val="53C90F08"/>
    <w:rsid w:val="53DE6083"/>
    <w:rsid w:val="53DF249A"/>
    <w:rsid w:val="53E26F5C"/>
    <w:rsid w:val="54062CED"/>
    <w:rsid w:val="540D4353"/>
    <w:rsid w:val="54125703"/>
    <w:rsid w:val="543D36A4"/>
    <w:rsid w:val="545830E6"/>
    <w:rsid w:val="54596730"/>
    <w:rsid w:val="54B230E1"/>
    <w:rsid w:val="54B27BEE"/>
    <w:rsid w:val="54F81655"/>
    <w:rsid w:val="54FD4ABD"/>
    <w:rsid w:val="54FF57F9"/>
    <w:rsid w:val="55001A1E"/>
    <w:rsid w:val="551F2D3B"/>
    <w:rsid w:val="556E1DF4"/>
    <w:rsid w:val="558843A1"/>
    <w:rsid w:val="55B4188E"/>
    <w:rsid w:val="55B521B7"/>
    <w:rsid w:val="55EE6AE2"/>
    <w:rsid w:val="562F5BB8"/>
    <w:rsid w:val="565054E5"/>
    <w:rsid w:val="56EF5D07"/>
    <w:rsid w:val="56F634C4"/>
    <w:rsid w:val="570A5642"/>
    <w:rsid w:val="57655010"/>
    <w:rsid w:val="576E2940"/>
    <w:rsid w:val="5784476F"/>
    <w:rsid w:val="57877110"/>
    <w:rsid w:val="57BF0E2F"/>
    <w:rsid w:val="57C977D2"/>
    <w:rsid w:val="58111424"/>
    <w:rsid w:val="583B3C02"/>
    <w:rsid w:val="585B496A"/>
    <w:rsid w:val="587549E7"/>
    <w:rsid w:val="589A78EC"/>
    <w:rsid w:val="58B912F3"/>
    <w:rsid w:val="58EB3947"/>
    <w:rsid w:val="58F26454"/>
    <w:rsid w:val="593A51BD"/>
    <w:rsid w:val="5943350B"/>
    <w:rsid w:val="59952A8F"/>
    <w:rsid w:val="599F11F2"/>
    <w:rsid w:val="59A00745"/>
    <w:rsid w:val="59A1399B"/>
    <w:rsid w:val="59D95C1D"/>
    <w:rsid w:val="5A2275C4"/>
    <w:rsid w:val="5A2669C9"/>
    <w:rsid w:val="5A3E3CD2"/>
    <w:rsid w:val="5A870DC9"/>
    <w:rsid w:val="5AAA1221"/>
    <w:rsid w:val="5AAE2C06"/>
    <w:rsid w:val="5AC96BE9"/>
    <w:rsid w:val="5ACB0EAD"/>
    <w:rsid w:val="5AE334E4"/>
    <w:rsid w:val="5AF47777"/>
    <w:rsid w:val="5AFF722C"/>
    <w:rsid w:val="5BC54A6B"/>
    <w:rsid w:val="5BCE4174"/>
    <w:rsid w:val="5BD14706"/>
    <w:rsid w:val="5BD46D29"/>
    <w:rsid w:val="5BDD6A4F"/>
    <w:rsid w:val="5BE554CC"/>
    <w:rsid w:val="5BEE5078"/>
    <w:rsid w:val="5C08653C"/>
    <w:rsid w:val="5C607282"/>
    <w:rsid w:val="5C62344D"/>
    <w:rsid w:val="5C6E0D25"/>
    <w:rsid w:val="5CB17D25"/>
    <w:rsid w:val="5CCD7CBB"/>
    <w:rsid w:val="5CEE5E83"/>
    <w:rsid w:val="5CF41F11"/>
    <w:rsid w:val="5D133B71"/>
    <w:rsid w:val="5D465FE4"/>
    <w:rsid w:val="5D753EAF"/>
    <w:rsid w:val="5D83481E"/>
    <w:rsid w:val="5DDE3802"/>
    <w:rsid w:val="5DEC0898"/>
    <w:rsid w:val="5DFB3548"/>
    <w:rsid w:val="5E055233"/>
    <w:rsid w:val="5E1561C1"/>
    <w:rsid w:val="5E1A5010"/>
    <w:rsid w:val="5E442CB7"/>
    <w:rsid w:val="5E56783C"/>
    <w:rsid w:val="5E7A5AA7"/>
    <w:rsid w:val="5EE906B0"/>
    <w:rsid w:val="5EF17565"/>
    <w:rsid w:val="5F182745"/>
    <w:rsid w:val="5F1D387E"/>
    <w:rsid w:val="5F4530DE"/>
    <w:rsid w:val="5F4A37AF"/>
    <w:rsid w:val="5F653A5E"/>
    <w:rsid w:val="5F714404"/>
    <w:rsid w:val="5F925BF4"/>
    <w:rsid w:val="5F9440A6"/>
    <w:rsid w:val="5FAF4A95"/>
    <w:rsid w:val="5FB94527"/>
    <w:rsid w:val="6037544B"/>
    <w:rsid w:val="603B4F3C"/>
    <w:rsid w:val="60630F33"/>
    <w:rsid w:val="60767BD1"/>
    <w:rsid w:val="60A575FB"/>
    <w:rsid w:val="60A70110"/>
    <w:rsid w:val="60AB1A3D"/>
    <w:rsid w:val="6125254D"/>
    <w:rsid w:val="61503FD2"/>
    <w:rsid w:val="61585F61"/>
    <w:rsid w:val="616575B2"/>
    <w:rsid w:val="61954371"/>
    <w:rsid w:val="61966F55"/>
    <w:rsid w:val="61B9080E"/>
    <w:rsid w:val="61D948CF"/>
    <w:rsid w:val="61F370AE"/>
    <w:rsid w:val="62015D11"/>
    <w:rsid w:val="62157A0E"/>
    <w:rsid w:val="6220516F"/>
    <w:rsid w:val="62254E80"/>
    <w:rsid w:val="62466A34"/>
    <w:rsid w:val="624C3A1E"/>
    <w:rsid w:val="62651973"/>
    <w:rsid w:val="62802B07"/>
    <w:rsid w:val="62814A3E"/>
    <w:rsid w:val="628E28E5"/>
    <w:rsid w:val="62CA6624"/>
    <w:rsid w:val="62E153A9"/>
    <w:rsid w:val="62E713AB"/>
    <w:rsid w:val="62F060C2"/>
    <w:rsid w:val="62FF4946"/>
    <w:rsid w:val="6322476F"/>
    <w:rsid w:val="632E6FDA"/>
    <w:rsid w:val="63367C3C"/>
    <w:rsid w:val="633A772C"/>
    <w:rsid w:val="63536D70"/>
    <w:rsid w:val="63554566"/>
    <w:rsid w:val="637349EC"/>
    <w:rsid w:val="63892462"/>
    <w:rsid w:val="63926B24"/>
    <w:rsid w:val="63C82F8A"/>
    <w:rsid w:val="63CF256B"/>
    <w:rsid w:val="63F773CC"/>
    <w:rsid w:val="648F075D"/>
    <w:rsid w:val="64A15A3D"/>
    <w:rsid w:val="64C64FF0"/>
    <w:rsid w:val="64C8746C"/>
    <w:rsid w:val="651421FF"/>
    <w:rsid w:val="652E4750"/>
    <w:rsid w:val="654A79CF"/>
    <w:rsid w:val="65654C79"/>
    <w:rsid w:val="65735178"/>
    <w:rsid w:val="65880AB6"/>
    <w:rsid w:val="65B819D7"/>
    <w:rsid w:val="65B95448"/>
    <w:rsid w:val="66737617"/>
    <w:rsid w:val="667B2536"/>
    <w:rsid w:val="668A3C67"/>
    <w:rsid w:val="66B82185"/>
    <w:rsid w:val="66C0619B"/>
    <w:rsid w:val="66CE46B8"/>
    <w:rsid w:val="66EA47BB"/>
    <w:rsid w:val="66F61CA6"/>
    <w:rsid w:val="66F83B86"/>
    <w:rsid w:val="670E53AA"/>
    <w:rsid w:val="67351044"/>
    <w:rsid w:val="67420199"/>
    <w:rsid w:val="679D3EE0"/>
    <w:rsid w:val="67C63C85"/>
    <w:rsid w:val="67CB53CB"/>
    <w:rsid w:val="67CE63F2"/>
    <w:rsid w:val="680653BB"/>
    <w:rsid w:val="681C54D7"/>
    <w:rsid w:val="68424A89"/>
    <w:rsid w:val="6870599E"/>
    <w:rsid w:val="68B7537B"/>
    <w:rsid w:val="68C55CEA"/>
    <w:rsid w:val="68C81EE7"/>
    <w:rsid w:val="68D073D9"/>
    <w:rsid w:val="68D96635"/>
    <w:rsid w:val="695A27D3"/>
    <w:rsid w:val="69BC4671"/>
    <w:rsid w:val="6A576993"/>
    <w:rsid w:val="6A843983"/>
    <w:rsid w:val="6AAE2B2E"/>
    <w:rsid w:val="6ABC1BC7"/>
    <w:rsid w:val="6AC12AC8"/>
    <w:rsid w:val="6AC33582"/>
    <w:rsid w:val="6AC41FD2"/>
    <w:rsid w:val="6AD835A1"/>
    <w:rsid w:val="6AE62D7E"/>
    <w:rsid w:val="6AEB3A02"/>
    <w:rsid w:val="6AF21074"/>
    <w:rsid w:val="6B051CA6"/>
    <w:rsid w:val="6B0548C4"/>
    <w:rsid w:val="6B0B16C6"/>
    <w:rsid w:val="6B6F63E1"/>
    <w:rsid w:val="6B7C7A4B"/>
    <w:rsid w:val="6BB11DC7"/>
    <w:rsid w:val="6BCB2EA1"/>
    <w:rsid w:val="6BE26C1E"/>
    <w:rsid w:val="6BEE5558"/>
    <w:rsid w:val="6BF57613"/>
    <w:rsid w:val="6BFD3754"/>
    <w:rsid w:val="6C661592"/>
    <w:rsid w:val="6C7D4B2E"/>
    <w:rsid w:val="6C8B2B64"/>
    <w:rsid w:val="6CCF1AF5"/>
    <w:rsid w:val="6D06719A"/>
    <w:rsid w:val="6D3235D3"/>
    <w:rsid w:val="6D8F4B19"/>
    <w:rsid w:val="6E3F78FF"/>
    <w:rsid w:val="6E421F00"/>
    <w:rsid w:val="6E7B61C5"/>
    <w:rsid w:val="6E8C1058"/>
    <w:rsid w:val="6ECA66E7"/>
    <w:rsid w:val="6EE32384"/>
    <w:rsid w:val="6F056812"/>
    <w:rsid w:val="6F065006"/>
    <w:rsid w:val="6F4162E7"/>
    <w:rsid w:val="6F507677"/>
    <w:rsid w:val="6F6B0CBA"/>
    <w:rsid w:val="6FA7614A"/>
    <w:rsid w:val="6FAF24B7"/>
    <w:rsid w:val="6FD86214"/>
    <w:rsid w:val="6FDD47F3"/>
    <w:rsid w:val="6FEE5049"/>
    <w:rsid w:val="6FF331EB"/>
    <w:rsid w:val="7044489E"/>
    <w:rsid w:val="704C6251"/>
    <w:rsid w:val="70910BA8"/>
    <w:rsid w:val="70FB6624"/>
    <w:rsid w:val="71121CE9"/>
    <w:rsid w:val="71134EF4"/>
    <w:rsid w:val="713E488C"/>
    <w:rsid w:val="713F5E68"/>
    <w:rsid w:val="71B003AE"/>
    <w:rsid w:val="71DF7164"/>
    <w:rsid w:val="71E17F11"/>
    <w:rsid w:val="71EA0570"/>
    <w:rsid w:val="71FE2D81"/>
    <w:rsid w:val="72033806"/>
    <w:rsid w:val="720F711F"/>
    <w:rsid w:val="723B701D"/>
    <w:rsid w:val="72DC140E"/>
    <w:rsid w:val="73175665"/>
    <w:rsid w:val="73405305"/>
    <w:rsid w:val="73651B2F"/>
    <w:rsid w:val="73700F48"/>
    <w:rsid w:val="73C3551C"/>
    <w:rsid w:val="73C753EB"/>
    <w:rsid w:val="73CA5D53"/>
    <w:rsid w:val="73E43920"/>
    <w:rsid w:val="741753B6"/>
    <w:rsid w:val="742A4638"/>
    <w:rsid w:val="7494102D"/>
    <w:rsid w:val="749D5D6D"/>
    <w:rsid w:val="74A0760B"/>
    <w:rsid w:val="74BE7A92"/>
    <w:rsid w:val="74D106AE"/>
    <w:rsid w:val="751D4246"/>
    <w:rsid w:val="75962F61"/>
    <w:rsid w:val="75A639D8"/>
    <w:rsid w:val="75CB686E"/>
    <w:rsid w:val="75DF5BA5"/>
    <w:rsid w:val="75F220E9"/>
    <w:rsid w:val="760E7286"/>
    <w:rsid w:val="764C33DF"/>
    <w:rsid w:val="76985CE1"/>
    <w:rsid w:val="76BF7F2A"/>
    <w:rsid w:val="76FD0D45"/>
    <w:rsid w:val="77173977"/>
    <w:rsid w:val="77233D21"/>
    <w:rsid w:val="772509AA"/>
    <w:rsid w:val="773442C9"/>
    <w:rsid w:val="775D7A36"/>
    <w:rsid w:val="775F716F"/>
    <w:rsid w:val="77A71FBB"/>
    <w:rsid w:val="77DE3544"/>
    <w:rsid w:val="77F147E1"/>
    <w:rsid w:val="77F852E3"/>
    <w:rsid w:val="7805290C"/>
    <w:rsid w:val="78293B7A"/>
    <w:rsid w:val="782B0CB9"/>
    <w:rsid w:val="783009D8"/>
    <w:rsid w:val="783B47F8"/>
    <w:rsid w:val="786F7A21"/>
    <w:rsid w:val="78E201F2"/>
    <w:rsid w:val="79050385"/>
    <w:rsid w:val="7906151F"/>
    <w:rsid w:val="792920BF"/>
    <w:rsid w:val="79404F19"/>
    <w:rsid w:val="79500F4C"/>
    <w:rsid w:val="7971208A"/>
    <w:rsid w:val="797945E4"/>
    <w:rsid w:val="79A32814"/>
    <w:rsid w:val="7A0469B8"/>
    <w:rsid w:val="7A237D75"/>
    <w:rsid w:val="7A332CB6"/>
    <w:rsid w:val="7A41363F"/>
    <w:rsid w:val="7A5A1D85"/>
    <w:rsid w:val="7A766672"/>
    <w:rsid w:val="7A827988"/>
    <w:rsid w:val="7AA0216B"/>
    <w:rsid w:val="7AC27CB7"/>
    <w:rsid w:val="7AF523E6"/>
    <w:rsid w:val="7B0C1557"/>
    <w:rsid w:val="7B3719B9"/>
    <w:rsid w:val="7B4B5366"/>
    <w:rsid w:val="7B551150"/>
    <w:rsid w:val="7B964C1F"/>
    <w:rsid w:val="7C00629D"/>
    <w:rsid w:val="7C011166"/>
    <w:rsid w:val="7C283AF2"/>
    <w:rsid w:val="7C4C1457"/>
    <w:rsid w:val="7C5F06BA"/>
    <w:rsid w:val="7C656839"/>
    <w:rsid w:val="7C683105"/>
    <w:rsid w:val="7C703BD4"/>
    <w:rsid w:val="7C9537CE"/>
    <w:rsid w:val="7CBE60F6"/>
    <w:rsid w:val="7CD53A06"/>
    <w:rsid w:val="7CE24C65"/>
    <w:rsid w:val="7CE7227B"/>
    <w:rsid w:val="7CF13CEF"/>
    <w:rsid w:val="7D1105DB"/>
    <w:rsid w:val="7D1B3655"/>
    <w:rsid w:val="7DA96E5C"/>
    <w:rsid w:val="7DAF26CA"/>
    <w:rsid w:val="7DB427A3"/>
    <w:rsid w:val="7DD0309F"/>
    <w:rsid w:val="7DDA2983"/>
    <w:rsid w:val="7E096221"/>
    <w:rsid w:val="7E365DA1"/>
    <w:rsid w:val="7E707B8D"/>
    <w:rsid w:val="7E731A04"/>
    <w:rsid w:val="7E9C4EDE"/>
    <w:rsid w:val="7E9F26E2"/>
    <w:rsid w:val="7EB75B8C"/>
    <w:rsid w:val="7EBC7738"/>
    <w:rsid w:val="7F1B7FBA"/>
    <w:rsid w:val="7F8C2BD1"/>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szCs w:val="24"/>
    </w:rPr>
  </w:style>
  <w:style w:type="paragraph" w:styleId="7">
    <w:name w:val="Body Text 3"/>
    <w:basedOn w:val="1"/>
    <w:qFormat/>
    <w:uiPriority w:val="0"/>
    <w:pPr>
      <w:spacing w:line="440" w:lineRule="exact"/>
    </w:pPr>
    <w:rPr>
      <w:color w:val="000000"/>
      <w:szCs w:val="18"/>
    </w:rPr>
  </w:style>
  <w:style w:type="paragraph" w:styleId="8">
    <w:name w:val="Body Text"/>
    <w:basedOn w:val="1"/>
    <w:next w:val="9"/>
    <w:qFormat/>
    <w:uiPriority w:val="0"/>
    <w:rPr>
      <w:rFonts w:ascii="Arial" w:hAnsi="Arial"/>
      <w:sz w:val="24"/>
    </w:rPr>
  </w:style>
  <w:style w:type="paragraph" w:styleId="9">
    <w:name w:val="Date"/>
    <w:basedOn w:val="1"/>
    <w:next w:val="1"/>
    <w:qFormat/>
    <w:uiPriority w:val="0"/>
    <w:pPr>
      <w:ind w:left="100" w:leftChars="2500"/>
    </w:pPr>
  </w:style>
  <w:style w:type="paragraph" w:styleId="10">
    <w:name w:val="Body Text Indent"/>
    <w:basedOn w:val="1"/>
    <w:next w:val="1"/>
    <w:qFormat/>
    <w:uiPriority w:val="0"/>
    <w:pPr>
      <w:ind w:firstLine="480"/>
    </w:pPr>
    <w:rPr>
      <w:rFonts w:ascii="宋体" w:hAnsi="宋体"/>
      <w:sz w:val="24"/>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style>
  <w:style w:type="paragraph" w:styleId="15">
    <w:name w:val="footnote text"/>
    <w:basedOn w:val="1"/>
    <w:link w:val="38"/>
    <w:qFormat/>
    <w:uiPriority w:val="0"/>
    <w:pPr>
      <w:snapToGrid w:val="0"/>
      <w:jc w:val="left"/>
    </w:pPr>
    <w:rPr>
      <w:sz w:val="18"/>
    </w:rPr>
  </w:style>
  <w:style w:type="paragraph" w:styleId="16">
    <w:name w:val="index 7"/>
    <w:basedOn w:val="1"/>
    <w:next w:val="1"/>
    <w:qFormat/>
    <w:uiPriority w:val="0"/>
    <w:pPr>
      <w:autoSpaceDE/>
      <w:autoSpaceDN/>
      <w:adjustRightInd/>
      <w:ind w:left="1200" w:leftChars="1200"/>
    </w:pPr>
    <w:rPr>
      <w:color w:val="auto"/>
      <w:kern w:val="2"/>
      <w:szCs w:val="24"/>
    </w:rPr>
  </w:style>
  <w:style w:type="paragraph" w:styleId="17">
    <w:name w:val="toc 2"/>
    <w:basedOn w:val="1"/>
    <w:next w:val="1"/>
    <w:qFormat/>
    <w:uiPriority w:val="39"/>
    <w:pPr>
      <w:ind w:left="420" w:leftChars="200"/>
    </w:p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0">
    <w:name w:val="Body Text First Indent"/>
    <w:basedOn w:val="8"/>
    <w:qFormat/>
    <w:uiPriority w:val="0"/>
    <w:pPr>
      <w:spacing w:after="120"/>
      <w:ind w:firstLine="420" w:firstLineChars="100"/>
    </w:pPr>
    <w:rPr>
      <w:rFonts w:ascii="Times New Roman" w:hAnsi="Times New Roman"/>
      <w:sz w:val="21"/>
    </w:rPr>
  </w:style>
  <w:style w:type="paragraph" w:styleId="21">
    <w:name w:val="Body Text First Indent 2"/>
    <w:basedOn w:val="10"/>
    <w:next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color w:val="0000FF"/>
      <w:u w:val="single"/>
    </w:rPr>
  </w:style>
  <w:style w:type="paragraph" w:customStyle="1" w:styleId="28">
    <w:name w:val="首行缩进"/>
    <w:basedOn w:val="1"/>
    <w:qFormat/>
    <w:uiPriority w:val="0"/>
    <w:pPr>
      <w:ind w:firstLine="480" w:firstLineChars="200"/>
    </w:pPr>
    <w:rPr>
      <w:lang w:val="zh-CN"/>
    </w:rPr>
  </w:style>
  <w:style w:type="paragraph" w:customStyle="1" w:styleId="2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1">
    <w:name w:val="Blockquote_0"/>
    <w:basedOn w:val="32"/>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GZTB表格样式"/>
    <w:basedOn w:val="1"/>
    <w:qFormat/>
    <w:uiPriority w:val="0"/>
    <w:pPr>
      <w:spacing w:after="200" w:line="440" w:lineRule="exact"/>
    </w:pPr>
    <w:rPr>
      <w:rFonts w:ascii="新宋体" w:hAnsi="新宋体" w:eastAsia="新宋体"/>
      <w:szCs w:val="22"/>
    </w:rPr>
  </w:style>
  <w:style w:type="paragraph" w:customStyle="1" w:styleId="34">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paragraph" w:customStyle="1" w:styleId="37">
    <w:name w:val="样式 标题 3 + (中文) 黑体 小四 非加粗 段前: 7.8 磅 段后: 0 磅 行距: 固定值 20 磅"/>
    <w:basedOn w:val="4"/>
    <w:qFormat/>
    <w:uiPriority w:val="0"/>
    <w:pPr>
      <w:spacing w:before="0" w:after="0" w:line="400" w:lineRule="exact"/>
    </w:pPr>
    <w:rPr>
      <w:rFonts w:eastAsia="黑体" w:cs="宋体"/>
      <w:sz w:val="24"/>
      <w:szCs w:val="20"/>
    </w:rPr>
  </w:style>
  <w:style w:type="character" w:customStyle="1" w:styleId="38">
    <w:name w:val="脚注文本 Char"/>
    <w:basedOn w:val="24"/>
    <w:link w:val="15"/>
    <w:qFormat/>
    <w:uiPriority w:val="0"/>
    <w:rPr>
      <w:kern w:val="2"/>
      <w:sz w:val="18"/>
    </w:rPr>
  </w:style>
  <w:style w:type="character" w:customStyle="1" w:styleId="39">
    <w:name w:val="Default Text Char Char"/>
    <w:link w:val="40"/>
    <w:qFormat/>
    <w:uiPriority w:val="0"/>
    <w:rPr>
      <w:color w:val="000000"/>
      <w:sz w:val="24"/>
    </w:rPr>
  </w:style>
  <w:style w:type="paragraph" w:customStyle="1" w:styleId="40">
    <w:name w:val="Default Text"/>
    <w:link w:val="39"/>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1">
    <w:name w:val="表格文字"/>
    <w:basedOn w:val="1"/>
    <w:unhideWhenUsed/>
    <w:qFormat/>
    <w:uiPriority w:val="0"/>
    <w:pPr>
      <w:spacing w:before="25" w:after="25"/>
      <w:jc w:val="left"/>
    </w:pPr>
    <w:rPr>
      <w:rFonts w:ascii="Calibri" w:hAnsi="Calibri"/>
      <w:spacing w:val="10"/>
      <w:kern w:val="0"/>
      <w:sz w:val="24"/>
    </w:rPr>
  </w:style>
  <w:style w:type="character" w:customStyle="1" w:styleId="42">
    <w:name w:val="bookmark-item"/>
    <w:basedOn w:val="24"/>
    <w:qFormat/>
    <w:uiPriority w:val="0"/>
  </w:style>
  <w:style w:type="character" w:customStyle="1" w:styleId="43">
    <w:name w:val="NormalCharacter"/>
    <w:semiHidden/>
    <w:qFormat/>
    <w:uiPriority w:val="0"/>
  </w:style>
  <w:style w:type="paragraph" w:styleId="44">
    <w:name w:val="List Paragraph"/>
    <w:basedOn w:val="1"/>
    <w:unhideWhenUsed/>
    <w:qFormat/>
    <w:uiPriority w:val="99"/>
    <w:pPr>
      <w:ind w:firstLine="420" w:firstLineChars="200"/>
    </w:pPr>
  </w:style>
  <w:style w:type="paragraph" w:customStyle="1" w:styleId="4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8"/>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4122</Words>
  <Characters>4804</Characters>
  <Lines>244</Lines>
  <Paragraphs>68</Paragraphs>
  <TotalTime>13</TotalTime>
  <ScaleCrop>false</ScaleCrop>
  <LinksUpToDate>false</LinksUpToDate>
  <CharactersWithSpaces>4950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Administrator</cp:lastModifiedBy>
  <cp:lastPrinted>2025-04-22T10:31:00Z</cp:lastPrinted>
  <dcterms:modified xsi:type="dcterms:W3CDTF">2025-07-08T10:39:35Z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3B3811A0513641C9A6DECCEC6387F149</vt:lpwstr>
  </property>
  <property fmtid="{D5CDD505-2E9C-101B-9397-08002B2CF9AE}" pid="4" name="KSOTemplateDocerSaveRecord">
    <vt:lpwstr>eyJoZGlkIjoiNjVlZjliNmVmODgxN2JlYjE1MGFjYzkxYTc0ZjIwZDkifQ==</vt:lpwstr>
  </property>
</Properties>
</file>