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7F98">
      <w:pPr>
        <w:jc w:val="right"/>
        <w:rPr>
          <w:rFonts w:hint="default" w:ascii="Arial" w:hAnsi="Arial" w:cs="Arial"/>
          <w:b/>
          <w:bCs/>
          <w:sz w:val="30"/>
          <w:szCs w:val="30"/>
          <w:lang w:val="en-US" w:eastAsia="zh-CN"/>
        </w:rPr>
      </w:pPr>
    </w:p>
    <w:p w14:paraId="6A80815C">
      <w:pPr>
        <w:jc w:val="right"/>
        <w:rPr>
          <w:rFonts w:hint="default" w:ascii="Arial" w:hAnsi="Arial" w:cs="Arial"/>
          <w:b/>
          <w:bCs/>
          <w:sz w:val="30"/>
          <w:szCs w:val="30"/>
          <w:lang w:val="en-US" w:eastAsia="zh-CN"/>
        </w:rPr>
      </w:pPr>
    </w:p>
    <w:p w14:paraId="2D0C6892">
      <w:pPr>
        <w:jc w:val="right"/>
        <w:rPr>
          <w:rFonts w:hint="default" w:eastAsiaTheme="minorEastAsia"/>
          <w:lang w:val="en-US" w:eastAsia="zh-CN"/>
        </w:rPr>
      </w:pPr>
      <w:r>
        <w:rPr>
          <w:rFonts w:hint="default" w:ascii="Arial" w:hAnsi="Arial" w:cs="Arial"/>
          <w:b/>
          <w:bCs/>
          <w:sz w:val="30"/>
          <w:szCs w:val="30"/>
          <w:lang w:val="en-US" w:eastAsia="zh-CN"/>
        </w:rPr>
        <w:t>项目编号：XJBQ2025-22</w:t>
      </w:r>
    </w:p>
    <w:p w14:paraId="151326A6">
      <w:pPr>
        <w:jc w:val="both"/>
        <w:rPr>
          <w:rFonts w:hint="eastAsia" w:ascii="宋体" w:hAnsi="宋体" w:eastAsia="宋体" w:cs="宋体"/>
          <w:b/>
          <w:bCs/>
          <w:sz w:val="52"/>
          <w:szCs w:val="52"/>
          <w:highlight w:val="lightGray"/>
        </w:rPr>
      </w:pPr>
    </w:p>
    <w:p w14:paraId="2164361B">
      <w:pPr>
        <w:jc w:val="center"/>
        <w:rPr>
          <w:rFonts w:hint="eastAsia" w:ascii="宋体" w:hAnsi="宋体" w:eastAsia="宋体" w:cs="宋体"/>
          <w:b/>
          <w:bCs/>
          <w:sz w:val="52"/>
          <w:szCs w:val="52"/>
          <w:highlight w:val="none"/>
          <w:lang w:eastAsia="zh-CN"/>
        </w:rPr>
      </w:pPr>
    </w:p>
    <w:p w14:paraId="4583153B">
      <w:pPr>
        <w:jc w:val="center"/>
        <w:rPr>
          <w:rFonts w:hint="eastAsia" w:asciiTheme="majorEastAsia" w:hAnsiTheme="majorEastAsia" w:eastAsiaTheme="majorEastAsia" w:cstheme="majorEastAsia"/>
          <w:b/>
          <w:bCs/>
          <w:sz w:val="52"/>
          <w:szCs w:val="52"/>
          <w:highlight w:val="none"/>
          <w:lang w:val="en-US" w:eastAsia="zh-CN"/>
        </w:rPr>
      </w:pPr>
      <w:r>
        <w:rPr>
          <w:rFonts w:hint="eastAsia" w:ascii="宋体" w:hAnsi="宋体" w:eastAsia="宋体" w:cs="宋体"/>
          <w:b/>
          <w:bCs/>
          <w:sz w:val="52"/>
          <w:szCs w:val="52"/>
          <w:highlight w:val="none"/>
          <w:lang w:eastAsia="zh-CN"/>
        </w:rPr>
        <w:t>伊犁师范大学校本部、东校区餐厅社会管理服务项目</w:t>
      </w:r>
    </w:p>
    <w:p w14:paraId="033A61A3">
      <w:pPr>
        <w:jc w:val="center"/>
        <w:rPr>
          <w:rFonts w:hint="eastAsia" w:asciiTheme="majorEastAsia" w:hAnsiTheme="majorEastAsia" w:eastAsiaTheme="majorEastAsia" w:cstheme="majorEastAsia"/>
          <w:b/>
          <w:bCs/>
          <w:sz w:val="52"/>
          <w:szCs w:val="52"/>
          <w:highlight w:val="none"/>
          <w:lang w:val="en-US" w:eastAsia="zh-CN"/>
        </w:rPr>
      </w:pPr>
    </w:p>
    <w:p w14:paraId="28599E37">
      <w:pPr>
        <w:jc w:val="center"/>
        <w:rPr>
          <w:rFonts w:hint="eastAsia" w:asciiTheme="majorEastAsia" w:hAnsiTheme="majorEastAsia" w:eastAsiaTheme="majorEastAsia" w:cstheme="majorEastAsia"/>
          <w:b/>
          <w:bCs/>
          <w:sz w:val="52"/>
          <w:szCs w:val="52"/>
          <w:highlight w:val="none"/>
          <w:lang w:val="en-US" w:eastAsia="zh-CN"/>
        </w:rPr>
      </w:pPr>
      <w:r>
        <w:rPr>
          <w:rFonts w:hint="eastAsia" w:asciiTheme="majorEastAsia" w:hAnsiTheme="majorEastAsia" w:eastAsiaTheme="majorEastAsia" w:cstheme="majorEastAsia"/>
          <w:b/>
          <w:bCs/>
          <w:sz w:val="52"/>
          <w:szCs w:val="52"/>
          <w:highlight w:val="none"/>
          <w:lang w:val="en-US" w:eastAsia="zh-CN"/>
        </w:rPr>
        <w:t>公开招标文件</w:t>
      </w:r>
    </w:p>
    <w:p w14:paraId="0D2F093C">
      <w:pPr>
        <w:rPr>
          <w:rFonts w:hint="eastAsia"/>
          <w:lang w:val="en-US" w:eastAsia="zh-CN"/>
        </w:rPr>
      </w:pPr>
    </w:p>
    <w:p w14:paraId="6044609C">
      <w:pPr>
        <w:rPr>
          <w:rFonts w:hint="eastAsia"/>
          <w:lang w:val="en-US" w:eastAsia="zh-CN"/>
        </w:rPr>
      </w:pPr>
    </w:p>
    <w:p w14:paraId="713E65CE">
      <w:pPr>
        <w:pStyle w:val="13"/>
        <w:spacing w:line="400" w:lineRule="atLeas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p>
    <w:p w14:paraId="0A14D248">
      <w:pPr>
        <w:pStyle w:val="13"/>
        <w:spacing w:line="400" w:lineRule="atLeast"/>
        <w:rPr>
          <w:rFonts w:hint="eastAsia" w:ascii="宋体" w:hAnsi="宋体" w:eastAsia="宋体" w:cs="宋体"/>
          <w:b w:val="0"/>
          <w:bCs/>
          <w:sz w:val="24"/>
          <w:szCs w:val="24"/>
          <w:lang w:val="en-US" w:eastAsia="zh-CN"/>
        </w:rPr>
      </w:pPr>
    </w:p>
    <w:p w14:paraId="5B31E486">
      <w:pPr>
        <w:pStyle w:val="13"/>
        <w:spacing w:line="400" w:lineRule="atLeast"/>
        <w:rPr>
          <w:rFonts w:hint="eastAsia" w:ascii="宋体" w:hAnsi="宋体" w:eastAsia="宋体" w:cs="宋体"/>
          <w:b w:val="0"/>
          <w:bCs/>
          <w:sz w:val="24"/>
          <w:szCs w:val="24"/>
          <w:lang w:val="en-US" w:eastAsia="zh-CN"/>
        </w:rPr>
      </w:pPr>
    </w:p>
    <w:p w14:paraId="0F79BEBC"/>
    <w:p w14:paraId="04CF8A7A">
      <w:pPr>
        <w:rPr>
          <w:rFonts w:hint="eastAsia"/>
          <w:lang w:val="en-US" w:eastAsia="zh-CN"/>
        </w:rPr>
      </w:pPr>
    </w:p>
    <w:p w14:paraId="111A1B36">
      <w:pPr>
        <w:pStyle w:val="2"/>
        <w:rPr>
          <w:rFonts w:hint="eastAsia"/>
          <w:lang w:val="en-US" w:eastAsia="zh-CN"/>
        </w:rPr>
      </w:pPr>
    </w:p>
    <w:p w14:paraId="1B6BA7A3">
      <w:pPr>
        <w:pStyle w:val="2"/>
        <w:rPr>
          <w:rFonts w:hint="eastAsia"/>
          <w:lang w:val="en-US" w:eastAsia="zh-CN"/>
        </w:rPr>
      </w:pPr>
    </w:p>
    <w:p w14:paraId="7DCBBDF4">
      <w:pPr>
        <w:pStyle w:val="2"/>
        <w:rPr>
          <w:rFonts w:hint="eastAsia"/>
          <w:lang w:val="en-US" w:eastAsia="zh-CN"/>
        </w:rPr>
      </w:pPr>
    </w:p>
    <w:p w14:paraId="1DDF690E">
      <w:pPr>
        <w:rPr>
          <w:rFonts w:hint="eastAsia" w:ascii="宋体" w:hAnsi="宋体" w:eastAsia="宋体" w:cs="宋体"/>
          <w:b/>
          <w:bCs/>
          <w:sz w:val="36"/>
          <w:szCs w:val="36"/>
          <w:lang w:val="en-US" w:eastAsia="zh-CN"/>
        </w:rPr>
      </w:pPr>
    </w:p>
    <w:p w14:paraId="4D28C3A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伊犁师范大学</w:t>
      </w:r>
    </w:p>
    <w:p w14:paraId="4F8DADCB">
      <w:pPr>
        <w:rPr>
          <w:rFonts w:hint="eastAsia" w:ascii="宋体" w:hAnsi="宋体" w:eastAsia="宋体" w:cs="宋体"/>
          <w:b/>
          <w:bCs/>
          <w:sz w:val="36"/>
          <w:szCs w:val="36"/>
          <w:u w:val="single"/>
          <w:lang w:val="en-US" w:eastAsia="zh-CN"/>
        </w:rPr>
      </w:pPr>
    </w:p>
    <w:p w14:paraId="6A8FAE3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采购代理机构：</w:t>
      </w:r>
      <w:r>
        <w:rPr>
          <w:rFonts w:hint="eastAsia" w:ascii="宋体" w:hAnsi="宋体" w:eastAsia="宋体" w:cs="宋体"/>
          <w:b/>
          <w:bCs/>
          <w:sz w:val="36"/>
          <w:szCs w:val="36"/>
          <w:u w:val="single"/>
          <w:lang w:val="en-US" w:eastAsia="zh-CN"/>
        </w:rPr>
        <w:t>新疆秉强工程项目管理有限公司</w:t>
      </w:r>
    </w:p>
    <w:p w14:paraId="7DABFC9E">
      <w:pPr>
        <w:rPr>
          <w:rFonts w:hint="eastAsia" w:ascii="宋体" w:hAnsi="宋体" w:eastAsia="宋体" w:cs="宋体"/>
          <w:b/>
          <w:bCs/>
          <w:sz w:val="36"/>
          <w:szCs w:val="36"/>
          <w:u w:val="single"/>
          <w:lang w:val="en-US" w:eastAsia="zh-CN"/>
        </w:rPr>
      </w:pPr>
    </w:p>
    <w:p w14:paraId="438E138F">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编制日期：</w:t>
      </w:r>
      <w:r>
        <w:rPr>
          <w:rFonts w:hint="eastAsia" w:ascii="宋体" w:hAnsi="宋体" w:eastAsia="宋体" w:cs="宋体"/>
          <w:b/>
          <w:bCs/>
          <w:sz w:val="36"/>
          <w:szCs w:val="36"/>
          <w:u w:val="single"/>
          <w:lang w:val="en-US" w:eastAsia="zh-CN"/>
        </w:rPr>
        <w:t>2025年7月</w:t>
      </w:r>
      <w:r>
        <w:rPr>
          <w:rFonts w:hint="eastAsia" w:ascii="宋体" w:hAnsi="宋体" w:eastAsia="宋体" w:cs="宋体"/>
          <w:b/>
          <w:bCs/>
          <w:sz w:val="36"/>
          <w:szCs w:val="36"/>
          <w:highlight w:val="none"/>
          <w:u w:val="single"/>
          <w:lang w:val="en-US" w:eastAsia="zh-CN"/>
        </w:rPr>
        <w:t>03日</w:t>
      </w:r>
    </w:p>
    <w:p w14:paraId="6EA51665">
      <w:pPr>
        <w:rPr>
          <w:rFonts w:hint="eastAsia" w:ascii="宋体" w:hAnsi="宋体" w:eastAsia="宋体" w:cs="宋体"/>
          <w:b/>
          <w:bCs/>
          <w:sz w:val="36"/>
          <w:szCs w:val="36"/>
          <w:u w:val="single"/>
          <w:lang w:val="en-US" w:eastAsia="zh-CN"/>
        </w:rPr>
      </w:pPr>
    </w:p>
    <w:p w14:paraId="33B2B6CC">
      <w:pPr>
        <w:pStyle w:val="24"/>
        <w:rPr>
          <w:rFonts w:hint="eastAsia" w:ascii="宋体" w:hAnsi="宋体" w:eastAsia="宋体" w:cs="宋体"/>
          <w:b/>
          <w:bCs/>
          <w:sz w:val="36"/>
          <w:szCs w:val="36"/>
          <w:u w:val="single"/>
          <w:lang w:val="en-US" w:eastAsia="zh-CN"/>
        </w:rPr>
      </w:pPr>
    </w:p>
    <w:p w14:paraId="7C62156A">
      <w:pPr>
        <w:pStyle w:val="25"/>
        <w:rPr>
          <w:rFonts w:hint="eastAsia" w:ascii="宋体" w:hAnsi="宋体" w:eastAsia="宋体" w:cs="宋体"/>
          <w:b/>
          <w:bCs/>
          <w:sz w:val="36"/>
          <w:szCs w:val="36"/>
          <w:u w:val="single"/>
          <w:lang w:val="en-US" w:eastAsia="zh-CN"/>
        </w:rPr>
      </w:pPr>
    </w:p>
    <w:p w14:paraId="06DA53FB">
      <w:pPr>
        <w:rPr>
          <w:rFonts w:hint="eastAsia" w:ascii="宋体" w:hAnsi="宋体" w:eastAsia="宋体" w:cs="宋体"/>
          <w:b/>
          <w:bCs/>
          <w:sz w:val="36"/>
          <w:szCs w:val="36"/>
          <w:u w:val="single"/>
          <w:lang w:val="en-US" w:eastAsia="zh-CN"/>
        </w:rPr>
      </w:pPr>
    </w:p>
    <w:p w14:paraId="31739D56">
      <w:pPr>
        <w:pStyle w:val="24"/>
        <w:rPr>
          <w:rFonts w:hint="eastAsia" w:ascii="宋体" w:hAnsi="宋体" w:eastAsia="宋体" w:cs="宋体"/>
          <w:b/>
          <w:bCs/>
          <w:sz w:val="36"/>
          <w:szCs w:val="36"/>
          <w:u w:val="single"/>
          <w:lang w:val="en-US" w:eastAsia="zh-CN"/>
        </w:rPr>
      </w:pPr>
    </w:p>
    <w:p w14:paraId="38A99A4D">
      <w:pPr>
        <w:pStyle w:val="25"/>
        <w:rPr>
          <w:rFonts w:hint="eastAsia" w:ascii="宋体" w:hAnsi="宋体" w:eastAsia="宋体" w:cs="宋体"/>
          <w:b/>
          <w:bCs/>
          <w:sz w:val="36"/>
          <w:szCs w:val="36"/>
          <w:u w:val="single"/>
          <w:lang w:val="en-US" w:eastAsia="zh-CN"/>
        </w:rPr>
      </w:pPr>
    </w:p>
    <w:p w14:paraId="68A7BF02">
      <w:pPr>
        <w:rPr>
          <w:rFonts w:hint="eastAsia" w:ascii="宋体" w:hAnsi="宋体" w:eastAsia="宋体" w:cs="宋体"/>
          <w:b/>
          <w:bCs/>
          <w:sz w:val="36"/>
          <w:szCs w:val="36"/>
          <w:u w:val="single"/>
          <w:lang w:val="en-US" w:eastAsia="zh-CN"/>
        </w:rPr>
      </w:pPr>
    </w:p>
    <w:p w14:paraId="1A6B12EF">
      <w:pPr>
        <w:pStyle w:val="24"/>
        <w:rPr>
          <w:rFonts w:hint="eastAsia" w:ascii="宋体" w:hAnsi="宋体" w:eastAsia="宋体" w:cs="宋体"/>
          <w:b/>
          <w:bCs/>
          <w:sz w:val="36"/>
          <w:szCs w:val="36"/>
          <w:u w:val="single"/>
          <w:lang w:val="en-US" w:eastAsia="zh-CN"/>
        </w:rPr>
      </w:pPr>
    </w:p>
    <w:p w14:paraId="2AB3E627">
      <w:pPr>
        <w:pStyle w:val="25"/>
        <w:rPr>
          <w:rFonts w:hint="eastAsia" w:ascii="宋体" w:hAnsi="宋体" w:eastAsia="宋体" w:cs="宋体"/>
          <w:b/>
          <w:bCs/>
          <w:sz w:val="36"/>
          <w:szCs w:val="36"/>
          <w:u w:val="single"/>
          <w:lang w:val="en-US" w:eastAsia="zh-CN"/>
        </w:rPr>
      </w:pPr>
    </w:p>
    <w:p w14:paraId="2713A003">
      <w:pPr>
        <w:pStyle w:val="24"/>
        <w:rPr>
          <w:rFonts w:hint="eastAsia" w:ascii="宋体" w:hAnsi="宋体" w:eastAsia="宋体" w:cs="宋体"/>
          <w:b/>
          <w:bCs/>
          <w:sz w:val="36"/>
          <w:szCs w:val="36"/>
          <w:u w:val="single"/>
          <w:lang w:val="en-US" w:eastAsia="zh-CN"/>
        </w:rPr>
      </w:pPr>
    </w:p>
    <w:p w14:paraId="0EACE9A1">
      <w:pPr>
        <w:pStyle w:val="25"/>
        <w:rPr>
          <w:rFonts w:hint="eastAsia"/>
          <w:lang w:val="en-US" w:eastAsia="zh-CN"/>
        </w:rPr>
      </w:pPr>
    </w:p>
    <w:p w14:paraId="636CB9EA">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4C11D55C">
      <w:pPr>
        <w:pStyle w:val="27"/>
        <w:tabs>
          <w:tab w:val="right" w:leader="dot" w:pos="8312"/>
        </w:tabs>
      </w:pPr>
      <w:r>
        <w:rPr>
          <w:rFonts w:hint="eastAsia" w:ascii="仿宋" w:hAnsi="仿宋" w:eastAsia="仿宋" w:cs="仿宋"/>
          <w:color w:val="auto"/>
          <w:sz w:val="44"/>
          <w:szCs w:val="44"/>
          <w:lang w:val="en-US" w:eastAsia="zh-CN"/>
        </w:rPr>
        <w:fldChar w:fldCharType="begin"/>
      </w:r>
      <w:r>
        <w:rPr>
          <w:rFonts w:hint="eastAsia" w:ascii="仿宋" w:hAnsi="仿宋" w:eastAsia="仿宋" w:cs="仿宋"/>
          <w:color w:val="auto"/>
          <w:sz w:val="44"/>
          <w:szCs w:val="44"/>
          <w:lang w:val="en-US" w:eastAsia="zh-CN"/>
        </w:rPr>
        <w:instrText xml:space="preserve">TOC \o "1-3" \h \u </w:instrText>
      </w:r>
      <w:r>
        <w:rPr>
          <w:rFonts w:hint="eastAsia" w:ascii="仿宋" w:hAnsi="仿宋" w:eastAsia="仿宋" w:cs="仿宋"/>
          <w:color w:val="auto"/>
          <w:sz w:val="44"/>
          <w:szCs w:val="44"/>
          <w:lang w:val="en-US" w:eastAsia="zh-CN"/>
        </w:rPr>
        <w:fldChar w:fldCharType="separate"/>
      </w:r>
    </w:p>
    <w:p w14:paraId="4372DA8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_Toc22969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第一章 招标公告</w:t>
      </w:r>
      <w:r>
        <w:rPr>
          <w:rFonts w:hint="eastAsia" w:ascii="宋体" w:hAnsi="宋体" w:eastAsia="宋体" w:cs="宋体"/>
          <w:sz w:val="32"/>
          <w:szCs w:val="32"/>
        </w:rPr>
        <w:tab/>
      </w:r>
      <w:r>
        <w:rPr>
          <w:rFonts w:hint="eastAsia" w:ascii="宋体" w:hAnsi="宋体" w:eastAsia="宋体" w:cs="宋体"/>
          <w:sz w:val="32"/>
          <w:szCs w:val="32"/>
          <w:lang w:val="en-US" w:eastAsia="zh-CN"/>
        </w:rPr>
        <w:t>3</w:t>
      </w:r>
      <w:r>
        <w:rPr>
          <w:rFonts w:hint="eastAsia" w:ascii="宋体" w:hAnsi="宋体" w:eastAsia="宋体" w:cs="宋体"/>
          <w:color w:val="auto"/>
          <w:sz w:val="32"/>
          <w:szCs w:val="32"/>
          <w:lang w:val="en-US" w:eastAsia="zh-CN"/>
        </w:rPr>
        <w:fldChar w:fldCharType="end"/>
      </w:r>
    </w:p>
    <w:p w14:paraId="65A77E37">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_Toc16329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第二章 投标人须知</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_Toc16329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C733BE9">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_Toc7383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一  总则</w:t>
      </w:r>
      <w:r>
        <w:rPr>
          <w:rFonts w:hint="eastAsia" w:ascii="宋体" w:hAnsi="宋体" w:eastAsia="宋体" w:cs="宋体"/>
          <w:sz w:val="32"/>
          <w:szCs w:val="32"/>
        </w:rPr>
        <w:tab/>
      </w:r>
      <w:r>
        <w:rPr>
          <w:rFonts w:hint="eastAsia" w:ascii="宋体" w:hAnsi="宋体" w:eastAsia="宋体" w:cs="宋体"/>
          <w:sz w:val="32"/>
          <w:szCs w:val="32"/>
          <w:lang w:val="en-US" w:eastAsia="zh-CN"/>
        </w:rPr>
        <w:t>8</w:t>
      </w:r>
      <w:r>
        <w:rPr>
          <w:rFonts w:hint="eastAsia" w:ascii="宋体" w:hAnsi="宋体" w:eastAsia="宋体" w:cs="宋体"/>
          <w:color w:val="auto"/>
          <w:sz w:val="32"/>
          <w:szCs w:val="32"/>
          <w:lang w:val="en-US" w:eastAsia="zh-CN"/>
        </w:rPr>
        <w:fldChar w:fldCharType="end"/>
      </w:r>
    </w:p>
    <w:p w14:paraId="26A8A6CD">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_Toc10957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二</w:t>
      </w:r>
      <w:r>
        <w:rPr>
          <w:rFonts w:hint="eastAsia" w:ascii="宋体" w:hAnsi="宋体" w:eastAsia="宋体" w:cs="宋体"/>
          <w:sz w:val="32"/>
          <w:szCs w:val="32"/>
          <w:lang w:val="en-US" w:eastAsia="zh-CN"/>
        </w:rPr>
        <w:t xml:space="preserve">  招标</w:t>
      </w:r>
      <w:r>
        <w:rPr>
          <w:rFonts w:hint="eastAsia" w:ascii="宋体" w:hAnsi="宋体" w:eastAsia="宋体" w:cs="宋体"/>
          <w:sz w:val="32"/>
          <w:szCs w:val="32"/>
          <w:lang w:eastAsia="zh-CN"/>
        </w:rPr>
        <w:t>文件</w:t>
      </w:r>
      <w:r>
        <w:rPr>
          <w:rFonts w:hint="eastAsia" w:ascii="宋体" w:hAnsi="宋体" w:eastAsia="宋体" w:cs="宋体"/>
          <w:sz w:val="32"/>
          <w:szCs w:val="32"/>
        </w:rPr>
        <w:tab/>
      </w:r>
      <w:r>
        <w:rPr>
          <w:rFonts w:hint="eastAsia" w:ascii="宋体" w:hAnsi="宋体" w:eastAsia="宋体" w:cs="宋体"/>
          <w:sz w:val="32"/>
          <w:szCs w:val="32"/>
          <w:lang w:val="en-US" w:eastAsia="zh-CN"/>
        </w:rPr>
        <w:t>9</w:t>
      </w:r>
      <w:r>
        <w:rPr>
          <w:rFonts w:hint="eastAsia" w:ascii="宋体" w:hAnsi="宋体" w:eastAsia="宋体" w:cs="宋体"/>
          <w:color w:val="auto"/>
          <w:sz w:val="32"/>
          <w:szCs w:val="32"/>
          <w:lang w:val="en-US" w:eastAsia="zh-CN"/>
        </w:rPr>
        <w:fldChar w:fldCharType="end"/>
      </w:r>
    </w:p>
    <w:p w14:paraId="5AED87D6">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_Toc1031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三</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投标文件</w:t>
      </w:r>
      <w:r>
        <w:rPr>
          <w:rFonts w:hint="eastAsia" w:ascii="宋体" w:hAnsi="宋体" w:eastAsia="宋体" w:cs="宋体"/>
          <w:sz w:val="32"/>
          <w:szCs w:val="32"/>
        </w:rPr>
        <w:t>的编制</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0</w:t>
      </w:r>
    </w:p>
    <w:p w14:paraId="050C6C2F">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_Toc22363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四</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投标文件的递交</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_Toc22363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6FA7E038">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_Toc15245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开标及评标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_Toc15245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4C9010BA">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_Toc16502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六</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确定</w:t>
      </w:r>
      <w:r>
        <w:rPr>
          <w:rFonts w:hint="eastAsia" w:ascii="宋体" w:hAnsi="宋体" w:eastAsia="宋体" w:cs="宋体"/>
          <w:sz w:val="32"/>
          <w:szCs w:val="32"/>
          <w:lang w:val="en-US" w:eastAsia="zh-CN"/>
        </w:rPr>
        <w:t>中标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_Toc16502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cs="宋体"/>
          <w:sz w:val="32"/>
          <w:szCs w:val="32"/>
          <w:lang w:val="en-US" w:eastAsia="zh-CN"/>
        </w:rPr>
        <w:t>6</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361FEC1C">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_Toc4265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 xml:space="preserve">第三章 </w:t>
      </w:r>
      <w:r>
        <w:rPr>
          <w:rFonts w:hint="eastAsia" w:ascii="宋体" w:hAnsi="宋体" w:eastAsia="宋体" w:cs="宋体"/>
          <w:sz w:val="32"/>
          <w:szCs w:val="32"/>
          <w:highlight w:val="none"/>
        </w:rPr>
        <w:t>投标人须知资料表</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_Toc4265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19</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3E38519F">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_Toc25626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第四章 采购需求及要求</w:t>
      </w:r>
      <w:r>
        <w:rPr>
          <w:rFonts w:hint="eastAsia" w:ascii="宋体" w:hAnsi="宋体" w:eastAsia="宋体" w:cs="宋体"/>
          <w:sz w:val="32"/>
          <w:szCs w:val="32"/>
        </w:rPr>
        <w:tab/>
      </w:r>
      <w:r>
        <w:rPr>
          <w:rFonts w:hint="eastAsia" w:ascii="宋体" w:hAnsi="宋体" w:eastAsia="宋体" w:cs="宋体"/>
          <w:sz w:val="32"/>
          <w:szCs w:val="32"/>
          <w:lang w:val="en-US" w:eastAsia="zh-CN"/>
        </w:rPr>
        <w:t>2</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5</w:t>
      </w:r>
    </w:p>
    <w:p w14:paraId="75800C4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_Toc20312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评标方法和标准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_Toc20312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53CD54FB">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_Toc29059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第六章 </w:t>
      </w:r>
      <w:r>
        <w:rPr>
          <w:rFonts w:hint="eastAsia" w:ascii="宋体" w:hAnsi="宋体" w:eastAsia="宋体" w:cs="宋体"/>
          <w:sz w:val="32"/>
          <w:szCs w:val="32"/>
        </w:rPr>
        <w:t>投标</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_Toc29059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57</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F827306">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仿宋" w:hAnsi="仿宋" w:eastAsia="仿宋" w:cs="仿宋"/>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_Toc26627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七</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政府采购合同参考范本</w:t>
      </w:r>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8</w:t>
      </w:r>
    </w:p>
    <w:p w14:paraId="011D1A55">
      <w:pPr>
        <w:rPr>
          <w:rFonts w:hint="eastAsia" w:ascii="仿宋" w:hAnsi="仿宋" w:eastAsia="仿宋" w:cs="仿宋"/>
          <w:color w:val="auto"/>
          <w:szCs w:val="44"/>
          <w:lang w:val="en-US" w:eastAsia="zh-CN"/>
        </w:rPr>
      </w:pPr>
      <w:r>
        <w:rPr>
          <w:rFonts w:hint="eastAsia" w:ascii="仿宋" w:hAnsi="仿宋" w:eastAsia="仿宋" w:cs="仿宋"/>
          <w:color w:val="auto"/>
          <w:szCs w:val="44"/>
          <w:lang w:val="en-US" w:eastAsia="zh-CN"/>
        </w:rPr>
        <w:fldChar w:fldCharType="end"/>
      </w:r>
    </w:p>
    <w:p w14:paraId="2405198F">
      <w:pPr>
        <w:pStyle w:val="24"/>
        <w:rPr>
          <w:rFonts w:hint="eastAsia" w:ascii="仿宋" w:hAnsi="仿宋" w:eastAsia="仿宋" w:cs="仿宋"/>
          <w:color w:val="auto"/>
          <w:szCs w:val="44"/>
          <w:lang w:val="en-US" w:eastAsia="zh-CN"/>
        </w:rPr>
      </w:pPr>
    </w:p>
    <w:p w14:paraId="104450BA">
      <w:pPr>
        <w:pStyle w:val="25"/>
        <w:rPr>
          <w:rFonts w:hint="eastAsia" w:ascii="仿宋" w:hAnsi="仿宋" w:eastAsia="仿宋" w:cs="仿宋"/>
          <w:color w:val="auto"/>
          <w:szCs w:val="44"/>
          <w:lang w:val="en-US" w:eastAsia="zh-CN"/>
        </w:rPr>
      </w:pPr>
    </w:p>
    <w:p w14:paraId="722DB262">
      <w:pPr>
        <w:rPr>
          <w:rFonts w:hint="eastAsia" w:ascii="仿宋" w:hAnsi="仿宋" w:eastAsia="仿宋" w:cs="仿宋"/>
          <w:color w:val="auto"/>
          <w:szCs w:val="44"/>
          <w:lang w:val="en-US" w:eastAsia="zh-CN"/>
        </w:rPr>
      </w:pPr>
    </w:p>
    <w:p w14:paraId="26BF1596">
      <w:pPr>
        <w:pStyle w:val="24"/>
        <w:rPr>
          <w:rFonts w:hint="eastAsia" w:ascii="仿宋" w:hAnsi="仿宋" w:eastAsia="仿宋" w:cs="仿宋"/>
          <w:color w:val="auto"/>
          <w:szCs w:val="44"/>
          <w:lang w:val="en-US" w:eastAsia="zh-CN"/>
        </w:rPr>
      </w:pPr>
    </w:p>
    <w:p w14:paraId="426DF7E9">
      <w:pPr>
        <w:pStyle w:val="25"/>
        <w:rPr>
          <w:rFonts w:hint="eastAsia" w:ascii="仿宋" w:hAnsi="仿宋" w:eastAsia="仿宋" w:cs="仿宋"/>
          <w:color w:val="auto"/>
          <w:szCs w:val="44"/>
          <w:lang w:val="en-US" w:eastAsia="zh-CN"/>
        </w:rPr>
      </w:pPr>
    </w:p>
    <w:p w14:paraId="4E912B19">
      <w:pPr>
        <w:rPr>
          <w:rFonts w:hint="eastAsia" w:ascii="仿宋" w:hAnsi="仿宋" w:eastAsia="仿宋" w:cs="仿宋"/>
          <w:color w:val="auto"/>
          <w:szCs w:val="44"/>
          <w:lang w:val="en-US" w:eastAsia="zh-CN"/>
        </w:rPr>
      </w:pPr>
    </w:p>
    <w:p w14:paraId="2E3A4CDE">
      <w:pPr>
        <w:pStyle w:val="24"/>
        <w:rPr>
          <w:rFonts w:hint="eastAsia" w:ascii="仿宋" w:hAnsi="仿宋" w:eastAsia="仿宋" w:cs="仿宋"/>
          <w:color w:val="auto"/>
          <w:szCs w:val="44"/>
          <w:lang w:val="en-US" w:eastAsia="zh-CN"/>
        </w:rPr>
      </w:pPr>
    </w:p>
    <w:p w14:paraId="77ED99A5">
      <w:pPr>
        <w:pStyle w:val="25"/>
        <w:rPr>
          <w:rFonts w:hint="eastAsia"/>
          <w:lang w:val="en-US" w:eastAsia="zh-CN"/>
        </w:rPr>
      </w:pPr>
    </w:p>
    <w:p w14:paraId="2B819AAB">
      <w:pPr>
        <w:pStyle w:val="25"/>
        <w:rPr>
          <w:rFonts w:hint="eastAsia" w:ascii="仿宋" w:hAnsi="仿宋" w:eastAsia="仿宋" w:cs="仿宋"/>
          <w:color w:val="auto"/>
          <w:szCs w:val="44"/>
          <w:lang w:val="en-US" w:eastAsia="zh-CN"/>
        </w:rPr>
      </w:pPr>
    </w:p>
    <w:p w14:paraId="18AE8111">
      <w:pPr>
        <w:rPr>
          <w:rFonts w:hint="eastAsia" w:ascii="仿宋" w:hAnsi="仿宋" w:eastAsia="仿宋" w:cs="仿宋"/>
          <w:color w:val="auto"/>
          <w:szCs w:val="44"/>
          <w:lang w:val="en-US" w:eastAsia="zh-CN"/>
        </w:rPr>
      </w:pPr>
    </w:p>
    <w:p w14:paraId="6DB98175">
      <w:pPr>
        <w:pStyle w:val="25"/>
        <w:ind w:left="0" w:leftChars="0" w:firstLine="0" w:firstLineChars="0"/>
        <w:rPr>
          <w:rFonts w:hint="eastAsia" w:ascii="仿宋" w:hAnsi="仿宋" w:eastAsia="仿宋" w:cs="仿宋"/>
          <w:color w:val="auto"/>
          <w:szCs w:val="44"/>
          <w:lang w:val="en-US" w:eastAsia="zh-CN"/>
        </w:rPr>
      </w:pPr>
    </w:p>
    <w:p w14:paraId="24F3FF7C">
      <w:pPr>
        <w:numPr>
          <w:ilvl w:val="0"/>
          <w:numId w:val="2"/>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招标公告</w:t>
      </w:r>
    </w:p>
    <w:p w14:paraId="1D466A41">
      <w:pPr>
        <w:numPr>
          <w:ilvl w:val="0"/>
          <w:numId w:val="0"/>
        </w:numPr>
        <w:rPr>
          <w:rFonts w:hint="eastAsia"/>
          <w:lang w:val="en-US" w:eastAsia="zh-CN"/>
        </w:rPr>
      </w:pPr>
    </w:p>
    <w:tbl>
      <w:tblPr>
        <w:tblStyle w:val="31"/>
        <w:tblW w:w="920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5"/>
      </w:tblGrid>
      <w:tr w14:paraId="714B80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2" w:hRule="atLeast"/>
        </w:trPr>
        <w:tc>
          <w:tcPr>
            <w:tcW w:w="9205" w:type="dxa"/>
            <w:vAlign w:val="top"/>
          </w:tcPr>
          <w:p w14:paraId="38F0927E">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4200C97C">
            <w:pPr>
              <w:ind w:firstLine="480" w:firstLineChars="200"/>
              <w:rPr>
                <w:rFonts w:hint="eastAsia"/>
                <w:sz w:val="24"/>
                <w:szCs w:val="24"/>
                <w:highlight w:val="none"/>
                <w:lang w:val="en-US" w:eastAsia="zh-CN"/>
              </w:rPr>
            </w:pPr>
            <w:r>
              <w:rPr>
                <w:rFonts w:hint="eastAsia" w:ascii="宋体" w:hAnsi="宋体" w:eastAsia="宋体" w:cs="宋体"/>
                <w:sz w:val="24"/>
                <w:szCs w:val="24"/>
                <w:highlight w:val="none"/>
                <w:lang w:val="en-US" w:eastAsia="zh-CN"/>
              </w:rPr>
              <w:t>伊犁师范大学校本部、东校区餐厅社会管理服务项目的潜在投标人应在（政采云平台（</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"https://www.zcygov.cn/"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https://www.zcygov.cn/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））获取招标文件，并于2025年07月18日11时00分 （北京时间）前递交投标文件。</w:t>
            </w:r>
          </w:p>
        </w:tc>
      </w:tr>
    </w:tbl>
    <w:p w14:paraId="2025291D">
      <w:pPr>
        <w:rPr>
          <w:rFonts w:hint="eastAsia"/>
          <w:highlight w:val="none"/>
          <w:lang w:val="en-US" w:eastAsia="zh-CN"/>
        </w:rPr>
      </w:pPr>
    </w:p>
    <w:p w14:paraId="4C697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一、项目基本情况</w:t>
      </w:r>
    </w:p>
    <w:p w14:paraId="5F339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1.项目编号：XJBQ2025-22</w:t>
      </w:r>
    </w:p>
    <w:p w14:paraId="36F4D7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2.项目名称：伊犁师范大学校本部、东校区餐厅社会管理服务项目</w:t>
      </w:r>
    </w:p>
    <w:p w14:paraId="4B1CF3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3.采购方式：公开招标</w:t>
      </w:r>
    </w:p>
    <w:p w14:paraId="1C6B84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4.项目预算金额：1201.5万元</w:t>
      </w:r>
    </w:p>
    <w:p w14:paraId="7AD0C3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5.最高限价：标项一：2835000；标项二：2430000；标项三：2025000；标项四：1800000；标项五：2925000</w:t>
      </w:r>
    </w:p>
    <w:p w14:paraId="1D09D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6.采购需求：对伊犁师范大学东校区南区学生食堂（一楼、二楼、三楼）、伊犁师范大学校本部文苑餐厅、雅苑餐厅面向社会公开招募餐饮服务团队（具体内容详见“第四章 采购需求及要求”）。</w:t>
      </w:r>
    </w:p>
    <w:p w14:paraId="6A4ECC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w:t>
      </w:r>
    </w:p>
    <w:p w14:paraId="69B442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557917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BF849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预算金额（元）：2835000 </w:t>
      </w:r>
    </w:p>
    <w:p w14:paraId="7279A4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790F78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简要规格描述：东校区南区学生食堂一楼面积约为2583m²，购买餐饮管理服务，按照伊犁师范大学保供稳价的工作要求，餐饮服务企业为师生提供一日三餐高质量餐饮保障，具体要求详见招标文件； </w:t>
      </w:r>
    </w:p>
    <w:p w14:paraId="305D51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备注：无</w:t>
      </w:r>
    </w:p>
    <w:p w14:paraId="23631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标项二</w:t>
      </w:r>
    </w:p>
    <w:p w14:paraId="6EACE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标项名称:伊犁师范大学东校区南区学生食堂二楼餐饮管理服务采购项目</w:t>
      </w:r>
    </w:p>
    <w:p w14:paraId="07CE5F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0D16A3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预算金额（元）：2430000 </w:t>
      </w:r>
    </w:p>
    <w:p w14:paraId="2EDA5E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924FA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简要规格描述：东校区南区学生食堂二楼面积约为2565m²，购买餐饮管理服务，按照伊犁师范大学保供稳价的工作要求，餐饮服务企业为师生提供一日三餐高质量餐饮保障，具体要求详见招标文件； </w:t>
      </w:r>
    </w:p>
    <w:p w14:paraId="44AB2D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21230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标项三</w:t>
      </w:r>
    </w:p>
    <w:p w14:paraId="75A696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标项名称:伊犁师范大学东校区南区学生食堂三楼餐饮管理服务采购项目</w:t>
      </w:r>
    </w:p>
    <w:p w14:paraId="429BE8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FF2A1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预算金额（元）：2025000 </w:t>
      </w:r>
    </w:p>
    <w:p w14:paraId="045262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5CDA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简要规格描述：东校区南区学生食堂三楼面积约为2496m²，购买餐饮管理服务，按照伊犁师范大学保供稳价的工作要求，餐饮服务企业为师生提供一日三餐高质量餐饮保障，具体要求详见招标文件； </w:t>
      </w:r>
    </w:p>
    <w:p w14:paraId="5E6DA4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73BA7D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标项四</w:t>
      </w:r>
    </w:p>
    <w:p w14:paraId="656155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30D39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06102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预算金额（元）：1800000 </w:t>
      </w:r>
    </w:p>
    <w:p w14:paraId="708195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355E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简要规格描述：中华美食广场一楼文苑餐厅总面积约为4600m²，购买餐饮管理服务，按照伊犁师范大学保供稳价的工作要求，餐饮服务企业为师生提供一日三餐高质量餐饮保障，具体要求详见招标文件； </w:t>
      </w:r>
    </w:p>
    <w:p w14:paraId="6E4AFB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764FD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标项五</w:t>
      </w:r>
    </w:p>
    <w:p w14:paraId="0DF48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标项名称:伊犁师范大学校本部雅苑餐厅餐饮管理服务采购项目</w:t>
      </w:r>
    </w:p>
    <w:p w14:paraId="1EED80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394F06B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预算金额（元）：2925000</w:t>
      </w:r>
    </w:p>
    <w:p w14:paraId="07B4D0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26ACC5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简要规格描述：中华美食广场二楼雅苑餐厅总面积约为4600m²，购买餐饮管理服务，按照伊犁师范大学保供稳价的工作要求，餐饮服务企业为师生提供一日三餐高质量餐饮保障，具体要求详见招标文件； </w:t>
      </w:r>
    </w:p>
    <w:p w14:paraId="07C4D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47178FE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合同服务履行期限：标项一、二、三为：合同签订后一年（标项一、二、三采取一次招标三年沿用。合同一年一考核一年一签，年度考核合格及以上，可选择续签下一年度合同。考核不合格，不予续签。）；标项四、五为：合同签订后半年</w:t>
      </w:r>
      <w:r>
        <w:rPr>
          <w:rFonts w:hint="eastAsia" w:ascii="宋体" w:hAnsi="宋体" w:eastAsia="宋体" w:cs="宋体"/>
          <w:sz w:val="24"/>
          <w:szCs w:val="24"/>
          <w:highlight w:val="none"/>
          <w:lang w:val="en-US" w:eastAsia="zh-CN"/>
        </w:rPr>
        <w:t>（若中标单位在合同服务履行期限内考核合格及以上，可选择续签合同期限为半年。考核不合格，不予续签。）</w:t>
      </w:r>
      <w:r>
        <w:rPr>
          <w:rFonts w:hint="eastAsia" w:ascii="宋体" w:hAnsi="宋体" w:eastAsia="宋体" w:cs="宋体"/>
          <w:sz w:val="24"/>
          <w:szCs w:val="24"/>
          <w:lang w:val="en-US" w:eastAsia="zh-CN"/>
        </w:rPr>
        <w:t>具体时间以甲乙双方签订合同为准。</w:t>
      </w:r>
    </w:p>
    <w:p w14:paraId="14437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8.本项目（否）接受联合体投标</w:t>
      </w:r>
    </w:p>
    <w:p w14:paraId="01285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29777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366F3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2.落实政府采购政策需满足的资格要求：本项目为专门面向中小企业采购的项目。</w:t>
      </w:r>
    </w:p>
    <w:p w14:paraId="1847C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51ADB9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（1）投标人须具备有效的《餐饮服务许可证》或《食品经营许可证》；</w:t>
      </w:r>
    </w:p>
    <w:p w14:paraId="4EDFC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法定代表人或单位负责人为同一人或者存在直接控股、管理关系的不同供应商，不得参加同一合同项下的政府采购活动；2.除单一来源采购项目外，为采购项目提供整体设计、规范编制或者项目管理、监理、检测等服务的供应商，不得再参加该采购项目的其他采购活动；3.供应商的信用行为：在资格审查阶段经查询，未被列入“失信被执行人”、“重大税收违法失信主体”、“政府采购严重违法失信行为记录名单” 其中之一。如有以上不良信用记录之一的，其投标无效。</w:t>
      </w:r>
    </w:p>
    <w:p w14:paraId="13E26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三、获取招标文件</w:t>
      </w:r>
    </w:p>
    <w:p w14:paraId="02311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时间：2025年06月27日至2025年07月04日，每天上午 00:00 至 14:00，下午 14:00 至 23:59（北京时间，法定节假日除外）</w:t>
      </w:r>
    </w:p>
    <w:p w14:paraId="6BD7F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（2）地点：新疆政府采购网政采云平台（www.zcygov.cn）。</w:t>
      </w:r>
    </w:p>
    <w:p w14:paraId="632983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（3）方式：供应商登录政采云平台 https://www.zcygov.cn/在线申请获取采购文件（进入“项目采购 ”应用，在获取采购文件菜单中选择项目，申请获取 采购文件）</w:t>
      </w:r>
    </w:p>
    <w:p w14:paraId="16036A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（4）售价（元）：0</w:t>
      </w:r>
    </w:p>
    <w:p w14:paraId="4864E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55856F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（1）提交投标文件截止时间：2025年07月</w:t>
      </w:r>
      <w:r>
        <w:rPr>
          <w:rFonts w:hint="eastAsia" w:ascii="宋体" w:hAnsi="宋体" w:eastAsia="宋体" w:cs="宋体"/>
          <w:sz w:val="24"/>
          <w:szCs w:val="24"/>
          <w:highlight w:val="none"/>
          <w:lang w:val="en-US" w:eastAsia="zh-CN"/>
        </w:rPr>
        <w:t>18日</w:t>
      </w:r>
      <w:r>
        <w:rPr>
          <w:rFonts w:hint="eastAsia" w:ascii="宋体" w:hAnsi="宋体" w:eastAsia="宋体" w:cs="宋体"/>
          <w:sz w:val="24"/>
          <w:szCs w:val="24"/>
          <w:lang w:val="en-US" w:eastAsia="zh-CN"/>
        </w:rPr>
        <w:t xml:space="preserve"> 11:00（北京时间）</w:t>
      </w:r>
    </w:p>
    <w:p w14:paraId="2FACA6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（2）投标地点：请登录政采云投标客户端投标</w:t>
      </w:r>
    </w:p>
    <w:p w14:paraId="74F5AD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（3）开标时间：2025年07月</w:t>
      </w:r>
      <w:r>
        <w:rPr>
          <w:rFonts w:hint="eastAsia" w:ascii="宋体" w:hAnsi="宋体" w:eastAsia="宋体" w:cs="宋体"/>
          <w:sz w:val="24"/>
          <w:szCs w:val="24"/>
          <w:highlight w:val="none"/>
          <w:lang w:val="en-US" w:eastAsia="zh-CN"/>
        </w:rPr>
        <w:t>18日</w:t>
      </w:r>
      <w:r>
        <w:rPr>
          <w:rFonts w:hint="eastAsia" w:ascii="宋体" w:hAnsi="宋体" w:eastAsia="宋体" w:cs="宋体"/>
          <w:sz w:val="24"/>
          <w:szCs w:val="24"/>
          <w:lang w:val="en-US" w:eastAsia="zh-CN"/>
        </w:rPr>
        <w:t xml:space="preserve"> 11:00（北京时间）</w:t>
      </w:r>
    </w:p>
    <w:p w14:paraId="383938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（4）开标地点：投标人登录政采云平台https://www.zcygov.cn/，进入 “项目采购-开标评标-右边选择对应项目点击“进入项目 ”进入开标大厅。</w:t>
      </w:r>
    </w:p>
    <w:p w14:paraId="6F2A6B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1CD0CB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自招标公告发布之日起 5 个工作日。</w:t>
      </w:r>
    </w:p>
    <w:p w14:paraId="5E95E0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六、其他补充事宜</w:t>
      </w:r>
    </w:p>
    <w:p w14:paraId="57005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E8E59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投标人在开标前应确保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0999-8982485。</w:t>
      </w:r>
    </w:p>
    <w:p w14:paraId="10DDC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04FAA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4、投标人应当在投标截止时间前,将生成的“电子加密投标文件”上传递交至“政府采购云平台”,投标截止时间以后上传递交的投标文件将被“政府采购云平台”拒收。</w:t>
      </w:r>
    </w:p>
    <w:p w14:paraId="65A999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投标人在规定时间内因自身原因导致无法正常解密,后果由投标人自行承担。</w:t>
      </w:r>
    </w:p>
    <w:p w14:paraId="178833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6、投标人登录政采云平台，在开标时间后30分钟内用“项目采购-开标评标”功能进行解密投标文件。若投标人在规定时间内未按时解密的，视为无效投标。解密与加密投标文件须使用同一个CA。</w:t>
      </w:r>
    </w:p>
    <w:p w14:paraId="239111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7D7D5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1、采购限额标准以上，200万元以下的货物和服务采购项目、400万元以下的工程采购项目，适宜由中小企业提供的，采购人应当专门面向中小企业采购。</w:t>
      </w:r>
    </w:p>
    <w:p w14:paraId="6D78589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2、超过200万元的货物和服务采购项目，预留该部分采购项目预算总额的30%以上专门面向中小企业采购，其中预留给小微企业的比例不低于60%。</w:t>
      </w:r>
    </w:p>
    <w:p w14:paraId="75CBB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3、超过400万元的工程采购项目中适宜由中小企业提供的，预留该部分采购项目预算总额的40%以上专门面向中小企业采购，其中预留给小微企业的比例不低于60%。</w:t>
      </w:r>
    </w:p>
    <w:p w14:paraId="7FB7B19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29E6F51">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979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七、对本次招标提出询问，请按以下方式联系</w:t>
      </w:r>
    </w:p>
    <w:p w14:paraId="60F70F5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1.采购人信息</w:t>
      </w:r>
    </w:p>
    <w:p w14:paraId="46E3388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称：伊犁师范大学</w:t>
      </w:r>
    </w:p>
    <w:p w14:paraId="0FD14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址：新疆伊犁哈萨克自治州伊宁市解放西路448号 </w:t>
      </w:r>
    </w:p>
    <w:p w14:paraId="56483EF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联系方式：0999-8141261</w:t>
      </w:r>
    </w:p>
    <w:p w14:paraId="0732E0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2.采购代理机构信息</w:t>
      </w:r>
    </w:p>
    <w:p w14:paraId="7FFFDC0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称：新疆秉强工程项目管理有限公司</w:t>
      </w:r>
    </w:p>
    <w:p w14:paraId="0DD8CF6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址：新疆伊宁市成都南路佳和宜园小区4号综合楼301室 </w:t>
      </w:r>
    </w:p>
    <w:p w14:paraId="4620BD3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w:t>
      </w:r>
      <w:r>
        <w:rPr>
          <w:rFonts w:hint="eastAsia" w:ascii="宋体" w:hAnsi="宋体" w:eastAsia="宋体" w:cs="宋体"/>
          <w:b w:val="0"/>
          <w:bCs w:val="0"/>
          <w:sz w:val="24"/>
          <w:szCs w:val="24"/>
          <w:lang w:val="en-US" w:eastAsia="zh-CN"/>
        </w:rPr>
        <w:t>：19990964972</w:t>
      </w:r>
    </w:p>
    <w:p w14:paraId="371735E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3.项目联系方式</w:t>
      </w:r>
    </w:p>
    <w:p w14:paraId="608AAD5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项目联系人：</w:t>
      </w:r>
      <w:r>
        <w:rPr>
          <w:rFonts w:hint="eastAsia" w:ascii="宋体" w:hAnsi="宋体" w:eastAsia="宋体" w:cs="宋体"/>
          <w:b w:val="0"/>
          <w:bCs w:val="0"/>
          <w:sz w:val="24"/>
          <w:szCs w:val="24"/>
          <w:lang w:val="en-US" w:eastAsia="zh-CN"/>
        </w:rPr>
        <w:t>丁嫒璟</w:t>
      </w:r>
    </w:p>
    <w:p w14:paraId="4BC26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4"/>
          <w:szCs w:val="24"/>
          <w:lang w:val="en-US" w:eastAsia="zh-CN"/>
        </w:rPr>
        <w:t>电 话：19990964972</w:t>
      </w:r>
    </w:p>
    <w:p w14:paraId="0A3BB6D8">
      <w:pPr>
        <w:rPr>
          <w:rFonts w:hint="default" w:ascii="宋体" w:hAnsi="宋体" w:eastAsia="宋体" w:cs="宋体"/>
          <w:b w:val="0"/>
          <w:bCs w:val="0"/>
          <w:sz w:val="28"/>
          <w:szCs w:val="28"/>
          <w:lang w:val="en-US" w:eastAsia="zh-CN"/>
        </w:rPr>
      </w:pPr>
    </w:p>
    <w:p w14:paraId="17E23CE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9063BD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AB2E29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2196EB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3C163B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7FD5988">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A3ACDD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AB8B7F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65F0E2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5346D6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E52601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3DD7581">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8C215F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96EB9A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1B4EE1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C6A1A1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39079909">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745AC26">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A560863">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083D7AA">
      <w:pPr>
        <w:rPr>
          <w:rStyle w:val="32"/>
          <w:rFonts w:hint="eastAsia" w:ascii="宋体" w:hAnsi="宋体" w:eastAsia="宋体" w:cs="宋体"/>
          <w:b/>
          <w:sz w:val="44"/>
          <w:szCs w:val="44"/>
          <w:lang w:val="en-US" w:eastAsia="zh-CN"/>
        </w:rPr>
      </w:pPr>
    </w:p>
    <w:p w14:paraId="6152A560">
      <w:pPr>
        <w:pStyle w:val="2"/>
        <w:rPr>
          <w:rFonts w:hint="eastAsia"/>
          <w:lang w:val="en-US" w:eastAsia="zh-CN"/>
        </w:rPr>
      </w:pPr>
    </w:p>
    <w:p w14:paraId="44041E19">
      <w:pPr>
        <w:rPr>
          <w:rFonts w:hint="eastAsia"/>
          <w:lang w:val="en-US" w:eastAsia="zh-CN"/>
        </w:rPr>
      </w:pPr>
    </w:p>
    <w:p w14:paraId="2EAE0B4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2A6E65E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r>
        <w:rPr>
          <w:rStyle w:val="32"/>
          <w:rFonts w:hint="eastAsia" w:ascii="宋体" w:hAnsi="宋体" w:eastAsia="宋体" w:cs="宋体"/>
          <w:b/>
          <w:sz w:val="44"/>
          <w:szCs w:val="44"/>
          <w:lang w:val="en-US" w:eastAsia="zh-CN"/>
        </w:rPr>
        <w:t>第二章投标人须知</w:t>
      </w:r>
    </w:p>
    <w:p w14:paraId="3F37C477">
      <w:pPr>
        <w:pStyle w:val="4"/>
        <w:bidi w:val="0"/>
        <w:jc w:val="center"/>
        <w:rPr>
          <w:rFonts w:hint="eastAsia" w:ascii="宋体" w:hAnsi="宋体" w:eastAsia="宋体" w:cs="宋体"/>
          <w:sz w:val="24"/>
          <w:szCs w:val="24"/>
          <w:lang w:val="en-US" w:eastAsia="zh-CN"/>
        </w:rPr>
      </w:pPr>
      <w:bookmarkStart w:id="0" w:name="_Toc7383"/>
      <w:r>
        <w:rPr>
          <w:rFonts w:hint="eastAsia" w:ascii="宋体" w:hAnsi="宋体" w:eastAsia="宋体" w:cs="宋体"/>
          <w:sz w:val="24"/>
          <w:szCs w:val="24"/>
          <w:lang w:val="en-US" w:eastAsia="zh-CN"/>
        </w:rPr>
        <w:t>一 总则</w:t>
      </w:r>
      <w:bookmarkEnd w:id="0"/>
    </w:p>
    <w:p w14:paraId="5C3ADFA9">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both"/>
        <w:textAlignment w:val="auto"/>
        <w:outlineLvl w:val="2"/>
        <w:rPr>
          <w:rFonts w:hint="eastAsia" w:ascii="宋体" w:hAnsi="宋体" w:eastAsia="宋体" w:cs="宋体"/>
          <w:sz w:val="24"/>
          <w:szCs w:val="24"/>
          <w:u w:val="none"/>
        </w:rPr>
      </w:pPr>
      <w:bookmarkStart w:id="1" w:name="_Toc32285"/>
      <w:r>
        <w:rPr>
          <w:rFonts w:hint="eastAsia" w:ascii="宋体" w:hAnsi="宋体" w:eastAsia="宋体" w:cs="宋体"/>
          <w:sz w:val="24"/>
          <w:szCs w:val="24"/>
          <w:u w:val="none"/>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采购人、采购代理机构及投标人</w:t>
      </w:r>
      <w:bookmarkEnd w:id="1"/>
    </w:p>
    <w:p w14:paraId="63E4DA4C">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7F31341B">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采购代理机构：是指集中采购机构或从事采购代理业务的社会中介机构。本项目的采购代理机构见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18BB3E9F">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投标人：是指向采购人提供货物、工程或者服务的法人、非法人组织或者自然人。本项目的投标人须满足以下条件：</w:t>
      </w:r>
    </w:p>
    <w:p w14:paraId="065468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1.3.1在中华人民共和国境内注册，能够独立承担民事责任，有生产或供应能力的本国供应商。</w:t>
      </w:r>
    </w:p>
    <w:p w14:paraId="26BAAF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1.3.2具备《中华人民共和国政府采购法》第二十二条关于供应商条件的规定。</w:t>
      </w:r>
    </w:p>
    <w:p w14:paraId="23F8861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1.3.3以采购代理机构认可的方式获得了本项目的</w:t>
      </w:r>
      <w:r>
        <w:rPr>
          <w:rFonts w:hint="eastAsia" w:ascii="宋体" w:hAnsi="宋体" w:eastAsia="宋体" w:cs="宋体"/>
          <w:sz w:val="24"/>
          <w:szCs w:val="24"/>
          <w:u w:val="single"/>
          <w:lang w:eastAsia="zh-CN"/>
        </w:rPr>
        <w:t>采购文件</w:t>
      </w:r>
      <w:r>
        <w:rPr>
          <w:rFonts w:hint="eastAsia" w:ascii="宋体" w:hAnsi="宋体" w:eastAsia="宋体" w:cs="宋体"/>
          <w:sz w:val="24"/>
          <w:szCs w:val="24"/>
        </w:rPr>
        <w:t>。</w:t>
      </w:r>
    </w:p>
    <w:p w14:paraId="6BB1D24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1.3.4符合</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中规定的其他要求。</w:t>
      </w:r>
    </w:p>
    <w:p w14:paraId="7B619EF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 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中写明专门面向中小企业采购的，如投标人为非中小企业，投标被认定为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1850C9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1.4如</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中允许联合体投标，对联合体规定如下：</w:t>
      </w:r>
    </w:p>
    <w:p w14:paraId="31BD2527">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1.4.1两个以上供应商可以组成一个投标联合体，以一个投标人的身份投标。</w:t>
      </w:r>
    </w:p>
    <w:p w14:paraId="1627703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1.4.2联合体各方均应符合《中华人民共和国政府采购法》第二十二条规定的条件。</w:t>
      </w:r>
    </w:p>
    <w:p w14:paraId="7EED23B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1.4.3采购人根据采购项目对投标人的特殊要求，联合体中至少应当有一方符合相关规定。</w:t>
      </w:r>
    </w:p>
    <w:p w14:paraId="67FFDE2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1.4.4联合体各方应签订共同投标协议，明确约定联合体各方承担的工作和相应的责任，并共同投标协议连同</w:t>
      </w:r>
      <w:r>
        <w:rPr>
          <w:rFonts w:hint="eastAsia" w:ascii="宋体" w:hAnsi="宋体" w:eastAsia="宋体" w:cs="宋体"/>
          <w:sz w:val="24"/>
          <w:szCs w:val="24"/>
          <w:lang w:eastAsia="zh-CN"/>
        </w:rPr>
        <w:t>投标响应文件</w:t>
      </w:r>
      <w:r>
        <w:rPr>
          <w:rFonts w:hint="eastAsia" w:ascii="宋体" w:hAnsi="宋体" w:eastAsia="宋体" w:cs="宋体"/>
          <w:sz w:val="24"/>
          <w:szCs w:val="24"/>
        </w:rPr>
        <w:t>一并提交招标采购单位。</w:t>
      </w:r>
    </w:p>
    <w:p w14:paraId="1A24BFC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2C445A90">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1.4.6联合体中有同类资质的供应商按照联合体分工承担相同工作的，按照资质等级较低的供应商确定资质等级。</w:t>
      </w:r>
    </w:p>
    <w:p w14:paraId="4EEC7B2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1.4.7 以联合体形式参加政府采购活动的，联合体各方不得再单独参加或者与其他供应商另外组成联合体参加本项目投标，否则相关投标被认定为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E78368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1.4.8对联合体投标的其他资格要求见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68E41A7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5CBB49B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1.6为本项目提供过整体设计、规范编制或者项目管理、监理、检测等服务的供应商，不得再参加本项目上述服务以外的其他采购活动。否则投标被认定为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18A5A3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1.7投标人在投标过程中不得向采购人提供或给予影响其正常决策行为的任何有价值物品或服务。一经发现，投标被认定为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623C556">
      <w:pPr>
        <w:pStyle w:val="5"/>
        <w:pageBreakBefore w:val="0"/>
        <w:widowControl w:val="0"/>
        <w:kinsoku/>
        <w:wordWrap/>
        <w:overflowPunct/>
        <w:topLinePunct w:val="0"/>
        <w:bidi w:val="0"/>
        <w:snapToGrid/>
        <w:spacing w:before="0" w:beforeLines="0" w:after="0" w:afterLines="0" w:line="420" w:lineRule="exact"/>
        <w:textAlignment w:val="auto"/>
        <w:outlineLvl w:val="2"/>
        <w:rPr>
          <w:rFonts w:hint="eastAsia" w:ascii="宋体" w:hAnsi="宋体" w:eastAsia="宋体" w:cs="宋体"/>
          <w:sz w:val="24"/>
          <w:szCs w:val="24"/>
          <w:u w:val="none"/>
        </w:rPr>
      </w:pPr>
      <w:bookmarkStart w:id="2" w:name="_Toc820"/>
      <w:bookmarkStart w:id="3" w:name="_Toc6562"/>
      <w:bookmarkStart w:id="4" w:name="_Toc518923062"/>
      <w:bookmarkStart w:id="5" w:name="_Toc22017"/>
      <w:bookmarkStart w:id="6" w:name="_Toc29288"/>
      <w:bookmarkStart w:id="7" w:name="_Toc2643"/>
      <w:bookmarkStart w:id="8" w:name="_Toc20049"/>
      <w:bookmarkStart w:id="9" w:name="_Toc8158"/>
      <w:bookmarkStart w:id="10" w:name="_Toc5525"/>
      <w:r>
        <w:rPr>
          <w:rFonts w:hint="eastAsia" w:ascii="宋体" w:hAnsi="宋体" w:eastAsia="宋体" w:cs="宋体"/>
          <w:sz w:val="24"/>
          <w:szCs w:val="24"/>
          <w:u w:val="none"/>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资金来源</w:t>
      </w:r>
      <w:bookmarkEnd w:id="2"/>
      <w:bookmarkEnd w:id="3"/>
      <w:bookmarkEnd w:id="4"/>
      <w:bookmarkEnd w:id="5"/>
      <w:bookmarkEnd w:id="6"/>
      <w:bookmarkEnd w:id="7"/>
      <w:bookmarkEnd w:id="8"/>
      <w:bookmarkEnd w:id="9"/>
      <w:bookmarkEnd w:id="10"/>
    </w:p>
    <w:p w14:paraId="2B2DBAE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1本项目的采购人已获得足以支付本次招标后所签订的合同项下的资金</w:t>
      </w:r>
      <w:r>
        <w:rPr>
          <w:rFonts w:hint="eastAsia" w:ascii="宋体" w:hAnsi="宋体" w:eastAsia="宋体" w:cs="宋体"/>
          <w:sz w:val="24"/>
          <w:szCs w:val="24"/>
        </w:rPr>
        <w:t>。</w:t>
      </w:r>
    </w:p>
    <w:p w14:paraId="5E5EE8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项目预算金额和最高限价见投标人须知资料表。</w:t>
      </w:r>
    </w:p>
    <w:p w14:paraId="22A92CEE">
      <w:pPr>
        <w:pStyle w:val="24"/>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 </w:t>
      </w:r>
      <w:r>
        <w:rPr>
          <w:rFonts w:hint="eastAsia" w:ascii="宋体" w:hAnsi="宋体" w:eastAsia="宋体" w:cs="宋体"/>
          <w:kern w:val="2"/>
          <w:sz w:val="24"/>
          <w:szCs w:val="24"/>
          <w:lang w:val="en-US" w:eastAsia="zh-CN" w:bidi="ar-SA"/>
        </w:rPr>
        <w:t>投标人报价超过招标文件规定的最高限价的，投标被认定为投标无效。</w:t>
      </w:r>
    </w:p>
    <w:p w14:paraId="38BE77AA">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 w:name="_Toc30492"/>
      <w:bookmarkStart w:id="12" w:name="_Toc198"/>
      <w:bookmarkStart w:id="13" w:name="_Toc518923063"/>
      <w:bookmarkStart w:id="14" w:name="_Toc2275"/>
      <w:bookmarkStart w:id="15" w:name="_Toc2843"/>
      <w:bookmarkStart w:id="16" w:name="_Toc520356145"/>
      <w:bookmarkStart w:id="17" w:name="_Toc26897"/>
      <w:bookmarkStart w:id="18" w:name="_Toc26588"/>
      <w:bookmarkStart w:id="19" w:name="_Toc27224"/>
      <w:bookmarkStart w:id="20" w:name="_Toc28166"/>
      <w:r>
        <w:rPr>
          <w:rFonts w:hint="eastAsia" w:ascii="宋体" w:hAnsi="宋体" w:eastAsia="宋体" w:cs="宋体"/>
          <w:sz w:val="24"/>
          <w:szCs w:val="24"/>
          <w:u w:val="none"/>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投标费用</w:t>
      </w:r>
      <w:bookmarkEnd w:id="11"/>
      <w:bookmarkEnd w:id="12"/>
      <w:bookmarkEnd w:id="13"/>
      <w:bookmarkEnd w:id="14"/>
      <w:bookmarkEnd w:id="15"/>
      <w:bookmarkEnd w:id="16"/>
      <w:bookmarkEnd w:id="17"/>
      <w:bookmarkEnd w:id="18"/>
      <w:bookmarkEnd w:id="19"/>
      <w:bookmarkEnd w:id="20"/>
    </w:p>
    <w:p w14:paraId="4914B1AA">
      <w:pPr>
        <w:pageBreakBefore w:val="0"/>
        <w:widowControl w:val="0"/>
        <w:kinsoku/>
        <w:wordWrap/>
        <w:overflowPunct/>
        <w:topLinePunct w:val="0"/>
        <w:bidi w:val="0"/>
        <w:snapToGrid/>
        <w:spacing w:line="4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不论投标的结果如何，投标人应承担所有与准备和参加投标有关的费用。</w:t>
      </w:r>
    </w:p>
    <w:p w14:paraId="5EFA4AED">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21" w:name="_Toc32365"/>
      <w:bookmarkStart w:id="22" w:name="_Toc18492"/>
      <w:bookmarkStart w:id="23" w:name="_Toc27385"/>
      <w:bookmarkStart w:id="24" w:name="_Toc518923064"/>
      <w:bookmarkStart w:id="25" w:name="_Toc22022"/>
      <w:bookmarkStart w:id="26" w:name="_Toc8042"/>
      <w:bookmarkStart w:id="27" w:name="_Toc14592"/>
      <w:bookmarkStart w:id="28" w:name="_Toc30792"/>
      <w:bookmarkStart w:id="29" w:name="_Toc22099"/>
      <w:r>
        <w:rPr>
          <w:rFonts w:hint="eastAsia" w:ascii="宋体" w:hAnsi="宋体" w:eastAsia="宋体" w:cs="宋体"/>
          <w:sz w:val="24"/>
          <w:szCs w:val="24"/>
          <w:u w:val="none"/>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适用法律</w:t>
      </w:r>
      <w:bookmarkEnd w:id="21"/>
      <w:bookmarkEnd w:id="22"/>
      <w:bookmarkEnd w:id="23"/>
      <w:bookmarkEnd w:id="24"/>
      <w:bookmarkEnd w:id="25"/>
      <w:bookmarkEnd w:id="26"/>
      <w:bookmarkEnd w:id="27"/>
      <w:bookmarkEnd w:id="28"/>
      <w:bookmarkEnd w:id="29"/>
    </w:p>
    <w:p w14:paraId="54806886">
      <w:pPr>
        <w:pageBreakBefore w:val="0"/>
        <w:widowControl w:val="0"/>
        <w:kinsoku/>
        <w:wordWrap/>
        <w:overflowPunct/>
        <w:topLinePunct w:val="0"/>
        <w:bidi w:val="0"/>
        <w:snapToGrid/>
        <w:spacing w:line="420" w:lineRule="exact"/>
        <w:ind w:left="0" w:leftChars="0" w:firstLine="560" w:firstLineChars="0"/>
        <w:textAlignment w:val="auto"/>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30" w:name="_Toc809"/>
      <w:bookmarkStart w:id="31" w:name="_Toc520356146"/>
      <w:bookmarkStart w:id="32" w:name="_Toc518923065"/>
      <w:bookmarkStart w:id="33" w:name="_Toc216582806"/>
      <w:bookmarkStart w:id="34" w:name="_Toc31887"/>
      <w:bookmarkStart w:id="35" w:name="_Toc10668"/>
      <w:bookmarkStart w:id="36" w:name="_Toc23666"/>
      <w:bookmarkStart w:id="37" w:name="_Toc28940"/>
    </w:p>
    <w:p w14:paraId="5224B5DD">
      <w:pPr>
        <w:pStyle w:val="24"/>
        <w:pageBreakBefore w:val="0"/>
        <w:kinsoku/>
        <w:overflowPunct/>
        <w:bidi w:val="0"/>
        <w:spacing w:line="420" w:lineRule="exact"/>
        <w:ind w:firstLine="560"/>
        <w:textAlignment w:val="auto"/>
        <w:rPr>
          <w:rFonts w:hint="eastAsia"/>
          <w:sz w:val="24"/>
          <w:szCs w:val="24"/>
        </w:rPr>
      </w:pPr>
    </w:p>
    <w:p w14:paraId="2EDB9B95">
      <w:pPr>
        <w:pStyle w:val="25"/>
        <w:pageBreakBefore w:val="0"/>
        <w:kinsoku/>
        <w:overflowPunct/>
        <w:bidi w:val="0"/>
        <w:spacing w:line="420" w:lineRule="exact"/>
        <w:textAlignment w:val="auto"/>
        <w:rPr>
          <w:rFonts w:hint="eastAsia"/>
          <w:sz w:val="24"/>
          <w:szCs w:val="24"/>
        </w:rPr>
      </w:pPr>
    </w:p>
    <w:p w14:paraId="53FE2CC7">
      <w:pPr>
        <w:pageBreakBefore w:val="0"/>
        <w:kinsoku/>
        <w:overflowPunct/>
        <w:bidi w:val="0"/>
        <w:spacing w:line="420" w:lineRule="exact"/>
        <w:textAlignment w:val="auto"/>
        <w:rPr>
          <w:rFonts w:hint="eastAsia"/>
          <w:sz w:val="24"/>
          <w:szCs w:val="24"/>
        </w:rPr>
      </w:pPr>
    </w:p>
    <w:p w14:paraId="5CF0DFA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sz w:val="24"/>
          <w:szCs w:val="24"/>
        </w:rPr>
      </w:pPr>
      <w:bookmarkStart w:id="38" w:name="_Toc4528"/>
      <w:bookmarkStart w:id="39" w:name="_Toc10957"/>
      <w:bookmarkStart w:id="40" w:name="_Toc5460"/>
      <w:r>
        <w:rPr>
          <w:rFonts w:hint="eastAsia" w:ascii="宋体" w:hAnsi="宋体" w:eastAsia="宋体" w:cs="宋体"/>
          <w:sz w:val="24"/>
          <w:szCs w:val="24"/>
        </w:rPr>
        <w:t>二</w:t>
      </w:r>
      <w:bookmarkEnd w:id="30"/>
      <w:bookmarkEnd w:id="31"/>
      <w:bookmarkEnd w:id="32"/>
      <w:bookmarkEnd w:id="33"/>
      <w:r>
        <w:rPr>
          <w:rFonts w:hint="eastAsia" w:ascii="宋体" w:hAnsi="宋体" w:eastAsia="宋体" w:cs="宋体"/>
          <w:sz w:val="24"/>
          <w:szCs w:val="24"/>
          <w:lang w:val="en-US" w:eastAsia="zh-CN"/>
        </w:rPr>
        <w:t xml:space="preserve"> 招标</w:t>
      </w:r>
      <w:r>
        <w:rPr>
          <w:rFonts w:hint="eastAsia" w:ascii="宋体" w:hAnsi="宋体" w:eastAsia="宋体" w:cs="宋体"/>
          <w:sz w:val="24"/>
          <w:szCs w:val="24"/>
          <w:lang w:eastAsia="zh-CN"/>
        </w:rPr>
        <w:t>文件</w:t>
      </w:r>
      <w:bookmarkEnd w:id="34"/>
      <w:bookmarkEnd w:id="35"/>
      <w:bookmarkEnd w:id="36"/>
      <w:bookmarkEnd w:id="37"/>
      <w:bookmarkEnd w:id="38"/>
      <w:bookmarkEnd w:id="39"/>
      <w:bookmarkEnd w:id="40"/>
    </w:p>
    <w:p w14:paraId="459DC178">
      <w:pPr>
        <w:pStyle w:val="5"/>
        <w:keepNext w:val="0"/>
        <w:keepLines w:val="0"/>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41" w:name="_Toc3725"/>
      <w:bookmarkStart w:id="42" w:name="_Toc26669"/>
      <w:bookmarkStart w:id="43" w:name="_Toc518923066"/>
      <w:bookmarkStart w:id="44" w:name="_Toc22990"/>
      <w:bookmarkStart w:id="45" w:name="_Toc561"/>
      <w:bookmarkStart w:id="46" w:name="_Toc520356147"/>
      <w:bookmarkStart w:id="47" w:name="_Toc9487"/>
      <w:bookmarkStart w:id="48" w:name="_Toc24441"/>
      <w:bookmarkStart w:id="49" w:name="_Toc16281"/>
      <w:bookmarkStart w:id="50" w:name="_Toc1430"/>
      <w:r>
        <w:rPr>
          <w:rFonts w:hint="eastAsia" w:ascii="宋体" w:hAnsi="宋体" w:eastAsia="宋体" w:cs="宋体"/>
          <w:sz w:val="24"/>
          <w:szCs w:val="24"/>
          <w:u w:val="none"/>
        </w:rPr>
        <w:t>5</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构成</w:t>
      </w:r>
      <w:bookmarkEnd w:id="41"/>
      <w:bookmarkEnd w:id="42"/>
      <w:bookmarkEnd w:id="43"/>
      <w:bookmarkEnd w:id="44"/>
      <w:bookmarkEnd w:id="45"/>
      <w:bookmarkEnd w:id="46"/>
      <w:bookmarkEnd w:id="47"/>
      <w:bookmarkEnd w:id="48"/>
      <w:bookmarkEnd w:id="49"/>
      <w:bookmarkEnd w:id="50"/>
    </w:p>
    <w:p w14:paraId="7A7B0F83">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分为</w:t>
      </w:r>
      <w:r>
        <w:rPr>
          <w:rFonts w:hint="eastAsia" w:ascii="宋体" w:hAnsi="宋体" w:eastAsia="宋体" w:cs="宋体"/>
          <w:sz w:val="24"/>
          <w:szCs w:val="24"/>
          <w:lang w:val="en-US" w:eastAsia="zh-CN"/>
        </w:rPr>
        <w:t>7</w:t>
      </w:r>
      <w:r>
        <w:rPr>
          <w:rFonts w:hint="eastAsia" w:ascii="宋体" w:hAnsi="宋体" w:eastAsia="宋体" w:cs="宋体"/>
          <w:sz w:val="24"/>
          <w:szCs w:val="24"/>
        </w:rPr>
        <w:t>章，内容如下：</w:t>
      </w:r>
    </w:p>
    <w:p w14:paraId="36937516">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第1章 招标公告</w:t>
      </w:r>
    </w:p>
    <w:p w14:paraId="5FF0FE6E">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第2章 </w:t>
      </w:r>
      <w:r>
        <w:rPr>
          <w:rFonts w:hint="eastAsia" w:ascii="宋体" w:hAnsi="宋体" w:eastAsia="宋体" w:cs="宋体"/>
          <w:sz w:val="24"/>
          <w:szCs w:val="24"/>
        </w:rPr>
        <w:t>投标人须知</w:t>
      </w:r>
    </w:p>
    <w:p w14:paraId="19AB0D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第3章 </w:t>
      </w:r>
      <w:r>
        <w:rPr>
          <w:rFonts w:hint="eastAsia" w:ascii="宋体" w:hAnsi="宋体" w:eastAsia="宋体" w:cs="宋体"/>
          <w:sz w:val="24"/>
          <w:szCs w:val="24"/>
        </w:rPr>
        <w:t>投标人须知资料表</w:t>
      </w:r>
    </w:p>
    <w:p w14:paraId="4A0DBE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第4章 采购需求及要求</w:t>
      </w:r>
    </w:p>
    <w:p w14:paraId="5466699C">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第5章 </w:t>
      </w:r>
      <w:r>
        <w:rPr>
          <w:rFonts w:hint="eastAsia" w:ascii="宋体" w:hAnsi="宋体" w:eastAsia="宋体" w:cs="宋体"/>
          <w:sz w:val="24"/>
          <w:szCs w:val="24"/>
        </w:rPr>
        <w:t>评标方法和标准</w:t>
      </w:r>
    </w:p>
    <w:p w14:paraId="77CBF994">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第6章 </w:t>
      </w:r>
      <w:r>
        <w:rPr>
          <w:rFonts w:hint="eastAsia" w:ascii="宋体" w:hAnsi="宋体" w:eastAsia="宋体" w:cs="宋体"/>
          <w:sz w:val="24"/>
          <w:szCs w:val="24"/>
        </w:rPr>
        <w:t>投标文件格式</w:t>
      </w:r>
    </w:p>
    <w:p w14:paraId="3189AB50">
      <w:pPr>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第7章 </w:t>
      </w:r>
      <w:r>
        <w:rPr>
          <w:rFonts w:hint="eastAsia" w:ascii="宋体" w:hAnsi="宋体" w:eastAsia="宋体" w:cs="宋体"/>
          <w:sz w:val="24"/>
          <w:szCs w:val="24"/>
        </w:rPr>
        <w:t>政府采购合同参考范本</w:t>
      </w:r>
    </w:p>
    <w:p w14:paraId="0E32CC4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5.2如本文件的前后内容不一致，以最后描述为准。</w:t>
      </w:r>
    </w:p>
    <w:p w14:paraId="0B59FDD1">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投标人应认真阅读招标文件所有的事项、格式、条款和技术规范等。如投标人没有按照招标文件要求提交全部资料，或者投标文件没有对招标文件在各方面都做出实质性响应，投标被认定为投标无效。</w:t>
      </w:r>
    </w:p>
    <w:p w14:paraId="5E4918B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b w:val="0"/>
          <w:sz w:val="24"/>
          <w:szCs w:val="24"/>
          <w:u w:val="none"/>
        </w:rPr>
      </w:pPr>
      <w:bookmarkStart w:id="51" w:name="_Toc520356148"/>
      <w:bookmarkStart w:id="52" w:name="_Toc21826"/>
      <w:bookmarkStart w:id="53" w:name="_Toc20832"/>
      <w:bookmarkStart w:id="54" w:name="_Toc15391"/>
      <w:bookmarkStart w:id="55" w:name="_Toc19331"/>
      <w:bookmarkStart w:id="56" w:name="_Toc518923067"/>
      <w:bookmarkStart w:id="57" w:name="_Toc21314"/>
      <w:bookmarkStart w:id="58" w:name="_Toc24665"/>
      <w:bookmarkStart w:id="59" w:name="_Toc222"/>
      <w:bookmarkStart w:id="60" w:name="_Toc14475"/>
      <w:r>
        <w:rPr>
          <w:rFonts w:hint="eastAsia" w:ascii="宋体" w:hAnsi="宋体" w:eastAsia="宋体" w:cs="宋体"/>
          <w:sz w:val="24"/>
          <w:szCs w:val="24"/>
          <w:u w:val="none"/>
        </w:rPr>
        <w:t>6</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的澄清</w:t>
      </w:r>
      <w:bookmarkEnd w:id="51"/>
      <w:r>
        <w:rPr>
          <w:rFonts w:hint="eastAsia" w:ascii="宋体" w:hAnsi="宋体" w:eastAsia="宋体" w:cs="宋体"/>
          <w:sz w:val="24"/>
          <w:szCs w:val="24"/>
          <w:u w:val="none"/>
        </w:rPr>
        <w:t>与修改</w:t>
      </w:r>
      <w:bookmarkEnd w:id="52"/>
      <w:bookmarkEnd w:id="53"/>
      <w:bookmarkEnd w:id="54"/>
      <w:bookmarkEnd w:id="55"/>
      <w:bookmarkEnd w:id="56"/>
      <w:bookmarkEnd w:id="57"/>
      <w:bookmarkEnd w:id="58"/>
      <w:bookmarkEnd w:id="59"/>
      <w:bookmarkEnd w:id="60"/>
    </w:p>
    <w:p w14:paraId="6943809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rPr>
      </w:pPr>
      <w:bookmarkStart w:id="61" w:name="_Ref467378678"/>
      <w:bookmarkStart w:id="62" w:name="_Toc10994"/>
      <w:bookmarkStart w:id="63" w:name="_Toc518923068"/>
      <w:bookmarkStart w:id="64" w:name="_Toc520356149"/>
      <w:bookmarkStart w:id="65" w:name="_Toc515904806"/>
      <w:r>
        <w:rPr>
          <w:rFonts w:hint="eastAsia" w:ascii="宋体" w:hAnsi="宋体" w:eastAsia="宋体" w:cs="宋体"/>
          <w:color w:val="000000"/>
          <w:sz w:val="24"/>
          <w:szCs w:val="24"/>
          <w:lang w:val="en-US" w:eastAsia="zh-CN"/>
        </w:rPr>
        <w:t>6.1采购人或者采购代理机构可以对已发出的招标文件进行必要的澄清或者修改</w:t>
      </w:r>
      <w:r>
        <w:rPr>
          <w:rFonts w:hint="eastAsia" w:ascii="宋体" w:hAnsi="宋体" w:eastAsia="宋体" w:cs="宋体"/>
          <w:color w:val="000000"/>
          <w:sz w:val="24"/>
          <w:szCs w:val="24"/>
        </w:rPr>
        <w:t>。</w:t>
      </w:r>
    </w:p>
    <w:p w14:paraId="7462E44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6.2采购代理机构将以发布澄清(更正)公告的方式，澄清或修改招标文件，澄清或修改内容作为招标文件的组成部分</w:t>
      </w:r>
      <w:r>
        <w:rPr>
          <w:rFonts w:hint="eastAsia" w:ascii="宋体" w:hAnsi="宋体" w:eastAsia="宋体" w:cs="宋体"/>
          <w:color w:val="000000"/>
          <w:sz w:val="24"/>
          <w:szCs w:val="24"/>
          <w:lang w:val="en-US" w:eastAsia="zh-CN"/>
        </w:rPr>
        <w:t>。</w:t>
      </w:r>
    </w:p>
    <w:p w14:paraId="47241BD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6.3澄清或者修改的内容可能影响投标文件编制的，采购人或者采购代理机构应当在投标截止时间至少15日前，以发布澄清(更正)公告的形式通知所有获取招标文件的潜在投标人;不足15日的，采购人或者采购代理机构应当顺延提交投标文件的截止时间。投标人在收到上述通知后，应及时向采购代理机构确认。</w:t>
      </w:r>
      <w:bookmarkEnd w:id="61"/>
      <w:bookmarkEnd w:id="62"/>
      <w:bookmarkEnd w:id="63"/>
      <w:bookmarkEnd w:id="64"/>
      <w:bookmarkEnd w:id="65"/>
    </w:p>
    <w:p w14:paraId="5B30461F">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bookmarkStart w:id="66" w:name="_Toc516367020"/>
      <w:bookmarkStart w:id="67" w:name="_Toc6471"/>
      <w:bookmarkStart w:id="68" w:name="_Toc14921"/>
      <w:bookmarkStart w:id="69" w:name="_Toc518923069"/>
      <w:bookmarkStart w:id="70" w:name="_Toc13946"/>
      <w:bookmarkStart w:id="71" w:name="_Toc216582807"/>
      <w:bookmarkStart w:id="72" w:name="_Toc520356150"/>
      <w:bookmarkStart w:id="73" w:name="_Toc25389"/>
      <w:bookmarkStart w:id="74" w:name="_Toc22470"/>
      <w:bookmarkStart w:id="75" w:name="_Toc1031"/>
      <w:bookmarkStart w:id="76" w:name="_Toc10773"/>
      <w:bookmarkStart w:id="77" w:name="_Toc22337"/>
      <w:r>
        <w:rPr>
          <w:rFonts w:hint="eastAsia" w:ascii="宋体" w:hAnsi="宋体" w:eastAsia="宋体" w:cs="宋体"/>
          <w:b/>
          <w:sz w:val="24"/>
          <w:szCs w:val="24"/>
        </w:rPr>
        <w:t>三</w:t>
      </w:r>
      <w:bookmarkEnd w:id="66"/>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投标文件</w:t>
      </w:r>
      <w:r>
        <w:rPr>
          <w:rFonts w:hint="eastAsia" w:ascii="宋体" w:hAnsi="宋体" w:eastAsia="宋体" w:cs="宋体"/>
          <w:b/>
          <w:sz w:val="24"/>
          <w:szCs w:val="24"/>
        </w:rPr>
        <w:t>的编制</w:t>
      </w:r>
      <w:bookmarkEnd w:id="67"/>
      <w:bookmarkEnd w:id="68"/>
      <w:bookmarkEnd w:id="69"/>
      <w:bookmarkEnd w:id="70"/>
      <w:bookmarkEnd w:id="71"/>
      <w:bookmarkEnd w:id="72"/>
      <w:bookmarkEnd w:id="73"/>
      <w:bookmarkEnd w:id="74"/>
      <w:bookmarkEnd w:id="75"/>
      <w:bookmarkEnd w:id="76"/>
      <w:bookmarkEnd w:id="77"/>
    </w:p>
    <w:p w14:paraId="3BD6507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78" w:name="_Toc22972"/>
      <w:bookmarkStart w:id="79" w:name="_Toc518923070"/>
      <w:bookmarkStart w:id="80" w:name="_Toc12179"/>
      <w:bookmarkStart w:id="81" w:name="_Toc23629"/>
      <w:bookmarkStart w:id="82" w:name="_Toc5052"/>
      <w:bookmarkStart w:id="83" w:name="_Toc6728"/>
      <w:bookmarkStart w:id="84" w:name="_Toc520356151"/>
      <w:bookmarkStart w:id="85" w:name="_Toc516367021"/>
      <w:bookmarkStart w:id="86" w:name="_Toc26473"/>
      <w:bookmarkStart w:id="87" w:name="_Toc8987"/>
      <w:bookmarkStart w:id="88" w:name="_Toc18415"/>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.投标范围及</w:t>
      </w:r>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lang w:val="en-US" w:eastAsia="zh-CN"/>
        </w:rPr>
        <w:t>中标</w:t>
      </w:r>
      <w:r>
        <w:rPr>
          <w:rFonts w:hint="eastAsia" w:ascii="宋体" w:hAnsi="宋体" w:eastAsia="宋体" w:cs="宋体"/>
          <w:sz w:val="24"/>
          <w:szCs w:val="24"/>
          <w:u w:val="none"/>
        </w:rPr>
        <w:t>准</w:t>
      </w:r>
      <w:r>
        <w:rPr>
          <w:rFonts w:hint="eastAsia" w:ascii="宋体" w:hAnsi="宋体" w:eastAsia="宋体" w:cs="宋体"/>
          <w:sz w:val="24"/>
          <w:szCs w:val="24"/>
          <w:u w:val="none"/>
          <w:lang w:val="en-US" w:eastAsia="zh-CN"/>
        </w:rPr>
        <w:t>则</w:t>
      </w:r>
      <w:r>
        <w:rPr>
          <w:rFonts w:hint="eastAsia" w:ascii="宋体" w:hAnsi="宋体" w:eastAsia="宋体" w:cs="宋体"/>
          <w:sz w:val="24"/>
          <w:szCs w:val="24"/>
          <w:u w:val="none"/>
        </w:rPr>
        <w:t>和计量单位的使用</w:t>
      </w:r>
      <w:bookmarkEnd w:id="78"/>
      <w:bookmarkEnd w:id="79"/>
      <w:bookmarkEnd w:id="80"/>
      <w:bookmarkEnd w:id="81"/>
      <w:bookmarkEnd w:id="82"/>
      <w:bookmarkEnd w:id="83"/>
      <w:bookmarkEnd w:id="84"/>
      <w:bookmarkEnd w:id="85"/>
      <w:bookmarkEnd w:id="86"/>
      <w:bookmarkEnd w:id="87"/>
      <w:bookmarkEnd w:id="88"/>
    </w:p>
    <w:p w14:paraId="73A2EA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.1项目有标段的，投标人可对招标文件其中一个或几个标段进行投标，除非在投标人须知资料表中另有规定</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本项目兼投不兼中</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8F0B4F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无论招标文件采购需求及商务要求中是否要求，投标人所投服务均应符合国家强制性标准。</w:t>
      </w:r>
    </w:p>
    <w:p w14:paraId="734A902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3除招标文件中有特殊要求外,投标文件中所使用的计量单位应采用中华人民共和国法定计量单位。</w:t>
      </w:r>
    </w:p>
    <w:p w14:paraId="7F6C86F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89" w:name="_Ref467306195"/>
      <w:bookmarkStart w:id="90" w:name="_Toc516367022"/>
      <w:bookmarkStart w:id="91" w:name="_Ref467306676"/>
      <w:bookmarkStart w:id="92" w:name="_Toc32557"/>
      <w:bookmarkStart w:id="93" w:name="_Toc518923071"/>
      <w:bookmarkStart w:id="94" w:name="_Toc31075"/>
      <w:bookmarkStart w:id="95" w:name="_Toc15487"/>
      <w:bookmarkStart w:id="96" w:name="_Toc520356152"/>
      <w:bookmarkStart w:id="97" w:name="_Toc29804"/>
      <w:bookmarkStart w:id="98" w:name="_Toc9215"/>
      <w:bookmarkStart w:id="99" w:name="_Toc28801"/>
      <w:bookmarkStart w:id="100" w:name="_Toc16319"/>
      <w:bookmarkStart w:id="101" w:name="_Toc26196"/>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w:t>
      </w:r>
      <w:bookmarkEnd w:id="89"/>
      <w:bookmarkEnd w:id="90"/>
      <w:bookmarkEnd w:id="91"/>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rPr>
        <w:t>构成</w:t>
      </w:r>
      <w:bookmarkEnd w:id="92"/>
      <w:bookmarkEnd w:id="93"/>
      <w:bookmarkEnd w:id="94"/>
      <w:bookmarkEnd w:id="95"/>
      <w:bookmarkEnd w:id="96"/>
      <w:bookmarkEnd w:id="97"/>
      <w:bookmarkEnd w:id="98"/>
      <w:bookmarkEnd w:id="99"/>
      <w:bookmarkEnd w:id="100"/>
      <w:bookmarkEnd w:id="101"/>
    </w:p>
    <w:p w14:paraId="4E710B27">
      <w:pPr>
        <w:pageBreakBefore w:val="0"/>
        <w:widowControl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bookmarkStart w:id="102" w:name="_Ref467052588"/>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1本项目采用不见面开标，投标人需要递交电子投标文件。加密的电子投标文件，在公开招标截止时间前通过新疆政采云平台上传到指定位置，无需递交纸质文件。</w:t>
      </w:r>
    </w:p>
    <w:p w14:paraId="16A5E7AF">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bookmarkEnd w:id="102"/>
      <w:r>
        <w:rPr>
          <w:rFonts w:hint="eastAsia" w:ascii="宋体" w:hAnsi="宋体" w:eastAsia="宋体" w:cs="宋体"/>
          <w:sz w:val="24"/>
          <w:szCs w:val="24"/>
          <w:lang w:val="en-US" w:eastAsia="zh-CN"/>
        </w:rPr>
        <w:t>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p w14:paraId="69F9404D">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03" w:name="_Toc28728"/>
      <w:bookmarkStart w:id="104" w:name="_Toc18215"/>
      <w:bookmarkStart w:id="105" w:name="_Toc2671"/>
      <w:bookmarkStart w:id="106" w:name="_Toc176"/>
      <w:bookmarkStart w:id="107" w:name="_Toc516367023"/>
      <w:bookmarkStart w:id="108" w:name="_Toc16621"/>
      <w:bookmarkStart w:id="109" w:name="_Toc30012"/>
      <w:bookmarkStart w:id="110" w:name="_Toc518923072"/>
      <w:bookmarkStart w:id="111" w:name="_Toc508185920"/>
      <w:bookmarkStart w:id="112" w:name="_Toc7941"/>
      <w:bookmarkStart w:id="113" w:name="_Toc15047"/>
      <w:bookmarkStart w:id="114" w:name="_Toc520356153"/>
      <w:bookmarkStart w:id="115" w:name="_Toc520356155"/>
      <w:r>
        <w:rPr>
          <w:rFonts w:hint="eastAsia" w:ascii="宋体" w:hAnsi="宋体" w:eastAsia="宋体" w:cs="宋体"/>
          <w:sz w:val="24"/>
          <w:szCs w:val="24"/>
          <w:u w:val="none"/>
          <w:lang w:val="en-US" w:eastAsia="zh-CN"/>
        </w:rPr>
        <w:t>9</w:t>
      </w:r>
      <w:r>
        <w:rPr>
          <w:rFonts w:hint="eastAsia" w:ascii="宋体" w:hAnsi="宋体" w:eastAsia="宋体" w:cs="宋体"/>
          <w:sz w:val="24"/>
          <w:szCs w:val="24"/>
          <w:u w:val="none"/>
        </w:rPr>
        <w:t>.证明投标标的的合格性和符合</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规定的响应文件</w:t>
      </w:r>
      <w:bookmarkEnd w:id="103"/>
      <w:bookmarkEnd w:id="104"/>
      <w:bookmarkEnd w:id="105"/>
      <w:bookmarkEnd w:id="106"/>
      <w:bookmarkEnd w:id="107"/>
      <w:bookmarkEnd w:id="108"/>
      <w:bookmarkEnd w:id="109"/>
      <w:bookmarkEnd w:id="110"/>
      <w:bookmarkEnd w:id="111"/>
      <w:bookmarkEnd w:id="112"/>
      <w:bookmarkEnd w:id="113"/>
      <w:bookmarkEnd w:id="114"/>
    </w:p>
    <w:p w14:paraId="07AA1B7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.1投标人应提交证明文件，证明其投标内容符合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规定。该证明文件是</w:t>
      </w:r>
      <w:r>
        <w:rPr>
          <w:rFonts w:hint="eastAsia" w:ascii="宋体" w:hAnsi="宋体" w:eastAsia="宋体" w:cs="宋体"/>
          <w:sz w:val="24"/>
          <w:szCs w:val="24"/>
          <w:lang w:eastAsia="zh-CN"/>
        </w:rPr>
        <w:t>投标响应文件</w:t>
      </w:r>
      <w:r>
        <w:rPr>
          <w:rFonts w:hint="eastAsia" w:ascii="宋体" w:hAnsi="宋体" w:eastAsia="宋体" w:cs="宋体"/>
          <w:sz w:val="24"/>
          <w:szCs w:val="24"/>
        </w:rPr>
        <w:t>的一部分。</w:t>
      </w:r>
    </w:p>
    <w:p w14:paraId="0C329EB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16" w:name="_Ref467306244"/>
      <w:r>
        <w:rPr>
          <w:rFonts w:hint="eastAsia" w:ascii="宋体" w:hAnsi="宋体" w:eastAsia="宋体" w:cs="宋体"/>
          <w:sz w:val="24"/>
          <w:szCs w:val="24"/>
          <w:lang w:val="en-US" w:eastAsia="zh-CN"/>
        </w:rPr>
        <w:t>9</w:t>
      </w:r>
      <w:r>
        <w:rPr>
          <w:rFonts w:hint="eastAsia" w:ascii="宋体" w:hAnsi="宋体" w:eastAsia="宋体" w:cs="宋体"/>
          <w:sz w:val="24"/>
          <w:szCs w:val="24"/>
        </w:rPr>
        <w:t>.2上款所述的证明文件，可以是文字资料、图纸和数据</w:t>
      </w:r>
      <w:bookmarkEnd w:id="116"/>
      <w:r>
        <w:rPr>
          <w:rFonts w:hint="eastAsia" w:ascii="宋体" w:hAnsi="宋体" w:eastAsia="宋体" w:cs="宋体"/>
          <w:sz w:val="24"/>
          <w:szCs w:val="24"/>
        </w:rPr>
        <w:t>。</w:t>
      </w:r>
    </w:p>
    <w:p w14:paraId="4206F7F3">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7" w:name="_Toc518923073"/>
      <w:bookmarkStart w:id="118" w:name="_Toc12464"/>
      <w:bookmarkStart w:id="119" w:name="_Toc16874"/>
      <w:bookmarkStart w:id="120" w:name="_Toc16414"/>
      <w:bookmarkStart w:id="121" w:name="_Toc32452"/>
      <w:bookmarkStart w:id="122" w:name="_Toc20738"/>
      <w:bookmarkStart w:id="123" w:name="_Toc28933"/>
      <w:bookmarkStart w:id="124" w:name="_Toc8529"/>
      <w:bookmarkStart w:id="125" w:name="_Toc9777"/>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投标报价</w:t>
      </w:r>
      <w:bookmarkEnd w:id="115"/>
      <w:bookmarkEnd w:id="117"/>
      <w:bookmarkEnd w:id="118"/>
      <w:bookmarkEnd w:id="119"/>
      <w:bookmarkEnd w:id="120"/>
      <w:bookmarkEnd w:id="121"/>
      <w:bookmarkEnd w:id="122"/>
      <w:bookmarkEnd w:id="123"/>
      <w:bookmarkEnd w:id="124"/>
      <w:bookmarkEnd w:id="125"/>
    </w:p>
    <w:p w14:paraId="5105B9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.1所有投标均以人民币报价。投标人的投标报价应遵守《中华人民共和国价格法》。</w:t>
      </w:r>
    </w:p>
    <w:p w14:paraId="52734D3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10.2投标人应在投标报价表上标明分项服务的价格(如适用)和总价，并由法定代表人(负责人)或被授权人签署。</w:t>
      </w:r>
    </w:p>
    <w:p w14:paraId="7A52F056">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投标报价表上的价格应包括:投标服务(包括所有搬迁费安装调试、检验、培训、技术服务、必不可少的部件、备品备件、运输、保险、售后服务、专用工具的费用，以及已支付或将支付的营业税和其他税费)的价格;采购人不接受具有附加条件的报价。</w:t>
      </w:r>
    </w:p>
    <w:p w14:paraId="6C52D1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10.4投标人所报的各投标报价在合同履行过程中是固定不变的，不得以任何理由予以变更。任何包含价格调整要求的投标，被认定为投标无效。</w:t>
      </w:r>
    </w:p>
    <w:p w14:paraId="0EFBEEC8">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10.5本项目不接受选择性报价，对于出现的政采云平台开标唱标环节经投标人确认的投标报价与投标响应文件中开标一览表的报价不一致的现象，视作选择性报价，被作为无效投标处理。</w:t>
      </w:r>
    </w:p>
    <w:p w14:paraId="3A45B71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26" w:name="_Ref467306513"/>
      <w:bookmarkStart w:id="127" w:name="_Toc3274"/>
      <w:bookmarkStart w:id="128" w:name="_Toc23299"/>
      <w:bookmarkStart w:id="129" w:name="_Toc31353"/>
      <w:bookmarkStart w:id="130" w:name="_Toc16199"/>
      <w:bookmarkStart w:id="131" w:name="_Toc520356156"/>
      <w:bookmarkStart w:id="132" w:name="_Toc8198"/>
      <w:bookmarkStart w:id="133" w:name="_Toc26234"/>
      <w:bookmarkStart w:id="134" w:name="_Toc5690"/>
      <w:bookmarkStart w:id="135" w:name="_Toc518923074"/>
      <w:bookmarkStart w:id="136" w:name="_Toc24956"/>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投标保证金</w:t>
      </w:r>
      <w:bookmarkEnd w:id="126"/>
      <w:bookmarkEnd w:id="127"/>
      <w:bookmarkEnd w:id="128"/>
      <w:bookmarkEnd w:id="129"/>
      <w:bookmarkEnd w:id="130"/>
      <w:bookmarkEnd w:id="131"/>
      <w:bookmarkEnd w:id="132"/>
      <w:bookmarkEnd w:id="133"/>
      <w:bookmarkEnd w:id="134"/>
      <w:bookmarkEnd w:id="135"/>
      <w:bookmarkEnd w:id="136"/>
    </w:p>
    <w:p w14:paraId="52ADA2E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37" w:name="_Ref467306302"/>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w:t>
      </w:r>
      <w:bookmarkEnd w:id="137"/>
      <w:r>
        <w:rPr>
          <w:rFonts w:hint="eastAsia" w:ascii="宋体" w:hAnsi="宋体" w:eastAsia="宋体" w:cs="宋体"/>
          <w:sz w:val="24"/>
          <w:szCs w:val="24"/>
        </w:rPr>
        <w:t>，并作为其投标的一部分。</w:t>
      </w:r>
    </w:p>
    <w:p w14:paraId="234070B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未按本招标文件规定提交投标保证金的，投标被认定为投标无效</w:t>
      </w:r>
    </w:p>
    <w:p w14:paraId="0435B1D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投标保证金应当以支票、汇票、本票或者金融机构、担保机构出具的保函等非现金形式提交。</w:t>
      </w:r>
    </w:p>
    <w:p w14:paraId="23B6F5F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11.4联合体投标的，可以由联合体中的一方或者共同提交投标保证金。以一方名义提交投标保证金的,对联合体各方均具有约束力。</w:t>
      </w:r>
    </w:p>
    <w:p w14:paraId="736189B3">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38" w:name="_Toc21461"/>
      <w:bookmarkStart w:id="139" w:name="_Toc10135"/>
      <w:bookmarkStart w:id="140" w:name="_Toc11944"/>
      <w:bookmarkStart w:id="141" w:name="_Toc29943"/>
      <w:bookmarkStart w:id="142" w:name="_Toc16703"/>
      <w:bookmarkStart w:id="143" w:name="_Toc520356157"/>
      <w:bookmarkStart w:id="144" w:name="_Toc8687"/>
      <w:bookmarkStart w:id="145" w:name="_Toc518923076"/>
      <w:bookmarkStart w:id="146" w:name="_Toc26922"/>
      <w:bookmarkStart w:id="147" w:name="_Toc20355"/>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投标有效期</w:t>
      </w:r>
      <w:bookmarkEnd w:id="138"/>
      <w:bookmarkEnd w:id="139"/>
      <w:bookmarkEnd w:id="140"/>
      <w:bookmarkEnd w:id="141"/>
      <w:bookmarkEnd w:id="142"/>
      <w:bookmarkEnd w:id="143"/>
      <w:bookmarkEnd w:id="144"/>
      <w:bookmarkEnd w:id="145"/>
      <w:bookmarkEnd w:id="146"/>
      <w:bookmarkEnd w:id="147"/>
    </w:p>
    <w:p w14:paraId="3C13144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中规定时间内保持有效。投标有效期不满足要求的投标，投标被认定为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41DA2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.2为保证有充分时间签订合同，采购人或采购代理机构可根据实际情况，在原投标有效期截止之前，要求投标人延长投标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bookmarkStart w:id="148" w:name="_Toc520356159"/>
      <w:bookmarkStart w:id="149" w:name="_Toc22363"/>
      <w:bookmarkStart w:id="150" w:name="_Toc31007"/>
      <w:bookmarkStart w:id="151" w:name="_Toc15753"/>
      <w:bookmarkStart w:id="152" w:name="_Toc518923078"/>
      <w:bookmarkStart w:id="153" w:name="_Toc22303"/>
      <w:bookmarkStart w:id="154" w:name="_Toc25874"/>
      <w:bookmarkStart w:id="155" w:name="_Toc1508"/>
      <w:bookmarkStart w:id="156" w:name="_Toc11273"/>
      <w:bookmarkStart w:id="157" w:name="_Toc13719"/>
      <w:bookmarkStart w:id="158" w:name="_Toc216582808"/>
    </w:p>
    <w:p w14:paraId="797F666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投标文件的递交</w:t>
      </w:r>
      <w:bookmarkEnd w:id="148"/>
      <w:bookmarkEnd w:id="149"/>
      <w:bookmarkEnd w:id="150"/>
      <w:bookmarkEnd w:id="151"/>
      <w:bookmarkEnd w:id="152"/>
      <w:bookmarkEnd w:id="153"/>
      <w:bookmarkEnd w:id="154"/>
      <w:bookmarkEnd w:id="155"/>
      <w:bookmarkEnd w:id="156"/>
      <w:bookmarkEnd w:id="157"/>
      <w:bookmarkEnd w:id="158"/>
    </w:p>
    <w:p w14:paraId="60B41E71">
      <w:pPr>
        <w:pStyle w:val="5"/>
        <w:keepNext w:val="0"/>
        <w:keepLines w:val="0"/>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highlight w:val="none"/>
          <w:u w:val="none"/>
        </w:rPr>
      </w:pPr>
      <w:bookmarkStart w:id="159" w:name="_Toc14051"/>
      <w:bookmarkStart w:id="160" w:name="_Toc518923079"/>
      <w:bookmarkStart w:id="161" w:name="_Toc26958"/>
      <w:bookmarkStart w:id="162" w:name="_Toc520356160"/>
      <w:bookmarkStart w:id="163" w:name="_Toc30568"/>
      <w:bookmarkStart w:id="164" w:name="_Toc13247"/>
      <w:bookmarkStart w:id="165" w:name="_Toc28416"/>
      <w:bookmarkStart w:id="166" w:name="_Toc3885"/>
      <w:bookmarkStart w:id="167" w:name="_Toc13471"/>
      <w:bookmarkStart w:id="168" w:name="_Toc7752"/>
      <w:r>
        <w:rPr>
          <w:rFonts w:hint="eastAsia" w:ascii="宋体" w:hAnsi="宋体" w:eastAsia="宋体" w:cs="宋体"/>
          <w:color w:val="000000"/>
          <w:sz w:val="24"/>
          <w:szCs w:val="24"/>
          <w:highlight w:val="none"/>
          <w:u w:val="none"/>
        </w:rPr>
        <w:t>1</w:t>
      </w:r>
      <w:r>
        <w:rPr>
          <w:rFonts w:hint="eastAsia" w:ascii="宋体" w:hAnsi="宋体" w:eastAsia="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rPr>
        <w:t>投标文件的密封和标记</w:t>
      </w:r>
      <w:bookmarkEnd w:id="159"/>
      <w:bookmarkEnd w:id="160"/>
      <w:bookmarkEnd w:id="161"/>
      <w:bookmarkEnd w:id="162"/>
      <w:bookmarkEnd w:id="163"/>
      <w:bookmarkEnd w:id="164"/>
      <w:bookmarkEnd w:id="165"/>
      <w:bookmarkEnd w:id="166"/>
      <w:bookmarkEnd w:id="167"/>
      <w:bookmarkEnd w:id="168"/>
    </w:p>
    <w:p w14:paraId="5015C2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bookmarkStart w:id="169" w:name="_Toc25787"/>
      <w:bookmarkStart w:id="170" w:name="_Toc15689"/>
      <w:bookmarkStart w:id="171" w:name="_Toc18629"/>
      <w:bookmarkStart w:id="172" w:name="_Toc520356161"/>
      <w:bookmarkStart w:id="173" w:name="_Toc28402"/>
      <w:bookmarkStart w:id="174" w:name="_Toc4091"/>
      <w:bookmarkStart w:id="175" w:name="_Toc13217"/>
      <w:bookmarkStart w:id="176" w:name="_Toc518923080"/>
      <w:bookmarkStart w:id="177" w:name="_Toc19069"/>
      <w:bookmarkStart w:id="178" w:name="_Toc2595"/>
      <w:r>
        <w:rPr>
          <w:rFonts w:hint="eastAsia" w:ascii="宋体" w:hAnsi="宋体" w:eastAsia="宋体" w:cs="宋体"/>
          <w:sz w:val="24"/>
          <w:szCs w:val="24"/>
        </w:rPr>
        <w:t>响应文件的密封和标记。电子响应文件的内容通过数字证书进行加密并签章，投标截止时间前通过政采云平台上传到指定位置。未按要求加密和数字证书认证的响应文件，电子评标系统将无法接受，代理机构及采购方不子受理。</w:t>
      </w:r>
    </w:p>
    <w:p w14:paraId="683F9AA5">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投标截止</w:t>
      </w:r>
      <w:bookmarkEnd w:id="169"/>
      <w:bookmarkEnd w:id="170"/>
      <w:bookmarkEnd w:id="171"/>
      <w:bookmarkEnd w:id="172"/>
      <w:bookmarkEnd w:id="173"/>
      <w:bookmarkEnd w:id="174"/>
      <w:bookmarkEnd w:id="175"/>
      <w:bookmarkEnd w:id="176"/>
      <w:bookmarkEnd w:id="177"/>
      <w:bookmarkEnd w:id="178"/>
    </w:p>
    <w:p w14:paraId="7166E17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bookmarkStart w:id="179" w:name="_Toc518923081"/>
      <w:bookmarkStart w:id="180" w:name="_Toc13921"/>
      <w:bookmarkStart w:id="181" w:name="_Toc4481"/>
      <w:bookmarkStart w:id="182" w:name="_Toc520356162"/>
      <w:bookmarkStart w:id="183" w:name="_Toc860"/>
      <w:bookmarkStart w:id="184" w:name="_Toc11441"/>
      <w:bookmarkStart w:id="185" w:name="_Toc29335"/>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1D2A81B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14.2本项目实行网上投标，采用电子响应文件。若供应商参与投标，自行承担投标一切费用。</w:t>
      </w:r>
    </w:p>
    <w:p w14:paraId="68D16C3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14.3本项目为电子招投标，投标人需要使用CA 加密设备，凡参加本项目须下载附件并填齐相关企业信息，然后发送至政采云公司指定邮箱，进行申领 CA 加密设备。</w:t>
      </w:r>
    </w:p>
    <w:p w14:paraId="3430D9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14.4供应商将政采云电子交易客户端下载、安装完成后，可通过账号密码或 CA 登录客户端进行响应文件制作。客户端请至新疆政府采购网(http://www.ccgp-xinjiang.gov.cn/)下载专区查看，如有问题可拨打政采云客户服务热线 95763 进行咨询。</w:t>
      </w:r>
    </w:p>
    <w:p w14:paraId="5AD86B5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 开标时间后 30 分钟内供应商可以登录“政采云”平台，用“项目采购-开标评标”功能进行解密响应文件。若供应商在规定时间内未按时解密的，视为响应文件撤回。</w:t>
      </w:r>
    </w:p>
    <w:p w14:paraId="3CFD921E">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14.6开标时报价签字确认时段不得超过30分钟。</w:t>
      </w:r>
    </w:p>
    <w:p w14:paraId="7BE1D622">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86" w:name="_Toc28500"/>
      <w:bookmarkStart w:id="187" w:name="_Toc21597"/>
      <w:bookmarkStart w:id="188" w:name="_Toc14614"/>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eastAsia="zh-CN"/>
        </w:rPr>
        <w:t>.</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24"/>
          <w:szCs w:val="24"/>
          <w:u w:val="none"/>
          <w:lang w:eastAsia="zh-CN"/>
        </w:rPr>
        <w:t>递交的公开投标响应文件</w:t>
      </w:r>
    </w:p>
    <w:p w14:paraId="6824DDBD">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各供应商应在开标前应确保成为新疆政府采购网正式注册入库供应商，并完成 CA 数字证书申领。因未注册入库、未办理 CA 数字证书等原因造成无法投标或投标失败等后果由供应商自行承担。建议于公开投标响应文件递交截止时间前1个工作日完成公开投标响应文件的制作与上传。</w:t>
      </w:r>
    </w:p>
    <w:p w14:paraId="3ED8228A">
      <w:pPr>
        <w:pageBreakBefore w:val="0"/>
        <w:kinsoku/>
        <w:overflowPunct/>
        <w:bidi w:val="0"/>
        <w:spacing w:line="420" w:lineRule="exact"/>
        <w:textAlignment w:val="auto"/>
        <w:rPr>
          <w:rFonts w:hint="eastAsia" w:ascii="宋体" w:hAnsi="宋体" w:eastAsia="宋体" w:cs="宋体"/>
          <w:sz w:val="24"/>
          <w:szCs w:val="24"/>
        </w:rPr>
      </w:pPr>
    </w:p>
    <w:p w14:paraId="67FC31CD">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outlineLvl w:val="2"/>
        <w:rPr>
          <w:rFonts w:hint="eastAsia" w:ascii="宋体" w:hAnsi="宋体" w:eastAsia="宋体" w:cs="宋体"/>
          <w:b/>
          <w:sz w:val="24"/>
          <w:szCs w:val="24"/>
        </w:rPr>
      </w:pPr>
      <w:bookmarkStart w:id="189" w:name="_Toc21440"/>
      <w:bookmarkStart w:id="190" w:name="_Toc25001"/>
      <w:bookmarkStart w:id="191" w:name="_Toc520356163"/>
      <w:bookmarkStart w:id="192" w:name="_Toc20193"/>
      <w:bookmarkStart w:id="193" w:name="_Toc10257"/>
      <w:bookmarkStart w:id="194" w:name="_Toc518923082"/>
      <w:bookmarkStart w:id="195" w:name="_Toc15245"/>
      <w:bookmarkStart w:id="196" w:name="_Toc9808"/>
      <w:bookmarkStart w:id="197" w:name="_Toc216582809"/>
      <w:bookmarkStart w:id="198" w:name="_Toc27628"/>
      <w:bookmarkStart w:id="199" w:name="_Toc15239"/>
      <w:r>
        <w:rPr>
          <w:rFonts w:hint="eastAsia" w:ascii="宋体" w:hAnsi="宋体" w:eastAsia="宋体" w:cs="宋体"/>
          <w:b/>
          <w:sz w:val="24"/>
          <w:szCs w:val="24"/>
        </w:rPr>
        <w:t>五</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开标及评标</w:t>
      </w:r>
      <w:bookmarkEnd w:id="189"/>
      <w:bookmarkEnd w:id="190"/>
      <w:bookmarkEnd w:id="191"/>
      <w:bookmarkEnd w:id="192"/>
      <w:bookmarkEnd w:id="193"/>
      <w:bookmarkEnd w:id="194"/>
      <w:bookmarkEnd w:id="195"/>
      <w:bookmarkEnd w:id="196"/>
      <w:bookmarkEnd w:id="197"/>
      <w:bookmarkEnd w:id="198"/>
      <w:bookmarkEnd w:id="199"/>
    </w:p>
    <w:p w14:paraId="49F41866">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u w:val="none"/>
        </w:rPr>
      </w:pPr>
      <w:bookmarkStart w:id="200" w:name="_Toc27122"/>
      <w:bookmarkStart w:id="201" w:name="_Toc520356164"/>
      <w:bookmarkStart w:id="202" w:name="_Toc699"/>
      <w:bookmarkStart w:id="203" w:name="_Toc17398"/>
      <w:bookmarkStart w:id="204" w:name="_Toc10476"/>
      <w:bookmarkStart w:id="205" w:name="_Toc6529"/>
      <w:bookmarkStart w:id="206" w:name="_Toc2657"/>
      <w:bookmarkStart w:id="207" w:name="_Toc1529"/>
      <w:bookmarkStart w:id="208" w:name="_Toc8653"/>
      <w:bookmarkStart w:id="209" w:name="_Toc518923083"/>
      <w:r>
        <w:rPr>
          <w:rFonts w:hint="eastAsia" w:ascii="宋体" w:hAnsi="宋体" w:eastAsia="宋体" w:cs="宋体"/>
          <w:color w:val="000000"/>
          <w:sz w:val="24"/>
          <w:szCs w:val="24"/>
          <w:u w:val="none"/>
        </w:rPr>
        <w:t>1</w:t>
      </w: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lang w:eastAsia="zh-CN"/>
        </w:rPr>
        <w:t>.</w:t>
      </w:r>
      <w:bookmarkEnd w:id="200"/>
      <w:bookmarkEnd w:id="201"/>
      <w:bookmarkEnd w:id="202"/>
      <w:bookmarkEnd w:id="203"/>
      <w:bookmarkEnd w:id="204"/>
      <w:bookmarkEnd w:id="205"/>
      <w:bookmarkEnd w:id="206"/>
      <w:bookmarkEnd w:id="207"/>
      <w:bookmarkEnd w:id="208"/>
      <w:bookmarkEnd w:id="209"/>
      <w:r>
        <w:rPr>
          <w:rFonts w:hint="eastAsia" w:ascii="宋体" w:hAnsi="宋体" w:eastAsia="宋体" w:cs="宋体"/>
          <w:color w:val="000000"/>
          <w:sz w:val="24"/>
          <w:szCs w:val="24"/>
          <w:u w:val="none"/>
          <w:lang w:eastAsia="zh-CN"/>
        </w:rPr>
        <w:t>采用不见面开标方式</w:t>
      </w:r>
    </w:p>
    <w:p w14:paraId="62DDD5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bookmarkStart w:id="210" w:name="_Toc21372"/>
      <w:bookmarkStart w:id="211" w:name="_Toc31290"/>
      <w:bookmarkStart w:id="212" w:name="_Toc19296"/>
      <w:bookmarkStart w:id="213" w:name="_Toc515647780"/>
      <w:bookmarkStart w:id="214" w:name="_Toc520356166"/>
      <w:r>
        <w:rPr>
          <w:rFonts w:hint="eastAsia" w:ascii="宋体" w:hAnsi="宋体" w:eastAsia="宋体" w:cs="宋体"/>
          <w:sz w:val="24"/>
          <w:szCs w:val="24"/>
          <w:highlight w:val="none"/>
          <w:lang w:val="en-US" w:eastAsia="zh-CN"/>
        </w:rPr>
        <w:t>16.1供应商在规定的投标截止时间(开标时间)和投标人须知资料表规定的地点开标。投标人的法定代表人(负责人)或被授权人无需到达开标现场，仅需在任意地点通过新疆政采云开标系统，使用CA密钥完成远程解密、提疑澄清、开标唱标、结果公布等交互环节。</w:t>
      </w:r>
    </w:p>
    <w:p w14:paraId="25C1ACD9">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2开标前，采购代理机构将会同采购方监督人员或公证人员进行验标(检查网上招标系统正常与否，检查未加密的电子投标文件检查投标人保证金交纳情况)，确认无误后开标。</w:t>
      </w:r>
    </w:p>
    <w:p w14:paraId="560C155C">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法定代表人(负责人)或被授权人参与远程交互，中途不得更换，在废标、澄清、提疑、传送文件等特殊情况下需要交互时，投标人一端参与交互的人员将均被视为是投标人的被授权人或法定代表人(负责人)，投标人不得以不承认交互人员的资格或身份等为借口推脱，投标人自行承担随意更换人员所导致的一切后果。</w:t>
      </w:r>
    </w:p>
    <w:p w14:paraId="6CF9D57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16.4开标时间截止后，提交投标电子响应文件的供应商不足三家时，按照政府采购的相关法规处理。</w:t>
      </w:r>
    </w:p>
    <w:p w14:paraId="6FD50BE4">
      <w:pPr>
        <w:pageBreakBefore w:val="0"/>
        <w:widowControl w:val="0"/>
        <w:kinsoku/>
        <w:wordWrap/>
        <w:overflowPunct/>
        <w:topLinePunct w:val="0"/>
        <w:bidi w:val="0"/>
        <w:snapToGrid/>
        <w:spacing w:line="420" w:lineRule="exact"/>
        <w:textAlignment w:val="auto"/>
        <w:outlineLvl w:val="2"/>
        <w:rPr>
          <w:rFonts w:hint="eastAsia" w:ascii="宋体" w:hAnsi="宋体" w:eastAsia="宋体" w:cs="宋体"/>
          <w:b/>
          <w:bCs/>
          <w:color w:val="000000"/>
          <w:sz w:val="24"/>
          <w:szCs w:val="24"/>
          <w:lang w:val="en-US" w:eastAsia="zh-CN"/>
        </w:rPr>
      </w:pPr>
      <w:bookmarkStart w:id="215" w:name="_Toc25307"/>
      <w:bookmarkStart w:id="216" w:name="_Toc29580"/>
      <w:bookmarkStart w:id="217" w:name="_Toc13564"/>
      <w:bookmarkStart w:id="218" w:name="_Toc17160"/>
      <w:bookmarkStart w:id="219" w:name="_Toc2906"/>
      <w:bookmarkStart w:id="220" w:name="_Toc32378"/>
      <w:bookmarkStart w:id="221" w:name="_Toc15619"/>
      <w:r>
        <w:rPr>
          <w:rFonts w:hint="eastAsia" w:ascii="宋体" w:hAnsi="宋体" w:eastAsia="宋体" w:cs="宋体"/>
          <w:b/>
          <w:bCs/>
          <w:color w:val="000000"/>
          <w:sz w:val="24"/>
          <w:szCs w:val="24"/>
          <w:lang w:val="en-US" w:eastAsia="zh-CN"/>
        </w:rPr>
        <w:t>17</w:t>
      </w:r>
      <w:r>
        <w:rPr>
          <w:rFonts w:hint="eastAsia" w:ascii="宋体" w:hAnsi="宋体" w:eastAsia="宋体" w:cs="宋体"/>
          <w:b/>
          <w:bCs/>
          <w:color w:val="000000"/>
          <w:sz w:val="24"/>
          <w:szCs w:val="24"/>
        </w:rPr>
        <w:t>.资格审查及组</w:t>
      </w:r>
      <w:bookmarkEnd w:id="210"/>
      <w:bookmarkEnd w:id="211"/>
      <w:bookmarkEnd w:id="212"/>
      <w:bookmarkEnd w:id="213"/>
      <w:bookmarkEnd w:id="215"/>
      <w:bookmarkEnd w:id="216"/>
      <w:bookmarkEnd w:id="217"/>
      <w:bookmarkEnd w:id="218"/>
      <w:bookmarkEnd w:id="219"/>
      <w:bookmarkEnd w:id="220"/>
      <w:bookmarkEnd w:id="221"/>
      <w:r>
        <w:rPr>
          <w:rFonts w:hint="eastAsia" w:ascii="宋体" w:hAnsi="宋体" w:eastAsia="宋体" w:cs="宋体"/>
          <w:b/>
          <w:bCs/>
          <w:color w:val="000000"/>
          <w:sz w:val="24"/>
          <w:szCs w:val="24"/>
          <w:lang w:val="en-US" w:eastAsia="zh-CN"/>
        </w:rPr>
        <w:t>建评标委员会</w:t>
      </w:r>
    </w:p>
    <w:p w14:paraId="68E483DB">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eastAsia="zh-CN"/>
        </w:rPr>
      </w:pPr>
      <w:bookmarkStart w:id="222" w:name="_Toc20849"/>
      <w:bookmarkStart w:id="223" w:name="_Toc24039"/>
      <w:bookmarkStart w:id="224" w:name="_Toc13448"/>
      <w:bookmarkStart w:id="225" w:name="_Toc21588"/>
      <w:bookmarkStart w:id="226" w:name="_Toc21432"/>
      <w:bookmarkStart w:id="227" w:name="_Toc14980"/>
      <w:bookmarkStart w:id="228" w:name="_Toc15100"/>
      <w:r>
        <w:rPr>
          <w:rFonts w:hint="eastAsia" w:ascii="宋体" w:hAnsi="宋体" w:eastAsia="宋体" w:cs="宋体"/>
          <w:color w:val="000000"/>
          <w:sz w:val="24"/>
          <w:szCs w:val="24"/>
          <w:lang w:val="en-US" w:eastAsia="zh-CN"/>
        </w:rPr>
        <w:t>17.1</w:t>
      </w:r>
      <w:bookmarkEnd w:id="222"/>
      <w:bookmarkEnd w:id="223"/>
      <w:bookmarkEnd w:id="224"/>
      <w:bookmarkEnd w:id="225"/>
      <w:bookmarkEnd w:id="226"/>
      <w:bookmarkEnd w:id="227"/>
      <w:bookmarkEnd w:id="228"/>
      <w:r>
        <w:rPr>
          <w:rFonts w:hint="eastAsia" w:ascii="宋体" w:hAnsi="宋体" w:eastAsia="宋体" w:cs="宋体"/>
          <w:color w:val="000000"/>
          <w:sz w:val="24"/>
          <w:szCs w:val="24"/>
          <w:lang w:val="en-US" w:eastAsia="zh-CN"/>
        </w:rPr>
        <w:t>资格审查</w:t>
      </w:r>
    </w:p>
    <w:p w14:paraId="02809D2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bookmarkStart w:id="229" w:name="_Toc11576"/>
      <w:bookmarkStart w:id="230" w:name="_Toc4174"/>
      <w:bookmarkStart w:id="231" w:name="_Toc23426"/>
      <w:bookmarkStart w:id="232" w:name="_Toc16304"/>
      <w:r>
        <w:rPr>
          <w:rFonts w:hint="eastAsia" w:ascii="宋体" w:hAnsi="宋体" w:eastAsia="宋体" w:cs="宋体"/>
          <w:color w:val="000000"/>
          <w:sz w:val="24"/>
          <w:szCs w:val="24"/>
          <w:lang w:eastAsia="zh-CN"/>
        </w:rPr>
        <w:t>供应商在规定的时间内解密上传的公开招标响应文件。</w:t>
      </w:r>
    </w:p>
    <w:p w14:paraId="69EA9E4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采购人对投标人递交的公开招标响应文件合格投标人资格要求进行资格审查，以确定投标人是否具备参加公开招标的资格。</w:t>
      </w:r>
    </w:p>
    <w:p w14:paraId="31ACB0F1">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评标委员会根据评审原则及标准对投标人递交的公开招标响应文件进行符合性审查，以确定投标人是否具备参加公开招标的资格。</w:t>
      </w:r>
    </w:p>
    <w:p w14:paraId="22AF18B6">
      <w:pPr>
        <w:pageBreakBefore w:val="0"/>
        <w:numPr>
          <w:ilvl w:val="0"/>
          <w:numId w:val="3"/>
        </w:numPr>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公开招标响应文件凡具有下列情形之一者，均视为没有响应公开招标文件要求的无效文件:</w:t>
      </w:r>
    </w:p>
    <w:p w14:paraId="57FD5AB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1)未按照招标文件规定缴纳投标保证金的;</w:t>
      </w:r>
    </w:p>
    <w:p w14:paraId="0F9392B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2)未按照招标文件规定要求签署、盖公章的:</w:t>
      </w:r>
    </w:p>
    <w:p w14:paraId="5EE72127">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3)不具备招标文件中规定资格要求或资格要求资料提供不全</w:t>
      </w:r>
    </w:p>
    <w:p w14:paraId="26FD8F3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的;</w:t>
      </w:r>
    </w:p>
    <w:p w14:paraId="4E08F9C2">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不符合法律、法规和招标文件中规定的其他实质性要求的。</w:t>
      </w:r>
    </w:p>
    <w:p w14:paraId="583B0E24">
      <w:pPr>
        <w:pageBreakBefore w:val="0"/>
        <w:numPr>
          <w:ilvl w:val="0"/>
          <w:numId w:val="0"/>
        </w:numPr>
        <w:kinsoku/>
        <w:wordWrap/>
        <w:overflowPunct/>
        <w:topLinePunct w:val="0"/>
        <w:bidi w:val="0"/>
        <w:snapToGrid/>
        <w:spacing w:line="420" w:lineRule="exact"/>
        <w:ind w:left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5） </w:t>
      </w:r>
      <w:r>
        <w:rPr>
          <w:rFonts w:hint="eastAsia" w:ascii="宋体" w:hAnsi="宋体" w:eastAsia="宋体" w:cs="宋体"/>
          <w:color w:val="000000"/>
          <w:sz w:val="24"/>
          <w:szCs w:val="24"/>
          <w:lang w:eastAsia="zh-CN"/>
        </w:rPr>
        <w:t>公开招标响应文件被确认为无效文件后，该供应商即失去参加本次公开招标的资格。</w:t>
      </w:r>
    </w:p>
    <w:p w14:paraId="2C60B6A2">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val="en-US" w:eastAsia="zh-CN"/>
        </w:rPr>
      </w:pPr>
      <w:bookmarkStart w:id="233" w:name="_Toc30934"/>
      <w:bookmarkStart w:id="234" w:name="_Toc12799"/>
      <w:bookmarkStart w:id="235" w:name="_Toc8602"/>
      <w:r>
        <w:rPr>
          <w:rFonts w:hint="eastAsia" w:ascii="宋体" w:hAnsi="宋体" w:eastAsia="宋体" w:cs="宋体"/>
          <w:color w:val="000000"/>
          <w:sz w:val="24"/>
          <w:szCs w:val="24"/>
          <w:lang w:val="en-US" w:eastAsia="zh-CN"/>
        </w:rPr>
        <w:t>17.2</w:t>
      </w:r>
      <w:bookmarkEnd w:id="229"/>
      <w:bookmarkEnd w:id="230"/>
      <w:bookmarkEnd w:id="231"/>
      <w:bookmarkEnd w:id="232"/>
      <w:bookmarkEnd w:id="233"/>
      <w:bookmarkEnd w:id="234"/>
      <w:bookmarkEnd w:id="235"/>
      <w:r>
        <w:rPr>
          <w:rFonts w:hint="eastAsia" w:ascii="宋体" w:hAnsi="宋体" w:eastAsia="宋体" w:cs="宋体"/>
          <w:color w:val="000000"/>
          <w:sz w:val="24"/>
          <w:szCs w:val="24"/>
          <w:lang w:val="en-US" w:eastAsia="zh-CN"/>
        </w:rPr>
        <w:t>组建评标委员会</w:t>
      </w:r>
    </w:p>
    <w:p w14:paraId="4990F09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w:t>
      </w:r>
      <w:r>
        <w:rPr>
          <w:rFonts w:hint="eastAsia" w:ascii="宋体" w:hAnsi="宋体" w:eastAsia="宋体" w:cs="宋体"/>
          <w:sz w:val="24"/>
          <w:szCs w:val="24"/>
          <w:highlight w:val="none"/>
        </w:rPr>
        <w:t>.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4D8B3B2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17.2.2评标委员会人选于开标前确定，成员名单在中标结果确定前保密。</w:t>
      </w:r>
    </w:p>
    <w:p w14:paraId="57FABF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17.2.3 评标委员会由有关此次项目方面的专家和采购人熟悉相关业务的代表人员组成，</w:t>
      </w:r>
      <w:r>
        <w:rPr>
          <w:rFonts w:hint="eastAsia" w:ascii="宋体" w:hAnsi="宋体" w:eastAsia="宋体" w:cs="宋体"/>
          <w:color w:val="auto"/>
          <w:sz w:val="24"/>
          <w:szCs w:val="24"/>
          <w:highlight w:val="none"/>
        </w:rPr>
        <w:t>成员为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人以上的单数，项目采购人代表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人，其中评审专家成员人数不少于成员总数的三分之二。</w:t>
      </w:r>
      <w:r>
        <w:rPr>
          <w:rFonts w:hint="eastAsia" w:ascii="宋体" w:hAnsi="宋体" w:eastAsia="宋体" w:cs="宋体"/>
          <w:sz w:val="24"/>
          <w:szCs w:val="24"/>
          <w:highlight w:val="none"/>
          <w:lang w:val="en-US" w:eastAsia="zh-CN"/>
        </w:rPr>
        <w:t xml:space="preserve"> </w:t>
      </w:r>
    </w:p>
    <w:p w14:paraId="1851451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17.2.4对技术复杂、专业性强的采购项目，通过随机方式难以确定合适评审专家的，经主管预算单位同意，采购人可以自行选定相应专业领域的评审专家。</w:t>
      </w:r>
    </w:p>
    <w:p w14:paraId="18DE194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17.2.5</w:t>
      </w:r>
      <w:r>
        <w:rPr>
          <w:rFonts w:hint="eastAsia" w:ascii="宋体" w:hAnsi="宋体" w:eastAsia="宋体" w:cs="宋体"/>
          <w:sz w:val="24"/>
          <w:szCs w:val="24"/>
          <w:highlight w:val="none"/>
        </w:rPr>
        <w:t>有下列情形之一的，不得担任评标委员会成员:(1)与投标人或者投标主要负责人有近亲关系的;(2)与项目主管部门或者行政监督部门的人员有近亲关系的:(3)与投标人有经济利益关系，可能影响对投标公正评审的;(4)曾因在招标、评标以及其他与招标投标有关活动中从事违法行为而受过行政处罚或刑事处罚的。</w:t>
      </w:r>
    </w:p>
    <w:p w14:paraId="380006BF">
      <w:pPr>
        <w:pageBreakBefore w:val="0"/>
        <w:kinsoku/>
        <w:wordWrap/>
        <w:overflowPunct/>
        <w:topLinePunct w:val="0"/>
        <w:bidi w:val="0"/>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招标委员会成员有前款规定情形之一的，应当主动提出回避。</w:t>
      </w:r>
    </w:p>
    <w:p w14:paraId="065B775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7277B88E">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03559D6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17.2.8 如果出现有效投标人不足三家时，由于项目紧急，经财政部门(政府采购监督管理部门)批准，改为非招标采购方式进行采购时，依法组建本次招标的评标委员会则作为改变采购方式后谈判小组，负责改变采购方式后的谈判活动。</w:t>
      </w:r>
    </w:p>
    <w:bookmarkEnd w:id="214"/>
    <w:p w14:paraId="775B4AAA">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val="0"/>
          <w:bCs/>
          <w:sz w:val="24"/>
          <w:szCs w:val="24"/>
          <w:bdr w:val="single" w:color="auto" w:sz="4" w:space="0"/>
        </w:rPr>
      </w:pPr>
      <w:bookmarkStart w:id="236" w:name="_Toc4019"/>
      <w:bookmarkStart w:id="237" w:name="_Toc17490"/>
      <w:bookmarkStart w:id="238" w:name="_Toc2961"/>
      <w:bookmarkStart w:id="239" w:name="_Toc26332"/>
      <w:bookmarkStart w:id="240" w:name="_Toc18978"/>
      <w:bookmarkStart w:id="241" w:name="_Toc515647781"/>
      <w:bookmarkStart w:id="242" w:name="_Toc5978"/>
      <w:bookmarkStart w:id="243" w:name="_Toc20520"/>
      <w:bookmarkStart w:id="244" w:name="_Toc18472"/>
      <w:bookmarkStart w:id="245" w:name="_Toc19949"/>
      <w:bookmarkStart w:id="246" w:name="_Toc28479"/>
      <w:bookmarkStart w:id="247" w:name="_Toc8603"/>
      <w:bookmarkStart w:id="248" w:name="_Toc518923086"/>
      <w:bookmarkStart w:id="249" w:name="_Toc520356167"/>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.投标文件</w:t>
      </w:r>
      <w:r>
        <w:rPr>
          <w:rFonts w:hint="eastAsia" w:ascii="宋体" w:hAnsi="宋体" w:eastAsia="宋体" w:cs="宋体"/>
          <w:sz w:val="24"/>
          <w:szCs w:val="24"/>
          <w:u w:val="none"/>
          <w:lang w:val="en-US" w:eastAsia="zh-CN"/>
        </w:rPr>
        <w:t>的</w:t>
      </w:r>
      <w:r>
        <w:rPr>
          <w:rFonts w:hint="eastAsia" w:ascii="宋体" w:hAnsi="宋体" w:eastAsia="宋体" w:cs="宋体"/>
          <w:sz w:val="24"/>
          <w:szCs w:val="24"/>
          <w:u w:val="none"/>
        </w:rPr>
        <w:t>符合性审查与澄清</w:t>
      </w:r>
      <w:bookmarkEnd w:id="236"/>
      <w:bookmarkEnd w:id="237"/>
      <w:bookmarkEnd w:id="238"/>
      <w:bookmarkEnd w:id="239"/>
      <w:bookmarkEnd w:id="240"/>
      <w:bookmarkEnd w:id="241"/>
      <w:bookmarkEnd w:id="242"/>
      <w:bookmarkEnd w:id="243"/>
      <w:bookmarkEnd w:id="244"/>
      <w:bookmarkEnd w:id="245"/>
      <w:bookmarkEnd w:id="246"/>
    </w:p>
    <w:p w14:paraId="5C1D48D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bookmarkStart w:id="250" w:name="_Toc2037"/>
      <w:bookmarkStart w:id="251" w:name="_Toc3718"/>
      <w:bookmarkStart w:id="252" w:name="_Toc12664"/>
      <w:bookmarkStart w:id="253" w:name="_Toc9450"/>
      <w:bookmarkStart w:id="254" w:name="_Toc18588"/>
      <w:r>
        <w:rPr>
          <w:rFonts w:hint="eastAsia" w:ascii="宋体" w:hAnsi="宋体" w:eastAsia="宋体" w:cs="宋体"/>
          <w:sz w:val="24"/>
          <w:szCs w:val="24"/>
          <w:lang w:val="en-US" w:eastAsia="zh-CN"/>
        </w:rPr>
        <w:t>18</w:t>
      </w:r>
      <w:r>
        <w:rPr>
          <w:rFonts w:hint="eastAsia" w:ascii="宋体" w:hAnsi="宋体" w:eastAsia="宋体" w:cs="宋体"/>
          <w:sz w:val="24"/>
          <w:szCs w:val="24"/>
        </w:rPr>
        <w:t>.1符合性审查是指依据</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的规定，从投标文件的有效性和完整性对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的响应程度进行审查，以确定是否对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的实质性要求做出响应。</w:t>
      </w:r>
      <w:bookmarkStart w:id="255" w:name="_Hlt522424701"/>
      <w:bookmarkEnd w:id="255"/>
    </w:p>
    <w:p w14:paraId="78CB0C0A">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6" w:name="_Toc29453"/>
      <w:bookmarkStart w:id="257" w:name="_Toc26868"/>
      <w:bookmarkStart w:id="258" w:name="_Toc3253"/>
      <w:r>
        <w:rPr>
          <w:rFonts w:hint="eastAsia" w:ascii="宋体" w:hAnsi="宋体" w:eastAsia="宋体" w:cs="宋体"/>
          <w:sz w:val="24"/>
          <w:szCs w:val="24"/>
          <w:lang w:val="en-US" w:eastAsia="zh-CN"/>
        </w:rPr>
        <w:t>18</w:t>
      </w:r>
      <w:r>
        <w:rPr>
          <w:rFonts w:hint="eastAsia" w:ascii="宋体" w:hAnsi="宋体" w:eastAsia="宋体" w:cs="宋体"/>
          <w:sz w:val="24"/>
          <w:szCs w:val="24"/>
        </w:rPr>
        <w:t>.2投标文件的澄清</w:t>
      </w:r>
      <w:bookmarkEnd w:id="250"/>
      <w:bookmarkEnd w:id="256"/>
      <w:bookmarkEnd w:id="257"/>
      <w:bookmarkEnd w:id="258"/>
    </w:p>
    <w:p w14:paraId="6761552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2.1在评标期间，评标委员会将以询标函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采购代理机构将通知所有投标人，并给所有投标人提供较充分的修正时间。投标人根据要求，对原响应文件进行修正，并将修正文件通过数字证书加密并签章后，传到网站指定栏目。逾期不上传的，视同放弃投标。修正文件与响应文件同具法律效力。文件修正后，按照规定的时间继续进行招标。</w:t>
      </w:r>
    </w:p>
    <w:p w14:paraId="57FEEC36">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.2.2投标人的澄清、说明或补正将作为投标文件的一部分。</w:t>
      </w:r>
    </w:p>
    <w:p w14:paraId="7E2EE1B5">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9" w:name="_Toc29793"/>
      <w:bookmarkStart w:id="260" w:name="_Toc20962"/>
      <w:bookmarkStart w:id="261" w:name="_Toc22768"/>
      <w:bookmarkStart w:id="262" w:name="_Toc15206"/>
      <w:r>
        <w:rPr>
          <w:rFonts w:hint="eastAsia" w:ascii="宋体" w:hAnsi="宋体" w:eastAsia="宋体" w:cs="宋体"/>
          <w:sz w:val="24"/>
          <w:szCs w:val="24"/>
          <w:lang w:val="en-US" w:eastAsia="zh-CN"/>
        </w:rPr>
        <w:t>18</w:t>
      </w:r>
      <w:r>
        <w:rPr>
          <w:rFonts w:hint="eastAsia" w:ascii="宋体" w:hAnsi="宋体" w:eastAsia="宋体" w:cs="宋体"/>
          <w:sz w:val="24"/>
          <w:szCs w:val="24"/>
        </w:rPr>
        <w:t>.3投标文件报价出现前后不一致的，按照下列规定修正：</w:t>
      </w:r>
      <w:bookmarkEnd w:id="259"/>
      <w:bookmarkEnd w:id="260"/>
      <w:bookmarkEnd w:id="261"/>
      <w:bookmarkEnd w:id="262"/>
    </w:p>
    <w:p w14:paraId="34F35999">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（一）投标文件中开标一览表内容与投标文件中相应内容不一致的，以开标一览表为准;</w:t>
      </w:r>
    </w:p>
    <w:p w14:paraId="240C925E">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14:paraId="42E45F3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14:paraId="196E9E9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(四)总价金额与按单价汇总金额不一致的，以单价金额计算结果为准。</w:t>
      </w:r>
    </w:p>
    <w:p w14:paraId="60AF5A1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 18.2条的规定经投标人确认后产生约束力，投标人不确认的，将被认定为投标无效。</w:t>
      </w:r>
      <w:bookmarkStart w:id="263" w:name="_Toc2052"/>
    </w:p>
    <w:p w14:paraId="24E95958">
      <w:pPr>
        <w:pageBreakBefore w:val="0"/>
        <w:kinsoku/>
        <w:wordWrap/>
        <w:overflowPunct/>
        <w:topLinePunct w:val="0"/>
        <w:bidi w:val="0"/>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对不同文字文本投标文件的解释发生异议的，以中文文本为准。</w:t>
      </w:r>
    </w:p>
    <w:bookmarkEnd w:id="263"/>
    <w:p w14:paraId="25572F3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green"/>
          <w:lang w:val="en-US" w:eastAsia="zh-CN"/>
        </w:rPr>
      </w:pPr>
      <w:bookmarkStart w:id="264" w:name="_Toc4623"/>
      <w:bookmarkStart w:id="265" w:name="_Toc11419"/>
      <w:bookmarkStart w:id="266" w:name="_Toc17581"/>
      <w:bookmarkStart w:id="267" w:name="_Toc8850"/>
      <w:bookmarkStart w:id="268" w:name="_Toc9658"/>
      <w:bookmarkStart w:id="269" w:name="_Toc8962"/>
      <w:bookmarkStart w:id="270" w:name="_Toc515647782"/>
      <w:bookmarkStart w:id="271" w:name="_Toc6364"/>
      <w:bookmarkStart w:id="272" w:name="_Toc9469"/>
      <w:bookmarkStart w:id="273" w:name="_Toc906"/>
      <w:bookmarkStart w:id="274" w:name="_Toc18529"/>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bookmarkEnd w:id="264"/>
      <w:bookmarkEnd w:id="265"/>
      <w:bookmarkEnd w:id="266"/>
      <w:bookmarkEnd w:id="267"/>
      <w:r>
        <w:rPr>
          <w:rFonts w:hint="eastAsia" w:ascii="宋体" w:hAnsi="宋体" w:eastAsia="宋体" w:cs="宋体"/>
          <w:b w:val="0"/>
          <w:bCs w:val="0"/>
          <w:sz w:val="24"/>
          <w:szCs w:val="24"/>
          <w:highlight w:val="none"/>
          <w:lang w:val="en-US" w:eastAsia="zh-CN"/>
        </w:rPr>
        <w:t>投标人为提供服务所伴随投标的产品如被列入财政部与国家主管部门颁发的节能产品目录或环境标志产品目录或无线局域网产品目录，应提供相关证明，在评标时予以优先采购</w:t>
      </w:r>
      <w:r>
        <w:rPr>
          <w:rFonts w:hint="eastAsia" w:ascii="宋体" w:hAnsi="宋体" w:eastAsia="宋体" w:cs="宋体"/>
          <w:sz w:val="24"/>
          <w:szCs w:val="24"/>
          <w:highlight w:val="none"/>
        </w:rPr>
        <w:t>。</w:t>
      </w:r>
    </w:p>
    <w:bookmarkEnd w:id="268"/>
    <w:bookmarkEnd w:id="269"/>
    <w:bookmarkEnd w:id="270"/>
    <w:bookmarkEnd w:id="271"/>
    <w:bookmarkEnd w:id="272"/>
    <w:bookmarkEnd w:id="273"/>
    <w:bookmarkEnd w:id="274"/>
    <w:p w14:paraId="63736D64">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5" w:name="_Toc5026"/>
      <w:bookmarkStart w:id="276" w:name="_Toc2527"/>
      <w:bookmarkStart w:id="277" w:name="_Toc15384"/>
      <w:r>
        <w:rPr>
          <w:rFonts w:hint="eastAsia" w:ascii="宋体" w:hAnsi="宋体" w:eastAsia="宋体" w:cs="宋体"/>
          <w:sz w:val="24"/>
          <w:szCs w:val="24"/>
          <w:u w:val="none"/>
          <w:lang w:val="en-US" w:eastAsia="zh-CN"/>
        </w:rPr>
        <w:t>19</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投标偏离</w:t>
      </w:r>
      <w:bookmarkEnd w:id="247"/>
      <w:bookmarkEnd w:id="248"/>
      <w:bookmarkEnd w:id="251"/>
      <w:bookmarkEnd w:id="252"/>
      <w:bookmarkEnd w:id="253"/>
      <w:bookmarkEnd w:id="254"/>
      <w:bookmarkEnd w:id="275"/>
      <w:bookmarkEnd w:id="276"/>
      <w:bookmarkEnd w:id="277"/>
    </w:p>
    <w:p w14:paraId="7E817EC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评标委员会可以接受投标文件中不构成实质性偏离的不正规或不一致。</w:t>
      </w:r>
    </w:p>
    <w:p w14:paraId="26DE389C">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8" w:name="_Toc13980"/>
      <w:bookmarkStart w:id="279" w:name="_Toc15269"/>
      <w:bookmarkStart w:id="280" w:name="_Toc7388"/>
      <w:bookmarkStart w:id="281" w:name="_Toc795"/>
      <w:bookmarkStart w:id="282" w:name="_Toc15693"/>
      <w:bookmarkStart w:id="283" w:name="_Toc693"/>
      <w:bookmarkStart w:id="284" w:name="_Toc518923087"/>
      <w:bookmarkStart w:id="285" w:name="_Toc28966"/>
      <w:bookmarkStart w:id="286" w:name="_Toc25255"/>
      <w:r>
        <w:rPr>
          <w:rFonts w:hint="eastAsia" w:ascii="宋体" w:hAnsi="宋体" w:eastAsia="宋体" w:cs="宋体"/>
          <w:sz w:val="24"/>
          <w:szCs w:val="24"/>
          <w:u w:val="none"/>
          <w:lang w:val="en-US" w:eastAsia="zh-CN"/>
        </w:rPr>
        <w:t>20.</w:t>
      </w:r>
      <w:r>
        <w:rPr>
          <w:rFonts w:hint="eastAsia" w:ascii="宋体" w:hAnsi="宋体" w:eastAsia="宋体" w:cs="宋体"/>
          <w:sz w:val="24"/>
          <w:szCs w:val="24"/>
          <w:u w:val="none"/>
        </w:rPr>
        <w:t>投标无效</w:t>
      </w:r>
      <w:bookmarkEnd w:id="278"/>
      <w:bookmarkEnd w:id="279"/>
      <w:bookmarkEnd w:id="280"/>
      <w:bookmarkEnd w:id="281"/>
      <w:bookmarkEnd w:id="282"/>
      <w:bookmarkEnd w:id="283"/>
      <w:bookmarkEnd w:id="284"/>
      <w:bookmarkEnd w:id="285"/>
      <w:bookmarkEnd w:id="286"/>
    </w:p>
    <w:p w14:paraId="1B6B0CB7">
      <w:pPr>
        <w:pageBreakBefore w:val="0"/>
        <w:widowControl w:val="0"/>
        <w:kinsoku/>
        <w:wordWrap/>
        <w:overflowPunct/>
        <w:topLinePunct w:val="0"/>
        <w:bidi w:val="0"/>
        <w:snapToGrid/>
        <w:spacing w:line="420" w:lineRule="exact"/>
        <w:ind w:leftChars="0" w:firstLine="480" w:firstLineChars="200"/>
        <w:textAlignment w:val="auto"/>
        <w:outlineLvl w:val="1"/>
        <w:rPr>
          <w:rFonts w:hint="eastAsia" w:ascii="宋体" w:hAnsi="宋体" w:eastAsia="宋体" w:cs="宋体"/>
          <w:color w:val="000000"/>
          <w:sz w:val="24"/>
          <w:szCs w:val="24"/>
          <w:highlight w:val="none"/>
        </w:rPr>
      </w:pPr>
      <w:bookmarkStart w:id="287" w:name="_Toc15863"/>
      <w:bookmarkStart w:id="288" w:name="_Toc4785"/>
      <w:bookmarkStart w:id="289" w:name="_Toc1409"/>
      <w:bookmarkStart w:id="290" w:name="_Toc7072"/>
      <w:bookmarkStart w:id="291" w:name="_Toc20993"/>
      <w:bookmarkStart w:id="292" w:name="_Toc6226"/>
      <w:bookmarkStart w:id="293" w:name="_Toc28304"/>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.1无效投标的概念</w:t>
      </w:r>
      <w:bookmarkEnd w:id="287"/>
      <w:bookmarkEnd w:id="288"/>
      <w:bookmarkEnd w:id="289"/>
      <w:bookmarkEnd w:id="290"/>
      <w:bookmarkEnd w:id="291"/>
      <w:bookmarkEnd w:id="292"/>
      <w:bookmarkEnd w:id="293"/>
    </w:p>
    <w:p w14:paraId="65539FA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无效投标一般是指由于投标人所递交的单个</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，经审查不符合</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资格性、符合性的要求，从而导致评标委员会</w:t>
      </w:r>
      <w:r>
        <w:rPr>
          <w:rFonts w:hint="eastAsia" w:ascii="宋体" w:hAnsi="宋体" w:eastAsia="宋体" w:cs="宋体"/>
          <w:color w:val="000000"/>
          <w:sz w:val="24"/>
          <w:szCs w:val="24"/>
          <w:highlight w:val="none"/>
          <w:lang w:eastAsia="zh-CN"/>
        </w:rPr>
        <w:t>小组</w:t>
      </w:r>
      <w:r>
        <w:rPr>
          <w:rFonts w:hint="eastAsia" w:ascii="宋体" w:hAnsi="宋体" w:eastAsia="宋体" w:cs="宋体"/>
          <w:color w:val="000000"/>
          <w:sz w:val="24"/>
          <w:szCs w:val="24"/>
          <w:highlight w:val="none"/>
        </w:rPr>
        <w:t>拒绝接受该</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。无效投标对其他投标人投标行为的有效性不直接产生影响，该项目可以继续进行。</w:t>
      </w:r>
      <w:bookmarkStart w:id="294" w:name="_Toc4200"/>
      <w:bookmarkStart w:id="295" w:name="_Toc17619"/>
      <w:bookmarkStart w:id="296" w:name="_Toc20301"/>
      <w:bookmarkStart w:id="297" w:name="_Toc11777"/>
    </w:p>
    <w:p w14:paraId="6CE8ABE4">
      <w:pPr>
        <w:pageBreakBefore w:val="0"/>
        <w:widowControl w:val="0"/>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highlight w:val="none"/>
          <w:lang w:val="en-US" w:eastAsia="zh-CN"/>
        </w:rPr>
      </w:pPr>
      <w:bookmarkStart w:id="298" w:name="_Toc19435"/>
      <w:bookmarkStart w:id="299" w:name="_Toc323"/>
      <w:bookmarkStart w:id="300" w:name="_Toc9383"/>
      <w:bookmarkStart w:id="301" w:name="_Toc11545"/>
      <w:bookmarkStart w:id="302" w:name="_Toc11403"/>
      <w:r>
        <w:rPr>
          <w:rFonts w:hint="eastAsia" w:ascii="宋体" w:hAnsi="宋体" w:eastAsia="宋体" w:cs="宋体"/>
          <w:b w:val="0"/>
          <w:bCs/>
          <w:sz w:val="24"/>
          <w:szCs w:val="24"/>
          <w:highlight w:val="none"/>
          <w:lang w:val="en-US" w:eastAsia="zh-CN"/>
        </w:rPr>
        <w:t>20.2有下列情形之一的，视为投标供应商串通投标，其投标无效：</w:t>
      </w:r>
      <w:bookmarkEnd w:id="298"/>
      <w:bookmarkEnd w:id="299"/>
      <w:bookmarkEnd w:id="300"/>
      <w:bookmarkEnd w:id="301"/>
      <w:bookmarkEnd w:id="302"/>
    </w:p>
    <w:p w14:paraId="298D47D0">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　　</w:t>
      </w:r>
      <w:r>
        <w:rPr>
          <w:rFonts w:hint="eastAsia" w:ascii="宋体" w:hAnsi="宋体" w:eastAsia="宋体" w:cs="宋体"/>
          <w:sz w:val="24"/>
          <w:szCs w:val="24"/>
          <w:highlight w:val="none"/>
          <w:lang w:val="en-US" w:eastAsia="zh-CN"/>
        </w:rPr>
        <w:t>（一）不同投标供应商的投标文件由同一单位或者个人编制；</w:t>
      </w:r>
    </w:p>
    <w:p w14:paraId="240669F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（二）不同投标供应商委托同一单位或者个人办理投标事宜；</w:t>
      </w:r>
    </w:p>
    <w:p w14:paraId="74584F21">
      <w:pPr>
        <w:keepNext w:val="0"/>
        <w:keepLines w:val="0"/>
        <w:pageBreakBefore w:val="0"/>
        <w:widowControl w:val="0"/>
        <w:kinsoku/>
        <w:wordWrap/>
        <w:overflowPunct/>
        <w:topLinePunct w:val="0"/>
        <w:autoSpaceDE/>
        <w:autoSpaceDN/>
        <w:bidi w:val="0"/>
        <w:adjustRightInd/>
        <w:snapToGrid/>
        <w:spacing w:line="420" w:lineRule="exact"/>
        <w:ind w:leftChars="0" w:firstLine="56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（三）不同投标供应商的投标文件载明的项目管理成员或者联系人员为同一人；</w:t>
      </w:r>
    </w:p>
    <w:p w14:paraId="7787D82E">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highlight w:val="none"/>
          <w:lang w:val="en-US" w:eastAsia="zh-CN"/>
        </w:rPr>
      </w:pPr>
      <w:bookmarkStart w:id="303" w:name="_Toc11588"/>
      <w:bookmarkStart w:id="304" w:name="_Toc11249"/>
      <w:bookmarkStart w:id="305" w:name="_Toc31855"/>
      <w:r>
        <w:rPr>
          <w:rFonts w:hint="eastAsia" w:ascii="宋体" w:hAnsi="宋体" w:eastAsia="宋体" w:cs="宋体"/>
          <w:color w:val="000000"/>
          <w:sz w:val="24"/>
          <w:szCs w:val="24"/>
          <w:highlight w:val="none"/>
        </w:rPr>
        <w:t>（四）不同投标人的投标文件异常一致或者投标报价呈规律性差异；</w:t>
      </w:r>
      <w:bookmarkEnd w:id="303"/>
      <w:bookmarkEnd w:id="304"/>
      <w:bookmarkEnd w:id="305"/>
    </w:p>
    <w:p w14:paraId="0C4F166D">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（五）不同投标供应商的投标文件相互混装；</w:t>
      </w:r>
    </w:p>
    <w:p w14:paraId="677B4DC3">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（六）不同投标供应商的投标保证金从同一单位或者个人的账户转出。</w:t>
      </w:r>
    </w:p>
    <w:p w14:paraId="09298FBD">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0FB18507">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（一）供应商直接或者间接从采购人或者采购代理机构处获得其他供应商的相关情况并修改其投标文件或者响应文件；</w:t>
      </w:r>
    </w:p>
    <w:p w14:paraId="0A7A8C0C">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（二）供应商按照采购人或者采购代理机构的授意撤换、修改投标文件或者响应文件；</w:t>
      </w:r>
    </w:p>
    <w:p w14:paraId="0D4EAD7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（三）供应商之间协商报价、技术方案等投标文件或者响应文件</w:t>
      </w:r>
    </w:p>
    <w:p w14:paraId="647499E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的实质性内容;</w:t>
      </w:r>
    </w:p>
    <w:p w14:paraId="6CC249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(四)属于同一集团、协会、商会等组织成员的供应商按照该组织要求协同参加政府采购活动;</w:t>
      </w:r>
    </w:p>
    <w:p w14:paraId="2B5A4A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(五)供应商之间事先约定由某一特定供应商中标、成交;</w:t>
      </w:r>
    </w:p>
    <w:p w14:paraId="548F1F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(六)供应商之间商定部分供应商放弃参加政府采购活动或者放弃中标、成交;</w:t>
      </w:r>
    </w:p>
    <w:p w14:paraId="209DFE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(七)供应商与采购人或者采购代理机构之间、供应商相互之间，为谋求特定供应商中标、成交或者排斥其他供应商的其他串通行为。</w:t>
      </w:r>
    </w:p>
    <w:p w14:paraId="51229EC4">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rPr>
      </w:pPr>
      <w:bookmarkStart w:id="306" w:name="_Toc10695"/>
      <w:bookmarkStart w:id="307" w:name="_Toc2863"/>
      <w:bookmarkStart w:id="308" w:name="_Toc2195"/>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如发现下列情况之一的，投标被认定为投标无效：</w:t>
      </w:r>
      <w:bookmarkEnd w:id="294"/>
      <w:bookmarkEnd w:id="295"/>
      <w:bookmarkEnd w:id="296"/>
      <w:bookmarkEnd w:id="297"/>
      <w:bookmarkEnd w:id="306"/>
      <w:bookmarkEnd w:id="307"/>
      <w:bookmarkEnd w:id="308"/>
    </w:p>
    <w:p w14:paraId="3D5EEA8D">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bookmarkStart w:id="309" w:name="_Toc20835"/>
      <w:bookmarkStart w:id="310" w:name="_Toc518923088"/>
      <w:r>
        <w:rPr>
          <w:rFonts w:hint="eastAsia" w:ascii="宋体" w:hAnsi="宋体" w:eastAsia="宋体" w:cs="宋体"/>
          <w:color w:val="000000"/>
          <w:sz w:val="24"/>
          <w:szCs w:val="24"/>
          <w:highlight w:val="none"/>
        </w:rPr>
        <w:t>（1）投标截止时间过后递交的</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w:t>
      </w:r>
    </w:p>
    <w:p w14:paraId="586CF09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（2）应交未交投标保证金</w:t>
      </w:r>
      <w:r>
        <w:rPr>
          <w:rFonts w:hint="eastAsia" w:ascii="宋体" w:hAnsi="宋体" w:eastAsia="宋体" w:cs="宋体"/>
          <w:color w:val="000000"/>
          <w:sz w:val="24"/>
          <w:szCs w:val="24"/>
          <w:highlight w:val="none"/>
          <w:lang w:val="en-US" w:eastAsia="zh-CN"/>
        </w:rPr>
        <w:t>或保函</w:t>
      </w:r>
      <w:r>
        <w:rPr>
          <w:rFonts w:hint="eastAsia" w:ascii="宋体" w:hAnsi="宋体" w:eastAsia="宋体" w:cs="宋体"/>
          <w:color w:val="000000"/>
          <w:sz w:val="24"/>
          <w:szCs w:val="24"/>
          <w:highlight w:val="none"/>
        </w:rPr>
        <w:t>的；</w:t>
      </w:r>
    </w:p>
    <w:p w14:paraId="235F94C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（3）不具备招标文件中规定资格要求或资格要求资料提供不全；</w:t>
      </w:r>
    </w:p>
    <w:p w14:paraId="2D2BD688">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（4）未提供《</w:t>
      </w:r>
      <w:r>
        <w:rPr>
          <w:rFonts w:hint="eastAsia" w:ascii="宋体"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rPr>
        <w:t>一览表》的；</w:t>
      </w:r>
    </w:p>
    <w:p w14:paraId="78C6C180">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pacing w:val="15"/>
          <w:kern w:val="0"/>
          <w:sz w:val="24"/>
          <w:szCs w:val="24"/>
          <w:highlight w:val="none"/>
          <w:lang w:eastAsia="zh-CN"/>
        </w:rPr>
        <w:t>投标响应文件</w:t>
      </w:r>
      <w:r>
        <w:rPr>
          <w:rFonts w:hint="eastAsia" w:ascii="宋体" w:hAnsi="宋体" w:eastAsia="宋体" w:cs="宋体"/>
          <w:color w:val="000000"/>
          <w:spacing w:val="15"/>
          <w:kern w:val="0"/>
          <w:sz w:val="24"/>
          <w:szCs w:val="24"/>
          <w:highlight w:val="none"/>
        </w:rPr>
        <w:t>未按照采购文件规定要求签署、盖章的；</w:t>
      </w:r>
    </w:p>
    <w:p w14:paraId="72968B1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End w:id="249"/>
      <w:bookmarkEnd w:id="309"/>
      <w:bookmarkEnd w:id="310"/>
      <w:bookmarkStart w:id="311" w:name="_Toc13652"/>
      <w:bookmarkStart w:id="312" w:name="_Toc8521"/>
      <w:bookmarkStart w:id="313" w:name="_Toc11475"/>
      <w:bookmarkStart w:id="314" w:name="_Toc31939"/>
      <w:bookmarkStart w:id="315" w:name="_Toc6927"/>
      <w:bookmarkStart w:id="316" w:name="_Toc515647784"/>
      <w:bookmarkStart w:id="317" w:name="_Toc7945"/>
      <w:bookmarkStart w:id="318" w:name="_Toc22941"/>
      <w:bookmarkStart w:id="319" w:name="_Toc9378"/>
      <w:bookmarkStart w:id="320" w:name="_Toc515647785"/>
      <w:bookmarkStart w:id="321" w:name="_Toc518923090"/>
      <w:bookmarkStart w:id="322" w:name="_Toc20227"/>
      <w:bookmarkStart w:id="323" w:name="_Toc23660"/>
      <w:bookmarkStart w:id="324" w:name="_Toc31728"/>
      <w:bookmarkStart w:id="325" w:name="_Toc520356168"/>
      <w:bookmarkStart w:id="326" w:name="_Toc520356169"/>
      <w:r>
        <w:rPr>
          <w:rFonts w:hint="eastAsia" w:ascii="宋体" w:hAnsi="宋体" w:eastAsia="宋体" w:cs="宋体"/>
          <w:color w:val="000000"/>
          <w:sz w:val="24"/>
          <w:szCs w:val="24"/>
          <w:highlight w:val="none"/>
        </w:rPr>
        <w:t>投标报价超过招标文件中规定的最高限价的;</w:t>
      </w:r>
    </w:p>
    <w:p w14:paraId="3103C0C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响应文件载明的采购项目时间要求、服务期限不符合招标文件规定要求的;</w:t>
      </w:r>
    </w:p>
    <w:p w14:paraId="2E29B8F5">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(8)评标过程中拒绝澄清相关事宜和问题的;</w:t>
      </w:r>
    </w:p>
    <w:p w14:paraId="6D8D53A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(9)响应文件不真实，有欺骗行为的;</w:t>
      </w:r>
    </w:p>
    <w:p w14:paraId="05E873F1">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(10)响应文件含有采购人和采购代理机构不能接受的条件的;</w:t>
      </w:r>
    </w:p>
    <w:p w14:paraId="0662A499">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(11)响应文件未按照招标文件要求顺序编制的;</w:t>
      </w:r>
    </w:p>
    <w:p w14:paraId="5CEFED8A">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(12)不符合招标文件规定的其他实质性要求的;</w:t>
      </w:r>
    </w:p>
    <w:p w14:paraId="7F0651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(13)响应文件未关联目录;</w:t>
      </w:r>
    </w:p>
    <w:p w14:paraId="155DF80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(14)符合性审查未通过的;</w:t>
      </w:r>
    </w:p>
    <w:p w14:paraId="1827E6B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highlight w:val="none"/>
        </w:rPr>
        <w:t>(15)资格性审查不通过的。</w:t>
      </w:r>
    </w:p>
    <w:p w14:paraId="73FA6968">
      <w:pPr>
        <w:pStyle w:val="5"/>
        <w:pageBreakBefore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kern w:val="0"/>
          <w:sz w:val="24"/>
          <w:szCs w:val="24"/>
          <w:highlight w:val="none"/>
          <w:u w:val="none"/>
          <w:lang w:val="en-US" w:eastAsia="zh-CN" w:bidi="ar-SA"/>
        </w:rPr>
      </w:pPr>
      <w:bookmarkStart w:id="327" w:name="_Toc24027"/>
      <w:bookmarkStart w:id="328" w:name="_Toc7143"/>
      <w:bookmarkStart w:id="329" w:name="_Toc29982"/>
      <w:r>
        <w:rPr>
          <w:rFonts w:hint="eastAsia" w:ascii="宋体" w:hAnsi="宋体" w:eastAsia="宋体" w:cs="宋体"/>
          <w:sz w:val="24"/>
          <w:szCs w:val="24"/>
          <w:highlight w:val="none"/>
          <w:u w:val="none"/>
        </w:rPr>
        <w:t>2</w:t>
      </w: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none"/>
        </w:rPr>
        <w:t>.</w:t>
      </w:r>
      <w:bookmarkEnd w:id="311"/>
      <w:bookmarkEnd w:id="312"/>
      <w:bookmarkEnd w:id="313"/>
      <w:bookmarkEnd w:id="314"/>
      <w:bookmarkEnd w:id="315"/>
      <w:bookmarkEnd w:id="316"/>
      <w:bookmarkEnd w:id="317"/>
      <w:bookmarkEnd w:id="318"/>
      <w:bookmarkEnd w:id="327"/>
      <w:bookmarkEnd w:id="328"/>
      <w:bookmarkEnd w:id="329"/>
      <w:r>
        <w:rPr>
          <w:rFonts w:hint="eastAsia" w:ascii="宋体" w:hAnsi="宋体" w:eastAsia="宋体" w:cs="宋体"/>
          <w:b/>
          <w:kern w:val="0"/>
          <w:sz w:val="24"/>
          <w:szCs w:val="24"/>
          <w:highlight w:val="none"/>
          <w:u w:val="none"/>
          <w:lang w:val="en-US" w:eastAsia="zh-CN" w:bidi="ar-SA"/>
        </w:rPr>
        <w:t>比较与评价</w:t>
      </w:r>
    </w:p>
    <w:bookmarkEnd w:id="319"/>
    <w:bookmarkEnd w:id="320"/>
    <w:bookmarkEnd w:id="321"/>
    <w:bookmarkEnd w:id="322"/>
    <w:bookmarkEnd w:id="323"/>
    <w:bookmarkEnd w:id="324"/>
    <w:bookmarkEnd w:id="325"/>
    <w:p w14:paraId="01CB467C">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21.1经符合性审查合格的投标文件，评标委员会将根据招标文件确定的评标方法和标准，对其技术部分和商务部分作进一步的比较和评价。</w:t>
      </w:r>
    </w:p>
    <w:p w14:paraId="23064D69">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评标严格按照招标文件的要求和条件进行。根据实际情况，在投标人须知资料表中规定采用综合评分法，是指投标文件满足招标文件全部实质性要求，且按照评审因素的量化指标评审得分最高的投标人为中标候选人的评标方法。</w:t>
      </w:r>
    </w:p>
    <w:p w14:paraId="4698820B">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30" w:name="_Toc25985"/>
      <w:bookmarkStart w:id="331" w:name="_Toc15632"/>
      <w:bookmarkStart w:id="332" w:name="_Toc9087"/>
      <w:bookmarkStart w:id="333" w:name="_Toc15964"/>
      <w:bookmarkStart w:id="334" w:name="_Toc16622"/>
      <w:bookmarkStart w:id="335" w:name="_Toc22454"/>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废标</w:t>
      </w:r>
      <w:bookmarkEnd w:id="330"/>
      <w:bookmarkEnd w:id="331"/>
      <w:bookmarkEnd w:id="332"/>
      <w:bookmarkEnd w:id="333"/>
      <w:bookmarkEnd w:id="334"/>
      <w:bookmarkEnd w:id="335"/>
    </w:p>
    <w:p w14:paraId="5AE0820C">
      <w:pPr>
        <w:pageBreakBefore w:val="0"/>
        <w:tabs>
          <w:tab w:val="left" w:pos="1260"/>
        </w:tabs>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rPr>
      </w:pPr>
      <w:bookmarkStart w:id="336" w:name="_Toc19840"/>
      <w:bookmarkStart w:id="337" w:name="_Toc2899"/>
      <w:bookmarkStart w:id="338" w:name="_Toc16574"/>
      <w:bookmarkStart w:id="339" w:name="_Toc13169"/>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.1废标的概念</w:t>
      </w:r>
      <w:bookmarkEnd w:id="336"/>
      <w:bookmarkEnd w:id="337"/>
      <w:bookmarkEnd w:id="338"/>
      <w:bookmarkEnd w:id="339"/>
    </w:p>
    <w:p w14:paraId="21F6F626">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废标一般是指由于投标人所递交的所有投标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文件，经</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审查，在合格投标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文件的数量、投标报价、招标过程的公正性上不符合法律的规定，从而导致</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拒绝接受所有投标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文件。废标对所有投标人的投标行为都直接产生影响，标志着该招标项目立即终止，需要重新招标或改用其他采购方式。</w:t>
      </w:r>
    </w:p>
    <w:p w14:paraId="1709E473">
      <w:pPr>
        <w:pageBreakBefore w:val="0"/>
        <w:tabs>
          <w:tab w:val="left" w:pos="1260"/>
        </w:tabs>
        <w:kinsoku/>
        <w:wordWrap/>
        <w:overflowPunct/>
        <w:topLinePunct w:val="0"/>
        <w:bidi w:val="0"/>
        <w:snapToGrid/>
        <w:spacing w:line="420" w:lineRule="exact"/>
        <w:ind w:leftChars="0" w:firstLine="482" w:firstLineChars="200"/>
        <w:textAlignment w:val="auto"/>
        <w:outlineLvl w:val="2"/>
        <w:rPr>
          <w:rFonts w:hint="eastAsia" w:ascii="宋体" w:hAnsi="宋体" w:eastAsia="宋体" w:cs="宋体"/>
          <w:sz w:val="24"/>
          <w:szCs w:val="24"/>
        </w:rPr>
      </w:pPr>
      <w:bookmarkStart w:id="340" w:name="_Toc10615"/>
      <w:bookmarkStart w:id="341" w:name="_Toc15629"/>
      <w:bookmarkStart w:id="342" w:name="_Toc17640"/>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.2有下列情形之一的予以废标</w:t>
      </w:r>
      <w:r>
        <w:rPr>
          <w:rFonts w:hint="eastAsia" w:ascii="宋体" w:hAnsi="宋体" w:eastAsia="宋体" w:cs="宋体"/>
          <w:sz w:val="24"/>
          <w:szCs w:val="24"/>
        </w:rPr>
        <w:t>：</w:t>
      </w:r>
      <w:bookmarkEnd w:id="340"/>
      <w:bookmarkEnd w:id="341"/>
      <w:bookmarkEnd w:id="342"/>
    </w:p>
    <w:p w14:paraId="2518B4C2">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出现影响采购公正的违法、违规行为的；</w:t>
      </w:r>
    </w:p>
    <w:p w14:paraId="285B5671">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因重大变故，采购任务取消的</w:t>
      </w:r>
      <w:r>
        <w:rPr>
          <w:rFonts w:hint="eastAsia" w:ascii="宋体" w:hAnsi="宋体" w:eastAsia="宋体" w:cs="宋体"/>
          <w:sz w:val="24"/>
          <w:szCs w:val="24"/>
          <w:lang w:eastAsia="zh-CN"/>
        </w:rPr>
        <w:t>；</w:t>
      </w:r>
    </w:p>
    <w:p w14:paraId="3AA82548">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）投标人的报价超过了最高限价，且采购人不能支付的:</w:t>
      </w:r>
    </w:p>
    <w:p w14:paraId="2CCB6C33">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43" w:name="_Toc21996"/>
      <w:bookmarkStart w:id="344" w:name="_Toc29052"/>
      <w:bookmarkStart w:id="345" w:name="_Toc12421"/>
      <w:bookmarkStart w:id="346" w:name="_Toc32013"/>
      <w:bookmarkStart w:id="347" w:name="_Toc21390"/>
      <w:bookmarkStart w:id="348" w:name="_Toc5925"/>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保密原则</w:t>
      </w:r>
      <w:bookmarkEnd w:id="343"/>
      <w:bookmarkEnd w:id="344"/>
      <w:bookmarkEnd w:id="345"/>
      <w:bookmarkEnd w:id="346"/>
      <w:bookmarkEnd w:id="347"/>
      <w:bookmarkEnd w:id="348"/>
    </w:p>
    <w:p w14:paraId="6BFF8F1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49" w:name="_Toc4214"/>
      <w:bookmarkStart w:id="350" w:name="_Toc1070"/>
      <w:bookmarkStart w:id="351" w:name="_Toc10535"/>
      <w:bookmarkStart w:id="352" w:name="_Toc25900"/>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.1评标将在严格保密的情况下进行。</w:t>
      </w:r>
      <w:bookmarkEnd w:id="349"/>
      <w:bookmarkEnd w:id="350"/>
      <w:bookmarkEnd w:id="351"/>
      <w:bookmarkEnd w:id="352"/>
    </w:p>
    <w:p w14:paraId="32BB8D6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应当遵守评审工作纪律，不得泄露评审文件、评审情况和评审中获悉的商业秘密。</w:t>
      </w:r>
    </w:p>
    <w:p w14:paraId="1C961B4F">
      <w:pPr>
        <w:pageBreakBefore w:val="0"/>
        <w:kinsoku/>
        <w:overflowPunct/>
        <w:bidi w:val="0"/>
        <w:spacing w:line="420" w:lineRule="exact"/>
        <w:textAlignment w:val="auto"/>
        <w:rPr>
          <w:rFonts w:hint="eastAsia" w:ascii="宋体" w:hAnsi="宋体" w:eastAsia="宋体" w:cs="宋体"/>
          <w:sz w:val="24"/>
          <w:szCs w:val="24"/>
        </w:rPr>
      </w:pPr>
    </w:p>
    <w:p w14:paraId="3EB60D46">
      <w:pPr>
        <w:pStyle w:val="4"/>
        <w:pageBreakBefore w:val="0"/>
        <w:kinsoku/>
        <w:overflowPunct/>
        <w:bidi w:val="0"/>
        <w:spacing w:before="0" w:beforeLines="0" w:line="420" w:lineRule="exact"/>
        <w:jc w:val="center"/>
        <w:textAlignment w:val="auto"/>
        <w:outlineLvl w:val="2"/>
        <w:rPr>
          <w:rFonts w:hint="eastAsia" w:ascii="宋体" w:hAnsi="宋体" w:eastAsia="宋体" w:cs="宋体"/>
          <w:sz w:val="24"/>
          <w:szCs w:val="24"/>
        </w:rPr>
      </w:pPr>
      <w:bookmarkStart w:id="353" w:name="_Toc6351"/>
      <w:bookmarkStart w:id="354" w:name="_Toc12940"/>
      <w:bookmarkStart w:id="355" w:name="_Toc518923091"/>
      <w:bookmarkStart w:id="356" w:name="_Toc2297"/>
      <w:bookmarkStart w:id="357" w:name="_Toc12189"/>
      <w:bookmarkStart w:id="358" w:name="_Toc5526"/>
      <w:bookmarkStart w:id="359" w:name="_Toc216582810"/>
      <w:bookmarkStart w:id="360" w:name="_Toc16502"/>
      <w:bookmarkStart w:id="361" w:name="_Toc6707"/>
      <w:bookmarkStart w:id="362" w:name="_Toc10964"/>
      <w:r>
        <w:rPr>
          <w:rFonts w:hint="eastAsia" w:ascii="宋体" w:hAnsi="宋体" w:eastAsia="宋体" w:cs="宋体"/>
          <w:sz w:val="24"/>
          <w:szCs w:val="24"/>
        </w:rPr>
        <w:t>六</w:t>
      </w:r>
      <w:bookmarkEnd w:id="326"/>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w:t>
      </w:r>
      <w:bookmarkEnd w:id="353"/>
      <w:bookmarkEnd w:id="354"/>
      <w:bookmarkEnd w:id="355"/>
      <w:bookmarkEnd w:id="356"/>
      <w:bookmarkEnd w:id="357"/>
      <w:bookmarkEnd w:id="358"/>
      <w:bookmarkEnd w:id="359"/>
      <w:bookmarkEnd w:id="360"/>
      <w:bookmarkEnd w:id="361"/>
      <w:bookmarkEnd w:id="362"/>
      <w:r>
        <w:rPr>
          <w:rFonts w:hint="eastAsia" w:ascii="宋体" w:hAnsi="宋体" w:eastAsia="宋体" w:cs="宋体"/>
          <w:sz w:val="24"/>
          <w:szCs w:val="24"/>
          <w:lang w:val="en-US" w:eastAsia="zh-CN"/>
        </w:rPr>
        <w:t>中标</w:t>
      </w:r>
    </w:p>
    <w:p w14:paraId="28A9F26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outlineLvl w:val="2"/>
        <w:rPr>
          <w:rFonts w:hint="eastAsia" w:ascii="宋体" w:hAnsi="宋体" w:eastAsia="宋体" w:cs="宋体"/>
          <w:b/>
          <w:kern w:val="0"/>
          <w:sz w:val="24"/>
          <w:szCs w:val="24"/>
          <w:u w:val="none"/>
          <w:lang w:val="en-US" w:eastAsia="zh-CN" w:bidi="ar-SA"/>
        </w:rPr>
      </w:pPr>
      <w:bookmarkStart w:id="363" w:name="_Toc515647788"/>
      <w:bookmarkStart w:id="364" w:name="_Ref467307010"/>
      <w:bookmarkStart w:id="365" w:name="_Toc23762"/>
      <w:bookmarkStart w:id="366" w:name="_Toc21001"/>
      <w:bookmarkStart w:id="367" w:name="_Toc16325"/>
      <w:bookmarkStart w:id="368" w:name="_Toc12157"/>
      <w:bookmarkStart w:id="369" w:name="_Toc520356170"/>
      <w:bookmarkStart w:id="370" w:name="_Toc23617"/>
      <w:bookmarkStart w:id="371" w:name="_Toc24933"/>
      <w:bookmarkStart w:id="372" w:name="_Toc12505"/>
      <w:bookmarkStart w:id="373" w:name="_Toc28066"/>
      <w:bookmarkStart w:id="374" w:name="_Toc8389"/>
      <w:bookmarkStart w:id="375" w:name="_Toc14869"/>
      <w:bookmarkStart w:id="376" w:name="_Toc28562"/>
      <w:bookmarkStart w:id="377" w:name="_Toc520356173"/>
      <w:bookmarkStart w:id="378" w:name="_Toc13782"/>
      <w:bookmarkStart w:id="379" w:name="_Toc515647790"/>
      <w:bookmarkStart w:id="380" w:name="_Ref467306874"/>
      <w:bookmarkStart w:id="381" w:name="_Toc4475"/>
      <w:bookmarkStart w:id="382" w:name="_Toc30785"/>
      <w:bookmarkStart w:id="383" w:name="_Toc518923098"/>
      <w:bookmarkStart w:id="384" w:name="_Toc8476"/>
      <w:bookmarkStart w:id="385" w:name="_Toc2694"/>
      <w:bookmarkStart w:id="386" w:name="_Toc6702"/>
      <w:bookmarkStart w:id="387" w:name="_Toc4452"/>
      <w:bookmarkStart w:id="388" w:name="_Toc31145"/>
      <w:r>
        <w:rPr>
          <w:rFonts w:hint="eastAsia" w:ascii="宋体" w:hAnsi="宋体" w:eastAsia="宋体" w:cs="宋体"/>
          <w:b/>
          <w:kern w:val="0"/>
          <w:sz w:val="24"/>
          <w:szCs w:val="24"/>
          <w:u w:val="none"/>
          <w:lang w:val="en-US" w:eastAsia="zh-CN" w:bidi="ar-SA"/>
        </w:rPr>
        <w:t>24.</w:t>
      </w:r>
      <w:bookmarkEnd w:id="363"/>
      <w:bookmarkEnd w:id="364"/>
      <w:bookmarkEnd w:id="365"/>
      <w:bookmarkEnd w:id="366"/>
      <w:bookmarkEnd w:id="367"/>
      <w:bookmarkEnd w:id="368"/>
      <w:bookmarkEnd w:id="369"/>
      <w:bookmarkEnd w:id="370"/>
      <w:bookmarkEnd w:id="371"/>
      <w:bookmarkEnd w:id="372"/>
      <w:bookmarkEnd w:id="373"/>
      <w:r>
        <w:rPr>
          <w:rFonts w:hint="eastAsia" w:ascii="宋体" w:hAnsi="宋体" w:eastAsia="宋体" w:cs="宋体"/>
          <w:b/>
          <w:kern w:val="0"/>
          <w:sz w:val="24"/>
          <w:szCs w:val="24"/>
          <w:u w:val="none"/>
          <w:lang w:val="en-US" w:eastAsia="zh-CN" w:bidi="ar-SA"/>
        </w:rPr>
        <w:t>中标候选人的确定原则及标准</w:t>
      </w:r>
    </w:p>
    <w:p w14:paraId="6BA93DA2">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89" w:name="_Toc14273"/>
      <w:bookmarkStart w:id="390" w:name="_Toc515647789"/>
      <w:bookmarkStart w:id="391" w:name="_Toc15478"/>
      <w:bookmarkStart w:id="392" w:name="_Toc23951"/>
      <w:bookmarkStart w:id="393" w:name="_Toc10394"/>
      <w:bookmarkStart w:id="394" w:name="_Toc12936"/>
      <w:bookmarkStart w:id="395" w:name="_Toc32675"/>
      <w:bookmarkStart w:id="396" w:name="_Toc9653"/>
      <w:bookmarkStart w:id="397" w:name="_Toc14238"/>
      <w:bookmarkStart w:id="398" w:name="_Toc19950"/>
      <w:r>
        <w:rPr>
          <w:rFonts w:hint="eastAsia" w:ascii="宋体" w:hAnsi="宋体" w:eastAsia="宋体" w:cs="宋体"/>
          <w:sz w:val="24"/>
          <w:szCs w:val="24"/>
        </w:rPr>
        <w:t>24.1根据投标人综合得分，按照从高到低的顺序，推荐中标候选人，并编写评审报告。</w:t>
      </w:r>
    </w:p>
    <w:p w14:paraId="744F0F7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24.2.确定中标候选人和中标人</w:t>
      </w:r>
    </w:p>
    <w:p w14:paraId="36CBBFA4">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采购代理机构在评标结束后2个工作日将评标报告提交采购人审核，采购人根据评标报告确定的中标候选人名单，出具《采购结果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2E8E633C">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(2)采购人或者采购代理机构自中标人确定之日起2个工作日内，在《新疆政府采购网》http://www.ccgp-xinjiang.gov.cn/上公告中标结果。中标公告期限为1个工作日。</w:t>
      </w:r>
    </w:p>
    <w:p w14:paraId="1AE873E7">
      <w:pPr>
        <w:pStyle w:val="5"/>
        <w:pageBreakBefore w:val="0"/>
        <w:widowControl w:val="0"/>
        <w:numPr>
          <w:ilvl w:val="0"/>
          <w:numId w:val="0"/>
        </w:numPr>
        <w:tabs>
          <w:tab w:val="left" w:pos="900"/>
        </w:tabs>
        <w:kinsoku/>
        <w:wordWrap/>
        <w:overflowPunct/>
        <w:topLinePunct w:val="0"/>
        <w:bidi w:val="0"/>
        <w:snapToGrid/>
        <w:spacing w:before="0" w:after="0" w:line="420" w:lineRule="exact"/>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25.</w:t>
      </w:r>
      <w:bookmarkEnd w:id="389"/>
      <w:bookmarkEnd w:id="390"/>
      <w:bookmarkEnd w:id="391"/>
      <w:bookmarkEnd w:id="392"/>
      <w:bookmarkEnd w:id="393"/>
      <w:bookmarkEnd w:id="394"/>
      <w:bookmarkEnd w:id="395"/>
      <w:bookmarkEnd w:id="396"/>
      <w:bookmarkEnd w:id="397"/>
      <w:bookmarkEnd w:id="398"/>
      <w:r>
        <w:rPr>
          <w:rFonts w:hint="eastAsia" w:ascii="宋体" w:hAnsi="宋体" w:eastAsia="宋体" w:cs="宋体"/>
          <w:sz w:val="24"/>
          <w:szCs w:val="24"/>
          <w:u w:val="none"/>
          <w:lang w:val="en-US" w:eastAsia="zh-CN"/>
        </w:rPr>
        <w:t>采购任务取消</w:t>
      </w:r>
    </w:p>
    <w:p w14:paraId="33CD94B5">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因重大变故采购任务取消时，采购人有权拒绝任何投标人中标，且对受影响的投标人不承担任何责任。</w:t>
      </w:r>
    </w:p>
    <w:bookmarkEnd w:id="374"/>
    <w:bookmarkEnd w:id="375"/>
    <w:bookmarkEnd w:id="376"/>
    <w:bookmarkEnd w:id="377"/>
    <w:bookmarkEnd w:id="378"/>
    <w:bookmarkEnd w:id="379"/>
    <w:bookmarkEnd w:id="380"/>
    <w:bookmarkEnd w:id="381"/>
    <w:bookmarkEnd w:id="382"/>
    <w:p w14:paraId="36710421">
      <w:pPr>
        <w:pStyle w:val="5"/>
        <w:pageBreakBefore w:val="0"/>
        <w:widowControl w:val="0"/>
        <w:tabs>
          <w:tab w:val="left" w:pos="900"/>
        </w:tabs>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color w:val="auto"/>
          <w:sz w:val="24"/>
          <w:szCs w:val="24"/>
          <w:u w:val="none"/>
        </w:rPr>
      </w:pPr>
      <w:bookmarkStart w:id="399" w:name="_Toc15301"/>
      <w:bookmarkStart w:id="400" w:name="_Toc30069"/>
      <w:bookmarkStart w:id="401" w:name="_Toc14106"/>
      <w:bookmarkStart w:id="402" w:name="_Toc28758"/>
      <w:bookmarkStart w:id="403" w:name="_Toc8936"/>
      <w:bookmarkStart w:id="404" w:name="_Toc243"/>
      <w:bookmarkStart w:id="405" w:name="_Toc515647793"/>
      <w:bookmarkStart w:id="406" w:name="_Ref467307090"/>
      <w:bookmarkStart w:id="407" w:name="_Toc7188"/>
      <w:bookmarkStart w:id="408" w:name="_Toc22555"/>
      <w:bookmarkStart w:id="409" w:name="_Toc520356176"/>
      <w:bookmarkStart w:id="410" w:name="_Toc19502"/>
      <w:bookmarkStart w:id="411" w:name="_Toc14080"/>
      <w:bookmarkStart w:id="412" w:name="_Toc30627"/>
      <w:bookmarkStart w:id="413" w:name="_Toc9641"/>
      <w:bookmarkStart w:id="414" w:name="_Ref467306425"/>
      <w:r>
        <w:rPr>
          <w:rFonts w:hint="eastAsia" w:ascii="宋体" w:hAnsi="宋体" w:eastAsia="宋体" w:cs="宋体"/>
          <w:color w:val="auto"/>
          <w:sz w:val="24"/>
          <w:szCs w:val="24"/>
          <w:u w:val="none"/>
        </w:rPr>
        <w:t>2</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w:t>
      </w:r>
      <w:bookmarkEnd w:id="399"/>
      <w:bookmarkEnd w:id="400"/>
      <w:bookmarkEnd w:id="401"/>
      <w:bookmarkEnd w:id="402"/>
      <w:bookmarkEnd w:id="403"/>
      <w:bookmarkEnd w:id="404"/>
      <w:r>
        <w:rPr>
          <w:rFonts w:hint="eastAsia" w:ascii="宋体" w:hAnsi="宋体" w:eastAsia="宋体" w:cs="宋体"/>
          <w:color w:val="auto"/>
          <w:sz w:val="24"/>
          <w:szCs w:val="24"/>
          <w:u w:val="none"/>
        </w:rPr>
        <w:t>中标通知书和招标结果通知书</w:t>
      </w:r>
    </w:p>
    <w:p w14:paraId="11EF01EA">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bookmarkStart w:id="415" w:name="_Toc520356174"/>
      <w:bookmarkStart w:id="416" w:name="_Toc31142"/>
      <w:bookmarkStart w:id="417" w:name="_Toc28052"/>
      <w:bookmarkStart w:id="418" w:name="_Toc12640"/>
      <w:bookmarkStart w:id="419" w:name="_Toc7224"/>
      <w:bookmarkStart w:id="420" w:name="_Toc20199"/>
      <w:bookmarkStart w:id="421" w:name="_Toc515647791"/>
      <w:bookmarkStart w:id="422" w:name="_Toc31099"/>
      <w:bookmarkStart w:id="423" w:name="_Toc3114"/>
      <w:bookmarkStart w:id="424" w:name="_Toc30170"/>
      <w:r>
        <w:rPr>
          <w:rFonts w:hint="eastAsia" w:ascii="宋体" w:hAnsi="宋体" w:eastAsia="宋体" w:cs="宋体"/>
          <w:b w:val="0"/>
          <w:bCs w:val="0"/>
          <w:color w:val="auto"/>
          <w:kern w:val="0"/>
          <w:sz w:val="24"/>
          <w:szCs w:val="24"/>
          <w:highlight w:val="none"/>
          <w:u w:val="none"/>
          <w:lang w:val="en-US" w:eastAsia="zh-CN" w:bidi="ar-SA"/>
        </w:rPr>
        <w:t>(1)招标结束后，采购代理机构将以书面形式发出《中标(成交)通知书》，《中标(成交)通知书》发出后因质疑或投诉引起的中标结果变更，发出的《中标(成交)通知书》将自动作废。</w:t>
      </w:r>
    </w:p>
    <w:p w14:paraId="37F8AC72">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(2)《中标(成交)通知书》将作为签订合同的依据，一经发出即发生法律效力。</w:t>
      </w:r>
    </w:p>
    <w:p w14:paraId="1AC2A38F">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2"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4"/>
          <w:szCs w:val="24"/>
          <w:u w:val="none"/>
          <w:lang w:eastAsia="zh-CN"/>
        </w:rPr>
        <w:t>签订合同</w:t>
      </w:r>
    </w:p>
    <w:p w14:paraId="5155C39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.1中标人应当自发出中标通知书之日起 30 日内，与采购人签订合同。</w:t>
      </w:r>
    </w:p>
    <w:p w14:paraId="4889F0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27.2招标文件、中标人的投标文件及其澄清文件等，均为签订合同的依据。</w:t>
      </w:r>
    </w:p>
    <w:p w14:paraId="4B7A147A">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 中标人拒绝与采购人签订合同的，采购人可以按照评审报告推荐的中标候选人名单排序，确定下一中标候选人为中标人，也可以重新开展政府采购活动。</w:t>
      </w:r>
    </w:p>
    <w:p w14:paraId="168B84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27.4当出现法规规定的中标无效或中标结果无效情形时，采购人可与排名下一位的中标候选人另行签订合同，或依法重新开展采购活动。</w:t>
      </w:r>
    </w:p>
    <w:p w14:paraId="4C5E16D8">
      <w:pPr>
        <w:pageBreakBefore w:val="0"/>
        <w:widowControl w:val="0"/>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u w:val="none"/>
        </w:rPr>
      </w:pPr>
      <w:bookmarkStart w:id="425" w:name="_Toc4921"/>
      <w:bookmarkStart w:id="426" w:name="_Toc5933"/>
      <w:bookmarkStart w:id="427" w:name="_Toc19450"/>
      <w:r>
        <w:rPr>
          <w:rFonts w:hint="eastAsia" w:ascii="宋体" w:hAnsi="宋体" w:eastAsia="宋体" w:cs="宋体"/>
          <w:b/>
          <w:bCs/>
          <w:sz w:val="24"/>
          <w:szCs w:val="24"/>
          <w:u w:val="none"/>
          <w:lang w:val="en-US" w:eastAsia="zh-CN"/>
        </w:rPr>
        <w:t>28</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履约保证金</w:t>
      </w:r>
      <w:bookmarkEnd w:id="405"/>
      <w:bookmarkEnd w:id="406"/>
      <w:bookmarkEnd w:id="407"/>
      <w:bookmarkEnd w:id="408"/>
      <w:bookmarkEnd w:id="409"/>
      <w:bookmarkEnd w:id="410"/>
      <w:bookmarkEnd w:id="411"/>
      <w:bookmarkEnd w:id="412"/>
      <w:bookmarkEnd w:id="413"/>
      <w:bookmarkEnd w:id="414"/>
      <w:bookmarkEnd w:id="425"/>
      <w:bookmarkEnd w:id="426"/>
      <w:bookmarkEnd w:id="427"/>
    </w:p>
    <w:p w14:paraId="3671E82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中标人应按照投标人须知资料表规定向采购人缴纳履约保证金。</w:t>
      </w:r>
    </w:p>
    <w:p w14:paraId="5F9CCC0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28.2如果中标人没有按照上述履约保证金的规定执行，将视为放弃中标资格。在此情况下，采购人可确定下一候选人为中标人，也可以重新开展采购活动。</w:t>
      </w:r>
    </w:p>
    <w:p w14:paraId="75192162">
      <w:pPr>
        <w:pStyle w:val="5"/>
        <w:pageBreakBefore w:val="0"/>
        <w:widowControl w:val="0"/>
        <w:kinsoku/>
        <w:wordWrap/>
        <w:overflowPunct/>
        <w:topLinePunct w:val="0"/>
        <w:bidi w:val="0"/>
        <w:snapToGrid/>
        <w:spacing w:before="0" w:beforeLines="0" w:after="0" w:afterLines="0" w:line="420" w:lineRule="exact"/>
        <w:ind w:leftChars="0" w:firstLine="482" w:firstLineChars="200"/>
        <w:textAlignment w:val="auto"/>
        <w:outlineLvl w:val="2"/>
        <w:rPr>
          <w:rFonts w:hint="eastAsia" w:ascii="宋体" w:hAnsi="宋体" w:eastAsia="宋体" w:cs="宋体"/>
          <w:color w:val="000000"/>
          <w:sz w:val="24"/>
          <w:szCs w:val="24"/>
          <w:u w:val="none"/>
        </w:rPr>
      </w:pPr>
      <w:bookmarkStart w:id="428" w:name="_Toc12286"/>
      <w:bookmarkStart w:id="429" w:name="_Toc29413"/>
      <w:bookmarkStart w:id="430" w:name="_Toc17973"/>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代理</w:t>
      </w:r>
      <w:r>
        <w:rPr>
          <w:rFonts w:hint="eastAsia" w:ascii="宋体" w:hAnsi="宋体" w:eastAsia="宋体" w:cs="宋体"/>
          <w:sz w:val="24"/>
          <w:szCs w:val="24"/>
          <w:u w:val="none"/>
        </w:rPr>
        <w:t>服务费</w:t>
      </w:r>
      <w:bookmarkEnd w:id="383"/>
      <w:bookmarkEnd w:id="384"/>
      <w:bookmarkEnd w:id="385"/>
      <w:bookmarkEnd w:id="386"/>
      <w:bookmarkEnd w:id="387"/>
      <w:bookmarkEnd w:id="388"/>
      <w:bookmarkEnd w:id="428"/>
      <w:bookmarkEnd w:id="429"/>
      <w:bookmarkEnd w:id="430"/>
    </w:p>
    <w:p w14:paraId="787D1D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color w:val="auto"/>
          <w:sz w:val="24"/>
          <w:szCs w:val="24"/>
          <w:highlight w:val="none"/>
          <w:u w:val="none"/>
          <w:lang w:val="en-US" w:eastAsia="zh-CN"/>
        </w:rPr>
      </w:pPr>
      <w:bookmarkStart w:id="431" w:name="_Toc4684"/>
      <w:bookmarkStart w:id="432" w:name="_Toc24540"/>
      <w:bookmarkStart w:id="433" w:name="_Toc11877"/>
      <w:bookmarkStart w:id="434" w:name="_Toc13911"/>
      <w:bookmarkStart w:id="435" w:name="_Toc14432"/>
      <w:bookmarkStart w:id="436" w:name="_Toc31158"/>
      <w:bookmarkStart w:id="437" w:name="_Toc4701"/>
      <w:bookmarkStart w:id="438" w:name="_Toc518923100"/>
      <w:bookmarkStart w:id="439" w:name="_Toc13730"/>
      <w:r>
        <w:rPr>
          <w:rFonts w:hint="eastAsia" w:ascii="宋体" w:hAnsi="宋体" w:eastAsia="宋体" w:cs="宋体"/>
          <w:b/>
          <w:bCs w:val="0"/>
          <w:color w:val="auto"/>
          <w:sz w:val="24"/>
          <w:szCs w:val="24"/>
          <w:highlight w:val="none"/>
          <w:u w:val="none"/>
          <w:lang w:val="en-US" w:eastAsia="zh-CN"/>
        </w:rPr>
        <w:t>本项目不收取招标代理费。</w:t>
      </w:r>
    </w:p>
    <w:p w14:paraId="203ED04D">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.廉洁自律规定</w:t>
      </w:r>
      <w:bookmarkEnd w:id="431"/>
      <w:bookmarkEnd w:id="432"/>
      <w:bookmarkEnd w:id="433"/>
      <w:bookmarkEnd w:id="434"/>
      <w:bookmarkEnd w:id="435"/>
      <w:bookmarkEnd w:id="436"/>
      <w:bookmarkEnd w:id="437"/>
      <w:bookmarkEnd w:id="438"/>
      <w:bookmarkEnd w:id="439"/>
    </w:p>
    <w:p w14:paraId="6F2813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.1采购代理机构工作人员不得以不正当手段获取政府采购代理业务，不得与采购人、供应商恶意串通操纵政府采购活动。</w:t>
      </w:r>
    </w:p>
    <w:p w14:paraId="157F26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5D1D1812">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bookmarkStart w:id="440" w:name="_Toc26114"/>
      <w:bookmarkStart w:id="441" w:name="_Toc2264"/>
      <w:bookmarkStart w:id="442" w:name="_Toc21259"/>
      <w:bookmarkStart w:id="443" w:name="_Toc5148"/>
      <w:bookmarkStart w:id="444" w:name="_Toc21055"/>
      <w:bookmarkStart w:id="445" w:name="_Toc27199"/>
      <w:bookmarkStart w:id="446" w:name="_Toc667"/>
      <w:bookmarkStart w:id="447" w:name="_Toc26317"/>
      <w:bookmarkStart w:id="448" w:name="_Toc518923101"/>
      <w:r>
        <w:rPr>
          <w:rFonts w:hint="eastAsia" w:ascii="宋体" w:hAnsi="宋体" w:eastAsia="宋体" w:cs="宋体"/>
          <w:sz w:val="24"/>
          <w:szCs w:val="24"/>
          <w:u w:val="none"/>
          <w:lang w:val="en-US" w:eastAsia="zh-CN"/>
        </w:rPr>
        <w:t>31</w:t>
      </w:r>
      <w:r>
        <w:rPr>
          <w:rFonts w:hint="eastAsia" w:ascii="宋体" w:hAnsi="宋体" w:eastAsia="宋体" w:cs="宋体"/>
          <w:sz w:val="24"/>
          <w:szCs w:val="24"/>
          <w:u w:val="none"/>
        </w:rPr>
        <w:t>.人员回避</w:t>
      </w:r>
      <w:bookmarkEnd w:id="440"/>
      <w:bookmarkEnd w:id="441"/>
      <w:bookmarkEnd w:id="442"/>
      <w:bookmarkEnd w:id="443"/>
      <w:bookmarkEnd w:id="444"/>
      <w:bookmarkEnd w:id="445"/>
      <w:bookmarkEnd w:id="446"/>
      <w:bookmarkEnd w:id="447"/>
      <w:bookmarkEnd w:id="448"/>
    </w:p>
    <w:p w14:paraId="59E7648B">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投标人认为采购人员及其相关人员有法律法规所列与其他供应商有利害关系的，可以向采购人或采购代理机构书面提出回避申请，并说明理由。</w:t>
      </w:r>
      <w:bookmarkStart w:id="449" w:name="_Toc24931"/>
      <w:bookmarkStart w:id="450" w:name="_Toc518923102"/>
    </w:p>
    <w:p w14:paraId="5250FCFE">
      <w:pPr>
        <w:pageBreakBefore w:val="0"/>
        <w:widowControl w:val="0"/>
        <w:numPr>
          <w:ilvl w:val="0"/>
          <w:numId w:val="0"/>
        </w:numPr>
        <w:kinsoku/>
        <w:wordWrap/>
        <w:overflowPunct/>
        <w:topLinePunct w:val="0"/>
        <w:bidi w:val="0"/>
        <w:spacing w:line="420" w:lineRule="exact"/>
        <w:ind w:firstLine="482" w:firstLineChars="200"/>
        <w:textAlignment w:val="auto"/>
        <w:outlineLvl w:val="2"/>
        <w:rPr>
          <w:rFonts w:hint="eastAsia" w:ascii="宋体" w:hAnsi="宋体" w:eastAsia="宋体" w:cs="宋体"/>
          <w:b/>
          <w:kern w:val="0"/>
          <w:sz w:val="24"/>
          <w:szCs w:val="24"/>
          <w:u w:val="none"/>
          <w:lang w:val="en-US" w:eastAsia="zh-CN" w:bidi="ar-SA"/>
        </w:rPr>
      </w:pPr>
      <w:bookmarkStart w:id="451" w:name="_Toc12147"/>
      <w:bookmarkStart w:id="452" w:name="_Toc6760"/>
      <w:bookmarkStart w:id="453" w:name="_Toc19591"/>
      <w:bookmarkStart w:id="454" w:name="_Toc23893"/>
      <w:bookmarkStart w:id="455" w:name="_Toc5482"/>
      <w:bookmarkStart w:id="456" w:name="_Toc15574"/>
      <w:bookmarkStart w:id="457" w:name="_Toc21981"/>
      <w:r>
        <w:rPr>
          <w:rFonts w:hint="eastAsia" w:ascii="宋体" w:hAnsi="宋体" w:eastAsia="宋体" w:cs="宋体"/>
          <w:b/>
          <w:kern w:val="0"/>
          <w:sz w:val="24"/>
          <w:szCs w:val="24"/>
          <w:u w:val="none"/>
          <w:lang w:val="en-US" w:eastAsia="zh-CN" w:bidi="ar-SA"/>
        </w:rPr>
        <w:t>32.质疑与接收</w:t>
      </w:r>
      <w:bookmarkEnd w:id="449"/>
      <w:bookmarkEnd w:id="450"/>
      <w:bookmarkEnd w:id="451"/>
      <w:bookmarkEnd w:id="452"/>
      <w:bookmarkEnd w:id="453"/>
      <w:bookmarkEnd w:id="454"/>
      <w:bookmarkEnd w:id="455"/>
      <w:bookmarkEnd w:id="456"/>
      <w:bookmarkEnd w:id="457"/>
    </w:p>
    <w:p w14:paraId="6974AF34">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1投标人认为招标文件、招标过程和中标结果使自己的权益受到损害的，当在知道或者应知其权益受到损害之日起七个工作日内根据《中华人民共和国政府采购法》、《中华人民共和国政府采购法实施条例》和《政府采购质疑和投诉办法》的有关规定，依法向采购人或其委托的采购代理机构一次性以书面形式提出质疑。</w:t>
      </w:r>
    </w:p>
    <w:p w14:paraId="134D62D3">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16FC294A">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32.3</w:t>
      </w:r>
      <w:r>
        <w:rPr>
          <w:rFonts w:hint="eastAsia" w:ascii="宋体" w:hAnsi="宋体" w:eastAsia="宋体" w:cs="宋体"/>
          <w:bCs/>
          <w:color w:val="000000"/>
          <w:sz w:val="24"/>
          <w:szCs w:val="24"/>
        </w:rPr>
        <w:t>供应商提出质疑应当提交质疑函和必要的证明材料。质疑函应当包括下列内容：</w:t>
      </w:r>
    </w:p>
    <w:p w14:paraId="677C996A">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（一）供应商的姓名或者名称、地址、邮编、联系人及联系电话；</w:t>
      </w:r>
    </w:p>
    <w:p w14:paraId="4C679FEE">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（二）质疑项目的名称、编号；</w:t>
      </w:r>
    </w:p>
    <w:p w14:paraId="19012AB3">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（三）具体、明确的质疑事项和与质疑事项相关的请求；</w:t>
      </w:r>
    </w:p>
    <w:p w14:paraId="5B499627">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（四）事实依据；</w:t>
      </w:r>
    </w:p>
    <w:p w14:paraId="772E806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（五）必要的法律依据；</w:t>
      </w:r>
    </w:p>
    <w:p w14:paraId="2653A73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（六）提出质疑的日期。</w:t>
      </w:r>
    </w:p>
    <w:p w14:paraId="1C1B9EB0">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rPr>
        <w:t>质疑供应商为自然人的，质疑函应由本人签字</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并附自然人身份证正反面</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；质疑供应商为法人或者其他组织的，质疑函应由法定代表人、主要负责人</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自然人，</w:t>
      </w:r>
      <w:r>
        <w:rPr>
          <w:rFonts w:hint="eastAsia" w:ascii="宋体" w:hAnsi="宋体" w:eastAsia="宋体" w:cs="宋体"/>
          <w:bCs/>
          <w:color w:val="000000"/>
          <w:sz w:val="24"/>
          <w:szCs w:val="24"/>
        </w:rPr>
        <w:t>或者其授权代表签字或者</w:t>
      </w:r>
      <w:r>
        <w:rPr>
          <w:rFonts w:hint="eastAsia" w:ascii="宋体" w:hAnsi="宋体" w:eastAsia="宋体" w:cs="宋体"/>
          <w:bCs/>
          <w:color w:val="000000"/>
          <w:sz w:val="24"/>
          <w:szCs w:val="24"/>
          <w:lang w:val="en-US" w:eastAsia="zh-CN"/>
        </w:rPr>
        <w:t>签章</w:t>
      </w:r>
      <w:r>
        <w:rPr>
          <w:rFonts w:hint="eastAsia" w:ascii="宋体" w:hAnsi="宋体" w:eastAsia="宋体" w:cs="宋体"/>
          <w:bCs/>
          <w:color w:val="000000"/>
          <w:sz w:val="24"/>
          <w:szCs w:val="24"/>
        </w:rPr>
        <w:t>，并加盖公章</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另附法人（或主要负责人）身份证正反面和其授权代表身份证正反面及营业执照</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p>
    <w:p w14:paraId="349FDD38">
      <w:pPr>
        <w:pageBreakBefore w:val="0"/>
        <w:widowControl w:val="0"/>
        <w:kinsoku/>
        <w:wordWrap/>
        <w:overflowPunct/>
        <w:topLinePunct w:val="0"/>
        <w:bidi w:val="0"/>
        <w:snapToGrid w:val="0"/>
        <w:spacing w:line="420" w:lineRule="exact"/>
        <w:ind w:leftChars="0" w:firstLine="482" w:firstLineChars="200"/>
        <w:textAlignment w:val="auto"/>
        <w:outlineLvl w:val="2"/>
        <w:rPr>
          <w:rFonts w:hint="eastAsia" w:ascii="宋体" w:hAnsi="宋体" w:eastAsia="宋体" w:cs="宋体"/>
          <w:b/>
          <w:color w:val="000000"/>
          <w:sz w:val="24"/>
          <w:szCs w:val="24"/>
        </w:rPr>
      </w:pPr>
      <w:bookmarkStart w:id="458" w:name="_Toc788"/>
      <w:bookmarkStart w:id="459" w:name="_Toc22710"/>
      <w:bookmarkStart w:id="460" w:name="_Toc17780"/>
      <w:bookmarkStart w:id="461" w:name="_Toc23523"/>
      <w:bookmarkStart w:id="462" w:name="_Toc27195"/>
      <w:bookmarkStart w:id="463" w:name="_Toc28804"/>
      <w:bookmarkStart w:id="464" w:name="_Toc14998"/>
      <w:r>
        <w:rPr>
          <w:rFonts w:hint="eastAsia" w:ascii="宋体" w:hAnsi="宋体" w:eastAsia="宋体" w:cs="宋体"/>
          <w:b/>
          <w:color w:val="000000"/>
          <w:sz w:val="24"/>
          <w:szCs w:val="24"/>
          <w:lang w:val="en-US" w:eastAsia="zh-CN"/>
        </w:rPr>
        <w:t>33.</w:t>
      </w:r>
      <w:r>
        <w:rPr>
          <w:rFonts w:hint="eastAsia" w:ascii="宋体" w:hAnsi="宋体" w:eastAsia="宋体" w:cs="宋体"/>
          <w:b/>
          <w:color w:val="000000"/>
          <w:sz w:val="24"/>
          <w:szCs w:val="24"/>
        </w:rPr>
        <w:t>质疑答复</w:t>
      </w:r>
      <w:bookmarkEnd w:id="458"/>
      <w:bookmarkEnd w:id="459"/>
      <w:bookmarkEnd w:id="460"/>
      <w:bookmarkEnd w:id="461"/>
      <w:bookmarkEnd w:id="462"/>
      <w:bookmarkEnd w:id="463"/>
      <w:bookmarkEnd w:id="464"/>
    </w:p>
    <w:p w14:paraId="6D46B87E">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33</w:t>
      </w:r>
      <w:r>
        <w:rPr>
          <w:rFonts w:hint="eastAsia" w:ascii="宋体" w:hAnsi="宋体" w:eastAsia="宋体" w:cs="宋体"/>
          <w:bCs/>
          <w:color w:val="000000"/>
          <w:sz w:val="24"/>
          <w:szCs w:val="24"/>
        </w:rPr>
        <w:t>.1采购人或采购代理机构应当在收到质疑函后7个工作日内作出答复，并以书面形式通知质疑供应商。</w:t>
      </w:r>
    </w:p>
    <w:p w14:paraId="1A7CB15B">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33.2对招标组织程序、招标过程有质疑的由采购代理机构负责答复，对采购需求、评标结果有质疑的由采购人负责答复。</w:t>
      </w:r>
    </w:p>
    <w:p w14:paraId="343D87B1">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33.3投标人对采购人或招标方未在规定时间内作出答复的或者对质疑答复不满意，可以在答复期满后十五个工作日内向同级采购监管部门投诉。</w:t>
      </w:r>
    </w:p>
    <w:p w14:paraId="5C3930C9">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33.4质疑、投诉应当采用书面形式，质疑书、投诉书均应明确招标过程或中标结果中使自己合法权益受到损害的实质性内容，提供相关事实、依据和证据及其来源或线索，便于有关单位调查、答复和处理。</w:t>
      </w:r>
    </w:p>
    <w:p w14:paraId="6D26081E">
      <w:pPr>
        <w:keepNext w:val="0"/>
        <w:keepLines w:val="0"/>
        <w:pageBreakBefore w:val="0"/>
        <w:widowControl w:val="0"/>
        <w:kinsoku/>
        <w:wordWrap w:val="0"/>
        <w:overflowPunct/>
        <w:topLinePunct/>
        <w:autoSpaceDE/>
        <w:autoSpaceDN/>
        <w:bidi w:val="0"/>
        <w:adjustRightInd/>
        <w:snapToGrid/>
        <w:spacing w:beforeAutospacing="0" w:afterAutospacing="0" w:line="420" w:lineRule="exact"/>
        <w:ind w:left="0" w:leftChars="0" w:right="0" w:rightChars="0" w:firstLine="482" w:firstLineChars="200"/>
        <w:jc w:val="left"/>
        <w:textAlignment w:val="auto"/>
        <w:outlineLvl w:val="2"/>
        <w:rPr>
          <w:rFonts w:hint="eastAsia" w:ascii="宋体" w:hAnsi="宋体" w:eastAsia="宋体" w:cs="宋体"/>
          <w:b/>
          <w:bCs w:val="0"/>
          <w:sz w:val="24"/>
          <w:szCs w:val="24"/>
          <w:lang w:val="en-US" w:eastAsia="zh-CN"/>
        </w:rPr>
      </w:pPr>
      <w:bookmarkStart w:id="465" w:name="_Toc2600"/>
      <w:bookmarkStart w:id="466" w:name="_Toc14854"/>
      <w:bookmarkStart w:id="467" w:name="_Toc11712"/>
      <w:r>
        <w:rPr>
          <w:rFonts w:hint="eastAsia" w:ascii="宋体" w:hAnsi="宋体" w:eastAsia="宋体" w:cs="宋体"/>
          <w:b/>
          <w:bCs w:val="0"/>
          <w:sz w:val="24"/>
          <w:szCs w:val="24"/>
          <w:lang w:val="en-US" w:eastAsia="zh-CN"/>
        </w:rPr>
        <w:t>34.组织验收</w:t>
      </w:r>
      <w:bookmarkEnd w:id="465"/>
      <w:bookmarkEnd w:id="466"/>
      <w:bookmarkEnd w:id="467"/>
    </w:p>
    <w:p w14:paraId="01640A4C">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34.1采购单位按照政府采购合同规定的技术、服务、安全标准对供应商履约情况进行验收，并出具验收书。验收书包括每一项技术服务、安全标准的履约情况。</w:t>
      </w:r>
    </w:p>
    <w:p w14:paraId="2C60BB5A">
      <w:pPr>
        <w:pageBreakBefore w:val="0"/>
        <w:widowControl w:val="0"/>
        <w:kinsoku/>
        <w:wordWrap/>
        <w:overflowPunct/>
        <w:topLinePunct w:val="0"/>
        <w:bidi w:val="0"/>
        <w:snapToGrid w:val="0"/>
        <w:spacing w:line="420" w:lineRule="exact"/>
        <w:ind w:firstLine="480" w:firstLineChars="200"/>
        <w:textAlignment w:val="auto"/>
        <w:rPr>
          <w:rFonts w:hint="default" w:ascii="仿宋" w:hAnsi="仿宋" w:eastAsia="仿宋" w:cs="仿宋"/>
          <w:bCs/>
          <w:color w:val="000000"/>
          <w:sz w:val="24"/>
          <w:szCs w:val="24"/>
          <w:lang w:val="en-US" w:eastAsia="zh-CN"/>
        </w:rPr>
      </w:pPr>
      <w:r>
        <w:rPr>
          <w:rFonts w:hint="eastAsia" w:ascii="宋体" w:hAnsi="宋体" w:eastAsia="宋体" w:cs="宋体"/>
          <w:bCs/>
          <w:color w:val="000000"/>
          <w:sz w:val="24"/>
          <w:szCs w:val="24"/>
          <w:lang w:val="en-US" w:eastAsia="zh-CN"/>
        </w:rPr>
        <w:t>34.2验收标准:招标文件、响应文件、政府采购合同规定的标准</w:t>
      </w:r>
    </w:p>
    <w:p w14:paraId="6B8F806B">
      <w:pPr>
        <w:rPr>
          <w:rFonts w:hint="default" w:ascii="宋体" w:hAnsi="宋体" w:eastAsia="宋体" w:cs="宋体"/>
          <w:b/>
          <w:bCs/>
          <w:sz w:val="28"/>
          <w:szCs w:val="28"/>
          <w:lang w:val="en-US" w:eastAsia="zh-CN"/>
        </w:rPr>
      </w:pPr>
    </w:p>
    <w:p w14:paraId="05D9EED5">
      <w:pPr>
        <w:pStyle w:val="24"/>
        <w:rPr>
          <w:rFonts w:hint="default" w:ascii="宋体" w:hAnsi="宋体" w:eastAsia="宋体" w:cs="宋体"/>
          <w:b/>
          <w:bCs/>
          <w:sz w:val="28"/>
          <w:szCs w:val="28"/>
          <w:lang w:val="en-US" w:eastAsia="zh-CN"/>
        </w:rPr>
      </w:pPr>
    </w:p>
    <w:p w14:paraId="57B2446E">
      <w:pPr>
        <w:pStyle w:val="25"/>
        <w:rPr>
          <w:rFonts w:hint="default" w:ascii="宋体" w:hAnsi="宋体" w:eastAsia="宋体" w:cs="宋体"/>
          <w:b/>
          <w:bCs/>
          <w:sz w:val="28"/>
          <w:szCs w:val="28"/>
          <w:lang w:val="en-US" w:eastAsia="zh-CN"/>
        </w:rPr>
      </w:pPr>
    </w:p>
    <w:p w14:paraId="77C19F7A">
      <w:pPr>
        <w:rPr>
          <w:rFonts w:hint="default" w:ascii="宋体" w:hAnsi="宋体" w:eastAsia="宋体" w:cs="宋体"/>
          <w:b/>
          <w:bCs/>
          <w:sz w:val="28"/>
          <w:szCs w:val="28"/>
          <w:lang w:val="en-US" w:eastAsia="zh-CN"/>
        </w:rPr>
      </w:pPr>
    </w:p>
    <w:p w14:paraId="2872DC55">
      <w:pPr>
        <w:pStyle w:val="24"/>
        <w:rPr>
          <w:rFonts w:hint="default" w:ascii="宋体" w:hAnsi="宋体" w:eastAsia="宋体" w:cs="宋体"/>
          <w:b/>
          <w:bCs/>
          <w:sz w:val="28"/>
          <w:szCs w:val="28"/>
          <w:lang w:val="en-US" w:eastAsia="zh-CN"/>
        </w:rPr>
      </w:pPr>
    </w:p>
    <w:p w14:paraId="663D0DA3">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both"/>
        <w:textAlignment w:val="auto"/>
        <w:rPr>
          <w:rFonts w:hint="eastAsia" w:ascii="宋体" w:hAnsi="宋体" w:eastAsia="宋体" w:cs="宋体"/>
          <w:sz w:val="44"/>
          <w:szCs w:val="44"/>
          <w:highlight w:val="none"/>
          <w:lang w:val="en-US" w:eastAsia="zh-CN"/>
        </w:rPr>
      </w:pPr>
    </w:p>
    <w:p w14:paraId="6C589C8E">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宋体" w:hAnsi="宋体" w:eastAsia="宋体" w:cs="宋体"/>
          <w:sz w:val="44"/>
          <w:szCs w:val="44"/>
        </w:rPr>
      </w:pPr>
      <w:r>
        <w:rPr>
          <w:rFonts w:hint="eastAsia" w:ascii="宋体" w:hAnsi="宋体" w:eastAsia="宋体" w:cs="宋体"/>
          <w:sz w:val="44"/>
          <w:szCs w:val="44"/>
          <w:highlight w:val="none"/>
          <w:lang w:val="en-US" w:eastAsia="zh-CN"/>
        </w:rPr>
        <w:t xml:space="preserve">第三章 </w:t>
      </w:r>
      <w:r>
        <w:rPr>
          <w:rFonts w:hint="eastAsia" w:ascii="宋体" w:hAnsi="宋体" w:eastAsia="宋体" w:cs="宋体"/>
          <w:sz w:val="44"/>
          <w:szCs w:val="44"/>
          <w:highlight w:val="none"/>
        </w:rPr>
        <w:t>投标人须知资料表</w:t>
      </w:r>
    </w:p>
    <w:p w14:paraId="49A82DB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仿宋" w:hAnsi="仿宋" w:eastAsia="仿宋" w:cs="仿宋"/>
          <w:sz w:val="24"/>
          <w:szCs w:val="24"/>
        </w:rPr>
      </w:pPr>
      <w:r>
        <w:rPr>
          <w:rFonts w:hint="eastAsia" w:ascii="宋体" w:hAnsi="宋体" w:eastAsia="宋体" w:cs="宋体"/>
          <w:sz w:val="24"/>
        </w:rPr>
        <w:t xml:space="preserve"> </w:t>
      </w:r>
      <w:r>
        <w:rPr>
          <w:rFonts w:hint="eastAsia" w:ascii="宋体" w:hAnsi="宋体" w:eastAsia="宋体" w:cs="宋体"/>
          <w:sz w:val="24"/>
          <w:szCs w:val="24"/>
        </w:rPr>
        <w:t>本表是本招标项目的具体资料，是对投标人须知的具体补充和修改，如有矛盾，应以本资料表为准。</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92"/>
        <w:gridCol w:w="7440"/>
      </w:tblGrid>
      <w:tr w14:paraId="621FE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92" w:type="dxa"/>
            <w:vAlign w:val="center"/>
          </w:tcPr>
          <w:p w14:paraId="25C07878">
            <w:pPr>
              <w:keepNext w:val="0"/>
              <w:keepLines w:val="0"/>
              <w:pageBreakBefore w:val="0"/>
              <w:kinsoku/>
              <w:wordWrap/>
              <w:overflowPunct/>
              <w:topLinePunct w:val="0"/>
              <w:autoSpaceDE/>
              <w:autoSpaceDN/>
              <w:bidi w:val="0"/>
              <w:adjustRightInd/>
              <w:snapToGrid/>
              <w:spacing w:line="44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条款号</w:t>
            </w:r>
          </w:p>
        </w:tc>
        <w:tc>
          <w:tcPr>
            <w:tcW w:w="7440" w:type="dxa"/>
            <w:vAlign w:val="center"/>
          </w:tcPr>
          <w:p w14:paraId="52E2778E">
            <w:pPr>
              <w:keepNext w:val="0"/>
              <w:keepLines w:val="0"/>
              <w:pageBreakBefore w:val="0"/>
              <w:kinsoku/>
              <w:wordWrap/>
              <w:overflowPunct/>
              <w:topLinePunct w:val="0"/>
              <w:autoSpaceDE/>
              <w:autoSpaceDN/>
              <w:bidi w:val="0"/>
              <w:adjustRightInd/>
              <w:snapToGrid/>
              <w:spacing w:line="440" w:lineRule="exact"/>
              <w:ind w:left="1434" w:leftChars="683" w:firstLine="961" w:firstLineChars="342"/>
              <w:textAlignment w:val="auto"/>
              <w:rPr>
                <w:rFonts w:hint="eastAsia" w:ascii="宋体" w:hAnsi="宋体" w:eastAsia="宋体" w:cs="宋体"/>
                <w:b/>
                <w:bCs/>
                <w:sz w:val="28"/>
                <w:szCs w:val="28"/>
              </w:rPr>
            </w:pPr>
            <w:r>
              <w:rPr>
                <w:rFonts w:hint="eastAsia" w:ascii="宋体" w:hAnsi="宋体" w:eastAsia="宋体" w:cs="宋体"/>
                <w:b/>
                <w:bCs/>
                <w:sz w:val="28"/>
                <w:szCs w:val="28"/>
              </w:rPr>
              <w:t>内      容</w:t>
            </w:r>
          </w:p>
        </w:tc>
      </w:tr>
      <w:tr w14:paraId="18B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5B763658">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7440" w:type="dxa"/>
            <w:vAlign w:val="center"/>
          </w:tcPr>
          <w:p w14:paraId="2CECEF9D">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val="en-US" w:eastAsia="zh-CN"/>
              </w:rPr>
              <w:t>名称:</w:t>
            </w:r>
            <w:r>
              <w:rPr>
                <w:rFonts w:hint="eastAsia" w:ascii="宋体" w:hAnsi="宋体" w:eastAsia="宋体" w:cs="宋体"/>
                <w:b w:val="0"/>
                <w:bCs w:val="0"/>
                <w:sz w:val="28"/>
                <w:szCs w:val="28"/>
                <w:highlight w:val="none"/>
                <w:lang w:val="en-US" w:eastAsia="zh-CN"/>
              </w:rPr>
              <w:t>伊犁师范大学校本部、东校区餐厅社会管理服务项目</w:t>
            </w:r>
            <w:r>
              <w:rPr>
                <w:rFonts w:hint="eastAsia" w:ascii="宋体" w:hAnsi="宋体" w:eastAsia="宋体" w:cs="宋体"/>
                <w:sz w:val="28"/>
                <w:szCs w:val="28"/>
                <w:highlight w:val="none"/>
                <w:lang w:val="en-US" w:eastAsia="zh-CN"/>
              </w:rPr>
              <w:t xml:space="preserve">  </w:t>
            </w:r>
          </w:p>
          <w:p w14:paraId="3D7509A7">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b/>
                <w:bCs w:val="0"/>
                <w:color w:val="auto"/>
                <w:sz w:val="28"/>
                <w:szCs w:val="28"/>
                <w:highlight w:val="none"/>
                <w:lang w:val="en-US" w:eastAsia="zh-CN"/>
              </w:rPr>
              <w:t>项目</w:t>
            </w:r>
            <w:r>
              <w:rPr>
                <w:rFonts w:hint="eastAsia" w:ascii="宋体" w:hAnsi="宋体" w:eastAsia="宋体" w:cs="宋体"/>
                <w:b/>
                <w:bCs w:val="0"/>
                <w:color w:val="auto"/>
                <w:sz w:val="28"/>
                <w:szCs w:val="28"/>
                <w:highlight w:val="none"/>
              </w:rPr>
              <w:t>编号</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XJBQ2025-22 </w:t>
            </w:r>
            <w:r>
              <w:rPr>
                <w:rFonts w:hint="eastAsia" w:ascii="宋体" w:hAnsi="宋体" w:eastAsia="宋体" w:cs="宋体"/>
                <w:b/>
                <w:bCs w:val="0"/>
                <w:color w:val="auto"/>
                <w:sz w:val="28"/>
                <w:szCs w:val="28"/>
                <w:highlight w:val="none"/>
                <w:u w:val="single"/>
                <w:lang w:val="en-US" w:eastAsia="zh-CN"/>
              </w:rPr>
              <w:t xml:space="preserve"> </w:t>
            </w:r>
          </w:p>
        </w:tc>
      </w:tr>
      <w:tr w14:paraId="5159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7DBEAE1">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p>
        </w:tc>
        <w:tc>
          <w:tcPr>
            <w:tcW w:w="7440" w:type="dxa"/>
            <w:vAlign w:val="center"/>
          </w:tcPr>
          <w:p w14:paraId="0AB7952D">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rPr>
              <w:t>采购人：</w:t>
            </w:r>
            <w:r>
              <w:rPr>
                <w:rFonts w:hint="eastAsia" w:ascii="宋体" w:hAnsi="宋体" w:eastAsia="宋体" w:cs="宋体"/>
                <w:b w:val="0"/>
                <w:bCs/>
                <w:color w:val="auto"/>
                <w:kern w:val="2"/>
                <w:sz w:val="28"/>
                <w:szCs w:val="28"/>
                <w:highlight w:val="none"/>
                <w:u w:val="single"/>
                <w:lang w:val="en-US" w:eastAsia="zh-CN" w:bidi="ar-SA"/>
              </w:rPr>
              <w:t>伊犁师范大学</w:t>
            </w:r>
          </w:p>
          <w:p w14:paraId="141FC635">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lang w:val="en-US" w:eastAsia="zh-CN"/>
              </w:rPr>
              <w:t>联系人：</w:t>
            </w:r>
            <w:r>
              <w:rPr>
                <w:rFonts w:hint="eastAsia" w:ascii="宋体" w:hAnsi="宋体" w:eastAsia="宋体" w:cs="宋体"/>
                <w:b w:val="0"/>
                <w:bCs/>
                <w:color w:val="auto"/>
                <w:kern w:val="2"/>
                <w:sz w:val="28"/>
                <w:szCs w:val="28"/>
                <w:highlight w:val="none"/>
                <w:u w:val="single"/>
                <w:lang w:val="en-US" w:eastAsia="zh-CN" w:bidi="ar-SA"/>
              </w:rPr>
              <w:t>王老师</w:t>
            </w:r>
          </w:p>
          <w:p w14:paraId="15EAA766">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rPr>
              <w:t>电  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lang w:val="en-US" w:eastAsia="zh-CN"/>
              </w:rPr>
              <w:t>0999-8141261</w:t>
            </w:r>
          </w:p>
        </w:tc>
      </w:tr>
      <w:tr w14:paraId="3B799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F97819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7440" w:type="dxa"/>
            <w:vAlign w:val="center"/>
          </w:tcPr>
          <w:p w14:paraId="304D4F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采购代理机构：</w:t>
            </w:r>
            <w:r>
              <w:rPr>
                <w:rFonts w:hint="eastAsia" w:ascii="宋体" w:hAnsi="宋体" w:eastAsia="宋体" w:cs="宋体"/>
                <w:b w:val="0"/>
                <w:bCs w:val="0"/>
                <w:sz w:val="28"/>
                <w:szCs w:val="28"/>
                <w:u w:val="single"/>
                <w:lang w:val="en-US" w:eastAsia="zh-CN"/>
              </w:rPr>
              <w:t xml:space="preserve">新疆秉强工程项目管理有限公司 </w:t>
            </w:r>
            <w:r>
              <w:rPr>
                <w:rFonts w:hint="eastAsia" w:ascii="宋体" w:hAnsi="宋体" w:eastAsia="宋体" w:cs="宋体"/>
                <w:sz w:val="28"/>
                <w:szCs w:val="28"/>
                <w:u w:val="single"/>
                <w:lang w:val="en-US" w:eastAsia="zh-CN"/>
              </w:rPr>
              <w:t xml:space="preserve">  </w:t>
            </w:r>
          </w:p>
          <w:p w14:paraId="70B2611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地址：</w:t>
            </w:r>
            <w:r>
              <w:rPr>
                <w:rFonts w:hint="eastAsia" w:ascii="宋体" w:hAnsi="宋体" w:eastAsia="宋体" w:cs="宋体"/>
                <w:kern w:val="2"/>
                <w:sz w:val="28"/>
                <w:szCs w:val="28"/>
                <w:u w:val="single"/>
                <w:lang w:val="en-US" w:eastAsia="zh-CN"/>
              </w:rPr>
              <w:t xml:space="preserve"> 新疆伊宁市成都南路佳和宜园小区4号综合楼301室</w:t>
            </w:r>
          </w:p>
          <w:p w14:paraId="6352605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rPr>
            </w:pPr>
            <w:r>
              <w:rPr>
                <w:rFonts w:hint="eastAsia" w:ascii="宋体" w:hAnsi="宋体" w:eastAsia="宋体" w:cs="宋体"/>
                <w:b/>
                <w:bCs/>
                <w:sz w:val="28"/>
                <w:szCs w:val="28"/>
              </w:rPr>
              <w:t>业务联系人：</w:t>
            </w:r>
            <w:r>
              <w:rPr>
                <w:rFonts w:hint="eastAsia" w:ascii="宋体" w:hAnsi="宋体" w:eastAsia="宋体" w:cs="宋体"/>
                <w:sz w:val="28"/>
                <w:szCs w:val="28"/>
                <w:u w:val="single"/>
                <w:lang w:val="en-US" w:eastAsia="zh-CN"/>
              </w:rPr>
              <w:t xml:space="preserve">   丁嫒璟     </w:t>
            </w:r>
            <w:r>
              <w:rPr>
                <w:rFonts w:hint="eastAsia" w:ascii="宋体" w:hAnsi="宋体" w:eastAsia="宋体" w:cs="宋体"/>
                <w:sz w:val="28"/>
                <w:szCs w:val="28"/>
                <w:u w:val="single"/>
              </w:rPr>
              <w:t xml:space="preserve"> </w:t>
            </w:r>
          </w:p>
          <w:p w14:paraId="1F7EFA5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sz w:val="28"/>
                <w:szCs w:val="28"/>
              </w:rPr>
              <w:t>电话：</w:t>
            </w:r>
            <w:r>
              <w:rPr>
                <w:rFonts w:hint="eastAsia" w:ascii="宋体" w:hAnsi="宋体" w:eastAsia="宋体" w:cs="宋体"/>
                <w:sz w:val="28"/>
                <w:szCs w:val="28"/>
                <w:u w:val="single"/>
                <w:lang w:val="en-US" w:eastAsia="zh-CN"/>
              </w:rPr>
              <w:t xml:space="preserve">  19990964972   </w:t>
            </w:r>
          </w:p>
        </w:tc>
      </w:tr>
      <w:tr w14:paraId="235A2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7DF80180">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w:t>
            </w:r>
          </w:p>
        </w:tc>
        <w:tc>
          <w:tcPr>
            <w:tcW w:w="7440" w:type="dxa"/>
            <w:vAlign w:val="center"/>
          </w:tcPr>
          <w:p w14:paraId="44FB25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sz w:val="28"/>
                <w:szCs w:val="28"/>
                <w:highlight w:val="none"/>
                <w:lang w:val="en-US" w:eastAsia="zh-CN"/>
              </w:rPr>
              <w:t>采购内容：</w:t>
            </w:r>
            <w:r>
              <w:rPr>
                <w:rFonts w:hint="eastAsia" w:ascii="宋体" w:hAnsi="宋体" w:eastAsia="宋体" w:cs="宋体"/>
                <w:b w:val="0"/>
                <w:bCs w:val="0"/>
                <w:sz w:val="28"/>
                <w:szCs w:val="28"/>
                <w:highlight w:val="none"/>
                <w:lang w:val="en-US" w:eastAsia="zh-CN"/>
              </w:rPr>
              <w:t>对伊犁师范大学东校区南区学生食堂（一楼、二楼、三楼）、伊犁师范大学校本部（文苑餐厅、雅苑餐厅）面向社会公开招募餐饮服务团队（具体内容详见“第四章 采购需求及要求”）。</w:t>
            </w:r>
          </w:p>
          <w:p w14:paraId="7CF8D6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标项一：</w:t>
            </w:r>
            <w:r>
              <w:rPr>
                <w:rFonts w:hint="eastAsia" w:ascii="宋体" w:hAnsi="宋体" w:eastAsia="宋体" w:cs="宋体"/>
                <w:sz w:val="28"/>
                <w:szCs w:val="28"/>
                <w:lang w:val="en-US" w:eastAsia="zh-CN"/>
              </w:rPr>
              <w:t>东校区南区学生食堂一楼面积约为2583m²，购买餐饮管理服务，按照伊犁师范大学保供稳价的工作要求，餐饮服务企业为师生提供一日三餐高质量餐饮保障，具体要求详见招标文件；</w:t>
            </w:r>
          </w:p>
          <w:p w14:paraId="7CA367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标项二：</w:t>
            </w:r>
            <w:r>
              <w:rPr>
                <w:rFonts w:hint="eastAsia" w:ascii="宋体" w:hAnsi="宋体" w:eastAsia="宋体" w:cs="宋体"/>
                <w:sz w:val="28"/>
                <w:szCs w:val="28"/>
                <w:lang w:val="en-US" w:eastAsia="zh-CN"/>
              </w:rPr>
              <w:t>东校区南区学生食堂二楼面积约为2565m²，购买餐饮管理服务，按照伊犁师范大学保供稳价的工作要求，餐饮服务企业为师生提供一日三餐高质量餐饮保障，具体要求详见招标文件；</w:t>
            </w:r>
          </w:p>
          <w:p w14:paraId="3A21A8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标项三：</w:t>
            </w:r>
            <w:r>
              <w:rPr>
                <w:rFonts w:hint="eastAsia" w:ascii="宋体" w:hAnsi="宋体" w:eastAsia="宋体" w:cs="宋体"/>
                <w:sz w:val="28"/>
                <w:szCs w:val="28"/>
                <w:lang w:val="en-US" w:eastAsia="zh-CN"/>
              </w:rPr>
              <w:t xml:space="preserve">东校区南区学生食堂三楼面积约为2496m²，购买餐饮管理服务，按照伊犁师范大学保供稳价的工作要求，餐饮服务企业为师生提供一日三餐高质量餐饮保障，具体要求详见招标文件； </w:t>
            </w:r>
          </w:p>
          <w:p w14:paraId="01D5D4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标项四：</w:t>
            </w:r>
            <w:r>
              <w:rPr>
                <w:rFonts w:hint="eastAsia" w:ascii="宋体" w:hAnsi="宋体" w:eastAsia="宋体" w:cs="宋体"/>
                <w:sz w:val="28"/>
                <w:szCs w:val="28"/>
                <w:lang w:val="en-US" w:eastAsia="zh-CN"/>
              </w:rPr>
              <w:t xml:space="preserve">中华美食广场一楼文苑餐厅总面积约为4600m²，购买餐饮管理服务，按照伊犁师范大学保供稳价的工作要求，餐饮服务企业为师生提供一日三餐高质量餐饮保障，具体要求详见招标文件； </w:t>
            </w:r>
          </w:p>
          <w:p w14:paraId="2FBFC08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default" w:ascii="宋体" w:hAnsi="宋体" w:eastAsia="宋体" w:cs="宋体"/>
                <w:b/>
                <w:bCs/>
                <w:sz w:val="28"/>
                <w:szCs w:val="28"/>
                <w:lang w:val="en-US" w:eastAsia="zh-CN"/>
              </w:rPr>
              <w:t>标项五</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中华美食广场二楼雅苑餐厅总面积约为4600m²，购买餐饮管理服务，按照伊犁师范大学保供稳价的工作要求，餐饮服务企业为师生提供一日三餐高质量餐饮保障，具体要求详见招标文件；</w:t>
            </w:r>
          </w:p>
        </w:tc>
      </w:tr>
      <w:tr w14:paraId="7913B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2C584203">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5</w:t>
            </w:r>
          </w:p>
        </w:tc>
        <w:tc>
          <w:tcPr>
            <w:tcW w:w="7440" w:type="dxa"/>
            <w:vAlign w:val="center"/>
          </w:tcPr>
          <w:p w14:paraId="4CC49B1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采购方式：</w:t>
            </w:r>
            <w:r>
              <w:rPr>
                <w:rFonts w:hint="eastAsia" w:ascii="宋体" w:hAnsi="宋体" w:eastAsia="宋体" w:cs="宋体"/>
                <w:sz w:val="28"/>
                <w:szCs w:val="28"/>
                <w:lang w:val="en-US" w:eastAsia="zh-CN"/>
              </w:rPr>
              <w:t>公开招标</w:t>
            </w:r>
          </w:p>
        </w:tc>
      </w:tr>
      <w:tr w14:paraId="1941E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1EC4E131">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6</w:t>
            </w:r>
          </w:p>
        </w:tc>
        <w:tc>
          <w:tcPr>
            <w:tcW w:w="7440" w:type="dxa"/>
            <w:vAlign w:val="center"/>
          </w:tcPr>
          <w:p w14:paraId="1CD623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项目预算金额：</w:t>
            </w:r>
            <w:r>
              <w:rPr>
                <w:rFonts w:hint="eastAsia" w:ascii="宋体" w:hAnsi="宋体" w:eastAsia="宋体" w:cs="宋体"/>
                <w:sz w:val="28"/>
                <w:szCs w:val="28"/>
                <w:lang w:val="en-US" w:eastAsia="zh-CN"/>
              </w:rPr>
              <w:t>1201.5万元；</w:t>
            </w:r>
          </w:p>
          <w:p w14:paraId="291233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其中标项一：2835000元、标项二：2430000元、标项三：2025000元、标项四：1800000元、标项五：2925000元。</w:t>
            </w:r>
          </w:p>
          <w:p w14:paraId="4CA2DAF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宋体" w:hAnsi="宋体" w:eastAsia="宋体" w:cs="宋体"/>
                <w:b/>
                <w:bCs/>
                <w:sz w:val="28"/>
                <w:szCs w:val="28"/>
                <w:lang w:val="en-US" w:eastAsia="zh-CN"/>
              </w:rPr>
              <w:t>说明：投标人投标报价按</w:t>
            </w:r>
            <w:r>
              <w:rPr>
                <w:rFonts w:hint="eastAsia" w:ascii="宋体" w:hAnsi="宋体" w:eastAsia="宋体" w:cs="宋体"/>
                <w:b/>
                <w:bCs/>
                <w:color w:val="0000FF"/>
                <w:sz w:val="28"/>
                <w:szCs w:val="28"/>
                <w:lang w:val="en-US" w:eastAsia="zh-CN"/>
              </w:rPr>
              <w:t>餐饮服务费支付比例</w:t>
            </w:r>
            <w:r>
              <w:rPr>
                <w:rFonts w:hint="eastAsia" w:ascii="宋体" w:hAnsi="宋体" w:eastAsia="宋体" w:cs="宋体"/>
                <w:b/>
                <w:bCs/>
                <w:sz w:val="28"/>
                <w:szCs w:val="28"/>
                <w:lang w:val="en-US" w:eastAsia="zh-CN"/>
              </w:rPr>
              <w:t>报价。其中</w:t>
            </w:r>
            <w:r>
              <w:rPr>
                <w:rFonts w:hint="eastAsia" w:ascii="宋体" w:hAnsi="宋体" w:eastAsia="宋体" w:cs="宋体"/>
                <w:b/>
                <w:bCs/>
                <w:color w:val="0000FF"/>
                <w:sz w:val="28"/>
                <w:szCs w:val="28"/>
                <w:lang w:val="en-US" w:eastAsia="zh-CN"/>
              </w:rPr>
              <w:t>标项一、标项二、标项三</w:t>
            </w:r>
            <w:r>
              <w:rPr>
                <w:rFonts w:hint="eastAsia" w:ascii="宋体" w:hAnsi="宋体" w:eastAsia="宋体" w:cs="宋体"/>
                <w:b/>
                <w:bCs/>
                <w:sz w:val="28"/>
                <w:szCs w:val="28"/>
                <w:lang w:val="en-US" w:eastAsia="zh-CN"/>
              </w:rPr>
              <w:t>按月营业额小于等于47%进行报价，需按0.5%倍数报餐饮服务费比例，学校按中标报价向餐饮服务企业支付餐饮服务费；</w:t>
            </w:r>
            <w:r>
              <w:rPr>
                <w:rFonts w:hint="eastAsia" w:ascii="宋体" w:hAnsi="宋体" w:eastAsia="宋体" w:cs="宋体"/>
                <w:b/>
                <w:bCs/>
                <w:color w:val="0000FF"/>
                <w:sz w:val="28"/>
                <w:szCs w:val="28"/>
                <w:lang w:val="en-US" w:eastAsia="zh-CN"/>
              </w:rPr>
              <w:t>标项四、标项五</w:t>
            </w:r>
            <w:r>
              <w:rPr>
                <w:rFonts w:hint="eastAsia" w:ascii="宋体" w:hAnsi="宋体" w:eastAsia="宋体" w:cs="宋体"/>
                <w:b/>
                <w:bCs/>
                <w:sz w:val="28"/>
                <w:szCs w:val="28"/>
                <w:lang w:val="en-US" w:eastAsia="zh-CN"/>
              </w:rPr>
              <w:t>按月营业额小于等于45%进行报价，需按0.5%倍数报餐饮服务费比例，学校按中标报价向餐饮服务企业支付餐饮服务费。若投标人的投标报价比例低于最高限价比例的7%及以下，需单独提供餐饮服务运行管理成本合理的说明（投标人投标报价不得超过最高限价比例，否则按无效标处理）</w:t>
            </w:r>
          </w:p>
        </w:tc>
      </w:tr>
      <w:tr w14:paraId="6E6B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A9EF0F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7</w:t>
            </w:r>
          </w:p>
        </w:tc>
        <w:tc>
          <w:tcPr>
            <w:tcW w:w="7440" w:type="dxa"/>
            <w:vAlign w:val="center"/>
          </w:tcPr>
          <w:p w14:paraId="4707F286">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合同服务履行期限</w:t>
            </w:r>
            <w:r>
              <w:rPr>
                <w:rFonts w:hint="eastAsia" w:ascii="宋体" w:hAnsi="宋体" w:eastAsia="宋体" w:cs="宋体"/>
                <w:b/>
                <w:bCs/>
                <w:color w:val="auto"/>
                <w:sz w:val="28"/>
                <w:szCs w:val="28"/>
                <w:highlight w:val="none"/>
                <w:lang w:eastAsia="zh-CN"/>
              </w:rPr>
              <w:t>：</w:t>
            </w:r>
            <w:r>
              <w:rPr>
                <w:rFonts w:hint="eastAsia" w:ascii="宋体" w:hAnsi="宋体" w:eastAsia="宋体" w:cs="宋体"/>
                <w:sz w:val="28"/>
                <w:szCs w:val="28"/>
                <w:lang w:val="en-US" w:eastAsia="zh-CN"/>
              </w:rPr>
              <w:t>标项一、二、三为：合同签订后一年（标项一、二、三采取一次招标三年沿用。合同一年一考核一年一签，年度考核合格及以上，可选择续签下一年度合同。考核不合格，不予续签。）；标项四、五为：合同签订后半年（若中标单位在合同服务履行期限内考核合格及以上，可选择续签合同期限为半年。考核不合格，不予续签。）具体时间以甲乙双方签订合同为准。</w:t>
            </w:r>
          </w:p>
        </w:tc>
      </w:tr>
      <w:tr w14:paraId="08180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43AC4CC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7440" w:type="dxa"/>
            <w:vAlign w:val="center"/>
          </w:tcPr>
          <w:p w14:paraId="7B72E845">
            <w:pPr>
              <w:keepNext w:val="0"/>
              <w:keepLines w:val="0"/>
              <w:pageBreakBefore w:val="0"/>
              <w:kinsoku/>
              <w:wordWrap/>
              <w:overflowPunct/>
              <w:topLinePunct w:val="0"/>
              <w:bidi w:val="0"/>
              <w:adjustRightInd/>
              <w:spacing w:line="420" w:lineRule="exac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服务地点：</w:t>
            </w:r>
            <w:r>
              <w:rPr>
                <w:rFonts w:hint="eastAsia" w:ascii="宋体" w:hAnsi="宋体" w:eastAsia="宋体" w:cs="宋体"/>
                <w:b w:val="0"/>
                <w:bCs/>
                <w:color w:val="auto"/>
                <w:sz w:val="28"/>
                <w:szCs w:val="28"/>
                <w:highlight w:val="none"/>
                <w:u w:val="single"/>
                <w:lang w:val="en-US" w:eastAsia="zh-CN"/>
              </w:rPr>
              <w:t>甲方指定地点。</w:t>
            </w:r>
          </w:p>
        </w:tc>
      </w:tr>
      <w:tr w14:paraId="348C6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080AEC0">
            <w:pPr>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w:t>
            </w:r>
          </w:p>
        </w:tc>
        <w:tc>
          <w:tcPr>
            <w:tcW w:w="7440" w:type="dxa"/>
            <w:vAlign w:val="center"/>
          </w:tcPr>
          <w:p w14:paraId="4D8234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lang w:val="en-US" w:eastAsia="zh-CN"/>
              </w:rPr>
              <w:t>投标人的资格要求</w:t>
            </w:r>
            <w:r>
              <w:rPr>
                <w:rFonts w:hint="eastAsia" w:ascii="宋体" w:hAnsi="宋体" w:eastAsia="宋体" w:cs="宋体"/>
                <w:b/>
                <w:bCs/>
                <w:sz w:val="28"/>
                <w:szCs w:val="28"/>
                <w:highlight w:val="none"/>
              </w:rPr>
              <w:t>：</w:t>
            </w:r>
          </w:p>
          <w:p w14:paraId="5B8939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满足《中华人民共和国政府采购法》第二十二条规定：</w:t>
            </w:r>
          </w:p>
          <w:p w14:paraId="0ADED521">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授权委托书</w:t>
            </w: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参加提供法定代表人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身份</w:t>
            </w:r>
            <w:r>
              <w:rPr>
                <w:rFonts w:hint="eastAsia" w:ascii="宋体" w:hAnsi="宋体" w:eastAsia="宋体" w:cs="宋体"/>
                <w:color w:val="auto"/>
                <w:sz w:val="28"/>
                <w:szCs w:val="28"/>
                <w:highlight w:val="none"/>
                <w:lang w:val="en-US" w:eastAsia="zh-CN"/>
              </w:rPr>
              <w:t>证明书</w:t>
            </w:r>
            <w:r>
              <w:rPr>
                <w:rFonts w:hint="eastAsia" w:hAnsi="宋体" w:eastAsia="宋体" w:cs="宋体"/>
                <w:color w:val="auto"/>
                <w:sz w:val="28"/>
                <w:szCs w:val="28"/>
                <w:highlight w:val="none"/>
                <w:lang w:val="en-US" w:eastAsia="zh-CN"/>
              </w:rPr>
              <w:t>]（投标单位为非法人机构的分公司，需提供法定代表人签署的授权书。）</w:t>
            </w:r>
            <w:r>
              <w:rPr>
                <w:rFonts w:hint="eastAsia" w:ascii="宋体" w:hAnsi="宋体" w:eastAsia="宋体" w:cs="宋体"/>
                <w:color w:val="auto"/>
                <w:sz w:val="28"/>
                <w:szCs w:val="28"/>
                <w:highlight w:val="none"/>
              </w:rPr>
              <w:t xml:space="preserve">。 </w:t>
            </w:r>
          </w:p>
          <w:p w14:paraId="7C6B777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rPr>
              <w:t>有效期内工商营业执照。</w:t>
            </w:r>
          </w:p>
          <w:p w14:paraId="6E45D3D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投标保证金缴纳凭证或投标保函</w:t>
            </w:r>
          </w:p>
          <w:p w14:paraId="21AF3089">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bidi="ar-SA"/>
              </w:rPr>
              <w:t>（</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）社保机构或税务机构出具的</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lang w:val="en-US" w:eastAsia="zh-CN" w:bidi="ar-SA"/>
              </w:rPr>
              <w:t>近</w:t>
            </w:r>
            <w:r>
              <w:rPr>
                <w:rFonts w:hint="eastAsia" w:hAnsi="宋体" w:eastAsia="宋体" w:cs="宋体"/>
                <w:color w:val="auto"/>
                <w:sz w:val="28"/>
                <w:szCs w:val="28"/>
                <w:highlight w:val="none"/>
                <w:lang w:val="en-US" w:eastAsia="zh-CN" w:bidi="ar-SA"/>
              </w:rPr>
              <w:t>一年</w:t>
            </w:r>
            <w:r>
              <w:rPr>
                <w:rFonts w:hint="eastAsia" w:ascii="宋体" w:hAnsi="宋体" w:eastAsia="宋体" w:cs="宋体"/>
                <w:color w:val="auto"/>
                <w:sz w:val="28"/>
                <w:szCs w:val="28"/>
                <w:highlight w:val="none"/>
                <w:lang w:val="en-US" w:eastAsia="zh-CN" w:bidi="ar-SA"/>
              </w:rPr>
              <w:t>（202</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年</w:t>
            </w:r>
            <w:r>
              <w:rPr>
                <w:rFonts w:hint="eastAsia" w:hAnsi="宋体" w:eastAsia="宋体" w:cs="宋体"/>
                <w:color w:val="auto"/>
                <w:sz w:val="28"/>
                <w:szCs w:val="28"/>
                <w:highlight w:val="none"/>
                <w:lang w:val="en-US" w:eastAsia="zh-CN" w:bidi="ar-SA"/>
              </w:rPr>
              <w:t>6</w:t>
            </w:r>
            <w:r>
              <w:rPr>
                <w:rFonts w:hint="eastAsia" w:ascii="宋体" w:hAnsi="宋体" w:eastAsia="宋体" w:cs="宋体"/>
                <w:color w:val="auto"/>
                <w:sz w:val="28"/>
                <w:szCs w:val="28"/>
                <w:highlight w:val="none"/>
                <w:lang w:val="en-US" w:eastAsia="zh-CN" w:bidi="ar-SA"/>
              </w:rPr>
              <w:t>月至</w:t>
            </w:r>
            <w:r>
              <w:rPr>
                <w:rFonts w:hint="eastAsia" w:hAnsi="宋体" w:eastAsia="宋体" w:cs="宋体"/>
                <w:color w:val="auto"/>
                <w:sz w:val="28"/>
                <w:szCs w:val="28"/>
                <w:highlight w:val="none"/>
                <w:lang w:val="en-US" w:eastAsia="zh-CN" w:bidi="ar-SA"/>
              </w:rPr>
              <w:t>2025年</w:t>
            </w:r>
            <w:r>
              <w:rPr>
                <w:rFonts w:hint="eastAsia" w:ascii="宋体" w:hAnsi="宋体" w:eastAsia="宋体" w:cs="宋体"/>
                <w:color w:val="auto"/>
                <w:sz w:val="28"/>
                <w:szCs w:val="28"/>
                <w:highlight w:val="none"/>
                <w:lang w:val="en-US" w:eastAsia="zh-CN" w:bidi="ar-SA"/>
              </w:rPr>
              <w:t>6月）</w:t>
            </w:r>
            <w:r>
              <w:rPr>
                <w:rFonts w:hint="eastAsia" w:hAnsi="宋体" w:eastAsia="宋体" w:cs="宋体"/>
                <w:color w:val="auto"/>
                <w:sz w:val="28"/>
                <w:szCs w:val="28"/>
                <w:highlight w:val="none"/>
                <w:lang w:val="en-US" w:eastAsia="zh-CN" w:bidi="ar-SA"/>
              </w:rPr>
              <w:t>任意一个月</w:t>
            </w:r>
            <w:r>
              <w:rPr>
                <w:rFonts w:hint="eastAsia" w:ascii="宋体" w:hAnsi="宋体" w:eastAsia="宋体" w:cs="宋体"/>
                <w:color w:val="auto"/>
                <w:sz w:val="28"/>
                <w:szCs w:val="28"/>
                <w:highlight w:val="none"/>
                <w:lang w:val="en-US" w:eastAsia="zh-CN" w:bidi="ar-SA"/>
              </w:rPr>
              <w:t>的社会保障资金证明，提供的证明材料需清晰可见，依法不需要缴纳社会保障资金的应提供相应说明。</w:t>
            </w:r>
          </w:p>
          <w:p w14:paraId="171F3753">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sz w:val="28"/>
                <w:szCs w:val="28"/>
                <w:highlight w:val="none"/>
                <w:shd w:val="clear" w:color="auto" w:fill="auto"/>
                <w:lang w:val="en-US" w:eastAsia="zh-CN"/>
              </w:rPr>
              <w:t>（</w:t>
            </w:r>
            <w:r>
              <w:rPr>
                <w:rFonts w:hint="eastAsia" w:hAnsi="宋体" w:eastAsia="宋体" w:cs="宋体"/>
                <w:b w:val="0"/>
                <w:bCs/>
                <w:sz w:val="28"/>
                <w:szCs w:val="28"/>
                <w:highlight w:val="none"/>
                <w:shd w:val="clear" w:color="auto" w:fill="auto"/>
                <w:lang w:val="en-US" w:eastAsia="zh-CN"/>
              </w:rPr>
              <w:t>5</w:t>
            </w:r>
            <w:r>
              <w:rPr>
                <w:rFonts w:hint="eastAsia" w:ascii="宋体" w:hAnsi="宋体" w:eastAsia="宋体" w:cs="宋体"/>
                <w:b w:val="0"/>
                <w:bCs/>
                <w:sz w:val="28"/>
                <w:szCs w:val="28"/>
                <w:highlight w:val="none"/>
                <w:shd w:val="clear" w:color="auto" w:fill="auto"/>
                <w:lang w:val="en-US" w:eastAsia="zh-CN"/>
              </w:rPr>
              <w:t>）</w:t>
            </w:r>
            <w:r>
              <w:rPr>
                <w:rFonts w:hint="eastAsia" w:ascii="宋体" w:hAnsi="宋体" w:eastAsia="宋体" w:cs="宋体"/>
                <w:sz w:val="28"/>
                <w:szCs w:val="28"/>
                <w:highlight w:val="none"/>
                <w:lang w:val="en-US" w:eastAsia="zh-CN"/>
              </w:rPr>
              <w:t>供应商需提供参加采购活动前三年内（成立不满3年的提供公司成立之日起到采购公告发布之日止），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以上查询结果须自采购公告发布之日起至首次提交响应文件截止时间内从上述网站中自行</w:t>
            </w:r>
            <w:r>
              <w:rPr>
                <w:rFonts w:hint="eastAsia" w:hAnsi="宋体" w:eastAsia="宋体" w:cs="宋体"/>
                <w:sz w:val="28"/>
                <w:szCs w:val="28"/>
                <w:highlight w:val="none"/>
                <w:lang w:val="en-US" w:eastAsia="zh-CN"/>
              </w:rPr>
              <w:t>网页截图</w:t>
            </w:r>
            <w:r>
              <w:rPr>
                <w:rFonts w:hint="eastAsia" w:ascii="宋体" w:hAnsi="宋体" w:eastAsia="宋体" w:cs="宋体"/>
                <w:sz w:val="28"/>
                <w:szCs w:val="28"/>
                <w:highlight w:val="none"/>
                <w:lang w:val="en-US" w:eastAsia="zh-CN"/>
              </w:rPr>
              <w:t>加盖企业公章</w:t>
            </w:r>
            <w:r>
              <w:rPr>
                <w:rFonts w:hint="eastAsia" w:hAnsi="宋体" w:eastAsia="宋体" w:cs="宋体"/>
                <w:sz w:val="28"/>
                <w:szCs w:val="28"/>
                <w:highlight w:val="none"/>
                <w:lang w:val="en-US" w:eastAsia="zh-CN"/>
              </w:rPr>
              <w:t>。</w:t>
            </w:r>
          </w:p>
          <w:p w14:paraId="4B150026">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（6）投标人须具备有效的《餐饮服务许可证》或《食品经营许可证》。</w:t>
            </w:r>
          </w:p>
          <w:p w14:paraId="54C9DC9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（7）中小企业声明函。</w:t>
            </w:r>
          </w:p>
          <w:p w14:paraId="2F5B687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color w:val="auto"/>
                <w:sz w:val="28"/>
                <w:szCs w:val="28"/>
                <w:highlight w:val="none"/>
                <w:lang w:val="en-US" w:eastAsia="zh-CN"/>
              </w:rPr>
              <w:t>其中（1）-（7）为资格审查时的必备条件，投标人必须按要求提供。</w:t>
            </w:r>
          </w:p>
        </w:tc>
      </w:tr>
      <w:tr w14:paraId="271D9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8EF92E">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w:t>
            </w:r>
          </w:p>
        </w:tc>
        <w:tc>
          <w:tcPr>
            <w:tcW w:w="7440" w:type="dxa"/>
            <w:vAlign w:val="center"/>
          </w:tcPr>
          <w:p w14:paraId="25F973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是否允许采购进口产品：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5D316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99347B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11</w:t>
            </w:r>
          </w:p>
        </w:tc>
        <w:tc>
          <w:tcPr>
            <w:tcW w:w="7440" w:type="dxa"/>
            <w:vAlign w:val="center"/>
          </w:tcPr>
          <w:p w14:paraId="33365B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是否允许联合体投标：</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63BC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B4DE4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12</w:t>
            </w:r>
          </w:p>
        </w:tc>
        <w:tc>
          <w:tcPr>
            <w:tcW w:w="7440" w:type="dxa"/>
            <w:vAlign w:val="center"/>
          </w:tcPr>
          <w:p w14:paraId="49AC3E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联合体的其他资格要求：</w:t>
            </w:r>
            <w:r>
              <w:rPr>
                <w:rFonts w:hint="eastAsia" w:ascii="宋体" w:hAnsi="宋体" w:eastAsia="宋体" w:cs="宋体"/>
                <w:sz w:val="28"/>
                <w:szCs w:val="28"/>
                <w:u w:val="single"/>
                <w:lang w:val="en-US" w:eastAsia="zh-CN"/>
              </w:rPr>
              <w:t>/</w:t>
            </w:r>
          </w:p>
        </w:tc>
      </w:tr>
      <w:tr w14:paraId="0C2B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192" w:type="dxa"/>
            <w:vAlign w:val="center"/>
          </w:tcPr>
          <w:p w14:paraId="24E7C457">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w:t>
            </w:r>
          </w:p>
        </w:tc>
        <w:tc>
          <w:tcPr>
            <w:tcW w:w="7440" w:type="dxa"/>
            <w:vAlign w:val="center"/>
          </w:tcPr>
          <w:p w14:paraId="3F7BEAA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获取</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采购文件</w:t>
            </w:r>
            <w:r>
              <w:rPr>
                <w:rFonts w:hint="eastAsia" w:ascii="宋体" w:hAnsi="宋体" w:eastAsia="宋体" w:cs="宋体"/>
                <w:b/>
                <w:bCs/>
                <w:color w:val="000000" w:themeColor="text1"/>
                <w:sz w:val="28"/>
                <w:szCs w:val="28"/>
                <w:highlight w:val="none"/>
                <w14:textFill>
                  <w14:solidFill>
                    <w14:schemeClr w14:val="tx1"/>
                  </w14:solidFill>
                </w14:textFill>
              </w:rPr>
              <w:t>日期</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2025年06月27日</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至2025年07月04日，上午00:00至14:00，下午14:00至23:59（</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法定节假日除外</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w:t>
            </w:r>
          </w:p>
        </w:tc>
      </w:tr>
      <w:tr w14:paraId="7780E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844B75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14</w:t>
            </w:r>
          </w:p>
        </w:tc>
        <w:tc>
          <w:tcPr>
            <w:tcW w:w="7440" w:type="dxa"/>
            <w:vAlign w:val="center"/>
          </w:tcPr>
          <w:p w14:paraId="2C24720B">
            <w:pPr>
              <w:pStyle w:val="13"/>
              <w:keepNext w:val="0"/>
              <w:keepLines w:val="0"/>
              <w:pageBreakBefore w:val="0"/>
              <w:widowControl w:val="0"/>
              <w:kinsoku/>
              <w:wordWrap/>
              <w:overflowPunct/>
              <w:topLinePunct w:val="0"/>
              <w:bidi w:val="0"/>
              <w:adjustRightInd/>
              <w:spacing w:line="440" w:lineRule="exact"/>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rPr>
              <w:t>保证金形式：</w:t>
            </w:r>
            <w:r>
              <w:rPr>
                <w:rFonts w:hint="eastAsia" w:ascii="宋体" w:hAnsi="宋体" w:eastAsia="宋体" w:cs="宋体"/>
                <w:b w:val="0"/>
                <w:bCs w:val="0"/>
                <w:color w:val="auto"/>
                <w:kern w:val="2"/>
                <w:sz w:val="28"/>
                <w:szCs w:val="28"/>
                <w:highlight w:val="none"/>
                <w:lang w:val="en-US" w:eastAsia="zh-CN" w:bidi="ar-SA"/>
              </w:rPr>
              <w:t>投标保证金应当以支票、汇票、本票、网上银行或者金融机构、担保机构出具的保函等非现金形式提交。</w:t>
            </w:r>
          </w:p>
          <w:p w14:paraId="10D9CB51">
            <w:pPr>
              <w:keepNext w:val="0"/>
              <w:keepLines w:val="0"/>
              <w:pageBreakBefore w:val="0"/>
              <w:widowControl w:val="0"/>
              <w:kinsoku/>
              <w:wordWrap/>
              <w:overflowPunct/>
              <w:topLinePunct w:val="0"/>
              <w:bidi w:val="0"/>
              <w:adjustRightInd/>
              <w:spacing w:line="440" w:lineRule="exact"/>
              <w:rPr>
                <w:rFonts w:hint="default" w:ascii="宋体" w:hAnsi="宋体" w:eastAsia="宋体" w:cs="宋体"/>
                <w:b w:val="0"/>
                <w:bCs w:val="0"/>
                <w:color w:val="FF0000"/>
                <w:sz w:val="28"/>
                <w:szCs w:val="28"/>
                <w:highlight w:val="none"/>
                <w:lang w:val="en-US" w:eastAsia="zh-CN"/>
              </w:rPr>
            </w:pPr>
            <w:r>
              <w:rPr>
                <w:rFonts w:hint="eastAsia" w:ascii="宋体" w:hAnsi="宋体" w:eastAsia="宋体" w:cs="宋体"/>
                <w:b/>
                <w:bCs/>
                <w:color w:val="auto"/>
                <w:sz w:val="28"/>
                <w:szCs w:val="28"/>
                <w:highlight w:val="none"/>
              </w:rPr>
              <w:t>保证金数额</w:t>
            </w:r>
            <w:r>
              <w:rPr>
                <w:rFonts w:hint="eastAsia" w:ascii="宋体" w:hAnsi="宋体" w:eastAsia="宋体" w:cs="宋体"/>
                <w:b/>
                <w:bCs/>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56700元（标项一）、48600元（标项二）、40500元（标项三）、36000元（标项四）、58500元（标项五）。</w:t>
            </w:r>
          </w:p>
          <w:p w14:paraId="37605A26">
            <w:pPr>
              <w:pStyle w:val="8"/>
              <w:keepNext w:val="0"/>
              <w:keepLines w:val="0"/>
              <w:pageBreakBefore w:val="0"/>
              <w:widowControl w:val="0"/>
              <w:kinsoku/>
              <w:wordWrap/>
              <w:overflowPunct/>
              <w:topLinePunct w:val="0"/>
              <w:bidi w:val="0"/>
              <w:adjustRightInd/>
              <w:spacing w:line="440" w:lineRule="exact"/>
              <w:ind w:left="0" w:leftChars="0"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1.采用网上银行转账形式的</w:t>
            </w:r>
          </w:p>
          <w:p w14:paraId="18BBC98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递交时间：在</w:t>
            </w:r>
            <w:r>
              <w:rPr>
                <w:rFonts w:hint="eastAsia" w:ascii="宋体" w:hAnsi="宋体" w:eastAsia="宋体" w:cs="宋体"/>
                <w:b/>
                <w:bCs/>
                <w:color w:val="auto"/>
                <w:kern w:val="2"/>
                <w:sz w:val="28"/>
                <w:szCs w:val="28"/>
                <w:highlight w:val="none"/>
                <w:u w:val="single"/>
                <w:lang w:val="en-US" w:eastAsia="zh-CN" w:bidi="ar-SA"/>
              </w:rPr>
              <w:t>2025年07月18日11：00</w:t>
            </w:r>
            <w:r>
              <w:rPr>
                <w:rFonts w:hint="eastAsia" w:ascii="宋体" w:hAnsi="宋体" w:eastAsia="宋体" w:cs="宋体"/>
                <w:b/>
                <w:bCs/>
                <w:color w:val="auto"/>
                <w:kern w:val="2"/>
                <w:sz w:val="28"/>
                <w:szCs w:val="28"/>
                <w:highlight w:val="none"/>
                <w:lang w:val="en-US" w:eastAsia="zh-CN" w:bidi="ar-SA"/>
              </w:rPr>
              <w:t>前到账</w:t>
            </w:r>
            <w:r>
              <w:rPr>
                <w:rFonts w:hint="eastAsia" w:ascii="宋体" w:hAnsi="宋体" w:eastAsia="宋体" w:cs="宋体"/>
                <w:color w:val="auto"/>
                <w:kern w:val="2"/>
                <w:sz w:val="28"/>
                <w:szCs w:val="28"/>
                <w:highlight w:val="none"/>
                <w:lang w:val="en-US" w:eastAsia="zh-CN" w:bidi="ar-SA"/>
              </w:rPr>
              <w:t>（以到账时间为准）。</w:t>
            </w:r>
          </w:p>
          <w:p w14:paraId="27A7C2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账户信息</w:t>
            </w:r>
            <w:r>
              <w:rPr>
                <w:rFonts w:hint="eastAsia" w:ascii="宋体" w:hAnsi="宋体" w:eastAsia="宋体" w:cs="宋体"/>
                <w:color w:val="auto"/>
                <w:kern w:val="2"/>
                <w:sz w:val="28"/>
                <w:szCs w:val="28"/>
                <w:highlight w:val="none"/>
                <w:lang w:val="en-US" w:eastAsia="zh-CN" w:bidi="ar-SA"/>
              </w:rPr>
              <w:t>：</w:t>
            </w:r>
          </w:p>
          <w:p w14:paraId="049CD7EA">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开户行名称：</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p>
          <w:p w14:paraId="7D74CD79">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开户银行：</w:t>
            </w:r>
            <w:r>
              <w:rPr>
                <w:rFonts w:hint="eastAsia" w:ascii="宋体" w:hAnsi="宋体" w:eastAsia="宋体" w:cs="宋体"/>
                <w:b w:val="0"/>
                <w:bCs w:val="0"/>
                <w:color w:val="auto"/>
                <w:sz w:val="28"/>
                <w:szCs w:val="28"/>
                <w:highlight w:val="none"/>
                <w:lang w:val="en-US" w:eastAsia="zh-CN"/>
              </w:rPr>
              <w:t>工行伊犁伊宁斯大林西街支行</w:t>
            </w:r>
          </w:p>
          <w:p w14:paraId="627B494B">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银行账号：</w:t>
            </w:r>
            <w:r>
              <w:rPr>
                <w:rFonts w:hint="eastAsia" w:ascii="宋体" w:hAnsi="宋体" w:eastAsia="宋体" w:cs="宋体"/>
                <w:b w:val="0"/>
                <w:bCs w:val="0"/>
                <w:color w:val="auto"/>
                <w:sz w:val="28"/>
                <w:szCs w:val="28"/>
                <w:highlight w:val="none"/>
                <w:lang w:val="en-US" w:eastAsia="zh-CN"/>
              </w:rPr>
              <w:t>3006024219000027516 </w:t>
            </w:r>
          </w:p>
          <w:p w14:paraId="7C0105B2">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银行行号：</w:t>
            </w:r>
            <w:r>
              <w:rPr>
                <w:rFonts w:hint="eastAsia" w:ascii="宋体" w:hAnsi="宋体" w:eastAsia="宋体" w:cs="宋体"/>
                <w:b w:val="0"/>
                <w:bCs w:val="0"/>
                <w:color w:val="auto"/>
                <w:sz w:val="28"/>
                <w:szCs w:val="28"/>
                <w:highlight w:val="none"/>
                <w:lang w:val="en-US" w:eastAsia="zh-CN"/>
              </w:rPr>
              <w:t>102898002424</w:t>
            </w:r>
          </w:p>
          <w:p w14:paraId="29A3729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投标人的投标保证金，须在汇款/转账凭单附注说明中写明项目名称或项目编号。</w:t>
            </w:r>
          </w:p>
          <w:p w14:paraId="7E39061C">
            <w:pPr>
              <w:keepNext w:val="0"/>
              <w:keepLines w:val="0"/>
              <w:pageBreakBefore w:val="0"/>
              <w:widowControl w:val="0"/>
              <w:numPr>
                <w:ilvl w:val="0"/>
                <w:numId w:val="0"/>
              </w:numPr>
              <w:kinsoku/>
              <w:wordWrap/>
              <w:overflowPunct/>
              <w:topLinePunct w:val="0"/>
              <w:bidi w:val="0"/>
              <w:adjustRightInd/>
              <w:spacing w:line="440" w:lineRule="exact"/>
              <w:ind w:left="3" w:leftChars="0"/>
              <w:jc w:val="left"/>
              <w:rPr>
                <w:rFonts w:hint="eastAsia" w:ascii="宋体" w:hAnsi="宋体" w:eastAsia="宋体" w:cs="宋体"/>
                <w:color w:val="auto"/>
                <w:sz w:val="28"/>
                <w:szCs w:val="28"/>
                <w:highlight w:val="yellow"/>
                <w:lang w:val="en-US" w:eastAsia="zh-CN"/>
              </w:rPr>
            </w:pPr>
            <w:r>
              <w:rPr>
                <w:rFonts w:hint="eastAsia" w:ascii="宋体" w:hAnsi="宋体" w:eastAsia="宋体" w:cs="宋体"/>
                <w:b/>
                <w:bCs/>
                <w:color w:val="auto"/>
                <w:kern w:val="2"/>
                <w:sz w:val="28"/>
                <w:szCs w:val="28"/>
                <w:highlight w:val="none"/>
                <w:lang w:val="en-US" w:eastAsia="zh-CN" w:bidi="ar-SA"/>
              </w:rPr>
              <w:t>2.递交方式：采用支票、汇票、本票、保函等形式。</w:t>
            </w:r>
          </w:p>
          <w:p w14:paraId="75BB51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color w:val="auto"/>
                <w:sz w:val="28"/>
                <w:szCs w:val="28"/>
                <w:highlight w:val="none"/>
              </w:rPr>
            </w:pPr>
            <w:r>
              <w:rPr>
                <w:rFonts w:hint="eastAsia" w:ascii="宋体" w:hAnsi="宋体" w:eastAsia="宋体" w:cs="宋体"/>
                <w:b/>
                <w:bCs/>
                <w:color w:val="auto"/>
                <w:kern w:val="2"/>
                <w:sz w:val="28"/>
                <w:szCs w:val="28"/>
                <w:highlight w:val="none"/>
                <w:lang w:val="en-US" w:eastAsia="zh-CN" w:bidi="ar-SA"/>
              </w:rPr>
              <w:t>3.潜在投标人可以自主选择以上任一种递交方式提交保证金。</w:t>
            </w:r>
          </w:p>
        </w:tc>
      </w:tr>
      <w:tr w14:paraId="52775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92" w:type="dxa"/>
            <w:vAlign w:val="center"/>
          </w:tcPr>
          <w:p w14:paraId="70D9DC28">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15</w:t>
            </w:r>
          </w:p>
        </w:tc>
        <w:tc>
          <w:tcPr>
            <w:tcW w:w="7440" w:type="dxa"/>
            <w:vAlign w:val="center"/>
          </w:tcPr>
          <w:p w14:paraId="6C4A8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8"/>
                <w:szCs w:val="28"/>
                <w:highlight w:val="none"/>
                <w:u w:val="single"/>
                <w:lang w:eastAsia="zh-CN"/>
              </w:rPr>
            </w:pPr>
            <w:r>
              <w:rPr>
                <w:rFonts w:hint="eastAsia" w:ascii="宋体" w:hAnsi="宋体" w:eastAsia="宋体" w:cs="宋体"/>
                <w:b/>
                <w:bCs w:val="0"/>
                <w:color w:val="000000"/>
                <w:sz w:val="28"/>
                <w:szCs w:val="28"/>
                <w:highlight w:val="none"/>
              </w:rPr>
              <w:t>响应文件有效期</w:t>
            </w:r>
            <w:r>
              <w:rPr>
                <w:rFonts w:hint="eastAsia" w:ascii="宋体" w:hAnsi="宋体" w:eastAsia="宋体" w:cs="宋体"/>
                <w:b/>
                <w:bCs w:val="0"/>
                <w:sz w:val="28"/>
                <w:szCs w:val="28"/>
                <w:highlight w:val="none"/>
              </w:rPr>
              <w:t>：</w:t>
            </w:r>
            <w:r>
              <w:rPr>
                <w:rFonts w:hint="eastAsia" w:ascii="宋体" w:hAnsi="宋体" w:eastAsia="宋体" w:cs="宋体"/>
                <w:b w:val="0"/>
                <w:bCs/>
                <w:sz w:val="28"/>
                <w:szCs w:val="28"/>
                <w:highlight w:val="none"/>
                <w:u w:val="single"/>
                <w:lang w:val="en-US" w:eastAsia="zh-CN"/>
              </w:rPr>
              <w:t>90</w:t>
            </w:r>
            <w:r>
              <w:rPr>
                <w:rFonts w:hint="eastAsia" w:ascii="宋体" w:hAnsi="宋体" w:eastAsia="宋体" w:cs="宋体"/>
                <w:b w:val="0"/>
                <w:bCs/>
                <w:sz w:val="28"/>
                <w:szCs w:val="28"/>
                <w:highlight w:val="none"/>
              </w:rPr>
              <w:t>日历日</w:t>
            </w:r>
            <w:r>
              <w:rPr>
                <w:rFonts w:hint="eastAsia" w:ascii="宋体" w:hAnsi="宋体" w:eastAsia="宋体" w:cs="宋体"/>
                <w:b w:val="0"/>
                <w:bCs/>
                <w:sz w:val="28"/>
                <w:szCs w:val="28"/>
                <w:highlight w:val="none"/>
                <w:lang w:eastAsia="zh-CN"/>
              </w:rPr>
              <w:t>。</w:t>
            </w:r>
          </w:p>
        </w:tc>
      </w:tr>
      <w:tr w14:paraId="75990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1FDE253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16</w:t>
            </w:r>
          </w:p>
        </w:tc>
        <w:tc>
          <w:tcPr>
            <w:tcW w:w="7440" w:type="dxa"/>
            <w:vAlign w:val="center"/>
          </w:tcPr>
          <w:p w14:paraId="32EB61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bCs w:val="0"/>
                <w:color w:val="auto"/>
                <w:sz w:val="28"/>
                <w:szCs w:val="28"/>
                <w:highlight w:val="none"/>
                <w:u w:val="none"/>
              </w:rPr>
              <w:t>投标响应文件组成:</w:t>
            </w:r>
          </w:p>
          <w:p w14:paraId="23D97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t>1.本项目采用不见面开标，投标人需要递交电子投标文件。加密的电子投标文件，在公开招标截止时间前通过新疆政采云平台上传到指定位置，无需递交纸质文件。2.本项目采用远程不见面交易的模式。开标当日，供应商需在任意地点新疆政采云</w:t>
            </w:r>
          </w:p>
          <w:p w14:paraId="67404C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single"/>
                <w:lang w:eastAsia="zh-CN"/>
              </w:rPr>
            </w:pPr>
            <w:r>
              <w:rPr>
                <w:rFonts w:hint="eastAsia" w:ascii="宋体" w:hAnsi="宋体" w:eastAsia="宋体" w:cs="宋体"/>
                <w:b w:val="0"/>
                <w:bCs/>
                <w:color w:val="auto"/>
                <w:sz w:val="28"/>
                <w:szCs w:val="28"/>
                <w:highlight w:val="none"/>
                <w:u w:val="none"/>
              </w:rPr>
              <w:t>http://www.ccgp-xinjiang.gov.cn/网上开标完成远程解密、提疑澄清、开标唱标、结果公布等交互环节</w:t>
            </w:r>
            <w:r>
              <w:rPr>
                <w:rFonts w:hint="eastAsia" w:ascii="宋体" w:hAnsi="宋体" w:eastAsia="宋体" w:cs="宋体"/>
                <w:b w:val="0"/>
                <w:bCs/>
                <w:color w:val="auto"/>
                <w:sz w:val="28"/>
                <w:szCs w:val="28"/>
                <w:highlight w:val="none"/>
                <w:u w:val="none"/>
                <w:lang w:eastAsia="zh-CN"/>
              </w:rPr>
              <w:t>。投标人必须使用能正确解密投标文件的“新疆政采云数字证书在规定的时间内完成远程解密，因投标人原因未能解密、解密失败或解密超时，视为投标人撤销其投标文件，系统内投标文件将被退回;因采购人原因或网上政采云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不见面开标默认解密时长:30分钟关于能否延长解密时间的约定:开标现场若发现默认解密时长不足，由采购人决定是否延长解密时长。</w:t>
            </w:r>
          </w:p>
        </w:tc>
      </w:tr>
      <w:tr w14:paraId="66D5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29905BD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7440" w:type="dxa"/>
            <w:vAlign w:val="center"/>
          </w:tcPr>
          <w:p w14:paraId="12748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rPr>
              <w:t>支持中小企业政策</w:t>
            </w:r>
            <w:r>
              <w:rPr>
                <w:rFonts w:hint="eastAsia" w:ascii="宋体" w:hAnsi="宋体" w:eastAsia="宋体" w:cs="宋体"/>
                <w:b/>
                <w:bCs w:val="0"/>
                <w:color w:val="auto"/>
                <w:sz w:val="28"/>
                <w:szCs w:val="28"/>
                <w:highlight w:val="none"/>
                <w:u w:val="none"/>
                <w:lang w:eastAsia="zh-CN"/>
              </w:rPr>
              <w:t>：</w:t>
            </w:r>
            <w:r>
              <w:rPr>
                <w:rFonts w:hint="eastAsia" w:ascii="宋体" w:hAnsi="宋体" w:eastAsia="宋体" w:cs="宋体"/>
                <w:b w:val="0"/>
                <w:bCs/>
                <w:color w:val="auto"/>
                <w:sz w:val="28"/>
                <w:szCs w:val="28"/>
                <w:highlight w:val="none"/>
                <w:u w:val="none"/>
                <w:lang w:val="en-US" w:eastAsia="zh-CN"/>
              </w:rPr>
              <w:t>本项目为</w:t>
            </w:r>
            <w:r>
              <w:rPr>
                <w:rFonts w:hint="eastAsia" w:ascii="宋体" w:hAnsi="宋体" w:eastAsia="宋体" w:cs="宋体"/>
                <w:b/>
                <w:bCs w:val="0"/>
                <w:color w:val="auto"/>
                <w:sz w:val="28"/>
                <w:szCs w:val="28"/>
                <w:highlight w:val="none"/>
                <w:u w:val="none"/>
                <w:lang w:val="en-US" w:eastAsia="zh-CN"/>
              </w:rPr>
              <w:t>专门面向中小企业采购的项目。</w:t>
            </w:r>
            <w:r>
              <w:rPr>
                <w:rFonts w:hint="eastAsia" w:ascii="宋体" w:hAnsi="宋体" w:eastAsia="宋体" w:cs="宋体"/>
                <w:b w:val="0"/>
                <w:bCs/>
                <w:color w:val="auto"/>
                <w:sz w:val="28"/>
                <w:szCs w:val="28"/>
                <w:highlight w:val="none"/>
                <w:u w:val="none"/>
                <w:lang w:val="en-US" w:eastAsia="zh-CN"/>
              </w:rPr>
              <w:t>本项目采购标的对应的中小企业划分标准</w:t>
            </w:r>
            <w:r>
              <w:rPr>
                <w:rFonts w:hint="eastAsia" w:ascii="宋体" w:hAnsi="宋体" w:eastAsia="宋体" w:cs="宋体"/>
                <w:b/>
                <w:bCs w:val="0"/>
                <w:color w:val="auto"/>
                <w:sz w:val="28"/>
                <w:szCs w:val="28"/>
                <w:highlight w:val="none"/>
                <w:u w:val="none"/>
                <w:lang w:val="en-US" w:eastAsia="zh-CN"/>
              </w:rPr>
              <w:t>所属行业：</w:t>
            </w:r>
            <w:r>
              <w:rPr>
                <w:rFonts w:hint="eastAsia" w:ascii="宋体" w:hAnsi="宋体" w:eastAsia="宋体" w:cs="宋体"/>
                <w:b/>
                <w:bCs w:val="0"/>
                <w:color w:val="auto"/>
                <w:sz w:val="28"/>
                <w:szCs w:val="28"/>
                <w:highlight w:val="none"/>
                <w:u w:val="single"/>
                <w:lang w:val="en-US" w:eastAsia="zh-CN"/>
              </w:rPr>
              <w:t>餐饮业</w:t>
            </w:r>
            <w:r>
              <w:rPr>
                <w:rFonts w:hint="eastAsia" w:ascii="宋体" w:hAnsi="宋体" w:eastAsia="宋体" w:cs="宋体"/>
                <w:b/>
                <w:bCs w:val="0"/>
                <w:color w:val="auto"/>
                <w:sz w:val="28"/>
                <w:szCs w:val="28"/>
                <w:highlight w:val="none"/>
                <w:u w:val="none"/>
                <w:lang w:val="en-US" w:eastAsia="zh-CN"/>
              </w:rPr>
              <w:t>（标项一至标项五）。</w:t>
            </w:r>
          </w:p>
        </w:tc>
      </w:tr>
      <w:tr w14:paraId="13BC9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192" w:type="dxa"/>
            <w:vAlign w:val="center"/>
          </w:tcPr>
          <w:p w14:paraId="4F41FC89">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w:t>
            </w:r>
          </w:p>
        </w:tc>
        <w:tc>
          <w:tcPr>
            <w:tcW w:w="7440" w:type="dxa"/>
            <w:vAlign w:val="center"/>
          </w:tcPr>
          <w:p w14:paraId="3A4CBC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投标</w:t>
            </w:r>
            <w:r>
              <w:rPr>
                <w:rFonts w:hint="eastAsia" w:ascii="宋体" w:hAnsi="宋体" w:eastAsia="宋体" w:cs="宋体"/>
                <w:b/>
                <w:bCs/>
                <w:color w:val="000000" w:themeColor="text1"/>
                <w:sz w:val="28"/>
                <w:szCs w:val="28"/>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2025年07月18日11:00（北京时间）。</w:t>
            </w:r>
          </w:p>
        </w:tc>
      </w:tr>
      <w:tr w14:paraId="19866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92" w:type="dxa"/>
            <w:vAlign w:val="center"/>
          </w:tcPr>
          <w:p w14:paraId="14277A2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19</w:t>
            </w:r>
          </w:p>
        </w:tc>
        <w:tc>
          <w:tcPr>
            <w:tcW w:w="7440" w:type="dxa"/>
            <w:vAlign w:val="center"/>
          </w:tcPr>
          <w:p w14:paraId="0A8793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开标</w:t>
            </w:r>
            <w:r>
              <w:rPr>
                <w:rFonts w:hint="eastAsia" w:ascii="宋体" w:hAnsi="宋体" w:eastAsia="宋体" w:cs="宋体"/>
                <w:b/>
                <w:bCs/>
                <w:color w:val="000000" w:themeColor="text1"/>
                <w:sz w:val="28"/>
                <w:szCs w:val="28"/>
                <w14:textFill>
                  <w14:solidFill>
                    <w14:schemeClr w14:val="tx1"/>
                  </w14:solidFill>
                </w14:textFill>
              </w:rPr>
              <w:t>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2025年07月18日11:00（北京时间）。</w:t>
            </w:r>
          </w:p>
          <w:p w14:paraId="03F5A9D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开标</w:t>
            </w:r>
            <w:r>
              <w:rPr>
                <w:rFonts w:hint="eastAsia" w:ascii="宋体" w:hAnsi="宋体" w:eastAsia="宋体" w:cs="宋体"/>
                <w:b/>
                <w:bCs/>
                <w:color w:val="000000" w:themeColor="text1"/>
                <w:sz w:val="28"/>
                <w:szCs w:val="28"/>
                <w:highlight w:val="none"/>
                <w14:textFill>
                  <w14:solidFill>
                    <w14:schemeClr w14:val="tx1"/>
                  </w14:solidFill>
                </w14:textFill>
              </w:rPr>
              <w:t>地点：</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政采云平台，开标时间后30分钟内供应商可以登录“政采云”平台，用“项目采购-开标评标”功能进行解密响应文件，解密时长为:30分钟。</w:t>
            </w:r>
          </w:p>
        </w:tc>
      </w:tr>
      <w:tr w14:paraId="3A4E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192" w:type="dxa"/>
            <w:vAlign w:val="center"/>
          </w:tcPr>
          <w:p w14:paraId="2D4CCA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20</w:t>
            </w:r>
          </w:p>
        </w:tc>
        <w:tc>
          <w:tcPr>
            <w:tcW w:w="7440" w:type="dxa"/>
            <w:vAlign w:val="center"/>
          </w:tcPr>
          <w:p w14:paraId="2B7B7D03">
            <w:pPr>
              <w:rPr>
                <w:rFonts w:hint="eastAsia" w:ascii="宋体" w:hAnsi="宋体" w:eastAsia="宋体" w:cs="宋体"/>
                <w:sz w:val="28"/>
                <w:szCs w:val="28"/>
                <w:u w:val="single"/>
                <w:lang w:val="en-US" w:eastAsia="zh-CN"/>
              </w:rPr>
            </w:pPr>
            <w:r>
              <w:rPr>
                <w:rFonts w:hint="eastAsia" w:ascii="宋体" w:hAnsi="宋体" w:eastAsia="宋体" w:cs="宋体"/>
                <w:b/>
                <w:bCs/>
                <w:sz w:val="28"/>
                <w:szCs w:val="28"/>
              </w:rPr>
              <w:t>评标方法：</w:t>
            </w:r>
            <w:r>
              <w:rPr>
                <w:rFonts w:hint="eastAsia" w:ascii="宋体" w:hAnsi="宋体" w:eastAsia="宋体" w:cs="宋体"/>
                <w:sz w:val="28"/>
                <w:szCs w:val="28"/>
              </w:rPr>
              <w:t>适用</w:t>
            </w:r>
            <w:r>
              <w:rPr>
                <w:rFonts w:hint="eastAsia" w:ascii="宋体" w:hAnsi="宋体" w:eastAsia="宋体" w:cs="宋体"/>
                <w:sz w:val="28"/>
                <w:szCs w:val="28"/>
                <w:u w:val="single"/>
                <w:lang w:val="en-US" w:eastAsia="zh-CN"/>
              </w:rPr>
              <w:t>综合评分法。</w:t>
            </w:r>
          </w:p>
          <w:p w14:paraId="0C6399BF">
            <w:pPr>
              <w:rPr>
                <w:rFonts w:hint="eastAsia" w:ascii="宋体" w:hAnsi="宋体" w:eastAsia="宋体" w:cs="宋体"/>
                <w:b/>
                <w:bCs/>
                <w:color w:val="auto"/>
                <w:sz w:val="28"/>
                <w:szCs w:val="28"/>
                <w:u w:val="single"/>
                <w:lang w:val="en-US" w:eastAsia="zh-CN"/>
              </w:rPr>
            </w:pPr>
            <w:r>
              <w:rPr>
                <w:rFonts w:hint="eastAsia" w:ascii="宋体" w:hAnsi="宋体" w:eastAsia="宋体" w:cs="宋体"/>
                <w:sz w:val="28"/>
                <w:szCs w:val="28"/>
                <w:u w:val="single"/>
                <w:lang w:val="en-US" w:eastAsia="zh-CN"/>
              </w:rPr>
              <w:t>（</w:t>
            </w:r>
            <w:r>
              <w:rPr>
                <w:rFonts w:hint="eastAsia" w:ascii="宋体" w:hAnsi="宋体" w:eastAsia="宋体" w:cs="宋体"/>
                <w:b/>
                <w:bCs/>
                <w:color w:val="auto"/>
                <w:sz w:val="28"/>
                <w:szCs w:val="28"/>
                <w:u w:val="single"/>
                <w:lang w:val="en-US" w:eastAsia="zh-CN"/>
              </w:rPr>
              <w:t xml:space="preserve">本项目各标项执行兼投不兼中推荐原则。若同一投标人在本项目经评审同时取得多个标项综合得分第一的，评标委员会将按标项评审顺序（即标项编号排序）依次选择顺序在前的一个标项，对该投标人进行第一中标候选人推荐，同时取消该投标人在项目其余标项中的第一中标候选人推荐资格。在按前述原则调整后，其余标项的第二中标候选人相应转为第一中标候选人（即由排名次位的投标人递补）。 </w:t>
            </w:r>
          </w:p>
          <w:p w14:paraId="5087AB0A">
            <w:pPr>
              <w:rPr>
                <w:rFonts w:hint="eastAsia" w:ascii="宋体" w:hAnsi="宋体" w:eastAsia="宋体" w:cs="宋体"/>
                <w:i/>
                <w:sz w:val="28"/>
                <w:szCs w:val="28"/>
              </w:rPr>
            </w:pPr>
            <w:r>
              <w:rPr>
                <w:rFonts w:hint="eastAsia" w:ascii="宋体" w:hAnsi="宋体" w:eastAsia="宋体" w:cs="宋体"/>
                <w:b/>
                <w:bCs/>
                <w:color w:val="auto"/>
                <w:sz w:val="28"/>
                <w:szCs w:val="28"/>
                <w:u w:val="single"/>
                <w:lang w:val="en-US" w:eastAsia="zh-CN"/>
              </w:rPr>
              <w:t>特别提示：本项目按上述原则推荐中标候选人；如投标人不接受，按重大偏差处理，视为不响应招标文件要求。</w:t>
            </w:r>
          </w:p>
        </w:tc>
      </w:tr>
      <w:tr w14:paraId="6D676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192" w:type="dxa"/>
            <w:vAlign w:val="center"/>
          </w:tcPr>
          <w:p w14:paraId="59BB52AA">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21</w:t>
            </w:r>
          </w:p>
        </w:tc>
        <w:tc>
          <w:tcPr>
            <w:tcW w:w="7440" w:type="dxa"/>
            <w:vAlign w:val="center"/>
          </w:tcPr>
          <w:p w14:paraId="04F8FB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推荐</w:t>
            </w:r>
            <w:r>
              <w:rPr>
                <w:rFonts w:hint="eastAsia" w:ascii="宋体" w:hAnsi="宋体" w:eastAsia="宋体" w:cs="宋体"/>
                <w:b/>
                <w:bCs/>
                <w:sz w:val="28"/>
                <w:szCs w:val="28"/>
                <w:lang w:val="en-US" w:eastAsia="zh-CN"/>
              </w:rPr>
              <w:t>成交</w:t>
            </w:r>
            <w:r>
              <w:rPr>
                <w:rFonts w:hint="eastAsia" w:ascii="宋体" w:hAnsi="宋体" w:eastAsia="宋体" w:cs="宋体"/>
                <w:b/>
                <w:bCs/>
                <w:sz w:val="28"/>
                <w:szCs w:val="28"/>
              </w:rPr>
              <w:t>候选供应商的数量：</w:t>
            </w:r>
            <w:r>
              <w:rPr>
                <w:rFonts w:hint="eastAsia" w:ascii="宋体" w:hAnsi="宋体" w:eastAsia="宋体" w:cs="宋体"/>
                <w:sz w:val="28"/>
                <w:szCs w:val="28"/>
                <w:u w:val="single"/>
              </w:rPr>
              <w:t>　每个标项推荐1家</w:t>
            </w:r>
            <w:r>
              <w:rPr>
                <w:rFonts w:hint="eastAsia" w:ascii="宋体" w:hAnsi="宋体" w:eastAsia="宋体" w:cs="宋体"/>
                <w:sz w:val="28"/>
                <w:szCs w:val="28"/>
                <w:u w:val="single"/>
                <w:lang w:eastAsia="zh-CN"/>
              </w:rPr>
              <w:t>。</w:t>
            </w:r>
          </w:p>
        </w:tc>
      </w:tr>
      <w:tr w14:paraId="59C2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4B5C96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22</w:t>
            </w:r>
          </w:p>
        </w:tc>
        <w:tc>
          <w:tcPr>
            <w:tcW w:w="7440" w:type="dxa"/>
            <w:vAlign w:val="center"/>
          </w:tcPr>
          <w:p w14:paraId="4173B0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bCs w:val="0"/>
                <w:color w:val="000000"/>
                <w:sz w:val="28"/>
                <w:szCs w:val="28"/>
              </w:rPr>
              <w:t>公告发布媒体</w:t>
            </w:r>
            <w:r>
              <w:rPr>
                <w:rFonts w:hint="eastAsia" w:ascii="宋体" w:hAnsi="宋体" w:eastAsia="宋体" w:cs="宋体"/>
                <w:b/>
                <w:bCs w:val="0"/>
                <w:color w:val="000000"/>
                <w:sz w:val="28"/>
                <w:szCs w:val="28"/>
                <w:lang w:val="en-US" w:eastAsia="zh-CN"/>
              </w:rPr>
              <w:t>:</w:t>
            </w:r>
            <w:r>
              <w:rPr>
                <w:rFonts w:hint="eastAsia" w:ascii="宋体" w:hAnsi="宋体" w:eastAsia="宋体" w:cs="宋体"/>
                <w:b w:val="0"/>
                <w:bCs/>
                <w:color w:val="000000"/>
                <w:sz w:val="28"/>
                <w:szCs w:val="28"/>
                <w:highlight w:val="none"/>
                <w:lang w:val="en-US" w:eastAsia="zh-CN"/>
              </w:rPr>
              <w:t>新疆政府采购网</w:t>
            </w:r>
          </w:p>
          <w:p w14:paraId="5780CC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b w:val="0"/>
                <w:bCs/>
                <w:color w:val="000000"/>
                <w:sz w:val="28"/>
                <w:szCs w:val="28"/>
                <w:highlight w:val="none"/>
                <w:lang w:val="en-US" w:eastAsia="zh-CN"/>
              </w:rPr>
              <w:t>(http://www.ccgp-xinjiang.gov.cn-)</w:t>
            </w:r>
          </w:p>
        </w:tc>
      </w:tr>
      <w:tr w14:paraId="1521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63E2A29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lang w:val="en-US" w:eastAsia="zh-CN"/>
              </w:rPr>
            </w:pPr>
            <w:r>
              <w:rPr>
                <w:rFonts w:hint="eastAsia" w:ascii="宋体" w:hAnsi="宋体" w:eastAsia="宋体" w:cs="宋体"/>
                <w:color w:val="000000"/>
                <w:sz w:val="28"/>
                <w:szCs w:val="28"/>
                <w:lang w:val="en-US" w:eastAsia="zh-CN"/>
              </w:rPr>
              <w:t>23</w:t>
            </w:r>
          </w:p>
        </w:tc>
        <w:tc>
          <w:tcPr>
            <w:tcW w:w="7440" w:type="dxa"/>
            <w:vAlign w:val="center"/>
          </w:tcPr>
          <w:p w14:paraId="6EBF66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rPr>
            </w:pPr>
            <w:r>
              <w:rPr>
                <w:rFonts w:hint="eastAsia" w:ascii="宋体" w:hAnsi="宋体" w:eastAsia="宋体" w:cs="宋体"/>
                <w:b/>
                <w:bCs/>
                <w:color w:val="auto"/>
                <w:kern w:val="0"/>
                <w:sz w:val="28"/>
                <w:szCs w:val="28"/>
              </w:rPr>
              <w:t>成交通知书</w:t>
            </w:r>
            <w:r>
              <w:rPr>
                <w:rFonts w:hint="eastAsia" w:ascii="宋体" w:hAnsi="宋体" w:eastAsia="宋体" w:cs="宋体"/>
                <w:b/>
                <w:bCs/>
                <w:color w:val="auto"/>
                <w:kern w:val="0"/>
                <w:sz w:val="28"/>
                <w:szCs w:val="28"/>
                <w:lang w:eastAsia="zh-CN"/>
              </w:rPr>
              <w:t>：</w:t>
            </w:r>
            <w:r>
              <w:rPr>
                <w:rFonts w:hint="eastAsia" w:ascii="宋体" w:hAnsi="宋体" w:eastAsia="宋体" w:cs="宋体"/>
                <w:color w:val="auto"/>
                <w:kern w:val="0"/>
                <w:sz w:val="28"/>
                <w:szCs w:val="28"/>
              </w:rPr>
              <w:t>成交公告发布后发放。</w:t>
            </w:r>
          </w:p>
        </w:tc>
      </w:tr>
      <w:tr w14:paraId="63AFA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192" w:type="dxa"/>
            <w:vAlign w:val="center"/>
          </w:tcPr>
          <w:p w14:paraId="76F97E2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24</w:t>
            </w:r>
          </w:p>
        </w:tc>
        <w:tc>
          <w:tcPr>
            <w:tcW w:w="7440" w:type="dxa"/>
            <w:vAlign w:val="center"/>
          </w:tcPr>
          <w:p w14:paraId="460D22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付款方式：</w:t>
            </w:r>
            <w:r>
              <w:rPr>
                <w:rFonts w:hint="eastAsia" w:ascii="宋体" w:hAnsi="宋体" w:eastAsia="宋体" w:cs="宋体"/>
                <w:b w:val="0"/>
                <w:bCs/>
                <w:color w:val="auto"/>
                <w:sz w:val="28"/>
                <w:szCs w:val="28"/>
                <w:highlight w:val="none"/>
                <w:lang w:val="zh-CN" w:eastAsia="zh-CN"/>
              </w:rPr>
              <w:t>当月结账日后15工作日内，餐饮服务企业须按学校财务部门要求，提供餐饮服务企业单位名称的发票结算，学校支付餐饮服务企业餐饮服务费，涉及寒暑假的月份在下学期开学结算。</w:t>
            </w:r>
          </w:p>
        </w:tc>
      </w:tr>
      <w:tr w14:paraId="11159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2B0D9F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25</w:t>
            </w:r>
          </w:p>
        </w:tc>
        <w:tc>
          <w:tcPr>
            <w:tcW w:w="7440" w:type="dxa"/>
            <w:vAlign w:val="center"/>
          </w:tcPr>
          <w:p w14:paraId="1AF7971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Style w:val="33"/>
                <w:rFonts w:hint="eastAsia" w:ascii="宋体" w:hAnsi="宋体" w:eastAsia="宋体" w:cs="宋体"/>
                <w:b/>
                <w:i w:val="0"/>
                <w:caps w:val="0"/>
                <w:color w:val="auto"/>
                <w:spacing w:val="0"/>
                <w:w w:val="100"/>
                <w:kern w:val="2"/>
                <w:sz w:val="28"/>
                <w:szCs w:val="28"/>
                <w:u w:val="none" w:color="auto"/>
                <w:lang w:val="en-US" w:eastAsia="zh-CN" w:bidi="ar-SA"/>
              </w:rPr>
              <w:t>本项目不得转包。</w:t>
            </w:r>
          </w:p>
        </w:tc>
      </w:tr>
      <w:tr w14:paraId="6E953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648C1FC">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26</w:t>
            </w:r>
          </w:p>
        </w:tc>
        <w:tc>
          <w:tcPr>
            <w:tcW w:w="7440" w:type="dxa"/>
            <w:vAlign w:val="center"/>
          </w:tcPr>
          <w:p w14:paraId="5CE5AE09">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default" w:ascii="宋体" w:hAnsi="宋体" w:eastAsia="宋体" w:cs="宋体"/>
                <w:b/>
                <w:bCs/>
                <w:color w:val="auto"/>
                <w:sz w:val="28"/>
                <w:szCs w:val="28"/>
                <w:highlight w:val="none"/>
                <w:lang w:val="en-US" w:eastAsia="zh-CN"/>
              </w:rPr>
            </w:pPr>
            <w:r>
              <w:rPr>
                <w:rFonts w:hint="eastAsia" w:hAnsi="宋体" w:eastAsia="宋体" w:cs="宋体"/>
                <w:b/>
                <w:bCs/>
                <w:color w:val="auto"/>
                <w:sz w:val="28"/>
                <w:szCs w:val="28"/>
                <w:highlight w:val="none"/>
                <w:lang w:val="en-US" w:eastAsia="zh-CN"/>
              </w:rPr>
              <w:t>履约</w:t>
            </w:r>
            <w:r>
              <w:rPr>
                <w:rFonts w:hint="eastAsia" w:ascii="宋体" w:hAnsi="宋体" w:eastAsia="宋体" w:cs="宋体"/>
                <w:b/>
                <w:bCs/>
                <w:color w:val="auto"/>
                <w:sz w:val="28"/>
                <w:szCs w:val="28"/>
                <w:highlight w:val="none"/>
                <w:lang w:val="en-US" w:eastAsia="zh-CN"/>
              </w:rPr>
              <w:t>保证金（元）：</w:t>
            </w:r>
            <w:r>
              <w:rPr>
                <w:rFonts w:hint="eastAsia" w:hAnsi="宋体" w:eastAsia="宋体" w:cs="宋体"/>
                <w:b/>
                <w:bCs/>
                <w:color w:val="auto"/>
                <w:sz w:val="28"/>
                <w:szCs w:val="28"/>
                <w:highlight w:val="none"/>
                <w:lang w:val="en-US" w:eastAsia="zh-CN"/>
              </w:rPr>
              <w:t>30万元（标项一至标项三），20万元（标项四、标项五），在签订合同前需一次性向学校缴纳。</w:t>
            </w:r>
          </w:p>
          <w:p w14:paraId="7D95D7DD">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不要求提供</w:t>
            </w:r>
          </w:p>
          <w:p w14:paraId="267BF256">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要求提供。</w:t>
            </w:r>
          </w:p>
          <w:p w14:paraId="01CBC804">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收款人户名：</w:t>
            </w:r>
          </w:p>
          <w:p w14:paraId="7A1A93C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开户银行：</w:t>
            </w:r>
          </w:p>
          <w:p w14:paraId="3D024E3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银行账号：</w:t>
            </w:r>
          </w:p>
          <w:p w14:paraId="355B37E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Style w:val="33"/>
                <w:rFonts w:hint="eastAsia" w:ascii="宋体" w:hAnsi="宋体" w:eastAsia="宋体" w:cs="宋体"/>
                <w:b/>
                <w:i w:val="0"/>
                <w:caps w:val="0"/>
                <w:color w:val="auto"/>
                <w:spacing w:val="0"/>
                <w:w w:val="100"/>
                <w:kern w:val="2"/>
                <w:sz w:val="28"/>
                <w:szCs w:val="28"/>
                <w:highlight w:val="none"/>
                <w:u w:val="none" w:color="auto"/>
                <w:lang w:val="en-US" w:eastAsia="zh-CN" w:bidi="ar-SA"/>
              </w:rPr>
            </w:pPr>
            <w:r>
              <w:rPr>
                <w:rFonts w:hint="eastAsia" w:ascii="宋体" w:hAnsi="宋体" w:eastAsia="宋体" w:cs="宋体"/>
                <w:color w:val="auto"/>
                <w:sz w:val="28"/>
                <w:szCs w:val="28"/>
                <w:highlight w:val="none"/>
                <w:lang w:val="en-US" w:eastAsia="zh-CN"/>
              </w:rPr>
              <w:t>注：以支票、汇票、本票或者金融机构、担保机构出具的保函等方式递交履约保证金须在电汇凭据附言栏中写明采购编号及用途（履约保证金)。</w:t>
            </w:r>
          </w:p>
        </w:tc>
      </w:tr>
      <w:tr w14:paraId="1C42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F81FB7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27</w:t>
            </w:r>
          </w:p>
        </w:tc>
        <w:tc>
          <w:tcPr>
            <w:tcW w:w="7440" w:type="dxa"/>
            <w:vAlign w:val="center"/>
          </w:tcPr>
          <w:p w14:paraId="44AD08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现场勘察：本项目需要进行现场勘察。</w:t>
            </w:r>
          </w:p>
          <w:p w14:paraId="06BB32B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学校统一组织，2025年7月7日现场踏勘，餐饮服务企业须在此之前，将踏勘人员信息发送至57368318@qq.com。踏勘人员信息包含：踏勘人员姓名、联系方式、身份证正反面图片、车牌号（若有）。</w:t>
            </w:r>
          </w:p>
          <w:p w14:paraId="7D74E58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shd w:val="clear" w:color="auto" w:fill="auto"/>
                <w:lang w:val="en-US" w:eastAsia="zh-CN"/>
              </w:rPr>
              <w:t>未勘察现场或勘察工作不详细的投标方中标后，不得以不完全了解现场情况为理由而向采购人提出任何索赔或其他要求，对此采购人不承担任何责任并将不作任何答复。</w:t>
            </w:r>
          </w:p>
        </w:tc>
      </w:tr>
      <w:tr w14:paraId="62566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7E6AF5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28</w:t>
            </w:r>
          </w:p>
        </w:tc>
        <w:tc>
          <w:tcPr>
            <w:tcW w:w="7440" w:type="dxa"/>
            <w:vAlign w:val="center"/>
          </w:tcPr>
          <w:p w14:paraId="60559AB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采购代理服务费：</w:t>
            </w:r>
            <w:r>
              <w:rPr>
                <w:rFonts w:hint="eastAsia" w:ascii="宋体" w:hAnsi="宋体" w:eastAsia="宋体" w:cs="宋体"/>
                <w:b w:val="0"/>
                <w:bCs w:val="0"/>
                <w:color w:val="auto"/>
                <w:sz w:val="28"/>
                <w:szCs w:val="28"/>
                <w:highlight w:val="none"/>
                <w:shd w:val="clear" w:color="auto" w:fill="auto"/>
                <w:lang w:val="en-US" w:eastAsia="zh-CN"/>
              </w:rPr>
              <w:t>本项目不收取。</w:t>
            </w:r>
          </w:p>
        </w:tc>
      </w:tr>
      <w:tr w14:paraId="30019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505493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29</w:t>
            </w:r>
          </w:p>
        </w:tc>
        <w:tc>
          <w:tcPr>
            <w:tcW w:w="7440" w:type="dxa"/>
            <w:vAlign w:val="center"/>
          </w:tcPr>
          <w:p w14:paraId="232047C1">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低于成本价不正当竞争预防措施：</w:t>
            </w:r>
          </w:p>
          <w:p w14:paraId="5D515ED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在评标过程中，评标委员会认为投标人报价明显低于其他有效投标人报价，有可能影响产品质量或者不能诚信履约的，评标委员会应当要求其在评标现场合理的时间内提供成本构成澄清函说明，并提交相关证明材料。供应商澄清函说明应当按照国家财务会计制度的规定要求，逐项就供应商提供的货物、工程和服务的主营业务成本(应根据供应商企业类型予以区别)、税金及附加、销售费用、管理费用、财务费用等成本构成事项详细陈述。供应商澄清函说明应当签字或签章确认或者加盖公章，否则无效。澄清函说明的签字或签章确认，供应商为法人的，由其法定代表人或者被授权人签字签章确认;供应商为其他组织的，由其主要负责人或者被授权人签字或签章确认;供应商为自然人的，由其本人或者被授权人签字或签章确认。</w:t>
            </w:r>
          </w:p>
          <w:p w14:paraId="5530888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Fonts w:hint="eastAsia" w:ascii="宋体" w:hAnsi="宋体" w:eastAsia="宋体" w:cs="宋体"/>
                <w:b w:val="0"/>
                <w:bCs w:val="0"/>
                <w:color w:val="auto"/>
                <w:sz w:val="28"/>
                <w:szCs w:val="28"/>
                <w:lang w:val="en-US" w:eastAsia="zh-CN"/>
              </w:rPr>
              <w:t>供应商提供澄清函说明后，评标委员会应当结合采购项目采购需求、专业实际情况、供应商财务状况报告、与其他供应商比较情况等就供应商澄清函说明进行审查评价。供应商拒绝或者变相拒绝提供有效澄清函说明或者澄清函说明不能证明其报价合理性的，评标委员会应当将其投标文件作为无效处理。</w:t>
            </w:r>
          </w:p>
        </w:tc>
      </w:tr>
      <w:tr w14:paraId="0A3BD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49A7316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6183A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125B92A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highlight w:val="none"/>
              </w:rPr>
              <w:t>文件解释权：</w:t>
            </w:r>
            <w:r>
              <w:rPr>
                <w:rFonts w:hint="eastAsia" w:ascii="宋体" w:hAnsi="宋体" w:eastAsia="宋体" w:cs="宋体"/>
                <w:color w:val="auto"/>
                <w:kern w:val="0"/>
                <w:sz w:val="28"/>
                <w:szCs w:val="28"/>
                <w:highlight w:val="none"/>
              </w:rPr>
              <w:t>本</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的解释权归</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r>
              <w:rPr>
                <w:rFonts w:hint="eastAsia" w:ascii="宋体" w:hAnsi="宋体" w:eastAsia="宋体" w:cs="宋体"/>
                <w:color w:val="auto"/>
                <w:kern w:val="0"/>
                <w:sz w:val="28"/>
                <w:szCs w:val="28"/>
                <w:highlight w:val="none"/>
              </w:rPr>
              <w:t>所有，当对一个问题有多种解释时以</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解释为准。</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未作须知明示，而又有法律法规规定的，</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将依据法律法规的规定进行解释。</w:t>
            </w:r>
          </w:p>
        </w:tc>
      </w:tr>
    </w:tbl>
    <w:p w14:paraId="0D37CF8A">
      <w:pPr>
        <w:rPr>
          <w:rFonts w:hint="default"/>
          <w:lang w:val="en-US" w:eastAsia="zh-CN"/>
        </w:rPr>
      </w:pPr>
    </w:p>
    <w:p w14:paraId="49B165DA">
      <w:pPr>
        <w:pStyle w:val="24"/>
        <w:rPr>
          <w:rFonts w:hint="default"/>
          <w:lang w:val="en-US" w:eastAsia="zh-CN"/>
        </w:rPr>
      </w:pPr>
    </w:p>
    <w:p w14:paraId="7C9DA866">
      <w:pPr>
        <w:pStyle w:val="25"/>
        <w:rPr>
          <w:rFonts w:hint="default"/>
          <w:lang w:val="en-US" w:eastAsia="zh-CN"/>
        </w:rPr>
      </w:pPr>
    </w:p>
    <w:p w14:paraId="2A0F37CA">
      <w:pPr>
        <w:rPr>
          <w:rFonts w:hint="default"/>
          <w:lang w:val="en-US" w:eastAsia="zh-CN"/>
        </w:rPr>
      </w:pPr>
    </w:p>
    <w:p w14:paraId="143DFBE3">
      <w:pPr>
        <w:rPr>
          <w:rFonts w:hint="default"/>
          <w:lang w:val="en-US" w:eastAsia="zh-CN"/>
        </w:rPr>
      </w:pPr>
    </w:p>
    <w:p w14:paraId="7646041B">
      <w:pPr>
        <w:pStyle w:val="3"/>
        <w:pageBreakBefore w:val="0"/>
        <w:numPr>
          <w:ilvl w:val="0"/>
          <w:numId w:val="0"/>
        </w:numPr>
        <w:tabs>
          <w:tab w:val="left" w:pos="0"/>
        </w:tabs>
        <w:overflowPunct/>
        <w:topLinePunct w:val="0"/>
        <w:bidi w:val="0"/>
        <w:spacing w:before="0" w:beforeLines="0" w:after="0" w:afterLines="0" w:line="500" w:lineRule="exact"/>
        <w:jc w:val="center"/>
        <w:rPr>
          <w:rFonts w:hint="eastAsia" w:ascii="黑体" w:hAnsi="黑体" w:eastAsia="黑体" w:cs="黑体"/>
          <w:b/>
          <w:bCs/>
          <w:sz w:val="32"/>
          <w:szCs w:val="32"/>
        </w:rPr>
      </w:pPr>
      <w:bookmarkStart w:id="468" w:name="_Toc15056"/>
      <w:bookmarkStart w:id="469" w:name="_Toc19445"/>
      <w:bookmarkStart w:id="470" w:name="_Toc32450"/>
      <w:bookmarkStart w:id="471" w:name="_Toc25626"/>
      <w:r>
        <w:rPr>
          <w:rFonts w:hint="eastAsia" w:ascii="宋体" w:hAnsi="宋体" w:eastAsia="宋体" w:cs="宋体"/>
          <w:b/>
          <w:sz w:val="44"/>
          <w:szCs w:val="44"/>
          <w:highlight w:val="none"/>
          <w:lang w:val="en-US" w:eastAsia="zh-CN"/>
        </w:rPr>
        <w:t>第四章 采购需求</w:t>
      </w:r>
      <w:bookmarkEnd w:id="468"/>
      <w:r>
        <w:rPr>
          <w:rFonts w:hint="eastAsia" w:ascii="宋体" w:hAnsi="宋体" w:eastAsia="宋体" w:cs="宋体"/>
          <w:b/>
          <w:sz w:val="44"/>
          <w:szCs w:val="44"/>
          <w:highlight w:val="none"/>
          <w:lang w:val="en-US" w:eastAsia="zh-CN"/>
        </w:rPr>
        <w:t>及要求</w:t>
      </w:r>
      <w:bookmarkEnd w:id="469"/>
      <w:bookmarkEnd w:id="470"/>
      <w:bookmarkEnd w:id="471"/>
    </w:p>
    <w:p w14:paraId="1F7E18E9">
      <w:pPr>
        <w:keepNext w:val="0"/>
        <w:keepLines w:val="0"/>
        <w:pageBreakBefore w:val="0"/>
        <w:widowControl w:val="0"/>
        <w:wordWrap/>
        <w:overflowPunct/>
        <w:topLinePunct w:val="0"/>
        <w:autoSpaceDE/>
        <w:autoSpaceDN/>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标项一：</w:t>
      </w:r>
    </w:p>
    <w:p w14:paraId="3024DBAC">
      <w:pPr>
        <w:pageBreakBefore w:val="0"/>
        <w:overflowPunct/>
        <w:topLinePunct w:val="0"/>
        <w:bidi w:val="0"/>
        <w:spacing w:line="500" w:lineRule="exact"/>
        <w:ind w:firstLine="480" w:firstLineChars="200"/>
        <w:rPr>
          <w:rFonts w:hint="eastAsia" w:ascii="黑体" w:hAnsi="黑体" w:eastAsia="黑体" w:cs="黑体"/>
          <w:b/>
          <w:bCs/>
          <w:sz w:val="24"/>
          <w:szCs w:val="24"/>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3AA7C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2583㎡</w:t>
      </w:r>
      <w:r>
        <w:rPr>
          <w:rFonts w:hint="eastAsia" w:ascii="宋体" w:hAnsi="宋体" w:eastAsia="宋体" w:cs="宋体"/>
          <w:sz w:val="24"/>
          <w:szCs w:val="24"/>
        </w:rPr>
        <w:t>，提供中华传统美食服务。</w:t>
      </w:r>
      <w:r>
        <w:rPr>
          <w:rFonts w:hint="eastAsia" w:ascii="宋体" w:hAnsi="宋体" w:eastAsia="宋体" w:cs="宋体"/>
          <w:sz w:val="24"/>
          <w:szCs w:val="24"/>
          <w:lang w:val="en-US" w:eastAsia="zh-CN"/>
        </w:rPr>
        <w:t xml:space="preserve"> </w:t>
      </w:r>
    </w:p>
    <w:p w14:paraId="2791790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伊犁师范大学校</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w:t>
      </w:r>
    </w:p>
    <w:p w14:paraId="59A766D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w:t>
      </w:r>
      <w:r>
        <w:rPr>
          <w:rFonts w:hint="eastAsia" w:ascii="宋体" w:hAnsi="宋体" w:eastAsia="宋体" w:cs="宋体"/>
          <w:sz w:val="24"/>
          <w:szCs w:val="24"/>
          <w:lang w:val="en-US" w:eastAsia="zh-CN"/>
        </w:rPr>
        <w:t>:</w:t>
      </w:r>
      <w:r>
        <w:rPr>
          <w:rFonts w:hint="eastAsia" w:ascii="宋体" w:hAnsi="宋体" w:eastAsia="宋体" w:cs="宋体"/>
          <w:sz w:val="24"/>
          <w:szCs w:val="24"/>
        </w:rPr>
        <w:t>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000F3A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w:t>
      </w:r>
      <w:r>
        <w:rPr>
          <w:rFonts w:hint="eastAsia" w:ascii="宋体" w:hAnsi="宋体" w:eastAsia="宋体" w:cs="宋体"/>
          <w:sz w:val="24"/>
          <w:szCs w:val="24"/>
          <w:lang w:val="en-US" w:eastAsia="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5BC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经营范围</w:t>
      </w:r>
      <w:r>
        <w:rPr>
          <w:rFonts w:hint="eastAsia" w:ascii="宋体" w:hAnsi="宋体" w:eastAsia="宋体" w:cs="宋体"/>
          <w:sz w:val="24"/>
          <w:szCs w:val="24"/>
          <w:lang w:val="en-US" w:eastAsia="zh-CN"/>
        </w:rPr>
        <w:t>:</w:t>
      </w:r>
    </w:p>
    <w:p w14:paraId="361E94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w:t>
      </w:r>
      <w:r>
        <w:rPr>
          <w:rFonts w:hint="eastAsia" w:ascii="宋体" w:hAnsi="宋体" w:eastAsia="宋体" w:cs="宋体"/>
          <w:sz w:val="24"/>
          <w:szCs w:val="24"/>
          <w:lang w:val="en-US" w:eastAsia="zh-CN"/>
        </w:rPr>
        <w:t>东校区南区学生食堂一楼餐厅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800</w:t>
      </w:r>
      <w:r>
        <w:rPr>
          <w:rFonts w:hint="eastAsia" w:ascii="宋体" w:hAnsi="宋体" w:eastAsia="宋体" w:cs="宋体"/>
          <w:sz w:val="24"/>
          <w:szCs w:val="24"/>
        </w:rPr>
        <w:t>个。</w:t>
      </w:r>
      <w:r>
        <w:rPr>
          <w:rFonts w:hint="eastAsia" w:ascii="宋体" w:hAnsi="宋体" w:eastAsia="宋体" w:cs="宋体"/>
          <w:sz w:val="24"/>
          <w:szCs w:val="24"/>
        </w:rPr>
        <w:tab/>
      </w:r>
    </w:p>
    <w:p w14:paraId="6AAA7E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w:t>
      </w:r>
      <w:r>
        <w:rPr>
          <w:rFonts w:hint="eastAsia" w:ascii="宋体" w:hAnsi="宋体" w:eastAsia="宋体" w:cs="宋体"/>
          <w:sz w:val="24"/>
          <w:szCs w:val="24"/>
          <w:lang w:val="en-US" w:eastAsia="zh-CN"/>
        </w:rPr>
        <w:t>:</w:t>
      </w:r>
      <w:r>
        <w:rPr>
          <w:rFonts w:hint="eastAsia" w:ascii="宋体" w:hAnsi="宋体" w:eastAsia="宋体" w:cs="宋体"/>
          <w:sz w:val="24"/>
          <w:szCs w:val="24"/>
        </w:rPr>
        <w:t>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210A6F2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7CF8ACDF">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23734C6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0E0A6D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设置保障餐档口（不少于30%的档口），主要提供米饭菜、拌面、包子、抓饭和汤饭等各类基础餐食。单品售价控制在5元以下，满足广大师生员工日常基本保障需求。</w:t>
      </w:r>
    </w:p>
    <w:p w14:paraId="6D26573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22C401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24D4707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679C834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3.特色风味伙食</w:t>
      </w:r>
    </w:p>
    <w:p w14:paraId="762E43D3">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为满足师生对餐饮多样化的需求，食堂设置特色风味档口（不多于15%的档口），主要经营特色饮食，单品价格不得高于同类同质餐品价格的80%。</w:t>
      </w:r>
    </w:p>
    <w:p w14:paraId="30C6017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33E5BCA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0843BC6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color w:val="auto"/>
          <w:sz w:val="24"/>
          <w:szCs w:val="24"/>
          <w:highlight w:val="none"/>
        </w:rPr>
        <w:t>服务期限</w:t>
      </w:r>
    </w:p>
    <w:p w14:paraId="217524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合同签订后一年（采取一次招标三年沿用。合同一年一考核一年一签，年度考核合格及以上，可选择续签下一年度合同。考核不合格，不予续签。）（具体时间以签订合同日期为准）。</w:t>
      </w:r>
    </w:p>
    <w:p w14:paraId="3D2C1655">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E2647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自主报价。</w:t>
      </w:r>
    </w:p>
    <w:p w14:paraId="184641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CB25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63BAC29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E8341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452A631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7C6B9461">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0217AA63">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53B005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169ADCB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DDEE0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lang w:val="zh-CN"/>
        </w:rPr>
        <w:t>基本要求和原则：</w:t>
      </w:r>
    </w:p>
    <w:p w14:paraId="1BFBCA6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14FA58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572936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752AE58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0944E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45AE2E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05C9A8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59C671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409CD5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236CFF8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从业经历。以上人员在经营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63E8EA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ascii="仿宋_GB2312" w:hAnsi="仿宋_GB2312" w:eastAsia="仿宋_GB2312" w:cs="仿宋_GB2312"/>
          <w:b w:val="0"/>
          <w:bCs w:val="0"/>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0C8070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规定，使用校园一卡通收费系统，严禁其他未经允许的收款方式。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2CF27FC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22D5D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88B97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9E2B0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475B4ADE">
      <w:pPr>
        <w:pStyle w:val="2"/>
        <w:pageBreakBefore w:val="0"/>
        <w:overflowPunct/>
        <w:topLinePunct w:val="0"/>
        <w:bidi w:val="0"/>
        <w:spacing w:line="50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11.2025年8月22日前应达到可正常开餐条件。</w:t>
      </w:r>
    </w:p>
    <w:p w14:paraId="660E2A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BF3F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47A261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7892F696">
      <w:pPr>
        <w:pStyle w:val="25"/>
        <w:pageBreakBefore w:val="0"/>
        <w:overflowPunct/>
        <w:topLinePunct w:val="0"/>
        <w:bidi w:val="0"/>
        <w:spacing w:line="500" w:lineRule="exact"/>
        <w:rPr>
          <w:rFonts w:hint="eastAsia"/>
          <w:sz w:val="24"/>
          <w:szCs w:val="24"/>
          <w:lang w:val="en-US" w:eastAsia="zh-CN"/>
        </w:rPr>
      </w:pPr>
    </w:p>
    <w:p w14:paraId="1330F4BC">
      <w:pPr>
        <w:pageBreakBefore w:val="0"/>
        <w:numPr>
          <w:ilvl w:val="0"/>
          <w:numId w:val="0"/>
        </w:numPr>
        <w:overflowPunct/>
        <w:topLinePunct w:val="0"/>
        <w:bidi w:val="0"/>
        <w:spacing w:line="5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标项二：</w:t>
      </w:r>
    </w:p>
    <w:p w14:paraId="412036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标项名称：</w:t>
      </w:r>
      <w:r>
        <w:rPr>
          <w:rFonts w:hint="eastAsia" w:ascii="宋体" w:hAnsi="宋体" w:eastAsia="宋体" w:cs="宋体"/>
          <w:sz w:val="24"/>
          <w:szCs w:val="24"/>
          <w:lang w:eastAsia="zh-CN"/>
        </w:rPr>
        <w:t>伊犁师范大学东校区南区学生食堂二楼餐饮管理服务采购项目</w:t>
      </w:r>
    </w:p>
    <w:p w14:paraId="68276C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2565㎡</w:t>
      </w:r>
      <w:r>
        <w:rPr>
          <w:rFonts w:hint="eastAsia" w:ascii="宋体" w:hAnsi="宋体" w:eastAsia="宋体" w:cs="宋体"/>
          <w:sz w:val="24"/>
          <w:szCs w:val="24"/>
        </w:rPr>
        <w:t>，经营范围为提供中华传统美食服务。</w:t>
      </w:r>
      <w:r>
        <w:rPr>
          <w:rFonts w:hint="eastAsia" w:ascii="宋体" w:hAnsi="宋体" w:eastAsia="宋体" w:cs="宋体"/>
          <w:sz w:val="24"/>
          <w:szCs w:val="24"/>
          <w:lang w:val="en-US" w:eastAsia="zh-CN"/>
        </w:rPr>
        <w:t xml:space="preserve"> </w:t>
      </w:r>
    </w:p>
    <w:p w14:paraId="659F3F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w:t>
      </w:r>
    </w:p>
    <w:p w14:paraId="655A9F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F9E4B8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75D6B6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0227DD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东校区南区学生食堂二楼餐厅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640</w:t>
      </w:r>
      <w:r>
        <w:rPr>
          <w:rFonts w:hint="eastAsia" w:ascii="宋体" w:hAnsi="宋体" w:eastAsia="宋体" w:cs="宋体"/>
          <w:sz w:val="24"/>
          <w:szCs w:val="24"/>
        </w:rPr>
        <w:t>个。</w:t>
      </w:r>
      <w:r>
        <w:rPr>
          <w:rFonts w:hint="eastAsia" w:ascii="宋体" w:hAnsi="宋体" w:eastAsia="宋体" w:cs="宋体"/>
          <w:sz w:val="24"/>
          <w:szCs w:val="24"/>
        </w:rPr>
        <w:tab/>
      </w:r>
    </w:p>
    <w:p w14:paraId="445E28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C15BC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EB0098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6B87948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7403AE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7CF7998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668C8F1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0D808A2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46D7ADA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7C1B20F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08FD015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5EE1D7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6056ECBE">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3030DE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74C8B2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835F20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4A6481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5C029F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305B2B2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9999F3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0996396">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21C3C7DB">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r>
        <w:rPr>
          <w:rFonts w:hint="eastAsia" w:hAnsi="宋体" w:eastAsia="宋体" w:cs="宋体"/>
          <w:b w:val="0"/>
          <w:bCs w:val="0"/>
          <w:snapToGrid w:val="0"/>
          <w:color w:val="000000"/>
          <w:kern w:val="0"/>
          <w:sz w:val="24"/>
          <w:szCs w:val="24"/>
          <w:lang w:val="en-US" w:eastAsia="zh-CN" w:bidi="ar-SA"/>
        </w:rPr>
        <w:t>学</w:t>
      </w:r>
      <w:r>
        <w:rPr>
          <w:rFonts w:hint="eastAsia" w:ascii="宋体" w:hAnsi="宋体" w:eastAsia="宋体" w:cs="宋体"/>
          <w:snapToGrid w:val="0"/>
          <w:color w:val="000000"/>
          <w:kern w:val="0"/>
          <w:sz w:val="24"/>
          <w:szCs w:val="24"/>
          <w:lang w:val="en-US" w:eastAsia="zh-CN" w:bidi="ar-SA"/>
        </w:rPr>
        <w:t>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739510F5">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79B4AA3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7A6F67F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09CC4D8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3B153E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60DE213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28DDD1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47050AF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3D144E9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6A8FF3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2613172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05DD92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3DCEEB1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881B6D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DE0F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55B69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12504AB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所有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556AE8D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3D9A3B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C9815E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5D272E0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3255C4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304A87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755DF89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446F6F2C">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标项三：</w:t>
      </w:r>
    </w:p>
    <w:p w14:paraId="02EDE1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标项名称：</w:t>
      </w:r>
      <w:r>
        <w:rPr>
          <w:rFonts w:hint="eastAsia" w:ascii="宋体" w:hAnsi="宋体" w:eastAsia="宋体" w:cs="宋体"/>
          <w:sz w:val="24"/>
          <w:szCs w:val="24"/>
          <w:lang w:eastAsia="zh-CN"/>
        </w:rPr>
        <w:t>伊犁师范大学东校区南区学生食堂三楼餐饮管理服务采购项目</w:t>
      </w:r>
    </w:p>
    <w:p w14:paraId="6EFE61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2496</w:t>
      </w:r>
      <w:r>
        <w:rPr>
          <w:rFonts w:hint="eastAsia" w:ascii="宋体" w:hAnsi="宋体" w:eastAsia="宋体" w:cs="宋体"/>
          <w:sz w:val="24"/>
          <w:szCs w:val="24"/>
        </w:rPr>
        <w:t>m²，经营范围为提供中华传统美食服务。</w:t>
      </w:r>
      <w:r>
        <w:rPr>
          <w:rFonts w:hint="eastAsia" w:ascii="宋体" w:hAnsi="宋体" w:eastAsia="宋体" w:cs="宋体"/>
          <w:sz w:val="24"/>
          <w:szCs w:val="24"/>
          <w:lang w:val="en-US" w:eastAsia="zh-CN"/>
        </w:rPr>
        <w:t xml:space="preserve"> </w:t>
      </w:r>
    </w:p>
    <w:p w14:paraId="7EFC7C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东校区南区学生食堂三楼</w:t>
      </w:r>
      <w:r>
        <w:rPr>
          <w:rFonts w:hint="eastAsia" w:ascii="宋体" w:hAnsi="宋体" w:eastAsia="宋体" w:cs="宋体"/>
          <w:sz w:val="24"/>
          <w:szCs w:val="24"/>
        </w:rPr>
        <w:t>。</w:t>
      </w:r>
    </w:p>
    <w:p w14:paraId="3804C41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14C1FA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226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7BE012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760</w:t>
      </w:r>
      <w:r>
        <w:rPr>
          <w:rFonts w:hint="eastAsia" w:ascii="宋体" w:hAnsi="宋体" w:eastAsia="宋体" w:cs="宋体"/>
          <w:sz w:val="24"/>
          <w:szCs w:val="24"/>
        </w:rPr>
        <w:t>个。</w:t>
      </w:r>
      <w:r>
        <w:rPr>
          <w:rFonts w:hint="eastAsia" w:ascii="宋体" w:hAnsi="宋体" w:eastAsia="宋体" w:cs="宋体"/>
          <w:sz w:val="24"/>
          <w:szCs w:val="24"/>
        </w:rPr>
        <w:tab/>
      </w:r>
    </w:p>
    <w:p w14:paraId="0BF826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056AFF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46D2E44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0CB98C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82513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1776684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7136B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4224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w:t>
      </w:r>
    </w:p>
    <w:p w14:paraId="2BB0FAA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27D17C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18D4C4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D68758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5007AF4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服务期限</w:t>
      </w:r>
    </w:p>
    <w:p w14:paraId="6A9F07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D36FF3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686D3EB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5CD5D0A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02B2186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040908B7">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1221674">
      <w:pPr>
        <w:keepNext w:val="0"/>
        <w:keepLines w:val="0"/>
        <w:pageBreakBefore w:val="0"/>
        <w:widowControl w:val="0"/>
        <w:numPr>
          <w:ilvl w:val="0"/>
          <w:numId w:val="4"/>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07A8C525">
      <w:pPr>
        <w:keepNext w:val="0"/>
        <w:keepLines w:val="0"/>
        <w:pageBreakBefore w:val="0"/>
        <w:widowControl w:val="0"/>
        <w:wordWrap/>
        <w:overflowPunct/>
        <w:topLinePunct w:val="0"/>
        <w:autoSpaceDE/>
        <w:autoSpaceDN/>
        <w:bidi w:val="0"/>
        <w:snapToGrid/>
        <w:spacing w:line="500" w:lineRule="exact"/>
        <w:ind w:left="560"/>
        <w:textAlignment w:val="auto"/>
        <w:rPr>
          <w:rFonts w:hint="eastAsia"/>
          <w:lang w:val="zh-CN"/>
        </w:rPr>
      </w:pPr>
      <w:r>
        <w:rPr>
          <w:rFonts w:hint="eastAsia" w:ascii="宋体" w:hAnsi="宋体" w:eastAsia="宋体" w:cs="宋体"/>
          <w:b/>
          <w:bCs/>
          <w:sz w:val="32"/>
          <w:szCs w:val="32"/>
          <w:lang w:val="zh-CN"/>
        </w:rPr>
        <w:t>招标内容和具体需求</w:t>
      </w:r>
    </w:p>
    <w:p w14:paraId="11C9B707">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68E6BDAD">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1CF82BD8">
      <w:pPr>
        <w:pStyle w:val="13"/>
        <w:pageBreakBefore w:val="0"/>
        <w:widowControl/>
        <w:kinsoku w:val="0"/>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00EE2CD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21DB1DF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4108E24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0FC71D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6A4DD88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1278BE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9306E7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775BA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1EF26C7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214166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3451FE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B46108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0FC9EA8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D45856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587EB9F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7F46CCF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036294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3BA20B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1CECA7C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13DACA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2622691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5F89C66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89B6A09">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标项四：</w:t>
      </w:r>
    </w:p>
    <w:p w14:paraId="2ECCFD33">
      <w:pPr>
        <w:pageBreakBefore w:val="0"/>
        <w:overflowPunct/>
        <w:topLinePunct w:val="0"/>
        <w:bidi w:val="0"/>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2C72604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基本概况：中华美食广场一楼文苑餐厅总面积约为46</w:t>
      </w:r>
      <w:r>
        <w:rPr>
          <w:rFonts w:hint="eastAsia" w:ascii="宋体" w:hAnsi="宋体" w:eastAsia="宋体" w:cs="宋体"/>
          <w:sz w:val="24"/>
          <w:szCs w:val="24"/>
          <w:lang w:val="en-US" w:eastAsia="zh-CN"/>
        </w:rPr>
        <w:t>00m²</w:t>
      </w:r>
      <w:r>
        <w:rPr>
          <w:rFonts w:hint="eastAsia" w:ascii="宋体" w:hAnsi="宋体" w:eastAsia="宋体" w:cs="宋体"/>
          <w:sz w:val="24"/>
          <w:szCs w:val="24"/>
        </w:rPr>
        <w:t>，经营范围为提供中华传统美食服务。</w:t>
      </w:r>
    </w:p>
    <w:p w14:paraId="56DA278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服务地点：伊犁师范大学校本部文苑餐厅。</w:t>
      </w:r>
    </w:p>
    <w:p w14:paraId="0606DA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w:t>
      </w:r>
      <w:r>
        <w:rPr>
          <w:rFonts w:hint="eastAsia" w:ascii="宋体" w:hAnsi="宋体" w:eastAsia="宋体" w:cs="宋体"/>
          <w:color w:val="FF0000"/>
          <w:sz w:val="24"/>
          <w:szCs w:val="24"/>
          <w:highlight w:val="none"/>
        </w:rPr>
        <w:t>餐饮服务费支付比例小于等于</w:t>
      </w:r>
      <w:r>
        <w:rPr>
          <w:rFonts w:hint="eastAsia" w:ascii="宋体" w:hAnsi="宋体" w:eastAsia="宋体" w:cs="宋体"/>
          <w:color w:val="FF0000"/>
          <w:sz w:val="24"/>
          <w:szCs w:val="24"/>
          <w:highlight w:val="none"/>
          <w:lang w:val="zh-CN"/>
        </w:rPr>
        <w:t>4</w:t>
      </w:r>
      <w:r>
        <w:rPr>
          <w:rFonts w:hint="eastAsia" w:ascii="宋体" w:hAnsi="宋体" w:eastAsia="宋体" w:cs="宋体"/>
          <w:color w:val="FF0000"/>
          <w:sz w:val="24"/>
          <w:szCs w:val="24"/>
          <w:highlight w:val="none"/>
          <w:lang w:val="en-US" w:eastAsia="zh-CN"/>
        </w:rPr>
        <w:t>5</w:t>
      </w:r>
      <w:r>
        <w:rPr>
          <w:rFonts w:hint="eastAsia" w:ascii="宋体" w:hAnsi="宋体" w:eastAsia="宋体" w:cs="宋体"/>
          <w:color w:val="FF0000"/>
          <w:sz w:val="24"/>
          <w:szCs w:val="24"/>
          <w:highlight w:val="none"/>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141439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626CCFC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40689F4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（一）服务地点及规模：伊犁师范大学校本部文苑餐厅，就餐座位数约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220</w:t>
      </w:r>
      <w:r>
        <w:rPr>
          <w:rFonts w:hint="eastAsia" w:ascii="宋体" w:hAnsi="宋体" w:eastAsia="宋体" w:cs="宋体"/>
          <w:color w:val="auto"/>
          <w:sz w:val="24"/>
          <w:szCs w:val="24"/>
        </w:rPr>
        <w:t>个</w:t>
      </w:r>
      <w:r>
        <w:rPr>
          <w:rFonts w:hint="eastAsia" w:ascii="宋体" w:hAnsi="宋体" w:eastAsia="宋体" w:cs="宋体"/>
          <w:color w:val="auto"/>
          <w:sz w:val="24"/>
          <w:szCs w:val="24"/>
          <w:lang w:eastAsia="zh-CN"/>
        </w:rPr>
        <w:t>，</w:t>
      </w:r>
      <w:r>
        <w:rPr>
          <w:rFonts w:hint="eastAsia" w:ascii="宋体" w:hAnsi="宋体" w:eastAsia="宋体" w:cs="宋体"/>
          <w:sz w:val="24"/>
          <w:szCs w:val="24"/>
        </w:rPr>
        <w:t>每日就餐约4000人次。</w:t>
      </w:r>
      <w:r>
        <w:rPr>
          <w:rFonts w:hint="eastAsia" w:ascii="宋体" w:hAnsi="宋体" w:eastAsia="宋体" w:cs="宋体"/>
          <w:sz w:val="24"/>
          <w:szCs w:val="24"/>
        </w:rPr>
        <w:tab/>
      </w:r>
    </w:p>
    <w:p w14:paraId="123DCD2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090826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文苑餐厅餐饮服务包括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2E407EB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77241C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3C405B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color w:val="FF0000"/>
          <w:sz w:val="24"/>
          <w:szCs w:val="24"/>
          <w:highlight w:val="none"/>
          <w:lang w:val="en-US" w:eastAsia="zh-CN"/>
        </w:rPr>
        <w:t>保证全天供应</w:t>
      </w:r>
      <w:r>
        <w:rPr>
          <w:rFonts w:hint="eastAsia" w:ascii="宋体" w:hAnsi="宋体" w:eastAsia="宋体" w:cs="宋体"/>
          <w:color w:val="FF0000"/>
          <w:sz w:val="24"/>
          <w:szCs w:val="24"/>
          <w:highlight w:val="none"/>
          <w:lang w:val="en-US" w:eastAsia="zh-CN"/>
        </w:rPr>
        <w:t>。</w:t>
      </w:r>
      <w:r>
        <w:rPr>
          <w:rFonts w:hint="eastAsia" w:ascii="宋体" w:hAnsi="宋体" w:eastAsia="宋体" w:cs="宋体"/>
          <w:sz w:val="24"/>
          <w:szCs w:val="24"/>
          <w:lang w:val="en-US" w:eastAsia="zh-CN"/>
        </w:rPr>
        <w:t>单品售价控制在5元以下，满足广大师生员工日常基本保障需求。</w:t>
      </w:r>
    </w:p>
    <w:p w14:paraId="614A35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889C1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E1DC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5D702A1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984E15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1D636BE7">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539505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b w:val="0"/>
          <w:bCs w:val="0"/>
          <w:sz w:val="24"/>
          <w:szCs w:val="24"/>
          <w:highlight w:val="none"/>
          <w:lang w:val="en-US" w:eastAsia="zh-CN"/>
        </w:rPr>
        <w:t>合同签订后半年（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6962EF4F">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629EE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3DADD8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color w:val="FF0000"/>
          <w:sz w:val="24"/>
          <w:szCs w:val="24"/>
          <w:lang w:val="en-US" w:eastAsia="zh-CN"/>
        </w:rPr>
        <w:t>餐饮服务费</w:t>
      </w:r>
      <w:r>
        <w:rPr>
          <w:rFonts w:hint="eastAsia" w:ascii="宋体" w:hAnsi="宋体" w:eastAsia="宋体" w:cs="宋体"/>
          <w:color w:val="FF0000"/>
          <w:sz w:val="24"/>
          <w:szCs w:val="24"/>
          <w:lang w:val="zh-CN" w:eastAsia="zh-CN"/>
        </w:rPr>
        <w:t>支付比例：</w:t>
      </w:r>
      <w:r>
        <w:rPr>
          <w:rFonts w:hint="eastAsia" w:ascii="宋体" w:hAnsi="宋体" w:eastAsia="宋体" w:cs="宋体"/>
          <w:color w:val="FF0000"/>
          <w:sz w:val="24"/>
          <w:szCs w:val="24"/>
          <w:lang w:val="en-US" w:eastAsia="zh-CN"/>
        </w:rPr>
        <w:t>按月小于等于营业额的45%进行报价</w:t>
      </w:r>
      <w:r>
        <w:rPr>
          <w:rFonts w:hint="eastAsia" w:ascii="宋体" w:hAnsi="宋体" w:eastAsia="宋体" w:cs="宋体"/>
          <w:sz w:val="24"/>
          <w:szCs w:val="24"/>
          <w:lang w:val="en-US" w:eastAsia="zh-CN"/>
        </w:rPr>
        <w:t>，</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1484E3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color w:val="FF0000"/>
          <w:sz w:val="24"/>
          <w:szCs w:val="24"/>
        </w:rPr>
        <w:t>餐饮服务费</w:t>
      </w:r>
      <w:r>
        <w:rPr>
          <w:rFonts w:hint="eastAsia" w:ascii="宋体" w:hAnsi="宋体" w:eastAsia="宋体" w:cs="宋体"/>
          <w:color w:val="FF0000"/>
          <w:sz w:val="24"/>
          <w:szCs w:val="24"/>
          <w:lang w:val="zh-CN"/>
        </w:rPr>
        <w:t>支付比例</w:t>
      </w:r>
      <w:r>
        <w:rPr>
          <w:rFonts w:hint="eastAsia" w:ascii="宋体" w:hAnsi="宋体" w:eastAsia="宋体" w:cs="宋体"/>
          <w:color w:val="FF0000"/>
          <w:sz w:val="24"/>
          <w:szCs w:val="24"/>
        </w:rPr>
        <w:t>小于等于</w:t>
      </w:r>
      <w:r>
        <w:rPr>
          <w:rFonts w:hint="eastAsia" w:ascii="宋体" w:hAnsi="宋体" w:eastAsia="宋体" w:cs="宋体"/>
          <w:color w:val="FF0000"/>
          <w:sz w:val="24"/>
          <w:szCs w:val="24"/>
          <w:lang w:val="zh-CN"/>
        </w:rPr>
        <w:t>4</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lang w:val="zh-CN"/>
        </w:rPr>
        <w:t>%。</w:t>
      </w:r>
      <w:r>
        <w:rPr>
          <w:rFonts w:hint="eastAsia" w:ascii="宋体" w:hAnsi="宋体" w:eastAsia="宋体" w:cs="宋体"/>
          <w:b w:val="0"/>
          <w:bCs w:val="0"/>
          <w:color w:val="auto"/>
          <w:sz w:val="24"/>
          <w:szCs w:val="24"/>
          <w:highlight w:val="none"/>
          <w:lang w:val="zh-CN"/>
        </w:rPr>
        <w:t>具体费用以本月营业额*中标时自报餐饮</w:t>
      </w:r>
      <w:r>
        <w:rPr>
          <w:rFonts w:hint="eastAsia" w:ascii="宋体" w:hAnsi="宋体" w:eastAsia="宋体" w:cs="宋体"/>
          <w:b w:val="0"/>
          <w:bCs w:val="0"/>
          <w:color w:val="auto"/>
          <w:sz w:val="24"/>
          <w:szCs w:val="24"/>
          <w:highlight w:val="none"/>
        </w:rPr>
        <w:t>服务费</w:t>
      </w:r>
      <w:r>
        <w:rPr>
          <w:rFonts w:hint="eastAsia" w:ascii="宋体" w:hAnsi="宋体" w:eastAsia="宋体" w:cs="宋体"/>
          <w:b w:val="0"/>
          <w:bCs w:val="0"/>
          <w:color w:val="auto"/>
          <w:sz w:val="24"/>
          <w:szCs w:val="24"/>
          <w:highlight w:val="none"/>
          <w:lang w:val="zh-CN"/>
        </w:rPr>
        <w:t>支付比例-原材料（含调味品）占营业额比例高于</w:t>
      </w:r>
      <w:r>
        <w:rPr>
          <w:rFonts w:hint="eastAsia" w:ascii="宋体" w:hAnsi="宋体" w:eastAsia="宋体" w:cs="宋体"/>
          <w:b w:val="0"/>
          <w:bCs w:val="0"/>
          <w:color w:val="auto"/>
          <w:sz w:val="24"/>
          <w:szCs w:val="24"/>
          <w:highlight w:val="none"/>
          <w:lang w:val="en-US" w:eastAsia="zh-CN"/>
        </w:rPr>
        <w:t>47</w:t>
      </w:r>
      <w:r>
        <w:rPr>
          <w:rFonts w:hint="eastAsia" w:ascii="宋体" w:hAnsi="宋体" w:eastAsia="宋体" w:cs="宋体"/>
          <w:b w:val="0"/>
          <w:bCs w:val="0"/>
          <w:color w:val="auto"/>
          <w:sz w:val="24"/>
          <w:szCs w:val="24"/>
          <w:highlight w:val="none"/>
          <w:lang w:val="zh-CN"/>
        </w:rPr>
        <w:t>%部分-水电</w:t>
      </w:r>
      <w:r>
        <w:rPr>
          <w:rFonts w:hint="eastAsia" w:ascii="宋体" w:hAnsi="宋体" w:eastAsia="宋体" w:cs="宋体"/>
          <w:b w:val="0"/>
          <w:bCs w:val="0"/>
          <w:color w:val="auto"/>
          <w:sz w:val="24"/>
          <w:szCs w:val="24"/>
          <w:highlight w:val="none"/>
        </w:rPr>
        <w:t>暖和天然</w:t>
      </w:r>
      <w:r>
        <w:rPr>
          <w:rFonts w:hint="eastAsia" w:ascii="宋体" w:hAnsi="宋体" w:eastAsia="宋体" w:cs="宋体"/>
          <w:b w:val="0"/>
          <w:bCs w:val="0"/>
          <w:color w:val="auto"/>
          <w:sz w:val="24"/>
          <w:szCs w:val="24"/>
          <w:highlight w:val="none"/>
          <w:lang w:val="zh-CN"/>
        </w:rPr>
        <w:t>气等动力成本占营业额比例高于6%部分-日常考核</w:t>
      </w:r>
      <w:r>
        <w:rPr>
          <w:rFonts w:hint="eastAsia" w:ascii="宋体" w:hAnsi="宋体" w:eastAsia="宋体" w:cs="宋体"/>
          <w:b w:val="0"/>
          <w:bCs w:val="0"/>
          <w:color w:val="auto"/>
          <w:sz w:val="24"/>
          <w:szCs w:val="24"/>
          <w:highlight w:val="none"/>
          <w:lang w:val="en-US" w:eastAsia="zh-CN"/>
        </w:rPr>
        <w:t>扣款</w:t>
      </w:r>
      <w:r>
        <w:rPr>
          <w:rFonts w:hint="eastAsia" w:ascii="宋体" w:hAnsi="宋体" w:eastAsia="宋体" w:cs="宋体"/>
          <w:b w:val="0"/>
          <w:bCs w:val="0"/>
          <w:color w:val="auto"/>
          <w:sz w:val="24"/>
          <w:szCs w:val="24"/>
          <w:highlight w:val="none"/>
          <w:lang w:val="zh-CN"/>
        </w:rPr>
        <w:t>=实际支付的餐饮服务费用（含税）。</w:t>
      </w:r>
    </w:p>
    <w:p w14:paraId="0B427A09">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18493A2">
      <w:pPr>
        <w:keepNext w:val="0"/>
        <w:keepLines w:val="0"/>
        <w:pageBreakBefore w:val="0"/>
        <w:widowControl w:val="0"/>
        <w:numPr>
          <w:ilvl w:val="0"/>
          <w:numId w:val="0"/>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EB214FA">
      <w:pPr>
        <w:keepNext w:val="0"/>
        <w:keepLines w:val="0"/>
        <w:pageBreakBefore w:val="0"/>
        <w:widowControl w:val="0"/>
        <w:wordWrap/>
        <w:overflowPunct/>
        <w:topLinePunct w:val="0"/>
        <w:autoSpaceDE/>
        <w:autoSpaceDN/>
        <w:bidi w:val="0"/>
        <w:snapToGrid/>
        <w:spacing w:line="500" w:lineRule="exact"/>
        <w:ind w:left="560"/>
        <w:textAlignment w:val="auto"/>
        <w:rPr>
          <w:rFonts w:hint="eastAsia"/>
          <w:sz w:val="24"/>
          <w:szCs w:val="24"/>
          <w:lang w:val="en-US" w:eastAsia="zh-CN"/>
        </w:rPr>
      </w:pPr>
      <w:r>
        <w:rPr>
          <w:rFonts w:hint="eastAsia" w:ascii="宋体" w:hAnsi="宋体" w:eastAsia="宋体" w:cs="宋体"/>
          <w:b/>
          <w:bCs/>
          <w:sz w:val="24"/>
          <w:szCs w:val="24"/>
          <w:lang w:val="zh-CN"/>
        </w:rPr>
        <w:t>招标内容和具体需求</w:t>
      </w:r>
    </w:p>
    <w:p w14:paraId="1B4E585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p>
    <w:p w14:paraId="7760A1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3285A2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en-US" w:eastAsia="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r>
        <w:rPr>
          <w:rFonts w:hint="eastAsia" w:ascii="宋体" w:hAnsi="宋体" w:eastAsia="宋体" w:cs="宋体"/>
          <w:b/>
          <w:bCs/>
          <w:sz w:val="24"/>
          <w:szCs w:val="24"/>
          <w:lang w:val="en-US" w:eastAsia="zh-CN"/>
        </w:rPr>
        <w:t xml:space="preserve"> </w:t>
      </w:r>
    </w:p>
    <w:p w14:paraId="3D59F59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32E6252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7FC96E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228F88C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323197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CB16B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45DDE5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519E55EC">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经营管理相关要求</w:t>
      </w:r>
    </w:p>
    <w:p w14:paraId="3F383BC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需经学校</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方可经营和生产。餐饮服务企业经营过程中如要调整经营窗口、增加经营品种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427FB14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2.釆购人提供服务范围内基本设施的设备（详见交接清单），交接清单在进场对接后由学校提供。合同履约结束时应该如数完好的归还给学校。</w:t>
      </w:r>
    </w:p>
    <w:p w14:paraId="0A4739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3.餐饮服务企业必须采用学校的食品原材料和调料统一采购管理制度,执行学校统一招标、统一采购、统一配送、统一结算，严禁自行购买。</w:t>
      </w:r>
    </w:p>
    <w:p w14:paraId="3E78F44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26263E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04B18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31EB45E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0DBBE2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w:t>
      </w:r>
      <w:r>
        <w:rPr>
          <w:rFonts w:hint="eastAsia" w:ascii="宋体" w:hAnsi="宋体" w:eastAsia="宋体" w:cs="宋体"/>
          <w:b/>
          <w:bCs/>
          <w:sz w:val="24"/>
          <w:szCs w:val="24"/>
          <w:highlight w:val="none"/>
          <w:lang w:val="zh-CN"/>
        </w:rPr>
        <w:t>每月进行考核。餐饮服务企业原材料（含调味品）超出当月营业收入4</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lang w:val="zh-CN"/>
        </w:rPr>
        <w:t>%的部分在学校支付给餐饮服务企业的餐饮服务费中扣除；低于的则按营业额的</w:t>
      </w:r>
      <w:r>
        <w:rPr>
          <w:rFonts w:hint="eastAsia" w:ascii="宋体" w:hAnsi="宋体" w:eastAsia="宋体" w:cs="宋体"/>
          <w:b/>
          <w:bCs/>
          <w:sz w:val="24"/>
          <w:szCs w:val="24"/>
          <w:highlight w:val="none"/>
          <w:lang w:val="en-US" w:eastAsia="zh-CN"/>
        </w:rPr>
        <w:t>47</w:t>
      </w:r>
      <w:r>
        <w:rPr>
          <w:rFonts w:hint="eastAsia" w:ascii="宋体" w:hAnsi="宋体" w:eastAsia="宋体" w:cs="宋体"/>
          <w:b/>
          <w:bCs/>
          <w:sz w:val="24"/>
          <w:szCs w:val="24"/>
          <w:highlight w:val="none"/>
          <w:lang w:val="zh-CN"/>
        </w:rPr>
        <w:t>%进行</w:t>
      </w:r>
      <w:r>
        <w:rPr>
          <w:rFonts w:hint="eastAsia" w:ascii="宋体" w:hAnsi="宋体" w:eastAsia="宋体" w:cs="宋体"/>
          <w:b/>
          <w:bCs/>
          <w:sz w:val="24"/>
          <w:szCs w:val="24"/>
          <w:highlight w:val="none"/>
          <w:lang w:val="en-US" w:eastAsia="zh-CN"/>
        </w:rPr>
        <w:t>核</w:t>
      </w:r>
      <w:r>
        <w:rPr>
          <w:rFonts w:hint="eastAsia" w:ascii="宋体" w:hAnsi="宋体" w:eastAsia="宋体" w:cs="宋体"/>
          <w:b/>
          <w:bCs/>
          <w:sz w:val="24"/>
          <w:szCs w:val="24"/>
          <w:highlight w:val="none"/>
          <w:lang w:val="zh-CN"/>
        </w:rPr>
        <w:t>算。</w:t>
      </w:r>
      <w:r>
        <w:rPr>
          <w:rFonts w:hint="eastAsia" w:ascii="宋体" w:hAnsi="宋体" w:eastAsia="宋体" w:cs="宋体"/>
          <w:sz w:val="24"/>
          <w:szCs w:val="24"/>
          <w:lang w:val="zh-CN"/>
        </w:rPr>
        <w:t>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06AC26C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37FE29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7AF61E9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0E2F077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E4F67D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78166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348DE905">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760B36B">
      <w:pPr>
        <w:pStyle w:val="25"/>
        <w:pageBreakBefore w:val="0"/>
        <w:overflowPunct/>
        <w:topLinePunct w:val="0"/>
        <w:bidi w:val="0"/>
        <w:spacing w:line="500" w:lineRule="exact"/>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标项五：</w:t>
      </w:r>
    </w:p>
    <w:p w14:paraId="7529AB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标项名称：</w:t>
      </w:r>
      <w:r>
        <w:rPr>
          <w:rFonts w:hint="eastAsia" w:ascii="宋体" w:hAnsi="宋体" w:eastAsia="宋体" w:cs="宋体"/>
          <w:sz w:val="24"/>
          <w:szCs w:val="24"/>
        </w:rPr>
        <w:t>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餐厅购买餐饮服务项目</w:t>
      </w:r>
    </w:p>
    <w:p w14:paraId="280BF89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w:t>
      </w:r>
      <w:r>
        <w:rPr>
          <w:rFonts w:hint="eastAsia" w:ascii="宋体" w:hAnsi="宋体" w:eastAsia="宋体"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eastAsia="zh-CN"/>
        </w:rPr>
        <w:t>雅苑</w:t>
      </w:r>
      <w:r>
        <w:rPr>
          <w:rFonts w:hint="eastAsia" w:ascii="宋体" w:hAnsi="宋体" w:eastAsia="宋体" w:cs="宋体"/>
          <w:sz w:val="24"/>
          <w:szCs w:val="24"/>
        </w:rPr>
        <w:t>餐厅总面积约为46</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m²</w:t>
      </w:r>
      <w:r>
        <w:rPr>
          <w:rFonts w:hint="eastAsia" w:ascii="宋体" w:hAnsi="宋体" w:eastAsia="宋体" w:cs="宋体"/>
          <w:sz w:val="24"/>
          <w:szCs w:val="24"/>
        </w:rPr>
        <w:t>，经营范围为提供中华传统美食服务。</w:t>
      </w:r>
    </w:p>
    <w:p w14:paraId="00376D8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w:t>
      </w:r>
    </w:p>
    <w:p w14:paraId="090B61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5381CDA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026C765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5A6D67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250</w:t>
      </w:r>
      <w:r>
        <w:rPr>
          <w:rFonts w:hint="eastAsia" w:ascii="宋体" w:hAnsi="宋体" w:eastAsia="宋体" w:cs="宋体"/>
          <w:color w:val="auto"/>
          <w:sz w:val="24"/>
          <w:szCs w:val="24"/>
        </w:rPr>
        <w:t>个</w:t>
      </w:r>
      <w:r>
        <w:rPr>
          <w:rFonts w:hint="eastAsia" w:ascii="宋体" w:hAnsi="宋体" w:eastAsia="宋体" w:cs="宋体"/>
          <w:sz w:val="24"/>
          <w:szCs w:val="24"/>
        </w:rPr>
        <w:t>，每日就餐约</w:t>
      </w:r>
      <w:r>
        <w:rPr>
          <w:rFonts w:hint="eastAsia" w:ascii="宋体" w:hAnsi="宋体" w:eastAsia="宋体" w:cs="宋体"/>
          <w:sz w:val="24"/>
          <w:szCs w:val="24"/>
          <w:lang w:val="en-US" w:eastAsia="zh-CN"/>
        </w:rPr>
        <w:t>5</w:t>
      </w:r>
      <w:r>
        <w:rPr>
          <w:rFonts w:hint="eastAsia" w:ascii="宋体" w:hAnsi="宋体" w:eastAsia="宋体" w:cs="宋体"/>
          <w:sz w:val="24"/>
          <w:szCs w:val="24"/>
        </w:rPr>
        <w:t>000人次。</w:t>
      </w:r>
      <w:r>
        <w:rPr>
          <w:rFonts w:hint="eastAsia" w:ascii="宋体" w:hAnsi="宋体" w:eastAsia="宋体" w:cs="宋体"/>
          <w:sz w:val="24"/>
          <w:szCs w:val="24"/>
        </w:rPr>
        <w:tab/>
      </w:r>
    </w:p>
    <w:p w14:paraId="027A5B0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5B2746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雅苑</w:t>
      </w:r>
      <w:r>
        <w:rPr>
          <w:rFonts w:hint="eastAsia" w:ascii="宋体" w:hAnsi="宋体" w:eastAsia="宋体" w:cs="宋体"/>
          <w:sz w:val="24"/>
          <w:szCs w:val="24"/>
        </w:rPr>
        <w:t>餐厅餐饮服务</w:t>
      </w:r>
      <w:r>
        <w:rPr>
          <w:rFonts w:hint="eastAsia" w:ascii="宋体" w:hAnsi="宋体" w:eastAsia="宋体" w:cs="宋体"/>
          <w:sz w:val="24"/>
          <w:szCs w:val="24"/>
          <w:lang w:eastAsia="zh-CN"/>
        </w:rPr>
        <w:t>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一日三餐食品生产加工销售工作；该食堂安全工作（含食品安全、生产安全、消防安全、人员安全、意识形态安全等）；餐具清洗消毒工作；食品留样工作；餐厅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D2611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04F62218">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6B24501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color w:val="auto"/>
          <w:sz w:val="24"/>
          <w:szCs w:val="24"/>
          <w:highlight w:val="none"/>
          <w:lang w:val="en-US" w:eastAsia="zh-CN"/>
        </w:rPr>
        <w:t>保证全天供应</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单品售价控制在5元以下，满足广大师生员工日常基本保障需求。</w:t>
      </w:r>
    </w:p>
    <w:p w14:paraId="6CE8486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6523F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33D2AB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2BED0CE9">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2CB69C5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3D2983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6475EC0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合同签订后半年（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F14D539">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581923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1、报价方式：自主报价。</w:t>
      </w:r>
    </w:p>
    <w:p w14:paraId="5721BF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color w:val="FF0000"/>
          <w:sz w:val="24"/>
          <w:szCs w:val="24"/>
          <w:highlight w:val="none"/>
          <w:lang w:val="en-US" w:eastAsia="zh-CN"/>
        </w:rPr>
        <w:t>餐饮服务费</w:t>
      </w:r>
      <w:r>
        <w:rPr>
          <w:rFonts w:hint="eastAsia" w:ascii="宋体" w:hAnsi="宋体" w:eastAsia="宋体" w:cs="宋体"/>
          <w:color w:val="FF0000"/>
          <w:sz w:val="24"/>
          <w:szCs w:val="24"/>
          <w:highlight w:val="none"/>
          <w:lang w:val="zh-CN" w:eastAsia="zh-CN"/>
        </w:rPr>
        <w:t>支付比例；</w:t>
      </w:r>
      <w:r>
        <w:rPr>
          <w:rFonts w:hint="eastAsia" w:ascii="宋体" w:hAnsi="宋体" w:eastAsia="宋体" w:cs="宋体"/>
          <w:color w:val="FF0000"/>
          <w:sz w:val="24"/>
          <w:szCs w:val="24"/>
          <w:highlight w:val="none"/>
          <w:lang w:val="en-US" w:eastAsia="zh-CN"/>
        </w:rPr>
        <w:t>按月小于等于营业额的45%进行报价</w:t>
      </w:r>
      <w:r>
        <w:rPr>
          <w:rFonts w:hint="eastAsia" w:ascii="宋体" w:hAnsi="宋体" w:eastAsia="宋体" w:cs="宋体"/>
          <w:sz w:val="24"/>
          <w:szCs w:val="24"/>
          <w:lang w:val="en-US" w:eastAsia="zh-CN"/>
        </w:rPr>
        <w:t>，</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37570D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color w:val="FF0000"/>
          <w:sz w:val="24"/>
          <w:szCs w:val="24"/>
        </w:rPr>
        <w:t>餐饮服务费</w:t>
      </w:r>
      <w:r>
        <w:rPr>
          <w:rFonts w:hint="eastAsia" w:ascii="宋体" w:hAnsi="宋体" w:eastAsia="宋体" w:cs="宋体"/>
          <w:color w:val="FF0000"/>
          <w:sz w:val="24"/>
          <w:szCs w:val="24"/>
          <w:lang w:val="zh-CN"/>
        </w:rPr>
        <w:t>支付比例</w:t>
      </w:r>
      <w:r>
        <w:rPr>
          <w:rFonts w:hint="eastAsia" w:ascii="宋体" w:hAnsi="宋体" w:eastAsia="宋体" w:cs="宋体"/>
          <w:color w:val="FF0000"/>
          <w:sz w:val="24"/>
          <w:szCs w:val="24"/>
        </w:rPr>
        <w:t>小于等于</w:t>
      </w:r>
      <w:r>
        <w:rPr>
          <w:rFonts w:hint="eastAsia" w:ascii="宋体" w:hAnsi="宋体" w:eastAsia="宋体" w:cs="宋体"/>
          <w:color w:val="FF0000"/>
          <w:sz w:val="24"/>
          <w:szCs w:val="24"/>
          <w:lang w:val="zh-CN"/>
        </w:rPr>
        <w:t>4</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lang w:val="zh-CN"/>
        </w:rPr>
        <w:t>%</w:t>
      </w:r>
      <w:r>
        <w:rPr>
          <w:rFonts w:hint="eastAsia" w:ascii="宋体" w:hAnsi="宋体" w:eastAsia="宋体" w:cs="宋体"/>
          <w:sz w:val="24"/>
          <w:szCs w:val="24"/>
          <w:lang w:val="zh-CN"/>
        </w:rPr>
        <w:t>。</w:t>
      </w:r>
      <w:r>
        <w:rPr>
          <w:rFonts w:hint="eastAsia" w:ascii="宋体" w:hAnsi="宋体" w:eastAsia="宋体" w:cs="宋体"/>
          <w:sz w:val="24"/>
          <w:szCs w:val="24"/>
          <w:highlight w:val="none"/>
          <w:lang w:val="zh-CN"/>
        </w:rPr>
        <w:t>具体费用以本月营业额*中标时自报餐饮</w:t>
      </w:r>
      <w:r>
        <w:rPr>
          <w:rFonts w:hint="eastAsia" w:ascii="宋体" w:hAnsi="宋体" w:eastAsia="宋体" w:cs="宋体"/>
          <w:sz w:val="24"/>
          <w:szCs w:val="24"/>
          <w:highlight w:val="none"/>
        </w:rPr>
        <w:t>服务费</w:t>
      </w:r>
      <w:r>
        <w:rPr>
          <w:rFonts w:hint="eastAsia" w:ascii="宋体" w:hAnsi="宋体" w:eastAsia="宋体" w:cs="宋体"/>
          <w:sz w:val="24"/>
          <w:szCs w:val="24"/>
          <w:highlight w:val="none"/>
          <w:lang w:val="zh-CN"/>
        </w:rPr>
        <w:t>支付比例-原材料（含调味品）占营业额比例高于</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lang w:val="zh-CN"/>
        </w:rPr>
        <w:t>%部分-水电</w:t>
      </w:r>
      <w:r>
        <w:rPr>
          <w:rFonts w:hint="eastAsia" w:ascii="宋体" w:hAnsi="宋体" w:eastAsia="宋体" w:cs="宋体"/>
          <w:sz w:val="24"/>
          <w:szCs w:val="24"/>
          <w:highlight w:val="none"/>
        </w:rPr>
        <w:t>暖和天然</w:t>
      </w:r>
      <w:r>
        <w:rPr>
          <w:rFonts w:hint="eastAsia" w:ascii="宋体" w:hAnsi="宋体" w:eastAsia="宋体" w:cs="宋体"/>
          <w:sz w:val="24"/>
          <w:szCs w:val="24"/>
          <w:highlight w:val="none"/>
          <w:lang w:val="zh-CN"/>
        </w:rPr>
        <w:t>气等动力成本占营业额比例高于6%部分-日常考核</w:t>
      </w:r>
      <w:r>
        <w:rPr>
          <w:rFonts w:hint="eastAsia" w:ascii="宋体" w:hAnsi="宋体" w:eastAsia="宋体" w:cs="宋体"/>
          <w:sz w:val="24"/>
          <w:szCs w:val="24"/>
          <w:highlight w:val="none"/>
          <w:lang w:val="en-US" w:eastAsia="zh-CN"/>
        </w:rPr>
        <w:t>扣款</w:t>
      </w:r>
      <w:r>
        <w:rPr>
          <w:rFonts w:hint="eastAsia" w:ascii="宋体" w:hAnsi="宋体" w:eastAsia="宋体" w:cs="宋体"/>
          <w:sz w:val="24"/>
          <w:szCs w:val="24"/>
          <w:highlight w:val="none"/>
          <w:lang w:val="zh-CN"/>
        </w:rPr>
        <w:t>=实际支付的餐饮服务费用（含税）。</w:t>
      </w:r>
    </w:p>
    <w:p w14:paraId="4CB40DC5">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61EFE58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7BAD65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rPr>
        <w:t>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r>
        <w:rPr>
          <w:rFonts w:hint="eastAsia" w:ascii="宋体" w:hAnsi="宋体" w:eastAsia="宋体" w:cs="宋体"/>
          <w:sz w:val="24"/>
          <w:szCs w:val="24"/>
          <w:highlight w:val="none"/>
          <w:lang w:val="en-US" w:eastAsia="zh-CN"/>
        </w:rPr>
        <w:t xml:space="preserve"> </w:t>
      </w:r>
    </w:p>
    <w:p w14:paraId="4B71B3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5D0C5E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lightGray"/>
          <w:lang w:val="zh-CN"/>
        </w:rPr>
      </w:pPr>
      <w:r>
        <w:rPr>
          <w:rFonts w:hint="eastAsia" w:ascii="宋体" w:hAnsi="宋体" w:eastAsia="宋体" w:cs="宋体"/>
          <w:sz w:val="24"/>
          <w:szCs w:val="24"/>
          <w:highlight w:val="none"/>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216EA13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EA4115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13212D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50E6F1D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4D42D1A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FA48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6494D6C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2A7BC515">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经营管理相关要求：</w:t>
      </w:r>
    </w:p>
    <w:p w14:paraId="713F30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3F54422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68825B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014CA7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B359C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2296201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b w:val="0"/>
          <w:bCs w:val="0"/>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4960F9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59D71C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w:t>
      </w:r>
      <w:r>
        <w:rPr>
          <w:rFonts w:hint="eastAsia" w:ascii="宋体" w:hAnsi="宋体" w:eastAsia="宋体" w:cs="宋体"/>
          <w:sz w:val="24"/>
          <w:szCs w:val="24"/>
          <w:highlight w:val="none"/>
          <w:lang w:val="zh-CN"/>
        </w:rPr>
        <w:t>餐饮服务企业原材料（含调味品）超出当月营业收入</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lang w:val="zh-CN"/>
        </w:rPr>
        <w:t>%的部分在学校支付给</w:t>
      </w:r>
      <w:bookmarkStart w:id="665" w:name="_GoBack"/>
      <w:bookmarkEnd w:id="665"/>
      <w:r>
        <w:rPr>
          <w:rFonts w:hint="eastAsia" w:ascii="宋体" w:hAnsi="宋体" w:eastAsia="宋体" w:cs="宋体"/>
          <w:sz w:val="24"/>
          <w:szCs w:val="24"/>
          <w:highlight w:val="none"/>
          <w:lang w:val="zh-CN"/>
        </w:rPr>
        <w:t>餐饮服务企业的餐饮服务费中扣除；低于的则按营业额的</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lang w:val="zh-CN"/>
        </w:rPr>
        <w:t>%进行</w:t>
      </w:r>
      <w:r>
        <w:rPr>
          <w:rFonts w:hint="eastAsia" w:ascii="宋体" w:hAnsi="宋体" w:eastAsia="宋体" w:cs="宋体"/>
          <w:sz w:val="24"/>
          <w:szCs w:val="24"/>
          <w:highlight w:val="none"/>
          <w:lang w:val="en-US" w:eastAsia="zh-CN"/>
        </w:rPr>
        <w:t>核</w:t>
      </w:r>
      <w:r>
        <w:rPr>
          <w:rFonts w:hint="eastAsia" w:ascii="宋体" w:hAnsi="宋体" w:eastAsia="宋体" w:cs="宋体"/>
          <w:sz w:val="24"/>
          <w:szCs w:val="24"/>
          <w:highlight w:val="none"/>
          <w:lang w:val="zh-CN"/>
        </w:rPr>
        <w:t>算。</w:t>
      </w:r>
      <w:r>
        <w:rPr>
          <w:rFonts w:hint="eastAsia" w:ascii="宋体" w:hAnsi="宋体" w:eastAsia="宋体" w:cs="宋体"/>
          <w:sz w:val="24"/>
          <w:szCs w:val="24"/>
          <w:lang w:val="zh-CN"/>
        </w:rPr>
        <w:t>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设施等的小型维修）</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3EFA0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257D86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034235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3D5672BB">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090576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680C57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256156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32"/>
          <w:szCs w:val="32"/>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5CD7A476">
      <w:pPr>
        <w:pStyle w:val="24"/>
        <w:rPr>
          <w:rFonts w:hint="eastAsia" w:ascii="宋体" w:hAnsi="宋体" w:eastAsia="宋体" w:cs="宋体"/>
          <w:sz w:val="32"/>
          <w:szCs w:val="32"/>
          <w:lang w:val="zh-CN"/>
        </w:rPr>
      </w:pPr>
    </w:p>
    <w:p w14:paraId="51339EC0">
      <w:pPr>
        <w:rPr>
          <w:rFonts w:hint="eastAsia" w:ascii="宋体" w:hAnsi="宋体" w:eastAsia="宋体" w:cs="宋体"/>
          <w:sz w:val="32"/>
          <w:szCs w:val="32"/>
          <w:lang w:val="zh-CN"/>
        </w:rPr>
      </w:pPr>
    </w:p>
    <w:p w14:paraId="787E7269">
      <w:pPr>
        <w:pStyle w:val="2"/>
        <w:rPr>
          <w:rFonts w:hint="eastAsia" w:ascii="宋体" w:hAnsi="宋体" w:eastAsia="宋体" w:cs="宋体"/>
          <w:sz w:val="32"/>
          <w:szCs w:val="32"/>
          <w:lang w:val="zh-CN"/>
        </w:rPr>
      </w:pPr>
    </w:p>
    <w:p w14:paraId="72544A7E">
      <w:pPr>
        <w:pStyle w:val="2"/>
        <w:rPr>
          <w:rFonts w:hint="eastAsia" w:ascii="宋体" w:hAnsi="宋体" w:eastAsia="宋体" w:cs="宋体"/>
          <w:sz w:val="32"/>
          <w:szCs w:val="32"/>
          <w:lang w:val="zh-CN"/>
        </w:rPr>
      </w:pPr>
    </w:p>
    <w:p w14:paraId="02098CAB">
      <w:pPr>
        <w:pStyle w:val="2"/>
        <w:rPr>
          <w:rFonts w:hint="eastAsia" w:ascii="仿宋" w:hAnsi="仿宋" w:eastAsia="仿宋" w:cs="仿宋"/>
          <w:sz w:val="44"/>
          <w:szCs w:val="44"/>
          <w:lang w:val="en-US" w:eastAsia="zh-CN"/>
        </w:rPr>
      </w:pPr>
      <w:bookmarkStart w:id="472" w:name="_Toc4905"/>
      <w:bookmarkStart w:id="473" w:name="_Toc20312"/>
      <w:bookmarkStart w:id="474" w:name="_Toc18586"/>
    </w:p>
    <w:p w14:paraId="2677FF3E">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44"/>
          <w:szCs w:val="44"/>
          <w:lang w:val="en-US" w:eastAsia="zh-CN"/>
        </w:rPr>
      </w:pPr>
    </w:p>
    <w:p w14:paraId="4656E5E3">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28"/>
          <w:szCs w:val="28"/>
        </w:rPr>
      </w:pPr>
      <w:r>
        <w:rPr>
          <w:rFonts w:hint="eastAsia" w:ascii="仿宋" w:hAnsi="仿宋" w:eastAsia="仿宋" w:cs="仿宋"/>
          <w:sz w:val="44"/>
          <w:szCs w:val="44"/>
          <w:lang w:val="en-US" w:eastAsia="zh-CN"/>
        </w:rPr>
        <w:t>第五章</w:t>
      </w:r>
      <w:bookmarkStart w:id="475" w:name="_Toc518923127"/>
      <w:bookmarkStart w:id="476" w:name="_Toc507399907"/>
      <w:bookmarkStart w:id="477" w:name="_Toc10220"/>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评标方法和标准</w:t>
      </w:r>
      <w:bookmarkEnd w:id="472"/>
      <w:bookmarkEnd w:id="473"/>
      <w:bookmarkEnd w:id="474"/>
      <w:bookmarkEnd w:id="475"/>
      <w:bookmarkEnd w:id="476"/>
      <w:bookmarkEnd w:id="477"/>
    </w:p>
    <w:p w14:paraId="2DC3BB96">
      <w:pPr>
        <w:pStyle w:val="9"/>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Autospacing="0" w:line="440" w:lineRule="exact"/>
        <w:textAlignment w:val="auto"/>
        <w:outlineLvl w:val="1"/>
        <w:rPr>
          <w:rFonts w:hint="eastAsia" w:ascii="宋体" w:hAnsi="宋体" w:eastAsia="宋体" w:cs="宋体"/>
          <w:b/>
          <w:bCs/>
          <w:sz w:val="30"/>
          <w:szCs w:val="30"/>
          <w:lang w:val="en-US" w:eastAsia="zh-CN"/>
        </w:rPr>
      </w:pPr>
      <w:bookmarkStart w:id="478" w:name="_Toc17585"/>
      <w:bookmarkStart w:id="479" w:name="_Toc24078"/>
      <w:bookmarkStart w:id="480" w:name="_Toc18040"/>
      <w:bookmarkStart w:id="481" w:name="_Toc18521"/>
      <w:bookmarkStart w:id="482" w:name="_Toc16217"/>
      <w:bookmarkStart w:id="483" w:name="_Toc26036"/>
      <w:bookmarkStart w:id="484" w:name="_Toc20878"/>
      <w:bookmarkStart w:id="485" w:name="_Toc943"/>
      <w:r>
        <w:rPr>
          <w:rFonts w:hint="eastAsia" w:ascii="宋体" w:hAnsi="宋体" w:eastAsia="宋体" w:cs="宋体"/>
          <w:b/>
          <w:bCs/>
          <w:sz w:val="30"/>
          <w:szCs w:val="30"/>
          <w:lang w:val="en-US" w:eastAsia="zh-CN"/>
        </w:rPr>
        <w:t>初步审查</w:t>
      </w:r>
      <w:bookmarkEnd w:id="478"/>
      <w:bookmarkEnd w:id="479"/>
      <w:bookmarkEnd w:id="480"/>
      <w:bookmarkEnd w:id="481"/>
      <w:bookmarkEnd w:id="482"/>
      <w:bookmarkEnd w:id="483"/>
      <w:bookmarkEnd w:id="484"/>
      <w:bookmarkEnd w:id="485"/>
      <w:r>
        <w:rPr>
          <w:rFonts w:hint="eastAsia" w:ascii="宋体" w:hAnsi="宋体" w:eastAsia="宋体" w:cs="宋体"/>
          <w:b/>
          <w:bCs/>
          <w:sz w:val="30"/>
          <w:szCs w:val="30"/>
          <w:lang w:val="en-US" w:eastAsia="zh-CN"/>
        </w:rPr>
        <w:t>（标项一至标项五）</w:t>
      </w:r>
    </w:p>
    <w:p w14:paraId="2C63DC8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rPr>
      </w:pPr>
      <w:bookmarkStart w:id="486" w:name="_Toc16297"/>
      <w:bookmarkStart w:id="487" w:name="_Toc31165"/>
      <w:bookmarkStart w:id="488" w:name="_Toc31137"/>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资格性审查</w:t>
      </w:r>
      <w:bookmarkEnd w:id="486"/>
      <w:bookmarkEnd w:id="487"/>
      <w:bookmarkEnd w:id="488"/>
    </w:p>
    <w:tbl>
      <w:tblPr>
        <w:tblStyle w:val="19"/>
        <w:tblW w:w="8875"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32"/>
        <w:gridCol w:w="7843"/>
      </w:tblGrid>
      <w:tr w14:paraId="6002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79" w:hRule="atLeast"/>
        </w:trPr>
        <w:tc>
          <w:tcPr>
            <w:tcW w:w="1032" w:type="dxa"/>
            <w:tcBorders>
              <w:top w:val="single" w:color="000000" w:sz="4" w:space="0"/>
              <w:left w:val="single" w:color="000000" w:sz="4" w:space="0"/>
              <w:bottom w:val="single" w:color="000000" w:sz="4" w:space="0"/>
              <w:right w:val="single" w:color="000000" w:sz="4" w:space="0"/>
            </w:tcBorders>
            <w:vAlign w:val="center"/>
          </w:tcPr>
          <w:p w14:paraId="003E2D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资质审查</w:t>
            </w:r>
          </w:p>
        </w:tc>
        <w:tc>
          <w:tcPr>
            <w:tcW w:w="7843" w:type="dxa"/>
            <w:tcBorders>
              <w:top w:val="single" w:color="000000" w:sz="4" w:space="0"/>
              <w:left w:val="single" w:color="000000" w:sz="4" w:space="0"/>
              <w:bottom w:val="single" w:color="000000" w:sz="4" w:space="0"/>
              <w:right w:val="single" w:color="000000" w:sz="4" w:space="0"/>
            </w:tcBorders>
            <w:vAlign w:val="center"/>
          </w:tcPr>
          <w:p w14:paraId="406003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详见招标文件第3章投标人须知资料表中</w:t>
            </w:r>
            <w:r>
              <w:rPr>
                <w:rFonts w:hint="eastAsia" w:ascii="宋体" w:hAnsi="宋体" w:eastAsia="宋体" w:cs="宋体"/>
                <w:sz w:val="30"/>
                <w:szCs w:val="30"/>
                <w:lang w:val="en-US" w:eastAsia="zh-CN"/>
              </w:rPr>
              <w:t>投标人的资格要求</w:t>
            </w:r>
            <w:r>
              <w:rPr>
                <w:rFonts w:hint="eastAsia" w:ascii="宋体" w:hAnsi="宋体" w:eastAsia="宋体" w:cs="宋体"/>
                <w:b w:val="0"/>
                <w:bCs/>
                <w:color w:val="auto"/>
                <w:kern w:val="2"/>
                <w:sz w:val="30"/>
                <w:szCs w:val="30"/>
                <w:highlight w:val="none"/>
                <w:lang w:val="en-US" w:eastAsia="zh-CN" w:bidi="ar-SA"/>
              </w:rPr>
              <w:t>（1-7）条资质要求</w:t>
            </w:r>
          </w:p>
        </w:tc>
      </w:tr>
      <w:tr w14:paraId="15C7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3" w:hRule="atLeast"/>
        </w:trPr>
        <w:tc>
          <w:tcPr>
            <w:tcW w:w="8875" w:type="dxa"/>
            <w:gridSpan w:val="2"/>
            <w:tcBorders>
              <w:top w:val="single" w:color="000000" w:sz="4" w:space="0"/>
              <w:left w:val="single" w:color="000000" w:sz="4" w:space="0"/>
              <w:bottom w:val="single" w:color="000000" w:sz="4" w:space="0"/>
              <w:right w:val="single" w:color="000000" w:sz="4" w:space="0"/>
            </w:tcBorders>
            <w:vAlign w:val="center"/>
          </w:tcPr>
          <w:p w14:paraId="0150AE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采购人和监督人在开标时对投标人的资质进行审查，审查不通过的投标无效。</w:t>
            </w:r>
          </w:p>
        </w:tc>
      </w:tr>
    </w:tbl>
    <w:p w14:paraId="204CEB91">
      <w:pPr>
        <w:pStyle w:val="9"/>
        <w:keepNext w:val="0"/>
        <w:keepLines w:val="0"/>
        <w:pageBreakBefore w:val="0"/>
        <w:widowControl w:val="0"/>
        <w:numPr>
          <w:ilvl w:val="0"/>
          <w:numId w:val="6"/>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lang w:val="en-US" w:eastAsia="zh-CN"/>
        </w:rPr>
      </w:pPr>
      <w:bookmarkStart w:id="489" w:name="_Toc5403"/>
      <w:bookmarkStart w:id="490" w:name="_Toc6684"/>
      <w:bookmarkStart w:id="491" w:name="_Toc25391"/>
      <w:bookmarkStart w:id="492" w:name="_Toc24668"/>
      <w:bookmarkStart w:id="493" w:name="_Toc16641"/>
      <w:bookmarkStart w:id="494" w:name="_Toc28621"/>
      <w:bookmarkStart w:id="495" w:name="_Toc3173"/>
      <w:r>
        <w:rPr>
          <w:rFonts w:hint="eastAsia" w:ascii="宋体" w:hAnsi="宋体" w:eastAsia="宋体" w:cs="宋体"/>
          <w:b/>
          <w:bCs/>
          <w:sz w:val="30"/>
          <w:szCs w:val="30"/>
          <w:lang w:val="en-US" w:eastAsia="zh-CN"/>
        </w:rPr>
        <w:t>符合性审查</w:t>
      </w:r>
      <w:bookmarkEnd w:id="489"/>
      <w:bookmarkEnd w:id="490"/>
      <w:bookmarkEnd w:id="491"/>
      <w:bookmarkEnd w:id="492"/>
      <w:bookmarkEnd w:id="493"/>
      <w:bookmarkEnd w:id="494"/>
      <w:bookmarkEnd w:id="495"/>
    </w:p>
    <w:tbl>
      <w:tblPr>
        <w:tblStyle w:val="1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12"/>
        <w:gridCol w:w="720"/>
        <w:gridCol w:w="612"/>
      </w:tblGrid>
      <w:tr w14:paraId="0D72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80" w:type="dxa"/>
            <w:gridSpan w:val="4"/>
            <w:noWrap w:val="0"/>
            <w:vAlign w:val="center"/>
          </w:tcPr>
          <w:p w14:paraId="4DBF7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符合性审查</w:t>
            </w:r>
          </w:p>
          <w:p w14:paraId="2994D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（符合通过打“√”，不通过打“×”；</w:t>
            </w:r>
            <w:r>
              <w:rPr>
                <w:rFonts w:hint="eastAsia" w:ascii="宋体" w:hAnsi="宋体" w:eastAsia="宋体" w:cs="宋体"/>
                <w:b w:val="0"/>
                <w:i w:val="0"/>
                <w:snapToGrid/>
                <w:color w:val="000000"/>
                <w:sz w:val="30"/>
                <w:szCs w:val="30"/>
                <w:u w:val="none"/>
                <w:lang w:val="en-US" w:eastAsia="zh-CN"/>
              </w:rPr>
              <w:t>评审专家</w:t>
            </w:r>
            <w:r>
              <w:rPr>
                <w:rFonts w:hint="eastAsia" w:ascii="宋体" w:hAnsi="宋体" w:eastAsia="宋体" w:cs="宋体"/>
                <w:b w:val="0"/>
                <w:i w:val="0"/>
                <w:snapToGrid/>
                <w:color w:val="000000"/>
                <w:sz w:val="30"/>
                <w:szCs w:val="30"/>
                <w:u w:val="none"/>
                <w:lang w:eastAsia="zh-CN"/>
              </w:rPr>
              <w:t>对</w:t>
            </w:r>
            <w:r>
              <w:rPr>
                <w:rFonts w:hint="eastAsia" w:ascii="宋体" w:hAnsi="宋体" w:eastAsia="宋体" w:cs="宋体"/>
                <w:b w:val="0"/>
                <w:i w:val="0"/>
                <w:snapToGrid/>
                <w:color w:val="000000"/>
                <w:sz w:val="30"/>
                <w:szCs w:val="30"/>
                <w:u w:val="none"/>
                <w:lang w:val="en-US" w:eastAsia="zh-CN"/>
              </w:rPr>
              <w:t>投标响应文件</w:t>
            </w:r>
            <w:r>
              <w:rPr>
                <w:rFonts w:hint="eastAsia" w:ascii="宋体" w:hAnsi="宋体" w:eastAsia="宋体" w:cs="宋体"/>
                <w:b w:val="0"/>
                <w:i w:val="0"/>
                <w:snapToGrid/>
                <w:color w:val="000000"/>
                <w:sz w:val="30"/>
                <w:szCs w:val="30"/>
                <w:u w:val="none"/>
                <w:lang w:eastAsia="zh-CN"/>
              </w:rPr>
              <w:t>进行审查，审查不通过的</w:t>
            </w:r>
            <w:r>
              <w:rPr>
                <w:rFonts w:hint="eastAsia" w:ascii="宋体" w:hAnsi="宋体" w:eastAsia="宋体" w:cs="宋体"/>
                <w:b w:val="0"/>
                <w:i w:val="0"/>
                <w:snapToGrid/>
                <w:color w:val="000000"/>
                <w:sz w:val="30"/>
                <w:szCs w:val="30"/>
                <w:u w:val="none"/>
                <w:lang w:val="en-US" w:eastAsia="zh-CN"/>
              </w:rPr>
              <w:t>投标无效</w:t>
            </w:r>
            <w:r>
              <w:rPr>
                <w:rFonts w:hint="eastAsia" w:ascii="宋体" w:hAnsi="宋体" w:eastAsia="宋体" w:cs="宋体"/>
                <w:b w:val="0"/>
                <w:i w:val="0"/>
                <w:snapToGrid/>
                <w:color w:val="000000"/>
                <w:sz w:val="30"/>
                <w:szCs w:val="30"/>
                <w:u w:val="none"/>
                <w:lang w:eastAsia="zh-CN"/>
              </w:rPr>
              <w:t>。</w:t>
            </w:r>
            <w:r>
              <w:rPr>
                <w:rFonts w:hint="eastAsia" w:ascii="宋体" w:hAnsi="宋体" w:eastAsia="宋体" w:cs="宋体"/>
                <w:b w:val="0"/>
                <w:bCs/>
                <w:kern w:val="2"/>
                <w:sz w:val="30"/>
                <w:szCs w:val="30"/>
                <w:lang w:val="en-US" w:eastAsia="zh-CN" w:bidi="ar-SA"/>
              </w:rPr>
              <w:t>）</w:t>
            </w:r>
          </w:p>
        </w:tc>
      </w:tr>
      <w:tr w14:paraId="4476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6" w:type="dxa"/>
            <w:noWrap w:val="0"/>
            <w:vAlign w:val="center"/>
          </w:tcPr>
          <w:p w14:paraId="2E0F90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序号</w:t>
            </w:r>
          </w:p>
        </w:tc>
        <w:tc>
          <w:tcPr>
            <w:tcW w:w="7212" w:type="dxa"/>
            <w:noWrap w:val="0"/>
            <w:vAlign w:val="center"/>
          </w:tcPr>
          <w:p w14:paraId="73DF5D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符合性审查要求</w:t>
            </w:r>
          </w:p>
        </w:tc>
        <w:tc>
          <w:tcPr>
            <w:tcW w:w="720" w:type="dxa"/>
            <w:noWrap w:val="0"/>
            <w:vAlign w:val="center"/>
          </w:tcPr>
          <w:p w14:paraId="26A67D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6339F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83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334DEE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1</w:t>
            </w:r>
          </w:p>
        </w:tc>
        <w:tc>
          <w:tcPr>
            <w:tcW w:w="7212" w:type="dxa"/>
            <w:noWrap w:val="0"/>
            <w:vAlign w:val="center"/>
          </w:tcPr>
          <w:p w14:paraId="3DAB7E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000000"/>
                <w:sz w:val="30"/>
                <w:szCs w:val="30"/>
              </w:rPr>
              <w:t>是否按</w:t>
            </w:r>
            <w:r>
              <w:rPr>
                <w:rFonts w:hint="eastAsia" w:ascii="宋体" w:hAnsi="宋体" w:eastAsia="宋体" w:cs="宋体"/>
                <w:b w:val="0"/>
                <w:bCs/>
                <w:color w:val="000000"/>
                <w:sz w:val="30"/>
                <w:szCs w:val="30"/>
                <w:lang w:val="en-US" w:eastAsia="zh-CN"/>
              </w:rPr>
              <w:t>招标</w:t>
            </w:r>
            <w:r>
              <w:rPr>
                <w:rFonts w:hint="eastAsia" w:ascii="宋体" w:hAnsi="宋体" w:eastAsia="宋体" w:cs="宋体"/>
                <w:b w:val="0"/>
                <w:bCs/>
                <w:color w:val="000000"/>
                <w:sz w:val="30"/>
                <w:szCs w:val="30"/>
              </w:rPr>
              <w:t>文件格式要求提供单位盖章及法定代表人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val="0"/>
                <w:bCs/>
                <w:color w:val="000000"/>
                <w:sz w:val="30"/>
                <w:szCs w:val="30"/>
              </w:rPr>
              <w:t>或</w:t>
            </w:r>
            <w:r>
              <w:rPr>
                <w:rFonts w:hint="eastAsia" w:ascii="宋体" w:hAnsi="宋体" w:eastAsia="宋体" w:cs="宋体"/>
                <w:b w:val="0"/>
                <w:bCs/>
                <w:color w:val="000000"/>
                <w:sz w:val="30"/>
                <w:szCs w:val="30"/>
                <w:lang w:val="en-US" w:eastAsia="zh-CN"/>
              </w:rPr>
              <w:t>被授权人</w:t>
            </w:r>
            <w:r>
              <w:rPr>
                <w:rFonts w:hint="eastAsia" w:ascii="宋体" w:hAnsi="宋体" w:eastAsia="宋体" w:cs="宋体"/>
                <w:b w:val="0"/>
                <w:bCs/>
                <w:color w:val="000000"/>
                <w:sz w:val="30"/>
                <w:szCs w:val="30"/>
              </w:rPr>
              <w:t>签字（或签章）。</w:t>
            </w:r>
          </w:p>
        </w:tc>
        <w:tc>
          <w:tcPr>
            <w:tcW w:w="720" w:type="dxa"/>
            <w:noWrap w:val="0"/>
            <w:vAlign w:val="center"/>
          </w:tcPr>
          <w:p w14:paraId="66A65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167A8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3C7A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043E08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2</w:t>
            </w:r>
          </w:p>
        </w:tc>
        <w:tc>
          <w:tcPr>
            <w:tcW w:w="7212" w:type="dxa"/>
            <w:noWrap w:val="0"/>
            <w:vAlign w:val="center"/>
          </w:tcPr>
          <w:p w14:paraId="24151E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kern w:val="2"/>
                <w:sz w:val="30"/>
                <w:szCs w:val="30"/>
                <w:lang w:val="en-US" w:eastAsia="zh-CN" w:bidi="ar-SA"/>
              </w:rPr>
              <w:t>投标人报价未超过招标文件中规定的最高限价或者预算金额的。</w:t>
            </w:r>
          </w:p>
        </w:tc>
        <w:tc>
          <w:tcPr>
            <w:tcW w:w="720" w:type="dxa"/>
            <w:noWrap w:val="0"/>
            <w:vAlign w:val="center"/>
          </w:tcPr>
          <w:p w14:paraId="233197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3F825E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3E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3526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3</w:t>
            </w:r>
          </w:p>
        </w:tc>
        <w:tc>
          <w:tcPr>
            <w:tcW w:w="7212" w:type="dxa"/>
            <w:noWrap w:val="0"/>
            <w:vAlign w:val="center"/>
          </w:tcPr>
          <w:p w14:paraId="63ABE8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color w:val="auto"/>
                <w:sz w:val="30"/>
                <w:szCs w:val="30"/>
                <w:highlight w:val="none"/>
              </w:rPr>
              <w:t>投标报价是否</w:t>
            </w:r>
            <w:r>
              <w:rPr>
                <w:rFonts w:hint="eastAsia" w:ascii="宋体" w:hAnsi="宋体" w:eastAsia="宋体" w:cs="宋体"/>
                <w:color w:val="auto"/>
                <w:sz w:val="30"/>
                <w:szCs w:val="30"/>
                <w:highlight w:val="none"/>
                <w:lang w:val="en-US" w:eastAsia="zh-CN"/>
              </w:rPr>
              <w:t>按照招标文件要求报价的</w:t>
            </w:r>
            <w:r>
              <w:rPr>
                <w:rFonts w:hint="eastAsia" w:ascii="宋体" w:hAnsi="宋体" w:eastAsia="宋体" w:cs="宋体"/>
                <w:color w:val="auto"/>
                <w:sz w:val="30"/>
                <w:szCs w:val="30"/>
                <w:highlight w:val="none"/>
              </w:rPr>
              <w:t>。</w:t>
            </w:r>
          </w:p>
        </w:tc>
        <w:tc>
          <w:tcPr>
            <w:tcW w:w="720" w:type="dxa"/>
            <w:noWrap w:val="0"/>
            <w:vAlign w:val="center"/>
          </w:tcPr>
          <w:p w14:paraId="69A478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202216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7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D0DC6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4</w:t>
            </w:r>
          </w:p>
        </w:tc>
        <w:tc>
          <w:tcPr>
            <w:tcW w:w="7212" w:type="dxa"/>
            <w:noWrap w:val="0"/>
            <w:vAlign w:val="center"/>
          </w:tcPr>
          <w:p w14:paraId="553E56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投标有效期（90日历日）是否满足招标文件要求的。</w:t>
            </w:r>
          </w:p>
        </w:tc>
        <w:tc>
          <w:tcPr>
            <w:tcW w:w="720" w:type="dxa"/>
            <w:noWrap w:val="0"/>
            <w:vAlign w:val="center"/>
          </w:tcPr>
          <w:p w14:paraId="398898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3EB8E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55B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36" w:type="dxa"/>
            <w:noWrap w:val="0"/>
            <w:vAlign w:val="center"/>
          </w:tcPr>
          <w:p w14:paraId="54295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5</w:t>
            </w:r>
          </w:p>
        </w:tc>
        <w:tc>
          <w:tcPr>
            <w:tcW w:w="7212" w:type="dxa"/>
            <w:noWrap w:val="0"/>
            <w:vAlign w:val="center"/>
          </w:tcPr>
          <w:p w14:paraId="6E9BF7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auto"/>
                <w:kern w:val="2"/>
                <w:sz w:val="30"/>
                <w:szCs w:val="30"/>
                <w:highlight w:val="none"/>
                <w:lang w:val="en-US" w:eastAsia="zh-CN" w:bidi="ar-SA"/>
              </w:rPr>
              <w:t>投标人载明的时间要求或服务期限是否满足招标文件规定要求的。</w:t>
            </w:r>
          </w:p>
        </w:tc>
        <w:tc>
          <w:tcPr>
            <w:tcW w:w="720" w:type="dxa"/>
            <w:noWrap w:val="0"/>
            <w:vAlign w:val="center"/>
          </w:tcPr>
          <w:p w14:paraId="43CD07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16BD8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F1B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36" w:type="dxa"/>
            <w:noWrap w:val="0"/>
            <w:vAlign w:val="center"/>
          </w:tcPr>
          <w:p w14:paraId="4E1C51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6</w:t>
            </w:r>
          </w:p>
        </w:tc>
        <w:tc>
          <w:tcPr>
            <w:tcW w:w="7212" w:type="dxa"/>
            <w:noWrap w:val="0"/>
            <w:vAlign w:val="center"/>
          </w:tcPr>
          <w:p w14:paraId="20EEE5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color w:val="auto"/>
                <w:sz w:val="30"/>
                <w:szCs w:val="30"/>
                <w:highlight w:val="none"/>
                <w:lang w:val="en-US" w:eastAsia="zh-CN"/>
              </w:rPr>
              <w:t>投标人是否存在串通投标的行为。（不存在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w:t>
            </w:r>
          </w:p>
        </w:tc>
        <w:tc>
          <w:tcPr>
            <w:tcW w:w="720" w:type="dxa"/>
            <w:noWrap w:val="0"/>
            <w:vAlign w:val="center"/>
          </w:tcPr>
          <w:p w14:paraId="7FD3A0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6A22C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B4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6" w:type="dxa"/>
            <w:noWrap w:val="0"/>
            <w:vAlign w:val="center"/>
          </w:tcPr>
          <w:p w14:paraId="14D480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7</w:t>
            </w:r>
          </w:p>
        </w:tc>
        <w:tc>
          <w:tcPr>
            <w:tcW w:w="7212" w:type="dxa"/>
            <w:noWrap w:val="0"/>
            <w:vAlign w:val="center"/>
          </w:tcPr>
          <w:p w14:paraId="3182B9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是否符合招标文件规定的其他实质性要求。</w:t>
            </w:r>
          </w:p>
        </w:tc>
        <w:tc>
          <w:tcPr>
            <w:tcW w:w="720" w:type="dxa"/>
            <w:noWrap w:val="0"/>
            <w:vAlign w:val="center"/>
          </w:tcPr>
          <w:p w14:paraId="78B85D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4EDB36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8C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80" w:type="dxa"/>
            <w:gridSpan w:val="4"/>
            <w:noWrap w:val="0"/>
            <w:vAlign w:val="center"/>
          </w:tcPr>
          <w:p w14:paraId="6036FB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评审专家在开标时对供应商的符合性进行审查，审查不通过的投标无效。</w:t>
            </w:r>
          </w:p>
        </w:tc>
      </w:tr>
    </w:tbl>
    <w:p w14:paraId="1CA23E74">
      <w:pPr>
        <w:rPr>
          <w:rFonts w:hint="eastAsia" w:ascii="宋体" w:hAnsi="宋体" w:eastAsia="宋体" w:cs="宋体"/>
          <w:lang w:val="en-US" w:eastAsia="zh-CN"/>
        </w:rPr>
      </w:pPr>
    </w:p>
    <w:p w14:paraId="4C848C8D">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bookmarkStart w:id="496" w:name="_Toc12302"/>
      <w:bookmarkStart w:id="497" w:name="_Toc26578"/>
      <w:bookmarkStart w:id="498" w:name="_Toc13590"/>
      <w:bookmarkStart w:id="499" w:name="_Toc16694"/>
      <w:bookmarkStart w:id="500" w:name="_Toc26600"/>
      <w:bookmarkStart w:id="501" w:name="_Toc13426"/>
      <w:bookmarkStart w:id="502" w:name="_Toc8585"/>
      <w:bookmarkStart w:id="503" w:name="_Toc3931"/>
    </w:p>
    <w:p w14:paraId="11EF91E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4138AF1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097CF0B3">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二、评审办法</w:t>
      </w:r>
      <w:bookmarkEnd w:id="496"/>
      <w:bookmarkEnd w:id="497"/>
      <w:bookmarkEnd w:id="498"/>
      <w:bookmarkEnd w:id="499"/>
      <w:bookmarkEnd w:id="500"/>
      <w:bookmarkEnd w:id="501"/>
      <w:bookmarkEnd w:id="502"/>
      <w:bookmarkEnd w:id="503"/>
    </w:p>
    <w:p w14:paraId="00613B4F">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bookmarkStart w:id="504" w:name="_Toc5105"/>
      <w:bookmarkStart w:id="505" w:name="_Toc22476"/>
      <w:bookmarkStart w:id="506" w:name="_Toc14677"/>
      <w:bookmarkStart w:id="507" w:name="_Toc24634"/>
      <w:bookmarkStart w:id="508" w:name="_Toc4025"/>
      <w:r>
        <w:rPr>
          <w:rFonts w:hint="eastAsia" w:ascii="宋体" w:hAnsi="宋体" w:eastAsia="宋体" w:cs="宋体"/>
          <w:sz w:val="28"/>
          <w:szCs w:val="28"/>
        </w:rPr>
        <w:t>本项目采用</w:t>
      </w:r>
      <w:r>
        <w:rPr>
          <w:rFonts w:hint="eastAsia" w:ascii="宋体" w:hAnsi="宋体" w:eastAsia="宋体" w:cs="宋体"/>
          <w:sz w:val="28"/>
          <w:szCs w:val="28"/>
          <w:u w:val="single"/>
        </w:rPr>
        <w:t xml:space="preserve">  综合评分法  </w:t>
      </w:r>
      <w:r>
        <w:rPr>
          <w:rFonts w:hint="eastAsia" w:ascii="宋体" w:hAnsi="宋体" w:eastAsia="宋体" w:cs="宋体"/>
          <w:sz w:val="28"/>
          <w:szCs w:val="28"/>
        </w:rPr>
        <w:t>进行评审。</w:t>
      </w:r>
    </w:p>
    <w:p w14:paraId="50067B0E">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综合评分法，是指在满足</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实质性要求的前提下，评标专家按照</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中规定的各项评审因素及其分值进行综合评分后，以评分从高到低的顺序推荐1至3家供应商作为成交候选供应商的评标方法。</w:t>
      </w:r>
    </w:p>
    <w:p w14:paraId="4C235541">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09" w:name="_Toc25851"/>
      <w:bookmarkStart w:id="510" w:name="_Toc5609"/>
      <w:bookmarkStart w:id="511" w:name="_Toc2774"/>
      <w:r>
        <w:rPr>
          <w:rFonts w:hint="eastAsia" w:ascii="宋体" w:hAnsi="宋体" w:eastAsia="宋体" w:cs="宋体"/>
          <w:b/>
          <w:bCs/>
          <w:kern w:val="2"/>
          <w:sz w:val="28"/>
          <w:szCs w:val="28"/>
          <w:lang w:val="en-US" w:eastAsia="zh-CN" w:bidi="ar-SA"/>
        </w:rPr>
        <w:t>三、评分因素</w:t>
      </w:r>
      <w:bookmarkEnd w:id="504"/>
      <w:bookmarkEnd w:id="505"/>
      <w:bookmarkEnd w:id="506"/>
      <w:bookmarkEnd w:id="507"/>
      <w:bookmarkEnd w:id="508"/>
      <w:bookmarkEnd w:id="509"/>
      <w:bookmarkEnd w:id="510"/>
      <w:bookmarkEnd w:id="511"/>
    </w:p>
    <w:p w14:paraId="0B6F16CA">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kern w:val="2"/>
          <w:sz w:val="28"/>
          <w:szCs w:val="28"/>
          <w:lang w:val="en-US" w:eastAsia="zh-CN" w:bidi="ar-SA"/>
        </w:rPr>
      </w:pPr>
      <w:bookmarkStart w:id="512" w:name="_Toc6048"/>
      <w:bookmarkStart w:id="513" w:name="_Toc8795"/>
      <w:bookmarkStart w:id="514" w:name="_Toc29098"/>
      <w:bookmarkStart w:id="515" w:name="_Toc5144"/>
      <w:bookmarkStart w:id="516" w:name="_Toc13190"/>
      <w:r>
        <w:rPr>
          <w:rFonts w:hint="eastAsia" w:ascii="宋体" w:hAnsi="宋体" w:eastAsia="宋体" w:cs="宋体"/>
          <w:kern w:val="2"/>
          <w:sz w:val="28"/>
          <w:szCs w:val="28"/>
          <w:lang w:val="en-US" w:eastAsia="zh-CN" w:bidi="ar-SA"/>
        </w:rPr>
        <w:t>评分的主要因素分为价格因素、技术因素和商务因素。评分因素详见评分表。评标分值保留至两位小数。评标时，评标专家依照评分表对每个有效供应商的投标文件进行独立评审、打分。</w:t>
      </w:r>
    </w:p>
    <w:p w14:paraId="1ECEDB76">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17" w:name="_Toc448"/>
      <w:bookmarkStart w:id="518" w:name="_Toc3608"/>
      <w:bookmarkStart w:id="519" w:name="_Toc12749"/>
      <w:r>
        <w:rPr>
          <w:rFonts w:hint="eastAsia" w:ascii="宋体" w:hAnsi="宋体" w:eastAsia="宋体" w:cs="宋体"/>
          <w:b/>
          <w:bCs/>
          <w:kern w:val="2"/>
          <w:sz w:val="28"/>
          <w:szCs w:val="28"/>
          <w:lang w:val="en-US" w:eastAsia="zh-CN" w:bidi="ar-SA"/>
        </w:rPr>
        <w:t>四、评分标准</w:t>
      </w:r>
      <w:bookmarkEnd w:id="512"/>
      <w:bookmarkEnd w:id="513"/>
      <w:bookmarkEnd w:id="514"/>
      <w:bookmarkEnd w:id="515"/>
      <w:bookmarkEnd w:id="516"/>
      <w:bookmarkEnd w:id="517"/>
      <w:bookmarkEnd w:id="518"/>
      <w:bookmarkEnd w:id="519"/>
    </w:p>
    <w:p w14:paraId="09D11207">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kern w:val="2"/>
          <w:sz w:val="28"/>
          <w:szCs w:val="28"/>
          <w:lang w:val="en-US" w:eastAsia="zh-CN" w:bidi="ar-SA"/>
        </w:rPr>
      </w:pPr>
      <w:bookmarkStart w:id="520" w:name="_Toc28827"/>
      <w:bookmarkStart w:id="521" w:name="_Toc29275"/>
      <w:bookmarkStart w:id="522" w:name="_Toc21287"/>
      <w:bookmarkStart w:id="523" w:name="_Toc13005"/>
      <w:bookmarkStart w:id="524" w:name="_Toc14639"/>
      <w:r>
        <w:rPr>
          <w:rFonts w:hint="eastAsia" w:ascii="宋体" w:hAnsi="宋体" w:eastAsia="宋体" w:cs="宋体"/>
          <w:kern w:val="2"/>
          <w:sz w:val="28"/>
          <w:szCs w:val="28"/>
          <w:lang w:val="en-US" w:eastAsia="zh-CN" w:bidi="ar-SA"/>
        </w:rPr>
        <w:t>评标委员会根据采购文件，在对投标人投标文件综合评审的基础上进行评估打分。打分采取百分制，</w:t>
      </w:r>
      <w:r>
        <w:rPr>
          <w:rFonts w:hint="eastAsia" w:ascii="宋体" w:hAnsi="宋体" w:eastAsia="宋体" w:cs="宋体"/>
          <w:b w:val="0"/>
          <w:bCs w:val="0"/>
          <w:kern w:val="2"/>
          <w:sz w:val="28"/>
          <w:szCs w:val="28"/>
          <w:lang w:val="en-US" w:eastAsia="zh-CN" w:bidi="ar-SA"/>
        </w:rPr>
        <w:t>其中商务、技术部分为</w:t>
      </w:r>
      <w:r>
        <w:rPr>
          <w:rFonts w:hint="eastAsia" w:ascii="宋体" w:hAnsi="宋体" w:eastAsia="宋体" w:cs="宋体"/>
          <w:b w:val="0"/>
          <w:bCs w:val="0"/>
          <w:kern w:val="2"/>
          <w:sz w:val="28"/>
          <w:szCs w:val="28"/>
          <w:highlight w:val="none"/>
          <w:lang w:val="en-US" w:eastAsia="zh-CN" w:bidi="ar-SA"/>
        </w:rPr>
        <w:t>90分，报价分10分。</w:t>
      </w:r>
    </w:p>
    <w:p w14:paraId="4CB5C6F8">
      <w:pPr>
        <w:pStyle w:val="24"/>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hint="eastAsia" w:ascii="宋体" w:hAnsi="宋体" w:eastAsia="宋体" w:cs="宋体"/>
          <w:kern w:val="2"/>
          <w:sz w:val="28"/>
          <w:szCs w:val="28"/>
          <w:lang w:val="en-US" w:eastAsia="zh-CN" w:bidi="ar-SA"/>
        </w:rPr>
      </w:pPr>
      <w:bookmarkStart w:id="525" w:name="_Toc6321"/>
      <w:bookmarkStart w:id="526" w:name="_Toc30168"/>
      <w:bookmarkStart w:id="527" w:name="_Toc28554"/>
      <w:r>
        <w:rPr>
          <w:rFonts w:hint="eastAsia" w:ascii="宋体" w:hAnsi="宋体" w:eastAsia="宋体" w:cs="宋体"/>
          <w:b/>
          <w:bCs/>
          <w:kern w:val="2"/>
          <w:sz w:val="28"/>
          <w:szCs w:val="28"/>
          <w:lang w:val="en-US" w:eastAsia="zh-CN" w:bidi="ar-SA"/>
        </w:rPr>
        <w:t>五、成交候选人并列式时的处理方式：</w:t>
      </w:r>
      <w:bookmarkEnd w:id="520"/>
      <w:bookmarkEnd w:id="521"/>
      <w:bookmarkEnd w:id="522"/>
      <w:bookmarkEnd w:id="523"/>
      <w:bookmarkEnd w:id="524"/>
      <w:bookmarkEnd w:id="525"/>
      <w:bookmarkEnd w:id="526"/>
      <w:bookmarkEnd w:id="527"/>
      <w:r>
        <w:rPr>
          <w:rFonts w:hint="eastAsia" w:ascii="宋体" w:hAnsi="宋体" w:eastAsia="宋体" w:cs="宋体"/>
          <w:b/>
          <w:bCs/>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w:t>
      </w:r>
    </w:p>
    <w:p w14:paraId="790C6138">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采用综合评标法，则：</w:t>
      </w:r>
      <w:r>
        <w:rPr>
          <w:rFonts w:hint="eastAsia" w:ascii="宋体" w:hAnsi="宋体" w:eastAsia="宋体" w:cs="宋体"/>
          <w:kern w:val="2"/>
          <w:sz w:val="28"/>
          <w:szCs w:val="28"/>
          <w:u w:val="single"/>
          <w:lang w:val="en-US" w:eastAsia="zh-CN" w:bidi="ar-SA"/>
        </w:rPr>
        <w:t>评审得分相同的，按投标报价排列，报价最低的投标人获得成交人推荐资格；得分与投标报价均相同的，按技术指标优劣排列，技术得分最高的投标人获得成交人推荐资格。</w:t>
      </w:r>
    </w:p>
    <w:p w14:paraId="7A9B12BA">
      <w:pPr>
        <w:pStyle w:val="25"/>
        <w:rPr>
          <w:rFonts w:hint="eastAsia" w:ascii="宋体" w:hAnsi="宋体" w:eastAsia="宋体" w:cs="宋体"/>
          <w:kern w:val="2"/>
          <w:sz w:val="32"/>
          <w:szCs w:val="32"/>
          <w:u w:val="single"/>
          <w:lang w:val="en-US" w:eastAsia="zh-CN" w:bidi="ar-SA"/>
        </w:rPr>
      </w:pPr>
    </w:p>
    <w:p w14:paraId="0E25E795">
      <w:pPr>
        <w:rPr>
          <w:rFonts w:hint="eastAsia" w:ascii="宋体" w:hAnsi="宋体" w:eastAsia="宋体" w:cs="宋体"/>
          <w:kern w:val="2"/>
          <w:sz w:val="32"/>
          <w:szCs w:val="32"/>
          <w:u w:val="single"/>
          <w:lang w:val="en-US" w:eastAsia="zh-CN" w:bidi="ar-SA"/>
        </w:rPr>
      </w:pPr>
    </w:p>
    <w:p w14:paraId="25A7241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5B5C52E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465E9A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D136E29">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2421E13">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0BD455C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533487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3BF0FF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53279B0">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E5F7EBA">
      <w:pPr>
        <w:pStyle w:val="24"/>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bCs/>
          <w:kern w:val="2"/>
          <w:sz w:val="30"/>
          <w:szCs w:val="30"/>
          <w:lang w:val="en-US" w:eastAsia="zh-CN" w:bidi="ar-SA"/>
        </w:rPr>
      </w:pPr>
    </w:p>
    <w:p w14:paraId="422F4C0F">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5C616F2">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30"/>
          <w:szCs w:val="30"/>
          <w:lang w:val="en-US" w:eastAsia="zh-CN"/>
        </w:rPr>
      </w:pPr>
      <w:r>
        <w:rPr>
          <w:rFonts w:hint="eastAsia" w:ascii="宋体" w:hAnsi="宋体" w:eastAsia="宋体" w:cs="宋体"/>
          <w:b/>
          <w:bCs/>
          <w:kern w:val="2"/>
          <w:sz w:val="30"/>
          <w:szCs w:val="30"/>
          <w:lang w:val="en-US" w:eastAsia="zh-CN" w:bidi="ar-SA"/>
        </w:rPr>
        <w:t>评分标准（标项一至标项五）</w:t>
      </w:r>
    </w:p>
    <w:tbl>
      <w:tblPr>
        <w:tblStyle w:val="19"/>
        <w:tblpPr w:leftFromText="180" w:rightFromText="180" w:vertAnchor="text" w:horzAnchor="page" w:tblpX="905" w:tblpY="374"/>
        <w:tblOverlap w:val="never"/>
        <w:tblW w:w="9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521"/>
        <w:gridCol w:w="653"/>
        <w:gridCol w:w="6874"/>
      </w:tblGrid>
      <w:tr w14:paraId="1B1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3A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586">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评分内容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A97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分值</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862">
            <w:pPr>
              <w:keepNext w:val="0"/>
              <w:keepLines w:val="0"/>
              <w:pageBreakBefore w:val="0"/>
              <w:widowControl/>
              <w:suppressLineNumbers w:val="0"/>
              <w:kinsoku/>
              <w:wordWrap/>
              <w:overflowPunct/>
              <w:topLinePunct w:val="0"/>
              <w:bidi w:val="0"/>
              <w:snapToGrid/>
              <w:spacing w:line="440" w:lineRule="exact"/>
              <w:ind w:firstLineChars="200"/>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评分标准</w:t>
            </w:r>
          </w:p>
        </w:tc>
      </w:tr>
      <w:tr w14:paraId="6A89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nil"/>
            </w:tcBorders>
            <w:shd w:val="clear" w:color="auto" w:fill="auto"/>
            <w:vAlign w:val="center"/>
          </w:tcPr>
          <w:p w14:paraId="1BD9AF68">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nil"/>
              <w:bottom w:val="single" w:color="000000" w:sz="4" w:space="0"/>
              <w:right w:val="single" w:color="000000" w:sz="4" w:space="0"/>
            </w:tcBorders>
            <w:shd w:val="clear" w:color="auto" w:fill="auto"/>
            <w:vAlign w:val="center"/>
          </w:tcPr>
          <w:p w14:paraId="14D8191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一、报价部分</w:t>
            </w:r>
          </w:p>
        </w:tc>
      </w:tr>
      <w:tr w14:paraId="6F8C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5C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1ED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Style w:val="34"/>
                <w:rFonts w:hint="eastAsia" w:ascii="宋体" w:hAnsi="宋体" w:eastAsia="宋体" w:cs="宋体"/>
                <w:b w:val="0"/>
                <w:bCs/>
                <w:sz w:val="24"/>
                <w:szCs w:val="24"/>
                <w:lang w:val="en-US" w:eastAsia="zh-CN" w:bidi="ar"/>
              </w:rPr>
              <w:t>报价分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75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79B">
            <w:pPr>
              <w:keepNext w:val="0"/>
              <w:keepLines w:val="0"/>
              <w:pageBreakBefore w:val="0"/>
              <w:kinsoku/>
              <w:wordWrap/>
              <w:overflowPunct/>
              <w:topLinePunct w:val="0"/>
              <w:bidi w:val="0"/>
              <w:snapToGrid/>
              <w:spacing w:line="440" w:lineRule="exact"/>
              <w:jc w:val="both"/>
              <w:rPr>
                <w:rFonts w:hint="eastAsia" w:ascii="宋体" w:hAnsi="宋体" w:eastAsia="宋体" w:cs="宋体"/>
                <w:b w:val="0"/>
                <w:bCs/>
                <w:i w:val="0"/>
                <w:iCs w:val="0"/>
                <w:color w:val="000000"/>
                <w:sz w:val="24"/>
                <w:szCs w:val="24"/>
                <w:u w:val="none"/>
              </w:rPr>
            </w:pPr>
            <w:r>
              <w:rPr>
                <w:rFonts w:hint="eastAsia" w:ascii="宋体" w:hAnsi="宋体" w:eastAsia="宋体" w:cs="宋体"/>
                <w:sz w:val="24"/>
                <w:szCs w:val="24"/>
                <w:highlight w:val="none"/>
              </w:rPr>
              <w:t>以满足招标文件要求的支付餐饮服务费比例最低的投标价为基准价，其报价为满分。其他人的报价得分=（评标基准价/投标人报价）×价格权</w:t>
            </w:r>
            <w:r>
              <w:rPr>
                <w:rFonts w:hint="eastAsia" w:ascii="宋体" w:hAnsi="宋体" w:eastAsia="宋体" w:cs="宋体"/>
                <w:sz w:val="24"/>
                <w:szCs w:val="24"/>
                <w:highlight w:val="none"/>
                <w:lang w:val="en-US" w:eastAsia="zh-CN"/>
              </w:rPr>
              <w:t>重</w:t>
            </w:r>
            <w:r>
              <w:rPr>
                <w:rFonts w:hint="eastAsia" w:ascii="宋体" w:hAnsi="宋体" w:eastAsia="宋体" w:cs="宋体"/>
                <w:sz w:val="24"/>
                <w:szCs w:val="24"/>
                <w:highlight w:val="none"/>
              </w:rPr>
              <w:t>×100</w:t>
            </w:r>
          </w:p>
        </w:tc>
      </w:tr>
      <w:tr w14:paraId="5F45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11C">
            <w:pPr>
              <w:keepNext w:val="0"/>
              <w:keepLines w:val="0"/>
              <w:pageBreakBefore w:val="0"/>
              <w:kinsoku/>
              <w:wordWrap/>
              <w:overflowPunct/>
              <w:topLinePunct w:val="0"/>
              <w:bidi w:val="0"/>
              <w:snapToGrid/>
              <w:spacing w:line="440" w:lineRule="exact"/>
              <w:jc w:val="center"/>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3703">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二、技术部分</w:t>
            </w:r>
          </w:p>
        </w:tc>
      </w:tr>
      <w:tr w14:paraId="49FA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DE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52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sz w:val="24"/>
                <w:szCs w:val="24"/>
                <w:highlight w:val="none"/>
              </w:rPr>
            </w:pPr>
          </w:p>
          <w:p w14:paraId="3A60B8AD">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val="0"/>
                <w:bCs/>
                <w:i w:val="0"/>
                <w:iCs w:val="0"/>
                <w:color w:val="000000"/>
                <w:sz w:val="24"/>
                <w:szCs w:val="24"/>
                <w:highlight w:val="yellow"/>
                <w:u w:val="none"/>
                <w:lang w:eastAsia="zh-CN"/>
              </w:rPr>
            </w:pPr>
            <w:r>
              <w:rPr>
                <w:rFonts w:hint="eastAsia" w:ascii="宋体" w:hAnsi="宋体" w:eastAsia="宋体" w:cs="宋体"/>
                <w:sz w:val="24"/>
                <w:szCs w:val="24"/>
                <w:highlight w:val="none"/>
                <w:lang w:val="en-US" w:eastAsia="zh-CN"/>
              </w:rPr>
              <w:t>类似业绩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3E3">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b w:val="0"/>
                <w:bCs/>
                <w:i w:val="0"/>
                <w:iCs w:val="0"/>
                <w:color w:val="000000"/>
                <w:sz w:val="24"/>
                <w:szCs w:val="24"/>
                <w:highlight w:val="yellow"/>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F2BB">
            <w:pPr>
              <w:keepNext w:val="0"/>
              <w:keepLines w:val="0"/>
              <w:pageBreakBefore w:val="0"/>
              <w:kinsoku/>
              <w:wordWrap/>
              <w:overflowPunct/>
              <w:topLinePunct w:val="0"/>
              <w:bidi w:val="0"/>
              <w:snapToGrid/>
              <w:spacing w:line="440" w:lineRule="exact"/>
              <w:jc w:val="both"/>
              <w:rPr>
                <w:rFonts w:hint="default" w:ascii="宋体" w:hAnsi="宋体" w:eastAsia="宋体" w:cs="宋体"/>
                <w:b w:val="0"/>
                <w:bCs/>
                <w:i w:val="0"/>
                <w:iCs w:val="0"/>
                <w:color w:val="000000"/>
                <w:sz w:val="24"/>
                <w:szCs w:val="24"/>
                <w:highlight w:val="yellow"/>
                <w:u w:val="none"/>
                <w:lang w:val="en-US"/>
              </w:rPr>
            </w:pPr>
            <w:r>
              <w:rPr>
                <w:rFonts w:hint="eastAsia" w:ascii="宋体" w:hAnsi="宋体" w:eastAsia="宋体" w:cs="宋体"/>
                <w:sz w:val="24"/>
                <w:szCs w:val="24"/>
                <w:highlight w:val="none"/>
                <w:lang w:val="en-US" w:eastAsia="zh-CN"/>
              </w:rPr>
              <w:t>近三年2022年1月-至今供应商具有类似餐饮服务项目业绩，每提供一个得1分，最高得6分。业绩证明材料需提供中标（成交）通知书或合同协议书复印件加盖公章，合同含：签订时间、服务内容信息页、合同金额页、签字盖章页等关键页，关键页需要内容清晰可辩，合同体现内容中如缺项或模糊，评标委员会无法辨识该业绩不做认定。以上材料均需要加盖投标人公章。</w:t>
            </w:r>
          </w:p>
        </w:tc>
      </w:tr>
      <w:tr w14:paraId="49FA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restart"/>
            <w:tcBorders>
              <w:top w:val="single" w:color="000000" w:sz="4" w:space="0"/>
              <w:left w:val="single" w:color="000000" w:sz="4" w:space="0"/>
              <w:right w:val="single" w:color="000000" w:sz="4" w:space="0"/>
            </w:tcBorders>
            <w:shd w:val="clear" w:color="auto" w:fill="auto"/>
            <w:vAlign w:val="center"/>
          </w:tcPr>
          <w:p w14:paraId="591B9A01">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3</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0E4B5D44">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color w:val="auto"/>
                <w:sz w:val="24"/>
                <w:szCs w:val="24"/>
                <w:highlight w:val="none"/>
                <w:lang w:val="en-US" w:eastAsia="zh-CN"/>
              </w:rPr>
              <w:t>人员配备</w:t>
            </w:r>
          </w:p>
        </w:tc>
        <w:tc>
          <w:tcPr>
            <w:tcW w:w="653" w:type="dxa"/>
            <w:vMerge w:val="restart"/>
            <w:tcBorders>
              <w:top w:val="single" w:color="000000" w:sz="4" w:space="0"/>
              <w:left w:val="single" w:color="000000" w:sz="4" w:space="0"/>
              <w:right w:val="single" w:color="000000" w:sz="4" w:space="0"/>
            </w:tcBorders>
            <w:shd w:val="clear" w:color="auto" w:fill="auto"/>
            <w:vAlign w:val="center"/>
          </w:tcPr>
          <w:p w14:paraId="5EF6C745">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1D0">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项目负责人（经理）：拟派本项目负责人（经理）具备5年以上类似餐饮管理经验得3分;具备3年以上类似餐饮管理经验得2分;具备1年以上类似餐饮管理经验得1分;满分3分。</w:t>
            </w:r>
          </w:p>
          <w:p w14:paraId="66E3B15F">
            <w:pPr>
              <w:pStyle w:val="24"/>
              <w:rPr>
                <w:rFonts w:hint="default"/>
                <w:sz w:val="24"/>
                <w:szCs w:val="24"/>
                <w:lang w:val="en-US" w:eastAsia="zh-CN"/>
              </w:rPr>
            </w:pPr>
            <w:r>
              <w:rPr>
                <w:rFonts w:hint="eastAsia" w:ascii="宋体" w:hAnsi="宋体" w:eastAsia="宋体" w:cs="宋体"/>
                <w:b w:val="0"/>
                <w:bCs/>
                <w:i w:val="0"/>
                <w:iCs w:val="0"/>
                <w:color w:val="000000"/>
                <w:sz w:val="24"/>
                <w:szCs w:val="24"/>
                <w:u w:val="none"/>
                <w:lang w:val="en-US" w:eastAsia="zh-CN"/>
              </w:rPr>
              <w:t>注：证明资料需提供健康证、身份证、类似项目经营合同、劳动合同、在投标单位缴纳社保（近一年任意一个月）的证明资料，缺一不可，否则不得分。以</w:t>
            </w:r>
            <w:r>
              <w:rPr>
                <w:rFonts w:hint="eastAsia" w:ascii="宋体" w:hAnsi="宋体" w:eastAsia="宋体" w:cs="宋体"/>
                <w:b w:val="0"/>
                <w:bCs/>
                <w:i w:val="0"/>
                <w:iCs w:val="0"/>
                <w:color w:val="000000"/>
                <w:kern w:val="2"/>
                <w:sz w:val="24"/>
                <w:szCs w:val="24"/>
                <w:u w:val="none"/>
                <w:lang w:val="en-US" w:eastAsia="zh-CN" w:bidi="ar-SA"/>
              </w:rPr>
              <w:t>上资料提供复印件加盖公章。项目经理需有在供应商服务的类似餐饮整层管理业绩（如果提供业绩合同内无法体现项目经理，需原业主单位出具证明材料，证明材料上须明确该项目经理姓名及在此项目管理期限）。</w:t>
            </w:r>
          </w:p>
        </w:tc>
      </w:tr>
      <w:tr w14:paraId="10B3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continue"/>
            <w:tcBorders>
              <w:left w:val="single" w:color="000000" w:sz="4" w:space="0"/>
              <w:right w:val="single" w:color="000000" w:sz="4" w:space="0"/>
            </w:tcBorders>
            <w:shd w:val="clear" w:color="auto" w:fill="auto"/>
            <w:vAlign w:val="center"/>
          </w:tcPr>
          <w:p w14:paraId="44FFC380">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1521" w:type="dxa"/>
            <w:vMerge w:val="continue"/>
            <w:tcBorders>
              <w:left w:val="single" w:color="000000" w:sz="4" w:space="0"/>
              <w:right w:val="single" w:color="000000" w:sz="4" w:space="0"/>
            </w:tcBorders>
            <w:shd w:val="clear" w:color="auto" w:fill="auto"/>
            <w:vAlign w:val="center"/>
          </w:tcPr>
          <w:p w14:paraId="1E8AE79F">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53" w:type="dxa"/>
            <w:vMerge w:val="continue"/>
            <w:tcBorders>
              <w:left w:val="single" w:color="000000" w:sz="4" w:space="0"/>
              <w:right w:val="single" w:color="000000" w:sz="4" w:space="0"/>
            </w:tcBorders>
            <w:shd w:val="clear" w:color="auto" w:fill="auto"/>
            <w:vAlign w:val="center"/>
          </w:tcPr>
          <w:p w14:paraId="44F16F2C">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3A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zh-CN"/>
              </w:rPr>
            </w:pPr>
            <w:r>
              <w:rPr>
                <w:rFonts w:hint="eastAsia" w:ascii="宋体" w:hAnsi="宋体" w:eastAsia="宋体" w:cs="宋体"/>
                <w:b w:val="0"/>
                <w:bCs/>
                <w:i w:val="0"/>
                <w:iCs w:val="0"/>
                <w:color w:val="000000"/>
                <w:sz w:val="24"/>
                <w:szCs w:val="24"/>
                <w:u w:val="none"/>
                <w:lang w:val="zh-CN"/>
              </w:rPr>
              <w:t>食品安全总监、食品安全员：</w:t>
            </w:r>
          </w:p>
          <w:p w14:paraId="7326D4D1">
            <w:pPr>
              <w:pStyle w:val="2"/>
              <w:numPr>
                <w:ilvl w:val="0"/>
                <w:numId w:val="0"/>
              </w:numP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1.设置本项目食品安全总监和食品安全员，并确定详细的岗位职责，负责每天检查食堂食品安全工作、电、气、消防等设备设施安全，每提供一个专职岗位成员得1分，满分得2分。</w:t>
            </w:r>
          </w:p>
          <w:p w14:paraId="1EB9FE54">
            <w:pPr>
              <w:pStyle w:val="2"/>
              <w:numPr>
                <w:ilvl w:val="0"/>
                <w:numId w:val="0"/>
              </w:numP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2.食品安全员提供食品安全员证书得1分，最高得1分。</w:t>
            </w:r>
          </w:p>
          <w:p w14:paraId="4FAEA81B">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SA"/>
              </w:rPr>
              <w:t>注：证明资料需提供健康证、身份证、聘用</w:t>
            </w:r>
            <w:r>
              <w:rPr>
                <w:rFonts w:hint="eastAsia" w:ascii="宋体" w:hAnsi="宋体" w:eastAsia="宋体" w:cs="宋体"/>
                <w:b w:val="0"/>
                <w:bCs/>
                <w:i w:val="0"/>
                <w:iCs w:val="0"/>
                <w:color w:val="000000"/>
                <w:sz w:val="24"/>
                <w:szCs w:val="24"/>
                <w:u w:val="none"/>
                <w:lang w:val="en-US" w:eastAsia="zh-CN"/>
              </w:rPr>
              <w:t>劳动合同、在本公司缴纳社保（近一年任意一个月）的证明资料，缺一不可，否则不得分。</w:t>
            </w:r>
          </w:p>
        </w:tc>
      </w:tr>
      <w:tr w14:paraId="50D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599" w:type="dxa"/>
            <w:vMerge w:val="continue"/>
            <w:tcBorders>
              <w:left w:val="single" w:color="000000" w:sz="4" w:space="0"/>
              <w:bottom w:val="single" w:color="000000" w:sz="4" w:space="0"/>
              <w:right w:val="single" w:color="000000" w:sz="4" w:space="0"/>
            </w:tcBorders>
            <w:shd w:val="clear" w:color="auto" w:fill="auto"/>
            <w:vAlign w:val="center"/>
          </w:tcPr>
          <w:p w14:paraId="07471B6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4A7C67E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53" w:type="dxa"/>
            <w:vMerge w:val="continue"/>
            <w:tcBorders>
              <w:left w:val="single" w:color="000000" w:sz="4" w:space="0"/>
              <w:bottom w:val="single" w:color="000000" w:sz="4" w:space="0"/>
              <w:right w:val="single" w:color="000000" w:sz="4" w:space="0"/>
            </w:tcBorders>
            <w:shd w:val="clear" w:color="auto" w:fill="auto"/>
            <w:vAlign w:val="center"/>
          </w:tcPr>
          <w:p w14:paraId="6536ADA7">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056">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提供本项目</w:t>
            </w:r>
            <w:r>
              <w:rPr>
                <w:rFonts w:hint="eastAsia" w:ascii="宋体" w:hAnsi="宋体" w:eastAsia="宋体" w:cs="宋体"/>
                <w:b w:val="0"/>
                <w:bCs/>
                <w:i w:val="0"/>
                <w:iCs w:val="0"/>
                <w:color w:val="000000"/>
                <w:sz w:val="24"/>
                <w:szCs w:val="24"/>
                <w:u w:val="none"/>
                <w:lang w:val="en-US" w:eastAsia="zh-CN"/>
              </w:rPr>
              <w:t>的其他</w:t>
            </w:r>
            <w:r>
              <w:rPr>
                <w:rFonts w:hint="eastAsia" w:ascii="宋体" w:hAnsi="宋体" w:eastAsia="宋体" w:cs="宋体"/>
                <w:b w:val="0"/>
                <w:bCs/>
                <w:i w:val="0"/>
                <w:iCs w:val="0"/>
                <w:color w:val="000000"/>
                <w:sz w:val="24"/>
                <w:szCs w:val="24"/>
                <w:u w:val="none"/>
              </w:rPr>
              <w:t>人员</w:t>
            </w:r>
            <w:r>
              <w:rPr>
                <w:rFonts w:hint="eastAsia" w:ascii="宋体" w:hAnsi="宋体" w:eastAsia="宋体" w:cs="宋体"/>
                <w:b w:val="0"/>
                <w:bCs/>
                <w:i w:val="0"/>
                <w:iCs w:val="0"/>
                <w:color w:val="000000"/>
                <w:sz w:val="24"/>
                <w:szCs w:val="24"/>
                <w:u w:val="none"/>
                <w:lang w:val="en-US" w:eastAsia="zh-CN"/>
              </w:rPr>
              <w:t>配备</w:t>
            </w:r>
            <w:r>
              <w:rPr>
                <w:rFonts w:hint="eastAsia" w:ascii="宋体" w:hAnsi="宋体" w:eastAsia="宋体" w:cs="宋体"/>
                <w:b w:val="0"/>
                <w:bCs/>
                <w:i w:val="0"/>
                <w:iCs w:val="0"/>
                <w:color w:val="000000"/>
                <w:sz w:val="24"/>
                <w:szCs w:val="24"/>
                <w:u w:val="none"/>
              </w:rPr>
              <w:t>(包括但不限于仓管员</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lang w:val="en-US" w:eastAsia="zh-CN"/>
              </w:rPr>
              <w:t>核算保管员</w:t>
            </w:r>
            <w:r>
              <w:rPr>
                <w:rFonts w:hint="eastAsia" w:ascii="宋体" w:hAnsi="宋体" w:eastAsia="宋体" w:cs="宋体"/>
                <w:b w:val="0"/>
                <w:bCs/>
                <w:i w:val="0"/>
                <w:iCs w:val="0"/>
                <w:color w:val="000000"/>
                <w:sz w:val="24"/>
                <w:szCs w:val="24"/>
                <w:u w:val="none"/>
              </w:rPr>
              <w:t>等</w:t>
            </w:r>
            <w:r>
              <w:rPr>
                <w:rFonts w:hint="eastAsia" w:ascii="宋体" w:hAnsi="宋体" w:eastAsia="宋体" w:cs="宋体"/>
                <w:b w:val="0"/>
                <w:bCs/>
                <w:i w:val="0"/>
                <w:iCs w:val="0"/>
                <w:color w:val="000000"/>
                <w:sz w:val="24"/>
                <w:szCs w:val="24"/>
                <w:u w:val="none"/>
                <w:lang w:val="en-US" w:eastAsia="zh-CN"/>
              </w:rPr>
              <w:t>其他相关人员</w:t>
            </w:r>
            <w:r>
              <w:rPr>
                <w:rFonts w:hint="eastAsia" w:ascii="宋体" w:hAnsi="宋体" w:eastAsia="宋体" w:cs="宋体"/>
                <w:b w:val="0"/>
                <w:bCs/>
                <w:i w:val="0"/>
                <w:iCs w:val="0"/>
                <w:color w:val="000000"/>
                <w:sz w:val="24"/>
                <w:szCs w:val="24"/>
                <w:u w:val="none"/>
              </w:rPr>
              <w:t>，注明姓名、年龄、健康情况、工作</w:t>
            </w:r>
            <w:r>
              <w:rPr>
                <w:rFonts w:hint="eastAsia" w:ascii="宋体" w:hAnsi="宋体" w:eastAsia="宋体" w:cs="宋体"/>
                <w:b w:val="0"/>
                <w:bCs/>
                <w:i w:val="0"/>
                <w:iCs w:val="0"/>
                <w:color w:val="000000"/>
                <w:sz w:val="24"/>
                <w:szCs w:val="24"/>
                <w:u w:val="none"/>
                <w:lang w:val="en-US" w:eastAsia="zh-CN"/>
              </w:rPr>
              <w:t>经验等</w:t>
            </w:r>
            <w:r>
              <w:rPr>
                <w:rFonts w:hint="eastAsia" w:ascii="宋体" w:hAnsi="宋体" w:eastAsia="宋体" w:cs="宋体"/>
                <w:b w:val="0"/>
                <w:bCs/>
                <w:i w:val="0"/>
                <w:iCs w:val="0"/>
                <w:color w:val="000000"/>
                <w:sz w:val="24"/>
                <w:szCs w:val="24"/>
                <w:u w:val="none"/>
              </w:rPr>
              <w:t>)每提供1人得</w:t>
            </w:r>
            <w:r>
              <w:rPr>
                <w:rFonts w:hint="eastAsia" w:ascii="宋体" w:hAnsi="宋体" w:eastAsia="宋体" w:cs="宋体"/>
                <w:b w:val="0"/>
                <w:bCs/>
                <w:i w:val="0"/>
                <w:iCs w:val="0"/>
                <w:color w:val="000000"/>
                <w:sz w:val="24"/>
                <w:szCs w:val="24"/>
                <w:u w:val="none"/>
                <w:lang w:val="en-US" w:eastAsia="zh-CN"/>
              </w:rPr>
              <w:t>0.2</w:t>
            </w:r>
            <w:r>
              <w:rPr>
                <w:rFonts w:hint="eastAsia" w:ascii="宋体" w:hAnsi="宋体" w:eastAsia="宋体" w:cs="宋体"/>
                <w:b w:val="0"/>
                <w:bCs/>
                <w:i w:val="0"/>
                <w:iCs w:val="0"/>
                <w:color w:val="000000"/>
                <w:sz w:val="24"/>
                <w:szCs w:val="24"/>
                <w:u w:val="none"/>
              </w:rPr>
              <w:t>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p>
          <w:p w14:paraId="424B9C17">
            <w:pPr>
              <w:keepNext w:val="0"/>
              <w:keepLines w:val="0"/>
              <w:pageBreakBefore w:val="0"/>
              <w:widowControl/>
              <w:suppressLineNumbers w:val="0"/>
              <w:kinsoku/>
              <w:wordWrap/>
              <w:overflowPunct/>
              <w:topLinePunct w:val="0"/>
              <w:bidi w:val="0"/>
              <w:snapToGrid/>
              <w:spacing w:line="440" w:lineRule="exact"/>
              <w:jc w:val="left"/>
              <w:rPr>
                <w:rFonts w:hint="eastAsia"/>
                <w:sz w:val="24"/>
                <w:szCs w:val="24"/>
              </w:rPr>
            </w:pPr>
            <w:r>
              <w:rPr>
                <w:rFonts w:hint="eastAsia" w:ascii="宋体" w:hAnsi="宋体" w:eastAsia="宋体" w:cs="宋体"/>
                <w:b w:val="0"/>
                <w:bCs/>
                <w:i w:val="0"/>
                <w:iCs w:val="0"/>
                <w:color w:val="000000"/>
                <w:sz w:val="24"/>
                <w:szCs w:val="24"/>
                <w:u w:val="none"/>
                <w:lang w:val="en-US" w:eastAsia="zh-CN"/>
              </w:rPr>
              <w:t>注：证明资料需提供健康证、身份证、聘用劳动合同、在本公司缴纳社保（近一年任意一个月）的证明资料，缺一不可，否则不得分。</w:t>
            </w:r>
          </w:p>
        </w:tc>
      </w:tr>
      <w:tr w14:paraId="6D6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55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16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经营管理方案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AFA">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4A7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对下述12项管理方案的先进性、系统性、完整性，实用性、合理性等五个方面计分：</w:t>
            </w:r>
          </w:p>
          <w:p w14:paraId="2B7567E8">
            <w:pPr>
              <w:pStyle w:val="17"/>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总体经营方案； </w:t>
            </w:r>
          </w:p>
          <w:p w14:paraId="341356D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2.食品质量控制方案；</w:t>
            </w:r>
          </w:p>
          <w:p w14:paraId="6479CC2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3.服务质量控制方案； </w:t>
            </w:r>
          </w:p>
          <w:p w14:paraId="793B336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4.卫生管理控制方案；</w:t>
            </w:r>
          </w:p>
          <w:p w14:paraId="47B1694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5.食品加工、留样管理方案；</w:t>
            </w:r>
          </w:p>
          <w:p w14:paraId="0DC669C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6.操作规程控制管理方案；</w:t>
            </w:r>
          </w:p>
          <w:p w14:paraId="500B2AB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7.环保方案（含抽排烟处理、污水处理、餐厨垃圾的处理等）；</w:t>
            </w:r>
          </w:p>
          <w:p w14:paraId="7EEF44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8.人员职责及培训管理方案；</w:t>
            </w:r>
          </w:p>
          <w:p w14:paraId="577ED44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9.各类应急方案；</w:t>
            </w:r>
          </w:p>
          <w:p w14:paraId="1116029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10.餐具清洗消毒管理方案；</w:t>
            </w:r>
          </w:p>
          <w:p w14:paraId="3CE385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11.原材料采购管理方案；</w:t>
            </w:r>
          </w:p>
          <w:p w14:paraId="256A397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12.面对投诉的处理和解决方案。</w:t>
            </w:r>
          </w:p>
          <w:p w14:paraId="362F313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根据投标人提供情况每有一项内容完整、实施性强、贴合项目实际情况的，得1分，本项满分12分。每有一处描述不清、叙述混乱、不完整、不贴合实际的扣0.5分，扣完为止；未提供或不符合不得分。</w:t>
            </w:r>
          </w:p>
        </w:tc>
      </w:tr>
      <w:tr w14:paraId="1AF6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97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53DC">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val="en-US" w:eastAsia="zh-CN"/>
              </w:rPr>
              <w:t>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A3A">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bidi="ar-SA"/>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1EC">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投标人针对本项目提供项目安全管理方案，内容包含但不限于:</w:t>
            </w:r>
          </w:p>
          <w:p w14:paraId="784CEB5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①食品卫生安全;</w:t>
            </w:r>
          </w:p>
          <w:p w14:paraId="1035EEB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②)设施设备等使用安全;</w:t>
            </w:r>
          </w:p>
          <w:p w14:paraId="376CE26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③水、电、气使用安全;</w:t>
            </w:r>
          </w:p>
          <w:p w14:paraId="27E40C04">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④消防安全;</w:t>
            </w:r>
          </w:p>
          <w:p w14:paraId="60EE765E">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⑤职业健康安全及环境安全;</w:t>
            </w:r>
          </w:p>
          <w:p w14:paraId="1B02B7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以上内容完整、清晰明确、科学合理针对性强且满足采购需求的得10分，每缺少一项内容扣2分。每项有一处内容不完整、不具有合理性、不详尽或不能满足采购需求的扣 0.5分;扣完为止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4F25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AB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62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经营管理措施</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F9A4">
            <w:pPr>
              <w:keepNext w:val="0"/>
              <w:keepLines w:val="0"/>
              <w:pageBreakBefore w:val="0"/>
              <w:kinsoku/>
              <w:wordWrap/>
              <w:overflowPunct/>
              <w:topLinePunct w:val="0"/>
              <w:bidi w:val="0"/>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A08">
            <w:pPr>
              <w:widowControl/>
              <w:jc w:val="left"/>
              <w:textAlignment w:val="center"/>
              <w:rPr>
                <w:rFonts w:hint="eastAsia" w:ascii="宋体" w:hAnsi="宋体" w:eastAsia="宋体" w:cs="宋体"/>
                <w:w w:val="95"/>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围绕采购人提出的餐厅经营定位，根据经营方案、服务内容、业态布设三个方面提出科学、规范、完整、合理的餐饮服务运营方案。每有一项内容完整、实施性强、贴合项目实际情况的，得2分，本项满分6分。每项有一处描述不清、叙述混乱、不完整、不贴合实际的扣1分，扣完本项得分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78A0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50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32">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经营情况综合分析</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A747">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66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1.根据《高等学校</w:t>
            </w:r>
            <w:r>
              <w:rPr>
                <w:rFonts w:hint="eastAsia" w:ascii="宋体" w:hAnsi="宋体" w:eastAsia="宋体" w:cs="宋体"/>
                <w:kern w:val="2"/>
                <w:sz w:val="24"/>
                <w:szCs w:val="24"/>
                <w:highlight w:val="none"/>
                <w:lang w:val="en-US" w:eastAsia="zh-CN" w:bidi="ar-SA"/>
              </w:rPr>
              <w:t>学生</w:t>
            </w:r>
            <w:r>
              <w:rPr>
                <w:rFonts w:hint="eastAsia" w:ascii="宋体" w:hAnsi="宋体" w:eastAsia="宋体" w:cs="宋体"/>
                <w:b w:val="0"/>
                <w:bCs/>
                <w:i w:val="0"/>
                <w:iCs w:val="0"/>
                <w:color w:val="000000"/>
                <w:sz w:val="24"/>
                <w:szCs w:val="24"/>
                <w:u w:val="none"/>
              </w:rPr>
              <w:t>食堂伙食结构及成本核算指导意见》和《学校食堂食品安全及营养健康管理办法》规定，坚持公益便利的原则，提供经营业态的</w:t>
            </w:r>
            <w:r>
              <w:rPr>
                <w:rFonts w:hint="eastAsia" w:ascii="宋体" w:hAnsi="宋体" w:eastAsia="宋体" w:cs="宋体"/>
                <w:b w:val="0"/>
                <w:bCs/>
                <w:i w:val="0"/>
                <w:iCs w:val="0"/>
                <w:color w:val="000000"/>
                <w:sz w:val="24"/>
                <w:szCs w:val="24"/>
                <w:u w:val="none"/>
                <w:lang w:val="en-US" w:eastAsia="zh-CN"/>
              </w:rPr>
              <w:t>品种、</w:t>
            </w:r>
            <w:r>
              <w:rPr>
                <w:rFonts w:hint="eastAsia" w:ascii="宋体" w:hAnsi="宋体" w:eastAsia="宋体" w:cs="宋体"/>
                <w:b w:val="0"/>
                <w:bCs/>
                <w:i w:val="0"/>
                <w:iCs w:val="0"/>
                <w:color w:val="000000"/>
                <w:sz w:val="24"/>
                <w:szCs w:val="24"/>
                <w:u w:val="none"/>
              </w:rPr>
              <w:t>价格和核算办法</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rPr>
              <w:t>根据投标人提供方案进行打分，最高得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每有一处</w:t>
            </w:r>
            <w:r>
              <w:rPr>
                <w:rFonts w:hint="eastAsia" w:ascii="宋体" w:hAnsi="宋体" w:eastAsia="宋体" w:cs="宋体"/>
                <w:b w:val="0"/>
                <w:bCs/>
                <w:i w:val="0"/>
                <w:iCs w:val="0"/>
                <w:color w:val="000000"/>
                <w:sz w:val="24"/>
                <w:szCs w:val="24"/>
                <w:u w:val="none"/>
              </w:rPr>
              <w:t>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4A9F86E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2.对预计就餐人数、营业额、各项成本（工资福利、管理费、原材料采购）、纯利润等进行科学合理分析。根据投标人提供方案进行打分，最高得</w:t>
            </w:r>
            <w:r>
              <w:rPr>
                <w:rFonts w:hint="eastAsia" w:ascii="宋体" w:hAnsi="宋体" w:eastAsia="宋体" w:cs="宋体"/>
                <w:b w:val="0"/>
                <w:bCs/>
                <w:i w:val="0"/>
                <w:iCs w:val="0"/>
                <w:color w:val="000000"/>
                <w:sz w:val="24"/>
                <w:szCs w:val="24"/>
                <w:u w:val="none"/>
                <w:lang w:val="en-US" w:eastAsia="zh-CN"/>
              </w:rPr>
              <w:t>4</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07DD634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rPr>
              <w:t>3.对经营风险进行科学合理分析，并有科学合理的防范措施。根据投标人提供方案进行打分，最高得</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tc>
      </w:tr>
      <w:tr w14:paraId="14CF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230">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6B9">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sz w:val="24"/>
                <w:szCs w:val="24"/>
                <w:u w:val="none"/>
                <w:lang w:val="en-US" w:eastAsia="zh-CN"/>
              </w:rPr>
              <w:t>经营菜品品种搭配方案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0BE">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25A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投标人针对本项目提供</w:t>
            </w:r>
            <w:r>
              <w:rPr>
                <w:rFonts w:hint="eastAsia" w:ascii="宋体" w:hAnsi="宋体" w:eastAsia="宋体" w:cs="宋体"/>
                <w:b w:val="0"/>
                <w:bCs/>
                <w:i w:val="0"/>
                <w:iCs w:val="0"/>
                <w:color w:val="000000"/>
                <w:sz w:val="24"/>
                <w:szCs w:val="24"/>
                <w:u w:val="none"/>
                <w:lang w:val="en-US" w:eastAsia="zh-CN"/>
              </w:rPr>
              <w:t>经营菜品品种及营养配比</w:t>
            </w:r>
            <w:r>
              <w:rPr>
                <w:rFonts w:hint="eastAsia" w:ascii="宋体" w:hAnsi="宋体" w:eastAsia="宋体" w:cs="宋体"/>
                <w:b w:val="0"/>
                <w:bCs/>
                <w:i w:val="0"/>
                <w:iCs w:val="0"/>
                <w:color w:val="000000"/>
                <w:sz w:val="24"/>
                <w:szCs w:val="24"/>
                <w:u w:val="none"/>
              </w:rPr>
              <w:t>，内容包含但不限于:</w:t>
            </w:r>
          </w:p>
          <w:p w14:paraId="264A124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①带量食谱定制科学、合理:</w:t>
            </w:r>
          </w:p>
          <w:p w14:paraId="0C14CC6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②食物均衡，营养搭配合理:</w:t>
            </w:r>
          </w:p>
          <w:p w14:paraId="6AE6190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③食物热量平衡，利于身体健康:</w:t>
            </w:r>
          </w:p>
          <w:p w14:paraId="308B7FA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④食物酸碱平衡，各种元素均衡:</w:t>
            </w:r>
          </w:p>
          <w:p w14:paraId="426B93F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⑤食物味道平衡，满足大众口味:</w:t>
            </w:r>
          </w:p>
          <w:p w14:paraId="49E84CE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⑥杜绝铺张浪费，厉行节约等内容，</w:t>
            </w:r>
          </w:p>
          <w:p w14:paraId="50FAF68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以上内容完整、清晰明确、科学合理针对性强且满足采购需求的得</w:t>
            </w:r>
            <w:r>
              <w:rPr>
                <w:rFonts w:hint="eastAsia" w:ascii="宋体" w:hAnsi="宋体" w:eastAsia="宋体" w:cs="宋体"/>
                <w:b w:val="0"/>
                <w:bCs/>
                <w:i w:val="0"/>
                <w:iCs w:val="0"/>
                <w:color w:val="000000"/>
                <w:sz w:val="24"/>
                <w:szCs w:val="24"/>
                <w:u w:val="none"/>
                <w:lang w:val="en-US" w:eastAsia="zh-CN"/>
              </w:rPr>
              <w:t>6</w:t>
            </w:r>
            <w:r>
              <w:rPr>
                <w:rFonts w:hint="eastAsia" w:ascii="宋体" w:hAnsi="宋体" w:eastAsia="宋体" w:cs="宋体"/>
                <w:b w:val="0"/>
                <w:bCs/>
                <w:i w:val="0"/>
                <w:iCs w:val="0"/>
                <w:color w:val="000000"/>
                <w:sz w:val="24"/>
                <w:szCs w:val="24"/>
                <w:u w:val="none"/>
              </w:rPr>
              <w:t xml:space="preserve">分，每缺少一项内容扣 </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每项有一处</w:t>
            </w:r>
            <w:r>
              <w:rPr>
                <w:rFonts w:hint="eastAsia" w:ascii="宋体" w:hAnsi="宋体" w:eastAsia="宋体" w:cs="宋体"/>
                <w:b w:val="0"/>
                <w:bCs/>
                <w:i w:val="0"/>
                <w:iCs w:val="0"/>
                <w:color w:val="000000"/>
                <w:sz w:val="24"/>
                <w:szCs w:val="24"/>
                <w:u w:val="none"/>
              </w:rPr>
              <w:t>内容不完整、不具有合理性、不详尽或不能满足采购需求的扣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6017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8636">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D6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装修改造方案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D075">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24</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BF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标项一、标项二、标项三：</w:t>
            </w:r>
          </w:p>
          <w:p w14:paraId="0E834EC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提供所投食堂的总体装修改造设计方案、装修改造效果图及装修改造经费预算、设施设备投入清单及经费预算。</w:t>
            </w:r>
          </w:p>
          <w:p w14:paraId="102545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1.设计方案（2分）</w:t>
            </w:r>
          </w:p>
          <w:p w14:paraId="70D20D5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1.1设计施工方案完整1分，设计施工方案相对完整0.5分,设计施工方案不完整0分。</w:t>
            </w:r>
          </w:p>
          <w:p w14:paraId="283BFCC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1.2.对功能设计布局结构合理性、功能分区、档口设置等进行评审。功能分区完整，布局合理（1分）；功能分区完整，布局基本合理（0.5分）；功能分区完整，布局不合理（0分）。</w:t>
            </w:r>
          </w:p>
          <w:p w14:paraId="3857153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2.方案效果（2分）</w:t>
            </w:r>
          </w:p>
          <w:p w14:paraId="3909144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2.1效果图。根据提供的装修效果图进行综合评价，效果优得2分，一般得1分，差得0分。</w:t>
            </w:r>
          </w:p>
          <w:p w14:paraId="7B1F8EE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3.经费预算（20分）</w:t>
            </w:r>
          </w:p>
          <w:p w14:paraId="6DFE623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3.1提供与装修设计方案相匹配的投资预算表（包含天棚、墙面装饰工程）。预算科学、造价符合市场行情得2分；预算科学欠缺、清单缺项得0分。</w:t>
            </w:r>
          </w:p>
          <w:p w14:paraId="6F998C2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3.2提供投资采购的设施设备清单及报价。预算科学、造价符合市场行情得2分；预算科学欠缺、清单缺项得0分。</w:t>
            </w:r>
          </w:p>
          <w:p w14:paraId="5EBE0B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3.3 经费预算（含装修与设备投资）大于等于 80 万，得 16 分；经费预算（含装修与设备投资）大于等于 40 万且小于 80 万，可得 8 分；经费预算（含装修与设备投资）小于 40 万，可得2分；无投资不得分。</w:t>
            </w:r>
          </w:p>
          <w:p w14:paraId="73279AA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标项四、标项五：</w:t>
            </w:r>
          </w:p>
          <w:p w14:paraId="409B504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提供所投食堂的总体维修改造方案、设施设备投入清单及经费预算。</w:t>
            </w:r>
          </w:p>
          <w:p w14:paraId="3B439BA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1.维修改造方案（4分）</w:t>
            </w:r>
          </w:p>
          <w:p w14:paraId="10071064">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1.1提供维修改造方案。方案科学、符合实际需求、具体可靠得2分，否则视提供情况相应扣分，扣完为止。</w:t>
            </w:r>
          </w:p>
          <w:p w14:paraId="1BCDD23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1.2.对功能设计布局结构合理性、功能分区、档口设置等进行评审。功能分区完整，布局合理（2分）；功能分区完整，布局基本合理（1分）；功能分区完整，布局不合理（0分）。</w:t>
            </w:r>
          </w:p>
          <w:p w14:paraId="6EE34CC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2.报价清单及经费预算（20分）</w:t>
            </w:r>
          </w:p>
          <w:p w14:paraId="7B72331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2.1提供与维修改造方案相匹配的投资预算表（包含天棚、地面、墙面维修装饰工程等）。预算科学、造价符合市场行情得2分；预算科学欠缺、清单缺项得0分。</w:t>
            </w:r>
          </w:p>
          <w:p w14:paraId="4D7D8F3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2.2提供投资采购的设施设备清单及报价。预算科学、预算符合市场行情得2分；预算科学欠缺、清单缺项得0分。</w:t>
            </w:r>
          </w:p>
          <w:p w14:paraId="282C6FB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lang w:val="en-US" w:eastAsia="zh-CN"/>
              </w:rPr>
              <w:t>2.3所报预算（含装修与设备投资）大于等于 20 万，得 16分；所报预算（含装修与设备投资）大于等于 10 万且小于 20 万，得 8 分；所报预算（含装修与设备投资）小于 10 万，可得2分；无投资不得分。</w:t>
            </w:r>
          </w:p>
        </w:tc>
      </w:tr>
      <w:tr w14:paraId="57C8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99" w:type="dxa"/>
            <w:vMerge w:val="restart"/>
            <w:tcBorders>
              <w:top w:val="single" w:color="000000" w:sz="4" w:space="0"/>
              <w:left w:val="single" w:color="000000" w:sz="4" w:space="0"/>
              <w:right w:val="single" w:color="000000" w:sz="4" w:space="0"/>
            </w:tcBorders>
            <w:shd w:val="clear" w:color="auto" w:fill="auto"/>
            <w:noWrap/>
            <w:vAlign w:val="center"/>
          </w:tcPr>
          <w:p w14:paraId="06BB7ABD">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10</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5D3497A7">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服务承诺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58F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2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评审小组根据投标人提供的服务质量承诺，包括但不限于餐饮团队服务人员更换、服务期内人员驻场、违规收费处理、服务质量、服务响应时间、服务期内和服务期满后的业务延续性及交接的工作安排的服务承诺等，承诺满足采购文件服务要求，承诺内容详尽，符合项目实际情况的得6分，每缺少一项内容扣 1分，内容不完整、不具有合理性、不详尽或不能满足采购需求的扣0.5分;扣完为止。</w:t>
            </w:r>
          </w:p>
        </w:tc>
      </w:tr>
      <w:tr w14:paraId="48D6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99" w:type="dxa"/>
            <w:vMerge w:val="continue"/>
            <w:tcBorders>
              <w:left w:val="single" w:color="000000" w:sz="4" w:space="0"/>
              <w:bottom w:val="single" w:color="000000" w:sz="4" w:space="0"/>
              <w:right w:val="single" w:color="000000" w:sz="4" w:space="0"/>
            </w:tcBorders>
            <w:shd w:val="clear" w:color="auto" w:fill="auto"/>
            <w:noWrap/>
            <w:vAlign w:val="center"/>
          </w:tcPr>
          <w:p w14:paraId="323CE57F">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30ED1D3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3A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5</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29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1.经营期内，为提升供餐和就餐环境，提升服务品质，制定合约期内完成投标报价的建设经费方案并承诺。（有2分，无0分）</w:t>
            </w:r>
          </w:p>
          <w:p w14:paraId="69B258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2.投标方承诺中标后办理所投食堂经营场所公众责任险及食品安全责任险保额均不低于500万元保险，须提供书面承诺。（有2分，无0分）</w:t>
            </w:r>
          </w:p>
          <w:p w14:paraId="2736895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3.提供在本次招标文件发布之日前，为现正在经营单个项目购买的保额均不低于500万元公众责任险及食品安全责任险保单，每提供一个得0.5分，最高得1分。</w:t>
            </w:r>
          </w:p>
          <w:p w14:paraId="5201AD0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提供保险合同复印件，加盖企业公章，未提供或不满足的不得分。</w:t>
            </w:r>
          </w:p>
        </w:tc>
      </w:tr>
    </w:tbl>
    <w:p w14:paraId="602A3E85">
      <w:pPr>
        <w:pStyle w:val="24"/>
        <w:rPr>
          <w:rFonts w:hint="eastAsia"/>
          <w:lang w:val="en-US" w:eastAsia="zh-CN"/>
        </w:rPr>
      </w:pPr>
    </w:p>
    <w:p w14:paraId="6B8B1C79">
      <w:pPr>
        <w:pStyle w:val="25"/>
        <w:rPr>
          <w:rFonts w:hint="eastAsia"/>
          <w:lang w:val="en-US" w:eastAsia="zh-CN"/>
        </w:rPr>
      </w:pPr>
    </w:p>
    <w:p w14:paraId="4DB6E856">
      <w:pPr>
        <w:rPr>
          <w:rFonts w:hint="eastAsia"/>
          <w:lang w:val="en-US" w:eastAsia="zh-CN"/>
        </w:rPr>
      </w:pPr>
    </w:p>
    <w:p w14:paraId="39FB8F47">
      <w:pPr>
        <w:numPr>
          <w:ilvl w:val="0"/>
          <w:numId w:val="0"/>
        </w:numPr>
        <w:jc w:val="center"/>
        <w:rPr>
          <w:rFonts w:hint="eastAsia" w:asciiTheme="majorEastAsia" w:hAnsiTheme="majorEastAsia" w:eastAsiaTheme="majorEastAsia" w:cstheme="majorEastAsia"/>
          <w:b/>
          <w:bCs/>
          <w:sz w:val="44"/>
          <w:szCs w:val="44"/>
          <w:lang w:val="en-US" w:eastAsia="zh-CN"/>
        </w:rPr>
      </w:pPr>
    </w:p>
    <w:p w14:paraId="22BD1C15">
      <w:pPr>
        <w:numPr>
          <w:ilvl w:val="0"/>
          <w:numId w:val="0"/>
        </w:numPr>
        <w:jc w:val="center"/>
        <w:rPr>
          <w:rFonts w:hint="eastAsia" w:asciiTheme="majorEastAsia" w:hAnsiTheme="majorEastAsia" w:eastAsiaTheme="majorEastAsia" w:cstheme="majorEastAsia"/>
          <w:b/>
          <w:bCs/>
          <w:sz w:val="44"/>
          <w:szCs w:val="44"/>
          <w:lang w:val="en-US" w:eastAsia="zh-CN"/>
        </w:rPr>
      </w:pPr>
    </w:p>
    <w:p w14:paraId="3A73FE81">
      <w:pPr>
        <w:numPr>
          <w:ilvl w:val="0"/>
          <w:numId w:val="0"/>
        </w:numPr>
        <w:jc w:val="center"/>
        <w:rPr>
          <w:rFonts w:hint="eastAsia" w:asciiTheme="majorEastAsia" w:hAnsiTheme="majorEastAsia" w:eastAsiaTheme="majorEastAsia" w:cstheme="majorEastAsia"/>
          <w:b/>
          <w:bCs/>
          <w:sz w:val="44"/>
          <w:szCs w:val="44"/>
          <w:lang w:val="en-US" w:eastAsia="zh-CN"/>
        </w:rPr>
      </w:pPr>
    </w:p>
    <w:p w14:paraId="746826DF">
      <w:pPr>
        <w:numPr>
          <w:ilvl w:val="0"/>
          <w:numId w:val="0"/>
        </w:numPr>
        <w:jc w:val="center"/>
        <w:rPr>
          <w:rFonts w:hint="eastAsia" w:asciiTheme="majorEastAsia" w:hAnsiTheme="majorEastAsia" w:eastAsiaTheme="majorEastAsia" w:cstheme="majorEastAsia"/>
          <w:b/>
          <w:bCs/>
          <w:sz w:val="44"/>
          <w:szCs w:val="44"/>
          <w:lang w:val="en-US" w:eastAsia="zh-CN"/>
        </w:rPr>
      </w:pPr>
    </w:p>
    <w:p w14:paraId="2E49FB7E">
      <w:pPr>
        <w:numPr>
          <w:ilvl w:val="0"/>
          <w:numId w:val="0"/>
        </w:numPr>
        <w:jc w:val="center"/>
        <w:rPr>
          <w:rFonts w:hint="eastAsia" w:asciiTheme="majorEastAsia" w:hAnsiTheme="majorEastAsia" w:eastAsiaTheme="majorEastAsia" w:cstheme="majorEastAsia"/>
          <w:b/>
          <w:bCs/>
          <w:sz w:val="44"/>
          <w:szCs w:val="44"/>
          <w:lang w:val="en-US" w:eastAsia="zh-CN"/>
        </w:rPr>
      </w:pPr>
    </w:p>
    <w:p w14:paraId="7F130B01">
      <w:pPr>
        <w:numPr>
          <w:ilvl w:val="0"/>
          <w:numId w:val="0"/>
        </w:numPr>
        <w:jc w:val="center"/>
        <w:rPr>
          <w:rFonts w:hint="eastAsia" w:asciiTheme="majorEastAsia" w:hAnsiTheme="majorEastAsia" w:eastAsiaTheme="majorEastAsia" w:cstheme="majorEastAsia"/>
          <w:b/>
          <w:bCs/>
          <w:sz w:val="44"/>
          <w:szCs w:val="44"/>
          <w:lang w:val="en-US" w:eastAsia="zh-CN"/>
        </w:rPr>
      </w:pPr>
    </w:p>
    <w:p w14:paraId="33713243">
      <w:pPr>
        <w:numPr>
          <w:ilvl w:val="0"/>
          <w:numId w:val="0"/>
        </w:numPr>
        <w:jc w:val="center"/>
        <w:rPr>
          <w:rFonts w:hint="eastAsia" w:asciiTheme="majorEastAsia" w:hAnsiTheme="majorEastAsia" w:eastAsiaTheme="majorEastAsia" w:cstheme="majorEastAsia"/>
          <w:b/>
          <w:bCs/>
          <w:sz w:val="44"/>
          <w:szCs w:val="44"/>
          <w:lang w:val="en-US" w:eastAsia="zh-CN"/>
        </w:rPr>
      </w:pPr>
    </w:p>
    <w:p w14:paraId="3B6A8B88">
      <w:pPr>
        <w:numPr>
          <w:ilvl w:val="0"/>
          <w:numId w:val="0"/>
        </w:numPr>
        <w:jc w:val="center"/>
        <w:rPr>
          <w:rFonts w:hint="eastAsia" w:asciiTheme="majorEastAsia" w:hAnsiTheme="majorEastAsia" w:eastAsiaTheme="majorEastAsia" w:cstheme="majorEastAsia"/>
          <w:b/>
          <w:bCs/>
          <w:sz w:val="44"/>
          <w:szCs w:val="44"/>
          <w:lang w:val="en-US" w:eastAsia="zh-CN"/>
        </w:rPr>
      </w:pPr>
    </w:p>
    <w:p w14:paraId="5411668A">
      <w:pPr>
        <w:numPr>
          <w:ilvl w:val="0"/>
          <w:numId w:val="0"/>
        </w:numPr>
        <w:jc w:val="center"/>
        <w:rPr>
          <w:rFonts w:hint="eastAsia" w:asciiTheme="majorEastAsia" w:hAnsiTheme="majorEastAsia" w:eastAsiaTheme="majorEastAsia" w:cstheme="majorEastAsia"/>
          <w:b/>
          <w:bCs/>
          <w:sz w:val="44"/>
          <w:szCs w:val="44"/>
          <w:lang w:val="en-US" w:eastAsia="zh-CN"/>
        </w:rPr>
      </w:pPr>
    </w:p>
    <w:p w14:paraId="25154BD6">
      <w:pPr>
        <w:numPr>
          <w:ilvl w:val="0"/>
          <w:numId w:val="0"/>
        </w:numPr>
        <w:jc w:val="center"/>
        <w:rPr>
          <w:rFonts w:hint="eastAsia" w:asciiTheme="majorEastAsia" w:hAnsiTheme="majorEastAsia" w:eastAsiaTheme="majorEastAsia" w:cstheme="majorEastAsia"/>
          <w:b/>
          <w:bCs/>
          <w:sz w:val="44"/>
          <w:szCs w:val="44"/>
          <w:lang w:val="en-US" w:eastAsia="zh-CN"/>
        </w:rPr>
      </w:pPr>
    </w:p>
    <w:p w14:paraId="400600DE">
      <w:pPr>
        <w:pStyle w:val="2"/>
        <w:rPr>
          <w:rFonts w:hint="eastAsia"/>
          <w:lang w:val="en-US" w:eastAsia="zh-CN"/>
        </w:rPr>
      </w:pPr>
    </w:p>
    <w:p w14:paraId="5F75455C">
      <w:pPr>
        <w:pStyle w:val="2"/>
        <w:rPr>
          <w:rFonts w:hint="eastAsia"/>
          <w:lang w:val="en-US" w:eastAsia="zh-CN"/>
        </w:rPr>
      </w:pPr>
    </w:p>
    <w:p w14:paraId="5A70A84E">
      <w:pPr>
        <w:pStyle w:val="2"/>
        <w:rPr>
          <w:rFonts w:hint="eastAsia"/>
          <w:lang w:val="en-US" w:eastAsia="zh-CN"/>
        </w:rPr>
      </w:pPr>
    </w:p>
    <w:p w14:paraId="78E04D30">
      <w:pPr>
        <w:pStyle w:val="2"/>
        <w:rPr>
          <w:rFonts w:hint="eastAsia"/>
          <w:lang w:val="en-US" w:eastAsia="zh-CN"/>
        </w:rPr>
      </w:pPr>
    </w:p>
    <w:p w14:paraId="68ECE445">
      <w:pPr>
        <w:pStyle w:val="2"/>
        <w:rPr>
          <w:rFonts w:hint="eastAsia"/>
          <w:lang w:val="en-US" w:eastAsia="zh-CN"/>
        </w:rPr>
      </w:pPr>
    </w:p>
    <w:p w14:paraId="4895EEC7">
      <w:pPr>
        <w:pStyle w:val="2"/>
        <w:rPr>
          <w:rFonts w:hint="eastAsia"/>
          <w:lang w:val="en-US" w:eastAsia="zh-CN"/>
        </w:rPr>
      </w:pPr>
    </w:p>
    <w:p w14:paraId="4CA8FFAD">
      <w:pPr>
        <w:pStyle w:val="2"/>
        <w:rPr>
          <w:rFonts w:hint="eastAsia"/>
          <w:lang w:val="en-US" w:eastAsia="zh-CN"/>
        </w:rPr>
      </w:pPr>
    </w:p>
    <w:p w14:paraId="15E318C8">
      <w:pPr>
        <w:pStyle w:val="2"/>
        <w:rPr>
          <w:rFonts w:hint="eastAsia"/>
          <w:lang w:val="en-US" w:eastAsia="zh-CN"/>
        </w:rPr>
      </w:pPr>
    </w:p>
    <w:p w14:paraId="381E5A65">
      <w:pPr>
        <w:numPr>
          <w:ilvl w:val="0"/>
          <w:numId w:val="0"/>
        </w:numPr>
        <w:jc w:val="center"/>
        <w:rPr>
          <w:rFonts w:hint="eastAsia" w:asciiTheme="majorEastAsia" w:hAnsiTheme="majorEastAsia" w:eastAsiaTheme="majorEastAsia" w:cstheme="majorEastAsia"/>
          <w:b/>
          <w:bCs/>
          <w:sz w:val="44"/>
          <w:szCs w:val="44"/>
          <w:lang w:val="en-US" w:eastAsia="zh-CN"/>
        </w:rPr>
      </w:pPr>
    </w:p>
    <w:p w14:paraId="515D599C">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第六章 投标响应文件格式</w:t>
      </w:r>
    </w:p>
    <w:p w14:paraId="6EB9F204">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一、资格审查</w:t>
      </w:r>
    </w:p>
    <w:p w14:paraId="0748226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资格审查部分按照第3章供应商须知资料表中投标人的资格要求(1-7)进行上传并加盖电子签章。</w:t>
      </w:r>
    </w:p>
    <w:p w14:paraId="364F57DF">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二、报价响应</w:t>
      </w:r>
    </w:p>
    <w:p w14:paraId="7664981C">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报价需上传开标一览表并加盖电子签章。</w:t>
      </w:r>
    </w:p>
    <w:p w14:paraId="659957F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注明:政采云系统上响应文件需与目录关联。</w:t>
      </w:r>
    </w:p>
    <w:p w14:paraId="0A6947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w:t>
      </w:r>
      <w:r>
        <w:rPr>
          <w:rFonts w:hint="eastAsia" w:ascii="宋体" w:hAnsi="宋体" w:eastAsia="宋体" w:cs="宋体"/>
          <w:b w:val="0"/>
          <w:bCs w:val="0"/>
          <w:sz w:val="30"/>
          <w:szCs w:val="30"/>
        </w:rPr>
        <w:t>标</w:t>
      </w:r>
      <w:r>
        <w:rPr>
          <w:rFonts w:hint="eastAsia" w:ascii="宋体" w:hAnsi="宋体" w:eastAsia="宋体" w:cs="宋体"/>
          <w:b w:val="0"/>
          <w:bCs w:val="0"/>
          <w:sz w:val="30"/>
          <w:szCs w:val="30"/>
          <w:lang w:val="en-US" w:eastAsia="zh-CN"/>
        </w:rPr>
        <w:t>响应</w:t>
      </w:r>
      <w:r>
        <w:rPr>
          <w:rFonts w:hint="eastAsia" w:ascii="宋体" w:hAnsi="宋体" w:eastAsia="宋体" w:cs="宋体"/>
          <w:b w:val="0"/>
          <w:bCs w:val="0"/>
          <w:sz w:val="30"/>
          <w:szCs w:val="30"/>
        </w:rPr>
        <w:t>文件的组成和编制顺序</w:t>
      </w:r>
      <w:r>
        <w:rPr>
          <w:rFonts w:hint="eastAsia" w:ascii="宋体" w:hAnsi="宋体" w:eastAsia="宋体" w:cs="宋体"/>
          <w:b w:val="0"/>
          <w:bCs w:val="0"/>
          <w:sz w:val="30"/>
          <w:szCs w:val="30"/>
          <w:lang w:eastAsia="zh-CN"/>
        </w:rPr>
        <w:t>：</w:t>
      </w:r>
    </w:p>
    <w:p w14:paraId="0DBA28B1">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请各投标人严格按照以下顺序编制投标文件</w:t>
      </w:r>
      <w:r>
        <w:rPr>
          <w:rFonts w:hint="eastAsia" w:ascii="宋体" w:hAnsi="宋体" w:eastAsia="宋体" w:cs="宋体"/>
          <w:b w:val="0"/>
          <w:bCs w:val="0"/>
          <w:color w:val="000000"/>
          <w:sz w:val="30"/>
          <w:szCs w:val="30"/>
          <w:lang w:eastAsia="zh-CN"/>
        </w:rPr>
        <w:t>。</w:t>
      </w:r>
    </w:p>
    <w:p w14:paraId="49D4DA59">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1.投标函;(见投标响应文件格式)</w:t>
      </w:r>
    </w:p>
    <w:p w14:paraId="1308F98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2.投标声明函;(见投标响应文件格式)</w:t>
      </w:r>
    </w:p>
    <w:p w14:paraId="73D08E41">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3.法定代表人(负责人)授权委托书;(法定代表人(负责人)参加附法定代表人(负责人)证明书、见响应文件格式)</w:t>
      </w:r>
    </w:p>
    <w:p w14:paraId="7E437BE4">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4.开标一览表;(见响应文件格式)</w:t>
      </w:r>
    </w:p>
    <w:p w14:paraId="48A9BC6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5.采购需求偏离表;(见投标响应文件格式)</w:t>
      </w:r>
    </w:p>
    <w:p w14:paraId="2BAC62C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6.商务要求偏离表;(见投标响应文件格式)</w:t>
      </w:r>
    </w:p>
    <w:p w14:paraId="1264906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7.本招标文件中评分标准的相关内容;(自拟)</w:t>
      </w:r>
    </w:p>
    <w:p w14:paraId="7C28DC8D">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8.参与此项目人员配备表(见投标响应文件格式);</w:t>
      </w:r>
    </w:p>
    <w:p w14:paraId="7A9E322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9.类似业绩(附合同或中标(成交)通知书复印件加盖投标人公章。)(见响应文件格式);</w:t>
      </w:r>
    </w:p>
    <w:p w14:paraId="6670827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10.无串通投标行为的承诺书;【见投标响应文件格式】</w:t>
      </w:r>
    </w:p>
    <w:p w14:paraId="1B3EC2A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11.招标文件要求供应商提交的其它投标资料或者供应商认为有必要提供的资料:</w:t>
      </w:r>
    </w:p>
    <w:p w14:paraId="667393F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12.投标人关联企业情况表;(见投标响应文件格式)</w:t>
      </w:r>
    </w:p>
    <w:p w14:paraId="5060113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 投标资格审查(2)-(</w:t>
      </w:r>
      <w:r>
        <w:rPr>
          <w:rFonts w:hint="eastAsia" w:hAnsi="宋体" w:cs="宋体"/>
          <w:sz w:val="30"/>
          <w:szCs w:val="30"/>
          <w:lang w:val="en-US" w:eastAsia="zh-CN"/>
        </w:rPr>
        <w:t>7</w:t>
      </w:r>
      <w:r>
        <w:rPr>
          <w:rFonts w:hint="eastAsia" w:ascii="宋体" w:hAnsi="宋体" w:eastAsia="宋体" w:cs="宋体"/>
          <w:sz w:val="30"/>
          <w:szCs w:val="30"/>
          <w:lang w:val="en-US" w:eastAsia="zh-CN"/>
        </w:rPr>
        <w:t>)项资料复印件加盖投标人公章。</w:t>
      </w:r>
    </w:p>
    <w:p w14:paraId="21D18008">
      <w:pPr>
        <w:pStyle w:val="25"/>
        <w:ind w:left="0" w:leftChars="0" w:firstLine="0" w:firstLineChars="0"/>
        <w:rPr>
          <w:rFonts w:hint="eastAsia" w:ascii="宋体" w:hAnsi="宋体" w:eastAsia="宋体" w:cs="宋体"/>
          <w:sz w:val="30"/>
          <w:szCs w:val="30"/>
          <w:lang w:val="en-US" w:eastAsia="zh-CN"/>
        </w:rPr>
      </w:pPr>
    </w:p>
    <w:p w14:paraId="048BA557">
      <w:pPr>
        <w:pStyle w:val="25"/>
        <w:ind w:left="0" w:leftChars="0" w:firstLine="0" w:firstLineChars="0"/>
        <w:rPr>
          <w:rFonts w:hint="eastAsia" w:ascii="宋体" w:hAnsi="宋体" w:eastAsia="宋体" w:cs="宋体"/>
          <w:sz w:val="30"/>
          <w:szCs w:val="30"/>
          <w:lang w:val="en-US" w:eastAsia="zh-CN"/>
        </w:rPr>
      </w:pPr>
    </w:p>
    <w:p w14:paraId="42966274">
      <w:pPr>
        <w:rPr>
          <w:rFonts w:hint="eastAsia"/>
          <w:lang w:val="en-US" w:eastAsia="zh-CN"/>
        </w:rPr>
      </w:pPr>
    </w:p>
    <w:p w14:paraId="2DA091D1">
      <w:pPr>
        <w:spacing w:before="78" w:line="221" w:lineRule="auto"/>
        <w:ind w:left="498"/>
        <w:rPr>
          <w:rFonts w:ascii="宋体" w:hAnsi="宋体" w:eastAsia="宋体" w:cs="宋体"/>
          <w:spacing w:val="-6"/>
          <w:sz w:val="24"/>
          <w:szCs w:val="24"/>
        </w:rPr>
      </w:pPr>
    </w:p>
    <w:p w14:paraId="1A5032F5">
      <w:pPr>
        <w:spacing w:before="78" w:line="221" w:lineRule="auto"/>
        <w:ind w:left="498"/>
        <w:rPr>
          <w:rFonts w:ascii="宋体" w:hAnsi="宋体" w:eastAsia="宋体" w:cs="宋体"/>
          <w:spacing w:val="-6"/>
          <w:sz w:val="24"/>
          <w:szCs w:val="24"/>
        </w:rPr>
      </w:pPr>
    </w:p>
    <w:p w14:paraId="4CA50AF0">
      <w:pPr>
        <w:spacing w:before="78" w:line="221" w:lineRule="auto"/>
        <w:ind w:left="498"/>
        <w:rPr>
          <w:rFonts w:ascii="宋体" w:hAnsi="宋体" w:eastAsia="宋体" w:cs="宋体"/>
          <w:spacing w:val="-6"/>
          <w:sz w:val="24"/>
          <w:szCs w:val="24"/>
        </w:rPr>
      </w:pPr>
    </w:p>
    <w:p w14:paraId="32C5777D">
      <w:pPr>
        <w:spacing w:before="78" w:line="221" w:lineRule="auto"/>
        <w:ind w:left="498"/>
        <w:rPr>
          <w:rFonts w:ascii="宋体" w:hAnsi="宋体" w:eastAsia="宋体" w:cs="宋体"/>
          <w:spacing w:val="-6"/>
          <w:sz w:val="24"/>
          <w:szCs w:val="24"/>
        </w:rPr>
      </w:pPr>
    </w:p>
    <w:p w14:paraId="4C1E9525">
      <w:pPr>
        <w:spacing w:before="78" w:line="221" w:lineRule="auto"/>
        <w:ind w:left="498"/>
        <w:rPr>
          <w:rFonts w:ascii="宋体" w:hAnsi="宋体" w:eastAsia="宋体" w:cs="宋体"/>
          <w:spacing w:val="-6"/>
          <w:sz w:val="24"/>
          <w:szCs w:val="24"/>
        </w:rPr>
      </w:pPr>
    </w:p>
    <w:p w14:paraId="35610FA2">
      <w:pPr>
        <w:spacing w:before="78" w:line="221" w:lineRule="auto"/>
        <w:ind w:left="498"/>
        <w:rPr>
          <w:rFonts w:ascii="宋体" w:hAnsi="宋体" w:eastAsia="宋体" w:cs="宋体"/>
          <w:spacing w:val="-6"/>
          <w:sz w:val="24"/>
          <w:szCs w:val="24"/>
        </w:rPr>
      </w:pPr>
    </w:p>
    <w:p w14:paraId="4E2ED047">
      <w:pPr>
        <w:spacing w:before="78" w:line="221" w:lineRule="auto"/>
        <w:ind w:left="498"/>
        <w:rPr>
          <w:rFonts w:ascii="宋体" w:hAnsi="宋体" w:eastAsia="宋体" w:cs="宋体"/>
          <w:spacing w:val="-6"/>
          <w:sz w:val="24"/>
          <w:szCs w:val="24"/>
        </w:rPr>
      </w:pPr>
    </w:p>
    <w:p w14:paraId="722E595F">
      <w:pPr>
        <w:spacing w:before="78" w:line="221" w:lineRule="auto"/>
        <w:ind w:left="498"/>
        <w:rPr>
          <w:rFonts w:ascii="宋体" w:hAnsi="宋体" w:eastAsia="宋体" w:cs="宋体"/>
          <w:spacing w:val="-6"/>
          <w:sz w:val="24"/>
          <w:szCs w:val="24"/>
        </w:rPr>
      </w:pPr>
    </w:p>
    <w:p w14:paraId="2D6C8A23">
      <w:pPr>
        <w:spacing w:before="78" w:line="221" w:lineRule="auto"/>
        <w:ind w:left="498"/>
        <w:rPr>
          <w:rFonts w:ascii="宋体" w:hAnsi="宋体" w:eastAsia="宋体" w:cs="宋体"/>
          <w:spacing w:val="-6"/>
          <w:sz w:val="24"/>
          <w:szCs w:val="24"/>
        </w:rPr>
      </w:pPr>
    </w:p>
    <w:p w14:paraId="0894A92D">
      <w:pPr>
        <w:spacing w:before="78" w:line="221" w:lineRule="auto"/>
        <w:ind w:left="498"/>
        <w:rPr>
          <w:rFonts w:ascii="宋体" w:hAnsi="宋体" w:eastAsia="宋体" w:cs="宋体"/>
          <w:spacing w:val="-6"/>
          <w:sz w:val="24"/>
          <w:szCs w:val="24"/>
        </w:rPr>
      </w:pPr>
    </w:p>
    <w:p w14:paraId="588027A3">
      <w:pPr>
        <w:spacing w:before="78" w:line="221" w:lineRule="auto"/>
        <w:ind w:left="498"/>
        <w:rPr>
          <w:rFonts w:ascii="宋体" w:hAnsi="宋体" w:eastAsia="宋体" w:cs="宋体"/>
          <w:spacing w:val="-6"/>
          <w:sz w:val="24"/>
          <w:szCs w:val="24"/>
        </w:rPr>
      </w:pPr>
    </w:p>
    <w:p w14:paraId="60338124">
      <w:pPr>
        <w:spacing w:before="78" w:line="221" w:lineRule="auto"/>
        <w:ind w:left="498"/>
        <w:rPr>
          <w:rFonts w:ascii="宋体" w:hAnsi="宋体" w:eastAsia="宋体" w:cs="宋体"/>
          <w:sz w:val="24"/>
          <w:szCs w:val="24"/>
        </w:rPr>
      </w:pPr>
      <w:r>
        <w:rPr>
          <w:rFonts w:ascii="宋体" w:hAnsi="宋体" w:eastAsia="宋体" w:cs="宋体"/>
          <w:spacing w:val="-6"/>
          <w:sz w:val="24"/>
          <w:szCs w:val="24"/>
        </w:rPr>
        <w:t>封面：</w:t>
      </w:r>
    </w:p>
    <w:p w14:paraId="3F6C2667">
      <w:pPr>
        <w:pStyle w:val="9"/>
        <w:spacing w:line="244" w:lineRule="auto"/>
      </w:pPr>
    </w:p>
    <w:p w14:paraId="0E8ACEB4">
      <w:pPr>
        <w:pStyle w:val="9"/>
        <w:spacing w:line="244" w:lineRule="auto"/>
      </w:pPr>
    </w:p>
    <w:p w14:paraId="5A027AB3">
      <w:pPr>
        <w:pStyle w:val="9"/>
        <w:spacing w:line="244" w:lineRule="auto"/>
      </w:pPr>
    </w:p>
    <w:p w14:paraId="6FF1D557">
      <w:pPr>
        <w:pStyle w:val="9"/>
        <w:spacing w:line="245" w:lineRule="auto"/>
      </w:pPr>
    </w:p>
    <w:p w14:paraId="7FABACDD">
      <w:pPr>
        <w:pStyle w:val="9"/>
        <w:spacing w:line="245" w:lineRule="auto"/>
      </w:pPr>
    </w:p>
    <w:p w14:paraId="60B6343B">
      <w:pPr>
        <w:pStyle w:val="9"/>
        <w:spacing w:line="245" w:lineRule="auto"/>
      </w:pPr>
    </w:p>
    <w:p w14:paraId="455FE7E7">
      <w:pPr>
        <w:spacing w:before="273" w:line="220" w:lineRule="auto"/>
        <w:ind w:left="1943"/>
        <w:rPr>
          <w:rFonts w:ascii="宋体" w:hAnsi="宋体" w:eastAsia="宋体" w:cs="宋体"/>
          <w:sz w:val="84"/>
          <w:szCs w:val="84"/>
        </w:rPr>
      </w:pPr>
      <w:r>
        <w:rPr>
          <w:rFonts w:ascii="宋体" w:hAnsi="宋体" w:eastAsia="宋体" w:cs="宋体"/>
          <w:b/>
          <w:bCs/>
          <w:spacing w:val="-28"/>
          <w:sz w:val="84"/>
          <w:szCs w:val="84"/>
        </w:rPr>
        <w:t>投</w:t>
      </w:r>
      <w:r>
        <w:rPr>
          <w:rFonts w:ascii="宋体" w:hAnsi="宋体" w:eastAsia="宋体" w:cs="宋体"/>
          <w:spacing w:val="-28"/>
          <w:sz w:val="84"/>
          <w:szCs w:val="84"/>
        </w:rPr>
        <w:t xml:space="preserve"> </w:t>
      </w:r>
      <w:r>
        <w:rPr>
          <w:rFonts w:ascii="宋体" w:hAnsi="宋体" w:eastAsia="宋体" w:cs="宋体"/>
          <w:b/>
          <w:bCs/>
          <w:spacing w:val="-28"/>
          <w:sz w:val="84"/>
          <w:szCs w:val="84"/>
        </w:rPr>
        <w:t>标</w:t>
      </w:r>
      <w:r>
        <w:rPr>
          <w:rFonts w:ascii="宋体" w:hAnsi="宋体" w:eastAsia="宋体" w:cs="宋体"/>
          <w:spacing w:val="21"/>
          <w:sz w:val="84"/>
          <w:szCs w:val="84"/>
        </w:rPr>
        <w:t xml:space="preserve"> </w:t>
      </w:r>
      <w:r>
        <w:rPr>
          <w:rFonts w:ascii="宋体" w:hAnsi="宋体" w:eastAsia="宋体" w:cs="宋体"/>
          <w:b/>
          <w:bCs/>
          <w:spacing w:val="-28"/>
          <w:sz w:val="84"/>
          <w:szCs w:val="84"/>
        </w:rPr>
        <w:t>文</w:t>
      </w:r>
      <w:r>
        <w:rPr>
          <w:rFonts w:ascii="宋体" w:hAnsi="宋体" w:eastAsia="宋体" w:cs="宋体"/>
          <w:spacing w:val="10"/>
          <w:sz w:val="84"/>
          <w:szCs w:val="84"/>
        </w:rPr>
        <w:t xml:space="preserve"> </w:t>
      </w:r>
      <w:r>
        <w:rPr>
          <w:rFonts w:ascii="宋体" w:hAnsi="宋体" w:eastAsia="宋体" w:cs="宋体"/>
          <w:b/>
          <w:bCs/>
          <w:spacing w:val="-28"/>
          <w:sz w:val="84"/>
          <w:szCs w:val="84"/>
        </w:rPr>
        <w:t>件</w:t>
      </w:r>
    </w:p>
    <w:p w14:paraId="723A47E7">
      <w:pPr>
        <w:pStyle w:val="9"/>
        <w:spacing w:line="370" w:lineRule="auto"/>
      </w:pPr>
    </w:p>
    <w:p w14:paraId="478CA26A">
      <w:pPr>
        <w:spacing w:before="117" w:line="220" w:lineRule="auto"/>
        <w:ind w:left="3112"/>
        <w:rPr>
          <w:rFonts w:ascii="宋体" w:hAnsi="宋体" w:eastAsia="宋体" w:cs="宋体"/>
          <w:sz w:val="36"/>
          <w:szCs w:val="36"/>
        </w:rPr>
      </w:pPr>
      <w:r>
        <w:rPr>
          <w:rFonts w:ascii="宋体" w:hAnsi="宋体" w:eastAsia="宋体" w:cs="宋体"/>
          <w:spacing w:val="-6"/>
          <w:sz w:val="36"/>
          <w:szCs w:val="36"/>
        </w:rPr>
        <w:t>（第XX标</w:t>
      </w:r>
      <w:r>
        <w:rPr>
          <w:rFonts w:hint="eastAsia" w:ascii="宋体" w:hAnsi="宋体" w:eastAsia="宋体" w:cs="宋体"/>
          <w:spacing w:val="-6"/>
          <w:sz w:val="36"/>
          <w:szCs w:val="36"/>
          <w:lang w:val="en-US" w:eastAsia="zh-CN"/>
        </w:rPr>
        <w:t>项</w:t>
      </w:r>
      <w:r>
        <w:rPr>
          <w:rFonts w:ascii="宋体" w:hAnsi="宋体" w:eastAsia="宋体" w:cs="宋体"/>
          <w:spacing w:val="-6"/>
          <w:sz w:val="36"/>
          <w:szCs w:val="36"/>
        </w:rPr>
        <w:t>）</w:t>
      </w:r>
    </w:p>
    <w:p w14:paraId="0B80B858">
      <w:pPr>
        <w:pStyle w:val="9"/>
        <w:spacing w:line="247" w:lineRule="auto"/>
      </w:pPr>
    </w:p>
    <w:p w14:paraId="002A215B">
      <w:pPr>
        <w:pStyle w:val="9"/>
        <w:spacing w:line="247" w:lineRule="auto"/>
      </w:pPr>
    </w:p>
    <w:p w14:paraId="47B4BCF4">
      <w:pPr>
        <w:pStyle w:val="9"/>
        <w:spacing w:line="248" w:lineRule="auto"/>
      </w:pPr>
    </w:p>
    <w:p w14:paraId="01043D89">
      <w:pPr>
        <w:pStyle w:val="9"/>
        <w:spacing w:line="248" w:lineRule="auto"/>
      </w:pPr>
    </w:p>
    <w:p w14:paraId="66E14F04">
      <w:pPr>
        <w:pStyle w:val="9"/>
        <w:spacing w:line="248" w:lineRule="auto"/>
      </w:pPr>
    </w:p>
    <w:p w14:paraId="5EDD9F68">
      <w:pPr>
        <w:pStyle w:val="9"/>
        <w:spacing w:line="248" w:lineRule="auto"/>
      </w:pPr>
    </w:p>
    <w:p w14:paraId="5566B9E5">
      <w:pPr>
        <w:pStyle w:val="9"/>
        <w:spacing w:line="248" w:lineRule="auto"/>
      </w:pPr>
    </w:p>
    <w:p w14:paraId="1C9F83CF">
      <w:pPr>
        <w:pStyle w:val="9"/>
        <w:spacing w:line="248" w:lineRule="auto"/>
      </w:pPr>
    </w:p>
    <w:p w14:paraId="41F824CC">
      <w:pPr>
        <w:pStyle w:val="9"/>
        <w:spacing w:line="248" w:lineRule="auto"/>
      </w:pPr>
    </w:p>
    <w:p w14:paraId="3B9BB667">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7"/>
          <w:sz w:val="36"/>
          <w:szCs w:val="36"/>
        </w:rPr>
        <w:t>项目编号/包号：</w:t>
      </w:r>
      <w:r>
        <w:rPr>
          <w:rFonts w:ascii="宋体" w:hAnsi="宋体" w:eastAsia="宋体" w:cs="宋体"/>
          <w:sz w:val="36"/>
          <w:szCs w:val="36"/>
          <w:u w:val="single" w:color="auto"/>
        </w:rPr>
        <w:tab/>
      </w:r>
      <w:r>
        <w:rPr>
          <w:rFonts w:ascii="宋体" w:hAnsi="宋体" w:eastAsia="宋体" w:cs="宋体"/>
          <w:sz w:val="36"/>
          <w:szCs w:val="36"/>
        </w:rPr>
        <w:t xml:space="preserve"> </w:t>
      </w:r>
    </w:p>
    <w:p w14:paraId="5C739A0A">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8"/>
          <w:sz w:val="36"/>
          <w:szCs w:val="36"/>
        </w:rPr>
        <w:t>项目名称：</w:t>
      </w:r>
      <w:r>
        <w:rPr>
          <w:rFonts w:ascii="宋体" w:hAnsi="宋体" w:eastAsia="宋体" w:cs="宋体"/>
          <w:sz w:val="36"/>
          <w:szCs w:val="36"/>
          <w:u w:val="single" w:color="auto"/>
        </w:rPr>
        <w:tab/>
      </w:r>
      <w:r>
        <w:rPr>
          <w:rFonts w:ascii="宋体" w:hAnsi="宋体" w:eastAsia="宋体" w:cs="宋体"/>
          <w:sz w:val="36"/>
          <w:szCs w:val="36"/>
        </w:rPr>
        <w:t xml:space="preserve"> </w:t>
      </w:r>
    </w:p>
    <w:p w14:paraId="20D3782B">
      <w:pPr>
        <w:tabs>
          <w:tab w:val="left" w:pos="8259"/>
        </w:tabs>
        <w:spacing w:before="117" w:line="348" w:lineRule="auto"/>
        <w:ind w:right="77"/>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标项名称：</w:t>
      </w:r>
      <w:r>
        <w:rPr>
          <w:rFonts w:ascii="宋体" w:hAnsi="宋体" w:eastAsia="宋体" w:cs="宋体"/>
          <w:sz w:val="36"/>
          <w:szCs w:val="36"/>
          <w:u w:val="single" w:color="auto"/>
        </w:rPr>
        <w:tab/>
      </w:r>
      <w:r>
        <w:rPr>
          <w:rFonts w:hint="eastAsia" w:ascii="宋体" w:hAnsi="宋体" w:eastAsia="宋体" w:cs="宋体"/>
          <w:sz w:val="36"/>
          <w:szCs w:val="36"/>
          <w:u w:val="single" w:color="auto"/>
          <w:lang w:val="en-US" w:eastAsia="zh-CN"/>
        </w:rPr>
        <w:t xml:space="preserve">   </w:t>
      </w:r>
    </w:p>
    <w:p w14:paraId="6BAA2164">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18"/>
          <w:sz w:val="36"/>
          <w:szCs w:val="36"/>
        </w:rPr>
        <w:t>投</w:t>
      </w:r>
      <w:r>
        <w:rPr>
          <w:rFonts w:ascii="宋体" w:hAnsi="宋体" w:eastAsia="宋体" w:cs="宋体"/>
          <w:spacing w:val="15"/>
          <w:sz w:val="36"/>
          <w:szCs w:val="36"/>
        </w:rPr>
        <w:t xml:space="preserve"> </w:t>
      </w:r>
      <w:r>
        <w:rPr>
          <w:rFonts w:ascii="宋体" w:hAnsi="宋体" w:eastAsia="宋体" w:cs="宋体"/>
          <w:spacing w:val="-18"/>
          <w:sz w:val="36"/>
          <w:szCs w:val="36"/>
        </w:rPr>
        <w:t>标</w:t>
      </w:r>
      <w:r>
        <w:rPr>
          <w:rFonts w:ascii="宋体" w:hAnsi="宋体" w:eastAsia="宋体" w:cs="宋体"/>
          <w:spacing w:val="17"/>
          <w:sz w:val="36"/>
          <w:szCs w:val="36"/>
        </w:rPr>
        <w:t xml:space="preserve"> </w:t>
      </w:r>
      <w:r>
        <w:rPr>
          <w:rFonts w:ascii="宋体" w:hAnsi="宋体" w:eastAsia="宋体" w:cs="宋体"/>
          <w:spacing w:val="-18"/>
          <w:sz w:val="36"/>
          <w:szCs w:val="36"/>
        </w:rPr>
        <w:t>人：</w:t>
      </w:r>
      <w:r>
        <w:rPr>
          <w:rFonts w:ascii="宋体" w:hAnsi="宋体" w:eastAsia="宋体" w:cs="宋体"/>
          <w:sz w:val="36"/>
          <w:szCs w:val="36"/>
          <w:u w:val="single" w:color="auto"/>
        </w:rPr>
        <w:t xml:space="preserve">                                  </w:t>
      </w:r>
    </w:p>
    <w:p w14:paraId="44544595">
      <w:pPr>
        <w:pStyle w:val="9"/>
        <w:spacing w:line="258" w:lineRule="auto"/>
      </w:pPr>
    </w:p>
    <w:p w14:paraId="69B1CFFA">
      <w:pPr>
        <w:pStyle w:val="9"/>
        <w:spacing w:line="258" w:lineRule="auto"/>
      </w:pPr>
    </w:p>
    <w:p w14:paraId="6DCC01E2">
      <w:pPr>
        <w:pStyle w:val="9"/>
        <w:spacing w:line="258" w:lineRule="auto"/>
      </w:pPr>
    </w:p>
    <w:p w14:paraId="41FF7528">
      <w:pPr>
        <w:pStyle w:val="9"/>
        <w:spacing w:line="258" w:lineRule="auto"/>
      </w:pPr>
    </w:p>
    <w:p w14:paraId="43717004">
      <w:pPr>
        <w:spacing w:before="104" w:line="220" w:lineRule="auto"/>
        <w:ind w:firstLine="2960" w:firstLineChars="1000"/>
        <w:rPr>
          <w:rFonts w:ascii="宋体" w:hAnsi="宋体" w:eastAsia="宋体" w:cs="宋体"/>
          <w:sz w:val="32"/>
          <w:szCs w:val="32"/>
        </w:rPr>
      </w:pPr>
      <w:r>
        <w:rPr>
          <w:rFonts w:ascii="宋体" w:hAnsi="宋体" w:eastAsia="宋体" w:cs="宋体"/>
          <w:spacing w:val="-12"/>
          <w:sz w:val="32"/>
          <w:szCs w:val="32"/>
        </w:rPr>
        <w:t>年</w:t>
      </w:r>
      <w:r>
        <w:rPr>
          <w:rFonts w:ascii="宋体" w:hAnsi="宋体" w:eastAsia="宋体" w:cs="宋体"/>
          <w:spacing w:val="6"/>
          <w:sz w:val="32"/>
          <w:szCs w:val="32"/>
        </w:rPr>
        <w:t xml:space="preserve">   </w:t>
      </w:r>
      <w:r>
        <w:rPr>
          <w:rFonts w:hint="eastAsia" w:ascii="宋体" w:hAnsi="宋体" w:eastAsia="宋体" w:cs="宋体"/>
          <w:spacing w:val="6"/>
          <w:sz w:val="32"/>
          <w:szCs w:val="32"/>
          <w:lang w:val="en-US" w:eastAsia="zh-CN"/>
        </w:rPr>
        <w:t xml:space="preserve"> </w:t>
      </w:r>
      <w:r>
        <w:rPr>
          <w:rFonts w:ascii="宋体" w:hAnsi="宋体" w:eastAsia="宋体" w:cs="宋体"/>
          <w:spacing w:val="-12"/>
          <w:sz w:val="32"/>
          <w:szCs w:val="32"/>
        </w:rPr>
        <w:t>月</w:t>
      </w:r>
      <w:r>
        <w:rPr>
          <w:rFonts w:ascii="宋体" w:hAnsi="宋体" w:eastAsia="宋体" w:cs="宋体"/>
          <w:spacing w:val="17"/>
          <w:sz w:val="32"/>
          <w:szCs w:val="32"/>
        </w:rPr>
        <w:t xml:space="preserve">    </w:t>
      </w:r>
      <w:r>
        <w:rPr>
          <w:rFonts w:ascii="宋体" w:hAnsi="宋体" w:eastAsia="宋体" w:cs="宋体"/>
          <w:spacing w:val="-12"/>
          <w:sz w:val="32"/>
          <w:szCs w:val="32"/>
        </w:rPr>
        <w:t>日</w:t>
      </w:r>
    </w:p>
    <w:p w14:paraId="1080A7FB">
      <w:pPr>
        <w:jc w:val="center"/>
        <w:rPr>
          <w:rFonts w:hint="eastAsia" w:ascii="宋体" w:hAnsi="宋体" w:eastAsia="宋体" w:cs="宋体"/>
          <w:sz w:val="32"/>
          <w:szCs w:val="32"/>
          <w:lang w:val="en-US" w:eastAsia="zh-CN"/>
        </w:rPr>
      </w:pPr>
    </w:p>
    <w:p w14:paraId="1464EC61">
      <w:pPr>
        <w:jc w:val="center"/>
        <w:rPr>
          <w:rFonts w:hint="eastAsia" w:ascii="宋体" w:hAnsi="宋体" w:eastAsia="宋体" w:cs="宋体"/>
          <w:sz w:val="32"/>
          <w:szCs w:val="32"/>
          <w:lang w:val="en-US" w:eastAsia="zh-CN"/>
        </w:rPr>
      </w:pPr>
    </w:p>
    <w:p w14:paraId="336E426F">
      <w:pPr>
        <w:pStyle w:val="24"/>
        <w:rPr>
          <w:rFonts w:hint="eastAsia" w:ascii="宋体" w:hAnsi="宋体" w:eastAsia="宋体" w:cs="宋体"/>
          <w:sz w:val="32"/>
          <w:szCs w:val="32"/>
          <w:lang w:val="en-US" w:eastAsia="zh-CN"/>
        </w:rPr>
      </w:pPr>
    </w:p>
    <w:p w14:paraId="5B162BDB">
      <w:pPr>
        <w:pStyle w:val="25"/>
        <w:rPr>
          <w:rFonts w:hint="eastAsia" w:ascii="宋体" w:hAnsi="宋体" w:eastAsia="宋体" w:cs="宋体"/>
          <w:sz w:val="32"/>
          <w:szCs w:val="32"/>
          <w:lang w:val="en-US" w:eastAsia="zh-CN"/>
        </w:rPr>
      </w:pPr>
    </w:p>
    <w:p w14:paraId="06B34566">
      <w:pPr>
        <w:rPr>
          <w:rFonts w:hint="eastAsia" w:ascii="宋体" w:hAnsi="宋体" w:eastAsia="宋体" w:cs="宋体"/>
          <w:sz w:val="32"/>
          <w:szCs w:val="32"/>
          <w:lang w:val="en-US" w:eastAsia="zh-CN"/>
        </w:rPr>
      </w:pPr>
    </w:p>
    <w:p w14:paraId="49B0B032">
      <w:pPr>
        <w:pStyle w:val="24"/>
        <w:rPr>
          <w:rFonts w:hint="eastAsia" w:ascii="宋体" w:hAnsi="宋体" w:eastAsia="宋体" w:cs="宋体"/>
          <w:sz w:val="32"/>
          <w:szCs w:val="32"/>
          <w:lang w:val="en-US" w:eastAsia="zh-CN"/>
        </w:rPr>
      </w:pPr>
    </w:p>
    <w:p w14:paraId="5AD37A87">
      <w:pPr>
        <w:pStyle w:val="25"/>
        <w:rPr>
          <w:rFonts w:hint="eastAsia" w:ascii="宋体" w:hAnsi="宋体" w:eastAsia="宋体" w:cs="宋体"/>
          <w:sz w:val="32"/>
          <w:szCs w:val="32"/>
          <w:lang w:val="en-US" w:eastAsia="zh-CN"/>
        </w:rPr>
      </w:pPr>
    </w:p>
    <w:p w14:paraId="759D9269">
      <w:pPr>
        <w:rPr>
          <w:rFonts w:hint="eastAsia" w:ascii="宋体" w:hAnsi="宋体" w:eastAsia="宋体" w:cs="宋体"/>
          <w:sz w:val="32"/>
          <w:szCs w:val="32"/>
          <w:lang w:val="en-US" w:eastAsia="zh-CN"/>
        </w:rPr>
      </w:pPr>
    </w:p>
    <w:p w14:paraId="363BB647">
      <w:pPr>
        <w:pStyle w:val="24"/>
        <w:rPr>
          <w:rFonts w:hint="eastAsia" w:ascii="宋体" w:hAnsi="宋体" w:eastAsia="宋体" w:cs="宋体"/>
          <w:sz w:val="32"/>
          <w:szCs w:val="32"/>
          <w:lang w:val="en-US" w:eastAsia="zh-CN"/>
        </w:rPr>
      </w:pPr>
    </w:p>
    <w:p w14:paraId="44EF05F9">
      <w:pPr>
        <w:pStyle w:val="25"/>
        <w:rPr>
          <w:rFonts w:hint="eastAsia" w:ascii="宋体" w:hAnsi="宋体" w:eastAsia="宋体" w:cs="宋体"/>
          <w:sz w:val="32"/>
          <w:szCs w:val="32"/>
          <w:lang w:val="en-US" w:eastAsia="zh-CN"/>
        </w:rPr>
      </w:pPr>
    </w:p>
    <w:p w14:paraId="093D4ED1">
      <w:pPr>
        <w:rPr>
          <w:rFonts w:hint="eastAsia"/>
          <w:lang w:val="en-US" w:eastAsia="zh-CN"/>
        </w:rPr>
      </w:pPr>
    </w:p>
    <w:p w14:paraId="76269135">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 标 函</w:t>
      </w:r>
    </w:p>
    <w:p w14:paraId="25E7A086">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6A6FA470">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根据贵方组织招标的</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(项目名称、项目编号)项目，标项名称</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，我方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(姓名、职务)经正式授权并代表</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(投标人名称)处理本项目投标相关事宜。</w:t>
      </w:r>
    </w:p>
    <w:p w14:paraId="5CEC4889">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（1）投标声明函</w:t>
      </w:r>
    </w:p>
    <w:p w14:paraId="1D1C307E">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（2）法人(负责人)授权委托书/法定代表人(负责人)身份证明书</w:t>
      </w:r>
    </w:p>
    <w:p w14:paraId="27851423">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（3）开标一览表</w:t>
      </w:r>
    </w:p>
    <w:p w14:paraId="04E47FCB">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（4）按招标文件投标人须知、采购需求及要求提供有关文件</w:t>
      </w:r>
    </w:p>
    <w:p w14:paraId="70A98DCA">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（5）资格证明(合格投标人资格要求)文件</w:t>
      </w:r>
    </w:p>
    <w:p w14:paraId="2DE4F71E">
      <w:p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（6）投标保证金，形式</w:t>
      </w:r>
      <w:r>
        <w:rPr>
          <w:rFonts w:hint="eastAsia" w:ascii="宋体" w:hAnsi="宋体" w:eastAsia="宋体" w:cs="宋体"/>
          <w:sz w:val="32"/>
          <w:szCs w:val="32"/>
          <w:u w:val="single"/>
          <w:lang w:val="en-US" w:eastAsia="zh-CN"/>
        </w:rPr>
        <w:t xml:space="preserve">_    </w:t>
      </w:r>
      <w:r>
        <w:rPr>
          <w:rFonts w:hint="eastAsia" w:ascii="宋体" w:hAnsi="宋体" w:eastAsia="宋体" w:cs="宋体"/>
          <w:sz w:val="32"/>
          <w:szCs w:val="32"/>
          <w:lang w:val="en-US" w:eastAsia="zh-CN"/>
        </w:rPr>
        <w:t>，金额为</w:t>
      </w:r>
      <w:r>
        <w:rPr>
          <w:rFonts w:hint="eastAsia" w:ascii="宋体" w:hAnsi="宋体" w:eastAsia="宋体" w:cs="宋体"/>
          <w:sz w:val="32"/>
          <w:szCs w:val="32"/>
          <w:u w:val="single"/>
          <w:lang w:val="en-US" w:eastAsia="zh-CN"/>
        </w:rPr>
        <w:t xml:space="preserve">     。</w:t>
      </w:r>
    </w:p>
    <w:p w14:paraId="5E73C64D">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据此函，我方宣布并同意如下:</w:t>
      </w:r>
    </w:p>
    <w:p w14:paraId="2C4E34A8">
      <w:pPr>
        <w:numPr>
          <w:ilvl w:val="0"/>
          <w:numId w:val="8"/>
        </w:num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所附投标报价表中项目服务费支付比例：</w:t>
      </w:r>
      <w:r>
        <w:rPr>
          <w:rFonts w:hint="eastAsia" w:ascii="宋体" w:hAnsi="宋体" w:eastAsia="宋体" w:cs="宋体"/>
          <w:sz w:val="32"/>
          <w:szCs w:val="32"/>
          <w:u w:val="single"/>
          <w:lang w:val="en-US" w:eastAsia="zh-CN"/>
        </w:rPr>
        <w:t xml:space="preserve">     %。</w:t>
      </w:r>
    </w:p>
    <w:p w14:paraId="3621B10B">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投标人将按招标文件的规定履行合同责任和义务;</w:t>
      </w:r>
    </w:p>
    <w:p w14:paraId="6F75F0E0">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投标人已详细阅读并理解了招标文件的全部，包括修改文件(如有的话)。我们完全理解并同意放弃对这方面有不明及误解的权利。</w:t>
      </w:r>
    </w:p>
    <w:p w14:paraId="32D752A5">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本投标有效期自开标之日起</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个日历日。</w:t>
      </w:r>
    </w:p>
    <w:p w14:paraId="36A1FEBE">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投标人同意提供按照贵方可能要求的与其投标有关的一切数据或资料，完全理解贵方不一定接受最低价的投标或收到的任何投标的约定。</w:t>
      </w:r>
    </w:p>
    <w:p w14:paraId="21C67067">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与本投标有关的一切正式往来信函请寄：</w:t>
      </w:r>
    </w:p>
    <w:p w14:paraId="7C4C1B6A">
      <w:pPr>
        <w:pStyle w:val="13"/>
        <w:keepNext w:val="0"/>
        <w:keepLines w:val="0"/>
        <w:pageBreakBefore w:val="0"/>
        <w:widowControl w:val="0"/>
        <w:tabs>
          <w:tab w:val="left" w:pos="5580"/>
        </w:tabs>
        <w:kinsoku/>
        <w:wordWrap/>
        <w:overflowPunct/>
        <w:topLinePunct w:val="0"/>
        <w:bidi w:val="0"/>
        <w:snapToGrid/>
        <w:spacing w:line="44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传真</w:t>
      </w:r>
      <w:r>
        <w:rPr>
          <w:rFonts w:hint="eastAsia" w:ascii="宋体" w:hAnsi="宋体" w:eastAsia="宋体" w:cs="宋体"/>
          <w:sz w:val="32"/>
          <w:szCs w:val="32"/>
          <w:u w:val="single"/>
        </w:rPr>
        <w:t xml:space="preserve">                             </w:t>
      </w:r>
    </w:p>
    <w:p w14:paraId="4ABE6DAC">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电话</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电子函件</w:t>
      </w:r>
      <w:r>
        <w:rPr>
          <w:rFonts w:hint="eastAsia" w:ascii="宋体" w:hAnsi="宋体" w:eastAsia="宋体" w:cs="宋体"/>
          <w:sz w:val="32"/>
          <w:szCs w:val="32"/>
          <w:u w:val="single"/>
        </w:rPr>
        <w:t xml:space="preserve">                         </w:t>
      </w:r>
    </w:p>
    <w:p w14:paraId="71A6261D">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sz w:val="32"/>
          <w:szCs w:val="32"/>
        </w:rPr>
        <w:t>或</w:t>
      </w:r>
      <w:r>
        <w:rPr>
          <w:rFonts w:hint="eastAsia" w:ascii="宋体" w:hAnsi="宋体" w:eastAsia="宋体" w:cs="宋体"/>
          <w:sz w:val="32"/>
          <w:szCs w:val="32"/>
          <w:lang w:val="en-US" w:eastAsia="zh-CN"/>
        </w:rPr>
        <w:t>被授权</w:t>
      </w:r>
      <w:r>
        <w:rPr>
          <w:rFonts w:hint="eastAsia" w:ascii="宋体" w:hAnsi="宋体" w:eastAsia="宋体" w:cs="宋体"/>
          <w:sz w:val="32"/>
          <w:szCs w:val="32"/>
        </w:rPr>
        <w:t>人签字</w:t>
      </w:r>
      <w:r>
        <w:rPr>
          <w:rFonts w:hint="eastAsia" w:ascii="宋体" w:hAnsi="宋体" w:eastAsia="宋体" w:cs="宋体"/>
          <w:sz w:val="32"/>
          <w:szCs w:val="32"/>
          <w:lang w:val="en-US" w:eastAsia="zh-CN"/>
        </w:rPr>
        <w:t>或签章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 xml:space="preserve">　　　　 </w:t>
      </w:r>
    </w:p>
    <w:p w14:paraId="77F3FAC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投标人名称</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全称</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p>
    <w:p w14:paraId="589CB3AA">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公      章</w:t>
      </w:r>
      <w:r>
        <w:rPr>
          <w:rFonts w:hint="eastAsia" w:ascii="宋体" w:hAnsi="宋体" w:eastAsia="宋体" w:cs="宋体"/>
          <w:sz w:val="32"/>
          <w:szCs w:val="32"/>
          <w:u w:val="single"/>
          <w:lang w:val="en-US" w:eastAsia="zh-CN"/>
        </w:rPr>
        <w:t xml:space="preserve">                 </w:t>
      </w:r>
    </w:p>
    <w:p w14:paraId="6006E8F9">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投标人开户银行（全称）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11B7D2E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投标人银行帐号</w:t>
      </w:r>
      <w:r>
        <w:rPr>
          <w:rFonts w:hint="eastAsia" w:ascii="宋体" w:hAnsi="宋体" w:eastAsia="宋体" w:cs="宋体"/>
          <w:sz w:val="32"/>
          <w:szCs w:val="32"/>
          <w:u w:val="single"/>
        </w:rPr>
        <w:t>　　　　　　　　 　　</w:t>
      </w:r>
      <w:r>
        <w:rPr>
          <w:rFonts w:hint="eastAsia" w:ascii="宋体" w:hAnsi="宋体" w:eastAsia="宋体" w:cs="宋体"/>
          <w:sz w:val="32"/>
          <w:szCs w:val="32"/>
          <w:u w:val="single"/>
          <w:lang w:val="en-US" w:eastAsia="zh-CN"/>
        </w:rPr>
        <w:t xml:space="preserve">      </w:t>
      </w:r>
    </w:p>
    <w:p w14:paraId="306B7C5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rPr>
      </w:pPr>
      <w:r>
        <w:rPr>
          <w:rFonts w:hint="eastAsia" w:ascii="宋体" w:hAnsi="宋体" w:eastAsia="宋体" w:cs="宋体"/>
          <w:sz w:val="32"/>
          <w:szCs w:val="32"/>
        </w:rPr>
        <w:t>日期</w:t>
      </w:r>
      <w:r>
        <w:rPr>
          <w:rFonts w:hint="eastAsia" w:ascii="宋体" w:hAnsi="宋体" w:eastAsia="宋体" w:cs="宋体"/>
          <w:sz w:val="32"/>
          <w:szCs w:val="32"/>
          <w:u w:val="single"/>
          <w:lang w:val="en-US" w:eastAsia="zh-CN"/>
        </w:rPr>
        <w:t xml:space="preserve">                                     </w:t>
      </w:r>
    </w:p>
    <w:p w14:paraId="114671DB">
      <w:pPr>
        <w:numPr>
          <w:ilvl w:val="0"/>
          <w:numId w:val="0"/>
        </w:numPr>
        <w:ind w:leftChars="0"/>
        <w:rPr>
          <w:rFonts w:hint="eastAsia" w:ascii="宋体" w:hAnsi="宋体" w:eastAsia="宋体" w:cs="宋体"/>
          <w:sz w:val="32"/>
          <w:szCs w:val="32"/>
          <w:lang w:val="en-US" w:eastAsia="zh-CN"/>
        </w:rPr>
      </w:pPr>
    </w:p>
    <w:p w14:paraId="4A32FCF2">
      <w:pPr>
        <w:pStyle w:val="24"/>
        <w:rPr>
          <w:rFonts w:hint="eastAsia" w:ascii="宋体" w:hAnsi="宋体" w:eastAsia="宋体" w:cs="宋体"/>
          <w:sz w:val="32"/>
          <w:szCs w:val="32"/>
          <w:lang w:val="en-US" w:eastAsia="zh-CN"/>
        </w:rPr>
      </w:pPr>
    </w:p>
    <w:p w14:paraId="577B906F">
      <w:pPr>
        <w:pStyle w:val="25"/>
        <w:rPr>
          <w:rFonts w:hint="eastAsia" w:ascii="宋体" w:hAnsi="宋体" w:eastAsia="宋体" w:cs="宋体"/>
          <w:sz w:val="32"/>
          <w:szCs w:val="32"/>
          <w:lang w:val="en-US" w:eastAsia="zh-CN"/>
        </w:rPr>
      </w:pPr>
    </w:p>
    <w:p w14:paraId="4725BE82">
      <w:pPr>
        <w:rPr>
          <w:rFonts w:hint="eastAsia" w:ascii="宋体" w:hAnsi="宋体" w:eastAsia="宋体" w:cs="宋体"/>
          <w:sz w:val="32"/>
          <w:szCs w:val="32"/>
          <w:lang w:val="en-US" w:eastAsia="zh-CN"/>
        </w:rPr>
      </w:pPr>
    </w:p>
    <w:p w14:paraId="6066EBAB">
      <w:pPr>
        <w:pStyle w:val="25"/>
        <w:ind w:left="0" w:leftChars="0" w:firstLine="0" w:firstLineChars="0"/>
        <w:jc w:val="left"/>
        <w:rPr>
          <w:rFonts w:hint="eastAsia"/>
          <w:lang w:val="en-US" w:eastAsia="zh-CN"/>
        </w:rPr>
      </w:pPr>
    </w:p>
    <w:p w14:paraId="3167211C">
      <w:pPr>
        <w:pStyle w:val="25"/>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2.投标声明函</w:t>
      </w:r>
    </w:p>
    <w:p w14:paraId="30212ED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1684328A">
      <w:pPr>
        <w:pStyle w:val="25"/>
        <w:ind w:left="0" w:leftChars="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关于贵方</w:t>
      </w:r>
      <w:r>
        <w:rPr>
          <w:rFonts w:hint="eastAsia" w:ascii="宋体" w:hAnsi="宋体" w:eastAsia="宋体" w:cs="宋体"/>
          <w:sz w:val="32"/>
          <w:szCs w:val="32"/>
          <w:u w:val="single"/>
          <w:lang w:val="en-US" w:eastAsia="zh-CN"/>
        </w:rPr>
        <w:t xml:space="preserve">  (项目名称、项目编号 )  </w:t>
      </w:r>
      <w:r>
        <w:rPr>
          <w:rFonts w:hint="eastAsia" w:ascii="宋体" w:hAnsi="宋体" w:eastAsia="宋体" w:cs="宋体"/>
          <w:sz w:val="32"/>
          <w:szCs w:val="32"/>
          <w:lang w:val="en-US" w:eastAsia="zh-CN"/>
        </w:rPr>
        <w:t>关于</w:t>
      </w:r>
      <w:r>
        <w:rPr>
          <w:rFonts w:hint="eastAsia" w:ascii="宋体" w:hAnsi="宋体" w:eastAsia="宋体" w:cs="宋体"/>
          <w:sz w:val="32"/>
          <w:szCs w:val="32"/>
          <w:u w:val="single"/>
          <w:lang w:val="en-US" w:eastAsia="zh-CN"/>
        </w:rPr>
        <w:t xml:space="preserve">  “标项名称”</w:t>
      </w:r>
      <w:r>
        <w:rPr>
          <w:rFonts w:hint="eastAsia" w:ascii="宋体" w:hAnsi="宋体" w:eastAsia="宋体" w:cs="宋体"/>
          <w:sz w:val="32"/>
          <w:szCs w:val="32"/>
          <w:lang w:val="en-US" w:eastAsia="zh-CN"/>
        </w:rPr>
        <w:t>的招标项目，本签字人愿意参加投标，并有能力提供项目中的服务能力，并保证所提交的所有文件和说明是真实和准确的。</w:t>
      </w:r>
    </w:p>
    <w:p w14:paraId="2BDDC3C7">
      <w:pPr>
        <w:pStyle w:val="25"/>
        <w:ind w:left="0" w:leftChars="0" w:firstLine="0" w:firstLineChars="0"/>
        <w:jc w:val="left"/>
        <w:rPr>
          <w:rFonts w:hint="eastAsia" w:ascii="宋体" w:hAnsi="宋体" w:eastAsia="宋体" w:cs="宋体"/>
          <w:sz w:val="32"/>
          <w:szCs w:val="32"/>
          <w:lang w:val="en-US" w:eastAsia="zh-CN"/>
        </w:rPr>
      </w:pPr>
    </w:p>
    <w:p w14:paraId="09E70089">
      <w:pPr>
        <w:pStyle w:val="25"/>
        <w:ind w:left="0" w:leftChars="0" w:firstLine="0" w:firstLineChars="0"/>
        <w:jc w:val="left"/>
        <w:rPr>
          <w:rFonts w:hint="eastAsia" w:ascii="宋体" w:hAnsi="宋体" w:eastAsia="宋体" w:cs="宋体"/>
          <w:sz w:val="32"/>
          <w:szCs w:val="32"/>
          <w:lang w:val="en-US" w:eastAsia="zh-CN"/>
        </w:rPr>
      </w:pPr>
    </w:p>
    <w:p w14:paraId="12E696A6">
      <w:pPr>
        <w:pStyle w:val="25"/>
        <w:ind w:left="0" w:leftChars="0" w:firstLine="0" w:firstLineChars="0"/>
        <w:jc w:val="left"/>
        <w:rPr>
          <w:rFonts w:hint="eastAsia" w:ascii="宋体" w:hAnsi="宋体" w:eastAsia="宋体" w:cs="宋体"/>
          <w:sz w:val="32"/>
          <w:szCs w:val="32"/>
          <w:lang w:val="en-US" w:eastAsia="zh-CN"/>
        </w:rPr>
      </w:pPr>
    </w:p>
    <w:p w14:paraId="35ED2B6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投标人名称:</w:t>
      </w:r>
    </w:p>
    <w:p w14:paraId="330B69B6">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      章:</w:t>
      </w:r>
    </w:p>
    <w:p w14:paraId="01DC38E8">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法定代表人(负责人)或被授权人(签字或签章):</w:t>
      </w:r>
    </w:p>
    <w:p w14:paraId="450BCF9C">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w:t>
      </w:r>
    </w:p>
    <w:p w14:paraId="35134849">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传真:</w:t>
      </w:r>
    </w:p>
    <w:p w14:paraId="56B950E7">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电话:</w:t>
      </w:r>
    </w:p>
    <w:p w14:paraId="522E781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邮编:</w:t>
      </w:r>
    </w:p>
    <w:p w14:paraId="3903FB6E">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w:t>
      </w:r>
    </w:p>
    <w:p w14:paraId="5DF35C1A">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月</w:t>
      </w:r>
    </w:p>
    <w:p w14:paraId="47028D3C">
      <w:pPr>
        <w:rPr>
          <w:rFonts w:hint="eastAsia"/>
          <w:lang w:val="en-US" w:eastAsia="zh-CN"/>
        </w:rPr>
      </w:pPr>
    </w:p>
    <w:p w14:paraId="5E40F86C">
      <w:pPr>
        <w:rPr>
          <w:rFonts w:hint="eastAsia" w:ascii="宋体" w:hAnsi="宋体" w:eastAsia="宋体" w:cs="宋体"/>
          <w:sz w:val="30"/>
          <w:szCs w:val="30"/>
          <w:lang w:val="en-US" w:eastAsia="zh-CN"/>
        </w:rPr>
      </w:pPr>
    </w:p>
    <w:p w14:paraId="5A1D5789">
      <w:pPr>
        <w:pStyle w:val="24"/>
        <w:rPr>
          <w:rFonts w:hint="eastAsia" w:ascii="宋体" w:hAnsi="宋体" w:eastAsia="宋体" w:cs="宋体"/>
          <w:sz w:val="30"/>
          <w:szCs w:val="30"/>
          <w:lang w:val="en-US" w:eastAsia="zh-CN"/>
        </w:rPr>
      </w:pPr>
    </w:p>
    <w:p w14:paraId="29D14E86">
      <w:pPr>
        <w:pStyle w:val="25"/>
        <w:rPr>
          <w:rFonts w:hint="eastAsia" w:ascii="宋体" w:hAnsi="宋体" w:eastAsia="宋体" w:cs="宋体"/>
          <w:sz w:val="30"/>
          <w:szCs w:val="30"/>
          <w:lang w:val="en-US" w:eastAsia="zh-CN"/>
        </w:rPr>
      </w:pPr>
    </w:p>
    <w:p w14:paraId="72516460">
      <w:pPr>
        <w:rPr>
          <w:rFonts w:hint="eastAsia" w:ascii="宋体" w:hAnsi="宋体" w:eastAsia="宋体" w:cs="宋体"/>
          <w:sz w:val="30"/>
          <w:szCs w:val="30"/>
          <w:lang w:val="en-US" w:eastAsia="zh-CN"/>
        </w:rPr>
      </w:pPr>
    </w:p>
    <w:p w14:paraId="05B0CFE2">
      <w:pPr>
        <w:pStyle w:val="24"/>
        <w:rPr>
          <w:rFonts w:hint="eastAsia" w:ascii="宋体" w:hAnsi="宋体" w:eastAsia="宋体" w:cs="宋体"/>
          <w:sz w:val="30"/>
          <w:szCs w:val="30"/>
          <w:lang w:val="en-US" w:eastAsia="zh-CN"/>
        </w:rPr>
      </w:pPr>
    </w:p>
    <w:p w14:paraId="399CCBF8">
      <w:pPr>
        <w:pStyle w:val="25"/>
        <w:rPr>
          <w:rFonts w:hint="eastAsia" w:ascii="宋体" w:hAnsi="宋体" w:eastAsia="宋体" w:cs="宋体"/>
          <w:sz w:val="30"/>
          <w:szCs w:val="30"/>
          <w:lang w:val="en-US" w:eastAsia="zh-CN"/>
        </w:rPr>
      </w:pPr>
    </w:p>
    <w:p w14:paraId="12218E4B">
      <w:pPr>
        <w:rPr>
          <w:rFonts w:hint="eastAsia" w:ascii="宋体" w:hAnsi="宋体" w:eastAsia="宋体" w:cs="宋体"/>
          <w:sz w:val="30"/>
          <w:szCs w:val="30"/>
          <w:lang w:val="en-US" w:eastAsia="zh-CN"/>
        </w:rPr>
      </w:pPr>
    </w:p>
    <w:p w14:paraId="37F2AC49">
      <w:pPr>
        <w:pStyle w:val="24"/>
        <w:rPr>
          <w:rFonts w:hint="eastAsia" w:ascii="宋体" w:hAnsi="宋体" w:eastAsia="宋体" w:cs="宋体"/>
          <w:sz w:val="30"/>
          <w:szCs w:val="30"/>
          <w:lang w:val="en-US" w:eastAsia="zh-CN"/>
        </w:rPr>
      </w:pPr>
    </w:p>
    <w:p w14:paraId="2CA4B32C">
      <w:pPr>
        <w:pStyle w:val="25"/>
        <w:rPr>
          <w:rFonts w:hint="eastAsia" w:ascii="宋体" w:hAnsi="宋体" w:eastAsia="宋体" w:cs="宋体"/>
          <w:sz w:val="30"/>
          <w:szCs w:val="30"/>
          <w:lang w:val="en-US" w:eastAsia="zh-CN"/>
        </w:rPr>
      </w:pPr>
    </w:p>
    <w:p w14:paraId="0E6A5DA9">
      <w:pPr>
        <w:rPr>
          <w:rFonts w:hint="eastAsia" w:ascii="宋体" w:hAnsi="宋体" w:eastAsia="宋体" w:cs="宋体"/>
          <w:sz w:val="30"/>
          <w:szCs w:val="30"/>
          <w:lang w:val="en-US" w:eastAsia="zh-CN"/>
        </w:rPr>
      </w:pPr>
    </w:p>
    <w:p w14:paraId="5F449355">
      <w:pPr>
        <w:pStyle w:val="24"/>
        <w:rPr>
          <w:rFonts w:hint="eastAsia" w:ascii="宋体" w:hAnsi="宋体" w:eastAsia="宋体" w:cs="宋体"/>
          <w:sz w:val="30"/>
          <w:szCs w:val="30"/>
          <w:lang w:val="en-US" w:eastAsia="zh-CN"/>
        </w:rPr>
      </w:pPr>
    </w:p>
    <w:p w14:paraId="62B02527">
      <w:pPr>
        <w:pStyle w:val="25"/>
        <w:rPr>
          <w:rFonts w:hint="eastAsia" w:ascii="宋体" w:hAnsi="宋体" w:eastAsia="宋体" w:cs="宋体"/>
          <w:sz w:val="30"/>
          <w:szCs w:val="30"/>
          <w:lang w:val="en-US" w:eastAsia="zh-CN"/>
        </w:rPr>
      </w:pPr>
    </w:p>
    <w:p w14:paraId="21526C66">
      <w:pPr>
        <w:rPr>
          <w:rFonts w:hint="eastAsia" w:ascii="宋体" w:hAnsi="宋体" w:eastAsia="宋体" w:cs="宋体"/>
          <w:sz w:val="30"/>
          <w:szCs w:val="30"/>
          <w:lang w:val="en-US" w:eastAsia="zh-CN"/>
        </w:rPr>
      </w:pPr>
    </w:p>
    <w:p w14:paraId="1399610A">
      <w:pPr>
        <w:pStyle w:val="24"/>
        <w:rPr>
          <w:rFonts w:hint="eastAsia" w:ascii="宋体" w:hAnsi="宋体" w:eastAsia="宋体" w:cs="宋体"/>
          <w:sz w:val="30"/>
          <w:szCs w:val="30"/>
          <w:lang w:val="en-US" w:eastAsia="zh-CN"/>
        </w:rPr>
      </w:pPr>
    </w:p>
    <w:p w14:paraId="3850A42F">
      <w:pPr>
        <w:pStyle w:val="25"/>
        <w:rPr>
          <w:rFonts w:hint="eastAsia" w:ascii="宋体" w:hAnsi="宋体" w:eastAsia="宋体" w:cs="宋体"/>
          <w:sz w:val="30"/>
          <w:szCs w:val="30"/>
          <w:lang w:val="en-US" w:eastAsia="zh-CN"/>
        </w:rPr>
      </w:pPr>
    </w:p>
    <w:p w14:paraId="69691430">
      <w:pPr>
        <w:rPr>
          <w:rFonts w:hint="eastAsia" w:ascii="宋体" w:hAnsi="宋体" w:eastAsia="宋体" w:cs="宋体"/>
          <w:sz w:val="30"/>
          <w:szCs w:val="30"/>
          <w:lang w:val="en-US" w:eastAsia="zh-CN"/>
        </w:rPr>
      </w:pPr>
    </w:p>
    <w:p w14:paraId="429E160E">
      <w:pPr>
        <w:pStyle w:val="24"/>
        <w:rPr>
          <w:rFonts w:hint="eastAsia" w:ascii="宋体" w:hAnsi="宋体" w:eastAsia="宋体" w:cs="宋体"/>
          <w:sz w:val="30"/>
          <w:szCs w:val="30"/>
          <w:lang w:val="en-US" w:eastAsia="zh-CN"/>
        </w:rPr>
      </w:pPr>
    </w:p>
    <w:p w14:paraId="42C0DD1E">
      <w:pPr>
        <w:pStyle w:val="25"/>
        <w:rPr>
          <w:rFonts w:hint="eastAsia"/>
          <w:lang w:val="en-US" w:eastAsia="zh-CN"/>
        </w:rPr>
      </w:pPr>
    </w:p>
    <w:p w14:paraId="3C07A3AC">
      <w:pPr>
        <w:rPr>
          <w:rFonts w:hint="eastAsia"/>
          <w:lang w:val="en-US" w:eastAsia="zh-CN"/>
        </w:rPr>
      </w:pPr>
    </w:p>
    <w:p w14:paraId="7D4DF3BD">
      <w:pPr>
        <w:pStyle w:val="2"/>
        <w:rPr>
          <w:rFonts w:hint="eastAsia"/>
          <w:lang w:val="en-US" w:eastAsia="zh-CN"/>
        </w:rPr>
      </w:pPr>
    </w:p>
    <w:p w14:paraId="47872205">
      <w:pPr>
        <w:pStyle w:val="2"/>
        <w:rPr>
          <w:rFonts w:hint="eastAsia"/>
          <w:lang w:val="en-US" w:eastAsia="zh-CN"/>
        </w:rPr>
      </w:pPr>
    </w:p>
    <w:p w14:paraId="52AFB9B9">
      <w:pPr>
        <w:pStyle w:val="2"/>
        <w:rPr>
          <w:rFonts w:hint="eastAsia"/>
          <w:lang w:val="en-US" w:eastAsia="zh-CN"/>
        </w:rPr>
      </w:pPr>
    </w:p>
    <w:p w14:paraId="136ED0D1">
      <w:pPr>
        <w:rPr>
          <w:rFonts w:hint="eastAsia" w:ascii="宋体" w:hAnsi="宋体" w:eastAsia="宋体" w:cs="宋体"/>
          <w:sz w:val="30"/>
          <w:szCs w:val="30"/>
          <w:lang w:val="en-US" w:eastAsia="zh-CN"/>
        </w:rPr>
      </w:pPr>
    </w:p>
    <w:p w14:paraId="379B0FC4">
      <w:pPr>
        <w:pStyle w:val="4"/>
        <w:keepNext/>
        <w:keepLines/>
        <w:pageBreakBefore w:val="0"/>
        <w:widowControl w:val="0"/>
        <w:kinsoku/>
        <w:wordWrap/>
        <w:overflowPunct/>
        <w:topLinePunct w:val="0"/>
        <w:autoSpaceDE w:val="0"/>
        <w:autoSpaceDN w:val="0"/>
        <w:bidi w:val="0"/>
        <w:adjustRightInd w:val="0"/>
        <w:snapToGrid/>
        <w:spacing w:before="0" w:beforeLines="0" w:line="440" w:lineRule="exact"/>
        <w:ind w:left="1079" w:leftChars="257" w:hanging="539"/>
        <w:jc w:val="center"/>
        <w:textAlignment w:val="auto"/>
        <w:outlineLvl w:val="2"/>
        <w:rPr>
          <w:rFonts w:hint="eastAsia" w:ascii="宋体" w:hAnsi="宋体" w:eastAsia="宋体" w:cs="宋体"/>
          <w:sz w:val="30"/>
          <w:szCs w:val="30"/>
        </w:rPr>
      </w:pPr>
      <w:bookmarkStart w:id="528" w:name="_Toc7182"/>
      <w:bookmarkStart w:id="529" w:name="_Toc13502"/>
      <w:bookmarkStart w:id="530" w:name="_Toc26953"/>
      <w:r>
        <w:rPr>
          <w:rFonts w:hint="eastAsia" w:ascii="宋体" w:hAnsi="宋体" w:eastAsia="宋体" w:cs="宋体"/>
          <w:b/>
          <w:bCs/>
          <w:sz w:val="30"/>
          <w:szCs w:val="30"/>
          <w:lang w:val="en-US" w:eastAsia="zh-CN"/>
        </w:rPr>
        <w:t>3.1</w:t>
      </w: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w:t>
      </w:r>
      <w:r>
        <w:rPr>
          <w:rFonts w:hint="eastAsia" w:ascii="宋体" w:hAnsi="宋体" w:eastAsia="宋体" w:cs="宋体"/>
          <w:b/>
          <w:bCs/>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bCs/>
          <w:sz w:val="30"/>
          <w:szCs w:val="30"/>
        </w:rPr>
        <w:t>授权书</w:t>
      </w:r>
      <w:bookmarkEnd w:id="528"/>
      <w:bookmarkEnd w:id="529"/>
      <w:bookmarkEnd w:id="530"/>
    </w:p>
    <w:p w14:paraId="3663F75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6F2713FC">
      <w:pPr>
        <w:pageBreakBefore w:val="0"/>
        <w:kinsoku/>
        <w:wordWrap/>
        <w:overflowPunct/>
        <w:topLinePunct w:val="0"/>
        <w:bidi w:val="0"/>
        <w:snapToGrid/>
        <w:spacing w:line="440" w:lineRule="exact"/>
        <w:ind w:left="239" w:leftChars="114" w:firstLine="600" w:firstLineChars="200"/>
        <w:rPr>
          <w:rFonts w:hint="eastAsia" w:ascii="宋体" w:hAnsi="宋体" w:eastAsia="宋体" w:cs="宋体"/>
          <w:sz w:val="30"/>
          <w:szCs w:val="30"/>
        </w:rPr>
      </w:pPr>
      <w:r>
        <w:rPr>
          <w:rFonts w:hint="eastAsia" w:ascii="宋体" w:hAnsi="宋体" w:eastAsia="宋体" w:cs="宋体"/>
          <w:sz w:val="30"/>
          <w:szCs w:val="30"/>
        </w:rPr>
        <w:t>本授权书声明:我</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系注册于</w:t>
      </w:r>
      <w:r>
        <w:rPr>
          <w:rFonts w:hint="eastAsia" w:ascii="宋体" w:hAnsi="宋体" w:eastAsia="宋体" w:cs="宋体"/>
          <w:sz w:val="30"/>
          <w:szCs w:val="30"/>
          <w:u w:val="single"/>
        </w:rPr>
        <w:t>（地区的名称）             （供应商名称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，现授权</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为我公司被授权人，以本公司的名义参加</w:t>
      </w:r>
      <w:r>
        <w:rPr>
          <w:rFonts w:hint="eastAsia" w:ascii="宋体" w:hAnsi="宋体" w:eastAsia="宋体" w:cs="宋体"/>
          <w:sz w:val="30"/>
          <w:szCs w:val="30"/>
          <w:u w:val="single"/>
        </w:rPr>
        <w:t>（采购单位名称）（项目名称）</w:t>
      </w:r>
      <w:r>
        <w:rPr>
          <w:rFonts w:hint="eastAsia" w:ascii="宋体" w:hAnsi="宋体" w:eastAsia="宋体" w:cs="宋体"/>
          <w:sz w:val="30"/>
          <w:szCs w:val="30"/>
          <w:u w:val="single"/>
          <w:lang w:eastAsia="zh-CN"/>
        </w:rPr>
        <w:t>（</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的采购招标活动。被授权人在本次采购招标过程中所签署的一切文件和处理与之有关的一切事务,我均予以承认。</w:t>
      </w:r>
    </w:p>
    <w:p w14:paraId="22529688">
      <w:pPr>
        <w:pageBreakBefore w:val="0"/>
        <w:kinsoku/>
        <w:wordWrap/>
        <w:overflowPunct/>
        <w:topLinePunct w:val="0"/>
        <w:bidi w:val="0"/>
        <w:snapToGrid/>
        <w:spacing w:line="44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本授权书于20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生效，被授权人无转让权,特此授权。</w:t>
      </w:r>
    </w:p>
    <w:p w14:paraId="2A89F5E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FC9421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被授权人签字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联系电话：</w:t>
      </w:r>
      <w:r>
        <w:rPr>
          <w:rFonts w:hint="eastAsia" w:ascii="宋体" w:hAnsi="宋体" w:eastAsia="宋体" w:cs="宋体"/>
          <w:sz w:val="30"/>
          <w:szCs w:val="30"/>
          <w:u w:val="single"/>
        </w:rPr>
        <w:t xml:space="preserve">             　　　</w:t>
      </w:r>
    </w:p>
    <w:p w14:paraId="1C8FDE9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公       章：</w:t>
      </w:r>
    </w:p>
    <w:p w14:paraId="2364E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u w:val="single"/>
        </w:rPr>
      </w:pPr>
      <w:r>
        <w:rPr>
          <w:rFonts w:hint="eastAsia" w:ascii="宋体" w:hAnsi="宋体" w:eastAsia="宋体" w:cs="宋体"/>
          <w:sz w:val="30"/>
          <w:szCs w:val="30"/>
        </w:rPr>
        <w:t>授权日期：20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461787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30"/>
          <w:szCs w:val="30"/>
        </w:rPr>
      </w:pPr>
      <w:r>
        <w:rPr>
          <w:rFonts w:hint="eastAsia" w:ascii="宋体" w:hAnsi="宋体" w:eastAsia="宋体" w:cs="宋体"/>
          <w:b/>
          <w:bCs/>
          <w:sz w:val="30"/>
          <w:szCs w:val="30"/>
        </w:rPr>
        <w:t>注：法定代表人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亲自参加采购活动的，可不提供此项证明文件。</w:t>
      </w:r>
    </w:p>
    <w:p w14:paraId="5C6E09B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sz w:val="30"/>
          <w:szCs w:val="30"/>
        </w:rPr>
      </w:pPr>
      <w:bookmarkStart w:id="531" w:name="_Toc20534"/>
      <w:bookmarkStart w:id="532" w:name="_Toc30457"/>
      <w:bookmarkStart w:id="533" w:name="_Toc29450"/>
      <w:bookmarkStart w:id="534" w:name="_Toc20452"/>
      <w:bookmarkStart w:id="535" w:name="_Toc8157"/>
      <w:bookmarkStart w:id="536" w:name="_Toc9182"/>
      <w:bookmarkStart w:id="537" w:name="_Toc10755"/>
      <w:bookmarkStart w:id="538" w:name="_Toc24960"/>
      <w:bookmarkStart w:id="539" w:name="_Toc17467"/>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身份证复印件</w:t>
      </w:r>
      <w:bookmarkEnd w:id="531"/>
      <w:bookmarkEnd w:id="532"/>
      <w:bookmarkEnd w:id="533"/>
      <w:bookmarkEnd w:id="534"/>
      <w:bookmarkEnd w:id="535"/>
      <w:bookmarkEnd w:id="536"/>
      <w:bookmarkEnd w:id="537"/>
      <w:bookmarkEnd w:id="538"/>
      <w:bookmarkEnd w:id="539"/>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581"/>
      </w:tblGrid>
      <w:tr w14:paraId="2929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4418" w:type="dxa"/>
            <w:noWrap w:val="0"/>
            <w:vAlign w:val="center"/>
          </w:tcPr>
          <w:p w14:paraId="25D555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0" w:name="_Toc9139"/>
            <w:bookmarkStart w:id="541" w:name="_Toc11790"/>
            <w:bookmarkStart w:id="542" w:name="_Toc21856"/>
            <w:bookmarkStart w:id="543" w:name="_Toc31681"/>
            <w:bookmarkStart w:id="544" w:name="_Toc13269"/>
            <w:bookmarkStart w:id="545" w:name="_Toc4251"/>
            <w:bookmarkStart w:id="546" w:name="_Toc25963"/>
            <w:bookmarkStart w:id="547" w:name="_Toc16047"/>
            <w:r>
              <w:rPr>
                <w:rFonts w:hint="eastAsia" w:ascii="宋体" w:hAnsi="宋体" w:eastAsia="宋体" w:cs="宋体"/>
                <w:b/>
                <w:bCs/>
                <w:sz w:val="30"/>
                <w:szCs w:val="30"/>
              </w:rPr>
              <w:t>正面</w:t>
            </w:r>
            <w:bookmarkEnd w:id="540"/>
            <w:bookmarkEnd w:id="541"/>
            <w:bookmarkEnd w:id="542"/>
            <w:bookmarkEnd w:id="543"/>
            <w:bookmarkEnd w:id="544"/>
            <w:bookmarkEnd w:id="545"/>
            <w:bookmarkEnd w:id="546"/>
            <w:bookmarkEnd w:id="547"/>
            <w:r>
              <w:rPr>
                <w:rFonts w:hint="eastAsia" w:ascii="宋体" w:hAnsi="宋体" w:eastAsia="宋体" w:cs="宋体"/>
                <w:b/>
                <w:bCs/>
                <w:sz w:val="30"/>
                <w:szCs w:val="30"/>
              </w:rPr>
              <w:t xml:space="preserve"> </w:t>
            </w:r>
          </w:p>
        </w:tc>
        <w:tc>
          <w:tcPr>
            <w:tcW w:w="4581" w:type="dxa"/>
            <w:noWrap w:val="0"/>
            <w:vAlign w:val="center"/>
          </w:tcPr>
          <w:p w14:paraId="278928C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8" w:name="_Toc18678"/>
            <w:bookmarkStart w:id="549" w:name="_Toc25893"/>
            <w:bookmarkStart w:id="550" w:name="_Toc14462"/>
            <w:bookmarkStart w:id="551" w:name="_Toc19447"/>
            <w:bookmarkStart w:id="552" w:name="_Toc27585"/>
            <w:bookmarkStart w:id="553" w:name="_Toc26788"/>
            <w:bookmarkStart w:id="554" w:name="_Toc21041"/>
            <w:bookmarkStart w:id="555" w:name="_Toc15434"/>
            <w:bookmarkStart w:id="556" w:name="_Toc19808"/>
            <w:r>
              <w:rPr>
                <w:rFonts w:hint="eastAsia" w:ascii="宋体" w:hAnsi="宋体" w:eastAsia="宋体" w:cs="宋体"/>
                <w:b/>
                <w:bCs/>
                <w:sz w:val="30"/>
                <w:szCs w:val="30"/>
              </w:rPr>
              <w:t>背面</w:t>
            </w:r>
            <w:bookmarkEnd w:id="548"/>
            <w:bookmarkEnd w:id="549"/>
            <w:bookmarkEnd w:id="550"/>
            <w:bookmarkEnd w:id="551"/>
            <w:bookmarkEnd w:id="552"/>
            <w:bookmarkEnd w:id="553"/>
            <w:bookmarkEnd w:id="554"/>
            <w:bookmarkEnd w:id="555"/>
            <w:bookmarkEnd w:id="556"/>
            <w:r>
              <w:rPr>
                <w:rFonts w:hint="eastAsia" w:ascii="宋体" w:hAnsi="宋体" w:eastAsia="宋体" w:cs="宋体"/>
                <w:b/>
                <w:bCs/>
                <w:sz w:val="30"/>
                <w:szCs w:val="30"/>
              </w:rPr>
              <w:t xml:space="preserve"> </w:t>
            </w:r>
          </w:p>
        </w:tc>
      </w:tr>
    </w:tbl>
    <w:p w14:paraId="3F5BB5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57" w:name="_Toc6225"/>
      <w:bookmarkStart w:id="558" w:name="_Toc20903"/>
      <w:bookmarkStart w:id="559" w:name="_Toc27703"/>
      <w:bookmarkStart w:id="560" w:name="_Toc24882"/>
      <w:bookmarkStart w:id="561" w:name="_Toc27966"/>
      <w:bookmarkStart w:id="562" w:name="_Toc8620"/>
      <w:bookmarkStart w:id="563" w:name="_Toc18751"/>
      <w:bookmarkStart w:id="564" w:name="_Toc19304"/>
      <w:bookmarkStart w:id="565" w:name="_Toc3024"/>
      <w:r>
        <w:rPr>
          <w:rFonts w:hint="eastAsia" w:ascii="宋体" w:hAnsi="宋体" w:eastAsia="宋体" w:cs="宋体"/>
          <w:b/>
          <w:bCs/>
          <w:sz w:val="30"/>
          <w:szCs w:val="30"/>
        </w:rPr>
        <w:t>被授权人身份证复印件</w:t>
      </w:r>
      <w:bookmarkEnd w:id="557"/>
      <w:bookmarkEnd w:id="558"/>
      <w:bookmarkEnd w:id="559"/>
      <w:bookmarkEnd w:id="560"/>
      <w:bookmarkEnd w:id="561"/>
      <w:bookmarkEnd w:id="562"/>
      <w:bookmarkEnd w:id="563"/>
      <w:bookmarkEnd w:id="564"/>
      <w:bookmarkEnd w:id="565"/>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58"/>
      </w:tblGrid>
      <w:tr w14:paraId="3FC7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341" w:type="dxa"/>
            <w:noWrap w:val="0"/>
            <w:vAlign w:val="center"/>
          </w:tcPr>
          <w:p w14:paraId="6C97EED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66" w:name="_Toc32504"/>
            <w:bookmarkStart w:id="567" w:name="_Toc25161"/>
            <w:bookmarkStart w:id="568" w:name="_Toc1512"/>
            <w:bookmarkStart w:id="569" w:name="_Toc26514"/>
            <w:bookmarkStart w:id="570" w:name="_Toc18913"/>
            <w:bookmarkStart w:id="571" w:name="_Toc11906"/>
            <w:bookmarkStart w:id="572" w:name="_Toc2804"/>
            <w:bookmarkStart w:id="573" w:name="_Toc22626"/>
            <w:bookmarkStart w:id="574" w:name="_Toc2989"/>
            <w:r>
              <w:rPr>
                <w:rFonts w:hint="eastAsia" w:ascii="宋体" w:hAnsi="宋体" w:eastAsia="宋体" w:cs="宋体"/>
                <w:b/>
                <w:bCs/>
                <w:sz w:val="30"/>
                <w:szCs w:val="30"/>
              </w:rPr>
              <w:t>正面</w:t>
            </w:r>
            <w:bookmarkEnd w:id="566"/>
            <w:bookmarkEnd w:id="567"/>
            <w:bookmarkEnd w:id="568"/>
            <w:bookmarkEnd w:id="569"/>
            <w:bookmarkEnd w:id="570"/>
            <w:bookmarkEnd w:id="571"/>
            <w:bookmarkEnd w:id="572"/>
            <w:bookmarkEnd w:id="573"/>
            <w:bookmarkEnd w:id="574"/>
            <w:r>
              <w:rPr>
                <w:rFonts w:hint="eastAsia" w:ascii="宋体" w:hAnsi="宋体" w:eastAsia="宋体" w:cs="宋体"/>
                <w:b/>
                <w:bCs/>
                <w:sz w:val="30"/>
                <w:szCs w:val="30"/>
              </w:rPr>
              <w:t xml:space="preserve"> </w:t>
            </w:r>
          </w:p>
        </w:tc>
        <w:tc>
          <w:tcPr>
            <w:tcW w:w="4658" w:type="dxa"/>
            <w:noWrap w:val="0"/>
            <w:vAlign w:val="center"/>
          </w:tcPr>
          <w:p w14:paraId="239AC19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75" w:name="_Toc14978"/>
            <w:bookmarkStart w:id="576" w:name="_Toc22683"/>
            <w:bookmarkStart w:id="577" w:name="_Toc31615"/>
            <w:bookmarkStart w:id="578" w:name="_Toc21218"/>
            <w:bookmarkStart w:id="579" w:name="_Toc29281"/>
            <w:bookmarkStart w:id="580" w:name="_Toc776"/>
            <w:bookmarkStart w:id="581" w:name="_Toc22430"/>
            <w:bookmarkStart w:id="582" w:name="_Toc1387"/>
            <w:r>
              <w:rPr>
                <w:rFonts w:hint="eastAsia" w:ascii="宋体" w:hAnsi="宋体" w:eastAsia="宋体" w:cs="宋体"/>
                <w:b/>
                <w:bCs/>
                <w:sz w:val="30"/>
                <w:szCs w:val="30"/>
              </w:rPr>
              <w:t>背面</w:t>
            </w:r>
            <w:bookmarkEnd w:id="575"/>
            <w:bookmarkEnd w:id="576"/>
            <w:bookmarkEnd w:id="577"/>
            <w:bookmarkEnd w:id="578"/>
            <w:bookmarkEnd w:id="579"/>
            <w:bookmarkEnd w:id="580"/>
            <w:bookmarkEnd w:id="581"/>
            <w:bookmarkEnd w:id="582"/>
            <w:r>
              <w:rPr>
                <w:rFonts w:hint="eastAsia" w:ascii="宋体" w:hAnsi="宋体" w:eastAsia="宋体" w:cs="宋体"/>
                <w:b/>
                <w:bCs/>
                <w:sz w:val="30"/>
                <w:szCs w:val="30"/>
              </w:rPr>
              <w:t xml:space="preserve"> </w:t>
            </w:r>
          </w:p>
        </w:tc>
      </w:tr>
    </w:tbl>
    <w:p w14:paraId="445B8102">
      <w:pPr>
        <w:pStyle w:val="11"/>
        <w:rPr>
          <w:rFonts w:hint="eastAsia" w:ascii="宋体" w:hAnsi="宋体" w:eastAsia="宋体" w:cs="宋体"/>
          <w:sz w:val="30"/>
          <w:szCs w:val="30"/>
          <w:lang w:val="en-US" w:eastAsia="zh-CN"/>
        </w:rPr>
      </w:pPr>
    </w:p>
    <w:p w14:paraId="5758F759">
      <w:pPr>
        <w:pStyle w:val="18"/>
        <w:rPr>
          <w:rFonts w:hint="eastAsia" w:ascii="宋体" w:hAnsi="宋体" w:eastAsia="宋体" w:cs="宋体"/>
          <w:sz w:val="30"/>
          <w:szCs w:val="30"/>
          <w:lang w:val="en-US" w:eastAsia="zh-CN"/>
        </w:rPr>
      </w:pPr>
    </w:p>
    <w:p w14:paraId="3C84BF5E">
      <w:pPr>
        <w:pStyle w:val="11"/>
        <w:rPr>
          <w:rFonts w:hint="eastAsia" w:ascii="宋体" w:hAnsi="宋体" w:eastAsia="宋体" w:cs="宋体"/>
          <w:sz w:val="30"/>
          <w:szCs w:val="30"/>
          <w:lang w:val="en-US" w:eastAsia="zh-CN"/>
        </w:rPr>
      </w:pPr>
    </w:p>
    <w:p w14:paraId="41523114">
      <w:pPr>
        <w:pStyle w:val="18"/>
        <w:rPr>
          <w:rFonts w:hint="eastAsia"/>
          <w:lang w:val="en-US" w:eastAsia="zh-CN"/>
        </w:rPr>
      </w:pPr>
    </w:p>
    <w:p w14:paraId="2029D435">
      <w:pPr>
        <w:keepNext w:val="0"/>
        <w:keepLines w:val="0"/>
        <w:pageBreakBefore w:val="0"/>
        <w:kinsoku/>
        <w:wordWrap/>
        <w:overflowPunct/>
        <w:topLinePunct w:val="0"/>
        <w:autoSpaceDE/>
        <w:autoSpaceDN/>
        <w:bidi w:val="0"/>
        <w:snapToGrid/>
        <w:spacing w:line="440" w:lineRule="exact"/>
        <w:jc w:val="center"/>
        <w:outlineLvl w:val="2"/>
        <w:rPr>
          <w:rFonts w:hint="eastAsia" w:ascii="宋体" w:hAnsi="宋体" w:eastAsia="宋体" w:cs="宋体"/>
          <w:b/>
          <w:bCs/>
          <w:sz w:val="30"/>
          <w:szCs w:val="30"/>
        </w:rPr>
      </w:pPr>
      <w:bookmarkStart w:id="583" w:name="_Toc18633"/>
      <w:bookmarkStart w:id="584" w:name="_Toc28415"/>
      <w:bookmarkStart w:id="585" w:name="_Toc21466"/>
      <w:r>
        <w:rPr>
          <w:rFonts w:hint="eastAsia" w:ascii="宋体" w:hAnsi="宋体" w:eastAsia="宋体" w:cs="宋体"/>
          <w:b/>
          <w:bCs/>
          <w:sz w:val="30"/>
          <w:szCs w:val="30"/>
          <w:lang w:val="en-US" w:eastAsia="zh-CN"/>
        </w:rPr>
        <w:t>3.2</w:t>
      </w:r>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身份证明书</w:t>
      </w:r>
      <w:bookmarkEnd w:id="583"/>
      <w:bookmarkEnd w:id="584"/>
      <w:bookmarkEnd w:id="585"/>
    </w:p>
    <w:p w14:paraId="2F3916A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2ECE7061">
      <w:pPr>
        <w:pStyle w:val="37"/>
        <w:keepNext w:val="0"/>
        <w:keepLines w:val="0"/>
        <w:pageBreakBefore w:val="0"/>
        <w:widowControl w:val="0"/>
        <w:kinsoku/>
        <w:wordWrap/>
        <w:overflowPunct/>
        <w:topLinePunct w:val="0"/>
        <w:autoSpaceDE/>
        <w:autoSpaceDN/>
        <w:bidi w:val="0"/>
        <w:adjustRightInd w:val="0"/>
        <w:snapToGrid w:val="0"/>
        <w:spacing w:line="440" w:lineRule="exact"/>
        <w:ind w:firstLine="300" w:firstLineChars="100"/>
        <w:rPr>
          <w:rStyle w:val="33"/>
          <w:rFonts w:hint="eastAsia" w:ascii="宋体" w:hAnsi="宋体" w:eastAsia="宋体" w:cs="宋体"/>
          <w:kern w:val="2"/>
          <w:sz w:val="30"/>
          <w:szCs w:val="30"/>
        </w:rPr>
      </w:pPr>
      <w:r>
        <w:rPr>
          <w:rStyle w:val="33"/>
          <w:rFonts w:hint="eastAsia" w:ascii="宋体" w:hAnsi="宋体" w:eastAsia="宋体" w:cs="宋体"/>
          <w:kern w:val="2"/>
          <w:sz w:val="30"/>
          <w:szCs w:val="30"/>
          <w:u w:val="single"/>
        </w:rPr>
        <w:t>（姓名、性别、年龄、身份证号码）</w:t>
      </w:r>
      <w:r>
        <w:rPr>
          <w:rStyle w:val="33"/>
          <w:rFonts w:hint="eastAsia" w:ascii="宋体" w:hAnsi="宋体" w:eastAsia="宋体" w:cs="宋体"/>
          <w:kern w:val="2"/>
          <w:sz w:val="30"/>
          <w:szCs w:val="30"/>
        </w:rPr>
        <w:t>在我单位任</w:t>
      </w:r>
      <w:r>
        <w:rPr>
          <w:rStyle w:val="33"/>
          <w:rFonts w:hint="eastAsia" w:ascii="宋体" w:hAnsi="宋体" w:eastAsia="宋体" w:cs="宋体"/>
          <w:kern w:val="2"/>
          <w:sz w:val="30"/>
          <w:szCs w:val="30"/>
          <w:u w:val="single"/>
        </w:rPr>
        <w:t xml:space="preserve">       </w:t>
      </w:r>
      <w:r>
        <w:rPr>
          <w:rStyle w:val="33"/>
          <w:rFonts w:hint="eastAsia" w:ascii="宋体" w:hAnsi="宋体" w:eastAsia="宋体" w:cs="宋体"/>
          <w:kern w:val="2"/>
          <w:sz w:val="30"/>
          <w:szCs w:val="30"/>
        </w:rPr>
        <w:t>（董事长、总经理等）职务，是我单位的法定代表人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Style w:val="33"/>
          <w:rFonts w:hint="eastAsia" w:ascii="宋体" w:hAnsi="宋体" w:eastAsia="宋体" w:cs="宋体"/>
          <w:kern w:val="2"/>
          <w:sz w:val="30"/>
          <w:szCs w:val="30"/>
          <w:lang w:val="en-US" w:eastAsia="zh-CN"/>
        </w:rPr>
        <w:t>,</w:t>
      </w:r>
      <w:r>
        <w:rPr>
          <w:rStyle w:val="33"/>
          <w:rFonts w:hint="eastAsia" w:ascii="宋体" w:hAnsi="宋体" w:eastAsia="宋体" w:cs="宋体"/>
          <w:kern w:val="2"/>
          <w:sz w:val="30"/>
          <w:szCs w:val="30"/>
        </w:rPr>
        <w:t xml:space="preserve">代表我公司办理一切社会公务事宜，具有法律效力。 </w:t>
      </w:r>
    </w:p>
    <w:p w14:paraId="7EBCB34A">
      <w:pPr>
        <w:keepNext w:val="0"/>
        <w:keepLines w:val="0"/>
        <w:pageBreakBefore w:val="0"/>
        <w:widowControl w:val="0"/>
        <w:kinsoku/>
        <w:wordWrap/>
        <w:overflowPunct/>
        <w:topLinePunct w:val="0"/>
        <w:autoSpaceDE/>
        <w:autoSpaceDN/>
        <w:bidi w:val="0"/>
        <w:snapToGrid/>
        <w:spacing w:line="440" w:lineRule="exact"/>
        <w:ind w:left="239" w:leftChars="114" w:firstLine="600" w:firstLineChars="200"/>
        <w:textAlignment w:val="baseline"/>
        <w:rPr>
          <w:rStyle w:val="33"/>
          <w:rFonts w:hint="eastAsia" w:ascii="宋体" w:hAnsi="宋体" w:eastAsia="宋体" w:cs="宋体"/>
          <w:kern w:val="2"/>
          <w:sz w:val="30"/>
          <w:szCs w:val="30"/>
        </w:rPr>
      </w:pPr>
      <w:r>
        <w:rPr>
          <w:rStyle w:val="33"/>
          <w:rFonts w:hint="eastAsia" w:ascii="宋体" w:hAnsi="宋体" w:eastAsia="宋体" w:cs="宋体"/>
          <w:kern w:val="2"/>
          <w:sz w:val="30"/>
          <w:szCs w:val="30"/>
        </w:rPr>
        <w:t>特此证明。</w:t>
      </w:r>
    </w:p>
    <w:p w14:paraId="4D5A8B9E">
      <w:pPr>
        <w:keepNext w:val="0"/>
        <w:keepLines w:val="0"/>
        <w:pageBreakBefore w:val="0"/>
        <w:kinsoku/>
        <w:wordWrap/>
        <w:overflowPunct/>
        <w:topLinePunct w:val="0"/>
        <w:autoSpaceDE/>
        <w:autoSpaceDN/>
        <w:bidi w:val="0"/>
        <w:snapToGrid/>
        <w:spacing w:line="440" w:lineRule="exact"/>
        <w:jc w:val="center"/>
        <w:textAlignment w:val="baseline"/>
        <w:outlineLvl w:val="1"/>
        <w:rPr>
          <w:rStyle w:val="33"/>
          <w:rFonts w:hint="eastAsia" w:ascii="宋体" w:hAnsi="宋体" w:eastAsia="宋体" w:cs="宋体"/>
          <w:kern w:val="2"/>
          <w:sz w:val="30"/>
          <w:szCs w:val="30"/>
        </w:rPr>
      </w:pPr>
      <w:bookmarkStart w:id="586" w:name="_Toc28469"/>
      <w:bookmarkStart w:id="587" w:name="_Toc9430"/>
      <w:bookmarkStart w:id="588" w:name="_Toc22883"/>
      <w:bookmarkStart w:id="589" w:name="_Toc8183"/>
      <w:r>
        <w:rPr>
          <w:rStyle w:val="33"/>
          <w:rFonts w:hint="eastAsia" w:ascii="宋体" w:hAnsi="宋体" w:eastAsia="宋体" w:cs="宋体"/>
          <w:b/>
          <w:bCs/>
          <w:kern w:val="2"/>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Style w:val="33"/>
          <w:rFonts w:hint="eastAsia" w:ascii="宋体" w:hAnsi="宋体" w:eastAsia="宋体" w:cs="宋体"/>
          <w:b/>
          <w:bCs/>
          <w:kern w:val="2"/>
          <w:sz w:val="30"/>
          <w:szCs w:val="30"/>
        </w:rPr>
        <w:t>身份证复印件</w:t>
      </w:r>
      <w:bookmarkEnd w:id="586"/>
      <w:bookmarkEnd w:id="587"/>
      <w:bookmarkEnd w:id="588"/>
      <w:bookmarkEnd w:id="589"/>
    </w:p>
    <w:tbl>
      <w:tblPr>
        <w:tblStyle w:val="19"/>
        <w:tblpPr w:leftFromText="180" w:rightFromText="180" w:vertAnchor="text" w:horzAnchor="page" w:tblpX="2526" w:tblpY="515"/>
        <w:tblOverlap w:val="never"/>
        <w:tblW w:w="7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4"/>
        <w:gridCol w:w="3495"/>
      </w:tblGrid>
      <w:tr w14:paraId="3E4E1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3764" w:type="dxa"/>
            <w:vAlign w:val="center"/>
          </w:tcPr>
          <w:p w14:paraId="24764B0F">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正面 </w:t>
            </w:r>
          </w:p>
        </w:tc>
        <w:tc>
          <w:tcPr>
            <w:tcW w:w="3495" w:type="dxa"/>
            <w:vAlign w:val="center"/>
          </w:tcPr>
          <w:p w14:paraId="3788DAE0">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背面 </w:t>
            </w:r>
          </w:p>
        </w:tc>
      </w:tr>
    </w:tbl>
    <w:p w14:paraId="45103610">
      <w:pPr>
        <w:pStyle w:val="38"/>
        <w:keepNext w:val="0"/>
        <w:keepLines w:val="0"/>
        <w:pageBreakBefore w:val="0"/>
        <w:widowControl/>
        <w:tabs>
          <w:tab w:val="left" w:pos="5580"/>
        </w:tabs>
        <w:kinsoku/>
        <w:wordWrap/>
        <w:overflowPunct/>
        <w:topLinePunct w:val="0"/>
        <w:autoSpaceDE/>
        <w:autoSpaceDN/>
        <w:bidi w:val="0"/>
        <w:snapToGrid/>
        <w:spacing w:line="440" w:lineRule="exact"/>
        <w:rPr>
          <w:rStyle w:val="33"/>
          <w:rFonts w:hint="eastAsia" w:ascii="宋体" w:hAnsi="宋体" w:eastAsia="宋体" w:cs="宋体"/>
          <w:kern w:val="2"/>
          <w:sz w:val="30"/>
          <w:szCs w:val="30"/>
        </w:rPr>
      </w:pPr>
    </w:p>
    <w:p w14:paraId="1CB9853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61A84D5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0876B5B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10092C4D">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6F0DF3B7">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10A0E45F">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7B639402">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负责人</w:t>
      </w:r>
      <w:r>
        <w:rPr>
          <w:rFonts w:hint="eastAsia" w:ascii="宋体" w:hAnsi="宋体" w:eastAsia="宋体" w:cs="宋体"/>
          <w:sz w:val="30"/>
          <w:szCs w:val="30"/>
          <w:lang w:eastAsia="zh-CN"/>
        </w:rPr>
        <w:t>）</w:t>
      </w:r>
      <w:r>
        <w:rPr>
          <w:rFonts w:hint="eastAsia" w:ascii="宋体" w:hAnsi="宋体" w:eastAsia="宋体" w:cs="宋体"/>
          <w:sz w:val="30"/>
          <w:szCs w:val="30"/>
        </w:rPr>
        <w:t>签字：</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43DC20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 xml:space="preserve">公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章：</w:t>
      </w:r>
    </w:p>
    <w:p w14:paraId="57828B5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u w:val="single"/>
        </w:rPr>
      </w:pPr>
      <w:r>
        <w:rPr>
          <w:rFonts w:hint="eastAsia" w:ascii="宋体" w:hAnsi="宋体" w:eastAsia="宋体" w:cs="宋体"/>
          <w:sz w:val="30"/>
          <w:szCs w:val="30"/>
        </w:rPr>
        <w:t>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052AD2BC">
      <w:pPr>
        <w:pStyle w:val="39"/>
        <w:keepNext w:val="0"/>
        <w:keepLines w:val="0"/>
        <w:pageBreakBefore w:val="0"/>
        <w:kinsoku/>
        <w:wordWrap/>
        <w:overflowPunct/>
        <w:topLinePunct w:val="0"/>
        <w:autoSpaceDE/>
        <w:autoSpaceDN/>
        <w:bidi w:val="0"/>
        <w:snapToGrid/>
        <w:spacing w:line="440" w:lineRule="exact"/>
        <w:ind w:left="0" w:leftChars="0" w:firstLine="0" w:firstLineChars="0"/>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注：被授权人参加采购活动的，可不提供此项证明文件。</w:t>
      </w:r>
    </w:p>
    <w:p w14:paraId="6FEBD956">
      <w:pPr>
        <w:pStyle w:val="24"/>
        <w:rPr>
          <w:rFonts w:hint="eastAsia"/>
          <w:lang w:val="en-US" w:eastAsia="zh-CN"/>
        </w:rPr>
      </w:pPr>
    </w:p>
    <w:p w14:paraId="35472A8A">
      <w:pPr>
        <w:pStyle w:val="25"/>
        <w:rPr>
          <w:rFonts w:hint="eastAsia"/>
          <w:lang w:val="en-US" w:eastAsia="zh-CN"/>
        </w:rPr>
      </w:pPr>
    </w:p>
    <w:p w14:paraId="23C1E181">
      <w:pPr>
        <w:rPr>
          <w:rFonts w:hint="eastAsia"/>
          <w:lang w:val="en-US" w:eastAsia="zh-CN"/>
        </w:rPr>
      </w:pPr>
    </w:p>
    <w:p w14:paraId="2C52DEC9">
      <w:pPr>
        <w:pStyle w:val="24"/>
        <w:rPr>
          <w:rFonts w:hint="eastAsia"/>
          <w:lang w:val="en-US" w:eastAsia="zh-CN"/>
        </w:rPr>
      </w:pPr>
    </w:p>
    <w:p w14:paraId="5FCBBA47">
      <w:pPr>
        <w:pStyle w:val="25"/>
        <w:rPr>
          <w:rFonts w:hint="eastAsia"/>
          <w:lang w:val="en-US" w:eastAsia="zh-CN"/>
        </w:rPr>
      </w:pPr>
    </w:p>
    <w:p w14:paraId="33716119">
      <w:pPr>
        <w:rPr>
          <w:rFonts w:hint="eastAsia"/>
          <w:lang w:val="en-US" w:eastAsia="zh-CN"/>
        </w:rPr>
      </w:pPr>
    </w:p>
    <w:p w14:paraId="0C74B7B0">
      <w:pPr>
        <w:pStyle w:val="24"/>
        <w:rPr>
          <w:rFonts w:hint="eastAsia"/>
          <w:lang w:val="en-US" w:eastAsia="zh-CN"/>
        </w:rPr>
      </w:pPr>
    </w:p>
    <w:p w14:paraId="33E61E5B">
      <w:pPr>
        <w:pStyle w:val="25"/>
        <w:rPr>
          <w:rFonts w:hint="eastAsia"/>
          <w:lang w:val="en-US" w:eastAsia="zh-CN"/>
        </w:rPr>
      </w:pPr>
    </w:p>
    <w:p w14:paraId="269DAB0A">
      <w:pPr>
        <w:rPr>
          <w:rFonts w:hint="eastAsia"/>
          <w:lang w:val="en-US" w:eastAsia="zh-CN"/>
        </w:rPr>
      </w:pPr>
    </w:p>
    <w:p w14:paraId="52C5C070">
      <w:pPr>
        <w:pStyle w:val="24"/>
        <w:rPr>
          <w:rFonts w:hint="eastAsia"/>
          <w:lang w:val="en-US" w:eastAsia="zh-CN"/>
        </w:rPr>
      </w:pPr>
    </w:p>
    <w:p w14:paraId="0B7297F5">
      <w:pPr>
        <w:pStyle w:val="25"/>
        <w:rPr>
          <w:rFonts w:hint="eastAsia"/>
          <w:lang w:val="en-US" w:eastAsia="zh-CN"/>
        </w:rPr>
      </w:pPr>
    </w:p>
    <w:p w14:paraId="3B2F4377">
      <w:pPr>
        <w:rPr>
          <w:rFonts w:hint="eastAsia"/>
          <w:lang w:val="en-US" w:eastAsia="zh-CN"/>
        </w:rPr>
      </w:pPr>
    </w:p>
    <w:p w14:paraId="228DFA70">
      <w:pPr>
        <w:pStyle w:val="24"/>
        <w:rPr>
          <w:rFonts w:hint="eastAsia"/>
          <w:lang w:val="en-US" w:eastAsia="zh-CN"/>
        </w:rPr>
      </w:pPr>
    </w:p>
    <w:p w14:paraId="3B4358D9">
      <w:pPr>
        <w:pStyle w:val="25"/>
        <w:rPr>
          <w:rFonts w:hint="eastAsia"/>
          <w:lang w:val="en-US" w:eastAsia="zh-CN"/>
        </w:rPr>
      </w:pPr>
    </w:p>
    <w:p w14:paraId="185FE53A">
      <w:pPr>
        <w:rPr>
          <w:rFonts w:hint="eastAsia"/>
          <w:lang w:val="en-US" w:eastAsia="zh-CN"/>
        </w:rPr>
      </w:pPr>
    </w:p>
    <w:p w14:paraId="7ED5AB29">
      <w:pPr>
        <w:pStyle w:val="24"/>
        <w:rPr>
          <w:rFonts w:hint="eastAsia"/>
          <w:lang w:val="en-US" w:eastAsia="zh-CN"/>
        </w:rPr>
      </w:pPr>
    </w:p>
    <w:p w14:paraId="28A2B5E2">
      <w:pPr>
        <w:pStyle w:val="25"/>
        <w:rPr>
          <w:rFonts w:hint="eastAsia"/>
          <w:lang w:val="en-US" w:eastAsia="zh-CN"/>
        </w:rPr>
      </w:pPr>
    </w:p>
    <w:p w14:paraId="2A1F89A3">
      <w:pPr>
        <w:rPr>
          <w:rFonts w:hint="eastAsia"/>
          <w:lang w:val="en-US" w:eastAsia="zh-CN"/>
        </w:rPr>
      </w:pPr>
    </w:p>
    <w:p w14:paraId="09C12F63">
      <w:pPr>
        <w:pStyle w:val="24"/>
        <w:rPr>
          <w:rFonts w:hint="eastAsia"/>
          <w:lang w:val="en-US" w:eastAsia="zh-CN"/>
        </w:rPr>
      </w:pPr>
    </w:p>
    <w:p w14:paraId="2F2BC5CD">
      <w:pPr>
        <w:pStyle w:val="25"/>
        <w:rPr>
          <w:rFonts w:hint="eastAsia"/>
          <w:lang w:val="en-US" w:eastAsia="zh-CN"/>
        </w:rPr>
      </w:pPr>
    </w:p>
    <w:p w14:paraId="5D8405C0">
      <w:pPr>
        <w:rPr>
          <w:rFonts w:hint="eastAsia"/>
          <w:lang w:val="en-US" w:eastAsia="zh-CN"/>
        </w:rPr>
      </w:pPr>
    </w:p>
    <w:p w14:paraId="344755EE">
      <w:pPr>
        <w:pStyle w:val="24"/>
        <w:rPr>
          <w:rFonts w:hint="eastAsia"/>
          <w:lang w:val="en-US" w:eastAsia="zh-CN"/>
        </w:rPr>
      </w:pPr>
    </w:p>
    <w:p w14:paraId="11BBC2AB">
      <w:pPr>
        <w:pStyle w:val="25"/>
        <w:rPr>
          <w:rFonts w:hint="eastAsia"/>
          <w:lang w:val="en-US" w:eastAsia="zh-CN"/>
        </w:rPr>
      </w:pPr>
    </w:p>
    <w:p w14:paraId="7CE6EEEE">
      <w:pPr>
        <w:rPr>
          <w:rFonts w:hint="eastAsia"/>
          <w:lang w:val="en-US" w:eastAsia="zh-CN"/>
        </w:rPr>
      </w:pPr>
    </w:p>
    <w:p w14:paraId="4338ADC9">
      <w:pPr>
        <w:pStyle w:val="24"/>
        <w:rPr>
          <w:rFonts w:hint="eastAsia"/>
          <w:lang w:val="en-US" w:eastAsia="zh-CN"/>
        </w:rPr>
      </w:pPr>
    </w:p>
    <w:p w14:paraId="771FBA5E">
      <w:pPr>
        <w:pStyle w:val="25"/>
        <w:rPr>
          <w:rFonts w:hint="eastAsia"/>
          <w:lang w:val="en-US" w:eastAsia="zh-CN"/>
        </w:rPr>
      </w:pPr>
    </w:p>
    <w:p w14:paraId="098A9908">
      <w:pPr>
        <w:rPr>
          <w:rFonts w:hint="eastAsia"/>
          <w:lang w:val="en-US" w:eastAsia="zh-CN"/>
        </w:rPr>
      </w:pPr>
    </w:p>
    <w:p w14:paraId="09382B29">
      <w:pPr>
        <w:pStyle w:val="24"/>
        <w:rPr>
          <w:rFonts w:hint="eastAsia"/>
          <w:lang w:val="en-US" w:eastAsia="zh-CN"/>
        </w:rPr>
      </w:pPr>
    </w:p>
    <w:p w14:paraId="464D9985">
      <w:pPr>
        <w:spacing w:before="104" w:line="220" w:lineRule="auto"/>
        <w:ind w:left="3192"/>
        <w:rPr>
          <w:rFonts w:hint="eastAsia" w:ascii="宋体" w:hAnsi="宋体" w:eastAsia="宋体" w:cs="宋体"/>
          <w:sz w:val="30"/>
          <w:szCs w:val="30"/>
        </w:rPr>
      </w:pPr>
      <w:r>
        <w:rPr>
          <w:rFonts w:hint="eastAsia" w:ascii="宋体" w:hAnsi="宋体" w:eastAsia="宋体" w:cs="宋体"/>
          <w:b/>
          <w:bCs/>
          <w:spacing w:val="-11"/>
          <w:sz w:val="30"/>
          <w:szCs w:val="30"/>
          <w:lang w:val="en-US" w:eastAsia="zh-CN"/>
        </w:rPr>
        <w:t>4.</w:t>
      </w:r>
      <w:r>
        <w:rPr>
          <w:rFonts w:hint="eastAsia" w:ascii="宋体" w:hAnsi="宋体" w:eastAsia="宋体" w:cs="宋体"/>
          <w:b/>
          <w:bCs/>
          <w:spacing w:val="-11"/>
          <w:sz w:val="30"/>
          <w:szCs w:val="30"/>
        </w:rPr>
        <w:t>开标一览表</w:t>
      </w:r>
    </w:p>
    <w:p w14:paraId="1F956D97">
      <w:pPr>
        <w:pStyle w:val="9"/>
        <w:spacing w:line="316" w:lineRule="auto"/>
        <w:rPr>
          <w:rFonts w:hint="eastAsia" w:ascii="宋体" w:hAnsi="宋体" w:eastAsia="宋体" w:cs="宋体"/>
          <w:sz w:val="30"/>
          <w:szCs w:val="30"/>
        </w:rPr>
      </w:pPr>
    </w:p>
    <w:p w14:paraId="63312F94">
      <w:pPr>
        <w:pStyle w:val="9"/>
        <w:spacing w:line="316" w:lineRule="auto"/>
        <w:rPr>
          <w:rFonts w:hint="eastAsia" w:ascii="宋体" w:hAnsi="宋体" w:eastAsia="宋体" w:cs="宋体"/>
          <w:sz w:val="30"/>
          <w:szCs w:val="30"/>
        </w:rPr>
      </w:pPr>
    </w:p>
    <w:p w14:paraId="37270706">
      <w:pPr>
        <w:spacing w:before="78" w:line="343" w:lineRule="auto"/>
        <w:ind w:left="126" w:right="4644"/>
        <w:jc w:val="left"/>
        <w:rPr>
          <w:rFonts w:hint="eastAsia" w:ascii="宋体" w:hAnsi="宋体" w:eastAsia="宋体" w:cs="宋体"/>
          <w:sz w:val="30"/>
          <w:szCs w:val="30"/>
        </w:rPr>
      </w:pPr>
      <w:r>
        <w:rPr>
          <w:rFonts w:hint="eastAsia" w:ascii="宋体" w:hAnsi="宋体" w:eastAsia="宋体" w:cs="宋体"/>
          <w:spacing w:val="-3"/>
          <w:sz w:val="30"/>
          <w:szCs w:val="30"/>
        </w:rPr>
        <w:t>项目名称</w:t>
      </w:r>
      <w:r>
        <w:rPr>
          <w:rFonts w:hint="eastAsia" w:ascii="宋体" w:hAnsi="宋体" w:eastAsia="宋体" w:cs="宋体"/>
          <w:spacing w:val="-3"/>
          <w:sz w:val="30"/>
          <w:szCs w:val="30"/>
          <w:lang w:val="en-US" w:eastAsia="zh-CN"/>
        </w:rPr>
        <w:t>及项目编号</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r>
        <w:rPr>
          <w:rFonts w:hint="eastAsia" w:ascii="宋体" w:hAnsi="宋体" w:eastAsia="宋体" w:cs="宋体"/>
          <w:spacing w:val="-3"/>
          <w:sz w:val="30"/>
          <w:szCs w:val="30"/>
          <w:u w:val="single" w:color="auto"/>
          <w:lang w:val="en-US" w:eastAsia="zh-CN"/>
        </w:rPr>
        <w:t xml:space="preserve">         </w:t>
      </w:r>
      <w:r>
        <w:rPr>
          <w:rFonts w:hint="eastAsia" w:ascii="宋体" w:hAnsi="宋体" w:eastAsia="宋体" w:cs="宋体"/>
          <w:spacing w:val="-3"/>
          <w:sz w:val="30"/>
          <w:szCs w:val="30"/>
          <w:u w:val="single" w:color="auto"/>
        </w:rPr>
        <w:t xml:space="preserve">                 </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lang w:val="en-US" w:eastAsia="zh-CN"/>
        </w:rPr>
        <w:t>标项名称</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p>
    <w:p w14:paraId="5A6BCFC6">
      <w:pPr>
        <w:spacing w:line="42" w:lineRule="auto"/>
        <w:rPr>
          <w:rFonts w:hint="eastAsia" w:ascii="宋体" w:hAnsi="宋体" w:eastAsia="宋体" w:cs="宋体"/>
          <w:sz w:val="30"/>
          <w:szCs w:val="30"/>
        </w:rPr>
      </w:pPr>
    </w:p>
    <w:tbl>
      <w:tblPr>
        <w:tblStyle w:val="31"/>
        <w:tblW w:w="8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3360"/>
        <w:gridCol w:w="2100"/>
        <w:gridCol w:w="1876"/>
      </w:tblGrid>
      <w:tr w14:paraId="3926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190" w:type="dxa"/>
            <w:vAlign w:val="top"/>
          </w:tcPr>
          <w:p w14:paraId="594EB4B3">
            <w:pPr>
              <w:pStyle w:val="30"/>
              <w:spacing w:before="213" w:line="221" w:lineRule="auto"/>
              <w:ind w:left="469"/>
              <w:rPr>
                <w:rFonts w:hint="eastAsia" w:ascii="宋体" w:hAnsi="宋体" w:eastAsia="宋体" w:cs="宋体"/>
                <w:sz w:val="30"/>
                <w:szCs w:val="30"/>
              </w:rPr>
            </w:pPr>
            <w:r>
              <w:rPr>
                <w:rFonts w:hint="eastAsia" w:ascii="宋体" w:hAnsi="宋体" w:eastAsia="宋体" w:cs="宋体"/>
                <w:spacing w:val="-5"/>
                <w:sz w:val="30"/>
                <w:szCs w:val="30"/>
              </w:rPr>
              <w:t>序号</w:t>
            </w:r>
          </w:p>
        </w:tc>
        <w:tc>
          <w:tcPr>
            <w:tcW w:w="3360" w:type="dxa"/>
            <w:vAlign w:val="top"/>
          </w:tcPr>
          <w:p w14:paraId="5E27D80F">
            <w:pPr>
              <w:pStyle w:val="30"/>
              <w:spacing w:before="212" w:line="220" w:lineRule="auto"/>
              <w:ind w:left="8"/>
              <w:rPr>
                <w:rFonts w:hint="eastAsia" w:ascii="宋体" w:hAnsi="宋体" w:eastAsia="宋体" w:cs="宋体"/>
                <w:sz w:val="30"/>
                <w:szCs w:val="30"/>
              </w:rPr>
            </w:pPr>
            <w:r>
              <w:rPr>
                <w:rFonts w:hint="eastAsia" w:ascii="宋体" w:hAnsi="宋体" w:eastAsia="宋体" w:cs="宋体"/>
                <w:spacing w:val="-6"/>
                <w:sz w:val="30"/>
                <w:szCs w:val="30"/>
              </w:rPr>
              <w:t>餐饮服务费支付比例</w:t>
            </w:r>
            <w:r>
              <w:rPr>
                <w:rFonts w:hint="eastAsia" w:ascii="宋体" w:hAnsi="宋体" w:eastAsia="宋体" w:cs="宋体"/>
                <w:spacing w:val="-7"/>
                <w:sz w:val="30"/>
                <w:szCs w:val="30"/>
              </w:rPr>
              <w:t>（%）</w:t>
            </w:r>
            <w:r>
              <w:rPr>
                <w:rFonts w:hint="eastAsia" w:ascii="宋体" w:hAnsi="宋体" w:eastAsia="宋体" w:cs="宋体"/>
                <w:spacing w:val="-6"/>
                <w:sz w:val="30"/>
                <w:szCs w:val="30"/>
              </w:rPr>
              <w:t>：</w:t>
            </w:r>
          </w:p>
          <w:p w14:paraId="146C65AC">
            <w:pPr>
              <w:pStyle w:val="30"/>
              <w:spacing w:before="202" w:line="203" w:lineRule="auto"/>
              <w:rPr>
                <w:rFonts w:hint="eastAsia" w:ascii="宋体" w:hAnsi="宋体" w:eastAsia="宋体" w:cs="宋体"/>
                <w:sz w:val="30"/>
                <w:szCs w:val="30"/>
              </w:rPr>
            </w:pPr>
          </w:p>
        </w:tc>
        <w:tc>
          <w:tcPr>
            <w:tcW w:w="2100" w:type="dxa"/>
            <w:vAlign w:val="top"/>
          </w:tcPr>
          <w:p w14:paraId="100D8AF5">
            <w:pPr>
              <w:pStyle w:val="30"/>
              <w:spacing w:before="212" w:line="220" w:lineRule="auto"/>
              <w:ind w:firstLine="576" w:firstLineChars="200"/>
              <w:rPr>
                <w:rFonts w:hint="eastAsia" w:ascii="宋体" w:hAnsi="宋体" w:eastAsia="宋体" w:cs="宋体"/>
                <w:sz w:val="30"/>
                <w:szCs w:val="30"/>
              </w:rPr>
            </w:pPr>
            <w:r>
              <w:rPr>
                <w:rFonts w:hint="eastAsia" w:ascii="宋体" w:hAnsi="宋体" w:eastAsia="宋体" w:cs="宋体"/>
                <w:spacing w:val="-6"/>
                <w:sz w:val="30"/>
                <w:szCs w:val="30"/>
              </w:rPr>
              <w:t>服务期限</w:t>
            </w:r>
          </w:p>
        </w:tc>
        <w:tc>
          <w:tcPr>
            <w:tcW w:w="1876" w:type="dxa"/>
            <w:vAlign w:val="top"/>
          </w:tcPr>
          <w:p w14:paraId="412C7616">
            <w:pPr>
              <w:pStyle w:val="30"/>
              <w:spacing w:before="213" w:line="220" w:lineRule="auto"/>
              <w:jc w:val="left"/>
              <w:rPr>
                <w:rFonts w:hint="eastAsia" w:ascii="宋体" w:hAnsi="宋体" w:eastAsia="宋体" w:cs="宋体"/>
                <w:sz w:val="30"/>
                <w:szCs w:val="30"/>
              </w:rPr>
            </w:pPr>
            <w:r>
              <w:rPr>
                <w:rFonts w:hint="eastAsia" w:ascii="宋体" w:hAnsi="宋体" w:eastAsia="宋体" w:cs="宋体"/>
                <w:spacing w:val="-4"/>
                <w:sz w:val="30"/>
                <w:szCs w:val="30"/>
              </w:rPr>
              <w:t>备注（如有）</w:t>
            </w:r>
          </w:p>
        </w:tc>
      </w:tr>
      <w:tr w14:paraId="2B21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190" w:type="dxa"/>
            <w:vAlign w:val="top"/>
          </w:tcPr>
          <w:p w14:paraId="59C039F8">
            <w:pPr>
              <w:rPr>
                <w:rFonts w:hint="eastAsia" w:ascii="宋体" w:hAnsi="宋体" w:eastAsia="宋体" w:cs="宋体"/>
                <w:sz w:val="30"/>
                <w:szCs w:val="30"/>
              </w:rPr>
            </w:pPr>
          </w:p>
        </w:tc>
        <w:tc>
          <w:tcPr>
            <w:tcW w:w="3360" w:type="dxa"/>
            <w:vAlign w:val="top"/>
          </w:tcPr>
          <w:p w14:paraId="754B2077">
            <w:pPr>
              <w:pStyle w:val="30"/>
              <w:spacing w:before="206" w:line="351" w:lineRule="auto"/>
              <w:ind w:left="115" w:right="2004" w:firstLine="3"/>
              <w:rPr>
                <w:rFonts w:hint="eastAsia" w:ascii="宋体" w:hAnsi="宋体" w:eastAsia="宋体" w:cs="宋体"/>
                <w:spacing w:val="1"/>
                <w:sz w:val="30"/>
                <w:szCs w:val="30"/>
              </w:rPr>
            </w:pPr>
            <w:r>
              <w:rPr>
                <w:rFonts w:hint="eastAsia" w:ascii="宋体" w:hAnsi="宋体" w:eastAsia="宋体" w:cs="宋体"/>
                <w:spacing w:val="-30"/>
                <w:sz w:val="30"/>
                <w:szCs w:val="30"/>
              </w:rPr>
              <w:t>小写：</w:t>
            </w:r>
            <w:r>
              <w:rPr>
                <w:rFonts w:hint="eastAsia" w:ascii="宋体" w:hAnsi="宋体" w:eastAsia="宋体" w:cs="宋体"/>
                <w:spacing w:val="1"/>
                <w:sz w:val="30"/>
                <w:szCs w:val="30"/>
              </w:rPr>
              <w:t xml:space="preserve"> </w:t>
            </w:r>
          </w:p>
          <w:p w14:paraId="36E46A24">
            <w:pPr>
              <w:pStyle w:val="30"/>
              <w:spacing w:before="206" w:line="351" w:lineRule="auto"/>
              <w:ind w:left="115" w:right="2004" w:firstLine="3"/>
              <w:rPr>
                <w:rFonts w:hint="eastAsia" w:ascii="宋体" w:hAnsi="宋体" w:eastAsia="宋体" w:cs="宋体"/>
                <w:sz w:val="30"/>
                <w:szCs w:val="30"/>
              </w:rPr>
            </w:pPr>
            <w:r>
              <w:rPr>
                <w:rFonts w:hint="eastAsia" w:ascii="宋体" w:hAnsi="宋体" w:eastAsia="宋体" w:cs="宋体"/>
                <w:spacing w:val="-28"/>
                <w:sz w:val="30"/>
                <w:szCs w:val="30"/>
              </w:rPr>
              <w:t>大写：</w:t>
            </w:r>
          </w:p>
        </w:tc>
        <w:tc>
          <w:tcPr>
            <w:tcW w:w="2100" w:type="dxa"/>
            <w:vAlign w:val="top"/>
          </w:tcPr>
          <w:p w14:paraId="0FA54059">
            <w:pPr>
              <w:rPr>
                <w:rFonts w:hint="eastAsia" w:ascii="宋体" w:hAnsi="宋体" w:eastAsia="宋体" w:cs="宋体"/>
                <w:sz w:val="30"/>
                <w:szCs w:val="30"/>
              </w:rPr>
            </w:pPr>
          </w:p>
        </w:tc>
        <w:tc>
          <w:tcPr>
            <w:tcW w:w="1876" w:type="dxa"/>
            <w:vAlign w:val="top"/>
          </w:tcPr>
          <w:p w14:paraId="1134BA71">
            <w:pPr>
              <w:rPr>
                <w:rFonts w:hint="eastAsia" w:ascii="宋体" w:hAnsi="宋体" w:eastAsia="宋体" w:cs="宋体"/>
                <w:sz w:val="30"/>
                <w:szCs w:val="30"/>
              </w:rPr>
            </w:pPr>
          </w:p>
        </w:tc>
      </w:tr>
    </w:tbl>
    <w:p w14:paraId="72300651">
      <w:pPr>
        <w:pStyle w:val="9"/>
        <w:spacing w:line="298" w:lineRule="auto"/>
        <w:rPr>
          <w:rFonts w:hint="eastAsia" w:ascii="宋体" w:hAnsi="宋体" w:eastAsia="宋体" w:cs="宋体"/>
          <w:sz w:val="30"/>
          <w:szCs w:val="30"/>
        </w:rPr>
      </w:pPr>
    </w:p>
    <w:p w14:paraId="60DD55ED">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val="0"/>
          <w:bCs w:val="0"/>
          <w:color w:val="000000"/>
          <w:kern w:val="0"/>
          <w:sz w:val="30"/>
          <w:szCs w:val="30"/>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 xml:space="preserve">法定代表人（负责人）或被授权人（签字或签章）: </w:t>
      </w:r>
      <w:r>
        <w:rPr>
          <w:rFonts w:hint="eastAsia" w:ascii="宋体" w:hAnsi="宋体" w:eastAsia="宋体" w:cs="宋体"/>
          <w:b w:val="0"/>
          <w:bCs w:val="0"/>
          <w:color w:val="000000"/>
          <w:kern w:val="0"/>
          <w:sz w:val="30"/>
          <w:szCs w:val="30"/>
          <w:highlight w:val="none"/>
          <w:lang w:val="en-US" w:eastAsia="zh-CN" w:bidi="ar-SA"/>
        </w:rPr>
        <w:tab/>
      </w:r>
      <w:r>
        <w:rPr>
          <w:rFonts w:hint="eastAsia" w:ascii="宋体" w:hAnsi="宋体" w:eastAsia="宋体" w:cs="宋体"/>
          <w:b w:val="0"/>
          <w:bCs w:val="0"/>
          <w:color w:val="000000"/>
          <w:kern w:val="0"/>
          <w:sz w:val="30"/>
          <w:szCs w:val="30"/>
          <w:highlight w:val="none"/>
          <w:lang w:val="en-US" w:eastAsia="zh-CN" w:bidi="ar-SA"/>
        </w:rPr>
        <w:t xml:space="preserve">                 </w:t>
      </w:r>
    </w:p>
    <w:p w14:paraId="3EE64D38">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投标人</w:t>
      </w:r>
      <w:r>
        <w:rPr>
          <w:rFonts w:hint="eastAsia" w:ascii="宋体" w:hAnsi="宋体" w:eastAsia="宋体" w:cs="宋体"/>
          <w:b w:val="0"/>
          <w:bCs w:val="0"/>
          <w:sz w:val="30"/>
          <w:szCs w:val="30"/>
        </w:rPr>
        <w:t>名称</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u w:val="single"/>
        </w:rPr>
        <w:t xml:space="preserve">                       </w:t>
      </w:r>
    </w:p>
    <w:p w14:paraId="203A574B">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 xml:space="preserve">公      </w:t>
      </w:r>
      <w:r>
        <w:rPr>
          <w:rFonts w:hint="eastAsia" w:ascii="宋体" w:hAnsi="宋体" w:eastAsia="宋体" w:cs="宋体"/>
          <w:b w:val="0"/>
          <w:bCs w:val="0"/>
          <w:sz w:val="30"/>
          <w:szCs w:val="30"/>
        </w:rPr>
        <w:t>章：</w:t>
      </w:r>
      <w:r>
        <w:rPr>
          <w:rFonts w:hint="eastAsia" w:ascii="宋体" w:hAnsi="宋体" w:eastAsia="宋体" w:cs="宋体"/>
          <w:b w:val="0"/>
          <w:bCs w:val="0"/>
          <w:sz w:val="30"/>
          <w:szCs w:val="30"/>
          <w:u w:val="single"/>
        </w:rPr>
        <w:t xml:space="preserve">                       </w:t>
      </w:r>
    </w:p>
    <w:p w14:paraId="27B37B9D">
      <w:pPr>
        <w:pStyle w:val="13"/>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日期：20　　年　　月　　日</w:t>
      </w:r>
    </w:p>
    <w:p w14:paraId="42B4BE04">
      <w:pPr>
        <w:pStyle w:val="9"/>
        <w:spacing w:line="247" w:lineRule="auto"/>
        <w:rPr>
          <w:rFonts w:hint="eastAsia" w:ascii="宋体" w:hAnsi="宋体" w:eastAsia="宋体" w:cs="宋体"/>
          <w:sz w:val="30"/>
          <w:szCs w:val="30"/>
        </w:rPr>
      </w:pPr>
    </w:p>
    <w:p w14:paraId="12C3FAB9">
      <w:pPr>
        <w:pStyle w:val="9"/>
        <w:spacing w:line="247" w:lineRule="auto"/>
        <w:rPr>
          <w:rFonts w:hint="eastAsia" w:ascii="宋体" w:hAnsi="宋体" w:eastAsia="宋体" w:cs="宋体"/>
          <w:sz w:val="30"/>
          <w:szCs w:val="30"/>
        </w:rPr>
      </w:pPr>
    </w:p>
    <w:p w14:paraId="03F0AD73">
      <w:pPr>
        <w:pStyle w:val="9"/>
        <w:spacing w:line="247" w:lineRule="auto"/>
        <w:rPr>
          <w:rFonts w:hint="eastAsia" w:ascii="宋体" w:hAnsi="宋体" w:eastAsia="宋体" w:cs="宋体"/>
          <w:sz w:val="30"/>
          <w:szCs w:val="30"/>
        </w:rPr>
      </w:pPr>
    </w:p>
    <w:p w14:paraId="0F4B366B">
      <w:pPr>
        <w:pStyle w:val="9"/>
        <w:spacing w:line="247" w:lineRule="auto"/>
        <w:rPr>
          <w:rFonts w:hint="eastAsia" w:ascii="宋体" w:hAnsi="宋体" w:eastAsia="宋体" w:cs="宋体"/>
          <w:sz w:val="30"/>
          <w:szCs w:val="30"/>
        </w:rPr>
      </w:pPr>
    </w:p>
    <w:p w14:paraId="72AA2804">
      <w:pPr>
        <w:pStyle w:val="9"/>
        <w:spacing w:line="247" w:lineRule="auto"/>
        <w:rPr>
          <w:rFonts w:hint="eastAsia" w:ascii="宋体" w:hAnsi="宋体" w:eastAsia="宋体" w:cs="宋体"/>
          <w:sz w:val="30"/>
          <w:szCs w:val="30"/>
        </w:rPr>
      </w:pPr>
    </w:p>
    <w:p w14:paraId="3826CAE2">
      <w:pPr>
        <w:pStyle w:val="9"/>
        <w:spacing w:line="247" w:lineRule="auto"/>
        <w:rPr>
          <w:rFonts w:hint="eastAsia" w:ascii="宋体" w:hAnsi="宋体" w:eastAsia="宋体" w:cs="宋体"/>
          <w:sz w:val="30"/>
          <w:szCs w:val="30"/>
        </w:rPr>
      </w:pPr>
    </w:p>
    <w:p w14:paraId="6486E23A">
      <w:pPr>
        <w:pStyle w:val="9"/>
        <w:spacing w:line="248" w:lineRule="auto"/>
        <w:rPr>
          <w:rFonts w:hint="eastAsia" w:ascii="宋体" w:hAnsi="宋体" w:eastAsia="宋体" w:cs="宋体"/>
          <w:sz w:val="30"/>
          <w:szCs w:val="30"/>
        </w:rPr>
      </w:pPr>
    </w:p>
    <w:p w14:paraId="175F4E07">
      <w:pPr>
        <w:spacing w:before="69" w:line="224" w:lineRule="auto"/>
        <w:ind w:left="121"/>
        <w:rPr>
          <w:rFonts w:hint="eastAsia" w:ascii="宋体" w:hAnsi="宋体" w:eastAsia="宋体" w:cs="宋体"/>
          <w:sz w:val="30"/>
          <w:szCs w:val="30"/>
        </w:rPr>
      </w:pPr>
      <w:r>
        <w:rPr>
          <w:rFonts w:hint="eastAsia" w:ascii="宋体" w:hAnsi="宋体" w:eastAsia="宋体" w:cs="宋体"/>
          <w:b/>
          <w:bCs/>
          <w:spacing w:val="-7"/>
          <w:sz w:val="30"/>
          <w:szCs w:val="30"/>
        </w:rPr>
        <w:t>注：</w:t>
      </w:r>
    </w:p>
    <w:p w14:paraId="5431CF88">
      <w:pPr>
        <w:spacing w:before="152" w:line="220" w:lineRule="auto"/>
        <w:ind w:left="568"/>
        <w:jc w:val="left"/>
        <w:rPr>
          <w:rFonts w:hint="eastAsia" w:ascii="宋体" w:hAnsi="宋体" w:eastAsia="宋体" w:cs="宋体"/>
          <w:sz w:val="30"/>
          <w:szCs w:val="30"/>
        </w:rPr>
      </w:pPr>
      <w:r>
        <w:rPr>
          <w:rFonts w:hint="eastAsia" w:ascii="宋体" w:hAnsi="宋体" w:eastAsia="宋体" w:cs="宋体"/>
          <w:spacing w:val="-5"/>
          <w:sz w:val="30"/>
          <w:szCs w:val="30"/>
        </w:rPr>
        <w:t>1.此表用于开标唱标之用。</w:t>
      </w:r>
    </w:p>
    <w:p w14:paraId="2583816B">
      <w:pPr>
        <w:spacing w:before="157" w:line="289" w:lineRule="auto"/>
        <w:ind w:right="660" w:firstLine="536" w:firstLineChars="200"/>
        <w:jc w:val="left"/>
        <w:rPr>
          <w:rFonts w:hint="eastAsia" w:ascii="宋体" w:hAnsi="宋体" w:eastAsia="宋体" w:cs="宋体"/>
          <w:sz w:val="30"/>
          <w:szCs w:val="30"/>
        </w:rPr>
      </w:pPr>
      <w:r>
        <w:rPr>
          <w:rFonts w:hint="eastAsia" w:ascii="宋体" w:hAnsi="宋体" w:eastAsia="宋体" w:cs="宋体"/>
          <w:spacing w:val="-16"/>
          <w:sz w:val="30"/>
          <w:szCs w:val="30"/>
        </w:rPr>
        <w:t>2.表中投标报价即为优惠后报价，并作为评审及</w:t>
      </w:r>
      <w:r>
        <w:rPr>
          <w:rFonts w:hint="eastAsia" w:ascii="宋体" w:hAnsi="宋体" w:eastAsia="宋体" w:cs="宋体"/>
          <w:spacing w:val="-17"/>
          <w:sz w:val="30"/>
          <w:szCs w:val="30"/>
        </w:rPr>
        <w:t>定标依据。任何有选择或有条件的投标</w:t>
      </w:r>
      <w:r>
        <w:rPr>
          <w:rFonts w:hint="eastAsia" w:ascii="宋体" w:hAnsi="宋体" w:eastAsia="宋体" w:cs="宋体"/>
          <w:spacing w:val="-4"/>
          <w:sz w:val="30"/>
          <w:szCs w:val="30"/>
        </w:rPr>
        <w:t>报价，或者表中某一包填写多个报价，均为无效报价。</w:t>
      </w:r>
    </w:p>
    <w:p w14:paraId="1EB594CB">
      <w:pPr>
        <w:spacing w:before="157" w:line="220" w:lineRule="auto"/>
        <w:ind w:left="545"/>
        <w:rPr>
          <w:rFonts w:ascii="宋体" w:hAnsi="宋体" w:eastAsia="宋体" w:cs="宋体"/>
          <w:sz w:val="21"/>
          <w:szCs w:val="21"/>
        </w:rPr>
      </w:pPr>
      <w:r>
        <w:rPr>
          <w:rFonts w:hint="eastAsia" w:ascii="宋体" w:hAnsi="宋体" w:eastAsia="宋体" w:cs="宋体"/>
          <w:spacing w:val="-5"/>
          <w:sz w:val="30"/>
          <w:szCs w:val="30"/>
        </w:rPr>
        <w:t>3.表中大写与小写不一致的，以大写为准。</w:t>
      </w:r>
    </w:p>
    <w:p w14:paraId="20B8BA0F">
      <w:pPr>
        <w:spacing w:line="220" w:lineRule="auto"/>
        <w:rPr>
          <w:rFonts w:ascii="宋体" w:hAnsi="宋体" w:eastAsia="宋体" w:cs="宋体"/>
          <w:sz w:val="21"/>
          <w:szCs w:val="21"/>
        </w:rPr>
        <w:sectPr>
          <w:headerReference r:id="rId3" w:type="default"/>
          <w:footerReference r:id="rId4" w:type="default"/>
          <w:pgSz w:w="11910" w:h="16840"/>
          <w:pgMar w:top="400" w:right="1689" w:bottom="1021" w:left="1683" w:header="0" w:footer="844" w:gutter="0"/>
          <w:pgNumType w:fmt="decimal"/>
          <w:cols w:space="720" w:num="1"/>
        </w:sectPr>
      </w:pPr>
    </w:p>
    <w:p w14:paraId="27AF2098">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bookmarkStart w:id="590" w:name="_Toc16018"/>
      <w:bookmarkStart w:id="591" w:name="_Toc8626"/>
      <w:bookmarkStart w:id="592" w:name="_Toc20659"/>
      <w:bookmarkStart w:id="593" w:name="_Toc13332"/>
      <w:r>
        <w:rPr>
          <w:rFonts w:hint="eastAsia" w:ascii="宋体" w:hAnsi="宋体" w:eastAsia="宋体" w:cs="宋体"/>
          <w:b/>
          <w:sz w:val="32"/>
          <w:szCs w:val="32"/>
          <w:lang w:val="en-US" w:eastAsia="zh-CN"/>
        </w:rPr>
        <w:t>5.</w:t>
      </w:r>
      <w:bookmarkEnd w:id="590"/>
      <w:r>
        <w:rPr>
          <w:rFonts w:hint="eastAsia" w:ascii="宋体" w:hAnsi="宋体" w:eastAsia="宋体" w:cs="宋体"/>
          <w:b/>
          <w:bCs/>
          <w:snapToGrid w:val="0"/>
          <w:color w:val="000000"/>
          <w:spacing w:val="1"/>
          <w:kern w:val="0"/>
          <w:sz w:val="32"/>
          <w:szCs w:val="32"/>
          <w:highlight w:val="none"/>
          <w:lang w:val="en-US" w:eastAsia="zh-CN"/>
        </w:rPr>
        <w:t>采购需求偏离表</w:t>
      </w:r>
      <w:bookmarkEnd w:id="591"/>
      <w:bookmarkEnd w:id="592"/>
      <w:bookmarkEnd w:id="593"/>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74AA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2DEB60C6">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5FE699C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F4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0E1C656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2B60102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324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5DB97170">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0B87EC1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0B46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D683DEA">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2B2462A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采购文件要求内容</w:t>
            </w:r>
          </w:p>
        </w:tc>
        <w:tc>
          <w:tcPr>
            <w:tcW w:w="2010" w:type="dxa"/>
            <w:noWrap w:val="0"/>
            <w:vAlign w:val="center"/>
          </w:tcPr>
          <w:p w14:paraId="7F1937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投标响应内容</w:t>
            </w:r>
          </w:p>
        </w:tc>
        <w:tc>
          <w:tcPr>
            <w:tcW w:w="1369" w:type="dxa"/>
            <w:noWrap w:val="0"/>
            <w:vAlign w:val="center"/>
          </w:tcPr>
          <w:p w14:paraId="6C76FCE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是否响应</w:t>
            </w:r>
          </w:p>
        </w:tc>
        <w:tc>
          <w:tcPr>
            <w:tcW w:w="1980" w:type="dxa"/>
            <w:noWrap w:val="0"/>
            <w:vAlign w:val="center"/>
          </w:tcPr>
          <w:p w14:paraId="5D6EF71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44D0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13BF195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00E4CF9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1FE5C6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76F79C0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DA93DD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8BE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4130871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0DE8E17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715A4B7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570C6A2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63A31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EBB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43CA95A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67E4614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08C09C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371153F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69A0E9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0A0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F07989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44B0D88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2287B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2E26DA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495E52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5AFEB6BE">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72EA266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1B30B6E6">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51CDB1D5">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51D5833C">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B0363BA">
      <w:pPr>
        <w:pStyle w:val="25"/>
        <w:ind w:left="0" w:leftChars="0" w:firstLine="0" w:firstLineChars="0"/>
        <w:rPr>
          <w:rFonts w:hint="eastAsia"/>
          <w:lang w:val="en-US" w:eastAsia="zh-CN"/>
        </w:rPr>
      </w:pPr>
    </w:p>
    <w:p w14:paraId="1C1D3065">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3E1850C6">
      <w:pPr>
        <w:rPr>
          <w:rFonts w:hint="default"/>
          <w:lang w:val="en-US" w:eastAsia="zh-CN"/>
        </w:rPr>
      </w:pPr>
    </w:p>
    <w:p w14:paraId="3B6639FF">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171F9C4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703DBC29">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33D140EC">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9D04D87">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ADD914A">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5CB0642D">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0D189A86">
      <w:pPr>
        <w:pStyle w:val="4"/>
        <w:pageBreakBefore w:val="0"/>
        <w:wordWrap/>
        <w:overflowPunct/>
        <w:topLinePunct w:val="0"/>
        <w:autoSpaceDE w:val="0"/>
        <w:autoSpaceDN w:val="0"/>
        <w:bidi w:val="0"/>
        <w:adjustRightInd w:val="0"/>
        <w:spacing w:before="0" w:beforeLines="0" w:line="440" w:lineRule="exact"/>
        <w:ind w:firstLine="0"/>
        <w:jc w:val="both"/>
        <w:outlineLvl w:val="1"/>
        <w:rPr>
          <w:rFonts w:hint="eastAsia" w:ascii="宋体" w:hAnsi="宋体" w:eastAsia="宋体" w:cs="宋体"/>
          <w:b/>
          <w:sz w:val="32"/>
          <w:szCs w:val="32"/>
          <w:lang w:val="en-US" w:eastAsia="zh-CN"/>
        </w:rPr>
      </w:pPr>
    </w:p>
    <w:p w14:paraId="2BA6937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D6B1ABE">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r>
        <w:rPr>
          <w:rFonts w:hint="eastAsia" w:ascii="宋体" w:hAnsi="宋体" w:eastAsia="宋体" w:cs="宋体"/>
          <w:b/>
          <w:sz w:val="32"/>
          <w:szCs w:val="32"/>
          <w:lang w:val="en-US" w:eastAsia="zh-CN"/>
        </w:rPr>
        <w:t>6.商务要求</w:t>
      </w:r>
      <w:r>
        <w:rPr>
          <w:rFonts w:hint="eastAsia" w:ascii="宋体" w:hAnsi="宋体" w:eastAsia="宋体" w:cs="宋体"/>
          <w:b/>
          <w:bCs/>
          <w:snapToGrid w:val="0"/>
          <w:color w:val="000000"/>
          <w:spacing w:val="1"/>
          <w:kern w:val="0"/>
          <w:sz w:val="32"/>
          <w:szCs w:val="32"/>
          <w:highlight w:val="none"/>
          <w:lang w:val="en-US" w:eastAsia="zh-CN"/>
        </w:rPr>
        <w:t>偏离表</w:t>
      </w:r>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432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39C3BF82">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40011BF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A90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4B729E08">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1624E97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9EC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26824B2F">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7C4B85E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1287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E4BBF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75B6410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招标文件商务要求</w:t>
            </w:r>
          </w:p>
        </w:tc>
        <w:tc>
          <w:tcPr>
            <w:tcW w:w="2010" w:type="dxa"/>
            <w:noWrap w:val="0"/>
            <w:vAlign w:val="center"/>
          </w:tcPr>
          <w:p w14:paraId="354DCC54">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投标商务要求</w:t>
            </w:r>
          </w:p>
        </w:tc>
        <w:tc>
          <w:tcPr>
            <w:tcW w:w="1369" w:type="dxa"/>
            <w:noWrap w:val="0"/>
            <w:vAlign w:val="center"/>
          </w:tcPr>
          <w:p w14:paraId="096E6C3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是否偏离</w:t>
            </w:r>
          </w:p>
        </w:tc>
        <w:tc>
          <w:tcPr>
            <w:tcW w:w="1980" w:type="dxa"/>
            <w:noWrap w:val="0"/>
            <w:vAlign w:val="center"/>
          </w:tcPr>
          <w:p w14:paraId="7CB382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1533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0B6682E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18C1465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846BBA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1F203B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226BC3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617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78312D3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743232C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D9CB0B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AFC631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5197489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0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664BFE4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2AA5D5E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A70E93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C7776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79C00B2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FA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84E29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6D7E2F0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6F5653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4FE6ED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49974F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43F177C3">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1521DF01">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4C1A0F9D">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1455C3A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2C90EB4E">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A4CBAF8">
      <w:pPr>
        <w:pStyle w:val="25"/>
        <w:ind w:left="0" w:leftChars="0" w:firstLine="0" w:firstLineChars="0"/>
        <w:rPr>
          <w:rFonts w:hint="eastAsia"/>
          <w:lang w:val="en-US" w:eastAsia="zh-CN"/>
        </w:rPr>
      </w:pPr>
    </w:p>
    <w:p w14:paraId="480591C3">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6DC7A62C">
      <w:pPr>
        <w:rPr>
          <w:rFonts w:hint="eastAsia"/>
          <w:sz w:val="32"/>
          <w:szCs w:val="32"/>
          <w:lang w:val="en-US" w:eastAsia="zh-CN"/>
        </w:rPr>
      </w:pPr>
    </w:p>
    <w:p w14:paraId="727633C4">
      <w:pPr>
        <w:pStyle w:val="24"/>
        <w:rPr>
          <w:rFonts w:hint="eastAsia"/>
          <w:sz w:val="32"/>
          <w:szCs w:val="32"/>
          <w:lang w:val="en-US" w:eastAsia="zh-CN"/>
        </w:rPr>
      </w:pPr>
    </w:p>
    <w:p w14:paraId="4575FCFE">
      <w:pPr>
        <w:pStyle w:val="25"/>
        <w:rPr>
          <w:rFonts w:hint="eastAsia"/>
          <w:sz w:val="32"/>
          <w:szCs w:val="32"/>
          <w:lang w:val="en-US" w:eastAsia="zh-CN"/>
        </w:rPr>
      </w:pPr>
    </w:p>
    <w:p w14:paraId="616316F0">
      <w:pPr>
        <w:numPr>
          <w:ilvl w:val="0"/>
          <w:numId w:val="0"/>
        </w:numPr>
        <w:jc w:val="center"/>
        <w:rPr>
          <w:rFonts w:hint="eastAsia" w:ascii="宋体" w:hAnsi="宋体" w:eastAsia="宋体" w:cs="宋体"/>
          <w:b/>
          <w:sz w:val="32"/>
          <w:szCs w:val="32"/>
          <w:lang w:val="en-US" w:eastAsia="zh-CN"/>
        </w:rPr>
      </w:pPr>
    </w:p>
    <w:p w14:paraId="11488027">
      <w:pPr>
        <w:numPr>
          <w:ilvl w:val="0"/>
          <w:numId w:val="0"/>
        </w:numPr>
        <w:jc w:val="center"/>
        <w:rPr>
          <w:rFonts w:hint="eastAsia" w:ascii="宋体" w:hAnsi="宋体" w:eastAsia="宋体" w:cs="宋体"/>
          <w:b/>
          <w:sz w:val="32"/>
          <w:szCs w:val="32"/>
          <w:lang w:val="en-US" w:eastAsia="zh-CN"/>
        </w:rPr>
      </w:pPr>
    </w:p>
    <w:p w14:paraId="3B9F34A7">
      <w:pPr>
        <w:numPr>
          <w:ilvl w:val="0"/>
          <w:numId w:val="0"/>
        </w:numPr>
        <w:jc w:val="center"/>
        <w:rPr>
          <w:rFonts w:hint="eastAsia" w:ascii="宋体" w:hAnsi="宋体" w:eastAsia="宋体" w:cs="宋体"/>
          <w:b/>
          <w:sz w:val="32"/>
          <w:szCs w:val="32"/>
          <w:lang w:val="en-US" w:eastAsia="zh-CN"/>
        </w:rPr>
      </w:pPr>
    </w:p>
    <w:p w14:paraId="03323033">
      <w:pPr>
        <w:numPr>
          <w:ilvl w:val="0"/>
          <w:numId w:val="0"/>
        </w:numPr>
        <w:jc w:val="center"/>
        <w:rPr>
          <w:rFonts w:hint="eastAsia" w:ascii="宋体" w:hAnsi="宋体" w:eastAsia="宋体" w:cs="宋体"/>
          <w:b/>
          <w:sz w:val="32"/>
          <w:szCs w:val="32"/>
          <w:lang w:val="en-US" w:eastAsia="zh-CN"/>
        </w:rPr>
      </w:pPr>
    </w:p>
    <w:p w14:paraId="6FFB2D69">
      <w:pPr>
        <w:numPr>
          <w:ilvl w:val="0"/>
          <w:numId w:val="0"/>
        </w:numPr>
        <w:jc w:val="center"/>
        <w:rPr>
          <w:rFonts w:hint="eastAsia" w:ascii="宋体" w:hAnsi="宋体" w:eastAsia="宋体" w:cs="宋体"/>
          <w:b/>
          <w:sz w:val="32"/>
          <w:szCs w:val="32"/>
          <w:lang w:val="en-US" w:eastAsia="zh-CN"/>
        </w:rPr>
      </w:pPr>
    </w:p>
    <w:p w14:paraId="7FD20A2C">
      <w:pPr>
        <w:numPr>
          <w:ilvl w:val="0"/>
          <w:numId w:val="0"/>
        </w:numPr>
        <w:jc w:val="center"/>
        <w:rPr>
          <w:rFonts w:hint="eastAsia" w:ascii="宋体" w:hAnsi="宋体" w:eastAsia="宋体" w:cs="宋体"/>
          <w:b/>
          <w:sz w:val="32"/>
          <w:szCs w:val="32"/>
          <w:lang w:val="en-US" w:eastAsia="zh-CN"/>
        </w:rPr>
      </w:pPr>
    </w:p>
    <w:p w14:paraId="09B8B319">
      <w:pPr>
        <w:numPr>
          <w:ilvl w:val="0"/>
          <w:numId w:val="0"/>
        </w:numPr>
        <w:jc w:val="center"/>
        <w:rPr>
          <w:rFonts w:hint="eastAsia" w:ascii="宋体" w:hAnsi="宋体" w:eastAsia="宋体" w:cs="宋体"/>
          <w:b/>
          <w:sz w:val="32"/>
          <w:szCs w:val="32"/>
          <w:lang w:val="en-US" w:eastAsia="zh-CN"/>
        </w:rPr>
      </w:pPr>
    </w:p>
    <w:p w14:paraId="4C249FB3">
      <w:pPr>
        <w:numPr>
          <w:ilvl w:val="0"/>
          <w:numId w:val="0"/>
        </w:numPr>
        <w:jc w:val="both"/>
        <w:rPr>
          <w:rFonts w:hint="eastAsia" w:ascii="宋体" w:hAnsi="宋体" w:eastAsia="宋体" w:cs="宋体"/>
          <w:b/>
          <w:sz w:val="32"/>
          <w:szCs w:val="32"/>
          <w:lang w:val="en-US" w:eastAsia="zh-CN"/>
        </w:rPr>
      </w:pPr>
    </w:p>
    <w:p w14:paraId="523A3E43">
      <w:pPr>
        <w:keepNext w:val="0"/>
        <w:keepLines w:val="0"/>
        <w:pageBreakBefore w:val="0"/>
        <w:numPr>
          <w:ilvl w:val="0"/>
          <w:numId w:val="9"/>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本招标文件中评分标准的相关内容</w:t>
      </w:r>
    </w:p>
    <w:p w14:paraId="2FD68A12">
      <w:pPr>
        <w:keepNext w:val="0"/>
        <w:keepLines w:val="0"/>
        <w:pageBreakBefore w:val="0"/>
        <w:numPr>
          <w:ilvl w:val="0"/>
          <w:numId w:val="0"/>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(根据评分要求，格式自拟)</w:t>
      </w:r>
    </w:p>
    <w:p w14:paraId="3521867C">
      <w:pPr>
        <w:pStyle w:val="24"/>
        <w:keepNext w:val="0"/>
        <w:keepLines w:val="0"/>
        <w:pageBreakBefore w:val="0"/>
        <w:widowControl w:val="0"/>
        <w:numPr>
          <w:ilvl w:val="0"/>
          <w:numId w:val="0"/>
        </w:numPr>
        <w:kinsoku/>
        <w:overflowPunct/>
        <w:topLinePunct w:val="0"/>
        <w:autoSpaceDE w:val="0"/>
        <w:autoSpaceDN w:val="0"/>
        <w:bidi w:val="0"/>
        <w:adjustRightInd w:val="0"/>
        <w:snapToGrid/>
        <w:spacing w:line="540" w:lineRule="exact"/>
        <w:textAlignment w:val="auto"/>
        <w:rPr>
          <w:rFonts w:hint="eastAsia"/>
          <w:lang w:val="en-US" w:eastAsia="zh-CN"/>
        </w:rPr>
      </w:pPr>
    </w:p>
    <w:p w14:paraId="0070F0F0">
      <w:pPr>
        <w:pStyle w:val="25"/>
        <w:keepNext w:val="0"/>
        <w:keepLines w:val="0"/>
        <w:pageBreakBefore w:val="0"/>
        <w:kinsoku/>
        <w:overflowPunct/>
        <w:topLinePunct w:val="0"/>
        <w:bidi w:val="0"/>
        <w:snapToGrid/>
        <w:spacing w:line="54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附表7.1装修投资预算表（维修改造投资预算表）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79"/>
        <w:gridCol w:w="1007"/>
        <w:gridCol w:w="1454"/>
        <w:gridCol w:w="1422"/>
        <w:gridCol w:w="1484"/>
        <w:gridCol w:w="1106"/>
      </w:tblGrid>
      <w:tr w14:paraId="69A6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9" w:type="dxa"/>
          </w:tcPr>
          <w:p w14:paraId="583484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1579" w:type="dxa"/>
          </w:tcPr>
          <w:p w14:paraId="4C6417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项目名称</w:t>
            </w:r>
          </w:p>
        </w:tc>
        <w:tc>
          <w:tcPr>
            <w:tcW w:w="1007" w:type="dxa"/>
          </w:tcPr>
          <w:p w14:paraId="7121985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454" w:type="dxa"/>
          </w:tcPr>
          <w:p w14:paraId="2D73C4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数量</w:t>
            </w:r>
          </w:p>
        </w:tc>
        <w:tc>
          <w:tcPr>
            <w:tcW w:w="1422" w:type="dxa"/>
          </w:tcPr>
          <w:p w14:paraId="72CE50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单价（元）</w:t>
            </w:r>
          </w:p>
        </w:tc>
        <w:tc>
          <w:tcPr>
            <w:tcW w:w="1484" w:type="dxa"/>
          </w:tcPr>
          <w:p w14:paraId="5CC444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总价（元）</w:t>
            </w:r>
          </w:p>
        </w:tc>
        <w:tc>
          <w:tcPr>
            <w:tcW w:w="1106" w:type="dxa"/>
          </w:tcPr>
          <w:p w14:paraId="45CFC7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58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32D638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579" w:type="dxa"/>
          </w:tcPr>
          <w:p w14:paraId="76BCDC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设计费用</w:t>
            </w:r>
          </w:p>
        </w:tc>
        <w:tc>
          <w:tcPr>
            <w:tcW w:w="1007" w:type="dxa"/>
          </w:tcPr>
          <w:p w14:paraId="3AF2A9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454" w:type="dxa"/>
          </w:tcPr>
          <w:p w14:paraId="05A372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7DDC7F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71312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6E1A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04E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21E77D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579" w:type="dxa"/>
          </w:tcPr>
          <w:p w14:paraId="3B3ADB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墙面处理</w:t>
            </w:r>
          </w:p>
        </w:tc>
        <w:tc>
          <w:tcPr>
            <w:tcW w:w="1007" w:type="dxa"/>
          </w:tcPr>
          <w:p w14:paraId="4BD6775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09FF0A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AD1E68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3A987B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1061A4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3AA2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EE06D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579" w:type="dxa"/>
          </w:tcPr>
          <w:p w14:paraId="03C39E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地面铺设</w:t>
            </w:r>
          </w:p>
        </w:tc>
        <w:tc>
          <w:tcPr>
            <w:tcW w:w="1007" w:type="dxa"/>
          </w:tcPr>
          <w:p w14:paraId="6FE589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40918C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E2FFF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C31478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05967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1967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1242F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579" w:type="dxa"/>
          </w:tcPr>
          <w:p w14:paraId="25B7C6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007" w:type="dxa"/>
          </w:tcPr>
          <w:p w14:paraId="334D21B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54" w:type="dxa"/>
          </w:tcPr>
          <w:p w14:paraId="5D4E689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4ADE1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162C71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0684D8F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bl>
    <w:p w14:paraId="6281BAEC">
      <w:pPr>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注：1.标项一、二、三的投标单位表格名称为“装修投资预算表”；标项四、五的投标单位表格名称为“维修改造投资预算表”。各投标单位根据所投标项进行表格填写。</w:t>
      </w:r>
    </w:p>
    <w:p w14:paraId="0658C4FD">
      <w:pPr>
        <w:pStyle w:val="2"/>
        <w:keepNext w:val="0"/>
        <w:keepLines w:val="0"/>
        <w:pageBreakBefore w:val="0"/>
        <w:numPr>
          <w:ilvl w:val="0"/>
          <w:numId w:val="0"/>
        </w:numPr>
        <w:kinsoku/>
        <w:overflowPunct/>
        <w:topLinePunct w:val="0"/>
        <w:bidi w:val="0"/>
        <w:snapToGrid/>
        <w:spacing w:line="540" w:lineRule="exact"/>
        <w:ind w:left="840" w:leftChars="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2.各投标单位根据装修（维修）所需要的投资内容自行填写表格，此表可向下继续填写。</w:t>
      </w:r>
    </w:p>
    <w:p w14:paraId="0451B2F3">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5CED022D">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02C41356">
      <w:pPr>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附表7.2设施设备清单及预算表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120"/>
        <w:gridCol w:w="1280"/>
        <w:gridCol w:w="1466"/>
        <w:gridCol w:w="1556"/>
        <w:gridCol w:w="1524"/>
        <w:gridCol w:w="1066"/>
      </w:tblGrid>
      <w:tr w14:paraId="1AE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4DBD1E3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120" w:type="dxa"/>
          </w:tcPr>
          <w:p w14:paraId="77A77E67">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设备名称</w:t>
            </w:r>
          </w:p>
        </w:tc>
        <w:tc>
          <w:tcPr>
            <w:tcW w:w="1280" w:type="dxa"/>
          </w:tcPr>
          <w:p w14:paraId="4846892E">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规格/型号</w:t>
            </w:r>
          </w:p>
        </w:tc>
        <w:tc>
          <w:tcPr>
            <w:tcW w:w="1466" w:type="dxa"/>
          </w:tcPr>
          <w:p w14:paraId="541C8B7D">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数量及单位</w:t>
            </w:r>
          </w:p>
        </w:tc>
        <w:tc>
          <w:tcPr>
            <w:tcW w:w="1556" w:type="dxa"/>
          </w:tcPr>
          <w:p w14:paraId="58442E4A">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w:t>
            </w:r>
          </w:p>
        </w:tc>
        <w:tc>
          <w:tcPr>
            <w:tcW w:w="1524" w:type="dxa"/>
          </w:tcPr>
          <w:p w14:paraId="397A076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总价（元）</w:t>
            </w:r>
          </w:p>
        </w:tc>
        <w:tc>
          <w:tcPr>
            <w:tcW w:w="1066" w:type="dxa"/>
          </w:tcPr>
          <w:p w14:paraId="695090AF">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2B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529D87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120" w:type="dxa"/>
          </w:tcPr>
          <w:p w14:paraId="087A94D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1D3B767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3CF6901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0098351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019081F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053C00A7">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F5F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6ACF5D5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120" w:type="dxa"/>
          </w:tcPr>
          <w:p w14:paraId="20CC4DC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25B9C18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2605FD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4EAD014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0E1542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2943B13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01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1D83711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120" w:type="dxa"/>
          </w:tcPr>
          <w:p w14:paraId="27E8EC8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7731D06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02AA63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3DBD7F2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3D89332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4E104EF4">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666F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35B495A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120" w:type="dxa"/>
          </w:tcPr>
          <w:p w14:paraId="402CE02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6E0C2F8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5916470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698E841F">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257D56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6B07EAF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bl>
    <w:p w14:paraId="4B4B61D3">
      <w:pPr>
        <w:pStyle w:val="2"/>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附表7.3预算（装（维）修、设备）汇总表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14:paraId="2CC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7206EDC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812" w:type="dxa"/>
          </w:tcPr>
          <w:p w14:paraId="24EDA220">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名称</w:t>
            </w:r>
          </w:p>
        </w:tc>
        <w:tc>
          <w:tcPr>
            <w:tcW w:w="1812" w:type="dxa"/>
          </w:tcPr>
          <w:p w14:paraId="432352E1">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812" w:type="dxa"/>
          </w:tcPr>
          <w:p w14:paraId="244F57A2">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预算总额（元）</w:t>
            </w:r>
          </w:p>
        </w:tc>
        <w:tc>
          <w:tcPr>
            <w:tcW w:w="1813" w:type="dxa"/>
          </w:tcPr>
          <w:p w14:paraId="1BF78F9C">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3A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5335DD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812" w:type="dxa"/>
          </w:tcPr>
          <w:p w14:paraId="01E0685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装修投资预算（维修改造投资预算）</w:t>
            </w:r>
          </w:p>
        </w:tc>
        <w:tc>
          <w:tcPr>
            <w:tcW w:w="1812" w:type="dxa"/>
          </w:tcPr>
          <w:p w14:paraId="0ADF26BB">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E31AD99">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3A1B26BF">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5F0B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0844125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812" w:type="dxa"/>
          </w:tcPr>
          <w:p w14:paraId="751A6A0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设施设备预算</w:t>
            </w:r>
          </w:p>
        </w:tc>
        <w:tc>
          <w:tcPr>
            <w:tcW w:w="1812" w:type="dxa"/>
          </w:tcPr>
          <w:p w14:paraId="15FFFC58">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D3063AA">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4FF7FFD3">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4CF1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2" w:type="dxa"/>
            <w:vAlign w:val="top"/>
          </w:tcPr>
          <w:p w14:paraId="5FCDCC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812" w:type="dxa"/>
          </w:tcPr>
          <w:p w14:paraId="1E850888">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合计</w:t>
            </w:r>
          </w:p>
        </w:tc>
        <w:tc>
          <w:tcPr>
            <w:tcW w:w="1812" w:type="dxa"/>
          </w:tcPr>
          <w:p w14:paraId="76CD7AA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812" w:type="dxa"/>
          </w:tcPr>
          <w:p w14:paraId="7E2A87E6">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7B09FB7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r>
    </w:tbl>
    <w:p w14:paraId="3B83D60F">
      <w:pPr>
        <w:pStyle w:val="2"/>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注：1.标项一、二、三的投标单位名称为“装修投资预算”；标项四、五的投标单位名称为“维修改造投资预算”。各投标单位根据所投标项进行表格名称填写。</w:t>
      </w:r>
    </w:p>
    <w:p w14:paraId="60608876">
      <w:pPr>
        <w:pStyle w:val="2"/>
        <w:keepNext w:val="0"/>
        <w:keepLines w:val="0"/>
        <w:pageBreakBefore w:val="0"/>
        <w:kinsoku/>
        <w:overflowPunct/>
        <w:topLinePunct w:val="0"/>
        <w:bidi w:val="0"/>
        <w:snapToGrid/>
        <w:spacing w:line="540" w:lineRule="exact"/>
        <w:ind w:left="839" w:leftChars="266" w:hanging="280" w:hangingChars="1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2.此表为附表7.1、附表7.2所投资预算的汇总表，自行填写。</w:t>
      </w:r>
    </w:p>
    <w:p w14:paraId="18C9BD39">
      <w:pPr>
        <w:rPr>
          <w:rFonts w:hint="eastAsia"/>
          <w:lang w:val="en-US" w:eastAsia="zh-CN"/>
        </w:rPr>
      </w:pPr>
    </w:p>
    <w:p w14:paraId="1C7A0B16">
      <w:pPr>
        <w:pStyle w:val="24"/>
        <w:rPr>
          <w:rFonts w:hint="eastAsia"/>
          <w:lang w:val="en-US" w:eastAsia="zh-CN"/>
        </w:rPr>
      </w:pPr>
    </w:p>
    <w:p w14:paraId="7A77CF70">
      <w:pPr>
        <w:pStyle w:val="25"/>
        <w:rPr>
          <w:rFonts w:hint="eastAsia"/>
          <w:lang w:val="en-US" w:eastAsia="zh-CN"/>
        </w:rPr>
      </w:pPr>
    </w:p>
    <w:p w14:paraId="371C11E9">
      <w:pPr>
        <w:pStyle w:val="24"/>
        <w:rPr>
          <w:rFonts w:hint="eastAsia"/>
          <w:lang w:val="en-US" w:eastAsia="zh-CN"/>
        </w:rPr>
      </w:pPr>
    </w:p>
    <w:p w14:paraId="4FB489FD">
      <w:pPr>
        <w:pStyle w:val="25"/>
        <w:rPr>
          <w:rFonts w:hint="eastAsia"/>
          <w:lang w:val="en-US" w:eastAsia="zh-CN"/>
        </w:rPr>
      </w:pPr>
    </w:p>
    <w:p w14:paraId="3C27B351">
      <w:pPr>
        <w:rPr>
          <w:rFonts w:hint="eastAsia"/>
          <w:lang w:val="en-US" w:eastAsia="zh-CN"/>
        </w:rPr>
      </w:pPr>
    </w:p>
    <w:p w14:paraId="4E8E5E46">
      <w:pPr>
        <w:pStyle w:val="2"/>
        <w:rPr>
          <w:rFonts w:hint="eastAsia"/>
          <w:lang w:val="en-US" w:eastAsia="zh-CN"/>
        </w:rPr>
      </w:pPr>
    </w:p>
    <w:p w14:paraId="67DF88A5">
      <w:pPr>
        <w:pStyle w:val="2"/>
        <w:rPr>
          <w:rFonts w:hint="eastAsia"/>
          <w:lang w:val="en-US" w:eastAsia="zh-CN"/>
        </w:rPr>
      </w:pPr>
    </w:p>
    <w:p w14:paraId="68298C8F">
      <w:pPr>
        <w:pStyle w:val="2"/>
        <w:rPr>
          <w:rFonts w:hint="eastAsia"/>
          <w:lang w:val="en-US" w:eastAsia="zh-CN"/>
        </w:rPr>
      </w:pPr>
    </w:p>
    <w:p w14:paraId="2712F023">
      <w:pPr>
        <w:pStyle w:val="2"/>
        <w:rPr>
          <w:rFonts w:hint="eastAsia"/>
          <w:lang w:val="en-US" w:eastAsia="zh-CN"/>
        </w:rPr>
      </w:pPr>
    </w:p>
    <w:p w14:paraId="3AD31243">
      <w:pPr>
        <w:pStyle w:val="2"/>
        <w:rPr>
          <w:rFonts w:hint="eastAsia"/>
          <w:lang w:val="en-US" w:eastAsia="zh-CN"/>
        </w:rPr>
      </w:pPr>
    </w:p>
    <w:p w14:paraId="4F5D8F6C">
      <w:pPr>
        <w:pStyle w:val="2"/>
        <w:rPr>
          <w:rFonts w:hint="eastAsia"/>
          <w:lang w:val="en-US" w:eastAsia="zh-CN"/>
        </w:rPr>
      </w:pPr>
    </w:p>
    <w:p w14:paraId="613CC072">
      <w:pPr>
        <w:pStyle w:val="2"/>
        <w:rPr>
          <w:rFonts w:hint="eastAsia"/>
          <w:lang w:val="en-US" w:eastAsia="zh-CN"/>
        </w:rPr>
      </w:pPr>
    </w:p>
    <w:p w14:paraId="4CC92FBE">
      <w:pPr>
        <w:pStyle w:val="2"/>
        <w:rPr>
          <w:rFonts w:hint="eastAsia"/>
          <w:lang w:val="en-US" w:eastAsia="zh-CN"/>
        </w:rPr>
      </w:pPr>
    </w:p>
    <w:p w14:paraId="535D853E">
      <w:pPr>
        <w:pStyle w:val="2"/>
        <w:rPr>
          <w:rFonts w:hint="eastAsia"/>
          <w:lang w:val="en-US" w:eastAsia="zh-CN"/>
        </w:rPr>
      </w:pPr>
    </w:p>
    <w:p w14:paraId="1D4AEA26">
      <w:pPr>
        <w:pStyle w:val="2"/>
        <w:rPr>
          <w:rFonts w:hint="eastAsia"/>
          <w:lang w:val="en-US" w:eastAsia="zh-CN"/>
        </w:rPr>
      </w:pPr>
    </w:p>
    <w:p w14:paraId="1D0BB862">
      <w:pPr>
        <w:pStyle w:val="2"/>
        <w:rPr>
          <w:rFonts w:hint="eastAsia"/>
          <w:lang w:val="en-US" w:eastAsia="zh-CN"/>
        </w:rPr>
      </w:pPr>
    </w:p>
    <w:p w14:paraId="5058A6E6">
      <w:pPr>
        <w:pStyle w:val="2"/>
        <w:rPr>
          <w:rFonts w:hint="eastAsia"/>
          <w:lang w:val="en-US" w:eastAsia="zh-CN"/>
        </w:rPr>
      </w:pPr>
    </w:p>
    <w:p w14:paraId="1D38CBD0">
      <w:pPr>
        <w:pStyle w:val="36"/>
        <w:pageBreakBefore w:val="0"/>
        <w:numPr>
          <w:ilvl w:val="0"/>
          <w:numId w:val="0"/>
        </w:numPr>
        <w:wordWrap/>
        <w:overflowPunct/>
        <w:topLinePunct w:val="0"/>
        <w:bidi w:val="0"/>
        <w:spacing w:line="440" w:lineRule="exact"/>
        <w:ind w:leftChars="0"/>
        <w:jc w:val="both"/>
        <w:rPr>
          <w:rFonts w:hint="eastAsia" w:hAnsi="宋体" w:cs="宋体"/>
          <w:b/>
          <w:sz w:val="32"/>
          <w:szCs w:val="32"/>
          <w:lang w:val="en-US" w:eastAsia="zh-CN"/>
        </w:rPr>
      </w:pPr>
    </w:p>
    <w:p w14:paraId="1EC4D89A">
      <w:pPr>
        <w:pStyle w:val="36"/>
        <w:pageBreakBefore w:val="0"/>
        <w:numPr>
          <w:ilvl w:val="0"/>
          <w:numId w:val="0"/>
        </w:numPr>
        <w:wordWrap/>
        <w:overflowPunct/>
        <w:topLinePunct w:val="0"/>
        <w:bidi w:val="0"/>
        <w:spacing w:line="440" w:lineRule="exact"/>
        <w:ind w:leftChars="0"/>
        <w:jc w:val="center"/>
        <w:rPr>
          <w:rFonts w:hint="eastAsia" w:ascii="宋体" w:hAnsi="宋体" w:eastAsia="宋体" w:cs="宋体"/>
          <w:b/>
          <w:sz w:val="32"/>
          <w:szCs w:val="32"/>
          <w:lang w:val="en-US" w:eastAsia="zh-CN"/>
        </w:rPr>
      </w:pPr>
      <w:r>
        <w:rPr>
          <w:rFonts w:hint="eastAsia" w:hAnsi="宋体" w:cs="宋体"/>
          <w:b/>
          <w:sz w:val="32"/>
          <w:szCs w:val="32"/>
          <w:lang w:val="en-US" w:eastAsia="zh-CN"/>
        </w:rPr>
        <w:t>8.</w:t>
      </w:r>
      <w:r>
        <w:rPr>
          <w:rFonts w:hint="eastAsia" w:ascii="宋体" w:hAnsi="宋体" w:eastAsia="宋体" w:cs="宋体"/>
          <w:b/>
          <w:sz w:val="32"/>
          <w:szCs w:val="32"/>
          <w:lang w:val="en-US" w:eastAsia="zh-CN"/>
        </w:rPr>
        <w:t>拟投入此项目人员配备表</w:t>
      </w:r>
    </w:p>
    <w:p w14:paraId="3C647680">
      <w:pPr>
        <w:numPr>
          <w:ilvl w:val="0"/>
          <w:numId w:val="0"/>
        </w:numPr>
        <w:ind w:leftChars="0"/>
        <w:rPr>
          <w:rFonts w:hint="eastAsia"/>
          <w:lang w:val="en-US" w:eastAsia="zh-CN"/>
        </w:rPr>
      </w:pPr>
    </w:p>
    <w:p w14:paraId="0C7A1E26">
      <w:pPr>
        <w:pStyle w:val="36"/>
        <w:pageBreakBefore w:val="0"/>
        <w:numPr>
          <w:ilvl w:val="0"/>
          <w:numId w:val="0"/>
        </w:numPr>
        <w:wordWrap/>
        <w:overflowPunct/>
        <w:topLinePunct w:val="0"/>
        <w:bidi w:val="0"/>
        <w:spacing w:line="440" w:lineRule="exact"/>
        <w:ind w:leftChars="0"/>
        <w:rPr>
          <w:rFonts w:hint="eastAsia" w:ascii="宋体" w:hAnsi="宋体" w:eastAsia="宋体" w:cs="宋体"/>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项目名称：           项目编号：       标项名称：       </w:t>
      </w:r>
    </w:p>
    <w:tbl>
      <w:tblPr>
        <w:tblStyle w:val="19"/>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284"/>
        <w:gridCol w:w="936"/>
        <w:gridCol w:w="864"/>
        <w:gridCol w:w="864"/>
        <w:gridCol w:w="940"/>
        <w:gridCol w:w="1269"/>
        <w:gridCol w:w="1385"/>
        <w:gridCol w:w="714"/>
      </w:tblGrid>
      <w:tr w14:paraId="32A5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51" w:type="dxa"/>
            <w:noWrap w:val="0"/>
            <w:vAlign w:val="center"/>
          </w:tcPr>
          <w:p w14:paraId="04EA5664">
            <w:pPr>
              <w:wordWrap/>
              <w:spacing w:line="3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序号</w:t>
            </w:r>
          </w:p>
        </w:tc>
        <w:tc>
          <w:tcPr>
            <w:tcW w:w="1284" w:type="dxa"/>
            <w:noWrap w:val="0"/>
            <w:vAlign w:val="center"/>
          </w:tcPr>
          <w:p w14:paraId="558E2423">
            <w:pPr>
              <w:wordWrap/>
              <w:spacing w:line="360" w:lineRule="exac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姓名</w:t>
            </w:r>
          </w:p>
        </w:tc>
        <w:tc>
          <w:tcPr>
            <w:tcW w:w="936" w:type="dxa"/>
            <w:tcBorders>
              <w:right w:val="single" w:color="auto" w:sz="4" w:space="0"/>
            </w:tcBorders>
            <w:noWrap w:val="0"/>
            <w:vAlign w:val="center"/>
          </w:tcPr>
          <w:p w14:paraId="11BB16C1">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年龄</w:t>
            </w:r>
          </w:p>
        </w:tc>
        <w:tc>
          <w:tcPr>
            <w:tcW w:w="864" w:type="dxa"/>
            <w:tcBorders>
              <w:left w:val="single" w:color="auto" w:sz="4" w:space="0"/>
            </w:tcBorders>
            <w:noWrap w:val="0"/>
            <w:vAlign w:val="center"/>
          </w:tcPr>
          <w:p w14:paraId="412D812F">
            <w:pPr>
              <w:wordWrap/>
              <w:spacing w:line="3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学历</w:t>
            </w:r>
          </w:p>
        </w:tc>
        <w:tc>
          <w:tcPr>
            <w:tcW w:w="864" w:type="dxa"/>
            <w:noWrap w:val="0"/>
            <w:vAlign w:val="center"/>
          </w:tcPr>
          <w:p w14:paraId="51D5B876">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专业</w:t>
            </w:r>
          </w:p>
        </w:tc>
        <w:tc>
          <w:tcPr>
            <w:tcW w:w="940" w:type="dxa"/>
            <w:tcBorders>
              <w:right w:val="single" w:color="auto" w:sz="4" w:space="0"/>
            </w:tcBorders>
            <w:noWrap w:val="0"/>
            <w:vAlign w:val="center"/>
          </w:tcPr>
          <w:p w14:paraId="1C2ACD0A">
            <w:pPr>
              <w:wordWrap/>
              <w:spacing w:line="36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身份证号</w:t>
            </w:r>
          </w:p>
        </w:tc>
        <w:tc>
          <w:tcPr>
            <w:tcW w:w="1269" w:type="dxa"/>
            <w:tcBorders>
              <w:left w:val="single" w:color="auto" w:sz="4" w:space="0"/>
            </w:tcBorders>
            <w:noWrap w:val="0"/>
            <w:vAlign w:val="center"/>
          </w:tcPr>
          <w:p w14:paraId="2CA7C06B">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在本项目中担任的岗位</w:t>
            </w:r>
          </w:p>
        </w:tc>
        <w:tc>
          <w:tcPr>
            <w:tcW w:w="1385" w:type="dxa"/>
            <w:noWrap w:val="0"/>
            <w:vAlign w:val="center"/>
          </w:tcPr>
          <w:p w14:paraId="41257624">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从事类似工作年限</w:t>
            </w:r>
          </w:p>
        </w:tc>
        <w:tc>
          <w:tcPr>
            <w:tcW w:w="714" w:type="dxa"/>
            <w:noWrap w:val="0"/>
            <w:vAlign w:val="center"/>
          </w:tcPr>
          <w:p w14:paraId="56609E1C">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r>
      <w:tr w14:paraId="7F85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6A36B8D6">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w:t>
            </w:r>
          </w:p>
        </w:tc>
        <w:tc>
          <w:tcPr>
            <w:tcW w:w="1284" w:type="dxa"/>
            <w:noWrap w:val="0"/>
            <w:vAlign w:val="center"/>
          </w:tcPr>
          <w:p w14:paraId="25A01C8C">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6F692B76">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3BD311EF">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392A7C5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D4F77B7">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29F2B1F3">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1D6828B">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6780B88">
            <w:pPr>
              <w:wordWrap/>
              <w:spacing w:line="360" w:lineRule="exact"/>
              <w:rPr>
                <w:rFonts w:hint="eastAsia" w:ascii="宋体" w:hAnsi="宋体" w:eastAsia="宋体" w:cs="宋体"/>
                <w:color w:val="auto"/>
                <w:sz w:val="32"/>
                <w:szCs w:val="32"/>
                <w:highlight w:val="none"/>
              </w:rPr>
            </w:pPr>
          </w:p>
        </w:tc>
      </w:tr>
      <w:tr w14:paraId="145C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249D3D9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w:t>
            </w:r>
          </w:p>
        </w:tc>
        <w:tc>
          <w:tcPr>
            <w:tcW w:w="1284" w:type="dxa"/>
            <w:noWrap w:val="0"/>
            <w:vAlign w:val="center"/>
          </w:tcPr>
          <w:p w14:paraId="525EA06A">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78798385">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570E3D3">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60889F8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977C630">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1F1B9DED">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6EDB3A0">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E3781A2">
            <w:pPr>
              <w:wordWrap/>
              <w:spacing w:line="360" w:lineRule="exact"/>
              <w:rPr>
                <w:rFonts w:hint="eastAsia" w:ascii="宋体" w:hAnsi="宋体" w:eastAsia="宋体" w:cs="宋体"/>
                <w:color w:val="auto"/>
                <w:sz w:val="32"/>
                <w:szCs w:val="32"/>
                <w:highlight w:val="none"/>
              </w:rPr>
            </w:pPr>
          </w:p>
        </w:tc>
      </w:tr>
      <w:tr w14:paraId="3AC0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0D7B30B">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w:t>
            </w:r>
          </w:p>
        </w:tc>
        <w:tc>
          <w:tcPr>
            <w:tcW w:w="1284" w:type="dxa"/>
            <w:noWrap w:val="0"/>
            <w:vAlign w:val="center"/>
          </w:tcPr>
          <w:p w14:paraId="3329FEF2">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22EA0ECF">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CEAC974">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9E6E44A">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12B8D28D">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FE6FF3A">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04DF163">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5276E828">
            <w:pPr>
              <w:wordWrap/>
              <w:spacing w:line="360" w:lineRule="exact"/>
              <w:rPr>
                <w:rFonts w:hint="eastAsia" w:ascii="宋体" w:hAnsi="宋体" w:eastAsia="宋体" w:cs="宋体"/>
                <w:color w:val="auto"/>
                <w:sz w:val="32"/>
                <w:szCs w:val="32"/>
                <w:highlight w:val="none"/>
              </w:rPr>
            </w:pPr>
          </w:p>
        </w:tc>
      </w:tr>
      <w:tr w14:paraId="77D2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8FA93C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w:t>
            </w:r>
          </w:p>
        </w:tc>
        <w:tc>
          <w:tcPr>
            <w:tcW w:w="1284" w:type="dxa"/>
            <w:noWrap w:val="0"/>
            <w:vAlign w:val="center"/>
          </w:tcPr>
          <w:p w14:paraId="225EC2CE">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062D0E2B">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EA882B6">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3DCF39F">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CA11421">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C1624DE">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AF5EA72">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16B0D9E">
            <w:pPr>
              <w:wordWrap/>
              <w:spacing w:line="360" w:lineRule="exact"/>
              <w:rPr>
                <w:rFonts w:hint="eastAsia" w:ascii="宋体" w:hAnsi="宋体" w:eastAsia="宋体" w:cs="宋体"/>
                <w:color w:val="auto"/>
                <w:sz w:val="32"/>
                <w:szCs w:val="32"/>
                <w:highlight w:val="none"/>
              </w:rPr>
            </w:pPr>
          </w:p>
        </w:tc>
      </w:tr>
    </w:tbl>
    <w:p w14:paraId="20FC84C5">
      <w:pPr>
        <w:keepNext w:val="0"/>
        <w:keepLines w:val="0"/>
        <w:pageBreakBefore w:val="0"/>
        <w:widowControl w:val="0"/>
        <w:kinsoku/>
        <w:wordWrap/>
        <w:overflowPunct/>
        <w:topLinePunct w:val="0"/>
        <w:autoSpaceDE/>
        <w:autoSpaceDN/>
        <w:bidi w:val="0"/>
        <w:adjustRightInd w:val="0"/>
        <w:snapToGrid/>
        <w:spacing w:before="312" w:beforeLines="100" w:after="156" w:afterLines="50" w:line="440" w:lineRule="exact"/>
        <w:ind w:right="480"/>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备注：拟投入人员</w:t>
      </w:r>
      <w:r>
        <w:rPr>
          <w:rFonts w:hint="eastAsia" w:ascii="宋体" w:hAnsi="宋体" w:eastAsia="宋体" w:cs="宋体"/>
          <w:color w:val="auto"/>
          <w:kern w:val="0"/>
          <w:sz w:val="32"/>
          <w:szCs w:val="32"/>
          <w:lang w:val="en-US" w:eastAsia="zh-CN"/>
        </w:rPr>
        <w:t>证明资料</w:t>
      </w:r>
      <w:r>
        <w:rPr>
          <w:rFonts w:hint="eastAsia" w:ascii="宋体" w:hAnsi="宋体" w:eastAsia="宋体" w:cs="宋体"/>
          <w:color w:val="auto"/>
          <w:kern w:val="0"/>
          <w:sz w:val="32"/>
          <w:szCs w:val="32"/>
        </w:rPr>
        <w:t>（按拟投入情况表所列顺序依次排列）</w:t>
      </w:r>
    </w:p>
    <w:p w14:paraId="1718C11B">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49FC423F">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63379804">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投标</w:t>
      </w:r>
      <w:r>
        <w:rPr>
          <w:rFonts w:hint="eastAsia" w:ascii="宋体" w:hAnsi="宋体" w:eastAsia="宋体" w:cs="宋体"/>
          <w:b w:val="0"/>
          <w:bCs w:val="0"/>
          <w:sz w:val="32"/>
          <w:szCs w:val="32"/>
          <w:lang w:eastAsia="zh-CN"/>
        </w:rPr>
        <w:t>人</w:t>
      </w:r>
      <w:r>
        <w:rPr>
          <w:rFonts w:hint="eastAsia" w:ascii="宋体" w:hAnsi="宋体" w:eastAsia="宋体" w:cs="宋体"/>
          <w:b w:val="0"/>
          <w:bCs w:val="0"/>
          <w:sz w:val="32"/>
          <w:szCs w:val="32"/>
        </w:rPr>
        <w:t>名称：</w:t>
      </w:r>
      <w:r>
        <w:rPr>
          <w:rFonts w:hint="eastAsia" w:ascii="宋体" w:hAnsi="宋体" w:eastAsia="宋体" w:cs="宋体"/>
          <w:b w:val="0"/>
          <w:bCs w:val="0"/>
          <w:sz w:val="32"/>
          <w:szCs w:val="32"/>
          <w:u w:val="single"/>
        </w:rPr>
        <w:t xml:space="preserve">                       </w:t>
      </w:r>
    </w:p>
    <w:p w14:paraId="71B735E3">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      章：</w:t>
      </w:r>
    </w:p>
    <w:p w14:paraId="3EDC02F2">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sz w:val="32"/>
          <w:szCs w:val="32"/>
        </w:rPr>
        <w:t>或</w:t>
      </w:r>
      <w:r>
        <w:rPr>
          <w:rFonts w:hint="eastAsia" w:ascii="宋体" w:hAnsi="宋体" w:eastAsia="宋体" w:cs="宋体"/>
          <w:b w:val="0"/>
          <w:bCs w:val="0"/>
          <w:sz w:val="32"/>
          <w:szCs w:val="32"/>
          <w:lang w:val="en-US" w:eastAsia="zh-CN"/>
        </w:rPr>
        <w:t>被授权人</w:t>
      </w:r>
      <w:r>
        <w:rPr>
          <w:rFonts w:hint="eastAsia" w:ascii="宋体" w:hAnsi="宋体" w:eastAsia="宋体" w:cs="宋体"/>
          <w:b w:val="0"/>
          <w:bCs w:val="0"/>
          <w:sz w:val="32"/>
          <w:szCs w:val="32"/>
        </w:rPr>
        <w:t>签字</w:t>
      </w:r>
      <w:r>
        <w:rPr>
          <w:rFonts w:hint="eastAsia" w:ascii="宋体" w:hAnsi="宋体" w:eastAsia="宋体" w:cs="宋体"/>
          <w:b w:val="0"/>
          <w:bCs w:val="0"/>
          <w:sz w:val="32"/>
          <w:szCs w:val="32"/>
          <w:lang w:val="en-US" w:eastAsia="zh-CN"/>
        </w:rPr>
        <w:t>或签章</w:t>
      </w:r>
      <w:r>
        <w:rPr>
          <w:rFonts w:hint="eastAsia" w:ascii="宋体" w:hAnsi="宋体" w:eastAsia="宋体" w:cs="宋体"/>
          <w:b w:val="0"/>
          <w:bCs w:val="0"/>
          <w:sz w:val="32"/>
          <w:szCs w:val="32"/>
        </w:rPr>
        <w:t>:</w:t>
      </w:r>
      <w:r>
        <w:rPr>
          <w:rFonts w:hint="eastAsia" w:ascii="宋体" w:hAnsi="宋体" w:eastAsia="宋体" w:cs="宋体"/>
          <w:b w:val="0"/>
          <w:bCs w:val="0"/>
          <w:sz w:val="32"/>
          <w:szCs w:val="32"/>
          <w:u w:val="single"/>
        </w:rPr>
        <w:tab/>
      </w:r>
      <w:r>
        <w:rPr>
          <w:rFonts w:hint="eastAsia" w:ascii="宋体" w:hAnsi="宋体" w:eastAsia="宋体" w:cs="宋体"/>
          <w:b w:val="0"/>
          <w:bCs w:val="0"/>
          <w:sz w:val="32"/>
          <w:szCs w:val="32"/>
          <w:u w:val="single"/>
          <w:lang w:val="en-US" w:eastAsia="zh-CN"/>
        </w:rPr>
        <w:t xml:space="preserve">         </w:t>
      </w:r>
    </w:p>
    <w:p w14:paraId="6983B9E5">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bCs/>
          <w:spacing w:val="-10"/>
          <w:sz w:val="32"/>
          <w:szCs w:val="32"/>
          <w:lang w:val="en-US" w:eastAsia="zh-CN"/>
        </w:rPr>
      </w:pPr>
      <w:r>
        <w:rPr>
          <w:rFonts w:hint="eastAsia" w:ascii="宋体" w:hAnsi="宋体" w:eastAsia="宋体" w:cs="宋体"/>
          <w:b w:val="0"/>
          <w:bCs w:val="0"/>
          <w:sz w:val="32"/>
          <w:szCs w:val="32"/>
          <w:lang w:val="en-US" w:eastAsia="zh-CN"/>
        </w:rPr>
        <w:t>日期：年  月  日</w:t>
      </w:r>
    </w:p>
    <w:p w14:paraId="0F04D12A">
      <w:pPr>
        <w:spacing w:before="104" w:line="220" w:lineRule="auto"/>
        <w:ind w:left="3066"/>
        <w:rPr>
          <w:rFonts w:hint="eastAsia" w:ascii="宋体" w:hAnsi="宋体" w:eastAsia="宋体" w:cs="宋体"/>
          <w:b/>
          <w:bCs/>
          <w:spacing w:val="-10"/>
          <w:sz w:val="32"/>
          <w:szCs w:val="32"/>
          <w:lang w:val="en-US" w:eastAsia="zh-CN"/>
        </w:rPr>
      </w:pPr>
    </w:p>
    <w:p w14:paraId="695F3C6A">
      <w:pPr>
        <w:spacing w:before="104" w:line="220" w:lineRule="auto"/>
        <w:ind w:left="3066"/>
        <w:rPr>
          <w:rFonts w:hint="eastAsia" w:ascii="宋体" w:hAnsi="宋体" w:eastAsia="宋体" w:cs="宋体"/>
          <w:b/>
          <w:bCs/>
          <w:spacing w:val="-10"/>
          <w:sz w:val="32"/>
          <w:szCs w:val="32"/>
          <w:lang w:val="en-US" w:eastAsia="zh-CN"/>
        </w:rPr>
      </w:pPr>
    </w:p>
    <w:p w14:paraId="3C574D11">
      <w:pPr>
        <w:spacing w:before="104" w:line="220" w:lineRule="auto"/>
        <w:ind w:left="3066"/>
        <w:rPr>
          <w:rFonts w:hint="default" w:ascii="宋体" w:hAnsi="宋体" w:eastAsia="宋体" w:cs="宋体"/>
          <w:sz w:val="32"/>
          <w:szCs w:val="32"/>
          <w:lang w:val="en-US" w:eastAsia="zh-CN"/>
        </w:rPr>
      </w:pPr>
      <w:r>
        <w:rPr>
          <w:rFonts w:hint="eastAsia" w:ascii="宋体" w:hAnsi="宋体" w:eastAsia="宋体" w:cs="宋体"/>
          <w:b/>
          <w:bCs/>
          <w:spacing w:val="-10"/>
          <w:sz w:val="32"/>
          <w:szCs w:val="32"/>
          <w:lang w:val="en-US" w:eastAsia="zh-CN"/>
        </w:rPr>
        <w:t>9.类似业绩</w:t>
      </w:r>
    </w:p>
    <w:p w14:paraId="654FFEA1">
      <w:pPr>
        <w:spacing w:before="304" w:line="220" w:lineRule="auto"/>
        <w:ind w:left="166"/>
        <w:rPr>
          <w:rFonts w:ascii="宋体" w:hAnsi="宋体" w:eastAsia="宋体" w:cs="宋体"/>
          <w:sz w:val="28"/>
          <w:szCs w:val="28"/>
        </w:rPr>
      </w:pPr>
      <w:r>
        <w:rPr>
          <w:rFonts w:ascii="宋体" w:hAnsi="宋体" w:eastAsia="宋体" w:cs="宋体"/>
          <w:spacing w:val="-6"/>
          <w:sz w:val="28"/>
          <w:szCs w:val="28"/>
        </w:rPr>
        <w:t>项目名称：</w:t>
      </w:r>
    </w:p>
    <w:p w14:paraId="7CE49EA7">
      <w:pPr>
        <w:spacing w:before="180" w:line="220" w:lineRule="auto"/>
        <w:ind w:left="166"/>
        <w:rPr>
          <w:rFonts w:ascii="宋体" w:hAnsi="宋体" w:eastAsia="宋体" w:cs="宋体"/>
          <w:spacing w:val="-5"/>
          <w:sz w:val="28"/>
          <w:szCs w:val="28"/>
        </w:rPr>
      </w:pPr>
      <w:r>
        <w:rPr>
          <w:rFonts w:ascii="宋体" w:hAnsi="宋体" w:eastAsia="宋体" w:cs="宋体"/>
          <w:spacing w:val="-5"/>
          <w:sz w:val="28"/>
          <w:szCs w:val="28"/>
        </w:rPr>
        <w:t>项目编号/包号：</w:t>
      </w:r>
    </w:p>
    <w:p w14:paraId="18702FFA">
      <w:pPr>
        <w:spacing w:before="180" w:line="220" w:lineRule="auto"/>
        <w:ind w:left="166"/>
        <w:rPr>
          <w:rFonts w:hint="eastAsia" w:ascii="宋体" w:hAnsi="宋体" w:eastAsia="宋体" w:cs="宋体"/>
          <w:spacing w:val="-5"/>
          <w:sz w:val="24"/>
          <w:szCs w:val="24"/>
          <w:lang w:val="en-US" w:eastAsia="zh-CN"/>
        </w:rPr>
      </w:pPr>
      <w:r>
        <w:rPr>
          <w:rFonts w:hint="eastAsia" w:ascii="宋体" w:hAnsi="宋体" w:eastAsia="宋体" w:cs="宋体"/>
          <w:spacing w:val="-5"/>
          <w:sz w:val="28"/>
          <w:szCs w:val="28"/>
          <w:lang w:val="en-US" w:eastAsia="zh-CN"/>
        </w:rPr>
        <w:t>标项名称：</w:t>
      </w:r>
    </w:p>
    <w:p w14:paraId="49388955">
      <w:pPr>
        <w:spacing w:line="68" w:lineRule="exact"/>
      </w:pPr>
    </w:p>
    <w:tbl>
      <w:tblPr>
        <w:tblStyle w:val="31"/>
        <w:tblW w:w="89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079"/>
        <w:gridCol w:w="1246"/>
        <w:gridCol w:w="1128"/>
        <w:gridCol w:w="1281"/>
        <w:gridCol w:w="1366"/>
        <w:gridCol w:w="959"/>
        <w:gridCol w:w="1180"/>
      </w:tblGrid>
      <w:tr w14:paraId="568E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48" w:type="dxa"/>
            <w:vAlign w:val="top"/>
          </w:tcPr>
          <w:p w14:paraId="201CD469">
            <w:pPr>
              <w:spacing w:line="292" w:lineRule="auto"/>
              <w:rPr>
                <w:rFonts w:ascii="Arial"/>
                <w:sz w:val="28"/>
                <w:szCs w:val="28"/>
              </w:rPr>
            </w:pPr>
          </w:p>
          <w:p w14:paraId="3CEC14FE">
            <w:pPr>
              <w:pStyle w:val="30"/>
              <w:spacing w:before="68" w:line="221" w:lineRule="auto"/>
              <w:ind w:left="184"/>
              <w:rPr>
                <w:sz w:val="28"/>
                <w:szCs w:val="28"/>
              </w:rPr>
            </w:pPr>
            <w:r>
              <w:rPr>
                <w:spacing w:val="-4"/>
                <w:sz w:val="28"/>
                <w:szCs w:val="28"/>
              </w:rPr>
              <w:t>序号</w:t>
            </w:r>
          </w:p>
        </w:tc>
        <w:tc>
          <w:tcPr>
            <w:tcW w:w="1079" w:type="dxa"/>
            <w:vAlign w:val="top"/>
          </w:tcPr>
          <w:p w14:paraId="35024747">
            <w:pPr>
              <w:spacing w:line="291" w:lineRule="auto"/>
              <w:rPr>
                <w:rFonts w:ascii="Arial"/>
                <w:sz w:val="28"/>
                <w:szCs w:val="28"/>
              </w:rPr>
            </w:pPr>
          </w:p>
          <w:p w14:paraId="3CA7700C">
            <w:pPr>
              <w:pStyle w:val="30"/>
              <w:spacing w:before="68" w:line="220" w:lineRule="auto"/>
              <w:ind w:left="111"/>
              <w:rPr>
                <w:sz w:val="28"/>
                <w:szCs w:val="28"/>
              </w:rPr>
            </w:pPr>
            <w:r>
              <w:rPr>
                <w:spacing w:val="-10"/>
                <w:sz w:val="28"/>
                <w:szCs w:val="28"/>
              </w:rPr>
              <w:t>完成时间</w:t>
            </w:r>
          </w:p>
        </w:tc>
        <w:tc>
          <w:tcPr>
            <w:tcW w:w="1246" w:type="dxa"/>
            <w:vAlign w:val="top"/>
          </w:tcPr>
          <w:p w14:paraId="2CEB01E9">
            <w:pPr>
              <w:spacing w:line="292" w:lineRule="auto"/>
              <w:rPr>
                <w:rFonts w:ascii="Arial"/>
                <w:sz w:val="28"/>
                <w:szCs w:val="28"/>
              </w:rPr>
            </w:pPr>
          </w:p>
          <w:p w14:paraId="32EFE061">
            <w:pPr>
              <w:pStyle w:val="30"/>
              <w:spacing w:before="68" w:line="220" w:lineRule="auto"/>
              <w:ind w:left="210"/>
              <w:rPr>
                <w:sz w:val="28"/>
                <w:szCs w:val="28"/>
              </w:rPr>
            </w:pPr>
            <w:r>
              <w:rPr>
                <w:spacing w:val="-10"/>
                <w:sz w:val="28"/>
                <w:szCs w:val="28"/>
              </w:rPr>
              <w:t>项目名称</w:t>
            </w:r>
          </w:p>
        </w:tc>
        <w:tc>
          <w:tcPr>
            <w:tcW w:w="1128" w:type="dxa"/>
            <w:vAlign w:val="top"/>
          </w:tcPr>
          <w:p w14:paraId="2B85563F">
            <w:pPr>
              <w:spacing w:line="291" w:lineRule="auto"/>
              <w:rPr>
                <w:rFonts w:ascii="Arial"/>
                <w:sz w:val="28"/>
                <w:szCs w:val="28"/>
              </w:rPr>
            </w:pPr>
          </w:p>
          <w:p w14:paraId="50D994D7">
            <w:pPr>
              <w:pStyle w:val="30"/>
              <w:spacing w:before="68" w:line="220" w:lineRule="auto"/>
              <w:ind w:left="150"/>
              <w:rPr>
                <w:sz w:val="28"/>
                <w:szCs w:val="28"/>
              </w:rPr>
            </w:pPr>
            <w:r>
              <w:rPr>
                <w:spacing w:val="-10"/>
                <w:sz w:val="28"/>
                <w:szCs w:val="28"/>
              </w:rPr>
              <w:t>标的内容</w:t>
            </w:r>
          </w:p>
        </w:tc>
        <w:tc>
          <w:tcPr>
            <w:tcW w:w="1281" w:type="dxa"/>
            <w:vAlign w:val="top"/>
          </w:tcPr>
          <w:p w14:paraId="6AC1C886">
            <w:pPr>
              <w:spacing w:line="291" w:lineRule="auto"/>
              <w:rPr>
                <w:rFonts w:ascii="Arial"/>
                <w:sz w:val="28"/>
                <w:szCs w:val="28"/>
              </w:rPr>
            </w:pPr>
          </w:p>
          <w:p w14:paraId="1C4ADF7A">
            <w:pPr>
              <w:pStyle w:val="30"/>
              <w:spacing w:before="69" w:line="219" w:lineRule="auto"/>
              <w:ind w:left="122"/>
              <w:rPr>
                <w:sz w:val="28"/>
                <w:szCs w:val="28"/>
              </w:rPr>
            </w:pPr>
            <w:r>
              <w:rPr>
                <w:spacing w:val="-7"/>
                <w:sz w:val="28"/>
                <w:szCs w:val="28"/>
              </w:rPr>
              <w:t>采购人名称</w:t>
            </w:r>
          </w:p>
        </w:tc>
        <w:tc>
          <w:tcPr>
            <w:tcW w:w="1366" w:type="dxa"/>
            <w:vAlign w:val="top"/>
          </w:tcPr>
          <w:p w14:paraId="16231929">
            <w:pPr>
              <w:pStyle w:val="30"/>
              <w:spacing w:before="127" w:line="352" w:lineRule="auto"/>
              <w:ind w:left="499" w:right="21" w:hanging="364"/>
              <w:rPr>
                <w:sz w:val="28"/>
                <w:szCs w:val="28"/>
              </w:rPr>
            </w:pPr>
            <w:r>
              <w:rPr>
                <w:spacing w:val="-11"/>
                <w:sz w:val="28"/>
                <w:szCs w:val="28"/>
              </w:rPr>
              <w:t>中标（成交）</w:t>
            </w:r>
            <w:r>
              <w:rPr>
                <w:spacing w:val="3"/>
                <w:sz w:val="28"/>
                <w:szCs w:val="28"/>
              </w:rPr>
              <w:t xml:space="preserve"> </w:t>
            </w:r>
            <w:r>
              <w:rPr>
                <w:spacing w:val="-5"/>
                <w:sz w:val="28"/>
                <w:szCs w:val="28"/>
              </w:rPr>
              <w:t>金额</w:t>
            </w:r>
          </w:p>
        </w:tc>
        <w:tc>
          <w:tcPr>
            <w:tcW w:w="959" w:type="dxa"/>
            <w:vAlign w:val="top"/>
          </w:tcPr>
          <w:p w14:paraId="330E7F24">
            <w:pPr>
              <w:spacing w:line="291" w:lineRule="auto"/>
              <w:rPr>
                <w:rFonts w:ascii="Arial"/>
                <w:sz w:val="28"/>
                <w:szCs w:val="28"/>
              </w:rPr>
            </w:pPr>
          </w:p>
          <w:p w14:paraId="5E5445F1">
            <w:pPr>
              <w:pStyle w:val="30"/>
              <w:spacing w:before="69" w:line="222" w:lineRule="auto"/>
              <w:ind w:left="177"/>
              <w:rPr>
                <w:sz w:val="28"/>
                <w:szCs w:val="28"/>
              </w:rPr>
            </w:pPr>
            <w:r>
              <w:rPr>
                <w:spacing w:val="-7"/>
                <w:sz w:val="28"/>
                <w:szCs w:val="28"/>
              </w:rPr>
              <w:t>联系人</w:t>
            </w:r>
          </w:p>
        </w:tc>
        <w:tc>
          <w:tcPr>
            <w:tcW w:w="1180" w:type="dxa"/>
            <w:vAlign w:val="top"/>
          </w:tcPr>
          <w:p w14:paraId="6A07C8D9">
            <w:pPr>
              <w:spacing w:line="291" w:lineRule="auto"/>
              <w:rPr>
                <w:rFonts w:ascii="Arial"/>
                <w:sz w:val="28"/>
                <w:szCs w:val="28"/>
              </w:rPr>
            </w:pPr>
          </w:p>
          <w:p w14:paraId="75CC5203">
            <w:pPr>
              <w:pStyle w:val="30"/>
              <w:spacing w:before="69" w:line="222" w:lineRule="auto"/>
              <w:ind w:left="180"/>
              <w:rPr>
                <w:sz w:val="28"/>
                <w:szCs w:val="28"/>
              </w:rPr>
            </w:pPr>
            <w:r>
              <w:rPr>
                <w:spacing w:val="-10"/>
                <w:sz w:val="28"/>
                <w:szCs w:val="28"/>
              </w:rPr>
              <w:t>联系电话</w:t>
            </w:r>
          </w:p>
        </w:tc>
      </w:tr>
      <w:tr w14:paraId="5649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12F3EA65">
            <w:pPr>
              <w:pStyle w:val="30"/>
              <w:spacing w:before="259" w:line="182" w:lineRule="auto"/>
              <w:ind w:left="346"/>
              <w:rPr>
                <w:sz w:val="28"/>
                <w:szCs w:val="28"/>
              </w:rPr>
            </w:pPr>
            <w:r>
              <w:rPr>
                <w:sz w:val="28"/>
                <w:szCs w:val="28"/>
              </w:rPr>
              <w:t>1</w:t>
            </w:r>
          </w:p>
        </w:tc>
        <w:tc>
          <w:tcPr>
            <w:tcW w:w="1079" w:type="dxa"/>
            <w:vAlign w:val="top"/>
          </w:tcPr>
          <w:p w14:paraId="268F2A7B">
            <w:pPr>
              <w:rPr>
                <w:rFonts w:ascii="Arial"/>
                <w:sz w:val="28"/>
                <w:szCs w:val="28"/>
              </w:rPr>
            </w:pPr>
          </w:p>
        </w:tc>
        <w:tc>
          <w:tcPr>
            <w:tcW w:w="1246" w:type="dxa"/>
            <w:vAlign w:val="top"/>
          </w:tcPr>
          <w:p w14:paraId="0C06FF60">
            <w:pPr>
              <w:rPr>
                <w:rFonts w:ascii="Arial"/>
                <w:sz w:val="28"/>
                <w:szCs w:val="28"/>
              </w:rPr>
            </w:pPr>
          </w:p>
        </w:tc>
        <w:tc>
          <w:tcPr>
            <w:tcW w:w="1128" w:type="dxa"/>
            <w:vAlign w:val="top"/>
          </w:tcPr>
          <w:p w14:paraId="37B4295C">
            <w:pPr>
              <w:rPr>
                <w:rFonts w:ascii="Arial"/>
                <w:sz w:val="28"/>
                <w:szCs w:val="28"/>
              </w:rPr>
            </w:pPr>
          </w:p>
        </w:tc>
        <w:tc>
          <w:tcPr>
            <w:tcW w:w="1281" w:type="dxa"/>
            <w:vAlign w:val="top"/>
          </w:tcPr>
          <w:p w14:paraId="1C33CDB5">
            <w:pPr>
              <w:rPr>
                <w:rFonts w:ascii="Arial"/>
                <w:sz w:val="28"/>
                <w:szCs w:val="28"/>
              </w:rPr>
            </w:pPr>
          </w:p>
        </w:tc>
        <w:tc>
          <w:tcPr>
            <w:tcW w:w="1366" w:type="dxa"/>
            <w:vAlign w:val="top"/>
          </w:tcPr>
          <w:p w14:paraId="6DA9DA60">
            <w:pPr>
              <w:rPr>
                <w:rFonts w:ascii="Arial"/>
                <w:sz w:val="28"/>
                <w:szCs w:val="28"/>
              </w:rPr>
            </w:pPr>
          </w:p>
        </w:tc>
        <w:tc>
          <w:tcPr>
            <w:tcW w:w="959" w:type="dxa"/>
            <w:vAlign w:val="top"/>
          </w:tcPr>
          <w:p w14:paraId="6CC11BEE">
            <w:pPr>
              <w:rPr>
                <w:rFonts w:ascii="Arial"/>
                <w:sz w:val="28"/>
                <w:szCs w:val="28"/>
              </w:rPr>
            </w:pPr>
          </w:p>
        </w:tc>
        <w:tc>
          <w:tcPr>
            <w:tcW w:w="1180" w:type="dxa"/>
            <w:vAlign w:val="top"/>
          </w:tcPr>
          <w:p w14:paraId="3611D46C">
            <w:pPr>
              <w:rPr>
                <w:rFonts w:ascii="Arial"/>
                <w:sz w:val="28"/>
                <w:szCs w:val="28"/>
              </w:rPr>
            </w:pPr>
          </w:p>
        </w:tc>
      </w:tr>
      <w:tr w14:paraId="43EB5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02DD37CF">
            <w:pPr>
              <w:pStyle w:val="30"/>
              <w:spacing w:before="263" w:line="181" w:lineRule="auto"/>
              <w:ind w:left="333"/>
              <w:rPr>
                <w:sz w:val="28"/>
                <w:szCs w:val="28"/>
              </w:rPr>
            </w:pPr>
            <w:r>
              <w:rPr>
                <w:sz w:val="28"/>
                <w:szCs w:val="28"/>
              </w:rPr>
              <w:t>2</w:t>
            </w:r>
          </w:p>
        </w:tc>
        <w:tc>
          <w:tcPr>
            <w:tcW w:w="1079" w:type="dxa"/>
            <w:vAlign w:val="top"/>
          </w:tcPr>
          <w:p w14:paraId="4E45C5CC">
            <w:pPr>
              <w:rPr>
                <w:rFonts w:ascii="Arial"/>
                <w:sz w:val="28"/>
                <w:szCs w:val="28"/>
              </w:rPr>
            </w:pPr>
          </w:p>
        </w:tc>
        <w:tc>
          <w:tcPr>
            <w:tcW w:w="1246" w:type="dxa"/>
            <w:vAlign w:val="top"/>
          </w:tcPr>
          <w:p w14:paraId="0CB38CC3">
            <w:pPr>
              <w:rPr>
                <w:rFonts w:ascii="Arial"/>
                <w:sz w:val="28"/>
                <w:szCs w:val="28"/>
              </w:rPr>
            </w:pPr>
          </w:p>
        </w:tc>
        <w:tc>
          <w:tcPr>
            <w:tcW w:w="1128" w:type="dxa"/>
            <w:vAlign w:val="top"/>
          </w:tcPr>
          <w:p w14:paraId="5138CDD3">
            <w:pPr>
              <w:rPr>
                <w:rFonts w:ascii="Arial"/>
                <w:sz w:val="28"/>
                <w:szCs w:val="28"/>
              </w:rPr>
            </w:pPr>
          </w:p>
        </w:tc>
        <w:tc>
          <w:tcPr>
            <w:tcW w:w="1281" w:type="dxa"/>
            <w:vAlign w:val="top"/>
          </w:tcPr>
          <w:p w14:paraId="4B412BB3">
            <w:pPr>
              <w:rPr>
                <w:rFonts w:ascii="Arial"/>
                <w:sz w:val="28"/>
                <w:szCs w:val="28"/>
              </w:rPr>
            </w:pPr>
          </w:p>
        </w:tc>
        <w:tc>
          <w:tcPr>
            <w:tcW w:w="1366" w:type="dxa"/>
            <w:vAlign w:val="top"/>
          </w:tcPr>
          <w:p w14:paraId="4C9FDFCA">
            <w:pPr>
              <w:rPr>
                <w:rFonts w:ascii="Arial"/>
                <w:sz w:val="28"/>
                <w:szCs w:val="28"/>
              </w:rPr>
            </w:pPr>
          </w:p>
        </w:tc>
        <w:tc>
          <w:tcPr>
            <w:tcW w:w="959" w:type="dxa"/>
            <w:vAlign w:val="top"/>
          </w:tcPr>
          <w:p w14:paraId="38A08D04">
            <w:pPr>
              <w:rPr>
                <w:rFonts w:ascii="Arial"/>
                <w:sz w:val="28"/>
                <w:szCs w:val="28"/>
              </w:rPr>
            </w:pPr>
          </w:p>
        </w:tc>
        <w:tc>
          <w:tcPr>
            <w:tcW w:w="1180" w:type="dxa"/>
            <w:vAlign w:val="top"/>
          </w:tcPr>
          <w:p w14:paraId="5BE0173F">
            <w:pPr>
              <w:rPr>
                <w:rFonts w:ascii="Arial"/>
                <w:sz w:val="28"/>
                <w:szCs w:val="28"/>
              </w:rPr>
            </w:pPr>
          </w:p>
        </w:tc>
      </w:tr>
      <w:tr w14:paraId="2622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19B3D8DC">
            <w:pPr>
              <w:pStyle w:val="30"/>
              <w:spacing w:before="264" w:line="181" w:lineRule="auto"/>
              <w:ind w:left="334"/>
              <w:rPr>
                <w:sz w:val="28"/>
                <w:szCs w:val="28"/>
              </w:rPr>
            </w:pPr>
            <w:r>
              <w:rPr>
                <w:sz w:val="28"/>
                <w:szCs w:val="28"/>
              </w:rPr>
              <w:t>3</w:t>
            </w:r>
          </w:p>
        </w:tc>
        <w:tc>
          <w:tcPr>
            <w:tcW w:w="1079" w:type="dxa"/>
            <w:vAlign w:val="top"/>
          </w:tcPr>
          <w:p w14:paraId="413989BB">
            <w:pPr>
              <w:rPr>
                <w:rFonts w:ascii="Arial"/>
                <w:sz w:val="28"/>
                <w:szCs w:val="28"/>
              </w:rPr>
            </w:pPr>
          </w:p>
        </w:tc>
        <w:tc>
          <w:tcPr>
            <w:tcW w:w="1246" w:type="dxa"/>
            <w:vAlign w:val="top"/>
          </w:tcPr>
          <w:p w14:paraId="54CBD183">
            <w:pPr>
              <w:rPr>
                <w:rFonts w:ascii="Arial"/>
                <w:sz w:val="28"/>
                <w:szCs w:val="28"/>
              </w:rPr>
            </w:pPr>
          </w:p>
        </w:tc>
        <w:tc>
          <w:tcPr>
            <w:tcW w:w="1128" w:type="dxa"/>
            <w:vAlign w:val="top"/>
          </w:tcPr>
          <w:p w14:paraId="29E0932F">
            <w:pPr>
              <w:rPr>
                <w:rFonts w:ascii="Arial"/>
                <w:sz w:val="28"/>
                <w:szCs w:val="28"/>
              </w:rPr>
            </w:pPr>
          </w:p>
        </w:tc>
        <w:tc>
          <w:tcPr>
            <w:tcW w:w="1281" w:type="dxa"/>
            <w:vAlign w:val="top"/>
          </w:tcPr>
          <w:p w14:paraId="1E24C92C">
            <w:pPr>
              <w:rPr>
                <w:rFonts w:ascii="Arial"/>
                <w:sz w:val="28"/>
                <w:szCs w:val="28"/>
              </w:rPr>
            </w:pPr>
          </w:p>
        </w:tc>
        <w:tc>
          <w:tcPr>
            <w:tcW w:w="1366" w:type="dxa"/>
            <w:vAlign w:val="top"/>
          </w:tcPr>
          <w:p w14:paraId="5FA0D9E4">
            <w:pPr>
              <w:rPr>
                <w:rFonts w:ascii="Arial"/>
                <w:sz w:val="28"/>
                <w:szCs w:val="28"/>
              </w:rPr>
            </w:pPr>
          </w:p>
        </w:tc>
        <w:tc>
          <w:tcPr>
            <w:tcW w:w="959" w:type="dxa"/>
            <w:vAlign w:val="top"/>
          </w:tcPr>
          <w:p w14:paraId="78A931AE">
            <w:pPr>
              <w:rPr>
                <w:rFonts w:ascii="Arial"/>
                <w:sz w:val="28"/>
                <w:szCs w:val="28"/>
              </w:rPr>
            </w:pPr>
          </w:p>
        </w:tc>
        <w:tc>
          <w:tcPr>
            <w:tcW w:w="1180" w:type="dxa"/>
            <w:vAlign w:val="top"/>
          </w:tcPr>
          <w:p w14:paraId="0FF9200C">
            <w:pPr>
              <w:rPr>
                <w:rFonts w:ascii="Arial"/>
                <w:sz w:val="28"/>
                <w:szCs w:val="28"/>
              </w:rPr>
            </w:pPr>
          </w:p>
        </w:tc>
      </w:tr>
      <w:tr w14:paraId="56A8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0361829F">
            <w:pPr>
              <w:pStyle w:val="30"/>
              <w:spacing w:before="266" w:line="181" w:lineRule="auto"/>
              <w:ind w:left="329"/>
              <w:rPr>
                <w:sz w:val="28"/>
                <w:szCs w:val="28"/>
              </w:rPr>
            </w:pPr>
            <w:r>
              <w:rPr>
                <w:sz w:val="28"/>
                <w:szCs w:val="28"/>
              </w:rPr>
              <w:t>4</w:t>
            </w:r>
          </w:p>
        </w:tc>
        <w:tc>
          <w:tcPr>
            <w:tcW w:w="1079" w:type="dxa"/>
            <w:vAlign w:val="top"/>
          </w:tcPr>
          <w:p w14:paraId="44442748">
            <w:pPr>
              <w:rPr>
                <w:rFonts w:ascii="Arial"/>
                <w:sz w:val="28"/>
                <w:szCs w:val="28"/>
              </w:rPr>
            </w:pPr>
          </w:p>
        </w:tc>
        <w:tc>
          <w:tcPr>
            <w:tcW w:w="1246" w:type="dxa"/>
            <w:vAlign w:val="top"/>
          </w:tcPr>
          <w:p w14:paraId="101D2C89">
            <w:pPr>
              <w:rPr>
                <w:rFonts w:ascii="Arial"/>
                <w:sz w:val="28"/>
                <w:szCs w:val="28"/>
              </w:rPr>
            </w:pPr>
          </w:p>
        </w:tc>
        <w:tc>
          <w:tcPr>
            <w:tcW w:w="1128" w:type="dxa"/>
            <w:vAlign w:val="top"/>
          </w:tcPr>
          <w:p w14:paraId="2300B437">
            <w:pPr>
              <w:rPr>
                <w:rFonts w:ascii="Arial"/>
                <w:sz w:val="28"/>
                <w:szCs w:val="28"/>
              </w:rPr>
            </w:pPr>
          </w:p>
        </w:tc>
        <w:tc>
          <w:tcPr>
            <w:tcW w:w="1281" w:type="dxa"/>
            <w:vAlign w:val="top"/>
          </w:tcPr>
          <w:p w14:paraId="578ACCD7">
            <w:pPr>
              <w:rPr>
                <w:rFonts w:ascii="Arial"/>
                <w:sz w:val="28"/>
                <w:szCs w:val="28"/>
              </w:rPr>
            </w:pPr>
          </w:p>
        </w:tc>
        <w:tc>
          <w:tcPr>
            <w:tcW w:w="1366" w:type="dxa"/>
            <w:vAlign w:val="top"/>
          </w:tcPr>
          <w:p w14:paraId="675072A2">
            <w:pPr>
              <w:rPr>
                <w:rFonts w:ascii="Arial"/>
                <w:sz w:val="28"/>
                <w:szCs w:val="28"/>
              </w:rPr>
            </w:pPr>
          </w:p>
        </w:tc>
        <w:tc>
          <w:tcPr>
            <w:tcW w:w="959" w:type="dxa"/>
            <w:vAlign w:val="top"/>
          </w:tcPr>
          <w:p w14:paraId="48CEED96">
            <w:pPr>
              <w:rPr>
                <w:rFonts w:ascii="Arial"/>
                <w:sz w:val="28"/>
                <w:szCs w:val="28"/>
              </w:rPr>
            </w:pPr>
          </w:p>
        </w:tc>
        <w:tc>
          <w:tcPr>
            <w:tcW w:w="1180" w:type="dxa"/>
            <w:vAlign w:val="top"/>
          </w:tcPr>
          <w:p w14:paraId="4864B41B">
            <w:pPr>
              <w:rPr>
                <w:rFonts w:ascii="Arial"/>
                <w:sz w:val="28"/>
                <w:szCs w:val="28"/>
              </w:rPr>
            </w:pPr>
          </w:p>
        </w:tc>
      </w:tr>
      <w:tr w14:paraId="4D88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656554D2">
            <w:pPr>
              <w:pStyle w:val="30"/>
              <w:spacing w:before="266" w:line="180" w:lineRule="auto"/>
              <w:ind w:left="334"/>
              <w:rPr>
                <w:sz w:val="28"/>
                <w:szCs w:val="28"/>
              </w:rPr>
            </w:pPr>
            <w:r>
              <w:rPr>
                <w:sz w:val="28"/>
                <w:szCs w:val="28"/>
              </w:rPr>
              <w:t>5</w:t>
            </w:r>
          </w:p>
        </w:tc>
        <w:tc>
          <w:tcPr>
            <w:tcW w:w="1079" w:type="dxa"/>
            <w:vAlign w:val="top"/>
          </w:tcPr>
          <w:p w14:paraId="398307F4">
            <w:pPr>
              <w:rPr>
                <w:rFonts w:ascii="Arial"/>
                <w:sz w:val="28"/>
                <w:szCs w:val="28"/>
              </w:rPr>
            </w:pPr>
          </w:p>
        </w:tc>
        <w:tc>
          <w:tcPr>
            <w:tcW w:w="1246" w:type="dxa"/>
            <w:vAlign w:val="top"/>
          </w:tcPr>
          <w:p w14:paraId="57B40CAA">
            <w:pPr>
              <w:rPr>
                <w:rFonts w:ascii="Arial"/>
                <w:sz w:val="28"/>
                <w:szCs w:val="28"/>
              </w:rPr>
            </w:pPr>
          </w:p>
        </w:tc>
        <w:tc>
          <w:tcPr>
            <w:tcW w:w="1128" w:type="dxa"/>
            <w:vAlign w:val="top"/>
          </w:tcPr>
          <w:p w14:paraId="402ED470">
            <w:pPr>
              <w:rPr>
                <w:rFonts w:ascii="Arial"/>
                <w:sz w:val="28"/>
                <w:szCs w:val="28"/>
              </w:rPr>
            </w:pPr>
          </w:p>
        </w:tc>
        <w:tc>
          <w:tcPr>
            <w:tcW w:w="1281" w:type="dxa"/>
            <w:vAlign w:val="top"/>
          </w:tcPr>
          <w:p w14:paraId="3A24951D">
            <w:pPr>
              <w:rPr>
                <w:rFonts w:ascii="Arial"/>
                <w:sz w:val="28"/>
                <w:szCs w:val="28"/>
              </w:rPr>
            </w:pPr>
          </w:p>
        </w:tc>
        <w:tc>
          <w:tcPr>
            <w:tcW w:w="1366" w:type="dxa"/>
            <w:vAlign w:val="top"/>
          </w:tcPr>
          <w:p w14:paraId="771D161F">
            <w:pPr>
              <w:rPr>
                <w:rFonts w:ascii="Arial"/>
                <w:sz w:val="28"/>
                <w:szCs w:val="28"/>
              </w:rPr>
            </w:pPr>
          </w:p>
        </w:tc>
        <w:tc>
          <w:tcPr>
            <w:tcW w:w="959" w:type="dxa"/>
            <w:vAlign w:val="top"/>
          </w:tcPr>
          <w:p w14:paraId="32065953">
            <w:pPr>
              <w:rPr>
                <w:rFonts w:ascii="Arial"/>
                <w:sz w:val="28"/>
                <w:szCs w:val="28"/>
              </w:rPr>
            </w:pPr>
          </w:p>
        </w:tc>
        <w:tc>
          <w:tcPr>
            <w:tcW w:w="1180" w:type="dxa"/>
            <w:vAlign w:val="top"/>
          </w:tcPr>
          <w:p w14:paraId="419ECCBA">
            <w:pPr>
              <w:rPr>
                <w:rFonts w:ascii="Arial"/>
                <w:sz w:val="28"/>
                <w:szCs w:val="28"/>
              </w:rPr>
            </w:pPr>
          </w:p>
        </w:tc>
      </w:tr>
      <w:tr w14:paraId="4660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48" w:type="dxa"/>
            <w:vAlign w:val="top"/>
          </w:tcPr>
          <w:p w14:paraId="36A62C50">
            <w:pPr>
              <w:spacing w:line="257" w:lineRule="auto"/>
              <w:rPr>
                <w:rFonts w:ascii="Arial"/>
                <w:sz w:val="28"/>
                <w:szCs w:val="28"/>
              </w:rPr>
            </w:pPr>
          </w:p>
          <w:p w14:paraId="35D31579">
            <w:pPr>
              <w:pStyle w:val="30"/>
              <w:spacing w:before="68" w:line="153" w:lineRule="exact"/>
              <w:ind w:left="293"/>
              <w:rPr>
                <w:sz w:val="28"/>
                <w:szCs w:val="28"/>
              </w:rPr>
            </w:pPr>
            <w:r>
              <w:rPr>
                <w:position w:val="-3"/>
                <w:sz w:val="28"/>
                <w:szCs w:val="28"/>
              </w:rPr>
              <w:t>…</w:t>
            </w:r>
          </w:p>
        </w:tc>
        <w:tc>
          <w:tcPr>
            <w:tcW w:w="1079" w:type="dxa"/>
            <w:vAlign w:val="top"/>
          </w:tcPr>
          <w:p w14:paraId="48D917F4">
            <w:pPr>
              <w:rPr>
                <w:rFonts w:ascii="Arial"/>
                <w:sz w:val="28"/>
                <w:szCs w:val="28"/>
              </w:rPr>
            </w:pPr>
          </w:p>
        </w:tc>
        <w:tc>
          <w:tcPr>
            <w:tcW w:w="1246" w:type="dxa"/>
            <w:vAlign w:val="top"/>
          </w:tcPr>
          <w:p w14:paraId="0BDBCE00">
            <w:pPr>
              <w:rPr>
                <w:rFonts w:ascii="Arial"/>
                <w:sz w:val="28"/>
                <w:szCs w:val="28"/>
              </w:rPr>
            </w:pPr>
          </w:p>
        </w:tc>
        <w:tc>
          <w:tcPr>
            <w:tcW w:w="1128" w:type="dxa"/>
            <w:vAlign w:val="top"/>
          </w:tcPr>
          <w:p w14:paraId="709522F8">
            <w:pPr>
              <w:rPr>
                <w:rFonts w:ascii="Arial"/>
                <w:sz w:val="28"/>
                <w:szCs w:val="28"/>
              </w:rPr>
            </w:pPr>
          </w:p>
        </w:tc>
        <w:tc>
          <w:tcPr>
            <w:tcW w:w="1281" w:type="dxa"/>
            <w:vAlign w:val="top"/>
          </w:tcPr>
          <w:p w14:paraId="4FBFF27F">
            <w:pPr>
              <w:rPr>
                <w:rFonts w:ascii="Arial"/>
                <w:sz w:val="28"/>
                <w:szCs w:val="28"/>
              </w:rPr>
            </w:pPr>
          </w:p>
        </w:tc>
        <w:tc>
          <w:tcPr>
            <w:tcW w:w="1366" w:type="dxa"/>
            <w:vAlign w:val="top"/>
          </w:tcPr>
          <w:p w14:paraId="730B6510">
            <w:pPr>
              <w:rPr>
                <w:rFonts w:ascii="Arial"/>
                <w:sz w:val="28"/>
                <w:szCs w:val="28"/>
              </w:rPr>
            </w:pPr>
          </w:p>
        </w:tc>
        <w:tc>
          <w:tcPr>
            <w:tcW w:w="959" w:type="dxa"/>
            <w:vAlign w:val="top"/>
          </w:tcPr>
          <w:p w14:paraId="71E6C923">
            <w:pPr>
              <w:rPr>
                <w:rFonts w:ascii="Arial"/>
                <w:sz w:val="28"/>
                <w:szCs w:val="28"/>
              </w:rPr>
            </w:pPr>
          </w:p>
        </w:tc>
        <w:tc>
          <w:tcPr>
            <w:tcW w:w="1180" w:type="dxa"/>
            <w:vAlign w:val="top"/>
          </w:tcPr>
          <w:p w14:paraId="058703A7">
            <w:pPr>
              <w:rPr>
                <w:rFonts w:ascii="Arial"/>
                <w:sz w:val="28"/>
                <w:szCs w:val="28"/>
              </w:rPr>
            </w:pPr>
          </w:p>
        </w:tc>
      </w:tr>
    </w:tbl>
    <w:p w14:paraId="7FA70A83">
      <w:pPr>
        <w:pStyle w:val="9"/>
        <w:spacing w:line="263" w:lineRule="auto"/>
      </w:pPr>
    </w:p>
    <w:p w14:paraId="5B45337D">
      <w:pPr>
        <w:pStyle w:val="9"/>
        <w:spacing w:line="263" w:lineRule="auto"/>
      </w:pPr>
    </w:p>
    <w:p w14:paraId="2EB8F596">
      <w:pPr>
        <w:pStyle w:val="24"/>
        <w:rPr>
          <w:rFonts w:hint="eastAsia"/>
          <w:sz w:val="32"/>
          <w:szCs w:val="32"/>
          <w:lang w:val="en-US"/>
        </w:rPr>
      </w:pPr>
      <w:r>
        <w:rPr>
          <w:rFonts w:ascii="宋体" w:hAnsi="宋体" w:eastAsia="宋体" w:cs="宋体"/>
          <w:spacing w:val="-5"/>
          <w:sz w:val="32"/>
          <w:szCs w:val="32"/>
        </w:rPr>
        <w:t>注：投标人须按相关要求提供相应的中标（成交）通知书</w:t>
      </w:r>
      <w:r>
        <w:rPr>
          <w:rFonts w:hint="eastAsia" w:ascii="宋体" w:hAnsi="宋体" w:eastAsia="宋体" w:cs="宋体"/>
          <w:spacing w:val="-5"/>
          <w:sz w:val="32"/>
          <w:szCs w:val="32"/>
          <w:lang w:val="en-US" w:eastAsia="zh-CN"/>
        </w:rPr>
        <w:t>或</w:t>
      </w:r>
      <w:r>
        <w:rPr>
          <w:rFonts w:ascii="宋体" w:hAnsi="宋体" w:eastAsia="宋体" w:cs="宋体"/>
          <w:spacing w:val="-5"/>
          <w:sz w:val="32"/>
          <w:szCs w:val="32"/>
        </w:rPr>
        <w:t>采购合同等业绩证明资料。</w:t>
      </w:r>
    </w:p>
    <w:p w14:paraId="709A6402">
      <w:pPr>
        <w:pStyle w:val="24"/>
        <w:rPr>
          <w:rFonts w:hint="eastAsia" w:ascii="宋体" w:hAnsi="宋体" w:eastAsia="宋体" w:cs="宋体"/>
          <w:sz w:val="32"/>
          <w:szCs w:val="32"/>
          <w:lang w:val="en-US" w:eastAsia="zh-CN"/>
        </w:rPr>
      </w:pPr>
    </w:p>
    <w:p w14:paraId="34AE61DC">
      <w:pPr>
        <w:rPr>
          <w:rFonts w:hint="eastAsia"/>
          <w:lang w:val="en-US" w:eastAsia="zh-CN"/>
        </w:rPr>
      </w:pPr>
    </w:p>
    <w:p w14:paraId="0AC267C0">
      <w:pPr>
        <w:pStyle w:val="4"/>
        <w:rPr>
          <w:rFonts w:hint="eastAsia"/>
          <w:lang w:val="en-US" w:eastAsia="zh-CN"/>
        </w:rPr>
      </w:pPr>
    </w:p>
    <w:p w14:paraId="1EF7DDA3">
      <w:pPr>
        <w:rPr>
          <w:rFonts w:hint="eastAsia"/>
          <w:lang w:val="en-US" w:eastAsia="zh-CN"/>
        </w:rPr>
      </w:pPr>
    </w:p>
    <w:p w14:paraId="38CEA9A3">
      <w:pPr>
        <w:pStyle w:val="4"/>
        <w:rPr>
          <w:rFonts w:hint="eastAsia"/>
          <w:lang w:val="en-US" w:eastAsia="zh-CN"/>
        </w:rPr>
      </w:pPr>
    </w:p>
    <w:p w14:paraId="6167F37B">
      <w:pPr>
        <w:rPr>
          <w:rFonts w:hint="eastAsia" w:ascii="宋体" w:hAnsi="宋体" w:eastAsia="宋体" w:cs="宋体"/>
          <w:lang w:val="en-US" w:eastAsia="zh-CN"/>
        </w:rPr>
      </w:pPr>
    </w:p>
    <w:p w14:paraId="674E6396">
      <w:pPr>
        <w:pStyle w:val="2"/>
        <w:rPr>
          <w:rFonts w:hint="eastAsia" w:ascii="宋体" w:hAnsi="宋体" w:eastAsia="宋体" w:cs="宋体"/>
          <w:lang w:val="en-US" w:eastAsia="zh-CN"/>
        </w:rPr>
      </w:pPr>
    </w:p>
    <w:p w14:paraId="55ED2DB6">
      <w:pPr>
        <w:pStyle w:val="2"/>
        <w:rPr>
          <w:rFonts w:hint="eastAsia" w:ascii="宋体" w:hAnsi="宋体" w:eastAsia="宋体" w:cs="宋体"/>
          <w:lang w:val="en-US" w:eastAsia="zh-CN"/>
        </w:rPr>
      </w:pPr>
    </w:p>
    <w:p w14:paraId="10863919">
      <w:pPr>
        <w:pStyle w:val="2"/>
        <w:rPr>
          <w:rFonts w:hint="eastAsia" w:ascii="宋体" w:hAnsi="宋体" w:eastAsia="宋体" w:cs="宋体"/>
          <w:lang w:val="en-US" w:eastAsia="zh-CN"/>
        </w:rPr>
      </w:pPr>
    </w:p>
    <w:p w14:paraId="7463F6FA">
      <w:pPr>
        <w:spacing w:line="380" w:lineRule="exact"/>
        <w:jc w:val="center"/>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10.无串通投标行为的承诺书</w:t>
      </w:r>
    </w:p>
    <w:p w14:paraId="00235AFD">
      <w:pPr>
        <w:rPr>
          <w:rFonts w:hint="eastAsia" w:ascii="宋体" w:hAnsi="宋体" w:eastAsia="宋体" w:cs="宋体"/>
          <w:color w:val="auto"/>
          <w:sz w:val="30"/>
          <w:szCs w:val="30"/>
          <w:highlight w:val="none"/>
        </w:rPr>
      </w:pPr>
    </w:p>
    <w:p w14:paraId="1510B2C9">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5B35F2ED">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我公司参与</w:t>
      </w:r>
      <w:r>
        <w:rPr>
          <w:rFonts w:hint="eastAsia" w:ascii="宋体" w:hAnsi="宋体" w:eastAsia="宋体" w:cs="宋体"/>
          <w:sz w:val="30"/>
          <w:szCs w:val="30"/>
          <w:lang w:val="en-US" w:eastAsia="zh-CN"/>
        </w:rPr>
        <w:t>招标</w:t>
      </w:r>
      <w:r>
        <w:rPr>
          <w:rFonts w:hint="eastAsia" w:ascii="宋体" w:hAnsi="宋体" w:eastAsia="宋体" w:cs="宋体"/>
          <w:sz w:val="30"/>
          <w:szCs w:val="30"/>
        </w:rPr>
        <w:t>文件</w:t>
      </w:r>
      <w:r>
        <w:rPr>
          <w:rFonts w:hint="eastAsia" w:ascii="宋体" w:hAnsi="宋体" w:eastAsia="宋体" w:cs="宋体"/>
          <w:sz w:val="30"/>
          <w:szCs w:val="30"/>
          <w:u w:val="single"/>
          <w:lang w:val="en-US" w:eastAsia="zh-CN"/>
        </w:rPr>
        <w:t xml:space="preserve">   项目名称、项目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sz w:val="30"/>
          <w:szCs w:val="30"/>
        </w:rPr>
        <w:t>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rPr>
        <w:t xml:space="preserve">     </w:t>
      </w:r>
      <w:r>
        <w:rPr>
          <w:rFonts w:hint="eastAsia" w:ascii="宋体" w:hAnsi="宋体" w:eastAsia="宋体" w:cs="宋体"/>
          <w:sz w:val="30"/>
          <w:szCs w:val="30"/>
        </w:rPr>
        <w:t>的采购招标活动，我公司郑重声明：我公司</w:t>
      </w:r>
      <w:r>
        <w:rPr>
          <w:rFonts w:hint="eastAsia" w:ascii="宋体" w:hAnsi="宋体" w:eastAsia="宋体" w:cs="宋体"/>
          <w:sz w:val="30"/>
          <w:szCs w:val="30"/>
          <w:lang w:val="en-US" w:eastAsia="zh-CN"/>
        </w:rPr>
        <w:t>不组织、不参与任何串通投标的行为</w:t>
      </w:r>
      <w:r>
        <w:rPr>
          <w:rFonts w:hint="eastAsia" w:ascii="宋体" w:hAnsi="宋体" w:eastAsia="宋体" w:cs="宋体"/>
          <w:sz w:val="30"/>
          <w:szCs w:val="30"/>
        </w:rPr>
        <w:t>，</w:t>
      </w:r>
      <w:r>
        <w:rPr>
          <w:rFonts w:hint="eastAsia" w:ascii="宋体" w:hAnsi="宋体" w:eastAsia="宋体" w:cs="宋体"/>
          <w:sz w:val="30"/>
          <w:szCs w:val="30"/>
          <w:lang w:val="en-US" w:eastAsia="zh-CN"/>
        </w:rPr>
        <w:t>自觉遵守</w:t>
      </w:r>
      <w:r>
        <w:rPr>
          <w:rFonts w:hint="eastAsia" w:ascii="宋体" w:hAnsi="宋体" w:eastAsia="宋体" w:cs="宋体"/>
          <w:sz w:val="30"/>
          <w:szCs w:val="30"/>
        </w:rPr>
        <w:t>《中华人民共和国政府采购法》和《中华人民共和国政府采购法实施条例》</w:t>
      </w:r>
      <w:r>
        <w:rPr>
          <w:rFonts w:hint="eastAsia" w:ascii="宋体" w:hAnsi="宋体" w:eastAsia="宋体" w:cs="宋体"/>
          <w:sz w:val="30"/>
          <w:szCs w:val="30"/>
          <w:lang w:val="en-US" w:eastAsia="zh-CN"/>
        </w:rPr>
        <w:t>的</w:t>
      </w:r>
      <w:r>
        <w:rPr>
          <w:rFonts w:hint="eastAsia" w:ascii="宋体" w:hAnsi="宋体" w:eastAsia="宋体" w:cs="宋体"/>
          <w:sz w:val="30"/>
          <w:szCs w:val="30"/>
        </w:rPr>
        <w:t>规定。我公司对此声明负全部法律责任。</w:t>
      </w:r>
    </w:p>
    <w:p w14:paraId="11A8FB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rPr>
      </w:pPr>
      <w:r>
        <w:rPr>
          <w:rFonts w:hint="eastAsia" w:ascii="宋体" w:hAnsi="宋体" w:eastAsia="宋体" w:cs="宋体"/>
          <w:sz w:val="30"/>
          <w:szCs w:val="30"/>
        </w:rPr>
        <w:t xml:space="preserve">     特此声明。</w:t>
      </w:r>
    </w:p>
    <w:p w14:paraId="4A151F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 xml:space="preserve"> </w:t>
      </w:r>
    </w:p>
    <w:p w14:paraId="1721B7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p>
    <w:p w14:paraId="134DB6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 xml:space="preserve">承诺单位：  </w:t>
      </w:r>
    </w:p>
    <w:p w14:paraId="566F17A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公</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章</w:t>
      </w:r>
      <w:r>
        <w:rPr>
          <w:rFonts w:hint="eastAsia" w:ascii="宋体" w:hAnsi="宋体" w:eastAsia="宋体" w:cs="宋体"/>
          <w:b/>
          <w:bCs/>
          <w:sz w:val="30"/>
          <w:szCs w:val="30"/>
          <w:lang w:eastAsia="zh-CN"/>
        </w:rPr>
        <w:t>：</w:t>
      </w:r>
    </w:p>
    <w:p w14:paraId="378DD2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：（签字</w:t>
      </w:r>
      <w:r>
        <w:rPr>
          <w:rFonts w:hint="eastAsia" w:ascii="宋体" w:hAnsi="宋体" w:eastAsia="宋体" w:cs="宋体"/>
          <w:b/>
          <w:bCs/>
          <w:sz w:val="30"/>
          <w:szCs w:val="30"/>
          <w:lang w:val="en-US" w:eastAsia="zh-CN"/>
        </w:rPr>
        <w:t>或签章</w:t>
      </w:r>
      <w:r>
        <w:rPr>
          <w:rFonts w:hint="eastAsia" w:ascii="宋体" w:hAnsi="宋体" w:eastAsia="宋体" w:cs="宋体"/>
          <w:b/>
          <w:bCs/>
          <w:sz w:val="30"/>
          <w:szCs w:val="30"/>
        </w:rPr>
        <w:t>）</w:t>
      </w:r>
    </w:p>
    <w:p w14:paraId="2C7577E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法定代表人（负责人）身份证号：</w:t>
      </w:r>
    </w:p>
    <w:p w14:paraId="67B3BAA6">
      <w:pPr>
        <w:pStyle w:val="24"/>
        <w:rPr>
          <w:rFonts w:hint="eastAsia" w:ascii="仿宋" w:hAnsi="仿宋" w:eastAsia="仿宋" w:cs="仿宋"/>
          <w:b/>
          <w:bCs/>
          <w:sz w:val="28"/>
          <w:szCs w:val="28"/>
        </w:rPr>
      </w:pPr>
      <w:r>
        <w:rPr>
          <w:rFonts w:hint="eastAsia" w:ascii="宋体" w:hAnsi="宋体" w:eastAsia="宋体" w:cs="宋体"/>
          <w:b/>
          <w:bCs/>
          <w:sz w:val="30"/>
          <w:szCs w:val="30"/>
        </w:rPr>
        <w:t xml:space="preserve">                                         20  年  月</w:t>
      </w:r>
    </w:p>
    <w:p w14:paraId="28624CDA">
      <w:pPr>
        <w:pStyle w:val="25"/>
        <w:rPr>
          <w:rFonts w:hint="eastAsia" w:ascii="仿宋" w:hAnsi="仿宋" w:eastAsia="仿宋" w:cs="仿宋"/>
          <w:b/>
          <w:bCs/>
          <w:sz w:val="28"/>
          <w:szCs w:val="28"/>
        </w:rPr>
      </w:pPr>
    </w:p>
    <w:p w14:paraId="02826056">
      <w:pPr>
        <w:rPr>
          <w:rFonts w:hint="eastAsia" w:ascii="仿宋" w:hAnsi="仿宋" w:eastAsia="仿宋" w:cs="仿宋"/>
          <w:b/>
          <w:bCs/>
          <w:sz w:val="28"/>
          <w:szCs w:val="28"/>
        </w:rPr>
      </w:pPr>
    </w:p>
    <w:p w14:paraId="2F85D2B8">
      <w:pPr>
        <w:pStyle w:val="24"/>
        <w:rPr>
          <w:rFonts w:hint="eastAsia" w:ascii="仿宋" w:hAnsi="仿宋" w:eastAsia="仿宋" w:cs="仿宋"/>
          <w:b/>
          <w:bCs/>
          <w:sz w:val="28"/>
          <w:szCs w:val="28"/>
        </w:rPr>
      </w:pPr>
    </w:p>
    <w:p w14:paraId="3B867EC7">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77B78D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53827DD">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60734EF">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993C2F6">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BAA9CB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C4328B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AE977EA">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ED6876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08186A0">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BD2ED1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3C93B1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D34429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11.招标文件要求供应商提交的其它投标资料或者供应商认为有必要提供的资料;</w:t>
      </w:r>
    </w:p>
    <w:p w14:paraId="3FBB0E99">
      <w:pPr>
        <w:pStyle w:val="24"/>
        <w:widowControl w:val="0"/>
        <w:numPr>
          <w:ilvl w:val="0"/>
          <w:numId w:val="0"/>
        </w:numPr>
        <w:autoSpaceDE w:val="0"/>
        <w:autoSpaceDN w:val="0"/>
        <w:adjustRightInd w:val="0"/>
        <w:rPr>
          <w:rFonts w:hint="default"/>
          <w:sz w:val="32"/>
          <w:szCs w:val="32"/>
          <w:lang w:val="en-US" w:eastAsia="zh-CN"/>
        </w:rPr>
      </w:pPr>
    </w:p>
    <w:p w14:paraId="55A3B90F">
      <w:pPr>
        <w:pStyle w:val="25"/>
        <w:rPr>
          <w:rFonts w:hint="default"/>
          <w:lang w:val="en-US" w:eastAsia="zh-CN"/>
        </w:rPr>
      </w:pPr>
    </w:p>
    <w:p w14:paraId="3EC7BEC2">
      <w:pPr>
        <w:rPr>
          <w:rFonts w:hint="default"/>
          <w:lang w:val="en-US" w:eastAsia="zh-CN"/>
        </w:rPr>
      </w:pPr>
    </w:p>
    <w:p w14:paraId="31254166">
      <w:pPr>
        <w:pStyle w:val="24"/>
        <w:rPr>
          <w:rFonts w:hint="default"/>
          <w:lang w:val="en-US" w:eastAsia="zh-CN"/>
        </w:rPr>
      </w:pPr>
    </w:p>
    <w:p w14:paraId="27E5E1EE">
      <w:pPr>
        <w:pStyle w:val="25"/>
        <w:rPr>
          <w:rFonts w:hint="default"/>
          <w:lang w:val="en-US" w:eastAsia="zh-CN"/>
        </w:rPr>
      </w:pPr>
    </w:p>
    <w:p w14:paraId="11578128">
      <w:pPr>
        <w:rPr>
          <w:rFonts w:hint="default"/>
          <w:lang w:val="en-US" w:eastAsia="zh-CN"/>
        </w:rPr>
      </w:pPr>
    </w:p>
    <w:p w14:paraId="2C0E087B">
      <w:pPr>
        <w:pStyle w:val="24"/>
        <w:rPr>
          <w:rFonts w:hint="default"/>
          <w:lang w:val="en-US" w:eastAsia="zh-CN"/>
        </w:rPr>
      </w:pPr>
    </w:p>
    <w:p w14:paraId="32AA2384">
      <w:pPr>
        <w:pStyle w:val="25"/>
        <w:rPr>
          <w:rFonts w:hint="default"/>
          <w:lang w:val="en-US" w:eastAsia="zh-CN"/>
        </w:rPr>
      </w:pPr>
    </w:p>
    <w:p w14:paraId="531C187E">
      <w:pPr>
        <w:rPr>
          <w:rFonts w:hint="default"/>
          <w:lang w:val="en-US" w:eastAsia="zh-CN"/>
        </w:rPr>
      </w:pPr>
    </w:p>
    <w:p w14:paraId="4A4CB5B2">
      <w:pPr>
        <w:pStyle w:val="4"/>
        <w:rPr>
          <w:rFonts w:hint="default"/>
          <w:lang w:val="en-US" w:eastAsia="zh-CN"/>
        </w:rPr>
      </w:pPr>
    </w:p>
    <w:p w14:paraId="457C19D9">
      <w:pPr>
        <w:rPr>
          <w:rFonts w:hint="default"/>
          <w:lang w:val="en-US" w:eastAsia="zh-CN"/>
        </w:rPr>
      </w:pPr>
    </w:p>
    <w:p w14:paraId="1A6DB471">
      <w:pPr>
        <w:pStyle w:val="4"/>
        <w:rPr>
          <w:rFonts w:hint="default"/>
          <w:lang w:val="en-US" w:eastAsia="zh-CN"/>
        </w:rPr>
      </w:pPr>
    </w:p>
    <w:p w14:paraId="44A8B02B">
      <w:pPr>
        <w:rPr>
          <w:rFonts w:hint="default"/>
          <w:lang w:val="en-US" w:eastAsia="zh-CN"/>
        </w:rPr>
      </w:pPr>
    </w:p>
    <w:p w14:paraId="1C67FD5F">
      <w:pPr>
        <w:rPr>
          <w:rFonts w:hint="default"/>
          <w:lang w:val="en-US" w:eastAsia="zh-CN"/>
        </w:rPr>
      </w:pPr>
    </w:p>
    <w:p w14:paraId="68CB8BFF">
      <w:pPr>
        <w:pStyle w:val="14"/>
        <w:jc w:val="center"/>
        <w:outlineLvl w:val="1"/>
        <w:rPr>
          <w:rFonts w:hint="eastAsia" w:ascii="宋体" w:hAnsi="宋体" w:eastAsia="宋体" w:cs="宋体"/>
          <w:b/>
          <w:bCs/>
          <w:sz w:val="30"/>
          <w:szCs w:val="30"/>
          <w:highlight w:val="none"/>
          <w:lang w:val="en-US" w:eastAsia="zh-CN"/>
        </w:rPr>
      </w:pPr>
      <w:bookmarkStart w:id="594" w:name="_Toc25807"/>
      <w:bookmarkStart w:id="595" w:name="_Toc14507"/>
      <w:bookmarkStart w:id="596" w:name="_Toc3690"/>
    </w:p>
    <w:p w14:paraId="12CE4E90">
      <w:pPr>
        <w:pStyle w:val="14"/>
        <w:jc w:val="center"/>
        <w:outlineLvl w:val="1"/>
        <w:rPr>
          <w:rFonts w:hint="eastAsia" w:ascii="宋体" w:hAnsi="宋体" w:eastAsia="宋体" w:cs="宋体"/>
          <w:b/>
          <w:bCs/>
          <w:sz w:val="30"/>
          <w:szCs w:val="30"/>
          <w:highlight w:val="none"/>
          <w:lang w:val="en-US" w:eastAsia="zh-CN"/>
        </w:rPr>
      </w:pPr>
    </w:p>
    <w:p w14:paraId="738DAA70">
      <w:pPr>
        <w:pStyle w:val="14"/>
        <w:jc w:val="center"/>
        <w:outlineLvl w:val="1"/>
        <w:rPr>
          <w:rFonts w:hint="eastAsia" w:ascii="宋体" w:hAnsi="宋体" w:eastAsia="宋体" w:cs="宋体"/>
          <w:b/>
          <w:bCs/>
          <w:sz w:val="30"/>
          <w:szCs w:val="30"/>
          <w:highlight w:val="none"/>
          <w:lang w:val="en-US" w:eastAsia="zh-CN"/>
        </w:rPr>
      </w:pPr>
    </w:p>
    <w:p w14:paraId="506C7280">
      <w:pPr>
        <w:pStyle w:val="14"/>
        <w:jc w:val="center"/>
        <w:outlineLvl w:val="1"/>
        <w:rPr>
          <w:rFonts w:hint="eastAsia" w:ascii="宋体" w:hAnsi="宋体" w:eastAsia="宋体" w:cs="宋体"/>
          <w:b/>
          <w:bCs/>
          <w:sz w:val="30"/>
          <w:szCs w:val="30"/>
          <w:highlight w:val="none"/>
          <w:lang w:val="en-US" w:eastAsia="zh-CN"/>
        </w:rPr>
      </w:pPr>
    </w:p>
    <w:p w14:paraId="73D3240B">
      <w:pPr>
        <w:pStyle w:val="14"/>
        <w:jc w:val="center"/>
        <w:outlineLvl w:val="1"/>
        <w:rPr>
          <w:rFonts w:hint="eastAsia" w:ascii="宋体" w:hAnsi="宋体" w:eastAsia="宋体" w:cs="宋体"/>
          <w:b/>
          <w:bCs/>
          <w:sz w:val="30"/>
          <w:szCs w:val="30"/>
          <w:highlight w:val="none"/>
          <w:lang w:val="en-US" w:eastAsia="zh-CN"/>
        </w:rPr>
      </w:pPr>
    </w:p>
    <w:p w14:paraId="2EF66ACE">
      <w:pPr>
        <w:pStyle w:val="14"/>
        <w:jc w:val="center"/>
        <w:outlineLvl w:val="1"/>
        <w:rPr>
          <w:rFonts w:hint="eastAsia" w:ascii="宋体" w:hAnsi="宋体" w:eastAsia="宋体" w:cs="宋体"/>
          <w:b/>
          <w:bCs/>
          <w:sz w:val="30"/>
          <w:szCs w:val="30"/>
          <w:highlight w:val="none"/>
          <w:lang w:val="en-US" w:eastAsia="zh-CN"/>
        </w:rPr>
      </w:pPr>
    </w:p>
    <w:p w14:paraId="4DB09788">
      <w:pPr>
        <w:pStyle w:val="14"/>
        <w:jc w:val="center"/>
        <w:outlineLvl w:val="1"/>
        <w:rPr>
          <w:rFonts w:hint="eastAsia" w:ascii="宋体" w:hAnsi="宋体" w:eastAsia="宋体" w:cs="宋体"/>
          <w:b/>
          <w:bCs/>
          <w:sz w:val="30"/>
          <w:szCs w:val="30"/>
          <w:highlight w:val="none"/>
          <w:lang w:val="en-US" w:eastAsia="zh-CN"/>
        </w:rPr>
      </w:pPr>
    </w:p>
    <w:p w14:paraId="5F2D46C1">
      <w:pPr>
        <w:pStyle w:val="14"/>
        <w:jc w:val="center"/>
        <w:outlineLvl w:val="1"/>
        <w:rPr>
          <w:rFonts w:hint="eastAsia" w:ascii="宋体" w:hAnsi="宋体" w:eastAsia="宋体" w:cs="宋体"/>
          <w:b/>
          <w:bCs/>
          <w:sz w:val="30"/>
          <w:szCs w:val="30"/>
          <w:highlight w:val="none"/>
          <w:lang w:val="en-US" w:eastAsia="zh-CN"/>
        </w:rPr>
      </w:pPr>
    </w:p>
    <w:p w14:paraId="726B477B">
      <w:pPr>
        <w:pStyle w:val="14"/>
        <w:jc w:val="center"/>
        <w:outlineLvl w:val="1"/>
        <w:rPr>
          <w:rFonts w:hint="eastAsia" w:ascii="宋体" w:hAnsi="宋体" w:eastAsia="宋体" w:cs="宋体"/>
          <w:b/>
          <w:bCs/>
          <w:sz w:val="30"/>
          <w:szCs w:val="30"/>
          <w:highlight w:val="none"/>
          <w:lang w:val="en-US" w:eastAsia="zh-CN"/>
        </w:rPr>
      </w:pPr>
    </w:p>
    <w:p w14:paraId="0033C727">
      <w:pPr>
        <w:pStyle w:val="14"/>
        <w:jc w:val="center"/>
        <w:outlineLvl w:val="1"/>
        <w:rPr>
          <w:rFonts w:hint="eastAsia" w:ascii="宋体" w:hAnsi="宋体" w:eastAsia="宋体" w:cs="宋体"/>
          <w:b/>
          <w:bCs/>
          <w:sz w:val="30"/>
          <w:szCs w:val="30"/>
          <w:highlight w:val="none"/>
          <w:lang w:val="en-US" w:eastAsia="zh-CN"/>
        </w:rPr>
      </w:pPr>
    </w:p>
    <w:p w14:paraId="51F420AA">
      <w:pPr>
        <w:pStyle w:val="14"/>
        <w:jc w:val="center"/>
        <w:outlineLvl w:val="1"/>
        <w:rPr>
          <w:rFonts w:hint="eastAsia" w:ascii="宋体" w:hAnsi="宋体" w:eastAsia="宋体" w:cs="宋体"/>
          <w:b/>
          <w:bCs/>
          <w:sz w:val="30"/>
          <w:szCs w:val="30"/>
          <w:highlight w:val="none"/>
          <w:lang w:val="en-US" w:eastAsia="zh-CN"/>
        </w:rPr>
      </w:pPr>
    </w:p>
    <w:p w14:paraId="1C9CBECF">
      <w:pPr>
        <w:pStyle w:val="14"/>
        <w:jc w:val="center"/>
        <w:outlineLvl w:val="1"/>
        <w:rPr>
          <w:rFonts w:hint="eastAsia" w:ascii="宋体" w:hAnsi="宋体" w:eastAsia="宋体" w:cs="宋体"/>
          <w:b/>
          <w:bCs/>
          <w:sz w:val="30"/>
          <w:szCs w:val="30"/>
          <w:highlight w:val="none"/>
          <w:lang w:val="en-US" w:eastAsia="zh-CN"/>
        </w:rPr>
      </w:pPr>
    </w:p>
    <w:p w14:paraId="47834B2B">
      <w:pPr>
        <w:pStyle w:val="14"/>
        <w:jc w:val="center"/>
        <w:outlineLvl w:val="1"/>
        <w:rPr>
          <w:rFonts w:hint="eastAsia" w:ascii="宋体" w:hAnsi="宋体" w:eastAsia="宋体" w:cs="宋体"/>
          <w:b/>
          <w:bCs/>
          <w:sz w:val="30"/>
          <w:szCs w:val="30"/>
          <w:highlight w:val="none"/>
          <w:lang w:val="en-US" w:eastAsia="zh-CN"/>
        </w:rPr>
      </w:pPr>
    </w:p>
    <w:p w14:paraId="0C5F375C">
      <w:pPr>
        <w:pStyle w:val="14"/>
        <w:jc w:val="center"/>
        <w:outlineLvl w:val="1"/>
        <w:rPr>
          <w:rFonts w:hint="eastAsia" w:ascii="宋体" w:hAnsi="宋体" w:eastAsia="宋体" w:cs="宋体"/>
          <w:b/>
          <w:bCs/>
          <w:sz w:val="30"/>
          <w:szCs w:val="30"/>
          <w:highlight w:val="none"/>
          <w:lang w:val="en-US" w:eastAsia="zh-CN"/>
        </w:rPr>
      </w:pPr>
    </w:p>
    <w:p w14:paraId="2769BF6A">
      <w:pPr>
        <w:pStyle w:val="14"/>
        <w:jc w:val="center"/>
        <w:outlineLvl w:val="1"/>
        <w:rPr>
          <w:rFonts w:hint="eastAsia" w:ascii="宋体" w:hAnsi="宋体" w:eastAsia="宋体" w:cs="宋体"/>
          <w:b/>
          <w:bCs/>
          <w:sz w:val="30"/>
          <w:szCs w:val="30"/>
          <w:highlight w:val="none"/>
          <w:lang w:val="en-US" w:eastAsia="zh-CN"/>
        </w:rPr>
      </w:pPr>
    </w:p>
    <w:p w14:paraId="2AA40182">
      <w:pPr>
        <w:pStyle w:val="14"/>
        <w:jc w:val="center"/>
        <w:outlineLvl w:val="1"/>
        <w:rPr>
          <w:rFonts w:hint="eastAsia" w:ascii="宋体" w:hAnsi="宋体" w:eastAsia="宋体" w:cs="宋体"/>
          <w:b/>
          <w:bCs/>
          <w:sz w:val="30"/>
          <w:szCs w:val="30"/>
          <w:highlight w:val="none"/>
          <w:lang w:val="en-US" w:eastAsia="zh-CN"/>
        </w:rPr>
      </w:pPr>
    </w:p>
    <w:p w14:paraId="1CB3DE5F">
      <w:pPr>
        <w:pStyle w:val="14"/>
        <w:jc w:val="center"/>
        <w:outlineLvl w:val="1"/>
        <w:rPr>
          <w:rFonts w:hint="eastAsia" w:ascii="宋体" w:hAnsi="宋体" w:eastAsia="宋体" w:cs="宋体"/>
          <w:b/>
          <w:bCs/>
          <w:sz w:val="30"/>
          <w:szCs w:val="30"/>
          <w:highlight w:val="none"/>
          <w:lang w:val="en-US" w:eastAsia="zh-CN"/>
        </w:rPr>
      </w:pPr>
    </w:p>
    <w:p w14:paraId="6E86C32F">
      <w:pPr>
        <w:pStyle w:val="14"/>
        <w:jc w:val="center"/>
        <w:outlineLvl w:val="1"/>
        <w:rPr>
          <w:rFonts w:hint="eastAsia" w:ascii="宋体" w:hAnsi="宋体" w:eastAsia="宋体" w:cs="宋体"/>
          <w:b/>
          <w:bCs/>
          <w:sz w:val="30"/>
          <w:szCs w:val="30"/>
          <w:highlight w:val="none"/>
          <w:lang w:val="en-US" w:eastAsia="zh-CN"/>
        </w:rPr>
      </w:pPr>
    </w:p>
    <w:p w14:paraId="75075E65">
      <w:pPr>
        <w:pStyle w:val="14"/>
        <w:jc w:val="center"/>
        <w:outlineLvl w:val="1"/>
        <w:rPr>
          <w:rFonts w:hint="eastAsia" w:ascii="宋体" w:hAnsi="宋体" w:eastAsia="宋体" w:cs="宋体"/>
          <w:b/>
          <w:bCs/>
          <w:sz w:val="30"/>
          <w:szCs w:val="30"/>
          <w:highlight w:val="none"/>
          <w:lang w:val="en-US" w:eastAsia="zh-CN"/>
        </w:rPr>
      </w:pPr>
    </w:p>
    <w:p w14:paraId="525FA913">
      <w:pPr>
        <w:pStyle w:val="14"/>
        <w:jc w:val="center"/>
        <w:outlineLvl w:val="1"/>
        <w:rPr>
          <w:rFonts w:hint="eastAsia" w:ascii="宋体" w:hAnsi="宋体" w:eastAsia="宋体" w:cs="宋体"/>
          <w:b/>
          <w:bCs/>
          <w:sz w:val="28"/>
          <w:szCs w:val="28"/>
          <w:highlight w:val="none"/>
          <w:lang w:val="en-US" w:eastAsia="zh-CN"/>
        </w:rPr>
      </w:pPr>
    </w:p>
    <w:p w14:paraId="0E73AAB8">
      <w:pPr>
        <w:pStyle w:val="14"/>
        <w:jc w:val="center"/>
        <w:outlineLvl w:val="1"/>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12.</w:t>
      </w:r>
      <w:r>
        <w:rPr>
          <w:rFonts w:hint="eastAsia" w:ascii="宋体" w:hAnsi="宋体" w:eastAsia="宋体" w:cs="宋体"/>
          <w:b/>
          <w:bCs w:val="0"/>
          <w:color w:val="auto"/>
          <w:kern w:val="2"/>
          <w:sz w:val="28"/>
          <w:szCs w:val="28"/>
          <w:highlight w:val="none"/>
          <w:lang w:val="en-US" w:eastAsia="zh-CN" w:bidi="ar-SA"/>
        </w:rPr>
        <w:t>投标人关联企业情况</w:t>
      </w:r>
      <w:bookmarkEnd w:id="594"/>
      <w:bookmarkEnd w:id="595"/>
      <w:bookmarkEnd w:id="596"/>
      <w:r>
        <w:rPr>
          <w:rFonts w:hint="eastAsia" w:ascii="宋体" w:hAnsi="宋体" w:eastAsia="宋体" w:cs="宋体"/>
          <w:sz w:val="28"/>
          <w:szCs w:val="28"/>
          <w:lang w:val="en-US" w:eastAsia="zh-CN"/>
        </w:rPr>
        <w:t xml:space="preserve">       </w:t>
      </w:r>
    </w:p>
    <w:p w14:paraId="66593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0"/>
          <w:szCs w:val="30"/>
        </w:rPr>
      </w:pPr>
      <w:r>
        <w:rPr>
          <w:rFonts w:hint="eastAsia" w:ascii="宋体" w:hAnsi="宋体" w:eastAsia="宋体" w:cs="宋体"/>
          <w:sz w:val="28"/>
          <w:szCs w:val="28"/>
        </w:rPr>
        <w:t>投标人的母公司、子公司（含控股公司）关联企业等情况表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00"/>
        <w:gridCol w:w="4164"/>
      </w:tblGrid>
      <w:tr w14:paraId="4CF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433" w:type="dxa"/>
            <w:noWrap w:val="0"/>
            <w:vAlign w:val="center"/>
          </w:tcPr>
          <w:p w14:paraId="363150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项目名称 </w:t>
            </w:r>
          </w:p>
        </w:tc>
        <w:tc>
          <w:tcPr>
            <w:tcW w:w="7464" w:type="dxa"/>
            <w:gridSpan w:val="2"/>
            <w:noWrap w:val="0"/>
            <w:vAlign w:val="center"/>
          </w:tcPr>
          <w:p w14:paraId="3A55B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679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3BE83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项目编号</w:t>
            </w:r>
          </w:p>
        </w:tc>
        <w:tc>
          <w:tcPr>
            <w:tcW w:w="7464" w:type="dxa"/>
            <w:gridSpan w:val="2"/>
            <w:noWrap w:val="0"/>
            <w:vAlign w:val="center"/>
          </w:tcPr>
          <w:p w14:paraId="1110BF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5DDB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1FCDFD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标项名称</w:t>
            </w:r>
          </w:p>
        </w:tc>
        <w:tc>
          <w:tcPr>
            <w:tcW w:w="7464" w:type="dxa"/>
            <w:gridSpan w:val="2"/>
            <w:noWrap w:val="0"/>
            <w:vAlign w:val="center"/>
          </w:tcPr>
          <w:p w14:paraId="5059AC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4E59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33" w:type="dxa"/>
            <w:noWrap w:val="0"/>
            <w:vAlign w:val="center"/>
          </w:tcPr>
          <w:p w14:paraId="6B5886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序号</w:t>
            </w:r>
          </w:p>
        </w:tc>
        <w:tc>
          <w:tcPr>
            <w:tcW w:w="7464" w:type="dxa"/>
            <w:gridSpan w:val="2"/>
            <w:noWrap w:val="0"/>
            <w:vAlign w:val="center"/>
          </w:tcPr>
          <w:p w14:paraId="0B0D53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投标人填写</w:t>
            </w:r>
          </w:p>
        </w:tc>
      </w:tr>
      <w:tr w14:paraId="7C0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1433" w:type="dxa"/>
            <w:noWrap w:val="0"/>
            <w:vAlign w:val="center"/>
          </w:tcPr>
          <w:p w14:paraId="5571FF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00" w:type="dxa"/>
            <w:noWrap w:val="0"/>
            <w:vAlign w:val="center"/>
          </w:tcPr>
          <w:p w14:paraId="7FAFDE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投标人的母公司及其母公司的子公司（含控股公司）的情况</w:t>
            </w:r>
          </w:p>
        </w:tc>
        <w:tc>
          <w:tcPr>
            <w:tcW w:w="4164" w:type="dxa"/>
            <w:noWrap w:val="0"/>
            <w:vAlign w:val="center"/>
          </w:tcPr>
          <w:p w14:paraId="6800D3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叙述或附图表示投标人的母公司及其母公司的子公司（含控股公司）的情况</w:t>
            </w:r>
          </w:p>
        </w:tc>
      </w:tr>
      <w:tr w14:paraId="13B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433" w:type="dxa"/>
            <w:noWrap w:val="0"/>
            <w:vAlign w:val="center"/>
          </w:tcPr>
          <w:p w14:paraId="67F384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00" w:type="dxa"/>
            <w:noWrap w:val="0"/>
            <w:vAlign w:val="center"/>
          </w:tcPr>
          <w:p w14:paraId="70F633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投标人的子公司（含控股公司）的情况</w:t>
            </w:r>
          </w:p>
        </w:tc>
        <w:tc>
          <w:tcPr>
            <w:tcW w:w="4164" w:type="dxa"/>
            <w:noWrap w:val="0"/>
            <w:vAlign w:val="center"/>
          </w:tcPr>
          <w:p w14:paraId="717129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叙述或附图表示投标人子公司（含控股公司）的情况</w:t>
            </w:r>
          </w:p>
        </w:tc>
      </w:tr>
      <w:tr w14:paraId="5B6E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33" w:type="dxa"/>
            <w:noWrap w:val="0"/>
            <w:vAlign w:val="center"/>
          </w:tcPr>
          <w:p w14:paraId="71F914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00" w:type="dxa"/>
            <w:noWrap w:val="0"/>
            <w:vAlign w:val="center"/>
          </w:tcPr>
          <w:p w14:paraId="3A47BD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投标人的投资参股关系的关联企业的情况</w:t>
            </w:r>
          </w:p>
        </w:tc>
        <w:tc>
          <w:tcPr>
            <w:tcW w:w="4164" w:type="dxa"/>
            <w:noWrap w:val="0"/>
            <w:vAlign w:val="center"/>
          </w:tcPr>
          <w:p w14:paraId="01C052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AE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433" w:type="dxa"/>
            <w:noWrap w:val="0"/>
            <w:vAlign w:val="center"/>
          </w:tcPr>
          <w:p w14:paraId="46516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00" w:type="dxa"/>
            <w:noWrap w:val="0"/>
            <w:vAlign w:val="center"/>
          </w:tcPr>
          <w:p w14:paraId="0FC1CC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投标人的法定代表人为同一人的两个及两个以上法人的情况</w:t>
            </w:r>
          </w:p>
        </w:tc>
        <w:tc>
          <w:tcPr>
            <w:tcW w:w="4164" w:type="dxa"/>
            <w:noWrap w:val="0"/>
            <w:vAlign w:val="center"/>
          </w:tcPr>
          <w:p w14:paraId="0DB6F1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FDC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1433" w:type="dxa"/>
            <w:noWrap w:val="0"/>
            <w:vAlign w:val="center"/>
          </w:tcPr>
          <w:p w14:paraId="3D2052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300" w:type="dxa"/>
            <w:noWrap w:val="0"/>
            <w:vAlign w:val="center"/>
          </w:tcPr>
          <w:p w14:paraId="142CA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单位的主要人员在其他企业任职情况</w:t>
            </w:r>
          </w:p>
        </w:tc>
        <w:tc>
          <w:tcPr>
            <w:tcW w:w="4164" w:type="dxa"/>
            <w:noWrap w:val="0"/>
            <w:vAlign w:val="center"/>
          </w:tcPr>
          <w:p w14:paraId="210A3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bl>
    <w:p w14:paraId="5F3A0B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 xml:space="preserve">：  </w:t>
      </w:r>
    </w:p>
    <w:p w14:paraId="44771F6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公</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章</w:t>
      </w:r>
      <w:r>
        <w:rPr>
          <w:rFonts w:hint="eastAsia" w:ascii="宋体" w:hAnsi="宋体" w:eastAsia="宋体" w:cs="宋体"/>
          <w:b/>
          <w:bCs/>
          <w:sz w:val="24"/>
          <w:szCs w:val="24"/>
          <w:lang w:val="en-US" w:eastAsia="zh-CN"/>
        </w:rPr>
        <w:t>：</w:t>
      </w:r>
    </w:p>
    <w:p w14:paraId="5A3A5C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法</w:t>
      </w:r>
      <w:r>
        <w:rPr>
          <w:rFonts w:hint="eastAsia" w:ascii="宋体" w:hAnsi="宋体" w:eastAsia="宋体" w:cs="宋体"/>
          <w:b/>
          <w:bCs/>
          <w:sz w:val="24"/>
          <w:szCs w:val="24"/>
          <w:lang w:val="en-US" w:eastAsia="zh-CN"/>
        </w:rPr>
        <w:t>定</w:t>
      </w:r>
      <w:r>
        <w:rPr>
          <w:rFonts w:hint="eastAsia" w:ascii="宋体" w:hAnsi="宋体" w:eastAsia="宋体" w:cs="宋体"/>
          <w:b/>
          <w:bCs/>
          <w:sz w:val="24"/>
          <w:szCs w:val="24"/>
        </w:rPr>
        <w:t>代表人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负责人</w:t>
      </w:r>
      <w:r>
        <w:rPr>
          <w:rFonts w:hint="eastAsia" w:ascii="宋体" w:hAnsi="宋体" w:eastAsia="宋体" w:cs="宋体"/>
          <w:b/>
          <w:bCs/>
          <w:sz w:val="24"/>
          <w:szCs w:val="24"/>
          <w:lang w:eastAsia="zh-CN"/>
        </w:rPr>
        <w:t>）</w:t>
      </w:r>
      <w:r>
        <w:rPr>
          <w:rFonts w:hint="eastAsia" w:ascii="宋体" w:hAnsi="宋体" w:eastAsia="宋体" w:cs="宋体"/>
          <w:b/>
          <w:bCs/>
          <w:sz w:val="24"/>
          <w:szCs w:val="24"/>
        </w:rPr>
        <w:t>：（签字</w:t>
      </w:r>
      <w:r>
        <w:rPr>
          <w:rFonts w:hint="eastAsia" w:ascii="宋体" w:hAnsi="宋体" w:eastAsia="宋体" w:cs="宋体"/>
          <w:b/>
          <w:bCs/>
          <w:sz w:val="24"/>
          <w:szCs w:val="24"/>
          <w:lang w:val="en-US" w:eastAsia="zh-CN"/>
        </w:rPr>
        <w:t>或签章</w:t>
      </w:r>
      <w:r>
        <w:rPr>
          <w:rFonts w:hint="eastAsia" w:ascii="宋体" w:hAnsi="宋体" w:eastAsia="宋体" w:cs="宋体"/>
          <w:b/>
          <w:bCs/>
          <w:sz w:val="24"/>
          <w:szCs w:val="24"/>
        </w:rPr>
        <w:t>）</w:t>
      </w:r>
    </w:p>
    <w:p w14:paraId="06D243FA">
      <w:pPr>
        <w:pStyle w:val="1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rPr>
        <w:t xml:space="preserve">                                     20  年  月  </w:t>
      </w:r>
      <w:r>
        <w:rPr>
          <w:rFonts w:hint="eastAsia" w:ascii="宋体" w:hAnsi="宋体" w:eastAsia="宋体" w:cs="宋体"/>
          <w:b/>
          <w:bCs/>
          <w:sz w:val="24"/>
          <w:szCs w:val="24"/>
          <w:lang w:val="en-US" w:eastAsia="zh-CN"/>
        </w:rPr>
        <w:t>日</w:t>
      </w:r>
    </w:p>
    <w:p w14:paraId="675843B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 投标人应如实、全面地填写“投标人关联企业情况表”。若因投标人故意隐瞒，一经查实，将视为投标人弄虚作假，提供了虚假资料，采购人将按相关规定以弄虚作假行为处理。</w:t>
      </w:r>
    </w:p>
    <w:p w14:paraId="4DFC99A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2.如投标人无上表中所述的相关情况，则投标人可在相应表栏中填写“无”。</w:t>
      </w:r>
    </w:p>
    <w:p w14:paraId="5444E8C7">
      <w:pPr>
        <w:pStyle w:val="24"/>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3.单位负责人为同一人或者存在直接控股、管理关系的不同投标人，不得同时参加本招标项目的政府采购活动。</w:t>
      </w:r>
    </w:p>
    <w:p w14:paraId="39561EC1">
      <w:pPr>
        <w:pStyle w:val="25"/>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13.投标资质（投标人的资格要求）(</w:t>
      </w:r>
      <w:r>
        <w:rPr>
          <w:rFonts w:hint="eastAsia" w:ascii="宋体" w:hAnsi="宋体" w:cs="宋体"/>
          <w:b/>
          <w:bCs/>
          <w:sz w:val="30"/>
          <w:szCs w:val="30"/>
          <w:lang w:val="en-US" w:eastAsia="zh-CN"/>
        </w:rPr>
        <w:t>2</w:t>
      </w:r>
      <w:r>
        <w:rPr>
          <w:rFonts w:hint="eastAsia" w:ascii="宋体" w:hAnsi="宋体" w:eastAsia="宋体" w:cs="宋体"/>
          <w:b/>
          <w:bCs/>
          <w:sz w:val="30"/>
          <w:szCs w:val="30"/>
          <w:lang w:val="en-US" w:eastAsia="zh-CN"/>
        </w:rPr>
        <w:t>)-(</w:t>
      </w:r>
      <w:r>
        <w:rPr>
          <w:rFonts w:hint="eastAsia" w:ascii="宋体" w:hAnsi="宋体" w:cs="宋体"/>
          <w:b/>
          <w:bCs/>
          <w:sz w:val="30"/>
          <w:szCs w:val="30"/>
          <w:lang w:val="en-US" w:eastAsia="zh-CN"/>
        </w:rPr>
        <w:t>7</w:t>
      </w:r>
      <w:r>
        <w:rPr>
          <w:rFonts w:hint="eastAsia" w:ascii="宋体" w:hAnsi="宋体" w:eastAsia="宋体" w:cs="宋体"/>
          <w:b/>
          <w:bCs/>
          <w:sz w:val="30"/>
          <w:szCs w:val="30"/>
          <w:lang w:val="en-US" w:eastAsia="zh-CN"/>
        </w:rPr>
        <w:t>)项资料复印件加盖公章;</w:t>
      </w:r>
    </w:p>
    <w:p w14:paraId="5E7E38AF">
      <w:pPr>
        <w:keepNext w:val="0"/>
        <w:keepLines w:val="0"/>
        <w:pageBreakBefore w:val="0"/>
        <w:widowControl w:val="0"/>
        <w:kinsoku/>
        <w:wordWrap/>
        <w:overflowPunct/>
        <w:topLinePunct w:val="0"/>
        <w:autoSpaceDE/>
        <w:autoSpaceDN/>
        <w:bidi w:val="0"/>
        <w:adjustRightInd/>
        <w:snapToGrid/>
        <w:spacing w:before="104" w:line="320" w:lineRule="exact"/>
        <w:textAlignment w:val="auto"/>
        <w:rPr>
          <w:rFonts w:hint="eastAsia" w:ascii="宋体" w:hAnsi="宋体" w:eastAsia="宋体" w:cs="宋体"/>
          <w:b/>
          <w:bCs/>
          <w:spacing w:val="-15"/>
          <w:sz w:val="30"/>
          <w:szCs w:val="30"/>
          <w:lang w:val="en-US" w:eastAsia="zh-CN"/>
        </w:rPr>
      </w:pPr>
    </w:p>
    <w:p w14:paraId="28E4F3D5">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b/>
          <w:bCs/>
          <w:spacing w:val="-15"/>
          <w:sz w:val="30"/>
          <w:szCs w:val="30"/>
          <w:lang w:val="en-US" w:eastAsia="zh-CN"/>
        </w:rPr>
      </w:pPr>
    </w:p>
    <w:p w14:paraId="466646B2">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sz w:val="30"/>
          <w:szCs w:val="30"/>
        </w:rPr>
      </w:pPr>
      <w:r>
        <w:rPr>
          <w:rFonts w:hint="eastAsia" w:ascii="宋体" w:hAnsi="宋体" w:eastAsia="宋体" w:cs="宋体"/>
          <w:b/>
          <w:bCs/>
          <w:spacing w:val="-15"/>
          <w:sz w:val="30"/>
          <w:szCs w:val="30"/>
          <w:lang w:val="en-US" w:eastAsia="zh-CN"/>
        </w:rPr>
        <w:t>14.</w:t>
      </w:r>
      <w:r>
        <w:rPr>
          <w:rFonts w:hint="eastAsia" w:ascii="宋体" w:hAnsi="宋体" w:eastAsia="宋体" w:cs="宋体"/>
          <w:b/>
          <w:bCs/>
          <w:spacing w:val="-15"/>
          <w:sz w:val="30"/>
          <w:szCs w:val="30"/>
        </w:rPr>
        <w:t>中小企业声明函</w:t>
      </w:r>
    </w:p>
    <w:p w14:paraId="43BCFFFC">
      <w:pPr>
        <w:keepNext w:val="0"/>
        <w:keepLines w:val="0"/>
        <w:pageBreakBefore w:val="0"/>
        <w:widowControl w:val="0"/>
        <w:kinsoku/>
        <w:wordWrap/>
        <w:overflowPunct/>
        <w:topLinePunct w:val="0"/>
        <w:autoSpaceDE/>
        <w:autoSpaceDN/>
        <w:bidi w:val="0"/>
        <w:adjustRightInd/>
        <w:snapToGrid/>
        <w:spacing w:before="229" w:line="320" w:lineRule="exact"/>
        <w:ind w:left="18" w:right="27" w:firstLine="505"/>
        <w:textAlignment w:val="auto"/>
        <w:rPr>
          <w:rFonts w:hint="eastAsia" w:ascii="宋体" w:hAnsi="宋体" w:eastAsia="宋体" w:cs="宋体"/>
          <w:sz w:val="30"/>
          <w:szCs w:val="30"/>
        </w:rPr>
      </w:pPr>
      <w:r>
        <w:rPr>
          <w:rFonts w:hint="eastAsia" w:ascii="宋体" w:hAnsi="宋体" w:eastAsia="宋体" w:cs="宋体"/>
          <w:spacing w:val="16"/>
          <w:sz w:val="30"/>
          <w:szCs w:val="30"/>
        </w:rPr>
        <w:t>本公司（联合体</w:t>
      </w:r>
      <w:r>
        <w:rPr>
          <w:rFonts w:hint="eastAsia" w:ascii="宋体" w:hAnsi="宋体" w:eastAsia="宋体" w:cs="宋体"/>
          <w:spacing w:val="-62"/>
          <w:sz w:val="30"/>
          <w:szCs w:val="30"/>
        </w:rPr>
        <w:t xml:space="preserve"> </w:t>
      </w:r>
      <w:r>
        <w:rPr>
          <w:rFonts w:hint="eastAsia" w:ascii="宋体" w:hAnsi="宋体" w:eastAsia="宋体" w:cs="宋体"/>
          <w:spacing w:val="16"/>
          <w:sz w:val="30"/>
          <w:szCs w:val="30"/>
        </w:rPr>
        <w:t>）郑重声明，</w:t>
      </w:r>
      <w:r>
        <w:rPr>
          <w:rFonts w:hint="eastAsia" w:ascii="宋体" w:hAnsi="宋体" w:eastAsia="宋体" w:cs="宋体"/>
          <w:spacing w:val="-68"/>
          <w:sz w:val="30"/>
          <w:szCs w:val="30"/>
        </w:rPr>
        <w:t xml:space="preserve"> </w:t>
      </w:r>
      <w:r>
        <w:rPr>
          <w:rFonts w:hint="eastAsia" w:ascii="宋体" w:hAnsi="宋体" w:eastAsia="宋体" w:cs="宋体"/>
          <w:spacing w:val="16"/>
          <w:sz w:val="30"/>
          <w:szCs w:val="30"/>
        </w:rPr>
        <w:t>根据《政府采购促进中小企业发展管理</w:t>
      </w:r>
      <w:r>
        <w:rPr>
          <w:rFonts w:hint="eastAsia" w:ascii="宋体" w:hAnsi="宋体" w:eastAsia="宋体" w:cs="宋体"/>
          <w:sz w:val="30"/>
          <w:szCs w:val="30"/>
        </w:rPr>
        <w:t xml:space="preserve"> </w:t>
      </w:r>
      <w:r>
        <w:rPr>
          <w:rFonts w:hint="eastAsia" w:ascii="宋体" w:hAnsi="宋体" w:eastAsia="宋体" w:cs="宋体"/>
          <w:spacing w:val="10"/>
          <w:sz w:val="30"/>
          <w:szCs w:val="30"/>
        </w:rPr>
        <w:t>办法》</w:t>
      </w:r>
      <w:r>
        <w:rPr>
          <w:rFonts w:hint="eastAsia" w:ascii="宋体" w:hAnsi="宋体" w:eastAsia="宋体" w:cs="宋体"/>
          <w:spacing w:val="-96"/>
          <w:sz w:val="30"/>
          <w:szCs w:val="30"/>
        </w:rPr>
        <w:t xml:space="preserve"> </w:t>
      </w:r>
      <w:r>
        <w:rPr>
          <w:rFonts w:hint="eastAsia" w:ascii="宋体" w:hAnsi="宋体" w:eastAsia="宋体" w:cs="宋体"/>
          <w:spacing w:val="10"/>
          <w:sz w:val="30"/>
          <w:szCs w:val="30"/>
        </w:rPr>
        <w:t>（财库﹝2020﹞46</w:t>
      </w:r>
      <w:r>
        <w:rPr>
          <w:rFonts w:hint="eastAsia" w:ascii="宋体" w:hAnsi="宋体" w:eastAsia="宋体" w:cs="宋体"/>
          <w:spacing w:val="39"/>
          <w:sz w:val="30"/>
          <w:szCs w:val="30"/>
        </w:rPr>
        <w:t xml:space="preserve"> </w:t>
      </w:r>
      <w:r>
        <w:rPr>
          <w:rFonts w:hint="eastAsia" w:ascii="宋体" w:hAnsi="宋体" w:eastAsia="宋体" w:cs="宋体"/>
          <w:spacing w:val="10"/>
          <w:sz w:val="30"/>
          <w:szCs w:val="30"/>
        </w:rPr>
        <w:t>号）</w:t>
      </w:r>
      <w:r>
        <w:rPr>
          <w:rFonts w:hint="eastAsia" w:ascii="宋体" w:hAnsi="宋体" w:eastAsia="宋体" w:cs="宋体"/>
          <w:spacing w:val="-55"/>
          <w:sz w:val="30"/>
          <w:szCs w:val="30"/>
        </w:rPr>
        <w:t xml:space="preserve"> </w:t>
      </w:r>
      <w:r>
        <w:rPr>
          <w:rFonts w:hint="eastAsia" w:ascii="宋体" w:hAnsi="宋体" w:eastAsia="宋体" w:cs="宋体"/>
          <w:spacing w:val="10"/>
          <w:sz w:val="30"/>
          <w:szCs w:val="30"/>
        </w:rPr>
        <w:t>的规定</w:t>
      </w:r>
      <w:r>
        <w:rPr>
          <w:rFonts w:hint="eastAsia" w:ascii="宋体" w:hAnsi="宋体" w:eastAsia="宋体" w:cs="宋体"/>
          <w:spacing w:val="-67"/>
          <w:sz w:val="30"/>
          <w:szCs w:val="30"/>
        </w:rPr>
        <w:t xml:space="preserve"> </w:t>
      </w:r>
      <w:r>
        <w:rPr>
          <w:rFonts w:hint="eastAsia" w:ascii="宋体" w:hAnsi="宋体" w:eastAsia="宋体" w:cs="宋体"/>
          <w:spacing w:val="10"/>
          <w:sz w:val="30"/>
          <w:szCs w:val="30"/>
        </w:rPr>
        <w:t>，本公司（联合体</w:t>
      </w:r>
      <w:r>
        <w:rPr>
          <w:rFonts w:hint="eastAsia" w:ascii="宋体" w:hAnsi="宋体" w:eastAsia="宋体" w:cs="宋体"/>
          <w:spacing w:val="-61"/>
          <w:sz w:val="30"/>
          <w:szCs w:val="30"/>
        </w:rPr>
        <w:t xml:space="preserve"> </w:t>
      </w:r>
      <w:r>
        <w:rPr>
          <w:rFonts w:hint="eastAsia" w:ascii="宋体" w:hAnsi="宋体" w:eastAsia="宋体" w:cs="宋体"/>
          <w:spacing w:val="10"/>
          <w:sz w:val="30"/>
          <w:szCs w:val="30"/>
        </w:rPr>
        <w:t>）参加</w:t>
      </w:r>
      <w:r>
        <w:rPr>
          <w:rFonts w:hint="eastAsia" w:ascii="宋体" w:hAnsi="宋体" w:eastAsia="宋体" w:cs="宋体"/>
          <w:spacing w:val="-98"/>
          <w:sz w:val="30"/>
          <w:szCs w:val="30"/>
        </w:rPr>
        <w:t xml:space="preserve"> </w:t>
      </w:r>
      <w:r>
        <w:rPr>
          <w:rFonts w:hint="eastAsia" w:ascii="宋体" w:hAnsi="宋体" w:eastAsia="宋体" w:cs="宋体"/>
          <w:spacing w:val="10"/>
          <w:sz w:val="30"/>
          <w:szCs w:val="30"/>
          <w:u w:val="single" w:color="auto"/>
        </w:rPr>
        <w:t xml:space="preserve"> （单</w:t>
      </w:r>
      <w:r>
        <w:rPr>
          <w:rFonts w:hint="eastAsia" w:ascii="宋体" w:hAnsi="宋体" w:eastAsia="宋体" w:cs="宋体"/>
          <w:spacing w:val="9"/>
          <w:sz w:val="30"/>
          <w:szCs w:val="30"/>
          <w:u w:val="single" w:color="auto"/>
        </w:rPr>
        <w:t>位名</w:t>
      </w:r>
      <w:r>
        <w:rPr>
          <w:rFonts w:hint="eastAsia" w:ascii="宋体" w:hAnsi="宋体" w:eastAsia="宋体" w:cs="宋体"/>
          <w:sz w:val="30"/>
          <w:szCs w:val="30"/>
          <w:u w:val="single"/>
        </w:rPr>
        <w:t xml:space="preserve"> </w:t>
      </w:r>
      <w:r>
        <w:rPr>
          <w:rFonts w:hint="eastAsia" w:ascii="宋体" w:hAnsi="宋体" w:eastAsia="宋体" w:cs="宋体"/>
          <w:spacing w:val="11"/>
          <w:sz w:val="30"/>
          <w:szCs w:val="30"/>
          <w:u w:val="single" w:color="auto"/>
        </w:rPr>
        <w:t>称</w:t>
      </w:r>
      <w:r>
        <w:rPr>
          <w:rFonts w:hint="eastAsia" w:ascii="宋体" w:hAnsi="宋体" w:eastAsia="宋体" w:cs="宋体"/>
          <w:spacing w:val="-49"/>
          <w:sz w:val="30"/>
          <w:szCs w:val="30"/>
          <w:u w:val="single" w:color="auto"/>
        </w:rPr>
        <w:t xml:space="preserve"> </w:t>
      </w:r>
      <w:r>
        <w:rPr>
          <w:rFonts w:hint="eastAsia" w:ascii="宋体" w:hAnsi="宋体" w:eastAsia="宋体" w:cs="宋体"/>
          <w:spacing w:val="11"/>
          <w:sz w:val="30"/>
          <w:szCs w:val="30"/>
          <w:u w:val="single" w:color="auto"/>
        </w:rPr>
        <w:t>）</w:t>
      </w:r>
      <w:r>
        <w:rPr>
          <w:rFonts w:hint="eastAsia" w:ascii="宋体" w:hAnsi="宋体" w:eastAsia="宋体" w:cs="宋体"/>
          <w:spacing w:val="11"/>
          <w:sz w:val="30"/>
          <w:szCs w:val="30"/>
        </w:rPr>
        <w:t>的</w:t>
      </w:r>
      <w:r>
        <w:rPr>
          <w:rFonts w:hint="eastAsia" w:ascii="宋体" w:hAnsi="宋体" w:eastAsia="宋体" w:cs="宋体"/>
          <w:spacing w:val="-94"/>
          <w:sz w:val="30"/>
          <w:szCs w:val="30"/>
        </w:rPr>
        <w:t xml:space="preserve"> </w:t>
      </w:r>
      <w:r>
        <w:rPr>
          <w:rFonts w:hint="eastAsia" w:ascii="宋体" w:hAnsi="宋体" w:eastAsia="宋体" w:cs="宋体"/>
          <w:spacing w:val="11"/>
          <w:sz w:val="30"/>
          <w:szCs w:val="30"/>
          <w:u w:val="single" w:color="auto"/>
        </w:rPr>
        <w:t xml:space="preserve"> （项</w:t>
      </w:r>
      <w:r>
        <w:rPr>
          <w:rFonts w:hint="eastAsia" w:ascii="宋体" w:hAnsi="宋体" w:eastAsia="宋体" w:cs="宋体"/>
          <w:spacing w:val="-36"/>
          <w:sz w:val="30"/>
          <w:szCs w:val="30"/>
          <w:u w:val="single" w:color="auto"/>
        </w:rPr>
        <w:t xml:space="preserve"> </w:t>
      </w:r>
      <w:r>
        <w:rPr>
          <w:rFonts w:hint="eastAsia" w:ascii="宋体" w:hAnsi="宋体" w:eastAsia="宋体" w:cs="宋体"/>
          <w:spacing w:val="11"/>
          <w:sz w:val="30"/>
          <w:szCs w:val="30"/>
          <w:u w:val="single" w:color="auto"/>
        </w:rPr>
        <w:t>目名称</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 xml:space="preserve">） </w:t>
      </w:r>
      <w:r>
        <w:rPr>
          <w:rFonts w:hint="eastAsia" w:ascii="宋体" w:hAnsi="宋体" w:eastAsia="宋体" w:cs="宋体"/>
          <w:spacing w:val="-111"/>
          <w:sz w:val="30"/>
          <w:szCs w:val="30"/>
        </w:rPr>
        <w:t xml:space="preserve"> </w:t>
      </w:r>
      <w:r>
        <w:rPr>
          <w:rFonts w:hint="eastAsia" w:ascii="宋体" w:hAnsi="宋体" w:eastAsia="宋体" w:cs="宋体"/>
          <w:spacing w:val="11"/>
          <w:sz w:val="30"/>
          <w:szCs w:val="30"/>
        </w:rPr>
        <w:t>采购活动，服务全部由符合政策要求的中小企业承</w:t>
      </w:r>
      <w:r>
        <w:rPr>
          <w:rFonts w:hint="eastAsia" w:ascii="宋体" w:hAnsi="宋体" w:eastAsia="宋体" w:cs="宋体"/>
          <w:sz w:val="30"/>
          <w:szCs w:val="30"/>
        </w:rPr>
        <w:t xml:space="preserve"> </w:t>
      </w:r>
      <w:r>
        <w:rPr>
          <w:rFonts w:hint="eastAsia" w:ascii="宋体" w:hAnsi="宋体" w:eastAsia="宋体" w:cs="宋体"/>
          <w:spacing w:val="19"/>
          <w:sz w:val="30"/>
          <w:szCs w:val="30"/>
        </w:rPr>
        <w:t>接。相关企业（含联合体中的中小企业、签订分包意向协议的中小企业）</w:t>
      </w:r>
      <w:r>
        <w:rPr>
          <w:rFonts w:hint="eastAsia" w:ascii="宋体" w:hAnsi="宋体" w:eastAsia="宋体" w:cs="宋体"/>
          <w:spacing w:val="10"/>
          <w:sz w:val="30"/>
          <w:szCs w:val="30"/>
        </w:rPr>
        <w:t xml:space="preserve"> </w:t>
      </w:r>
      <w:r>
        <w:rPr>
          <w:rFonts w:hint="eastAsia" w:ascii="宋体" w:hAnsi="宋体" w:eastAsia="宋体" w:cs="宋体"/>
          <w:spacing w:val="8"/>
          <w:sz w:val="30"/>
          <w:szCs w:val="30"/>
        </w:rPr>
        <w:t>的具体情况如下：</w:t>
      </w:r>
    </w:p>
    <w:p w14:paraId="326A2379">
      <w:pPr>
        <w:keepNext w:val="0"/>
        <w:keepLines w:val="0"/>
        <w:pageBreakBefore w:val="0"/>
        <w:widowControl w:val="0"/>
        <w:tabs>
          <w:tab w:val="left" w:pos="146"/>
        </w:tabs>
        <w:kinsoku/>
        <w:wordWrap/>
        <w:overflowPunct/>
        <w:topLinePunct w:val="0"/>
        <w:autoSpaceDE/>
        <w:autoSpaceDN/>
        <w:bidi w:val="0"/>
        <w:adjustRightInd/>
        <w:snapToGrid/>
        <w:spacing w:before="36" w:line="320" w:lineRule="exact"/>
        <w:ind w:left="10" w:right="48" w:firstLine="530"/>
        <w:jc w:val="both"/>
        <w:textAlignment w:val="auto"/>
        <w:rPr>
          <w:rFonts w:hint="eastAsia" w:ascii="宋体" w:hAnsi="宋体" w:eastAsia="宋体" w:cs="宋体"/>
          <w:sz w:val="30"/>
          <w:szCs w:val="30"/>
        </w:rPr>
      </w:pPr>
      <w:r>
        <w:rPr>
          <w:rFonts w:hint="eastAsia" w:ascii="宋体" w:hAnsi="宋体" w:eastAsia="宋体" w:cs="宋体"/>
          <w:spacing w:val="11"/>
          <w:sz w:val="30"/>
          <w:szCs w:val="30"/>
        </w:rPr>
        <w:t xml:space="preserve">1. </w:t>
      </w:r>
      <w:r>
        <w:rPr>
          <w:rFonts w:hint="eastAsia" w:ascii="宋体" w:hAnsi="宋体" w:eastAsia="宋体" w:cs="宋体"/>
          <w:spacing w:val="11"/>
          <w:sz w:val="30"/>
          <w:szCs w:val="30"/>
          <w:u w:val="single" w:color="auto"/>
        </w:rPr>
        <w:t>（标</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的名称</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8"/>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属于</w:t>
      </w:r>
      <w:r>
        <w:rPr>
          <w:rFonts w:hint="eastAsia" w:ascii="宋体" w:hAnsi="宋体" w:eastAsia="宋体" w:cs="宋体"/>
          <w:spacing w:val="-90"/>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1"/>
          <w:sz w:val="30"/>
          <w:szCs w:val="30"/>
          <w:u w:val="single" w:color="auto"/>
        </w:rPr>
        <w:t>（采购文件</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中</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明确</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1"/>
          <w:sz w:val="30"/>
          <w:szCs w:val="30"/>
          <w:u w:val="single" w:color="auto"/>
        </w:rPr>
        <w:t>的所属行业</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7"/>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711FDD4F">
      <w:pPr>
        <w:keepNext w:val="0"/>
        <w:keepLines w:val="0"/>
        <w:pageBreakBefore w:val="0"/>
        <w:widowControl w:val="0"/>
        <w:tabs>
          <w:tab w:val="left" w:pos="146"/>
        </w:tabs>
        <w:kinsoku/>
        <w:wordWrap/>
        <w:overflowPunct/>
        <w:topLinePunct w:val="0"/>
        <w:autoSpaceDE/>
        <w:autoSpaceDN/>
        <w:bidi w:val="0"/>
        <w:adjustRightInd/>
        <w:snapToGrid/>
        <w:spacing w:before="42" w:line="320" w:lineRule="exact"/>
        <w:ind w:left="10" w:right="48" w:firstLine="515"/>
        <w:jc w:val="both"/>
        <w:textAlignment w:val="auto"/>
        <w:rPr>
          <w:rFonts w:hint="eastAsia" w:ascii="宋体" w:hAnsi="宋体" w:eastAsia="宋体" w:cs="宋体"/>
          <w:sz w:val="30"/>
          <w:szCs w:val="30"/>
        </w:rPr>
      </w:pPr>
      <w:r>
        <w:rPr>
          <w:rFonts w:hint="eastAsia" w:ascii="宋体" w:hAnsi="宋体" w:eastAsia="宋体" w:cs="宋体"/>
          <w:spacing w:val="10"/>
          <w:sz w:val="30"/>
          <w:szCs w:val="30"/>
        </w:rPr>
        <w:t>2.</w:t>
      </w:r>
      <w:r>
        <w:rPr>
          <w:rFonts w:hint="eastAsia" w:ascii="宋体" w:hAnsi="宋体" w:eastAsia="宋体" w:cs="宋体"/>
          <w:spacing w:val="-96"/>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（标</w:t>
      </w:r>
      <w:r>
        <w:rPr>
          <w:rFonts w:hint="eastAsia" w:ascii="宋体" w:hAnsi="宋体" w:eastAsia="宋体" w:cs="宋体"/>
          <w:spacing w:val="-61"/>
          <w:sz w:val="30"/>
          <w:szCs w:val="30"/>
          <w:u w:val="single" w:color="auto"/>
        </w:rPr>
        <w:t xml:space="preserve"> </w:t>
      </w:r>
      <w:r>
        <w:rPr>
          <w:rFonts w:hint="eastAsia" w:ascii="宋体" w:hAnsi="宋体" w:eastAsia="宋体" w:cs="宋体"/>
          <w:spacing w:val="10"/>
          <w:sz w:val="30"/>
          <w:szCs w:val="30"/>
          <w:u w:val="single" w:color="auto"/>
        </w:rPr>
        <w:t>的名称</w:t>
      </w:r>
      <w:r>
        <w:rPr>
          <w:rFonts w:hint="eastAsia" w:ascii="宋体" w:hAnsi="宋体" w:eastAsia="宋体" w:cs="宋体"/>
          <w:spacing w:val="-54"/>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36"/>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属于</w:t>
      </w:r>
      <w:r>
        <w:rPr>
          <w:rFonts w:hint="eastAsia" w:ascii="宋体" w:hAnsi="宋体" w:eastAsia="宋体" w:cs="宋体"/>
          <w:spacing w:val="-92"/>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（采购文件</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0"/>
          <w:sz w:val="30"/>
          <w:szCs w:val="30"/>
          <w:u w:val="single" w:color="auto"/>
        </w:rPr>
        <w:t>中</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0"/>
          <w:sz w:val="30"/>
          <w:szCs w:val="30"/>
          <w:u w:val="single" w:color="auto"/>
        </w:rPr>
        <w:t>明确</w:t>
      </w:r>
      <w:r>
        <w:rPr>
          <w:rFonts w:hint="eastAsia" w:ascii="宋体" w:hAnsi="宋体" w:eastAsia="宋体" w:cs="宋体"/>
          <w:spacing w:val="-60"/>
          <w:sz w:val="30"/>
          <w:szCs w:val="30"/>
          <w:u w:val="single" w:color="auto"/>
        </w:rPr>
        <w:t xml:space="preserve"> </w:t>
      </w:r>
      <w:r>
        <w:rPr>
          <w:rFonts w:hint="eastAsia" w:ascii="宋体" w:hAnsi="宋体" w:eastAsia="宋体" w:cs="宋体"/>
          <w:spacing w:val="10"/>
          <w:sz w:val="30"/>
          <w:szCs w:val="30"/>
          <w:u w:val="single" w:color="auto"/>
        </w:rPr>
        <w:t>的所属行业</w:t>
      </w:r>
      <w:r>
        <w:rPr>
          <w:rFonts w:hint="eastAsia" w:ascii="宋体" w:hAnsi="宋体" w:eastAsia="宋体" w:cs="宋体"/>
          <w:spacing w:val="-55"/>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14"/>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19885CCE">
      <w:pPr>
        <w:keepNext w:val="0"/>
        <w:keepLines w:val="0"/>
        <w:pageBreakBefore w:val="0"/>
        <w:widowControl w:val="0"/>
        <w:kinsoku/>
        <w:wordWrap/>
        <w:overflowPunct/>
        <w:topLinePunct w:val="0"/>
        <w:autoSpaceDE/>
        <w:autoSpaceDN/>
        <w:bidi w:val="0"/>
        <w:adjustRightInd/>
        <w:snapToGrid/>
        <w:spacing w:before="143" w:line="320" w:lineRule="exact"/>
        <w:ind w:left="538"/>
        <w:textAlignment w:val="auto"/>
        <w:rPr>
          <w:rFonts w:hint="eastAsia" w:ascii="宋体" w:hAnsi="宋体" w:eastAsia="宋体" w:cs="宋体"/>
          <w:sz w:val="30"/>
          <w:szCs w:val="30"/>
        </w:rPr>
      </w:pPr>
      <w:r>
        <w:rPr>
          <w:rFonts w:hint="eastAsia" w:ascii="宋体" w:hAnsi="宋体" w:eastAsia="宋体" w:cs="宋体"/>
          <w:spacing w:val="-13"/>
          <w:position w:val="-3"/>
          <w:sz w:val="30"/>
          <w:szCs w:val="30"/>
        </w:rPr>
        <w:t>……</w:t>
      </w:r>
    </w:p>
    <w:p w14:paraId="551A6072">
      <w:pPr>
        <w:keepNext w:val="0"/>
        <w:keepLines w:val="0"/>
        <w:pageBreakBefore w:val="0"/>
        <w:widowControl w:val="0"/>
        <w:kinsoku/>
        <w:wordWrap/>
        <w:overflowPunct/>
        <w:topLinePunct w:val="0"/>
        <w:autoSpaceDE/>
        <w:autoSpaceDN/>
        <w:bidi w:val="0"/>
        <w:adjustRightInd/>
        <w:snapToGrid/>
        <w:spacing w:before="174" w:line="320" w:lineRule="exact"/>
        <w:ind w:left="23" w:right="103" w:firstLine="527"/>
        <w:textAlignment w:val="auto"/>
        <w:rPr>
          <w:rFonts w:hint="eastAsia" w:ascii="宋体" w:hAnsi="宋体" w:eastAsia="宋体" w:cs="宋体"/>
          <w:sz w:val="30"/>
          <w:szCs w:val="30"/>
        </w:rPr>
      </w:pPr>
      <w:r>
        <w:rPr>
          <w:rFonts w:hint="eastAsia" w:ascii="宋体" w:hAnsi="宋体" w:eastAsia="宋体" w:cs="宋体"/>
          <w:spacing w:val="-7"/>
          <w:sz w:val="30"/>
          <w:szCs w:val="30"/>
        </w:rPr>
        <w:t>以上企业，不属于大企业的分支机构，不存在控股股东为大企业的情形，也</w:t>
      </w:r>
      <w:r>
        <w:rPr>
          <w:rFonts w:hint="eastAsia" w:ascii="宋体" w:hAnsi="宋体" w:eastAsia="宋体" w:cs="宋体"/>
          <w:spacing w:val="1"/>
          <w:sz w:val="30"/>
          <w:szCs w:val="30"/>
        </w:rPr>
        <w:t xml:space="preserve"> </w:t>
      </w:r>
      <w:r>
        <w:rPr>
          <w:rFonts w:hint="eastAsia" w:ascii="宋体" w:hAnsi="宋体" w:eastAsia="宋体" w:cs="宋体"/>
          <w:spacing w:val="15"/>
          <w:sz w:val="30"/>
          <w:szCs w:val="30"/>
        </w:rPr>
        <w:t>不存在与大企业的负责人为同一人的情形。</w:t>
      </w:r>
    </w:p>
    <w:p w14:paraId="7A01C993">
      <w:pPr>
        <w:keepNext w:val="0"/>
        <w:keepLines w:val="0"/>
        <w:pageBreakBefore w:val="0"/>
        <w:widowControl w:val="0"/>
        <w:kinsoku/>
        <w:wordWrap/>
        <w:overflowPunct/>
        <w:topLinePunct w:val="0"/>
        <w:autoSpaceDE/>
        <w:autoSpaceDN/>
        <w:bidi w:val="0"/>
        <w:adjustRightInd/>
        <w:snapToGrid/>
        <w:spacing w:before="39" w:line="320" w:lineRule="exact"/>
        <w:jc w:val="left"/>
        <w:textAlignment w:val="auto"/>
        <w:rPr>
          <w:rFonts w:hint="eastAsia" w:ascii="宋体" w:hAnsi="宋体" w:eastAsia="宋体" w:cs="宋体"/>
          <w:sz w:val="30"/>
          <w:szCs w:val="30"/>
        </w:rPr>
      </w:pPr>
      <w:r>
        <w:rPr>
          <w:rFonts w:hint="eastAsia" w:ascii="宋体" w:hAnsi="宋体" w:eastAsia="宋体" w:cs="宋体"/>
          <w:spacing w:val="4"/>
          <w:sz w:val="30"/>
          <w:szCs w:val="30"/>
        </w:rPr>
        <w:t>本企业对上述声明内容的真实性负责。如有虚假，将依法承担相应责任。</w:t>
      </w:r>
    </w:p>
    <w:p w14:paraId="103EFD26">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3"/>
          <w:sz w:val="30"/>
          <w:szCs w:val="30"/>
        </w:rPr>
      </w:pPr>
    </w:p>
    <w:p w14:paraId="78D0FF2A">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1"/>
          <w:sz w:val="30"/>
          <w:szCs w:val="30"/>
        </w:rPr>
      </w:pPr>
      <w:r>
        <w:rPr>
          <w:rFonts w:hint="eastAsia" w:ascii="宋体" w:hAnsi="宋体" w:eastAsia="宋体" w:cs="宋体"/>
          <w:spacing w:val="3"/>
          <w:sz w:val="30"/>
          <w:szCs w:val="30"/>
        </w:rPr>
        <w:t>投标人名称（公章)：</w:t>
      </w:r>
      <w:r>
        <w:rPr>
          <w:rFonts w:hint="eastAsia" w:ascii="宋体" w:hAnsi="宋体" w:eastAsia="宋体" w:cs="宋体"/>
          <w:spacing w:val="1"/>
          <w:sz w:val="30"/>
          <w:szCs w:val="30"/>
        </w:rPr>
        <w:t xml:space="preserve"> </w:t>
      </w:r>
    </w:p>
    <w:p w14:paraId="6AF52760">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z w:val="30"/>
          <w:szCs w:val="30"/>
        </w:rPr>
      </w:pPr>
      <w:r>
        <w:rPr>
          <w:rFonts w:hint="eastAsia" w:ascii="宋体" w:hAnsi="宋体" w:eastAsia="宋体" w:cs="宋体"/>
          <w:spacing w:val="-14"/>
          <w:sz w:val="30"/>
          <w:szCs w:val="30"/>
        </w:rPr>
        <w:t>日期</w:t>
      </w:r>
      <w:r>
        <w:rPr>
          <w:rFonts w:hint="eastAsia" w:ascii="宋体" w:hAnsi="宋体" w:eastAsia="宋体" w:cs="宋体"/>
          <w:spacing w:val="-64"/>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11"/>
          <w:sz w:val="30"/>
          <w:szCs w:val="30"/>
        </w:rPr>
        <w:t xml:space="preserve">   </w:t>
      </w:r>
      <w:r>
        <w:rPr>
          <w:rFonts w:hint="eastAsia" w:ascii="宋体" w:hAnsi="宋体" w:eastAsia="宋体" w:cs="宋体"/>
          <w:spacing w:val="-14"/>
          <w:sz w:val="30"/>
          <w:szCs w:val="30"/>
        </w:rPr>
        <w:t>年</w:t>
      </w:r>
      <w:r>
        <w:rPr>
          <w:rFonts w:hint="eastAsia" w:ascii="宋体" w:hAnsi="宋体" w:eastAsia="宋体" w:cs="宋体"/>
          <w:spacing w:val="44"/>
          <w:sz w:val="30"/>
          <w:szCs w:val="30"/>
        </w:rPr>
        <w:t xml:space="preserve">  </w:t>
      </w:r>
      <w:r>
        <w:rPr>
          <w:rFonts w:hint="eastAsia" w:ascii="宋体" w:hAnsi="宋体" w:eastAsia="宋体" w:cs="宋体"/>
          <w:spacing w:val="-14"/>
          <w:sz w:val="30"/>
          <w:szCs w:val="30"/>
        </w:rPr>
        <w:t>月</w:t>
      </w:r>
      <w:r>
        <w:rPr>
          <w:rFonts w:hint="eastAsia" w:ascii="宋体" w:hAnsi="宋体" w:eastAsia="宋体" w:cs="宋体"/>
          <w:spacing w:val="-14"/>
          <w:sz w:val="30"/>
          <w:szCs w:val="30"/>
          <w:lang w:val="en-US" w:eastAsia="zh-CN"/>
        </w:rPr>
        <w:t xml:space="preserve">    </w:t>
      </w:r>
      <w:r>
        <w:rPr>
          <w:rFonts w:hint="eastAsia" w:ascii="宋体" w:hAnsi="宋体" w:eastAsia="宋体" w:cs="宋体"/>
          <w:sz w:val="30"/>
          <w:szCs w:val="30"/>
        </w:rPr>
        <w:t>日</w:t>
      </w:r>
    </w:p>
    <w:p w14:paraId="1D9BD733">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b/>
          <w:bCs/>
          <w:spacing w:val="4"/>
          <w:sz w:val="30"/>
          <w:szCs w:val="30"/>
        </w:rPr>
      </w:pPr>
    </w:p>
    <w:p w14:paraId="669DA5FF">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sz w:val="30"/>
          <w:szCs w:val="30"/>
        </w:rPr>
      </w:pPr>
      <w:r>
        <w:rPr>
          <w:rFonts w:hint="eastAsia" w:ascii="宋体" w:hAnsi="宋体" w:eastAsia="宋体" w:cs="宋体"/>
          <w:b/>
          <w:bCs/>
          <w:spacing w:val="4"/>
          <w:sz w:val="30"/>
          <w:szCs w:val="30"/>
        </w:rPr>
        <w:t>说明：</w:t>
      </w:r>
      <w:r>
        <w:rPr>
          <w:rFonts w:hint="eastAsia" w:ascii="宋体" w:hAnsi="宋体" w:eastAsia="宋体" w:cs="宋体"/>
          <w:spacing w:val="-51"/>
          <w:sz w:val="30"/>
          <w:szCs w:val="30"/>
        </w:rPr>
        <w:t xml:space="preserve"> </w:t>
      </w:r>
      <w:r>
        <w:rPr>
          <w:rFonts w:hint="eastAsia" w:ascii="宋体" w:hAnsi="宋体" w:eastAsia="宋体" w:cs="宋体"/>
          <w:b/>
          <w:bCs/>
          <w:spacing w:val="4"/>
          <w:sz w:val="30"/>
          <w:szCs w:val="30"/>
        </w:rPr>
        <w:t>1.重要提示：供应商应仔细阅读本函附件</w:t>
      </w:r>
      <w:r>
        <w:rPr>
          <w:rFonts w:hint="eastAsia" w:ascii="宋体" w:hAnsi="宋体" w:eastAsia="宋体" w:cs="宋体"/>
          <w:spacing w:val="44"/>
          <w:sz w:val="30"/>
          <w:szCs w:val="30"/>
        </w:rPr>
        <w:t xml:space="preserve"> </w:t>
      </w:r>
      <w:r>
        <w:rPr>
          <w:rFonts w:hint="eastAsia" w:ascii="宋体" w:hAnsi="宋体" w:eastAsia="宋体" w:cs="宋体"/>
          <w:b/>
          <w:bCs/>
          <w:spacing w:val="4"/>
          <w:sz w:val="30"/>
          <w:szCs w:val="30"/>
        </w:rPr>
        <w:t>1</w:t>
      </w:r>
      <w:r>
        <w:rPr>
          <w:rFonts w:hint="eastAsia" w:ascii="宋体" w:hAnsi="宋体" w:eastAsia="宋体" w:cs="宋体"/>
          <w:spacing w:val="4"/>
          <w:sz w:val="30"/>
          <w:szCs w:val="30"/>
        </w:rPr>
        <w:t xml:space="preserve"> </w:t>
      </w:r>
      <w:r>
        <w:rPr>
          <w:rFonts w:hint="eastAsia" w:ascii="宋体" w:hAnsi="宋体" w:eastAsia="宋体" w:cs="宋体"/>
          <w:b/>
          <w:bCs/>
          <w:spacing w:val="4"/>
          <w:sz w:val="30"/>
          <w:szCs w:val="30"/>
        </w:rPr>
        <w:t>关于“中小企业</w:t>
      </w:r>
      <w:r>
        <w:rPr>
          <w:rFonts w:hint="eastAsia" w:ascii="宋体" w:hAnsi="宋体" w:eastAsia="宋体" w:cs="宋体"/>
          <w:b/>
          <w:bCs/>
          <w:spacing w:val="3"/>
          <w:sz w:val="30"/>
          <w:szCs w:val="30"/>
        </w:rPr>
        <w:t>声明函”的填写要</w:t>
      </w:r>
      <w:r>
        <w:rPr>
          <w:rFonts w:hint="eastAsia" w:ascii="宋体" w:hAnsi="宋体" w:eastAsia="宋体" w:cs="宋体"/>
          <w:sz w:val="30"/>
          <w:szCs w:val="30"/>
        </w:rPr>
        <w:t xml:space="preserve"> </w:t>
      </w:r>
      <w:r>
        <w:rPr>
          <w:rFonts w:hint="eastAsia" w:ascii="宋体" w:hAnsi="宋体" w:eastAsia="宋体" w:cs="宋体"/>
          <w:b/>
          <w:bCs/>
          <w:spacing w:val="9"/>
          <w:sz w:val="30"/>
          <w:szCs w:val="30"/>
        </w:rPr>
        <w:t>求及提交要求</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，否则</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因填写或提交等产生</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的一切不利后</w:t>
      </w:r>
      <w:r>
        <w:rPr>
          <w:rFonts w:hint="eastAsia" w:ascii="宋体" w:hAnsi="宋体" w:eastAsia="宋体" w:cs="宋体"/>
          <w:b/>
          <w:bCs/>
          <w:spacing w:val="8"/>
          <w:sz w:val="30"/>
          <w:szCs w:val="30"/>
        </w:rPr>
        <w:t>果</w:t>
      </w:r>
      <w:r>
        <w:rPr>
          <w:rFonts w:hint="eastAsia" w:ascii="宋体" w:hAnsi="宋体" w:eastAsia="宋体" w:cs="宋体"/>
          <w:spacing w:val="-59"/>
          <w:sz w:val="30"/>
          <w:szCs w:val="30"/>
        </w:rPr>
        <w:t xml:space="preserve"> </w:t>
      </w:r>
      <w:r>
        <w:rPr>
          <w:rFonts w:hint="eastAsia" w:ascii="宋体" w:hAnsi="宋体" w:eastAsia="宋体" w:cs="宋体"/>
          <w:b/>
          <w:bCs/>
          <w:spacing w:val="8"/>
          <w:sz w:val="30"/>
          <w:szCs w:val="30"/>
        </w:rPr>
        <w:t>，须</w:t>
      </w:r>
      <w:r>
        <w:rPr>
          <w:rFonts w:hint="eastAsia" w:ascii="宋体" w:hAnsi="宋体" w:eastAsia="宋体" w:cs="宋体"/>
          <w:spacing w:val="-41"/>
          <w:sz w:val="30"/>
          <w:szCs w:val="30"/>
        </w:rPr>
        <w:t xml:space="preserve"> </w:t>
      </w:r>
      <w:r>
        <w:rPr>
          <w:rFonts w:hint="eastAsia" w:ascii="宋体" w:hAnsi="宋体" w:eastAsia="宋体" w:cs="宋体"/>
          <w:b/>
          <w:bCs/>
          <w:spacing w:val="8"/>
          <w:sz w:val="30"/>
          <w:szCs w:val="30"/>
        </w:rPr>
        <w:t>自行承担。</w:t>
      </w:r>
    </w:p>
    <w:p w14:paraId="5D35F930">
      <w:pPr>
        <w:pStyle w:val="24"/>
        <w:keepNext w:val="0"/>
        <w:keepLines w:val="0"/>
        <w:pageBreakBefore w:val="0"/>
        <w:kinsoku/>
        <w:overflowPunct/>
        <w:topLinePunct w:val="0"/>
        <w:bidi w:val="0"/>
        <w:snapToGrid/>
        <w:spacing w:line="400" w:lineRule="exact"/>
        <w:textAlignment w:val="auto"/>
        <w:rPr>
          <w:rFonts w:hint="eastAsia" w:ascii="宋体" w:hAnsi="宋体" w:eastAsia="宋体" w:cs="宋体"/>
          <w:sz w:val="30"/>
          <w:szCs w:val="30"/>
          <w:lang w:val="en-US" w:eastAsia="zh-CN"/>
        </w:rPr>
      </w:pPr>
      <w:r>
        <w:rPr>
          <w:rFonts w:hint="eastAsia" w:ascii="宋体" w:hAnsi="宋体" w:eastAsia="宋体" w:cs="宋体"/>
          <w:b/>
          <w:bCs/>
          <w:spacing w:val="15"/>
          <w:sz w:val="30"/>
          <w:szCs w:val="30"/>
        </w:rPr>
        <w:t>2.</w:t>
      </w:r>
      <w:r>
        <w:rPr>
          <w:rFonts w:hint="eastAsia" w:ascii="宋体" w:hAnsi="宋体" w:eastAsia="宋体" w:cs="宋体"/>
          <w:spacing w:val="15"/>
          <w:sz w:val="30"/>
          <w:szCs w:val="30"/>
        </w:rPr>
        <w:t>从业人员、营业收入、资产总额填报上一年</w:t>
      </w:r>
      <w:r>
        <w:rPr>
          <w:rFonts w:hint="eastAsia" w:ascii="宋体" w:hAnsi="宋体" w:eastAsia="宋体" w:cs="宋体"/>
          <w:spacing w:val="14"/>
          <w:sz w:val="30"/>
          <w:szCs w:val="30"/>
        </w:rPr>
        <w:t>度数据，</w:t>
      </w:r>
      <w:r>
        <w:rPr>
          <w:rFonts w:hint="eastAsia" w:ascii="宋体" w:hAnsi="宋体" w:eastAsia="宋体" w:cs="宋体"/>
          <w:spacing w:val="-59"/>
          <w:sz w:val="30"/>
          <w:szCs w:val="30"/>
        </w:rPr>
        <w:t xml:space="preserve"> </w:t>
      </w:r>
      <w:r>
        <w:rPr>
          <w:rFonts w:hint="eastAsia" w:ascii="宋体" w:hAnsi="宋体" w:eastAsia="宋体" w:cs="宋体"/>
          <w:spacing w:val="14"/>
          <w:sz w:val="30"/>
          <w:szCs w:val="30"/>
        </w:rPr>
        <w:t>无上一年度数据的新</w:t>
      </w:r>
      <w:r>
        <w:rPr>
          <w:rFonts w:hint="eastAsia" w:ascii="宋体" w:hAnsi="宋体" w:eastAsia="宋体" w:cs="宋体"/>
          <w:spacing w:val="11"/>
          <w:sz w:val="30"/>
          <w:szCs w:val="30"/>
        </w:rPr>
        <w:t>成立企业可不填报。</w:t>
      </w:r>
    </w:p>
    <w:p w14:paraId="0C157FB0">
      <w:pPr>
        <w:pStyle w:val="25"/>
        <w:keepNext w:val="0"/>
        <w:keepLines w:val="0"/>
        <w:pageBreakBefore w:val="0"/>
        <w:kinsoku/>
        <w:overflowPunct/>
        <w:topLinePunct w:val="0"/>
        <w:bidi w:val="0"/>
        <w:snapToGrid/>
        <w:spacing w:line="400" w:lineRule="exact"/>
        <w:ind w:left="0" w:leftChars="0" w:firstLine="0" w:firstLineChars="0"/>
        <w:textAlignment w:val="auto"/>
        <w:rPr>
          <w:rFonts w:hint="eastAsia" w:ascii="宋体" w:hAnsi="宋体" w:eastAsia="宋体" w:cs="宋体"/>
          <w:sz w:val="30"/>
          <w:szCs w:val="30"/>
          <w:lang w:val="en-US" w:eastAsia="zh-CN"/>
        </w:rPr>
      </w:pPr>
    </w:p>
    <w:p w14:paraId="34B09AD3">
      <w:pPr>
        <w:rPr>
          <w:rFonts w:hint="default"/>
          <w:lang w:val="en-US" w:eastAsia="zh-CN"/>
        </w:rPr>
      </w:pPr>
    </w:p>
    <w:p w14:paraId="628BEA3D">
      <w:pPr>
        <w:pStyle w:val="24"/>
        <w:rPr>
          <w:rFonts w:hint="default"/>
          <w:lang w:val="en-US" w:eastAsia="zh-CN"/>
        </w:rPr>
      </w:pPr>
    </w:p>
    <w:p w14:paraId="1A6D7657">
      <w:pPr>
        <w:keepNext w:val="0"/>
        <w:keepLines w:val="0"/>
        <w:pageBreakBefore w:val="0"/>
        <w:kinsoku/>
        <w:overflowPunct/>
        <w:topLinePunct w:val="0"/>
        <w:autoSpaceDE/>
        <w:autoSpaceDN/>
        <w:bidi w:val="0"/>
        <w:adjustRightInd/>
        <w:snapToGrid/>
        <w:spacing w:before="104" w:line="440" w:lineRule="exact"/>
        <w:ind w:left="2447"/>
        <w:textAlignment w:val="auto"/>
        <w:rPr>
          <w:rFonts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b/>
          <w:bCs/>
          <w:spacing w:val="-9"/>
          <w:sz w:val="32"/>
          <w:szCs w:val="32"/>
        </w:rPr>
        <w:t>残疾人福利性单位声明函</w:t>
      </w:r>
    </w:p>
    <w:p w14:paraId="493699B1">
      <w:pPr>
        <w:pStyle w:val="9"/>
        <w:keepNext w:val="0"/>
        <w:keepLines w:val="0"/>
        <w:pageBreakBefore w:val="0"/>
        <w:kinsoku/>
        <w:overflowPunct/>
        <w:topLinePunct w:val="0"/>
        <w:autoSpaceDE/>
        <w:autoSpaceDN/>
        <w:bidi w:val="0"/>
        <w:adjustRightInd/>
        <w:snapToGrid/>
        <w:spacing w:line="440" w:lineRule="exact"/>
        <w:textAlignment w:val="auto"/>
      </w:pPr>
    </w:p>
    <w:p w14:paraId="5122F9F7">
      <w:pPr>
        <w:keepNext w:val="0"/>
        <w:keepLines w:val="0"/>
        <w:pageBreakBefore w:val="0"/>
        <w:kinsoku/>
        <w:overflowPunct/>
        <w:topLinePunct w:val="0"/>
        <w:autoSpaceDE/>
        <w:autoSpaceDN/>
        <w:bidi w:val="0"/>
        <w:adjustRightInd/>
        <w:snapToGrid/>
        <w:spacing w:before="78" w:line="440" w:lineRule="exact"/>
        <w:ind w:left="17" w:right="123" w:firstLine="482"/>
        <w:textAlignment w:val="auto"/>
        <w:rPr>
          <w:rFonts w:ascii="宋体" w:hAnsi="宋体" w:eastAsia="宋体" w:cs="宋体"/>
          <w:sz w:val="30"/>
          <w:szCs w:val="30"/>
        </w:rPr>
      </w:pPr>
      <w:r>
        <w:rPr>
          <w:rFonts w:ascii="宋体" w:hAnsi="宋体" w:eastAsia="宋体" w:cs="宋体"/>
          <w:spacing w:val="-9"/>
          <w:sz w:val="30"/>
          <w:szCs w:val="30"/>
        </w:rPr>
        <w:t>本公司（联合体）郑重声明，根据《财政部 民</w:t>
      </w:r>
      <w:r>
        <w:rPr>
          <w:rFonts w:ascii="宋体" w:hAnsi="宋体" w:eastAsia="宋体" w:cs="宋体"/>
          <w:spacing w:val="-10"/>
          <w:sz w:val="30"/>
          <w:szCs w:val="30"/>
        </w:rPr>
        <w:t>政部 中国残疾人联合会关于促</w:t>
      </w:r>
      <w:r>
        <w:rPr>
          <w:rFonts w:ascii="宋体" w:hAnsi="宋体" w:eastAsia="宋体" w:cs="宋体"/>
          <w:sz w:val="30"/>
          <w:szCs w:val="30"/>
        </w:rPr>
        <w:t xml:space="preserve"> </w:t>
      </w:r>
      <w:r>
        <w:rPr>
          <w:rFonts w:ascii="宋体" w:hAnsi="宋体" w:eastAsia="宋体" w:cs="宋体"/>
          <w:spacing w:val="-5"/>
          <w:sz w:val="30"/>
          <w:szCs w:val="30"/>
        </w:rPr>
        <w:t>进残疾人就业政府采购政策的通知》（财库〔2017〕141 号）的规定，本公司</w:t>
      </w:r>
      <w:r>
        <w:rPr>
          <w:rFonts w:ascii="宋体" w:hAnsi="宋体" w:eastAsia="宋体" w:cs="宋体"/>
          <w:spacing w:val="2"/>
          <w:sz w:val="30"/>
          <w:szCs w:val="30"/>
        </w:rPr>
        <w:t>（联合体）参加</w:t>
      </w:r>
      <w:r>
        <w:rPr>
          <w:rFonts w:ascii="宋体" w:hAnsi="宋体" w:eastAsia="宋体" w:cs="宋体"/>
          <w:spacing w:val="-111"/>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（单位名称）</w:t>
      </w:r>
      <w:r>
        <w:rPr>
          <w:rFonts w:ascii="宋体" w:hAnsi="宋体" w:eastAsia="宋体" w:cs="宋体"/>
          <w:spacing w:val="33"/>
          <w:sz w:val="30"/>
          <w:szCs w:val="30"/>
        </w:rPr>
        <w:t xml:space="preserve"> </w:t>
      </w:r>
      <w:r>
        <w:rPr>
          <w:rFonts w:ascii="宋体" w:hAnsi="宋体" w:eastAsia="宋体" w:cs="宋体"/>
          <w:spacing w:val="2"/>
          <w:sz w:val="30"/>
          <w:szCs w:val="30"/>
        </w:rPr>
        <w:t>的</w:t>
      </w:r>
      <w:r>
        <w:rPr>
          <w:rFonts w:ascii="宋体" w:hAnsi="宋体" w:eastAsia="宋体" w:cs="宋体"/>
          <w:spacing w:val="-117"/>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（项目名称）</w:t>
      </w:r>
      <w:r>
        <w:rPr>
          <w:rFonts w:ascii="宋体" w:hAnsi="宋体" w:eastAsia="宋体" w:cs="宋体"/>
          <w:spacing w:val="2"/>
          <w:sz w:val="30"/>
          <w:szCs w:val="30"/>
        </w:rPr>
        <w:t xml:space="preserve"> 采购活动，提供的服务及货</w:t>
      </w:r>
      <w:r>
        <w:rPr>
          <w:rFonts w:ascii="宋体" w:hAnsi="宋体" w:eastAsia="宋体" w:cs="宋体"/>
          <w:spacing w:val="-7"/>
          <w:sz w:val="30"/>
          <w:szCs w:val="30"/>
        </w:rPr>
        <w:t>物</w:t>
      </w:r>
      <w:r>
        <w:rPr>
          <w:rFonts w:ascii="宋体" w:hAnsi="宋体" w:eastAsia="宋体" w:cs="宋体"/>
          <w:b/>
          <w:bCs/>
          <w:spacing w:val="-7"/>
          <w:sz w:val="30"/>
          <w:szCs w:val="30"/>
        </w:rPr>
        <w:t>全部由</w:t>
      </w:r>
      <w:r>
        <w:rPr>
          <w:rFonts w:ascii="宋体" w:hAnsi="宋体" w:eastAsia="宋体" w:cs="宋体"/>
          <w:spacing w:val="-7"/>
          <w:sz w:val="30"/>
          <w:szCs w:val="30"/>
        </w:rPr>
        <w:t>符合政策要求的</w:t>
      </w:r>
      <w:r>
        <w:rPr>
          <w:rFonts w:ascii="宋体" w:hAnsi="宋体" w:eastAsia="宋体" w:cs="宋体"/>
          <w:b/>
          <w:bCs/>
          <w:spacing w:val="-7"/>
          <w:sz w:val="30"/>
          <w:szCs w:val="30"/>
        </w:rPr>
        <w:t>残疾人福利性单位提供和制造</w:t>
      </w:r>
      <w:r>
        <w:rPr>
          <w:rFonts w:ascii="宋体" w:hAnsi="宋体" w:eastAsia="宋体" w:cs="宋体"/>
          <w:spacing w:val="-7"/>
          <w:sz w:val="30"/>
          <w:szCs w:val="30"/>
        </w:rPr>
        <w:t>。相关企业</w:t>
      </w:r>
      <w:r>
        <w:rPr>
          <w:rFonts w:ascii="宋体" w:hAnsi="宋体" w:eastAsia="宋体" w:cs="宋体"/>
          <w:spacing w:val="-8"/>
          <w:sz w:val="30"/>
          <w:szCs w:val="30"/>
        </w:rPr>
        <w:t>（含联合体中的</w:t>
      </w:r>
      <w:r>
        <w:rPr>
          <w:rFonts w:ascii="宋体" w:hAnsi="宋体" w:eastAsia="宋体" w:cs="宋体"/>
          <w:sz w:val="30"/>
          <w:szCs w:val="30"/>
        </w:rPr>
        <w:t xml:space="preserve"> </w:t>
      </w:r>
      <w:r>
        <w:rPr>
          <w:rFonts w:ascii="宋体" w:hAnsi="宋体" w:eastAsia="宋体" w:cs="宋体"/>
          <w:spacing w:val="-22"/>
          <w:sz w:val="30"/>
          <w:szCs w:val="30"/>
        </w:rPr>
        <w:t>残疾人福利性单位、签订分包意向协议书的残疾人福利性单位）的具体情况如下：</w:t>
      </w:r>
    </w:p>
    <w:p w14:paraId="31D79C1C">
      <w:pPr>
        <w:keepNext w:val="0"/>
        <w:keepLines w:val="0"/>
        <w:pageBreakBefore w:val="0"/>
        <w:kinsoku/>
        <w:overflowPunct/>
        <w:topLinePunct w:val="0"/>
        <w:autoSpaceDE/>
        <w:autoSpaceDN/>
        <w:bidi w:val="0"/>
        <w:adjustRightInd/>
        <w:snapToGrid/>
        <w:spacing w:before="39" w:line="440" w:lineRule="exact"/>
        <w:jc w:val="left"/>
        <w:textAlignment w:val="auto"/>
        <w:rPr>
          <w:rFonts w:ascii="宋体" w:hAnsi="宋体" w:eastAsia="宋体" w:cs="宋体"/>
          <w:sz w:val="30"/>
          <w:szCs w:val="30"/>
        </w:rPr>
      </w:pPr>
      <w:r>
        <w:rPr>
          <w:rFonts w:ascii="宋体" w:hAnsi="宋体" w:eastAsia="宋体" w:cs="宋体"/>
          <w:spacing w:val="-10"/>
          <w:sz w:val="30"/>
          <w:szCs w:val="30"/>
        </w:rPr>
        <w:t>1.</w:t>
      </w:r>
      <w:r>
        <w:rPr>
          <w:rFonts w:ascii="宋体" w:hAnsi="宋体" w:eastAsia="宋体" w:cs="宋体"/>
          <w:spacing w:val="-90"/>
          <w:sz w:val="30"/>
          <w:szCs w:val="30"/>
        </w:rPr>
        <w:t xml:space="preserve"> </w:t>
      </w:r>
      <w:r>
        <w:rPr>
          <w:rFonts w:ascii="宋体" w:hAnsi="宋体" w:eastAsia="宋体" w:cs="宋体"/>
          <w:spacing w:val="-10"/>
          <w:sz w:val="30"/>
          <w:szCs w:val="30"/>
          <w:u w:val="single" w:color="auto"/>
        </w:rPr>
        <w:t xml:space="preserve"> （标的名称</w:t>
      </w:r>
      <w:r>
        <w:rPr>
          <w:rFonts w:ascii="宋体" w:hAnsi="宋体" w:eastAsia="宋体" w:cs="宋体"/>
          <w:spacing w:val="-14"/>
          <w:sz w:val="30"/>
          <w:szCs w:val="30"/>
          <w:u w:val="single" w:color="auto"/>
        </w:rPr>
        <w:t>）</w:t>
      </w:r>
      <w:r>
        <w:rPr>
          <w:rFonts w:ascii="宋体" w:hAnsi="宋体" w:eastAsia="宋体" w:cs="宋体"/>
          <w:spacing w:val="13"/>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承接单位为</w:t>
      </w:r>
      <w:r>
        <w:rPr>
          <w:rFonts w:ascii="宋体" w:hAnsi="宋体" w:eastAsia="宋体" w:cs="宋体"/>
          <w:spacing w:val="-32"/>
          <w:sz w:val="30"/>
          <w:szCs w:val="30"/>
        </w:rPr>
        <w:t xml:space="preserve"> </w:t>
      </w:r>
      <w:r>
        <w:rPr>
          <w:rFonts w:ascii="宋体" w:hAnsi="宋体" w:eastAsia="宋体" w:cs="宋体"/>
          <w:spacing w:val="-10"/>
          <w:sz w:val="30"/>
          <w:szCs w:val="30"/>
          <w:u w:val="single" w:color="auto"/>
        </w:rPr>
        <w:t xml:space="preserve">   （企业名称</w:t>
      </w:r>
      <w:r>
        <w:rPr>
          <w:rFonts w:ascii="宋体" w:hAnsi="宋体" w:eastAsia="宋体" w:cs="宋体"/>
          <w:spacing w:val="-14"/>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属于残疾人福利性单位；</w:t>
      </w:r>
    </w:p>
    <w:p w14:paraId="769CB258">
      <w:pPr>
        <w:keepNext w:val="0"/>
        <w:keepLines w:val="0"/>
        <w:pageBreakBefore w:val="0"/>
        <w:kinsoku/>
        <w:overflowPunct/>
        <w:topLinePunct w:val="0"/>
        <w:autoSpaceDE/>
        <w:autoSpaceDN/>
        <w:bidi w:val="0"/>
        <w:adjustRightInd/>
        <w:snapToGrid/>
        <w:spacing w:before="181" w:line="440" w:lineRule="exact"/>
        <w:jc w:val="left"/>
        <w:textAlignment w:val="auto"/>
        <w:rPr>
          <w:rFonts w:ascii="宋体" w:hAnsi="宋体" w:eastAsia="宋体" w:cs="宋体"/>
          <w:sz w:val="30"/>
          <w:szCs w:val="30"/>
        </w:rPr>
      </w:pPr>
      <w:r>
        <w:rPr>
          <w:rFonts w:ascii="宋体" w:hAnsi="宋体" w:eastAsia="宋体" w:cs="宋体"/>
          <w:spacing w:val="-8"/>
          <w:sz w:val="30"/>
          <w:szCs w:val="30"/>
        </w:rPr>
        <w:t xml:space="preserve">2. </w:t>
      </w:r>
      <w:r>
        <w:rPr>
          <w:rFonts w:ascii="宋体" w:hAnsi="宋体" w:eastAsia="宋体" w:cs="宋体"/>
          <w:spacing w:val="-8"/>
          <w:sz w:val="30"/>
          <w:szCs w:val="30"/>
          <w:u w:val="single" w:color="auto"/>
        </w:rPr>
        <w:t>（标的名称</w:t>
      </w:r>
      <w:r>
        <w:rPr>
          <w:rFonts w:ascii="宋体" w:hAnsi="宋体" w:eastAsia="宋体" w:cs="宋体"/>
          <w:spacing w:val="-11"/>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承接单位为</w:t>
      </w:r>
      <w:r>
        <w:rPr>
          <w:rFonts w:ascii="宋体" w:hAnsi="宋体" w:eastAsia="宋体" w:cs="宋体"/>
          <w:spacing w:val="-36"/>
          <w:sz w:val="30"/>
          <w:szCs w:val="30"/>
        </w:rPr>
        <w:t xml:space="preserve"> </w:t>
      </w:r>
      <w:r>
        <w:rPr>
          <w:rFonts w:ascii="宋体" w:hAnsi="宋体" w:eastAsia="宋体" w:cs="宋体"/>
          <w:spacing w:val="31"/>
          <w:sz w:val="30"/>
          <w:szCs w:val="30"/>
          <w:u w:val="single" w:color="auto"/>
        </w:rPr>
        <w:t xml:space="preserve">  </w:t>
      </w:r>
      <w:r>
        <w:rPr>
          <w:rFonts w:ascii="宋体" w:hAnsi="宋体" w:eastAsia="宋体" w:cs="宋体"/>
          <w:spacing w:val="-8"/>
          <w:sz w:val="30"/>
          <w:szCs w:val="30"/>
          <w:u w:val="single" w:color="auto"/>
        </w:rPr>
        <w:t>（企业名称</w:t>
      </w:r>
      <w:r>
        <w:rPr>
          <w:rFonts w:ascii="宋体" w:hAnsi="宋体" w:eastAsia="宋体" w:cs="宋体"/>
          <w:spacing w:val="-11"/>
          <w:sz w:val="30"/>
          <w:szCs w:val="30"/>
          <w:u w:val="single" w:color="auto"/>
        </w:rPr>
        <w:t>）</w:t>
      </w:r>
      <w:r>
        <w:rPr>
          <w:rFonts w:ascii="宋体" w:hAnsi="宋体" w:eastAsia="宋体" w:cs="宋体"/>
          <w:spacing w:val="16"/>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属于残疾人福利性</w:t>
      </w:r>
      <w:r>
        <w:rPr>
          <w:rFonts w:ascii="宋体" w:hAnsi="宋体" w:eastAsia="宋体" w:cs="宋体"/>
          <w:spacing w:val="-9"/>
          <w:sz w:val="30"/>
          <w:szCs w:val="30"/>
        </w:rPr>
        <w:t>单位；</w:t>
      </w:r>
    </w:p>
    <w:p w14:paraId="4F0E7D96">
      <w:pPr>
        <w:keepNext w:val="0"/>
        <w:keepLines w:val="0"/>
        <w:pageBreakBefore w:val="0"/>
        <w:kinsoku/>
        <w:overflowPunct/>
        <w:topLinePunct w:val="0"/>
        <w:autoSpaceDE/>
        <w:autoSpaceDN/>
        <w:bidi w:val="0"/>
        <w:adjustRightInd/>
        <w:snapToGrid/>
        <w:spacing w:before="280" w:line="440" w:lineRule="exact"/>
        <w:ind w:left="514"/>
        <w:textAlignment w:val="auto"/>
        <w:rPr>
          <w:rFonts w:ascii="宋体" w:hAnsi="宋体" w:eastAsia="宋体" w:cs="宋体"/>
          <w:sz w:val="30"/>
          <w:szCs w:val="30"/>
        </w:rPr>
      </w:pPr>
      <w:r>
        <w:rPr>
          <w:rFonts w:ascii="宋体" w:hAnsi="宋体" w:eastAsia="宋体" w:cs="宋体"/>
          <w:spacing w:val="-13"/>
          <w:position w:val="-3"/>
          <w:sz w:val="30"/>
          <w:szCs w:val="30"/>
        </w:rPr>
        <w:t>……</w:t>
      </w:r>
    </w:p>
    <w:p w14:paraId="33B1B0A4">
      <w:pPr>
        <w:keepNext w:val="0"/>
        <w:keepLines w:val="0"/>
        <w:pageBreakBefore w:val="0"/>
        <w:kinsoku/>
        <w:overflowPunct/>
        <w:topLinePunct w:val="0"/>
        <w:autoSpaceDE/>
        <w:autoSpaceDN/>
        <w:bidi w:val="0"/>
        <w:adjustRightInd/>
        <w:snapToGrid/>
        <w:spacing w:before="191" w:line="440" w:lineRule="exact"/>
        <w:ind w:left="23" w:right="302" w:firstLine="503"/>
        <w:textAlignment w:val="auto"/>
        <w:rPr>
          <w:rFonts w:ascii="宋体" w:hAnsi="宋体" w:eastAsia="宋体" w:cs="宋体"/>
          <w:sz w:val="30"/>
          <w:szCs w:val="30"/>
        </w:rPr>
      </w:pPr>
      <w:r>
        <w:rPr>
          <w:rFonts w:ascii="宋体" w:hAnsi="宋体" w:eastAsia="宋体" w:cs="宋体"/>
          <w:spacing w:val="-9"/>
          <w:sz w:val="30"/>
          <w:szCs w:val="30"/>
        </w:rPr>
        <w:t>以上企业，不属于大企业的分支机构，不存在控股股东为大企业的情形，也</w:t>
      </w:r>
      <w:r>
        <w:rPr>
          <w:rFonts w:ascii="宋体" w:hAnsi="宋体" w:eastAsia="宋体" w:cs="宋体"/>
          <w:spacing w:val="3"/>
          <w:sz w:val="30"/>
          <w:szCs w:val="30"/>
        </w:rPr>
        <w:t xml:space="preserve"> </w:t>
      </w:r>
      <w:r>
        <w:rPr>
          <w:rFonts w:ascii="宋体" w:hAnsi="宋体" w:eastAsia="宋体" w:cs="宋体"/>
          <w:spacing w:val="-5"/>
          <w:sz w:val="30"/>
          <w:szCs w:val="30"/>
        </w:rPr>
        <w:t>不存在与大企业的负责人为同一人的情形。</w:t>
      </w:r>
    </w:p>
    <w:p w14:paraId="376D07B1">
      <w:pPr>
        <w:keepNext w:val="0"/>
        <w:keepLines w:val="0"/>
        <w:pageBreakBefore w:val="0"/>
        <w:kinsoku/>
        <w:overflowPunct/>
        <w:topLinePunct w:val="0"/>
        <w:autoSpaceDE/>
        <w:autoSpaceDN/>
        <w:bidi w:val="0"/>
        <w:adjustRightInd/>
        <w:snapToGrid/>
        <w:spacing w:before="38" w:line="440" w:lineRule="exact"/>
        <w:ind w:left="500"/>
        <w:textAlignment w:val="auto"/>
        <w:rPr>
          <w:sz w:val="30"/>
          <w:szCs w:val="30"/>
        </w:rPr>
      </w:pPr>
      <w:r>
        <w:rPr>
          <w:rFonts w:ascii="宋体" w:hAnsi="宋体" w:eastAsia="宋体" w:cs="宋体"/>
          <w:spacing w:val="-2"/>
          <w:sz w:val="30"/>
          <w:szCs w:val="30"/>
        </w:rPr>
        <w:t>本企业对上述声明内容的真实性负责。如有虚假，将依</w:t>
      </w:r>
      <w:r>
        <w:rPr>
          <w:rFonts w:ascii="宋体" w:hAnsi="宋体" w:eastAsia="宋体" w:cs="宋体"/>
          <w:spacing w:val="-3"/>
          <w:sz w:val="30"/>
          <w:szCs w:val="30"/>
        </w:rPr>
        <w:t>法承担相应责任。</w:t>
      </w:r>
    </w:p>
    <w:p w14:paraId="25140B7C">
      <w:pPr>
        <w:keepNext w:val="0"/>
        <w:keepLines w:val="0"/>
        <w:pageBreakBefore w:val="0"/>
        <w:kinsoku/>
        <w:overflowPunct/>
        <w:topLinePunct w:val="0"/>
        <w:autoSpaceDE/>
        <w:autoSpaceDN/>
        <w:bidi w:val="0"/>
        <w:adjustRightInd/>
        <w:snapToGrid/>
        <w:spacing w:before="79" w:line="440" w:lineRule="exact"/>
        <w:ind w:left="21"/>
        <w:textAlignment w:val="auto"/>
        <w:rPr>
          <w:rFonts w:ascii="宋体" w:hAnsi="宋体" w:eastAsia="宋体" w:cs="宋体"/>
          <w:sz w:val="30"/>
          <w:szCs w:val="30"/>
        </w:rPr>
      </w:pPr>
      <w:r>
        <w:rPr>
          <w:rFonts w:ascii="宋体" w:hAnsi="宋体" w:eastAsia="宋体" w:cs="宋体"/>
          <w:b/>
          <w:bCs/>
          <w:spacing w:val="-4"/>
          <w:sz w:val="30"/>
          <w:szCs w:val="30"/>
        </w:rPr>
        <w:t>说明：</w:t>
      </w:r>
      <w:r>
        <w:rPr>
          <w:rFonts w:ascii="宋体" w:hAnsi="宋体" w:eastAsia="宋体" w:cs="宋体"/>
          <w:spacing w:val="-4"/>
          <w:sz w:val="30"/>
          <w:szCs w:val="30"/>
        </w:rPr>
        <w:t>1、服务及货物应当全部由符合政策要求的残疾人福利</w:t>
      </w:r>
      <w:r>
        <w:rPr>
          <w:rFonts w:ascii="宋体" w:hAnsi="宋体" w:eastAsia="宋体" w:cs="宋体"/>
          <w:spacing w:val="-5"/>
          <w:sz w:val="30"/>
          <w:szCs w:val="30"/>
        </w:rPr>
        <w:t>性单位提供及生产</w:t>
      </w:r>
      <w:r>
        <w:rPr>
          <w:rFonts w:ascii="宋体" w:hAnsi="宋体" w:eastAsia="宋体" w:cs="宋体"/>
          <w:spacing w:val="-13"/>
          <w:sz w:val="30"/>
          <w:szCs w:val="30"/>
        </w:rPr>
        <w:t>且使</w:t>
      </w:r>
      <w:r>
        <w:rPr>
          <w:rFonts w:ascii="宋体" w:hAnsi="宋体" w:eastAsia="宋体" w:cs="宋体"/>
          <w:spacing w:val="-12"/>
          <w:sz w:val="30"/>
          <w:szCs w:val="30"/>
        </w:rPr>
        <w:t>用该残疾人福利性单位商号或注册商标（与代理商或投标人无</w:t>
      </w:r>
      <w:r>
        <w:rPr>
          <w:rFonts w:ascii="宋体" w:hAnsi="宋体" w:eastAsia="宋体" w:cs="宋体"/>
          <w:spacing w:val="-13"/>
          <w:sz w:val="30"/>
          <w:szCs w:val="30"/>
        </w:rPr>
        <w:t>关</w:t>
      </w:r>
      <w:r>
        <w:rPr>
          <w:rFonts w:ascii="宋体" w:hAnsi="宋体" w:eastAsia="宋体" w:cs="宋体"/>
          <w:spacing w:val="-51"/>
          <w:w w:val="80"/>
          <w:sz w:val="30"/>
          <w:szCs w:val="30"/>
        </w:rPr>
        <w:t>）；</w:t>
      </w:r>
      <w:r>
        <w:rPr>
          <w:rFonts w:ascii="宋体" w:hAnsi="宋体" w:eastAsia="宋体" w:cs="宋体"/>
          <w:spacing w:val="-11"/>
          <w:sz w:val="30"/>
          <w:szCs w:val="30"/>
        </w:rPr>
        <w:t>应</w:t>
      </w:r>
      <w:r>
        <w:rPr>
          <w:rFonts w:ascii="宋体" w:hAnsi="宋体" w:eastAsia="宋体" w:cs="宋体"/>
          <w:spacing w:val="1"/>
          <w:sz w:val="30"/>
          <w:szCs w:val="30"/>
        </w:rPr>
        <w:t xml:space="preserve"> </w:t>
      </w:r>
      <w:r>
        <w:rPr>
          <w:rFonts w:ascii="宋体" w:hAnsi="宋体" w:eastAsia="宋体" w:cs="宋体"/>
          <w:spacing w:val="-4"/>
          <w:sz w:val="30"/>
          <w:szCs w:val="30"/>
        </w:rPr>
        <w:t>当严格按上述格式及内容进行填写（应当明确每个标的的</w:t>
      </w:r>
      <w:r>
        <w:rPr>
          <w:rFonts w:ascii="宋体" w:hAnsi="宋体" w:eastAsia="宋体" w:cs="宋体"/>
          <w:spacing w:val="-5"/>
          <w:sz w:val="30"/>
          <w:szCs w:val="30"/>
        </w:rPr>
        <w:t>生产企业类型</w:t>
      </w:r>
      <w:r>
        <w:rPr>
          <w:rFonts w:ascii="宋体" w:hAnsi="宋体" w:eastAsia="宋体" w:cs="宋体"/>
          <w:sz w:val="30"/>
          <w:szCs w:val="30"/>
        </w:rPr>
        <w:t xml:space="preserve"> </w:t>
      </w:r>
      <w:r>
        <w:rPr>
          <w:rFonts w:ascii="宋体" w:hAnsi="宋体" w:eastAsia="宋体" w:cs="宋体"/>
          <w:spacing w:val="-5"/>
          <w:sz w:val="30"/>
          <w:szCs w:val="30"/>
        </w:rPr>
        <w:t>及相关数据</w:t>
      </w:r>
      <w:r>
        <w:rPr>
          <w:rFonts w:ascii="宋体" w:hAnsi="宋体" w:eastAsia="宋体" w:cs="宋体"/>
          <w:spacing w:val="5"/>
          <w:sz w:val="30"/>
          <w:szCs w:val="30"/>
        </w:rPr>
        <w:t>），</w:t>
      </w:r>
      <w:r>
        <w:rPr>
          <w:rFonts w:ascii="宋体" w:hAnsi="宋体" w:eastAsia="宋体" w:cs="宋体"/>
          <w:spacing w:val="-5"/>
          <w:sz w:val="30"/>
          <w:szCs w:val="30"/>
        </w:rPr>
        <w:t>否则导致的后果由投标人自行承担；</w:t>
      </w:r>
    </w:p>
    <w:p w14:paraId="44D2992D">
      <w:pPr>
        <w:keepNext w:val="0"/>
        <w:keepLines w:val="0"/>
        <w:pageBreakBefore w:val="0"/>
        <w:kinsoku/>
        <w:overflowPunct/>
        <w:topLinePunct w:val="0"/>
        <w:autoSpaceDE/>
        <w:autoSpaceDN/>
        <w:bidi w:val="0"/>
        <w:adjustRightInd/>
        <w:snapToGrid/>
        <w:spacing w:before="43" w:line="440" w:lineRule="exact"/>
        <w:ind w:left="742"/>
        <w:textAlignment w:val="auto"/>
        <w:rPr>
          <w:rFonts w:ascii="宋体" w:hAnsi="宋体" w:eastAsia="宋体" w:cs="宋体"/>
          <w:sz w:val="30"/>
          <w:szCs w:val="30"/>
        </w:rPr>
      </w:pPr>
      <w:r>
        <w:rPr>
          <w:rFonts w:ascii="宋体" w:hAnsi="宋体" w:eastAsia="宋体" w:cs="宋体"/>
          <w:spacing w:val="-3"/>
          <w:sz w:val="30"/>
          <w:szCs w:val="30"/>
        </w:rPr>
        <w:t>2、以联合体形式参加的，应当由联合体各方盖章。</w:t>
      </w:r>
    </w:p>
    <w:p w14:paraId="7AA038BA">
      <w:pPr>
        <w:pStyle w:val="9"/>
        <w:keepNext w:val="0"/>
        <w:keepLines w:val="0"/>
        <w:pageBreakBefore w:val="0"/>
        <w:kinsoku/>
        <w:overflowPunct/>
        <w:topLinePunct w:val="0"/>
        <w:autoSpaceDE/>
        <w:autoSpaceDN/>
        <w:bidi w:val="0"/>
        <w:adjustRightInd/>
        <w:snapToGrid/>
        <w:spacing w:line="440" w:lineRule="exact"/>
        <w:textAlignment w:val="auto"/>
        <w:rPr>
          <w:sz w:val="30"/>
          <w:szCs w:val="30"/>
        </w:rPr>
      </w:pPr>
    </w:p>
    <w:p w14:paraId="2C4A7523">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pacing w:val="5"/>
          <w:sz w:val="30"/>
          <w:szCs w:val="30"/>
          <w:u w:val="single" w:color="auto"/>
        </w:rPr>
      </w:pPr>
      <w:r>
        <w:rPr>
          <w:rFonts w:ascii="宋体" w:hAnsi="宋体" w:eastAsia="宋体" w:cs="宋体"/>
          <w:spacing w:val="-3"/>
          <w:sz w:val="30"/>
          <w:szCs w:val="30"/>
        </w:rPr>
        <w:t>投标人名称（公章)：</w:t>
      </w:r>
      <w:r>
        <w:rPr>
          <w:rFonts w:ascii="宋体" w:hAnsi="宋体" w:eastAsia="宋体" w:cs="宋体"/>
          <w:spacing w:val="5"/>
          <w:sz w:val="30"/>
          <w:szCs w:val="30"/>
          <w:u w:val="single" w:color="auto"/>
        </w:rPr>
        <w:t xml:space="preserve">              </w:t>
      </w:r>
    </w:p>
    <w:p w14:paraId="0EA500EC">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z w:val="30"/>
          <w:szCs w:val="30"/>
          <w:u w:val="single" w:color="auto"/>
        </w:rPr>
      </w:pPr>
      <w:r>
        <w:rPr>
          <w:rFonts w:hint="eastAsia" w:ascii="宋体" w:hAnsi="宋体" w:eastAsia="宋体" w:cs="宋体"/>
          <w:spacing w:val="-28"/>
          <w:sz w:val="30"/>
          <w:szCs w:val="30"/>
          <w:lang w:val="en-US" w:eastAsia="zh-CN"/>
        </w:rPr>
        <w:t>日 期：</w:t>
      </w:r>
      <w:r>
        <w:rPr>
          <w:rFonts w:ascii="宋体" w:hAnsi="宋体" w:eastAsia="宋体" w:cs="宋体"/>
          <w:sz w:val="30"/>
          <w:szCs w:val="30"/>
          <w:u w:val="single" w:color="auto"/>
        </w:rPr>
        <w:t xml:space="preserve">                          </w:t>
      </w:r>
    </w:p>
    <w:p w14:paraId="4E38ADCA">
      <w:pPr>
        <w:rPr>
          <w:rFonts w:ascii="宋体" w:hAnsi="宋体" w:eastAsia="宋体" w:cs="宋体"/>
          <w:sz w:val="30"/>
          <w:szCs w:val="30"/>
          <w:u w:val="single" w:color="auto"/>
        </w:rPr>
      </w:pPr>
    </w:p>
    <w:p w14:paraId="57C04DDC">
      <w:pPr>
        <w:rPr>
          <w:rFonts w:ascii="宋体" w:hAnsi="宋体" w:eastAsia="宋体" w:cs="宋体"/>
          <w:sz w:val="30"/>
          <w:szCs w:val="30"/>
          <w:u w:val="single" w:color="auto"/>
        </w:rPr>
      </w:pPr>
    </w:p>
    <w:p w14:paraId="0EAD47A5">
      <w:pPr>
        <w:tabs>
          <w:tab w:val="left" w:pos="5580"/>
        </w:tabs>
        <w:spacing w:line="440" w:lineRule="exact"/>
        <w:jc w:val="center"/>
        <w:outlineLvl w:val="1"/>
        <w:rPr>
          <w:rFonts w:hint="eastAsia" w:ascii="宋体" w:hAnsi="宋体" w:eastAsia="宋体" w:cs="宋体"/>
          <w:b/>
          <w:kern w:val="0"/>
          <w:sz w:val="30"/>
          <w:szCs w:val="30"/>
          <w:lang w:val="en-US" w:eastAsia="zh-CN" w:bidi="ar-SA"/>
        </w:rPr>
      </w:pPr>
      <w:r>
        <w:rPr>
          <w:rFonts w:hint="eastAsia" w:ascii="宋体" w:hAnsi="宋体" w:eastAsia="宋体" w:cs="宋体"/>
          <w:sz w:val="30"/>
          <w:szCs w:val="30"/>
          <w:u w:val="none" w:color="auto"/>
          <w:lang w:val="en-US" w:eastAsia="zh-CN"/>
        </w:rPr>
        <w:t>16.</w:t>
      </w:r>
      <w:r>
        <w:rPr>
          <w:rFonts w:hint="eastAsia" w:ascii="宋体" w:hAnsi="宋体" w:eastAsia="宋体" w:cs="宋体"/>
          <w:b/>
          <w:kern w:val="0"/>
          <w:sz w:val="30"/>
          <w:szCs w:val="30"/>
          <w:lang w:val="en-US" w:eastAsia="zh-CN" w:bidi="ar-SA"/>
        </w:rPr>
        <w:t>无重大违法记录声明函</w:t>
      </w:r>
    </w:p>
    <w:p w14:paraId="3F95062A">
      <w:pPr>
        <w:rPr>
          <w:rFonts w:hint="eastAsia" w:ascii="宋体" w:hAnsi="宋体" w:eastAsia="宋体" w:cs="宋体"/>
          <w:color w:val="000000"/>
          <w:sz w:val="30"/>
          <w:szCs w:val="30"/>
        </w:rPr>
      </w:pPr>
    </w:p>
    <w:p w14:paraId="4FD90317">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0A4E39BF">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outlineLvl w:val="1"/>
        <w:rPr>
          <w:rFonts w:hint="eastAsia" w:ascii="宋体" w:hAnsi="宋体" w:eastAsia="宋体" w:cs="宋体"/>
          <w:color w:val="auto"/>
          <w:sz w:val="30"/>
          <w:szCs w:val="30"/>
        </w:rPr>
      </w:pPr>
      <w:bookmarkStart w:id="597" w:name="_Toc6369"/>
      <w:bookmarkStart w:id="598" w:name="_Toc27832"/>
      <w:bookmarkStart w:id="599" w:name="_Toc31506"/>
      <w:bookmarkStart w:id="600" w:name="_Toc13953"/>
      <w:r>
        <w:rPr>
          <w:rFonts w:hint="eastAsia" w:ascii="宋体" w:hAnsi="宋体" w:eastAsia="宋体" w:cs="宋体"/>
          <w:color w:val="auto"/>
          <w:sz w:val="30"/>
          <w:szCs w:val="30"/>
        </w:rPr>
        <w:t>我公司参与</w:t>
      </w:r>
      <w:r>
        <w:rPr>
          <w:rFonts w:hint="eastAsia" w:ascii="宋体" w:hAnsi="宋体" w:eastAsia="宋体" w:cs="宋体"/>
          <w:color w:val="auto"/>
          <w:sz w:val="30"/>
          <w:szCs w:val="30"/>
          <w:lang w:val="en-US" w:eastAsia="zh-CN"/>
        </w:rPr>
        <w:t>采购</w:t>
      </w:r>
      <w:r>
        <w:rPr>
          <w:rFonts w:hint="eastAsia" w:ascii="宋体" w:hAnsi="宋体" w:eastAsia="宋体" w:cs="宋体"/>
          <w:color w:val="auto"/>
          <w:sz w:val="30"/>
          <w:szCs w:val="30"/>
          <w:u w:val="none"/>
        </w:rPr>
        <w:t>文件</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项目</w:t>
      </w:r>
      <w:r>
        <w:rPr>
          <w:rFonts w:hint="eastAsia" w:ascii="宋体" w:hAnsi="宋体" w:eastAsia="宋体" w:cs="宋体"/>
          <w:color w:val="auto"/>
          <w:sz w:val="30"/>
          <w:szCs w:val="30"/>
          <w:u w:val="single"/>
          <w:lang w:val="en-US" w:eastAsia="zh-CN"/>
        </w:rPr>
        <w:t>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标项名称  </w:t>
      </w:r>
      <w:r>
        <w:rPr>
          <w:rFonts w:hint="eastAsia" w:ascii="宋体" w:hAnsi="宋体" w:eastAsia="宋体" w:cs="宋体"/>
          <w:color w:val="auto"/>
          <w:sz w:val="30"/>
          <w:szCs w:val="30"/>
        </w:rPr>
        <w:t>的采购招标活动，我公司郑重声明：我公司参加本次采购招标活动前三年内，在经营活动中无重大违法记录（重大违法记录是指供应商因违法经营受到刑事处罚或者责令停产停业、吊销许可证或者营业执照等），具备《中华人民共和国政府采购法》和《中华人民共和国政府采购法实施条例》中规定的投标供应商资格条件。我公司对此声明负全部法律责任。</w:t>
      </w:r>
      <w:bookmarkEnd w:id="597"/>
      <w:bookmarkEnd w:id="598"/>
      <w:bookmarkEnd w:id="599"/>
      <w:bookmarkEnd w:id="600"/>
    </w:p>
    <w:p w14:paraId="5787E6D0">
      <w:pPr>
        <w:pStyle w:val="40"/>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01" w:name="_Toc5072"/>
      <w:bookmarkStart w:id="602" w:name="_Toc10574"/>
      <w:bookmarkStart w:id="603" w:name="_Toc24139"/>
      <w:bookmarkStart w:id="604" w:name="_Toc18251"/>
      <w:bookmarkStart w:id="605" w:name="_Toc4989"/>
      <w:bookmarkStart w:id="606" w:name="_Toc30015"/>
      <w:r>
        <w:rPr>
          <w:rFonts w:hint="eastAsia" w:ascii="宋体" w:hAnsi="宋体" w:eastAsia="宋体" w:cs="宋体"/>
          <w:color w:val="auto"/>
          <w:sz w:val="30"/>
          <w:szCs w:val="30"/>
        </w:rPr>
        <w:t>特此声明。</w:t>
      </w:r>
      <w:bookmarkEnd w:id="601"/>
      <w:bookmarkEnd w:id="602"/>
      <w:bookmarkEnd w:id="603"/>
      <w:bookmarkEnd w:id="604"/>
      <w:bookmarkEnd w:id="605"/>
      <w:bookmarkEnd w:id="606"/>
    </w:p>
    <w:p w14:paraId="5EF5E49A">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bookmarkStart w:id="607" w:name="_Toc4060"/>
      <w:bookmarkStart w:id="608" w:name="_Toc2942"/>
      <w:bookmarkStart w:id="609" w:name="_Toc28894"/>
      <w:bookmarkStart w:id="610" w:name="_Toc19209"/>
      <w:bookmarkStart w:id="611" w:name="_Toc30352"/>
      <w:bookmarkStart w:id="612" w:name="_Toc28282"/>
      <w:bookmarkStart w:id="613" w:name="_Toc1557"/>
      <w:bookmarkStart w:id="614" w:name="_Toc31029"/>
      <w:r>
        <w:rPr>
          <w:rFonts w:hint="eastAsia" w:ascii="宋体" w:hAnsi="宋体" w:eastAsia="宋体" w:cs="宋体"/>
          <w:color w:val="auto"/>
          <w:sz w:val="30"/>
          <w:szCs w:val="30"/>
        </w:rPr>
        <w:t>承诺单位：</w:t>
      </w:r>
      <w:bookmarkEnd w:id="607"/>
      <w:bookmarkEnd w:id="608"/>
      <w:bookmarkEnd w:id="609"/>
      <w:bookmarkEnd w:id="610"/>
      <w:bookmarkEnd w:id="611"/>
      <w:r>
        <w:rPr>
          <w:rFonts w:hint="eastAsia" w:ascii="宋体" w:hAnsi="宋体" w:eastAsia="宋体" w:cs="宋体"/>
          <w:color w:val="auto"/>
          <w:sz w:val="30"/>
          <w:szCs w:val="30"/>
          <w:lang w:val="en-US" w:eastAsia="zh-CN"/>
        </w:rPr>
        <w:t xml:space="preserve"> </w:t>
      </w:r>
      <w:bookmarkEnd w:id="612"/>
      <w:bookmarkEnd w:id="613"/>
      <w:bookmarkEnd w:id="614"/>
    </w:p>
    <w:p w14:paraId="1F196BF2">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15" w:name="_Toc26369"/>
      <w:bookmarkStart w:id="616" w:name="_Toc24749"/>
      <w:bookmarkStart w:id="617" w:name="_Toc24138"/>
      <w:bookmarkStart w:id="618" w:name="_Toc11491"/>
      <w:bookmarkStart w:id="619" w:name="_Toc16137"/>
      <w:r>
        <w:rPr>
          <w:rFonts w:hint="eastAsia" w:ascii="宋体" w:hAnsi="宋体" w:eastAsia="宋体" w:cs="宋体"/>
          <w:color w:val="auto"/>
          <w:sz w:val="30"/>
          <w:szCs w:val="30"/>
          <w:lang w:val="en-US" w:eastAsia="zh-CN"/>
        </w:rPr>
        <w:t>公     章：</w:t>
      </w:r>
      <w:bookmarkEnd w:id="615"/>
      <w:bookmarkEnd w:id="616"/>
      <w:bookmarkEnd w:id="617"/>
      <w:bookmarkEnd w:id="618"/>
      <w:bookmarkEnd w:id="619"/>
      <w:r>
        <w:rPr>
          <w:rFonts w:hint="eastAsia" w:ascii="宋体" w:hAnsi="宋体" w:eastAsia="宋体" w:cs="宋体"/>
          <w:color w:val="auto"/>
          <w:sz w:val="30"/>
          <w:szCs w:val="30"/>
        </w:rPr>
        <w:t xml:space="preserve">            </w:t>
      </w:r>
      <w:bookmarkStart w:id="620" w:name="_Toc3174"/>
      <w:bookmarkStart w:id="621" w:name="_Toc16969"/>
      <w:bookmarkStart w:id="622" w:name="_Toc10985"/>
    </w:p>
    <w:p w14:paraId="3AC631D0">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23" w:name="_Toc2714"/>
      <w:bookmarkStart w:id="624" w:name="_Toc31543"/>
      <w:bookmarkStart w:id="625" w:name="_Toc9509"/>
      <w:bookmarkStart w:id="626" w:name="_Toc31267"/>
      <w:bookmarkStart w:id="627" w:name="_Toc9924"/>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定代表人（负责人）签字或签章</w:t>
      </w:r>
      <w:r>
        <w:rPr>
          <w:rFonts w:hint="eastAsia" w:ascii="宋体" w:hAnsi="宋体" w:eastAsia="宋体" w:cs="宋体"/>
          <w:color w:val="auto"/>
          <w:sz w:val="30"/>
          <w:szCs w:val="30"/>
        </w:rPr>
        <w:t>：</w:t>
      </w:r>
      <w:bookmarkEnd w:id="620"/>
      <w:bookmarkEnd w:id="621"/>
      <w:bookmarkEnd w:id="622"/>
      <w:bookmarkEnd w:id="623"/>
      <w:bookmarkEnd w:id="624"/>
      <w:bookmarkEnd w:id="625"/>
      <w:bookmarkEnd w:id="626"/>
      <w:bookmarkEnd w:id="627"/>
    </w:p>
    <w:p w14:paraId="7834FA43">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28" w:name="_Toc25758"/>
      <w:bookmarkStart w:id="629" w:name="_Toc20469"/>
      <w:r>
        <w:rPr>
          <w:rFonts w:hint="eastAsia" w:ascii="宋体" w:hAnsi="宋体" w:eastAsia="宋体" w:cs="宋体"/>
          <w:color w:val="auto"/>
          <w:sz w:val="30"/>
          <w:szCs w:val="30"/>
          <w:lang w:val="en-US" w:eastAsia="zh-CN"/>
        </w:rPr>
        <w:t xml:space="preserve">  </w:t>
      </w:r>
      <w:bookmarkStart w:id="630" w:name="_Toc27941"/>
      <w:bookmarkStart w:id="631" w:name="_Toc11577"/>
      <w:bookmarkStart w:id="632" w:name="_Toc1495"/>
      <w:bookmarkStart w:id="633" w:name="_Toc24040"/>
      <w:bookmarkStart w:id="634" w:name="_Toc28048"/>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w:t>
      </w:r>
      <w:r>
        <w:rPr>
          <w:rFonts w:hint="eastAsia" w:ascii="宋体" w:hAnsi="宋体" w:eastAsia="宋体" w:cs="宋体"/>
          <w:color w:val="auto"/>
          <w:sz w:val="30"/>
          <w:szCs w:val="30"/>
        </w:rPr>
        <w:t>代表</w:t>
      </w:r>
      <w:r>
        <w:rPr>
          <w:rFonts w:hint="eastAsia" w:ascii="宋体" w:hAnsi="宋体" w:eastAsia="宋体" w:cs="宋体"/>
          <w:color w:val="auto"/>
          <w:sz w:val="30"/>
          <w:szCs w:val="30"/>
          <w:lang w:val="en-US" w:eastAsia="zh-CN"/>
        </w:rPr>
        <w:t>人（负责人）</w:t>
      </w:r>
      <w:r>
        <w:rPr>
          <w:rFonts w:hint="eastAsia" w:ascii="宋体" w:hAnsi="宋体" w:eastAsia="宋体" w:cs="宋体"/>
          <w:color w:val="auto"/>
          <w:sz w:val="30"/>
          <w:szCs w:val="30"/>
        </w:rPr>
        <w:t>身份证号：</w:t>
      </w:r>
      <w:bookmarkEnd w:id="628"/>
      <w:bookmarkEnd w:id="629"/>
      <w:bookmarkEnd w:id="630"/>
      <w:bookmarkEnd w:id="631"/>
      <w:bookmarkEnd w:id="632"/>
      <w:bookmarkEnd w:id="633"/>
      <w:bookmarkEnd w:id="634"/>
    </w:p>
    <w:p w14:paraId="6AB963B5">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sz w:val="28"/>
          <w:szCs w:val="28"/>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w:t>
      </w:r>
      <w:bookmarkStart w:id="635" w:name="_Toc2569"/>
      <w:bookmarkStart w:id="636" w:name="_Toc29153"/>
      <w:bookmarkStart w:id="637" w:name="_Toc946"/>
      <w:bookmarkStart w:id="638" w:name="_Toc15227"/>
      <w:bookmarkStart w:id="639" w:name="_Toc32471"/>
      <w:bookmarkStart w:id="640" w:name="_Toc12828"/>
      <w:bookmarkStart w:id="641" w:name="_Toc8410"/>
      <w:bookmarkStart w:id="642" w:name="_Toc25472"/>
      <w:r>
        <w:rPr>
          <w:rFonts w:hint="eastAsia" w:ascii="宋体" w:hAnsi="宋体" w:eastAsia="宋体" w:cs="宋体"/>
          <w:color w:val="auto"/>
          <w:sz w:val="30"/>
          <w:szCs w:val="30"/>
        </w:rPr>
        <w:t>20</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年  月  日</w:t>
      </w:r>
      <w:bookmarkEnd w:id="635"/>
      <w:bookmarkEnd w:id="636"/>
      <w:bookmarkEnd w:id="637"/>
      <w:bookmarkEnd w:id="638"/>
      <w:bookmarkEnd w:id="639"/>
      <w:bookmarkEnd w:id="640"/>
      <w:bookmarkEnd w:id="641"/>
      <w:bookmarkEnd w:id="642"/>
    </w:p>
    <w:p w14:paraId="52C3A35F">
      <w:pPr>
        <w:rPr>
          <w:rFonts w:hint="default" w:ascii="宋体" w:hAnsi="宋体" w:eastAsia="宋体" w:cs="宋体"/>
          <w:sz w:val="30"/>
          <w:szCs w:val="30"/>
          <w:u w:val="none" w:color="auto"/>
          <w:lang w:val="en-US" w:eastAsia="zh-CN"/>
        </w:rPr>
      </w:pPr>
    </w:p>
    <w:p w14:paraId="4DBE2713">
      <w:pPr>
        <w:rPr>
          <w:rFonts w:hint="default"/>
          <w:lang w:val="en-US" w:eastAsia="zh-CN"/>
        </w:rPr>
      </w:pPr>
    </w:p>
    <w:p w14:paraId="1F221588">
      <w:pPr>
        <w:pStyle w:val="24"/>
        <w:rPr>
          <w:rFonts w:hint="default"/>
          <w:lang w:val="en-US" w:eastAsia="zh-CN"/>
        </w:rPr>
      </w:pPr>
    </w:p>
    <w:p w14:paraId="10D6BC4F">
      <w:pPr>
        <w:pStyle w:val="25"/>
        <w:rPr>
          <w:rFonts w:hint="default"/>
          <w:lang w:val="en-US" w:eastAsia="zh-CN"/>
        </w:rPr>
      </w:pPr>
    </w:p>
    <w:p w14:paraId="61DB4C47">
      <w:pPr>
        <w:rPr>
          <w:rFonts w:hint="default"/>
          <w:lang w:val="en-US" w:eastAsia="zh-CN"/>
        </w:rPr>
      </w:pPr>
    </w:p>
    <w:p w14:paraId="33524C99">
      <w:pPr>
        <w:pStyle w:val="24"/>
        <w:rPr>
          <w:rFonts w:hint="default"/>
          <w:lang w:val="en-US" w:eastAsia="zh-CN"/>
        </w:rPr>
      </w:pPr>
    </w:p>
    <w:p w14:paraId="0B7538F4">
      <w:pPr>
        <w:pStyle w:val="25"/>
        <w:rPr>
          <w:rFonts w:hint="default"/>
          <w:lang w:val="en-US" w:eastAsia="zh-CN"/>
        </w:rPr>
      </w:pPr>
    </w:p>
    <w:p w14:paraId="3B2CEA2F">
      <w:pPr>
        <w:pStyle w:val="24"/>
        <w:rPr>
          <w:rFonts w:hint="default"/>
          <w:lang w:val="en-US" w:eastAsia="zh-CN"/>
        </w:rPr>
      </w:pPr>
    </w:p>
    <w:p w14:paraId="11FC302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34B9F493">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626B50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6C566C3B">
      <w:pPr>
        <w:pStyle w:val="2"/>
        <w:rPr>
          <w:rFonts w:hint="eastAsia"/>
          <w:lang w:val="en-US" w:eastAsia="zh-CN"/>
        </w:rPr>
      </w:pPr>
    </w:p>
    <w:p w14:paraId="334F23C4">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08A97E0">
      <w:pPr>
        <w:keepNext w:val="0"/>
        <w:keepLines w:val="0"/>
        <w:pageBreakBefore w:val="0"/>
        <w:kinsoku/>
        <w:wordWrap/>
        <w:overflowPunct/>
        <w:topLinePunct w:val="0"/>
        <w:autoSpaceDE/>
        <w:autoSpaceDN/>
        <w:bidi w:val="0"/>
        <w:spacing w:line="440" w:lineRule="exact"/>
        <w:jc w:val="left"/>
        <w:textAlignment w:val="auto"/>
        <w:outlineLvl w:val="0"/>
        <w:rPr>
          <w:rFonts w:hint="eastAsia" w:ascii="仿宋" w:hAnsi="仿宋" w:eastAsia="仿宋" w:cs="仿宋"/>
          <w:b/>
          <w:bCs/>
          <w:sz w:val="28"/>
          <w:szCs w:val="28"/>
          <w:lang w:eastAsia="zh-CN"/>
        </w:rPr>
      </w:pPr>
      <w:r>
        <w:rPr>
          <w:rFonts w:hint="eastAsia"/>
          <w:sz w:val="30"/>
          <w:szCs w:val="30"/>
          <w:lang w:val="en-US" w:eastAsia="zh-CN"/>
        </w:rPr>
        <w:t>附件：</w:t>
      </w:r>
      <w:r>
        <w:rPr>
          <w:rFonts w:hint="eastAsia" w:ascii="仿宋" w:hAnsi="仿宋" w:eastAsia="仿宋" w:cs="仿宋"/>
          <w:b/>
          <w:bCs/>
          <w:sz w:val="28"/>
          <w:szCs w:val="28"/>
        </w:rPr>
        <w:t>质疑函范本</w:t>
      </w:r>
      <w:r>
        <w:rPr>
          <w:rFonts w:hint="eastAsia" w:ascii="仿宋" w:hAnsi="仿宋" w:eastAsia="仿宋" w:cs="仿宋"/>
          <w:b/>
          <w:bCs/>
          <w:sz w:val="28"/>
          <w:szCs w:val="28"/>
          <w:lang w:eastAsia="zh-CN"/>
        </w:rPr>
        <w:t>：</w:t>
      </w:r>
    </w:p>
    <w:p w14:paraId="3879A4D2">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2"/>
        <w:rPr>
          <w:rFonts w:hint="eastAsia" w:ascii="仿宋" w:hAnsi="仿宋" w:eastAsia="仿宋" w:cs="仿宋"/>
          <w:bCs/>
          <w:sz w:val="28"/>
          <w:szCs w:val="28"/>
        </w:rPr>
      </w:pPr>
      <w:bookmarkStart w:id="643" w:name="_Toc6054"/>
      <w:bookmarkStart w:id="644" w:name="_Toc20294"/>
      <w:bookmarkStart w:id="645" w:name="_Toc6690"/>
      <w:r>
        <w:rPr>
          <w:rFonts w:hint="eastAsia" w:ascii="仿宋" w:hAnsi="仿宋" w:eastAsia="仿宋" w:cs="仿宋"/>
          <w:bCs/>
          <w:sz w:val="28"/>
          <w:szCs w:val="28"/>
        </w:rPr>
        <w:t>一、质疑供应商基本信息</w:t>
      </w:r>
      <w:bookmarkEnd w:id="643"/>
      <w:bookmarkEnd w:id="644"/>
      <w:bookmarkEnd w:id="645"/>
    </w:p>
    <w:p w14:paraId="3E09801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质疑供应商：</w:t>
      </w:r>
    </w:p>
    <w:p w14:paraId="4AED12C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地址：邮编：</w:t>
      </w:r>
    </w:p>
    <w:p w14:paraId="58D52BB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联系人：联系电话：</w:t>
      </w:r>
    </w:p>
    <w:p w14:paraId="42C3E4F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授权代表：</w:t>
      </w:r>
    </w:p>
    <w:p w14:paraId="72B3FFE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23F14DA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 邮编：</w:t>
      </w:r>
    </w:p>
    <w:p w14:paraId="222D1E57">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6" w:name="_Toc15525"/>
      <w:bookmarkStart w:id="647" w:name="_Toc1545"/>
      <w:bookmarkStart w:id="648" w:name="_Toc27133"/>
      <w:r>
        <w:rPr>
          <w:rFonts w:hint="eastAsia" w:ascii="仿宋" w:hAnsi="仿宋" w:eastAsia="仿宋" w:cs="仿宋"/>
          <w:bCs/>
          <w:sz w:val="28"/>
          <w:szCs w:val="28"/>
        </w:rPr>
        <w:t>二、质疑项目基本情况</w:t>
      </w:r>
      <w:bookmarkEnd w:id="646"/>
      <w:bookmarkEnd w:id="647"/>
      <w:bookmarkEnd w:id="648"/>
    </w:p>
    <w:p w14:paraId="5DFA278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质疑项目的名称：</w:t>
      </w:r>
    </w:p>
    <w:p w14:paraId="105AB7A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质疑项目的编号：包号：</w:t>
      </w:r>
    </w:p>
    <w:p w14:paraId="29F5AFB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采购人名称：</w:t>
      </w:r>
    </w:p>
    <w:p w14:paraId="2C89156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采购文件获取日期：</w:t>
      </w:r>
    </w:p>
    <w:p w14:paraId="6277CA8C">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9" w:name="_Toc13207"/>
      <w:bookmarkStart w:id="650" w:name="_Toc31595"/>
      <w:bookmarkStart w:id="651" w:name="_Toc3763"/>
      <w:r>
        <w:rPr>
          <w:rFonts w:hint="eastAsia" w:ascii="仿宋" w:hAnsi="仿宋" w:eastAsia="仿宋" w:cs="仿宋"/>
          <w:bCs/>
          <w:sz w:val="28"/>
          <w:szCs w:val="28"/>
        </w:rPr>
        <w:t>三、质疑事项具体内容</w:t>
      </w:r>
      <w:bookmarkEnd w:id="649"/>
      <w:bookmarkEnd w:id="650"/>
      <w:bookmarkEnd w:id="651"/>
    </w:p>
    <w:p w14:paraId="139657C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质疑事项1：</w:t>
      </w:r>
    </w:p>
    <w:p w14:paraId="4F6822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事实依据：</w:t>
      </w:r>
    </w:p>
    <w:p w14:paraId="414703F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p>
    <w:p w14:paraId="711CBAA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法律依据：</w:t>
      </w:r>
    </w:p>
    <w:p w14:paraId="159A8FE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p>
    <w:p w14:paraId="2B26916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质疑事项2</w:t>
      </w:r>
    </w:p>
    <w:p w14:paraId="504CD4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p w14:paraId="0A13F070">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52" w:name="_Toc11796"/>
      <w:bookmarkStart w:id="653" w:name="_Toc26872"/>
      <w:bookmarkStart w:id="654" w:name="_Toc6124"/>
      <w:r>
        <w:rPr>
          <w:rFonts w:hint="eastAsia" w:ascii="仿宋" w:hAnsi="仿宋" w:eastAsia="仿宋" w:cs="仿宋"/>
          <w:bCs/>
          <w:sz w:val="28"/>
          <w:szCs w:val="28"/>
        </w:rPr>
        <w:t>四、与质疑事项相关的质疑请求</w:t>
      </w:r>
      <w:bookmarkEnd w:id="652"/>
      <w:bookmarkEnd w:id="653"/>
      <w:bookmarkEnd w:id="654"/>
    </w:p>
    <w:p w14:paraId="01AFF18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请求：</w:t>
      </w:r>
    </w:p>
    <w:p w14:paraId="546A825E">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51DDA47A">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日期：    </w:t>
      </w:r>
    </w:p>
    <w:p w14:paraId="15884A7C">
      <w:pPr>
        <w:pStyle w:val="25"/>
        <w:ind w:left="0" w:leftChars="0" w:firstLine="0" w:firstLineChars="0"/>
        <w:jc w:val="left"/>
        <w:rPr>
          <w:rFonts w:hint="default"/>
          <w:sz w:val="30"/>
          <w:szCs w:val="30"/>
          <w:lang w:val="en-US" w:eastAsia="zh-CN"/>
        </w:rPr>
      </w:pPr>
    </w:p>
    <w:p w14:paraId="1B53ED13">
      <w:pPr>
        <w:rPr>
          <w:rFonts w:hint="default"/>
          <w:sz w:val="30"/>
          <w:szCs w:val="30"/>
          <w:lang w:val="en-US" w:eastAsia="zh-CN"/>
        </w:rPr>
      </w:pPr>
    </w:p>
    <w:p w14:paraId="16BB6ACD">
      <w:pPr>
        <w:pStyle w:val="24"/>
        <w:rPr>
          <w:rFonts w:hint="default"/>
          <w:sz w:val="30"/>
          <w:szCs w:val="30"/>
          <w:lang w:val="en-US" w:eastAsia="zh-CN"/>
        </w:rPr>
      </w:pPr>
    </w:p>
    <w:p w14:paraId="743E8C9B">
      <w:pPr>
        <w:pStyle w:val="25"/>
        <w:rPr>
          <w:rFonts w:hint="default"/>
          <w:sz w:val="30"/>
          <w:szCs w:val="30"/>
          <w:lang w:val="en-US" w:eastAsia="zh-CN"/>
        </w:rPr>
      </w:pPr>
    </w:p>
    <w:p w14:paraId="154631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质疑函制作说明：</w:t>
      </w:r>
    </w:p>
    <w:p w14:paraId="73395C8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5" w:name="_Toc4003"/>
      <w:bookmarkStart w:id="656" w:name="_Toc21604"/>
      <w:bookmarkStart w:id="657" w:name="_Toc8280"/>
      <w:r>
        <w:rPr>
          <w:rFonts w:hint="eastAsia" w:ascii="仿宋" w:hAnsi="仿宋" w:eastAsia="仿宋" w:cs="仿宋"/>
          <w:sz w:val="28"/>
          <w:szCs w:val="28"/>
        </w:rPr>
        <w:t>1.供应商提出质疑时，应提交质疑函和必要的证明材料。</w:t>
      </w:r>
      <w:bookmarkEnd w:id="655"/>
      <w:bookmarkEnd w:id="656"/>
      <w:bookmarkEnd w:id="657"/>
    </w:p>
    <w:p w14:paraId="2AA3F3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2.质疑供应商若</w:t>
      </w:r>
      <w:r>
        <w:rPr>
          <w:rFonts w:hint="eastAsia" w:ascii="仿宋" w:hAnsi="仿宋" w:eastAsia="仿宋" w:cs="仿宋"/>
          <w:sz w:val="28"/>
          <w:szCs w:val="28"/>
          <w:lang w:eastAsia="zh-CN"/>
        </w:rPr>
        <w:t>被授权人</w:t>
      </w:r>
      <w:r>
        <w:rPr>
          <w:rFonts w:hint="eastAsia" w:ascii="仿宋" w:hAnsi="仿宋" w:eastAsia="仿宋" w:cs="仿宋"/>
          <w:sz w:val="28"/>
          <w:szCs w:val="28"/>
        </w:rPr>
        <w:t>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0E98270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D145F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5BD20F2F">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8" w:name="_Toc8901"/>
      <w:bookmarkStart w:id="659" w:name="_Toc21084"/>
      <w:bookmarkStart w:id="660" w:name="_Toc7173"/>
      <w:r>
        <w:rPr>
          <w:rFonts w:hint="eastAsia" w:ascii="仿宋" w:hAnsi="仿宋" w:eastAsia="仿宋" w:cs="仿宋"/>
          <w:sz w:val="28"/>
          <w:szCs w:val="28"/>
        </w:rPr>
        <w:t>5.质疑函的质疑请求应与质疑事项相关。</w:t>
      </w:r>
      <w:bookmarkEnd w:id="658"/>
      <w:bookmarkEnd w:id="659"/>
      <w:bookmarkEnd w:id="660"/>
    </w:p>
    <w:p w14:paraId="3632BCA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质疑供应商为自然人的，质疑函应由本人签字</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并附自然人身份证正反面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；质疑供应商为法人或者其他组织的，质疑函应由法定代表人、主要负责人，或者其授权代表签字或者</w:t>
      </w:r>
      <w:r>
        <w:rPr>
          <w:rFonts w:hint="eastAsia" w:ascii="仿宋" w:hAnsi="仿宋" w:eastAsia="仿宋" w:cs="仿宋"/>
          <w:kern w:val="0"/>
          <w:sz w:val="28"/>
          <w:szCs w:val="28"/>
          <w:lang w:val="en-US" w:eastAsia="zh-CN"/>
        </w:rPr>
        <w:t>签章</w:t>
      </w:r>
      <w:r>
        <w:rPr>
          <w:rFonts w:hint="eastAsia" w:ascii="仿宋" w:hAnsi="仿宋" w:eastAsia="仿宋" w:cs="仿宋"/>
          <w:kern w:val="0"/>
          <w:sz w:val="28"/>
          <w:szCs w:val="28"/>
        </w:rPr>
        <w:t>，并加盖公章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另附法人（或主要负责人）身份证正反面和其授权代表身份证正反面及营业执照</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p w14:paraId="1AE97C61">
      <w:pPr>
        <w:rPr>
          <w:rFonts w:hint="default"/>
          <w:lang w:val="en-US" w:eastAsia="zh-CN"/>
        </w:rPr>
      </w:pPr>
    </w:p>
    <w:p w14:paraId="2B76A4E0">
      <w:pPr>
        <w:pStyle w:val="24"/>
        <w:rPr>
          <w:rFonts w:hint="default"/>
          <w:lang w:val="en-US" w:eastAsia="zh-CN"/>
        </w:rPr>
      </w:pPr>
    </w:p>
    <w:p w14:paraId="786B3E91">
      <w:pPr>
        <w:pStyle w:val="25"/>
        <w:rPr>
          <w:rFonts w:hint="default"/>
          <w:lang w:val="en-US" w:eastAsia="zh-CN"/>
        </w:rPr>
      </w:pPr>
    </w:p>
    <w:p w14:paraId="65E406EE">
      <w:pPr>
        <w:rPr>
          <w:rFonts w:hint="default"/>
          <w:lang w:val="en-US" w:eastAsia="zh-CN"/>
        </w:rPr>
      </w:pPr>
    </w:p>
    <w:p w14:paraId="22115784">
      <w:pPr>
        <w:pStyle w:val="24"/>
        <w:rPr>
          <w:rFonts w:hint="default"/>
          <w:lang w:val="en-US" w:eastAsia="zh-CN"/>
        </w:rPr>
      </w:pPr>
    </w:p>
    <w:p w14:paraId="03E839EF">
      <w:pPr>
        <w:pStyle w:val="25"/>
        <w:rPr>
          <w:rFonts w:hint="default"/>
          <w:lang w:val="en-US" w:eastAsia="zh-CN"/>
        </w:rPr>
      </w:pPr>
    </w:p>
    <w:p w14:paraId="335B262F">
      <w:pPr>
        <w:rPr>
          <w:rFonts w:hint="default"/>
          <w:lang w:val="en-US" w:eastAsia="zh-CN"/>
        </w:rPr>
      </w:pPr>
    </w:p>
    <w:p w14:paraId="18A75CF2">
      <w:pPr>
        <w:pStyle w:val="24"/>
        <w:rPr>
          <w:rFonts w:hint="default"/>
          <w:lang w:val="en-US" w:eastAsia="zh-CN"/>
        </w:rPr>
      </w:pPr>
    </w:p>
    <w:p w14:paraId="2812F755">
      <w:pPr>
        <w:pStyle w:val="25"/>
        <w:rPr>
          <w:rFonts w:hint="default"/>
          <w:lang w:val="en-US" w:eastAsia="zh-CN"/>
        </w:rPr>
      </w:pPr>
    </w:p>
    <w:p w14:paraId="447DE3C7">
      <w:pPr>
        <w:rPr>
          <w:rFonts w:hint="default"/>
          <w:lang w:val="en-US" w:eastAsia="zh-CN"/>
        </w:rPr>
      </w:pPr>
    </w:p>
    <w:p w14:paraId="2F4B1EE0">
      <w:pPr>
        <w:pStyle w:val="24"/>
        <w:rPr>
          <w:rFonts w:hint="default"/>
          <w:lang w:val="en-US" w:eastAsia="zh-CN"/>
        </w:rPr>
      </w:pPr>
    </w:p>
    <w:p w14:paraId="707D7A46">
      <w:pPr>
        <w:pStyle w:val="25"/>
        <w:rPr>
          <w:rFonts w:hint="default"/>
          <w:lang w:val="en-US" w:eastAsia="zh-CN"/>
        </w:rPr>
      </w:pPr>
    </w:p>
    <w:p w14:paraId="09DDE3D0">
      <w:pPr>
        <w:rPr>
          <w:rFonts w:hint="default"/>
          <w:lang w:val="en-US" w:eastAsia="zh-CN"/>
        </w:rPr>
      </w:pPr>
    </w:p>
    <w:p w14:paraId="4131E9E4">
      <w:pPr>
        <w:pStyle w:val="4"/>
        <w:rPr>
          <w:rFonts w:hint="default"/>
          <w:lang w:val="en-US" w:eastAsia="zh-CN"/>
        </w:rPr>
      </w:pPr>
    </w:p>
    <w:p w14:paraId="25F119E1">
      <w:pPr>
        <w:rPr>
          <w:rFonts w:hint="default"/>
          <w:lang w:val="en-US" w:eastAsia="zh-CN"/>
        </w:rPr>
      </w:pPr>
    </w:p>
    <w:p w14:paraId="732435E1">
      <w:pPr>
        <w:pStyle w:val="4"/>
        <w:rPr>
          <w:rFonts w:hint="default"/>
          <w:lang w:val="en-US" w:eastAsia="zh-CN"/>
        </w:rPr>
      </w:pPr>
    </w:p>
    <w:p w14:paraId="575357F8">
      <w:pPr>
        <w:rPr>
          <w:rFonts w:hint="default"/>
          <w:lang w:val="en-US" w:eastAsia="zh-CN"/>
        </w:rPr>
      </w:pPr>
    </w:p>
    <w:p w14:paraId="76AFF7E0">
      <w:pPr>
        <w:pStyle w:val="4"/>
        <w:rPr>
          <w:rFonts w:hint="default"/>
          <w:lang w:val="en-US" w:eastAsia="zh-CN"/>
        </w:rPr>
      </w:pPr>
    </w:p>
    <w:p w14:paraId="2FEBB2D3">
      <w:pPr>
        <w:rPr>
          <w:rFonts w:hint="default"/>
          <w:lang w:val="en-US" w:eastAsia="zh-CN"/>
        </w:rPr>
      </w:pPr>
    </w:p>
    <w:p w14:paraId="28A6946C">
      <w:pPr>
        <w:pStyle w:val="4"/>
        <w:rPr>
          <w:rFonts w:hint="default"/>
          <w:lang w:val="en-US" w:eastAsia="zh-CN"/>
        </w:rPr>
      </w:pPr>
    </w:p>
    <w:p w14:paraId="5032913E">
      <w:pPr>
        <w:rPr>
          <w:rFonts w:hint="default"/>
          <w:lang w:val="en-US" w:eastAsia="zh-CN"/>
        </w:rPr>
      </w:pPr>
    </w:p>
    <w:p w14:paraId="1A5CF04E">
      <w:pPr>
        <w:rPr>
          <w:rFonts w:hint="default"/>
          <w:lang w:val="en-US" w:eastAsia="zh-CN"/>
        </w:rPr>
      </w:pPr>
    </w:p>
    <w:p w14:paraId="6BB5C479">
      <w:pPr>
        <w:rPr>
          <w:rFonts w:hint="default"/>
          <w:lang w:val="en-US" w:eastAsia="zh-CN"/>
        </w:rPr>
      </w:pPr>
    </w:p>
    <w:p w14:paraId="12118F1A">
      <w:pPr>
        <w:pStyle w:val="3"/>
        <w:bidi w:val="0"/>
        <w:rPr>
          <w:rFonts w:hint="eastAsia" w:ascii="仿宋" w:hAnsi="仿宋" w:eastAsia="仿宋" w:cs="仿宋"/>
          <w:sz w:val="44"/>
          <w:szCs w:val="44"/>
        </w:rPr>
      </w:pPr>
      <w:bookmarkStart w:id="661" w:name="_Toc26627"/>
      <w:bookmarkStart w:id="662" w:name="_Toc18614"/>
      <w:bookmarkStart w:id="663" w:name="_Toc18787"/>
      <w:bookmarkStart w:id="664" w:name="_Toc32183"/>
      <w:r>
        <w:rPr>
          <w:rFonts w:hint="eastAsia" w:ascii="仿宋" w:hAnsi="仿宋" w:eastAsia="仿宋" w:cs="仿宋"/>
          <w:sz w:val="44"/>
          <w:szCs w:val="44"/>
        </w:rPr>
        <w:t>第7章政府采购合同参考范本</w:t>
      </w:r>
      <w:bookmarkEnd w:id="661"/>
      <w:bookmarkEnd w:id="662"/>
      <w:bookmarkEnd w:id="663"/>
      <w:bookmarkEnd w:id="664"/>
    </w:p>
    <w:p w14:paraId="140C6824">
      <w:pPr>
        <w:keepNext w:val="0"/>
        <w:keepLines w:val="0"/>
        <w:pageBreakBefore w:val="0"/>
        <w:widowControl w:val="0"/>
        <w:kinsoku/>
        <w:wordWrap/>
        <w:overflowPunct/>
        <w:topLinePunct w:val="0"/>
        <w:bidi w:val="0"/>
        <w:snapToGrid/>
        <w:spacing w:line="440" w:lineRule="exact"/>
        <w:jc w:val="center"/>
        <w:textAlignment w:val="auto"/>
        <w:rPr>
          <w:rFonts w:hint="eastAsia" w:ascii="仿宋" w:hAnsi="仿宋" w:eastAsia="仿宋" w:cs="仿宋"/>
          <w:b/>
          <w:bCs/>
          <w:spacing w:val="-20"/>
          <w:sz w:val="28"/>
          <w:szCs w:val="28"/>
          <w:shd w:val="clear" w:color="auto" w:fill="FFFFFF"/>
        </w:rPr>
      </w:pPr>
      <w:r>
        <w:rPr>
          <w:rFonts w:hint="eastAsia" w:ascii="仿宋" w:hAnsi="仿宋" w:eastAsia="仿宋" w:cs="仿宋"/>
          <w:b/>
          <w:bCs/>
          <w:spacing w:val="-20"/>
          <w:sz w:val="28"/>
          <w:szCs w:val="28"/>
          <w:shd w:val="clear" w:color="auto" w:fill="FFFFFF"/>
        </w:rPr>
        <w:t>注：本合同仅为合同的参考文本，合同签订双方可根据项目的具体要求进行修订。</w:t>
      </w:r>
    </w:p>
    <w:p w14:paraId="727C0912">
      <w:pPr>
        <w:pStyle w:val="16"/>
        <w:widowControl w:val="0"/>
        <w:numPr>
          <w:ilvl w:val="0"/>
          <w:numId w:val="0"/>
        </w:num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28"/>
          <w:szCs w:val="28"/>
          <w:lang w:val="en-US" w:eastAsia="zh-CN"/>
        </w:rPr>
        <w:t>合同编号:</w:t>
      </w:r>
    </w:p>
    <w:p w14:paraId="275D5E23">
      <w:pPr>
        <w:pStyle w:val="16"/>
        <w:widowControl w:val="0"/>
        <w:numPr>
          <w:ilvl w:val="0"/>
          <w:numId w:val="0"/>
        </w:numPr>
        <w:jc w:val="both"/>
        <w:rPr>
          <w:rFonts w:hint="eastAsia" w:ascii="黑体" w:hAnsi="黑体" w:eastAsia="黑体" w:cs="黑体"/>
          <w:color w:val="000000"/>
          <w:sz w:val="32"/>
          <w:szCs w:val="32"/>
          <w:lang w:val="en-US" w:eastAsia="zh-CN"/>
        </w:rPr>
      </w:pPr>
    </w:p>
    <w:p w14:paraId="70E8D49F">
      <w:pPr>
        <w:pStyle w:val="16"/>
        <w:widowControl w:val="0"/>
        <w:numPr>
          <w:ilvl w:val="0"/>
          <w:numId w:val="0"/>
        </w:numPr>
        <w:jc w:val="both"/>
        <w:rPr>
          <w:rFonts w:hint="eastAsia" w:ascii="黑体" w:hAnsi="黑体" w:eastAsia="黑体" w:cs="黑体"/>
          <w:color w:val="000000"/>
          <w:sz w:val="32"/>
          <w:szCs w:val="32"/>
          <w:lang w:val="en-US" w:eastAsia="zh-CN"/>
        </w:rPr>
      </w:pPr>
    </w:p>
    <w:p w14:paraId="2181038D">
      <w:pPr>
        <w:pStyle w:val="16"/>
        <w:widowControl w:val="0"/>
        <w:numPr>
          <w:ilvl w:val="0"/>
          <w:numId w:val="0"/>
        </w:numPr>
        <w:jc w:val="both"/>
        <w:rPr>
          <w:rFonts w:hint="eastAsia" w:ascii="黑体" w:hAnsi="黑体" w:eastAsia="黑体" w:cs="黑体"/>
          <w:color w:val="000000"/>
          <w:sz w:val="32"/>
          <w:szCs w:val="32"/>
          <w:lang w:val="en-US" w:eastAsia="zh-CN"/>
        </w:rPr>
      </w:pPr>
    </w:p>
    <w:p w14:paraId="5B246B9C">
      <w:pPr>
        <w:pStyle w:val="13"/>
        <w:adjustRightInd w:val="0"/>
        <w:snapToGrid w:val="0"/>
        <w:spacing w:line="682" w:lineRule="exact"/>
        <w:jc w:val="center"/>
        <w:rPr>
          <w:rFonts w:hint="default" w:ascii="方正小标宋简体" w:hAnsi="宋体" w:eastAsia="方正小标宋简体" w:cs="宋体"/>
          <w:color w:val="000000"/>
          <w:sz w:val="48"/>
          <w:szCs w:val="48"/>
          <w:lang w:val="en-US" w:eastAsia="zh-CN"/>
        </w:rPr>
      </w:pPr>
    </w:p>
    <w:p w14:paraId="17B2F2B5">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伊犁师范大学校本部、东校区餐厅社会管理服务项目合同</w:t>
      </w:r>
    </w:p>
    <w:p w14:paraId="26D7F378">
      <w:pPr>
        <w:pStyle w:val="13"/>
        <w:adjustRightInd w:val="0"/>
        <w:snapToGrid w:val="0"/>
        <w:spacing w:line="482" w:lineRule="exact"/>
        <w:jc w:val="center"/>
        <w:rPr>
          <w:rFonts w:hint="eastAsia" w:ascii="楷体_GB2312" w:hAnsi="宋体" w:eastAsia="楷体_GB2312" w:cs="宋体"/>
          <w:color w:val="000000"/>
          <w:sz w:val="32"/>
          <w:szCs w:val="32"/>
        </w:rPr>
      </w:pPr>
    </w:p>
    <w:p w14:paraId="5023DB0A">
      <w:pPr>
        <w:pStyle w:val="13"/>
        <w:adjustRightInd w:val="0"/>
        <w:snapToGrid w:val="0"/>
        <w:spacing w:line="482" w:lineRule="exact"/>
        <w:jc w:val="center"/>
        <w:rPr>
          <w:rFonts w:hint="eastAsia" w:ascii="楷体_GB2312" w:hAnsi="宋体" w:eastAsia="楷体_GB2312" w:cs="宋体"/>
          <w:color w:val="000000"/>
          <w:sz w:val="32"/>
          <w:szCs w:val="32"/>
        </w:rPr>
      </w:pPr>
    </w:p>
    <w:p w14:paraId="208B32F1">
      <w:pPr>
        <w:pStyle w:val="13"/>
        <w:adjustRightInd w:val="0"/>
        <w:snapToGrid w:val="0"/>
        <w:spacing w:line="482" w:lineRule="exact"/>
        <w:jc w:val="center"/>
        <w:rPr>
          <w:rFonts w:hint="eastAsia" w:ascii="楷体_GB2312" w:hAnsi="宋体" w:eastAsia="楷体_GB2312" w:cs="宋体"/>
          <w:color w:val="000000"/>
          <w:sz w:val="32"/>
          <w:szCs w:val="32"/>
        </w:rPr>
      </w:pPr>
    </w:p>
    <w:p w14:paraId="1EE43121">
      <w:pPr>
        <w:pStyle w:val="13"/>
        <w:adjustRightInd w:val="0"/>
        <w:snapToGrid w:val="0"/>
        <w:spacing w:line="482" w:lineRule="exact"/>
        <w:jc w:val="center"/>
        <w:rPr>
          <w:rFonts w:hint="eastAsia" w:ascii="楷体_GB2312" w:hAnsi="宋体" w:eastAsia="楷体_GB2312" w:cs="宋体"/>
          <w:color w:val="000000"/>
          <w:sz w:val="32"/>
          <w:szCs w:val="32"/>
        </w:rPr>
      </w:pPr>
    </w:p>
    <w:p w14:paraId="46E375B2">
      <w:pPr>
        <w:pStyle w:val="13"/>
        <w:adjustRightInd w:val="0"/>
        <w:snapToGrid w:val="0"/>
        <w:spacing w:line="482" w:lineRule="exact"/>
        <w:jc w:val="center"/>
        <w:rPr>
          <w:rFonts w:hint="eastAsia" w:ascii="楷体_GB2312" w:hAnsi="宋体" w:eastAsia="楷体_GB2312" w:cs="宋体"/>
          <w:color w:val="000000"/>
          <w:sz w:val="32"/>
          <w:szCs w:val="32"/>
        </w:rPr>
      </w:pPr>
    </w:p>
    <w:p w14:paraId="76BAAA0F">
      <w:pPr>
        <w:pStyle w:val="13"/>
        <w:adjustRightInd w:val="0"/>
        <w:snapToGrid w:val="0"/>
        <w:spacing w:line="482" w:lineRule="exact"/>
        <w:jc w:val="center"/>
        <w:rPr>
          <w:rFonts w:hint="eastAsia" w:ascii="楷体_GB2312" w:hAnsi="宋体" w:eastAsia="楷体_GB2312" w:cs="宋体"/>
          <w:color w:val="000000"/>
          <w:sz w:val="32"/>
          <w:szCs w:val="32"/>
        </w:rPr>
      </w:pPr>
    </w:p>
    <w:p w14:paraId="62061597">
      <w:pPr>
        <w:pStyle w:val="13"/>
        <w:adjustRightInd w:val="0"/>
        <w:snapToGrid w:val="0"/>
        <w:spacing w:line="482" w:lineRule="exact"/>
        <w:jc w:val="center"/>
        <w:rPr>
          <w:rFonts w:hint="eastAsia" w:ascii="楷体_GB2312" w:hAnsi="宋体" w:eastAsia="楷体_GB2312" w:cs="宋体"/>
          <w:color w:val="000000"/>
          <w:sz w:val="32"/>
          <w:szCs w:val="32"/>
        </w:rPr>
      </w:pPr>
    </w:p>
    <w:p w14:paraId="18E2949E">
      <w:pPr>
        <w:pStyle w:val="13"/>
        <w:adjustRightInd w:val="0"/>
        <w:snapToGrid w:val="0"/>
        <w:spacing w:line="482" w:lineRule="exact"/>
        <w:jc w:val="center"/>
        <w:rPr>
          <w:rFonts w:hint="eastAsia" w:ascii="楷体_GB2312" w:hAnsi="宋体" w:eastAsia="楷体_GB2312" w:cs="宋体"/>
          <w:color w:val="000000"/>
          <w:sz w:val="32"/>
          <w:szCs w:val="32"/>
        </w:rPr>
      </w:pPr>
    </w:p>
    <w:p w14:paraId="3E338DCC">
      <w:pPr>
        <w:pStyle w:val="13"/>
        <w:adjustRightInd w:val="0"/>
        <w:snapToGrid w:val="0"/>
        <w:spacing w:line="482" w:lineRule="exact"/>
        <w:jc w:val="both"/>
        <w:rPr>
          <w:rFonts w:hint="eastAsia" w:ascii="楷体_GB2312" w:hAnsi="宋体" w:eastAsia="楷体_GB2312" w:cs="宋体"/>
          <w:color w:val="000000"/>
          <w:sz w:val="32"/>
          <w:szCs w:val="32"/>
        </w:rPr>
      </w:pPr>
    </w:p>
    <w:p w14:paraId="05DF15E6">
      <w:pPr>
        <w:pStyle w:val="13"/>
        <w:adjustRightInd w:val="0"/>
        <w:snapToGrid w:val="0"/>
        <w:spacing w:line="482" w:lineRule="exact"/>
        <w:jc w:val="both"/>
        <w:rPr>
          <w:rFonts w:hint="eastAsia" w:ascii="楷体_GB2312" w:hAnsi="宋体" w:eastAsia="楷体_GB2312" w:cs="宋体"/>
          <w:color w:val="000000"/>
          <w:sz w:val="32"/>
          <w:szCs w:val="32"/>
        </w:rPr>
      </w:pPr>
    </w:p>
    <w:p w14:paraId="5CD65CF4">
      <w:pPr>
        <w:pStyle w:val="13"/>
        <w:adjustRightInd w:val="0"/>
        <w:snapToGrid w:val="0"/>
        <w:spacing w:line="482" w:lineRule="exact"/>
        <w:jc w:val="both"/>
        <w:rPr>
          <w:rFonts w:hint="eastAsia" w:ascii="楷体_GB2312" w:hAnsi="宋体" w:eastAsia="楷体_GB2312" w:cs="宋体"/>
          <w:color w:val="000000"/>
          <w:sz w:val="32"/>
          <w:szCs w:val="32"/>
        </w:rPr>
      </w:pPr>
    </w:p>
    <w:p w14:paraId="76DADF34">
      <w:pPr>
        <w:pStyle w:val="13"/>
        <w:adjustRightInd w:val="0"/>
        <w:snapToGrid w:val="0"/>
        <w:spacing w:line="482" w:lineRule="exact"/>
        <w:jc w:val="center"/>
        <w:rPr>
          <w:rFonts w:hint="eastAsia" w:ascii="楷体_GB2312" w:hAnsi="宋体" w:eastAsia="楷体_GB2312" w:cs="宋体"/>
          <w:color w:val="000000"/>
          <w:sz w:val="32"/>
          <w:szCs w:val="32"/>
        </w:rPr>
      </w:pPr>
    </w:p>
    <w:p w14:paraId="2121875D">
      <w:pPr>
        <w:pStyle w:val="13"/>
        <w:adjustRightInd w:val="0"/>
        <w:snapToGrid w:val="0"/>
        <w:spacing w:line="482" w:lineRule="exact"/>
        <w:jc w:val="center"/>
        <w:rPr>
          <w:rFonts w:hint="eastAsia" w:ascii="楷体_GB2312" w:hAnsi="宋体" w:eastAsia="楷体_GB2312" w:cs="宋体"/>
          <w:color w:val="000000"/>
          <w:sz w:val="32"/>
          <w:szCs w:val="32"/>
        </w:rPr>
      </w:pPr>
    </w:p>
    <w:p w14:paraId="350C1DC8">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color w:val="000000"/>
          <w:sz w:val="32"/>
        </w:rPr>
        <mc:AlternateContent>
          <mc:Choice Requires="wps">
            <w:drawing>
              <wp:anchor distT="0" distB="0" distL="114300" distR="114300" simplePos="0" relativeHeight="251661312"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2"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61312;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Jarl2gAAAAkBAAAPAAAAAAAAAAEAIAAAACIAAABkcnMvZG93bnJldi54bWxQSwECFAAUAAAA&#10;CACHTuJAAP2/Sl4CAADxBAAADgAAAAAAAAABACAAAAApAQAAZHJzL2Uyb0RvYy54bWxQSwUGAAAA&#10;AAYABgBZAQAA+QUAAAAA&#10;">
                <v:fill type="gradient" on="t" color2="#FFFFFF" angle="90" focus="100%" focussize="0,0">
                  <o:fill type="gradientUnscaled" v:ext="backwardCompatible"/>
                </v:fill>
                <v:stroke weight="1.25pt" color="#FFFFFF" joinstyle="miter"/>
                <v:imagedata o:title=""/>
                <o:lock v:ext="edit" aspectratio="f"/>
                <v:textbo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000000"/>
          <w:spacing w:val="18"/>
          <w:sz w:val="32"/>
          <w:szCs w:val="32"/>
          <w:lang w:eastAsia="zh-CN"/>
        </w:rPr>
        <w:t>新疆维吾尔自治区市场监督管理局</w:t>
      </w:r>
    </w:p>
    <w:p w14:paraId="1C82BCC0">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28BB6ABC">
      <w:pPr>
        <w:spacing w:line="205" w:lineRule="auto"/>
        <w:rPr>
          <w:rFonts w:ascii="微软雅黑" w:hAnsi="微软雅黑" w:eastAsia="微软雅黑" w:cs="微软雅黑"/>
          <w:color w:val="000000"/>
          <w:sz w:val="31"/>
          <w:szCs w:val="31"/>
        </w:rPr>
        <w:sectPr>
          <w:footerReference r:id="rId5" w:type="default"/>
          <w:pgSz w:w="11906" w:h="16839"/>
          <w:pgMar w:top="2098" w:right="1474" w:bottom="1984" w:left="1587" w:header="0" w:footer="1531" w:gutter="0"/>
          <w:pgNumType w:fmt="decimal"/>
          <w:cols w:space="720" w:num="1"/>
          <w:rtlGutter w:val="0"/>
          <w:docGrid w:linePitch="0" w:charSpace="0"/>
        </w:sectPr>
      </w:pPr>
    </w:p>
    <w:p w14:paraId="5C351D31">
      <w:pPr>
        <w:pStyle w:val="13"/>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napToGrid/>
          <w:color w:val="000000"/>
          <w:kern w:val="2"/>
          <w:sz w:val="32"/>
          <w:szCs w:val="32"/>
          <w:lang w:val="en-US" w:eastAsia="zh-CN"/>
        </w:rPr>
      </w:pPr>
      <w:r>
        <w:rPr>
          <w:rFonts w:hint="eastAsia" w:ascii="方正小标宋_GBK" w:hAnsi="方正小标宋_GBK" w:eastAsia="方正小标宋_GBK" w:cs="方正小标宋_GBK"/>
          <w:b w:val="0"/>
          <w:bCs w:val="0"/>
          <w:snapToGrid/>
          <w:color w:val="000000"/>
          <w:kern w:val="2"/>
          <w:sz w:val="32"/>
          <w:szCs w:val="32"/>
          <w:lang w:val="en-US" w:eastAsia="zh-CN"/>
        </w:rPr>
        <w:t>伊犁师范大学校本部、东校区餐厅社会管理服务项目合同</w:t>
      </w:r>
    </w:p>
    <w:p w14:paraId="0733F1D6">
      <w:pPr>
        <w:keepNext w:val="0"/>
        <w:keepLines w:val="0"/>
        <w:pageBreakBefore w:val="0"/>
        <w:widowControl w:val="0"/>
        <w:wordWrap/>
        <w:overflowPunct/>
        <w:topLinePunct w:val="0"/>
        <w:bidi w:val="0"/>
        <w:adjustRightInd w:val="0"/>
        <w:snapToGrid w:val="0"/>
        <w:spacing w:line="420" w:lineRule="exact"/>
        <w:jc w:val="both"/>
        <w:rPr>
          <w:rFonts w:ascii="Calibri" w:hAnsi="Calibri" w:eastAsia="宋体" w:cs="Times New Roman"/>
          <w:color w:val="000000"/>
          <w:kern w:val="2"/>
          <w:sz w:val="21"/>
          <w:szCs w:val="24"/>
          <w:lang w:val="en-US" w:eastAsia="zh-CN" w:bidi="ar-SA"/>
        </w:rPr>
      </w:pPr>
    </w:p>
    <w:p w14:paraId="05E72E7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甲  方： </w:t>
      </w:r>
    </w:p>
    <w:p w14:paraId="3F173F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79BFB0C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3E6684F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02483F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乙  方：</w:t>
      </w:r>
      <w:r>
        <w:rPr>
          <w:rFonts w:hint="eastAsia" w:ascii="宋体" w:hAnsi="宋体" w:cs="宋体"/>
          <w:color w:val="000000"/>
          <w:sz w:val="28"/>
          <w:szCs w:val="28"/>
          <w:u w:val="none"/>
          <w:lang w:val="en-US" w:eastAsia="zh-CN"/>
        </w:rPr>
        <w:t xml:space="preserve"> </w:t>
      </w:r>
    </w:p>
    <w:p w14:paraId="1AE13DA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2A68E0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266FB76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51617C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为确保学校师生食品安全及提供专业、优质、高效的餐饮服务</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中华人民共和国政府采购法》《中华人民共和国招标投标法》《中华人民共和国民法典》《中华人民共和国食品安全法》《学校食品安全与营养健康管理规定》《企业落实食品安全主体责任监督管理规定》《GB31654—2021食品安全国家标准餐饮服务通用卫生规范》《餐饮服务食品安全操作规范》等法律法规，遵循平等、自愿、公平和诚信原则，经甲乙双方协商一致，就</w:t>
      </w:r>
      <w:r>
        <w:rPr>
          <w:rFonts w:hint="eastAsia" w:ascii="宋体" w:hAnsi="宋体" w:cs="宋体"/>
          <w:color w:val="000000"/>
          <w:spacing w:val="0"/>
          <w:w w:val="100"/>
          <w:kern w:val="2"/>
          <w:sz w:val="28"/>
          <w:szCs w:val="28"/>
          <w:lang w:val="en-US" w:eastAsia="zh-CN" w:bidi="ar-SA"/>
        </w:rPr>
        <w:t>我</w:t>
      </w:r>
      <w:r>
        <w:rPr>
          <w:rFonts w:hint="eastAsia" w:ascii="宋体" w:hAnsi="宋体" w:eastAsia="宋体" w:cs="宋体"/>
          <w:color w:val="000000"/>
          <w:spacing w:val="0"/>
          <w:w w:val="100"/>
          <w:kern w:val="2"/>
          <w:sz w:val="28"/>
          <w:szCs w:val="28"/>
          <w:lang w:val="en-US" w:eastAsia="zh-CN" w:bidi="ar-SA"/>
        </w:rPr>
        <w:t>校</w:t>
      </w:r>
      <w:r>
        <w:rPr>
          <w:rFonts w:hint="eastAsia" w:ascii="宋体" w:hAnsi="宋体" w:cs="宋体"/>
          <w:color w:val="000000"/>
          <w:spacing w:val="0"/>
          <w:w w:val="100"/>
          <w:kern w:val="2"/>
          <w:sz w:val="28"/>
          <w:szCs w:val="28"/>
          <w:lang w:val="en-US" w:eastAsia="zh-CN" w:bidi="ar-SA"/>
        </w:rPr>
        <w:t>餐厅</w:t>
      </w:r>
      <w:r>
        <w:rPr>
          <w:rFonts w:hint="eastAsia" w:ascii="宋体" w:hAnsi="宋体" w:eastAsia="宋体" w:cs="宋体"/>
          <w:color w:val="000000"/>
          <w:spacing w:val="0"/>
          <w:w w:val="100"/>
          <w:kern w:val="2"/>
          <w:sz w:val="28"/>
          <w:szCs w:val="28"/>
          <w:lang w:val="en-US" w:eastAsia="zh-CN" w:bidi="ar-SA"/>
        </w:rPr>
        <w:t>委托管理服务事宜签订本合同。</w:t>
      </w:r>
    </w:p>
    <w:p w14:paraId="53F065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一、合同标的</w:t>
      </w:r>
    </w:p>
    <w:p w14:paraId="30B9881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1.标的名称：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39776B3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2.委托管理服务地点：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174BAD3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3.委托管理服务内容：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5AF9B127">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合同期限</w:t>
      </w:r>
    </w:p>
    <w:p w14:paraId="7DA08FC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lang w:val="en-US" w:eastAsia="zh-CN"/>
        </w:rPr>
      </w:pP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2025</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年</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日至</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年</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lang w:val="en-US" w:eastAsia="zh-CN"/>
        </w:rPr>
        <w:t>日</w:t>
      </w:r>
      <w:r>
        <w:rPr>
          <w:rFonts w:hint="eastAsia" w:ascii="宋体" w:hAnsi="宋体" w:cs="宋体"/>
          <w:color w:val="000000"/>
          <w:spacing w:val="0"/>
          <w:w w:val="100"/>
          <w:sz w:val="28"/>
          <w:szCs w:val="28"/>
          <w:lang w:val="en-US" w:eastAsia="zh-CN"/>
        </w:rPr>
        <w:t>。</w:t>
      </w:r>
    </w:p>
    <w:p w14:paraId="14D396BA">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lang w:val="en-US" w:eastAsia="en-US"/>
        </w:rPr>
      </w:pPr>
      <w:r>
        <w:rPr>
          <w:rFonts w:hint="eastAsia" w:ascii="宋体" w:hAnsi="宋体" w:eastAsia="宋体" w:cs="宋体"/>
          <w:b w:val="0"/>
          <w:bCs w:val="0"/>
          <w:color w:val="000000"/>
          <w:spacing w:val="0"/>
          <w:w w:val="100"/>
          <w:sz w:val="28"/>
          <w:szCs w:val="28"/>
          <w:lang w:val="en-US" w:eastAsia="en-US"/>
        </w:rPr>
        <w:t>管理服务</w:t>
      </w:r>
      <w:r>
        <w:rPr>
          <w:rFonts w:hint="eastAsia" w:ascii="宋体" w:hAnsi="宋体" w:cs="宋体"/>
          <w:b w:val="0"/>
          <w:bCs w:val="0"/>
          <w:color w:val="000000"/>
          <w:spacing w:val="0"/>
          <w:w w:val="100"/>
          <w:sz w:val="28"/>
          <w:szCs w:val="28"/>
          <w:lang w:val="en-US" w:eastAsia="zh-CN"/>
        </w:rPr>
        <w:t>内容</w:t>
      </w:r>
    </w:p>
    <w:p w14:paraId="41CD433E">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color w:val="000000"/>
          <w:sz w:val="28"/>
          <w:szCs w:val="28"/>
          <w:highlight w:val="none"/>
          <w:lang w:val="en-US"/>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highlight w:val="none"/>
          <w:lang w:val="en-US"/>
        </w:rPr>
        <w:t>本项目餐饮服务包括：</w:t>
      </w:r>
    </w:p>
    <w:p w14:paraId="6B30B0A6">
      <w:pPr>
        <w:pageBreakBefore w:val="0"/>
        <w:numPr>
          <w:ilvl w:val="-1"/>
          <w:numId w:val="0"/>
        </w:numPr>
        <w:wordWrap/>
        <w:overflowPunct/>
        <w:topLinePunct w:val="0"/>
        <w:bidi w:val="0"/>
        <w:snapToGrid w:val="0"/>
        <w:spacing w:line="480" w:lineRule="exact"/>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highlight w:val="none"/>
          <w:lang w:val="en-US"/>
        </w:rPr>
        <w:t>经营范围：</w:t>
      </w:r>
    </w:p>
    <w:p w14:paraId="4078BE64">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3.</w:t>
      </w:r>
      <w:r>
        <w:rPr>
          <w:rFonts w:hint="eastAsia" w:ascii="宋体" w:hAnsi="宋体" w:eastAsia="宋体" w:cs="宋体"/>
          <w:b w:val="0"/>
          <w:bCs w:val="0"/>
          <w:color w:val="000000"/>
          <w:sz w:val="28"/>
          <w:szCs w:val="28"/>
          <w:lang w:val="zh-CN"/>
        </w:rPr>
        <w:t>基本要求和原则</w:t>
      </w:r>
    </w:p>
    <w:p w14:paraId="0E514B08">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4.</w:t>
      </w:r>
      <w:r>
        <w:rPr>
          <w:rFonts w:hint="eastAsia" w:ascii="宋体" w:hAnsi="宋体" w:eastAsia="宋体" w:cs="宋体"/>
          <w:b w:val="0"/>
          <w:bCs w:val="0"/>
          <w:color w:val="000000"/>
          <w:sz w:val="28"/>
          <w:szCs w:val="28"/>
          <w:lang w:val="zh-CN"/>
        </w:rPr>
        <w:t>经营管理相关要求</w:t>
      </w:r>
    </w:p>
    <w:p w14:paraId="3D78EC39">
      <w:pPr>
        <w:keepNext w:val="0"/>
        <w:keepLines w:val="0"/>
        <w:pageBreakBefore w:val="0"/>
        <w:widowControl w:val="0"/>
        <w:kinsoku/>
        <w:wordWrap/>
        <w:overflowPunct/>
        <w:topLinePunct w:val="0"/>
        <w:autoSpaceDE w:val="0"/>
        <w:autoSpaceDN/>
        <w:bidi w:val="0"/>
        <w:adjustRightInd w:val="0"/>
        <w:snapToGrid w:val="0"/>
        <w:spacing w:line="480" w:lineRule="exact"/>
        <w:ind w:left="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四、费用及结算方式</w:t>
      </w:r>
    </w:p>
    <w:p w14:paraId="7C98C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lang w:val="zh-CN"/>
        </w:rPr>
      </w:pPr>
      <w:r>
        <w:rPr>
          <w:rFonts w:hint="eastAsia" w:ascii="宋体" w:hAnsi="宋体" w:eastAsia="宋体" w:cs="宋体"/>
          <w:b w:val="0"/>
          <w:bCs w:val="0"/>
          <w:color w:val="000000"/>
          <w:spacing w:val="0"/>
          <w:w w:val="100"/>
          <w:kern w:val="2"/>
          <w:sz w:val="28"/>
          <w:szCs w:val="28"/>
          <w:lang w:val="en-US" w:eastAsia="zh-CN" w:bidi="ar-SA"/>
        </w:rPr>
        <w:t>1.服务费用</w:t>
      </w:r>
    </w:p>
    <w:p w14:paraId="779881CB">
      <w:pPr>
        <w:keepNext w:val="0"/>
        <w:keepLines w:val="0"/>
        <w:pageBreakBefore w:val="0"/>
        <w:widowControl w:val="0"/>
        <w:kinsoku/>
        <w:wordWrap/>
        <w:overflowPunct/>
        <w:topLinePunct w:val="0"/>
        <w:autoSpaceDE w:val="0"/>
        <w:autoSpaceDN/>
        <w:bidi w:val="0"/>
        <w:adjustRightInd w:val="0"/>
        <w:snapToGrid/>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2.支付方式</w:t>
      </w:r>
    </w:p>
    <w:p w14:paraId="2264C92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9"/>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snapToGrid w:val="0"/>
          <w:color w:val="000000"/>
          <w:kern w:val="0"/>
          <w:sz w:val="28"/>
          <w:szCs w:val="28"/>
          <w:lang w:val="en-US" w:eastAsia="en-US"/>
        </w:rPr>
        <w:t>当月结账日后双方确认劳务费用15日内，乙方须按甲方财务部门要求提供发票，甲方自收到发票后15日内支付餐饮服务费用。涉及寒暑假的月份在下学期开学结算。涉及寒暑假的月份在下学期开学结算。</w:t>
      </w:r>
    </w:p>
    <w:p w14:paraId="79739BA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3.履约保证金</w:t>
      </w:r>
    </w:p>
    <w:p w14:paraId="34C62C8E">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b w:val="0"/>
          <w:bCs w:val="0"/>
          <w:snapToGrid w:val="0"/>
          <w:color w:val="000000"/>
          <w:spacing w:val="0"/>
          <w:w w:val="100"/>
          <w:kern w:val="0"/>
          <w:sz w:val="28"/>
          <w:szCs w:val="28"/>
          <w:lang w:val="en-US" w:eastAsia="en-US" w:bidi="ar-SA"/>
        </w:rPr>
      </w:pPr>
      <w:r>
        <w:rPr>
          <w:rFonts w:hint="eastAsia" w:ascii="宋体" w:hAnsi="宋体" w:eastAsia="宋体" w:cs="宋体"/>
          <w:b w:val="0"/>
          <w:bCs w:val="0"/>
          <w:snapToGrid w:val="0"/>
          <w:color w:val="000000"/>
          <w:spacing w:val="0"/>
          <w:w w:val="100"/>
          <w:kern w:val="0"/>
          <w:sz w:val="28"/>
          <w:szCs w:val="28"/>
          <w:lang w:val="en-US" w:eastAsia="en-US" w:bidi="ar-SA"/>
        </w:rPr>
        <w:t>3.1乙方在签订合同</w:t>
      </w:r>
      <w:r>
        <w:rPr>
          <w:rFonts w:hint="eastAsia" w:ascii="宋体" w:hAnsi="宋体" w:cs="宋体"/>
          <w:b w:val="0"/>
          <w:bCs w:val="0"/>
          <w:snapToGrid w:val="0"/>
          <w:color w:val="000000"/>
          <w:spacing w:val="0"/>
          <w:w w:val="100"/>
          <w:kern w:val="0"/>
          <w:sz w:val="28"/>
          <w:szCs w:val="28"/>
          <w:lang w:val="en-US" w:eastAsia="zh-CN" w:bidi="ar-SA"/>
        </w:rPr>
        <w:t>前</w:t>
      </w:r>
      <w:r>
        <w:rPr>
          <w:rFonts w:hint="eastAsia" w:ascii="宋体" w:hAnsi="宋体" w:eastAsia="宋体" w:cs="宋体"/>
          <w:b w:val="0"/>
          <w:bCs w:val="0"/>
          <w:snapToGrid w:val="0"/>
          <w:color w:val="000000"/>
          <w:spacing w:val="0"/>
          <w:w w:val="100"/>
          <w:kern w:val="0"/>
          <w:sz w:val="28"/>
          <w:szCs w:val="28"/>
          <w:lang w:val="en-US" w:eastAsia="en-US" w:bidi="ar-SA"/>
        </w:rPr>
        <w:t>向甲方</w:t>
      </w:r>
      <w:r>
        <w:rPr>
          <w:rFonts w:hint="eastAsia" w:ascii="宋体" w:hAnsi="宋体" w:cs="宋体"/>
          <w:b w:val="0"/>
          <w:bCs w:val="0"/>
          <w:snapToGrid w:val="0"/>
          <w:color w:val="000000"/>
          <w:spacing w:val="0"/>
          <w:w w:val="100"/>
          <w:kern w:val="0"/>
          <w:sz w:val="28"/>
          <w:szCs w:val="28"/>
          <w:lang w:val="en-US" w:eastAsia="zh-CN" w:bidi="ar-SA"/>
        </w:rPr>
        <w:t>缴纳</w:t>
      </w:r>
      <w:r>
        <w:rPr>
          <w:rFonts w:hint="eastAsia" w:ascii="宋体" w:hAnsi="宋体" w:eastAsia="宋体" w:cs="宋体"/>
          <w:b w:val="0"/>
          <w:bCs w:val="0"/>
          <w:snapToGrid w:val="0"/>
          <w:color w:val="000000"/>
          <w:spacing w:val="0"/>
          <w:w w:val="100"/>
          <w:kern w:val="0"/>
          <w:sz w:val="28"/>
          <w:szCs w:val="28"/>
          <w:lang w:val="en-US" w:eastAsia="en-US" w:bidi="ar-SA"/>
        </w:rPr>
        <w:t>履约保证金</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cs="宋体"/>
          <w:b w:val="0"/>
          <w:bCs w:val="0"/>
          <w:snapToGrid w:val="0"/>
          <w:color w:val="000000"/>
          <w:spacing w:val="0"/>
          <w:w w:val="100"/>
          <w:kern w:val="0"/>
          <w:sz w:val="28"/>
          <w:szCs w:val="28"/>
          <w:u w:val="single"/>
          <w:lang w:val="en-US" w:eastAsia="zh-CN" w:bidi="ar-SA"/>
        </w:rPr>
        <w:t xml:space="preserve">  </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eastAsia="宋体" w:cs="宋体"/>
          <w:b w:val="0"/>
          <w:bCs w:val="0"/>
          <w:snapToGrid w:val="0"/>
          <w:color w:val="000000"/>
          <w:spacing w:val="0"/>
          <w:w w:val="100"/>
          <w:kern w:val="0"/>
          <w:sz w:val="28"/>
          <w:szCs w:val="28"/>
          <w:lang w:val="en-US" w:eastAsia="en-US" w:bidi="ar-SA"/>
        </w:rPr>
        <w:t>万元</w:t>
      </w:r>
      <w:r>
        <w:rPr>
          <w:rFonts w:hint="eastAsia" w:ascii="宋体" w:hAnsi="宋体" w:cs="宋体"/>
          <w:b w:val="0"/>
          <w:bCs w:val="0"/>
          <w:snapToGrid w:val="0"/>
          <w:color w:val="000000"/>
          <w:spacing w:val="0"/>
          <w:w w:val="100"/>
          <w:kern w:val="0"/>
          <w:sz w:val="28"/>
          <w:szCs w:val="28"/>
          <w:lang w:val="en-US" w:eastAsia="zh-CN" w:bidi="ar-SA"/>
        </w:rPr>
        <w:t>（大写 元整）</w:t>
      </w:r>
      <w:r>
        <w:rPr>
          <w:rFonts w:hint="eastAsia" w:ascii="宋体" w:hAnsi="宋体" w:eastAsia="宋体" w:cs="宋体"/>
          <w:b w:val="0"/>
          <w:bCs w:val="0"/>
          <w:snapToGrid w:val="0"/>
          <w:color w:val="000000"/>
          <w:spacing w:val="0"/>
          <w:w w:val="100"/>
          <w:kern w:val="0"/>
          <w:sz w:val="28"/>
          <w:szCs w:val="28"/>
          <w:lang w:val="en-US" w:eastAsia="en-US" w:bidi="ar-SA"/>
        </w:rPr>
        <w:t>。</w:t>
      </w:r>
      <w:r>
        <w:rPr>
          <w:rFonts w:hint="eastAsia" w:ascii="宋体" w:hAnsi="宋体" w:eastAsia="宋体" w:cs="宋体"/>
          <w:b w:val="0"/>
          <w:bCs w:val="0"/>
          <w:snapToGrid w:val="0"/>
          <w:color w:val="000000"/>
          <w:spacing w:val="0"/>
          <w:w w:val="100"/>
          <w:kern w:val="0"/>
          <w:sz w:val="28"/>
          <w:szCs w:val="28"/>
          <w:lang w:val="zh-CN" w:eastAsia="en-US" w:bidi="ar-SA"/>
        </w:rPr>
        <w:t>履约保证金用以约束</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在合同履行中的行为，以及弥补合同履行中由于</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自身行为可能给</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带来的各种损失；若履约保证金额不足以弥补</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违约造成</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损失的，</w:t>
      </w:r>
      <w:r>
        <w:rPr>
          <w:rFonts w:hint="eastAsia" w:ascii="宋体" w:hAnsi="宋体" w:eastAsia="宋体" w:cs="宋体"/>
          <w:b w:val="0"/>
          <w:bCs w:val="0"/>
          <w:snapToGrid w:val="0"/>
          <w:color w:val="000000"/>
          <w:spacing w:val="0"/>
          <w:w w:val="100"/>
          <w:kern w:val="0"/>
          <w:sz w:val="28"/>
          <w:szCs w:val="28"/>
          <w:lang w:val="en-US" w:eastAsia="zh-CN" w:bidi="ar-SA"/>
        </w:rPr>
        <w:t>甲</w:t>
      </w:r>
      <w:r>
        <w:rPr>
          <w:rFonts w:hint="eastAsia" w:ascii="宋体" w:hAnsi="宋体" w:eastAsia="宋体" w:cs="宋体"/>
          <w:b w:val="0"/>
          <w:bCs w:val="0"/>
          <w:snapToGrid w:val="0"/>
          <w:color w:val="000000"/>
          <w:spacing w:val="0"/>
          <w:w w:val="100"/>
          <w:kern w:val="0"/>
          <w:sz w:val="28"/>
          <w:szCs w:val="28"/>
          <w:lang w:val="zh-CN" w:eastAsia="en-US" w:bidi="ar-SA"/>
        </w:rPr>
        <w:t>方可继续向</w:t>
      </w:r>
      <w:r>
        <w:rPr>
          <w:rFonts w:hint="eastAsia" w:ascii="宋体" w:hAnsi="宋体" w:eastAsia="宋体" w:cs="宋体"/>
          <w:b w:val="0"/>
          <w:bCs w:val="0"/>
          <w:snapToGrid w:val="0"/>
          <w:color w:val="000000"/>
          <w:spacing w:val="0"/>
          <w:w w:val="100"/>
          <w:kern w:val="0"/>
          <w:sz w:val="28"/>
          <w:szCs w:val="28"/>
          <w:lang w:val="en-US" w:eastAsia="zh-CN" w:bidi="ar-SA"/>
        </w:rPr>
        <w:t>乙</w:t>
      </w:r>
      <w:r>
        <w:rPr>
          <w:rFonts w:hint="eastAsia" w:ascii="宋体" w:hAnsi="宋体" w:eastAsia="宋体" w:cs="宋体"/>
          <w:b w:val="0"/>
          <w:bCs w:val="0"/>
          <w:snapToGrid w:val="0"/>
          <w:color w:val="000000"/>
          <w:spacing w:val="0"/>
          <w:w w:val="100"/>
          <w:kern w:val="0"/>
          <w:sz w:val="28"/>
          <w:szCs w:val="28"/>
          <w:lang w:val="zh-CN" w:eastAsia="en-US" w:bidi="ar-SA"/>
        </w:rPr>
        <w:t>方主张索赔。履约保证金扣除</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方应得的补偿后的余额，在本合同履行结束后由</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方无息退还。</w:t>
      </w:r>
    </w:p>
    <w:p w14:paraId="71C9E4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3.2 履约保证金在服务期满并确认乙方无违约行为后或不属乙方重大责任事故造成协议终止</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并完成相关验收移交手续后</w:t>
      </w:r>
      <w:r>
        <w:rPr>
          <w:rFonts w:hint="eastAsia" w:ascii="宋体" w:hAnsi="宋体" w:cs="宋体"/>
          <w:b w:val="0"/>
          <w:bCs w:val="0"/>
          <w:color w:val="000000"/>
          <w:spacing w:val="0"/>
          <w:w w:val="100"/>
          <w:kern w:val="2"/>
          <w:sz w:val="28"/>
          <w:szCs w:val="28"/>
          <w:u w:val="single" w:color="auto"/>
          <w:lang w:val="en-US" w:eastAsia="zh-CN" w:bidi="ar-SA"/>
        </w:rPr>
        <w:t xml:space="preserve"> 15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个工作日内返还。</w:t>
      </w:r>
      <w:r>
        <w:rPr>
          <w:rFonts w:hint="eastAsia" w:ascii="宋体" w:hAnsi="宋体" w:cs="宋体"/>
          <w:b w:val="0"/>
          <w:bCs w:val="0"/>
          <w:color w:val="000000"/>
          <w:spacing w:val="0"/>
          <w:w w:val="100"/>
          <w:kern w:val="2"/>
          <w:sz w:val="28"/>
          <w:szCs w:val="28"/>
          <w:lang w:val="en-US" w:eastAsia="zh-CN" w:bidi="ar-SA"/>
        </w:rPr>
        <w:t>乙方</w:t>
      </w:r>
      <w:r>
        <w:rPr>
          <w:rFonts w:hint="eastAsia" w:ascii="宋体" w:hAnsi="宋体" w:eastAsia="宋体" w:cs="宋体"/>
          <w:b w:val="0"/>
          <w:bCs w:val="0"/>
          <w:color w:val="000000"/>
          <w:spacing w:val="0"/>
          <w:w w:val="100"/>
          <w:kern w:val="2"/>
          <w:sz w:val="28"/>
          <w:szCs w:val="28"/>
          <w:lang w:val="en-US" w:eastAsia="zh-CN" w:bidi="ar-SA"/>
        </w:rPr>
        <w:t>履约保证金及本合同期最后一个月的劳务费用合计作为撤场保证金，在规定撤场时间内未撤场，每延迟一天，在撤场保证金中扣除壹万元。待合同期满，撤场完成后，经双方确认无遗留问题后15个工作日内退还（不计利息）。</w:t>
      </w:r>
    </w:p>
    <w:p w14:paraId="0AE06C9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3 如服务期内乙方有违约或处罚、赔偿等相关费用，甲方有权在履约保证金中先行扣除相关费用。履约保证金不足</w:t>
      </w:r>
      <w:r>
        <w:rPr>
          <w:rFonts w:hint="eastAsia" w:ascii="宋体" w:hAnsi="宋体" w:cs="宋体"/>
          <w:b w:val="0"/>
          <w:bCs w:val="0"/>
          <w:color w:val="000000"/>
          <w:spacing w:val="0"/>
          <w:w w:val="100"/>
          <w:kern w:val="2"/>
          <w:sz w:val="28"/>
          <w:szCs w:val="28"/>
          <w:lang w:val="en-US" w:eastAsia="zh-CN" w:bidi="ar-SA"/>
        </w:rPr>
        <w:t>20%</w:t>
      </w:r>
      <w:r>
        <w:rPr>
          <w:rFonts w:hint="eastAsia" w:ascii="宋体" w:hAnsi="宋体" w:eastAsia="宋体" w:cs="宋体"/>
          <w:b w:val="0"/>
          <w:bCs w:val="0"/>
          <w:color w:val="000000"/>
          <w:spacing w:val="0"/>
          <w:w w:val="100"/>
          <w:kern w:val="2"/>
          <w:sz w:val="28"/>
          <w:szCs w:val="28"/>
          <w:lang w:val="en-US" w:eastAsia="zh-CN" w:bidi="ar-SA"/>
        </w:rPr>
        <w:t>时，乙方应当在</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 xml:space="preserve"> 个工作日内补足履约保证金。</w:t>
      </w:r>
    </w:p>
    <w:p w14:paraId="0DC2B0E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五、人员要求</w:t>
      </w:r>
    </w:p>
    <w:p w14:paraId="216B856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1.服务团队组建。乙方根据甲方食堂的营业规模合理组建经营服务团队</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按校区就餐人数和相关实际情况合理配置。</w:t>
      </w:r>
    </w:p>
    <w:p w14:paraId="72E56189">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b w:val="0"/>
          <w:bCs w:val="0"/>
          <w:color w:val="000000"/>
          <w:spacing w:val="0"/>
          <w:w w:val="100"/>
          <w:sz w:val="28"/>
          <w:szCs w:val="28"/>
          <w:u w:val="single"/>
          <w:lang w:val="en-US" w:eastAsia="zh-CN"/>
        </w:rPr>
      </w:pPr>
      <w:r>
        <w:rPr>
          <w:rFonts w:hint="eastAsia" w:ascii="宋体" w:hAnsi="宋体" w:eastAsia="宋体" w:cs="宋体"/>
          <w:b w:val="0"/>
          <w:bCs w:val="0"/>
          <w:color w:val="000000"/>
          <w:spacing w:val="0"/>
          <w:w w:val="100"/>
          <w:sz w:val="28"/>
          <w:szCs w:val="28"/>
        </w:rPr>
        <w:t>服务团队负责人</w:t>
      </w:r>
      <w:r>
        <w:rPr>
          <w:rFonts w:hint="default" w:ascii="宋体" w:hAnsi="宋体" w:eastAsia="宋体" w:cs="宋体"/>
          <w:b w:val="0"/>
          <w:bCs w:val="0"/>
          <w:color w:val="000000"/>
          <w:spacing w:val="0"/>
          <w:w w:val="100"/>
          <w:sz w:val="28"/>
          <w:szCs w:val="28"/>
          <w:lang w:val="en"/>
        </w:rPr>
        <w:t>:</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cs="宋体"/>
          <w:b w:val="0"/>
          <w:bCs w:val="0"/>
          <w:color w:val="000000"/>
          <w:spacing w:val="0"/>
          <w:w w:val="100"/>
          <w:sz w:val="28"/>
          <w:szCs w:val="28"/>
          <w:u w:val="single"/>
          <w:lang w:val="en-US" w:eastAsia="zh-CN"/>
        </w:rPr>
        <w:t xml:space="preserve">    </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eastAsia="宋体" w:cs="宋体"/>
          <w:b w:val="0"/>
          <w:bCs w:val="0"/>
          <w:color w:val="000000"/>
          <w:spacing w:val="0"/>
          <w:w w:val="100"/>
          <w:sz w:val="28"/>
          <w:szCs w:val="28"/>
          <w:u w:val="none"/>
          <w:lang w:val="en" w:eastAsia="zh-CN"/>
        </w:rPr>
        <w:t>联系方式：</w:t>
      </w:r>
      <w:r>
        <w:rPr>
          <w:rFonts w:hint="eastAsia" w:ascii="宋体" w:hAnsi="宋体" w:eastAsia="宋体" w:cs="宋体"/>
          <w:b w:val="0"/>
          <w:bCs w:val="0"/>
          <w:color w:val="000000"/>
          <w:spacing w:val="0"/>
          <w:w w:val="100"/>
          <w:sz w:val="28"/>
          <w:szCs w:val="28"/>
          <w:u w:val="single"/>
          <w:lang w:val="en-US" w:eastAsia="zh-CN"/>
        </w:rPr>
        <w:t xml:space="preserve">                        </w:t>
      </w:r>
    </w:p>
    <w:p w14:paraId="327835D5">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工作人员配置总人数</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r>
        <w:rPr>
          <w:rFonts w:hint="eastAsia" w:ascii="宋体" w:hAnsi="宋体" w:eastAsia="宋体" w:cs="宋体"/>
          <w:b w:val="0"/>
          <w:bCs w:val="0"/>
          <w:color w:val="000000"/>
          <w:spacing w:val="0"/>
          <w:w w:val="100"/>
          <w:sz w:val="28"/>
          <w:szCs w:val="28"/>
          <w:u w:val="single" w:color="auto"/>
        </w:rPr>
        <w:t xml:space="preserve">                                     </w:t>
      </w:r>
    </w:p>
    <w:p w14:paraId="2C0ED2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具体人员安排</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p>
    <w:p w14:paraId="7F964F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2.人员证明。</w:t>
      </w:r>
    </w:p>
    <w:p w14:paraId="0894068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2.1 工作人员应进行岗前培训，取得“预防性体检</w:t>
      </w:r>
      <w:r>
        <w:rPr>
          <w:rFonts w:hint="eastAsia" w:ascii="宋体" w:hAnsi="宋体" w:cs="宋体"/>
          <w:b w:val="0"/>
          <w:bCs w:val="0"/>
          <w:color w:val="000000"/>
          <w:spacing w:val="0"/>
          <w:w w:val="100"/>
          <w:kern w:val="2"/>
          <w:sz w:val="28"/>
          <w:szCs w:val="28"/>
          <w:lang w:val="en-US" w:eastAsia="zh-CN" w:bidi="ar-SA"/>
        </w:rPr>
        <w:t>健康</w:t>
      </w:r>
      <w:r>
        <w:rPr>
          <w:rFonts w:hint="eastAsia" w:ascii="宋体" w:hAnsi="宋体" w:eastAsia="宋体" w:cs="宋体"/>
          <w:b w:val="0"/>
          <w:bCs w:val="0"/>
          <w:color w:val="000000"/>
          <w:spacing w:val="0"/>
          <w:w w:val="100"/>
          <w:kern w:val="2"/>
          <w:sz w:val="28"/>
          <w:szCs w:val="28"/>
          <w:lang w:val="en-US" w:eastAsia="zh-CN" w:bidi="ar-SA"/>
        </w:rPr>
        <w:t xml:space="preserve">证明”后方可上岗，□厨师、□面点师、□营养师、□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等特殊岗位工作人员应取得相关证书。</w:t>
      </w:r>
    </w:p>
    <w:p w14:paraId="2CB370B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2.2 甲方有权对乙方全体工作人员进行身份审查，并检查每个工作人员的“三证一档”(身份证、居住证、健康证及员工档案)。乙方必须确保其所聘的工作人员，符合派出所、社区要求及高校服务育人的政治标准和职业道德标准，对不符合要求、不符合从业资格的人员，甲方有权要求乙方解聘。</w:t>
      </w:r>
    </w:p>
    <w:p w14:paraId="0593AE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六、甲方权利与义务</w:t>
      </w:r>
    </w:p>
    <w:p w14:paraId="27D374F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1.主体责任。甲方应取得学校食堂《食品经营许可证》，承担食品安全主体责任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34169C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2.人员配备。甲方应按照《企业落实食品安全主体责任监督管理规定》配备专职食品安全总监</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414D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3.食材采购。</w:t>
      </w:r>
    </w:p>
    <w:p w14:paraId="3B263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甲方采购的大宗食品，应实行公开招标选择供货商，签订供货协议。加强食品供货商管理 ，建立食品供货商退出机制。</w:t>
      </w:r>
    </w:p>
    <w:p w14:paraId="7C1B5B0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4.食材验收。甲方应</w:t>
      </w:r>
      <w:r>
        <w:rPr>
          <w:rFonts w:hint="eastAsia" w:ascii="宋体" w:hAnsi="宋体" w:cs="宋体"/>
          <w:b w:val="0"/>
          <w:bCs w:val="0"/>
          <w:color w:val="000000"/>
          <w:spacing w:val="0"/>
          <w:w w:val="100"/>
          <w:kern w:val="2"/>
          <w:sz w:val="28"/>
          <w:szCs w:val="28"/>
          <w:lang w:val="en-US" w:eastAsia="zh-CN" w:bidi="ar-SA"/>
        </w:rPr>
        <w:t>建立健全</w:t>
      </w:r>
      <w:r>
        <w:rPr>
          <w:rFonts w:hint="eastAsia" w:ascii="宋体" w:hAnsi="宋体" w:eastAsia="宋体" w:cs="宋体"/>
          <w:b w:val="0"/>
          <w:bCs w:val="0"/>
          <w:color w:val="000000"/>
          <w:spacing w:val="0"/>
          <w:w w:val="100"/>
          <w:kern w:val="2"/>
          <w:sz w:val="28"/>
          <w:szCs w:val="28"/>
          <w:lang w:val="en-US" w:eastAsia="zh-CN" w:bidi="ar-SA"/>
        </w:rPr>
        <w:t>食材采购验收</w:t>
      </w:r>
      <w:r>
        <w:rPr>
          <w:rFonts w:hint="eastAsia" w:ascii="宋体" w:hAnsi="宋体" w:cs="宋体"/>
          <w:b w:val="0"/>
          <w:bCs w:val="0"/>
          <w:color w:val="000000"/>
          <w:spacing w:val="0"/>
          <w:w w:val="100"/>
          <w:kern w:val="2"/>
          <w:sz w:val="28"/>
          <w:szCs w:val="28"/>
          <w:lang w:val="en-US" w:eastAsia="zh-CN" w:bidi="ar-SA"/>
        </w:rPr>
        <w:t>机制</w:t>
      </w:r>
      <w:r>
        <w:rPr>
          <w:rFonts w:hint="eastAsia" w:ascii="宋体" w:hAnsi="宋体" w:eastAsia="宋体" w:cs="宋体"/>
          <w:b w:val="0"/>
          <w:bCs w:val="0"/>
          <w:color w:val="000000"/>
          <w:spacing w:val="0"/>
          <w:w w:val="100"/>
          <w:kern w:val="2"/>
          <w:sz w:val="28"/>
          <w:szCs w:val="28"/>
          <w:lang w:val="en-US" w:eastAsia="zh-CN" w:bidi="ar-SA"/>
        </w:rPr>
        <w:t>，落实食材索证索票制度，建立采购台账，不得采购腐败变质、有毒有害、来历不明的食品原料及食品。发现采购的食材有腐败变质或不符合食品安全要求的 ，应拒绝接收。</w:t>
      </w:r>
    </w:p>
    <w:p w14:paraId="45DE9DA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5.食材检测。甲方对食堂采购的蔬菜、肉、腌制品、</w:t>
      </w:r>
      <w:r>
        <w:rPr>
          <w:rFonts w:hint="eastAsia" w:ascii="宋体" w:hAnsi="宋体" w:cs="宋体"/>
          <w:b w:val="0"/>
          <w:bCs w:val="0"/>
          <w:color w:val="000000"/>
          <w:spacing w:val="0"/>
          <w:w w:val="100"/>
          <w:kern w:val="2"/>
          <w:sz w:val="28"/>
          <w:szCs w:val="28"/>
          <w:lang w:val="en-US" w:eastAsia="zh-CN" w:bidi="ar-SA"/>
        </w:rPr>
        <w:t>米面</w:t>
      </w:r>
      <w:r>
        <w:rPr>
          <w:rFonts w:hint="eastAsia" w:ascii="宋体" w:hAnsi="宋体" w:eastAsia="宋体" w:cs="宋体"/>
          <w:b w:val="0"/>
          <w:bCs w:val="0"/>
          <w:color w:val="000000"/>
          <w:spacing w:val="0"/>
          <w:w w:val="100"/>
          <w:kern w:val="2"/>
          <w:sz w:val="28"/>
          <w:szCs w:val="28"/>
          <w:lang w:val="en-US" w:eastAsia="zh-CN" w:bidi="ar-SA"/>
        </w:rPr>
        <w:t>油等</w:t>
      </w:r>
      <w:r>
        <w:rPr>
          <w:rFonts w:hint="eastAsia" w:ascii="宋体" w:hAnsi="宋体" w:cs="宋体"/>
          <w:b w:val="0"/>
          <w:bCs w:val="0"/>
          <w:color w:val="000000"/>
          <w:spacing w:val="0"/>
          <w:w w:val="100"/>
          <w:kern w:val="2"/>
          <w:sz w:val="28"/>
          <w:szCs w:val="28"/>
          <w:lang w:val="en-US" w:eastAsia="zh-CN" w:bidi="ar-SA"/>
        </w:rPr>
        <w:t>食材</w:t>
      </w:r>
      <w:r>
        <w:rPr>
          <w:rFonts w:hint="eastAsia" w:ascii="宋体" w:hAnsi="宋体" w:eastAsia="宋体" w:cs="宋体"/>
          <w:b w:val="0"/>
          <w:bCs w:val="0"/>
          <w:color w:val="000000"/>
          <w:spacing w:val="0"/>
          <w:w w:val="100"/>
          <w:kern w:val="2"/>
          <w:sz w:val="28"/>
          <w:szCs w:val="28"/>
          <w:lang w:val="en-US" w:eastAsia="zh-CN" w:bidi="ar-SA"/>
        </w:rPr>
        <w:t>进行</w:t>
      </w:r>
      <w:r>
        <w:rPr>
          <w:rFonts w:hint="eastAsia" w:ascii="宋体" w:hAnsi="宋体" w:cs="宋体"/>
          <w:b w:val="0"/>
          <w:bCs w:val="0"/>
          <w:color w:val="000000"/>
          <w:spacing w:val="0"/>
          <w:w w:val="100"/>
          <w:kern w:val="2"/>
          <w:sz w:val="28"/>
          <w:szCs w:val="28"/>
          <w:lang w:val="en-US" w:eastAsia="zh-CN" w:bidi="ar-SA"/>
        </w:rPr>
        <w:t>抽检</w:t>
      </w:r>
      <w:r>
        <w:rPr>
          <w:rFonts w:hint="eastAsia" w:ascii="宋体" w:hAnsi="宋体" w:eastAsia="宋体" w:cs="宋体"/>
          <w:b w:val="0"/>
          <w:bCs w:val="0"/>
          <w:color w:val="000000"/>
          <w:spacing w:val="0"/>
          <w:w w:val="100"/>
          <w:kern w:val="2"/>
          <w:sz w:val="28"/>
          <w:szCs w:val="28"/>
          <w:lang w:val="en-US" w:eastAsia="zh-CN" w:bidi="ar-SA"/>
        </w:rPr>
        <w:t>，建立不合格</w:t>
      </w:r>
      <w:r>
        <w:rPr>
          <w:rFonts w:hint="eastAsia" w:ascii="宋体" w:hAnsi="宋体" w:cs="宋体"/>
          <w:b w:val="0"/>
          <w:bCs w:val="0"/>
          <w:color w:val="000000"/>
          <w:spacing w:val="0"/>
          <w:w w:val="100"/>
          <w:kern w:val="2"/>
          <w:sz w:val="28"/>
          <w:szCs w:val="28"/>
          <w:lang w:val="en-US" w:eastAsia="zh-CN" w:bidi="ar-SA"/>
        </w:rPr>
        <w:t>食材及供应商</w:t>
      </w:r>
      <w:r>
        <w:rPr>
          <w:rFonts w:hint="eastAsia" w:ascii="宋体" w:hAnsi="宋体" w:eastAsia="宋体" w:cs="宋体"/>
          <w:b w:val="0"/>
          <w:bCs w:val="0"/>
          <w:color w:val="000000"/>
          <w:spacing w:val="0"/>
          <w:w w:val="100"/>
          <w:kern w:val="2"/>
          <w:sz w:val="28"/>
          <w:szCs w:val="28"/>
          <w:lang w:val="en-US" w:eastAsia="zh-CN" w:bidi="ar-SA"/>
        </w:rPr>
        <w:t>处置机制</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保证食材采购的安全。</w:t>
      </w:r>
    </w:p>
    <w:p w14:paraId="5326A98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6.经营保障。甲方应保证乙方在履约情况下正常的经营环境（包括水、 电、天然气的正常供应等），提供食堂主体运行所需证件，学校有重大活动、放假或停水停电等情况时，应提前通知乙方及时调整保障计划。</w:t>
      </w:r>
    </w:p>
    <w:p w14:paraId="1F3F622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7.财务管理。甲方负责食堂的账务处理、原料采购及销售定价。</w:t>
      </w:r>
    </w:p>
    <w:p w14:paraId="127F658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8.供餐服务。甲方应制定供餐标准供乙方执行。</w:t>
      </w:r>
    </w:p>
    <w:p w14:paraId="10D9FC7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9.校园智治。甲方做好食堂基础信息、人员管理以及“ 明厨亮灶”“互联网+明厨亮灶”动态维护，对视频不清晰、掉线、转位、移位的及时修复。鼓励通过数字化系统完成电子台账、校园陪餐等日常管理信息。</w:t>
      </w:r>
    </w:p>
    <w:p w14:paraId="0DD1E88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 xml:space="preserve">10.“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 xml:space="preserve">防 ”配备。 甲方应当配齐防蝇、防尘、防鼠等“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防 ”设备设施。</w:t>
      </w:r>
    </w:p>
    <w:p w14:paraId="70603AB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11.互动机制。 甲方应建立食堂问题投诉渠道和反馈机制。通过学校网站、电话、公众号、邮箱等方式引导家长或学生共同参与校园食品安全管理</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并进行供餐满意度测评。</w:t>
      </w:r>
    </w:p>
    <w:p w14:paraId="7E54667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12. 宣传教育。 甲方对食堂的宣传标语、宣传海报、宣传资料等内容进行审核和管理。</w:t>
      </w:r>
    </w:p>
    <w:p w14:paraId="707B964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13.违规处置。 甲方有</w:t>
      </w:r>
      <w:r>
        <w:rPr>
          <w:rFonts w:hint="eastAsia" w:ascii="宋体" w:hAnsi="宋体" w:eastAsia="宋体" w:cs="宋体"/>
          <w:color w:val="000000"/>
          <w:spacing w:val="0"/>
          <w:w w:val="100"/>
          <w:kern w:val="2"/>
          <w:sz w:val="28"/>
          <w:szCs w:val="28"/>
          <w:lang w:val="en-US" w:eastAsia="zh-CN" w:bidi="ar-SA"/>
        </w:rPr>
        <w:t>权要求乙方撤换不称职或不遵守校纪校规的从业人员。</w:t>
      </w:r>
    </w:p>
    <w:p w14:paraId="12045E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七、乙方权利与义务</w:t>
      </w:r>
    </w:p>
    <w:p w14:paraId="1D1E51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1.费用约定。乙方有权按照合同约定收取费用。</w:t>
      </w:r>
    </w:p>
    <w:p w14:paraId="090586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2.资质要求。乙方依法取得食品经营许可证，含餐饮服务管理经营项目。</w:t>
      </w:r>
    </w:p>
    <w:p w14:paraId="7DEAA14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3.规范执行</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乙方应严格遵守《食品安全法》《学校食品安全与营养健康管理规定》《GB31654—2021食品安全国家标准餐饮服务通用卫生规范》《餐饮服务食品安全操作规范》等要求</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履行食品安全管理责任</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主动接受甲方的监督和管理。</w:t>
      </w:r>
    </w:p>
    <w:p w14:paraId="2608C3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乙方应严格规范食品加工管理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保持加工经营场所内外环境整洁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实施原料采购、粗加工、切配、烹饪、供餐、留样、餐用具清洗消毒保洁全过程控制管理。积极落实色标管理制度等要求。</w:t>
      </w:r>
    </w:p>
    <w:p w14:paraId="6171EA3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 两员责任。乙方应按照《企业落实食品安全主体责任监督管理规定》配备食品安全总监/食品安全员</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落实 “ 日管控、 周排查、月调度 ” 制度要求，同甲方食品安全管理人员共同开展食堂食品安全日常管理。</w:t>
      </w:r>
    </w:p>
    <w:p w14:paraId="131A77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2F3BBDE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6.人员管理。乙方应严格从业人员健康管理，制定实施从业人员食品安全培训考核计划。聘用的食品从业人员应持有效健康 证明，经培训合格后上岗并留存记录</w:t>
      </w:r>
      <w:r>
        <w:rPr>
          <w:rFonts w:hint="default" w:ascii="宋体" w:hAnsi="宋体" w:eastAsia="宋体" w:cs="宋体"/>
          <w:color w:val="000000"/>
          <w:spacing w:val="0"/>
          <w:w w:val="100"/>
          <w:kern w:val="2"/>
          <w:sz w:val="28"/>
          <w:szCs w:val="28"/>
          <w:lang w:val="en" w:eastAsia="zh-CN" w:bidi="ar-SA"/>
        </w:rPr>
        <w:t>,</w:t>
      </w:r>
      <w:r>
        <w:rPr>
          <w:rFonts w:hint="eastAsia" w:ascii="宋体" w:hAnsi="宋体" w:eastAsia="宋体" w:cs="宋体"/>
          <w:color w:val="000000"/>
          <w:spacing w:val="0"/>
          <w:w w:val="100"/>
          <w:kern w:val="2"/>
          <w:sz w:val="28"/>
          <w:szCs w:val="28"/>
          <w:lang w:val="en-US" w:eastAsia="zh-CN" w:bidi="ar-SA"/>
        </w:rPr>
        <w:t>按规定每日晨检，穿戴整洁的工作服、帽子、口罩 ，禁止无关人员进入厨房。</w:t>
      </w:r>
    </w:p>
    <w:p w14:paraId="630743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7.采购验收。乙方应积极协助甲方开展食材验收、台账建立等工作。发现采购的食材有腐败变质或不符合食品安全要求的，应拒绝接收。</w:t>
      </w:r>
    </w:p>
    <w:p w14:paraId="7741E0A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8.病媒防护</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乙方应做好老鼠、蟑螂、蝇（虫）等病媒生物防护工作</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垃圾做到日产日清</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定期检查库房、操作间、橱柜</w:t>
      </w:r>
      <w:r>
        <w:rPr>
          <w:rFonts w:hint="eastAsia" w:ascii="宋体" w:hAnsi="宋体" w:eastAsia="宋体" w:cs="宋体"/>
          <w:color w:val="000000"/>
          <w:spacing w:val="0"/>
          <w:w w:val="100"/>
          <w:sz w:val="28"/>
          <w:szCs w:val="28"/>
          <w:lang w:eastAsia="zh-CN"/>
        </w:rPr>
        <w:t>等</w:t>
      </w:r>
      <w:r>
        <w:rPr>
          <w:rFonts w:hint="eastAsia" w:ascii="宋体" w:hAnsi="宋体" w:eastAsia="宋体" w:cs="宋体"/>
          <w:color w:val="000000"/>
          <w:spacing w:val="0"/>
          <w:w w:val="100"/>
          <w:sz w:val="28"/>
          <w:szCs w:val="28"/>
        </w:rPr>
        <w:t xml:space="preserve">设施设备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采取有效措施消除四害</w:t>
      </w:r>
      <w:r>
        <w:rPr>
          <w:rFonts w:hint="eastAsia" w:ascii="宋体" w:hAnsi="宋体" w:eastAsia="宋体" w:cs="宋体"/>
          <w:color w:val="000000"/>
          <w:spacing w:val="0"/>
          <w:w w:val="100"/>
          <w:sz w:val="28"/>
          <w:szCs w:val="28"/>
          <w:lang w:eastAsia="zh-CN"/>
        </w:rPr>
        <w:t>孳生</w:t>
      </w:r>
      <w:r>
        <w:rPr>
          <w:rFonts w:hint="eastAsia" w:ascii="宋体" w:hAnsi="宋体" w:eastAsia="宋体" w:cs="宋体"/>
          <w:color w:val="000000"/>
          <w:spacing w:val="0"/>
          <w:w w:val="100"/>
          <w:sz w:val="28"/>
          <w:szCs w:val="28"/>
        </w:rPr>
        <w:t>条件。</w:t>
      </w:r>
    </w:p>
    <w:p w14:paraId="02974C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9.体系导入。乙方积极导入“4D ”“五常法”“6T ”等现场管理方法或建立HACCP 、ISO22000等危害分析与关键控制点体系，实施专业化、规范化、系统化管理。</w:t>
      </w:r>
    </w:p>
    <w:p w14:paraId="712189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10.供餐管理。乙方应配合甲方降低成本控制</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根据就餐情况合理制定菜单和采购数量，加工过程控制食材损耗和浪费、节约用水、用电、用气等。</w:t>
      </w:r>
    </w:p>
    <w:p w14:paraId="55832BE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4725A78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r>
        <w:rPr>
          <w:rFonts w:hint="eastAsia" w:ascii="宋体" w:hAnsi="宋体" w:cs="宋体"/>
          <w:color w:val="000000"/>
          <w:spacing w:val="0"/>
          <w:w w:val="100"/>
          <w:kern w:val="2"/>
          <w:sz w:val="28"/>
          <w:szCs w:val="28"/>
          <w:lang w:val="en-US" w:eastAsia="zh-CN" w:bidi="ar-SA"/>
        </w:rPr>
        <w:t>正常管理维护（修）所产生的费用由甲方承担。</w:t>
      </w:r>
    </w:p>
    <w:p w14:paraId="48EDA79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13.食安责任。 乙方因经营管理失职造成食源性疾病、人身损害及其他安全事故，乙方应承担相应的安全责任，并赔偿由此产生的相应损失。</w:t>
      </w:r>
    </w:p>
    <w:p w14:paraId="5615294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，每天下班前，专人负责对食堂电源、天然气、水、门窗等设施进行安全检查 ，并做好台账记录。</w:t>
      </w:r>
    </w:p>
    <w:p w14:paraId="44CEAB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15.消防安全</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 乙方应定期检查和维护消防器材和设施、</w:t>
      </w:r>
      <w:r>
        <w:rPr>
          <w:rFonts w:hint="eastAsia" w:ascii="宋体" w:hAnsi="宋体" w:eastAsia="宋体" w:cs="宋体"/>
          <w:color w:val="000000"/>
          <w:spacing w:val="0"/>
          <w:w w:val="100"/>
          <w:sz w:val="28"/>
          <w:szCs w:val="28"/>
          <w:lang w:eastAsia="zh-CN"/>
        </w:rPr>
        <w:t>如</w:t>
      </w:r>
      <w:r>
        <w:rPr>
          <w:rFonts w:hint="eastAsia" w:ascii="宋体" w:hAnsi="宋体" w:eastAsia="宋体" w:cs="宋体"/>
          <w:color w:val="000000"/>
          <w:spacing w:val="0"/>
          <w:w w:val="100"/>
          <w:sz w:val="28"/>
          <w:szCs w:val="28"/>
        </w:rPr>
        <w:t>有破损应及时向甲方提出报修</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定期开展消防演练</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培训员工疏散逃生、有效使用消防器材</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掌握报警求救等应急处理技能。</w:t>
      </w:r>
    </w:p>
    <w:p w14:paraId="3E86CE3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lang w:eastAsia="zh-CN"/>
        </w:rPr>
      </w:pPr>
      <w:r>
        <w:rPr>
          <w:rFonts w:hint="eastAsia" w:ascii="宋体" w:hAnsi="宋体" w:eastAsia="宋体" w:cs="宋体"/>
          <w:color w:val="000000"/>
          <w:spacing w:val="0"/>
          <w:w w:val="100"/>
          <w:sz w:val="28"/>
          <w:szCs w:val="28"/>
        </w:rPr>
        <w:t>16.服务约定</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不以任何形式转租、转让、抵押服务区域</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在服务区域内只从事</w:t>
      </w:r>
      <w:r>
        <w:rPr>
          <w:rFonts w:hint="eastAsia" w:ascii="宋体" w:hAnsi="宋体" w:eastAsia="宋体" w:cs="宋体"/>
          <w:color w:val="000000"/>
          <w:spacing w:val="0"/>
          <w:w w:val="100"/>
          <w:sz w:val="28"/>
          <w:szCs w:val="28"/>
          <w:lang w:eastAsia="zh-CN"/>
        </w:rPr>
        <w:t>双方约定</w:t>
      </w:r>
      <w:r>
        <w:rPr>
          <w:rFonts w:hint="eastAsia" w:ascii="宋体" w:hAnsi="宋体" w:eastAsia="宋体" w:cs="宋体"/>
          <w:color w:val="000000"/>
          <w:spacing w:val="0"/>
          <w:w w:val="100"/>
          <w:sz w:val="28"/>
          <w:szCs w:val="28"/>
        </w:rPr>
        <w:t>的服务工作。</w:t>
      </w:r>
    </w:p>
    <w:p w14:paraId="5F54B67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color w:val="000000"/>
          <w:spacing w:val="0"/>
          <w:w w:val="100"/>
          <w:kern w:val="2"/>
          <w:sz w:val="28"/>
          <w:szCs w:val="28"/>
          <w:lang w:val="en-US" w:eastAsia="en-US" w:bidi="ar-SA"/>
        </w:rPr>
        <w:t>17.廉洁要求</w:t>
      </w:r>
      <w:r>
        <w:rPr>
          <w:rFonts w:hint="eastAsia" w:ascii="宋体" w:hAnsi="宋体" w:eastAsia="宋体" w:cs="宋体"/>
          <w:color w:val="000000"/>
          <w:spacing w:val="0"/>
          <w:w w:val="100"/>
          <w:kern w:val="2"/>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乙方不得以任何理由向甲方工作人员行贿</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甲方人员也不得以任何形式向相关人员索贿。</w:t>
      </w:r>
    </w:p>
    <w:p w14:paraId="196AE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18.为保证学校学生的正常就餐，乙方必须在甲方要求的时间内营业。 </w:t>
      </w:r>
    </w:p>
    <w:p w14:paraId="0529572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19.乙方必须严格遵守《中华人民共和国食品安全法》、《中华人民共和国食品安全法实施条例》、《学校食品安全与营养健康管理规定》、《餐饮服务食品安全操作规范》、《企业落实食品安全主体责任监督管理规定》等法律法规及甲方制订的各项规章制度、岗位职责和服务规范，确保服务优质，管理规范；严格按照相关法律法规和甲方的规章制度切实做好食品卫生工作，杜绝一切安全卫生事故的发生。在餐饮服务期内对食品卫生、饭菜质量、经营场所安全等全面负责，如果发生问题要接受行政部门处罚；如因乙方原因导致甲方被行政部门处罚或其他第三人索赔，甲方有权要求乙方赔偿由此造成的各项损失（包含但不限于罚金、赔偿金、诉讼费用、律师费用、保全保险费、证据保全费用等）。 </w:t>
      </w:r>
    </w:p>
    <w:p w14:paraId="1CCBE51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20.乙方需要执行甲方的统一采购、统一配送、统一核算，严禁自行购买食材。 </w:t>
      </w:r>
    </w:p>
    <w:p w14:paraId="6C327C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21.乙方必须遵守甲方财务管理，使用校园一卡通收费系统，结算/核算工作要求内容真实合法，程序符合规定，严禁其他未经允许的收款方式。 </w:t>
      </w:r>
    </w:p>
    <w:p w14:paraId="3AF03C9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乙方在规定的经营项目范围内经营。不得擅自扩大经营品种，改变经营方式。在规定的经营场所内经营，不得私设摊点和窗口，扰乱校园秩序。不得超出经营范围、不得将该经营场所用于合同约定以外产品，不得向第三方分包、转包或共同经营。出现违约，视为乙方违反合同，甲方可单方面解除合约，通知乙方离场，后续事项可参照乙方违约解除合同处理。 </w:t>
      </w:r>
    </w:p>
    <w:p w14:paraId="79E832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23.甲方提供的房屋、设备设施在合同期内由乙方管理使用，并负责设备设施维护保养工作，对经营场地和现有的装修装潢不得擅自拆改、扩建、增添，如需改造需先征得甲方书面同意。 </w:t>
      </w:r>
    </w:p>
    <w:p w14:paraId="7A3BDE8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24.卫生标准：严格按照《中华人民共和国食品安全法》、教育部、卫生部《学校食堂与学生集体用餐卫生管理规定》、《餐饮服务通用卫生规范》（GB31654-2021）的要求，以及甲方日常管理的相关规章制度执行。特别要做好用工安全、食品的留样工作，做好各种餐具、用具的洗涤、消毒工作并做好记录，记录存档。 </w:t>
      </w:r>
    </w:p>
    <w:p w14:paraId="0DD4F9B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25.乙方使用所有职工必须执有有效的健康体检报告和健康证才能上岗，对无健康证或健康体检不合格者严禁使用。乙方特种设备操作员必须持证上岗。 </w:t>
      </w:r>
    </w:p>
    <w:p w14:paraId="4F3583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26.乙方须在规定的经营项目范围和经营场所内从事经营服务工作，不得私设摊点和窗口，各项服务价格按规定的成本要求控制，做到明码标价、质价相符，不得擅自涨价，服从甲方的统一管理。</w:t>
      </w:r>
    </w:p>
    <w:p w14:paraId="2B7D8BD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27.乙方负责餐厅内从业人员的食品安全、安全用电、防火、防事故、防疫、业务技能和职业道德等专项培训，加强有关法律法规及甲方各项规章制度的学习。 </w:t>
      </w:r>
    </w:p>
    <w:p w14:paraId="26AB545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28.乙方应加强餐厅内外场地的管理，未经甲方批准不举办活动、不得出借场地；加强橱窗、电子屏、电视、广播、展板等的管理，确保正面宣传和引导；乙方在餐厅内使用电视等娱乐设施时，严禁播放法律法规禁止的内容和不雅音像制品；在经营区域内严禁抽烟、酗酒、赌博。 </w:t>
      </w:r>
    </w:p>
    <w:p w14:paraId="1CC2B76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29.乙方应维护甲方校园良好的环境，经营活动不得破坏甲方周边环境、影响甲方正常的教学、生活秩序。 </w:t>
      </w:r>
    </w:p>
    <w:p w14:paraId="1B68D10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30.乙方在合同期内时，有爱护、维护甲方设施设备（包括燃气管道及配套设备）、国有资产的义务和责任，不得随意损坏、拆借甲方提供的固定资产。 </w:t>
      </w:r>
    </w:p>
    <w:p w14:paraId="1DDF3DF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31.乙方应严格遵守国家及学校相关的财务管理制度，遵守甲方收费制度和核算制度，实行刷卡结算业务。并同意接受甲方的监督和管理。一旦出现私设收款机、私收现金或私设微信收取消费金额，均视为严重违约行为，按甲方相关规定处罚和处理。 </w:t>
      </w:r>
    </w:p>
    <w:p w14:paraId="09A73ED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32.乙方遵循甲方采购制度，做好食品验收和保管工作，食品保管必须作到离墙、离地、上架，防尘、防霉、防鼠害等，确保食品质量。</w:t>
      </w:r>
    </w:p>
    <w:p w14:paraId="241A96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33.乙方法定代表人是食堂安全的第一责任人，应安排专人负责各种设施设备，保证水、电、燃气、蒸汽的使用安全。负责燃气设施的人员必须经过培训，并持有效上岗证上岗。乙方应与甲方签订消防安全责任书和综合治理责任书。食堂用电设备不得超过总负荷。 </w:t>
      </w:r>
    </w:p>
    <w:p w14:paraId="35C580C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34.定期做好“四害”的消杀工作，确保食品卫生安全。 </w:t>
      </w:r>
    </w:p>
    <w:p w14:paraId="301409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35.需加强对职工和财产的管理，经营期间所发生的人员伤亡、财产损失，均由乙方负责。 </w:t>
      </w:r>
    </w:p>
    <w:p w14:paraId="7884D4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36.必须遵守和执行校园的治安、消防等规章制度，做好安全生产工作，乙方应自觉维护经营场所内的所有消防安全设施，严禁把消防设施作消防以外的用途使用。 </w:t>
      </w:r>
    </w:p>
    <w:p w14:paraId="2BFE3D8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37.如因食品卫生、伙食品种和质量、价格等问题引起学生不满或发生食品安全问题的，必须做出书面的、公开的解释，提出解决方案并赔偿甲方因此而遭受的全部损失；如加工出售的食品引起病源性传播或食物中毒，由此所造成的损失由乙方负责并承担相应的法律和经济责任；不得加工出售政府和甲方明令禁止的食物，如有违反，将依法移交有关部门进行处理。 </w:t>
      </w:r>
    </w:p>
    <w:p w14:paraId="278FB6A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38.经营品种、价格及份量等明细需在甲方委托管理部门报备。如要更换饭菜品种、变更饭菜价格，需书面上报甲方委托管理部门，经甲方书面同意后方可变更，否则视为违规行为，按甲方有关制度处罚。 </w:t>
      </w:r>
    </w:p>
    <w:p w14:paraId="60AFDF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39.乙方服务餐厅如遇突发或重大事件，乙方应在第一时间报告甲方，及时处理有关问题，甲方如认为情况危及到甲方的安全稳定管理工作，乙方应无条件同意甲方直接调配乙方资源直至危机结束。 </w:t>
      </w:r>
    </w:p>
    <w:p w14:paraId="1AC908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40.乙方自觉接受甲方对其管理、用工、安全、服务、卫生等方面工作的检查、指导、监督和考核，接受和服从甲方、政府监管部门、消防部门等相关部门的管理、检查、评比、监督工作；接受甲方对原材料采购、生产流程、卫生消毒、供应价格、服务规范等的全方位监控，对存在和发现的问题，执行立整立改的管理措施，无法当时整改的也必须在24小时内完成整改。</w:t>
      </w:r>
    </w:p>
    <w:p w14:paraId="5DF83DA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41.乙方服务餐厅每学期开业、停业时间严格按甲方安排执行，特殊情况按照甲方通知为准；制定出开餐服务时间，并征得甲方同意，开餐期间必须保证饭菜的正常供应；节假日、寒暑假</w:t>
      </w:r>
      <w:r>
        <w:rPr>
          <w:rFonts w:hint="eastAsia" w:ascii="宋体" w:hAnsi="宋体" w:cs="宋体"/>
          <w:color w:val="000000"/>
          <w:spacing w:val="0"/>
          <w:w w:val="100"/>
          <w:kern w:val="2"/>
          <w:sz w:val="28"/>
          <w:szCs w:val="28"/>
          <w:lang w:val="en-US" w:eastAsia="zh-CN" w:bidi="ar-SA"/>
        </w:rPr>
        <w:t>及国家级考试</w:t>
      </w:r>
      <w:r>
        <w:rPr>
          <w:rFonts w:hint="eastAsia" w:ascii="宋体" w:hAnsi="宋体" w:eastAsia="宋体" w:cs="宋体"/>
          <w:color w:val="000000"/>
          <w:spacing w:val="0"/>
          <w:w w:val="100"/>
          <w:kern w:val="2"/>
          <w:sz w:val="28"/>
          <w:szCs w:val="28"/>
          <w:lang w:val="en-US" w:eastAsia="zh-CN" w:bidi="ar-SA"/>
        </w:rPr>
        <w:t xml:space="preserve">期间根据甲方的安排开餐，未经甲方同意不得停业。以下时间段内必须保证供餐： </w:t>
      </w:r>
    </w:p>
    <w:p w14:paraId="32D135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早餐：8:</w:t>
      </w:r>
      <w:r>
        <w:rPr>
          <w:rFonts w:hint="default" w:ascii="宋体" w:hAnsi="宋体" w:eastAsia="宋体" w:cs="宋体"/>
          <w:color w:val="FF0000"/>
          <w:spacing w:val="0"/>
          <w:w w:val="100"/>
          <w:kern w:val="2"/>
          <w:sz w:val="28"/>
          <w:szCs w:val="28"/>
          <w:lang w:val="en-US" w:eastAsia="zh-CN" w:bidi="ar-SA"/>
        </w:rPr>
        <w:t>3</w:t>
      </w:r>
      <w:r>
        <w:rPr>
          <w:rFonts w:hint="eastAsia" w:ascii="宋体" w:hAnsi="宋体" w:eastAsia="宋体" w:cs="宋体"/>
          <w:color w:val="FF0000"/>
          <w:spacing w:val="0"/>
          <w:w w:val="100"/>
          <w:kern w:val="2"/>
          <w:sz w:val="28"/>
          <w:szCs w:val="28"/>
          <w:lang w:val="en-US" w:eastAsia="zh-CN" w:bidi="ar-SA"/>
        </w:rPr>
        <w:t xml:space="preserve">0—10:30 </w:t>
      </w:r>
    </w:p>
    <w:p w14:paraId="296BD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午餐：1</w:t>
      </w:r>
      <w:r>
        <w:rPr>
          <w:rFonts w:hint="eastAsia" w:ascii="宋体" w:hAnsi="宋体" w:cs="宋体"/>
          <w:color w:val="FF0000"/>
          <w:spacing w:val="0"/>
          <w:w w:val="100"/>
          <w:kern w:val="2"/>
          <w:sz w:val="28"/>
          <w:szCs w:val="28"/>
          <w:lang w:val="en-US" w:eastAsia="zh-CN" w:bidi="ar-SA"/>
        </w:rPr>
        <w:t>2</w:t>
      </w:r>
      <w:r>
        <w:rPr>
          <w:rFonts w:hint="eastAsia" w:ascii="宋体" w:hAnsi="宋体" w:eastAsia="宋体" w:cs="宋体"/>
          <w:color w:val="FF0000"/>
          <w:spacing w:val="0"/>
          <w:w w:val="100"/>
          <w:kern w:val="2"/>
          <w:sz w:val="28"/>
          <w:szCs w:val="28"/>
          <w:lang w:val="en-US" w:eastAsia="zh-CN" w:bidi="ar-SA"/>
        </w:rPr>
        <w:t xml:space="preserve">:00—15:00 </w:t>
      </w:r>
    </w:p>
    <w:p w14:paraId="3E2270D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晚餐：18:00—2</w:t>
      </w:r>
      <w:r>
        <w:rPr>
          <w:rFonts w:hint="eastAsia" w:ascii="宋体" w:hAnsi="宋体" w:cs="宋体"/>
          <w:color w:val="FF0000"/>
          <w:spacing w:val="0"/>
          <w:w w:val="100"/>
          <w:kern w:val="2"/>
          <w:sz w:val="28"/>
          <w:szCs w:val="28"/>
          <w:lang w:val="en-US" w:eastAsia="zh-CN" w:bidi="ar-SA"/>
        </w:rPr>
        <w:t>1</w:t>
      </w:r>
      <w:r>
        <w:rPr>
          <w:rFonts w:hint="eastAsia" w:ascii="宋体" w:hAnsi="宋体" w:eastAsia="宋体" w:cs="宋体"/>
          <w:color w:val="FF0000"/>
          <w:spacing w:val="0"/>
          <w:w w:val="100"/>
          <w:kern w:val="2"/>
          <w:sz w:val="28"/>
          <w:szCs w:val="28"/>
          <w:lang w:val="en-US" w:eastAsia="zh-CN" w:bidi="ar-SA"/>
        </w:rPr>
        <w:t>:</w:t>
      </w:r>
      <w:r>
        <w:rPr>
          <w:rFonts w:hint="eastAsia" w:ascii="宋体" w:hAnsi="宋体" w:cs="宋体"/>
          <w:color w:val="FF0000"/>
          <w:spacing w:val="0"/>
          <w:w w:val="100"/>
          <w:kern w:val="2"/>
          <w:sz w:val="28"/>
          <w:szCs w:val="28"/>
          <w:lang w:val="en-US" w:eastAsia="zh-CN" w:bidi="ar-SA"/>
        </w:rPr>
        <w:t>0</w:t>
      </w:r>
      <w:r>
        <w:rPr>
          <w:rFonts w:hint="eastAsia" w:ascii="宋体" w:hAnsi="宋体" w:eastAsia="宋体" w:cs="宋体"/>
          <w:color w:val="FF0000"/>
          <w:spacing w:val="0"/>
          <w:w w:val="100"/>
          <w:kern w:val="2"/>
          <w:sz w:val="28"/>
          <w:szCs w:val="28"/>
          <w:lang w:val="en-US" w:eastAsia="zh-CN" w:bidi="ar-SA"/>
        </w:rPr>
        <w:t>0</w:t>
      </w:r>
    </w:p>
    <w:p w14:paraId="7DF1D3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42.乙方对服务餐厅餐饮服务过程中发生的一切债权债务、财产损失、人身事故等承担全部责任及费用。</w:t>
      </w:r>
    </w:p>
    <w:p w14:paraId="5D6499C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八、合同解除</w:t>
      </w:r>
    </w:p>
    <w:p w14:paraId="38A1F9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1.双方协商一致可以解除合同，并妥善处理好合同解除后的相关事宜，如空档期的食堂餐饮供应等。</w:t>
      </w:r>
    </w:p>
    <w:p w14:paraId="1D0679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2.甲方有以下行为之一的， 乙方可以解除合同：</w:t>
      </w:r>
    </w:p>
    <w:p w14:paraId="731CE19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甲方未按要求取得学校食堂《食品经营许可证》；</w:t>
      </w:r>
    </w:p>
    <w:p w14:paraId="39E19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2.2 甲方拒绝履行提供水、电、气、暖等必要经营条件， 乙方无法继续经营的；</w:t>
      </w:r>
    </w:p>
    <w:p w14:paraId="270712A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 乙方发生以下情形之一的 ，甲方可以解除合同，并承担相关后果：</w:t>
      </w:r>
    </w:p>
    <w:p w14:paraId="71CBFE7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3.1 违反相关法律法规，被市场监督管理部门吊销或注销营业执照、食品经营许可证的；</w:t>
      </w:r>
    </w:p>
    <w:p w14:paraId="58433EB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snapToGrid w:val="0"/>
          <w:color w:val="000000"/>
          <w:spacing w:val="0"/>
          <w:w w:val="100"/>
          <w:kern w:val="0"/>
          <w:sz w:val="28"/>
          <w:szCs w:val="28"/>
          <w:lang w:val="en-US" w:eastAsia="en-US" w:bidi="ar-SA"/>
        </w:rPr>
        <w:t>3.2 乙方因食品安全、安全生产等问题</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造成师生食物中毒（一般食品安全事故及以上等级的）或其他食源性疾病等重大安</w:t>
      </w:r>
      <w:r>
        <w:rPr>
          <w:rFonts w:hint="eastAsia" w:ascii="宋体" w:hAnsi="宋体" w:eastAsia="宋体" w:cs="宋体"/>
          <w:color w:val="000000"/>
          <w:spacing w:val="0"/>
          <w:w w:val="100"/>
          <w:kern w:val="2"/>
          <w:sz w:val="28"/>
          <w:szCs w:val="28"/>
          <w:lang w:val="en-US" w:eastAsia="zh-CN" w:bidi="ar-SA"/>
        </w:rPr>
        <w:t>全事故的， 甲方有权无条件终止合同；</w:t>
      </w:r>
    </w:p>
    <w:p w14:paraId="1A6FDC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3.3 发生转包、分包供餐业务的，或擅自更换履约人等其他违反法律法规或供餐合同行为的；</w:t>
      </w:r>
    </w:p>
    <w:p w14:paraId="60E6D6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3.4 未按供餐服务合同约定建立相关制度或执行制度不力</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经营管理混乱</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存在食品安全隐患</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被市场监督管理部门下达整改且限期整改不力的或者一年内被市场监管部门行政处罚、通报（包括暗访）</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次以上的；</w:t>
      </w:r>
    </w:p>
    <w:p w14:paraId="144A006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3.5 互联网+明厨亮灶未保持在线状态且对各级市场监管部门整改要求拒不整改，刻意躲避监管的；</w:t>
      </w:r>
    </w:p>
    <w:p w14:paraId="6EDFAC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6</w:t>
      </w:r>
      <w:r>
        <w:rPr>
          <w:rFonts w:hint="eastAsia" w:ascii="宋体" w:hAnsi="宋体" w:eastAsia="宋体" w:cs="宋体"/>
          <w:snapToGrid w:val="0"/>
          <w:color w:val="000000"/>
          <w:spacing w:val="0"/>
          <w:w w:val="100"/>
          <w:kern w:val="0"/>
          <w:sz w:val="28"/>
          <w:szCs w:val="28"/>
          <w:lang w:val="en-US" w:eastAsia="en-US" w:bidi="ar-SA"/>
        </w:rPr>
        <w:t xml:space="preserve"> 与学校或学校工作人员间存在商业贿赂等不正当经营行为的；</w:t>
      </w:r>
    </w:p>
    <w:p w14:paraId="4BAE5A3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w:t>
      </w:r>
      <w:r>
        <w:rPr>
          <w:rFonts w:hint="eastAsia" w:ascii="宋体" w:hAnsi="宋体" w:eastAsia="宋体" w:cs="宋体"/>
          <w:color w:val="000000"/>
          <w:spacing w:val="0"/>
          <w:w w:val="100"/>
          <w:sz w:val="28"/>
          <w:szCs w:val="28"/>
          <w:lang w:val="en-US" w:eastAsia="zh-CN"/>
        </w:rPr>
        <w:t>7</w:t>
      </w:r>
      <w:r>
        <w:rPr>
          <w:rFonts w:hint="eastAsia" w:ascii="宋体" w:hAnsi="宋体" w:cs="宋体"/>
          <w:color w:val="000000"/>
          <w:spacing w:val="0"/>
          <w:w w:val="100"/>
          <w:sz w:val="28"/>
          <w:szCs w:val="28"/>
          <w:lang w:val="en-US" w:eastAsia="zh-CN"/>
        </w:rPr>
        <w:t xml:space="preserve"> </w:t>
      </w:r>
      <w:r>
        <w:rPr>
          <w:rFonts w:hint="eastAsia" w:ascii="宋体" w:hAnsi="宋体" w:eastAsia="宋体" w:cs="宋体"/>
          <w:color w:val="000000"/>
          <w:spacing w:val="0"/>
          <w:w w:val="100"/>
          <w:sz w:val="28"/>
          <w:szCs w:val="28"/>
        </w:rPr>
        <w:t>乙方拒绝接受甲方监督管理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经甲方通知整改后不予整改</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且影响食堂正常经营的；</w:t>
      </w:r>
    </w:p>
    <w:p w14:paraId="3DFEEC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3.8 乙方经营过程中，与用餐者发生谩骂、斗殴或造成严重后果或违反法律法规、规章规定，发生学生、教职工、学生家长群体性事件的；</w:t>
      </w:r>
    </w:p>
    <w:p w14:paraId="1D4051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9</w:t>
      </w:r>
      <w:r>
        <w:rPr>
          <w:rFonts w:hint="eastAsia" w:ascii="宋体" w:hAnsi="宋体" w:eastAsia="宋体" w:cs="宋体"/>
          <w:snapToGrid w:val="0"/>
          <w:color w:val="000000"/>
          <w:spacing w:val="0"/>
          <w:w w:val="100"/>
          <w:kern w:val="0"/>
          <w:sz w:val="28"/>
          <w:szCs w:val="28"/>
          <w:lang w:val="en-US" w:eastAsia="en-US" w:bidi="ar-SA"/>
        </w:rPr>
        <w:t xml:space="preserve"> 乙方人员在校园存放危险品或实施违法犯罪或损坏公共利益等行为。</w:t>
      </w:r>
    </w:p>
    <w:p w14:paraId="0BDB1F7E">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rightChars="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4.</w:t>
      </w:r>
      <w:r>
        <w:rPr>
          <w:rFonts w:hint="eastAsia" w:ascii="宋体" w:hAnsi="宋体" w:eastAsia="宋体" w:cs="宋体"/>
          <w:snapToGrid w:val="0"/>
          <w:color w:val="000000"/>
          <w:spacing w:val="0"/>
          <w:w w:val="100"/>
          <w:kern w:val="0"/>
          <w:sz w:val="28"/>
          <w:szCs w:val="28"/>
          <w:lang w:val="en-US" w:eastAsia="en-US" w:bidi="ar-SA"/>
        </w:rPr>
        <w:t xml:space="preserve">其它                                                                         </w:t>
      </w:r>
    </w:p>
    <w:p w14:paraId="35149A04">
      <w:pPr>
        <w:keepNext w:val="0"/>
        <w:keepLines w:val="0"/>
        <w:pageBreakBefore w:val="0"/>
        <w:widowControl w:val="0"/>
        <w:numPr>
          <w:ilvl w:val="0"/>
          <w:numId w:val="11"/>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不可抗力事件处理</w:t>
      </w:r>
    </w:p>
    <w:p w14:paraId="2A697067">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服务期内</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 xml:space="preserve">如不可抗力致使合同无法履行时 </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甲乙双方协商可变更或解除合</w:t>
      </w:r>
      <w:r>
        <w:rPr>
          <w:rFonts w:hint="eastAsia" w:ascii="宋体" w:hAnsi="宋体" w:eastAsia="宋体" w:cs="宋体"/>
          <w:snapToGrid w:val="0"/>
          <w:color w:val="000000"/>
          <w:spacing w:val="0"/>
          <w:w w:val="100"/>
          <w:kern w:val="0"/>
          <w:sz w:val="28"/>
          <w:szCs w:val="28"/>
          <w:lang w:val="en-US" w:eastAsia="zh-CN" w:bidi="ar-SA"/>
        </w:rPr>
        <w:t>同。</w:t>
      </w:r>
    </w:p>
    <w:p w14:paraId="26C490A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十、违约责任</w:t>
      </w:r>
    </w:p>
    <w:p w14:paraId="01B11EDE">
      <w:pPr>
        <w:keepNext w:val="0"/>
        <w:keepLines w:val="0"/>
        <w:pageBreakBefore w:val="0"/>
        <w:widowControl w:val="0"/>
        <w:kinsoku/>
        <w:wordWrap/>
        <w:overflowPunct/>
        <w:topLinePunct w:val="0"/>
        <w:autoSpaceDE w:val="0"/>
        <w:autoSpaceDN/>
        <w:bidi w:val="0"/>
        <w:adjustRightInd w:val="0"/>
        <w:snapToGrid w:val="0"/>
        <w:spacing w:before="0" w:after="0" w:line="480" w:lineRule="exact"/>
        <w:ind w:left="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1.甲方违约责任</w:t>
      </w:r>
    </w:p>
    <w:p w14:paraId="2360BEF1">
      <w:pPr>
        <w:pStyle w:val="7"/>
        <w:keepNext w:val="0"/>
        <w:keepLines w:val="0"/>
        <w:pageBreakBefore w:val="0"/>
        <w:widowControl w:val="0"/>
        <w:kinsoku/>
        <w:wordWrap/>
        <w:overflowPunct/>
        <w:topLinePunct w:val="0"/>
        <w:autoSpaceDE w:val="0"/>
        <w:autoSpaceDN/>
        <w:bidi w:val="0"/>
        <w:spacing w:line="480" w:lineRule="exact"/>
        <w:ind w:left="0" w:right="0" w:firstLine="560" w:firstLineChars="200"/>
        <w:jc w:val="both"/>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1 甲方不按照约定支付费用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经乙方书面催告后</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日内仍未支付的，自催告期满后</w:t>
      </w:r>
      <w:r>
        <w:rPr>
          <w:rFonts w:hint="eastAsia" w:ascii="宋体" w:hAnsi="宋体" w:eastAsia="宋体" w:cs="宋体"/>
          <w:color w:val="000000"/>
          <w:spacing w:val="0"/>
          <w:w w:val="100"/>
          <w:sz w:val="28"/>
          <w:szCs w:val="28"/>
        </w:rPr>
        <w:t>每逾期</w:t>
      </w:r>
      <w:r>
        <w:rPr>
          <w:rFonts w:hint="eastAsia" w:ascii="宋体" w:hAnsi="宋体" w:eastAsia="宋体" w:cs="宋体"/>
          <w:color w:val="000000"/>
          <w:spacing w:val="0"/>
          <w:w w:val="100"/>
          <w:sz w:val="28"/>
          <w:szCs w:val="28"/>
          <w:lang w:eastAsia="zh-CN"/>
        </w:rPr>
        <w:t>一</w:t>
      </w:r>
      <w:r>
        <w:rPr>
          <w:rFonts w:hint="eastAsia" w:ascii="宋体" w:hAnsi="宋体" w:eastAsia="宋体" w:cs="宋体"/>
          <w:color w:val="000000"/>
          <w:spacing w:val="0"/>
          <w:w w:val="100"/>
          <w:sz w:val="28"/>
          <w:szCs w:val="28"/>
        </w:rPr>
        <w:t>日</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按</w:t>
      </w:r>
      <w:r>
        <w:rPr>
          <w:rFonts w:hint="eastAsia" w:ascii="宋体" w:hAnsi="宋体" w:eastAsia="宋体" w:cs="宋体"/>
          <w:color w:val="000000"/>
          <w:spacing w:val="0"/>
          <w:w w:val="100"/>
          <w:sz w:val="28"/>
          <w:szCs w:val="28"/>
          <w:lang w:val="en-US" w:eastAsia="zh-CN"/>
        </w:rPr>
        <w:t>欠付</w:t>
      </w:r>
      <w:r>
        <w:rPr>
          <w:rFonts w:hint="eastAsia" w:ascii="宋体" w:hAnsi="宋体" w:eastAsia="宋体" w:cs="宋体"/>
          <w:color w:val="000000"/>
          <w:spacing w:val="0"/>
          <w:w w:val="100"/>
          <w:sz w:val="28"/>
          <w:szCs w:val="28"/>
        </w:rPr>
        <w:t>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default" w:ascii="Arial" w:hAnsi="Arial" w:eastAsia="宋体" w:cs="Arial"/>
          <w:color w:val="000000"/>
          <w:spacing w:val="0"/>
          <w:w w:val="100"/>
          <w:sz w:val="28"/>
          <w:szCs w:val="28"/>
          <w:u w:val="none"/>
          <w:lang w:val="en-US" w:eastAsia="zh-CN"/>
        </w:rPr>
        <w:t>‰</w:t>
      </w:r>
      <w:r>
        <w:rPr>
          <w:rFonts w:hint="eastAsia" w:ascii="宋体" w:hAnsi="宋体" w:eastAsia="宋体" w:cs="宋体"/>
          <w:color w:val="000000"/>
          <w:spacing w:val="0"/>
          <w:w w:val="100"/>
          <w:sz w:val="28"/>
          <w:szCs w:val="28"/>
        </w:rPr>
        <w:t>向乙方支付违约金</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违约金累计不超过欠付金额的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w:t>
      </w:r>
    </w:p>
    <w:p w14:paraId="2E110817">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 因甲方违约导致合同解除的，甲方应向乙方支付违约金，同时还应承担乙方的实际经济损失。</w:t>
      </w:r>
    </w:p>
    <w:p w14:paraId="66AD8EB3">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  因甲方原因导致食材不符合食品安全的要求，造成的相关后果由甲方承担。</w:t>
      </w:r>
    </w:p>
    <w:p w14:paraId="054AAE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2.乙方违约责任</w:t>
      </w:r>
    </w:p>
    <w:p w14:paraId="637ECCA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711091E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 因乙方违约导致合同解除的，则乙方交纳履约保证金不予返还， 乙方还应向甲方支付违约金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593B9CB6">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 xml:space="preserve">2.3 </w:t>
      </w:r>
      <w:r>
        <w:rPr>
          <w:rFonts w:hint="eastAsia" w:ascii="宋体" w:hAnsi="宋体" w:cs="宋体"/>
          <w:i w:val="0"/>
          <w:iCs w:val="0"/>
          <w:caps w:val="0"/>
          <w:color w:val="000000"/>
          <w:spacing w:val="4"/>
          <w:sz w:val="28"/>
          <w:szCs w:val="28"/>
          <w:shd w:val="clear" w:color="auto" w:fill="FFFFFF"/>
          <w:lang w:eastAsia="zh-CN"/>
        </w:rPr>
        <w:t>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8"/>
          <w:szCs w:val="28"/>
          <w:shd w:val="clear" w:color="auto" w:fill="FFFFFF"/>
          <w:lang w:val="en-US" w:eastAsia="zh-CN"/>
        </w:rPr>
        <w:t>服务费用</w:t>
      </w:r>
      <w:r>
        <w:rPr>
          <w:rFonts w:hint="eastAsia" w:ascii="宋体" w:hAnsi="宋体" w:cs="宋体"/>
          <w:i w:val="0"/>
          <w:iCs w:val="0"/>
          <w:caps w:val="0"/>
          <w:color w:val="000000"/>
          <w:spacing w:val="4"/>
          <w:sz w:val="28"/>
          <w:szCs w:val="28"/>
          <w:shd w:val="clear" w:color="auto" w:fill="FFFFFF"/>
          <w:lang w:eastAsia="zh-CN"/>
        </w:rPr>
        <w:t>总额</w:t>
      </w:r>
      <w:r>
        <w:rPr>
          <w:rFonts w:hint="eastAsia" w:ascii="宋体" w:hAnsi="宋体" w:cs="宋体"/>
          <w:i w:val="0"/>
          <w:iCs w:val="0"/>
          <w:caps w:val="0"/>
          <w:color w:val="000000"/>
          <w:spacing w:val="4"/>
          <w:sz w:val="28"/>
          <w:szCs w:val="28"/>
          <w:u w:val="single"/>
          <w:shd w:val="clear" w:color="auto" w:fill="FFFFFF"/>
          <w:lang w:val="en-US" w:eastAsia="zh-CN"/>
        </w:rPr>
        <w:t xml:space="preserve">    </w:t>
      </w:r>
      <w:r>
        <w:rPr>
          <w:rFonts w:hint="eastAsia" w:ascii="宋体" w:hAnsi="宋体" w:cs="宋体"/>
          <w:i w:val="0"/>
          <w:iCs w:val="0"/>
          <w:caps w:val="0"/>
          <w:color w:val="000000"/>
          <w:spacing w:val="4"/>
          <w:sz w:val="28"/>
          <w:szCs w:val="28"/>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1514F261">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default"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2.4除本合同另有约定外，乙方未能履行本合同约定的义务，甲方有权要求扣除履约保证金，同时要求乙方限期整改，</w:t>
      </w:r>
      <w:r>
        <w:rPr>
          <w:rFonts w:hint="eastAsia" w:ascii="宋体" w:hAnsi="宋体" w:cs="宋体"/>
          <w:i w:val="0"/>
          <w:iCs w:val="0"/>
          <w:caps w:val="0"/>
          <w:color w:val="FF0000"/>
          <w:spacing w:val="4"/>
          <w:sz w:val="28"/>
          <w:szCs w:val="28"/>
          <w:shd w:val="clear" w:color="auto" w:fill="FFFFFF"/>
          <w:lang w:val="en-US" w:eastAsia="zh-CN"/>
        </w:rPr>
        <w:t>并有权视情节轻重要求乙方支付10000至30000元的违约金。</w:t>
      </w:r>
      <w:r>
        <w:rPr>
          <w:rFonts w:hint="eastAsia" w:ascii="宋体" w:hAnsi="宋体" w:cs="宋体"/>
          <w:i w:val="0"/>
          <w:iCs w:val="0"/>
          <w:caps w:val="0"/>
          <w:color w:val="000000"/>
          <w:spacing w:val="4"/>
          <w:sz w:val="28"/>
          <w:szCs w:val="28"/>
          <w:shd w:val="clear" w:color="auto" w:fill="FFFFFF"/>
          <w:lang w:val="en-US" w:eastAsia="zh-CN"/>
        </w:rPr>
        <w:t>如在甲方要求的整改期限内，乙方未能按甲方的要求进行整改，甲方有权单方终止、解除合同，扣除履约保证金，并有权要求乙方赔偿甲方因此遭受的一切损失。乙方承担提前终止、解除合同的一切法律和经济责任。</w:t>
      </w:r>
    </w:p>
    <w:p w14:paraId="2086DD2F">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cs="宋体"/>
          <w:i w:val="0"/>
          <w:iCs w:val="0"/>
          <w:caps w:val="0"/>
          <w:color w:val="000000"/>
          <w:spacing w:val="4"/>
          <w:sz w:val="28"/>
          <w:szCs w:val="28"/>
          <w:shd w:val="clear" w:color="auto" w:fill="FFFFFF"/>
          <w:lang w:val="en-US" w:eastAsia="zh-CN"/>
        </w:rPr>
        <w:t>2.5如乙方出现如下情</w:t>
      </w:r>
      <w:r>
        <w:rPr>
          <w:rFonts w:hint="eastAsia" w:ascii="宋体" w:hAnsi="宋体" w:eastAsia="宋体" w:cs="宋体"/>
          <w:i w:val="0"/>
          <w:iCs w:val="0"/>
          <w:caps w:val="0"/>
          <w:color w:val="000000"/>
          <w:spacing w:val="4"/>
          <w:kern w:val="0"/>
          <w:sz w:val="28"/>
          <w:szCs w:val="28"/>
          <w:shd w:val="clear" w:color="auto" w:fill="FFFFFF"/>
          <w:lang w:val="en-US" w:eastAsia="zh-CN" w:bidi="ar"/>
        </w:rPr>
        <w:t>况之一，甲方有权与乙方解除合同，由乙方承担全部经济损失和法律责任，包括依照本合同及相关法律规定要求违约方承担因违约行为而遭致的直接经济损失及任何可预期的间接损失及额外的费用（包括但不限于诉讼费、律师费、差旅费等），甲方有权直接从履约保证金中扣除，不足部分乙方须另行补足。</w:t>
      </w:r>
    </w:p>
    <w:p w14:paraId="722B89C5">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（1）未申报擅自更换该</w:t>
      </w:r>
      <w:r>
        <w:rPr>
          <w:rFonts w:hint="eastAsia" w:ascii="宋体" w:hAnsi="宋体" w:eastAsia="宋体" w:cs="宋体"/>
          <w:i w:val="0"/>
          <w:iCs w:val="0"/>
          <w:caps w:val="0"/>
          <w:color w:val="000000"/>
          <w:spacing w:val="4"/>
          <w:kern w:val="0"/>
          <w:sz w:val="28"/>
          <w:szCs w:val="28"/>
          <w:shd w:val="clear" w:color="auto" w:fill="FFFFFF"/>
          <w:lang w:val="zh-CN" w:eastAsia="zh-CN" w:bidi="ar"/>
        </w:rPr>
        <w:t>项目经理、食品安全总监、食品安全卫生管理员、核算保管员及主要服务人员</w:t>
      </w:r>
      <w:r>
        <w:rPr>
          <w:rFonts w:hint="eastAsia" w:ascii="宋体" w:hAnsi="宋体" w:eastAsia="宋体" w:cs="宋体"/>
          <w:i w:val="0"/>
          <w:iCs w:val="0"/>
          <w:caps w:val="0"/>
          <w:color w:val="000000"/>
          <w:spacing w:val="4"/>
          <w:kern w:val="0"/>
          <w:sz w:val="28"/>
          <w:szCs w:val="28"/>
          <w:shd w:val="clear" w:color="auto" w:fill="FFFFFF"/>
          <w:lang w:val="en-US" w:eastAsia="zh-CN" w:bidi="ar"/>
        </w:rPr>
        <w:t>等情况。</w:t>
      </w:r>
    </w:p>
    <w:p w14:paraId="0A605E78">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（2）乙方严重违反《中华人民共和国食品安全法》等法规，被当地市场监督管理部门要求停业整顿的。</w:t>
      </w:r>
    </w:p>
    <w:p w14:paraId="47A5453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（3）在校内进行餐饮生产、加工、经营和销售及与此相关的物资供应等经营活动的过程中，存在掺杂使假、销售过期变质及无证产品等行为情节严重的。</w:t>
      </w:r>
    </w:p>
    <w:p w14:paraId="344C7AF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4）因乙方生产、经营禁止类食品或发生食物中毒、火灾、食源性疾患或其它违法行为的原因，出现食品安全或其他事故由此造成的损失、赔偿、处罚及其它相关费用全由该乙方自行承担，同时承担相应的法律责任。</w:t>
      </w:r>
    </w:p>
    <w:p w14:paraId="10E87101">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（5）超出准入许可经营范围擅自生产经营，或未按规定内容经营，将解除合同，同时承担相应的法律责任。</w:t>
      </w:r>
    </w:p>
    <w:p w14:paraId="3DA81E5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（6）在卫生质量和价格控制有违规行为的，并造成严重后果的（如：罢餐、静坐、游行等群发事件，影响恶劣）将解除合同，同时承担相应的法律责任。</w:t>
      </w:r>
    </w:p>
    <w:p w14:paraId="339BA0A9">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（7）乙方未按相关法律法规、标准以及本合同的约定，导致经营管理混乱。</w:t>
      </w:r>
    </w:p>
    <w:p w14:paraId="331EDE7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（8）在经营过程中有转包、分包经营行为的。</w:t>
      </w:r>
    </w:p>
    <w:p w14:paraId="56558E0B">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（9）不经甲方同意乙方对原有房屋擅自改动或扩建的。</w:t>
      </w:r>
    </w:p>
    <w:p w14:paraId="02B61834">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（10）无故停止营业的。</w:t>
      </w:r>
    </w:p>
    <w:p w14:paraId="5A030343">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（11）乙方在校内经营餐厅和宿舍内从事或准许他人从事任何宗教活动的。</w:t>
      </w:r>
    </w:p>
    <w:p w14:paraId="48631AB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（12）甲方按照政府有关规定和甲方的规章制度提出要求，乙方未按要求管理从业人员，可视为违约。</w:t>
      </w:r>
    </w:p>
    <w:p w14:paraId="0971C84E">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（13）因乙方的不良行为，影响或造成甲方（包括个人）受到外部或内部行政处理或经济损失的。</w:t>
      </w:r>
    </w:p>
    <w:p w14:paraId="49736344">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color w:val="000000"/>
          <w:spacing w:val="0"/>
          <w:w w:val="100"/>
          <w:sz w:val="28"/>
          <w:szCs w:val="28"/>
        </w:rPr>
      </w:pPr>
      <w:r>
        <w:rPr>
          <w:rFonts w:hint="eastAsia" w:ascii="宋体" w:hAnsi="宋体" w:eastAsia="宋体" w:cs="宋体"/>
          <w:i w:val="0"/>
          <w:iCs w:val="0"/>
          <w:caps w:val="0"/>
          <w:color w:val="000000"/>
          <w:spacing w:val="4"/>
          <w:kern w:val="0"/>
          <w:sz w:val="28"/>
          <w:szCs w:val="28"/>
          <w:shd w:val="clear" w:color="auto" w:fill="FFFFFF"/>
          <w:lang w:val="en-US" w:eastAsia="zh-CN" w:bidi="ar"/>
        </w:rPr>
        <w:t>（14）其他违约或给甲方造成重大损失或不良影响的行为。</w:t>
      </w:r>
    </w:p>
    <w:p w14:paraId="7C8B503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十一、保密条款</w:t>
      </w:r>
    </w:p>
    <w:p w14:paraId="49F2705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甲乙双方应保守在缔结和履行合同过程中获知对方的个人</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师生信息以及内部保密信息</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除甲乙双方履行合同义务的必要或有法律、法规规定应披露的之外</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不得以任何方式向第三人披露和不正当使用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否则</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应当赔偿因泄露保密信息给对方造成的损失。</w:t>
      </w:r>
    </w:p>
    <w:p w14:paraId="5AD1F61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十二、考核</w:t>
      </w:r>
    </w:p>
    <w:p w14:paraId="2ADF205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考核具体内容详见附件2。</w:t>
      </w:r>
    </w:p>
    <w:p w14:paraId="608F2178">
      <w:pPr>
        <w:keepNext w:val="0"/>
        <w:keepLines w:val="0"/>
        <w:pageBreakBefore w:val="0"/>
        <w:widowControl w:val="0"/>
        <w:numPr>
          <w:ilvl w:val="0"/>
          <w:numId w:val="12"/>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争议解决因本合同相关事项发生的纠纷</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应通过协商解决。如协商不成</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可按以下第</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cs="宋体"/>
          <w:snapToGrid w:val="0"/>
          <w:color w:val="000000"/>
          <w:spacing w:val="0"/>
          <w:w w:val="100"/>
          <w:kern w:val="0"/>
          <w:sz w:val="28"/>
          <w:szCs w:val="28"/>
          <w:u w:val="single"/>
          <w:lang w:val="en-US" w:eastAsia="zh-CN" w:bidi="ar-SA"/>
        </w:rPr>
        <w:t>2</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种方式解决：</w:t>
      </w:r>
    </w:p>
    <w:p w14:paraId="37BA99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仲裁委员会申请仲裁。</w:t>
      </w:r>
    </w:p>
    <w:p w14:paraId="581C51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2.依法向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人民法院起诉。</w:t>
      </w:r>
    </w:p>
    <w:p w14:paraId="0055A1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在诉讼或仲裁期间</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本合同不涉及争议的条款仍然有效</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双方应继续履行。</w:t>
      </w:r>
      <w:r>
        <w:rPr>
          <w:rFonts w:hint="eastAsia" w:ascii="宋体" w:hAnsi="宋体" w:eastAsia="宋体" w:cs="宋体"/>
          <w:color w:val="000000"/>
          <w:spacing w:val="0"/>
          <w:w w:val="100"/>
          <w:kern w:val="2"/>
          <w:sz w:val="28"/>
          <w:szCs w:val="28"/>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w w:val="100"/>
          <w:kern w:val="0"/>
          <w:sz w:val="28"/>
          <w:szCs w:val="28"/>
          <w:lang w:val="en-US" w:eastAsia="zh-CN" w:bidi="ar-SA"/>
        </w:rPr>
        <w:t>所有成本由违约方承担。</w:t>
      </w:r>
    </w:p>
    <w:p w14:paraId="046C2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本协议中所载的书面通知仅指当事人亲自送达、挂号信、EMS方式、电子邮箱。一方采取当事人亲自送达方式的，另一方有积极配合签收的义务。如一方拒绝签收而使另一方变更送达方式的，由此产生的费用应当由违约方承担；如以EMS或快递方式寄送的，如无相反证据证明，自寄送之日起的第三日为送达之日。</w:t>
      </w:r>
    </w:p>
    <w:p w14:paraId="3717FC9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w:t>
      </w:r>
      <w:r>
        <w:rPr>
          <w:rFonts w:hint="eastAsia" w:ascii="宋体" w:hAnsi="宋体" w:eastAsia="宋体" w:cs="宋体"/>
          <w:color w:val="000000"/>
          <w:spacing w:val="0"/>
          <w:w w:val="100"/>
          <w:sz w:val="28"/>
          <w:szCs w:val="28"/>
          <w:lang w:eastAsia="zh-CN"/>
        </w:rPr>
        <w:t>四</w:t>
      </w:r>
      <w:r>
        <w:rPr>
          <w:rFonts w:hint="eastAsia" w:ascii="宋体" w:hAnsi="宋体" w:eastAsia="宋体" w:cs="宋体"/>
          <w:color w:val="000000"/>
          <w:spacing w:val="0"/>
          <w:w w:val="100"/>
          <w:sz w:val="28"/>
          <w:szCs w:val="28"/>
        </w:rPr>
        <w:t>、其他</w:t>
      </w:r>
    </w:p>
    <w:p w14:paraId="7FB0494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left"/>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1.本合同在</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签订。</w:t>
      </w:r>
    </w:p>
    <w:p w14:paraId="10D616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3.合同经双方法定代表人或授权代表签字并加盖单位公章后生效。</w:t>
      </w:r>
    </w:p>
    <w:p w14:paraId="38690FB8">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4</w:t>
      </w:r>
      <w:r>
        <w:rPr>
          <w:rFonts w:hint="eastAsia" w:ascii="宋体" w:hAnsi="宋体" w:cs="宋体"/>
          <w:color w:val="000000"/>
          <w:spacing w:val="0"/>
          <w:w w:val="100"/>
          <w:sz w:val="28"/>
          <w:szCs w:val="28"/>
          <w:lang w:val="en-US" w:eastAsia="zh-CN"/>
        </w:rPr>
        <w:t>.</w:t>
      </w:r>
      <w:r>
        <w:rPr>
          <w:rFonts w:hint="eastAsia" w:ascii="宋体" w:hAnsi="宋体" w:eastAsia="宋体" w:cs="宋体"/>
          <w:snapToGrid w:val="0"/>
          <w:color w:val="000000"/>
          <w:spacing w:val="0"/>
          <w:w w:val="100"/>
          <w:kern w:val="0"/>
          <w:sz w:val="28"/>
          <w:szCs w:val="28"/>
          <w:lang w:val="en-US" w:eastAsia="zh-CN" w:bidi="ar-SA"/>
        </w:rPr>
        <w:t>本合同一式</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陆</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份，甲方 </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肆</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份，乙方</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贰</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份，由甲方向当地教育行政部门备案</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cs="宋体"/>
          <w:snapToGrid w:val="0"/>
          <w:color w:val="000000"/>
          <w:spacing w:val="0"/>
          <w:w w:val="100"/>
          <w:kern w:val="0"/>
          <w:sz w:val="28"/>
          <w:szCs w:val="28"/>
          <w:u w:val="single"/>
          <w:lang w:val="en-US" w:eastAsia="zh-CN" w:bidi="ar-SA"/>
        </w:rPr>
        <w:t>/</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w:t>
      </w:r>
    </w:p>
    <w:p w14:paraId="1FFBBB0F">
      <w:pPr>
        <w:keepNext w:val="0"/>
        <w:keepLines w:val="0"/>
        <w:pageBreakBefore w:val="0"/>
        <w:widowControl w:val="0"/>
        <w:numPr>
          <w:ilvl w:val="0"/>
          <w:numId w:val="0"/>
        </w:numPr>
        <w:kinsoku/>
        <w:wordWrap/>
        <w:overflowPunct/>
        <w:topLinePunct w:val="0"/>
        <w:autoSpaceDN/>
        <w:bidi w:val="0"/>
        <w:snapToGrid/>
        <w:spacing w:line="48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snapToGrid w:val="0"/>
          <w:color w:val="000000"/>
          <w:spacing w:val="0"/>
          <w:w w:val="100"/>
          <w:kern w:val="0"/>
          <w:sz w:val="28"/>
          <w:szCs w:val="28"/>
          <w:lang w:val="en-US" w:eastAsia="zh-CN" w:bidi="ar-SA"/>
        </w:rPr>
        <w:t>5.未约定事项，双方可以协商签订补充协议。</w:t>
      </w:r>
    </w:p>
    <w:p w14:paraId="15A756A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16" w:firstLineChars="200"/>
        <w:jc w:val="both"/>
        <w:textAlignment w:val="baseline"/>
        <w:rPr>
          <w:rFonts w:hint="eastAsia" w:ascii="宋体" w:hAnsi="宋体" w:cs="宋体"/>
          <w:color w:val="000000"/>
          <w:spacing w:val="-11"/>
          <w:kern w:val="2"/>
          <w:sz w:val="28"/>
          <w:szCs w:val="28"/>
          <w:lang w:val="en-US" w:eastAsia="zh-CN" w:bidi="ar-SA"/>
        </w:rPr>
      </w:pPr>
      <w:r>
        <w:rPr>
          <w:rFonts w:hint="eastAsia" w:ascii="宋体" w:hAnsi="宋体" w:eastAsia="宋体" w:cs="宋体"/>
          <w:color w:val="000000"/>
          <w:spacing w:val="-11"/>
          <w:kern w:val="2"/>
          <w:sz w:val="28"/>
          <w:szCs w:val="28"/>
          <w:lang w:val="en-US" w:eastAsia="zh-CN" w:bidi="ar-SA"/>
        </w:rPr>
        <w:t>附件 1：</w:t>
      </w:r>
      <w:r>
        <w:rPr>
          <w:rFonts w:hint="eastAsia" w:ascii="宋体" w:hAnsi="宋体" w:eastAsia="宋体" w:cs="宋体"/>
          <w:color w:val="000000"/>
          <w:spacing w:val="-28"/>
          <w:kern w:val="2"/>
          <w:sz w:val="28"/>
          <w:szCs w:val="28"/>
          <w:lang w:val="en-US" w:eastAsia="zh-CN" w:bidi="ar-SA"/>
        </w:rPr>
        <w:t xml:space="preserve"> </w:t>
      </w:r>
      <w:r>
        <w:rPr>
          <w:rFonts w:hint="eastAsia" w:ascii="宋体" w:hAnsi="宋体" w:eastAsia="宋体" w:cs="宋体"/>
          <w:color w:val="000000"/>
          <w:spacing w:val="-11"/>
          <w:kern w:val="2"/>
          <w:sz w:val="28"/>
          <w:szCs w:val="28"/>
          <w:lang w:val="en-US" w:eastAsia="zh-CN" w:bidi="ar-SA"/>
        </w:rPr>
        <w:t>固定资产移交表</w:t>
      </w:r>
      <w:r>
        <w:rPr>
          <w:rFonts w:hint="eastAsia" w:ascii="宋体" w:hAnsi="宋体" w:cs="宋体"/>
          <w:color w:val="000000"/>
          <w:spacing w:val="-11"/>
          <w:kern w:val="2"/>
          <w:sz w:val="28"/>
          <w:szCs w:val="28"/>
          <w:lang w:val="en-US" w:eastAsia="zh-CN" w:bidi="ar-SA"/>
        </w:rPr>
        <w:t>；</w:t>
      </w:r>
      <w:r>
        <w:rPr>
          <w:rFonts w:hint="eastAsia" w:ascii="宋体" w:hAnsi="宋体" w:eastAsia="宋体" w:cs="宋体"/>
          <w:color w:val="000000"/>
          <w:spacing w:val="-11"/>
          <w:kern w:val="2"/>
          <w:sz w:val="28"/>
          <w:szCs w:val="28"/>
          <w:lang w:val="en-US" w:eastAsia="zh-CN" w:bidi="ar-SA"/>
        </w:rPr>
        <w:t xml:space="preserve">附件 </w:t>
      </w:r>
      <w:r>
        <w:rPr>
          <w:rFonts w:hint="eastAsia" w:ascii="宋体" w:hAnsi="宋体" w:cs="宋体"/>
          <w:color w:val="000000"/>
          <w:spacing w:val="-11"/>
          <w:kern w:val="2"/>
          <w:sz w:val="28"/>
          <w:szCs w:val="28"/>
          <w:lang w:val="en-US" w:eastAsia="zh-CN" w:bidi="ar-SA"/>
        </w:rPr>
        <w:t>2</w:t>
      </w:r>
      <w:r>
        <w:rPr>
          <w:rFonts w:hint="eastAsia" w:ascii="宋体" w:hAnsi="宋体" w:eastAsia="宋体" w:cs="宋体"/>
          <w:color w:val="000000"/>
          <w:spacing w:val="-11"/>
          <w:kern w:val="2"/>
          <w:sz w:val="28"/>
          <w:szCs w:val="28"/>
          <w:lang w:val="en-US" w:eastAsia="zh-CN" w:bidi="ar-SA"/>
        </w:rPr>
        <w:t>：</w:t>
      </w:r>
      <w:r>
        <w:rPr>
          <w:rFonts w:hint="eastAsia" w:ascii="宋体" w:hAnsi="宋体" w:cs="宋体"/>
          <w:color w:val="000000"/>
          <w:spacing w:val="-11"/>
          <w:kern w:val="2"/>
          <w:sz w:val="28"/>
          <w:szCs w:val="28"/>
          <w:lang w:val="en-US" w:eastAsia="zh-CN" w:bidi="ar-SA"/>
        </w:rPr>
        <w:t>食堂考核办法</w:t>
      </w:r>
    </w:p>
    <w:p w14:paraId="158BD614">
      <w:pPr>
        <w:pStyle w:val="4"/>
        <w:rPr>
          <w:rFonts w:hint="default"/>
          <w:lang w:val="en-US"/>
        </w:rPr>
      </w:pPr>
    </w:p>
    <w:p w14:paraId="39377AD2">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  方：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乙  方：</w:t>
      </w:r>
    </w:p>
    <w:p w14:paraId="17722C41">
      <w:pPr>
        <w:pStyle w:val="40"/>
        <w:keepNext w:val="0"/>
        <w:keepLines w:val="0"/>
        <w:pageBreakBefore w:val="0"/>
        <w:widowControl w:val="0"/>
        <w:kinsoku/>
        <w:wordWrap/>
        <w:overflowPunct/>
        <w:topLinePunct w:val="0"/>
        <w:bidi w:val="0"/>
        <w:snapToGrid/>
        <w:spacing w:line="480" w:lineRule="exact"/>
        <w:ind w:left="6440" w:leftChars="0" w:hanging="6440" w:hangingChars="2300"/>
        <w:jc w:val="both"/>
        <w:textAlignment w:val="auto"/>
        <w:rPr>
          <w:rFonts w:hint="eastAsia" w:ascii="宋体" w:hAnsi="宋体" w:eastAsia="宋体" w:cs="宋体"/>
          <w:sz w:val="28"/>
          <w:szCs w:val="28"/>
        </w:rPr>
      </w:pPr>
      <w:r>
        <w:rPr>
          <w:rFonts w:hint="eastAsia" w:ascii="宋体" w:hAnsi="宋体" w:eastAsia="宋体" w:cs="宋体"/>
          <w:color w:val="auto"/>
          <w:sz w:val="28"/>
          <w:szCs w:val="28"/>
        </w:rPr>
        <w:t>单位名称：</w:t>
      </w:r>
      <w:r>
        <w:rPr>
          <w:rFonts w:hint="eastAsia" w:ascii="宋体" w:hAnsi="宋体" w:cs="宋体"/>
          <w:color w:val="000000"/>
          <w:sz w:val="28"/>
          <w:szCs w:val="28"/>
          <w:u w:val="none"/>
          <w:lang w:val="en-US" w:eastAsia="zh-CN"/>
        </w:rPr>
        <w:t>伊犁师范大学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单位名称：               </w:t>
      </w:r>
    </w:p>
    <w:p w14:paraId="15317795">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公  章：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公  章：</w:t>
      </w:r>
    </w:p>
    <w:p w14:paraId="7EFB1513">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法人或授权代表签字：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法人或授权代表签字：</w:t>
      </w:r>
    </w:p>
    <w:p w14:paraId="3FC04DE4">
      <w:pPr>
        <w:pStyle w:val="40"/>
        <w:keepNext w:val="0"/>
        <w:keepLines w:val="0"/>
        <w:pageBreakBefore w:val="0"/>
        <w:widowControl w:val="0"/>
        <w:kinsoku/>
        <w:wordWrap/>
        <w:overflowPunct/>
        <w:topLinePunct w:val="0"/>
        <w:bidi w:val="0"/>
        <w:snapToGrid/>
        <w:spacing w:line="480" w:lineRule="exact"/>
        <w:ind w:left="0" w:hanging="1400" w:hangingChars="5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p>
    <w:p w14:paraId="6424DF77">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eastAsia" w:ascii="宋体" w:hAnsi="宋体" w:eastAsia="宋体" w:cs="宋体"/>
          <w:color w:val="auto"/>
          <w:sz w:val="28"/>
          <w:szCs w:val="28"/>
        </w:rPr>
      </w:pPr>
    </w:p>
    <w:p w14:paraId="7C0E527E">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default" w:ascii="宋体" w:hAnsi="宋体" w:eastAsia="宋体" w:cs="宋体"/>
          <w:color w:val="FF0000"/>
          <w:sz w:val="28"/>
          <w:szCs w:val="28"/>
          <w:lang w:val="en-US" w:eastAsia="zh-CN"/>
        </w:rPr>
      </w:pPr>
      <w:r>
        <w:rPr>
          <w:rFonts w:hint="eastAsia" w:ascii="宋体" w:hAnsi="宋体" w:eastAsia="宋体" w:cs="宋体"/>
          <w:color w:val="FF0000"/>
          <w:sz w:val="28"/>
          <w:szCs w:val="28"/>
        </w:rPr>
        <w:t>开户银行：</w:t>
      </w:r>
      <w:r>
        <w:rPr>
          <w:rFonts w:hint="eastAsia" w:ascii="宋体" w:hAnsi="宋体" w:cs="宋体"/>
          <w:color w:val="FF0000"/>
          <w:sz w:val="28"/>
          <w:szCs w:val="28"/>
          <w:lang w:val="en-US" w:eastAsia="zh-CN"/>
        </w:rPr>
        <w:t xml:space="preserve">                        </w:t>
      </w:r>
      <w:r>
        <w:rPr>
          <w:rFonts w:hint="eastAsia" w:ascii="宋体" w:hAnsi="宋体" w:eastAsia="宋体" w:cs="宋体"/>
          <w:color w:val="FF0000"/>
          <w:sz w:val="28"/>
          <w:szCs w:val="28"/>
        </w:rPr>
        <w:t>开户银行：</w:t>
      </w:r>
    </w:p>
    <w:p w14:paraId="61998565">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仿宋_GB2312" w:hAnsi="宋体" w:eastAsia="仿宋_GB2312"/>
          <w:color w:val="FF0000"/>
          <w:sz w:val="28"/>
          <w:szCs w:val="28"/>
          <w:lang w:val="en-US" w:eastAsia="zh-CN"/>
        </w:rPr>
      </w:pP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r>
        <w:rPr>
          <w:rFonts w:hint="eastAsia" w:ascii="仿宋_GB2312" w:hAnsi="宋体" w:eastAsia="仿宋_GB2312"/>
          <w:color w:val="FF0000"/>
          <w:sz w:val="28"/>
          <w:szCs w:val="28"/>
          <w:lang w:val="en-US" w:eastAsia="zh-CN"/>
        </w:rPr>
        <w:t xml:space="preserve">                            </w:t>
      </w: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p>
    <w:p w14:paraId="6A90486F">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宋体" w:hAnsi="宋体" w:eastAsia="宋体" w:cs="宋体"/>
          <w:color w:val="000000"/>
          <w:sz w:val="28"/>
          <w:szCs w:val="28"/>
        </w:rPr>
      </w:pPr>
    </w:p>
    <w:p w14:paraId="0A590A01">
      <w:pPr>
        <w:pStyle w:val="4"/>
        <w:pageBreakBefore w:val="0"/>
        <w:wordWrap/>
        <w:overflowPunct/>
        <w:topLinePunct w:val="0"/>
        <w:bidi w:val="0"/>
        <w:spacing w:line="480" w:lineRule="exact"/>
        <w:rPr>
          <w:rFonts w:hint="default" w:ascii="宋体" w:hAnsi="宋体" w:eastAsia="宋体" w:cs="宋体"/>
          <w:color w:val="000000"/>
          <w:sz w:val="28"/>
          <w:szCs w:val="28"/>
        </w:rPr>
      </w:pPr>
    </w:p>
    <w:p w14:paraId="354A5964">
      <w:pPr>
        <w:pageBreakBefore w:val="0"/>
        <w:wordWrap/>
        <w:overflowPunct/>
        <w:topLinePunct w:val="0"/>
        <w:bidi w:val="0"/>
        <w:spacing w:line="480" w:lineRule="exact"/>
        <w:jc w:val="both"/>
        <w:rPr>
          <w:rFonts w:hint="default" w:eastAsia="宋体"/>
          <w:lang w:val="en-US" w:eastAsia="zh-CN"/>
        </w:rPr>
        <w:sectPr>
          <w:footerReference r:id="rId6" w:type="default"/>
          <w:pgSz w:w="11906" w:h="16839"/>
          <w:pgMar w:top="2098" w:right="1531" w:bottom="1984" w:left="1531" w:header="0" w:footer="1531" w:gutter="0"/>
          <w:pgNumType w:fmt="decimal"/>
          <w:cols w:space="720" w:num="1"/>
        </w:sectPr>
      </w:pP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p>
    <w:p w14:paraId="343DD93D">
      <w:pPr>
        <w:widowControl w:val="0"/>
        <w:spacing w:line="287" w:lineRule="auto"/>
        <w:jc w:val="both"/>
        <w:rPr>
          <w:rFonts w:ascii="Calibri" w:hAnsi="Calibri" w:eastAsia="宋体" w:cs="Times New Roman"/>
          <w:color w:val="000000"/>
          <w:kern w:val="2"/>
          <w:sz w:val="21"/>
          <w:szCs w:val="24"/>
          <w:lang w:val="en-US" w:eastAsia="zh-CN" w:bidi="ar-SA"/>
        </w:rPr>
      </w:pPr>
    </w:p>
    <w:p w14:paraId="66619D9C">
      <w:pPr>
        <w:widowControl w:val="0"/>
        <w:spacing w:before="101" w:line="417" w:lineRule="exact"/>
        <w:jc w:val="both"/>
        <w:rPr>
          <w:rFonts w:ascii="Calibri" w:hAnsi="Calibri" w:eastAsia="宋体" w:cs="Times New Roman"/>
          <w:color w:val="000000"/>
          <w:kern w:val="2"/>
          <w:sz w:val="31"/>
          <w:szCs w:val="31"/>
          <w:lang w:val="en-US" w:eastAsia="zh-CN" w:bidi="ar-SA"/>
        </w:rPr>
      </w:pPr>
      <w:r>
        <w:rPr>
          <w:rFonts w:ascii="黑体" w:hAnsi="黑体" w:eastAsia="黑体" w:cs="黑体"/>
          <w:color w:val="000000"/>
          <w:spacing w:val="-5"/>
          <w:kern w:val="2"/>
          <w:position w:val="1"/>
          <w:sz w:val="31"/>
          <w:szCs w:val="31"/>
          <w:lang w:val="en-US" w:eastAsia="zh-CN" w:bidi="ar-SA"/>
        </w:rPr>
        <w:t>附件</w:t>
      </w:r>
      <w:r>
        <w:rPr>
          <w:rFonts w:ascii="黑体" w:hAnsi="黑体" w:eastAsia="黑体" w:cs="黑体"/>
          <w:color w:val="000000"/>
          <w:spacing w:val="-53"/>
          <w:kern w:val="2"/>
          <w:position w:val="1"/>
          <w:sz w:val="31"/>
          <w:szCs w:val="31"/>
          <w:lang w:val="en-US" w:eastAsia="zh-CN" w:bidi="ar-SA"/>
        </w:rPr>
        <w:t xml:space="preserve"> </w:t>
      </w:r>
      <w:r>
        <w:rPr>
          <w:rFonts w:hint="default" w:ascii="Times New Roman" w:hAnsi="Times New Roman" w:eastAsia="宋体" w:cs="Times New Roman"/>
          <w:color w:val="000000"/>
          <w:spacing w:val="-5"/>
          <w:kern w:val="2"/>
          <w:position w:val="1"/>
          <w:sz w:val="32"/>
          <w:szCs w:val="32"/>
          <w:lang w:val="en-US" w:eastAsia="zh-CN" w:bidi="ar-SA"/>
        </w:rPr>
        <w:t>1</w:t>
      </w:r>
    </w:p>
    <w:p w14:paraId="4C6FA4DB">
      <w:pPr>
        <w:spacing w:before="222" w:line="595" w:lineRule="exact"/>
        <w:ind w:left="5434"/>
        <w:rPr>
          <w:rFonts w:ascii="宋体" w:hAnsi="宋体" w:eastAsia="宋体" w:cs="宋体"/>
          <w:color w:val="000000"/>
          <w:sz w:val="43"/>
          <w:szCs w:val="43"/>
        </w:rPr>
      </w:pPr>
      <w:r>
        <w:rPr>
          <w:rFonts w:ascii="宋体" w:hAnsi="宋体" w:eastAsia="宋体" w:cs="宋体"/>
          <w:color w:val="000000"/>
          <w:spacing w:val="5"/>
          <w:position w:val="2"/>
          <w:sz w:val="43"/>
          <w:szCs w:val="43"/>
        </w:rPr>
        <w:t>固定资产移交表</w:t>
      </w:r>
    </w:p>
    <w:p w14:paraId="495DCB69">
      <w:pPr>
        <w:spacing w:line="58" w:lineRule="exact"/>
        <w:rPr>
          <w:color w:val="000000"/>
        </w:rPr>
      </w:pPr>
    </w:p>
    <w:tbl>
      <w:tblPr>
        <w:tblStyle w:val="31"/>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353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63723263">
            <w:pPr>
              <w:spacing w:before="277" w:line="200" w:lineRule="auto"/>
              <w:ind w:left="5253"/>
              <w:rPr>
                <w:rFonts w:ascii="微软雅黑" w:hAnsi="微软雅黑" w:eastAsia="微软雅黑" w:cs="微软雅黑"/>
                <w:color w:val="000000"/>
                <w:sz w:val="28"/>
                <w:szCs w:val="28"/>
              </w:rPr>
            </w:pPr>
            <w:r>
              <w:rPr>
                <w:rFonts w:ascii="微软雅黑" w:hAnsi="微软雅黑" w:eastAsia="微软雅黑" w:cs="微软雅黑"/>
                <w:color w:val="000000"/>
                <w:spacing w:val="-5"/>
                <w:sz w:val="28"/>
                <w:szCs w:val="28"/>
              </w:rPr>
              <w:t>甲方相关食堂设施、设备等</w:t>
            </w:r>
          </w:p>
        </w:tc>
      </w:tr>
      <w:tr w14:paraId="71BF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2BC5AD5F">
            <w:pPr>
              <w:spacing w:before="272" w:line="200" w:lineRule="auto"/>
              <w:ind w:left="860"/>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序号</w:t>
            </w:r>
          </w:p>
        </w:tc>
        <w:tc>
          <w:tcPr>
            <w:tcW w:w="1713" w:type="dxa"/>
            <w:noWrap w:val="0"/>
            <w:vAlign w:val="top"/>
          </w:tcPr>
          <w:p w14:paraId="1A65D7D2">
            <w:pPr>
              <w:spacing w:before="272" w:line="200" w:lineRule="auto"/>
              <w:ind w:left="593"/>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名称</w:t>
            </w:r>
          </w:p>
        </w:tc>
        <w:tc>
          <w:tcPr>
            <w:tcW w:w="1999" w:type="dxa"/>
            <w:noWrap w:val="0"/>
            <w:vAlign w:val="top"/>
          </w:tcPr>
          <w:p w14:paraId="115AE7A1">
            <w:pPr>
              <w:spacing w:before="273" w:line="200" w:lineRule="auto"/>
              <w:ind w:left="744"/>
              <w:rPr>
                <w:rFonts w:ascii="微软雅黑" w:hAnsi="微软雅黑" w:eastAsia="微软雅黑" w:cs="微软雅黑"/>
                <w:color w:val="000000"/>
                <w:sz w:val="28"/>
                <w:szCs w:val="28"/>
              </w:rPr>
            </w:pPr>
            <w:r>
              <w:rPr>
                <w:rFonts w:ascii="微软雅黑" w:hAnsi="微软雅黑" w:eastAsia="微软雅黑" w:cs="微软雅黑"/>
                <w:color w:val="000000"/>
                <w:spacing w:val="-9"/>
                <w:w w:val="98"/>
                <w:sz w:val="28"/>
                <w:szCs w:val="28"/>
              </w:rPr>
              <w:t>型号</w:t>
            </w:r>
          </w:p>
        </w:tc>
        <w:tc>
          <w:tcPr>
            <w:tcW w:w="2247" w:type="dxa"/>
            <w:noWrap w:val="0"/>
            <w:vAlign w:val="top"/>
          </w:tcPr>
          <w:p w14:paraId="7BF7AFD5">
            <w:pPr>
              <w:spacing w:before="273" w:line="200" w:lineRule="auto"/>
              <w:ind w:left="614"/>
              <w:rPr>
                <w:rFonts w:ascii="微软雅黑" w:hAnsi="微软雅黑" w:eastAsia="微软雅黑" w:cs="微软雅黑"/>
                <w:color w:val="000000"/>
                <w:sz w:val="28"/>
                <w:szCs w:val="28"/>
              </w:rPr>
            </w:pPr>
            <w:r>
              <w:rPr>
                <w:rFonts w:ascii="微软雅黑" w:hAnsi="微软雅黑" w:eastAsia="微软雅黑" w:cs="微软雅黑"/>
                <w:color w:val="000000"/>
                <w:spacing w:val="-13"/>
                <w:sz w:val="28"/>
                <w:szCs w:val="28"/>
              </w:rPr>
              <w:t>出厂编号</w:t>
            </w:r>
          </w:p>
        </w:tc>
        <w:tc>
          <w:tcPr>
            <w:tcW w:w="1009" w:type="dxa"/>
            <w:noWrap w:val="0"/>
            <w:vAlign w:val="top"/>
          </w:tcPr>
          <w:p w14:paraId="6DE604D8">
            <w:pPr>
              <w:spacing w:before="272" w:line="199" w:lineRule="auto"/>
              <w:ind w:left="245"/>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数量</w:t>
            </w:r>
          </w:p>
        </w:tc>
        <w:tc>
          <w:tcPr>
            <w:tcW w:w="1429" w:type="dxa"/>
            <w:noWrap w:val="0"/>
            <w:vAlign w:val="top"/>
          </w:tcPr>
          <w:p w14:paraId="5D862036">
            <w:pPr>
              <w:spacing w:before="272" w:line="195" w:lineRule="auto"/>
              <w:jc w:val="right"/>
              <w:rPr>
                <w:rFonts w:ascii="微软雅黑" w:hAnsi="微软雅黑" w:eastAsia="微软雅黑" w:cs="微软雅黑"/>
                <w:color w:val="000000"/>
                <w:sz w:val="28"/>
                <w:szCs w:val="28"/>
              </w:rPr>
            </w:pPr>
            <w:r>
              <w:rPr>
                <w:rFonts w:ascii="微软雅黑" w:hAnsi="微软雅黑" w:eastAsia="微软雅黑" w:cs="微软雅黑"/>
                <w:color w:val="000000"/>
                <w:spacing w:val="-17"/>
                <w:sz w:val="28"/>
                <w:szCs w:val="28"/>
              </w:rPr>
              <w:t>单价（元）</w:t>
            </w:r>
          </w:p>
        </w:tc>
        <w:tc>
          <w:tcPr>
            <w:tcW w:w="1503" w:type="dxa"/>
            <w:noWrap w:val="0"/>
            <w:vAlign w:val="top"/>
          </w:tcPr>
          <w:p w14:paraId="595A912B">
            <w:pPr>
              <w:spacing w:before="272" w:line="195" w:lineRule="auto"/>
              <w:ind w:right="2"/>
              <w:jc w:val="right"/>
              <w:rPr>
                <w:rFonts w:ascii="微软雅黑" w:hAnsi="微软雅黑" w:eastAsia="微软雅黑" w:cs="微软雅黑"/>
                <w:color w:val="000000"/>
                <w:sz w:val="28"/>
                <w:szCs w:val="28"/>
              </w:rPr>
            </w:pPr>
            <w:r>
              <w:rPr>
                <w:rFonts w:ascii="微软雅黑" w:hAnsi="微软雅黑" w:eastAsia="微软雅黑" w:cs="微软雅黑"/>
                <w:color w:val="000000"/>
                <w:spacing w:val="-2"/>
                <w:sz w:val="28"/>
                <w:szCs w:val="28"/>
              </w:rPr>
              <w:t>金额（元）</w:t>
            </w:r>
          </w:p>
        </w:tc>
        <w:tc>
          <w:tcPr>
            <w:tcW w:w="1614" w:type="dxa"/>
            <w:noWrap w:val="0"/>
            <w:vAlign w:val="top"/>
          </w:tcPr>
          <w:p w14:paraId="0E8F7597">
            <w:pPr>
              <w:spacing w:before="273" w:line="200" w:lineRule="auto"/>
              <w:ind w:left="539"/>
              <w:rPr>
                <w:rFonts w:ascii="微软雅黑" w:hAnsi="微软雅黑" w:eastAsia="微软雅黑" w:cs="微软雅黑"/>
                <w:color w:val="000000"/>
                <w:sz w:val="28"/>
                <w:szCs w:val="28"/>
              </w:rPr>
            </w:pPr>
            <w:r>
              <w:rPr>
                <w:rFonts w:ascii="微软雅黑" w:hAnsi="微软雅黑" w:eastAsia="微软雅黑" w:cs="微软雅黑"/>
                <w:color w:val="000000"/>
                <w:spacing w:val="-3"/>
                <w:w w:val="98"/>
                <w:sz w:val="28"/>
                <w:szCs w:val="28"/>
              </w:rPr>
              <w:t>备注</w:t>
            </w:r>
          </w:p>
        </w:tc>
      </w:tr>
      <w:tr w14:paraId="4BB3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2599706">
            <w:pPr>
              <w:pStyle w:val="30"/>
              <w:rPr>
                <w:color w:val="000000"/>
              </w:rPr>
            </w:pPr>
          </w:p>
        </w:tc>
        <w:tc>
          <w:tcPr>
            <w:tcW w:w="1713" w:type="dxa"/>
            <w:noWrap w:val="0"/>
            <w:vAlign w:val="top"/>
          </w:tcPr>
          <w:p w14:paraId="4D600654">
            <w:pPr>
              <w:pStyle w:val="30"/>
              <w:rPr>
                <w:color w:val="000000"/>
              </w:rPr>
            </w:pPr>
          </w:p>
        </w:tc>
        <w:tc>
          <w:tcPr>
            <w:tcW w:w="1999" w:type="dxa"/>
            <w:noWrap w:val="0"/>
            <w:vAlign w:val="top"/>
          </w:tcPr>
          <w:p w14:paraId="4EB7BD96">
            <w:pPr>
              <w:pStyle w:val="30"/>
              <w:rPr>
                <w:color w:val="000000"/>
              </w:rPr>
            </w:pPr>
          </w:p>
        </w:tc>
        <w:tc>
          <w:tcPr>
            <w:tcW w:w="2247" w:type="dxa"/>
            <w:noWrap w:val="0"/>
            <w:vAlign w:val="top"/>
          </w:tcPr>
          <w:p w14:paraId="520FCBBE">
            <w:pPr>
              <w:pStyle w:val="30"/>
              <w:rPr>
                <w:color w:val="000000"/>
              </w:rPr>
            </w:pPr>
          </w:p>
        </w:tc>
        <w:tc>
          <w:tcPr>
            <w:tcW w:w="1009" w:type="dxa"/>
            <w:noWrap w:val="0"/>
            <w:vAlign w:val="top"/>
          </w:tcPr>
          <w:p w14:paraId="42E7E930">
            <w:pPr>
              <w:pStyle w:val="30"/>
              <w:rPr>
                <w:color w:val="000000"/>
              </w:rPr>
            </w:pPr>
          </w:p>
        </w:tc>
        <w:tc>
          <w:tcPr>
            <w:tcW w:w="1429" w:type="dxa"/>
            <w:noWrap w:val="0"/>
            <w:vAlign w:val="top"/>
          </w:tcPr>
          <w:p w14:paraId="35BEE667">
            <w:pPr>
              <w:pStyle w:val="30"/>
              <w:rPr>
                <w:color w:val="000000"/>
              </w:rPr>
            </w:pPr>
          </w:p>
        </w:tc>
        <w:tc>
          <w:tcPr>
            <w:tcW w:w="1503" w:type="dxa"/>
            <w:noWrap w:val="0"/>
            <w:vAlign w:val="top"/>
          </w:tcPr>
          <w:p w14:paraId="6D22252B">
            <w:pPr>
              <w:pStyle w:val="30"/>
              <w:rPr>
                <w:color w:val="000000"/>
              </w:rPr>
            </w:pPr>
          </w:p>
        </w:tc>
        <w:tc>
          <w:tcPr>
            <w:tcW w:w="1614" w:type="dxa"/>
            <w:noWrap w:val="0"/>
            <w:vAlign w:val="top"/>
          </w:tcPr>
          <w:p w14:paraId="4767DED2">
            <w:pPr>
              <w:pStyle w:val="30"/>
              <w:rPr>
                <w:color w:val="000000"/>
              </w:rPr>
            </w:pPr>
          </w:p>
        </w:tc>
      </w:tr>
      <w:tr w14:paraId="14F4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A8C5FF5">
            <w:pPr>
              <w:pStyle w:val="30"/>
              <w:rPr>
                <w:color w:val="000000"/>
              </w:rPr>
            </w:pPr>
          </w:p>
        </w:tc>
        <w:tc>
          <w:tcPr>
            <w:tcW w:w="1713" w:type="dxa"/>
            <w:noWrap w:val="0"/>
            <w:vAlign w:val="top"/>
          </w:tcPr>
          <w:p w14:paraId="22BDD5CE">
            <w:pPr>
              <w:pStyle w:val="30"/>
              <w:rPr>
                <w:color w:val="000000"/>
              </w:rPr>
            </w:pPr>
          </w:p>
        </w:tc>
        <w:tc>
          <w:tcPr>
            <w:tcW w:w="1999" w:type="dxa"/>
            <w:noWrap w:val="0"/>
            <w:vAlign w:val="top"/>
          </w:tcPr>
          <w:p w14:paraId="3BA016E5">
            <w:pPr>
              <w:pStyle w:val="30"/>
              <w:rPr>
                <w:color w:val="000000"/>
              </w:rPr>
            </w:pPr>
          </w:p>
        </w:tc>
        <w:tc>
          <w:tcPr>
            <w:tcW w:w="2247" w:type="dxa"/>
            <w:noWrap w:val="0"/>
            <w:vAlign w:val="top"/>
          </w:tcPr>
          <w:p w14:paraId="6C3492A8">
            <w:pPr>
              <w:pStyle w:val="30"/>
              <w:rPr>
                <w:color w:val="000000"/>
              </w:rPr>
            </w:pPr>
          </w:p>
        </w:tc>
        <w:tc>
          <w:tcPr>
            <w:tcW w:w="1009" w:type="dxa"/>
            <w:noWrap w:val="0"/>
            <w:vAlign w:val="top"/>
          </w:tcPr>
          <w:p w14:paraId="39997FC4">
            <w:pPr>
              <w:pStyle w:val="30"/>
              <w:rPr>
                <w:color w:val="000000"/>
              </w:rPr>
            </w:pPr>
          </w:p>
        </w:tc>
        <w:tc>
          <w:tcPr>
            <w:tcW w:w="1429" w:type="dxa"/>
            <w:noWrap w:val="0"/>
            <w:vAlign w:val="top"/>
          </w:tcPr>
          <w:p w14:paraId="27F2A10D">
            <w:pPr>
              <w:pStyle w:val="30"/>
              <w:rPr>
                <w:color w:val="000000"/>
              </w:rPr>
            </w:pPr>
          </w:p>
        </w:tc>
        <w:tc>
          <w:tcPr>
            <w:tcW w:w="1503" w:type="dxa"/>
            <w:noWrap w:val="0"/>
            <w:vAlign w:val="top"/>
          </w:tcPr>
          <w:p w14:paraId="73B8663A">
            <w:pPr>
              <w:pStyle w:val="30"/>
              <w:rPr>
                <w:color w:val="000000"/>
              </w:rPr>
            </w:pPr>
          </w:p>
        </w:tc>
        <w:tc>
          <w:tcPr>
            <w:tcW w:w="1614" w:type="dxa"/>
            <w:noWrap w:val="0"/>
            <w:vAlign w:val="top"/>
          </w:tcPr>
          <w:p w14:paraId="2A5311E1">
            <w:pPr>
              <w:pStyle w:val="30"/>
              <w:rPr>
                <w:color w:val="000000"/>
              </w:rPr>
            </w:pPr>
          </w:p>
        </w:tc>
      </w:tr>
      <w:tr w14:paraId="27434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47DA38EF">
            <w:pPr>
              <w:pStyle w:val="30"/>
              <w:rPr>
                <w:color w:val="000000"/>
              </w:rPr>
            </w:pPr>
          </w:p>
        </w:tc>
        <w:tc>
          <w:tcPr>
            <w:tcW w:w="1713" w:type="dxa"/>
            <w:noWrap w:val="0"/>
            <w:vAlign w:val="top"/>
          </w:tcPr>
          <w:p w14:paraId="02517079">
            <w:pPr>
              <w:pStyle w:val="30"/>
              <w:rPr>
                <w:color w:val="000000"/>
              </w:rPr>
            </w:pPr>
          </w:p>
        </w:tc>
        <w:tc>
          <w:tcPr>
            <w:tcW w:w="1999" w:type="dxa"/>
            <w:noWrap w:val="0"/>
            <w:vAlign w:val="top"/>
          </w:tcPr>
          <w:p w14:paraId="28A56A2A">
            <w:pPr>
              <w:pStyle w:val="30"/>
              <w:rPr>
                <w:color w:val="000000"/>
              </w:rPr>
            </w:pPr>
          </w:p>
        </w:tc>
        <w:tc>
          <w:tcPr>
            <w:tcW w:w="2247" w:type="dxa"/>
            <w:noWrap w:val="0"/>
            <w:vAlign w:val="top"/>
          </w:tcPr>
          <w:p w14:paraId="714B9D05">
            <w:pPr>
              <w:pStyle w:val="30"/>
              <w:rPr>
                <w:color w:val="000000"/>
              </w:rPr>
            </w:pPr>
          </w:p>
        </w:tc>
        <w:tc>
          <w:tcPr>
            <w:tcW w:w="1009" w:type="dxa"/>
            <w:noWrap w:val="0"/>
            <w:vAlign w:val="top"/>
          </w:tcPr>
          <w:p w14:paraId="130DB915">
            <w:pPr>
              <w:pStyle w:val="30"/>
              <w:rPr>
                <w:color w:val="000000"/>
              </w:rPr>
            </w:pPr>
          </w:p>
        </w:tc>
        <w:tc>
          <w:tcPr>
            <w:tcW w:w="1429" w:type="dxa"/>
            <w:noWrap w:val="0"/>
            <w:vAlign w:val="top"/>
          </w:tcPr>
          <w:p w14:paraId="72E00CA8">
            <w:pPr>
              <w:pStyle w:val="30"/>
              <w:rPr>
                <w:color w:val="000000"/>
              </w:rPr>
            </w:pPr>
          </w:p>
        </w:tc>
        <w:tc>
          <w:tcPr>
            <w:tcW w:w="1503" w:type="dxa"/>
            <w:noWrap w:val="0"/>
            <w:vAlign w:val="top"/>
          </w:tcPr>
          <w:p w14:paraId="14CB158D">
            <w:pPr>
              <w:pStyle w:val="30"/>
              <w:rPr>
                <w:color w:val="000000"/>
              </w:rPr>
            </w:pPr>
          </w:p>
        </w:tc>
        <w:tc>
          <w:tcPr>
            <w:tcW w:w="1614" w:type="dxa"/>
            <w:noWrap w:val="0"/>
            <w:vAlign w:val="top"/>
          </w:tcPr>
          <w:p w14:paraId="79D0A67B">
            <w:pPr>
              <w:pStyle w:val="30"/>
              <w:rPr>
                <w:color w:val="000000"/>
              </w:rPr>
            </w:pPr>
          </w:p>
        </w:tc>
      </w:tr>
      <w:tr w14:paraId="610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DB4E010">
            <w:pPr>
              <w:pStyle w:val="30"/>
              <w:rPr>
                <w:color w:val="000000"/>
              </w:rPr>
            </w:pPr>
          </w:p>
        </w:tc>
        <w:tc>
          <w:tcPr>
            <w:tcW w:w="1713" w:type="dxa"/>
            <w:noWrap w:val="0"/>
            <w:vAlign w:val="top"/>
          </w:tcPr>
          <w:p w14:paraId="00D3B36D">
            <w:pPr>
              <w:pStyle w:val="30"/>
              <w:rPr>
                <w:color w:val="000000"/>
              </w:rPr>
            </w:pPr>
          </w:p>
        </w:tc>
        <w:tc>
          <w:tcPr>
            <w:tcW w:w="1999" w:type="dxa"/>
            <w:noWrap w:val="0"/>
            <w:vAlign w:val="top"/>
          </w:tcPr>
          <w:p w14:paraId="4A221B54">
            <w:pPr>
              <w:pStyle w:val="30"/>
              <w:rPr>
                <w:color w:val="000000"/>
              </w:rPr>
            </w:pPr>
          </w:p>
        </w:tc>
        <w:tc>
          <w:tcPr>
            <w:tcW w:w="2247" w:type="dxa"/>
            <w:noWrap w:val="0"/>
            <w:vAlign w:val="top"/>
          </w:tcPr>
          <w:p w14:paraId="0EBADA3E">
            <w:pPr>
              <w:pStyle w:val="30"/>
              <w:rPr>
                <w:color w:val="000000"/>
              </w:rPr>
            </w:pPr>
          </w:p>
        </w:tc>
        <w:tc>
          <w:tcPr>
            <w:tcW w:w="1009" w:type="dxa"/>
            <w:noWrap w:val="0"/>
            <w:vAlign w:val="top"/>
          </w:tcPr>
          <w:p w14:paraId="2ED8E3EC">
            <w:pPr>
              <w:pStyle w:val="30"/>
              <w:rPr>
                <w:color w:val="000000"/>
              </w:rPr>
            </w:pPr>
          </w:p>
        </w:tc>
        <w:tc>
          <w:tcPr>
            <w:tcW w:w="1429" w:type="dxa"/>
            <w:noWrap w:val="0"/>
            <w:vAlign w:val="top"/>
          </w:tcPr>
          <w:p w14:paraId="011C7DFF">
            <w:pPr>
              <w:pStyle w:val="30"/>
              <w:rPr>
                <w:color w:val="000000"/>
              </w:rPr>
            </w:pPr>
          </w:p>
        </w:tc>
        <w:tc>
          <w:tcPr>
            <w:tcW w:w="1503" w:type="dxa"/>
            <w:noWrap w:val="0"/>
            <w:vAlign w:val="top"/>
          </w:tcPr>
          <w:p w14:paraId="7D87DCB1">
            <w:pPr>
              <w:pStyle w:val="30"/>
              <w:rPr>
                <w:color w:val="000000"/>
              </w:rPr>
            </w:pPr>
          </w:p>
        </w:tc>
        <w:tc>
          <w:tcPr>
            <w:tcW w:w="1614" w:type="dxa"/>
            <w:noWrap w:val="0"/>
            <w:vAlign w:val="top"/>
          </w:tcPr>
          <w:p w14:paraId="7B96556F">
            <w:pPr>
              <w:pStyle w:val="30"/>
              <w:rPr>
                <w:color w:val="000000"/>
              </w:rPr>
            </w:pPr>
          </w:p>
        </w:tc>
      </w:tr>
      <w:tr w14:paraId="0E1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2E6649D1">
            <w:pPr>
              <w:pStyle w:val="30"/>
              <w:rPr>
                <w:color w:val="000000"/>
              </w:rPr>
            </w:pPr>
          </w:p>
        </w:tc>
        <w:tc>
          <w:tcPr>
            <w:tcW w:w="1713" w:type="dxa"/>
            <w:noWrap w:val="0"/>
            <w:vAlign w:val="top"/>
          </w:tcPr>
          <w:p w14:paraId="4F66D92B">
            <w:pPr>
              <w:pStyle w:val="30"/>
              <w:rPr>
                <w:color w:val="000000"/>
              </w:rPr>
            </w:pPr>
          </w:p>
        </w:tc>
        <w:tc>
          <w:tcPr>
            <w:tcW w:w="1999" w:type="dxa"/>
            <w:noWrap w:val="0"/>
            <w:vAlign w:val="top"/>
          </w:tcPr>
          <w:p w14:paraId="60849F86">
            <w:pPr>
              <w:pStyle w:val="30"/>
              <w:rPr>
                <w:color w:val="000000"/>
              </w:rPr>
            </w:pPr>
          </w:p>
        </w:tc>
        <w:tc>
          <w:tcPr>
            <w:tcW w:w="2247" w:type="dxa"/>
            <w:noWrap w:val="0"/>
            <w:vAlign w:val="top"/>
          </w:tcPr>
          <w:p w14:paraId="09C05AAA">
            <w:pPr>
              <w:pStyle w:val="30"/>
              <w:rPr>
                <w:color w:val="000000"/>
              </w:rPr>
            </w:pPr>
          </w:p>
        </w:tc>
        <w:tc>
          <w:tcPr>
            <w:tcW w:w="1009" w:type="dxa"/>
            <w:noWrap w:val="0"/>
            <w:vAlign w:val="top"/>
          </w:tcPr>
          <w:p w14:paraId="318DD60E">
            <w:pPr>
              <w:pStyle w:val="30"/>
              <w:rPr>
                <w:color w:val="000000"/>
              </w:rPr>
            </w:pPr>
          </w:p>
        </w:tc>
        <w:tc>
          <w:tcPr>
            <w:tcW w:w="1429" w:type="dxa"/>
            <w:noWrap w:val="0"/>
            <w:vAlign w:val="top"/>
          </w:tcPr>
          <w:p w14:paraId="320A5E8F">
            <w:pPr>
              <w:pStyle w:val="30"/>
              <w:rPr>
                <w:color w:val="000000"/>
              </w:rPr>
            </w:pPr>
          </w:p>
        </w:tc>
        <w:tc>
          <w:tcPr>
            <w:tcW w:w="1503" w:type="dxa"/>
            <w:noWrap w:val="0"/>
            <w:vAlign w:val="top"/>
          </w:tcPr>
          <w:p w14:paraId="24CA9224">
            <w:pPr>
              <w:pStyle w:val="30"/>
              <w:rPr>
                <w:color w:val="000000"/>
              </w:rPr>
            </w:pPr>
          </w:p>
        </w:tc>
        <w:tc>
          <w:tcPr>
            <w:tcW w:w="1614" w:type="dxa"/>
            <w:noWrap w:val="0"/>
            <w:vAlign w:val="top"/>
          </w:tcPr>
          <w:p w14:paraId="0E313D59">
            <w:pPr>
              <w:pStyle w:val="30"/>
              <w:rPr>
                <w:color w:val="000000"/>
              </w:rPr>
            </w:pPr>
          </w:p>
        </w:tc>
      </w:tr>
      <w:tr w14:paraId="3F4A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756104A8">
            <w:pPr>
              <w:pStyle w:val="30"/>
              <w:rPr>
                <w:color w:val="000000"/>
              </w:rPr>
            </w:pPr>
          </w:p>
        </w:tc>
        <w:tc>
          <w:tcPr>
            <w:tcW w:w="1713" w:type="dxa"/>
            <w:noWrap w:val="0"/>
            <w:vAlign w:val="top"/>
          </w:tcPr>
          <w:p w14:paraId="42817DAC">
            <w:pPr>
              <w:pStyle w:val="30"/>
              <w:rPr>
                <w:color w:val="000000"/>
              </w:rPr>
            </w:pPr>
          </w:p>
        </w:tc>
        <w:tc>
          <w:tcPr>
            <w:tcW w:w="1999" w:type="dxa"/>
            <w:noWrap w:val="0"/>
            <w:vAlign w:val="top"/>
          </w:tcPr>
          <w:p w14:paraId="5C025C33">
            <w:pPr>
              <w:pStyle w:val="30"/>
              <w:rPr>
                <w:color w:val="000000"/>
              </w:rPr>
            </w:pPr>
          </w:p>
        </w:tc>
        <w:tc>
          <w:tcPr>
            <w:tcW w:w="2247" w:type="dxa"/>
            <w:noWrap w:val="0"/>
            <w:vAlign w:val="top"/>
          </w:tcPr>
          <w:p w14:paraId="1EBA669C">
            <w:pPr>
              <w:pStyle w:val="30"/>
              <w:rPr>
                <w:color w:val="000000"/>
              </w:rPr>
            </w:pPr>
          </w:p>
        </w:tc>
        <w:tc>
          <w:tcPr>
            <w:tcW w:w="1009" w:type="dxa"/>
            <w:noWrap w:val="0"/>
            <w:vAlign w:val="top"/>
          </w:tcPr>
          <w:p w14:paraId="7B8B115E">
            <w:pPr>
              <w:pStyle w:val="30"/>
              <w:rPr>
                <w:color w:val="000000"/>
              </w:rPr>
            </w:pPr>
          </w:p>
        </w:tc>
        <w:tc>
          <w:tcPr>
            <w:tcW w:w="1429" w:type="dxa"/>
            <w:noWrap w:val="0"/>
            <w:vAlign w:val="top"/>
          </w:tcPr>
          <w:p w14:paraId="71A000F2">
            <w:pPr>
              <w:pStyle w:val="30"/>
              <w:rPr>
                <w:color w:val="000000"/>
              </w:rPr>
            </w:pPr>
          </w:p>
        </w:tc>
        <w:tc>
          <w:tcPr>
            <w:tcW w:w="1503" w:type="dxa"/>
            <w:noWrap w:val="0"/>
            <w:vAlign w:val="top"/>
          </w:tcPr>
          <w:p w14:paraId="35EA4796">
            <w:pPr>
              <w:pStyle w:val="30"/>
              <w:rPr>
                <w:color w:val="000000"/>
              </w:rPr>
            </w:pPr>
          </w:p>
        </w:tc>
        <w:tc>
          <w:tcPr>
            <w:tcW w:w="1614" w:type="dxa"/>
            <w:noWrap w:val="0"/>
            <w:vAlign w:val="top"/>
          </w:tcPr>
          <w:p w14:paraId="4A5EBA0E">
            <w:pPr>
              <w:pStyle w:val="30"/>
              <w:rPr>
                <w:color w:val="000000"/>
              </w:rPr>
            </w:pPr>
          </w:p>
        </w:tc>
      </w:tr>
    </w:tbl>
    <w:p w14:paraId="191B71D9">
      <w:pPr>
        <w:widowControl w:val="0"/>
        <w:jc w:val="both"/>
        <w:rPr>
          <w:rFonts w:ascii="Calibri" w:hAnsi="Calibri" w:eastAsia="宋体" w:cs="Times New Roman"/>
          <w:color w:val="000000"/>
          <w:kern w:val="2"/>
          <w:sz w:val="21"/>
          <w:szCs w:val="24"/>
          <w:lang w:val="en-US" w:eastAsia="zh-CN" w:bidi="ar-SA"/>
        </w:rPr>
      </w:pPr>
    </w:p>
    <w:p w14:paraId="40D006F2">
      <w:pPr>
        <w:rPr>
          <w:color w:val="000000"/>
        </w:rPr>
        <w:sectPr>
          <w:footerReference r:id="rId7" w:type="default"/>
          <w:pgSz w:w="16839" w:h="11906"/>
          <w:pgMar w:top="1012" w:right="1536" w:bottom="1170" w:left="1472" w:header="0" w:footer="1247" w:gutter="0"/>
          <w:pgNumType w:fmt="decimal"/>
          <w:cols w:space="720" w:num="1"/>
        </w:sectPr>
      </w:pPr>
    </w:p>
    <w:p w14:paraId="5AC0CEAF">
      <w:pPr>
        <w:widowControl w:val="0"/>
        <w:spacing w:before="187" w:line="417" w:lineRule="exact"/>
        <w:ind w:left="46"/>
        <w:jc w:val="both"/>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position w:val="1"/>
          <w:sz w:val="32"/>
          <w:szCs w:val="32"/>
          <w:lang w:val="en-US" w:eastAsia="zh-CN" w:bidi="ar-SA"/>
        </w:rPr>
        <w:t>附件</w:t>
      </w:r>
      <w:r>
        <w:rPr>
          <w:rFonts w:hint="default" w:ascii="Times New Roman" w:hAnsi="Times New Roman" w:eastAsia="黑体" w:cs="Times New Roman"/>
          <w:color w:val="000000"/>
          <w:spacing w:val="0"/>
          <w:kern w:val="2"/>
          <w:position w:val="1"/>
          <w:sz w:val="32"/>
          <w:szCs w:val="32"/>
          <w:lang w:val="en-US" w:eastAsia="zh-CN" w:bidi="ar-SA"/>
        </w:rPr>
        <w:t>2</w:t>
      </w:r>
    </w:p>
    <w:p w14:paraId="33FEC96E">
      <w:pPr>
        <w:spacing w:before="66" w:line="593" w:lineRule="exact"/>
        <w:ind w:left="0" w:firstLine="0" w:firstLineChars="0"/>
        <w:jc w:val="center"/>
        <w:rPr>
          <w:rFonts w:ascii="宋体" w:hAnsi="宋体" w:eastAsia="宋体" w:cs="宋体"/>
          <w:color w:val="000000"/>
          <w:sz w:val="43"/>
          <w:szCs w:val="43"/>
        </w:rPr>
      </w:pPr>
      <w:r>
        <w:rPr>
          <w:rFonts w:ascii="宋体" w:hAnsi="宋体" w:eastAsia="宋体" w:cs="宋体"/>
          <w:color w:val="000000"/>
          <w:spacing w:val="10"/>
          <w:position w:val="2"/>
          <w:sz w:val="43"/>
          <w:szCs w:val="43"/>
        </w:rPr>
        <w:t>食堂考核办法</w:t>
      </w:r>
    </w:p>
    <w:p w14:paraId="78F7B2F0">
      <w:pPr>
        <w:widowControl w:val="0"/>
        <w:spacing w:line="244" w:lineRule="auto"/>
        <w:jc w:val="both"/>
        <w:rPr>
          <w:rFonts w:ascii="Calibri" w:hAnsi="Calibri" w:eastAsia="宋体" w:cs="Times New Roman"/>
          <w:color w:val="000000"/>
          <w:kern w:val="2"/>
          <w:sz w:val="21"/>
          <w:szCs w:val="24"/>
          <w:lang w:val="en-US" w:eastAsia="zh-CN" w:bidi="ar-SA"/>
        </w:rPr>
      </w:pPr>
    </w:p>
    <w:p w14:paraId="32765AE2">
      <w:pPr>
        <w:widowControl w:val="0"/>
        <w:spacing w:line="245" w:lineRule="auto"/>
        <w:jc w:val="both"/>
        <w:rPr>
          <w:rFonts w:ascii="Calibri" w:hAnsi="Calibri" w:eastAsia="宋体" w:cs="Times New Roman"/>
          <w:color w:val="000000"/>
          <w:kern w:val="2"/>
          <w:sz w:val="21"/>
          <w:szCs w:val="24"/>
          <w:lang w:val="en-US" w:eastAsia="zh-CN" w:bidi="ar-SA"/>
        </w:rPr>
      </w:pPr>
    </w:p>
    <w:p w14:paraId="4EF349BB">
      <w:pPr>
        <w:keepNext w:val="0"/>
        <w:keepLines w:val="0"/>
        <w:pageBreakBefore w:val="0"/>
        <w:widowControl w:val="0"/>
        <w:kinsoku/>
        <w:wordWrap/>
        <w:overflowPunct/>
        <w:topLinePunct w:val="0"/>
        <w:autoSpaceDN/>
        <w:bidi w:val="0"/>
        <w:spacing w:before="0" w:line="420" w:lineRule="exact"/>
        <w:ind w:left="0" w:right="0" w:firstLine="420" w:firstLineChars="200"/>
        <w:jc w:val="both"/>
        <w:rPr>
          <w:rFonts w:ascii="Calibri" w:hAnsi="Calibri" w:eastAsia="宋体" w:cs="Times New Roman"/>
          <w:color w:val="000000"/>
          <w:spacing w:val="0"/>
          <w:kern w:val="2"/>
          <w:sz w:val="21"/>
          <w:szCs w:val="24"/>
          <w:lang w:val="en-US" w:eastAsia="zh-CN" w:bidi="ar-SA"/>
        </w:rPr>
      </w:pPr>
    </w:p>
    <w:p w14:paraId="3EF90D3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一、考核内容</w:t>
      </w:r>
    </w:p>
    <w:p w14:paraId="2B87BE56">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1.每月提取当月服务费用的</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%作为考核经费 ，根据每学期测评结果返还：</w:t>
      </w:r>
    </w:p>
    <w:p w14:paraId="6C29B66D">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师生的满意度达到</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及以上的 ，付清学期服务费用；</w:t>
      </w:r>
    </w:p>
    <w:p w14:paraId="49335B59">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师生的满意度在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（含</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的 ，支付剩余保证金；</w:t>
      </w:r>
    </w:p>
    <w:p w14:paraId="7CF0A598">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以下的，不予支付学期剩余服务费用；</w:t>
      </w:r>
    </w:p>
    <w:p w14:paraId="49F56461">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 甲方有权单方终止合同并没收履约保证金。</w:t>
      </w:r>
    </w:p>
    <w:p w14:paraId="5C58311C">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default"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w:t>
      </w:r>
      <w:r>
        <w:rPr>
          <w:rFonts w:hint="eastAsia" w:ascii="宋体" w:hAnsi="宋体" w:eastAsia="宋体" w:cs="宋体"/>
          <w:color w:val="000000"/>
          <w:spacing w:val="0"/>
          <w:kern w:val="2"/>
          <w:sz w:val="24"/>
          <w:szCs w:val="24"/>
          <w:u w:val="single" w:color="auto"/>
          <w:lang w:val="en-US" w:eastAsia="zh-CN" w:bidi="ar-SA"/>
        </w:rPr>
        <w:t xml:space="preserve">                                                                                                                           </w:t>
      </w:r>
    </w:p>
    <w:p w14:paraId="21393FB9">
      <w:pPr>
        <w:keepNext w:val="0"/>
        <w:keepLines w:val="0"/>
        <w:pageBreakBefore w:val="0"/>
        <w:widowControl w:val="0"/>
        <w:tabs>
          <w:tab w:val="left" w:pos="8320"/>
        </w:tabs>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u w:val="single" w:color="auto"/>
          <w:lang w:val="en-US" w:eastAsia="zh-CN" w:bidi="ar-SA"/>
        </w:rPr>
        <w:tab/>
      </w:r>
    </w:p>
    <w:p w14:paraId="583DFB9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二、考核细则</w:t>
      </w:r>
    </w:p>
    <w:p w14:paraId="693A694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1. 甲方有权终止合同的情形</w:t>
      </w:r>
    </w:p>
    <w:p w14:paraId="1504E40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乙方未取得含食品经营管理类项目的《食品经营许可证》。</w:t>
      </w:r>
    </w:p>
    <w:p w14:paraId="1F656EF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乙方未开具正式票据结算的或使用私人账户及其他方式进行结算的。</w:t>
      </w:r>
    </w:p>
    <w:p w14:paraId="69D4CD0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在日常经营过程中因人为原因造成一般食品安全事故及以上等级的（经相关部门认定）。</w:t>
      </w:r>
    </w:p>
    <w:p w14:paraId="69E4A8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日常经营过程中出现窗 口分包、转包情况的。</w:t>
      </w:r>
    </w:p>
    <w:p w14:paraId="3ED057D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2.规范经营</w:t>
      </w:r>
    </w:p>
    <w:p w14:paraId="0387B84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2.1 乙方需实行“4D ”“五常法”“6T ”等管理模式的。</w:t>
      </w:r>
    </w:p>
    <w:p w14:paraId="0C17F00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2.2 在相关部门检查过程中，不存在因乙方管理或其他责任，被行政处罚、通报或点名批评的。</w:t>
      </w:r>
    </w:p>
    <w:p w14:paraId="1E2D453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2.3 食堂人员配置符合招投标规定人数，满足甲方实际需求。</w:t>
      </w:r>
    </w:p>
    <w:p w14:paraId="7307DBF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 xml:space="preserve"> 2.4 对甲方提出的整改意见或建议在      日内出具整改报告。</w:t>
      </w:r>
    </w:p>
    <w:p w14:paraId="3C5BA18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2.5 乙方需依法配备食品安全总监/食品安全管理员的。</w:t>
      </w:r>
    </w:p>
    <w:p w14:paraId="44C9067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w:t>
      </w:r>
      <w:r>
        <w:rPr>
          <w:rFonts w:hint="eastAsia" w:ascii="宋体" w:hAnsi="宋体" w:cs="宋体"/>
          <w:color w:val="000000"/>
          <w:spacing w:val="0"/>
          <w:sz w:val="24"/>
          <w:szCs w:val="24"/>
          <w:lang w:eastAsia="zh-CN"/>
        </w:rPr>
        <w:t>.</w:t>
      </w:r>
      <w:r>
        <w:rPr>
          <w:rFonts w:hint="eastAsia" w:ascii="宋体" w:hAnsi="宋体" w:eastAsia="宋体" w:cs="宋体"/>
          <w:color w:val="000000"/>
          <w:spacing w:val="0"/>
          <w:sz w:val="24"/>
          <w:szCs w:val="24"/>
        </w:rPr>
        <w:t>场所环境</w:t>
      </w:r>
    </w:p>
    <w:p w14:paraId="342549E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3.1 保持场所干净卫生，无积尘、蛛网、无残渣、无污迹、油迹、无积水、不湿滑，无烟头等杂物。</w:t>
      </w:r>
    </w:p>
    <w:p w14:paraId="58ABAC5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3.2 室内外环境要做到清洁，无蚊蝇、老鼠、蟑螂孳生地，落实有效防范措施。日常有灭蝇、灭鼠、灭蟑螂工作记录，纱门、纱窗应随时关闭。</w:t>
      </w:r>
    </w:p>
    <w:p w14:paraId="451C180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3.3 食堂餐厅、餐桌椅无残渣、无污迹、油迹、不湿滑， 泔水、垃圾应盖好存放及时处理。</w:t>
      </w:r>
    </w:p>
    <w:p w14:paraId="335A278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4</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人员卫生</w:t>
      </w:r>
    </w:p>
    <w:p w14:paraId="3797825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4991BD8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4.2 食品从业人员不得留长指甲、涂指甲油、佩戴首饰 ，要勤洗手消毒、不随地吐痰、不乱扔废弃物。</w:t>
      </w:r>
    </w:p>
    <w:p w14:paraId="6C279E7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4.3 加工食品时不吸烟、不挖鼻孔、不捣耳朵、不对着食品打喷嚏。</w:t>
      </w:r>
    </w:p>
    <w:p w14:paraId="2643F68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5</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食材采购</w:t>
      </w:r>
    </w:p>
    <w:p w14:paraId="7FDF178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49EBA48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5D0481B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5.3 节约合理使用食材，不人为造成食材浪费。</w:t>
      </w:r>
    </w:p>
    <w:p w14:paraId="480E0C9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6</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餐饮具消毒</w:t>
      </w:r>
    </w:p>
    <w:p w14:paraId="778D6CA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4BB1A4B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6.2 建立餐饮具消毒台账，做好消毒记录。</w:t>
      </w:r>
    </w:p>
    <w:p w14:paraId="64616E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6.3 不重复使用一次性餐饮具。</w:t>
      </w:r>
    </w:p>
    <w:p w14:paraId="5BECD088">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7</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菜品质量</w:t>
      </w:r>
    </w:p>
    <w:p w14:paraId="083EA67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7.1 供餐品种按合同约定提供。</w:t>
      </w:r>
    </w:p>
    <w:p w14:paraId="59C2C4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7.2 饭菜内不存在异物、杂物 ，不提供未烧熟煮透、变质菜品。</w:t>
      </w:r>
    </w:p>
    <w:p w14:paraId="077DEF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7.3 菜品色泽味满足大众口味。</w:t>
      </w:r>
    </w:p>
    <w:p w14:paraId="3F5F6566">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8</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餐厅服务</w:t>
      </w:r>
    </w:p>
    <w:p w14:paraId="018FD5A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8.1 文明礼貌、热情服务，耐心细致，不得与师生发生争执。</w:t>
      </w:r>
    </w:p>
    <w:p w14:paraId="1F78115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8.2 按规定标准供应饭菜，应一视同仁，应做到按时开饭，不得无故无饭菜供应，无故不能按时开饭等。</w:t>
      </w:r>
    </w:p>
    <w:p w14:paraId="318954C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9</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 xml:space="preserve"> 生产安全</w:t>
      </w:r>
    </w:p>
    <w:p w14:paraId="2D3D6AF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color w:val="000000"/>
          <w:spacing w:val="0"/>
          <w:sz w:val="24"/>
          <w:szCs w:val="24"/>
        </w:rPr>
        <w:t>做好电器、设备、液化气、蒸汽及防火、防盗、防毒的安全 管理</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制定安全操作规程</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定期对员工进行培训</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认真做好食堂</w:t>
      </w:r>
      <w:r>
        <w:rPr>
          <w:rFonts w:hint="eastAsia" w:ascii="宋体" w:hAnsi="宋体" w:eastAsia="宋体" w:cs="宋体"/>
          <w:snapToGrid w:val="0"/>
          <w:color w:val="000000"/>
          <w:spacing w:val="0"/>
          <w:kern w:val="0"/>
          <w:sz w:val="24"/>
          <w:szCs w:val="24"/>
          <w:lang w:val="en-US" w:eastAsia="en-US" w:bidi="ar-SA"/>
        </w:rPr>
        <w:t>安全教育</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每月召开安全会议</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并做好记录。</w:t>
      </w:r>
    </w:p>
    <w:p w14:paraId="51A497D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10</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工作纪律</w:t>
      </w:r>
    </w:p>
    <w:p w14:paraId="06AC5E2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10.1 乙方人员遵守规范，不私拿食品原材料（含熟食）与其他物品的。</w:t>
      </w:r>
    </w:p>
    <w:p w14:paraId="5A844C2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10.2 下班后及时关灯，离开岗位时关煤气、燃气、水龙头等设备设施。</w:t>
      </w:r>
    </w:p>
    <w:p w14:paraId="68C8EC2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10.3 乙方人员不接受供货商等相关人员礼品、 回扣等。</w:t>
      </w:r>
    </w:p>
    <w:p w14:paraId="23C77877">
      <w:pPr>
        <w:keepNext w:val="0"/>
        <w:keepLines w:val="0"/>
        <w:pageBreakBefore w:val="0"/>
        <w:widowControl w:val="0"/>
        <w:tabs>
          <w:tab w:val="left" w:pos="3481"/>
        </w:tabs>
        <w:kinsoku/>
        <w:wordWrap/>
        <w:overflowPunct/>
        <w:topLinePunct w:val="0"/>
        <w:autoSpaceDN/>
        <w:bidi w:val="0"/>
        <w:spacing w:line="420" w:lineRule="exact"/>
        <w:ind w:left="0" w:right="0" w:firstLine="482" w:firstLineChars="200"/>
        <w:jc w:val="both"/>
        <w:rPr>
          <w:rFonts w:hint="eastAsia" w:eastAsia="宋体"/>
          <w:color w:val="000000"/>
          <w:spacing w:val="0"/>
          <w:lang w:eastAsia="zh-CN"/>
        </w:rPr>
      </w:pPr>
      <w:r>
        <w:rPr>
          <w:rFonts w:hint="eastAsia" w:ascii="宋体" w:hAnsi="宋体" w:eastAsia="宋体" w:cs="宋体"/>
          <w:b/>
          <w:bCs/>
          <w:color w:val="000000"/>
          <w:spacing w:val="0"/>
          <w:sz w:val="24"/>
          <w:szCs w:val="24"/>
          <w:lang w:val="en-US" w:eastAsia="en-US"/>
        </w:rPr>
        <w:t>11</w:t>
      </w:r>
      <w:r>
        <w:rPr>
          <w:rFonts w:hint="eastAsia" w:ascii="宋体" w:hAnsi="宋体" w:cs="宋体"/>
          <w:b/>
          <w:bCs/>
          <w:color w:val="000000"/>
          <w:spacing w:val="0"/>
          <w:sz w:val="24"/>
          <w:szCs w:val="24"/>
          <w:lang w:val="en-US" w:eastAsia="zh-CN"/>
        </w:rPr>
        <w:t>.</w:t>
      </w:r>
      <w:r>
        <w:rPr>
          <w:rFonts w:hint="eastAsia" w:ascii="宋体" w:hAnsi="宋体" w:eastAsia="宋体" w:cs="宋体"/>
          <w:b/>
          <w:bCs/>
          <w:color w:val="000000"/>
          <w:spacing w:val="0"/>
          <w:sz w:val="24"/>
          <w:szCs w:val="24"/>
          <w:lang w:val="en-US" w:eastAsia="en-US"/>
        </w:rPr>
        <w:t>其他</w:t>
      </w:r>
    </w:p>
    <w:p w14:paraId="4B2721E1">
      <w:pPr>
        <w:pStyle w:val="4"/>
        <w:rPr>
          <w:color w:val="000000"/>
        </w:rPr>
      </w:pPr>
    </w:p>
    <w:p w14:paraId="153FFA79">
      <w:pPr>
        <w:rPr>
          <w:color w:val="000000"/>
        </w:rPr>
      </w:pPr>
    </w:p>
    <w:p w14:paraId="7267A29A">
      <w:pPr>
        <w:pStyle w:val="13"/>
        <w:adjustRightInd w:val="0"/>
        <w:snapToGrid w:val="0"/>
        <w:spacing w:line="682" w:lineRule="exact"/>
        <w:jc w:val="left"/>
        <w:rPr>
          <w:rFonts w:hint="eastAsia" w:ascii="黑体" w:hAnsi="黑体" w:eastAsia="黑体" w:cs="黑体"/>
          <w:color w:val="000000"/>
          <w:sz w:val="28"/>
          <w:szCs w:val="28"/>
          <w:lang w:eastAsia="zh-CN"/>
        </w:rPr>
      </w:pPr>
    </w:p>
    <w:p w14:paraId="45C1F486">
      <w:pPr>
        <w:pStyle w:val="13"/>
        <w:adjustRightInd w:val="0"/>
        <w:snapToGrid w:val="0"/>
        <w:spacing w:line="682" w:lineRule="exact"/>
        <w:jc w:val="left"/>
        <w:rPr>
          <w:rFonts w:hint="eastAsia" w:ascii="黑体" w:hAnsi="黑体" w:eastAsia="黑体" w:cs="黑体"/>
          <w:color w:val="000000"/>
          <w:sz w:val="28"/>
          <w:szCs w:val="28"/>
          <w:lang w:eastAsia="zh-CN"/>
        </w:rPr>
      </w:pPr>
    </w:p>
    <w:p w14:paraId="361C4818">
      <w:pPr>
        <w:pStyle w:val="13"/>
        <w:adjustRightInd w:val="0"/>
        <w:snapToGrid w:val="0"/>
        <w:spacing w:line="682" w:lineRule="exact"/>
        <w:jc w:val="left"/>
        <w:rPr>
          <w:rFonts w:hint="eastAsia" w:ascii="黑体" w:hAnsi="黑体" w:eastAsia="黑体" w:cs="黑体"/>
          <w:color w:val="000000"/>
          <w:sz w:val="28"/>
          <w:szCs w:val="28"/>
          <w:lang w:eastAsia="zh-CN"/>
        </w:rPr>
      </w:pPr>
    </w:p>
    <w:p w14:paraId="7EAA83F1">
      <w:pPr>
        <w:pStyle w:val="13"/>
        <w:adjustRightInd w:val="0"/>
        <w:snapToGrid w:val="0"/>
        <w:spacing w:line="682" w:lineRule="exact"/>
        <w:jc w:val="left"/>
        <w:rPr>
          <w:rFonts w:hint="eastAsia" w:ascii="黑体" w:hAnsi="黑体" w:eastAsia="黑体" w:cs="黑体"/>
          <w:color w:val="000000"/>
          <w:sz w:val="28"/>
          <w:szCs w:val="28"/>
          <w:lang w:eastAsia="zh-CN"/>
        </w:rPr>
      </w:pPr>
    </w:p>
    <w:p w14:paraId="7C951F9B">
      <w:pPr>
        <w:pStyle w:val="13"/>
        <w:adjustRightInd w:val="0"/>
        <w:snapToGrid w:val="0"/>
        <w:spacing w:line="682" w:lineRule="exact"/>
        <w:jc w:val="left"/>
        <w:rPr>
          <w:rFonts w:hint="eastAsia" w:ascii="黑体" w:hAnsi="黑体" w:eastAsia="黑体" w:cs="黑体"/>
          <w:color w:val="000000"/>
          <w:sz w:val="28"/>
          <w:szCs w:val="28"/>
          <w:lang w:eastAsia="zh-CN"/>
        </w:rPr>
      </w:pPr>
    </w:p>
    <w:p w14:paraId="03D17BD3">
      <w:pPr>
        <w:pStyle w:val="13"/>
        <w:adjustRightInd w:val="0"/>
        <w:snapToGrid w:val="0"/>
        <w:spacing w:line="682" w:lineRule="exact"/>
        <w:jc w:val="left"/>
        <w:rPr>
          <w:rFonts w:hint="eastAsia" w:ascii="黑体" w:hAnsi="黑体" w:eastAsia="黑体" w:cs="黑体"/>
          <w:color w:val="000000"/>
          <w:sz w:val="28"/>
          <w:szCs w:val="28"/>
          <w:lang w:eastAsia="zh-CN"/>
        </w:rPr>
      </w:pPr>
    </w:p>
    <w:p w14:paraId="74B529E2">
      <w:pPr>
        <w:pStyle w:val="13"/>
        <w:adjustRightInd w:val="0"/>
        <w:snapToGrid w:val="0"/>
        <w:spacing w:line="682" w:lineRule="exact"/>
        <w:jc w:val="left"/>
        <w:rPr>
          <w:rFonts w:hint="eastAsia" w:ascii="黑体" w:hAnsi="黑体" w:eastAsia="黑体" w:cs="黑体"/>
          <w:color w:val="000000"/>
          <w:sz w:val="28"/>
          <w:szCs w:val="28"/>
          <w:lang w:eastAsia="zh-CN"/>
        </w:rPr>
      </w:pPr>
    </w:p>
    <w:p w14:paraId="6C5B26BE">
      <w:pPr>
        <w:pStyle w:val="13"/>
        <w:adjustRightInd w:val="0"/>
        <w:snapToGrid w:val="0"/>
        <w:spacing w:line="682" w:lineRule="exact"/>
        <w:jc w:val="left"/>
        <w:rPr>
          <w:rFonts w:hint="eastAsia" w:ascii="黑体" w:hAnsi="黑体" w:eastAsia="黑体" w:cs="黑体"/>
          <w:color w:val="000000"/>
          <w:sz w:val="28"/>
          <w:szCs w:val="28"/>
          <w:lang w:eastAsia="zh-CN"/>
        </w:rPr>
      </w:pPr>
    </w:p>
    <w:p w14:paraId="68F018D0">
      <w:pPr>
        <w:pStyle w:val="13"/>
        <w:adjustRightInd w:val="0"/>
        <w:snapToGrid w:val="0"/>
        <w:spacing w:line="682" w:lineRule="exact"/>
        <w:jc w:val="left"/>
        <w:rPr>
          <w:rFonts w:hint="eastAsia" w:ascii="黑体" w:hAnsi="黑体" w:eastAsia="黑体" w:cs="黑体"/>
          <w:color w:val="000000"/>
          <w:sz w:val="28"/>
          <w:szCs w:val="28"/>
          <w:lang w:eastAsia="zh-CN"/>
        </w:rPr>
      </w:pPr>
    </w:p>
    <w:p w14:paraId="7702AEA7">
      <w:pPr>
        <w:pStyle w:val="10"/>
        <w:ind w:left="0" w:leftChars="0" w:firstLine="0" w:firstLineChars="0"/>
        <w:rPr>
          <w:rFonts w:hint="default" w:ascii="仿宋_GB2312" w:hAnsi="仿宋_GB2312" w:eastAsia="仿宋_GB2312" w:cs="仿宋_GB2312"/>
          <w:color w:val="000000"/>
          <w:sz w:val="32"/>
          <w:szCs w:val="32"/>
          <w:highlight w:val="none"/>
          <w:lang w:val="en-US" w:eastAsia="zh-CN"/>
        </w:rPr>
      </w:pPr>
    </w:p>
    <w:p w14:paraId="60004763">
      <w:pPr>
        <w:pStyle w:val="24"/>
        <w:rPr>
          <w:rFonts w:hint="default"/>
          <w:lang w:val="en-US" w:eastAsia="zh-CN"/>
        </w:rPr>
      </w:pPr>
    </w:p>
    <w:p w14:paraId="1018A6B3">
      <w:pPr>
        <w:pStyle w:val="24"/>
        <w:rPr>
          <w:rFonts w:hint="default"/>
          <w:lang w:val="en-US" w:eastAsia="zh-CN"/>
        </w:rPr>
      </w:pPr>
    </w:p>
    <w:p w14:paraId="74EC0ABE">
      <w:pPr>
        <w:pStyle w:val="25"/>
        <w:rPr>
          <w:rFonts w:hint="default"/>
          <w:lang w:val="en-US" w:eastAsia="zh-CN"/>
        </w:rPr>
      </w:pPr>
    </w:p>
    <w:p w14:paraId="3776A18D">
      <w:pPr>
        <w:rPr>
          <w:rFonts w:hint="default"/>
          <w:lang w:val="en-US" w:eastAsia="zh-CN"/>
        </w:rPr>
      </w:pPr>
    </w:p>
    <w:p w14:paraId="277FA1CE">
      <w:pPr>
        <w:pStyle w:val="24"/>
        <w:rPr>
          <w:rFonts w:hint="default"/>
          <w:lang w:val="en-US" w:eastAsia="zh-CN"/>
        </w:rPr>
      </w:pPr>
    </w:p>
    <w:sectPr>
      <w:headerReference r:id="rId8" w:type="default"/>
      <w:footerReference r:id="rId9"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64AC">
    <w:pPr>
      <w:spacing w:line="170" w:lineRule="auto"/>
      <w:ind w:left="400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F59E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7F59E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1AB">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A3CD">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39A3CD">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80F">
    <w:pPr>
      <w:widowControl w:val="0"/>
      <w:spacing w:line="187"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F5DF4">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BF5DF4">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D2A0">
    <w:pPr>
      <w:widowControl w:val="0"/>
      <w:spacing w:line="189"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9CA6">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E9CA6">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3044">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93C71">
                          <w:pPr>
                            <w:pStyle w:val="1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793C71">
                    <w:pPr>
                      <w:pStyle w:val="14"/>
                    </w:pPr>
                    <w:r>
                      <w:fldChar w:fldCharType="begin"/>
                    </w:r>
                    <w:r>
                      <w:instrText xml:space="preserve"> PAGE  \* MERGEFORMAT </w:instrText>
                    </w:r>
                    <w:r>
                      <w:fldChar w:fldCharType="separate"/>
                    </w:r>
                    <w:r>
                      <w:t>100</w:t>
                    </w:r>
                    <w:r>
                      <w:fldChar w:fldCharType="end"/>
                    </w:r>
                  </w:p>
                </w:txbxContent>
              </v:textbox>
            </v:shape>
          </w:pict>
        </mc:Fallback>
      </mc:AlternateContent>
    </w:r>
  </w:p>
  <w:p w14:paraId="4135A513">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C3E7">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815A">
    <w:pPr>
      <w:pStyle w:val="15"/>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4A37"/>
    <w:multiLevelType w:val="singleLevel"/>
    <w:tmpl w:val="87FE4A37"/>
    <w:lvl w:ilvl="0" w:tentative="0">
      <w:start w:val="4"/>
      <w:numFmt w:val="decimal"/>
      <w:lvlText w:val="%1."/>
      <w:lvlJc w:val="left"/>
      <w:pPr>
        <w:tabs>
          <w:tab w:val="left" w:pos="312"/>
        </w:tabs>
      </w:pPr>
    </w:lvl>
  </w:abstractNum>
  <w:abstractNum w:abstractNumId="1">
    <w:nsid w:val="8898DF02"/>
    <w:multiLevelType w:val="singleLevel"/>
    <w:tmpl w:val="8898DF02"/>
    <w:lvl w:ilvl="0" w:tentative="0">
      <w:start w:val="7"/>
      <w:numFmt w:val="decimal"/>
      <w:lvlText w:val="%1."/>
      <w:lvlJc w:val="left"/>
      <w:pPr>
        <w:tabs>
          <w:tab w:val="left" w:pos="312"/>
        </w:tabs>
      </w:pPr>
    </w:lvl>
  </w:abstractNum>
  <w:abstractNum w:abstractNumId="2">
    <w:nsid w:val="9FD699C2"/>
    <w:multiLevelType w:val="singleLevel"/>
    <w:tmpl w:val="9FD699C2"/>
    <w:lvl w:ilvl="0" w:tentative="0">
      <w:start w:val="2"/>
      <w:numFmt w:val="chineseCounting"/>
      <w:suff w:val="nothing"/>
      <w:lvlText w:val="%1、"/>
      <w:lvlJc w:val="left"/>
      <w:rPr>
        <w:rFonts w:hint="eastAsia"/>
      </w:rPr>
    </w:lvl>
  </w:abstractNum>
  <w:abstractNum w:abstractNumId="3">
    <w:nsid w:val="AE74910F"/>
    <w:multiLevelType w:val="singleLevel"/>
    <w:tmpl w:val="AE74910F"/>
    <w:lvl w:ilvl="0" w:tentative="0">
      <w:start w:val="1"/>
      <w:numFmt w:val="chineseCounting"/>
      <w:suff w:val="nothing"/>
      <w:lvlText w:val="%1、"/>
      <w:lvlJc w:val="left"/>
      <w:rPr>
        <w:rFonts w:hint="eastAsia"/>
      </w:rPr>
    </w:lvl>
  </w:abstractNum>
  <w:abstractNum w:abstractNumId="4">
    <w:nsid w:val="DF3B7AA7"/>
    <w:multiLevelType w:val="singleLevel"/>
    <w:tmpl w:val="DF3B7AA7"/>
    <w:lvl w:ilvl="0" w:tentative="0">
      <w:start w:val="1"/>
      <w:numFmt w:val="chineseCounting"/>
      <w:suff w:val="space"/>
      <w:lvlText w:val="第%1章"/>
      <w:lvlJc w:val="left"/>
      <w:rPr>
        <w:rFonts w:hint="eastAsia"/>
      </w:rPr>
    </w:lvl>
  </w:abstractNum>
  <w:abstractNum w:abstractNumId="5">
    <w:nsid w:val="E34EB5C7"/>
    <w:multiLevelType w:val="singleLevel"/>
    <w:tmpl w:val="E34EB5C7"/>
    <w:lvl w:ilvl="0" w:tentative="0">
      <w:start w:val="2"/>
      <w:numFmt w:val="decimal"/>
      <w:suff w:val="nothing"/>
      <w:lvlText w:val="（%1）"/>
      <w:lvlJc w:val="left"/>
    </w:lvl>
  </w:abstractNum>
  <w:abstractNum w:abstractNumId="6">
    <w:nsid w:val="EDD76D41"/>
    <w:multiLevelType w:val="singleLevel"/>
    <w:tmpl w:val="EDD76D41"/>
    <w:lvl w:ilvl="0" w:tentative="0">
      <w:start w:val="13"/>
      <w:numFmt w:val="chineseCounting"/>
      <w:suff w:val="nothing"/>
      <w:lvlText w:val="%1、"/>
      <w:lvlJc w:val="left"/>
      <w:rPr>
        <w:rFonts w:hint="eastAsia"/>
      </w:rPr>
    </w:lvl>
  </w:abstractNum>
  <w:abstractNum w:abstractNumId="7">
    <w:nsid w:val="FFCE2A95"/>
    <w:multiLevelType w:val="singleLevel"/>
    <w:tmpl w:val="FFCE2A95"/>
    <w:lvl w:ilvl="0" w:tentative="0">
      <w:start w:val="9"/>
      <w:numFmt w:val="chineseCounting"/>
      <w:suff w:val="nothing"/>
      <w:lvlText w:val="%1、"/>
      <w:lvlJc w:val="left"/>
      <w:rPr>
        <w:rFonts w:hint="eastAsia"/>
      </w:rPr>
    </w:lvl>
  </w:abstractNum>
  <w:abstractNum w:abstractNumId="8">
    <w:nsid w:val="09C600A9"/>
    <w:multiLevelType w:val="singleLevel"/>
    <w:tmpl w:val="09C600A9"/>
    <w:lvl w:ilvl="0" w:tentative="0">
      <w:start w:val="1"/>
      <w:numFmt w:val="decimal"/>
      <w:pStyle w:val="16"/>
      <w:lvlText w:val="%1."/>
      <w:lvlJc w:val="left"/>
      <w:pPr>
        <w:tabs>
          <w:tab w:val="left" w:pos="2040"/>
        </w:tabs>
        <w:ind w:left="2040" w:hanging="360"/>
      </w:pPr>
    </w:lvl>
  </w:abstractNum>
  <w:abstractNum w:abstractNumId="9">
    <w:nsid w:val="232E1594"/>
    <w:multiLevelType w:val="singleLevel"/>
    <w:tmpl w:val="232E1594"/>
    <w:lvl w:ilvl="0" w:tentative="0">
      <w:start w:val="1"/>
      <w:numFmt w:val="decimal"/>
      <w:lvlText w:val="(%1)"/>
      <w:lvlJc w:val="left"/>
      <w:pPr>
        <w:tabs>
          <w:tab w:val="left" w:pos="312"/>
        </w:tabs>
      </w:pPr>
    </w:lvl>
  </w:abstractNum>
  <w:abstractNum w:abstractNumId="10">
    <w:nsid w:val="5FBD0938"/>
    <w:multiLevelType w:val="singleLevel"/>
    <w:tmpl w:val="5FBD0938"/>
    <w:lvl w:ilvl="0" w:tentative="0">
      <w:start w:val="1"/>
      <w:numFmt w:val="decimal"/>
      <w:lvlText w:val="%1."/>
      <w:lvlJc w:val="left"/>
      <w:pPr>
        <w:tabs>
          <w:tab w:val="left" w:pos="312"/>
        </w:tabs>
      </w:pPr>
    </w:lvl>
  </w:abstractNum>
  <w:abstractNum w:abstractNumId="11">
    <w:nsid w:val="7EB50D67"/>
    <w:multiLevelType w:val="singleLevel"/>
    <w:tmpl w:val="7EB50D67"/>
    <w:lvl w:ilvl="0" w:tentative="0">
      <w:start w:val="1"/>
      <w:numFmt w:val="decimal"/>
      <w:suff w:val="nothing"/>
      <w:lvlText w:val="%1、"/>
      <w:lvlJc w:val="left"/>
    </w:lvl>
  </w:abstractNum>
  <w:num w:numId="1">
    <w:abstractNumId w:val="8"/>
  </w:num>
  <w:num w:numId="2">
    <w:abstractNumId w:val="4"/>
  </w:num>
  <w:num w:numId="3">
    <w:abstractNumId w:val="9"/>
  </w:num>
  <w:num w:numId="4">
    <w:abstractNumId w:val="0"/>
  </w:num>
  <w:num w:numId="5">
    <w:abstractNumId w:val="3"/>
  </w:num>
  <w:num w:numId="6">
    <w:abstractNumId w:val="5"/>
  </w:num>
  <w:num w:numId="7">
    <w:abstractNumId w:val="10"/>
  </w:num>
  <w:num w:numId="8">
    <w:abstractNumId w:val="11"/>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4206"/>
    <w:rsid w:val="00921AC8"/>
    <w:rsid w:val="00973FB8"/>
    <w:rsid w:val="009E5013"/>
    <w:rsid w:val="00A11178"/>
    <w:rsid w:val="00D9012D"/>
    <w:rsid w:val="013E61E2"/>
    <w:rsid w:val="01712F37"/>
    <w:rsid w:val="01F62F61"/>
    <w:rsid w:val="01FB0577"/>
    <w:rsid w:val="021C2EB1"/>
    <w:rsid w:val="028F09C5"/>
    <w:rsid w:val="02CC3DD3"/>
    <w:rsid w:val="03092820"/>
    <w:rsid w:val="0370532E"/>
    <w:rsid w:val="03B95FF4"/>
    <w:rsid w:val="03C976BD"/>
    <w:rsid w:val="03EF6B60"/>
    <w:rsid w:val="046248DD"/>
    <w:rsid w:val="049F168E"/>
    <w:rsid w:val="053718C6"/>
    <w:rsid w:val="05481FF4"/>
    <w:rsid w:val="06B07B82"/>
    <w:rsid w:val="06EF3C77"/>
    <w:rsid w:val="07D07AAD"/>
    <w:rsid w:val="088178D0"/>
    <w:rsid w:val="08CC67C9"/>
    <w:rsid w:val="090B4EFE"/>
    <w:rsid w:val="090C5F95"/>
    <w:rsid w:val="0964077B"/>
    <w:rsid w:val="097554F6"/>
    <w:rsid w:val="0A627B8A"/>
    <w:rsid w:val="0A6D18E6"/>
    <w:rsid w:val="0B455A20"/>
    <w:rsid w:val="0BCB720C"/>
    <w:rsid w:val="0CDC69F0"/>
    <w:rsid w:val="0CE64A9D"/>
    <w:rsid w:val="0D166CFD"/>
    <w:rsid w:val="0D2546FA"/>
    <w:rsid w:val="0D505C1B"/>
    <w:rsid w:val="0E214EC1"/>
    <w:rsid w:val="0E3A65DF"/>
    <w:rsid w:val="0E96629E"/>
    <w:rsid w:val="0EDD528C"/>
    <w:rsid w:val="0F114F36"/>
    <w:rsid w:val="0F2A424A"/>
    <w:rsid w:val="0F4A0448"/>
    <w:rsid w:val="0F5B2655"/>
    <w:rsid w:val="0F672DA8"/>
    <w:rsid w:val="0F694D72"/>
    <w:rsid w:val="0F932BA2"/>
    <w:rsid w:val="0FA364D6"/>
    <w:rsid w:val="100B5E29"/>
    <w:rsid w:val="10241CAA"/>
    <w:rsid w:val="10E349DC"/>
    <w:rsid w:val="10FE4A84"/>
    <w:rsid w:val="110E1F50"/>
    <w:rsid w:val="11A264BB"/>
    <w:rsid w:val="11B307CC"/>
    <w:rsid w:val="11E701D0"/>
    <w:rsid w:val="121A05A5"/>
    <w:rsid w:val="12C16C73"/>
    <w:rsid w:val="13360078"/>
    <w:rsid w:val="13581385"/>
    <w:rsid w:val="143B0DA7"/>
    <w:rsid w:val="149D101A"/>
    <w:rsid w:val="14E60C13"/>
    <w:rsid w:val="153868FB"/>
    <w:rsid w:val="158F12AA"/>
    <w:rsid w:val="159C62DA"/>
    <w:rsid w:val="15EE7D7F"/>
    <w:rsid w:val="16227EC5"/>
    <w:rsid w:val="1683496B"/>
    <w:rsid w:val="16A448E1"/>
    <w:rsid w:val="16B32D77"/>
    <w:rsid w:val="16D43419"/>
    <w:rsid w:val="171C1F5C"/>
    <w:rsid w:val="1752149D"/>
    <w:rsid w:val="17736C65"/>
    <w:rsid w:val="1776002C"/>
    <w:rsid w:val="180C3847"/>
    <w:rsid w:val="18377BB1"/>
    <w:rsid w:val="18403C5D"/>
    <w:rsid w:val="18694035"/>
    <w:rsid w:val="18F57676"/>
    <w:rsid w:val="19094ED0"/>
    <w:rsid w:val="192835A8"/>
    <w:rsid w:val="199450E1"/>
    <w:rsid w:val="199B021E"/>
    <w:rsid w:val="19A406B7"/>
    <w:rsid w:val="1A2A15A2"/>
    <w:rsid w:val="1A91517D"/>
    <w:rsid w:val="1ACE16EB"/>
    <w:rsid w:val="1B1F6C2C"/>
    <w:rsid w:val="1BC33974"/>
    <w:rsid w:val="1BD45C69"/>
    <w:rsid w:val="1BEF4851"/>
    <w:rsid w:val="1BF16DFC"/>
    <w:rsid w:val="1C297D63"/>
    <w:rsid w:val="1C47468D"/>
    <w:rsid w:val="1C752FA8"/>
    <w:rsid w:val="1CB11B06"/>
    <w:rsid w:val="1CF57C45"/>
    <w:rsid w:val="1D175E0D"/>
    <w:rsid w:val="1D5D1CD8"/>
    <w:rsid w:val="1DB80FC3"/>
    <w:rsid w:val="1DC37D43"/>
    <w:rsid w:val="1DFC5003"/>
    <w:rsid w:val="1EDF6DFF"/>
    <w:rsid w:val="1F811C64"/>
    <w:rsid w:val="1FA6737F"/>
    <w:rsid w:val="1FC61EAC"/>
    <w:rsid w:val="1FF24910"/>
    <w:rsid w:val="1FFC578E"/>
    <w:rsid w:val="200D799B"/>
    <w:rsid w:val="20436F19"/>
    <w:rsid w:val="205E3D53"/>
    <w:rsid w:val="20AC2D10"/>
    <w:rsid w:val="20BB247E"/>
    <w:rsid w:val="20DF2A02"/>
    <w:rsid w:val="213827F6"/>
    <w:rsid w:val="216A7D10"/>
    <w:rsid w:val="21AB746C"/>
    <w:rsid w:val="21FD6BC4"/>
    <w:rsid w:val="222679C8"/>
    <w:rsid w:val="226C32AF"/>
    <w:rsid w:val="2278331B"/>
    <w:rsid w:val="22834F2F"/>
    <w:rsid w:val="236E765F"/>
    <w:rsid w:val="23C12F77"/>
    <w:rsid w:val="23F3004D"/>
    <w:rsid w:val="243C25C4"/>
    <w:rsid w:val="249441E7"/>
    <w:rsid w:val="25145328"/>
    <w:rsid w:val="26235823"/>
    <w:rsid w:val="26593297"/>
    <w:rsid w:val="265E0E77"/>
    <w:rsid w:val="266A3452"/>
    <w:rsid w:val="26E1386E"/>
    <w:rsid w:val="277F4CDB"/>
    <w:rsid w:val="27901BC1"/>
    <w:rsid w:val="27BD5803"/>
    <w:rsid w:val="285F2031"/>
    <w:rsid w:val="28AD43F2"/>
    <w:rsid w:val="28F45255"/>
    <w:rsid w:val="29C42123"/>
    <w:rsid w:val="2A08345C"/>
    <w:rsid w:val="2A0B0AA8"/>
    <w:rsid w:val="2A5B4410"/>
    <w:rsid w:val="2B28102B"/>
    <w:rsid w:val="2B681F2A"/>
    <w:rsid w:val="2BC5737C"/>
    <w:rsid w:val="2BCE6034"/>
    <w:rsid w:val="2C2936AC"/>
    <w:rsid w:val="2CAA23A2"/>
    <w:rsid w:val="2CFA3055"/>
    <w:rsid w:val="2F0A1F67"/>
    <w:rsid w:val="2F30614E"/>
    <w:rsid w:val="2F3A210B"/>
    <w:rsid w:val="2FA07EE4"/>
    <w:rsid w:val="2FEF054A"/>
    <w:rsid w:val="2FF81399"/>
    <w:rsid w:val="304E7F5C"/>
    <w:rsid w:val="30B57CC4"/>
    <w:rsid w:val="313C3C3D"/>
    <w:rsid w:val="31B9528D"/>
    <w:rsid w:val="3281224F"/>
    <w:rsid w:val="33B57CD6"/>
    <w:rsid w:val="33C22CE8"/>
    <w:rsid w:val="34160775"/>
    <w:rsid w:val="34190265"/>
    <w:rsid w:val="34337579"/>
    <w:rsid w:val="343706EB"/>
    <w:rsid w:val="34607270"/>
    <w:rsid w:val="34796F56"/>
    <w:rsid w:val="348A2F11"/>
    <w:rsid w:val="34A915E9"/>
    <w:rsid w:val="34C24459"/>
    <w:rsid w:val="35016419"/>
    <w:rsid w:val="350C04A9"/>
    <w:rsid w:val="35325A82"/>
    <w:rsid w:val="35AE657E"/>
    <w:rsid w:val="35D20A58"/>
    <w:rsid w:val="36027F98"/>
    <w:rsid w:val="366559E4"/>
    <w:rsid w:val="3692525E"/>
    <w:rsid w:val="36B33543"/>
    <w:rsid w:val="37753CAD"/>
    <w:rsid w:val="37B6456A"/>
    <w:rsid w:val="37DC1CD5"/>
    <w:rsid w:val="385201EA"/>
    <w:rsid w:val="38CC7F9C"/>
    <w:rsid w:val="398114C3"/>
    <w:rsid w:val="399C62AC"/>
    <w:rsid w:val="3A484BBE"/>
    <w:rsid w:val="3A9B19D4"/>
    <w:rsid w:val="3AB16704"/>
    <w:rsid w:val="3AE84520"/>
    <w:rsid w:val="3AEC0481"/>
    <w:rsid w:val="3AEF3ACE"/>
    <w:rsid w:val="3BE73A1E"/>
    <w:rsid w:val="3BEE0229"/>
    <w:rsid w:val="3C3D70F4"/>
    <w:rsid w:val="3C574020"/>
    <w:rsid w:val="3CFE624A"/>
    <w:rsid w:val="3D1126C8"/>
    <w:rsid w:val="3D4203D1"/>
    <w:rsid w:val="3D801355"/>
    <w:rsid w:val="3DFE0FBD"/>
    <w:rsid w:val="3E8E7741"/>
    <w:rsid w:val="3EE15F87"/>
    <w:rsid w:val="3F0264C5"/>
    <w:rsid w:val="3FB62E0C"/>
    <w:rsid w:val="3FE84DE8"/>
    <w:rsid w:val="4004626D"/>
    <w:rsid w:val="403D52DB"/>
    <w:rsid w:val="40692574"/>
    <w:rsid w:val="409018AF"/>
    <w:rsid w:val="40960E1A"/>
    <w:rsid w:val="40FA1332"/>
    <w:rsid w:val="41C31810"/>
    <w:rsid w:val="42075BA1"/>
    <w:rsid w:val="42344A87"/>
    <w:rsid w:val="42707BEA"/>
    <w:rsid w:val="429A4C67"/>
    <w:rsid w:val="431F6F1A"/>
    <w:rsid w:val="432C24B3"/>
    <w:rsid w:val="44CD7E13"/>
    <w:rsid w:val="45350C77"/>
    <w:rsid w:val="453942C3"/>
    <w:rsid w:val="46130FB8"/>
    <w:rsid w:val="46B44C14"/>
    <w:rsid w:val="47170634"/>
    <w:rsid w:val="47CB7671"/>
    <w:rsid w:val="47D14C87"/>
    <w:rsid w:val="484713ED"/>
    <w:rsid w:val="48751DE7"/>
    <w:rsid w:val="49072513"/>
    <w:rsid w:val="494B6CBB"/>
    <w:rsid w:val="4A565917"/>
    <w:rsid w:val="4A8A3813"/>
    <w:rsid w:val="4A8F4985"/>
    <w:rsid w:val="4ADA20A4"/>
    <w:rsid w:val="4AE16948"/>
    <w:rsid w:val="4B741DF2"/>
    <w:rsid w:val="4C765DFD"/>
    <w:rsid w:val="4C9E35A6"/>
    <w:rsid w:val="4CF91432"/>
    <w:rsid w:val="4D534390"/>
    <w:rsid w:val="4E4067A7"/>
    <w:rsid w:val="4E4A7541"/>
    <w:rsid w:val="4E597784"/>
    <w:rsid w:val="4E9C3B15"/>
    <w:rsid w:val="4E9E5ADF"/>
    <w:rsid w:val="4EAD187E"/>
    <w:rsid w:val="4F0935BC"/>
    <w:rsid w:val="4F2A7373"/>
    <w:rsid w:val="4F3557D2"/>
    <w:rsid w:val="4F3E5FD3"/>
    <w:rsid w:val="4F9F2D25"/>
    <w:rsid w:val="503A37BB"/>
    <w:rsid w:val="50B878CC"/>
    <w:rsid w:val="511C5981"/>
    <w:rsid w:val="51404C2B"/>
    <w:rsid w:val="517B2107"/>
    <w:rsid w:val="51976F41"/>
    <w:rsid w:val="51AB50F9"/>
    <w:rsid w:val="51CB149B"/>
    <w:rsid w:val="51E657D3"/>
    <w:rsid w:val="521265C8"/>
    <w:rsid w:val="521340EE"/>
    <w:rsid w:val="52433DB5"/>
    <w:rsid w:val="531342F1"/>
    <w:rsid w:val="537E1A3B"/>
    <w:rsid w:val="5402441A"/>
    <w:rsid w:val="544B7B6F"/>
    <w:rsid w:val="545C3B2A"/>
    <w:rsid w:val="54D9161F"/>
    <w:rsid w:val="552A1E7A"/>
    <w:rsid w:val="558C48E3"/>
    <w:rsid w:val="567710EF"/>
    <w:rsid w:val="56CF0F2B"/>
    <w:rsid w:val="56D16312"/>
    <w:rsid w:val="57004D88"/>
    <w:rsid w:val="57521214"/>
    <w:rsid w:val="575D6537"/>
    <w:rsid w:val="57CB5299"/>
    <w:rsid w:val="5800668B"/>
    <w:rsid w:val="581B3CFC"/>
    <w:rsid w:val="58894A01"/>
    <w:rsid w:val="58C83E84"/>
    <w:rsid w:val="58D565A1"/>
    <w:rsid w:val="58F438A7"/>
    <w:rsid w:val="59E06FAB"/>
    <w:rsid w:val="5A1F5D26"/>
    <w:rsid w:val="5B2829B8"/>
    <w:rsid w:val="5BC53F6F"/>
    <w:rsid w:val="5BF3746A"/>
    <w:rsid w:val="5C1667A8"/>
    <w:rsid w:val="5C3435DF"/>
    <w:rsid w:val="5C5E56D9"/>
    <w:rsid w:val="5C947B63"/>
    <w:rsid w:val="5CE85B9A"/>
    <w:rsid w:val="5D1D22C5"/>
    <w:rsid w:val="5D6677C8"/>
    <w:rsid w:val="5D964551"/>
    <w:rsid w:val="5DB9023F"/>
    <w:rsid w:val="5DDC6E91"/>
    <w:rsid w:val="5DFA4C08"/>
    <w:rsid w:val="5E23390B"/>
    <w:rsid w:val="5E9D546B"/>
    <w:rsid w:val="5EE96902"/>
    <w:rsid w:val="5F930AF8"/>
    <w:rsid w:val="5F942E5D"/>
    <w:rsid w:val="5FE61094"/>
    <w:rsid w:val="600424CE"/>
    <w:rsid w:val="605602F3"/>
    <w:rsid w:val="60B702D3"/>
    <w:rsid w:val="620F52C2"/>
    <w:rsid w:val="624F4CCE"/>
    <w:rsid w:val="629C61EA"/>
    <w:rsid w:val="62AD115F"/>
    <w:rsid w:val="636A472B"/>
    <w:rsid w:val="637440BD"/>
    <w:rsid w:val="639114B0"/>
    <w:rsid w:val="63BA6ABF"/>
    <w:rsid w:val="63D14E4F"/>
    <w:rsid w:val="63FF2724"/>
    <w:rsid w:val="64D02239"/>
    <w:rsid w:val="64E9765C"/>
    <w:rsid w:val="656A50F4"/>
    <w:rsid w:val="67062328"/>
    <w:rsid w:val="67073DC9"/>
    <w:rsid w:val="6727621A"/>
    <w:rsid w:val="6742012C"/>
    <w:rsid w:val="676D288A"/>
    <w:rsid w:val="676E5BF7"/>
    <w:rsid w:val="678D7805"/>
    <w:rsid w:val="67955334"/>
    <w:rsid w:val="67B93E71"/>
    <w:rsid w:val="67BC2E06"/>
    <w:rsid w:val="688B47FD"/>
    <w:rsid w:val="689B6EBF"/>
    <w:rsid w:val="68E85E7D"/>
    <w:rsid w:val="69407425"/>
    <w:rsid w:val="69900EBC"/>
    <w:rsid w:val="69B83C53"/>
    <w:rsid w:val="69D106BF"/>
    <w:rsid w:val="69DE2069"/>
    <w:rsid w:val="6A2922A9"/>
    <w:rsid w:val="6A955B90"/>
    <w:rsid w:val="6B0A1475"/>
    <w:rsid w:val="6BDB00F9"/>
    <w:rsid w:val="6C066D46"/>
    <w:rsid w:val="6C447F32"/>
    <w:rsid w:val="6C4E5FF7"/>
    <w:rsid w:val="6CAA5C57"/>
    <w:rsid w:val="6D7805C3"/>
    <w:rsid w:val="6D82752C"/>
    <w:rsid w:val="6E69248F"/>
    <w:rsid w:val="6EA2087C"/>
    <w:rsid w:val="6EDA0016"/>
    <w:rsid w:val="6F40256E"/>
    <w:rsid w:val="6F4162E7"/>
    <w:rsid w:val="6F742218"/>
    <w:rsid w:val="700C69E4"/>
    <w:rsid w:val="70A6225D"/>
    <w:rsid w:val="70B52AE8"/>
    <w:rsid w:val="70E17439"/>
    <w:rsid w:val="70F92B9C"/>
    <w:rsid w:val="71015D2D"/>
    <w:rsid w:val="71436346"/>
    <w:rsid w:val="71DB601E"/>
    <w:rsid w:val="72125C50"/>
    <w:rsid w:val="72605EE6"/>
    <w:rsid w:val="728E26E4"/>
    <w:rsid w:val="72C72545"/>
    <w:rsid w:val="72DA5500"/>
    <w:rsid w:val="731C5A33"/>
    <w:rsid w:val="73832A2A"/>
    <w:rsid w:val="7386251A"/>
    <w:rsid w:val="73A17354"/>
    <w:rsid w:val="73B11254"/>
    <w:rsid w:val="74320B5B"/>
    <w:rsid w:val="743E4BA3"/>
    <w:rsid w:val="74512B28"/>
    <w:rsid w:val="74582108"/>
    <w:rsid w:val="74B20E49"/>
    <w:rsid w:val="74D3353D"/>
    <w:rsid w:val="75061B64"/>
    <w:rsid w:val="7530273D"/>
    <w:rsid w:val="758B30E4"/>
    <w:rsid w:val="769A175B"/>
    <w:rsid w:val="7758241F"/>
    <w:rsid w:val="775C3CBE"/>
    <w:rsid w:val="777716B3"/>
    <w:rsid w:val="77955421"/>
    <w:rsid w:val="77E12415"/>
    <w:rsid w:val="789F751B"/>
    <w:rsid w:val="78AE679B"/>
    <w:rsid w:val="794E77E4"/>
    <w:rsid w:val="79E77869"/>
    <w:rsid w:val="7AE77D42"/>
    <w:rsid w:val="7B580C40"/>
    <w:rsid w:val="7B6746CD"/>
    <w:rsid w:val="7BA26207"/>
    <w:rsid w:val="7BC13CD3"/>
    <w:rsid w:val="7BD76009"/>
    <w:rsid w:val="7CAC65A3"/>
    <w:rsid w:val="7CDE2919"/>
    <w:rsid w:val="7D9A6CFD"/>
    <w:rsid w:val="7DC205F3"/>
    <w:rsid w:val="7DCF0EA1"/>
    <w:rsid w:val="7DFD787D"/>
    <w:rsid w:val="7E350DC4"/>
    <w:rsid w:val="7E36758B"/>
    <w:rsid w:val="7F197563"/>
    <w:rsid w:val="7F23487F"/>
    <w:rsid w:val="7F4946CE"/>
    <w:rsid w:val="7F606315"/>
    <w:rsid w:val="7F792F33"/>
    <w:rsid w:val="7FCC575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4">
    <w:name w:val="heading 2"/>
    <w:basedOn w:val="1"/>
    <w:next w:val="1"/>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1"/>
    <w:qFormat/>
    <w:uiPriority w:val="0"/>
    <w:pPr>
      <w:ind w:firstLine="420" w:firstLineChars="200"/>
    </w:pPr>
    <w:rPr>
      <w:kern w:val="0"/>
      <w:sz w:val="20"/>
      <w:szCs w:val="24"/>
    </w:rPr>
  </w:style>
  <w:style w:type="paragraph" w:styleId="12">
    <w:name w:val="toc 5"/>
    <w:basedOn w:val="1"/>
    <w:next w:val="1"/>
    <w:qFormat/>
    <w:uiPriority w:val="0"/>
    <w:pPr>
      <w:ind w:left="840"/>
      <w:jc w:val="left"/>
    </w:pPr>
    <w:rPr>
      <w:rFonts w:ascii="Calibri" w:hAnsi="Calibri"/>
      <w:sz w:val="18"/>
      <w:szCs w:val="18"/>
    </w:rPr>
  </w:style>
  <w:style w:type="paragraph" w:styleId="13">
    <w:name w:val="Plain Text"/>
    <w:basedOn w:val="1"/>
    <w:qFormat/>
    <w:uiPriority w:val="0"/>
    <w:rPr>
      <w:rFonts w:ascii="宋体" w:hAnsi="Courier New"/>
      <w:szCs w:val="20"/>
    </w:rPr>
  </w:style>
  <w:style w:type="paragraph" w:styleId="14">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Number 5"/>
    <w:basedOn w:val="1"/>
    <w:qFormat/>
    <w:uiPriority w:val="0"/>
    <w:pPr>
      <w:numPr>
        <w:ilvl w:val="0"/>
        <w:numId w:val="1"/>
      </w:numPr>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1"/>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Default"/>
    <w:next w:val="25"/>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_Style 2"/>
    <w:basedOn w:val="1"/>
    <w:next w:val="1"/>
    <w:autoRedefine/>
    <w:qFormat/>
    <w:uiPriority w:val="99"/>
    <w:pPr>
      <w:ind w:firstLine="420" w:firstLineChars="200"/>
    </w:p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标题 1 Char"/>
    <w:link w:val="3"/>
    <w:qFormat/>
    <w:uiPriority w:val="0"/>
    <w:rPr>
      <w:rFonts w:ascii="宋体"/>
      <w:b/>
      <w:kern w:val="44"/>
      <w:sz w:val="32"/>
      <w:szCs w:val="20"/>
    </w:rPr>
  </w:style>
  <w:style w:type="character" w:customStyle="1" w:styleId="33">
    <w:name w:val="NormalCharacter"/>
    <w:autoRedefine/>
    <w:qFormat/>
    <w:uiPriority w:val="99"/>
    <w:rPr>
      <w:kern w:val="2"/>
      <w:sz w:val="21"/>
      <w:szCs w:val="24"/>
      <w:lang w:val="en-US" w:eastAsia="zh-CN" w:bidi="ar-SA"/>
    </w:rPr>
  </w:style>
  <w:style w:type="character" w:customStyle="1" w:styleId="34">
    <w:name w:val="font11"/>
    <w:basedOn w:val="21"/>
    <w:autoRedefine/>
    <w:qFormat/>
    <w:uiPriority w:val="0"/>
    <w:rPr>
      <w:rFonts w:hint="eastAsia" w:ascii="仿宋" w:hAnsi="仿宋" w:eastAsia="仿宋" w:cs="仿宋"/>
      <w:color w:val="000000"/>
      <w:sz w:val="28"/>
      <w:szCs w:val="28"/>
      <w:u w:val="none"/>
    </w:rPr>
  </w:style>
  <w:style w:type="paragraph" w:customStyle="1" w:styleId="35">
    <w:name w:val="首行缩进"/>
    <w:basedOn w:val="1"/>
    <w:autoRedefine/>
    <w:qFormat/>
    <w:uiPriority w:val="0"/>
    <w:pPr>
      <w:ind w:firstLine="480" w:firstLineChars="200"/>
    </w:pPr>
    <w:rPr>
      <w:lang w:val="zh-CN"/>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37">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8">
    <w:name w:val="PlainText"/>
    <w:basedOn w:val="1"/>
    <w:autoRedefine/>
    <w:qFormat/>
    <w:uiPriority w:val="99"/>
    <w:pPr>
      <w:textAlignment w:val="baseline"/>
    </w:pPr>
    <w:rPr>
      <w:rFonts w:ascii="宋体" w:hAnsi="Courier New" w:cs="宋体"/>
    </w:rPr>
  </w:style>
  <w:style w:type="paragraph" w:customStyle="1" w:styleId="39">
    <w:name w:val="UserStyle_10"/>
    <w:next w:val="1"/>
    <w:autoRedefine/>
    <w:qFormat/>
    <w:uiPriority w:val="99"/>
    <w:pPr>
      <w:ind w:firstLine="200" w:firstLineChars="200"/>
      <w:jc w:val="both"/>
      <w:textAlignment w:val="baseline"/>
    </w:pPr>
    <w:rPr>
      <w:rFonts w:ascii="宋体" w:hAnsi="Calibri" w:eastAsia="宋体" w:cs="宋体"/>
      <w:kern w:val="2"/>
      <w:sz w:val="21"/>
      <w:szCs w:val="21"/>
      <w:lang w:val="en-US" w:eastAsia="zh-CN" w:bidi="ar-SA"/>
    </w:rPr>
  </w:style>
  <w:style w:type="paragraph" w:customStyle="1" w:styleId="40">
    <w:name w:val="缺省文本"/>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36613</Words>
  <Characters>38428</Characters>
  <Lines>0</Lines>
  <Paragraphs>0</Paragraphs>
  <TotalTime>69</TotalTime>
  <ScaleCrop>false</ScaleCrop>
  <LinksUpToDate>false</LinksUpToDate>
  <CharactersWithSpaces>38683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2025-06-22T04:29:00Z</dcterms:created>
  <dc:creator>14470</dc:creator>
  <cp:lastModifiedBy>媛媛媛</cp:lastModifiedBy>
  <cp:lastPrinted>2025-06-23T09:51:00Z</cp:lastPrinted>
  <dcterms:modified xsi:type="dcterms:W3CDTF">2025-07-03T10:12:53Z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eyJoZGlkIjoiNjc2NGQ3YWZhZGU0ZjY1YjQ5ZDFkMDg0ZjQxYmU0NzQiLCJ1c2VySWQiOiI0MjM2NDYwMDcifQ==</vt:lpwstr>
  </property>
  <property fmtid="{D5CDD505-2E9C-101B-9397-08002B2CF9AE}" pid="4" name="ICV">
    <vt:lpwstr>4EFBEA2F5E774BD9B20BC4623F88B908_13</vt:lpwstr>
  </property>
</Properties>
</file>