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jc w:val="left"/>
        <w:rPr>
          <w:rFonts w:hint="eastAsia" w:ascii="宋体" w:hAnsi="宋体" w:cs="宋体"/>
          <w:b/>
          <w:color w:val="auto"/>
          <w:sz w:val="24"/>
          <w:szCs w:val="24"/>
          <w:lang w:val="en-US" w:eastAsia="zh-CN"/>
        </w:rPr>
      </w:pPr>
    </w:p>
    <w:p>
      <w:pPr>
        <w:pStyle w:val="4"/>
        <w:ind w:left="1277" w:leftChars="494" w:hanging="240" w:hangingChars="100"/>
        <w:rPr>
          <w:rFonts w:hint="eastAsia" w:eastAsia="黑体" w:cs="Times New Roman"/>
          <w:color w:val="auto"/>
          <w:sz w:val="52"/>
          <w:szCs w:val="52"/>
          <w:lang w:val="en-US" w:eastAsia="zh-CN"/>
        </w:rPr>
      </w:pPr>
      <w:r>
        <w:rPr>
          <w:rFonts w:hint="eastAsia" w:ascii="宋体" w:hAnsi="宋体" w:cs="宋体"/>
          <w:b/>
          <w:color w:val="auto"/>
          <w:sz w:val="24"/>
          <w:szCs w:val="24"/>
          <w:lang w:val="en-US" w:eastAsia="zh-CN"/>
        </w:rPr>
        <w:t xml:space="preserve">                                              </w:t>
      </w:r>
      <w:r>
        <w:rPr>
          <w:rFonts w:hint="eastAsia" w:ascii="宋体" w:hAnsi="宋体" w:cs="宋体"/>
          <w:b w:val="0"/>
          <w:bCs/>
          <w:color w:val="auto"/>
          <w:sz w:val="28"/>
          <w:szCs w:val="28"/>
          <w:lang w:val="en-US" w:eastAsia="zh-CN"/>
        </w:rPr>
        <w:t xml:space="preserve"> </w:t>
      </w:r>
      <w:r>
        <w:rPr>
          <w:rFonts w:hint="eastAsia" w:ascii="宋体" w:hAnsi="宋体" w:cs="宋体"/>
          <w:b w:val="0"/>
          <w:bCs/>
          <w:color w:val="auto"/>
          <w:sz w:val="28"/>
          <w:szCs w:val="28"/>
        </w:rPr>
        <w:t>编号：</w:t>
      </w:r>
      <w:r>
        <w:rPr>
          <w:rFonts w:hint="eastAsia"/>
          <w:b w:val="0"/>
          <w:bCs/>
          <w:sz w:val="28"/>
          <w:szCs w:val="28"/>
          <w:lang w:eastAsia="zh-CN"/>
        </w:rPr>
        <w:t>XJQZ-2025-01</w:t>
      </w:r>
      <w:r>
        <w:rPr>
          <w:rFonts w:hint="eastAsia"/>
          <w:b w:val="0"/>
          <w:bCs/>
          <w:sz w:val="28"/>
          <w:szCs w:val="28"/>
          <w:lang w:val="en-US" w:eastAsia="zh-CN"/>
        </w:rPr>
        <w:t>9</w:t>
      </w:r>
      <w:r>
        <w:rPr>
          <w:rFonts w:hint="eastAsia"/>
          <w:b w:val="0"/>
          <w:bCs/>
          <w:sz w:val="28"/>
          <w:szCs w:val="28"/>
          <w:lang w:eastAsia="zh-CN"/>
        </w:rPr>
        <w:t>-1</w:t>
      </w:r>
    </w:p>
    <w:p>
      <w:pPr>
        <w:pStyle w:val="4"/>
        <w:spacing w:before="0" w:after="0" w:line="240" w:lineRule="auto"/>
        <w:ind w:left="1040" w:leftChars="0" w:hanging="1040" w:hangingChars="200"/>
        <w:rPr>
          <w:rFonts w:hint="eastAsia" w:cs="Times New Roman"/>
          <w:color w:val="auto"/>
          <w:sz w:val="52"/>
          <w:szCs w:val="52"/>
          <w:lang w:val="en-US" w:eastAsia="zh-CN"/>
        </w:rPr>
      </w:pPr>
      <w:r>
        <w:rPr>
          <w:rFonts w:hint="eastAsia" w:cs="Times New Roman"/>
          <w:color w:val="auto"/>
          <w:sz w:val="52"/>
          <w:szCs w:val="52"/>
          <w:lang w:val="en-US" w:eastAsia="zh-CN"/>
        </w:rPr>
        <w:t>霍尔果斯市兴城街道区域养老服务中心改造提升项目（一标段）磋商文件</w:t>
      </w:r>
    </w:p>
    <w:p>
      <w:pPr>
        <w:pStyle w:val="12"/>
        <w:spacing w:line="400" w:lineRule="atLeast"/>
        <w:rPr>
          <w:rFonts w:hAnsi="宋体" w:cs="宋体"/>
          <w:b/>
          <w:color w:val="auto"/>
        </w:rPr>
      </w:pPr>
    </w:p>
    <w:p>
      <w:pPr>
        <w:pStyle w:val="12"/>
        <w:spacing w:line="400" w:lineRule="atLeast"/>
        <w:rPr>
          <w:rFonts w:hAnsi="宋体" w:cs="宋体"/>
          <w:b/>
          <w:color w:val="auto"/>
        </w:rPr>
      </w:pPr>
    </w:p>
    <w:p>
      <w:pPr>
        <w:pStyle w:val="12"/>
        <w:spacing w:line="400" w:lineRule="atLeast"/>
        <w:rPr>
          <w:rFonts w:hAnsi="宋体" w:cs="宋体"/>
          <w:b/>
          <w:color w:val="auto"/>
        </w:rPr>
      </w:pPr>
    </w:p>
    <w:p>
      <w:pPr>
        <w:pStyle w:val="12"/>
        <w:spacing w:line="400" w:lineRule="atLeast"/>
        <w:rPr>
          <w:rFonts w:hAnsi="宋体" w:cs="宋体"/>
          <w:b/>
          <w:color w:val="auto"/>
        </w:rPr>
      </w:pPr>
    </w:p>
    <w:p>
      <w:pPr>
        <w:spacing w:line="240" w:lineRule="auto"/>
        <w:jc w:val="both"/>
        <w:rPr>
          <w:rFonts w:hint="eastAsia" w:ascii="宋体" w:hAnsi="宋体" w:eastAsia="宋体" w:cs="宋体"/>
          <w:b/>
          <w:color w:val="auto"/>
          <w:kern w:val="2"/>
          <w:sz w:val="32"/>
          <w:szCs w:val="32"/>
          <w:lang w:val="en-US" w:eastAsia="zh-CN" w:bidi="ar-SA"/>
        </w:rPr>
      </w:pPr>
    </w:p>
    <w:p>
      <w:pPr>
        <w:spacing w:line="240" w:lineRule="auto"/>
        <w:jc w:val="both"/>
        <w:rPr>
          <w:rFonts w:hint="eastAsia" w:ascii="宋体" w:hAnsi="宋体" w:eastAsia="宋体" w:cs="宋体"/>
          <w:b/>
          <w:color w:val="auto"/>
          <w:kern w:val="2"/>
          <w:sz w:val="32"/>
          <w:szCs w:val="32"/>
          <w:lang w:val="en-US" w:eastAsia="zh-CN" w:bidi="ar-SA"/>
        </w:rPr>
      </w:pPr>
    </w:p>
    <w:p>
      <w:pPr>
        <w:spacing w:line="240" w:lineRule="auto"/>
        <w:ind w:firstLine="1280" w:firstLineChars="400"/>
        <w:jc w:val="both"/>
        <w:rPr>
          <w:rFonts w:hint="eastAsia" w:ascii="宋体" w:hAnsi="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项目编号：</w:t>
      </w:r>
      <w:r>
        <w:rPr>
          <w:rFonts w:hint="eastAsia" w:ascii="宋体" w:hAnsi="宋体" w:cs="宋体"/>
          <w:b/>
          <w:color w:val="auto"/>
          <w:kern w:val="2"/>
          <w:sz w:val="32"/>
          <w:szCs w:val="32"/>
          <w:lang w:val="en-US" w:eastAsia="zh-CN" w:bidi="ar-SA"/>
        </w:rPr>
        <w:t>XJQZ-2025-019-1</w:t>
      </w:r>
    </w:p>
    <w:p>
      <w:pPr>
        <w:spacing w:line="240" w:lineRule="auto"/>
        <w:ind w:firstLine="1280" w:firstLineChars="400"/>
        <w:jc w:val="both"/>
        <w:rPr>
          <w:rFonts w:hint="eastAsia" w:ascii="宋体" w:hAnsi="宋体" w:eastAsia="宋体" w:cs="宋体"/>
          <w:b/>
          <w:color w:val="auto"/>
          <w:kern w:val="2"/>
          <w:sz w:val="32"/>
          <w:szCs w:val="32"/>
          <w:lang w:val="en-US" w:eastAsia="zh-CN" w:bidi="ar-SA"/>
        </w:rPr>
      </w:pPr>
    </w:p>
    <w:p>
      <w:pPr>
        <w:spacing w:line="240" w:lineRule="auto"/>
        <w:ind w:left="2876" w:leftChars="608" w:hanging="1600" w:hangingChars="500"/>
        <w:jc w:val="both"/>
        <w:rPr>
          <w:rFonts w:hint="eastAsia"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项目名称</w:t>
      </w:r>
      <w:r>
        <w:rPr>
          <w:rFonts w:hint="eastAsia" w:ascii="宋体" w:hAnsi="宋体" w:cs="宋体"/>
          <w:b/>
          <w:color w:val="auto"/>
          <w:kern w:val="2"/>
          <w:sz w:val="32"/>
          <w:szCs w:val="32"/>
          <w:lang w:val="en-US" w:eastAsia="zh-CN" w:bidi="ar-SA"/>
        </w:rPr>
        <w:t>：霍尔果斯市兴城街道区域养老服务中心改造提升 项目（一标段）</w:t>
      </w:r>
    </w:p>
    <w:p>
      <w:pPr>
        <w:spacing w:line="240" w:lineRule="auto"/>
        <w:ind w:firstLine="1280" w:firstLineChars="400"/>
        <w:jc w:val="both"/>
        <w:rPr>
          <w:rFonts w:hint="eastAsia" w:ascii="宋体" w:hAnsi="宋体" w:eastAsia="宋体" w:cs="宋体"/>
          <w:b/>
          <w:color w:val="auto"/>
          <w:kern w:val="2"/>
          <w:sz w:val="32"/>
          <w:szCs w:val="32"/>
          <w:lang w:val="en-US" w:eastAsia="zh-CN" w:bidi="ar-SA"/>
        </w:rPr>
      </w:pPr>
    </w:p>
    <w:p>
      <w:pPr>
        <w:spacing w:line="240" w:lineRule="auto"/>
        <w:ind w:firstLine="1280" w:firstLineChars="400"/>
        <w:jc w:val="both"/>
        <w:rPr>
          <w:rFonts w:hint="default"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委托单位：</w:t>
      </w:r>
      <w:r>
        <w:rPr>
          <w:rFonts w:hint="eastAsia" w:ascii="宋体" w:hAnsi="宋体" w:cs="宋体"/>
          <w:b/>
          <w:color w:val="auto"/>
          <w:kern w:val="2"/>
          <w:sz w:val="32"/>
          <w:szCs w:val="32"/>
          <w:lang w:val="en-US" w:eastAsia="zh-CN" w:bidi="ar-SA"/>
        </w:rPr>
        <w:t>霍尔果斯市民政局</w:t>
      </w:r>
    </w:p>
    <w:p>
      <w:pPr>
        <w:pStyle w:val="10"/>
        <w:ind w:left="0" w:leftChars="0" w:firstLine="1280" w:firstLineChars="400"/>
        <w:rPr>
          <w:rFonts w:hint="eastAsia" w:ascii="宋体" w:hAnsi="宋体" w:eastAsia="宋体" w:cs="宋体"/>
          <w:b/>
          <w:color w:val="auto"/>
          <w:kern w:val="2"/>
          <w:sz w:val="32"/>
          <w:szCs w:val="32"/>
          <w:lang w:val="en-US" w:eastAsia="zh-CN" w:bidi="ar-SA"/>
        </w:rPr>
      </w:pPr>
    </w:p>
    <w:p>
      <w:pPr>
        <w:pStyle w:val="10"/>
        <w:ind w:left="0" w:leftChars="0" w:firstLine="1280" w:firstLineChars="400"/>
        <w:rPr>
          <w:rFonts w:hint="default"/>
          <w:b/>
          <w:color w:val="auto"/>
          <w:sz w:val="32"/>
          <w:szCs w:val="32"/>
          <w:lang w:val="en-US"/>
        </w:rPr>
      </w:pPr>
      <w:r>
        <w:rPr>
          <w:rFonts w:hint="eastAsia" w:ascii="宋体" w:hAnsi="宋体" w:eastAsia="宋体" w:cs="宋体"/>
          <w:b/>
          <w:color w:val="auto"/>
          <w:kern w:val="2"/>
          <w:sz w:val="32"/>
          <w:szCs w:val="32"/>
          <w:lang w:val="en-US" w:eastAsia="zh-CN" w:bidi="ar-SA"/>
        </w:rPr>
        <w:t>采购代理：新疆</w:t>
      </w:r>
      <w:r>
        <w:rPr>
          <w:rFonts w:hint="eastAsia" w:ascii="宋体" w:hAnsi="宋体" w:cs="宋体"/>
          <w:b/>
          <w:color w:val="auto"/>
          <w:kern w:val="2"/>
          <w:sz w:val="32"/>
          <w:szCs w:val="32"/>
          <w:lang w:val="en-US" w:eastAsia="zh-CN" w:bidi="ar-SA"/>
        </w:rPr>
        <w:t>启中项目管理有限公司</w:t>
      </w:r>
    </w:p>
    <w:p>
      <w:pPr>
        <w:pStyle w:val="2"/>
        <w:ind w:left="0" w:leftChars="0" w:firstLine="0" w:firstLineChars="0"/>
        <w:rPr>
          <w:rFonts w:hint="eastAsia"/>
          <w:b/>
          <w:color w:val="auto"/>
          <w:sz w:val="32"/>
          <w:szCs w:val="32"/>
        </w:rPr>
      </w:pPr>
    </w:p>
    <w:p>
      <w:pPr>
        <w:pStyle w:val="9"/>
        <w:spacing w:line="240" w:lineRule="auto"/>
        <w:ind w:firstLine="3520" w:firstLineChars="1100"/>
        <w:jc w:val="both"/>
        <w:rPr>
          <w:rFonts w:hint="eastAsia"/>
          <w:b/>
          <w:color w:val="auto"/>
          <w:sz w:val="32"/>
          <w:szCs w:val="32"/>
        </w:rPr>
      </w:pPr>
      <w:r>
        <w:rPr>
          <w:rFonts w:hint="eastAsia"/>
          <w:b/>
          <w:color w:val="auto"/>
          <w:sz w:val="32"/>
          <w:szCs w:val="32"/>
        </w:rPr>
        <w:t>202</w:t>
      </w:r>
      <w:r>
        <w:rPr>
          <w:rFonts w:hint="eastAsia"/>
          <w:b/>
          <w:color w:val="auto"/>
          <w:sz w:val="32"/>
          <w:szCs w:val="32"/>
          <w:lang w:val="en-US" w:eastAsia="zh-CN"/>
        </w:rPr>
        <w:t>5</w:t>
      </w:r>
      <w:r>
        <w:rPr>
          <w:rFonts w:hint="eastAsia"/>
          <w:b/>
          <w:color w:val="auto"/>
          <w:sz w:val="32"/>
          <w:szCs w:val="32"/>
        </w:rPr>
        <w:t>年</w:t>
      </w:r>
      <w:r>
        <w:rPr>
          <w:rFonts w:hint="eastAsia"/>
          <w:b/>
          <w:color w:val="auto"/>
          <w:sz w:val="32"/>
          <w:szCs w:val="32"/>
          <w:lang w:val="en-US" w:eastAsia="zh-CN"/>
        </w:rPr>
        <w:t>05</w:t>
      </w:r>
      <w:r>
        <w:rPr>
          <w:rFonts w:hint="eastAsia"/>
          <w:b/>
          <w:color w:val="auto"/>
          <w:sz w:val="32"/>
          <w:szCs w:val="32"/>
        </w:rPr>
        <w:t>月</w:t>
      </w:r>
    </w:p>
    <w:p>
      <w:pPr>
        <w:spacing w:line="360" w:lineRule="auto"/>
        <w:jc w:val="both"/>
        <w:rPr>
          <w:rFonts w:hint="eastAsia" w:asciiTheme="minorEastAsia" w:hAnsiTheme="minorEastAsia" w:eastAsiaTheme="minorEastAsia" w:cstheme="minorEastAsia"/>
          <w:b/>
          <w:color w:val="auto"/>
          <w:sz w:val="36"/>
        </w:rPr>
      </w:pPr>
    </w:p>
    <w:p>
      <w:pPr>
        <w:pStyle w:val="2"/>
        <w:ind w:left="0" w:leftChars="0" w:firstLine="0" w:firstLineChars="0"/>
        <w:rPr>
          <w:rFonts w:hint="eastAsia" w:asciiTheme="minorEastAsia" w:hAnsiTheme="minorEastAsia" w:eastAsiaTheme="minorEastAsia" w:cstheme="minorEastAsia"/>
          <w:b/>
          <w:color w:val="auto"/>
          <w:sz w:val="36"/>
        </w:rPr>
      </w:pPr>
    </w:p>
    <w:p>
      <w:pPr>
        <w:pStyle w:val="2"/>
        <w:ind w:left="0" w:leftChars="0" w:firstLine="0" w:firstLineChars="0"/>
        <w:rPr>
          <w:rFonts w:hint="eastAsia" w:asciiTheme="minorEastAsia" w:hAnsiTheme="minorEastAsia" w:eastAsiaTheme="minorEastAsia" w:cstheme="minorEastAsia"/>
          <w:b/>
          <w:color w:val="auto"/>
          <w:sz w:val="36"/>
        </w:rPr>
      </w:pPr>
    </w:p>
    <w:p>
      <w:pPr>
        <w:spacing w:line="360" w:lineRule="auto"/>
        <w:jc w:val="center"/>
        <w:rPr>
          <w:rFonts w:asciiTheme="minorEastAsia" w:hAnsiTheme="minorEastAsia" w:eastAsiaTheme="minorEastAsia" w:cstheme="minorEastAsia"/>
          <w:b/>
          <w:color w:val="auto"/>
          <w:sz w:val="36"/>
        </w:rPr>
      </w:pPr>
      <w:r>
        <w:rPr>
          <w:rFonts w:hint="eastAsia" w:asciiTheme="minorEastAsia" w:hAnsiTheme="minorEastAsia" w:eastAsiaTheme="minorEastAsia" w:cstheme="minorEastAsia"/>
          <w:b/>
          <w:color w:val="auto"/>
          <w:sz w:val="36"/>
        </w:rPr>
        <w:t>目     录</w:t>
      </w:r>
    </w:p>
    <w:p>
      <w:pPr>
        <w:pStyle w:val="15"/>
        <w:tabs>
          <w:tab w:val="right" w:leader="dot" w:pos="8400"/>
          <w:tab w:val="right" w:leader="dot" w:pos="9737"/>
        </w:tabs>
        <w:spacing w:line="360" w:lineRule="auto"/>
        <w:rPr>
          <w:rFonts w:asciiTheme="minorEastAsia" w:hAnsiTheme="minorEastAsia" w:eastAsiaTheme="minorEastAsia" w:cstheme="minorEastAsia"/>
          <w:color w:val="auto"/>
          <w:szCs w:val="22"/>
        </w:rPr>
      </w:pPr>
      <w:r>
        <w:rPr>
          <w:rFonts w:hint="eastAsia" w:asciiTheme="minorEastAsia" w:hAnsiTheme="minorEastAsia" w:eastAsiaTheme="minorEastAsia" w:cstheme="minorEastAsia"/>
          <w:b/>
          <w:color w:val="auto"/>
          <w:sz w:val="24"/>
          <w:szCs w:val="24"/>
        </w:rPr>
        <w:fldChar w:fldCharType="begin"/>
      </w:r>
      <w:r>
        <w:rPr>
          <w:rFonts w:hint="eastAsia" w:asciiTheme="minorEastAsia" w:hAnsiTheme="minorEastAsia" w:eastAsiaTheme="minorEastAsia" w:cstheme="minorEastAsia"/>
          <w:b/>
          <w:color w:val="auto"/>
          <w:sz w:val="24"/>
          <w:szCs w:val="24"/>
        </w:rPr>
        <w:instrText xml:space="preserve"> TOC \o "1-2" \h \z \u </w:instrText>
      </w:r>
      <w:r>
        <w:rPr>
          <w:rFonts w:hint="eastAsia" w:asciiTheme="minorEastAsia" w:hAnsiTheme="minorEastAsia" w:eastAsiaTheme="minorEastAsia" w:cstheme="minorEastAsia"/>
          <w:b/>
          <w:color w:val="auto"/>
          <w:sz w:val="24"/>
          <w:szCs w:val="24"/>
        </w:rPr>
        <w:fldChar w:fldCharType="separate"/>
      </w:r>
      <w:r>
        <w:rPr>
          <w:color w:val="auto"/>
        </w:rPr>
        <w:fldChar w:fldCharType="begin"/>
      </w:r>
      <w:r>
        <w:rPr>
          <w:color w:val="auto"/>
        </w:rPr>
        <w:instrText xml:space="preserve"> HYPERLINK \l "_Toc527642949" </w:instrText>
      </w:r>
      <w:r>
        <w:rPr>
          <w:color w:val="auto"/>
        </w:rPr>
        <w:fldChar w:fldCharType="separate"/>
      </w:r>
      <w:r>
        <w:rPr>
          <w:rStyle w:val="28"/>
          <w:rFonts w:hint="eastAsia" w:asciiTheme="minorEastAsia" w:hAnsiTheme="minorEastAsia" w:eastAsiaTheme="minorEastAsia" w:cstheme="minorEastAsia"/>
          <w:color w:val="auto"/>
        </w:rPr>
        <w:t>第一部分 竞争性磋商公告</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fldChar w:fldCharType="end"/>
      </w:r>
    </w:p>
    <w:p>
      <w:pPr>
        <w:pStyle w:val="15"/>
        <w:tabs>
          <w:tab w:val="right" w:leader="dot" w:pos="8400"/>
          <w:tab w:val="right" w:leader="dot" w:pos="9737"/>
        </w:tabs>
        <w:spacing w:line="360" w:lineRule="auto"/>
        <w:rPr>
          <w:rFonts w:asciiTheme="minorEastAsia" w:hAnsiTheme="minorEastAsia" w:eastAsiaTheme="minorEastAsia" w:cstheme="minorEastAsia"/>
          <w:color w:val="auto"/>
          <w:szCs w:val="22"/>
        </w:rPr>
      </w:pPr>
      <w:r>
        <w:rPr>
          <w:color w:val="auto"/>
        </w:rPr>
        <w:fldChar w:fldCharType="begin"/>
      </w:r>
      <w:r>
        <w:rPr>
          <w:color w:val="auto"/>
        </w:rPr>
        <w:instrText xml:space="preserve"> HYPERLINK \l "_Toc527642950" </w:instrText>
      </w:r>
      <w:r>
        <w:rPr>
          <w:color w:val="auto"/>
        </w:rPr>
        <w:fldChar w:fldCharType="separate"/>
      </w:r>
      <w:r>
        <w:rPr>
          <w:rStyle w:val="28"/>
          <w:rFonts w:hint="eastAsia" w:asciiTheme="minorEastAsia" w:hAnsiTheme="minorEastAsia" w:eastAsiaTheme="minorEastAsia" w:cstheme="minorEastAsia"/>
          <w:color w:val="auto"/>
        </w:rPr>
        <w:t>第二部分  投标人须知</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fldChar w:fldCharType="end"/>
      </w:r>
    </w:p>
    <w:p>
      <w:pPr>
        <w:pStyle w:val="18"/>
        <w:tabs>
          <w:tab w:val="right" w:leader="dot" w:pos="8400"/>
        </w:tabs>
        <w:spacing w:line="360" w:lineRule="auto"/>
        <w:rPr>
          <w:rFonts w:asciiTheme="minorEastAsia" w:hAnsiTheme="minorEastAsia" w:eastAsiaTheme="minorEastAsia" w:cstheme="minorEastAsia"/>
          <w:color w:val="auto"/>
          <w:szCs w:val="22"/>
        </w:rPr>
      </w:pPr>
      <w:r>
        <w:rPr>
          <w:color w:val="auto"/>
        </w:rPr>
        <w:fldChar w:fldCharType="begin"/>
      </w:r>
      <w:r>
        <w:rPr>
          <w:color w:val="auto"/>
        </w:rPr>
        <w:instrText xml:space="preserve"> HYPERLINK \l "_Toc527642951" </w:instrText>
      </w:r>
      <w:r>
        <w:rPr>
          <w:color w:val="auto"/>
        </w:rPr>
        <w:fldChar w:fldCharType="separate"/>
      </w:r>
      <w:r>
        <w:rPr>
          <w:rFonts w:hint="eastAsia"/>
          <w:color w:val="auto"/>
        </w:rPr>
        <w:t>投标人</w:t>
      </w:r>
      <w:r>
        <w:rPr>
          <w:rStyle w:val="28"/>
          <w:rFonts w:hint="eastAsia" w:asciiTheme="minorEastAsia" w:hAnsiTheme="minorEastAsia" w:eastAsiaTheme="minorEastAsia" w:cstheme="minorEastAsia"/>
          <w:color w:val="auto"/>
        </w:rPr>
        <w:t>须知附表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t>3</w:t>
      </w:r>
    </w:p>
    <w:p>
      <w:pPr>
        <w:pStyle w:val="15"/>
        <w:tabs>
          <w:tab w:val="right" w:leader="dot" w:pos="8400"/>
        </w:tabs>
        <w:spacing w:line="360" w:lineRule="auto"/>
        <w:rPr>
          <w:rFonts w:asciiTheme="minorEastAsia" w:hAnsiTheme="minorEastAsia" w:eastAsiaTheme="minorEastAsia" w:cstheme="minorEastAsia"/>
          <w:color w:val="auto"/>
          <w:szCs w:val="22"/>
        </w:rPr>
      </w:pPr>
      <w:r>
        <w:rPr>
          <w:color w:val="auto"/>
        </w:rPr>
        <w:fldChar w:fldCharType="begin"/>
      </w:r>
      <w:r>
        <w:rPr>
          <w:color w:val="auto"/>
        </w:rPr>
        <w:instrText xml:space="preserve"> HYPERLINK \l "_Toc527642959" </w:instrText>
      </w:r>
      <w:r>
        <w:rPr>
          <w:color w:val="auto"/>
        </w:rPr>
        <w:fldChar w:fldCharType="separate"/>
      </w:r>
      <w:r>
        <w:rPr>
          <w:rStyle w:val="28"/>
          <w:rFonts w:hint="eastAsia" w:asciiTheme="minorEastAsia" w:hAnsiTheme="minorEastAsia" w:eastAsiaTheme="minorEastAsia" w:cstheme="minorEastAsia"/>
          <w:color w:val="auto"/>
        </w:rPr>
        <w:t>第三部分  技术要求</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t>4</w:t>
      </w:r>
    </w:p>
    <w:p>
      <w:pPr>
        <w:pStyle w:val="15"/>
        <w:tabs>
          <w:tab w:val="right" w:leader="dot" w:pos="8400"/>
        </w:tabs>
        <w:spacing w:line="360" w:lineRule="auto"/>
        <w:rPr>
          <w:rFonts w:asciiTheme="minorEastAsia" w:hAnsiTheme="minorEastAsia" w:eastAsiaTheme="minorEastAsia" w:cstheme="minorEastAsia"/>
          <w:color w:val="auto"/>
          <w:szCs w:val="22"/>
        </w:rPr>
      </w:pPr>
      <w:r>
        <w:rPr>
          <w:color w:val="auto"/>
        </w:rPr>
        <w:fldChar w:fldCharType="begin"/>
      </w:r>
      <w:r>
        <w:rPr>
          <w:color w:val="auto"/>
        </w:rPr>
        <w:instrText xml:space="preserve"> HYPERLINK \l "_Toc527642960" </w:instrText>
      </w:r>
      <w:r>
        <w:rPr>
          <w:color w:val="auto"/>
        </w:rPr>
        <w:fldChar w:fldCharType="separate"/>
      </w:r>
      <w:r>
        <w:rPr>
          <w:rStyle w:val="28"/>
          <w:rFonts w:hint="eastAsia" w:asciiTheme="minorEastAsia" w:hAnsiTheme="minorEastAsia" w:eastAsiaTheme="minorEastAsia" w:cstheme="minorEastAsia"/>
          <w:color w:val="auto"/>
        </w:rPr>
        <w:t>第四部分 合同条款及格式</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t>5</w:t>
      </w:r>
    </w:p>
    <w:p>
      <w:pPr>
        <w:pStyle w:val="15"/>
        <w:tabs>
          <w:tab w:val="right" w:leader="dot" w:pos="8400"/>
        </w:tabs>
        <w:spacing w:line="360" w:lineRule="auto"/>
        <w:rPr>
          <w:rFonts w:asciiTheme="minorEastAsia" w:hAnsiTheme="minorEastAsia" w:eastAsiaTheme="minorEastAsia" w:cstheme="minorEastAsia"/>
          <w:color w:val="auto"/>
          <w:szCs w:val="22"/>
        </w:rPr>
      </w:pPr>
      <w:r>
        <w:rPr>
          <w:color w:val="auto"/>
        </w:rPr>
        <w:fldChar w:fldCharType="begin"/>
      </w:r>
      <w:r>
        <w:rPr>
          <w:color w:val="auto"/>
        </w:rPr>
        <w:instrText xml:space="preserve"> HYPERLINK \l "_Toc527642969" </w:instrText>
      </w:r>
      <w:r>
        <w:rPr>
          <w:color w:val="auto"/>
        </w:rPr>
        <w:fldChar w:fldCharType="separate"/>
      </w:r>
      <w:r>
        <w:rPr>
          <w:rStyle w:val="28"/>
          <w:rFonts w:hint="eastAsia" w:asciiTheme="minorEastAsia" w:hAnsiTheme="minorEastAsia" w:eastAsiaTheme="minorEastAsia" w:cstheme="minorEastAsia"/>
          <w:color w:val="auto"/>
        </w:rPr>
        <w:t>第五部分 响应文件格式格式</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45</w:t>
      </w:r>
      <w:r>
        <w:rPr>
          <w:rFonts w:hint="eastAsia" w:asciiTheme="minorEastAsia" w:hAnsiTheme="minorEastAsia" w:eastAsiaTheme="minorEastAsia" w:cstheme="minorEastAsia"/>
          <w:color w:val="auto"/>
        </w:rPr>
        <w:fldChar w:fldCharType="end"/>
      </w:r>
    </w:p>
    <w:p>
      <w:pPr>
        <w:pStyle w:val="15"/>
        <w:tabs>
          <w:tab w:val="right" w:leader="dot" w:pos="8541"/>
        </w:tabs>
        <w:spacing w:line="360" w:lineRule="auto"/>
        <w:rPr>
          <w:rStyle w:val="28"/>
          <w:rFonts w:hint="eastAsia" w:asciiTheme="minorEastAsia" w:hAnsiTheme="minorEastAsia" w:eastAsiaTheme="minorEastAsia" w:cstheme="minorEastAsia"/>
          <w:color w:val="auto"/>
          <w:u w:val="none"/>
        </w:rPr>
      </w:pPr>
      <w:r>
        <w:rPr>
          <w:rFonts w:hint="eastAsia" w:asciiTheme="minorEastAsia" w:hAnsiTheme="minorEastAsia" w:eastAsiaTheme="minorEastAsia" w:cstheme="minorEastAsia"/>
          <w:b/>
          <w:color w:val="auto"/>
          <w:sz w:val="24"/>
          <w:szCs w:val="24"/>
        </w:rPr>
        <w:fldChar w:fldCharType="end"/>
      </w:r>
      <w:r>
        <w:rPr>
          <w:rStyle w:val="28"/>
          <w:rFonts w:hint="eastAsia" w:asciiTheme="minorEastAsia" w:hAnsiTheme="minorEastAsia" w:eastAsiaTheme="minorEastAsia" w:cstheme="minorEastAsia"/>
          <w:color w:val="auto"/>
          <w:u w:val="none"/>
        </w:rPr>
        <w:t>第六部分 补充条款</w:t>
      </w:r>
      <w:r>
        <w:rPr>
          <w:rStyle w:val="28"/>
          <w:rFonts w:hint="eastAsia" w:asciiTheme="minorEastAsia" w:hAnsiTheme="minorEastAsia" w:eastAsiaTheme="minorEastAsia" w:cstheme="minorEastAsia"/>
          <w:color w:val="auto"/>
          <w:u w:val="none"/>
        </w:rPr>
        <w:tab/>
      </w:r>
      <w:r>
        <w:rPr>
          <w:rStyle w:val="28"/>
          <w:rFonts w:hint="eastAsia" w:asciiTheme="minorEastAsia" w:hAnsiTheme="minorEastAsia" w:eastAsiaTheme="minorEastAsia" w:cstheme="minorEastAsia"/>
          <w:color w:val="auto"/>
          <w:u w:val="none"/>
        </w:rPr>
        <w:t>68</w:t>
      </w:r>
    </w:p>
    <w:p>
      <w:pPr>
        <w:pStyle w:val="20"/>
        <w:spacing w:before="75" w:beforeAutospacing="0" w:after="75" w:afterAutospacing="0" w:line="360" w:lineRule="auto"/>
        <w:jc w:val="both"/>
        <w:rPr>
          <w:rFonts w:asciiTheme="minorEastAsia" w:hAnsiTheme="minorEastAsia" w:eastAsiaTheme="minorEastAsia" w:cstheme="minorEastAsia"/>
          <w:color w:val="auto"/>
          <w:sz w:val="32"/>
          <w:szCs w:val="32"/>
        </w:rPr>
      </w:pPr>
      <w:bookmarkStart w:id="0" w:name="_Toc527642949"/>
      <w:bookmarkStart w:id="1" w:name="_Toc349573118"/>
      <w:bookmarkStart w:id="2" w:name="_Toc298240402"/>
      <w:bookmarkStart w:id="3" w:name="_Toc349637917"/>
    </w:p>
    <w:p>
      <w:pPr>
        <w:pStyle w:val="20"/>
        <w:spacing w:before="75" w:beforeAutospacing="0" w:after="75" w:afterAutospacing="0" w:line="360" w:lineRule="auto"/>
        <w:jc w:val="both"/>
        <w:rPr>
          <w:rFonts w:asciiTheme="minorEastAsia" w:hAnsiTheme="minorEastAsia" w:eastAsiaTheme="minorEastAsia" w:cstheme="minorEastAsia"/>
          <w:color w:val="auto"/>
          <w:sz w:val="32"/>
          <w:szCs w:val="32"/>
        </w:rPr>
      </w:pPr>
    </w:p>
    <w:p>
      <w:pPr>
        <w:pStyle w:val="20"/>
        <w:spacing w:before="75" w:beforeAutospacing="0" w:after="75" w:afterAutospacing="0" w:line="360" w:lineRule="auto"/>
        <w:jc w:val="both"/>
        <w:rPr>
          <w:rFonts w:asciiTheme="minorEastAsia" w:hAnsiTheme="minorEastAsia" w:eastAsiaTheme="minorEastAsia" w:cstheme="minorEastAsia"/>
          <w:color w:val="auto"/>
          <w:sz w:val="32"/>
          <w:szCs w:val="32"/>
        </w:rPr>
      </w:pPr>
    </w:p>
    <w:p>
      <w:pPr>
        <w:pStyle w:val="20"/>
        <w:spacing w:before="75" w:beforeAutospacing="0" w:after="75" w:afterAutospacing="0" w:line="360" w:lineRule="auto"/>
        <w:jc w:val="both"/>
        <w:rPr>
          <w:rFonts w:asciiTheme="minorEastAsia" w:hAnsiTheme="minorEastAsia" w:eastAsiaTheme="minorEastAsia" w:cstheme="minorEastAsia"/>
          <w:color w:val="auto"/>
          <w:sz w:val="32"/>
          <w:szCs w:val="32"/>
        </w:rPr>
      </w:pPr>
    </w:p>
    <w:p>
      <w:pPr>
        <w:pStyle w:val="20"/>
        <w:spacing w:before="75" w:beforeAutospacing="0" w:after="75" w:afterAutospacing="0" w:line="360" w:lineRule="auto"/>
        <w:jc w:val="both"/>
        <w:rPr>
          <w:rFonts w:asciiTheme="minorEastAsia" w:hAnsiTheme="minorEastAsia" w:eastAsiaTheme="minorEastAsia" w:cstheme="minorEastAsia"/>
          <w:color w:val="auto"/>
          <w:sz w:val="32"/>
          <w:szCs w:val="32"/>
        </w:rPr>
      </w:pPr>
    </w:p>
    <w:p>
      <w:pPr>
        <w:pStyle w:val="20"/>
        <w:spacing w:before="75" w:beforeAutospacing="0" w:after="75" w:afterAutospacing="0" w:line="360" w:lineRule="auto"/>
        <w:jc w:val="both"/>
        <w:rPr>
          <w:rFonts w:asciiTheme="minorEastAsia" w:hAnsiTheme="minorEastAsia" w:eastAsiaTheme="minorEastAsia" w:cstheme="minorEastAsia"/>
          <w:color w:val="auto"/>
          <w:sz w:val="32"/>
          <w:szCs w:val="32"/>
        </w:rPr>
      </w:pPr>
    </w:p>
    <w:p>
      <w:pPr>
        <w:pStyle w:val="20"/>
        <w:spacing w:before="75" w:beforeAutospacing="0" w:after="75" w:afterAutospacing="0" w:line="360" w:lineRule="auto"/>
        <w:jc w:val="both"/>
        <w:rPr>
          <w:rFonts w:asciiTheme="minorEastAsia" w:hAnsiTheme="minorEastAsia" w:eastAsiaTheme="minorEastAsia" w:cstheme="minorEastAsia"/>
          <w:color w:val="auto"/>
          <w:sz w:val="32"/>
          <w:szCs w:val="32"/>
        </w:rPr>
      </w:pPr>
    </w:p>
    <w:p>
      <w:pPr>
        <w:pStyle w:val="20"/>
        <w:spacing w:before="75" w:beforeAutospacing="0" w:after="75" w:afterAutospacing="0" w:line="360" w:lineRule="auto"/>
        <w:jc w:val="both"/>
        <w:rPr>
          <w:rFonts w:asciiTheme="minorEastAsia" w:hAnsiTheme="minorEastAsia" w:eastAsiaTheme="minorEastAsia" w:cstheme="minorEastAsia"/>
          <w:color w:val="auto"/>
          <w:sz w:val="32"/>
          <w:szCs w:val="32"/>
        </w:rPr>
      </w:pPr>
    </w:p>
    <w:p>
      <w:pPr>
        <w:pStyle w:val="20"/>
        <w:spacing w:before="75" w:beforeAutospacing="0" w:after="75" w:afterAutospacing="0" w:line="360" w:lineRule="auto"/>
        <w:jc w:val="both"/>
        <w:rPr>
          <w:rFonts w:asciiTheme="minorEastAsia" w:hAnsiTheme="minorEastAsia" w:eastAsiaTheme="minorEastAsia" w:cstheme="minorEastAsia"/>
          <w:color w:val="auto"/>
          <w:sz w:val="32"/>
          <w:szCs w:val="32"/>
        </w:rPr>
      </w:pPr>
    </w:p>
    <w:p>
      <w:pPr>
        <w:pStyle w:val="20"/>
        <w:spacing w:before="75" w:beforeAutospacing="0" w:after="75" w:afterAutospacing="0" w:line="360" w:lineRule="auto"/>
        <w:jc w:val="both"/>
        <w:rPr>
          <w:rFonts w:asciiTheme="minorEastAsia" w:hAnsiTheme="minorEastAsia" w:eastAsiaTheme="minorEastAsia" w:cstheme="minorEastAsia"/>
          <w:color w:val="auto"/>
          <w:sz w:val="32"/>
          <w:szCs w:val="32"/>
        </w:rPr>
      </w:pPr>
    </w:p>
    <w:p>
      <w:pPr>
        <w:pStyle w:val="20"/>
        <w:spacing w:before="75" w:beforeAutospacing="0" w:after="75" w:afterAutospacing="0" w:line="360" w:lineRule="auto"/>
        <w:jc w:val="both"/>
        <w:rPr>
          <w:rFonts w:asciiTheme="minorEastAsia" w:hAnsiTheme="minorEastAsia" w:eastAsiaTheme="minorEastAsia" w:cstheme="minorEastAsia"/>
          <w:color w:val="auto"/>
          <w:sz w:val="32"/>
          <w:szCs w:val="32"/>
        </w:rPr>
      </w:pPr>
    </w:p>
    <w:p>
      <w:pPr>
        <w:pStyle w:val="20"/>
        <w:spacing w:before="75" w:beforeAutospacing="0" w:after="75" w:afterAutospacing="0" w:line="360" w:lineRule="auto"/>
        <w:jc w:val="both"/>
        <w:rPr>
          <w:rFonts w:asciiTheme="minorEastAsia" w:hAnsiTheme="minorEastAsia" w:eastAsiaTheme="minorEastAsia" w:cstheme="minorEastAsia"/>
          <w:color w:val="auto"/>
          <w:sz w:val="32"/>
          <w:szCs w:val="32"/>
        </w:rPr>
      </w:pPr>
    </w:p>
    <w:p>
      <w:pPr>
        <w:pStyle w:val="20"/>
        <w:spacing w:before="75" w:beforeAutospacing="0" w:after="75" w:afterAutospacing="0" w:line="360" w:lineRule="auto"/>
        <w:jc w:val="both"/>
        <w:rPr>
          <w:rFonts w:asciiTheme="minorEastAsia" w:hAnsiTheme="minorEastAsia" w:eastAsiaTheme="minorEastAsia" w:cstheme="minorEastAsia"/>
          <w:color w:val="auto"/>
          <w:sz w:val="32"/>
          <w:szCs w:val="32"/>
        </w:rPr>
      </w:pPr>
    </w:p>
    <w:p>
      <w:pPr>
        <w:pStyle w:val="20"/>
        <w:spacing w:before="75" w:beforeAutospacing="0" w:after="75" w:afterAutospacing="0" w:line="360" w:lineRule="auto"/>
        <w:jc w:val="both"/>
        <w:rPr>
          <w:rFonts w:asciiTheme="minorEastAsia" w:hAnsiTheme="minorEastAsia" w:eastAsiaTheme="minorEastAsia" w:cstheme="minorEastAsia"/>
          <w:color w:val="auto"/>
          <w:sz w:val="32"/>
          <w:szCs w:val="32"/>
        </w:rPr>
      </w:pPr>
    </w:p>
    <w:p>
      <w:pPr>
        <w:pStyle w:val="20"/>
        <w:spacing w:before="75" w:beforeAutospacing="0" w:after="75" w:afterAutospacing="0" w:line="360" w:lineRule="auto"/>
        <w:jc w:val="both"/>
        <w:rPr>
          <w:rFonts w:asciiTheme="minorEastAsia" w:hAnsiTheme="minorEastAsia" w:eastAsiaTheme="minorEastAsia" w:cstheme="minorEastAsia"/>
          <w:color w:val="auto"/>
          <w:sz w:val="32"/>
          <w:szCs w:val="32"/>
        </w:rPr>
      </w:pPr>
    </w:p>
    <w:p>
      <w:pPr>
        <w:pStyle w:val="9"/>
        <w:jc w:val="center"/>
        <w:rPr>
          <w:rFonts w:ascii="Calibri" w:hAnsi="宋体"/>
          <w:b/>
          <w:sz w:val="36"/>
          <w:szCs w:val="36"/>
        </w:rPr>
      </w:pPr>
      <w:r>
        <w:rPr>
          <w:rFonts w:hint="eastAsia" w:ascii="Calibri" w:hAnsi="宋体"/>
          <w:b/>
          <w:sz w:val="36"/>
          <w:szCs w:val="36"/>
        </w:rPr>
        <w:t>电子交易须知</w:t>
      </w:r>
    </w:p>
    <w:p>
      <w:pPr>
        <w:spacing w:before="120" w:after="120" w:line="360" w:lineRule="auto"/>
        <w:ind w:firstLine="480" w:firstLineChars="200"/>
        <w:rPr>
          <w:rFonts w:ascii="Calibri" w:hAnsi="宋体"/>
          <w:b/>
          <w:sz w:val="24"/>
        </w:rPr>
      </w:pPr>
      <w:r>
        <w:rPr>
          <w:rFonts w:hint="eastAsia" w:ascii="Calibri" w:hAnsi="宋体"/>
          <w:b/>
          <w:sz w:val="24"/>
        </w:rPr>
        <w:t>1、本次采购采用电子交易方式，电子交易平台为“政府采购云平台（www.zcygov.cn）”。供应商参与本项目电子交易活动前，应注册成为政府采购云平台供应商。编制电子投标文件前还需申领CA证书并绑定帐号，CA获取地址请查看</w:t>
      </w:r>
      <w:r>
        <w:rPr>
          <w:rFonts w:hint="eastAsia" w:ascii="Calibri" w:hAnsi="宋体"/>
          <w:b/>
          <w:sz w:val="24"/>
          <w:lang w:val="en-US" w:eastAsia="zh-CN"/>
        </w:rPr>
        <w:t>磋商</w:t>
      </w:r>
      <w:r>
        <w:rPr>
          <w:rFonts w:hint="eastAsia" w:ascii="Calibri" w:hAnsi="宋体"/>
          <w:b/>
          <w:sz w:val="24"/>
        </w:rPr>
        <w:t>公告下方附件《</w:t>
      </w:r>
      <w:r>
        <w:rPr>
          <w:rFonts w:hint="eastAsia" w:ascii="Calibri" w:hAnsi="宋体"/>
          <w:b/>
          <w:sz w:val="24"/>
          <w:u w:val="single"/>
        </w:rPr>
        <w:t>全疆服务机构联系表》</w:t>
      </w:r>
      <w:r>
        <w:rPr>
          <w:rFonts w:hint="eastAsia" w:ascii="Calibri" w:hAnsi="宋体"/>
          <w:b/>
          <w:sz w:val="24"/>
        </w:rPr>
        <w:t>。</w:t>
      </w:r>
    </w:p>
    <w:p>
      <w:pPr>
        <w:spacing w:before="120" w:after="120" w:line="360" w:lineRule="auto"/>
        <w:ind w:firstLine="480" w:firstLineChars="200"/>
        <w:rPr>
          <w:rFonts w:ascii="Calibri" w:hAnsi="宋体"/>
          <w:b/>
          <w:sz w:val="24"/>
        </w:rPr>
      </w:pPr>
      <w:r>
        <w:rPr>
          <w:rFonts w:hint="eastAsia" w:ascii="Calibri" w:hAnsi="宋体"/>
          <w:b/>
          <w:sz w:val="24"/>
        </w:rPr>
        <w:t>2、供应商编制电子投标文件应安装“电子招投标供应商客户端”软件，并按照本</w:t>
      </w:r>
      <w:r>
        <w:rPr>
          <w:rFonts w:hint="eastAsia" w:ascii="Calibri" w:hAnsi="宋体"/>
          <w:b/>
          <w:sz w:val="24"/>
          <w:lang w:eastAsia="zh-CN"/>
        </w:rPr>
        <w:t>磋商文件</w:t>
      </w:r>
      <w:r>
        <w:rPr>
          <w:rFonts w:hint="eastAsia" w:ascii="Calibri" w:hAnsi="宋体"/>
          <w:b/>
          <w:sz w:val="24"/>
        </w:rPr>
        <w:t>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pPr>
        <w:spacing w:before="120" w:after="120" w:line="360" w:lineRule="auto"/>
        <w:ind w:firstLine="480" w:firstLineChars="200"/>
        <w:rPr>
          <w:rFonts w:ascii="Calibri" w:hAnsi="宋体"/>
          <w:b/>
          <w:sz w:val="24"/>
        </w:rPr>
      </w:pPr>
      <w:r>
        <w:rPr>
          <w:rFonts w:hint="eastAsia" w:ascii="Calibri" w:hAnsi="宋体"/>
          <w:b/>
          <w:sz w:val="24"/>
        </w:rPr>
        <w:t>3、供应商应当在投标截止时间前，将“电子招投标供应商客户端”生成的“电子加密投标文件”上传电子交易平台。</w:t>
      </w:r>
    </w:p>
    <w:p>
      <w:pPr>
        <w:spacing w:before="120" w:after="120" w:line="360" w:lineRule="auto"/>
        <w:ind w:firstLine="480" w:firstLineChars="200"/>
        <w:jc w:val="left"/>
        <w:rPr>
          <w:rFonts w:ascii="Calibri" w:hAnsi="宋体"/>
          <w:b/>
          <w:sz w:val="24"/>
        </w:rPr>
      </w:pPr>
      <w:r>
        <w:rPr>
          <w:rFonts w:hint="eastAsia" w:ascii="Calibri" w:hAnsi="宋体"/>
          <w:b/>
          <w:sz w:val="24"/>
        </w:rPr>
        <w:t>4、服务与支持。各政府采购代理机构（含集采机构）及供应商对不见面开评标系统的技术操作咨询，可通过</w:t>
      </w:r>
      <w:r>
        <w:rPr>
          <w:rFonts w:ascii="Calibri" w:hAnsi="Calibri"/>
          <w:sz w:val="24"/>
          <w:szCs w:val="20"/>
        </w:rPr>
        <w:fldChar w:fldCharType="begin"/>
      </w:r>
      <w:r>
        <w:rPr>
          <w:rFonts w:ascii="Calibri" w:hAnsi="Calibri"/>
          <w:sz w:val="24"/>
          <w:szCs w:val="20"/>
        </w:rPr>
        <w:instrText xml:space="preserve"> HYPERLINK "https://edu.zcygov.cn/luban/xinjiang-e-biding" </w:instrText>
      </w:r>
      <w:r>
        <w:rPr>
          <w:rFonts w:ascii="Calibri" w:hAnsi="Calibri"/>
          <w:sz w:val="24"/>
          <w:szCs w:val="20"/>
        </w:rPr>
        <w:fldChar w:fldCharType="separate"/>
      </w:r>
      <w:r>
        <w:rPr>
          <w:rFonts w:ascii="Calibri" w:hAnsi="宋体"/>
          <w:b/>
          <w:sz w:val="24"/>
          <w:u w:val="single"/>
        </w:rPr>
        <w:t>https://edu.zcygov.cn/luban/xinjiang-e-biding</w:t>
      </w:r>
      <w:r>
        <w:rPr>
          <w:rFonts w:ascii="Calibri" w:hAnsi="宋体"/>
          <w:b/>
          <w:sz w:val="24"/>
          <w:u w:val="single"/>
        </w:rPr>
        <w:fldChar w:fldCharType="end"/>
      </w:r>
      <w:r>
        <w:rPr>
          <w:rFonts w:hint="eastAsia" w:ascii="Calibri" w:hAnsi="宋体"/>
          <w:b/>
          <w:sz w:val="24"/>
        </w:rPr>
        <w:t>自助查询，也</w:t>
      </w:r>
      <w:r>
        <w:rPr>
          <w:rFonts w:ascii="Calibri" w:hAnsi="宋体"/>
          <w:b/>
          <w:sz w:val="24"/>
        </w:rPr>
        <w:t>可在政采云帮助中心常见问题解答和操作流程讲解视频中自助查询，网址为：</w:t>
      </w:r>
      <w:r>
        <w:rPr>
          <w:rFonts w:hint="eastAsia" w:ascii="Calibri" w:hAnsi="Calibri"/>
          <w:sz w:val="24"/>
          <w:szCs w:val="20"/>
        </w:rPr>
        <w:fldChar w:fldCharType="begin"/>
      </w:r>
      <w:r>
        <w:rPr>
          <w:rFonts w:ascii="Calibri" w:hAnsi="Calibri"/>
          <w:sz w:val="24"/>
          <w:szCs w:val="20"/>
        </w:rPr>
        <w:instrText xml:space="preserve"> HYPERLINK "https://service.zcygov.cn/" \l "/help" </w:instrText>
      </w:r>
      <w:r>
        <w:rPr>
          <w:rFonts w:hint="eastAsia" w:ascii="Calibri" w:hAnsi="Calibri"/>
          <w:sz w:val="24"/>
          <w:szCs w:val="20"/>
        </w:rPr>
        <w:fldChar w:fldCharType="separate"/>
      </w:r>
      <w:r>
        <w:rPr>
          <w:rFonts w:hint="eastAsia" w:ascii="Calibri" w:hAnsi="宋体"/>
          <w:b/>
          <w:sz w:val="24"/>
          <w:u w:val="single"/>
        </w:rPr>
        <w:t>https://service.zcygov.cn/#/help</w:t>
      </w:r>
      <w:r>
        <w:rPr>
          <w:rFonts w:hint="eastAsia" w:ascii="Calibri" w:hAnsi="宋体"/>
          <w:b/>
          <w:sz w:val="24"/>
          <w:u w:val="single"/>
        </w:rPr>
        <w:fldChar w:fldCharType="end"/>
      </w:r>
      <w:r>
        <w:rPr>
          <w:rFonts w:ascii="Calibri" w:hAnsi="宋体"/>
          <w:b/>
          <w:sz w:val="24"/>
        </w:rPr>
        <w:t>，“项目采购”—“操作流程-电子招投</w:t>
      </w:r>
      <w:r>
        <w:rPr>
          <w:rFonts w:hint="eastAsia" w:ascii="Calibri" w:hAnsi="宋体"/>
          <w:b/>
          <w:sz w:val="24"/>
        </w:rPr>
        <w:t>标”—</w:t>
      </w:r>
      <w:r>
        <w:rPr>
          <w:rFonts w:ascii="Calibri" w:hAnsi="宋体"/>
          <w:b/>
          <w:sz w:val="24"/>
        </w:rPr>
        <w:t>“</w:t>
      </w:r>
      <w:r>
        <w:rPr>
          <w:rFonts w:hint="eastAsia" w:ascii="Calibri" w:hAnsi="宋体"/>
          <w:b/>
          <w:sz w:val="24"/>
        </w:rPr>
        <w:t>政府采购项目电子交易管理操作指南-供应商</w:t>
      </w:r>
      <w:r>
        <w:rPr>
          <w:rFonts w:ascii="Calibri" w:hAnsi="宋体"/>
          <w:b/>
          <w:sz w:val="24"/>
        </w:rPr>
        <w:t>”</w:t>
      </w:r>
      <w:r>
        <w:rPr>
          <w:rFonts w:hint="eastAsia" w:ascii="Calibri" w:hAnsi="宋体"/>
          <w:b/>
          <w:sz w:val="24"/>
        </w:rPr>
        <w:t>版面获取操作指南，</w:t>
      </w:r>
      <w:r>
        <w:rPr>
          <w:rFonts w:ascii="Calibri" w:hAnsi="宋体"/>
          <w:b/>
          <w:sz w:val="24"/>
        </w:rPr>
        <w:t>同时对自助查询无法解决的问题可通过钉钉群及政采云在线客服获取服务支持。</w:t>
      </w:r>
    </w:p>
    <w:p>
      <w:pPr>
        <w:pStyle w:val="20"/>
        <w:spacing w:before="75" w:beforeAutospacing="0" w:after="75" w:afterAutospacing="0" w:line="360" w:lineRule="auto"/>
        <w:jc w:val="both"/>
        <w:rPr>
          <w:rFonts w:asciiTheme="minorEastAsia" w:hAnsiTheme="minorEastAsia" w:eastAsiaTheme="minorEastAsia" w:cstheme="minorEastAsia"/>
          <w:color w:val="auto"/>
          <w:sz w:val="32"/>
          <w:szCs w:val="32"/>
        </w:rPr>
      </w:pPr>
    </w:p>
    <w:p>
      <w:pPr>
        <w:pStyle w:val="20"/>
        <w:spacing w:before="75" w:beforeAutospacing="0" w:after="75" w:afterAutospacing="0" w:line="360" w:lineRule="auto"/>
        <w:jc w:val="both"/>
        <w:rPr>
          <w:rFonts w:asciiTheme="minorEastAsia" w:hAnsiTheme="minorEastAsia" w:eastAsiaTheme="minorEastAsia" w:cstheme="minorEastAsia"/>
          <w:color w:val="auto"/>
          <w:sz w:val="32"/>
          <w:szCs w:val="32"/>
        </w:rPr>
      </w:pPr>
    </w:p>
    <w:p>
      <w:pPr>
        <w:pStyle w:val="20"/>
        <w:spacing w:before="75" w:beforeAutospacing="0" w:after="75" w:afterAutospacing="0" w:line="360" w:lineRule="auto"/>
        <w:jc w:val="both"/>
        <w:rPr>
          <w:rFonts w:asciiTheme="minorEastAsia" w:hAnsiTheme="minorEastAsia" w:eastAsiaTheme="minorEastAsia" w:cstheme="minorEastAsia"/>
          <w:color w:val="auto"/>
          <w:sz w:val="32"/>
          <w:szCs w:val="32"/>
        </w:rPr>
      </w:pPr>
    </w:p>
    <w:p>
      <w:pPr>
        <w:pStyle w:val="20"/>
        <w:spacing w:before="75" w:beforeAutospacing="0" w:after="75" w:afterAutospacing="0" w:line="360" w:lineRule="auto"/>
        <w:jc w:val="both"/>
        <w:rPr>
          <w:rFonts w:asciiTheme="minorEastAsia" w:hAnsiTheme="minorEastAsia" w:eastAsiaTheme="minorEastAsia" w:cstheme="minorEastAsia"/>
          <w:color w:val="auto"/>
          <w:sz w:val="32"/>
          <w:szCs w:val="32"/>
        </w:rPr>
      </w:pPr>
    </w:p>
    <w:p>
      <w:pPr>
        <w:pStyle w:val="20"/>
        <w:spacing w:before="75" w:beforeAutospacing="0" w:after="75" w:afterAutospacing="0" w:line="360" w:lineRule="auto"/>
        <w:jc w:val="both"/>
        <w:rPr>
          <w:rFonts w:asciiTheme="minorEastAsia" w:hAnsiTheme="minorEastAsia" w:eastAsiaTheme="minorEastAsia" w:cstheme="minorEastAsia"/>
          <w:color w:val="auto"/>
          <w:sz w:val="32"/>
          <w:szCs w:val="32"/>
        </w:rPr>
      </w:pPr>
    </w:p>
    <w:p>
      <w:pPr>
        <w:pStyle w:val="20"/>
        <w:spacing w:before="75" w:beforeAutospacing="0" w:after="75" w:afterAutospacing="0" w:line="360" w:lineRule="auto"/>
        <w:jc w:val="both"/>
        <w:rPr>
          <w:rFonts w:asciiTheme="minorEastAsia" w:hAnsiTheme="minorEastAsia" w:eastAsiaTheme="minorEastAsia" w:cstheme="minorEastAsia"/>
          <w:color w:val="auto"/>
          <w:sz w:val="32"/>
          <w:szCs w:val="32"/>
        </w:rPr>
      </w:pPr>
    </w:p>
    <w:p>
      <w:pPr>
        <w:pStyle w:val="20"/>
        <w:spacing w:before="75" w:beforeAutospacing="0" w:after="75" w:afterAutospacing="0" w:line="360" w:lineRule="auto"/>
        <w:jc w:val="both"/>
        <w:rPr>
          <w:rFonts w:asciiTheme="minorEastAsia" w:hAnsiTheme="minorEastAsia" w:eastAsiaTheme="minorEastAsia" w:cstheme="minorEastAsia"/>
          <w:color w:val="auto"/>
          <w:sz w:val="32"/>
          <w:szCs w:val="32"/>
        </w:rPr>
      </w:pPr>
    </w:p>
    <w:bookmarkEnd w:id="0"/>
    <w:bookmarkEnd w:id="1"/>
    <w:bookmarkEnd w:id="2"/>
    <w:bookmarkEnd w:id="3"/>
    <w:p>
      <w:pPr>
        <w:pStyle w:val="3"/>
        <w:numPr>
          <w:ilvl w:val="0"/>
          <w:numId w:val="0"/>
        </w:numPr>
        <w:bidi w:val="0"/>
        <w:ind w:firstLine="2520" w:firstLineChars="700"/>
        <w:rPr>
          <w:sz w:val="36"/>
          <w:szCs w:val="32"/>
        </w:rPr>
      </w:pPr>
      <w:bookmarkStart w:id="4" w:name="_Toc6773"/>
      <w:bookmarkStart w:id="5" w:name="_Toc298240403"/>
      <w:bookmarkStart w:id="6" w:name="_Toc349573119"/>
      <w:bookmarkStart w:id="7" w:name="_Toc527642950"/>
      <w:bookmarkStart w:id="8" w:name="_Toc267301280"/>
      <w:bookmarkStart w:id="9" w:name="_Toc349637918"/>
      <w:r>
        <w:rPr>
          <w:rFonts w:hint="eastAsia"/>
          <w:sz w:val="36"/>
          <w:szCs w:val="32"/>
        </w:rPr>
        <w:t>第一</w:t>
      </w:r>
      <w:r>
        <w:rPr>
          <w:sz w:val="36"/>
          <w:szCs w:val="32"/>
        </w:rPr>
        <w:t xml:space="preserve">章  </w:t>
      </w:r>
      <w:r>
        <w:rPr>
          <w:rFonts w:hint="eastAsia"/>
          <w:sz w:val="36"/>
          <w:szCs w:val="32"/>
        </w:rPr>
        <w:t>竞争性磋商公告</w:t>
      </w:r>
      <w:bookmarkEnd w:id="4"/>
    </w:p>
    <w:p>
      <w:pPr>
        <w:adjustRightInd w:val="0"/>
        <w:snapToGrid w:val="0"/>
        <w:spacing w:line="360" w:lineRule="auto"/>
        <w:rPr>
          <w:rFonts w:ascii="宋体" w:hAnsi="宋体"/>
          <w:szCs w:val="21"/>
        </w:rPr>
      </w:pPr>
    </w:p>
    <w:p>
      <w:pPr>
        <w:pBdr>
          <w:top w:val="single" w:color="auto" w:sz="4" w:space="1"/>
          <w:left w:val="single" w:color="auto" w:sz="4" w:space="4"/>
          <w:bottom w:val="single" w:color="auto" w:sz="4" w:space="1"/>
          <w:right w:val="single" w:color="auto" w:sz="4" w:space="4"/>
        </w:pBdr>
        <w:spacing w:line="360" w:lineRule="auto"/>
        <w:ind w:firstLine="420" w:firstLineChars="200"/>
        <w:jc w:val="center"/>
        <w:rPr>
          <w:rFonts w:hint="eastAsia" w:ascii="宋体" w:hAnsi="宋体"/>
          <w:szCs w:val="21"/>
        </w:rPr>
      </w:pPr>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u w:val="single"/>
          <w:lang w:val="en-US" w:eastAsia="zh-CN"/>
        </w:rPr>
        <w:t>霍尔果斯市兴城街道区域养老服务中心改造提升项目（一标段）</w:t>
      </w:r>
      <w:r>
        <w:rPr>
          <w:rFonts w:hint="eastAsia" w:ascii="宋体" w:hAnsi="宋体"/>
          <w:szCs w:val="21"/>
        </w:rPr>
        <w:t>的潜在供应商应在</w:t>
      </w:r>
      <w:r>
        <w:rPr>
          <w:rFonts w:hint="eastAsia" w:ascii="宋体" w:hAnsi="宋体"/>
          <w:szCs w:val="21"/>
          <w:u w:val="single"/>
        </w:rPr>
        <w:t>政采云平台（https://www.zcygov.cn/）</w:t>
      </w:r>
      <w:r>
        <w:rPr>
          <w:rFonts w:hint="eastAsia" w:ascii="宋体" w:hAnsi="宋体"/>
          <w:szCs w:val="21"/>
        </w:rPr>
        <w:t>获取采购文件，并于</w:t>
      </w:r>
      <w:r>
        <w:rPr>
          <w:rFonts w:hint="eastAsia" w:ascii="宋体" w:hAnsi="宋体"/>
          <w:color w:val="000000" w:themeColor="text1"/>
          <w:szCs w:val="21"/>
          <w:u w:val="single"/>
        </w:rPr>
        <w:t>202</w:t>
      </w:r>
      <w:r>
        <w:rPr>
          <w:rFonts w:hint="eastAsia" w:ascii="宋体" w:hAnsi="宋体"/>
          <w:color w:val="000000" w:themeColor="text1"/>
          <w:szCs w:val="21"/>
          <w:u w:val="single"/>
          <w:lang w:val="en-US" w:eastAsia="zh-CN"/>
        </w:rPr>
        <w:t>5</w:t>
      </w:r>
      <w:r>
        <w:rPr>
          <w:rFonts w:hint="eastAsia" w:ascii="宋体" w:hAnsi="宋体"/>
          <w:bCs/>
          <w:color w:val="000000" w:themeColor="text1"/>
          <w:szCs w:val="21"/>
          <w:u w:val="single"/>
        </w:rPr>
        <w:t>年</w:t>
      </w:r>
      <w:r>
        <w:rPr>
          <w:rFonts w:hint="eastAsia" w:ascii="宋体" w:hAnsi="宋体"/>
          <w:bCs/>
          <w:color w:val="000000" w:themeColor="text1"/>
          <w:szCs w:val="21"/>
          <w:u w:val="single"/>
          <w:lang w:val="en-US" w:eastAsia="zh-CN"/>
        </w:rPr>
        <w:t>5</w:t>
      </w:r>
      <w:r>
        <w:rPr>
          <w:rFonts w:hint="eastAsia" w:ascii="宋体" w:hAnsi="宋体"/>
          <w:bCs/>
          <w:color w:val="000000" w:themeColor="text1"/>
          <w:szCs w:val="21"/>
          <w:u w:val="single"/>
        </w:rPr>
        <w:t>月</w:t>
      </w:r>
      <w:r>
        <w:rPr>
          <w:rFonts w:hint="eastAsia" w:ascii="宋体" w:hAnsi="宋体"/>
          <w:bCs/>
          <w:color w:val="000000" w:themeColor="text1"/>
          <w:szCs w:val="21"/>
          <w:u w:val="single"/>
          <w:lang w:val="en-US" w:eastAsia="zh-CN"/>
        </w:rPr>
        <w:t>26</w:t>
      </w:r>
      <w:r>
        <w:rPr>
          <w:rFonts w:hint="eastAsia" w:ascii="宋体" w:hAnsi="宋体"/>
          <w:bCs/>
          <w:color w:val="000000" w:themeColor="text1"/>
          <w:szCs w:val="21"/>
          <w:u w:val="single"/>
        </w:rPr>
        <w:t>日1</w:t>
      </w:r>
      <w:r>
        <w:rPr>
          <w:rFonts w:hint="eastAsia" w:ascii="宋体" w:hAnsi="宋体"/>
          <w:bCs/>
          <w:color w:val="000000" w:themeColor="text1"/>
          <w:szCs w:val="21"/>
          <w:u w:val="single"/>
          <w:lang w:val="en-US" w:eastAsia="zh-CN"/>
        </w:rPr>
        <w:t>1</w:t>
      </w:r>
      <w:r>
        <w:rPr>
          <w:rFonts w:hint="eastAsia" w:ascii="宋体" w:hAnsi="宋体"/>
          <w:bCs/>
          <w:color w:val="000000" w:themeColor="text1"/>
          <w:szCs w:val="21"/>
          <w:u w:val="single"/>
        </w:rPr>
        <w:t>点</w:t>
      </w:r>
      <w:r>
        <w:rPr>
          <w:rFonts w:hint="eastAsia" w:ascii="宋体" w:hAnsi="宋体"/>
          <w:bCs/>
          <w:color w:val="000000" w:themeColor="text1"/>
          <w:szCs w:val="21"/>
          <w:u w:val="single"/>
          <w:lang w:val="en-US" w:eastAsia="zh-CN"/>
        </w:rPr>
        <w:t>30</w:t>
      </w:r>
      <w:r>
        <w:rPr>
          <w:rFonts w:hint="eastAsia" w:ascii="宋体" w:hAnsi="宋体"/>
          <w:bCs/>
          <w:color w:val="000000" w:themeColor="text1"/>
          <w:szCs w:val="21"/>
          <w:u w:val="single"/>
        </w:rPr>
        <w:t>分（</w:t>
      </w:r>
      <w:r>
        <w:rPr>
          <w:rFonts w:hint="eastAsia" w:ascii="宋体" w:hAnsi="宋体"/>
          <w:bCs/>
          <w:szCs w:val="21"/>
        </w:rPr>
        <w:t>北京时间）前提交响应</w:t>
      </w:r>
      <w:r>
        <w:rPr>
          <w:rFonts w:ascii="宋体" w:hAnsi="宋体"/>
          <w:bCs/>
          <w:szCs w:val="21"/>
        </w:rPr>
        <w:t>文件</w:t>
      </w:r>
      <w:r>
        <w:rPr>
          <w:rFonts w:hint="eastAsia" w:ascii="宋体" w:hAnsi="宋体"/>
          <w:szCs w:val="21"/>
        </w:rPr>
        <w:t>。</w:t>
      </w:r>
    </w:p>
    <w:p>
      <w:pPr>
        <w:pStyle w:val="4"/>
        <w:pageBreakBefore w:val="0"/>
        <w:kinsoku/>
        <w:wordWrap/>
        <w:overflowPunct/>
        <w:topLinePunct w:val="0"/>
        <w:autoSpaceDE/>
        <w:autoSpaceDN/>
        <w:bidi w:val="0"/>
        <w:snapToGrid/>
        <w:spacing w:line="360" w:lineRule="auto"/>
        <w:rPr>
          <w:rFonts w:ascii="宋体" w:hAnsi="宋体" w:cs="宋体"/>
          <w:sz w:val="21"/>
          <w:szCs w:val="21"/>
        </w:rPr>
      </w:pPr>
      <w:bookmarkStart w:id="10" w:name="_Toc28359002"/>
      <w:bookmarkStart w:id="11" w:name="_Toc35393790"/>
      <w:bookmarkStart w:id="12" w:name="_Toc11744"/>
      <w:bookmarkStart w:id="13" w:name="_Toc35393621"/>
      <w:bookmarkStart w:id="14" w:name="_Toc17647"/>
      <w:bookmarkStart w:id="15" w:name="_Toc28359079"/>
      <w:bookmarkStart w:id="16" w:name="_Hlk24379207"/>
      <w:r>
        <w:rPr>
          <w:rFonts w:hint="eastAsia" w:ascii="宋体" w:hAnsi="宋体" w:cs="宋体"/>
          <w:sz w:val="21"/>
          <w:szCs w:val="21"/>
        </w:rPr>
        <w:t>一、项目基本情况</w:t>
      </w:r>
      <w:bookmarkEnd w:id="10"/>
      <w:bookmarkEnd w:id="11"/>
      <w:bookmarkEnd w:id="12"/>
      <w:bookmarkEnd w:id="13"/>
      <w:bookmarkEnd w:id="14"/>
      <w:bookmarkEnd w:id="15"/>
    </w:p>
    <w:p>
      <w:pPr>
        <w:pageBreakBefore w:val="0"/>
        <w:kinsoku/>
        <w:wordWrap/>
        <w:overflowPunct/>
        <w:topLinePunct w:val="0"/>
        <w:autoSpaceDE/>
        <w:autoSpaceDN/>
        <w:bidi w:val="0"/>
        <w:snapToGrid/>
        <w:spacing w:line="360" w:lineRule="auto"/>
        <w:ind w:firstLine="420" w:firstLineChars="200"/>
        <w:rPr>
          <w:rFonts w:hint="default" w:ascii="宋体" w:hAnsi="宋体"/>
          <w:color w:val="000000" w:themeColor="text1"/>
          <w:szCs w:val="21"/>
          <w:lang w:val="en-US" w:eastAsia="zh-CN"/>
        </w:rPr>
      </w:pPr>
      <w:r>
        <w:rPr>
          <w:rFonts w:hint="eastAsia" w:ascii="宋体" w:hAnsi="宋体"/>
          <w:color w:val="000000" w:themeColor="text1"/>
          <w:szCs w:val="21"/>
        </w:rPr>
        <w:t>项目编号：</w:t>
      </w:r>
      <w:r>
        <w:rPr>
          <w:rFonts w:hint="eastAsia" w:ascii="宋体" w:hAnsi="宋体"/>
          <w:color w:val="000000" w:themeColor="text1"/>
          <w:szCs w:val="21"/>
          <w:lang w:val="en-US" w:eastAsia="zh-CN"/>
        </w:rPr>
        <w:t>XJQZ-2025-19-1</w:t>
      </w:r>
    </w:p>
    <w:p>
      <w:pPr>
        <w:pageBreakBefore w:val="0"/>
        <w:kinsoku/>
        <w:wordWrap/>
        <w:overflowPunct/>
        <w:topLinePunct w:val="0"/>
        <w:autoSpaceDE/>
        <w:autoSpaceDN/>
        <w:bidi w:val="0"/>
        <w:snapToGrid/>
        <w:spacing w:line="360" w:lineRule="auto"/>
        <w:ind w:firstLine="420" w:firstLineChars="200"/>
        <w:rPr>
          <w:rFonts w:hint="eastAsia" w:ascii="宋体" w:hAnsi="宋体"/>
          <w:szCs w:val="21"/>
          <w:u w:val="single"/>
          <w:lang w:val="en-US" w:eastAsia="zh-CN"/>
        </w:rPr>
      </w:pPr>
      <w:r>
        <w:rPr>
          <w:rFonts w:hint="eastAsia" w:ascii="宋体" w:hAnsi="宋体"/>
          <w:color w:val="0C0C0C" w:themeColor="text1" w:themeTint="F2"/>
          <w:szCs w:val="21"/>
        </w:rPr>
        <w:t>项目名称：</w:t>
      </w:r>
      <w:bookmarkEnd w:id="16"/>
      <w:r>
        <w:rPr>
          <w:rFonts w:hint="eastAsia" w:ascii="宋体" w:hAnsi="宋体"/>
          <w:szCs w:val="21"/>
          <w:u w:val="single"/>
          <w:lang w:val="en-US" w:eastAsia="zh-CN"/>
        </w:rPr>
        <w:t>霍尔果斯市兴城街道区域养老服务中心改造提升项目（一标段）</w:t>
      </w:r>
    </w:p>
    <w:p>
      <w:pPr>
        <w:pageBreakBefore w:val="0"/>
        <w:kinsoku/>
        <w:wordWrap/>
        <w:overflowPunct/>
        <w:topLinePunct w:val="0"/>
        <w:autoSpaceDE/>
        <w:autoSpaceDN/>
        <w:bidi w:val="0"/>
        <w:snapToGrid/>
        <w:spacing w:line="360" w:lineRule="auto"/>
        <w:ind w:firstLine="420" w:firstLineChars="200"/>
        <w:rPr>
          <w:rFonts w:hint="eastAsia" w:ascii="宋体" w:hAnsi="宋体"/>
          <w:color w:val="000000" w:themeColor="text1"/>
          <w:szCs w:val="21"/>
        </w:rPr>
      </w:pPr>
      <w:r>
        <w:rPr>
          <w:rFonts w:hint="eastAsia" w:ascii="宋体" w:hAnsi="宋体"/>
          <w:color w:val="000000" w:themeColor="text1"/>
          <w:szCs w:val="21"/>
        </w:rPr>
        <w:t>预算金额：</w:t>
      </w:r>
      <w:r>
        <w:rPr>
          <w:rFonts w:hint="eastAsia" w:ascii="宋体" w:hAnsi="宋体"/>
          <w:color w:val="000000" w:themeColor="text1"/>
          <w:szCs w:val="21"/>
          <w:lang w:val="en-US" w:eastAsia="zh-CN"/>
        </w:rPr>
        <w:t>2040000</w:t>
      </w:r>
      <w:r>
        <w:rPr>
          <w:rFonts w:hint="eastAsia" w:ascii="宋体" w:hAnsi="宋体"/>
          <w:color w:val="000000" w:themeColor="text1"/>
          <w:szCs w:val="21"/>
        </w:rPr>
        <w:t>.00元</w:t>
      </w:r>
    </w:p>
    <w:p>
      <w:pPr>
        <w:pageBreakBefore w:val="0"/>
        <w:kinsoku/>
        <w:wordWrap/>
        <w:overflowPunct/>
        <w:topLinePunct w:val="0"/>
        <w:autoSpaceDE/>
        <w:autoSpaceDN/>
        <w:bidi w:val="0"/>
        <w:snapToGrid/>
        <w:spacing w:line="360" w:lineRule="auto"/>
        <w:ind w:firstLine="420" w:firstLineChars="200"/>
        <w:rPr>
          <w:rFonts w:hint="default" w:eastAsia="宋体"/>
          <w:color w:val="000000" w:themeColor="text1"/>
          <w:lang w:val="en-US" w:eastAsia="zh-CN"/>
        </w:rPr>
      </w:pPr>
      <w:r>
        <w:rPr>
          <w:rFonts w:hint="eastAsia"/>
          <w:color w:val="000000" w:themeColor="text1"/>
          <w:szCs w:val="21"/>
          <w:lang w:val="en-US" w:eastAsia="zh-CN"/>
        </w:rPr>
        <w:t>最高限价：2039696.39</w:t>
      </w:r>
      <w:r>
        <w:rPr>
          <w:rFonts w:hint="eastAsia" w:ascii="宋体" w:hAnsi="宋体"/>
          <w:color w:val="0C0C0C" w:themeColor="text1" w:themeTint="F2"/>
          <w:szCs w:val="21"/>
          <w:lang w:val="en-US" w:eastAsia="zh-CN"/>
        </w:rPr>
        <w:t>元</w:t>
      </w:r>
    </w:p>
    <w:p>
      <w:pPr>
        <w:pageBreakBefore w:val="0"/>
        <w:kinsoku/>
        <w:wordWrap/>
        <w:overflowPunct/>
        <w:topLinePunct w:val="0"/>
        <w:autoSpaceDE/>
        <w:autoSpaceDN/>
        <w:bidi w:val="0"/>
        <w:snapToGrid/>
        <w:spacing w:line="360" w:lineRule="auto"/>
        <w:ind w:firstLine="420" w:firstLineChars="200"/>
        <w:rPr>
          <w:rFonts w:hint="eastAsia" w:ascii="宋体" w:hAnsi="宋体"/>
          <w:color w:val="auto"/>
          <w:szCs w:val="21"/>
        </w:rPr>
      </w:pPr>
      <w:r>
        <w:rPr>
          <w:rFonts w:hint="eastAsia" w:ascii="宋体" w:hAnsi="宋体"/>
          <w:color w:val="auto"/>
          <w:szCs w:val="21"/>
        </w:rPr>
        <w:t>采购需求：</w:t>
      </w:r>
      <w:r>
        <w:rPr>
          <w:rFonts w:hint="eastAsia" w:ascii="宋体" w:hAnsi="宋体"/>
          <w:color w:val="auto"/>
          <w:szCs w:val="21"/>
          <w:lang w:val="en-US" w:eastAsia="zh-CN"/>
        </w:rPr>
        <w:t>消防改造面积</w:t>
      </w:r>
      <w:r>
        <w:rPr>
          <w:rFonts w:hint="eastAsia" w:ascii="宋体" w:hAnsi="宋体"/>
          <w:color w:val="auto"/>
          <w:szCs w:val="21"/>
        </w:rPr>
        <w:t>1111.80m</w:t>
      </w:r>
      <w:r>
        <w:rPr>
          <w:rFonts w:hint="eastAsia" w:ascii="宋体" w:hAnsi="宋体"/>
          <w:color w:val="auto"/>
          <w:szCs w:val="21"/>
          <w:lang w:eastAsia="zh-CN"/>
        </w:rPr>
        <w:t>；</w:t>
      </w:r>
      <w:r>
        <w:rPr>
          <w:rFonts w:hint="eastAsia" w:ascii="宋体" w:hAnsi="宋体"/>
          <w:color w:val="auto"/>
          <w:szCs w:val="21"/>
        </w:rPr>
        <w:t>增设消防水箱间，无机房电梯</w:t>
      </w:r>
      <w:r>
        <w:rPr>
          <w:rFonts w:hint="eastAsia" w:ascii="宋体" w:hAnsi="宋体"/>
          <w:color w:val="auto"/>
          <w:szCs w:val="21"/>
          <w:lang w:val="en-US" w:eastAsia="zh-CN"/>
        </w:rPr>
        <w:t>等，</w:t>
      </w:r>
      <w:r>
        <w:rPr>
          <w:rFonts w:hint="eastAsia" w:ascii="宋体" w:hAnsi="宋体"/>
          <w:color w:val="auto"/>
          <w:szCs w:val="21"/>
        </w:rPr>
        <w:t>并根据最新规范对原工程不符合消防的部分进行改造以满足目前所有规范要求。</w:t>
      </w:r>
    </w:p>
    <w:p>
      <w:pPr>
        <w:pageBreakBefore w:val="0"/>
        <w:kinsoku/>
        <w:wordWrap/>
        <w:overflowPunct/>
        <w:topLinePunct w:val="0"/>
        <w:autoSpaceDE/>
        <w:autoSpaceDN/>
        <w:bidi w:val="0"/>
        <w:snapToGrid/>
        <w:spacing w:line="360" w:lineRule="auto"/>
        <w:ind w:firstLine="420" w:firstLineChars="200"/>
        <w:rPr>
          <w:rFonts w:hint="eastAsia" w:ascii="宋体" w:hAnsi="宋体"/>
          <w:color w:val="000000" w:themeColor="text1"/>
          <w:szCs w:val="21"/>
        </w:rPr>
      </w:pPr>
      <w:r>
        <w:rPr>
          <w:rFonts w:hint="eastAsia" w:ascii="宋体" w:hAnsi="宋体" w:eastAsia="宋体" w:cs="Times New Roman"/>
          <w:color w:val="auto"/>
          <w:szCs w:val="21"/>
          <w:lang w:val="en-US" w:eastAsia="zh-CN"/>
        </w:rPr>
        <w:t>计划工期：60日</w:t>
      </w:r>
      <w:r>
        <w:rPr>
          <w:rFonts w:hint="eastAsia" w:ascii="宋体" w:hAnsi="宋体"/>
          <w:color w:val="000000" w:themeColor="text1"/>
          <w:szCs w:val="21"/>
        </w:rPr>
        <w:t>（日历日）</w:t>
      </w:r>
    </w:p>
    <w:p>
      <w:pPr>
        <w:pStyle w:val="16"/>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default" w:ascii="宋体" w:hAnsi="宋体" w:eastAsia="宋体" w:cs="Times New Roman"/>
          <w:color w:val="000000" w:themeColor="text1"/>
          <w:kern w:val="2"/>
          <w:sz w:val="21"/>
          <w:szCs w:val="21"/>
          <w:lang w:val="en-US" w:eastAsia="zh-CN" w:bidi="ar-SA"/>
        </w:rPr>
      </w:pPr>
      <w:r>
        <w:rPr>
          <w:rFonts w:hint="default" w:ascii="宋体" w:hAnsi="宋体" w:eastAsia="宋体" w:cs="Times New Roman"/>
          <w:color w:val="000000" w:themeColor="text1"/>
          <w:kern w:val="2"/>
          <w:sz w:val="21"/>
          <w:szCs w:val="21"/>
          <w:lang w:val="en-US" w:eastAsia="zh-CN" w:bidi="ar-SA"/>
        </w:rPr>
        <w:t>计划开工日期：202</w:t>
      </w:r>
      <w:r>
        <w:rPr>
          <w:rFonts w:hint="eastAsia" w:cs="Times New Roman"/>
          <w:color w:val="000000" w:themeColor="text1"/>
          <w:kern w:val="2"/>
          <w:sz w:val="21"/>
          <w:szCs w:val="21"/>
          <w:lang w:val="en-US" w:eastAsia="zh-CN" w:bidi="ar-SA"/>
        </w:rPr>
        <w:t>5</w:t>
      </w:r>
      <w:r>
        <w:rPr>
          <w:rFonts w:hint="default" w:ascii="宋体" w:hAnsi="宋体" w:eastAsia="宋体" w:cs="Times New Roman"/>
          <w:color w:val="000000" w:themeColor="text1"/>
          <w:kern w:val="2"/>
          <w:sz w:val="21"/>
          <w:szCs w:val="21"/>
          <w:lang w:val="en-US" w:eastAsia="zh-CN" w:bidi="ar-SA"/>
        </w:rPr>
        <w:t>年</w:t>
      </w:r>
      <w:r>
        <w:rPr>
          <w:rFonts w:hint="eastAsia" w:cs="Times New Roman"/>
          <w:color w:val="000000" w:themeColor="text1"/>
          <w:kern w:val="2"/>
          <w:sz w:val="21"/>
          <w:szCs w:val="21"/>
          <w:lang w:val="en-US" w:eastAsia="zh-CN" w:bidi="ar-SA"/>
        </w:rPr>
        <w:t>5</w:t>
      </w:r>
      <w:r>
        <w:rPr>
          <w:rFonts w:hint="default" w:ascii="宋体" w:hAnsi="宋体" w:eastAsia="宋体" w:cs="Times New Roman"/>
          <w:color w:val="000000" w:themeColor="text1"/>
          <w:kern w:val="2"/>
          <w:sz w:val="21"/>
          <w:szCs w:val="21"/>
          <w:lang w:val="en-US" w:eastAsia="zh-CN" w:bidi="ar-SA"/>
        </w:rPr>
        <w:t>月</w:t>
      </w:r>
      <w:r>
        <w:rPr>
          <w:rFonts w:hint="eastAsia" w:cs="Times New Roman"/>
          <w:color w:val="000000" w:themeColor="text1"/>
          <w:kern w:val="2"/>
          <w:sz w:val="21"/>
          <w:szCs w:val="21"/>
          <w:lang w:val="en-US" w:eastAsia="zh-CN" w:bidi="ar-SA"/>
        </w:rPr>
        <w:t>29</w:t>
      </w:r>
      <w:r>
        <w:rPr>
          <w:rFonts w:hint="default" w:ascii="宋体" w:hAnsi="宋体" w:eastAsia="宋体" w:cs="Times New Roman"/>
          <w:color w:val="000000" w:themeColor="text1"/>
          <w:kern w:val="2"/>
          <w:sz w:val="21"/>
          <w:szCs w:val="21"/>
          <w:lang w:val="en-US" w:eastAsia="zh-CN" w:bidi="ar-SA"/>
        </w:rPr>
        <w:t>日</w:t>
      </w:r>
    </w:p>
    <w:p>
      <w:pPr>
        <w:pStyle w:val="16"/>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default"/>
          <w:color w:val="000000" w:themeColor="text1"/>
          <w:lang w:val="en-US"/>
        </w:rPr>
      </w:pPr>
      <w:r>
        <w:rPr>
          <w:rFonts w:hint="default" w:ascii="宋体" w:hAnsi="宋体" w:eastAsia="宋体" w:cs="Times New Roman"/>
          <w:color w:val="000000" w:themeColor="text1"/>
          <w:kern w:val="2"/>
          <w:sz w:val="21"/>
          <w:szCs w:val="21"/>
          <w:lang w:val="en-US" w:eastAsia="zh-CN" w:bidi="ar-SA"/>
        </w:rPr>
        <w:t>计划竣工日期：</w:t>
      </w:r>
      <w:r>
        <w:rPr>
          <w:rFonts w:hint="eastAsia" w:ascii="宋体" w:hAnsi="宋体" w:cs="Times New Roman"/>
          <w:color w:val="000000" w:themeColor="text1"/>
          <w:kern w:val="2"/>
          <w:sz w:val="21"/>
          <w:szCs w:val="21"/>
          <w:lang w:val="en-US" w:eastAsia="zh-CN" w:bidi="ar-SA"/>
        </w:rPr>
        <w:t>2025年7月28日</w:t>
      </w:r>
    </w:p>
    <w:p>
      <w:pPr>
        <w:pStyle w:val="4"/>
        <w:pageBreakBefore w:val="0"/>
        <w:kinsoku/>
        <w:wordWrap/>
        <w:overflowPunct/>
        <w:topLinePunct w:val="0"/>
        <w:autoSpaceDE/>
        <w:autoSpaceDN/>
        <w:bidi w:val="0"/>
        <w:snapToGrid/>
        <w:spacing w:line="360" w:lineRule="auto"/>
        <w:rPr>
          <w:rFonts w:ascii="宋体" w:hAnsi="宋体" w:cs="宋体"/>
          <w:sz w:val="21"/>
          <w:szCs w:val="21"/>
        </w:rPr>
      </w:pPr>
      <w:bookmarkStart w:id="17" w:name="_Toc35393799"/>
      <w:bookmarkStart w:id="18" w:name="_Toc28359090"/>
      <w:bookmarkStart w:id="19" w:name="_Toc28359013"/>
      <w:bookmarkStart w:id="20" w:name="_Toc35393630"/>
      <w:bookmarkStart w:id="21" w:name="_Toc27012"/>
      <w:bookmarkStart w:id="22" w:name="_Toc1121"/>
      <w:bookmarkStart w:id="23" w:name="_Toc26894"/>
      <w:r>
        <w:rPr>
          <w:rFonts w:hint="eastAsia" w:ascii="宋体" w:hAnsi="宋体" w:cs="宋体"/>
          <w:sz w:val="21"/>
          <w:szCs w:val="21"/>
        </w:rPr>
        <w:t>二、申请人的资格要求：</w:t>
      </w:r>
      <w:bookmarkEnd w:id="17"/>
      <w:bookmarkEnd w:id="18"/>
      <w:bookmarkEnd w:id="19"/>
      <w:bookmarkEnd w:id="20"/>
      <w:bookmarkEnd w:id="21"/>
      <w:bookmarkEnd w:id="22"/>
      <w:bookmarkEnd w:id="23"/>
    </w:p>
    <w:p>
      <w:pPr>
        <w:pageBreakBefore w:val="0"/>
        <w:kinsoku/>
        <w:wordWrap/>
        <w:overflowPunct/>
        <w:topLinePunct w:val="0"/>
        <w:autoSpaceDE/>
        <w:autoSpaceDN/>
        <w:bidi w:val="0"/>
        <w:snapToGrid/>
        <w:spacing w:line="360" w:lineRule="auto"/>
        <w:ind w:firstLine="420" w:firstLineChars="200"/>
        <w:rPr>
          <w:rFonts w:ascii="宋体" w:hAnsi="宋体"/>
          <w:szCs w:val="21"/>
        </w:rPr>
      </w:pPr>
      <w:bookmarkStart w:id="24" w:name="_Toc28359091"/>
      <w:bookmarkStart w:id="25" w:name="_Toc28359014"/>
      <w:r>
        <w:rPr>
          <w:rFonts w:hint="eastAsia" w:ascii="宋体" w:hAnsi="宋体"/>
          <w:szCs w:val="21"/>
        </w:rPr>
        <w:t>1</w:t>
      </w:r>
      <w:r>
        <w:rPr>
          <w:rFonts w:hint="eastAsia" w:ascii="宋体" w:hAnsi="宋体"/>
          <w:szCs w:val="21"/>
          <w:lang w:eastAsia="zh-CN"/>
        </w:rPr>
        <w:t>、</w:t>
      </w:r>
      <w:r>
        <w:rPr>
          <w:rFonts w:hint="eastAsia" w:ascii="宋体" w:hAnsi="宋体"/>
          <w:szCs w:val="21"/>
        </w:rPr>
        <w:t>满足《中华人民共和国政府采购法》第二十二条规定。</w:t>
      </w:r>
    </w:p>
    <w:p>
      <w:pPr>
        <w:pageBreakBefore w:val="0"/>
        <w:kinsoku/>
        <w:wordWrap/>
        <w:overflowPunct/>
        <w:topLinePunct w:val="0"/>
        <w:autoSpaceDE/>
        <w:autoSpaceDN/>
        <w:bidi w:val="0"/>
        <w:snapToGrid/>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2.落实政府采购政策需满足的资格要求：供应商为中小企业,本项目为专门面向中小企业预留份额的项目，落实《政府采购促进中小企业发展管理办法》（财库〔2020〕46号）、《关于进一步加大政府采购支持中小企业力度的通知》（财库〔2022〕19号）、《关于落实好政府采购支持中小企业发展的通知》（新财购〔2022〕22号）、《财政部、sifa部关于政府采购支持jianyu企业发展有关问题的通知》（财库〔2014〕68号）、《财政部 民政部 中国残疾人联合会关于促进残疾人就业政府采购政策的通知》财库〔2017〕141号以及相关规定。</w:t>
      </w:r>
    </w:p>
    <w:p>
      <w:pPr>
        <w:pageBreakBefore w:val="0"/>
        <w:kinsoku/>
        <w:wordWrap/>
        <w:overflowPunct/>
        <w:topLinePunct w:val="0"/>
        <w:autoSpaceDE/>
        <w:autoSpaceDN/>
        <w:bidi w:val="0"/>
        <w:snapToGrid/>
        <w:spacing w:line="360" w:lineRule="auto"/>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本项目的其他资格要求：</w:t>
      </w:r>
    </w:p>
    <w:p>
      <w:pPr>
        <w:pageBreakBefore w:val="0"/>
        <w:kinsoku/>
        <w:wordWrap/>
        <w:overflowPunct/>
        <w:topLinePunct w:val="0"/>
        <w:autoSpaceDE/>
        <w:autoSpaceDN/>
        <w:bidi w:val="0"/>
        <w:snapToGrid/>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（1）资质要求：</w:t>
      </w:r>
      <w:bookmarkStart w:id="26" w:name="OLE_LINK6"/>
      <w:r>
        <w:rPr>
          <w:rFonts w:hint="eastAsia" w:ascii="宋体" w:hAnsi="宋体" w:cs="宋体"/>
          <w:color w:val="000000" w:themeColor="text1"/>
          <w:szCs w:val="21"/>
          <w:lang w:val="en-US" w:eastAsia="zh-CN"/>
        </w:rPr>
        <w:t>具有</w:t>
      </w:r>
      <w:bookmarkStart w:id="27" w:name="OLE_LINK7"/>
      <w:r>
        <w:rPr>
          <w:rFonts w:hint="eastAsia" w:ascii="宋体" w:hAnsi="宋体" w:cs="宋体"/>
          <w:color w:val="000000" w:themeColor="text1"/>
          <w:szCs w:val="21"/>
          <w:lang w:val="en-US" w:eastAsia="zh-CN"/>
        </w:rPr>
        <w:t>消防设施工程专业承包贰级及以上资质</w:t>
      </w:r>
      <w:bookmarkEnd w:id="27"/>
      <w:r>
        <w:rPr>
          <w:rFonts w:hint="eastAsia" w:ascii="宋体" w:hAnsi="宋体" w:cs="宋体"/>
          <w:color w:val="000000" w:themeColor="text1"/>
          <w:szCs w:val="21"/>
          <w:lang w:val="en-US" w:eastAsia="zh-CN"/>
        </w:rPr>
        <w:t>，具有有效期内的建设行政主管部门颁发的安全生产许可证；</w:t>
      </w:r>
    </w:p>
    <w:bookmarkEnd w:id="26"/>
    <w:p>
      <w:pPr>
        <w:pageBreakBefore w:val="0"/>
        <w:kinsoku/>
        <w:wordWrap/>
        <w:overflowPunct/>
        <w:topLinePunct w:val="0"/>
        <w:autoSpaceDE/>
        <w:autoSpaceDN/>
        <w:bidi w:val="0"/>
        <w:snapToGrid/>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（2）项目负责人要求：</w:t>
      </w:r>
      <w:bookmarkStart w:id="28" w:name="OLE_LINK5"/>
      <w:r>
        <w:rPr>
          <w:rFonts w:hint="eastAsia" w:ascii="宋体" w:hAnsi="宋体" w:cs="宋体"/>
          <w:color w:val="000000" w:themeColor="text1"/>
          <w:szCs w:val="21"/>
          <w:lang w:val="en-US" w:eastAsia="zh-CN"/>
        </w:rPr>
        <w:t>项目经理须具备机电工程专业二级(含)以上注册建造师执业资格及有效的安全生产考核合格证书，且不得担任其他在建工程；</w:t>
      </w:r>
      <w:bookmarkEnd w:id="28"/>
    </w:p>
    <w:p>
      <w:pPr>
        <w:pageBreakBefore w:val="0"/>
        <w:kinsoku/>
        <w:wordWrap/>
        <w:overflowPunct/>
        <w:topLinePunct w:val="0"/>
        <w:autoSpaceDE/>
        <w:autoSpaceDN/>
        <w:bidi w:val="0"/>
        <w:snapToGrid/>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参加采购活动前三年内，投标企业未被“信用中国”（www.creditchina.gov.cn）、中国政府采购网（www.ccgp.gov.cn）列入失信被执行人、重大税收违法案件当事人名单、政府采购严重违法失信行为记录名单相关网站截图。</w:t>
      </w:r>
    </w:p>
    <w:p>
      <w:pPr>
        <w:pageBreakBefore w:val="0"/>
        <w:kinsoku/>
        <w:wordWrap/>
        <w:overflowPunct/>
        <w:topLinePunct w:val="0"/>
        <w:autoSpaceDE/>
        <w:autoSpaceDN/>
        <w:bidi w:val="0"/>
        <w:snapToGrid/>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（4）法定代表人投标需提供法定代表人资格证明书，委托代理人投标需提供法定代表人授权委托书；</w:t>
      </w:r>
    </w:p>
    <w:p>
      <w:pPr>
        <w:pageBreakBefore w:val="0"/>
        <w:kinsoku/>
        <w:wordWrap/>
        <w:overflowPunct/>
        <w:topLinePunct w:val="0"/>
        <w:autoSpaceDE/>
        <w:autoSpaceDN/>
        <w:bidi w:val="0"/>
        <w:snapToGrid/>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（5）投标企业须提供投标人（被授权本单位在职人员）近6个月内任何1月已依法缴纳社会保险的凭据（依法不需要缴纳社会保障资金的供应商，应提供相应证明文件）；</w:t>
      </w:r>
    </w:p>
    <w:p>
      <w:pPr>
        <w:pageBreakBefore w:val="0"/>
        <w:kinsoku/>
        <w:wordWrap/>
        <w:overflowPunct/>
        <w:topLinePunct w:val="0"/>
        <w:autoSpaceDE/>
        <w:autoSpaceDN/>
        <w:bidi w:val="0"/>
        <w:snapToGrid/>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（6）具有健全的财务会计制度：提供 2023年度财务审计报告或2024 年度财务审计报告或其基本开户银行出具的资信证明；</w:t>
      </w:r>
    </w:p>
    <w:p>
      <w:pPr>
        <w:pageBreakBefore w:val="0"/>
        <w:kinsoku/>
        <w:wordWrap/>
        <w:overflowPunct/>
        <w:topLinePunct w:val="0"/>
        <w:autoSpaceDE/>
        <w:autoSpaceDN/>
        <w:bidi w:val="0"/>
        <w:snapToGrid/>
        <w:spacing w:line="360" w:lineRule="auto"/>
        <w:ind w:firstLine="420" w:firstLineChars="200"/>
        <w:rPr>
          <w:rFonts w:hint="eastAsia" w:ascii="宋体" w:hAnsi="宋体" w:cs="宋体"/>
          <w:szCs w:val="21"/>
          <w:lang w:val="en-US" w:eastAsia="zh-CN"/>
        </w:rPr>
      </w:pPr>
      <w:bookmarkStart w:id="29" w:name="_Toc21095"/>
      <w:bookmarkStart w:id="30" w:name="_Toc28506"/>
      <w:bookmarkStart w:id="31" w:name="_Toc8591"/>
      <w:bookmarkStart w:id="32" w:name="_Toc35393631"/>
      <w:bookmarkStart w:id="33" w:name="_Toc35393800"/>
      <w:r>
        <w:rPr>
          <w:rFonts w:hint="eastAsia" w:ascii="宋体" w:hAnsi="宋体" w:cs="宋体"/>
          <w:szCs w:val="21"/>
          <w:lang w:val="en-US" w:eastAsia="zh-CN"/>
        </w:rPr>
        <w:t>（7）单位负责人为同一人或者存在直接控股、管理关系的不同供应商，不得参加同一合同下的政府采购活动；</w:t>
      </w:r>
      <w:r>
        <w:rPr>
          <w:rFonts w:hint="eastAsia" w:ascii="宋体" w:hAnsi="宋体" w:cs="宋体"/>
          <w:szCs w:val="21"/>
          <w:lang w:val="en-US" w:eastAsia="zh-CN"/>
        </w:rPr>
        <w:br w:type="textWrapping"/>
      </w:r>
      <w:r>
        <w:rPr>
          <w:rFonts w:hint="eastAsia" w:ascii="宋体" w:hAnsi="宋体" w:cs="宋体"/>
          <w:szCs w:val="21"/>
          <w:lang w:val="en-US" w:eastAsia="zh-CN"/>
        </w:rPr>
        <w:t>   （8）本项目不接受联合体。</w:t>
      </w:r>
    </w:p>
    <w:p>
      <w:pPr>
        <w:pStyle w:val="4"/>
        <w:pageBreakBefore w:val="0"/>
        <w:kinsoku/>
        <w:wordWrap/>
        <w:overflowPunct/>
        <w:topLinePunct w:val="0"/>
        <w:autoSpaceDE/>
        <w:autoSpaceDN/>
        <w:bidi w:val="0"/>
        <w:snapToGrid/>
        <w:spacing w:line="360" w:lineRule="auto"/>
        <w:rPr>
          <w:rFonts w:ascii="宋体" w:hAnsi="宋体" w:cs="宋体"/>
          <w:sz w:val="21"/>
          <w:szCs w:val="21"/>
        </w:rPr>
      </w:pPr>
      <w:r>
        <w:rPr>
          <w:rFonts w:hint="eastAsia" w:ascii="宋体" w:hAnsi="宋体" w:cs="宋体"/>
          <w:sz w:val="21"/>
          <w:szCs w:val="21"/>
        </w:rPr>
        <w:t>三、获取采购文件</w:t>
      </w:r>
      <w:bookmarkEnd w:id="24"/>
      <w:bookmarkEnd w:id="25"/>
      <w:bookmarkEnd w:id="29"/>
      <w:bookmarkEnd w:id="30"/>
      <w:bookmarkEnd w:id="31"/>
      <w:bookmarkEnd w:id="32"/>
      <w:bookmarkEnd w:id="33"/>
    </w:p>
    <w:p>
      <w:pPr>
        <w:pageBreakBefore w:val="0"/>
        <w:kinsoku/>
        <w:wordWrap/>
        <w:overflowPunct/>
        <w:topLinePunct w:val="0"/>
        <w:autoSpaceDE/>
        <w:autoSpaceDN/>
        <w:bidi w:val="0"/>
        <w:snapToGrid/>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时间：202</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13</w:t>
      </w:r>
      <w:r>
        <w:rPr>
          <w:rFonts w:hint="eastAsia" w:ascii="宋体" w:hAnsi="宋体" w:cs="宋体"/>
          <w:color w:val="000000" w:themeColor="text1"/>
          <w:szCs w:val="21"/>
        </w:rPr>
        <w:t>日至202</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日</w:t>
      </w:r>
      <w:r>
        <w:rPr>
          <w:rFonts w:hint="eastAsia" w:ascii="宋体" w:hAnsi="宋体" w:cs="宋体"/>
          <w:color w:val="000000" w:themeColor="text1"/>
          <w:szCs w:val="21"/>
          <w:lang w:eastAsia="zh-CN"/>
        </w:rPr>
        <w:t>，</w:t>
      </w:r>
      <w:r>
        <w:rPr>
          <w:rFonts w:hint="eastAsia" w:ascii="宋体" w:hAnsi="宋体" w:cs="宋体"/>
          <w:color w:val="000000" w:themeColor="text1"/>
          <w:szCs w:val="21"/>
        </w:rPr>
        <w:t>每天00:00至</w:t>
      </w:r>
      <w:r>
        <w:rPr>
          <w:rFonts w:hint="eastAsia" w:ascii="宋体" w:hAnsi="宋体" w:cs="宋体"/>
          <w:color w:val="000000" w:themeColor="text1"/>
          <w:szCs w:val="21"/>
          <w:lang w:val="en-US" w:eastAsia="zh-CN"/>
        </w:rPr>
        <w:t>23</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59</w:t>
      </w:r>
      <w:r>
        <w:rPr>
          <w:rFonts w:hint="eastAsia" w:ascii="宋体" w:hAnsi="宋体" w:cs="宋体"/>
          <w:color w:val="000000" w:themeColor="text1"/>
          <w:szCs w:val="21"/>
        </w:rPr>
        <w:t>；</w:t>
      </w:r>
    </w:p>
    <w:p>
      <w:pPr>
        <w:pageBreakBefore w:val="0"/>
        <w:kinsoku/>
        <w:wordWrap/>
        <w:overflowPunct/>
        <w:topLinePunct w:val="0"/>
        <w:autoSpaceDE/>
        <w:autoSpaceDN/>
        <w:bidi w:val="0"/>
        <w:snapToGrid/>
        <w:spacing w:line="360" w:lineRule="auto"/>
        <w:ind w:firstLine="420" w:firstLineChars="200"/>
        <w:rPr>
          <w:rFonts w:ascii="宋体" w:hAnsi="宋体" w:cs="宋体"/>
          <w:szCs w:val="21"/>
        </w:rPr>
      </w:pPr>
      <w:bookmarkStart w:id="34" w:name="_Toc28359092"/>
      <w:bookmarkStart w:id="35" w:name="_Toc35393801"/>
      <w:bookmarkStart w:id="36" w:name="_Toc35393632"/>
      <w:bookmarkStart w:id="37" w:name="_Toc28359015"/>
      <w:r>
        <w:rPr>
          <w:rFonts w:hint="eastAsia" w:ascii="宋体" w:hAnsi="宋体" w:cs="宋体"/>
          <w:szCs w:val="21"/>
        </w:rPr>
        <w:t>地点：政采云平台线上获取</w:t>
      </w:r>
    </w:p>
    <w:p>
      <w:pPr>
        <w:pageBreakBefore w:val="0"/>
        <w:kinsoku/>
        <w:wordWrap/>
        <w:overflowPunct/>
        <w:topLinePunct w:val="0"/>
        <w:autoSpaceDE/>
        <w:autoSpaceDN/>
        <w:bidi w:val="0"/>
        <w:snapToGrid/>
        <w:spacing w:line="360" w:lineRule="auto"/>
        <w:ind w:firstLine="420" w:firstLineChars="200"/>
        <w:rPr>
          <w:rFonts w:ascii="宋体" w:hAnsi="宋体" w:cs="宋体"/>
          <w:szCs w:val="21"/>
        </w:rPr>
      </w:pPr>
      <w:r>
        <w:rPr>
          <w:rFonts w:hint="eastAsia" w:ascii="宋体" w:hAnsi="宋体" w:cs="宋体"/>
          <w:szCs w:val="21"/>
        </w:rPr>
        <w:t>方式：方式：供应商登录政采云平台https://www.zcygov.cn/在线申请获取采购文件（进入“项目采购”应用，在获取采购文件菜单中选择项目，申请获取采购文件）</w:t>
      </w:r>
    </w:p>
    <w:p>
      <w:pPr>
        <w:pageBreakBefore w:val="0"/>
        <w:kinsoku/>
        <w:wordWrap/>
        <w:overflowPunct/>
        <w:topLinePunct w:val="0"/>
        <w:autoSpaceDE/>
        <w:autoSpaceDN/>
        <w:bidi w:val="0"/>
        <w:snapToGrid/>
        <w:spacing w:line="360" w:lineRule="auto"/>
        <w:ind w:firstLine="420" w:firstLineChars="200"/>
        <w:rPr>
          <w:rFonts w:ascii="宋体" w:hAnsi="宋体" w:cs="宋体"/>
          <w:szCs w:val="21"/>
        </w:rPr>
      </w:pPr>
      <w:r>
        <w:rPr>
          <w:rFonts w:hint="eastAsia" w:ascii="宋体" w:hAnsi="宋体" w:cs="宋体"/>
          <w:szCs w:val="21"/>
        </w:rPr>
        <w:t xml:space="preserve">售价（元）：0 </w:t>
      </w:r>
    </w:p>
    <w:p>
      <w:pPr>
        <w:pStyle w:val="4"/>
        <w:pageBreakBefore w:val="0"/>
        <w:kinsoku/>
        <w:wordWrap/>
        <w:overflowPunct/>
        <w:topLinePunct w:val="0"/>
        <w:autoSpaceDE/>
        <w:autoSpaceDN/>
        <w:bidi w:val="0"/>
        <w:snapToGrid/>
        <w:spacing w:line="360" w:lineRule="auto"/>
        <w:rPr>
          <w:rFonts w:ascii="宋体" w:hAnsi="宋体" w:cs="宋体"/>
          <w:sz w:val="21"/>
          <w:szCs w:val="21"/>
        </w:rPr>
      </w:pPr>
      <w:bookmarkStart w:id="38" w:name="_Toc19739"/>
      <w:bookmarkStart w:id="39" w:name="_Toc10378"/>
      <w:bookmarkStart w:id="40" w:name="_Toc16565"/>
      <w:r>
        <w:rPr>
          <w:rFonts w:hint="eastAsia" w:ascii="宋体" w:hAnsi="宋体" w:cs="宋体"/>
          <w:sz w:val="21"/>
          <w:szCs w:val="21"/>
        </w:rPr>
        <w:t>四、</w:t>
      </w:r>
      <w:bookmarkEnd w:id="34"/>
      <w:bookmarkEnd w:id="35"/>
      <w:bookmarkEnd w:id="36"/>
      <w:bookmarkEnd w:id="37"/>
      <w:r>
        <w:rPr>
          <w:rFonts w:hint="eastAsia" w:ascii="宋体" w:hAnsi="宋体" w:cs="宋体"/>
          <w:sz w:val="21"/>
          <w:szCs w:val="21"/>
        </w:rPr>
        <w:t>响应文件提交</w:t>
      </w:r>
      <w:bookmarkEnd w:id="38"/>
      <w:bookmarkEnd w:id="39"/>
      <w:bookmarkEnd w:id="40"/>
      <w:r>
        <w:rPr>
          <w:rFonts w:hint="eastAsia" w:ascii="宋体" w:hAnsi="宋体" w:cs="宋体"/>
          <w:sz w:val="21"/>
          <w:szCs w:val="21"/>
        </w:rPr>
        <w:t xml:space="preserve"> </w:t>
      </w:r>
    </w:p>
    <w:p>
      <w:pPr>
        <w:pageBreakBefore w:val="0"/>
        <w:kinsoku/>
        <w:wordWrap/>
        <w:overflowPunct/>
        <w:topLinePunct w:val="0"/>
        <w:autoSpaceDE/>
        <w:autoSpaceDN/>
        <w:bidi w:val="0"/>
        <w:snapToGrid/>
        <w:spacing w:line="360" w:lineRule="auto"/>
        <w:ind w:firstLine="420" w:firstLineChars="200"/>
        <w:rPr>
          <w:rFonts w:ascii="宋体" w:hAnsi="宋体"/>
          <w:bCs/>
          <w:color w:val="000000" w:themeColor="text1"/>
          <w:szCs w:val="21"/>
        </w:rPr>
      </w:pPr>
      <w:r>
        <w:rPr>
          <w:rFonts w:hint="eastAsia" w:ascii="宋体" w:hAnsi="宋体"/>
          <w:color w:val="000000" w:themeColor="text1"/>
          <w:szCs w:val="21"/>
        </w:rPr>
        <w:t>截止时间：202</w:t>
      </w:r>
      <w:r>
        <w:rPr>
          <w:rFonts w:hint="eastAsia" w:ascii="宋体" w:hAnsi="宋体"/>
          <w:color w:val="000000" w:themeColor="text1"/>
          <w:szCs w:val="21"/>
          <w:lang w:val="en-US" w:eastAsia="zh-CN"/>
        </w:rPr>
        <w:t>5</w:t>
      </w:r>
      <w:r>
        <w:rPr>
          <w:rFonts w:hint="eastAsia" w:ascii="宋体" w:hAnsi="宋体"/>
          <w:color w:val="000000" w:themeColor="text1"/>
          <w:szCs w:val="21"/>
        </w:rPr>
        <w:t>年</w:t>
      </w:r>
      <w:r>
        <w:rPr>
          <w:rFonts w:hint="eastAsia" w:ascii="宋体" w:hAnsi="宋体"/>
          <w:color w:val="000000" w:themeColor="text1"/>
          <w:szCs w:val="21"/>
          <w:lang w:val="en-US" w:eastAsia="zh-CN"/>
        </w:rPr>
        <w:t>5</w:t>
      </w:r>
      <w:r>
        <w:rPr>
          <w:rFonts w:hint="eastAsia" w:ascii="宋体" w:hAnsi="宋体"/>
          <w:color w:val="000000" w:themeColor="text1"/>
          <w:szCs w:val="21"/>
        </w:rPr>
        <w:t>月</w:t>
      </w:r>
      <w:r>
        <w:rPr>
          <w:rFonts w:hint="eastAsia" w:ascii="宋体" w:hAnsi="宋体"/>
          <w:color w:val="000000" w:themeColor="text1"/>
          <w:szCs w:val="21"/>
          <w:lang w:val="en-US" w:eastAsia="zh-CN"/>
        </w:rPr>
        <w:t>26</w:t>
      </w:r>
      <w:r>
        <w:rPr>
          <w:rFonts w:hint="eastAsia" w:ascii="宋体" w:hAnsi="宋体"/>
          <w:color w:val="000000" w:themeColor="text1"/>
          <w:szCs w:val="21"/>
        </w:rPr>
        <w:t>日</w:t>
      </w:r>
      <w:r>
        <w:rPr>
          <w:rFonts w:hint="eastAsia" w:ascii="宋体" w:hAnsi="宋体"/>
          <w:bCs/>
          <w:color w:val="000000" w:themeColor="text1"/>
          <w:szCs w:val="21"/>
        </w:rPr>
        <w:t>1</w:t>
      </w:r>
      <w:r>
        <w:rPr>
          <w:rFonts w:hint="eastAsia" w:ascii="宋体" w:hAnsi="宋体"/>
          <w:bCs/>
          <w:color w:val="000000" w:themeColor="text1"/>
          <w:szCs w:val="21"/>
          <w:lang w:val="en-US" w:eastAsia="zh-CN"/>
        </w:rPr>
        <w:t>1</w:t>
      </w:r>
      <w:r>
        <w:rPr>
          <w:rFonts w:hint="eastAsia" w:ascii="宋体" w:hAnsi="宋体"/>
          <w:bCs/>
          <w:color w:val="000000" w:themeColor="text1"/>
          <w:szCs w:val="21"/>
        </w:rPr>
        <w:t>点</w:t>
      </w:r>
      <w:r>
        <w:rPr>
          <w:rFonts w:hint="eastAsia" w:ascii="宋体" w:hAnsi="宋体"/>
          <w:bCs/>
          <w:color w:val="000000" w:themeColor="text1"/>
          <w:szCs w:val="21"/>
          <w:lang w:val="en-US" w:eastAsia="zh-CN"/>
        </w:rPr>
        <w:t>30</w:t>
      </w:r>
      <w:r>
        <w:rPr>
          <w:rFonts w:hint="eastAsia" w:ascii="宋体" w:hAnsi="宋体"/>
          <w:bCs/>
          <w:color w:val="000000" w:themeColor="text1"/>
          <w:szCs w:val="21"/>
        </w:rPr>
        <w:t>分（北京时间）</w:t>
      </w:r>
    </w:p>
    <w:p>
      <w:pPr>
        <w:pageBreakBefore w:val="0"/>
        <w:kinsoku/>
        <w:wordWrap/>
        <w:overflowPunct/>
        <w:topLinePunct w:val="0"/>
        <w:autoSpaceDE/>
        <w:autoSpaceDN/>
        <w:bidi w:val="0"/>
        <w:snapToGrid/>
        <w:spacing w:line="360" w:lineRule="auto"/>
        <w:ind w:firstLine="420" w:firstLineChars="200"/>
        <w:rPr>
          <w:rFonts w:hint="eastAsia" w:ascii="宋体" w:hAnsi="宋体"/>
          <w:szCs w:val="21"/>
        </w:rPr>
      </w:pPr>
      <w:r>
        <w:rPr>
          <w:rFonts w:hint="eastAsia" w:ascii="宋体" w:hAnsi="宋体"/>
          <w:szCs w:val="21"/>
        </w:rPr>
        <w:t>地点：请登录政采云投标客户端，在截止时间前将加密的电子响应文件（.jmbs）上传到新疆政府采购网对应的位置（逾期上传或者未上传指定地点的响应文件，采购人不予受理）。</w:t>
      </w:r>
    </w:p>
    <w:p>
      <w:pPr>
        <w:pStyle w:val="4"/>
        <w:pageBreakBefore w:val="0"/>
        <w:numPr>
          <w:ilvl w:val="0"/>
          <w:numId w:val="2"/>
        </w:numPr>
        <w:kinsoku/>
        <w:wordWrap/>
        <w:overflowPunct/>
        <w:topLinePunct w:val="0"/>
        <w:autoSpaceDE/>
        <w:autoSpaceDN/>
        <w:bidi w:val="0"/>
        <w:snapToGrid/>
        <w:spacing w:line="360" w:lineRule="auto"/>
        <w:rPr>
          <w:rFonts w:hint="eastAsia" w:ascii="宋体" w:hAnsi="宋体" w:cs="宋体"/>
          <w:sz w:val="21"/>
          <w:szCs w:val="21"/>
        </w:rPr>
      </w:pPr>
      <w:bookmarkStart w:id="41" w:name="_Toc20922"/>
      <w:bookmarkStart w:id="42" w:name="_Toc26539"/>
      <w:bookmarkStart w:id="43" w:name="_Toc11073"/>
      <w:r>
        <w:rPr>
          <w:rFonts w:hint="eastAsia" w:ascii="宋体" w:hAnsi="宋体" w:cs="宋体"/>
          <w:sz w:val="21"/>
          <w:szCs w:val="21"/>
        </w:rPr>
        <w:t>响应文件</w:t>
      </w:r>
      <w:r>
        <w:rPr>
          <w:rFonts w:hint="eastAsia" w:ascii="宋体" w:hAnsi="宋体" w:cs="宋体"/>
          <w:sz w:val="21"/>
          <w:szCs w:val="21"/>
          <w:lang w:val="en-US" w:eastAsia="zh-CN"/>
        </w:rPr>
        <w:t>开启</w:t>
      </w:r>
      <w:bookmarkEnd w:id="41"/>
      <w:bookmarkEnd w:id="42"/>
      <w:bookmarkEnd w:id="43"/>
    </w:p>
    <w:p>
      <w:pPr>
        <w:pageBreakBefore w:val="0"/>
        <w:kinsoku/>
        <w:wordWrap/>
        <w:overflowPunct/>
        <w:topLinePunct w:val="0"/>
        <w:autoSpaceDE/>
        <w:autoSpaceDN/>
        <w:bidi w:val="0"/>
        <w:snapToGrid/>
        <w:spacing w:line="360" w:lineRule="auto"/>
        <w:ind w:firstLine="420" w:firstLineChars="200"/>
        <w:rPr>
          <w:rFonts w:hint="eastAsia" w:ascii="宋体" w:hAnsi="宋体"/>
          <w:color w:val="FF0000"/>
          <w:szCs w:val="21"/>
        </w:rPr>
      </w:pPr>
      <w:r>
        <w:rPr>
          <w:rFonts w:hint="eastAsia"/>
          <w:color w:val="000000" w:themeColor="text1"/>
        </w:rPr>
        <w:t>截</w:t>
      </w:r>
      <w:r>
        <w:rPr>
          <w:rFonts w:hint="eastAsia" w:ascii="宋体" w:hAnsi="宋体"/>
          <w:color w:val="000000" w:themeColor="text1"/>
          <w:szCs w:val="21"/>
        </w:rPr>
        <w:t>止时间：202</w:t>
      </w:r>
      <w:r>
        <w:rPr>
          <w:rFonts w:hint="eastAsia" w:ascii="宋体" w:hAnsi="宋体"/>
          <w:color w:val="000000" w:themeColor="text1"/>
          <w:szCs w:val="21"/>
          <w:lang w:val="en-US" w:eastAsia="zh-CN"/>
        </w:rPr>
        <w:t>5</w:t>
      </w:r>
      <w:r>
        <w:rPr>
          <w:rFonts w:hint="eastAsia" w:ascii="宋体" w:hAnsi="宋体"/>
          <w:color w:val="000000" w:themeColor="text1"/>
          <w:szCs w:val="21"/>
        </w:rPr>
        <w:t>年</w:t>
      </w:r>
      <w:r>
        <w:rPr>
          <w:rFonts w:hint="eastAsia" w:ascii="宋体" w:hAnsi="宋体"/>
          <w:color w:val="000000" w:themeColor="text1"/>
          <w:szCs w:val="21"/>
          <w:lang w:val="en-US" w:eastAsia="zh-CN"/>
        </w:rPr>
        <w:t>5</w:t>
      </w:r>
      <w:r>
        <w:rPr>
          <w:rFonts w:hint="eastAsia" w:ascii="宋体" w:hAnsi="宋体"/>
          <w:color w:val="000000" w:themeColor="text1"/>
          <w:szCs w:val="21"/>
        </w:rPr>
        <w:t>月</w:t>
      </w:r>
      <w:r>
        <w:rPr>
          <w:rFonts w:hint="eastAsia" w:ascii="宋体" w:hAnsi="宋体"/>
          <w:color w:val="000000" w:themeColor="text1"/>
          <w:szCs w:val="21"/>
          <w:lang w:val="en-US" w:eastAsia="zh-CN"/>
        </w:rPr>
        <w:t>26</w:t>
      </w:r>
      <w:r>
        <w:rPr>
          <w:rFonts w:hint="eastAsia" w:ascii="宋体" w:hAnsi="宋体"/>
          <w:color w:val="000000" w:themeColor="text1"/>
          <w:szCs w:val="21"/>
        </w:rPr>
        <w:t>日1</w:t>
      </w:r>
      <w:r>
        <w:rPr>
          <w:rFonts w:hint="eastAsia" w:ascii="宋体" w:hAnsi="宋体"/>
          <w:color w:val="000000" w:themeColor="text1"/>
          <w:szCs w:val="21"/>
          <w:lang w:val="en-US" w:eastAsia="zh-CN"/>
        </w:rPr>
        <w:t>1</w:t>
      </w:r>
      <w:r>
        <w:rPr>
          <w:rFonts w:hint="eastAsia" w:ascii="宋体" w:hAnsi="宋体"/>
          <w:color w:val="000000" w:themeColor="text1"/>
          <w:szCs w:val="21"/>
        </w:rPr>
        <w:t>:</w:t>
      </w:r>
      <w:r>
        <w:rPr>
          <w:rFonts w:hint="eastAsia" w:ascii="宋体" w:hAnsi="宋体"/>
          <w:color w:val="000000" w:themeColor="text1"/>
          <w:szCs w:val="21"/>
          <w:lang w:val="en-US" w:eastAsia="zh-CN"/>
        </w:rPr>
        <w:t>30</w:t>
      </w:r>
      <w:r>
        <w:rPr>
          <w:rFonts w:hint="eastAsia" w:ascii="宋体" w:hAnsi="宋体"/>
          <w:color w:val="000000" w:themeColor="text1"/>
          <w:szCs w:val="21"/>
        </w:rPr>
        <w:t>（北京时间）</w:t>
      </w:r>
    </w:p>
    <w:p>
      <w:pPr>
        <w:pageBreakBefore w:val="0"/>
        <w:kinsoku/>
        <w:wordWrap/>
        <w:overflowPunct/>
        <w:topLinePunct w:val="0"/>
        <w:autoSpaceDE/>
        <w:autoSpaceDN/>
        <w:bidi w:val="0"/>
        <w:snapToGrid/>
        <w:spacing w:line="360" w:lineRule="auto"/>
        <w:ind w:firstLine="420" w:firstLineChars="200"/>
        <w:rPr>
          <w:rFonts w:hint="default"/>
          <w:lang w:val="en-US"/>
        </w:rPr>
      </w:pPr>
      <w:r>
        <w:rPr>
          <w:rFonts w:hint="eastAsia" w:ascii="宋体" w:hAnsi="宋体"/>
          <w:szCs w:val="21"/>
        </w:rPr>
        <w:t>地点：</w:t>
      </w:r>
      <w:r>
        <w:rPr>
          <w:rFonts w:hint="eastAsia" w:ascii="宋体" w:hAnsi="宋体" w:cs="Times New Roman"/>
          <w:kern w:val="2"/>
          <w:sz w:val="21"/>
          <w:szCs w:val="21"/>
          <w:lang w:val="en-US" w:eastAsia="zh-CN" w:bidi="ar-SA"/>
        </w:rPr>
        <w:t>政采云系统平台（https://www.zcygov.cn/）不见面开标大厅。</w:t>
      </w:r>
    </w:p>
    <w:p>
      <w:pPr>
        <w:pStyle w:val="4"/>
        <w:pageBreakBefore w:val="0"/>
        <w:kinsoku/>
        <w:wordWrap/>
        <w:overflowPunct/>
        <w:topLinePunct w:val="0"/>
        <w:autoSpaceDE/>
        <w:autoSpaceDN/>
        <w:bidi w:val="0"/>
        <w:snapToGrid/>
        <w:spacing w:line="360" w:lineRule="auto"/>
        <w:rPr>
          <w:rFonts w:hint="default" w:ascii="宋体" w:hAnsi="宋体" w:cs="宋体"/>
          <w:sz w:val="21"/>
          <w:szCs w:val="21"/>
          <w:lang w:val="en-US" w:eastAsia="zh-CN"/>
        </w:rPr>
      </w:pPr>
      <w:bookmarkStart w:id="44" w:name="_Toc18903"/>
      <w:bookmarkStart w:id="45" w:name="_Toc23236"/>
      <w:bookmarkStart w:id="46" w:name="_Toc20344"/>
      <w:r>
        <w:rPr>
          <w:rFonts w:hint="eastAsia" w:ascii="宋体" w:hAnsi="宋体" w:cs="宋体"/>
          <w:sz w:val="21"/>
          <w:szCs w:val="21"/>
          <w:lang w:val="en-US" w:eastAsia="zh-CN"/>
        </w:rPr>
        <w:t>六、公告期限 </w:t>
      </w:r>
      <w:bookmarkEnd w:id="44"/>
      <w:bookmarkEnd w:id="45"/>
      <w:bookmarkEnd w:id="46"/>
    </w:p>
    <w:p>
      <w:pPr>
        <w:pageBreakBefore w:val="0"/>
        <w:kinsoku/>
        <w:wordWrap/>
        <w:overflowPunct/>
        <w:topLinePunct w:val="0"/>
        <w:autoSpaceDE/>
        <w:autoSpaceDN/>
        <w:bidi w:val="0"/>
        <w:snapToGrid/>
        <w:spacing w:line="360" w:lineRule="auto"/>
        <w:ind w:firstLine="420" w:firstLineChars="200"/>
      </w:pPr>
      <w:r>
        <w:rPr>
          <w:rFonts w:hint="eastAsia" w:ascii="宋体" w:hAnsi="宋体"/>
          <w:szCs w:val="21"/>
        </w:rPr>
        <w:t>自本公告发布之日起5个工作日。</w:t>
      </w:r>
    </w:p>
    <w:p>
      <w:pPr>
        <w:pStyle w:val="4"/>
        <w:pageBreakBefore w:val="0"/>
        <w:kinsoku/>
        <w:wordWrap/>
        <w:overflowPunct/>
        <w:topLinePunct w:val="0"/>
        <w:autoSpaceDE/>
        <w:autoSpaceDN/>
        <w:bidi w:val="0"/>
        <w:snapToGrid/>
        <w:spacing w:line="360" w:lineRule="auto"/>
        <w:rPr>
          <w:rFonts w:ascii="宋体" w:hAnsi="宋体" w:cs="宋体"/>
          <w:sz w:val="21"/>
          <w:szCs w:val="21"/>
        </w:rPr>
      </w:pPr>
      <w:bookmarkStart w:id="47" w:name="_Toc35393635"/>
      <w:bookmarkStart w:id="48" w:name="_Toc30767"/>
      <w:bookmarkStart w:id="49" w:name="_Toc35393804"/>
      <w:bookmarkStart w:id="50" w:name="_Toc13541"/>
      <w:bookmarkStart w:id="51" w:name="_Toc22554"/>
      <w:r>
        <w:rPr>
          <w:rFonts w:hint="eastAsia" w:ascii="宋体" w:hAnsi="宋体" w:cs="宋体"/>
          <w:sz w:val="21"/>
          <w:szCs w:val="21"/>
          <w:lang w:val="en-US" w:eastAsia="zh-CN"/>
        </w:rPr>
        <w:t>七</w:t>
      </w:r>
      <w:r>
        <w:rPr>
          <w:rFonts w:hint="eastAsia" w:ascii="宋体" w:hAnsi="宋体" w:cs="宋体"/>
          <w:sz w:val="21"/>
          <w:szCs w:val="21"/>
        </w:rPr>
        <w:t>、其他补充事宜</w:t>
      </w:r>
      <w:bookmarkEnd w:id="47"/>
      <w:bookmarkEnd w:id="48"/>
      <w:bookmarkEnd w:id="49"/>
      <w:bookmarkEnd w:id="50"/>
      <w:bookmarkEnd w:id="51"/>
    </w:p>
    <w:p>
      <w:pPr>
        <w:pStyle w:val="20"/>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420"/>
        <w:textAlignment w:val="auto"/>
        <w:rPr>
          <w:rFonts w:hint="eastAsia" w:cs="宋体"/>
          <w:b w:val="0"/>
          <w:bCs w:val="0"/>
          <w:kern w:val="0"/>
          <w:sz w:val="21"/>
          <w:szCs w:val="21"/>
          <w:lang w:val="en-US" w:eastAsia="zh-CN" w:bidi="ar-SA"/>
        </w:rPr>
      </w:pPr>
      <w:r>
        <w:rPr>
          <w:rFonts w:hint="eastAsia" w:cs="宋体"/>
          <w:b w:val="0"/>
          <w:bCs w:val="0"/>
          <w:kern w:val="0"/>
          <w:sz w:val="21"/>
          <w:szCs w:val="21"/>
          <w:lang w:val="en-US" w:eastAsia="zh-CN" w:bidi="ar-SA"/>
        </w:rPr>
        <w:t>1、本项目实行网上投标，采用电子投标文件；若供应商参与投标，自行承担投标一切费用。</w:t>
      </w:r>
    </w:p>
    <w:p>
      <w:pPr>
        <w:pStyle w:val="20"/>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420"/>
        <w:textAlignment w:val="auto"/>
        <w:rPr>
          <w:rFonts w:hint="eastAsia" w:cs="宋体"/>
          <w:b w:val="0"/>
          <w:bCs w:val="0"/>
          <w:kern w:val="0"/>
          <w:sz w:val="21"/>
          <w:szCs w:val="21"/>
          <w:lang w:val="en-US" w:eastAsia="zh-CN" w:bidi="ar-SA"/>
        </w:rPr>
      </w:pPr>
      <w:r>
        <w:rPr>
          <w:rFonts w:hint="eastAsia" w:cs="宋体"/>
          <w:b w:val="0"/>
          <w:bCs w:val="0"/>
          <w:kern w:val="0"/>
          <w:sz w:val="21"/>
          <w:szCs w:val="21"/>
          <w:lang w:val="en-US" w:eastAsia="zh-CN" w:bidi="ar-SA"/>
        </w:rPr>
        <w:t>2、各供应商应在开标前应确保成为政采云平台供应商，并完成CA数字证书（符合国密标准）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pPr>
        <w:pStyle w:val="20"/>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420"/>
        <w:textAlignment w:val="auto"/>
        <w:rPr>
          <w:rFonts w:hint="eastAsia" w:cs="宋体"/>
          <w:b w:val="0"/>
          <w:bCs w:val="0"/>
          <w:kern w:val="0"/>
          <w:sz w:val="21"/>
          <w:szCs w:val="21"/>
          <w:lang w:val="en-US" w:eastAsia="zh-CN" w:bidi="ar-SA"/>
        </w:rPr>
      </w:pPr>
      <w:r>
        <w:rPr>
          <w:rFonts w:hint="eastAsia" w:cs="宋体"/>
          <w:b w:val="0"/>
          <w:bCs w:val="0"/>
          <w:kern w:val="0"/>
          <w:sz w:val="21"/>
          <w:szCs w:val="21"/>
          <w:lang w:val="en-US" w:eastAsia="zh-CN" w:bidi="ar-SA"/>
        </w:rPr>
        <w:t>3、供应商将政采云电子交易客户端下载、安装完成后，可通过账号密码或CA登录客户端进行投标文件的制作。在使用政采云投标客户端时，建议使用WIN7（64位）及以上操作系统。客户端请至兵团政府采购网（http://ccgp-bingtuan.gov.cn/）下载专区查看，如有问题可拨打政采云客户服务热线400-881-7190进行咨询。</w:t>
      </w:r>
    </w:p>
    <w:p>
      <w:pPr>
        <w:pStyle w:val="20"/>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420"/>
        <w:textAlignment w:val="auto"/>
        <w:rPr>
          <w:rFonts w:hint="eastAsia" w:cs="宋体"/>
          <w:b w:val="0"/>
          <w:bCs w:val="0"/>
          <w:kern w:val="0"/>
          <w:sz w:val="21"/>
          <w:szCs w:val="21"/>
          <w:lang w:val="en-US" w:eastAsia="zh-CN" w:bidi="ar-SA"/>
        </w:rPr>
      </w:pPr>
      <w:r>
        <w:rPr>
          <w:rFonts w:hint="eastAsia" w:cs="宋体"/>
          <w:b w:val="0"/>
          <w:bCs w:val="0"/>
          <w:kern w:val="0"/>
          <w:sz w:val="21"/>
          <w:szCs w:val="21"/>
          <w:lang w:val="en-US" w:eastAsia="zh-CN" w:bidi="ar-SA"/>
        </w:rPr>
        <w:t>4、加密的电子投标文件应在投标文件递交截止时间前通过政采云平台上传完成。逾期上传或者未上传指定地点的投标文件，采购人不予受理。</w:t>
      </w:r>
    </w:p>
    <w:p>
      <w:pPr>
        <w:pStyle w:val="20"/>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420"/>
        <w:textAlignment w:val="auto"/>
        <w:rPr>
          <w:rFonts w:hint="eastAsia" w:cs="宋体"/>
          <w:b w:val="0"/>
          <w:bCs w:val="0"/>
          <w:kern w:val="0"/>
          <w:sz w:val="21"/>
          <w:szCs w:val="21"/>
          <w:lang w:val="en-US" w:eastAsia="zh-CN" w:bidi="ar-SA"/>
        </w:rPr>
      </w:pPr>
      <w:r>
        <w:rPr>
          <w:rFonts w:hint="eastAsia" w:cs="宋体"/>
          <w:b w:val="0"/>
          <w:bCs w:val="0"/>
          <w:kern w:val="0"/>
          <w:sz w:val="21"/>
          <w:szCs w:val="21"/>
          <w:lang w:val="en-US" w:eastAsia="zh-CN" w:bidi="ar-SA"/>
        </w:rPr>
        <w:t>5、投标文件开启当日，供应商无需到达开标现场，仅需通过政采云平台完成远程解密、开标唱标、询标澄清等交互环节。供应商必须使用能正确解密投标文件的“CA锁”在规定的时间内完成远程解密，因供应商原因未能解密、解密失败或解密超时，视为供应商撤销其投标文件。</w:t>
      </w:r>
    </w:p>
    <w:p>
      <w:pPr>
        <w:pStyle w:val="20"/>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420"/>
        <w:textAlignment w:val="auto"/>
        <w:rPr>
          <w:rFonts w:hint="eastAsia" w:cs="宋体"/>
          <w:b w:val="0"/>
          <w:bCs w:val="0"/>
          <w:kern w:val="0"/>
          <w:sz w:val="21"/>
          <w:szCs w:val="21"/>
          <w:lang w:val="en-US" w:eastAsia="zh-CN" w:bidi="ar-SA"/>
        </w:rPr>
      </w:pPr>
      <w:r>
        <w:rPr>
          <w:rFonts w:hint="eastAsia" w:cs="宋体"/>
          <w:b w:val="0"/>
          <w:bCs w:val="0"/>
          <w:kern w:val="0"/>
          <w:sz w:val="21"/>
          <w:szCs w:val="21"/>
          <w:lang w:val="en-US" w:eastAsia="zh-CN" w:bidi="ar-SA"/>
        </w:rPr>
        <w:t>6、本项目需要落实的政府采购政策：</w:t>
      </w:r>
      <w:bookmarkStart w:id="52" w:name="_Toc35393636"/>
      <w:bookmarkStart w:id="53" w:name="_Toc28359018"/>
      <w:bookmarkStart w:id="54" w:name="_Toc35393805"/>
      <w:bookmarkStart w:id="55" w:name="_Toc28359095"/>
      <w:r>
        <w:rPr>
          <w:rFonts w:hint="eastAsia" w:cs="宋体"/>
          <w:b w:val="0"/>
          <w:bCs w:val="0"/>
          <w:kern w:val="0"/>
          <w:sz w:val="21"/>
          <w:szCs w:val="21"/>
          <w:lang w:val="en-US" w:eastAsia="zh-CN" w:bidi="ar-SA"/>
        </w:rPr>
        <w:t>（1）财政部、国家发展改革委、生态环境部、市场监管总局《关于调整优化节能产品、环境标志产品政府采购执行机制的通知》（财库[2019]9号文）；（2）财政部、生态环境部《关于印发环境标志产品政府采购品目清单的通知》（财库[2019]18号文）；（3）财政部、发展改革委《关于印发节能产品政府采购品目清单的通知》（财库[2019]19号文）；（4）市场监管总局《市场监管总局关于发布参与实施政府采购节能产品、环境标志产品认证机构名录的公告》（2019年第16号）；（5）财政部、工业和信息化部制定的《关于印发《政府采购促进中小企业发展管理办法》的通知》（财库〔2020〕46号）；（6）关于落实好政府采购支持中小企业发展的通知（新财购〔2022〕22号）；（7）财政部、民政部、中国残疾人联合会《关于促进残疾人就业政府采购政策的通知》（财库[2017]141号）；（8）财政部、司法部《关于政府采购支持监狱企业发展有关问题的通知》（财库[2014]68号文）。</w:t>
      </w:r>
    </w:p>
    <w:p>
      <w:pPr>
        <w:pStyle w:val="20"/>
        <w:keepNext w:val="0"/>
        <w:keepLines w:val="0"/>
        <w:pageBreakBefore w:val="0"/>
        <w:widowControl/>
        <w:kinsoku/>
        <w:wordWrap w:val="0"/>
        <w:overflowPunct/>
        <w:topLinePunct w:val="0"/>
        <w:autoSpaceDE/>
        <w:autoSpaceDN/>
        <w:bidi w:val="0"/>
        <w:adjustRightInd/>
        <w:snapToGrid/>
        <w:spacing w:before="75" w:beforeAutospacing="0" w:after="75" w:afterAutospacing="0" w:line="360" w:lineRule="auto"/>
        <w:ind w:firstLine="420"/>
        <w:textAlignment w:val="auto"/>
        <w:rPr>
          <w:rFonts w:hint="default" w:cs="宋体"/>
          <w:b w:val="0"/>
          <w:bCs w:val="0"/>
          <w:kern w:val="0"/>
          <w:sz w:val="21"/>
          <w:szCs w:val="21"/>
          <w:lang w:val="en-US" w:eastAsia="zh-CN" w:bidi="ar-SA"/>
        </w:rPr>
      </w:pPr>
      <w:r>
        <w:rPr>
          <w:rFonts w:hint="eastAsia" w:cs="宋体"/>
          <w:b w:val="0"/>
          <w:bCs w:val="0"/>
          <w:kern w:val="0"/>
          <w:sz w:val="21"/>
          <w:szCs w:val="21"/>
          <w:lang w:val="en-US" w:eastAsia="zh-CN" w:bidi="ar-SA"/>
        </w:rPr>
        <w:t>7、为支持和促进中小企业发展，进一步发挥政府采购政策功能，鼓励供应商使用电子保函替代保证金及进行预付款增信，支持供应商基于中标项目进行合同融资。中标供应商若想了解或使用相关金融服务，可登录【兵团政府采购网】-信用融资专题或直接登录【兵团政府采购信用融资服务平台】查看：直达链接：https://jinrong.zcygov.cn/luban/finance/xinjiang金融服务支撑热线：400-903-9583</w:t>
      </w:r>
    </w:p>
    <w:p>
      <w:pPr>
        <w:pStyle w:val="20"/>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420"/>
        <w:textAlignment w:val="auto"/>
        <w:rPr>
          <w:rFonts w:hint="default" w:ascii="宋体" w:hAnsi="宋体" w:eastAsia="宋体" w:cs="宋体"/>
          <w:b w:val="0"/>
          <w:bCs w:val="0"/>
          <w:kern w:val="0"/>
          <w:sz w:val="21"/>
          <w:szCs w:val="21"/>
          <w:lang w:val="en-US" w:eastAsia="zh-CN" w:bidi="ar-SA"/>
        </w:rPr>
      </w:pPr>
      <w:r>
        <w:rPr>
          <w:rFonts w:hint="eastAsia" w:cs="宋体"/>
          <w:b w:val="0"/>
          <w:bCs w:val="0"/>
          <w:kern w:val="0"/>
          <w:sz w:val="21"/>
          <w:szCs w:val="21"/>
          <w:lang w:val="en-US" w:eastAsia="zh-CN" w:bidi="ar-SA"/>
        </w:rPr>
        <w:t>8、超过200万元的货物和服务采购项目、超过400万元的工程采购项目中适宜由中小企业提供的，预留该部分采购项目预算总额的40%以上专门面向中小企业采购，其中预留给小微企业的比例不低于60%。对于未预留份额专门面向中小企业的采购项目，以及预留份额项目中的非预留部分采购包，采购人、采购代理机构应当对符合规定的小微企业报价给予10%~20%（工程项目为6%~10%）的扣除，用扣除后的价格参加评审。适用磋商投标法的政府采购工程建设项目，采用综合评估法但未采用低价优先法计算价格分的，评标时应当在采用原报价进行评分的基础上增加其价格得分的6%~10%作为其价格分。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磋商投标法的政府采购工程建设项目，采用综合评估法但未采用低价优先法计算价格分的，评标时应当在采用原报价进行评分的基础上增加其价格得分的2%~4%作为其价格分。</w:t>
      </w:r>
    </w:p>
    <w:p>
      <w:pPr>
        <w:pStyle w:val="20"/>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textAlignment w:val="auto"/>
        <w:rPr>
          <w:rFonts w:hint="eastAsia" w:ascii="宋体" w:hAnsi="宋体"/>
          <w:szCs w:val="21"/>
        </w:rPr>
      </w:pPr>
      <w:r>
        <w:rPr>
          <w:rFonts w:hint="eastAsia" w:ascii="宋体" w:hAnsi="宋体" w:eastAsia="宋体" w:cs="宋体"/>
          <w:b/>
          <w:bCs/>
          <w:kern w:val="2"/>
          <w:sz w:val="21"/>
          <w:szCs w:val="21"/>
          <w:lang w:val="en-US" w:eastAsia="zh-CN" w:bidi="ar-SA"/>
        </w:rPr>
        <w:t>八、凡对本次采购提出询问，请按以下方式联系。</w:t>
      </w:r>
      <w:bookmarkEnd w:id="52"/>
      <w:bookmarkEnd w:id="53"/>
      <w:bookmarkEnd w:id="54"/>
      <w:bookmarkEnd w:id="55"/>
    </w:p>
    <w:p>
      <w:pPr>
        <w:pageBreakBefore w:val="0"/>
        <w:kinsoku/>
        <w:wordWrap/>
        <w:overflowPunct/>
        <w:topLinePunct w:val="0"/>
        <w:autoSpaceDE/>
        <w:autoSpaceDN/>
        <w:bidi w:val="0"/>
        <w:snapToGrid/>
        <w:spacing w:line="360" w:lineRule="auto"/>
        <w:ind w:firstLine="630" w:firstLineChars="300"/>
        <w:rPr>
          <w:rFonts w:ascii="宋体" w:hAnsi="宋体"/>
          <w:szCs w:val="21"/>
        </w:rPr>
      </w:pPr>
      <w:r>
        <w:rPr>
          <w:rFonts w:hint="eastAsia" w:ascii="宋体" w:hAnsi="宋体"/>
          <w:szCs w:val="21"/>
        </w:rPr>
        <w:t>1.采购人信息</w:t>
      </w:r>
    </w:p>
    <w:p>
      <w:pPr>
        <w:pageBreakBefore w:val="0"/>
        <w:kinsoku/>
        <w:wordWrap/>
        <w:overflowPunct/>
        <w:topLinePunct w:val="0"/>
        <w:autoSpaceDE/>
        <w:autoSpaceDN/>
        <w:bidi w:val="0"/>
        <w:snapToGrid/>
        <w:spacing w:line="360" w:lineRule="auto"/>
        <w:ind w:firstLine="630" w:firstLineChars="300"/>
        <w:rPr>
          <w:rFonts w:hint="eastAsia" w:ascii="宋体" w:hAnsi="宋体"/>
          <w:color w:val="000000" w:themeColor="text1"/>
          <w:szCs w:val="21"/>
          <w:lang w:val="en-US" w:eastAsia="zh-CN"/>
        </w:rPr>
      </w:pPr>
      <w:r>
        <w:rPr>
          <w:rFonts w:hint="eastAsia" w:ascii="宋体" w:hAnsi="宋体"/>
          <w:szCs w:val="21"/>
        </w:rPr>
        <w:t xml:space="preserve">名   </w:t>
      </w:r>
      <w:r>
        <w:rPr>
          <w:rFonts w:hint="eastAsia" w:ascii="宋体" w:hAnsi="宋体"/>
          <w:color w:val="000000" w:themeColor="text1"/>
          <w:szCs w:val="21"/>
        </w:rPr>
        <w:t xml:space="preserve"> 称：</w:t>
      </w:r>
      <w:r>
        <w:rPr>
          <w:rFonts w:hint="eastAsia" w:ascii="宋体" w:hAnsi="宋体"/>
          <w:color w:val="000000" w:themeColor="text1"/>
          <w:szCs w:val="21"/>
          <w:lang w:val="en-US" w:eastAsia="zh-CN"/>
        </w:rPr>
        <w:t>霍尔果斯市民政局</w:t>
      </w:r>
    </w:p>
    <w:p>
      <w:pPr>
        <w:pageBreakBefore w:val="0"/>
        <w:kinsoku/>
        <w:wordWrap/>
        <w:overflowPunct/>
        <w:topLinePunct w:val="0"/>
        <w:autoSpaceDE/>
        <w:autoSpaceDN/>
        <w:bidi w:val="0"/>
        <w:snapToGrid/>
        <w:spacing w:line="360" w:lineRule="auto"/>
        <w:ind w:firstLine="630" w:firstLineChars="300"/>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地    址：霍尔果斯市</w:t>
      </w:r>
    </w:p>
    <w:p>
      <w:pPr>
        <w:pageBreakBefore w:val="0"/>
        <w:kinsoku/>
        <w:wordWrap/>
        <w:overflowPunct/>
        <w:topLinePunct w:val="0"/>
        <w:autoSpaceDE/>
        <w:autoSpaceDN/>
        <w:bidi w:val="0"/>
        <w:snapToGrid/>
        <w:spacing w:line="360" w:lineRule="auto"/>
        <w:ind w:firstLine="630" w:firstLineChars="300"/>
        <w:rPr>
          <w:rFonts w:hint="default"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联 系 人：</w:t>
      </w:r>
      <w:r>
        <w:rPr>
          <w:rFonts w:hint="eastAsia" w:cs="Times New Roman" w:eastAsiaTheme="minorEastAsia"/>
          <w:color w:val="000000" w:themeColor="text1"/>
          <w:kern w:val="2"/>
          <w:sz w:val="21"/>
          <w:szCs w:val="21"/>
          <w:lang w:val="en-US" w:eastAsia="zh-CN" w:bidi="ar-SA"/>
        </w:rPr>
        <w:t>王初蕾</w:t>
      </w:r>
    </w:p>
    <w:p>
      <w:pPr>
        <w:pageBreakBefore w:val="0"/>
        <w:kinsoku/>
        <w:wordWrap/>
        <w:overflowPunct/>
        <w:topLinePunct w:val="0"/>
        <w:autoSpaceDE/>
        <w:autoSpaceDN/>
        <w:bidi w:val="0"/>
        <w:snapToGrid/>
        <w:spacing w:line="360" w:lineRule="auto"/>
        <w:ind w:firstLine="630" w:firstLineChars="300"/>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联系方式：</w:t>
      </w:r>
      <w:r>
        <w:rPr>
          <w:rFonts w:hint="eastAsia"/>
          <w:szCs w:val="22"/>
          <w:lang w:val="en-US" w:eastAsia="zh-CN"/>
        </w:rPr>
        <w:t>17209996000</w:t>
      </w:r>
    </w:p>
    <w:p>
      <w:pPr>
        <w:pageBreakBefore w:val="0"/>
        <w:kinsoku/>
        <w:wordWrap/>
        <w:overflowPunct/>
        <w:topLinePunct w:val="0"/>
        <w:autoSpaceDE/>
        <w:autoSpaceDN/>
        <w:bidi w:val="0"/>
        <w:snapToGrid/>
        <w:spacing w:line="360" w:lineRule="auto"/>
        <w:ind w:firstLine="630" w:firstLineChars="300"/>
        <w:rPr>
          <w:rFonts w:ascii="宋体" w:hAnsi="宋体"/>
          <w:szCs w:val="21"/>
        </w:rPr>
      </w:pPr>
      <w:r>
        <w:rPr>
          <w:rFonts w:hint="eastAsia" w:ascii="宋体" w:hAnsi="宋体"/>
          <w:szCs w:val="21"/>
        </w:rPr>
        <w:t>2.采购代理机构信息</w:t>
      </w:r>
    </w:p>
    <w:p>
      <w:pPr>
        <w:pageBreakBefore w:val="0"/>
        <w:kinsoku/>
        <w:wordWrap/>
        <w:overflowPunct/>
        <w:topLinePunct w:val="0"/>
        <w:autoSpaceDE/>
        <w:autoSpaceDN/>
        <w:bidi w:val="0"/>
        <w:snapToGrid/>
        <w:spacing w:line="360" w:lineRule="auto"/>
        <w:ind w:firstLine="630" w:firstLineChars="300"/>
        <w:rPr>
          <w:rFonts w:ascii="宋体" w:hAnsi="宋体"/>
          <w:szCs w:val="21"/>
        </w:rPr>
      </w:pPr>
      <w:r>
        <w:rPr>
          <w:rFonts w:hint="eastAsia" w:ascii="宋体" w:hAnsi="宋体"/>
          <w:szCs w:val="21"/>
        </w:rPr>
        <w:t>名    称：</w:t>
      </w:r>
      <w:r>
        <w:rPr>
          <w:rFonts w:hint="eastAsia" w:ascii="宋体" w:hAnsi="宋体" w:eastAsia="宋体" w:cs="Times New Roman"/>
          <w:kern w:val="2"/>
          <w:sz w:val="21"/>
          <w:szCs w:val="21"/>
          <w:lang w:val="en-US" w:eastAsia="zh-CN" w:bidi="ar-SA"/>
        </w:rPr>
        <w:t>新疆启中项目管理有限公司</w:t>
      </w:r>
    </w:p>
    <w:p>
      <w:pPr>
        <w:pageBreakBefore w:val="0"/>
        <w:kinsoku/>
        <w:wordWrap/>
        <w:overflowPunct/>
        <w:topLinePunct w:val="0"/>
        <w:autoSpaceDE/>
        <w:autoSpaceDN/>
        <w:bidi w:val="0"/>
        <w:snapToGrid/>
        <w:spacing w:line="360" w:lineRule="auto"/>
        <w:ind w:firstLine="630" w:firstLineChars="300"/>
        <w:rPr>
          <w:rFonts w:ascii="宋体" w:hAnsi="宋体"/>
          <w:szCs w:val="21"/>
        </w:rPr>
      </w:pPr>
      <w:r>
        <w:rPr>
          <w:rFonts w:hint="eastAsia" w:ascii="宋体" w:hAnsi="宋体"/>
          <w:szCs w:val="21"/>
        </w:rPr>
        <w:t>地　　址：</w:t>
      </w:r>
      <w:r>
        <w:rPr>
          <w:rFonts w:hint="eastAsia" w:ascii="宋体" w:hAnsi="宋体" w:eastAsia="宋体" w:cs="Times New Roman"/>
          <w:kern w:val="2"/>
          <w:sz w:val="21"/>
          <w:szCs w:val="21"/>
          <w:lang w:val="en-US" w:eastAsia="zh-CN" w:bidi="ar-SA"/>
        </w:rPr>
        <w:t>伊宁市经济合作区北京路2568号金茂新天地</w:t>
      </w:r>
      <w:r>
        <w:rPr>
          <w:rFonts w:hint="eastAsia" w:ascii="宋体" w:hAnsi="宋体" w:cs="Times New Roman"/>
          <w:kern w:val="2"/>
          <w:sz w:val="21"/>
          <w:szCs w:val="21"/>
          <w:lang w:val="en-US" w:eastAsia="zh-CN" w:bidi="ar-SA"/>
        </w:rPr>
        <w:t>A座</w:t>
      </w:r>
      <w:r>
        <w:rPr>
          <w:rFonts w:hint="eastAsia" w:ascii="宋体" w:hAnsi="宋体" w:eastAsia="宋体" w:cs="Times New Roman"/>
          <w:kern w:val="2"/>
          <w:sz w:val="21"/>
          <w:szCs w:val="21"/>
          <w:lang w:val="en-US" w:eastAsia="zh-CN" w:bidi="ar-SA"/>
        </w:rPr>
        <w:t>5层514号</w:t>
      </w:r>
    </w:p>
    <w:p>
      <w:pPr>
        <w:pageBreakBefore w:val="0"/>
        <w:kinsoku/>
        <w:wordWrap/>
        <w:overflowPunct/>
        <w:topLinePunct w:val="0"/>
        <w:autoSpaceDE/>
        <w:autoSpaceDN/>
        <w:bidi w:val="0"/>
        <w:snapToGrid/>
        <w:spacing w:line="360" w:lineRule="auto"/>
        <w:ind w:firstLine="630" w:firstLineChars="300"/>
        <w:rPr>
          <w:rFonts w:hint="default" w:ascii="宋体" w:hAnsi="宋体" w:eastAsia="宋体"/>
          <w:color w:val="000000" w:themeColor="text1"/>
          <w:szCs w:val="21"/>
          <w:lang w:val="en-US" w:eastAsia="zh-CN"/>
        </w:rPr>
      </w:pPr>
      <w:r>
        <w:rPr>
          <w:rFonts w:hint="eastAsia" w:ascii="宋体" w:hAnsi="宋体"/>
          <w:color w:val="000000" w:themeColor="text1"/>
          <w:szCs w:val="21"/>
        </w:rPr>
        <w:t>联 系 人：</w:t>
      </w:r>
      <w:r>
        <w:rPr>
          <w:rFonts w:hint="eastAsia" w:ascii="宋体" w:hAnsi="宋体"/>
          <w:color w:val="000000" w:themeColor="text1"/>
          <w:szCs w:val="21"/>
          <w:lang w:val="en-US" w:eastAsia="zh-CN"/>
        </w:rPr>
        <w:t>范工</w:t>
      </w:r>
    </w:p>
    <w:p>
      <w:pPr>
        <w:pageBreakBefore w:val="0"/>
        <w:kinsoku/>
        <w:wordWrap/>
        <w:overflowPunct/>
        <w:topLinePunct w:val="0"/>
        <w:autoSpaceDE/>
        <w:autoSpaceDN/>
        <w:bidi w:val="0"/>
        <w:snapToGrid/>
        <w:spacing w:line="360" w:lineRule="auto"/>
        <w:ind w:firstLine="630" w:firstLineChars="300"/>
        <w:rPr>
          <w:rFonts w:hint="default" w:ascii="宋体" w:hAnsi="宋体" w:eastAsia="宋体"/>
          <w:color w:val="000000" w:themeColor="text1"/>
          <w:szCs w:val="21"/>
          <w:lang w:val="en-US" w:eastAsia="zh-CN"/>
        </w:rPr>
      </w:pPr>
      <w:r>
        <w:rPr>
          <w:rFonts w:hint="eastAsia" w:ascii="宋体" w:hAnsi="宋体"/>
          <w:color w:val="000000" w:themeColor="text1"/>
          <w:szCs w:val="21"/>
        </w:rPr>
        <w:t>联系方式：</w:t>
      </w:r>
      <w:r>
        <w:rPr>
          <w:rFonts w:hint="eastAsia" w:ascii="宋体" w:hAnsi="宋体"/>
          <w:color w:val="000000" w:themeColor="text1"/>
          <w:szCs w:val="21"/>
          <w:lang w:val="en-US" w:eastAsia="zh-CN"/>
        </w:rPr>
        <w:t xml:space="preserve">18196969533                                          </w:t>
      </w:r>
    </w:p>
    <w:p/>
    <w:p>
      <w:pPr>
        <w:rPr>
          <w:color w:val="auto"/>
          <w:sz w:val="20"/>
          <w:szCs w:val="21"/>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3"/>
        <w:numPr>
          <w:ilvl w:val="0"/>
          <w:numId w:val="0"/>
        </w:numPr>
        <w:spacing w:line="360" w:lineRule="auto"/>
        <w:ind w:firstLine="3200" w:firstLineChars="1000"/>
        <w:jc w:val="both"/>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第二部分 投标人须知</w:t>
      </w:r>
      <w:bookmarkEnd w:id="5"/>
      <w:bookmarkEnd w:id="6"/>
      <w:bookmarkEnd w:id="7"/>
      <w:bookmarkEnd w:id="8"/>
      <w:bookmarkEnd w:id="9"/>
    </w:p>
    <w:tbl>
      <w:tblPr>
        <w:tblStyle w:val="24"/>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1589"/>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adjustRightInd w:val="0"/>
              <w:snapToGrid w:val="0"/>
              <w:spacing w:line="360" w:lineRule="exact"/>
              <w:jc w:val="center"/>
              <w:rPr>
                <w:rFonts w:eastAsiaTheme="minorEastAsia"/>
                <w:color w:val="auto"/>
                <w:sz w:val="28"/>
                <w:szCs w:val="28"/>
              </w:rPr>
            </w:pPr>
            <w:r>
              <w:rPr>
                <w:rFonts w:eastAsiaTheme="minorEastAsia"/>
                <w:b/>
                <w:color w:val="auto"/>
                <w:szCs w:val="21"/>
              </w:rPr>
              <w:t>条款号</w:t>
            </w:r>
          </w:p>
        </w:tc>
        <w:tc>
          <w:tcPr>
            <w:tcW w:w="1589" w:type="dxa"/>
            <w:vAlign w:val="center"/>
          </w:tcPr>
          <w:p>
            <w:pPr>
              <w:adjustRightInd w:val="0"/>
              <w:snapToGrid w:val="0"/>
              <w:spacing w:line="360" w:lineRule="exact"/>
              <w:jc w:val="center"/>
              <w:rPr>
                <w:rFonts w:eastAsiaTheme="minorEastAsia"/>
                <w:color w:val="auto"/>
                <w:sz w:val="28"/>
                <w:szCs w:val="28"/>
              </w:rPr>
            </w:pPr>
            <w:r>
              <w:rPr>
                <w:rFonts w:eastAsiaTheme="minorEastAsia"/>
                <w:b/>
                <w:color w:val="auto"/>
                <w:szCs w:val="21"/>
              </w:rPr>
              <w:t>条款名称</w:t>
            </w:r>
          </w:p>
        </w:tc>
        <w:tc>
          <w:tcPr>
            <w:tcW w:w="7279" w:type="dxa"/>
            <w:vAlign w:val="center"/>
          </w:tcPr>
          <w:p>
            <w:pPr>
              <w:adjustRightInd w:val="0"/>
              <w:snapToGrid w:val="0"/>
              <w:spacing w:line="360" w:lineRule="exact"/>
              <w:jc w:val="center"/>
              <w:rPr>
                <w:rFonts w:eastAsiaTheme="minorEastAsia"/>
                <w:color w:val="auto"/>
                <w:sz w:val="28"/>
                <w:szCs w:val="28"/>
              </w:rPr>
            </w:pPr>
            <w:r>
              <w:rPr>
                <w:rFonts w:eastAsiaTheme="minorEastAsia"/>
                <w:b/>
                <w:color w:val="auto"/>
                <w:szCs w:val="21"/>
              </w:rPr>
              <w:t>编列内容规定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adjustRightInd w:val="0"/>
              <w:snapToGrid w:val="0"/>
              <w:spacing w:line="360" w:lineRule="exact"/>
              <w:jc w:val="center"/>
              <w:rPr>
                <w:rFonts w:eastAsiaTheme="minorEastAsia"/>
                <w:color w:val="auto"/>
                <w:sz w:val="28"/>
                <w:szCs w:val="28"/>
              </w:rPr>
            </w:pPr>
            <w:r>
              <w:rPr>
                <w:rFonts w:eastAsiaTheme="minorEastAsia"/>
                <w:color w:val="auto"/>
                <w:szCs w:val="21"/>
              </w:rPr>
              <w:t>第1.1款</w:t>
            </w:r>
          </w:p>
        </w:tc>
        <w:tc>
          <w:tcPr>
            <w:tcW w:w="1589" w:type="dxa"/>
            <w:vAlign w:val="center"/>
          </w:tcPr>
          <w:p>
            <w:pPr>
              <w:adjustRightInd w:val="0"/>
              <w:snapToGrid w:val="0"/>
              <w:spacing w:line="36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磋商</w:t>
            </w:r>
            <w:r>
              <w:rPr>
                <w:rFonts w:hint="eastAsia" w:ascii="Times New Roman" w:hAnsi="Times New Roman" w:cs="Times New Roman" w:eastAsiaTheme="minorEastAsia"/>
                <w:color w:val="auto"/>
                <w:kern w:val="2"/>
                <w:sz w:val="21"/>
                <w:szCs w:val="21"/>
                <w:lang w:val="en-US" w:eastAsia="zh-CN" w:bidi="ar-SA"/>
              </w:rPr>
              <w:t>项目</w:t>
            </w:r>
          </w:p>
        </w:tc>
        <w:tc>
          <w:tcPr>
            <w:tcW w:w="7279" w:type="dxa"/>
            <w:vAlign w:val="center"/>
          </w:tcPr>
          <w:p>
            <w:pPr>
              <w:pStyle w:val="22"/>
              <w:spacing w:line="360" w:lineRule="exact"/>
              <w:ind w:firstLine="0" w:firstLineChars="0"/>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项目名称：霍尔果斯市兴城街道区域养老服务中心改造提升项目（一标段）</w:t>
            </w:r>
          </w:p>
          <w:p>
            <w:pPr>
              <w:pStyle w:val="22"/>
              <w:spacing w:line="360" w:lineRule="exact"/>
              <w:ind w:firstLine="0" w:firstLineChars="0"/>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项目编号：XJQZ-2025-019-1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8" w:type="dxa"/>
            <w:vAlign w:val="center"/>
          </w:tcPr>
          <w:p>
            <w:pPr>
              <w:adjustRightInd w:val="0"/>
              <w:snapToGrid w:val="0"/>
              <w:spacing w:line="360" w:lineRule="exact"/>
              <w:jc w:val="center"/>
              <w:rPr>
                <w:rFonts w:eastAsiaTheme="minorEastAsia"/>
                <w:color w:val="auto"/>
                <w:sz w:val="28"/>
                <w:szCs w:val="28"/>
              </w:rPr>
            </w:pPr>
            <w:r>
              <w:rPr>
                <w:rFonts w:eastAsiaTheme="minorEastAsia"/>
                <w:color w:val="auto"/>
                <w:szCs w:val="21"/>
              </w:rPr>
              <w:t>第1.2款</w:t>
            </w:r>
          </w:p>
        </w:tc>
        <w:tc>
          <w:tcPr>
            <w:tcW w:w="1589" w:type="dxa"/>
            <w:vAlign w:val="center"/>
          </w:tcPr>
          <w:p>
            <w:pPr>
              <w:adjustRightInd w:val="0"/>
              <w:snapToGrid w:val="0"/>
              <w:spacing w:line="36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磋商</w:t>
            </w:r>
            <w:r>
              <w:rPr>
                <w:rFonts w:hint="eastAsia" w:ascii="Times New Roman" w:hAnsi="Times New Roman" w:cs="Times New Roman" w:eastAsiaTheme="minorEastAsia"/>
                <w:color w:val="auto"/>
                <w:kern w:val="2"/>
                <w:sz w:val="21"/>
                <w:szCs w:val="21"/>
                <w:lang w:val="en-US" w:eastAsia="zh-CN" w:bidi="ar-SA"/>
              </w:rPr>
              <w:t>范围</w:t>
            </w:r>
          </w:p>
        </w:tc>
        <w:tc>
          <w:tcPr>
            <w:tcW w:w="7279" w:type="dxa"/>
            <w:vAlign w:val="center"/>
          </w:tcPr>
          <w:p>
            <w:pPr>
              <w:adjustRightInd w:val="0"/>
              <w:snapToGrid w:val="0"/>
              <w:spacing w:line="360" w:lineRule="exact"/>
              <w:jc w:val="left"/>
              <w:rPr>
                <w:rFonts w:hint="eastAsia"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磋商</w:t>
            </w:r>
            <w:r>
              <w:rPr>
                <w:rFonts w:hint="eastAsia" w:ascii="Times New Roman" w:hAnsi="Times New Roman" w:cs="Times New Roman" w:eastAsiaTheme="minorEastAsia"/>
                <w:color w:val="auto"/>
                <w:kern w:val="2"/>
                <w:sz w:val="21"/>
                <w:szCs w:val="21"/>
                <w:lang w:val="en-US" w:eastAsia="zh-CN" w:bidi="ar-SA"/>
              </w:rPr>
              <w:t>文件、施工图纸、工程量清单所示全部内容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adjustRightInd w:val="0"/>
              <w:snapToGrid w:val="0"/>
              <w:spacing w:line="360" w:lineRule="exact"/>
              <w:jc w:val="center"/>
              <w:rPr>
                <w:rFonts w:eastAsiaTheme="minorEastAsia"/>
                <w:color w:val="auto"/>
                <w:sz w:val="28"/>
                <w:szCs w:val="28"/>
              </w:rPr>
            </w:pPr>
            <w:r>
              <w:rPr>
                <w:rFonts w:eastAsiaTheme="minorEastAsia"/>
                <w:color w:val="auto"/>
                <w:szCs w:val="21"/>
              </w:rPr>
              <w:t>第1.3款</w:t>
            </w:r>
          </w:p>
        </w:tc>
        <w:tc>
          <w:tcPr>
            <w:tcW w:w="1589" w:type="dxa"/>
            <w:vAlign w:val="center"/>
          </w:tcPr>
          <w:p>
            <w:pPr>
              <w:adjustRightInd w:val="0"/>
              <w:snapToGrid w:val="0"/>
              <w:spacing w:line="36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项目地点</w:t>
            </w:r>
          </w:p>
        </w:tc>
        <w:tc>
          <w:tcPr>
            <w:tcW w:w="7279" w:type="dxa"/>
            <w:vAlign w:val="center"/>
          </w:tcPr>
          <w:p>
            <w:pPr>
              <w:adjustRightInd w:val="0"/>
              <w:snapToGrid w:val="0"/>
              <w:spacing w:line="360" w:lineRule="exact"/>
              <w:jc w:val="left"/>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霍尔果斯市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338" w:type="dxa"/>
            <w:vAlign w:val="center"/>
          </w:tcPr>
          <w:p>
            <w:pPr>
              <w:adjustRightInd w:val="0"/>
              <w:snapToGrid w:val="0"/>
              <w:spacing w:line="360" w:lineRule="exact"/>
              <w:jc w:val="center"/>
              <w:rPr>
                <w:rFonts w:eastAsiaTheme="minorEastAsia"/>
                <w:color w:val="auto"/>
                <w:sz w:val="28"/>
                <w:szCs w:val="28"/>
              </w:rPr>
            </w:pPr>
            <w:r>
              <w:rPr>
                <w:rFonts w:eastAsiaTheme="minorEastAsia"/>
                <w:color w:val="auto"/>
                <w:szCs w:val="21"/>
              </w:rPr>
              <w:t>第1.4款</w:t>
            </w:r>
          </w:p>
        </w:tc>
        <w:tc>
          <w:tcPr>
            <w:tcW w:w="1589" w:type="dxa"/>
            <w:vAlign w:val="center"/>
          </w:tcPr>
          <w:p>
            <w:pPr>
              <w:adjustRightInd w:val="0"/>
              <w:snapToGrid w:val="0"/>
              <w:spacing w:line="36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招标方式</w:t>
            </w:r>
          </w:p>
        </w:tc>
        <w:tc>
          <w:tcPr>
            <w:tcW w:w="7279" w:type="dxa"/>
            <w:vAlign w:val="center"/>
          </w:tcPr>
          <w:p>
            <w:pPr>
              <w:adjustRightInd w:val="0"/>
              <w:snapToGrid w:val="0"/>
              <w:spacing w:line="360" w:lineRule="exact"/>
              <w:jc w:val="lef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adjustRightInd w:val="0"/>
              <w:snapToGrid w:val="0"/>
              <w:spacing w:line="360" w:lineRule="exact"/>
              <w:jc w:val="center"/>
              <w:rPr>
                <w:rFonts w:eastAsiaTheme="minorEastAsia"/>
                <w:color w:val="auto"/>
                <w:sz w:val="28"/>
                <w:szCs w:val="28"/>
              </w:rPr>
            </w:pPr>
            <w:r>
              <w:rPr>
                <w:rFonts w:eastAsiaTheme="minorEastAsia"/>
                <w:color w:val="auto"/>
                <w:szCs w:val="21"/>
              </w:rPr>
              <w:t>第1.5款</w:t>
            </w:r>
          </w:p>
        </w:tc>
        <w:tc>
          <w:tcPr>
            <w:tcW w:w="1589" w:type="dxa"/>
            <w:vAlign w:val="center"/>
          </w:tcPr>
          <w:p>
            <w:pPr>
              <w:adjustRightInd w:val="0"/>
              <w:snapToGrid w:val="0"/>
              <w:spacing w:line="360" w:lineRule="exact"/>
              <w:rPr>
                <w:rFonts w:hint="default" w:ascii="Times New Roman" w:hAnsi="Times New Roman" w:cs="Times New Roman" w:eastAsiaTheme="minorEastAsia"/>
                <w:color w:val="auto"/>
                <w:kern w:val="2"/>
                <w:sz w:val="21"/>
                <w:szCs w:val="21"/>
                <w:lang w:val="en-US" w:eastAsia="zh-CN" w:bidi="ar-SA"/>
              </w:rPr>
            </w:pPr>
            <w:r>
              <w:rPr>
                <w:rFonts w:ascii="Times New Roman" w:hAnsi="Times New Roman" w:eastAsia="宋体" w:cs="Times New Roman"/>
                <w:sz w:val="24"/>
                <w:szCs w:val="24"/>
              </w:rPr>
              <w:t>计划工期</w:t>
            </w:r>
            <w:r>
              <w:rPr>
                <w:rFonts w:hint="eastAsia" w:ascii="Times New Roman" w:hAnsi="Times New Roman" w:cs="Times New Roman" w:eastAsiaTheme="minorEastAsia"/>
                <w:color w:val="auto"/>
                <w:kern w:val="2"/>
                <w:sz w:val="21"/>
                <w:szCs w:val="21"/>
                <w:lang w:val="en-US" w:eastAsia="zh-CN" w:bidi="ar-SA"/>
              </w:rPr>
              <w:t>、质量等级、付款方式</w:t>
            </w:r>
          </w:p>
        </w:tc>
        <w:tc>
          <w:tcPr>
            <w:tcW w:w="7279" w:type="dxa"/>
            <w:vAlign w:val="center"/>
          </w:tcPr>
          <w:p>
            <w:pPr>
              <w:adjustRightInd w:val="0"/>
              <w:snapToGrid w:val="0"/>
              <w:spacing w:line="360" w:lineRule="exact"/>
              <w:jc w:val="left"/>
              <w:rPr>
                <w:rFonts w:hint="eastAsia"/>
                <w:lang w:val="en-US" w:eastAsia="zh-CN"/>
              </w:rPr>
            </w:pPr>
            <w:r>
              <w:rPr>
                <w:rFonts w:hint="eastAsia"/>
                <w:lang w:val="en-US" w:eastAsia="zh-CN"/>
              </w:rPr>
              <w:t>计划工期：计划开工日期：2025年5月29日，计划竣工日期：2025年7月28日，总工期：60日历天（具体开工日期以开工通知单为准）</w:t>
            </w:r>
          </w:p>
          <w:p>
            <w:pPr>
              <w:adjustRightInd w:val="0"/>
              <w:snapToGrid w:val="0"/>
              <w:spacing w:line="360" w:lineRule="exact"/>
              <w:jc w:val="left"/>
              <w:rPr>
                <w:rFonts w:hint="eastAsia"/>
                <w:lang w:val="en-US" w:eastAsia="zh-CN"/>
              </w:rPr>
            </w:pPr>
            <w:r>
              <w:rPr>
                <w:rFonts w:hint="eastAsia"/>
                <w:lang w:val="en-US" w:eastAsia="zh-CN"/>
              </w:rPr>
              <w:t>质量等级：合格</w:t>
            </w:r>
          </w:p>
          <w:p>
            <w:pPr>
              <w:adjustRightInd w:val="0"/>
              <w:snapToGrid w:val="0"/>
              <w:spacing w:line="360" w:lineRule="exact"/>
              <w:jc w:val="left"/>
              <w:rPr>
                <w:rFonts w:hint="default"/>
                <w:lang w:val="en-US" w:eastAsia="zh-CN"/>
              </w:rPr>
            </w:pPr>
            <w:r>
              <w:rPr>
                <w:rFonts w:hint="eastAsia"/>
                <w:lang w:val="en-US" w:eastAsia="zh-CN"/>
              </w:rPr>
              <w:t xml:space="preserve">付款方式：合同签订后，支付合同价款的40%，工程进度达到50%，支付至合同价的70%，工程全部通过竣工验收后，支付至合同价款的85%；工程完成竣工结算审计后付至结算价的97%；剩余款项质保期满验收合格后一次性付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adjustRightInd w:val="0"/>
              <w:snapToGrid w:val="0"/>
              <w:spacing w:line="360" w:lineRule="exact"/>
              <w:jc w:val="center"/>
              <w:rPr>
                <w:rFonts w:eastAsiaTheme="minorEastAsia"/>
                <w:color w:val="auto"/>
                <w:sz w:val="28"/>
                <w:szCs w:val="28"/>
              </w:rPr>
            </w:pPr>
            <w:r>
              <w:rPr>
                <w:rFonts w:eastAsiaTheme="minorEastAsia"/>
                <w:color w:val="auto"/>
                <w:szCs w:val="21"/>
              </w:rPr>
              <w:t>第2.1款</w:t>
            </w:r>
          </w:p>
        </w:tc>
        <w:tc>
          <w:tcPr>
            <w:tcW w:w="1589" w:type="dxa"/>
            <w:vAlign w:val="center"/>
          </w:tcPr>
          <w:p>
            <w:pPr>
              <w:adjustRightInd w:val="0"/>
              <w:snapToGrid w:val="0"/>
              <w:spacing w:line="360" w:lineRule="exact"/>
              <w:jc w:val="center"/>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招标人</w:t>
            </w:r>
          </w:p>
        </w:tc>
        <w:tc>
          <w:tcPr>
            <w:tcW w:w="7279" w:type="dxa"/>
            <w:vAlign w:val="center"/>
          </w:tcPr>
          <w:p>
            <w:pPr>
              <w:adjustRightInd w:val="0"/>
              <w:snapToGrid w:val="0"/>
              <w:spacing w:line="360" w:lineRule="exact"/>
              <w:jc w:val="left"/>
              <w:rPr>
                <w:rFonts w:hint="default"/>
                <w:szCs w:val="22"/>
                <w:lang w:val="en-US" w:eastAsia="zh-CN"/>
              </w:rPr>
            </w:pPr>
            <w:r>
              <w:rPr>
                <w:rFonts w:hint="default"/>
                <w:szCs w:val="22"/>
                <w:lang w:val="en-US" w:eastAsia="zh-CN"/>
              </w:rPr>
              <w:t>招标单位：</w:t>
            </w:r>
            <w:r>
              <w:rPr>
                <w:rFonts w:hint="eastAsia"/>
                <w:szCs w:val="22"/>
                <w:lang w:val="en-US" w:eastAsia="zh-CN"/>
              </w:rPr>
              <w:t>霍尔果斯市民政局</w:t>
            </w:r>
          </w:p>
          <w:p>
            <w:pPr>
              <w:adjustRightInd w:val="0"/>
              <w:snapToGrid w:val="0"/>
              <w:spacing w:line="360" w:lineRule="exact"/>
              <w:jc w:val="left"/>
              <w:rPr>
                <w:rFonts w:hint="default"/>
                <w:lang w:val="en-US" w:eastAsia="zh-CN"/>
              </w:rPr>
            </w:pPr>
            <w:r>
              <w:rPr>
                <w:rFonts w:hint="default"/>
                <w:szCs w:val="22"/>
                <w:lang w:val="en-US" w:eastAsia="zh-CN"/>
              </w:rPr>
              <w:t>联系电话：</w:t>
            </w:r>
            <w:bookmarkStart w:id="56" w:name="OLE_LINK1"/>
            <w:r>
              <w:rPr>
                <w:rFonts w:hint="eastAsia"/>
                <w:szCs w:val="22"/>
                <w:lang w:val="en-US" w:eastAsia="zh-CN"/>
              </w:rPr>
              <w:t>17209996000</w:t>
            </w:r>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338" w:type="dxa"/>
            <w:vAlign w:val="center"/>
          </w:tcPr>
          <w:p>
            <w:pPr>
              <w:adjustRightInd w:val="0"/>
              <w:snapToGrid w:val="0"/>
              <w:spacing w:line="360" w:lineRule="exact"/>
              <w:jc w:val="center"/>
              <w:rPr>
                <w:rFonts w:eastAsiaTheme="minorEastAsia"/>
                <w:color w:val="auto"/>
                <w:sz w:val="28"/>
                <w:szCs w:val="28"/>
              </w:rPr>
            </w:pPr>
            <w:r>
              <w:rPr>
                <w:rFonts w:eastAsiaTheme="minorEastAsia"/>
                <w:color w:val="auto"/>
                <w:szCs w:val="21"/>
              </w:rPr>
              <w:t>第2.2款</w:t>
            </w:r>
          </w:p>
        </w:tc>
        <w:tc>
          <w:tcPr>
            <w:tcW w:w="1589" w:type="dxa"/>
            <w:vAlign w:val="center"/>
          </w:tcPr>
          <w:p>
            <w:pPr>
              <w:adjustRightInd w:val="0"/>
              <w:snapToGrid w:val="0"/>
              <w:spacing w:line="360" w:lineRule="exact"/>
              <w:jc w:val="center"/>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招标代理机构</w:t>
            </w:r>
          </w:p>
        </w:tc>
        <w:tc>
          <w:tcPr>
            <w:tcW w:w="7279" w:type="dxa"/>
            <w:vAlign w:val="center"/>
          </w:tcPr>
          <w:p>
            <w:pPr>
              <w:pStyle w:val="22"/>
              <w:spacing w:line="360" w:lineRule="exact"/>
              <w:ind w:firstLine="0" w:firstLineChars="0"/>
              <w:rPr>
                <w:rFonts w:hint="default"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名   称：新疆启中项目管理有限公司</w:t>
            </w:r>
          </w:p>
          <w:p>
            <w:pPr>
              <w:pStyle w:val="22"/>
              <w:spacing w:line="360" w:lineRule="exact"/>
              <w:ind w:firstLine="0" w:firstLineChars="0"/>
              <w:rPr>
                <w:rFonts w:hint="default"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 xml:space="preserve">地   址：伊宁市经济合作区北京路2568号金茂新天地A座5层514号 </w:t>
            </w:r>
          </w:p>
          <w:p>
            <w:pPr>
              <w:pStyle w:val="22"/>
              <w:spacing w:line="360" w:lineRule="exact"/>
              <w:ind w:firstLine="0" w:firstLineChars="0"/>
              <w:rPr>
                <w:rFonts w:hint="default"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电   话：18196969533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adjustRightInd w:val="0"/>
              <w:snapToGrid w:val="0"/>
              <w:spacing w:line="360" w:lineRule="exact"/>
              <w:jc w:val="center"/>
              <w:rPr>
                <w:rFonts w:eastAsiaTheme="minorEastAsia"/>
                <w:color w:val="auto"/>
                <w:szCs w:val="21"/>
              </w:rPr>
            </w:pPr>
            <w:r>
              <w:rPr>
                <w:rFonts w:eastAsiaTheme="minorEastAsia"/>
                <w:color w:val="auto"/>
                <w:szCs w:val="21"/>
              </w:rPr>
              <w:t>第3.1款</w:t>
            </w:r>
          </w:p>
        </w:tc>
        <w:tc>
          <w:tcPr>
            <w:tcW w:w="1589" w:type="dxa"/>
            <w:vAlign w:val="center"/>
          </w:tcPr>
          <w:p>
            <w:pPr>
              <w:adjustRightInd w:val="0"/>
              <w:snapToGrid w:val="0"/>
              <w:spacing w:line="36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参谈单位资格条件</w:t>
            </w:r>
          </w:p>
        </w:tc>
        <w:tc>
          <w:tcPr>
            <w:tcW w:w="7279" w:type="dxa"/>
            <w:vAlign w:val="center"/>
          </w:tcPr>
          <w:p>
            <w:pPr>
              <w:pStyle w:val="22"/>
              <w:spacing w:line="360" w:lineRule="exact"/>
              <w:ind w:firstLine="0" w:firstLineChars="0"/>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（一）满足《中华人民共和国政府采购法》第二十二条的相关规定；</w:t>
            </w:r>
          </w:p>
          <w:p>
            <w:pPr>
              <w:pStyle w:val="22"/>
              <w:spacing w:line="360" w:lineRule="exact"/>
              <w:ind w:firstLine="0" w:firstLineChars="0"/>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（二）有效的“一证一码”或“三证合一”的营业执照；</w:t>
            </w:r>
          </w:p>
          <w:p>
            <w:pPr>
              <w:pStyle w:val="22"/>
              <w:spacing w:line="360" w:lineRule="exact"/>
              <w:ind w:firstLine="0" w:firstLineChars="0"/>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三）参加采购活动前三年内，投标企业未被“信用中国”（www.creditchina.gov.cn）、中国政府采购网（www.ccgp.gov.cn）列入失信被执行人、重大税收违法案件当事人名单、政府采购严重违法失信行为记录名单相关网站截图。</w:t>
            </w:r>
          </w:p>
          <w:p>
            <w:pPr>
              <w:pageBreakBefore w:val="0"/>
              <w:kinsoku/>
              <w:wordWrap/>
              <w:overflowPunct/>
              <w:topLinePunct w:val="0"/>
              <w:autoSpaceDE/>
              <w:autoSpaceDN/>
              <w:bidi w:val="0"/>
              <w:snapToGrid/>
              <w:spacing w:line="360" w:lineRule="auto"/>
              <w:rPr>
                <w:rFonts w:hint="eastAsia" w:ascii="宋体" w:hAnsi="宋体" w:cs="宋体"/>
                <w:color w:val="000000" w:themeColor="text1"/>
                <w:szCs w:val="21"/>
                <w:lang w:val="en-US" w:eastAsia="zh-CN"/>
              </w:rPr>
            </w:pPr>
            <w:r>
              <w:rPr>
                <w:rFonts w:hint="eastAsia" w:ascii="Times New Roman" w:hAnsi="Times New Roman" w:cs="Times New Roman" w:eastAsiaTheme="minorEastAsia"/>
                <w:color w:val="auto"/>
                <w:kern w:val="2"/>
                <w:sz w:val="21"/>
                <w:szCs w:val="21"/>
                <w:lang w:val="en-US" w:eastAsia="zh-CN" w:bidi="ar-SA"/>
              </w:rPr>
              <w:t>（四）</w:t>
            </w:r>
            <w:r>
              <w:rPr>
                <w:rFonts w:hint="eastAsia" w:ascii="宋体" w:hAnsi="宋体" w:cs="宋体"/>
                <w:color w:val="000000" w:themeColor="text1"/>
                <w:szCs w:val="21"/>
                <w:lang w:val="en-US" w:eastAsia="zh-CN"/>
              </w:rPr>
              <w:t>具有消防设施工程专业承包贰级及以上资质，具有有效期内的建设行政主管部门颁发的安全生产许可证；项目经理须具备机电工程专业二级(含)以上注册建造师执业资格及有效的安全生产考核合格证书，且不得担任其他在建工程；</w:t>
            </w:r>
          </w:p>
          <w:p>
            <w:pPr>
              <w:pageBreakBefore w:val="0"/>
              <w:kinsoku/>
              <w:wordWrap/>
              <w:overflowPunct/>
              <w:topLinePunct w:val="0"/>
              <w:autoSpaceDE/>
              <w:autoSpaceDN/>
              <w:bidi w:val="0"/>
              <w:snapToGrid/>
              <w:spacing w:line="360" w:lineRule="auto"/>
              <w:rPr>
                <w:rFonts w:hint="eastAsia"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（五）</w:t>
            </w:r>
            <w:r>
              <w:rPr>
                <w:rFonts w:hint="eastAsia" w:ascii="宋体" w:hAnsi="宋体" w:cs="宋体"/>
                <w:szCs w:val="21"/>
                <w:lang w:val="en-US" w:eastAsia="zh-CN"/>
              </w:rPr>
              <w:t>投标企业须提供投标人（被授权本单位在职人员）近6个月内任何1月已依法缴纳社会保险的凭据（依法不需要缴纳社会保障资金的供应商，应提供相应证明文件）；</w:t>
            </w:r>
          </w:p>
          <w:p>
            <w:pPr>
              <w:pStyle w:val="22"/>
              <w:spacing w:line="360" w:lineRule="exact"/>
              <w:ind w:firstLine="0" w:firstLineChars="0"/>
              <w:rPr>
                <w:rFonts w:hint="eastAsia"/>
                <w:lang w:val="en-US" w:eastAsia="zh-CN"/>
              </w:rPr>
            </w:pPr>
            <w:r>
              <w:rPr>
                <w:rFonts w:hint="eastAsia" w:ascii="Times New Roman" w:hAnsi="Times New Roman" w:cs="Times New Roman" w:eastAsiaTheme="minorEastAsia"/>
                <w:color w:val="auto"/>
                <w:kern w:val="2"/>
                <w:sz w:val="21"/>
                <w:szCs w:val="21"/>
                <w:lang w:val="en-US" w:eastAsia="zh-CN" w:bidi="ar-SA"/>
              </w:rPr>
              <w:t>（六）具有健全的财务会计制度：提供 2023年度财务审计报告或2024 年度审计报告或其基本开户银行出具的资信证明复印件。</w:t>
            </w:r>
          </w:p>
          <w:p>
            <w:pPr>
              <w:pStyle w:val="22"/>
              <w:spacing w:line="360" w:lineRule="exact"/>
              <w:ind w:firstLine="0" w:firstLineChars="0"/>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（七）本项目不接受联合体投标。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adjustRightInd w:val="0"/>
              <w:snapToGrid w:val="0"/>
              <w:spacing w:line="360" w:lineRule="exact"/>
              <w:jc w:val="center"/>
              <w:rPr>
                <w:rFonts w:eastAsiaTheme="minorEastAsia"/>
                <w:color w:val="auto"/>
                <w:szCs w:val="21"/>
              </w:rPr>
            </w:pPr>
            <w:r>
              <w:rPr>
                <w:rFonts w:eastAsiaTheme="minorEastAsia"/>
                <w:color w:val="auto"/>
                <w:szCs w:val="21"/>
              </w:rPr>
              <w:t>第4.1款</w:t>
            </w:r>
          </w:p>
        </w:tc>
        <w:tc>
          <w:tcPr>
            <w:tcW w:w="1589" w:type="dxa"/>
            <w:vAlign w:val="center"/>
          </w:tcPr>
          <w:p>
            <w:pPr>
              <w:adjustRightInd w:val="0"/>
              <w:snapToGrid w:val="0"/>
              <w:spacing w:line="36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联合体形式</w:t>
            </w:r>
          </w:p>
        </w:tc>
        <w:tc>
          <w:tcPr>
            <w:tcW w:w="7279" w:type="dxa"/>
            <w:vAlign w:val="center"/>
          </w:tcPr>
          <w:p>
            <w:pPr>
              <w:adjustRightInd w:val="0"/>
              <w:snapToGrid w:val="0"/>
              <w:spacing w:line="360" w:lineRule="exac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adjustRightInd w:val="0"/>
              <w:snapToGrid w:val="0"/>
              <w:spacing w:line="360" w:lineRule="exact"/>
              <w:jc w:val="center"/>
              <w:rPr>
                <w:rFonts w:eastAsiaTheme="minorEastAsia"/>
                <w:color w:val="auto"/>
                <w:szCs w:val="21"/>
              </w:rPr>
            </w:pPr>
            <w:r>
              <w:rPr>
                <w:rFonts w:eastAsiaTheme="minorEastAsia"/>
                <w:color w:val="auto"/>
                <w:szCs w:val="21"/>
              </w:rPr>
              <w:t>第4.1.1款</w:t>
            </w:r>
          </w:p>
        </w:tc>
        <w:tc>
          <w:tcPr>
            <w:tcW w:w="1589" w:type="dxa"/>
            <w:vAlign w:val="center"/>
          </w:tcPr>
          <w:p>
            <w:pPr>
              <w:adjustRightInd w:val="0"/>
              <w:snapToGrid w:val="0"/>
              <w:spacing w:line="36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对联合体各方的要求</w:t>
            </w:r>
          </w:p>
        </w:tc>
        <w:tc>
          <w:tcPr>
            <w:tcW w:w="7279" w:type="dxa"/>
            <w:vAlign w:val="center"/>
          </w:tcPr>
          <w:p>
            <w:pPr>
              <w:adjustRightInd w:val="0"/>
              <w:snapToGrid w:val="0"/>
              <w:spacing w:line="360" w:lineRule="exac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adjustRightInd w:val="0"/>
              <w:snapToGrid w:val="0"/>
              <w:spacing w:line="360" w:lineRule="exact"/>
              <w:jc w:val="center"/>
              <w:rPr>
                <w:rFonts w:eastAsiaTheme="minorEastAsia"/>
                <w:color w:val="auto"/>
                <w:szCs w:val="21"/>
              </w:rPr>
            </w:pPr>
            <w:r>
              <w:rPr>
                <w:rFonts w:eastAsiaTheme="minorEastAsia"/>
                <w:color w:val="auto"/>
                <w:szCs w:val="21"/>
              </w:rPr>
              <w:t>第5.1款</w:t>
            </w:r>
          </w:p>
        </w:tc>
        <w:tc>
          <w:tcPr>
            <w:tcW w:w="1589" w:type="dxa"/>
            <w:vAlign w:val="center"/>
          </w:tcPr>
          <w:p>
            <w:pPr>
              <w:adjustRightInd w:val="0"/>
              <w:snapToGrid w:val="0"/>
              <w:spacing w:line="36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现场勘察</w:t>
            </w:r>
          </w:p>
        </w:tc>
        <w:tc>
          <w:tcPr>
            <w:tcW w:w="7279" w:type="dxa"/>
            <w:vAlign w:val="center"/>
          </w:tcPr>
          <w:p>
            <w:pPr>
              <w:adjustRightInd w:val="0"/>
              <w:snapToGrid w:val="0"/>
              <w:spacing w:line="360" w:lineRule="exac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adjustRightInd w:val="0"/>
              <w:snapToGrid w:val="0"/>
              <w:spacing w:line="360" w:lineRule="exact"/>
              <w:jc w:val="center"/>
              <w:rPr>
                <w:rFonts w:eastAsiaTheme="minorEastAsia"/>
                <w:color w:val="auto"/>
                <w:szCs w:val="21"/>
              </w:rPr>
            </w:pPr>
            <w:r>
              <w:rPr>
                <w:rFonts w:eastAsiaTheme="minorEastAsia"/>
                <w:color w:val="auto"/>
                <w:szCs w:val="21"/>
              </w:rPr>
              <w:t>第6.1款</w:t>
            </w:r>
          </w:p>
        </w:tc>
        <w:tc>
          <w:tcPr>
            <w:tcW w:w="1589" w:type="dxa"/>
            <w:vAlign w:val="center"/>
          </w:tcPr>
          <w:p>
            <w:pPr>
              <w:adjustRightInd w:val="0"/>
              <w:snapToGrid w:val="0"/>
              <w:spacing w:line="36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分包</w:t>
            </w:r>
          </w:p>
        </w:tc>
        <w:tc>
          <w:tcPr>
            <w:tcW w:w="7279" w:type="dxa"/>
            <w:vAlign w:val="center"/>
          </w:tcPr>
          <w:p>
            <w:pPr>
              <w:adjustRightInd w:val="0"/>
              <w:snapToGrid w:val="0"/>
              <w:spacing w:line="360" w:lineRule="exac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338" w:type="dxa"/>
            <w:vAlign w:val="center"/>
          </w:tcPr>
          <w:p>
            <w:pPr>
              <w:adjustRightInd w:val="0"/>
              <w:snapToGrid w:val="0"/>
              <w:spacing w:line="360" w:lineRule="exact"/>
              <w:jc w:val="center"/>
              <w:rPr>
                <w:rFonts w:eastAsiaTheme="minorEastAsia"/>
                <w:color w:val="auto"/>
                <w:szCs w:val="21"/>
              </w:rPr>
            </w:pPr>
            <w:r>
              <w:rPr>
                <w:rFonts w:eastAsiaTheme="minorEastAsia"/>
                <w:color w:val="auto"/>
                <w:szCs w:val="21"/>
              </w:rPr>
              <w:t>第10.3款</w:t>
            </w:r>
          </w:p>
        </w:tc>
        <w:tc>
          <w:tcPr>
            <w:tcW w:w="1589" w:type="dxa"/>
            <w:vAlign w:val="center"/>
          </w:tcPr>
          <w:p>
            <w:pPr>
              <w:adjustRightInd w:val="0"/>
              <w:snapToGrid w:val="0"/>
              <w:spacing w:line="36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磋商文件的可能实质性变动内容</w:t>
            </w:r>
          </w:p>
        </w:tc>
        <w:tc>
          <w:tcPr>
            <w:tcW w:w="7279" w:type="dxa"/>
            <w:vAlign w:val="center"/>
          </w:tcPr>
          <w:p>
            <w:pPr>
              <w:adjustRightInd w:val="0"/>
              <w:snapToGrid w:val="0"/>
              <w:spacing w:line="360" w:lineRule="exact"/>
              <w:jc w:val="lef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1338" w:type="dxa"/>
            <w:vAlign w:val="center"/>
          </w:tcPr>
          <w:p>
            <w:pPr>
              <w:adjustRightInd w:val="0"/>
              <w:snapToGrid w:val="0"/>
              <w:spacing w:line="360" w:lineRule="exact"/>
              <w:jc w:val="center"/>
              <w:rPr>
                <w:rFonts w:eastAsiaTheme="minorEastAsia"/>
                <w:color w:val="auto"/>
                <w:szCs w:val="21"/>
              </w:rPr>
            </w:pPr>
            <w:r>
              <w:rPr>
                <w:rFonts w:eastAsiaTheme="minorEastAsia"/>
                <w:color w:val="auto"/>
                <w:szCs w:val="21"/>
              </w:rPr>
              <w:t>第17.1款</w:t>
            </w:r>
          </w:p>
        </w:tc>
        <w:tc>
          <w:tcPr>
            <w:tcW w:w="1589" w:type="dxa"/>
            <w:vAlign w:val="center"/>
          </w:tcPr>
          <w:p>
            <w:pPr>
              <w:adjustRightInd w:val="0"/>
              <w:snapToGrid w:val="0"/>
              <w:spacing w:line="360" w:lineRule="exact"/>
              <w:ind w:left="-533" w:leftChars="-254" w:firstLine="533" w:firstLineChars="254"/>
              <w:jc w:val="center"/>
              <w:rPr>
                <w:rFonts w:eastAsiaTheme="minorEastAsia"/>
                <w:color w:val="auto"/>
                <w:szCs w:val="21"/>
              </w:rPr>
            </w:pPr>
            <w:r>
              <w:rPr>
                <w:rFonts w:eastAsiaTheme="minorEastAsia"/>
                <w:color w:val="auto"/>
                <w:szCs w:val="21"/>
              </w:rPr>
              <w:t>投标保证金</w:t>
            </w:r>
          </w:p>
        </w:tc>
        <w:tc>
          <w:tcPr>
            <w:tcW w:w="7279" w:type="dxa"/>
            <w:vAlign w:val="center"/>
          </w:tcPr>
          <w:p>
            <w:pPr>
              <w:pStyle w:val="12"/>
              <w:spacing w:line="440" w:lineRule="exact"/>
              <w:ind w:firstLine="420" w:firstLineChars="200"/>
              <w:jc w:val="lef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保证金要求提供，数额不得超过采购项目预算金额的2%，本项目的投标保证金为：</w:t>
            </w:r>
            <w:r>
              <w:rPr>
                <w:rFonts w:hint="eastAsia" w:ascii="Times New Roman" w:hAnsi="Times New Roman" w:cs="Times New Roman" w:eastAsiaTheme="minorEastAsia"/>
                <w:color w:val="auto"/>
                <w:kern w:val="2"/>
                <w:sz w:val="21"/>
                <w:szCs w:val="21"/>
                <w:u w:val="single"/>
                <w:lang w:val="en-US" w:eastAsia="zh-CN" w:bidi="ar-SA"/>
              </w:rPr>
              <w:t>30000元</w:t>
            </w:r>
            <w:r>
              <w:rPr>
                <w:rFonts w:hint="eastAsia" w:ascii="Times New Roman" w:hAnsi="Times New Roman" w:cs="Times New Roman" w:eastAsiaTheme="minorEastAsia"/>
                <w:color w:val="auto"/>
                <w:kern w:val="2"/>
                <w:sz w:val="21"/>
                <w:szCs w:val="21"/>
                <w:lang w:val="en-US" w:eastAsia="zh-CN" w:bidi="ar-SA"/>
              </w:rPr>
              <w:t>（大写：</w:t>
            </w:r>
            <w:r>
              <w:rPr>
                <w:rFonts w:hint="eastAsia" w:ascii="Times New Roman" w:hAnsi="Times New Roman" w:cs="Times New Roman" w:eastAsiaTheme="minorEastAsia"/>
                <w:color w:val="auto"/>
                <w:kern w:val="2"/>
                <w:sz w:val="21"/>
                <w:szCs w:val="21"/>
                <w:u w:val="single"/>
                <w:lang w:val="en-US" w:eastAsia="zh-CN" w:bidi="ar-SA"/>
              </w:rPr>
              <w:t>叁万元整</w:t>
            </w:r>
            <w:r>
              <w:rPr>
                <w:rFonts w:hint="eastAsia" w:ascii="Times New Roman" w:hAnsi="Times New Roman" w:cs="Times New Roman" w:eastAsiaTheme="minorEastAsia"/>
                <w:color w:val="auto"/>
                <w:kern w:val="2"/>
                <w:sz w:val="21"/>
                <w:szCs w:val="21"/>
                <w:lang w:val="en-US" w:eastAsia="zh-CN" w:bidi="ar-SA"/>
              </w:rPr>
              <w:t>）提交方式为</w:t>
            </w:r>
            <w:r>
              <w:rPr>
                <w:rFonts w:hint="eastAsia" w:ascii="Times New Roman" w:hAnsi="Times New Roman" w:cs="Times New Roman" w:eastAsiaTheme="minorEastAsia"/>
                <w:color w:val="auto"/>
                <w:kern w:val="2"/>
                <w:sz w:val="21"/>
                <w:szCs w:val="21"/>
                <w:u w:val="single"/>
                <w:lang w:val="en-US" w:eastAsia="zh-CN" w:bidi="ar-SA"/>
              </w:rPr>
              <w:t>网银、电汇或支票、汇票、本票或者金融机构、担保机构出具的保函等形式提交，</w:t>
            </w:r>
            <w:r>
              <w:rPr>
                <w:rFonts w:hint="eastAsia" w:ascii="Times New Roman" w:hAnsi="Times New Roman" w:cs="Times New Roman" w:eastAsiaTheme="minorEastAsia"/>
                <w:color w:val="auto"/>
                <w:kern w:val="2"/>
                <w:sz w:val="21"/>
                <w:szCs w:val="21"/>
                <w:lang w:val="en-US" w:eastAsia="zh-CN" w:bidi="ar-SA"/>
              </w:rPr>
              <w:t>否则其响应文件将被拒绝评审，投标人提交投标保证金应充分考虑资金在途时间。</w:t>
            </w:r>
          </w:p>
          <w:p>
            <w:pPr>
              <w:spacing w:line="500" w:lineRule="exact"/>
              <w:jc w:val="lef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 xml:space="preserve">账户信息：新疆启中项目管理有限公司  </w:t>
            </w:r>
          </w:p>
          <w:p>
            <w:pPr>
              <w:spacing w:line="500" w:lineRule="exact"/>
              <w:jc w:val="lef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 xml:space="preserve">开户银行: 新疆伊犁农村商业银行股份有限公司合作区支行 </w:t>
            </w:r>
          </w:p>
          <w:p>
            <w:pPr>
              <w:spacing w:line="500" w:lineRule="exact"/>
              <w:jc w:val="lef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行    号：402898000156</w:t>
            </w:r>
          </w:p>
          <w:p>
            <w:pPr>
              <w:spacing w:line="500" w:lineRule="exact"/>
              <w:jc w:val="lef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账    号：</w:t>
            </w:r>
            <w:bookmarkStart w:id="57" w:name="OLE_LINK17"/>
            <w:r>
              <w:rPr>
                <w:rFonts w:hint="eastAsia" w:ascii="Times New Roman" w:hAnsi="Times New Roman" w:cs="Times New Roman" w:eastAsiaTheme="minorEastAsia"/>
                <w:color w:val="auto"/>
                <w:kern w:val="2"/>
                <w:sz w:val="21"/>
                <w:szCs w:val="21"/>
                <w:lang w:val="en-US" w:eastAsia="zh-CN" w:bidi="ar-SA"/>
              </w:rPr>
              <w:t>812020012010115386501</w:t>
            </w:r>
            <w:bookmarkEnd w:id="57"/>
          </w:p>
          <w:p>
            <w:pPr>
              <w:pStyle w:val="12"/>
              <w:spacing w:line="440" w:lineRule="exact"/>
              <w:jc w:val="lef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投标保证金的形式：企业网银、电汇、保函、支票等</w:t>
            </w:r>
          </w:p>
          <w:p>
            <w:pPr>
              <w:adjustRightInd w:val="0"/>
              <w:snapToGrid w:val="0"/>
              <w:spacing w:line="360" w:lineRule="exact"/>
              <w:rPr>
                <w:rFonts w:eastAsiaTheme="minorEastAsia"/>
                <w:color w:val="auto"/>
                <w:szCs w:val="21"/>
                <w:u w:val="single"/>
              </w:rPr>
            </w:pPr>
            <w:r>
              <w:rPr>
                <w:rFonts w:hint="eastAsia" w:ascii="Times New Roman" w:hAnsi="Times New Roman" w:cs="Times New Roman" w:eastAsiaTheme="minorEastAsia"/>
                <w:color w:val="auto"/>
                <w:kern w:val="2"/>
                <w:sz w:val="21"/>
                <w:szCs w:val="21"/>
                <w:lang w:val="en-US" w:eastAsia="zh-CN" w:bidi="ar-SA"/>
              </w:rPr>
              <w:t>注：以电汇方式递交投标保证金须在电汇凭据附言栏中写明项目编号、包号及用途(保证金)，由于未按要求注明信息而导致的一切后果由投标人承担。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adjustRightInd w:val="0"/>
              <w:snapToGrid w:val="0"/>
              <w:spacing w:line="360" w:lineRule="exact"/>
              <w:jc w:val="center"/>
              <w:rPr>
                <w:rFonts w:eastAsiaTheme="minorEastAsia"/>
                <w:color w:val="auto"/>
                <w:szCs w:val="21"/>
              </w:rPr>
            </w:pPr>
            <w:r>
              <w:rPr>
                <w:rFonts w:eastAsiaTheme="minorEastAsia"/>
                <w:color w:val="auto"/>
                <w:szCs w:val="21"/>
              </w:rPr>
              <w:t>第17.1款</w:t>
            </w:r>
          </w:p>
        </w:tc>
        <w:tc>
          <w:tcPr>
            <w:tcW w:w="1589" w:type="dxa"/>
            <w:vAlign w:val="center"/>
          </w:tcPr>
          <w:p>
            <w:pPr>
              <w:adjustRightInd w:val="0"/>
              <w:snapToGrid w:val="0"/>
              <w:spacing w:line="360" w:lineRule="exac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响应文件有效期</w:t>
            </w:r>
          </w:p>
        </w:tc>
        <w:tc>
          <w:tcPr>
            <w:tcW w:w="7279" w:type="dxa"/>
            <w:vAlign w:val="center"/>
          </w:tcPr>
          <w:p>
            <w:pPr>
              <w:adjustRightInd w:val="0"/>
              <w:snapToGrid w:val="0"/>
              <w:spacing w:line="360" w:lineRule="exact"/>
              <w:rPr>
                <w:rFonts w:hint="eastAsia"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6</w:t>
            </w:r>
            <w:r>
              <w:rPr>
                <w:rFonts w:hint="eastAsia" w:ascii="Times New Roman" w:hAnsi="Times New Roman" w:cs="Times New Roman" w:eastAsiaTheme="minorEastAsia"/>
                <w:color w:val="auto"/>
                <w:kern w:val="2"/>
                <w:sz w:val="21"/>
                <w:szCs w:val="21"/>
                <w:lang w:val="en-US" w:eastAsia="zh-CN" w:bidi="ar-SA"/>
              </w:rPr>
              <w:t>0日（日历日）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adjustRightInd w:val="0"/>
              <w:snapToGrid w:val="0"/>
              <w:spacing w:line="360" w:lineRule="exact"/>
              <w:jc w:val="center"/>
              <w:rPr>
                <w:rFonts w:eastAsiaTheme="minorEastAsia"/>
                <w:color w:val="auto"/>
                <w:szCs w:val="21"/>
              </w:rPr>
            </w:pPr>
            <w:r>
              <w:rPr>
                <w:rFonts w:eastAsiaTheme="minorEastAsia"/>
                <w:color w:val="auto"/>
                <w:szCs w:val="21"/>
              </w:rPr>
              <w:t>第</w:t>
            </w:r>
            <w:r>
              <w:rPr>
                <w:rFonts w:hint="eastAsia" w:eastAsiaTheme="minorEastAsia"/>
                <w:color w:val="auto"/>
                <w:szCs w:val="21"/>
                <w:lang w:val="en-US" w:eastAsia="zh-CN"/>
              </w:rPr>
              <w:t>18</w:t>
            </w:r>
            <w:r>
              <w:rPr>
                <w:rFonts w:eastAsiaTheme="minorEastAsia"/>
                <w:color w:val="auto"/>
                <w:szCs w:val="21"/>
              </w:rPr>
              <w:t>款</w:t>
            </w:r>
          </w:p>
        </w:tc>
        <w:tc>
          <w:tcPr>
            <w:tcW w:w="1589" w:type="dxa"/>
            <w:vAlign w:val="center"/>
          </w:tcPr>
          <w:p>
            <w:pPr>
              <w:adjustRightInd w:val="0"/>
              <w:snapToGrid w:val="0"/>
              <w:spacing w:line="360" w:lineRule="exact"/>
              <w:rPr>
                <w:rFonts w:hint="eastAsia" w:ascii="Times New Roman" w:hAnsi="Times New Roman" w:cs="Times New Roman" w:eastAsiaTheme="minorEastAsia"/>
                <w:color w:val="auto"/>
                <w:kern w:val="2"/>
                <w:sz w:val="21"/>
                <w:szCs w:val="21"/>
                <w:lang w:val="en-US" w:eastAsia="zh-CN" w:bidi="ar-SA"/>
              </w:rPr>
            </w:pPr>
            <w:r>
              <w:rPr>
                <w:rFonts w:hint="eastAsia" w:ascii="宋体" w:hAnsi="宋体" w:eastAsia="宋体" w:cs="宋体"/>
                <w:kern w:val="2"/>
                <w:sz w:val="24"/>
                <w:szCs w:val="24"/>
                <w:highlight w:val="none"/>
              </w:rPr>
              <w:t>投标文件份数及其他要求</w:t>
            </w:r>
          </w:p>
        </w:tc>
        <w:tc>
          <w:tcPr>
            <w:tcW w:w="7279" w:type="dxa"/>
            <w:vAlign w:val="center"/>
          </w:tcPr>
          <w:p>
            <w:pPr>
              <w:spacing w:line="500" w:lineRule="exact"/>
              <w:jc w:val="lef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电子加密投标文件一份(.jmbs格式)在新疆政府采购网指定位置上传。</w:t>
            </w:r>
          </w:p>
          <w:p>
            <w:pPr>
              <w:spacing w:line="500" w:lineRule="exact"/>
              <w:jc w:val="left"/>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其他要求：</w:t>
            </w:r>
          </w:p>
          <w:p>
            <w:pPr>
              <w:adjustRightInd w:val="0"/>
              <w:snapToGrid w:val="0"/>
              <w:spacing w:line="360" w:lineRule="exact"/>
              <w:rPr>
                <w:rFonts w:hint="eastAsia" w:ascii="Times New Roman" w:hAnsi="Times New Roman" w:cs="Times New Roman" w:eastAsiaTheme="minorEastAsia"/>
                <w:color w:val="auto"/>
                <w:kern w:val="2"/>
                <w:sz w:val="21"/>
                <w:szCs w:val="21"/>
                <w:lang w:val="en-US" w:eastAsia="zh-CN" w:bidi="ar-SA"/>
              </w:rPr>
            </w:pPr>
            <w:r>
              <w:rPr>
                <w:rFonts w:hint="eastAsia" w:ascii="宋体" w:hAnsi="宋体" w:eastAsia="宋体" w:cs="宋体"/>
                <w:b/>
                <w:bCs/>
                <w:kern w:val="2"/>
                <w:sz w:val="24"/>
                <w:szCs w:val="24"/>
                <w:highlight w:val="none"/>
              </w:rPr>
              <w:t>若</w:t>
            </w:r>
            <w:r>
              <w:rPr>
                <w:rFonts w:hint="eastAsia" w:ascii="宋体" w:hAnsi="宋体" w:cs="宋体"/>
                <w:b/>
                <w:bCs/>
                <w:kern w:val="2"/>
                <w:sz w:val="24"/>
                <w:szCs w:val="24"/>
                <w:highlight w:val="none"/>
                <w:lang w:eastAsia="zh-CN"/>
              </w:rPr>
              <w:t>磋商文件</w:t>
            </w:r>
            <w:r>
              <w:rPr>
                <w:rFonts w:hint="eastAsia" w:ascii="宋体" w:hAnsi="宋体" w:eastAsia="宋体" w:cs="宋体"/>
                <w:b/>
                <w:bCs/>
                <w:kern w:val="2"/>
                <w:sz w:val="24"/>
                <w:szCs w:val="24"/>
                <w:highlight w:val="none"/>
              </w:rPr>
              <w:t>评分项中规定须提供业绩、证件等资料原件作为评分依据的，投标人须在投标文件中</w:t>
            </w:r>
            <w:r>
              <w:rPr>
                <w:rFonts w:hint="eastAsia" w:ascii="宋体" w:hAnsi="宋体" w:eastAsia="宋体" w:cs="宋体"/>
                <w:b/>
                <w:bCs/>
                <w:kern w:val="2"/>
                <w:sz w:val="24"/>
                <w:szCs w:val="24"/>
                <w:highlight w:val="none"/>
                <w:u w:val="single"/>
              </w:rPr>
              <w:t>附原件的直接扫描件</w:t>
            </w:r>
            <w:r>
              <w:rPr>
                <w:rFonts w:hint="eastAsia" w:ascii="宋体" w:hAnsi="宋体" w:eastAsia="宋体" w:cs="宋体"/>
                <w:b/>
                <w:bCs/>
                <w:kern w:val="2"/>
                <w:sz w:val="24"/>
                <w:szCs w:val="24"/>
                <w:highlight w:val="none"/>
              </w:rPr>
              <w:t>并清晰可辨，否则视为未提供评标证明资料。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adjustRightInd w:val="0"/>
              <w:snapToGrid w:val="0"/>
              <w:spacing w:line="360" w:lineRule="exact"/>
              <w:jc w:val="center"/>
              <w:rPr>
                <w:rFonts w:eastAsiaTheme="minorEastAsia"/>
                <w:color w:val="auto"/>
                <w:szCs w:val="21"/>
              </w:rPr>
            </w:pPr>
            <w:r>
              <w:rPr>
                <w:rFonts w:eastAsiaTheme="minorEastAsia"/>
                <w:color w:val="auto"/>
                <w:szCs w:val="21"/>
              </w:rPr>
              <w:t>第</w:t>
            </w:r>
            <w:r>
              <w:rPr>
                <w:rFonts w:hint="eastAsia" w:eastAsiaTheme="minorEastAsia"/>
                <w:color w:val="auto"/>
                <w:szCs w:val="21"/>
                <w:lang w:val="en-US" w:eastAsia="zh-CN"/>
              </w:rPr>
              <w:t>19</w:t>
            </w:r>
            <w:r>
              <w:rPr>
                <w:rFonts w:eastAsiaTheme="minorEastAsia"/>
                <w:color w:val="auto"/>
                <w:szCs w:val="21"/>
              </w:rPr>
              <w:t>款</w:t>
            </w:r>
          </w:p>
        </w:tc>
        <w:tc>
          <w:tcPr>
            <w:tcW w:w="1589" w:type="dxa"/>
            <w:vAlign w:val="center"/>
          </w:tcPr>
          <w:p>
            <w:pPr>
              <w:adjustRightInd w:val="0"/>
              <w:snapToGrid w:val="0"/>
              <w:spacing w:line="360" w:lineRule="exact"/>
              <w:rPr>
                <w:rFonts w:hint="eastAsia" w:ascii="Times New Roman" w:hAnsi="Times New Roman" w:cs="Times New Roman" w:eastAsiaTheme="minorEastAsia"/>
                <w:color w:val="auto"/>
                <w:kern w:val="2"/>
                <w:sz w:val="21"/>
                <w:szCs w:val="21"/>
                <w:lang w:val="en-US" w:eastAsia="zh-CN" w:bidi="ar-SA"/>
              </w:rPr>
            </w:pPr>
            <w:r>
              <w:rPr>
                <w:rFonts w:hint="eastAsia" w:ascii="宋体" w:hAnsi="宋体" w:eastAsia="宋体" w:cs="宋体"/>
                <w:kern w:val="2"/>
                <w:sz w:val="24"/>
                <w:szCs w:val="24"/>
                <w:highlight w:val="none"/>
              </w:rPr>
              <w:t>投标文件是否需分册装订</w:t>
            </w:r>
          </w:p>
        </w:tc>
        <w:tc>
          <w:tcPr>
            <w:tcW w:w="7279" w:type="dxa"/>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cs="宋体"/>
                <w:kern w:val="2"/>
                <w:sz w:val="24"/>
                <w:szCs w:val="24"/>
                <w:highlight w:val="none"/>
                <w:lang w:eastAsia="zh-CN"/>
              </w:rPr>
              <w:t>☑</w:t>
            </w:r>
            <w:r>
              <w:rPr>
                <w:rFonts w:hint="eastAsia" w:ascii="宋体" w:hAnsi="宋体" w:eastAsia="宋体" w:cs="宋体"/>
                <w:kern w:val="2"/>
                <w:sz w:val="24"/>
                <w:szCs w:val="24"/>
                <w:highlight w:val="none"/>
                <w:lang w:eastAsia="zh-CN"/>
              </w:rPr>
              <w:t>不</w:t>
            </w:r>
            <w:r>
              <w:rPr>
                <w:rFonts w:hint="eastAsia" w:ascii="宋体" w:hAnsi="宋体" w:eastAsia="宋体" w:cs="宋体"/>
                <w:kern w:val="2"/>
                <w:sz w:val="24"/>
                <w:szCs w:val="24"/>
                <w:highlight w:val="none"/>
              </w:rPr>
              <w:t>需要</w:t>
            </w:r>
          </w:p>
          <w:p>
            <w:pPr>
              <w:adjustRightInd w:val="0"/>
              <w:snapToGrid w:val="0"/>
              <w:spacing w:line="360" w:lineRule="exact"/>
              <w:rPr>
                <w:rFonts w:hint="eastAsia" w:ascii="Times New Roman" w:hAnsi="Times New Roman" w:cs="Times New Roman" w:eastAsiaTheme="minorEastAsia"/>
                <w:color w:val="auto"/>
                <w:kern w:val="2"/>
                <w:sz w:val="21"/>
                <w:szCs w:val="21"/>
                <w:lang w:val="en-US" w:eastAsia="zh-CN" w:bidi="ar-SA"/>
              </w:rPr>
            </w:pPr>
            <w:r>
              <w:rPr>
                <w:rFonts w:hint="eastAsia" w:ascii="宋体" w:hAnsi="宋体" w:eastAsia="宋体" w:cs="宋体"/>
                <w:kern w:val="2"/>
                <w:sz w:val="24"/>
                <w:szCs w:val="24"/>
                <w:highlight w:val="none"/>
              </w:rPr>
              <w:t>□需要，分册装订要求：/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adjustRightInd w:val="0"/>
              <w:snapToGrid w:val="0"/>
              <w:spacing w:line="360" w:lineRule="exact"/>
              <w:jc w:val="center"/>
              <w:rPr>
                <w:rFonts w:eastAsiaTheme="minorEastAsia"/>
                <w:color w:val="auto"/>
                <w:szCs w:val="21"/>
              </w:rPr>
            </w:pPr>
            <w:r>
              <w:rPr>
                <w:rFonts w:eastAsiaTheme="minorEastAsia"/>
                <w:color w:val="auto"/>
                <w:szCs w:val="21"/>
              </w:rPr>
              <w:t>第</w:t>
            </w:r>
            <w:r>
              <w:rPr>
                <w:rFonts w:hint="eastAsia" w:eastAsiaTheme="minorEastAsia"/>
                <w:color w:val="auto"/>
                <w:szCs w:val="21"/>
                <w:lang w:val="en-US" w:eastAsia="zh-CN"/>
              </w:rPr>
              <w:t>19</w:t>
            </w:r>
            <w:r>
              <w:rPr>
                <w:rFonts w:eastAsiaTheme="minorEastAsia"/>
                <w:color w:val="auto"/>
                <w:szCs w:val="21"/>
              </w:rPr>
              <w:t>款</w:t>
            </w:r>
          </w:p>
        </w:tc>
        <w:tc>
          <w:tcPr>
            <w:tcW w:w="1589" w:type="dxa"/>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cs="宋体"/>
                <w:sz w:val="24"/>
                <w:szCs w:val="24"/>
                <w:highlight w:val="none"/>
                <w:lang w:val="en-US" w:eastAsia="zh-CN"/>
              </w:rPr>
              <w:t>采购公告</w:t>
            </w:r>
            <w:r>
              <w:rPr>
                <w:rFonts w:hint="eastAsia" w:ascii="宋体" w:hAnsi="宋体" w:cs="宋体"/>
                <w:sz w:val="24"/>
                <w:szCs w:val="24"/>
                <w:highlight w:val="none"/>
              </w:rPr>
              <w:t>发布媒体</w:t>
            </w:r>
          </w:p>
        </w:tc>
        <w:tc>
          <w:tcPr>
            <w:tcW w:w="7279" w:type="dxa"/>
            <w:vAlign w:val="center"/>
          </w:tcPr>
          <w:p>
            <w:pPr>
              <w:spacing w:line="360" w:lineRule="auto"/>
              <w:rPr>
                <w:rFonts w:hint="eastAsia" w:ascii="宋体" w:hAnsi="宋体" w:eastAsia="宋体" w:cs="宋体"/>
                <w:kern w:val="2"/>
                <w:sz w:val="24"/>
                <w:szCs w:val="24"/>
                <w:highlight w:val="none"/>
              </w:rPr>
            </w:pPr>
            <w:r>
              <w:rPr>
                <w:rFonts w:hint="eastAsia" w:ascii="宋体" w:hAnsi="宋体" w:cs="宋体"/>
                <w:color w:val="000000"/>
                <w:sz w:val="24"/>
                <w:highlight w:val="none"/>
              </w:rPr>
              <w:t>新疆政府采购网（www.ccgp-xinjiang.gov.cn/）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adjustRightInd w:val="0"/>
              <w:snapToGrid w:val="0"/>
              <w:spacing w:line="360" w:lineRule="exact"/>
              <w:jc w:val="center"/>
              <w:rPr>
                <w:rFonts w:eastAsiaTheme="minorEastAsia"/>
                <w:color w:val="auto"/>
                <w:szCs w:val="21"/>
              </w:rPr>
            </w:pPr>
            <w:r>
              <w:rPr>
                <w:rFonts w:eastAsiaTheme="minorEastAsia"/>
                <w:color w:val="auto"/>
                <w:szCs w:val="21"/>
              </w:rPr>
              <w:t>第2</w:t>
            </w:r>
            <w:r>
              <w:rPr>
                <w:rFonts w:hint="eastAsia" w:eastAsiaTheme="minorEastAsia"/>
                <w:color w:val="auto"/>
                <w:szCs w:val="21"/>
                <w:lang w:val="en-US" w:eastAsia="zh-CN"/>
              </w:rPr>
              <w:t>0</w:t>
            </w:r>
            <w:r>
              <w:rPr>
                <w:rFonts w:eastAsiaTheme="minorEastAsia"/>
                <w:color w:val="auto"/>
                <w:szCs w:val="21"/>
              </w:rPr>
              <w:t>.1款</w:t>
            </w:r>
          </w:p>
        </w:tc>
        <w:tc>
          <w:tcPr>
            <w:tcW w:w="1589" w:type="dxa"/>
            <w:vAlign w:val="center"/>
          </w:tcPr>
          <w:p>
            <w:pPr>
              <w:adjustRightInd w:val="0"/>
              <w:snapToGrid w:val="0"/>
              <w:spacing w:line="360" w:lineRule="exact"/>
              <w:jc w:val="center"/>
              <w:rPr>
                <w:rFonts w:eastAsiaTheme="minorEastAsia"/>
                <w:color w:val="auto"/>
                <w:szCs w:val="21"/>
              </w:rPr>
            </w:pPr>
            <w:r>
              <w:rPr>
                <w:rFonts w:hint="eastAsia" w:ascii="宋体" w:hAnsi="宋体" w:eastAsia="宋体" w:cs="宋体"/>
                <w:kern w:val="2"/>
                <w:sz w:val="24"/>
                <w:szCs w:val="24"/>
                <w:highlight w:val="none"/>
              </w:rPr>
              <w:t>投标截止时间</w:t>
            </w:r>
            <w:r>
              <w:rPr>
                <w:rFonts w:hint="eastAsia" w:ascii="宋体" w:hAnsi="宋体" w:cs="宋体"/>
                <w:kern w:val="2"/>
                <w:sz w:val="24"/>
                <w:szCs w:val="24"/>
                <w:highlight w:val="none"/>
                <w:lang w:val="en-US" w:eastAsia="zh-CN"/>
              </w:rPr>
              <w:t>及</w:t>
            </w:r>
            <w:r>
              <w:rPr>
                <w:rFonts w:hint="eastAsia" w:ascii="宋体" w:hAnsi="宋体" w:eastAsia="宋体" w:cs="宋体"/>
                <w:kern w:val="2"/>
                <w:sz w:val="24"/>
                <w:szCs w:val="24"/>
                <w:highlight w:val="none"/>
              </w:rPr>
              <w:t>地点</w:t>
            </w:r>
          </w:p>
        </w:tc>
        <w:tc>
          <w:tcPr>
            <w:tcW w:w="7279" w:type="dxa"/>
            <w:vAlign w:val="center"/>
          </w:tcPr>
          <w:p>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电子投标文件递交截止时间：</w:t>
            </w:r>
            <w:r>
              <w:rPr>
                <w:rFonts w:hint="eastAsia" w:ascii="宋体" w:hAnsi="宋体" w:cs="宋体"/>
                <w:b/>
                <w:bCs/>
                <w:color w:val="0000FF"/>
                <w:sz w:val="24"/>
                <w:szCs w:val="24"/>
                <w:highlight w:val="none"/>
                <w:lang w:val="en-US" w:eastAsia="zh-CN"/>
              </w:rPr>
              <w:t>2025年5月26日 11:30 时</w:t>
            </w:r>
          </w:p>
          <w:p>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电子投标文件递交地点：投标人应于</w:t>
            </w:r>
            <w:r>
              <w:rPr>
                <w:rFonts w:hint="eastAsia" w:ascii="宋体" w:hAnsi="宋体" w:cs="宋体"/>
                <w:b/>
                <w:bCs/>
                <w:color w:val="0000FF"/>
                <w:sz w:val="24"/>
                <w:szCs w:val="24"/>
                <w:highlight w:val="none"/>
                <w:lang w:val="en-US" w:eastAsia="zh-CN"/>
              </w:rPr>
              <w:t>2025年5月26日 11:30 时</w:t>
            </w:r>
            <w:r>
              <w:rPr>
                <w:rFonts w:hint="eastAsia" w:ascii="宋体" w:hAnsi="宋体" w:cs="宋体"/>
                <w:b/>
                <w:bCs/>
                <w:sz w:val="24"/>
                <w:szCs w:val="24"/>
                <w:highlight w:val="none"/>
                <w:lang w:val="en-US" w:eastAsia="zh-CN"/>
              </w:rPr>
              <w:t>之前将电子投标文件上传到“政采云”平台。应按照本项目磋商文件和政采云平台的要求编制、加密传输投标文件。投标人在使用系统进行投标的过程中遇到涉及平台使用的任何问题，可致电政采云平台技术支持热线咨询，联系方式：400-881-7190。</w:t>
            </w:r>
          </w:p>
          <w:p>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注：1、在开标时间开始后，待采购代理机构发出解密通知</w:t>
            </w:r>
            <w:r>
              <w:rPr>
                <w:rFonts w:hint="eastAsia" w:ascii="宋体" w:hAnsi="宋体" w:cs="宋体"/>
                <w:b/>
                <w:bCs/>
                <w:sz w:val="24"/>
                <w:szCs w:val="24"/>
                <w:highlight w:val="none"/>
                <w:u w:val="single"/>
                <w:lang w:val="en-US" w:eastAsia="zh-CN"/>
              </w:rPr>
              <w:t xml:space="preserve"> 30</w:t>
            </w:r>
            <w:r>
              <w:rPr>
                <w:rFonts w:hint="eastAsia" w:ascii="宋体" w:hAnsi="宋体" w:cs="宋体"/>
                <w:b/>
                <w:bCs/>
                <w:sz w:val="24"/>
                <w:szCs w:val="24"/>
                <w:highlight w:val="none"/>
                <w:lang w:val="en-US" w:eastAsia="zh-CN"/>
              </w:rPr>
              <w:t>分钟内解密投标文件；</w:t>
            </w:r>
          </w:p>
          <w:p>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2、投标人未能在投标截止时间前成功上传电子加密投标文件的投标无效；</w:t>
            </w:r>
          </w:p>
          <w:p>
            <w:pPr>
              <w:adjustRightInd w:val="0"/>
              <w:snapToGrid w:val="0"/>
              <w:spacing w:line="360" w:lineRule="exact"/>
              <w:jc w:val="left"/>
              <w:rPr>
                <w:rFonts w:ascii="Times New Roman" w:hAnsi="Times New Roman" w:cs="Times New Roman" w:eastAsiaTheme="minorEastAsia"/>
                <w:color w:val="auto"/>
                <w:kern w:val="2"/>
                <w:sz w:val="21"/>
                <w:szCs w:val="21"/>
                <w:lang w:val="en-US" w:eastAsia="zh-CN" w:bidi="ar-SA"/>
              </w:rPr>
            </w:pPr>
            <w:r>
              <w:rPr>
                <w:rFonts w:hint="eastAsia" w:ascii="宋体" w:hAnsi="宋体" w:cs="宋体"/>
                <w:b/>
                <w:bCs/>
                <w:sz w:val="24"/>
                <w:szCs w:val="24"/>
                <w:highlight w:val="none"/>
                <w:lang w:val="en-US" w:eastAsia="zh-CN"/>
              </w:rPr>
              <w:t>3、投标人成功上传电子加密投标文件后，可自行打印投标文件接收回执。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338" w:type="dxa"/>
            <w:vAlign w:val="center"/>
          </w:tcPr>
          <w:p>
            <w:pPr>
              <w:adjustRightInd w:val="0"/>
              <w:snapToGrid w:val="0"/>
              <w:spacing w:line="360" w:lineRule="exact"/>
              <w:jc w:val="center"/>
              <w:rPr>
                <w:rFonts w:eastAsiaTheme="minorEastAsia"/>
                <w:color w:val="auto"/>
                <w:szCs w:val="21"/>
              </w:rPr>
            </w:pPr>
            <w:r>
              <w:rPr>
                <w:rFonts w:eastAsiaTheme="minorEastAsia"/>
                <w:color w:val="auto"/>
                <w:szCs w:val="21"/>
              </w:rPr>
              <w:t>第2</w:t>
            </w:r>
            <w:r>
              <w:rPr>
                <w:rFonts w:hint="eastAsia" w:eastAsiaTheme="minorEastAsia"/>
                <w:color w:val="auto"/>
                <w:szCs w:val="21"/>
                <w:lang w:val="en-US" w:eastAsia="zh-CN"/>
              </w:rPr>
              <w:t>0</w:t>
            </w:r>
            <w:r>
              <w:rPr>
                <w:rFonts w:eastAsiaTheme="minorEastAsia"/>
                <w:color w:val="auto"/>
                <w:szCs w:val="21"/>
              </w:rPr>
              <w:t>.</w:t>
            </w:r>
            <w:r>
              <w:rPr>
                <w:rFonts w:hint="eastAsia" w:eastAsiaTheme="minorEastAsia"/>
                <w:color w:val="auto"/>
                <w:szCs w:val="21"/>
                <w:lang w:val="en-US" w:eastAsia="zh-CN"/>
              </w:rPr>
              <w:t>2</w:t>
            </w:r>
            <w:r>
              <w:rPr>
                <w:rFonts w:eastAsiaTheme="minorEastAsia"/>
                <w:color w:val="auto"/>
                <w:szCs w:val="21"/>
              </w:rPr>
              <w:t xml:space="preserve"> 款</w:t>
            </w:r>
          </w:p>
        </w:tc>
        <w:tc>
          <w:tcPr>
            <w:tcW w:w="1589" w:type="dxa"/>
            <w:vAlign w:val="center"/>
          </w:tcPr>
          <w:p>
            <w:pPr>
              <w:adjustRightInd w:val="0"/>
              <w:snapToGrid w:val="0"/>
              <w:spacing w:line="360" w:lineRule="exact"/>
              <w:jc w:val="center"/>
              <w:rPr>
                <w:rFonts w:eastAsiaTheme="minorEastAsia"/>
                <w:color w:val="auto"/>
                <w:szCs w:val="21"/>
              </w:rPr>
            </w:pPr>
            <w:r>
              <w:rPr>
                <w:rFonts w:hint="eastAsia" w:ascii="宋体" w:hAnsi="宋体" w:eastAsia="宋体" w:cs="宋体"/>
                <w:kern w:val="2"/>
                <w:sz w:val="24"/>
                <w:szCs w:val="24"/>
                <w:highlight w:val="none"/>
              </w:rPr>
              <w:t>投标文件解密时间</w:t>
            </w:r>
          </w:p>
        </w:tc>
        <w:tc>
          <w:tcPr>
            <w:tcW w:w="7279" w:type="dxa"/>
            <w:vAlign w:val="center"/>
          </w:tcPr>
          <w:p>
            <w:pPr>
              <w:pStyle w:val="20"/>
              <w:spacing w:before="75" w:beforeAutospacing="0" w:after="75" w:afterAutospacing="0" w:line="360" w:lineRule="auto"/>
              <w:jc w:val="left"/>
              <w:rPr>
                <w:rFonts w:ascii="Times New Roman" w:hAnsi="Times New Roman" w:cs="Times New Roman" w:eastAsiaTheme="minorEastAsia"/>
                <w:color w:val="auto"/>
                <w:kern w:val="2"/>
                <w:sz w:val="21"/>
                <w:szCs w:val="21"/>
                <w:lang w:val="en-US" w:eastAsia="zh-CN" w:bidi="ar-SA"/>
              </w:rPr>
            </w:pPr>
            <w:r>
              <w:rPr>
                <w:rFonts w:hint="eastAsia" w:ascii="宋体" w:hAnsi="宋体" w:eastAsia="宋体" w:cs="宋体"/>
                <w:b/>
                <w:bCs w:val="0"/>
                <w:color w:val="000000"/>
                <w:kern w:val="2"/>
                <w:sz w:val="24"/>
                <w:szCs w:val="24"/>
                <w:highlight w:val="none"/>
                <w:lang w:val="en-US" w:eastAsia="zh-CN" w:bidi="ar-SA"/>
              </w:rPr>
              <w:t>投标人应于</w:t>
            </w:r>
            <w:r>
              <w:rPr>
                <w:rFonts w:hint="eastAsia" w:ascii="宋体" w:hAnsi="宋体" w:cs="宋体"/>
                <w:b/>
                <w:bCs/>
                <w:color w:val="0000FF"/>
                <w:sz w:val="24"/>
                <w:szCs w:val="24"/>
                <w:highlight w:val="none"/>
                <w:u w:val="single"/>
                <w:lang w:eastAsia="zh-CN"/>
              </w:rPr>
              <w:t>202</w:t>
            </w:r>
            <w:r>
              <w:rPr>
                <w:rFonts w:hint="eastAsia" w:ascii="宋体" w:hAnsi="宋体" w:cs="宋体"/>
                <w:b/>
                <w:bCs/>
                <w:color w:val="0000FF"/>
                <w:sz w:val="24"/>
                <w:szCs w:val="24"/>
                <w:highlight w:val="none"/>
                <w:u w:val="single"/>
                <w:lang w:val="en-US" w:eastAsia="zh-CN"/>
              </w:rPr>
              <w:t>5</w:t>
            </w:r>
            <w:r>
              <w:rPr>
                <w:rFonts w:hint="eastAsia" w:ascii="宋体" w:hAnsi="宋体" w:cs="宋体"/>
                <w:b/>
                <w:bCs/>
                <w:color w:val="0000FF"/>
                <w:sz w:val="24"/>
                <w:szCs w:val="24"/>
                <w:highlight w:val="none"/>
              </w:rPr>
              <w:t>年</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u w:val="single"/>
                <w:lang w:val="en-US" w:eastAsia="zh-CN"/>
              </w:rPr>
              <w:t>5</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rPr>
              <w:t>月</w:t>
            </w:r>
            <w:r>
              <w:rPr>
                <w:rFonts w:hint="eastAsia" w:ascii="宋体" w:hAnsi="宋体" w:cs="宋体"/>
                <w:b/>
                <w:bCs/>
                <w:color w:val="0000FF"/>
                <w:sz w:val="24"/>
                <w:szCs w:val="24"/>
                <w:highlight w:val="none"/>
                <w:u w:val="single"/>
                <w:lang w:val="en-US" w:eastAsia="zh-CN"/>
              </w:rPr>
              <w:t xml:space="preserve"> 26</w:t>
            </w:r>
            <w:r>
              <w:rPr>
                <w:rFonts w:hint="eastAsia" w:ascii="宋体" w:hAnsi="宋体" w:cs="宋体"/>
                <w:b/>
                <w:bCs/>
                <w:color w:val="0000FF"/>
                <w:sz w:val="24"/>
                <w:szCs w:val="24"/>
                <w:highlight w:val="none"/>
              </w:rPr>
              <w:t>日</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u w:val="single"/>
                <w:lang w:val="en-US" w:eastAsia="zh-CN"/>
              </w:rPr>
              <w:t>11</w:t>
            </w:r>
            <w:r>
              <w:rPr>
                <w:rFonts w:hint="eastAsia" w:ascii="宋体" w:hAnsi="宋体" w:cs="宋体"/>
                <w:b/>
                <w:bCs/>
                <w:color w:val="0000FF"/>
                <w:sz w:val="24"/>
                <w:szCs w:val="24"/>
                <w:highlight w:val="none"/>
                <w:u w:val="single"/>
              </w:rPr>
              <w:t>:</w:t>
            </w:r>
            <w:r>
              <w:rPr>
                <w:rFonts w:hint="eastAsia" w:ascii="宋体" w:hAnsi="宋体" w:cs="宋体"/>
                <w:b/>
                <w:bCs/>
                <w:color w:val="0000FF"/>
                <w:sz w:val="24"/>
                <w:szCs w:val="24"/>
                <w:highlight w:val="none"/>
                <w:u w:val="single"/>
                <w:lang w:val="en-US" w:eastAsia="zh-CN"/>
              </w:rPr>
              <w:t>30</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lang w:val="en-US" w:eastAsia="zh-CN"/>
              </w:rPr>
              <w:t>时</w:t>
            </w:r>
            <w:r>
              <w:rPr>
                <w:rFonts w:hint="eastAsia" w:ascii="宋体" w:hAnsi="宋体" w:eastAsia="宋体" w:cs="宋体"/>
                <w:b/>
                <w:bCs w:val="0"/>
                <w:color w:val="000000"/>
                <w:kern w:val="2"/>
                <w:sz w:val="24"/>
                <w:szCs w:val="24"/>
                <w:highlight w:val="none"/>
                <w:lang w:val="en-US" w:eastAsia="zh-CN" w:bidi="ar-SA"/>
              </w:rPr>
              <w:t>之前将电子投标文件上传到“政采云”平台。开标时间后</w:t>
            </w:r>
            <w:r>
              <w:rPr>
                <w:rFonts w:hint="eastAsia" w:ascii="宋体" w:hAnsi="宋体" w:cs="宋体"/>
                <w:b/>
                <w:bCs w:val="0"/>
                <w:color w:val="000000"/>
                <w:kern w:val="2"/>
                <w:sz w:val="24"/>
                <w:szCs w:val="24"/>
                <w:highlight w:val="none"/>
                <w:lang w:val="en-US" w:eastAsia="zh-CN" w:bidi="ar-SA"/>
              </w:rPr>
              <w:t>3</w:t>
            </w:r>
            <w:r>
              <w:rPr>
                <w:rFonts w:hint="eastAsia" w:ascii="宋体" w:hAnsi="宋体" w:eastAsia="宋体" w:cs="宋体"/>
                <w:b/>
                <w:bCs w:val="0"/>
                <w:color w:val="000000"/>
                <w:kern w:val="2"/>
                <w:sz w:val="24"/>
                <w:szCs w:val="24"/>
                <w:highlight w:val="none"/>
                <w:lang w:val="en-US" w:eastAsia="zh-CN" w:bidi="ar-SA"/>
              </w:rPr>
              <w:t>0分钟内（</w:t>
            </w:r>
            <w:r>
              <w:rPr>
                <w:rFonts w:hint="eastAsia" w:ascii="宋体" w:hAnsi="宋体" w:cs="宋体"/>
                <w:b/>
                <w:bCs/>
                <w:color w:val="0000FF"/>
                <w:sz w:val="24"/>
                <w:szCs w:val="24"/>
                <w:highlight w:val="none"/>
                <w:u w:val="single"/>
                <w:lang w:eastAsia="zh-CN"/>
              </w:rPr>
              <w:t>202</w:t>
            </w:r>
            <w:r>
              <w:rPr>
                <w:rFonts w:hint="eastAsia" w:ascii="宋体" w:hAnsi="宋体" w:cs="宋体"/>
                <w:b/>
                <w:bCs/>
                <w:color w:val="0000FF"/>
                <w:sz w:val="24"/>
                <w:szCs w:val="24"/>
                <w:highlight w:val="none"/>
                <w:u w:val="single"/>
                <w:lang w:val="en-US" w:eastAsia="zh-CN"/>
              </w:rPr>
              <w:t>5</w:t>
            </w:r>
            <w:r>
              <w:rPr>
                <w:rFonts w:hint="eastAsia" w:ascii="宋体" w:hAnsi="宋体" w:cs="宋体"/>
                <w:b/>
                <w:bCs/>
                <w:color w:val="0000FF"/>
                <w:sz w:val="24"/>
                <w:szCs w:val="24"/>
                <w:highlight w:val="none"/>
              </w:rPr>
              <w:t>年</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u w:val="single"/>
                <w:lang w:val="en-US" w:eastAsia="zh-CN"/>
              </w:rPr>
              <w:t>5</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rPr>
              <w:t>月</w:t>
            </w:r>
            <w:r>
              <w:rPr>
                <w:rFonts w:hint="eastAsia" w:ascii="宋体" w:hAnsi="宋体" w:cs="宋体"/>
                <w:b/>
                <w:bCs/>
                <w:color w:val="0000FF"/>
                <w:sz w:val="24"/>
                <w:szCs w:val="24"/>
                <w:highlight w:val="none"/>
                <w:u w:val="single"/>
                <w:lang w:val="en-US" w:eastAsia="zh-CN"/>
              </w:rPr>
              <w:t xml:space="preserve"> 26</w:t>
            </w:r>
            <w:r>
              <w:rPr>
                <w:rFonts w:hint="eastAsia" w:ascii="宋体" w:hAnsi="宋体" w:cs="宋体"/>
                <w:b/>
                <w:bCs/>
                <w:color w:val="0000FF"/>
                <w:sz w:val="24"/>
                <w:szCs w:val="24"/>
                <w:highlight w:val="none"/>
              </w:rPr>
              <w:t>日</w:t>
            </w:r>
            <w:r>
              <w:rPr>
                <w:rFonts w:hint="eastAsia" w:ascii="宋体" w:hAnsi="宋体" w:cs="宋体"/>
                <w:b/>
                <w:bCs/>
                <w:color w:val="0000FF"/>
                <w:sz w:val="24"/>
                <w:szCs w:val="24"/>
                <w:highlight w:val="none"/>
                <w:u w:val="single"/>
                <w:lang w:val="en-US" w:eastAsia="zh-CN"/>
              </w:rPr>
              <w:t>11:30</w:t>
            </w:r>
            <w:r>
              <w:rPr>
                <w:rFonts w:hint="eastAsia" w:ascii="宋体" w:hAnsi="宋体" w:eastAsia="宋体" w:cs="宋体"/>
                <w:b/>
                <w:bCs w:val="0"/>
                <w:color w:val="000000"/>
                <w:kern w:val="2"/>
                <w:sz w:val="24"/>
                <w:szCs w:val="24"/>
                <w:highlight w:val="none"/>
                <w:lang w:val="en-US" w:eastAsia="zh-CN" w:bidi="ar-SA"/>
              </w:rPr>
              <w:t>时-</w:t>
            </w:r>
            <w:r>
              <w:rPr>
                <w:rFonts w:hint="eastAsia" w:ascii="宋体" w:hAnsi="宋体" w:cs="宋体"/>
                <w:b/>
                <w:bCs/>
                <w:color w:val="0000FF"/>
                <w:sz w:val="24"/>
                <w:szCs w:val="24"/>
                <w:highlight w:val="none"/>
                <w:u w:val="single"/>
                <w:lang w:val="en-US" w:eastAsia="zh-CN"/>
              </w:rPr>
              <w:t>12：00</w:t>
            </w:r>
            <w:r>
              <w:rPr>
                <w:rFonts w:hint="eastAsia" w:ascii="宋体" w:hAnsi="宋体" w:eastAsia="宋体" w:cs="宋体"/>
                <w:b/>
                <w:bCs w:val="0"/>
                <w:color w:val="000000"/>
                <w:kern w:val="2"/>
                <w:sz w:val="24"/>
                <w:szCs w:val="24"/>
                <w:highlight w:val="none"/>
                <w:lang w:val="en-US" w:eastAsia="zh-CN" w:bidi="ar-SA"/>
              </w:rPr>
              <w:t>时前）供应商登录“政采云”平台，用“项目采购-开标评标</w:t>
            </w:r>
            <w:r>
              <w:rPr>
                <w:rFonts w:hint="eastAsia" w:ascii="宋体" w:hAnsi="宋体" w:eastAsia="宋体" w:cs="宋体"/>
                <w:b/>
                <w:kern w:val="2"/>
                <w:sz w:val="24"/>
                <w:szCs w:val="24"/>
                <w:highlight w:val="none"/>
              </w:rPr>
              <w:t>”功能进行解密投标文件。若供应商在规定</w:t>
            </w:r>
            <w:r>
              <w:rPr>
                <w:rFonts w:hint="eastAsia" w:ascii="宋体" w:hAnsi="宋体" w:eastAsia="宋体" w:cs="宋体"/>
                <w:b/>
                <w:kern w:val="2"/>
                <w:sz w:val="24"/>
                <w:szCs w:val="24"/>
                <w:highlight w:val="none"/>
                <w:lang w:val="en-US" w:eastAsia="zh-CN"/>
              </w:rPr>
              <w:t>解密</w:t>
            </w:r>
            <w:r>
              <w:rPr>
                <w:rFonts w:hint="eastAsia" w:ascii="宋体" w:hAnsi="宋体" w:eastAsia="宋体" w:cs="宋体"/>
                <w:b/>
                <w:kern w:val="2"/>
                <w:sz w:val="24"/>
                <w:szCs w:val="24"/>
                <w:highlight w:val="none"/>
              </w:rPr>
              <w:t>时间内（</w:t>
            </w:r>
            <w:r>
              <w:rPr>
                <w:rFonts w:hint="eastAsia" w:ascii="宋体" w:hAnsi="宋体" w:cs="宋体"/>
                <w:b/>
                <w:bCs/>
                <w:color w:val="0000FF"/>
                <w:sz w:val="24"/>
                <w:szCs w:val="24"/>
                <w:highlight w:val="none"/>
                <w:u w:val="single"/>
                <w:lang w:eastAsia="zh-CN"/>
              </w:rPr>
              <w:t>202</w:t>
            </w:r>
            <w:r>
              <w:rPr>
                <w:rFonts w:hint="eastAsia" w:ascii="宋体" w:hAnsi="宋体" w:cs="宋体"/>
                <w:b/>
                <w:bCs/>
                <w:color w:val="0000FF"/>
                <w:sz w:val="24"/>
                <w:szCs w:val="24"/>
                <w:highlight w:val="none"/>
                <w:u w:val="single"/>
                <w:lang w:val="en-US" w:eastAsia="zh-CN"/>
              </w:rPr>
              <w:t>5</w:t>
            </w:r>
            <w:r>
              <w:rPr>
                <w:rFonts w:hint="eastAsia" w:ascii="宋体" w:hAnsi="宋体" w:cs="宋体"/>
                <w:b/>
                <w:bCs/>
                <w:color w:val="0000FF"/>
                <w:sz w:val="24"/>
                <w:szCs w:val="24"/>
                <w:highlight w:val="none"/>
              </w:rPr>
              <w:t>年</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u w:val="single"/>
                <w:lang w:val="en-US" w:eastAsia="zh-CN"/>
              </w:rPr>
              <w:t>5</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rPr>
              <w:t>月</w:t>
            </w:r>
            <w:r>
              <w:rPr>
                <w:rFonts w:hint="eastAsia" w:ascii="宋体" w:hAnsi="宋体" w:cs="宋体"/>
                <w:b/>
                <w:bCs/>
                <w:color w:val="0000FF"/>
                <w:sz w:val="24"/>
                <w:szCs w:val="24"/>
                <w:highlight w:val="none"/>
                <w:u w:val="single"/>
                <w:lang w:val="en-US" w:eastAsia="zh-CN"/>
              </w:rPr>
              <w:t xml:space="preserve"> 26</w:t>
            </w:r>
            <w:r>
              <w:rPr>
                <w:rFonts w:hint="eastAsia" w:ascii="宋体" w:hAnsi="宋体" w:cs="宋体"/>
                <w:b/>
                <w:bCs/>
                <w:color w:val="0000FF"/>
                <w:sz w:val="24"/>
                <w:szCs w:val="24"/>
                <w:highlight w:val="none"/>
              </w:rPr>
              <w:t>日</w:t>
            </w:r>
            <w:r>
              <w:rPr>
                <w:rFonts w:hint="eastAsia" w:ascii="宋体" w:hAnsi="宋体" w:cs="宋体"/>
                <w:b/>
                <w:bCs/>
                <w:color w:val="0000FF"/>
                <w:sz w:val="24"/>
                <w:szCs w:val="24"/>
                <w:highlight w:val="none"/>
                <w:u w:val="single"/>
                <w:lang w:val="en-US" w:eastAsia="zh-CN"/>
              </w:rPr>
              <w:t>11:30</w:t>
            </w:r>
            <w:r>
              <w:rPr>
                <w:rFonts w:hint="eastAsia" w:ascii="宋体" w:hAnsi="宋体" w:eastAsia="宋体" w:cs="宋体"/>
                <w:b/>
                <w:bCs w:val="0"/>
                <w:color w:val="000000"/>
                <w:kern w:val="2"/>
                <w:sz w:val="24"/>
                <w:szCs w:val="24"/>
                <w:highlight w:val="none"/>
                <w:lang w:val="en-US" w:eastAsia="zh-CN" w:bidi="ar-SA"/>
              </w:rPr>
              <w:t>时-</w:t>
            </w:r>
            <w:r>
              <w:rPr>
                <w:rFonts w:hint="eastAsia" w:ascii="宋体" w:hAnsi="宋体" w:cs="宋体"/>
                <w:b/>
                <w:bCs/>
                <w:color w:val="0000FF"/>
                <w:sz w:val="24"/>
                <w:szCs w:val="24"/>
                <w:highlight w:val="none"/>
                <w:u w:val="single"/>
                <w:lang w:val="en-US" w:eastAsia="zh-CN"/>
              </w:rPr>
              <w:t>12</w:t>
            </w:r>
            <w:bookmarkStart w:id="676" w:name="_GoBack"/>
            <w:bookmarkEnd w:id="676"/>
            <w:r>
              <w:rPr>
                <w:rFonts w:hint="eastAsia" w:ascii="宋体" w:hAnsi="宋体" w:cs="宋体"/>
                <w:b/>
                <w:bCs/>
                <w:color w:val="0000FF"/>
                <w:sz w:val="24"/>
                <w:szCs w:val="24"/>
                <w:highlight w:val="none"/>
                <w:u w:val="single"/>
                <w:lang w:val="en-US" w:eastAsia="zh-CN"/>
              </w:rPr>
              <w:t>：00</w:t>
            </w:r>
            <w:r>
              <w:rPr>
                <w:rFonts w:hint="eastAsia" w:ascii="宋体" w:hAnsi="宋体" w:eastAsia="宋体" w:cs="宋体"/>
                <w:b/>
                <w:bCs w:val="0"/>
                <w:color w:val="000000"/>
                <w:kern w:val="2"/>
                <w:sz w:val="24"/>
                <w:szCs w:val="24"/>
                <w:highlight w:val="none"/>
                <w:lang w:val="en-US" w:eastAsia="zh-CN" w:bidi="ar-SA"/>
              </w:rPr>
              <w:t>时前</w:t>
            </w:r>
            <w:r>
              <w:rPr>
                <w:rFonts w:hint="eastAsia" w:ascii="宋体" w:hAnsi="宋体" w:eastAsia="宋体" w:cs="宋体"/>
                <w:b/>
                <w:kern w:val="2"/>
                <w:sz w:val="24"/>
                <w:szCs w:val="24"/>
                <w:highlight w:val="none"/>
              </w:rPr>
              <w:t>）未按时解密的，视为无效投标。</w:t>
            </w:r>
            <w:r>
              <w:rPr>
                <w:rFonts w:hint="eastAsia" w:ascii="宋体" w:hAnsi="宋体" w:eastAsia="宋体" w:cs="宋体"/>
                <w:b/>
                <w:kern w:val="2"/>
                <w:sz w:val="24"/>
                <w:szCs w:val="24"/>
                <w:highlight w:val="none"/>
                <w:u w:val="single"/>
              </w:rPr>
              <w:t>（解密时间开始时政采云平台将以短信形式向供应商在政采云平台预留的手机号发送短信通知，请供应商及时关注。）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1338" w:type="dxa"/>
            <w:vAlign w:val="center"/>
          </w:tcPr>
          <w:p>
            <w:pPr>
              <w:adjustRightInd w:val="0"/>
              <w:snapToGrid w:val="0"/>
              <w:spacing w:line="360" w:lineRule="exact"/>
              <w:jc w:val="center"/>
              <w:rPr>
                <w:rFonts w:eastAsiaTheme="minorEastAsia"/>
                <w:color w:val="auto"/>
                <w:szCs w:val="21"/>
              </w:rPr>
            </w:pPr>
            <w:r>
              <w:rPr>
                <w:rFonts w:eastAsiaTheme="minorEastAsia"/>
                <w:color w:val="auto"/>
                <w:szCs w:val="21"/>
              </w:rPr>
              <w:t>第2</w:t>
            </w:r>
            <w:r>
              <w:rPr>
                <w:rFonts w:hint="eastAsia" w:eastAsiaTheme="minorEastAsia"/>
                <w:color w:val="auto"/>
                <w:szCs w:val="21"/>
                <w:lang w:val="en-US" w:eastAsia="zh-CN"/>
              </w:rPr>
              <w:t>1</w:t>
            </w:r>
            <w:r>
              <w:rPr>
                <w:rFonts w:eastAsiaTheme="minorEastAsia"/>
                <w:color w:val="auto"/>
                <w:szCs w:val="21"/>
              </w:rPr>
              <w:t>款</w:t>
            </w:r>
          </w:p>
        </w:tc>
        <w:tc>
          <w:tcPr>
            <w:tcW w:w="1589" w:type="dxa"/>
            <w:vAlign w:val="center"/>
          </w:tcPr>
          <w:p>
            <w:pPr>
              <w:adjustRightInd w:val="0"/>
              <w:snapToGrid w:val="0"/>
              <w:spacing w:line="360" w:lineRule="exact"/>
              <w:jc w:val="center"/>
              <w:rPr>
                <w:rFonts w:eastAsiaTheme="minorEastAsia"/>
                <w:color w:val="auto"/>
                <w:szCs w:val="21"/>
              </w:rPr>
            </w:pPr>
            <w:r>
              <w:rPr>
                <w:rFonts w:hint="eastAsia" w:eastAsiaTheme="minorEastAsia"/>
                <w:color w:val="auto"/>
                <w:szCs w:val="21"/>
              </w:rPr>
              <w:t>开标时投标供应商需提供下列</w:t>
            </w:r>
            <w:r>
              <w:rPr>
                <w:rFonts w:hint="eastAsia" w:eastAsiaTheme="minorEastAsia"/>
                <w:color w:val="auto"/>
                <w:szCs w:val="21"/>
                <w:lang w:val="en-US" w:eastAsia="zh-CN"/>
              </w:rPr>
              <w:t>资格证明文件</w:t>
            </w:r>
          </w:p>
        </w:tc>
        <w:tc>
          <w:tcPr>
            <w:tcW w:w="7279" w:type="dxa"/>
            <w:vAlign w:val="center"/>
          </w:tcPr>
          <w:p>
            <w:pPr>
              <w:spacing w:line="360" w:lineRule="auto"/>
              <w:rPr>
                <w:rFonts w:hint="eastAsia" w:ascii="宋体" w:hAnsi="宋体" w:eastAsia="宋体" w:cs="宋体"/>
                <w:color w:val="0000FF"/>
                <w:sz w:val="24"/>
                <w:szCs w:val="24"/>
                <w:highlight w:val="none"/>
              </w:rPr>
            </w:pPr>
            <w:r>
              <w:rPr>
                <w:rFonts w:hint="eastAsia" w:ascii="宋体" w:hAnsi="宋体" w:eastAsia="宋体" w:cs="宋体"/>
                <w:sz w:val="24"/>
                <w:szCs w:val="24"/>
                <w:highlight w:val="none"/>
              </w:rPr>
              <w:t>开标前，请各投标人将下列有效证件</w:t>
            </w:r>
            <w:r>
              <w:rPr>
                <w:rFonts w:hint="eastAsia" w:ascii="宋体" w:hAnsi="宋体" w:eastAsia="宋体" w:cs="宋体"/>
                <w:kern w:val="2"/>
                <w:sz w:val="24"/>
                <w:szCs w:val="24"/>
                <w:highlight w:val="none"/>
              </w:rPr>
              <w:t>上传到“政采云”平台</w:t>
            </w:r>
            <w:r>
              <w:rPr>
                <w:rFonts w:hint="eastAsia" w:ascii="宋体" w:hAnsi="宋体" w:cs="宋体"/>
                <w:kern w:val="2"/>
                <w:sz w:val="24"/>
                <w:szCs w:val="24"/>
                <w:highlight w:val="none"/>
                <w:lang w:eastAsia="zh-CN"/>
              </w:rPr>
              <w:t>，</w:t>
            </w:r>
            <w:r>
              <w:rPr>
                <w:rFonts w:hint="eastAsia" w:ascii="宋体" w:hAnsi="宋体" w:cs="宋体"/>
                <w:kern w:val="2"/>
                <w:sz w:val="24"/>
                <w:szCs w:val="24"/>
                <w:highlight w:val="none"/>
                <w:lang w:val="en-US" w:eastAsia="zh-CN"/>
              </w:rPr>
              <w:t>由资格审查小组进行</w:t>
            </w:r>
            <w:r>
              <w:rPr>
                <w:rFonts w:hint="eastAsia" w:ascii="宋体" w:hAnsi="宋体" w:eastAsia="宋体" w:cs="宋体"/>
                <w:sz w:val="24"/>
                <w:szCs w:val="24"/>
                <w:highlight w:val="none"/>
              </w:rPr>
              <w:t>查验</w:t>
            </w:r>
            <w:r>
              <w:rPr>
                <w:rFonts w:hint="eastAsia" w:ascii="宋体" w:hAnsi="宋体" w:eastAsia="宋体" w:cs="宋体"/>
                <w:color w:val="0000FF"/>
                <w:sz w:val="24"/>
                <w:szCs w:val="24"/>
                <w:highlight w:val="none"/>
              </w:rPr>
              <w:t>。</w:t>
            </w:r>
          </w:p>
          <w:p>
            <w:pPr>
              <w:spacing w:line="360" w:lineRule="exact"/>
              <w:ind w:firstLine="210" w:firstLineChars="100"/>
              <w:rPr>
                <w:rFonts w:eastAsiaTheme="minorEastAsia"/>
                <w:b/>
                <w:bCs/>
                <w:color w:val="auto"/>
                <w:szCs w:val="22"/>
              </w:rPr>
            </w:pPr>
            <w:r>
              <w:rPr>
                <w:rFonts w:hint="eastAsia" w:eastAsiaTheme="minorEastAsia"/>
                <w:b/>
                <w:bCs/>
                <w:color w:val="auto"/>
                <w:szCs w:val="22"/>
                <w:lang w:val="en-US" w:eastAsia="zh-CN"/>
              </w:rPr>
              <w:t>企业法人营业执照原件、企业资质证书原件、安全生产许可证原件、法人授权委托书原件、被委托人身份证原件及近半年任意一个月社保缴纳证明（2024年11月-2025年4月）、注册建造师证及安全生产考核证原件、 2023年度财务审计报告或2024 年度财务审计报告或其基本开户银行出具的资信证明、“信用中国”（www.creditchina.gov.cn）、中国政府采购网（www.ccgp.gov.cn）网页截图、</w:t>
            </w:r>
            <w:r>
              <w:rPr>
                <w:rFonts w:hint="eastAsia" w:eastAsiaTheme="minorEastAsia"/>
                <w:b/>
                <w:bCs/>
                <w:color w:val="auto"/>
                <w:szCs w:val="22"/>
              </w:rPr>
              <w:t>标保证金</w:t>
            </w:r>
            <w:r>
              <w:rPr>
                <w:rFonts w:hint="eastAsia" w:eastAsiaTheme="minorEastAsia"/>
                <w:b/>
                <w:bCs/>
                <w:color w:val="auto"/>
                <w:szCs w:val="22"/>
                <w:lang w:val="en-US" w:eastAsia="zh-CN"/>
              </w:rPr>
              <w:t>汇款凭证或保函</w:t>
            </w:r>
            <w:r>
              <w:rPr>
                <w:rFonts w:eastAsiaTheme="minorEastAsia"/>
                <w:b/>
                <w:bCs/>
                <w:color w:val="auto"/>
                <w:szCs w:val="22"/>
              </w:rPr>
              <w:t>。</w:t>
            </w:r>
          </w:p>
          <w:p>
            <w:pPr>
              <w:spacing w:line="360" w:lineRule="exact"/>
              <w:ind w:firstLine="210" w:firstLineChars="100"/>
              <w:rPr>
                <w:rFonts w:eastAsiaTheme="minorEastAsia"/>
                <w:bCs/>
                <w:color w:val="auto"/>
                <w:szCs w:val="21"/>
              </w:rPr>
            </w:pPr>
            <w:r>
              <w:rPr>
                <w:rFonts w:eastAsiaTheme="minorEastAsia"/>
                <w:b/>
                <w:bCs/>
                <w:color w:val="auto"/>
                <w:szCs w:val="22"/>
              </w:rPr>
              <w:t>注：</w:t>
            </w:r>
            <w:r>
              <w:rPr>
                <w:rFonts w:eastAsiaTheme="minorEastAsia"/>
                <w:b/>
                <w:bCs/>
                <w:color w:val="auto"/>
                <w:szCs w:val="21"/>
              </w:rPr>
              <w:t>以上均满足要求的投标人为有效投标人。</w:t>
            </w:r>
            <w:r>
              <w:rPr>
                <w:rFonts w:eastAsiaTheme="minorEastAsia"/>
                <w:b/>
                <w:bCs/>
                <w:color w:val="auto"/>
              </w:rPr>
              <w:t>证件提供不全或没有</w:t>
            </w:r>
            <w:r>
              <w:rPr>
                <w:rFonts w:hint="eastAsia" w:eastAsiaTheme="minorEastAsia"/>
                <w:b/>
                <w:bCs/>
                <w:color w:val="auto"/>
                <w:lang w:val="en-US" w:eastAsia="zh-CN"/>
              </w:rPr>
              <w:t>上传</w:t>
            </w:r>
            <w:r>
              <w:rPr>
                <w:rFonts w:eastAsiaTheme="minorEastAsia"/>
                <w:b/>
                <w:bCs/>
                <w:color w:val="auto"/>
              </w:rPr>
              <w:t>的，其投标将予以否决。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adjustRightInd w:val="0"/>
              <w:snapToGrid w:val="0"/>
              <w:spacing w:line="360" w:lineRule="exact"/>
              <w:jc w:val="center"/>
              <w:rPr>
                <w:rFonts w:eastAsiaTheme="minorEastAsia"/>
                <w:color w:val="auto"/>
                <w:szCs w:val="21"/>
              </w:rPr>
            </w:pPr>
            <w:r>
              <w:rPr>
                <w:rFonts w:eastAsiaTheme="minorEastAsia"/>
                <w:color w:val="auto"/>
                <w:szCs w:val="21"/>
              </w:rPr>
              <w:t>第2</w:t>
            </w:r>
            <w:r>
              <w:rPr>
                <w:rFonts w:hint="eastAsia" w:eastAsiaTheme="minorEastAsia"/>
                <w:color w:val="auto"/>
                <w:szCs w:val="21"/>
                <w:lang w:val="en-US" w:eastAsia="zh-CN"/>
              </w:rPr>
              <w:t>2</w:t>
            </w:r>
            <w:r>
              <w:rPr>
                <w:rFonts w:eastAsiaTheme="minorEastAsia"/>
                <w:color w:val="auto"/>
                <w:szCs w:val="21"/>
              </w:rPr>
              <w:t>款</w:t>
            </w:r>
          </w:p>
        </w:tc>
        <w:tc>
          <w:tcPr>
            <w:tcW w:w="1589" w:type="dxa"/>
            <w:vAlign w:val="center"/>
          </w:tcPr>
          <w:p>
            <w:pPr>
              <w:adjustRightInd w:val="0"/>
              <w:snapToGrid w:val="0"/>
              <w:spacing w:line="360" w:lineRule="exact"/>
              <w:jc w:val="center"/>
              <w:rPr>
                <w:rFonts w:eastAsiaTheme="minorEastAsia"/>
                <w:color w:val="auto"/>
                <w:szCs w:val="21"/>
              </w:rPr>
            </w:pPr>
            <w:r>
              <w:rPr>
                <w:rFonts w:hint="eastAsia" w:ascii="Times New Roman" w:hAnsi="Times New Roman" w:cs="Times New Roman" w:eastAsiaTheme="minorEastAsia"/>
                <w:color w:val="auto"/>
              </w:rPr>
              <w:t>是否采用电子</w:t>
            </w:r>
            <w:r>
              <w:rPr>
                <w:rFonts w:hint="eastAsia" w:cs="Times New Roman" w:eastAsiaTheme="minorEastAsia"/>
                <w:color w:val="auto"/>
                <w:lang w:val="en-US" w:eastAsia="zh-CN"/>
              </w:rPr>
              <w:t>磋商</w:t>
            </w:r>
            <w:r>
              <w:rPr>
                <w:rFonts w:hint="eastAsia" w:ascii="Times New Roman" w:hAnsi="Times New Roman" w:cs="Times New Roman" w:eastAsiaTheme="minorEastAsia"/>
                <w:color w:val="auto"/>
              </w:rPr>
              <w:t>投标</w:t>
            </w:r>
          </w:p>
        </w:tc>
        <w:tc>
          <w:tcPr>
            <w:tcW w:w="7279" w:type="dxa"/>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cs="宋体"/>
                <w:kern w:val="2"/>
                <w:sz w:val="24"/>
                <w:szCs w:val="24"/>
                <w:highlight w:val="none"/>
                <w:lang w:eastAsia="zh-CN"/>
              </w:rPr>
              <w:t>□</w:t>
            </w:r>
            <w:r>
              <w:rPr>
                <w:rFonts w:hint="eastAsia" w:ascii="宋体" w:hAnsi="宋体" w:eastAsia="宋体" w:cs="宋体"/>
                <w:kern w:val="2"/>
                <w:sz w:val="24"/>
                <w:szCs w:val="24"/>
                <w:highlight w:val="none"/>
              </w:rPr>
              <w:t>否</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是，具体要求：</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rPr>
              <w:t>投标文件解密时间：</w:t>
            </w:r>
            <w:r>
              <w:rPr>
                <w:rFonts w:hint="eastAsia" w:ascii="宋体" w:hAnsi="宋体" w:eastAsia="宋体" w:cs="宋体"/>
                <w:kern w:val="2"/>
                <w:sz w:val="24"/>
                <w:szCs w:val="24"/>
                <w:highlight w:val="none"/>
              </w:rPr>
              <w:t>投标文件解密时间</w:t>
            </w:r>
            <w:r>
              <w:rPr>
                <w:rFonts w:hint="eastAsia" w:ascii="宋体" w:hAnsi="宋体" w:cs="宋体"/>
                <w:kern w:val="2"/>
                <w:sz w:val="24"/>
                <w:szCs w:val="24"/>
                <w:highlight w:val="none"/>
                <w:lang w:val="en-US" w:eastAsia="zh-CN"/>
              </w:rPr>
              <w:t>3</w:t>
            </w:r>
            <w:r>
              <w:rPr>
                <w:rFonts w:hint="eastAsia" w:ascii="宋体" w:hAnsi="宋体" w:eastAsia="宋体" w:cs="宋体"/>
                <w:kern w:val="2"/>
                <w:sz w:val="24"/>
                <w:szCs w:val="24"/>
                <w:highlight w:val="none"/>
              </w:rPr>
              <w:t>0分钟，开标前需投标单位用CA证书登录政采云平台开标大厅签到，在</w:t>
            </w:r>
            <w:r>
              <w:rPr>
                <w:rFonts w:hint="eastAsia" w:ascii="宋体" w:hAnsi="宋体" w:cs="宋体"/>
                <w:kern w:val="2"/>
                <w:sz w:val="24"/>
                <w:szCs w:val="24"/>
                <w:highlight w:val="none"/>
                <w:lang w:val="en-US" w:eastAsia="zh-CN"/>
              </w:rPr>
              <w:t>3</w:t>
            </w:r>
            <w:r>
              <w:rPr>
                <w:rFonts w:hint="eastAsia" w:ascii="宋体" w:hAnsi="宋体" w:eastAsia="宋体" w:cs="宋体"/>
                <w:kern w:val="2"/>
                <w:sz w:val="24"/>
                <w:szCs w:val="24"/>
                <w:highlight w:val="none"/>
              </w:rPr>
              <w:t>0分钟解密时间内输入CA证书PIN码解密投标文件。在</w:t>
            </w:r>
            <w:r>
              <w:rPr>
                <w:rFonts w:hint="eastAsia" w:ascii="宋体" w:hAnsi="宋体" w:cs="宋体"/>
                <w:kern w:val="2"/>
                <w:sz w:val="24"/>
                <w:szCs w:val="24"/>
                <w:highlight w:val="none"/>
                <w:lang w:val="en-US" w:eastAsia="zh-CN"/>
              </w:rPr>
              <w:t>3</w:t>
            </w:r>
            <w:r>
              <w:rPr>
                <w:rFonts w:hint="eastAsia" w:ascii="宋体" w:hAnsi="宋体" w:eastAsia="宋体" w:cs="宋体"/>
                <w:kern w:val="2"/>
                <w:sz w:val="24"/>
                <w:szCs w:val="24"/>
                <w:highlight w:val="none"/>
              </w:rPr>
              <w:t>0分钟解密时间内未进行解密的投标单位将导致废标。（解密时间开始时政采云平台将以短信形式向供应商在政采云平台预留的手机号发送短信通知，请供应商及时关注。）</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rPr>
              <w:t>供应商报价CA签字确认：</w:t>
            </w:r>
            <w:r>
              <w:rPr>
                <w:rFonts w:hint="eastAsia" w:ascii="宋体" w:hAnsi="宋体" w:eastAsia="宋体" w:cs="宋体"/>
                <w:kern w:val="2"/>
                <w:sz w:val="24"/>
                <w:szCs w:val="24"/>
                <w:highlight w:val="none"/>
              </w:rPr>
              <w:t>报价文件开启后将开启签字时段，供应商须在20分钟内用CA证书对报价进行签字确认。</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rPr>
              <w:t>备注:</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1.本项目采用全流程不见面电子开评标，投标投标人需要使用CA加密设备，投标人可通过新疆数字证书认证中心官网（https://www.xjca.com.cn/）或下载“新疆政务通”APP自行进行申领。</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2.本项目实行网上投标，采用加密电子投标文件(投标人须使用CA加密设备通过政采云电子投标客户端制作投标文件)。若投标人参与投标，自行承担投标一切费用。</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3.各投标人在开标前应确保成为新疆维吾尔自治区政府采购网正式注册入库供应商，并完成CA数字证书申领。因未注册入库、未办理CA数字证书等原因造成无法投标或投标失败等后果由投标人自行承担。</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投标人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5.投标人在开标时须使用制作加密电子投标文件所使用的CA锁及电脑，电脑须提前配置好浏览器（建议使用谷歌浏览器），以便开标时解锁。</w:t>
            </w:r>
          </w:p>
          <w:p>
            <w:pPr>
              <w:adjustRightInd w:val="0"/>
              <w:snapToGrid w:val="0"/>
              <w:spacing w:line="360" w:lineRule="exact"/>
              <w:jc w:val="left"/>
              <w:rPr>
                <w:rFonts w:eastAsiaTheme="minorEastAsia"/>
                <w:bCs/>
                <w:color w:val="auto"/>
                <w:szCs w:val="21"/>
              </w:rPr>
            </w:pPr>
            <w:r>
              <w:rPr>
                <w:rFonts w:hint="eastAsia" w:ascii="宋体" w:hAnsi="宋体" w:eastAsia="宋体" w:cs="宋体"/>
                <w:kern w:val="2"/>
                <w:sz w:val="24"/>
                <w:szCs w:val="24"/>
                <w:highlight w:val="none"/>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adjustRightInd w:val="0"/>
              <w:snapToGrid w:val="0"/>
              <w:spacing w:line="360" w:lineRule="exact"/>
              <w:jc w:val="center"/>
              <w:rPr>
                <w:rFonts w:hint="default" w:eastAsiaTheme="minorEastAsia"/>
                <w:color w:val="auto"/>
                <w:szCs w:val="21"/>
                <w:lang w:val="en-US" w:eastAsia="zh-CN"/>
              </w:rPr>
            </w:pPr>
            <w:r>
              <w:rPr>
                <w:rFonts w:hint="eastAsia" w:eastAsiaTheme="minorEastAsia"/>
                <w:color w:val="auto"/>
                <w:szCs w:val="21"/>
                <w:lang w:val="en-US" w:eastAsia="zh-CN"/>
              </w:rPr>
              <w:t>第23款</w:t>
            </w:r>
          </w:p>
        </w:tc>
        <w:tc>
          <w:tcPr>
            <w:tcW w:w="1589" w:type="dxa"/>
            <w:vAlign w:val="center"/>
          </w:tcPr>
          <w:p>
            <w:pPr>
              <w:adjustRightInd w:val="0"/>
              <w:snapToGrid w:val="0"/>
              <w:spacing w:line="360" w:lineRule="exact"/>
              <w:ind w:firstLine="240" w:firstLineChars="1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评标办法</w:t>
            </w:r>
          </w:p>
        </w:tc>
        <w:tc>
          <w:tcPr>
            <w:tcW w:w="7279" w:type="dxa"/>
            <w:vAlign w:val="center"/>
          </w:tcPr>
          <w:p>
            <w:pPr>
              <w:adjustRightInd w:val="0"/>
              <w:snapToGrid w:val="0"/>
              <w:spacing w:line="360" w:lineRule="exact"/>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adjustRightInd w:val="0"/>
              <w:snapToGrid w:val="0"/>
              <w:spacing w:line="360" w:lineRule="exact"/>
              <w:jc w:val="center"/>
              <w:rPr>
                <w:rFonts w:eastAsiaTheme="minorEastAsia"/>
                <w:color w:val="auto"/>
                <w:szCs w:val="21"/>
              </w:rPr>
            </w:pPr>
            <w:r>
              <w:rPr>
                <w:rFonts w:hint="eastAsia" w:eastAsiaTheme="minorEastAsia"/>
                <w:color w:val="auto"/>
                <w:szCs w:val="21"/>
                <w:lang w:val="en-US" w:eastAsia="zh-CN"/>
              </w:rPr>
              <w:t>第24款</w:t>
            </w:r>
          </w:p>
        </w:tc>
        <w:tc>
          <w:tcPr>
            <w:tcW w:w="1589" w:type="dxa"/>
            <w:vAlign w:val="center"/>
          </w:tcPr>
          <w:p>
            <w:pPr>
              <w:tabs>
                <w:tab w:val="left" w:pos="321"/>
              </w:tabs>
              <w:spacing w:line="360" w:lineRule="auto"/>
              <w:jc w:val="center"/>
              <w:rPr>
                <w:rFonts w:hint="eastAsia" w:ascii="Times New Roman" w:hAnsi="Times New Roman" w:cs="Times New Roman" w:eastAsiaTheme="minorEastAsia"/>
                <w:color w:val="auto"/>
              </w:rPr>
            </w:pPr>
            <w:r>
              <w:rPr>
                <w:rFonts w:hint="eastAsia" w:ascii="宋体" w:hAnsi="宋体" w:eastAsia="宋体" w:cs="宋体"/>
                <w:sz w:val="24"/>
                <w:szCs w:val="24"/>
                <w:highlight w:val="none"/>
              </w:rPr>
              <w:t>中标（成交）结果公告发布媒介</w:t>
            </w:r>
          </w:p>
        </w:tc>
        <w:tc>
          <w:tcPr>
            <w:tcW w:w="7279" w:type="dxa"/>
            <w:vAlign w:val="center"/>
          </w:tcPr>
          <w:p>
            <w:pPr>
              <w:tabs>
                <w:tab w:val="left" w:pos="321"/>
              </w:tabs>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公示期不少于1工作日</w:t>
            </w:r>
          </w:p>
          <w:p>
            <w:pPr>
              <w:tabs>
                <w:tab w:val="left" w:pos="321"/>
              </w:tabs>
              <w:spacing w:line="360" w:lineRule="auto"/>
              <w:jc w:val="left"/>
              <w:rPr>
                <w:rFonts w:hint="eastAsia" w:ascii="宋体" w:hAnsi="宋体" w:eastAsia="宋体" w:cs="宋体"/>
                <w:kern w:val="2"/>
                <w:sz w:val="24"/>
                <w:szCs w:val="24"/>
                <w:highlight w:val="none"/>
              </w:rPr>
            </w:pPr>
            <w:r>
              <w:rPr>
                <w:rFonts w:hint="eastAsia" w:ascii="宋体" w:hAnsi="宋体" w:eastAsia="宋体" w:cs="宋体"/>
                <w:sz w:val="24"/>
                <w:szCs w:val="24"/>
                <w:highlight w:val="none"/>
              </w:rPr>
              <w:t>新疆政府采购网</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"http://www.ccgp-xinjiang.gov.cn/"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http://www.ccgp-xinjiang.gov.cn/</w:t>
            </w:r>
            <w:r>
              <w:rPr>
                <w:rFonts w:hint="eastAsia" w:ascii="宋体" w:hAnsi="宋体" w:eastAsia="宋体" w:cs="宋体"/>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38" w:type="dxa"/>
            <w:vAlign w:val="center"/>
          </w:tcPr>
          <w:p>
            <w:pPr>
              <w:adjustRightInd w:val="0"/>
              <w:snapToGrid w:val="0"/>
              <w:spacing w:line="360" w:lineRule="exact"/>
              <w:jc w:val="center"/>
              <w:rPr>
                <w:rFonts w:eastAsiaTheme="minorEastAsia"/>
                <w:color w:val="auto"/>
                <w:szCs w:val="21"/>
              </w:rPr>
            </w:pPr>
            <w:r>
              <w:rPr>
                <w:rFonts w:eastAsiaTheme="minorEastAsia"/>
                <w:color w:val="auto"/>
                <w:szCs w:val="21"/>
              </w:rPr>
              <w:t>第</w:t>
            </w:r>
            <w:r>
              <w:rPr>
                <w:rFonts w:hint="eastAsia" w:eastAsiaTheme="minorEastAsia"/>
                <w:color w:val="auto"/>
                <w:szCs w:val="21"/>
                <w:lang w:val="en-US" w:eastAsia="zh-CN"/>
              </w:rPr>
              <w:t>25</w:t>
            </w:r>
            <w:r>
              <w:rPr>
                <w:rFonts w:eastAsiaTheme="minorEastAsia"/>
                <w:color w:val="auto"/>
                <w:szCs w:val="21"/>
              </w:rPr>
              <w:t>款</w:t>
            </w:r>
          </w:p>
        </w:tc>
        <w:tc>
          <w:tcPr>
            <w:tcW w:w="1589" w:type="dxa"/>
            <w:vAlign w:val="center"/>
          </w:tcPr>
          <w:p>
            <w:pPr>
              <w:adjustRightInd w:val="0"/>
              <w:snapToGrid w:val="0"/>
              <w:spacing w:line="360" w:lineRule="exact"/>
              <w:jc w:val="center"/>
              <w:rPr>
                <w:rFonts w:eastAsiaTheme="minorEastAsia"/>
                <w:color w:val="auto"/>
                <w:szCs w:val="21"/>
              </w:rPr>
            </w:pPr>
            <w:r>
              <w:rPr>
                <w:rFonts w:eastAsiaTheme="minorEastAsia"/>
                <w:color w:val="auto"/>
                <w:szCs w:val="21"/>
              </w:rPr>
              <w:t>履约担保</w:t>
            </w:r>
          </w:p>
        </w:tc>
        <w:tc>
          <w:tcPr>
            <w:tcW w:w="7279" w:type="dxa"/>
            <w:vAlign w:val="center"/>
          </w:tcPr>
          <w:p>
            <w:pPr>
              <w:adjustRightInd w:val="0"/>
              <w:snapToGrid w:val="0"/>
              <w:spacing w:line="360" w:lineRule="exact"/>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履约保证金金额：  /  </w:t>
            </w:r>
          </w:p>
          <w:p>
            <w:pPr>
              <w:adjustRightInd w:val="0"/>
              <w:snapToGrid w:val="0"/>
              <w:spacing w:line="360" w:lineRule="exact"/>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履约保证金递交：成交供应商人收到成交通知书后（签订合同前）向采购人缴纳；收款单位、开户银行、银行账号：与采购人沟通获得。</w:t>
            </w:r>
          </w:p>
          <w:p>
            <w:pPr>
              <w:adjustRightInd w:val="0"/>
              <w:snapToGrid w:val="0"/>
              <w:spacing w:line="360" w:lineRule="exact"/>
              <w:jc w:val="left"/>
              <w:rPr>
                <w:rFonts w:eastAsiaTheme="minorEastAsia"/>
                <w:color w:val="auto"/>
                <w:szCs w:val="21"/>
              </w:rPr>
            </w:pPr>
            <w:r>
              <w:rPr>
                <w:rFonts w:hint="eastAsia" w:ascii="宋体" w:hAnsi="宋体" w:eastAsia="宋体" w:cs="宋体"/>
                <w:kern w:val="2"/>
                <w:sz w:val="24"/>
                <w:szCs w:val="24"/>
                <w:highlight w:val="none"/>
              </w:rPr>
              <w:t>成交供应商未按磋商文件规定缴纳履约保证金的，视为自动放弃此次成交项目，其磋商保证金将不予退还。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338" w:type="dxa"/>
            <w:vAlign w:val="center"/>
          </w:tcPr>
          <w:p>
            <w:pPr>
              <w:adjustRightInd w:val="0"/>
              <w:snapToGrid w:val="0"/>
              <w:spacing w:line="360" w:lineRule="exact"/>
              <w:jc w:val="center"/>
              <w:rPr>
                <w:rFonts w:eastAsiaTheme="minorEastAsia"/>
                <w:color w:val="auto"/>
                <w:szCs w:val="21"/>
              </w:rPr>
            </w:pPr>
            <w:r>
              <w:rPr>
                <w:rFonts w:eastAsiaTheme="minorEastAsia"/>
                <w:color w:val="auto"/>
                <w:szCs w:val="21"/>
              </w:rPr>
              <w:t>第</w:t>
            </w:r>
            <w:r>
              <w:rPr>
                <w:rFonts w:hint="eastAsia" w:eastAsiaTheme="minorEastAsia"/>
                <w:color w:val="auto"/>
                <w:szCs w:val="21"/>
                <w:lang w:val="en-US" w:eastAsia="zh-CN"/>
              </w:rPr>
              <w:t>26</w:t>
            </w:r>
            <w:r>
              <w:rPr>
                <w:rFonts w:eastAsiaTheme="minorEastAsia"/>
                <w:color w:val="auto"/>
                <w:szCs w:val="21"/>
              </w:rPr>
              <w:t>款</w:t>
            </w:r>
          </w:p>
        </w:tc>
        <w:tc>
          <w:tcPr>
            <w:tcW w:w="1589" w:type="dxa"/>
            <w:vAlign w:val="center"/>
          </w:tcPr>
          <w:p>
            <w:pPr>
              <w:spacing w:line="360" w:lineRule="auto"/>
              <w:ind w:firstLine="240" w:firstLineChars="1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代理</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服务费</w:t>
            </w:r>
          </w:p>
        </w:tc>
        <w:tc>
          <w:tcPr>
            <w:tcW w:w="7279"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sym w:font="Wingdings 2" w:char="0052"/>
            </w:r>
            <w:r>
              <w:rPr>
                <w:rFonts w:hint="eastAsia" w:ascii="宋体" w:hAnsi="宋体" w:eastAsia="宋体" w:cs="宋体"/>
                <w:sz w:val="24"/>
                <w:szCs w:val="24"/>
                <w:highlight w:val="none"/>
              </w:rPr>
              <w:t>本项目收取采购代理服务费</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本项目采购代理服务费由</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中标人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向采购代理机构予以支付。支付标准：</w:t>
            </w:r>
            <w:r>
              <w:rPr>
                <w:rFonts w:hint="eastAsia" w:ascii="宋体" w:hAnsi="宋体" w:eastAsia="宋体" w:cs="宋体"/>
                <w:sz w:val="24"/>
                <w:szCs w:val="24"/>
                <w:highlight w:val="none"/>
                <w:u w:val="single"/>
              </w:rPr>
              <w:t xml:space="preserve"> 参照“发改价格【20</w:t>
            </w:r>
            <w:r>
              <w:rPr>
                <w:rFonts w:hint="eastAsia" w:ascii="宋体" w:hAnsi="宋体" w:cs="宋体"/>
                <w:sz w:val="24"/>
                <w:szCs w:val="24"/>
                <w:highlight w:val="none"/>
                <w:u w:val="single"/>
                <w:lang w:val="en-US" w:eastAsia="zh-CN"/>
              </w:rPr>
              <w:t>15</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lang w:val="en-US" w:eastAsia="zh-CN"/>
              </w:rPr>
              <w:t>299</w:t>
            </w:r>
            <w:r>
              <w:rPr>
                <w:rFonts w:hint="eastAsia" w:ascii="宋体" w:hAnsi="宋体" w:eastAsia="宋体" w:cs="宋体"/>
                <w:sz w:val="24"/>
                <w:szCs w:val="24"/>
                <w:highlight w:val="none"/>
                <w:u w:val="single"/>
              </w:rPr>
              <w:t>号”文件规定，计费方式为差额定率累进计费。按照相关要求标准进行收费。</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支付形式：</w:t>
            </w:r>
            <w:r>
              <w:rPr>
                <w:rFonts w:hint="eastAsia" w:ascii="宋体" w:hAnsi="宋体" w:eastAsia="宋体" w:cs="宋体"/>
                <w:sz w:val="24"/>
                <w:szCs w:val="24"/>
                <w:highlight w:val="none"/>
                <w:u w:val="single"/>
              </w:rPr>
              <w:t xml:space="preserve">现金或电汇 </w:t>
            </w:r>
          </w:p>
          <w:p>
            <w:pPr>
              <w:adjustRightInd w:val="0"/>
              <w:snapToGrid w:val="0"/>
              <w:spacing w:line="360" w:lineRule="exact"/>
              <w:rPr>
                <w:rFonts w:eastAsiaTheme="minorEastAsia"/>
                <w:color w:val="auto"/>
                <w:szCs w:val="21"/>
              </w:rPr>
            </w:pPr>
            <w:r>
              <w:rPr>
                <w:rFonts w:hint="eastAsia" w:ascii="宋体" w:hAnsi="宋体" w:eastAsia="宋体" w:cs="宋体"/>
                <w:sz w:val="24"/>
                <w:szCs w:val="24"/>
                <w:highlight w:val="none"/>
              </w:rPr>
              <w:t>支付时间：</w:t>
            </w:r>
            <w:r>
              <w:rPr>
                <w:rFonts w:hint="eastAsia" w:ascii="宋体" w:hAnsi="宋体" w:eastAsia="宋体" w:cs="宋体"/>
                <w:sz w:val="24"/>
                <w:szCs w:val="24"/>
                <w:highlight w:val="none"/>
                <w:u w:val="single"/>
              </w:rPr>
              <w:t xml:space="preserve"> 由</w:t>
            </w:r>
            <w:r>
              <w:rPr>
                <w:rFonts w:hint="eastAsia" w:ascii="宋体" w:hAnsi="宋体" w:cs="宋体"/>
                <w:sz w:val="24"/>
                <w:szCs w:val="24"/>
                <w:highlight w:val="none"/>
                <w:u w:val="single"/>
                <w:lang w:val="en-US" w:eastAsia="zh-CN"/>
              </w:rPr>
              <w:t>中标人领取中标通知书时</w:t>
            </w:r>
            <w:r>
              <w:rPr>
                <w:rFonts w:hint="eastAsia" w:ascii="宋体" w:hAnsi="宋体" w:eastAsia="宋体" w:cs="宋体"/>
                <w:sz w:val="24"/>
                <w:szCs w:val="24"/>
                <w:highlight w:val="none"/>
                <w:u w:val="single"/>
              </w:rPr>
              <w:t>一次性支付给采购代理机构。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338" w:type="dxa"/>
            <w:vAlign w:val="center"/>
          </w:tcPr>
          <w:p>
            <w:pPr>
              <w:adjustRightInd w:val="0"/>
              <w:snapToGrid w:val="0"/>
              <w:spacing w:line="360" w:lineRule="exact"/>
              <w:jc w:val="center"/>
              <w:rPr>
                <w:rFonts w:eastAsiaTheme="minorEastAsia"/>
                <w:color w:val="auto"/>
                <w:szCs w:val="21"/>
              </w:rPr>
            </w:pPr>
            <w:r>
              <w:rPr>
                <w:rFonts w:eastAsiaTheme="minorEastAsia"/>
                <w:color w:val="auto"/>
                <w:szCs w:val="21"/>
              </w:rPr>
              <w:t>第</w:t>
            </w:r>
            <w:r>
              <w:rPr>
                <w:rFonts w:hint="eastAsia" w:eastAsiaTheme="minorEastAsia"/>
                <w:color w:val="auto"/>
                <w:szCs w:val="21"/>
                <w:lang w:val="en-US" w:eastAsia="zh-CN"/>
              </w:rPr>
              <w:t>27</w:t>
            </w:r>
            <w:r>
              <w:rPr>
                <w:rFonts w:eastAsiaTheme="minorEastAsia"/>
                <w:color w:val="auto"/>
                <w:szCs w:val="21"/>
              </w:rPr>
              <w:t>款</w:t>
            </w:r>
          </w:p>
        </w:tc>
        <w:tc>
          <w:tcPr>
            <w:tcW w:w="1589" w:type="dxa"/>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最高投标限价</w:t>
            </w:r>
          </w:p>
        </w:tc>
        <w:tc>
          <w:tcPr>
            <w:tcW w:w="7279" w:type="dxa"/>
            <w:vAlign w:val="center"/>
          </w:tcPr>
          <w:p>
            <w:pPr>
              <w:adjustRightInd w:val="0"/>
              <w:snapToGrid w:val="0"/>
              <w:spacing w:line="360" w:lineRule="exact"/>
              <w:jc w:val="center"/>
              <w:rPr>
                <w:rFonts w:eastAsiaTheme="minorEastAsia"/>
                <w:color w:val="auto"/>
                <w:szCs w:val="21"/>
              </w:rPr>
            </w:pPr>
            <w:r>
              <w:rPr>
                <w:rFonts w:hint="eastAsia"/>
                <w:color w:val="000000" w:themeColor="text1"/>
                <w:szCs w:val="21"/>
                <w:lang w:val="en-US" w:eastAsia="zh-CN"/>
              </w:rPr>
              <w:t>2039696.39</w:t>
            </w:r>
            <w:r>
              <w:rPr>
                <w:rFonts w:hint="eastAsia" w:eastAsiaTheme="minorEastAsia"/>
                <w:color w:val="auto"/>
                <w:szCs w:val="21"/>
                <w:lang w:val="en-US" w:eastAsia="zh-CN"/>
              </w:rPr>
              <w:t xml:space="preserve"> </w:t>
            </w:r>
            <w:r>
              <w:rPr>
                <w:rFonts w:hint="eastAsia" w:eastAsiaTheme="minorEastAsia"/>
                <w:color w:val="auto"/>
                <w:szCs w:val="21"/>
              </w:rPr>
              <w:t>元</w:t>
            </w:r>
            <w:r>
              <w:rPr>
                <w:rFonts w:eastAsiaTheme="minorEastAsia"/>
                <w:color w:val="auto"/>
                <w:szCs w:val="21"/>
              </w:rPr>
              <w:t>（大写：</w:t>
            </w:r>
            <w:r>
              <w:rPr>
                <w:rFonts w:hint="eastAsia" w:eastAsiaTheme="minorEastAsia"/>
                <w:color w:val="auto"/>
                <w:szCs w:val="21"/>
                <w:lang w:val="en-US" w:eastAsia="zh-CN"/>
              </w:rPr>
              <w:t>贰佰零叁万玖仟陆佰玖拾陆元叁角玖分</w:t>
            </w:r>
            <w:r>
              <w:rPr>
                <w:rFonts w:eastAsiaTheme="minorEastAsia"/>
                <w:color w:val="auto"/>
                <w:szCs w:val="21"/>
              </w:rPr>
              <w:t>）。(</w:t>
            </w:r>
            <w:r>
              <w:rPr>
                <w:rFonts w:hint="eastAsia" w:eastAsiaTheme="minorEastAsia"/>
                <w:color w:val="auto"/>
                <w:szCs w:val="21"/>
              </w:rPr>
              <w:t>投标人</w:t>
            </w:r>
            <w:r>
              <w:rPr>
                <w:rFonts w:eastAsiaTheme="minorEastAsia"/>
                <w:color w:val="auto"/>
                <w:szCs w:val="21"/>
              </w:rPr>
              <w:t>报价均不得超过此限价，超过此限价视为无效投标。)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338" w:type="dxa"/>
            <w:vAlign w:val="center"/>
          </w:tcPr>
          <w:p>
            <w:pPr>
              <w:adjustRightInd w:val="0"/>
              <w:snapToGrid w:val="0"/>
              <w:spacing w:line="360" w:lineRule="exact"/>
              <w:jc w:val="center"/>
              <w:rPr>
                <w:rFonts w:eastAsiaTheme="minorEastAsia"/>
                <w:color w:val="auto"/>
                <w:szCs w:val="21"/>
              </w:rPr>
            </w:pPr>
            <w:bookmarkStart w:id="58" w:name="_Toc298240405"/>
            <w:bookmarkStart w:id="59" w:name="_Toc349637920"/>
            <w:bookmarkStart w:id="60" w:name="_Toc267301282"/>
            <w:bookmarkStart w:id="61" w:name="_Toc527642952"/>
            <w:bookmarkStart w:id="62" w:name="_Toc349573121"/>
            <w:r>
              <w:rPr>
                <w:rFonts w:eastAsiaTheme="minorEastAsia"/>
                <w:color w:val="auto"/>
                <w:szCs w:val="21"/>
              </w:rPr>
              <w:t>第</w:t>
            </w:r>
            <w:r>
              <w:rPr>
                <w:rFonts w:hint="eastAsia" w:eastAsiaTheme="minorEastAsia"/>
                <w:color w:val="auto"/>
                <w:szCs w:val="21"/>
                <w:lang w:val="en-US" w:eastAsia="zh-CN"/>
              </w:rPr>
              <w:t>28</w:t>
            </w:r>
            <w:r>
              <w:rPr>
                <w:rFonts w:eastAsiaTheme="minorEastAsia"/>
                <w:color w:val="auto"/>
                <w:szCs w:val="21"/>
              </w:rPr>
              <w:t>款</w:t>
            </w:r>
          </w:p>
        </w:tc>
        <w:tc>
          <w:tcPr>
            <w:tcW w:w="1589" w:type="dxa"/>
            <w:vAlign w:val="center"/>
          </w:tcPr>
          <w:p>
            <w:pPr>
              <w:adjustRightInd w:val="0"/>
              <w:snapToGrid w:val="0"/>
              <w:spacing w:line="360" w:lineRule="exact"/>
              <w:jc w:val="center"/>
              <w:rPr>
                <w:rFonts w:eastAsiaTheme="minorEastAsia"/>
                <w:color w:val="auto"/>
                <w:szCs w:val="21"/>
              </w:rPr>
            </w:pPr>
            <w:r>
              <w:rPr>
                <w:rFonts w:hint="eastAsia" w:ascii="宋体" w:hAnsi="宋体" w:eastAsia="宋体" w:cs="宋体"/>
                <w:color w:val="auto"/>
                <w:kern w:val="2"/>
                <w:sz w:val="24"/>
                <w:szCs w:val="24"/>
                <w:highlight w:val="none"/>
                <w:lang w:val="en-US" w:eastAsia="zh-CN" w:bidi="ar-SA"/>
              </w:rPr>
              <w:t>标前准备</w:t>
            </w:r>
          </w:p>
        </w:tc>
        <w:tc>
          <w:tcPr>
            <w:tcW w:w="7279" w:type="dxa"/>
            <w:vAlign w:val="center"/>
          </w:tcPr>
          <w:p>
            <w:pPr>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1、本项目实行网上投标，采用电子投标文件。若投标人参与投标，自行承担投标一切费用。</w:t>
            </w:r>
          </w:p>
          <w:p>
            <w:pPr>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2、各投标人应在开标前应确保成为新疆维吾尔自治区政府采购网正式注册入库供应商，并完成CA数字证书申领。因未注册入库、未办理CA数字证书等原因造成无法投标或投标失败等后果由投标人自行承担。</w:t>
            </w:r>
          </w:p>
          <w:p>
            <w:pPr>
              <w:spacing w:line="360" w:lineRule="auto"/>
              <w:rPr>
                <w:rFonts w:hint="eastAsia" w:eastAsiaTheme="minorEastAsia"/>
                <w:color w:val="auto"/>
                <w:szCs w:val="21"/>
              </w:rPr>
            </w:pPr>
            <w:r>
              <w:rPr>
                <w:rFonts w:hint="eastAsia" w:eastAsiaTheme="minorEastAsia"/>
                <w:color w:val="auto"/>
                <w:szCs w:val="21"/>
              </w:rPr>
              <w:t>3</w:t>
            </w:r>
            <w:r>
              <w:rPr>
                <w:rFonts w:hint="eastAsia" w:ascii="宋体" w:hAnsi="宋体" w:eastAsia="宋体" w:cs="宋体"/>
                <w:bCs/>
                <w:color w:val="000000"/>
                <w:sz w:val="24"/>
                <w:szCs w:val="24"/>
                <w:highlight w:val="none"/>
              </w:rPr>
              <w:t>、投标人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338" w:type="dxa"/>
            <w:vAlign w:val="center"/>
          </w:tcPr>
          <w:p>
            <w:pPr>
              <w:adjustRightInd w:val="0"/>
              <w:snapToGrid w:val="0"/>
              <w:spacing w:line="360" w:lineRule="exact"/>
              <w:jc w:val="center"/>
              <w:rPr>
                <w:rFonts w:hint="default" w:eastAsiaTheme="minorEastAsia"/>
                <w:color w:val="auto"/>
                <w:szCs w:val="21"/>
                <w:lang w:val="en-US" w:eastAsia="zh-CN"/>
              </w:rPr>
            </w:pPr>
            <w:r>
              <w:rPr>
                <w:rFonts w:hint="eastAsia" w:eastAsiaTheme="minorEastAsia"/>
                <w:color w:val="auto"/>
                <w:szCs w:val="21"/>
                <w:lang w:val="en-US" w:eastAsia="zh-CN"/>
              </w:rPr>
              <w:t>第29款</w:t>
            </w:r>
          </w:p>
        </w:tc>
        <w:tc>
          <w:tcPr>
            <w:tcW w:w="1589" w:type="dxa"/>
            <w:vAlign w:val="center"/>
          </w:tcPr>
          <w:p>
            <w:pPr>
              <w:adjustRightInd w:val="0"/>
              <w:snapToGrid w:val="0"/>
              <w:spacing w:line="3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tc>
        <w:tc>
          <w:tcPr>
            <w:tcW w:w="7279" w:type="dxa"/>
            <w:vAlign w:val="center"/>
          </w:tcPr>
          <w:p>
            <w:pPr>
              <w:spacing w:line="360" w:lineRule="auto"/>
              <w:rPr>
                <w:rFonts w:hint="eastAsia" w:eastAsiaTheme="minorEastAsia"/>
                <w:color w:val="auto"/>
                <w:szCs w:val="21"/>
              </w:rPr>
            </w:pPr>
            <w:r>
              <w:rPr>
                <w:rFonts w:hint="eastAsia" w:ascii="宋体" w:hAnsi="宋体" w:eastAsia="宋体" w:cs="宋体"/>
                <w:color w:val="auto"/>
                <w:sz w:val="21"/>
                <w:szCs w:val="21"/>
                <w:highlight w:val="none"/>
                <w:lang w:val="en-US" w:eastAsia="zh-CN"/>
              </w:rPr>
              <w:t>本项目所属行业：</w:t>
            </w:r>
            <w:r>
              <w:rPr>
                <w:rFonts w:hint="eastAsia" w:ascii="宋体" w:hAnsi="宋体" w:eastAsia="宋体" w:cs="宋体"/>
                <w:color w:val="000000" w:themeColor="text1"/>
                <w:sz w:val="21"/>
                <w:szCs w:val="21"/>
                <w:highlight w:val="none"/>
                <w:u w:val="single"/>
                <w:lang w:val="en-US" w:eastAsia="zh-CN"/>
              </w:rPr>
              <w:t>建筑业</w:t>
            </w:r>
          </w:p>
        </w:tc>
      </w:tr>
    </w:tbl>
    <w:p>
      <w:pPr>
        <w:pStyle w:val="4"/>
        <w:spacing w:before="0" w:beforeAutospacing="0" w:after="0" w:afterAutospacing="0" w:line="240" w:lineRule="auto"/>
        <w:jc w:val="both"/>
        <w:rPr>
          <w:rFonts w:hint="eastAsia" w:asciiTheme="minorEastAsia" w:hAnsiTheme="minorEastAsia" w:eastAsiaTheme="minorEastAsia" w:cstheme="minorEastAsia"/>
          <w:color w:val="auto"/>
          <w:sz w:val="28"/>
          <w:szCs w:val="28"/>
        </w:rPr>
      </w:pPr>
    </w:p>
    <w:bookmarkEnd w:id="58"/>
    <w:bookmarkEnd w:id="59"/>
    <w:bookmarkEnd w:id="60"/>
    <w:bookmarkEnd w:id="61"/>
    <w:bookmarkEnd w:id="62"/>
    <w:p>
      <w:pPr>
        <w:shd w:val="clear" w:color="auto" w:fill="auto"/>
        <w:spacing w:line="440" w:lineRule="exact"/>
        <w:jc w:val="center"/>
        <w:outlineLvl w:val="2"/>
        <w:rPr>
          <w:rFonts w:hint="eastAsia" w:ascii="宋体"/>
          <w:color w:val="auto"/>
          <w:sz w:val="28"/>
          <w:szCs w:val="28"/>
          <w:highlight w:val="none"/>
        </w:rPr>
      </w:pPr>
      <w:bookmarkStart w:id="63" w:name="_Toc25428"/>
      <w:bookmarkStart w:id="64" w:name="_Toc469495724"/>
      <w:bookmarkStart w:id="65" w:name="_Toc298240406"/>
      <w:bookmarkStart w:id="66" w:name="_Toc267301283"/>
      <w:bookmarkStart w:id="67" w:name="_Toc527642953"/>
      <w:bookmarkStart w:id="68" w:name="_Toc349573122"/>
      <w:bookmarkStart w:id="69" w:name="_Toc349637921"/>
      <w:r>
        <w:rPr>
          <w:rFonts w:hint="eastAsia" w:ascii="宋体"/>
          <w:b/>
          <w:color w:val="auto"/>
          <w:sz w:val="28"/>
          <w:szCs w:val="28"/>
          <w:highlight w:val="none"/>
        </w:rPr>
        <w:t>（一）</w:t>
      </w:r>
      <w:r>
        <w:rPr>
          <w:rFonts w:hint="eastAsia" w:ascii="宋体"/>
          <w:b/>
          <w:color w:val="auto"/>
          <w:sz w:val="28"/>
          <w:szCs w:val="32"/>
          <w:highlight w:val="none"/>
        </w:rPr>
        <w:t>总  则</w:t>
      </w:r>
      <w:bookmarkEnd w:id="63"/>
      <w:bookmarkEnd w:id="64"/>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1.项目概况</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1.1本次</w:t>
      </w:r>
      <w:r>
        <w:rPr>
          <w:rFonts w:hint="eastAsia" w:ascii="宋体"/>
          <w:color w:val="auto"/>
          <w:szCs w:val="21"/>
          <w:highlight w:val="none"/>
          <w:lang w:val="en-US" w:eastAsia="zh-CN"/>
        </w:rPr>
        <w:t>磋商</w:t>
      </w:r>
      <w:r>
        <w:rPr>
          <w:rFonts w:hint="eastAsia" w:ascii="宋体"/>
          <w:color w:val="auto"/>
          <w:szCs w:val="21"/>
          <w:highlight w:val="none"/>
        </w:rPr>
        <w:t>采购项目名称：见投标人须知前附表。</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项目编号：见投标人须知前附表。</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招标人：见投标人须知前附表。</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供货期（服务周期）：见投标人须知前附表。</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供货地点：见投标人须知前附表。</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1.2招标人及联系人: 见投标人须知前附表。</w:t>
      </w:r>
    </w:p>
    <w:p>
      <w:pPr>
        <w:shd w:val="clear" w:color="auto" w:fill="auto"/>
        <w:snapToGrid w:val="0"/>
        <w:spacing w:line="440" w:lineRule="exact"/>
        <w:ind w:firstLine="525" w:firstLineChars="250"/>
        <w:rPr>
          <w:rFonts w:hint="eastAsia" w:ascii="宋体"/>
          <w:color w:val="auto"/>
          <w:szCs w:val="21"/>
          <w:highlight w:val="none"/>
          <w:u w:val="single"/>
        </w:rPr>
      </w:pPr>
      <w:r>
        <w:rPr>
          <w:rFonts w:hint="eastAsia" w:ascii="宋体"/>
          <w:color w:val="auto"/>
          <w:szCs w:val="21"/>
          <w:highlight w:val="none"/>
        </w:rPr>
        <w:t xml:space="preserve"> 代理机构及联系人: 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1.3资金来源：见投标人须知前附表。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1.4本项目预算：见投标人须知前附表。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1.5本项目控制价：见投标人须知前附表。</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磋商</w:t>
      </w:r>
      <w:r>
        <w:rPr>
          <w:rFonts w:hint="eastAsia" w:ascii="宋体"/>
          <w:b/>
          <w:color w:val="auto"/>
          <w:szCs w:val="21"/>
          <w:highlight w:val="none"/>
        </w:rPr>
        <w:t>范围：</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第四章采购内容及技术要求。</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3.标包划分：</w:t>
      </w:r>
    </w:p>
    <w:p>
      <w:pPr>
        <w:shd w:val="clear" w:color="auto" w:fill="auto"/>
        <w:snapToGrid w:val="0"/>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1</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4.招标方式：</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4.1本项目招标方式：见投标人须知前附表。</w:t>
      </w:r>
    </w:p>
    <w:p>
      <w:pPr>
        <w:shd w:val="clear" w:color="auto" w:fill="auto"/>
        <w:snapToGrid w:val="0"/>
        <w:spacing w:line="440" w:lineRule="exact"/>
        <w:ind w:firstLine="420" w:firstLineChars="200"/>
        <w:rPr>
          <w:rFonts w:hint="eastAsia" w:ascii="宋体"/>
          <w:b/>
          <w:color w:val="000000" w:themeColor="text1"/>
          <w:szCs w:val="21"/>
          <w:highlight w:val="none"/>
        </w:rPr>
      </w:pPr>
      <w:r>
        <w:rPr>
          <w:rFonts w:hint="eastAsia" w:ascii="宋体"/>
          <w:b/>
          <w:color w:val="000000" w:themeColor="text1"/>
          <w:szCs w:val="21"/>
          <w:highlight w:val="none"/>
        </w:rPr>
        <w:t>5.计价方式：</w:t>
      </w:r>
    </w:p>
    <w:p>
      <w:pPr>
        <w:shd w:val="clear" w:color="auto" w:fill="auto"/>
        <w:snapToGrid w:val="0"/>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5.1本次</w:t>
      </w:r>
      <w:r>
        <w:rPr>
          <w:rFonts w:hint="eastAsia" w:ascii="宋体" w:cs="Times New Roman"/>
          <w:color w:val="auto"/>
          <w:szCs w:val="21"/>
          <w:highlight w:val="none"/>
          <w:lang w:val="en-US" w:eastAsia="zh-CN"/>
        </w:rPr>
        <w:t>磋商</w:t>
      </w:r>
      <w:r>
        <w:rPr>
          <w:rFonts w:hint="eastAsia" w:ascii="宋体" w:hAnsi="Times New Roman" w:eastAsia="宋体" w:cs="Times New Roman"/>
          <w:color w:val="auto"/>
          <w:szCs w:val="21"/>
          <w:highlight w:val="none"/>
        </w:rPr>
        <w:t>项目合同采用 固定</w:t>
      </w:r>
      <w:r>
        <w:rPr>
          <w:rFonts w:hint="eastAsia" w:ascii="宋体" w:hAnsi="Times New Roman" w:eastAsia="宋体" w:cs="Times New Roman"/>
          <w:color w:val="auto"/>
          <w:szCs w:val="21"/>
          <w:highlight w:val="none"/>
          <w:lang w:val="en-US" w:eastAsia="zh-CN"/>
        </w:rPr>
        <w:t>单价</w:t>
      </w:r>
      <w:r>
        <w:rPr>
          <w:rFonts w:hint="eastAsia" w:ascii="宋体" w:hAnsi="Times New Roman" w:eastAsia="宋体" w:cs="Times New Roman"/>
          <w:color w:val="auto"/>
          <w:szCs w:val="21"/>
          <w:highlight w:val="none"/>
        </w:rPr>
        <w:t xml:space="preserve"> 。</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6.评标办法：</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6.1本次</w:t>
      </w:r>
      <w:r>
        <w:rPr>
          <w:rFonts w:hint="eastAsia" w:ascii="宋体"/>
          <w:color w:val="auto"/>
          <w:szCs w:val="21"/>
          <w:highlight w:val="none"/>
          <w:lang w:val="en-US" w:eastAsia="zh-CN"/>
        </w:rPr>
        <w:t>磋商</w:t>
      </w:r>
      <w:r>
        <w:rPr>
          <w:rFonts w:hint="eastAsia" w:ascii="宋体"/>
          <w:color w:val="auto"/>
          <w:szCs w:val="21"/>
          <w:highlight w:val="none"/>
        </w:rPr>
        <w:t>评标采用</w:t>
      </w:r>
      <w:r>
        <w:rPr>
          <w:rFonts w:hint="eastAsia" w:ascii="宋体"/>
          <w:color w:val="auto"/>
          <w:szCs w:val="21"/>
          <w:highlight w:val="none"/>
          <w:u w:val="single"/>
        </w:rPr>
        <w:t xml:space="preserve">  符合</w:t>
      </w:r>
      <w:r>
        <w:rPr>
          <w:rFonts w:hint="eastAsia" w:ascii="宋体"/>
          <w:color w:val="auto"/>
          <w:szCs w:val="21"/>
          <w:highlight w:val="none"/>
          <w:u w:val="single"/>
          <w:lang w:eastAsia="zh-CN"/>
        </w:rPr>
        <w:t>磋商文件</w:t>
      </w:r>
      <w:r>
        <w:rPr>
          <w:rFonts w:hint="eastAsia" w:ascii="宋体"/>
          <w:color w:val="auto"/>
          <w:szCs w:val="21"/>
          <w:highlight w:val="none"/>
          <w:u w:val="single"/>
        </w:rPr>
        <w:t xml:space="preserve">的综合评分法 </w:t>
      </w:r>
      <w:r>
        <w:rPr>
          <w:rFonts w:hint="eastAsia" w:ascii="宋体"/>
          <w:color w:val="auto"/>
          <w:szCs w:val="21"/>
          <w:highlight w:val="none"/>
        </w:rPr>
        <w:t>（详见评标办法）</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7.投标人资格：</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w:t>
      </w:r>
      <w:r>
        <w:rPr>
          <w:rFonts w:hint="eastAsia" w:ascii="宋体"/>
          <w:color w:val="auto"/>
          <w:szCs w:val="21"/>
          <w:highlight w:val="none"/>
          <w:lang w:eastAsia="zh-CN"/>
        </w:rPr>
        <w:t>（如在其他省份已注册的无需重复入驻）</w:t>
      </w:r>
      <w:r>
        <w:rPr>
          <w:rFonts w:hint="eastAsia" w:ascii="宋体"/>
          <w:color w:val="auto"/>
          <w:szCs w:val="21"/>
          <w:highlight w:val="none"/>
        </w:rPr>
        <w:t>，并完成CA数字证书申领。因未注册入库、未办理CA数字证书等原因造成无法投标或投标失败等后果由供应商自行承担。</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w:t>
      </w:r>
      <w:r>
        <w:rPr>
          <w:rFonts w:hint="eastAsia" w:ascii="宋体"/>
          <w:color w:val="auto"/>
          <w:szCs w:val="21"/>
          <w:highlight w:val="none"/>
          <w:lang w:eastAsia="zh-CN"/>
        </w:rPr>
        <w:t>响应文件</w:t>
      </w:r>
      <w:r>
        <w:rPr>
          <w:rFonts w:hint="eastAsia" w:ascii="宋体"/>
          <w:color w:val="auto"/>
          <w:szCs w:val="21"/>
          <w:highlight w:val="none"/>
        </w:rPr>
        <w:t>中的有关信息与库中的信息相一致。否则，投标人因此蒙受损失，招标人概不负责。</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8. 投标费用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8.1投标人准备和参加投标活动发生的费用自理。</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9.</w:t>
      </w:r>
      <w:bookmarkStart w:id="70" w:name="_Toc144974507"/>
      <w:bookmarkStart w:id="71" w:name="_Toc152042315"/>
      <w:bookmarkStart w:id="72" w:name="_Toc296602429"/>
      <w:bookmarkStart w:id="73" w:name="_Toc247592876"/>
      <w:bookmarkStart w:id="74" w:name="_Toc247527563"/>
      <w:bookmarkStart w:id="75" w:name="_Toc152045539"/>
      <w:bookmarkStart w:id="76" w:name="_Toc247513962"/>
      <w:r>
        <w:rPr>
          <w:rFonts w:hint="eastAsia"/>
          <w:b/>
          <w:color w:val="auto"/>
          <w:szCs w:val="21"/>
          <w:highlight w:val="none"/>
        </w:rPr>
        <w:t xml:space="preserve"> 踏勘现场</w:t>
      </w:r>
      <w:bookmarkEnd w:id="70"/>
      <w:bookmarkEnd w:id="71"/>
      <w:bookmarkEnd w:id="72"/>
      <w:bookmarkEnd w:id="73"/>
      <w:bookmarkEnd w:id="74"/>
      <w:bookmarkEnd w:id="75"/>
      <w:bookmarkEnd w:id="76"/>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ascii="宋体"/>
          <w:b/>
          <w:bCs/>
          <w:color w:val="auto"/>
          <w:szCs w:val="21"/>
          <w:highlight w:val="none"/>
        </w:rPr>
        <w:t xml:space="preserve"> </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9.2 投标人踏勘现场发生的费用自理。</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w:t>
      </w:r>
      <w:r>
        <w:rPr>
          <w:rFonts w:hint="eastAsia" w:ascii="宋体"/>
          <w:color w:val="auto"/>
          <w:szCs w:val="21"/>
          <w:highlight w:val="none"/>
          <w:lang w:eastAsia="zh-CN"/>
        </w:rPr>
        <w:t>响应文件</w:t>
      </w:r>
      <w:r>
        <w:rPr>
          <w:rFonts w:hint="eastAsia" w:ascii="宋体"/>
          <w:color w:val="auto"/>
          <w:szCs w:val="21"/>
          <w:highlight w:val="none"/>
        </w:rPr>
        <w:t>时参考，招标人不对投标人据此作出的判断和决策负责。</w:t>
      </w:r>
      <w:bookmarkStart w:id="77" w:name="_Toc152045540"/>
      <w:bookmarkStart w:id="78" w:name="_Toc247527564"/>
      <w:bookmarkStart w:id="79" w:name="_Toc247592877"/>
      <w:bookmarkStart w:id="80" w:name="_Toc144974508"/>
      <w:bookmarkStart w:id="81" w:name="_Toc247513963"/>
      <w:bookmarkStart w:id="82" w:name="_Toc296602430"/>
      <w:bookmarkStart w:id="83" w:name="_Toc152042316"/>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10. 投标预备会</w:t>
      </w:r>
      <w:bookmarkEnd w:id="77"/>
      <w:bookmarkEnd w:id="78"/>
      <w:bookmarkEnd w:id="79"/>
      <w:bookmarkEnd w:id="80"/>
      <w:bookmarkEnd w:id="81"/>
      <w:bookmarkEnd w:id="82"/>
      <w:bookmarkEnd w:id="83"/>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11. 联合投标</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09"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w:t>
      </w:r>
      <w:r>
        <w:rPr>
          <w:rFonts w:hint="eastAsia" w:ascii="宋体"/>
          <w:color w:val="auto"/>
          <w:szCs w:val="21"/>
          <w:highlight w:val="none"/>
          <w:lang w:eastAsia="zh-CN"/>
        </w:rPr>
        <w:t>响应文件</w:t>
      </w:r>
      <w:r>
        <w:rPr>
          <w:rFonts w:hint="eastAsia" w:ascii="宋体"/>
          <w:color w:val="auto"/>
          <w:szCs w:val="21"/>
          <w:highlight w:val="none"/>
        </w:rPr>
        <w:t>一并提交招标人。联合体各方签订共同投标协议后，不得再以自己名义单独在同一项目中投标，也不得组成新的联合体参加同一项目投标。</w:t>
      </w:r>
    </w:p>
    <w:p>
      <w:pPr>
        <w:shd w:val="clear" w:color="auto" w:fill="auto"/>
        <w:spacing w:line="400" w:lineRule="exact"/>
        <w:ind w:firstLine="411"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pPr>
        <w:pStyle w:val="11"/>
        <w:shd w:val="clear" w:color="auto" w:fill="auto"/>
        <w:spacing w:after="0" w:line="400" w:lineRule="exact"/>
        <w:ind w:left="0" w:leftChars="0" w:firstLine="484" w:firstLineChars="202"/>
        <w:rPr>
          <w:rFonts w:hint="eastAsia"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4 联合体各方应当共同与招标人签订采购合同，就采购合同约定的事项对招标人承担连带责任。</w:t>
      </w:r>
    </w:p>
    <w:p>
      <w:pPr>
        <w:shd w:val="clear" w:color="auto" w:fill="auto"/>
        <w:spacing w:line="440" w:lineRule="exact"/>
        <w:ind w:firstLine="411" w:firstLineChars="196"/>
        <w:jc w:val="left"/>
        <w:rPr>
          <w:rFonts w:hint="eastAsia" w:ascii="宋体"/>
          <w:b/>
          <w:color w:val="000000" w:themeColor="text1"/>
          <w:szCs w:val="21"/>
          <w:highlight w:val="none"/>
        </w:rPr>
      </w:pPr>
      <w:r>
        <w:rPr>
          <w:rFonts w:hint="eastAsia" w:ascii="宋体"/>
          <w:b/>
          <w:color w:val="000000" w:themeColor="text1"/>
          <w:szCs w:val="21"/>
          <w:highlight w:val="none"/>
        </w:rPr>
        <w:t>12.</w:t>
      </w:r>
      <w:r>
        <w:rPr>
          <w:rFonts w:hint="eastAsia" w:ascii="宋体"/>
          <w:b/>
          <w:color w:val="000000" w:themeColor="text1"/>
          <w:szCs w:val="21"/>
          <w:highlight w:val="none"/>
          <w:lang w:val="en-US" w:eastAsia="zh-CN"/>
        </w:rPr>
        <w:t>磋商</w:t>
      </w:r>
      <w:r>
        <w:rPr>
          <w:rFonts w:hint="eastAsia" w:ascii="宋体"/>
          <w:b/>
          <w:color w:val="000000" w:themeColor="text1"/>
          <w:szCs w:val="21"/>
          <w:highlight w:val="none"/>
        </w:rPr>
        <w:t>代理费</w:t>
      </w:r>
    </w:p>
    <w:p>
      <w:pPr>
        <w:shd w:val="clear" w:color="auto" w:fill="auto"/>
        <w:spacing w:line="440" w:lineRule="exact"/>
        <w:rPr>
          <w:rFonts w:hint="eastAsia" w:ascii="宋体" w:hAnsi="宋体"/>
          <w:color w:val="auto"/>
          <w:sz w:val="21"/>
          <w:szCs w:val="21"/>
          <w:highlight w:val="none"/>
        </w:rPr>
      </w:pPr>
      <w:r>
        <w:rPr>
          <w:rFonts w:hint="eastAsia" w:ascii="宋体"/>
          <w:bCs/>
          <w:color w:val="auto"/>
          <w:szCs w:val="21"/>
          <w:highlight w:val="none"/>
        </w:rPr>
        <w:t>12.1</w:t>
      </w:r>
      <w:r>
        <w:rPr>
          <w:rFonts w:hint="eastAsia" w:ascii="宋体" w:hAnsi="Times New Roman" w:eastAsia="宋体" w:cs="Times New Roman"/>
          <w:color w:val="auto"/>
          <w:kern w:val="2"/>
          <w:sz w:val="21"/>
          <w:szCs w:val="21"/>
          <w:highlight w:val="none"/>
          <w:lang w:val="en-US" w:eastAsia="zh-CN" w:bidi="ar-SA"/>
        </w:rPr>
        <w:t>中标单位在领取本项目中标通知书时一次性支付给招标代理公司。</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13.投标人应注意的事项</w:t>
      </w:r>
    </w:p>
    <w:p>
      <w:pPr>
        <w:shd w:val="clear" w:color="auto" w:fill="auto"/>
        <w:spacing w:line="440" w:lineRule="exact"/>
        <w:ind w:firstLine="420"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w:t>
      </w:r>
      <w:r>
        <w:rPr>
          <w:rFonts w:hint="eastAsia" w:ascii="宋体" w:hAnsi="宋体"/>
          <w:color w:val="auto"/>
          <w:szCs w:val="21"/>
          <w:highlight w:val="none"/>
          <w:lang w:eastAsia="zh-CN"/>
        </w:rPr>
        <w:t>响应文件</w:t>
      </w:r>
      <w:r>
        <w:rPr>
          <w:rFonts w:hint="eastAsia" w:ascii="宋体" w:hAnsi="宋体"/>
          <w:color w:val="auto"/>
          <w:szCs w:val="21"/>
          <w:highlight w:val="none"/>
        </w:rPr>
        <w:t>，</w:t>
      </w:r>
      <w:r>
        <w:rPr>
          <w:rFonts w:hint="eastAsia" w:ascii="宋体" w:hAnsi="宋体"/>
          <w:color w:val="auto"/>
          <w:szCs w:val="21"/>
          <w:highlight w:val="none"/>
          <w:lang w:eastAsia="zh-CN"/>
        </w:rPr>
        <w:t>响应文件</w:t>
      </w:r>
      <w:r>
        <w:rPr>
          <w:rFonts w:hint="eastAsia" w:ascii="宋体" w:hAnsi="宋体"/>
          <w:color w:val="auto"/>
          <w:szCs w:val="21"/>
          <w:highlight w:val="none"/>
        </w:rPr>
        <w:t>宜编制页码和目录，以便评委审核。否则，由此产生的一切后果由投标人承担。</w:t>
      </w:r>
    </w:p>
    <w:p>
      <w:pPr>
        <w:shd w:val="clear" w:color="auto" w:fill="auto"/>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投标人对采购内容中规定的技术参数、规格等要求必须完全响应或优于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p>
    <w:p>
      <w:pPr>
        <w:shd w:val="clear" w:color="auto" w:fill="auto"/>
        <w:spacing w:line="440" w:lineRule="exact"/>
        <w:ind w:firstLine="411"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pPr>
        <w:shd w:val="clear" w:color="auto" w:fill="auto"/>
        <w:spacing w:line="440" w:lineRule="exact"/>
        <w:ind w:firstLine="411"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r>
        <w:rPr>
          <w:rFonts w:ascii="宋体" w:hAnsi="宋体" w:cs="宋体"/>
          <w:color w:val="auto"/>
          <w:szCs w:val="21"/>
          <w:highlight w:val="none"/>
        </w:rPr>
        <w:t>为采购项目提供整体设计、规范编制或者项目管理、监理、检测等服务的供应商，不得再参加该采购项目的其他采购活动。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w:t>
      </w:r>
      <w:r>
        <w:rPr>
          <w:rFonts w:hint="eastAsia" w:ascii="宋体"/>
          <w:bCs/>
          <w:color w:val="auto"/>
          <w:szCs w:val="21"/>
          <w:highlight w:val="none"/>
        </w:rPr>
        <w:t>本项目只接受</w:t>
      </w:r>
      <w:r>
        <w:rPr>
          <w:rFonts w:hint="eastAsia" w:ascii="宋体"/>
          <w:color w:val="auto"/>
          <w:szCs w:val="21"/>
          <w:highlight w:val="none"/>
        </w:rPr>
        <w:t>成为新疆维吾尔自治区政府采购网正式注册入库</w:t>
      </w:r>
      <w:r>
        <w:rPr>
          <w:rFonts w:hint="eastAsia" w:ascii="宋体"/>
          <w:color w:val="auto"/>
          <w:szCs w:val="21"/>
          <w:highlight w:val="none"/>
          <w:lang w:eastAsia="zh-CN"/>
        </w:rPr>
        <w:t>（如在其他省份已注册的无需重复入驻）</w:t>
      </w:r>
      <w:r>
        <w:rPr>
          <w:rFonts w:hint="eastAsia" w:ascii="宋体"/>
          <w:color w:val="auto"/>
          <w:szCs w:val="21"/>
          <w:highlight w:val="none"/>
        </w:rPr>
        <w:t>并完成CA数字证书申领供应商</w:t>
      </w:r>
      <w:r>
        <w:rPr>
          <w:rFonts w:hint="eastAsia" w:ascii="宋体"/>
          <w:color w:val="auto"/>
          <w:szCs w:val="21"/>
          <w:highlight w:val="none"/>
          <w:lang w:eastAsia="zh-CN"/>
        </w:rPr>
        <w:t>参与投标</w:t>
      </w:r>
      <w:r>
        <w:rPr>
          <w:rFonts w:hint="eastAsia" w:ascii="宋体"/>
          <w:color w:val="auto"/>
          <w:szCs w:val="21"/>
          <w:highlight w:val="none"/>
        </w:rPr>
        <w:t>。因未注册入库、未办理CA数字证书等原因造成无法投标或投标失败等后果由供应商自行承担。</w:t>
      </w:r>
    </w:p>
    <w:p>
      <w:pPr>
        <w:shd w:val="clear" w:color="auto" w:fill="auto"/>
        <w:wordWrap w:val="0"/>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w:t>
      </w:r>
      <w:r>
        <w:rPr>
          <w:rFonts w:hint="eastAsia" w:ascii="宋体"/>
          <w:bCs/>
          <w:color w:val="auto"/>
          <w:szCs w:val="21"/>
          <w:highlight w:val="none"/>
          <w:lang w:val="en-US" w:eastAsia="zh-CN"/>
        </w:rPr>
        <w:t>磋商</w:t>
      </w:r>
      <w:r>
        <w:rPr>
          <w:rFonts w:hint="eastAsia" w:ascii="宋体"/>
          <w:bCs/>
          <w:color w:val="auto"/>
          <w:szCs w:val="21"/>
          <w:highlight w:val="none"/>
        </w:rPr>
        <w:t>项目所在地的与履行合同有关的各种情况，包括但不限于：</w:t>
      </w:r>
    </w:p>
    <w:p>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（1）国家对本次投标货物和服务的生产、安装调试、验收、维修等有关法律、法规及行业管理标准；</w:t>
      </w:r>
    </w:p>
    <w:p>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（3）招标人的相关场地情况、基础建设、电力供应情况及相关设计标准。</w:t>
      </w:r>
    </w:p>
    <w:p>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p>
    <w:p>
      <w:pPr>
        <w:pStyle w:val="4"/>
        <w:spacing w:before="100" w:beforeAutospacing="1" w:after="100" w:afterAutospacing="1" w:line="360" w:lineRule="auto"/>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二</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 xml:space="preserve"> 磋商文件</w:t>
      </w:r>
      <w:bookmarkEnd w:id="65"/>
      <w:bookmarkEnd w:id="66"/>
      <w:bookmarkEnd w:id="67"/>
      <w:bookmarkEnd w:id="68"/>
      <w:bookmarkEnd w:id="69"/>
    </w:p>
    <w:p>
      <w:pPr>
        <w:shd w:val="clear" w:color="auto" w:fill="auto"/>
        <w:spacing w:line="440" w:lineRule="exact"/>
        <w:ind w:firstLine="420" w:firstLineChars="200"/>
        <w:rPr>
          <w:rFonts w:hint="eastAsia"/>
          <w:b/>
          <w:color w:val="auto"/>
          <w:szCs w:val="21"/>
          <w:highlight w:val="none"/>
        </w:rPr>
      </w:pPr>
      <w:bookmarkStart w:id="84" w:name="_Toc18339"/>
      <w:bookmarkStart w:id="85" w:name="_Toc7276"/>
      <w:r>
        <w:rPr>
          <w:rFonts w:hint="eastAsia"/>
          <w:b/>
          <w:color w:val="auto"/>
          <w:szCs w:val="21"/>
          <w:highlight w:val="none"/>
        </w:rPr>
        <w:t>1</w:t>
      </w:r>
      <w:r>
        <w:rPr>
          <w:rFonts w:hint="eastAsia"/>
          <w:b/>
          <w:color w:val="auto"/>
          <w:szCs w:val="21"/>
          <w:highlight w:val="none"/>
          <w:lang w:val="en-US" w:eastAsia="zh-CN"/>
        </w:rPr>
        <w:t>4</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的编制依据</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根据《中华人民共和国政府采购法》、《政府采购货物和服务招标投标管理办法》和《中华人民共和国合同法》</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1</w:t>
      </w:r>
      <w:r>
        <w:rPr>
          <w:rFonts w:hint="eastAsia"/>
          <w:b/>
          <w:color w:val="auto"/>
          <w:szCs w:val="21"/>
          <w:highlight w:val="none"/>
          <w:lang w:val="en-US" w:eastAsia="zh-CN"/>
        </w:rPr>
        <w:t>5</w:t>
      </w:r>
      <w:r>
        <w:rPr>
          <w:rFonts w:hint="eastAsia"/>
          <w:b/>
          <w:color w:val="auto"/>
          <w:szCs w:val="21"/>
          <w:highlight w:val="none"/>
        </w:rPr>
        <w:t xml:space="preserve">. </w:t>
      </w:r>
      <w:r>
        <w:rPr>
          <w:rFonts w:hint="eastAsia"/>
          <w:b/>
          <w:color w:val="auto"/>
          <w:szCs w:val="21"/>
          <w:highlight w:val="none"/>
          <w:lang w:eastAsia="zh-CN"/>
        </w:rPr>
        <w:t>磋商文件</w:t>
      </w:r>
      <w:r>
        <w:rPr>
          <w:rFonts w:hint="eastAsia"/>
          <w:b/>
          <w:color w:val="auto"/>
          <w:szCs w:val="21"/>
          <w:highlight w:val="none"/>
        </w:rPr>
        <w:t>的组成</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5</w:t>
      </w:r>
      <w:r>
        <w:rPr>
          <w:rFonts w:hint="eastAsia" w:ascii="宋体"/>
          <w:color w:val="auto"/>
          <w:szCs w:val="21"/>
          <w:highlight w:val="none"/>
        </w:rPr>
        <w:t xml:space="preserve">.1 </w:t>
      </w:r>
      <w:r>
        <w:rPr>
          <w:rFonts w:hint="eastAsia" w:ascii="宋体"/>
          <w:color w:val="auto"/>
          <w:szCs w:val="21"/>
          <w:highlight w:val="none"/>
          <w:lang w:eastAsia="zh-CN"/>
        </w:rPr>
        <w:t>磋商文件</w:t>
      </w:r>
      <w:r>
        <w:rPr>
          <w:rFonts w:hint="eastAsia" w:ascii="宋体"/>
          <w:color w:val="auto"/>
          <w:szCs w:val="21"/>
          <w:highlight w:val="none"/>
        </w:rPr>
        <w:t>包括内容：</w:t>
      </w:r>
    </w:p>
    <w:p>
      <w:pPr>
        <w:shd w:val="clear" w:color="auto" w:fill="auto"/>
        <w:spacing w:line="440" w:lineRule="exact"/>
        <w:rPr>
          <w:rFonts w:hint="eastAsia" w:ascii="宋体"/>
          <w:color w:val="auto"/>
          <w:szCs w:val="21"/>
          <w:highlight w:val="none"/>
        </w:rPr>
      </w:pPr>
      <w:r>
        <w:rPr>
          <w:rFonts w:hint="eastAsia" w:ascii="宋体"/>
          <w:color w:val="auto"/>
          <w:szCs w:val="21"/>
          <w:highlight w:val="none"/>
        </w:rPr>
        <w:fldChar w:fldCharType="begin"/>
      </w:r>
      <w:r>
        <w:rPr>
          <w:rFonts w:hint="eastAsia" w:ascii="宋体"/>
          <w:color w:val="auto"/>
          <w:szCs w:val="21"/>
          <w:highlight w:val="none"/>
        </w:rPr>
        <w:instrText xml:space="preserve"> TOC \o "1-2" \h \z \u </w:instrText>
      </w:r>
      <w:r>
        <w:rPr>
          <w:rFonts w:hint="eastAsia" w:ascii="宋体"/>
          <w:color w:val="auto"/>
          <w:szCs w:val="21"/>
          <w:highlight w:val="none"/>
        </w:rPr>
        <w:fldChar w:fldCharType="separate"/>
      </w:r>
      <w:r>
        <w:rPr>
          <w:rFonts w:hint="eastAsia" w:ascii="宋体"/>
          <w:color w:val="auto"/>
          <w:szCs w:val="21"/>
          <w:highlight w:val="none"/>
        </w:rPr>
        <w:fldChar w:fldCharType="begin"/>
      </w:r>
      <w:r>
        <w:rPr>
          <w:rFonts w:hint="eastAsia" w:ascii="宋体"/>
          <w:color w:val="auto"/>
          <w:szCs w:val="21"/>
          <w:highlight w:val="none"/>
        </w:rPr>
        <w:instrText xml:space="preserve"> HYPERLINK \l "_Toc527642949" </w:instrText>
      </w:r>
      <w:r>
        <w:rPr>
          <w:rFonts w:hint="eastAsia" w:ascii="宋体"/>
          <w:color w:val="auto"/>
          <w:szCs w:val="21"/>
          <w:highlight w:val="none"/>
        </w:rPr>
        <w:fldChar w:fldCharType="separate"/>
      </w:r>
      <w:r>
        <w:rPr>
          <w:rFonts w:hint="eastAsia" w:ascii="宋体"/>
          <w:color w:val="auto"/>
          <w:szCs w:val="21"/>
          <w:highlight w:val="none"/>
        </w:rPr>
        <w:t>（1）竞争性磋商公告</w:t>
      </w:r>
      <w:r>
        <w:rPr>
          <w:rFonts w:hint="eastAsia" w:ascii="宋体"/>
          <w:color w:val="auto"/>
          <w:szCs w:val="21"/>
          <w:highlight w:val="none"/>
        </w:rPr>
        <w:fldChar w:fldCharType="end"/>
      </w:r>
    </w:p>
    <w:p>
      <w:pPr>
        <w:shd w:val="clear" w:color="auto" w:fill="auto"/>
        <w:spacing w:line="440" w:lineRule="exact"/>
        <w:rPr>
          <w:rFonts w:hint="eastAsia" w:ascii="宋体"/>
          <w:color w:val="auto"/>
          <w:szCs w:val="21"/>
          <w:highlight w:val="none"/>
        </w:rPr>
      </w:pPr>
      <w:r>
        <w:rPr>
          <w:rFonts w:hint="eastAsia" w:ascii="宋体"/>
          <w:color w:val="auto"/>
          <w:szCs w:val="21"/>
          <w:highlight w:val="none"/>
        </w:rPr>
        <w:fldChar w:fldCharType="begin"/>
      </w:r>
      <w:r>
        <w:rPr>
          <w:rFonts w:hint="eastAsia" w:ascii="宋体"/>
          <w:color w:val="auto"/>
          <w:szCs w:val="21"/>
          <w:highlight w:val="none"/>
        </w:rPr>
        <w:instrText xml:space="preserve"> HYPERLINK \l "_Toc527642950" </w:instrText>
      </w:r>
      <w:r>
        <w:rPr>
          <w:rFonts w:hint="eastAsia" w:ascii="宋体"/>
          <w:color w:val="auto"/>
          <w:szCs w:val="21"/>
          <w:highlight w:val="none"/>
        </w:rPr>
        <w:fldChar w:fldCharType="separate"/>
      </w:r>
      <w:r>
        <w:rPr>
          <w:rFonts w:hint="eastAsia" w:ascii="宋体"/>
          <w:color w:val="auto"/>
          <w:szCs w:val="21"/>
          <w:highlight w:val="none"/>
        </w:rPr>
        <w:t>（2）投标人须知</w:t>
      </w:r>
      <w:r>
        <w:rPr>
          <w:rFonts w:hint="eastAsia" w:ascii="宋体"/>
          <w:color w:val="auto"/>
          <w:szCs w:val="21"/>
          <w:highlight w:val="none"/>
        </w:rPr>
        <w:fldChar w:fldCharType="end"/>
      </w:r>
    </w:p>
    <w:p>
      <w:pPr>
        <w:shd w:val="clear" w:color="auto" w:fill="auto"/>
        <w:spacing w:line="440" w:lineRule="exact"/>
        <w:rPr>
          <w:rFonts w:hint="eastAsia" w:ascii="宋体"/>
          <w:color w:val="auto"/>
          <w:szCs w:val="21"/>
          <w:highlight w:val="none"/>
        </w:rPr>
      </w:pPr>
      <w:r>
        <w:rPr>
          <w:rFonts w:hint="eastAsia" w:ascii="宋体"/>
          <w:color w:val="auto"/>
          <w:szCs w:val="21"/>
          <w:highlight w:val="none"/>
        </w:rPr>
        <w:fldChar w:fldCharType="begin"/>
      </w:r>
      <w:r>
        <w:rPr>
          <w:rFonts w:hint="eastAsia" w:ascii="宋体"/>
          <w:color w:val="auto"/>
          <w:szCs w:val="21"/>
          <w:highlight w:val="none"/>
        </w:rPr>
        <w:instrText xml:space="preserve"> HYPERLINK \l "_Toc527642959" </w:instrText>
      </w:r>
      <w:r>
        <w:rPr>
          <w:rFonts w:hint="eastAsia" w:ascii="宋体"/>
          <w:color w:val="auto"/>
          <w:szCs w:val="21"/>
          <w:highlight w:val="none"/>
        </w:rPr>
        <w:fldChar w:fldCharType="separate"/>
      </w:r>
      <w:r>
        <w:rPr>
          <w:rFonts w:hint="eastAsia" w:ascii="宋体"/>
          <w:color w:val="auto"/>
          <w:szCs w:val="21"/>
          <w:highlight w:val="none"/>
        </w:rPr>
        <w:t>（3）技术要求</w:t>
      </w:r>
      <w:r>
        <w:rPr>
          <w:rFonts w:hint="eastAsia" w:ascii="宋体"/>
          <w:color w:val="auto"/>
          <w:szCs w:val="21"/>
          <w:highlight w:val="none"/>
        </w:rPr>
        <w:fldChar w:fldCharType="end"/>
      </w:r>
    </w:p>
    <w:p>
      <w:pPr>
        <w:shd w:val="clear" w:color="auto" w:fill="auto"/>
        <w:spacing w:line="440" w:lineRule="exact"/>
        <w:rPr>
          <w:rFonts w:hint="eastAsia" w:ascii="宋体"/>
          <w:color w:val="auto"/>
          <w:szCs w:val="21"/>
          <w:highlight w:val="none"/>
        </w:rPr>
      </w:pPr>
      <w:r>
        <w:rPr>
          <w:rFonts w:hint="eastAsia" w:ascii="宋体"/>
          <w:color w:val="auto"/>
          <w:szCs w:val="21"/>
          <w:highlight w:val="none"/>
        </w:rPr>
        <w:fldChar w:fldCharType="begin"/>
      </w:r>
      <w:r>
        <w:rPr>
          <w:rFonts w:hint="eastAsia" w:ascii="宋体"/>
          <w:color w:val="auto"/>
          <w:szCs w:val="21"/>
          <w:highlight w:val="none"/>
        </w:rPr>
        <w:instrText xml:space="preserve"> HYPERLINK \l "_Toc527642960" </w:instrText>
      </w:r>
      <w:r>
        <w:rPr>
          <w:rFonts w:hint="eastAsia" w:ascii="宋体"/>
          <w:color w:val="auto"/>
          <w:szCs w:val="21"/>
          <w:highlight w:val="none"/>
        </w:rPr>
        <w:fldChar w:fldCharType="separate"/>
      </w:r>
      <w:r>
        <w:rPr>
          <w:rFonts w:hint="eastAsia" w:ascii="宋体"/>
          <w:color w:val="auto"/>
          <w:szCs w:val="21"/>
          <w:highlight w:val="none"/>
        </w:rPr>
        <w:t>（</w:t>
      </w:r>
      <w:r>
        <w:rPr>
          <w:rFonts w:hint="eastAsia" w:ascii="宋体"/>
          <w:color w:val="auto"/>
          <w:szCs w:val="21"/>
          <w:highlight w:val="none"/>
          <w:lang w:val="en-US" w:eastAsia="zh-CN"/>
        </w:rPr>
        <w:t>4</w:t>
      </w:r>
      <w:r>
        <w:rPr>
          <w:rFonts w:hint="eastAsia" w:ascii="宋体"/>
          <w:color w:val="auto"/>
          <w:szCs w:val="21"/>
          <w:highlight w:val="none"/>
        </w:rPr>
        <w:t>）合同条款及格式</w:t>
      </w:r>
      <w:r>
        <w:rPr>
          <w:rFonts w:hint="eastAsia" w:ascii="宋体"/>
          <w:color w:val="auto"/>
          <w:szCs w:val="21"/>
          <w:highlight w:val="none"/>
        </w:rPr>
        <w:fldChar w:fldCharType="end"/>
      </w:r>
    </w:p>
    <w:p>
      <w:pPr>
        <w:shd w:val="clear" w:color="auto" w:fill="auto"/>
        <w:spacing w:line="440" w:lineRule="exact"/>
        <w:rPr>
          <w:rFonts w:hint="eastAsia" w:ascii="宋体"/>
          <w:color w:val="auto"/>
          <w:szCs w:val="21"/>
          <w:highlight w:val="none"/>
        </w:rPr>
      </w:pPr>
      <w:r>
        <w:rPr>
          <w:rFonts w:hint="eastAsia" w:ascii="宋体"/>
          <w:color w:val="auto"/>
          <w:szCs w:val="21"/>
          <w:highlight w:val="none"/>
        </w:rPr>
        <w:fldChar w:fldCharType="begin"/>
      </w:r>
      <w:r>
        <w:rPr>
          <w:rFonts w:hint="eastAsia" w:ascii="宋体"/>
          <w:color w:val="auto"/>
          <w:szCs w:val="21"/>
          <w:highlight w:val="none"/>
        </w:rPr>
        <w:instrText xml:space="preserve"> HYPERLINK \l "_Toc527642969" </w:instrText>
      </w:r>
      <w:r>
        <w:rPr>
          <w:rFonts w:hint="eastAsia" w:ascii="宋体"/>
          <w:color w:val="auto"/>
          <w:szCs w:val="21"/>
          <w:highlight w:val="none"/>
        </w:rPr>
        <w:fldChar w:fldCharType="separate"/>
      </w:r>
      <w:r>
        <w:rPr>
          <w:rFonts w:hint="eastAsia" w:ascii="宋体"/>
          <w:color w:val="auto"/>
          <w:szCs w:val="21"/>
          <w:highlight w:val="none"/>
        </w:rPr>
        <w:t>（</w:t>
      </w:r>
      <w:r>
        <w:rPr>
          <w:rFonts w:hint="eastAsia" w:ascii="宋体"/>
          <w:color w:val="auto"/>
          <w:szCs w:val="21"/>
          <w:highlight w:val="none"/>
          <w:lang w:val="en-US" w:eastAsia="zh-CN"/>
        </w:rPr>
        <w:t>5</w:t>
      </w:r>
      <w:r>
        <w:rPr>
          <w:rFonts w:hint="eastAsia" w:ascii="宋体"/>
          <w:color w:val="auto"/>
          <w:szCs w:val="21"/>
          <w:highlight w:val="none"/>
        </w:rPr>
        <w:t>）响应文件格式</w:t>
      </w:r>
      <w:r>
        <w:rPr>
          <w:rFonts w:hint="eastAsia" w:ascii="宋体"/>
          <w:color w:val="auto"/>
          <w:szCs w:val="21"/>
          <w:highlight w:val="none"/>
        </w:rPr>
        <w:fldChar w:fldCharType="end"/>
      </w:r>
    </w:p>
    <w:p>
      <w:pPr>
        <w:shd w:val="clear" w:color="auto" w:fill="auto"/>
        <w:spacing w:line="440" w:lineRule="exact"/>
        <w:rPr>
          <w:rFonts w:hint="eastAsia" w:ascii="宋体"/>
          <w:color w:val="auto"/>
          <w:szCs w:val="21"/>
          <w:highlight w:val="none"/>
        </w:rPr>
      </w:pPr>
      <w:r>
        <w:rPr>
          <w:rFonts w:hint="eastAsia" w:ascii="宋体"/>
          <w:color w:val="auto"/>
          <w:szCs w:val="21"/>
          <w:highlight w:val="none"/>
        </w:rPr>
        <w:fldChar w:fldCharType="end"/>
      </w:r>
      <w:r>
        <w:rPr>
          <w:rFonts w:hint="eastAsia" w:ascii="宋体"/>
          <w:color w:val="auto"/>
          <w:szCs w:val="21"/>
          <w:highlight w:val="none"/>
        </w:rPr>
        <w:t>（</w:t>
      </w:r>
      <w:r>
        <w:rPr>
          <w:rFonts w:hint="eastAsia" w:ascii="宋体"/>
          <w:color w:val="auto"/>
          <w:szCs w:val="21"/>
          <w:highlight w:val="none"/>
          <w:lang w:val="en-US" w:eastAsia="zh-CN"/>
        </w:rPr>
        <w:t>6</w:t>
      </w:r>
      <w:r>
        <w:rPr>
          <w:rFonts w:hint="eastAsia" w:ascii="宋体"/>
          <w:color w:val="auto"/>
          <w:szCs w:val="21"/>
          <w:highlight w:val="none"/>
        </w:rPr>
        <w:t>） 补充条款</w:t>
      </w:r>
    </w:p>
    <w:p>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.2 除1</w:t>
      </w:r>
      <w:r>
        <w:rPr>
          <w:rFonts w:hint="eastAsia" w:ascii="宋体"/>
          <w:color w:val="auto"/>
          <w:szCs w:val="21"/>
          <w:highlight w:val="none"/>
          <w:lang w:val="en-US" w:eastAsia="zh-CN"/>
        </w:rPr>
        <w:t>5</w:t>
      </w:r>
      <w:r>
        <w:rPr>
          <w:rFonts w:hint="eastAsia" w:ascii="宋体"/>
          <w:color w:val="auto"/>
          <w:szCs w:val="21"/>
          <w:highlight w:val="none"/>
        </w:rPr>
        <w:t>.1内容外，</w:t>
      </w:r>
      <w:r>
        <w:rPr>
          <w:rFonts w:hint="eastAsia" w:ascii="宋体"/>
          <w:color w:val="auto"/>
          <w:szCs w:val="21"/>
          <w:highlight w:val="none"/>
          <w:lang w:val="en-US" w:eastAsia="zh-CN"/>
        </w:rPr>
        <w:t>磋商</w:t>
      </w:r>
      <w:r>
        <w:rPr>
          <w:rFonts w:hint="eastAsia" w:ascii="宋体"/>
          <w:color w:val="auto"/>
          <w:szCs w:val="21"/>
          <w:highlight w:val="none"/>
        </w:rPr>
        <w:t>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pPr>
        <w:pStyle w:val="12"/>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w:t>
      </w:r>
      <w:r>
        <w:rPr>
          <w:rFonts w:hint="eastAsia"/>
          <w:color w:val="auto"/>
          <w:szCs w:val="21"/>
          <w:highlight w:val="none"/>
          <w:lang w:val="en-US" w:eastAsia="zh-CN"/>
        </w:rPr>
        <w:t>5</w:t>
      </w:r>
      <w:r>
        <w:rPr>
          <w:rFonts w:hint="eastAsia"/>
          <w:color w:val="auto"/>
          <w:szCs w:val="21"/>
          <w:highlight w:val="none"/>
        </w:rPr>
        <w:t>.3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color w:val="auto"/>
          <w:szCs w:val="21"/>
          <w:highlight w:val="none"/>
          <w:lang w:val="en-US" w:eastAsia="zh-CN"/>
        </w:rPr>
        <w:t>新疆</w:t>
      </w:r>
      <w:r>
        <w:rPr>
          <w:rFonts w:hint="eastAsia" w:ascii="宋体"/>
          <w:color w:val="auto"/>
          <w:szCs w:val="21"/>
          <w:highlight w:val="none"/>
        </w:rPr>
        <w:t>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w:t>
      </w:r>
      <w:r>
        <w:rPr>
          <w:rFonts w:hint="eastAsia" w:ascii="宋体"/>
          <w:color w:val="auto"/>
          <w:szCs w:val="21"/>
          <w:highlight w:val="none"/>
          <w:lang w:eastAsia="zh-CN"/>
        </w:rPr>
        <w:t>响应文件</w:t>
      </w:r>
      <w:r>
        <w:rPr>
          <w:rFonts w:hint="eastAsia" w:ascii="宋体"/>
          <w:color w:val="auto"/>
          <w:szCs w:val="21"/>
          <w:highlight w:val="none"/>
        </w:rPr>
        <w:t>编制的，将相应延长投标截止时间。</w:t>
      </w:r>
    </w:p>
    <w:p>
      <w:pPr>
        <w:shd w:val="clear" w:color="auto" w:fill="auto"/>
        <w:spacing w:line="440" w:lineRule="exact"/>
        <w:ind w:firstLine="420" w:firstLineChars="200"/>
        <w:rPr>
          <w:rFonts w:hint="eastAsia" w:ascii="宋体"/>
          <w:b/>
          <w:bCs/>
          <w:color w:val="auto"/>
          <w:szCs w:val="21"/>
          <w:highlight w:val="none"/>
        </w:rPr>
      </w:pPr>
      <w:r>
        <w:rPr>
          <w:rFonts w:hint="eastAsia" w:ascii="宋体"/>
          <w:b/>
          <w:bCs/>
          <w:color w:val="auto"/>
          <w:szCs w:val="21"/>
          <w:highlight w:val="none"/>
        </w:rPr>
        <w:t>1</w:t>
      </w:r>
      <w:r>
        <w:rPr>
          <w:rFonts w:hint="eastAsia" w:ascii="宋体"/>
          <w:b/>
          <w:bCs/>
          <w:color w:val="auto"/>
          <w:szCs w:val="21"/>
          <w:highlight w:val="none"/>
          <w:lang w:val="en-US" w:eastAsia="zh-CN"/>
        </w:rPr>
        <w:t>6</w:t>
      </w:r>
      <w:r>
        <w:rPr>
          <w:rFonts w:hint="eastAsia" w:ascii="宋体"/>
          <w:b/>
          <w:bCs/>
          <w:color w:val="auto"/>
          <w:szCs w:val="21"/>
          <w:highlight w:val="none"/>
        </w:rPr>
        <w:t xml:space="preserve">. </w:t>
      </w:r>
      <w:r>
        <w:rPr>
          <w:rFonts w:hint="eastAsia" w:ascii="宋体"/>
          <w:b/>
          <w:bCs/>
          <w:color w:val="auto"/>
          <w:szCs w:val="21"/>
          <w:highlight w:val="none"/>
          <w:lang w:eastAsia="zh-CN"/>
        </w:rPr>
        <w:t>磋商文件</w:t>
      </w:r>
      <w:r>
        <w:rPr>
          <w:rFonts w:hint="eastAsia" w:ascii="宋体"/>
          <w:b/>
          <w:bCs/>
          <w:color w:val="auto"/>
          <w:szCs w:val="21"/>
          <w:highlight w:val="none"/>
        </w:rPr>
        <w:t>的修改、补充、解释</w:t>
      </w:r>
    </w:p>
    <w:p>
      <w:pPr>
        <w:shd w:val="clear" w:color="auto" w:fill="auto"/>
        <w:wordWrap w:val="0"/>
        <w:spacing w:line="400" w:lineRule="exact"/>
        <w:ind w:firstLine="315"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w:t>
      </w:r>
      <w:r>
        <w:rPr>
          <w:rFonts w:hint="eastAsia" w:ascii="宋体" w:hAnsi="宋体"/>
          <w:color w:val="auto"/>
          <w:szCs w:val="21"/>
          <w:highlight w:val="none"/>
          <w:lang w:eastAsia="zh-CN"/>
        </w:rPr>
        <w:t>磋商文件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pPr>
        <w:shd w:val="clear" w:color="auto" w:fill="auto"/>
        <w:wordWrap w:val="0"/>
        <w:spacing w:line="400" w:lineRule="exact"/>
        <w:ind w:firstLine="315" w:firstLineChars="1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.2 采购代理机构可视采购具体情况对已发出的采购文件进行必要的澄清、修改或者补充。澄清、修改或者补充的内容可能影响</w:t>
      </w:r>
      <w:r>
        <w:rPr>
          <w:rFonts w:hint="eastAsia" w:ascii="宋体" w:hAnsi="宋体"/>
          <w:color w:val="auto"/>
          <w:szCs w:val="21"/>
          <w:highlight w:val="none"/>
          <w:lang w:eastAsia="zh-CN"/>
        </w:rPr>
        <w:t>响应文件</w:t>
      </w:r>
      <w:r>
        <w:rPr>
          <w:rFonts w:hint="eastAsia" w:ascii="宋体" w:hAnsi="宋体"/>
          <w:color w:val="auto"/>
          <w:szCs w:val="21"/>
          <w:highlight w:val="none"/>
        </w:rPr>
        <w:t>编制的，应当在投标截止时间至少</w:t>
      </w:r>
      <w:r>
        <w:rPr>
          <w:rFonts w:hint="eastAsia" w:ascii="宋体" w:hAnsi="宋体"/>
          <w:color w:val="auto"/>
          <w:szCs w:val="21"/>
          <w:highlight w:val="none"/>
          <w:lang w:val="en-US" w:eastAsia="zh-CN"/>
        </w:rPr>
        <w:t>5</w:t>
      </w:r>
      <w:r>
        <w:rPr>
          <w:rFonts w:hint="eastAsia" w:ascii="宋体" w:hAnsi="宋体"/>
          <w:color w:val="auto"/>
          <w:szCs w:val="21"/>
          <w:highlight w:val="none"/>
        </w:rPr>
        <w:t>日前，在原公告发布媒体上发布澄清公告，澄清或者修改的内容为采购文件的组成部分；不足</w:t>
      </w:r>
      <w:r>
        <w:rPr>
          <w:rFonts w:hint="eastAsia" w:ascii="宋体" w:hAnsi="宋体"/>
          <w:color w:val="auto"/>
          <w:szCs w:val="21"/>
          <w:highlight w:val="none"/>
          <w:lang w:val="en-US" w:eastAsia="zh-CN"/>
        </w:rPr>
        <w:t>5</w:t>
      </w:r>
      <w:r>
        <w:rPr>
          <w:rFonts w:hint="eastAsia" w:ascii="宋体" w:hAnsi="宋体"/>
          <w:color w:val="auto"/>
          <w:szCs w:val="21"/>
          <w:highlight w:val="none"/>
        </w:rPr>
        <w:t>日的，应当顺延提交</w:t>
      </w:r>
      <w:r>
        <w:rPr>
          <w:rFonts w:hint="eastAsia" w:ascii="宋体" w:hAnsi="宋体"/>
          <w:color w:val="auto"/>
          <w:szCs w:val="21"/>
          <w:highlight w:val="none"/>
          <w:lang w:eastAsia="zh-CN"/>
        </w:rPr>
        <w:t>响应文件</w:t>
      </w:r>
      <w:r>
        <w:rPr>
          <w:rFonts w:hint="eastAsia" w:ascii="宋体" w:hAnsi="宋体"/>
          <w:color w:val="auto"/>
          <w:szCs w:val="21"/>
          <w:highlight w:val="none"/>
        </w:rPr>
        <w:t>的截止时间。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pPr>
        <w:shd w:val="clear" w:color="auto" w:fill="auto"/>
        <w:spacing w:line="400" w:lineRule="exact"/>
        <w:ind w:firstLine="420" w:firstLineChars="200"/>
        <w:rPr>
          <w:rFonts w:hint="eastAsia" w:ascii="宋体" w:hAnsi="宋体" w:eastAsia="宋体"/>
          <w:bCs/>
          <w:color w:val="auto"/>
          <w:szCs w:val="21"/>
          <w:highlight w:val="none"/>
          <w:lang w:val="en-US" w:eastAsia="zh-CN"/>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磋商文件</w:t>
      </w:r>
      <w:r>
        <w:rPr>
          <w:rFonts w:hint="eastAsia" w:ascii="宋体" w:hAnsi="宋体"/>
          <w:bCs/>
          <w:color w:val="auto"/>
          <w:szCs w:val="21"/>
          <w:highlight w:val="none"/>
        </w:rPr>
        <w:t>的解释</w:t>
      </w:r>
      <w:r>
        <w:rPr>
          <w:rFonts w:hint="eastAsia" w:ascii="宋体" w:hAnsi="宋体"/>
          <w:bCs/>
          <w:color w:val="auto"/>
          <w:szCs w:val="21"/>
          <w:highlight w:val="none"/>
          <w:lang w:val="en-US" w:eastAsia="zh-CN"/>
        </w:rPr>
        <w:t xml:space="preserve"> </w:t>
      </w:r>
    </w:p>
    <w:p>
      <w:pPr>
        <w:shd w:val="clear" w:color="auto" w:fill="auto"/>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磋商文件</w:t>
      </w:r>
      <w:r>
        <w:rPr>
          <w:rFonts w:hint="eastAsia" w:ascii="宋体" w:hAnsi="宋体"/>
          <w:color w:val="auto"/>
          <w:szCs w:val="21"/>
          <w:highlight w:val="none"/>
        </w:rPr>
        <w:t>由招标人（或其委托的招标代理机构）负责解释。</w:t>
      </w:r>
    </w:p>
    <w:p>
      <w:pPr>
        <w:shd w:val="clear" w:color="auto" w:fill="auto"/>
        <w:spacing w:line="400" w:lineRule="exact"/>
        <w:rPr>
          <w:rFonts w:ascii="宋体" w:hAnsi="宋体"/>
          <w:b/>
          <w:color w:val="auto"/>
          <w:szCs w:val="21"/>
          <w:highlight w:val="none"/>
        </w:rPr>
      </w:pPr>
      <w:r>
        <w:rPr>
          <w:rFonts w:hint="eastAsia" w:ascii="宋体" w:hAnsi="宋体" w:cs="宋体"/>
          <w:b/>
          <w:color w:val="auto"/>
          <w:szCs w:val="21"/>
          <w:highlight w:val="none"/>
        </w:rPr>
        <w:t xml:space="preserve">   </w:t>
      </w:r>
      <w:r>
        <w:rPr>
          <w:rFonts w:hint="eastAsia"/>
          <w:b/>
          <w:color w:val="auto"/>
          <w:szCs w:val="21"/>
          <w:highlight w:val="none"/>
        </w:rPr>
        <w:t>1</w:t>
      </w:r>
      <w:r>
        <w:rPr>
          <w:rFonts w:hint="eastAsia"/>
          <w:b/>
          <w:color w:val="auto"/>
          <w:szCs w:val="21"/>
          <w:highlight w:val="none"/>
          <w:lang w:val="en-US" w:eastAsia="zh-CN"/>
        </w:rPr>
        <w:t>7</w:t>
      </w:r>
      <w:r>
        <w:rPr>
          <w:rFonts w:hint="eastAsia"/>
          <w:b/>
          <w:color w:val="auto"/>
          <w:szCs w:val="21"/>
          <w:highlight w:val="none"/>
        </w:rPr>
        <w:t xml:space="preserve">. </w:t>
      </w:r>
      <w:r>
        <w:rPr>
          <w:rFonts w:hint="eastAsia" w:ascii="宋体" w:hAnsi="宋体"/>
          <w:b/>
          <w:color w:val="auto"/>
          <w:szCs w:val="21"/>
          <w:highlight w:val="none"/>
          <w:lang w:eastAsia="zh-CN"/>
        </w:rPr>
        <w:t>磋商文件</w:t>
      </w:r>
      <w:r>
        <w:rPr>
          <w:rFonts w:hint="eastAsia" w:ascii="宋体" w:hAnsi="宋体"/>
          <w:b/>
          <w:color w:val="auto"/>
          <w:szCs w:val="21"/>
          <w:highlight w:val="none"/>
        </w:rPr>
        <w:t>的发出</w:t>
      </w:r>
    </w:p>
    <w:p>
      <w:pPr>
        <w:shd w:val="clear" w:color="auto" w:fill="auto"/>
        <w:spacing w:line="400" w:lineRule="exact"/>
        <w:ind w:firstLine="315" w:firstLineChars="150"/>
        <w:rPr>
          <w:rFonts w:ascii="宋体" w:hAnsi="宋体"/>
          <w:color w:val="auto"/>
          <w:szCs w:val="21"/>
          <w:highlight w:val="green"/>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.1  </w:t>
      </w:r>
      <w:r>
        <w:rPr>
          <w:rFonts w:hint="eastAsia" w:ascii="宋体" w:hAnsi="宋体"/>
          <w:color w:val="auto"/>
          <w:szCs w:val="21"/>
          <w:highlight w:val="none"/>
          <w:lang w:eastAsia="zh-CN"/>
        </w:rPr>
        <w:t>磋商文件</w:t>
      </w:r>
      <w:r>
        <w:rPr>
          <w:rFonts w:hint="eastAsia" w:ascii="宋体" w:hAnsi="宋体"/>
          <w:color w:val="auto"/>
          <w:szCs w:val="21"/>
          <w:highlight w:val="none"/>
        </w:rPr>
        <w:t>、</w:t>
      </w:r>
      <w:r>
        <w:rPr>
          <w:rFonts w:hint="eastAsia" w:ascii="宋体" w:hAnsi="宋体"/>
          <w:color w:val="auto"/>
          <w:szCs w:val="21"/>
          <w:highlight w:val="none"/>
          <w:lang w:eastAsia="zh-CN"/>
        </w:rPr>
        <w:t>磋商文件</w:t>
      </w:r>
      <w:r>
        <w:rPr>
          <w:rFonts w:hint="eastAsia" w:ascii="宋体" w:hAnsi="宋体"/>
          <w:color w:val="auto"/>
          <w:szCs w:val="21"/>
          <w:highlight w:val="none"/>
        </w:rPr>
        <w:t>的澄清、修改、补充及</w:t>
      </w:r>
      <w:r>
        <w:rPr>
          <w:rFonts w:hint="eastAsia" w:ascii="宋体" w:hAnsi="宋体"/>
          <w:color w:val="auto"/>
          <w:szCs w:val="21"/>
          <w:highlight w:val="none"/>
          <w:lang w:val="en-US" w:eastAsia="zh-CN"/>
        </w:rPr>
        <w:t>磋商</w:t>
      </w:r>
      <w:r>
        <w:rPr>
          <w:rFonts w:hint="eastAsia" w:ascii="宋体" w:hAnsi="宋体"/>
          <w:color w:val="auto"/>
          <w:szCs w:val="21"/>
          <w:highlight w:val="none"/>
        </w:rPr>
        <w:t>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pPr>
        <w:shd w:val="clear" w:color="auto" w:fill="auto"/>
        <w:spacing w:line="440" w:lineRule="exact"/>
        <w:ind w:firstLine="279" w:firstLineChars="133"/>
        <w:rPr>
          <w:rFonts w:hint="eastAsia" w:ascii="宋体"/>
          <w:color w:val="auto"/>
          <w:szCs w:val="21"/>
          <w:highlight w:val="none"/>
        </w:rPr>
      </w:pPr>
      <w:bookmarkStart w:id="86" w:name="_Toc469495726"/>
      <w:r>
        <w:rPr>
          <w:rFonts w:hint="eastAsia"/>
          <w:b/>
          <w:color w:val="auto"/>
          <w:szCs w:val="21"/>
          <w:highlight w:val="none"/>
        </w:rPr>
        <w:t>1</w:t>
      </w:r>
      <w:r>
        <w:rPr>
          <w:rFonts w:hint="eastAsia"/>
          <w:b/>
          <w:color w:val="auto"/>
          <w:szCs w:val="21"/>
          <w:highlight w:val="none"/>
          <w:lang w:val="en-US" w:eastAsia="zh-CN"/>
        </w:rPr>
        <w:t>8</w:t>
      </w:r>
      <w:r>
        <w:rPr>
          <w:rFonts w:hint="eastAsia"/>
          <w:b/>
          <w:color w:val="auto"/>
          <w:szCs w:val="21"/>
          <w:highlight w:val="none"/>
        </w:rPr>
        <w:t xml:space="preserve">. </w:t>
      </w:r>
      <w:r>
        <w:rPr>
          <w:rFonts w:hint="eastAsia" w:ascii="宋体"/>
          <w:color w:val="auto"/>
          <w:szCs w:val="21"/>
          <w:highlight w:val="none"/>
        </w:rPr>
        <w:t>凡需要设置样品情形时，必须明确是否需要随样品提交检测报告，并明确检测机构的要求、检测内容、</w:t>
      </w:r>
      <w:r>
        <w:rPr>
          <w:rFonts w:hint="eastAsia" w:ascii="宋体"/>
          <w:b w:val="0"/>
          <w:bCs w:val="0"/>
          <w:color w:val="auto"/>
          <w:szCs w:val="21"/>
          <w:highlight w:val="none"/>
        </w:rPr>
        <w:t>中标样品封存</w:t>
      </w:r>
      <w:r>
        <w:rPr>
          <w:rFonts w:hint="eastAsia" w:ascii="宋体"/>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pPr>
        <w:shd w:val="clear" w:color="auto" w:fill="auto"/>
        <w:spacing w:line="400" w:lineRule="exact"/>
        <w:ind w:firstLine="420"/>
        <w:rPr>
          <w:rFonts w:hint="eastAsia" w:ascii="宋体"/>
          <w:color w:val="auto"/>
          <w:szCs w:val="21"/>
          <w:highlight w:val="none"/>
        </w:rPr>
      </w:pPr>
      <w:r>
        <w:rPr>
          <w:rFonts w:hint="eastAsia" w:ascii="宋体"/>
          <w:color w:val="auto"/>
          <w:szCs w:val="21"/>
          <w:highlight w:val="none"/>
          <w:lang w:eastAsia="zh-CN"/>
        </w:rPr>
        <w:t>采购文件</w:t>
      </w:r>
      <w:r>
        <w:rPr>
          <w:rFonts w:hint="eastAsia" w:ascii="宋体"/>
          <w:color w:val="auto"/>
          <w:szCs w:val="21"/>
          <w:highlight w:val="none"/>
        </w:rPr>
        <w:t>中应明确样品送检方式、检测费用支付方法、投标人在规定时间内无法提供第三方权威检测机构检测报告的处理方式。（</w:t>
      </w:r>
      <w:r>
        <w:rPr>
          <w:rFonts w:hint="eastAsia" w:ascii="宋体"/>
          <w:color w:val="auto"/>
          <w:szCs w:val="21"/>
          <w:highlight w:val="none"/>
          <w:lang w:eastAsia="zh-CN"/>
        </w:rPr>
        <w:t>采购人</w:t>
      </w:r>
      <w:r>
        <w:rPr>
          <w:rFonts w:hint="eastAsia" w:ascii="宋体"/>
          <w:color w:val="auto"/>
          <w:szCs w:val="21"/>
          <w:highlight w:val="none"/>
        </w:rPr>
        <w:t>根据项目需求按上述要求自行描述）</w:t>
      </w:r>
    </w:p>
    <w:p>
      <w:pPr>
        <w:shd w:val="clear" w:color="auto" w:fill="auto"/>
        <w:spacing w:before="312" w:beforeLines="100" w:after="312" w:afterLines="100" w:line="440" w:lineRule="exact"/>
        <w:jc w:val="center"/>
        <w:outlineLvl w:val="2"/>
        <w:rPr>
          <w:rFonts w:hint="eastAsia" w:ascii="宋体"/>
          <w:b/>
          <w:color w:val="auto"/>
          <w:sz w:val="28"/>
          <w:szCs w:val="28"/>
          <w:highlight w:val="none"/>
        </w:rPr>
      </w:pPr>
      <w:bookmarkStart w:id="87" w:name="_Toc31024"/>
      <w:r>
        <w:rPr>
          <w:rFonts w:hint="eastAsia" w:ascii="宋体"/>
          <w:b/>
          <w:color w:val="auto"/>
          <w:sz w:val="28"/>
          <w:szCs w:val="28"/>
          <w:highlight w:val="none"/>
        </w:rPr>
        <w:t>（三）响应文件的编制</w:t>
      </w:r>
      <w:bookmarkEnd w:id="86"/>
      <w:bookmarkEnd w:id="87"/>
    </w:p>
    <w:p>
      <w:pPr>
        <w:shd w:val="clear" w:color="auto" w:fill="auto"/>
        <w:spacing w:line="440" w:lineRule="exact"/>
        <w:ind w:firstLine="304" w:firstLineChars="145"/>
        <w:rPr>
          <w:rFonts w:hint="eastAsia" w:ascii="宋体" w:cs="宋体"/>
          <w:b/>
          <w:color w:val="auto"/>
          <w:szCs w:val="21"/>
          <w:highlight w:val="none"/>
        </w:rPr>
      </w:pPr>
      <w:r>
        <w:rPr>
          <w:rFonts w:hint="eastAsia"/>
          <w:b/>
          <w:color w:val="auto"/>
          <w:szCs w:val="21"/>
          <w:highlight w:val="none"/>
          <w:lang w:val="en-US" w:eastAsia="zh-CN"/>
        </w:rPr>
        <w:t>19</w:t>
      </w:r>
      <w:r>
        <w:rPr>
          <w:rFonts w:hint="eastAsia"/>
          <w:b/>
          <w:color w:val="auto"/>
          <w:szCs w:val="21"/>
          <w:highlight w:val="none"/>
        </w:rPr>
        <w:t xml:space="preserve">. </w:t>
      </w:r>
      <w:r>
        <w:rPr>
          <w:rFonts w:hint="eastAsia" w:ascii="宋体" w:cs="宋体"/>
          <w:b/>
          <w:color w:val="auto"/>
          <w:szCs w:val="21"/>
          <w:highlight w:val="none"/>
        </w:rPr>
        <w:t>投标的语言及度量衡单位</w:t>
      </w:r>
    </w:p>
    <w:p>
      <w:pPr>
        <w:shd w:val="clear" w:color="auto" w:fill="auto"/>
        <w:spacing w:line="440" w:lineRule="exact"/>
        <w:ind w:firstLine="283"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.1</w:t>
      </w:r>
      <w:r>
        <w:rPr>
          <w:rFonts w:ascii="宋体" w:hAnsi="宋体"/>
          <w:color w:val="auto"/>
          <w:szCs w:val="21"/>
          <w:highlight w:val="none"/>
        </w:rPr>
        <w:t>投标人</w:t>
      </w:r>
      <w:r>
        <w:rPr>
          <w:rFonts w:hint="eastAsia" w:ascii="宋体" w:hAnsi="宋体"/>
          <w:color w:val="auto"/>
          <w:szCs w:val="21"/>
          <w:highlight w:val="none"/>
        </w:rPr>
        <w:t>提交的</w:t>
      </w:r>
      <w:r>
        <w:rPr>
          <w:rFonts w:hint="eastAsia" w:ascii="宋体" w:hAnsi="宋体"/>
          <w:color w:val="auto"/>
          <w:szCs w:val="21"/>
          <w:highlight w:val="none"/>
          <w:lang w:eastAsia="zh-CN"/>
        </w:rPr>
        <w:t>响应文件</w:t>
      </w:r>
      <w:r>
        <w:rPr>
          <w:rFonts w:hint="eastAsia" w:ascii="宋体" w:hAnsi="宋体"/>
          <w:color w:val="auto"/>
          <w:szCs w:val="21"/>
          <w:highlight w:val="none"/>
        </w:rPr>
        <w:t>、技术文件和资料，以及投标人与招标人就有关投标的所有来往函电均应使用中文。</w:t>
      </w:r>
      <w:r>
        <w:rPr>
          <w:rFonts w:hint="eastAsia" w:ascii="宋体" w:hAnsi="宋体"/>
          <w:color w:val="auto"/>
          <w:szCs w:val="21"/>
          <w:highlight w:val="none"/>
          <w:lang w:eastAsia="zh-CN"/>
        </w:rPr>
        <w:t>响应文件</w:t>
      </w:r>
      <w:r>
        <w:rPr>
          <w:rFonts w:hint="eastAsia" w:ascii="宋体" w:hAnsi="宋体"/>
          <w:color w:val="auto"/>
          <w:szCs w:val="21"/>
          <w:highlight w:val="none"/>
        </w:rPr>
        <w:t>中若有英文或其他语言文字的资料，应提供相应的中文翻译资料。对不同文本</w:t>
      </w:r>
      <w:r>
        <w:rPr>
          <w:rFonts w:hint="eastAsia" w:ascii="宋体" w:hAnsi="宋体"/>
          <w:color w:val="auto"/>
          <w:szCs w:val="21"/>
          <w:highlight w:val="none"/>
          <w:lang w:eastAsia="zh-CN"/>
        </w:rPr>
        <w:t>响应文件</w:t>
      </w:r>
      <w:r>
        <w:rPr>
          <w:rFonts w:hint="eastAsia" w:ascii="宋体" w:hAnsi="宋体"/>
          <w:color w:val="auto"/>
          <w:szCs w:val="21"/>
          <w:highlight w:val="none"/>
        </w:rPr>
        <w:t>的解释发生异议的，以中文文本为准。</w:t>
      </w:r>
    </w:p>
    <w:p>
      <w:pPr>
        <w:shd w:val="clear" w:color="auto" w:fill="auto"/>
        <w:spacing w:line="440" w:lineRule="exact"/>
        <w:ind w:firstLine="283" w:firstLineChars="135"/>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19</w:t>
      </w:r>
      <w:r>
        <w:rPr>
          <w:rFonts w:hint="eastAsia" w:ascii="宋体"/>
          <w:color w:val="auto"/>
          <w:szCs w:val="21"/>
          <w:highlight w:val="none"/>
        </w:rPr>
        <w:t>.2除</w:t>
      </w:r>
      <w:r>
        <w:rPr>
          <w:rFonts w:hint="eastAsia" w:ascii="宋体"/>
          <w:color w:val="auto"/>
          <w:szCs w:val="21"/>
          <w:highlight w:val="none"/>
          <w:lang w:eastAsia="zh-CN"/>
        </w:rPr>
        <w:t>采购文件</w:t>
      </w:r>
      <w:r>
        <w:rPr>
          <w:rFonts w:hint="eastAsia" w:ascii="宋体"/>
          <w:color w:val="auto"/>
          <w:szCs w:val="21"/>
          <w:highlight w:val="none"/>
        </w:rPr>
        <w:t>中另有规定外，投标书所使用的度量衡均须采用法定计量单位。</w:t>
      </w:r>
    </w:p>
    <w:p>
      <w:pPr>
        <w:shd w:val="clear" w:color="auto" w:fill="auto"/>
        <w:spacing w:line="400" w:lineRule="exact"/>
        <w:ind w:firstLine="205" w:firstLineChars="98"/>
        <w:rPr>
          <w:rFonts w:hint="eastAsia" w:ascii="宋体" w:hAnsi="宋体"/>
          <w:b/>
          <w:color w:val="auto"/>
          <w:szCs w:val="21"/>
          <w:highlight w:val="none"/>
        </w:rPr>
      </w:pPr>
      <w:r>
        <w:rPr>
          <w:rFonts w:hint="eastAsia"/>
          <w:b/>
          <w:color w:val="auto"/>
          <w:szCs w:val="21"/>
          <w:highlight w:val="none"/>
          <w:lang w:val="en-US" w:eastAsia="zh-CN"/>
        </w:rPr>
        <w:t>20</w:t>
      </w:r>
      <w:r>
        <w:rPr>
          <w:rFonts w:hint="eastAsia"/>
          <w:b/>
          <w:color w:val="auto"/>
          <w:szCs w:val="21"/>
          <w:highlight w:val="none"/>
        </w:rPr>
        <w:t>. 响应</w:t>
      </w:r>
      <w:r>
        <w:rPr>
          <w:rFonts w:hint="eastAsia" w:ascii="宋体" w:hAnsi="宋体"/>
          <w:b/>
          <w:color w:val="auto"/>
          <w:szCs w:val="21"/>
          <w:highlight w:val="none"/>
        </w:rPr>
        <w:t>文件的组成</w:t>
      </w:r>
    </w:p>
    <w:p>
      <w:pPr>
        <w:shd w:val="clear" w:color="auto" w:fill="auto"/>
        <w:spacing w:line="400" w:lineRule="exact"/>
        <w:ind w:firstLine="417" w:firstLineChars="199"/>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rPr>
        <w:t xml:space="preserve">一 </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rPr>
        <w:t>开标一览表及资格证明文件</w:t>
      </w:r>
    </w:p>
    <w:p>
      <w:pPr>
        <w:shd w:val="clear" w:color="auto" w:fill="auto"/>
        <w:spacing w:line="400" w:lineRule="exact"/>
        <w:ind w:firstLine="417" w:firstLineChars="199"/>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rPr>
        <w:t>二</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rPr>
        <w:t xml:space="preserve">  商务及技术文件</w:t>
      </w:r>
    </w:p>
    <w:p>
      <w:pPr>
        <w:spacing w:line="360" w:lineRule="auto"/>
        <w:ind w:left="73" w:leftChars="35"/>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注：磋商响应文件中，所有</w:t>
      </w:r>
      <w:r>
        <w:rPr>
          <w:rFonts w:hint="eastAsia" w:ascii="宋体" w:hAnsi="宋体" w:eastAsia="宋体" w:cs="宋体"/>
          <w:b/>
          <w:color w:val="auto"/>
          <w:kern w:val="0"/>
          <w:szCs w:val="21"/>
          <w:highlight w:val="none"/>
          <w:u w:val="single"/>
          <w:lang w:val="en-US" w:eastAsia="zh-CN"/>
        </w:rPr>
        <w:t>投标人</w:t>
      </w:r>
      <w:r>
        <w:rPr>
          <w:rFonts w:hint="eastAsia" w:ascii="宋体" w:hAnsi="宋体" w:eastAsia="宋体" w:cs="宋体"/>
          <w:b/>
          <w:color w:val="auto"/>
          <w:kern w:val="0"/>
          <w:szCs w:val="21"/>
          <w:highlight w:val="none"/>
          <w:u w:val="single"/>
        </w:rPr>
        <w:t>签字、法人代表签字、法人代表授权人签字和其它签字处须同时加盖有关有法律效力的印章方为有效</w:t>
      </w:r>
      <w:r>
        <w:rPr>
          <w:rFonts w:hint="eastAsia" w:ascii="宋体" w:hAnsi="宋体" w:eastAsia="宋体" w:cs="宋体"/>
          <w:b/>
          <w:color w:val="auto"/>
          <w:kern w:val="0"/>
          <w:szCs w:val="21"/>
          <w:highlight w:val="none"/>
          <w:u w:val="single"/>
          <w:lang w:eastAsia="zh-CN"/>
        </w:rPr>
        <w:t>。</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响应文件的要求</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响应文件，所提交的全部资料必须真实有效，并且要保证字迹清晰易于辨认。响应文件应对采购文件实质性内容作出响应，否则按无效标处理。</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）响应文件格式应按本采购文件第六章格式要求编制，不得对采购文件格式进行增删更改，否则按无效标处理。</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）响应文件为电子响应文件，电子响应文件按“政采云供应商项目采购-电子招投标操作指南”及本采购文件要求制作、加密传输。</w:t>
      </w:r>
    </w:p>
    <w:p>
      <w:pPr>
        <w:shd w:val="clear" w:color="auto" w:fill="auto"/>
        <w:spacing w:line="400" w:lineRule="exact"/>
        <w:ind w:firstLine="417"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）响应文件未在投标截止时间前完成传输的，视为响应文件撤回；响应文件未按时解密也未提供备份响应文件的，亦视为响应文件撤回。</w:t>
      </w:r>
    </w:p>
    <w:p>
      <w:pPr>
        <w:shd w:val="clear" w:color="auto" w:fill="auto"/>
        <w:spacing w:line="440" w:lineRule="exact"/>
        <w:ind w:firstLine="420" w:firstLineChars="200"/>
        <w:rPr>
          <w:rFonts w:hint="eastAsia" w:ascii="宋体"/>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1</w:t>
      </w:r>
      <w:r>
        <w:rPr>
          <w:rFonts w:hint="eastAsia" w:ascii="宋体"/>
          <w:color w:val="auto"/>
          <w:szCs w:val="21"/>
          <w:highlight w:val="none"/>
        </w:rPr>
        <w:t>.</w:t>
      </w:r>
      <w:r>
        <w:rPr>
          <w:rFonts w:hint="eastAsia" w:ascii="宋体"/>
          <w:b/>
          <w:color w:val="auto"/>
          <w:szCs w:val="21"/>
          <w:highlight w:val="none"/>
          <w:lang w:eastAsia="zh-CN"/>
        </w:rPr>
        <w:t>磋商</w:t>
      </w:r>
      <w:r>
        <w:rPr>
          <w:rFonts w:hint="eastAsia" w:ascii="宋体"/>
          <w:b/>
          <w:color w:val="auto"/>
          <w:szCs w:val="21"/>
          <w:highlight w:val="none"/>
        </w:rPr>
        <w:t>报价</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.1投标报价文件中的单价和总价全部采用人民币表示。</w:t>
      </w:r>
    </w:p>
    <w:p>
      <w:pPr>
        <w:shd w:val="clear" w:color="auto" w:fill="auto"/>
        <w:spacing w:line="440" w:lineRule="exact"/>
        <w:ind w:firstLine="420" w:firstLineChars="200"/>
        <w:rPr>
          <w:rFonts w:hint="eastAsia" w:ascii="宋体"/>
          <w:color w:val="000000"/>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.2除本磋商文件另有规定外，</w:t>
      </w:r>
      <w:r>
        <w:rPr>
          <w:rFonts w:hint="eastAsia" w:ascii="宋体"/>
          <w:color w:val="auto"/>
          <w:szCs w:val="21"/>
          <w:highlight w:val="none"/>
          <w:lang w:val="en-US" w:eastAsia="zh-CN"/>
        </w:rPr>
        <w:t>投标人</w:t>
      </w:r>
      <w:r>
        <w:rPr>
          <w:rFonts w:hint="eastAsia" w:ascii="宋体"/>
          <w:color w:val="auto"/>
          <w:szCs w:val="21"/>
          <w:highlight w:val="none"/>
        </w:rPr>
        <w:t>应按磋商文件所附相应的投标一览表格式标明拟提供服务的单价和总价等内容。报价以人民币报价，不接受有任何选择性报价</w:t>
      </w:r>
      <w:r>
        <w:rPr>
          <w:rFonts w:hint="eastAsia" w:ascii="宋体"/>
          <w:color w:val="000000"/>
          <w:szCs w:val="21"/>
          <w:highlight w:val="none"/>
        </w:rPr>
        <w:t>。</w:t>
      </w:r>
    </w:p>
    <w:p>
      <w:pPr>
        <w:shd w:val="clear" w:color="auto" w:fill="auto"/>
        <w:spacing w:line="440" w:lineRule="exact"/>
        <w:ind w:firstLine="420" w:firstLineChars="200"/>
        <w:rPr>
          <w:rFonts w:hint="eastAsia" w:ascii="宋体" w:eastAsia="宋体"/>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.3本项目报价为分次报价，供应商响应文件中的报价作为第一次报价；以最终磋商报价作为评审价</w:t>
      </w:r>
      <w:r>
        <w:rPr>
          <w:rFonts w:hint="eastAsia" w:ascii="宋体"/>
          <w:color w:val="auto"/>
          <w:szCs w:val="21"/>
          <w:highlight w:val="none"/>
          <w:lang w:eastAsia="zh-CN"/>
        </w:rPr>
        <w:t>。</w:t>
      </w:r>
    </w:p>
    <w:p>
      <w:pPr>
        <w:spacing w:line="360" w:lineRule="auto"/>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.4投标报价应注意下列要求：</w:t>
      </w:r>
    </w:p>
    <w:p>
      <w:pPr>
        <w:shd w:val="clear" w:color="auto" w:fill="auto"/>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21.4.1</w:t>
      </w:r>
      <w:r>
        <w:rPr>
          <w:rFonts w:hint="eastAsia" w:ascii="宋体" w:hAnsi="Times New Roman" w:eastAsia="宋体" w:cs="Times New Roman"/>
          <w:color w:val="auto"/>
          <w:szCs w:val="21"/>
          <w:highlight w:val="none"/>
        </w:rPr>
        <w:t>投标报价应包括实施该项目涵盖的所有费用。</w:t>
      </w:r>
    </w:p>
    <w:p>
      <w:pPr>
        <w:shd w:val="clear" w:color="auto" w:fill="auto"/>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21.4.2</w:t>
      </w:r>
      <w:r>
        <w:rPr>
          <w:rFonts w:hint="eastAsia" w:ascii="宋体" w:hAnsi="Times New Roman" w:eastAsia="宋体" w:cs="Times New Roman"/>
          <w:color w:val="auto"/>
          <w:szCs w:val="21"/>
          <w:highlight w:val="none"/>
        </w:rPr>
        <w:t>算术性修正。算术性修正是指对磋商响应文件的报价明细进行校核，并对其算术上和运算上的差错给予修正。修正的原则如下：</w:t>
      </w:r>
    </w:p>
    <w:p>
      <w:pPr>
        <w:shd w:val="clear" w:color="auto" w:fill="auto"/>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21.4.3</w:t>
      </w:r>
      <w:r>
        <w:rPr>
          <w:rFonts w:hint="eastAsia" w:ascii="宋体" w:hAnsi="Times New Roman" w:eastAsia="宋体" w:cs="Times New Roman"/>
          <w:color w:val="auto"/>
          <w:szCs w:val="21"/>
          <w:highlight w:val="none"/>
        </w:rPr>
        <w:t xml:space="preserve"> 当以数字表示的金额与文字表示的金额有差异时，以文字表示的金额为准；</w:t>
      </w:r>
    </w:p>
    <w:p>
      <w:pPr>
        <w:shd w:val="clear" w:color="auto" w:fill="auto"/>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21.4.4</w:t>
      </w:r>
      <w:r>
        <w:rPr>
          <w:rFonts w:hint="eastAsia" w:ascii="宋体" w:hAnsi="Times New Roman" w:eastAsia="宋体" w:cs="Times New Roman"/>
          <w:color w:val="auto"/>
          <w:szCs w:val="21"/>
          <w:highlight w:val="none"/>
        </w:rPr>
        <w:t xml:space="preserve"> 当单价与数量相乘不等于合价时，以单价计算为准。如果单价有明显的小数点位置差错，应以标出的合价为准，同时对单价予以修正；</w:t>
      </w:r>
    </w:p>
    <w:p>
      <w:pPr>
        <w:shd w:val="clear" w:color="auto" w:fill="auto"/>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21.4.5</w:t>
      </w:r>
      <w:r>
        <w:rPr>
          <w:rFonts w:hint="eastAsia" w:ascii="宋体" w:hAnsi="Times New Roman" w:eastAsia="宋体" w:cs="Times New Roman"/>
          <w:color w:val="auto"/>
          <w:szCs w:val="21"/>
          <w:highlight w:val="none"/>
        </w:rPr>
        <w:t>当各明细部分的价格累计不等于合价时，应以各明细的累计计数为准，修正合价。</w:t>
      </w:r>
    </w:p>
    <w:p>
      <w:pPr>
        <w:shd w:val="clear" w:color="auto" w:fill="auto"/>
        <w:spacing w:line="44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21.5</w:t>
      </w:r>
      <w:r>
        <w:rPr>
          <w:rFonts w:hint="eastAsia" w:ascii="宋体" w:hAnsi="Times New Roman" w:eastAsia="宋体" w:cs="Times New Roman"/>
          <w:color w:val="auto"/>
          <w:szCs w:val="21"/>
          <w:highlight w:val="none"/>
        </w:rPr>
        <w:t>按以上原则对算术性差错修正，应取得</w:t>
      </w:r>
      <w:r>
        <w:rPr>
          <w:rFonts w:hint="eastAsia" w:ascii="宋体" w:hAnsi="Times New Roman" w:eastAsia="宋体" w:cs="Times New Roman"/>
          <w:color w:val="auto"/>
          <w:szCs w:val="21"/>
          <w:highlight w:val="none"/>
          <w:lang w:val="en-US" w:eastAsia="zh-CN"/>
        </w:rPr>
        <w:t>投标人</w:t>
      </w:r>
      <w:r>
        <w:rPr>
          <w:rFonts w:hint="eastAsia" w:ascii="宋体" w:hAnsi="Times New Roman" w:eastAsia="宋体" w:cs="Times New Roman"/>
          <w:color w:val="auto"/>
          <w:szCs w:val="21"/>
          <w:highlight w:val="none"/>
        </w:rPr>
        <w:t>的同意，并确认修正后最终投标价。如果</w:t>
      </w:r>
      <w:r>
        <w:rPr>
          <w:rFonts w:hint="eastAsia" w:ascii="宋体" w:hAnsi="Times New Roman" w:eastAsia="宋体" w:cs="Times New Roman"/>
          <w:color w:val="auto"/>
          <w:szCs w:val="21"/>
          <w:highlight w:val="none"/>
          <w:lang w:val="en-US" w:eastAsia="zh-CN"/>
        </w:rPr>
        <w:t>投标人</w:t>
      </w:r>
      <w:r>
        <w:rPr>
          <w:rFonts w:hint="eastAsia" w:ascii="宋体" w:hAnsi="Times New Roman" w:eastAsia="宋体" w:cs="Times New Roman"/>
          <w:color w:val="auto"/>
          <w:szCs w:val="21"/>
          <w:highlight w:val="none"/>
        </w:rPr>
        <w:t>拒绝确认，则其磋商响应文件将不予以评审并按废标处理，没收其投标担保。</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w:t>
      </w:r>
      <w:r>
        <w:rPr>
          <w:rFonts w:hint="eastAsia" w:ascii="宋体"/>
          <w:color w:val="auto"/>
          <w:szCs w:val="21"/>
          <w:highlight w:val="none"/>
          <w:lang w:val="en-US" w:eastAsia="zh-CN"/>
        </w:rPr>
        <w:t>6</w:t>
      </w:r>
      <w:r>
        <w:rPr>
          <w:rFonts w:hint="eastAsia" w:ascii="宋体"/>
          <w:color w:val="auto"/>
          <w:szCs w:val="21"/>
          <w:highlight w:val="none"/>
        </w:rPr>
        <w:t>投标报价应由法定代表人或被授权人签署。</w:t>
      </w:r>
    </w:p>
    <w:p>
      <w:pPr>
        <w:shd w:val="clear" w:color="auto" w:fill="auto"/>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val="en-US" w:eastAsia="zh-CN"/>
        </w:rPr>
        <w:t>1</w:t>
      </w:r>
      <w:r>
        <w:rPr>
          <w:rFonts w:hint="eastAsia" w:ascii="宋体"/>
          <w:bCs/>
          <w:color w:val="auto"/>
          <w:szCs w:val="21"/>
          <w:highlight w:val="none"/>
        </w:rPr>
        <w:t>.8</w:t>
      </w:r>
      <w:r>
        <w:rPr>
          <w:rFonts w:hint="eastAsia" w:ascii="宋体" w:hAnsi="宋体"/>
          <w:b/>
          <w:color w:val="auto"/>
          <w:szCs w:val="21"/>
          <w:highlight w:val="none"/>
        </w:rPr>
        <w:t>投标人投标总报价，不得高于本次</w:t>
      </w:r>
      <w:r>
        <w:rPr>
          <w:rFonts w:hint="eastAsia" w:ascii="宋体" w:hAnsi="宋体"/>
          <w:b/>
          <w:color w:val="auto"/>
          <w:szCs w:val="21"/>
          <w:highlight w:val="none"/>
          <w:lang w:val="en-US" w:eastAsia="zh-CN"/>
        </w:rPr>
        <w:t>磋商</w:t>
      </w:r>
      <w:r>
        <w:rPr>
          <w:rFonts w:hint="eastAsia" w:ascii="宋体" w:hAnsi="宋体"/>
          <w:b/>
          <w:color w:val="auto"/>
          <w:szCs w:val="21"/>
          <w:highlight w:val="none"/>
        </w:rPr>
        <w:t>设置的最高限价，</w:t>
      </w:r>
      <w:r>
        <w:rPr>
          <w:rFonts w:hint="eastAsia" w:ascii="宋体" w:hAnsi="宋体"/>
          <w:b/>
          <w:bCs/>
          <w:color w:val="auto"/>
          <w:szCs w:val="21"/>
          <w:highlight w:val="none"/>
        </w:rPr>
        <w:t>否则将作为无效投标处理。</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.9如</w:t>
      </w:r>
      <w:r>
        <w:rPr>
          <w:rFonts w:hint="eastAsia" w:ascii="宋体"/>
          <w:color w:val="auto"/>
          <w:szCs w:val="21"/>
          <w:highlight w:val="none"/>
          <w:lang w:eastAsia="zh-CN"/>
        </w:rPr>
        <w:t>响应文件</w:t>
      </w:r>
      <w:r>
        <w:rPr>
          <w:rFonts w:hint="eastAsia" w:ascii="宋体"/>
          <w:color w:val="auto"/>
          <w:szCs w:val="21"/>
          <w:highlight w:val="none"/>
        </w:rPr>
        <w:t>中未列明全面实现投标货物功能而必须配置的配套或辅助设施及相应技术措施的费用，这些费用将被视为已包含在总投标价中。</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.10总投标价中不得包含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pPr>
        <w:shd w:val="clear" w:color="auto" w:fill="auto"/>
        <w:spacing w:line="440" w:lineRule="exact"/>
        <w:ind w:firstLine="403" w:firstLineChars="192"/>
        <w:rPr>
          <w:rFonts w:hint="default" w:ascii="宋体" w:eastAsia="宋体"/>
          <w:color w:val="auto"/>
          <w:szCs w:val="21"/>
          <w:highlight w:val="none"/>
          <w:lang w:val="en-US"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.11总投标价中不得缺漏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color w:val="auto"/>
          <w:szCs w:val="21"/>
          <w:highlight w:val="none"/>
          <w:lang w:val="en-US" w:eastAsia="zh-CN"/>
        </w:rPr>
        <w:t xml:space="preserve">    </w:t>
      </w:r>
    </w:p>
    <w:p>
      <w:pPr>
        <w:shd w:val="clear" w:color="auto" w:fill="auto"/>
        <w:spacing w:line="440" w:lineRule="exact"/>
        <w:ind w:firstLine="403"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.12投标人不得对从第三方采购货物的随机备品、备件另行收费，否则在计算评标价时这部分费用将不予扣除，在授予合同时将从中标价格中扣除该部分费用。</w:t>
      </w:r>
    </w:p>
    <w:p>
      <w:pPr>
        <w:shd w:val="clear" w:color="auto" w:fill="auto"/>
        <w:spacing w:line="440" w:lineRule="exact"/>
        <w:ind w:firstLine="403"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.13投标人应根据货物的技术状况列出随机备品备件的清单和数量，并将该备品备件价格计入总投标价，若所提供的产品无需备件，则应在</w:t>
      </w:r>
      <w:r>
        <w:rPr>
          <w:rFonts w:hint="eastAsia" w:ascii="宋体"/>
          <w:color w:val="auto"/>
          <w:szCs w:val="21"/>
          <w:highlight w:val="none"/>
          <w:lang w:eastAsia="zh-CN"/>
        </w:rPr>
        <w:t>响应文件</w:t>
      </w:r>
      <w:r>
        <w:rPr>
          <w:rFonts w:hint="eastAsia" w:ascii="宋体"/>
          <w:color w:val="auto"/>
          <w:szCs w:val="21"/>
          <w:highlight w:val="none"/>
        </w:rPr>
        <w:t>中说明；无论投标人在报价中列明随机备品备件的数量及价格多少，在质保期内招标人均无需为维护维修保养所需的专用工具和备品备件另行支付费用。</w:t>
      </w:r>
    </w:p>
    <w:p>
      <w:pPr>
        <w:shd w:val="clear" w:color="auto" w:fill="auto"/>
        <w:spacing w:line="440" w:lineRule="exact"/>
        <w:ind w:firstLine="420" w:firstLineChars="200"/>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2</w:t>
      </w:r>
      <w:r>
        <w:rPr>
          <w:rFonts w:hint="eastAsia" w:ascii="宋体"/>
          <w:b/>
          <w:color w:val="auto"/>
          <w:szCs w:val="21"/>
          <w:highlight w:val="none"/>
        </w:rPr>
        <w:t>. 投标有效期</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.1 除投标人须知前附表另有规定外，投标有效期为60天。</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.2在投标有效期内，投标人撤销或修改其</w:t>
      </w:r>
      <w:r>
        <w:rPr>
          <w:rFonts w:hint="eastAsia" w:ascii="宋体"/>
          <w:color w:val="auto"/>
          <w:szCs w:val="21"/>
          <w:highlight w:val="none"/>
          <w:lang w:eastAsia="zh-CN"/>
        </w:rPr>
        <w:t>响应文件</w:t>
      </w:r>
      <w:r>
        <w:rPr>
          <w:rFonts w:hint="eastAsia" w:ascii="宋体"/>
          <w:color w:val="auto"/>
          <w:szCs w:val="21"/>
          <w:highlight w:val="none"/>
        </w:rPr>
        <w:t>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.3出现特殊情况需要延长投标有效期的，招标人以书面形式通知所有投标人延长投标有效期。投标人同意延长的，应相应延长其投标保证金的有效期，但不得要求或被允许修改或撤销其</w:t>
      </w:r>
      <w:r>
        <w:rPr>
          <w:rFonts w:hint="eastAsia" w:ascii="宋体"/>
          <w:color w:val="auto"/>
          <w:szCs w:val="21"/>
          <w:highlight w:val="none"/>
          <w:lang w:eastAsia="zh-CN"/>
        </w:rPr>
        <w:t>响应文件</w:t>
      </w:r>
      <w:r>
        <w:rPr>
          <w:rFonts w:hint="eastAsia" w:ascii="宋体"/>
          <w:color w:val="auto"/>
          <w:szCs w:val="21"/>
          <w:highlight w:val="none"/>
        </w:rPr>
        <w:t>；投标人拒绝延长的，其投标失效，但投标人有权收回其投标保证金。</w:t>
      </w:r>
    </w:p>
    <w:p>
      <w:pPr>
        <w:shd w:val="clear" w:color="auto" w:fill="auto"/>
        <w:spacing w:line="440" w:lineRule="exact"/>
        <w:ind w:firstLine="403" w:firstLineChars="192"/>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3</w:t>
      </w:r>
      <w:r>
        <w:rPr>
          <w:rFonts w:hint="eastAsia" w:ascii="宋体"/>
          <w:b/>
          <w:color w:val="auto"/>
          <w:szCs w:val="21"/>
          <w:highlight w:val="none"/>
        </w:rPr>
        <w:t>. 投标保证金</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.1投标人须知前附表规定递交投标保证金的，投标人在递交</w:t>
      </w:r>
      <w:r>
        <w:rPr>
          <w:rFonts w:hint="eastAsia" w:ascii="宋体"/>
          <w:color w:val="auto"/>
          <w:szCs w:val="21"/>
          <w:highlight w:val="none"/>
          <w:lang w:eastAsia="zh-CN"/>
        </w:rPr>
        <w:t>响应文件</w:t>
      </w:r>
      <w:r>
        <w:rPr>
          <w:rFonts w:hint="eastAsia" w:ascii="宋体"/>
          <w:color w:val="auto"/>
          <w:szCs w:val="21"/>
          <w:highlight w:val="none"/>
        </w:rPr>
        <w:t>的同时，应按投标人须知前附表规定的金额、担保形式和第六章“</w:t>
      </w:r>
      <w:r>
        <w:rPr>
          <w:rFonts w:hint="eastAsia" w:ascii="宋体"/>
          <w:color w:val="auto"/>
          <w:szCs w:val="21"/>
          <w:highlight w:val="none"/>
          <w:lang w:eastAsia="zh-CN"/>
        </w:rPr>
        <w:t>响应文件</w:t>
      </w:r>
      <w:r>
        <w:rPr>
          <w:rFonts w:hint="eastAsia" w:ascii="宋体"/>
          <w:color w:val="auto"/>
          <w:szCs w:val="21"/>
          <w:highlight w:val="none"/>
        </w:rPr>
        <w:t>格式”规定的投标保证金格式递交投标保证金，并作为其</w:t>
      </w:r>
      <w:r>
        <w:rPr>
          <w:rFonts w:hint="eastAsia" w:ascii="宋体"/>
          <w:color w:val="auto"/>
          <w:szCs w:val="21"/>
          <w:highlight w:val="none"/>
          <w:lang w:eastAsia="zh-CN"/>
        </w:rPr>
        <w:t>响应文件</w:t>
      </w:r>
      <w:r>
        <w:rPr>
          <w:rFonts w:hint="eastAsia" w:ascii="宋体"/>
          <w:color w:val="auto"/>
          <w:szCs w:val="21"/>
          <w:highlight w:val="none"/>
        </w:rPr>
        <w:t>的组成部分。投标人不按要求提交投标保证金的，评标委员会将否决其投标。</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.2自中标通知书发出之日起5个工作日内退还未中标投标人的投标保证金，自政府采购合同签订之日起5个工作日内退还中标人的投标保证金。</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 xml:space="preserve">.3有下列情形之一的，投标保证金将不予退还： </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（1）投标人在规定的投标有效期内撤回或修改其</w:t>
      </w:r>
      <w:r>
        <w:rPr>
          <w:rFonts w:hint="eastAsia" w:ascii="宋体"/>
          <w:color w:val="auto"/>
          <w:szCs w:val="21"/>
          <w:highlight w:val="none"/>
          <w:lang w:eastAsia="zh-CN"/>
        </w:rPr>
        <w:t>响应文件</w:t>
      </w:r>
      <w:r>
        <w:rPr>
          <w:rFonts w:hint="eastAsia" w:ascii="宋体"/>
          <w:color w:val="auto"/>
          <w:szCs w:val="21"/>
          <w:highlight w:val="none"/>
        </w:rPr>
        <w:t>；</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eastAsia="zh-CN"/>
        </w:rPr>
        <w:t>成交</w:t>
      </w:r>
      <w:r>
        <w:rPr>
          <w:rFonts w:hint="eastAsia" w:ascii="宋体"/>
          <w:color w:val="auto"/>
          <w:szCs w:val="21"/>
          <w:highlight w:val="none"/>
        </w:rPr>
        <w:t>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（3）提供虚假材料谋取中标的；</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（4）经查实属于陪标、串通投标的等。</w:t>
      </w:r>
    </w:p>
    <w:p>
      <w:pPr>
        <w:shd w:val="clear" w:color="auto" w:fill="auto"/>
        <w:spacing w:line="400" w:lineRule="exact"/>
        <w:ind w:firstLine="420" w:firstLineChars="200"/>
        <w:rPr>
          <w:rFonts w:hint="eastAsia" w:ascii="宋体"/>
          <w:color w:val="auto"/>
          <w:szCs w:val="21"/>
          <w:highlight w:val="none"/>
        </w:rPr>
      </w:pPr>
      <w:bookmarkStart w:id="88" w:name="_Toc469495727"/>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24条</w:t>
      </w:r>
      <w:r>
        <w:rPr>
          <w:rFonts w:hint="eastAsia" w:ascii="宋体"/>
          <w:color w:val="auto"/>
          <w:szCs w:val="21"/>
          <w:highlight w:val="none"/>
        </w:rPr>
        <w:t>规定执行。</w:t>
      </w:r>
    </w:p>
    <w:p>
      <w:pPr>
        <w:pStyle w:val="3"/>
        <w:numPr>
          <w:ilvl w:val="0"/>
          <w:numId w:val="0"/>
        </w:numPr>
        <w:shd w:val="clear" w:color="auto" w:fill="auto"/>
        <w:bidi w:val="0"/>
        <w:ind w:leftChars="0" w:firstLine="2240" w:firstLineChars="800"/>
        <w:jc w:val="both"/>
        <w:rPr>
          <w:rFonts w:hint="eastAsia"/>
          <w:color w:val="auto"/>
          <w:sz w:val="28"/>
          <w:szCs w:val="28"/>
          <w:highlight w:val="none"/>
        </w:rPr>
      </w:pPr>
      <w:bookmarkStart w:id="89" w:name="_Toc31427"/>
      <w:bookmarkStart w:id="90" w:name="_Toc15800"/>
      <w:bookmarkStart w:id="91" w:name="_Toc859"/>
    </w:p>
    <w:p>
      <w:pPr>
        <w:pStyle w:val="3"/>
        <w:numPr>
          <w:ilvl w:val="0"/>
          <w:numId w:val="0"/>
        </w:numPr>
        <w:shd w:val="clear" w:color="auto" w:fill="auto"/>
        <w:bidi w:val="0"/>
        <w:ind w:leftChars="0" w:firstLine="2240" w:firstLineChars="800"/>
        <w:jc w:val="both"/>
        <w:rPr>
          <w:rFonts w:hint="eastAsia"/>
          <w:color w:val="auto"/>
          <w:sz w:val="28"/>
          <w:szCs w:val="28"/>
          <w:highlight w:val="none"/>
        </w:rPr>
      </w:pPr>
      <w:r>
        <w:rPr>
          <w:rFonts w:hint="eastAsia"/>
          <w:color w:val="auto"/>
          <w:sz w:val="28"/>
          <w:szCs w:val="28"/>
          <w:highlight w:val="none"/>
        </w:rPr>
        <w:t>（四）</w:t>
      </w:r>
      <w:bookmarkEnd w:id="88"/>
      <w:r>
        <w:rPr>
          <w:rFonts w:hint="eastAsia"/>
          <w:color w:val="auto"/>
          <w:sz w:val="28"/>
          <w:szCs w:val="28"/>
          <w:highlight w:val="none"/>
          <w:lang w:eastAsia="zh-CN"/>
        </w:rPr>
        <w:t>响应文件</w:t>
      </w:r>
      <w:r>
        <w:rPr>
          <w:rFonts w:hint="eastAsia"/>
          <w:color w:val="auto"/>
          <w:sz w:val="28"/>
          <w:szCs w:val="28"/>
          <w:highlight w:val="none"/>
        </w:rPr>
        <w:t>的制作、上传及递交要求</w:t>
      </w:r>
      <w:bookmarkEnd w:id="89"/>
      <w:bookmarkEnd w:id="90"/>
      <w:bookmarkEnd w:id="91"/>
    </w:p>
    <w:p>
      <w:pPr>
        <w:shd w:val="clear" w:color="auto" w:fill="auto"/>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的制作要求</w:t>
      </w:r>
    </w:p>
    <w:p>
      <w:pPr>
        <w:pStyle w:val="7"/>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组成内容及项目</w:t>
      </w:r>
      <w:r>
        <w:rPr>
          <w:rFonts w:hint="eastAsia" w:ascii="宋体" w:hAnsi="宋体" w:cs="宋体"/>
          <w:b w:val="0"/>
          <w:bCs/>
          <w:color w:val="auto"/>
          <w:sz w:val="21"/>
          <w:szCs w:val="21"/>
          <w:highlight w:val="none"/>
          <w:lang w:val="en-US" w:eastAsia="zh-CN"/>
        </w:rPr>
        <w:t>磋商</w:t>
      </w:r>
      <w:r>
        <w:rPr>
          <w:rFonts w:hint="eastAsia" w:ascii="宋体" w:hAnsi="宋体" w:eastAsia="宋体" w:cs="宋体"/>
          <w:b w:val="0"/>
          <w:bCs/>
          <w:color w:val="auto"/>
          <w:sz w:val="21"/>
          <w:szCs w:val="21"/>
          <w:highlight w:val="none"/>
        </w:rPr>
        <w:t>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的将视情况处理（拒收等），由此产生的责任由供应商自行承担。</w:t>
      </w:r>
    </w:p>
    <w:p>
      <w:pPr>
        <w:pStyle w:val="7"/>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部分：供应商应根据“政采云供应商项目采购-电子招投标操作指南”及本采购文件规定的格式和顺序编制电子</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 xml:space="preserve">并进行关联定位。本文件《第六章 </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格式》中有提供格式的，供应商应按照格式进行编制（格式中要求提供相关证明材料的还需后附相关证明材料），并按格式要求在指定位置根据要求进行签章，否则视为未提供；本文件《第六章</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格式》未提供格式的，请供应商自行拟定格式，并加盖单位公章，否则视为未提供。</w:t>
      </w:r>
    </w:p>
    <w:p>
      <w:pPr>
        <w:pStyle w:val="7"/>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备份电子</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：通过“政采云”平台电子投标工具制作</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所产生的备份文件。</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中所须加盖公章部分均采用CA签章。</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以及供应商与采购组织机构就有关投标事宜的所有来往函电，均应以中文汉语书写。除签字、盖章、专用名称等特殊情形外，以中文汉语以外的文字表述的</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视同未提供。</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有针对性、简洁明了。</w:t>
      </w:r>
    </w:p>
    <w:p>
      <w:pPr>
        <w:shd w:val="clear" w:color="auto" w:fill="auto"/>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的上传</w:t>
      </w:r>
    </w:p>
    <w:p>
      <w:pPr>
        <w:pStyle w:val="7"/>
        <w:shd w:val="clear" w:color="auto" w:fill="auto"/>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电子加密响应文件（“.jmbs”格式）</w:t>
      </w:r>
      <w:r>
        <w:rPr>
          <w:rFonts w:hint="eastAsia" w:ascii="宋体" w:hAnsi="宋体" w:eastAsia="宋体" w:cs="宋体"/>
          <w:b/>
          <w:bCs/>
          <w:color w:val="auto"/>
          <w:sz w:val="21"/>
          <w:szCs w:val="21"/>
          <w:highlight w:val="none"/>
        </w:rPr>
        <w:t>：</w:t>
      </w:r>
    </w:p>
    <w:p>
      <w:pPr>
        <w:pStyle w:val="7"/>
        <w:shd w:val="clear" w:color="auto" w:fill="auto"/>
        <w:snapToGrid w:val="0"/>
        <w:spacing w:line="360" w:lineRule="auto"/>
        <w:ind w:firstLine="525"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供应商应在投标截止时间前将电子加密响应文件成功上传递交至新疆政府采购云平台，否则投标无效；</w:t>
      </w:r>
    </w:p>
    <w:p>
      <w:pPr>
        <w:pStyle w:val="7"/>
        <w:shd w:val="clear" w:color="auto" w:fill="auto"/>
        <w:snapToGrid w:val="0"/>
        <w:spacing w:line="360" w:lineRule="auto"/>
        <w:ind w:firstLine="525"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b.供应商成功上传电子加密响应文件后，可自行打印响应文件接收回执。</w:t>
      </w:r>
    </w:p>
    <w:p>
      <w:pPr>
        <w:shd w:val="clear" w:color="auto" w:fill="auto"/>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的递交要求</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递交截止时间以前完成</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的传输递交，截止时间后递交的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，将被拒收。</w:t>
      </w:r>
    </w:p>
    <w:p>
      <w:pPr>
        <w:shd w:val="clear" w:color="auto" w:fill="auto"/>
        <w:snapToGrid w:val="0"/>
        <w:spacing w:line="360" w:lineRule="auto"/>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27．响应文件的补充、修改与撤回</w:t>
      </w:r>
    </w:p>
    <w:p>
      <w:pPr>
        <w:shd w:val="clear" w:color="auto" w:fill="auto"/>
        <w:tabs>
          <w:tab w:val="left" w:pos="960"/>
          <w:tab w:val="left" w:pos="1418"/>
        </w:tabs>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撤回。投标截止时间后传输递交的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，“政府采购云平台”将予以拒收。投标截止时间后，供应商不得修改（补充）或撤回其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黑体" w:eastAsia="黑体"/>
          <w:color w:val="auto"/>
          <w:sz w:val="28"/>
          <w:szCs w:val="28"/>
          <w:highlight w:val="none"/>
        </w:rPr>
      </w:pPr>
      <w:bookmarkStart w:id="92" w:name="_Toc469495728"/>
      <w:bookmarkStart w:id="93" w:name="_Toc6569"/>
      <w:r>
        <w:rPr>
          <w:rFonts w:hint="eastAsia" w:ascii="黑体" w:eastAsia="黑体"/>
          <w:color w:val="auto"/>
          <w:sz w:val="28"/>
          <w:szCs w:val="28"/>
          <w:highlight w:val="none"/>
        </w:rPr>
        <w:t>（五）开 标、评标和定标</w:t>
      </w:r>
      <w:bookmarkEnd w:id="92"/>
      <w:bookmarkEnd w:id="93"/>
    </w:p>
    <w:p>
      <w:pPr>
        <w:shd w:val="clear" w:color="auto" w:fill="auto"/>
        <w:snapToGrid w:val="0"/>
        <w:spacing w:line="360" w:lineRule="auto"/>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28. 开标</w:t>
      </w:r>
    </w:p>
    <w:p>
      <w:pPr>
        <w:shd w:val="clear" w:color="auto" w:fill="auto"/>
        <w:snapToGrid w:val="0"/>
        <w:spacing w:line="360" w:lineRule="auto"/>
        <w:ind w:firstLine="420" w:firstLineChars="200"/>
        <w:rPr>
          <w:rFonts w:hint="eastAsia" w:ascii="宋体" w:hAnsi="宋体" w:eastAsia="宋体" w:cs="宋体"/>
          <w:b/>
          <w:bCs/>
          <w:color w:val="auto"/>
          <w:sz w:val="21"/>
          <w:szCs w:val="21"/>
          <w:highlight w:val="none"/>
          <w:lang w:val="en-US" w:eastAsia="zh-CN"/>
        </w:rPr>
      </w:pPr>
      <w:bookmarkStart w:id="94" w:name="_Toc73975822"/>
      <w:r>
        <w:rPr>
          <w:rFonts w:hint="eastAsia" w:ascii="宋体" w:hAnsi="宋体" w:eastAsia="宋体" w:cs="宋体"/>
          <w:b/>
          <w:bCs/>
          <w:color w:val="auto"/>
          <w:sz w:val="21"/>
          <w:szCs w:val="21"/>
          <w:highlight w:val="none"/>
          <w:lang w:val="en-US" w:eastAsia="zh-CN"/>
        </w:rPr>
        <w:t>28.1开标邀请</w:t>
      </w:r>
      <w:bookmarkEnd w:id="94"/>
    </w:p>
    <w:p>
      <w:pPr>
        <w:pStyle w:val="12"/>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pPr>
        <w:pStyle w:val="12"/>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pPr>
        <w:pStyle w:val="12"/>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28"/>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pPr>
        <w:pStyle w:val="12"/>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w:t>
      </w:r>
      <w:r>
        <w:rPr>
          <w:rFonts w:hint="eastAsia" w:hAnsi="宋体" w:eastAsia="宋体" w:cs="宋体"/>
          <w:b w:val="0"/>
          <w:color w:val="auto"/>
          <w:sz w:val="21"/>
          <w:szCs w:val="21"/>
          <w:highlight w:val="none"/>
          <w:lang w:eastAsia="zh-CN"/>
        </w:rPr>
        <w:t>响应文件</w:t>
      </w:r>
      <w:r>
        <w:rPr>
          <w:rFonts w:hint="eastAsia" w:ascii="宋体" w:hAnsi="宋体" w:eastAsia="宋体" w:cs="宋体"/>
          <w:b w:val="0"/>
          <w:color w:val="auto"/>
          <w:sz w:val="21"/>
          <w:szCs w:val="21"/>
          <w:highlight w:val="none"/>
        </w:rPr>
        <w:t>无法按时解密等一切后果由供应商自行承担。</w:t>
      </w:r>
    </w:p>
    <w:p>
      <w:pPr>
        <w:shd w:val="clear" w:color="auto" w:fill="auto"/>
        <w:snapToGrid w:val="0"/>
        <w:spacing w:line="360" w:lineRule="auto"/>
        <w:ind w:firstLine="420" w:firstLineChars="200"/>
        <w:outlineLvl w:val="2"/>
        <w:rPr>
          <w:rFonts w:hint="eastAsia" w:ascii="宋体" w:hAnsi="宋体" w:eastAsia="宋体" w:cs="宋体"/>
          <w:b/>
          <w:color w:val="auto"/>
          <w:sz w:val="21"/>
          <w:szCs w:val="21"/>
          <w:highlight w:val="none"/>
        </w:rPr>
      </w:pPr>
      <w:bookmarkStart w:id="95" w:name="_Toc73975823"/>
      <w:bookmarkStart w:id="96" w:name="_Toc7364"/>
      <w:r>
        <w:rPr>
          <w:rFonts w:hint="eastAsia" w:ascii="宋体" w:hAnsi="宋体" w:eastAsia="宋体" w:cs="宋体"/>
          <w:b/>
          <w:color w:val="auto"/>
          <w:sz w:val="21"/>
          <w:szCs w:val="21"/>
          <w:highlight w:val="none"/>
          <w:lang w:val="en-US" w:eastAsia="zh-CN"/>
        </w:rPr>
        <w:t>28.2</w:t>
      </w:r>
      <w:r>
        <w:rPr>
          <w:rFonts w:hint="eastAsia" w:ascii="宋体" w:hAnsi="宋体" w:eastAsia="宋体" w:cs="宋体"/>
          <w:b/>
          <w:bCs/>
          <w:color w:val="auto"/>
          <w:sz w:val="21"/>
          <w:szCs w:val="21"/>
          <w:highlight w:val="none"/>
        </w:rPr>
        <w:t>开标程序</w:t>
      </w:r>
      <w:bookmarkEnd w:id="95"/>
      <w:bookmarkEnd w:id="96"/>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开标时间到后，主持人宣布开标会议开始。</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解密（</w:t>
      </w:r>
      <w:r>
        <w:rPr>
          <w:rFonts w:hint="eastAsia" w:ascii="宋体" w:hAnsi="宋体" w:eastAsia="宋体" w:cs="宋体"/>
          <w:b/>
          <w:color w:val="auto"/>
          <w:kern w:val="0"/>
          <w:sz w:val="21"/>
          <w:szCs w:val="21"/>
          <w:highlight w:val="none"/>
        </w:rPr>
        <w:t>解密规定见《供应商须知前附表》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解密异常情况处理（</w:t>
      </w:r>
      <w:r>
        <w:rPr>
          <w:rFonts w:hint="eastAsia" w:ascii="宋体" w:hAnsi="宋体" w:eastAsia="宋体" w:cs="宋体"/>
          <w:b/>
          <w:color w:val="auto"/>
          <w:kern w:val="0"/>
          <w:sz w:val="21"/>
          <w:szCs w:val="21"/>
          <w:highlight w:val="none"/>
        </w:rPr>
        <w:t>处理办法见《供应商须知前附表》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开启标书信息。标书信息开启后，首先由采购人或采购代理机构</w:t>
      </w:r>
      <w:r>
        <w:rPr>
          <w:rFonts w:hint="eastAsia" w:ascii="宋体" w:hAnsi="宋体" w:eastAsia="宋体" w:cs="宋体"/>
          <w:color w:val="auto"/>
          <w:kern w:val="0"/>
          <w:sz w:val="21"/>
          <w:szCs w:val="21"/>
          <w:highlight w:val="none"/>
          <w:lang w:eastAsia="zh-CN"/>
        </w:rPr>
        <w:t>或评审小组</w:t>
      </w:r>
      <w:r>
        <w:rPr>
          <w:rFonts w:hint="eastAsia" w:ascii="宋体" w:hAnsi="宋体" w:eastAsia="宋体" w:cs="宋体"/>
          <w:color w:val="auto"/>
          <w:kern w:val="0"/>
          <w:sz w:val="21"/>
          <w:szCs w:val="21"/>
          <w:highlight w:val="none"/>
        </w:rPr>
        <w:t>依法对投标供应商的资格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文件进行审查（具体见本章</w:t>
      </w:r>
      <w:r>
        <w:rPr>
          <w:rFonts w:hint="eastAsia" w:ascii="宋体" w:hAnsi="宋体" w:eastAsia="宋体" w:cs="宋体"/>
          <w:color w:val="FF0000"/>
          <w:kern w:val="0"/>
          <w:sz w:val="21"/>
          <w:szCs w:val="21"/>
          <w:highlight w:val="none"/>
        </w:rPr>
        <w:t>“</w:t>
      </w:r>
      <w:r>
        <w:rPr>
          <w:rFonts w:hint="eastAsia" w:ascii="宋体" w:hAnsi="宋体" w:eastAsia="宋体" w:cs="宋体"/>
          <w:color w:val="FF0000"/>
          <w:kern w:val="0"/>
          <w:sz w:val="21"/>
          <w:szCs w:val="21"/>
          <w:highlight w:val="none"/>
          <w:lang w:val="en-US" w:eastAsia="zh-CN"/>
        </w:rPr>
        <w:t>3.1</w:t>
      </w:r>
      <w:r>
        <w:rPr>
          <w:rFonts w:hint="eastAsia" w:ascii="宋体" w:hAnsi="宋体" w:eastAsia="宋体" w:cs="宋体"/>
          <w:color w:val="auto"/>
          <w:kern w:val="0"/>
          <w:sz w:val="21"/>
          <w:szCs w:val="21"/>
          <w:highlight w:val="none"/>
        </w:rPr>
        <w:t>投标供应商资格审查”）， 审查结束公布投标供应商的资格符合情况。资格审查未获通过的供应商，其商务技术文件及报价文件不再进入评审。</w:t>
      </w:r>
    </w:p>
    <w:p>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商务技术评审无效的供应商，其报价不再进入评审。</w:t>
      </w:r>
    </w:p>
    <w:p>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开启有效投标供应商的报价，公布开标一览表有关内容，</w:t>
      </w:r>
      <w:r>
        <w:rPr>
          <w:rFonts w:hint="eastAsia" w:ascii="宋体" w:hAnsi="宋体" w:eastAsia="宋体" w:cs="宋体"/>
          <w:color w:val="auto"/>
          <w:sz w:val="21"/>
          <w:szCs w:val="21"/>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1"/>
          <w:szCs w:val="21"/>
          <w:highlight w:val="none"/>
        </w:rPr>
        <w:t>。开标结束后，由评标委员会对报价的合理性、准确性等进行审查核实</w:t>
      </w:r>
      <w:r>
        <w:rPr>
          <w:rFonts w:hint="eastAsia" w:ascii="宋体" w:hAnsi="宋体" w:eastAsia="宋体" w:cs="宋体"/>
          <w:color w:val="auto"/>
          <w:sz w:val="21"/>
          <w:szCs w:val="21"/>
          <w:highlight w:val="none"/>
        </w:rPr>
        <w:t>。</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评审结束后，采购代理机构在系统上公布评审结果。</w:t>
      </w:r>
    </w:p>
    <w:p>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pPr>
        <w:shd w:val="clear" w:color="auto" w:fill="auto"/>
        <w:snapToGrid w:val="0"/>
        <w:spacing w:line="360" w:lineRule="auto"/>
        <w:ind w:firstLine="371"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pPr>
        <w:shd w:val="clear" w:color="auto" w:fill="auto"/>
        <w:snapToGrid w:val="0"/>
        <w:spacing w:line="360" w:lineRule="auto"/>
        <w:ind w:firstLine="371"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pPr>
        <w:shd w:val="clear" w:color="auto" w:fill="auto"/>
        <w:snapToGrid w:val="0"/>
        <w:spacing w:line="360" w:lineRule="auto"/>
        <w:ind w:firstLine="420"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28.3</w:t>
      </w:r>
      <w:r>
        <w:rPr>
          <w:rFonts w:hint="eastAsia" w:ascii="宋体" w:hAnsi="宋体" w:eastAsia="宋体" w:cs="宋体"/>
          <w:b/>
          <w:color w:val="auto"/>
          <w:kern w:val="0"/>
          <w:sz w:val="21"/>
          <w:szCs w:val="21"/>
          <w:highlight w:val="none"/>
        </w:rPr>
        <w:t xml:space="preserve"> 投标供应商资格审查：</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eastAsia="宋体" w:cs="宋体"/>
          <w:color w:val="auto"/>
          <w:sz w:val="21"/>
          <w:szCs w:val="21"/>
          <w:highlight w:val="none"/>
        </w:rPr>
        <w:t>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评审工作的组织</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采购人或采购代理机构负责组织本项目的评审工作，并依据《政府采购货物和服务招标投标管理办法（财政部第87号令）》第四十五条的相关规定履行职责。</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 评标委员会的组建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.1评标委员会由采购人或采购代理机构依法组建，成员由采购人代表和评审专家组成，成员人数为</w:t>
      </w:r>
      <w:r>
        <w:rPr>
          <w:rFonts w:hint="eastAsia" w:ascii="宋体"/>
          <w:color w:val="auto"/>
          <w:szCs w:val="21"/>
          <w:highlight w:val="none"/>
          <w:lang w:val="en-US" w:eastAsia="zh-CN"/>
        </w:rPr>
        <w:t>3</w:t>
      </w:r>
      <w:r>
        <w:rPr>
          <w:rFonts w:hint="eastAsia" w:ascii="宋体"/>
          <w:color w:val="auto"/>
          <w:szCs w:val="21"/>
          <w:highlight w:val="none"/>
        </w:rPr>
        <w:t>人或以上单数，其中评审专家不少于成员总数的三分之二。</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.评标委员会的职责</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.1审查、评价</w:t>
      </w:r>
      <w:r>
        <w:rPr>
          <w:rFonts w:hint="eastAsia" w:ascii="宋体"/>
          <w:color w:val="auto"/>
          <w:szCs w:val="21"/>
          <w:highlight w:val="none"/>
          <w:lang w:eastAsia="zh-CN"/>
        </w:rPr>
        <w:t>响应文件</w:t>
      </w:r>
      <w:r>
        <w:rPr>
          <w:rFonts w:hint="eastAsia" w:ascii="宋体"/>
          <w:color w:val="auto"/>
          <w:szCs w:val="21"/>
          <w:highlight w:val="none"/>
        </w:rPr>
        <w:t>是否符合采购文件的商务、技术等实质性要求。</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.2要求供应商对</w:t>
      </w:r>
      <w:r>
        <w:rPr>
          <w:rFonts w:hint="eastAsia" w:ascii="宋体"/>
          <w:color w:val="auto"/>
          <w:szCs w:val="21"/>
          <w:highlight w:val="none"/>
          <w:lang w:eastAsia="zh-CN"/>
        </w:rPr>
        <w:t>响应文件</w:t>
      </w:r>
      <w:r>
        <w:rPr>
          <w:rFonts w:hint="eastAsia" w:ascii="宋体"/>
          <w:color w:val="auto"/>
          <w:szCs w:val="21"/>
          <w:highlight w:val="none"/>
        </w:rPr>
        <w:t>有关事项作出澄清或者说明。</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.3对</w:t>
      </w:r>
      <w:r>
        <w:rPr>
          <w:rFonts w:hint="eastAsia" w:ascii="宋体"/>
          <w:color w:val="auto"/>
          <w:szCs w:val="21"/>
          <w:highlight w:val="none"/>
          <w:lang w:eastAsia="zh-CN"/>
        </w:rPr>
        <w:t>响应文件</w:t>
      </w:r>
      <w:r>
        <w:rPr>
          <w:rFonts w:hint="eastAsia" w:ascii="宋体"/>
          <w:color w:val="auto"/>
          <w:szCs w:val="21"/>
          <w:highlight w:val="none"/>
        </w:rPr>
        <w:t>进行比较和评价。</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.4确定中标候选人名单，以及根据采购人委托直接确定中标人。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.5向采购人、采购代理机构或者有关部门报告评审中发现的违法行为。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评标原则</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.1评标委员会将遵循公平、公正、科学的原则，对供应商提交的</w:t>
      </w:r>
      <w:r>
        <w:rPr>
          <w:rFonts w:hint="eastAsia" w:ascii="宋体"/>
          <w:color w:val="auto"/>
          <w:szCs w:val="21"/>
          <w:highlight w:val="none"/>
          <w:lang w:eastAsia="zh-CN"/>
        </w:rPr>
        <w:t>响应文件</w:t>
      </w:r>
      <w:r>
        <w:rPr>
          <w:rFonts w:hint="eastAsia" w:ascii="宋体"/>
          <w:color w:val="auto"/>
          <w:szCs w:val="21"/>
          <w:highlight w:val="none"/>
        </w:rPr>
        <w:t>进行综合评审，评标委员会按照采购文件规定的评标细则进行评分。</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xml:space="preserve">.2客观公正对待所有供应商，对所有投标评价均采用相同的程序和标准。 </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33</w:t>
      </w:r>
      <w:r>
        <w:rPr>
          <w:rFonts w:hint="eastAsia" w:ascii="宋体"/>
          <w:color w:val="auto"/>
          <w:szCs w:val="21"/>
          <w:highlight w:val="none"/>
        </w:rPr>
        <w:t>. 评委纪律</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评标委员会成员必须严格遵守保密规定，不得泄露评审的有关情况，任何单位和个人不得干扰、影响评标的正常进行，评标委员会成员不得私下与投标供应商接触，不得出现</w:t>
      </w:r>
      <w:r>
        <w:rPr>
          <w:rFonts w:hint="eastAsia" w:ascii="宋体"/>
          <w:color w:val="auto"/>
          <w:szCs w:val="21"/>
          <w:highlight w:val="none"/>
          <w:lang w:val="en-US" w:eastAsia="zh-CN"/>
        </w:rPr>
        <w:t>新疆</w:t>
      </w:r>
      <w:r>
        <w:rPr>
          <w:rFonts w:hint="eastAsia" w:ascii="宋体"/>
          <w:color w:val="auto"/>
          <w:szCs w:val="21"/>
          <w:highlight w:val="none"/>
        </w:rPr>
        <w:t>政府采购活动现场组织管理办法中规定的其他禁止行为。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评标程序</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 在评审专家中推选评标委员会组长，采购人代表不得担任评标委员会组长。</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w:t>
      </w:r>
      <w:r>
        <w:rPr>
          <w:rFonts w:hint="eastAsia" w:ascii="宋体"/>
          <w:color w:val="auto"/>
          <w:szCs w:val="21"/>
          <w:highlight w:val="none"/>
          <w:lang w:eastAsia="zh-CN"/>
        </w:rPr>
        <w:t>响应文件</w:t>
      </w:r>
      <w:r>
        <w:rPr>
          <w:rFonts w:hint="eastAsia" w:ascii="宋体"/>
          <w:color w:val="auto"/>
          <w:szCs w:val="21"/>
          <w:highlight w:val="none"/>
        </w:rPr>
        <w:t>无效情形，评审方法、评审依据、评审标准等。</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3 评审人员对符合资格的供应商的</w:t>
      </w:r>
      <w:r>
        <w:rPr>
          <w:rFonts w:hint="eastAsia" w:ascii="宋体"/>
          <w:color w:val="auto"/>
          <w:szCs w:val="21"/>
          <w:highlight w:val="none"/>
          <w:lang w:eastAsia="zh-CN"/>
        </w:rPr>
        <w:t>响应文件</w:t>
      </w:r>
      <w:r>
        <w:rPr>
          <w:rFonts w:hint="eastAsia" w:ascii="宋体"/>
          <w:color w:val="auto"/>
          <w:szCs w:val="21"/>
          <w:highlight w:val="none"/>
        </w:rPr>
        <w:t>的有效性、符合性、完整性和响应程度进行审查，确定是否对采购文件作出实质性响应。</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4 评审人员按采购文件规定的评审方法和评审标准，依法独立对供应商</w:t>
      </w:r>
      <w:r>
        <w:rPr>
          <w:rFonts w:hint="eastAsia" w:ascii="宋体"/>
          <w:color w:val="auto"/>
          <w:szCs w:val="21"/>
          <w:highlight w:val="none"/>
          <w:lang w:eastAsia="zh-CN"/>
        </w:rPr>
        <w:t>响应文件</w:t>
      </w:r>
      <w:r>
        <w:rPr>
          <w:rFonts w:hint="eastAsia" w:ascii="宋体"/>
          <w:color w:val="auto"/>
          <w:szCs w:val="21"/>
          <w:highlight w:val="none"/>
        </w:rPr>
        <w:t>进行评估、比较，并给予评价或打分，不受任何单位和个人的干预。</w:t>
      </w:r>
    </w:p>
    <w:p>
      <w:pPr>
        <w:adjustRightInd w:val="0"/>
        <w:spacing w:line="360" w:lineRule="auto"/>
        <w:ind w:firstLine="411" w:firstLineChars="196"/>
        <w:rPr>
          <w:rFonts w:hint="eastAsia" w:ascii="仿宋" w:hAnsi="仿宋" w:eastAsia="仿宋" w:cs="仿宋"/>
          <w:color w:val="auto"/>
          <w:kern w:val="0"/>
          <w:sz w:val="24"/>
          <w:highlight w:val="none"/>
        </w:rPr>
      </w:pPr>
      <w:r>
        <w:rPr>
          <w:rFonts w:hint="eastAsia" w:ascii="宋体" w:hAnsi="Times New Roman" w:eastAsia="宋体" w:cs="Times New Roman"/>
          <w:color w:val="auto"/>
          <w:szCs w:val="21"/>
          <w:highlight w:val="none"/>
          <w:lang w:val="en-US" w:eastAsia="zh-CN"/>
        </w:rPr>
        <w:t>34.5</w:t>
      </w:r>
      <w:r>
        <w:rPr>
          <w:rFonts w:hint="eastAsia" w:ascii="宋体" w:hAnsi="Times New Roman" w:eastAsia="宋体" w:cs="Times New Roman"/>
          <w:color w:val="auto"/>
          <w:szCs w:val="21"/>
          <w:highlight w:val="none"/>
        </w:rPr>
        <w:t>符合性审查</w:t>
      </w:r>
      <w:r>
        <w:rPr>
          <w:rFonts w:hint="eastAsia" w:ascii="宋体" w:hAnsi="Times New Roman" w:eastAsia="宋体" w:cs="Times New Roman"/>
          <w:color w:val="auto"/>
          <w:szCs w:val="21"/>
          <w:highlight w:val="none"/>
          <w:lang w:eastAsia="zh-CN"/>
        </w:rPr>
        <w:t>。</w:t>
      </w:r>
      <w:r>
        <w:rPr>
          <w:rFonts w:hint="eastAsia" w:ascii="宋体" w:hAnsi="宋体" w:eastAsia="宋体" w:cs="宋体"/>
          <w:color w:val="auto"/>
          <w:kern w:val="0"/>
          <w:szCs w:val="21"/>
          <w:highlight w:val="none"/>
          <w:lang w:val="en-US" w:eastAsia="zh-CN"/>
        </w:rPr>
        <w:t>磋商小组应当对符合资格的磋商供应商的磋商响应文件进行符合性审查，以确定其是否满足采购文件的实质性要求。不满足采购文件的实质性要求的，投标无效。</w:t>
      </w:r>
    </w:p>
    <w:p>
      <w:pPr>
        <w:adjustRightInd w:val="0"/>
        <w:spacing w:line="360" w:lineRule="auto"/>
        <w:ind w:firstLine="411" w:firstLineChars="196"/>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34.6</w:t>
      </w:r>
      <w:r>
        <w:rPr>
          <w:rFonts w:hint="eastAsia" w:ascii="宋体" w:hAnsi="Times New Roman" w:eastAsia="宋体" w:cs="Times New Roman"/>
          <w:color w:val="auto"/>
          <w:szCs w:val="21"/>
          <w:highlight w:val="none"/>
        </w:rPr>
        <w:t>与各磋商响应方进行磋商。</w:t>
      </w:r>
    </w:p>
    <w:p>
      <w:pPr>
        <w:adjustRightInd w:val="0"/>
        <w:spacing w:line="360" w:lineRule="auto"/>
        <w:ind w:firstLine="411" w:firstLineChars="196"/>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磋商小组与符合要求的供应商进行磋商。磋商小组所有成员按照响应文件递交签到次序集中与单一供应商分别进行磋商，并给予所有参加磋商的供应商平等的磋商机会。磋商过程中，磋商小组可以根据磋商情况调整轮次。</w:t>
      </w:r>
    </w:p>
    <w:p>
      <w:pPr>
        <w:adjustRightInd w:val="0"/>
        <w:spacing w:line="360" w:lineRule="auto"/>
        <w:ind w:firstLine="411" w:firstLineChars="196"/>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2.经磋商确定采购文件的变动情况。对采购文件作出的实质性变动是采购文件的有效组成部分，磋商小组应当及时以书面形式同时通知所有参加磋商的供应商。</w:t>
      </w:r>
    </w:p>
    <w:p>
      <w:pPr>
        <w:adjustRightInd w:val="0"/>
        <w:spacing w:line="360" w:lineRule="auto"/>
        <w:ind w:firstLine="411" w:firstLineChars="196"/>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磋商小组应当按照采购文件中规定的评标方法和标准，对符合性审查合格的响应文件进行商务和技术评估，综合比较与评价。磋商小组各成员应当独立对每个磋商响应方的商务和技术文件进行评价，并汇总商务技术得分情况。</w:t>
      </w:r>
    </w:p>
    <w:p>
      <w:pPr>
        <w:adjustRightInd w:val="0"/>
        <w:spacing w:line="360" w:lineRule="auto"/>
        <w:ind w:firstLine="411" w:firstLineChars="196"/>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4.各磋商响应方在本项目全部磋商结束后在规定时间内进行最后报价（供应商需在30分钟内线上提交最终报价）。</w:t>
      </w:r>
    </w:p>
    <w:p>
      <w:pPr>
        <w:adjustRightInd w:val="0"/>
        <w:spacing w:line="360" w:lineRule="auto"/>
        <w:ind w:firstLine="411" w:firstLineChars="196"/>
        <w:rPr>
          <w:rFonts w:hint="eastAsia" w:ascii="仿宋" w:hAnsi="仿宋" w:eastAsia="仿宋" w:cs="仿宋"/>
          <w:color w:val="auto"/>
          <w:kern w:val="0"/>
          <w:sz w:val="24"/>
          <w:highlight w:val="none"/>
        </w:rPr>
      </w:pPr>
      <w:r>
        <w:rPr>
          <w:rFonts w:hint="eastAsia" w:ascii="宋体" w:hAnsi="Times New Roman" w:eastAsia="宋体" w:cs="Times New Roman"/>
          <w:color w:val="auto"/>
          <w:szCs w:val="21"/>
          <w:highlight w:val="none"/>
          <w:lang w:val="en-US" w:eastAsia="zh-CN"/>
        </w:rPr>
        <w:t>34.7汇总商务技术得分。</w:t>
      </w:r>
      <w:r>
        <w:rPr>
          <w:rFonts w:hint="eastAsia" w:ascii="宋体" w:hAnsi="宋体" w:eastAsia="宋体" w:cs="宋体"/>
          <w:color w:val="auto"/>
          <w:kern w:val="0"/>
          <w:szCs w:val="21"/>
          <w:highlight w:val="none"/>
          <w:lang w:val="en-US" w:eastAsia="zh-CN"/>
        </w:rPr>
        <w:t>磋商小组各成员应当独立对每个磋商供应商的商务和技术文件进行评价，并汇总商务技术得分情况。</w:t>
      </w:r>
    </w:p>
    <w:p>
      <w:pPr>
        <w:adjustRightInd w:val="0"/>
        <w:spacing w:line="360" w:lineRule="auto"/>
        <w:ind w:firstLine="411" w:firstLineChars="196"/>
        <w:rPr>
          <w:rFonts w:hint="eastAsia" w:ascii="宋体" w:hAnsi="Times New Roman" w:eastAsia="宋体" w:cs="Times New Roman"/>
          <w:color w:val="auto"/>
          <w:szCs w:val="21"/>
          <w:highlight w:val="none"/>
          <w:lang w:val="en-US" w:eastAsia="zh-CN"/>
        </w:rPr>
      </w:pPr>
      <w:r>
        <w:rPr>
          <w:rFonts w:hint="eastAsia" w:ascii="宋体" w:hAnsi="Times New Roman" w:eastAsia="宋体" w:cs="Times New Roman"/>
          <w:color w:val="auto"/>
          <w:szCs w:val="21"/>
          <w:highlight w:val="none"/>
          <w:lang w:val="en-US" w:eastAsia="zh-CN"/>
        </w:rPr>
        <w:t>34.8报价评审。</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磋商响应文件报价出现前后不一致的，按照下列规定修正：</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磋商响应文件中开标一览表(报价表)内容与磋商响应文件中相应内容不一致的，以开标一览表(报价表)为准;</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大写金额和小写金额不一致的，以大写金额为准;</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单价金额小数点或者百分比有明显错位的，以开标一览表的总价为准，并修改单价;</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总价金额与按单价汇总金额不一致的，以单价金额计算结果为准。</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同时出现两种以上不一致的，按照规定的顺序修正。</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磋商响应文件出现不是唯一的、有选择性投标报价的，投标无效。</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投标报价超过采购文件中规定的预算金额或者最高限价的，投标无效。</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磋商小组认为磋商供应商的报价明显低于其他通过符合性审查磋商供应商的报价，有可能影响产品质量或者不能诚信履约的，应当要求其在合理的时间内提供书面说明，必要时提交相关证明材料;磋商供应商不能证明其报价合理性的，磋商小组应当将其作为无效投标处理。</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Times New Roman" w:eastAsia="宋体" w:cs="Times New Roman"/>
          <w:color w:val="auto"/>
          <w:szCs w:val="21"/>
          <w:highlight w:val="none"/>
          <w:lang w:val="en-US" w:eastAsia="zh-CN"/>
        </w:rPr>
        <w:t>34.9排序与推荐。</w:t>
      </w:r>
      <w:r>
        <w:rPr>
          <w:rFonts w:hint="eastAsia" w:ascii="宋体" w:hAnsi="宋体" w:eastAsia="宋体" w:cs="宋体"/>
          <w:color w:val="auto"/>
          <w:kern w:val="0"/>
          <w:szCs w:val="21"/>
          <w:highlight w:val="none"/>
        </w:rPr>
        <w:t>采用综合评分法的，评标结果按评审后得分由高到低顺序排列。得分相同的，按投标报价由低到高顺序排列。得分且投标报价相同的并列。</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文件满足</w:t>
      </w:r>
      <w:r>
        <w:rPr>
          <w:rFonts w:hint="eastAsia" w:ascii="宋体" w:hAnsi="宋体" w:cs="宋体"/>
          <w:color w:val="auto"/>
          <w:kern w:val="0"/>
          <w:szCs w:val="21"/>
          <w:highlight w:val="none"/>
          <w:lang w:eastAsia="zh-CN"/>
        </w:rPr>
        <w:t>磋商文件</w:t>
      </w:r>
      <w:r>
        <w:rPr>
          <w:rFonts w:hint="eastAsia" w:ascii="宋体" w:hAnsi="宋体" w:eastAsia="宋体" w:cs="宋体"/>
          <w:color w:val="auto"/>
          <w:kern w:val="0"/>
          <w:szCs w:val="21"/>
          <w:highlight w:val="none"/>
        </w:rPr>
        <w:t>全部实质性要求，且按照评审因素的量化指标评审得分最高的投标人为排名第一的中标候选人。</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rPr>
          <w:rFonts w:hint="eastAsia"/>
          <w:color w:val="auto"/>
        </w:rPr>
      </w:pP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综合评分法货物项目的价格分值占总分值的比重(即权值)为</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磋商文件</w:t>
      </w:r>
      <w:r>
        <w:rPr>
          <w:rFonts w:hint="eastAsia" w:ascii="宋体" w:hAnsi="宋体" w:eastAsia="宋体" w:cs="宋体"/>
          <w:color w:val="auto"/>
          <w:kern w:val="0"/>
          <w:szCs w:val="21"/>
          <w:highlight w:val="none"/>
        </w:rPr>
        <w:t>要求且最后报价最低的供应商的价格为</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基准价，其价格分为满分。其他供应商的价格分统一按照下列公式计算：</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5 评审人员对各供应商</w:t>
      </w:r>
      <w:r>
        <w:rPr>
          <w:rFonts w:hint="eastAsia" w:ascii="宋体"/>
          <w:color w:val="auto"/>
          <w:szCs w:val="21"/>
          <w:highlight w:val="none"/>
          <w:lang w:eastAsia="zh-CN"/>
        </w:rPr>
        <w:t>响应文件</w:t>
      </w:r>
      <w:r>
        <w:rPr>
          <w:rFonts w:hint="eastAsia" w:ascii="宋体"/>
          <w:color w:val="auto"/>
          <w:szCs w:val="21"/>
          <w:highlight w:val="none"/>
        </w:rPr>
        <w:t>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34.6</w:t>
      </w:r>
      <w:r>
        <w:rPr>
          <w:rFonts w:hint="eastAsia" w:ascii="宋体"/>
          <w:color w:val="auto"/>
          <w:szCs w:val="21"/>
          <w:highlight w:val="none"/>
        </w:rPr>
        <w:t xml:space="preserve"> 评标委员会根据评审汇总情况和采购文件规定确定中标候选供应商排序名单。</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（1）分值汇总计算错误的；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（2）分项评分超出评分标准范围的；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（4）经评标委员会认定评分畸高、畸低的。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35．澄清、说明或补正的形式</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35.1对于响应文件中含义不明确、同类问题表述不一致或者有明显文字和计算错误的内容，评标委员会将通过“政府采购云平台”在线询标的方式要求投标供应商在规定的时间内作出必要的澄清、说明或者补正，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35.2投标供应商的澄清、说明或者补正应当通过“政府采购云平台”在线答复的方式提交，并加盖公章（电子印章），或者由法定代表人（负责人）或其授权的代表签字。投标供应商的澄清、说明或者补正不得超出响应文件的范围或者改变响应文件的实质性内容，不接受投标供应商主动对响应文件的澄清、说明或者补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36．错误修正的原则</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响应文件报价出现前后不一致的，除采购文件另有规定外，按照下列规定修正：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 投标函中表述的内容与报价表中不一致的，以报价表为准；报价表中的内容与报价明细表不一致的，以报价表为准；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 响应文件中的大写金额和小写金额不一致的，以大写金额为准；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 单价金额小数点或者百分比有明显错位的，以开标一览表的总价为准，并修改单价；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36.4 总价金额与按单价汇总金额不一致的，以单价金额计算结果为准；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36.5 若用文字表示的数值与用数字表示的数值不一致，以文字表示的数值为准；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36.7 对不同文字文本响应文件的解释发生异议的，以中文文本为准；</w:t>
      </w:r>
    </w:p>
    <w:p>
      <w:pPr>
        <w:shd w:val="clear" w:color="auto" w:fill="auto"/>
        <w:spacing w:line="440" w:lineRule="exact"/>
        <w:ind w:firstLine="210"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w:t>
      </w:r>
      <w:r>
        <w:rPr>
          <w:rFonts w:hint="eastAsia" w:ascii="宋体"/>
          <w:b/>
          <w:bCs/>
          <w:color w:val="auto"/>
          <w:szCs w:val="21"/>
          <w:highlight w:val="none"/>
          <w:lang w:val="en-US" w:eastAsia="zh-CN"/>
        </w:rPr>
        <w:t>修正应当采用电子询标的形式，并加盖公章（电子印章）。</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37．无效响应文件</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有下列情形之一的，响应文件按无效标处理：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报名的投标人与参加投标的投标人发生实质性变更的且未提供有效证明的；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37.2投标人提交两份或两份以上内容不同的响应文件，未声明哪一份有效的；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响应文件非投标人法定代表人签署的，未提供或提供无效的法定代表人授权书；</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 未按磋商文件规定装订；</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响应文件内容未按磋商文件规定签字或盖章的；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响应文件组成漏项或未按规定的格式编制或响应文件正、副本份数不足或内容不全或内容字迹模糊辨认不清的等而导致评标活动无法正常进行；</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 投标人未按磋商文件变更通知更改响应文件的；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37.8 《开标一览表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37.9 标项投标报价超过磋商文件规定的预算金额或最高限价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37.10 因投标人原因编制错误造成经评标委员会修正后的报价达到或超过投标报价的0.5%；</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37.12 未实质性响应磋商文件中条款要求的响应文件；</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37.13 不符合磋商范围、技术规格、技术标准的要求无法满足采购人使用要求；</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37.14 响应文件附有采购人不能接受的条款；</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37.15 响应文件中提供了赠品或者与本项目采购无关的其他商品、服务；</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37.16 响应文件中承诺的投标有效期少于磋商文件中载明的投标有效期；</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37.17投标人串通投标，妨碍其他投标人的竞争行为，损害采购人或者其他投标人的合法权益；</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37.18违反国家及政府部门相关法律、法规、文件规定或经评标委员会认定的其他属于重大偏离；</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38．废标</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 符合磋商文件规定废标情形的；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38.2 出现影响采购公正的违法、违规行为的；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38.3 供应商的报价均超过了采购预算（或最高限价），采购人不能支付的;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38.4 因重大变故，采购任务取消的。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39．突发情况处理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（1）短时间内能消除不可抗力因素的，采购代理机构或评审小组在消除不可抗力因素后继续组织电子交易活动； </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pPr>
        <w:shd w:val="clear" w:color="auto" w:fill="auto"/>
        <w:snapToGrid w:val="0"/>
        <w:spacing w:line="360" w:lineRule="exact"/>
        <w:ind w:firstLine="421"/>
        <w:rPr>
          <w:rFonts w:hint="eastAsia" w:ascii="宋体"/>
          <w:b/>
          <w:color w:val="auto"/>
          <w:szCs w:val="21"/>
          <w:highlight w:val="none"/>
        </w:rPr>
      </w:pPr>
      <w:r>
        <w:rPr>
          <w:rFonts w:hint="eastAsia" w:ascii="宋体"/>
          <w:b/>
          <w:color w:val="auto"/>
          <w:szCs w:val="21"/>
          <w:highlight w:val="none"/>
          <w:lang w:val="en-US" w:eastAsia="zh-CN"/>
        </w:rPr>
        <w:t>40</w:t>
      </w:r>
      <w:r>
        <w:rPr>
          <w:rFonts w:hint="eastAsia" w:ascii="宋体"/>
          <w:b/>
          <w:color w:val="auto"/>
          <w:szCs w:val="21"/>
          <w:highlight w:val="none"/>
        </w:rPr>
        <w:t>. 定标</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color w:val="auto"/>
          <w:szCs w:val="21"/>
          <w:highlight w:val="none"/>
        </w:rPr>
        <w:t xml:space="preserve">   </w:t>
      </w:r>
      <w:r>
        <w:rPr>
          <w:rFonts w:hint="eastAsia" w:ascii="宋体"/>
          <w:b w:val="0"/>
          <w:bCs w:val="0"/>
          <w:color w:val="auto"/>
          <w:szCs w:val="21"/>
          <w:highlight w:val="none"/>
          <w:lang w:val="en-US" w:eastAsia="zh-CN"/>
        </w:rPr>
        <w:t xml:space="preserve"> </w:t>
      </w:r>
      <w:bookmarkStart w:id="97" w:name="_Toc469495729"/>
      <w:r>
        <w:rPr>
          <w:rFonts w:hint="eastAsia" w:ascii="宋体"/>
          <w:b w:val="0"/>
          <w:bCs w:val="0"/>
          <w:color w:val="auto"/>
          <w:szCs w:val="21"/>
          <w:highlight w:val="none"/>
          <w:lang w:val="en-US" w:eastAsia="zh-CN"/>
        </w:rPr>
        <w:t>40.1采购结果确认（确定中标供应商）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420" w:firstLineChars="2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40.2采购结果经采购人确认后2个工作日内，采购代理机构将在</w:t>
      </w:r>
      <w:r>
        <w:rPr>
          <w:rFonts w:hint="eastAsia" w:ascii="宋体"/>
          <w:b/>
          <w:bCs/>
          <w:color w:val="auto"/>
          <w:szCs w:val="21"/>
          <w:highlight w:val="none"/>
          <w:lang w:val="en-US" w:eastAsia="zh-CN"/>
        </w:rPr>
        <w:t>新疆政府采购网（</w:t>
      </w:r>
      <w:r>
        <w:rPr>
          <w:rFonts w:hint="eastAsia" w:ascii="宋体"/>
          <w:b/>
          <w:bCs/>
          <w:color w:val="auto"/>
          <w:szCs w:val="21"/>
          <w:highlight w:val="none"/>
          <w:lang w:val="en-US" w:eastAsia="zh-CN"/>
        </w:rPr>
        <w:fldChar w:fldCharType="begin"/>
      </w:r>
      <w:r>
        <w:rPr>
          <w:rFonts w:hint="eastAsia" w:ascii="宋体"/>
          <w:b/>
          <w:bCs/>
          <w:color w:val="auto"/>
          <w:szCs w:val="21"/>
          <w:highlight w:val="none"/>
          <w:lang w:val="en-US" w:eastAsia="zh-CN"/>
        </w:rPr>
        <w:instrText xml:space="preserve">HYPERLINK "http://www.zcygov.cn"</w:instrText>
      </w:r>
      <w:r>
        <w:rPr>
          <w:rFonts w:hint="eastAsia" w:ascii="宋体"/>
          <w:b/>
          <w:bCs/>
          <w:color w:val="auto"/>
          <w:szCs w:val="21"/>
          <w:highlight w:val="none"/>
          <w:lang w:val="en-US" w:eastAsia="zh-CN"/>
        </w:rPr>
        <w:fldChar w:fldCharType="separate"/>
      </w:r>
      <w:r>
        <w:rPr>
          <w:rFonts w:hint="eastAsia" w:ascii="宋体"/>
          <w:b/>
          <w:bCs/>
          <w:color w:val="auto"/>
          <w:szCs w:val="21"/>
          <w:highlight w:val="none"/>
          <w:lang w:val="en-US" w:eastAsia="zh-CN"/>
        </w:rPr>
        <w:t>www.zcygov.cn</w:t>
      </w:r>
      <w:r>
        <w:rPr>
          <w:rFonts w:hint="eastAsia" w:ascii="宋体"/>
          <w:b/>
          <w:bCs/>
          <w:color w:val="auto"/>
          <w:szCs w:val="21"/>
          <w:highlight w:val="none"/>
          <w:lang w:val="en-US" w:eastAsia="zh-CN"/>
        </w:rPr>
        <w:fldChar w:fldCharType="end"/>
      </w:r>
      <w:r>
        <w:rPr>
          <w:rFonts w:hint="eastAsia" w:ascii="宋体"/>
          <w:b/>
          <w:bCs/>
          <w:color w:val="auto"/>
          <w:szCs w:val="21"/>
          <w:highlight w:val="none"/>
          <w:lang w:val="en-US" w:eastAsia="zh-CN"/>
        </w:rPr>
        <w:t>）上公告采购结果，中标公告期限为1个工作日。</w:t>
      </w:r>
    </w:p>
    <w:p>
      <w:pPr>
        <w:shd w:val="clear" w:color="auto" w:fill="auto"/>
        <w:spacing w:line="440" w:lineRule="exact"/>
        <w:ind w:firstLine="420" w:firstLineChars="2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 成交通知书</w:t>
      </w:r>
    </w:p>
    <w:p>
      <w:pPr>
        <w:shd w:val="clear" w:color="auto" w:fill="auto"/>
        <w:spacing w:line="440" w:lineRule="exact"/>
        <w:ind w:firstLine="420" w:firstLineChars="2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rPr>
        <w:t>予以公示，</w:t>
      </w:r>
      <w:r>
        <w:rPr>
          <w:rFonts w:hint="eastAsia" w:ascii="宋体" w:hAnsi="宋体" w:eastAsia="宋体" w:cs="宋体"/>
          <w:b/>
          <w:bCs/>
          <w:color w:val="auto"/>
          <w:szCs w:val="21"/>
          <w:highlight w:val="none"/>
        </w:rPr>
        <w:t>公示期为</w:t>
      </w: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个工作日。</w:t>
      </w:r>
      <w:r>
        <w:rPr>
          <w:rFonts w:hint="eastAsia" w:ascii="宋体" w:hAnsi="宋体" w:eastAsia="宋体" w:cs="宋体"/>
          <w:b/>
          <w:bCs/>
          <w:color w:val="auto"/>
          <w:szCs w:val="21"/>
          <w:highlight w:val="none"/>
          <w:lang w:eastAsia="zh-CN"/>
        </w:rPr>
        <w:t>待公示期结束后，</w:t>
      </w:r>
      <w:r>
        <w:rPr>
          <w:rFonts w:hint="eastAsia" w:ascii="宋体"/>
          <w:b w:val="0"/>
          <w:bCs w:val="0"/>
          <w:color w:val="auto"/>
          <w:szCs w:val="21"/>
          <w:highlight w:val="none"/>
          <w:lang w:val="en-US" w:eastAsia="zh-CN"/>
        </w:rPr>
        <w:t>采购组织机构向中标人发出中标通知书。</w:t>
      </w:r>
    </w:p>
    <w:p>
      <w:pPr>
        <w:shd w:val="clear" w:color="auto" w:fill="auto"/>
        <w:spacing w:line="440" w:lineRule="exact"/>
        <w:ind w:firstLine="420" w:firstLineChars="200"/>
        <w:jc w:val="left"/>
        <w:rPr>
          <w:rFonts w:hint="eastAsia" w:ascii="黑体" w:eastAsia="黑体"/>
          <w:color w:val="auto"/>
          <w:sz w:val="28"/>
          <w:szCs w:val="28"/>
          <w:highlight w:val="none"/>
        </w:rPr>
      </w:pPr>
      <w:r>
        <w:rPr>
          <w:rFonts w:hint="eastAsia" w:ascii="宋体"/>
          <w:b w:val="0"/>
          <w:bCs w:val="0"/>
          <w:color w:val="auto"/>
          <w:szCs w:val="21"/>
          <w:highlight w:val="none"/>
          <w:lang w:val="en-US" w:eastAsia="zh-CN"/>
        </w:rPr>
        <w:t>41.2成交通知书作为签订合同的重要依据，对采购人和中标供应商均具有法律效力。采购人改变中标结果或者中标供应商放弃中标项目的都应承担法律责任。成交供应商不得向他人转让中标项目，也不得将中标项目肢解后分别向他人转让。</w:t>
      </w:r>
      <w:bookmarkStart w:id="98" w:name="_Toc21524"/>
    </w:p>
    <w:p>
      <w:pPr>
        <w:shd w:val="clear" w:color="auto" w:fill="auto"/>
        <w:spacing w:before="156" w:beforeLines="50" w:line="440" w:lineRule="exact"/>
        <w:jc w:val="center"/>
        <w:outlineLvl w:val="2"/>
        <w:rPr>
          <w:rFonts w:hint="eastAsia" w:ascii="黑体" w:eastAsia="黑体"/>
          <w:color w:val="auto"/>
          <w:sz w:val="24"/>
          <w:highlight w:val="none"/>
        </w:rPr>
      </w:pPr>
      <w:r>
        <w:rPr>
          <w:rFonts w:hint="eastAsia" w:ascii="黑体" w:eastAsia="黑体"/>
          <w:color w:val="auto"/>
          <w:sz w:val="28"/>
          <w:szCs w:val="28"/>
          <w:highlight w:val="none"/>
        </w:rPr>
        <w:t>（六）合同的授予</w:t>
      </w:r>
      <w:bookmarkEnd w:id="97"/>
      <w:bookmarkEnd w:id="98"/>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bookmarkStart w:id="99" w:name="_Toc73975842"/>
      <w:bookmarkStart w:id="100" w:name="_Toc469495730"/>
      <w:r>
        <w:rPr>
          <w:rFonts w:hint="eastAsia" w:ascii="宋体"/>
          <w:b w:val="0"/>
          <w:bCs w:val="0"/>
          <w:color w:val="auto"/>
          <w:szCs w:val="21"/>
          <w:highlight w:val="none"/>
          <w:lang w:val="en-US" w:eastAsia="zh-CN"/>
        </w:rPr>
        <w:t>42．履约保证金</w:t>
      </w:r>
      <w:bookmarkEnd w:id="99"/>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 中标供应商在签订合同后5个工作日内向采购人交纳不超过中标价3%的履约保证金（鼓励以银行、保险公司出具的履约保函形式提交；若以电汇、银行转账方式提交的，必须转到采购人的指定账户）。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 签订合同后，如中标供应商不按合同约定履约的，履约保证金不予退还，履约保证金不足以赔偿损失的，按实际损失赔偿。</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42.3 如果中标供应商在建设期内没有涉及采购人的应付而未付金额或违约行为，采购人在项目验收合格后或提前终止合同后全额无息退还履约保证金。</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bookmarkStart w:id="101" w:name="_Toc73975843"/>
      <w:r>
        <w:rPr>
          <w:rFonts w:hint="eastAsia" w:ascii="宋体"/>
          <w:b w:val="0"/>
          <w:bCs w:val="0"/>
          <w:color w:val="auto"/>
          <w:szCs w:val="21"/>
          <w:highlight w:val="none"/>
          <w:lang w:val="en-US" w:eastAsia="zh-CN"/>
        </w:rPr>
        <w:t>43．签订合同及公告</w:t>
      </w:r>
      <w:bookmarkEnd w:id="101"/>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43.1采购人在中标通知书发出之日起30日内与中标供应商签订合同。</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43.2中标供应商拖延、拒签合同的,取消中标资格。</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43.3 采购文件、中标供应商的响应文件及评标过程中有关澄清文件等均作为签订合同的依据。所签订的合同不得对采购文件和中标供应商的响应文件的内容作实质性修改。</w:t>
      </w:r>
    </w:p>
    <w:p>
      <w:pPr>
        <w:shd w:val="clear" w:color="auto" w:fill="auto"/>
        <w:adjustRightInd w:val="0"/>
        <w:snapToGrid w:val="0"/>
        <w:spacing w:line="440" w:lineRule="exact"/>
        <w:jc w:val="center"/>
        <w:outlineLvl w:val="2"/>
        <w:rPr>
          <w:rFonts w:hint="eastAsia" w:ascii="黑体" w:eastAsia="黑体"/>
          <w:color w:val="auto"/>
          <w:sz w:val="28"/>
          <w:szCs w:val="28"/>
          <w:highlight w:val="none"/>
        </w:rPr>
      </w:pPr>
      <w:bookmarkStart w:id="102" w:name="_Toc29743"/>
      <w:r>
        <w:rPr>
          <w:rFonts w:hint="eastAsia" w:ascii="黑体" w:eastAsia="黑体"/>
          <w:color w:val="auto"/>
          <w:sz w:val="28"/>
          <w:szCs w:val="28"/>
          <w:highlight w:val="none"/>
        </w:rPr>
        <w:t>（七）纪律和监督</w:t>
      </w:r>
      <w:bookmarkEnd w:id="100"/>
      <w:bookmarkEnd w:id="102"/>
    </w:p>
    <w:p>
      <w:pPr>
        <w:shd w:val="clear" w:color="auto" w:fill="auto"/>
        <w:spacing w:line="440" w:lineRule="exact"/>
        <w:ind w:firstLine="308" w:firstLineChars="147"/>
        <w:jc w:val="left"/>
        <w:rPr>
          <w:rFonts w:hint="eastAsia" w:ascii="宋体"/>
          <w:b/>
          <w:color w:val="auto"/>
          <w:szCs w:val="21"/>
          <w:highlight w:val="none"/>
        </w:rPr>
      </w:pPr>
      <w:r>
        <w:rPr>
          <w:rFonts w:hint="eastAsia" w:ascii="宋体"/>
          <w:b/>
          <w:color w:val="auto"/>
          <w:szCs w:val="21"/>
          <w:highlight w:val="none"/>
          <w:lang w:val="en-US" w:eastAsia="zh-CN"/>
        </w:rPr>
        <w:t>44</w:t>
      </w:r>
      <w:r>
        <w:rPr>
          <w:rFonts w:hint="eastAsia" w:ascii="宋体"/>
          <w:b/>
          <w:color w:val="auto"/>
          <w:szCs w:val="21"/>
          <w:highlight w:val="none"/>
        </w:rPr>
        <w:t xml:space="preserve">. 对招标人的纪律要求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44</w:t>
      </w:r>
      <w:r>
        <w:rPr>
          <w:rFonts w:hint="eastAsia" w:ascii="宋体"/>
          <w:color w:val="auto"/>
          <w:kern w:val="10"/>
          <w:szCs w:val="21"/>
          <w:highlight w:val="none"/>
        </w:rPr>
        <w:t>.1招标人不得泄漏</w:t>
      </w:r>
      <w:r>
        <w:rPr>
          <w:rFonts w:hint="eastAsia" w:ascii="宋体"/>
          <w:color w:val="auto"/>
          <w:kern w:val="10"/>
          <w:szCs w:val="21"/>
          <w:highlight w:val="none"/>
          <w:lang w:val="en-US" w:eastAsia="zh-CN"/>
        </w:rPr>
        <w:t>磋商</w:t>
      </w:r>
      <w:r>
        <w:rPr>
          <w:rFonts w:hint="eastAsia" w:ascii="宋体"/>
          <w:color w:val="auto"/>
          <w:kern w:val="10"/>
          <w:szCs w:val="21"/>
          <w:highlight w:val="none"/>
        </w:rPr>
        <w:t xml:space="preserve">投标活动中应当保密的情况和资料，不得与投标人串通损害国家利益，社会公共利益或者他人合法权益。 </w:t>
      </w:r>
    </w:p>
    <w:p>
      <w:pPr>
        <w:shd w:val="clear" w:color="auto" w:fill="auto"/>
        <w:spacing w:line="440" w:lineRule="exact"/>
        <w:ind w:firstLine="308" w:firstLineChars="147"/>
        <w:jc w:val="left"/>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对投标人的纪律要求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08" w:firstLineChars="147"/>
        <w:jc w:val="left"/>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对评标委员会成员的纪律要求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.1评标委员会成员不得收受他人的财物或者其他好处，不得向他人透漏对</w:t>
      </w:r>
      <w:r>
        <w:rPr>
          <w:rFonts w:hint="eastAsia" w:ascii="宋体"/>
          <w:color w:val="auto"/>
          <w:kern w:val="10"/>
          <w:szCs w:val="21"/>
          <w:highlight w:val="none"/>
          <w:lang w:eastAsia="zh-CN"/>
        </w:rPr>
        <w:t>响应文件</w:t>
      </w:r>
      <w:r>
        <w:rPr>
          <w:rFonts w:hint="eastAsia" w:ascii="宋体"/>
          <w:color w:val="auto"/>
          <w:kern w:val="10"/>
          <w:szCs w:val="21"/>
          <w:highlight w:val="none"/>
        </w:rPr>
        <w:t>的评审和比较、中标候选人的推荐情况以及评标有关的其他情况。</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pPr>
        <w:shd w:val="clear" w:color="auto" w:fill="auto"/>
        <w:spacing w:line="440" w:lineRule="exact"/>
        <w:ind w:firstLine="308" w:firstLineChars="147"/>
        <w:jc w:val="left"/>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对与评标活动有关的工作人员的纪律要求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7</w:t>
      </w:r>
      <w:r>
        <w:rPr>
          <w:rFonts w:hint="eastAsia" w:ascii="宋体"/>
          <w:color w:val="auto"/>
          <w:kern w:val="10"/>
          <w:szCs w:val="21"/>
          <w:highlight w:val="none"/>
        </w:rPr>
        <w:t>.1与评标活动有关的工作人员不得收受他人的财物或者其他好处，不得向他人透漏对</w:t>
      </w:r>
      <w:r>
        <w:rPr>
          <w:rFonts w:hint="eastAsia" w:ascii="宋体"/>
          <w:color w:val="auto"/>
          <w:kern w:val="10"/>
          <w:szCs w:val="21"/>
          <w:highlight w:val="none"/>
          <w:lang w:eastAsia="zh-CN"/>
        </w:rPr>
        <w:t>响应文件</w:t>
      </w:r>
      <w:r>
        <w:rPr>
          <w:rFonts w:hint="eastAsia" w:ascii="宋体"/>
          <w:color w:val="auto"/>
          <w:kern w:val="10"/>
          <w:szCs w:val="21"/>
          <w:highlight w:val="none"/>
        </w:rPr>
        <w:t>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jc w:val="center"/>
        <w:rPr>
          <w:rFonts w:hint="eastAsia" w:ascii="黑体" w:hAnsi="宋体" w:eastAsia="黑体"/>
          <w:color w:val="auto"/>
          <w:sz w:val="28"/>
          <w:szCs w:val="28"/>
          <w:highlight w:val="none"/>
        </w:rPr>
      </w:pPr>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48．质疑和投诉</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48.1.供应商认为采购文件、采购过程和中标、成交结果使自己的权益受到损害的，可以在知道或者应知其</w:t>
      </w:r>
      <w:r>
        <w:rPr>
          <w:rFonts w:hint="eastAsia" w:ascii="宋体" w:hAnsi="Times New Roman" w:eastAsia="宋体" w:cs="Times New Roman"/>
          <w:b w:val="0"/>
          <w:bCs w:val="0"/>
          <w:color w:val="auto"/>
          <w:szCs w:val="21"/>
          <w:highlight w:val="none"/>
          <w:lang w:val="en-US" w:eastAsia="zh-CN"/>
        </w:rPr>
        <w:t>权益受到损害之日起七个工作日内，以书面形式向</w:t>
      </w:r>
      <w:r>
        <w:rPr>
          <w:rFonts w:hint="eastAsia" w:ascii="宋体"/>
          <w:b w:val="0"/>
          <w:bCs w:val="0"/>
          <w:color w:val="auto"/>
          <w:szCs w:val="21"/>
          <w:highlight w:val="none"/>
          <w:lang w:val="en-US" w:eastAsia="zh-CN"/>
        </w:rPr>
        <w:t>采购人提出质疑（质疑材料递交地址：伊宁市开发区金茂新天地A座514室，电话：18196969533）。供应商应当在法定质疑期内一次性提出针对同一采购程序环节的质疑。供应商应知其权益受到损害之日，是指：</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（三）对中标或者成交结果提出质疑的，为中标或者成交结果公告期限届满之日。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48.4质疑供应商对采购人、采购代理机构的质疑答复不满意，或者采购人、采购代理机构未在规定期限内作出答复的，供应商可以在答复期满后15个工作日内向同级财政部门提起投诉48.5供应商有下列情形之一的，将其列入不良行为记录名单：</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bookmarkEnd w:id="84"/>
    <w:bookmarkEnd w:id="85"/>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pPr>
        <w:shd w:val="clear" w:color="auto" w:fill="auto"/>
        <w:jc w:val="center"/>
        <w:rPr>
          <w:rFonts w:hint="eastAsia" w:ascii="宋体" w:hAnsi="宋体" w:eastAsia="宋体" w:cs="宋体"/>
          <w:b/>
          <w:bCs/>
          <w:color w:val="auto"/>
          <w:sz w:val="32"/>
          <w:szCs w:val="32"/>
          <w:highlight w:val="none"/>
          <w:lang w:eastAsia="zh-CN"/>
        </w:rPr>
      </w:pPr>
    </w:p>
    <w:p>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b/>
          <w:bCs/>
          <w:color w:val="auto"/>
          <w:sz w:val="28"/>
          <w:szCs w:val="28"/>
          <w:highlight w:val="none"/>
        </w:rPr>
        <w:t>政府采购投诉书（范本）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我公司参加了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日被投诉人组织的</w:t>
      </w:r>
      <w:r>
        <w:rPr>
          <w:rFonts w:hint="eastAsia" w:ascii="宋体" w:hAnsi="宋体" w:eastAsia="宋体" w:cs="宋体"/>
          <w:color w:val="auto"/>
          <w:sz w:val="21"/>
          <w:szCs w:val="21"/>
          <w:highlight w:val="none"/>
          <w:u w:val="single"/>
        </w:rPr>
        <w:t>（采购人）（项目名称）（项目编号）</w:t>
      </w:r>
      <w:r>
        <w:rPr>
          <w:rFonts w:hint="eastAsia" w:ascii="宋体" w:hAnsi="宋体" w:eastAsia="宋体" w:cs="宋体"/>
          <w:color w:val="auto"/>
          <w:sz w:val="21"/>
          <w:szCs w:val="21"/>
          <w:highlight w:val="none"/>
        </w:rPr>
        <w:t>的采购活动，我公司认为该项目的</w:t>
      </w:r>
      <w:r>
        <w:rPr>
          <w:rFonts w:hint="eastAsia" w:ascii="宋体" w:hAnsi="宋体" w:eastAsia="宋体" w:cs="宋体"/>
          <w:color w:val="auto"/>
          <w:sz w:val="21"/>
          <w:szCs w:val="21"/>
          <w:highlight w:val="none"/>
          <w:u w:val="single"/>
        </w:rPr>
        <w:t>（采购文件/采购过程/中标（</w:t>
      </w:r>
      <w:r>
        <w:rPr>
          <w:rFonts w:hint="eastAsia" w:ascii="宋体" w:hAnsi="宋体" w:eastAsia="宋体" w:cs="宋体"/>
          <w:color w:val="auto"/>
          <w:sz w:val="21"/>
          <w:szCs w:val="21"/>
          <w:highlight w:val="none"/>
          <w:u w:val="single"/>
          <w:lang w:eastAsia="zh-CN"/>
        </w:rPr>
        <w:t>中标</w:t>
      </w:r>
      <w:r>
        <w:rPr>
          <w:rFonts w:hint="eastAsia" w:ascii="宋体" w:hAnsi="宋体" w:eastAsia="宋体" w:cs="宋体"/>
          <w:color w:val="auto"/>
          <w:sz w:val="21"/>
          <w:szCs w:val="21"/>
          <w:highlight w:val="none"/>
          <w:u w:val="single"/>
        </w:rPr>
        <w:t>）结果）</w:t>
      </w:r>
      <w:r>
        <w:rPr>
          <w:rFonts w:hint="eastAsia" w:ascii="宋体" w:hAnsi="宋体" w:eastAsia="宋体" w:cs="宋体"/>
          <w:color w:val="auto"/>
          <w:sz w:val="21"/>
          <w:szCs w:val="21"/>
          <w:highlight w:val="none"/>
        </w:rPr>
        <w:t>损害了我公司权益，对此，我公司于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（采购人或者政府采购代理机构）</w:t>
      </w:r>
      <w:r>
        <w:rPr>
          <w:rFonts w:hint="eastAsia" w:ascii="宋体" w:hAnsi="宋体" w:eastAsia="宋体" w:cs="宋体"/>
          <w:color w:val="auto"/>
          <w:sz w:val="21"/>
          <w:szCs w:val="21"/>
          <w:highlight w:val="none"/>
        </w:rPr>
        <w:t>提出了质疑，</w:t>
      </w:r>
      <w:r>
        <w:rPr>
          <w:rFonts w:hint="eastAsia" w:ascii="宋体" w:hAnsi="宋体" w:eastAsia="宋体" w:cs="宋体"/>
          <w:color w:val="auto"/>
          <w:sz w:val="21"/>
          <w:szCs w:val="21"/>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1"/>
          <w:szCs w:val="21"/>
          <w:highlight w:val="none"/>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5.法定代表人授权委托书（包含法定代表人和委托代理人的身份证复印件）；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投诉供应商：（盖章）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法定代表人（或主要负责人）：（签字）</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360" w:firstLineChars="1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本投诉书正本叁份，副本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份并附电子文档。</w:t>
      </w:r>
    </w:p>
    <w:p>
      <w:pPr>
        <w:pStyle w:val="22"/>
        <w:rPr>
          <w:color w:val="auto"/>
        </w:rPr>
      </w:pPr>
    </w:p>
    <w:p>
      <w:pPr>
        <w:pageBreakBefore/>
        <w:shd w:val="clear" w:color="auto" w:fill="auto"/>
        <w:spacing w:line="440" w:lineRule="exact"/>
        <w:jc w:val="center"/>
        <w:outlineLvl w:val="0"/>
        <w:rPr>
          <w:rFonts w:hint="eastAsia" w:ascii="黑体" w:eastAsia="黑体"/>
          <w:color w:val="auto"/>
          <w:sz w:val="30"/>
          <w:szCs w:val="30"/>
          <w:highlight w:val="none"/>
        </w:rPr>
      </w:pPr>
      <w:bookmarkStart w:id="103" w:name="_Toc7619"/>
      <w:bookmarkStart w:id="104" w:name="_Toc32302"/>
      <w:bookmarkStart w:id="105" w:name="_Toc25778"/>
      <w:r>
        <w:rPr>
          <w:rFonts w:hint="eastAsia" w:ascii="黑体" w:eastAsia="黑体"/>
          <w:color w:val="auto"/>
          <w:sz w:val="30"/>
          <w:szCs w:val="30"/>
          <w:highlight w:val="none"/>
        </w:rPr>
        <w:t>第三</w:t>
      </w:r>
      <w:r>
        <w:rPr>
          <w:rFonts w:hint="eastAsia" w:ascii="黑体" w:eastAsia="黑体"/>
          <w:color w:val="auto"/>
          <w:sz w:val="30"/>
          <w:szCs w:val="30"/>
          <w:highlight w:val="none"/>
          <w:lang w:val="en-US" w:eastAsia="zh-CN"/>
        </w:rPr>
        <w:t>部分</w:t>
      </w:r>
      <w:r>
        <w:rPr>
          <w:rFonts w:hint="eastAsia" w:ascii="黑体" w:eastAsia="黑体"/>
          <w:color w:val="auto"/>
          <w:sz w:val="30"/>
          <w:szCs w:val="30"/>
          <w:highlight w:val="none"/>
        </w:rPr>
        <w:t xml:space="preserve">  评标办法</w:t>
      </w:r>
      <w:bookmarkEnd w:id="103"/>
      <w:bookmarkEnd w:id="104"/>
      <w:bookmarkEnd w:id="105"/>
    </w:p>
    <w:p>
      <w:pPr>
        <w:shd w:val="clear" w:color="auto" w:fill="auto"/>
        <w:jc w:val="center"/>
        <w:outlineLvl w:val="1"/>
        <w:rPr>
          <w:rFonts w:hint="eastAsia" w:ascii="宋体" w:hAnsi="Times New Roman" w:eastAsia="宋体" w:cs="Times New Roman"/>
          <w:b/>
          <w:color w:val="auto"/>
          <w:sz w:val="28"/>
          <w:szCs w:val="28"/>
          <w:highlight w:val="none"/>
        </w:rPr>
      </w:pPr>
      <w:bookmarkStart w:id="106" w:name="_Toc22646"/>
      <w:bookmarkStart w:id="107" w:name="_Toc15723"/>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bookmarkEnd w:id="106"/>
      <w:bookmarkEnd w:id="107"/>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1、一般规定</w:t>
      </w:r>
    </w:p>
    <w:p>
      <w:pPr>
        <w:spacing w:line="440" w:lineRule="exact"/>
        <w:ind w:firstLine="535" w:firstLineChars="255"/>
        <w:rPr>
          <w:rFonts w:hint="eastAsia" w:ascii="宋体" w:hAnsi="宋体" w:cs="宋体"/>
          <w:szCs w:val="21"/>
        </w:rPr>
      </w:pPr>
      <w:r>
        <w:rPr>
          <w:rFonts w:hint="eastAsia" w:ascii="宋体" w:hAnsi="宋体" w:cs="宋体"/>
          <w:szCs w:val="21"/>
        </w:rPr>
        <w:t>1.1本项目的</w:t>
      </w:r>
      <w:r>
        <w:rPr>
          <w:rFonts w:hint="eastAsia" w:ascii="宋体" w:hAnsi="宋体" w:cs="宋体"/>
          <w:szCs w:val="21"/>
          <w:lang w:val="en-US" w:eastAsia="zh-CN"/>
        </w:rPr>
        <w:t>磋商</w:t>
      </w:r>
      <w:r>
        <w:rPr>
          <w:rFonts w:hint="eastAsia" w:ascii="宋体" w:hAnsi="宋体" w:cs="宋体"/>
          <w:szCs w:val="21"/>
        </w:rPr>
        <w:t>按照《中华人民共和国政府采购法》、《政府采购服务和服务招标磋商管理办法》、《政府采购竞争性磋商采购方式管理暂行办法》及政府采购的有关规定进行。</w:t>
      </w:r>
    </w:p>
    <w:p>
      <w:pPr>
        <w:spacing w:line="440" w:lineRule="exact"/>
        <w:ind w:firstLine="535" w:firstLineChars="255"/>
        <w:rPr>
          <w:rFonts w:hint="eastAsia" w:ascii="宋体" w:hAnsi="宋体" w:cs="宋体"/>
          <w:szCs w:val="21"/>
        </w:rPr>
      </w:pPr>
      <w:r>
        <w:rPr>
          <w:rFonts w:hint="eastAsia" w:ascii="宋体" w:hAnsi="宋体" w:cs="宋体"/>
          <w:szCs w:val="21"/>
        </w:rPr>
        <w:t>1.2评标必须遵循公开、公平、公正、诚实信用的原则。</w:t>
      </w:r>
    </w:p>
    <w:p>
      <w:pPr>
        <w:spacing w:line="440" w:lineRule="exact"/>
        <w:ind w:firstLine="535" w:firstLineChars="255"/>
        <w:rPr>
          <w:rFonts w:hint="eastAsia" w:ascii="宋体" w:hAnsi="宋体" w:cs="宋体"/>
          <w:szCs w:val="21"/>
        </w:rPr>
      </w:pPr>
      <w:r>
        <w:rPr>
          <w:rFonts w:hint="eastAsia" w:ascii="宋体" w:hAnsi="宋体" w:cs="宋体"/>
          <w:szCs w:val="21"/>
        </w:rPr>
        <w:t>1.3招标代理机构组织</w:t>
      </w:r>
      <w:r>
        <w:rPr>
          <w:rFonts w:hint="eastAsia" w:ascii="宋体" w:hAnsi="宋体" w:cs="宋体"/>
          <w:szCs w:val="21"/>
          <w:lang w:val="en-US" w:eastAsia="zh-CN"/>
        </w:rPr>
        <w:t>磋商</w:t>
      </w:r>
      <w:r>
        <w:rPr>
          <w:rFonts w:hint="eastAsia" w:ascii="宋体" w:hAnsi="宋体" w:cs="宋体"/>
          <w:szCs w:val="21"/>
        </w:rPr>
        <w:t>、开标、评标工作，全过程接受政府采购有关部门的监督、管理和指导。</w:t>
      </w:r>
    </w:p>
    <w:p>
      <w:pPr>
        <w:spacing w:line="440" w:lineRule="exact"/>
        <w:ind w:firstLine="535" w:firstLineChars="255"/>
        <w:rPr>
          <w:rFonts w:hint="eastAsia" w:ascii="宋体" w:hAnsi="宋体" w:cs="宋体"/>
          <w:szCs w:val="21"/>
        </w:rPr>
      </w:pPr>
      <w:r>
        <w:rPr>
          <w:rFonts w:hint="eastAsia" w:ascii="宋体" w:hAnsi="宋体" w:cs="宋体"/>
          <w:szCs w:val="21"/>
        </w:rPr>
        <w:t>1.4评标按照磋商文件规定的内容进行，采取综合比较和分项打分相结合的评标方法（综合评分法），避免纯技术或纯经济的倾向。</w:t>
      </w:r>
    </w:p>
    <w:p>
      <w:pPr>
        <w:spacing w:line="440" w:lineRule="exact"/>
        <w:ind w:firstLine="535" w:firstLineChars="255"/>
        <w:rPr>
          <w:rFonts w:hint="eastAsia" w:ascii="宋体" w:hAnsi="宋体" w:cs="宋体"/>
          <w:szCs w:val="21"/>
        </w:rPr>
      </w:pPr>
      <w:r>
        <w:rPr>
          <w:rFonts w:hint="eastAsia" w:ascii="宋体" w:hAnsi="宋体" w:cs="宋体"/>
          <w:szCs w:val="21"/>
        </w:rPr>
        <w:t>1.5本办法的评标对象是指供应商按照磋商文件要求提供的有效响应文件，包括供应商应磋商小组要求对原响应文件作出的正式书面澄清文件。</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2、磋商组织机构的组成</w:t>
      </w:r>
    </w:p>
    <w:p>
      <w:pPr>
        <w:tabs>
          <w:tab w:val="left" w:pos="567"/>
          <w:tab w:val="left" w:pos="1145"/>
        </w:tabs>
        <w:spacing w:line="440" w:lineRule="exact"/>
        <w:ind w:firstLine="535" w:firstLineChars="255"/>
        <w:rPr>
          <w:rFonts w:hint="eastAsia" w:ascii="宋体" w:hAnsi="宋体" w:cs="宋体"/>
          <w:szCs w:val="21"/>
        </w:rPr>
      </w:pPr>
      <w:r>
        <w:rPr>
          <w:rFonts w:hint="eastAsia" w:ascii="宋体" w:hAnsi="宋体" w:cs="宋体"/>
          <w:szCs w:val="21"/>
        </w:rPr>
        <w:t>2.1磋商小组成员由招标人的代表和随机抽取的有关方面的</w:t>
      </w:r>
      <w:r>
        <w:rPr>
          <w:rFonts w:hint="eastAsia" w:ascii="宋体" w:hAnsi="宋体" w:cs="宋体"/>
          <w:b/>
          <w:bCs/>
          <w:szCs w:val="21"/>
          <w:highlight w:val="yellow"/>
          <w:u w:val="single"/>
        </w:rPr>
        <w:t>专家</w:t>
      </w:r>
      <w:r>
        <w:rPr>
          <w:rFonts w:hint="eastAsia" w:ascii="宋体" w:hAnsi="宋体" w:cs="宋体"/>
          <w:b/>
          <w:bCs/>
          <w:szCs w:val="21"/>
          <w:highlight w:val="yellow"/>
          <w:u w:val="single"/>
          <w:lang w:val="en-US" w:eastAsia="zh-CN"/>
        </w:rPr>
        <w:t>3</w:t>
      </w:r>
      <w:r>
        <w:rPr>
          <w:rFonts w:hint="eastAsia" w:ascii="宋体" w:hAnsi="宋体" w:cs="宋体"/>
          <w:b/>
          <w:bCs/>
          <w:szCs w:val="21"/>
          <w:highlight w:val="yellow"/>
          <w:u w:val="single"/>
        </w:rPr>
        <w:t>名组成</w:t>
      </w:r>
      <w:r>
        <w:rPr>
          <w:rFonts w:hint="eastAsia" w:ascii="宋体" w:hAnsi="宋体" w:cs="宋体"/>
          <w:szCs w:val="21"/>
        </w:rPr>
        <w:t>，磋商小组的成员在评标过程中</w:t>
      </w:r>
      <w:r>
        <w:rPr>
          <w:rFonts w:hint="eastAsia" w:ascii="宋体" w:hAnsi="宋体" w:cs="宋体"/>
          <w:szCs w:val="21"/>
          <w:lang w:val="zh-CN"/>
        </w:rPr>
        <w:t>必须严格遵守政府采购的有关规定</w:t>
      </w:r>
      <w:r>
        <w:rPr>
          <w:rFonts w:hint="eastAsia" w:ascii="宋体" w:hAnsi="宋体" w:cs="宋体"/>
          <w:szCs w:val="21"/>
        </w:rPr>
        <w:t>。专家从当地专家库中随机抽取产生。</w:t>
      </w:r>
    </w:p>
    <w:p>
      <w:pPr>
        <w:tabs>
          <w:tab w:val="left" w:pos="567"/>
          <w:tab w:val="left" w:pos="1145"/>
        </w:tabs>
        <w:spacing w:line="440" w:lineRule="exact"/>
        <w:ind w:firstLine="535" w:firstLineChars="255"/>
        <w:rPr>
          <w:rFonts w:hint="eastAsia" w:ascii="宋体" w:hAnsi="宋体" w:cs="宋体"/>
          <w:szCs w:val="21"/>
        </w:rPr>
      </w:pPr>
      <w:r>
        <w:rPr>
          <w:rFonts w:hint="eastAsia" w:ascii="宋体" w:hAnsi="宋体" w:cs="宋体"/>
          <w:szCs w:val="21"/>
        </w:rPr>
        <w:t>2.2评标工作组由招标人及有关专家组成，由磋商小组确认，并接受其领导。</w:t>
      </w:r>
    </w:p>
    <w:p>
      <w:pPr>
        <w:tabs>
          <w:tab w:val="left" w:pos="567"/>
          <w:tab w:val="left" w:pos="1145"/>
        </w:tabs>
        <w:spacing w:line="440" w:lineRule="exact"/>
        <w:ind w:firstLine="535" w:firstLineChars="255"/>
        <w:rPr>
          <w:rFonts w:hint="eastAsia" w:ascii="宋体" w:hAnsi="宋体" w:cs="宋体"/>
          <w:szCs w:val="21"/>
        </w:rPr>
      </w:pPr>
      <w:r>
        <w:rPr>
          <w:rFonts w:hint="eastAsia" w:ascii="宋体" w:hAnsi="宋体" w:cs="宋体"/>
          <w:szCs w:val="21"/>
        </w:rPr>
        <w:t>2.3磋商小组应相对独立工作，负责评标、撰写技术、商务评标报告。采购代理机构负责评标过程中资料的保管、发放、回收，整理、汇总评标资料。</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3、磋商小组职责</w:t>
      </w:r>
    </w:p>
    <w:p>
      <w:pPr>
        <w:pStyle w:val="45"/>
        <w:spacing w:before="0" w:beforeAutospacing="0" w:after="0" w:afterAutospacing="0" w:line="440" w:lineRule="exact"/>
        <w:ind w:firstLine="535" w:firstLineChars="255"/>
        <w:rPr>
          <w:rFonts w:hint="eastAsia" w:ascii="宋体" w:hAnsi="宋体" w:cs="宋体"/>
          <w:color w:val="auto"/>
          <w:sz w:val="21"/>
          <w:szCs w:val="21"/>
        </w:rPr>
      </w:pPr>
      <w:r>
        <w:rPr>
          <w:rFonts w:hint="eastAsia" w:ascii="宋体" w:hAnsi="宋体" w:cs="宋体"/>
          <w:color w:val="auto"/>
          <w:sz w:val="21"/>
          <w:szCs w:val="21"/>
        </w:rPr>
        <w:t>3.1审查磋商文件是否符合磋商文件要求，并作出评价；</w:t>
      </w:r>
    </w:p>
    <w:p>
      <w:pPr>
        <w:pStyle w:val="45"/>
        <w:spacing w:before="0" w:beforeAutospacing="0" w:after="0" w:afterAutospacing="0" w:line="440" w:lineRule="exact"/>
        <w:ind w:firstLine="535" w:firstLineChars="255"/>
        <w:rPr>
          <w:rFonts w:hint="eastAsia" w:ascii="宋体" w:hAnsi="宋体" w:cs="宋体"/>
          <w:color w:val="auto"/>
          <w:sz w:val="21"/>
          <w:szCs w:val="21"/>
        </w:rPr>
      </w:pPr>
      <w:r>
        <w:rPr>
          <w:rFonts w:hint="eastAsia" w:ascii="宋体" w:hAnsi="宋体" w:cs="宋体"/>
          <w:color w:val="auto"/>
          <w:sz w:val="21"/>
          <w:szCs w:val="21"/>
        </w:rPr>
        <w:t>3.2要求供应商对磋商文件有关事项作出解释或者澄清；</w:t>
      </w:r>
    </w:p>
    <w:p>
      <w:pPr>
        <w:pStyle w:val="45"/>
        <w:spacing w:before="0" w:beforeAutospacing="0" w:after="0" w:afterAutospacing="0" w:line="440" w:lineRule="exact"/>
        <w:ind w:firstLine="535" w:firstLineChars="255"/>
        <w:rPr>
          <w:rFonts w:hint="eastAsia" w:ascii="宋体" w:hAnsi="宋体" w:cs="宋体"/>
          <w:color w:val="auto"/>
          <w:sz w:val="21"/>
          <w:szCs w:val="21"/>
        </w:rPr>
      </w:pPr>
      <w:r>
        <w:rPr>
          <w:rFonts w:hint="eastAsia" w:ascii="宋体" w:hAnsi="宋体" w:cs="宋体"/>
          <w:color w:val="auto"/>
          <w:sz w:val="21"/>
          <w:szCs w:val="21"/>
        </w:rPr>
        <w:t>3.3推荐成交候选人名单；</w:t>
      </w:r>
    </w:p>
    <w:p>
      <w:pPr>
        <w:pStyle w:val="45"/>
        <w:spacing w:before="0" w:beforeAutospacing="0" w:after="0" w:afterAutospacing="0" w:line="440" w:lineRule="exact"/>
        <w:ind w:firstLine="535" w:firstLineChars="255"/>
        <w:rPr>
          <w:rFonts w:hint="eastAsia" w:ascii="宋体" w:hAnsi="宋体" w:cs="宋体"/>
          <w:color w:val="auto"/>
          <w:sz w:val="21"/>
          <w:szCs w:val="21"/>
        </w:rPr>
      </w:pPr>
      <w:r>
        <w:rPr>
          <w:rFonts w:hint="eastAsia" w:ascii="宋体" w:hAnsi="宋体" w:cs="宋体"/>
          <w:color w:val="auto"/>
          <w:sz w:val="21"/>
          <w:szCs w:val="21"/>
        </w:rPr>
        <w:t>3.4向招标人、招标代理机构或者有关部门报告非法干预评标工作的行为。</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4、磋商小组义务</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4.1遵纪守法，客观、公正、廉洁地履行职责；</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4.2按照磋商文件规定的评标方法和评标标准进行评标，对评审意见承担个人责任；</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4.3对评标过程和结果，以及供应商的商业秘密保密；</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4.4参与评标报告的起草；</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4.5配合有关部门的投诉处理工作；</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4.6配合招标人、招标代理机构答复磋商供应商提出的质疑。</w:t>
      </w:r>
    </w:p>
    <w:p>
      <w:pPr>
        <w:tabs>
          <w:tab w:val="left" w:pos="1547"/>
        </w:tabs>
        <w:spacing w:line="440" w:lineRule="exact"/>
        <w:ind w:firstLine="535" w:firstLineChars="255"/>
        <w:rPr>
          <w:rFonts w:hint="eastAsia" w:ascii="宋体" w:hAnsi="宋体" w:cs="宋体"/>
          <w:szCs w:val="21"/>
        </w:rPr>
      </w:pPr>
      <w:r>
        <w:rPr>
          <w:rFonts w:hint="eastAsia" w:ascii="宋体" w:hAnsi="宋体" w:cs="宋体"/>
          <w:szCs w:val="21"/>
        </w:rPr>
        <w:t>5、 评标程序</w:t>
      </w:r>
    </w:p>
    <w:p>
      <w:pPr>
        <w:pStyle w:val="19"/>
        <w:tabs>
          <w:tab w:val="left" w:pos="720"/>
          <w:tab w:val="clear" w:pos="0"/>
        </w:tabs>
        <w:spacing w:line="440" w:lineRule="exact"/>
        <w:ind w:firstLine="535" w:firstLineChars="255"/>
        <w:rPr>
          <w:rFonts w:hint="eastAsia" w:ascii="宋体" w:hAnsi="宋体" w:cs="宋体"/>
          <w:bCs/>
          <w:color w:val="auto"/>
          <w:szCs w:val="21"/>
        </w:rPr>
      </w:pPr>
      <w:r>
        <w:rPr>
          <w:rFonts w:hint="eastAsia" w:ascii="宋体" w:hAnsi="宋体" w:cs="宋体"/>
          <w:bCs/>
          <w:color w:val="auto"/>
          <w:szCs w:val="21"/>
        </w:rPr>
        <w:t>5.1本次评标首先由磋商小组对供应商的响应文件进行初审，对未能通过初审的响应文件作废标处理；</w:t>
      </w:r>
    </w:p>
    <w:p>
      <w:pPr>
        <w:tabs>
          <w:tab w:val="left" w:pos="720"/>
        </w:tabs>
        <w:spacing w:line="440" w:lineRule="exact"/>
        <w:ind w:firstLine="535" w:firstLineChars="255"/>
        <w:rPr>
          <w:rFonts w:hint="eastAsia" w:ascii="宋体" w:hAnsi="宋体" w:cs="宋体"/>
          <w:szCs w:val="21"/>
        </w:rPr>
      </w:pPr>
      <w:r>
        <w:rPr>
          <w:rFonts w:hint="eastAsia" w:ascii="宋体" w:hAnsi="宋体" w:cs="宋体"/>
          <w:szCs w:val="21"/>
        </w:rPr>
        <w:t>5.2对通过初审的供应商的响应文件进行详细的比较和评价。如需要，进行必要的澄清工作；</w:t>
      </w:r>
    </w:p>
    <w:p>
      <w:pPr>
        <w:spacing w:line="360" w:lineRule="auto"/>
        <w:rPr>
          <w:rFonts w:hint="eastAsia" w:ascii="宋体"/>
          <w:color w:val="000000"/>
          <w:szCs w:val="21"/>
        </w:rPr>
      </w:pPr>
      <w:r>
        <w:rPr>
          <w:rFonts w:hint="eastAsia" w:ascii="宋体" w:hAnsi="宋体" w:cs="宋体"/>
          <w:szCs w:val="21"/>
        </w:rPr>
        <w:t xml:space="preserve">     5.3</w:t>
      </w:r>
      <w:r>
        <w:rPr>
          <w:rFonts w:hint="eastAsia" w:ascii="宋体"/>
          <w:color w:val="000000"/>
          <w:szCs w:val="21"/>
        </w:rPr>
        <w:t>评标报告与推荐成交候选人</w:t>
      </w:r>
    </w:p>
    <w:p>
      <w:pPr>
        <w:widowControl/>
        <w:spacing w:line="440" w:lineRule="exact"/>
        <w:ind w:firstLine="480"/>
        <w:rPr>
          <w:rFonts w:hint="eastAsia" w:ascii="宋体" w:hAnsi="宋体" w:cs="宋体"/>
          <w:kern w:val="0"/>
          <w:szCs w:val="21"/>
        </w:rPr>
      </w:pPr>
      <w:r>
        <w:rPr>
          <w:rFonts w:hint="eastAsia" w:ascii="宋体" w:hAnsi="宋体" w:cs="宋体"/>
          <w:szCs w:val="21"/>
        </w:rPr>
        <w:t>5.3</w:t>
      </w:r>
      <w:r>
        <w:rPr>
          <w:rFonts w:hint="eastAsia" w:ascii="宋体" w:hAnsi="宋体" w:cs="宋体"/>
          <w:kern w:val="0"/>
          <w:szCs w:val="21"/>
        </w:rPr>
        <w:t>磋商小组各成员应当独立对每个有效响应的文件进行评价、打分，然后汇总每个供应商每项评分因素的得分。</w:t>
      </w:r>
    </w:p>
    <w:p>
      <w:pPr>
        <w:widowControl/>
        <w:spacing w:line="440" w:lineRule="exact"/>
        <w:ind w:firstLine="480"/>
        <w:rPr>
          <w:rFonts w:hint="eastAsia" w:ascii="宋体" w:hAnsi="宋体" w:cs="宋体"/>
          <w:kern w:val="0"/>
          <w:szCs w:val="21"/>
        </w:rPr>
      </w:pPr>
      <w:r>
        <w:rPr>
          <w:rFonts w:hint="eastAsia" w:ascii="宋体" w:hAnsi="宋体" w:cs="宋体"/>
          <w:kern w:val="0"/>
          <w:szCs w:val="21"/>
        </w:rPr>
        <w:t>　综合评分法服务项目的价格分值占总分值</w:t>
      </w:r>
      <w:r>
        <w:rPr>
          <w:rFonts w:hint="eastAsia" w:ascii="宋体" w:hAnsi="宋体" w:cs="宋体"/>
          <w:color w:val="auto"/>
          <w:kern w:val="0"/>
          <w:szCs w:val="21"/>
          <w:highlight w:val="none"/>
        </w:rPr>
        <w:t>的比重(即权值)为</w:t>
      </w:r>
      <w:r>
        <w:rPr>
          <w:rFonts w:hint="eastAsia" w:ascii="宋体" w:hAnsi="宋体" w:cs="宋体"/>
          <w:color w:val="auto"/>
          <w:kern w:val="0"/>
          <w:szCs w:val="21"/>
          <w:highlight w:val="none"/>
          <w:lang w:val="en-US" w:eastAsia="zh-CN"/>
        </w:rPr>
        <w:t>30％</w:t>
      </w:r>
      <w:r>
        <w:rPr>
          <w:rFonts w:hint="eastAsia" w:ascii="宋体" w:hAnsi="宋体" w:cs="宋体"/>
          <w:color w:val="0000FF"/>
          <w:kern w:val="0"/>
          <w:szCs w:val="21"/>
        </w:rPr>
        <w:t>，</w:t>
      </w:r>
      <w:r>
        <w:rPr>
          <w:rFonts w:hint="eastAsia" w:ascii="宋体" w:hAnsi="宋体" w:cs="宋体"/>
          <w:kern w:val="0"/>
          <w:szCs w:val="21"/>
        </w:rPr>
        <w:t>采购项目中含不同采购对象的，以占项目资金比例最高的采购对象确定其项目属性。其价格不列为评分因素，有特殊情况需要在上述规定范围外设定价格分权重的。</w:t>
      </w:r>
    </w:p>
    <w:p>
      <w:pPr>
        <w:widowControl/>
        <w:spacing w:line="440" w:lineRule="exact"/>
        <w:ind w:firstLine="480"/>
        <w:rPr>
          <w:rFonts w:hint="eastAsia" w:ascii="宋体" w:hAnsi="宋体" w:cs="宋体"/>
          <w:kern w:val="0"/>
          <w:szCs w:val="21"/>
        </w:rPr>
      </w:pPr>
      <w:r>
        <w:rPr>
          <w:rFonts w:hint="eastAsia" w:ascii="宋体" w:hAnsi="宋体" w:cs="宋体"/>
          <w:kern w:val="0"/>
          <w:szCs w:val="21"/>
        </w:rPr>
        <w:t>　综合评分法中的价格分统一采用低价优先法计算，即满足磋商文件要求且最后报价最低的供应商的价格为磋商基准价，其价格分为满分。其他供应商的价格分统一按照下列公式计算：</w:t>
      </w:r>
    </w:p>
    <w:p>
      <w:pPr>
        <w:widowControl/>
        <w:spacing w:line="440" w:lineRule="exact"/>
        <w:ind w:firstLine="480"/>
        <w:rPr>
          <w:rFonts w:hint="eastAsia" w:ascii="宋体" w:hAnsi="宋体" w:cs="宋体"/>
          <w:kern w:val="0"/>
          <w:szCs w:val="21"/>
        </w:rPr>
      </w:pPr>
      <w:r>
        <w:rPr>
          <w:rFonts w:hint="eastAsia" w:ascii="宋体" w:hAnsi="宋体" w:cs="宋体"/>
          <w:kern w:val="0"/>
          <w:szCs w:val="21"/>
        </w:rPr>
        <w:t>　磋商报价得分=（磋商基准价/最后磋商报价）×价格权值×100</w:t>
      </w:r>
    </w:p>
    <w:p>
      <w:pPr>
        <w:widowControl/>
        <w:spacing w:line="360" w:lineRule="auto"/>
        <w:ind w:firstLine="480"/>
        <w:rPr>
          <w:rFonts w:hint="eastAsia" w:ascii="宋体" w:hAnsi="宋体" w:cs="宋体"/>
          <w:kern w:val="0"/>
          <w:szCs w:val="21"/>
        </w:rPr>
      </w:pPr>
      <w:r>
        <w:rPr>
          <w:rFonts w:hint="eastAsia" w:ascii="宋体" w:hAnsi="宋体" w:cs="宋体"/>
          <w:kern w:val="0"/>
          <w:szCs w:val="21"/>
        </w:rPr>
        <w:t>　项目评审过程中，不得去掉最后报价中的最高报价和最低报价。</w:t>
      </w:r>
    </w:p>
    <w:p>
      <w:pPr>
        <w:shd w:val="clear" w:color="auto" w:fill="auto"/>
        <w:spacing w:line="360" w:lineRule="auto"/>
        <w:jc w:val="left"/>
        <w:outlineLvl w:val="9"/>
        <w:rPr>
          <w:rFonts w:hint="eastAsia" w:ascii="宋体" w:hAnsi="宋体" w:eastAsia="宋体" w:cs="宋体"/>
          <w:kern w:val="0"/>
          <w:szCs w:val="21"/>
          <w:lang w:val="zh-CN"/>
        </w:rPr>
      </w:pPr>
      <w:bookmarkStart w:id="108" w:name="_Toc31289"/>
      <w:bookmarkStart w:id="109" w:name="_Toc28143"/>
      <w:bookmarkStart w:id="110" w:name="_Toc10523"/>
      <w:r>
        <w:rPr>
          <w:rFonts w:hint="eastAsia" w:ascii="宋体" w:hAnsi="宋体" w:eastAsia="宋体" w:cs="宋体"/>
          <w:kern w:val="0"/>
          <w:szCs w:val="21"/>
        </w:rPr>
        <w:t>  </w:t>
      </w:r>
      <w:bookmarkEnd w:id="108"/>
      <w:bookmarkEnd w:id="109"/>
      <w:bookmarkEnd w:id="110"/>
      <w:r>
        <w:rPr>
          <w:rFonts w:hint="eastAsia" w:ascii="宋体" w:hAnsi="宋体" w:eastAsia="宋体" w:cs="宋体"/>
          <w:kern w:val="0"/>
          <w:szCs w:val="21"/>
          <w:lang w:val="zh-CN"/>
        </w:rPr>
        <w:t>磋商小组应当根据综合评分情况，按照评审得分由高到低顺序推荐3名成交候选投标人。评审得分相同的，按照最终报价由低到高的顺序推荐。评审得分且最终报价相同的，按照技术指标优劣顺序推荐。</w:t>
      </w:r>
    </w:p>
    <w:p>
      <w:pPr>
        <w:shd w:val="clear" w:color="auto" w:fill="auto"/>
        <w:spacing w:line="360" w:lineRule="auto"/>
        <w:jc w:val="left"/>
        <w:outlineLvl w:val="9"/>
        <w:rPr>
          <w:rFonts w:hint="eastAsia" w:ascii="宋体"/>
          <w:b/>
          <w:color w:val="auto"/>
          <w:sz w:val="28"/>
          <w:szCs w:val="28"/>
          <w:highlight w:val="none"/>
        </w:rPr>
      </w:pPr>
    </w:p>
    <w:p>
      <w:pPr>
        <w:shd w:val="clear" w:color="auto" w:fill="auto"/>
        <w:spacing w:line="360" w:lineRule="auto"/>
        <w:jc w:val="left"/>
        <w:outlineLvl w:val="9"/>
        <w:rPr>
          <w:rFonts w:hint="eastAsia" w:ascii="宋体"/>
          <w:b/>
          <w:color w:val="auto"/>
          <w:sz w:val="28"/>
          <w:szCs w:val="28"/>
          <w:highlight w:val="none"/>
        </w:rPr>
      </w:pPr>
    </w:p>
    <w:p>
      <w:pPr>
        <w:shd w:val="clear" w:color="auto" w:fill="auto"/>
        <w:spacing w:line="360" w:lineRule="auto"/>
        <w:jc w:val="left"/>
        <w:outlineLvl w:val="9"/>
        <w:rPr>
          <w:rFonts w:hint="eastAsia" w:ascii="宋体"/>
          <w:b/>
          <w:color w:val="auto"/>
          <w:sz w:val="28"/>
          <w:szCs w:val="28"/>
          <w:highlight w:val="none"/>
        </w:rPr>
      </w:pPr>
    </w:p>
    <w:p>
      <w:pPr>
        <w:shd w:val="clear" w:color="auto" w:fill="auto"/>
        <w:spacing w:line="360" w:lineRule="auto"/>
        <w:jc w:val="left"/>
        <w:outlineLvl w:val="9"/>
        <w:rPr>
          <w:rFonts w:hint="eastAsia" w:ascii="宋体"/>
          <w:b/>
          <w:color w:val="auto"/>
          <w:sz w:val="28"/>
          <w:szCs w:val="28"/>
          <w:highlight w:val="none"/>
        </w:rPr>
      </w:pPr>
    </w:p>
    <w:p>
      <w:pPr>
        <w:shd w:val="clear" w:color="auto" w:fill="auto"/>
        <w:spacing w:line="360" w:lineRule="auto"/>
        <w:jc w:val="left"/>
        <w:outlineLvl w:val="9"/>
        <w:rPr>
          <w:rFonts w:hint="eastAsia" w:ascii="宋体"/>
          <w:b/>
          <w:color w:val="auto"/>
          <w:sz w:val="28"/>
          <w:szCs w:val="28"/>
          <w:highlight w:val="none"/>
        </w:rPr>
      </w:pPr>
    </w:p>
    <w:p>
      <w:pPr>
        <w:shd w:val="clear" w:color="auto" w:fill="auto"/>
        <w:spacing w:line="360" w:lineRule="auto"/>
        <w:jc w:val="left"/>
        <w:outlineLvl w:val="9"/>
        <w:rPr>
          <w:rFonts w:hint="eastAsia" w:ascii="宋体"/>
          <w:b/>
          <w:color w:val="auto"/>
          <w:sz w:val="28"/>
          <w:szCs w:val="28"/>
          <w:highlight w:val="none"/>
        </w:rPr>
      </w:pPr>
    </w:p>
    <w:p>
      <w:pPr>
        <w:shd w:val="clear" w:color="auto" w:fill="auto"/>
        <w:spacing w:line="360" w:lineRule="auto"/>
        <w:jc w:val="left"/>
        <w:outlineLvl w:val="9"/>
        <w:rPr>
          <w:rFonts w:hint="eastAsia" w:ascii="宋体"/>
          <w:b/>
          <w:color w:val="auto"/>
          <w:sz w:val="28"/>
          <w:szCs w:val="28"/>
          <w:highlight w:val="none"/>
        </w:rPr>
      </w:pPr>
    </w:p>
    <w:p>
      <w:pPr>
        <w:pStyle w:val="2"/>
        <w:rPr>
          <w:rFonts w:hint="eastAsia" w:ascii="宋体"/>
          <w:b/>
          <w:color w:val="auto"/>
          <w:sz w:val="28"/>
          <w:szCs w:val="28"/>
          <w:highlight w:val="none"/>
        </w:rPr>
      </w:pPr>
    </w:p>
    <w:p>
      <w:pPr>
        <w:pStyle w:val="2"/>
        <w:rPr>
          <w:rFonts w:hint="eastAsia" w:ascii="宋体"/>
          <w:b/>
          <w:color w:val="auto"/>
          <w:sz w:val="28"/>
          <w:szCs w:val="28"/>
          <w:highlight w:val="none"/>
        </w:rPr>
      </w:pPr>
    </w:p>
    <w:p>
      <w:pPr>
        <w:pStyle w:val="2"/>
        <w:rPr>
          <w:rFonts w:hint="eastAsia" w:ascii="宋体"/>
          <w:b/>
          <w:color w:val="auto"/>
          <w:sz w:val="28"/>
          <w:szCs w:val="28"/>
          <w:highlight w:val="none"/>
        </w:rPr>
      </w:pPr>
    </w:p>
    <w:p>
      <w:pPr>
        <w:pStyle w:val="2"/>
        <w:rPr>
          <w:rFonts w:hint="eastAsia" w:ascii="宋体"/>
          <w:b/>
          <w:color w:val="auto"/>
          <w:sz w:val="28"/>
          <w:szCs w:val="28"/>
          <w:highlight w:val="none"/>
        </w:rPr>
      </w:pPr>
    </w:p>
    <w:p>
      <w:pPr>
        <w:pStyle w:val="2"/>
        <w:rPr>
          <w:rFonts w:hint="eastAsia" w:ascii="宋体"/>
          <w:b/>
          <w:color w:val="auto"/>
          <w:sz w:val="28"/>
          <w:szCs w:val="28"/>
          <w:highlight w:val="none"/>
        </w:rPr>
      </w:pPr>
    </w:p>
    <w:p>
      <w:pPr>
        <w:pStyle w:val="2"/>
        <w:rPr>
          <w:rFonts w:hint="eastAsia" w:ascii="宋体"/>
          <w:b/>
          <w:color w:val="auto"/>
          <w:sz w:val="28"/>
          <w:szCs w:val="28"/>
          <w:highlight w:val="none"/>
        </w:rPr>
      </w:pPr>
    </w:p>
    <w:p>
      <w:pPr>
        <w:shd w:val="clear" w:color="auto" w:fill="auto"/>
        <w:spacing w:line="360" w:lineRule="auto"/>
        <w:jc w:val="left"/>
        <w:outlineLvl w:val="9"/>
        <w:rPr>
          <w:rFonts w:hint="eastAsia" w:ascii="宋体"/>
          <w:b/>
          <w:color w:val="auto"/>
          <w:sz w:val="28"/>
          <w:szCs w:val="28"/>
          <w:highlight w:val="none"/>
        </w:rPr>
      </w:pPr>
    </w:p>
    <w:p>
      <w:pPr>
        <w:pStyle w:val="29"/>
        <w:spacing w:line="360" w:lineRule="auto"/>
        <w:rPr>
          <w:rFonts w:asciiTheme="minorEastAsia" w:hAnsiTheme="minorEastAsia" w:eastAsiaTheme="minorEastAsia" w:cstheme="minorEastAsia"/>
          <w:color w:val="auto"/>
          <w:szCs w:val="24"/>
        </w:rPr>
      </w:pPr>
    </w:p>
    <w:p>
      <w:pPr>
        <w:pStyle w:val="29"/>
        <w:spacing w:line="360" w:lineRule="auto"/>
        <w:rPr>
          <w:rFonts w:hint="default" w:asciiTheme="minorEastAsia" w:hAnsiTheme="minorEastAsia" w:eastAsiaTheme="minorEastAsia" w:cstheme="minorEastAsia"/>
          <w:color w:val="auto"/>
          <w:szCs w:val="24"/>
        </w:rPr>
      </w:pPr>
      <w:r>
        <w:rPr>
          <w:rFonts w:asciiTheme="minorEastAsia" w:hAnsiTheme="minorEastAsia" w:eastAsiaTheme="minorEastAsia" w:cstheme="minorEastAsia"/>
          <w:color w:val="auto"/>
          <w:szCs w:val="24"/>
        </w:rPr>
        <w:t>附表一：</w:t>
      </w:r>
    </w:p>
    <w:p>
      <w:pPr>
        <w:spacing w:line="360" w:lineRule="auto"/>
        <w:jc w:val="center"/>
        <w:rPr>
          <w:rFonts w:asciiTheme="minorEastAsia" w:hAnsiTheme="minorEastAsia" w:eastAsiaTheme="minorEastAsia" w:cstheme="minorEastAsia"/>
          <w:b/>
          <w:color w:val="auto"/>
          <w:sz w:val="32"/>
          <w:szCs w:val="24"/>
        </w:rPr>
      </w:pPr>
      <w:bookmarkStart w:id="111" w:name="_Toc267301287"/>
      <w:bookmarkStart w:id="112" w:name="_Toc349637925"/>
      <w:bookmarkStart w:id="113" w:name="_Toc298240410"/>
      <w:bookmarkStart w:id="114" w:name="_Toc527642957"/>
      <w:bookmarkStart w:id="115" w:name="_Toc349573126"/>
      <w:bookmarkStart w:id="116" w:name="_Toc471489758"/>
      <w:bookmarkStart w:id="117" w:name="_Toc267301288"/>
      <w:r>
        <w:rPr>
          <w:rFonts w:hint="eastAsia" w:asciiTheme="minorEastAsia" w:hAnsiTheme="minorEastAsia" w:eastAsiaTheme="minorEastAsia" w:cstheme="minorEastAsia"/>
          <w:b/>
          <w:color w:val="auto"/>
          <w:sz w:val="32"/>
          <w:szCs w:val="24"/>
          <w:lang w:val="zh-CN"/>
        </w:rPr>
        <w:t>（1）初步评审标准</w:t>
      </w:r>
      <w:r>
        <w:rPr>
          <w:rFonts w:hint="eastAsia" w:asciiTheme="minorEastAsia" w:hAnsiTheme="minorEastAsia" w:eastAsiaTheme="minorEastAsia" w:cstheme="minorEastAsia"/>
          <w:b/>
          <w:color w:val="auto"/>
          <w:sz w:val="32"/>
          <w:szCs w:val="24"/>
        </w:rPr>
        <w:t>-形式评审</w:t>
      </w:r>
    </w:p>
    <w:tbl>
      <w:tblPr>
        <w:tblStyle w:val="23"/>
        <w:tblW w:w="9451" w:type="dxa"/>
        <w:tblInd w:w="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6"/>
        <w:gridCol w:w="8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96" w:type="dxa"/>
            <w:tcBorders>
              <w:top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序号</w:t>
            </w:r>
          </w:p>
        </w:tc>
        <w:tc>
          <w:tcPr>
            <w:tcW w:w="8655" w:type="dxa"/>
            <w:tcBorders>
              <w:top w:val="single" w:color="auto" w:sz="4" w:space="0"/>
              <w:left w:val="single" w:color="auto" w:sz="4" w:space="0"/>
              <w:bottom w:val="single" w:color="auto" w:sz="4" w:space="0"/>
            </w:tcBorders>
            <w:vAlign w:val="center"/>
          </w:tcPr>
          <w:p>
            <w:pPr>
              <w:autoSpaceDE w:val="0"/>
              <w:autoSpaceDN w:val="0"/>
              <w:adjustRightInd w:val="0"/>
              <w:spacing w:line="360" w:lineRule="exact"/>
              <w:jc w:val="center"/>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标  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796" w:type="dxa"/>
            <w:tcBorders>
              <w:top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1</w:t>
            </w:r>
          </w:p>
        </w:tc>
        <w:tc>
          <w:tcPr>
            <w:tcW w:w="8655" w:type="dxa"/>
            <w:tcBorders>
              <w:top w:val="single" w:color="auto" w:sz="4" w:space="0"/>
              <w:left w:val="single" w:color="auto" w:sz="4" w:space="0"/>
              <w:bottom w:val="single" w:color="auto" w:sz="4" w:space="0"/>
            </w:tcBorders>
            <w:vAlign w:val="center"/>
          </w:tcPr>
          <w:p>
            <w:pPr>
              <w:spacing w:line="360" w:lineRule="exact"/>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szCs w:val="24"/>
              </w:rPr>
              <w:t>投标保证金的缴纳主体与</w:t>
            </w:r>
            <w:r>
              <w:rPr>
                <w:rFonts w:hint="eastAsia" w:asciiTheme="minorEastAsia" w:hAnsiTheme="minorEastAsia" w:eastAsiaTheme="minorEastAsia" w:cstheme="minorEastAsia"/>
                <w:color w:val="auto"/>
                <w:sz w:val="24"/>
                <w:lang w:val="en-US" w:eastAsia="zh-CN"/>
              </w:rPr>
              <w:t>投标人</w:t>
            </w:r>
            <w:r>
              <w:rPr>
                <w:rFonts w:hint="eastAsia" w:asciiTheme="minorEastAsia" w:hAnsiTheme="minorEastAsia" w:eastAsiaTheme="minorEastAsia" w:cstheme="minorEastAsia"/>
                <w:color w:val="auto"/>
                <w:sz w:val="24"/>
                <w:szCs w:val="24"/>
              </w:rPr>
              <w:t>一致的，按照磋商文件要求提供投标担保，或者所提供的投标担保</w:t>
            </w:r>
            <w:r>
              <w:rPr>
                <w:rFonts w:hint="eastAsia" w:asciiTheme="minorEastAsia" w:hAnsiTheme="minorEastAsia" w:eastAsiaTheme="minorEastAsia" w:cstheme="minorEastAsia"/>
                <w:color w:val="auto"/>
                <w:sz w:val="24"/>
                <w:szCs w:val="24"/>
                <w:lang w:val="en-US" w:eastAsia="zh-CN"/>
              </w:rPr>
              <w:t>没</w:t>
            </w:r>
            <w:r>
              <w:rPr>
                <w:rFonts w:hint="eastAsia" w:asciiTheme="minorEastAsia" w:hAnsiTheme="minorEastAsia" w:eastAsiaTheme="minorEastAsia" w:cstheme="minorEastAsia"/>
                <w:color w:val="auto"/>
                <w:sz w:val="24"/>
                <w:szCs w:val="24"/>
              </w:rPr>
              <w:t>有瑕疵的；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6" w:type="dxa"/>
            <w:tcBorders>
              <w:top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2</w:t>
            </w:r>
          </w:p>
        </w:tc>
        <w:tc>
          <w:tcPr>
            <w:tcW w:w="8655" w:type="dxa"/>
            <w:tcBorders>
              <w:top w:val="single" w:color="auto" w:sz="4" w:space="0"/>
              <w:left w:val="single" w:color="auto" w:sz="4" w:space="0"/>
              <w:bottom w:val="single" w:color="auto" w:sz="4" w:space="0"/>
            </w:tcBorders>
            <w:vAlign w:val="center"/>
          </w:tcPr>
          <w:p>
            <w:pPr>
              <w:spacing w:line="360" w:lineRule="exact"/>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szCs w:val="24"/>
                <w:lang w:val="zh-CN" w:eastAsia="zh-CN"/>
              </w:rPr>
              <w:t>投标人</w:t>
            </w:r>
            <w:r>
              <w:rPr>
                <w:rFonts w:hint="eastAsia" w:asciiTheme="minorEastAsia" w:hAnsiTheme="minorEastAsia" w:eastAsiaTheme="minorEastAsia" w:cstheme="minorEastAsia"/>
                <w:color w:val="auto"/>
                <w:sz w:val="24"/>
                <w:szCs w:val="24"/>
                <w:lang w:val="zh-CN"/>
              </w:rPr>
              <w:t>的项目负责人是</w:t>
            </w:r>
            <w:r>
              <w:rPr>
                <w:rFonts w:hint="eastAsia" w:asciiTheme="minorEastAsia" w:hAnsiTheme="minorEastAsia" w:eastAsiaTheme="minorEastAsia" w:cstheme="minorEastAsia"/>
                <w:color w:val="auto"/>
                <w:sz w:val="24"/>
                <w:szCs w:val="24"/>
                <w:lang w:val="zh-CN" w:eastAsia="zh-CN"/>
              </w:rPr>
              <w:t>投标人</w:t>
            </w:r>
            <w:r>
              <w:rPr>
                <w:rFonts w:hint="eastAsia" w:asciiTheme="minorEastAsia" w:hAnsiTheme="minorEastAsia" w:eastAsiaTheme="minorEastAsia" w:cstheme="minorEastAsia"/>
                <w:color w:val="auto"/>
                <w:sz w:val="24"/>
                <w:szCs w:val="24"/>
                <w:lang w:val="zh-CN"/>
              </w:rPr>
              <w:t>的注册执业人员，或者具备项目负责人资格条件的；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96" w:type="dxa"/>
            <w:tcBorders>
              <w:top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3</w:t>
            </w:r>
          </w:p>
        </w:tc>
        <w:tc>
          <w:tcPr>
            <w:tcW w:w="8655" w:type="dxa"/>
            <w:tcBorders>
              <w:top w:val="single" w:color="auto" w:sz="4" w:space="0"/>
              <w:left w:val="single" w:color="auto" w:sz="4" w:space="0"/>
              <w:bottom w:val="single" w:color="auto" w:sz="4" w:space="0"/>
            </w:tcBorders>
            <w:vAlign w:val="center"/>
          </w:tcPr>
          <w:p>
            <w:pPr>
              <w:spacing w:line="360" w:lineRule="exact"/>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szCs w:val="24"/>
                <w:lang w:val="zh-CN"/>
              </w:rPr>
              <w:t>磋商响应文件有投标单位法定代表人或其授权代表签字和加盖投标单位公章的；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796" w:type="dxa"/>
            <w:tcBorders>
              <w:top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rPr>
              <w:t>4</w:t>
            </w:r>
          </w:p>
        </w:tc>
        <w:tc>
          <w:tcPr>
            <w:tcW w:w="8655" w:type="dxa"/>
            <w:tcBorders>
              <w:top w:val="single" w:color="auto" w:sz="4" w:space="0"/>
              <w:left w:val="single" w:color="auto" w:sz="4" w:space="0"/>
              <w:bottom w:val="single" w:color="auto" w:sz="4" w:space="0"/>
            </w:tcBorders>
            <w:vAlign w:val="center"/>
          </w:tcPr>
          <w:p>
            <w:pPr>
              <w:spacing w:line="360" w:lineRule="exact"/>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szCs w:val="24"/>
              </w:rPr>
              <w:t>投标工程的完成期限</w:t>
            </w:r>
            <w:r>
              <w:rPr>
                <w:rFonts w:hint="eastAsia" w:asciiTheme="minorEastAsia" w:hAnsiTheme="minorEastAsia" w:eastAsiaTheme="minorEastAsia" w:cstheme="minorEastAsia"/>
                <w:color w:val="auto"/>
                <w:sz w:val="24"/>
                <w:szCs w:val="24"/>
                <w:lang w:val="en-US" w:eastAsia="zh-CN"/>
              </w:rPr>
              <w:t>未</w:t>
            </w:r>
            <w:r>
              <w:rPr>
                <w:rFonts w:hint="eastAsia" w:asciiTheme="minorEastAsia" w:hAnsiTheme="minorEastAsia" w:eastAsiaTheme="minorEastAsia" w:cstheme="minorEastAsia"/>
                <w:color w:val="auto"/>
                <w:sz w:val="24"/>
                <w:szCs w:val="24"/>
              </w:rPr>
              <w:t>超过磋商文件规定期限的；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796" w:type="dxa"/>
            <w:tcBorders>
              <w:top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rPr>
              <w:t>5</w:t>
            </w:r>
          </w:p>
        </w:tc>
        <w:tc>
          <w:tcPr>
            <w:tcW w:w="8655" w:type="dxa"/>
            <w:tcBorders>
              <w:top w:val="single" w:color="auto" w:sz="4" w:space="0"/>
              <w:left w:val="single" w:color="auto" w:sz="4" w:space="0"/>
              <w:bottom w:val="single" w:color="auto" w:sz="4" w:space="0"/>
            </w:tcBorders>
            <w:vAlign w:val="center"/>
          </w:tcPr>
          <w:p>
            <w:pPr>
              <w:spacing w:line="36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lang w:val="en-US" w:eastAsia="zh-CN"/>
              </w:rPr>
              <w:t>投标人</w:t>
            </w:r>
            <w:r>
              <w:rPr>
                <w:rFonts w:hint="eastAsia" w:asciiTheme="minorEastAsia" w:hAnsiTheme="minorEastAsia" w:eastAsiaTheme="minorEastAsia" w:cstheme="minorEastAsia"/>
                <w:color w:val="auto"/>
                <w:sz w:val="24"/>
                <w:szCs w:val="24"/>
              </w:rPr>
              <w:t>项目负责人要求：须具备贰级及以上注册建造师证（建筑工程）、具有有效的安全生产考核证，必须为本单位注册，不接受临时注册建造师；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796" w:type="dxa"/>
            <w:tcBorders>
              <w:top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w:t>
            </w:r>
          </w:p>
        </w:tc>
        <w:tc>
          <w:tcPr>
            <w:tcW w:w="8655" w:type="dxa"/>
            <w:tcBorders>
              <w:top w:val="single" w:color="auto" w:sz="4" w:space="0"/>
              <w:left w:val="single" w:color="auto" w:sz="4" w:space="0"/>
              <w:bottom w:val="single" w:color="auto" w:sz="4" w:space="0"/>
            </w:tcBorders>
            <w:vAlign w:val="center"/>
          </w:tcPr>
          <w:p>
            <w:pPr>
              <w:autoSpaceDE w:val="0"/>
              <w:autoSpaceDN w:val="0"/>
              <w:adjustRightInd w:val="0"/>
              <w:spacing w:line="360" w:lineRule="exact"/>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磋商文件载明的技术规格、技术标准、货物包装方式、检验标准和方法等，符合磋商文件要求的；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96" w:type="dxa"/>
            <w:tcBorders>
              <w:top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w:t>
            </w:r>
          </w:p>
        </w:tc>
        <w:tc>
          <w:tcPr>
            <w:tcW w:w="8655" w:type="dxa"/>
            <w:tcBorders>
              <w:top w:val="single" w:color="auto" w:sz="4" w:space="0"/>
              <w:left w:val="single" w:color="auto" w:sz="4" w:space="0"/>
              <w:bottom w:val="single" w:color="auto" w:sz="4" w:space="0"/>
            </w:tcBorders>
            <w:vAlign w:val="center"/>
          </w:tcPr>
          <w:p>
            <w:pPr>
              <w:spacing w:line="360" w:lineRule="exact"/>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szCs w:val="24"/>
                <w:lang w:val="zh-CN"/>
              </w:rPr>
              <w:t>磋商文件</w:t>
            </w:r>
            <w:r>
              <w:rPr>
                <w:rFonts w:hint="eastAsia" w:asciiTheme="minorEastAsia" w:hAnsiTheme="minorEastAsia" w:eastAsiaTheme="minorEastAsia" w:cstheme="minorEastAsia"/>
                <w:color w:val="auto"/>
                <w:sz w:val="24"/>
                <w:szCs w:val="24"/>
                <w:lang w:val="zh-CN" w:eastAsia="zh-CN"/>
              </w:rPr>
              <w:t>未</w:t>
            </w:r>
            <w:r>
              <w:rPr>
                <w:rFonts w:hint="eastAsia" w:asciiTheme="minorEastAsia" w:hAnsiTheme="minorEastAsia" w:eastAsiaTheme="minorEastAsia" w:cstheme="minorEastAsia"/>
                <w:color w:val="auto"/>
                <w:sz w:val="24"/>
                <w:szCs w:val="24"/>
                <w:lang w:val="zh-CN"/>
              </w:rPr>
              <w:t>附有招标人不能接受条件的；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796" w:type="dxa"/>
            <w:tcBorders>
              <w:top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w:t>
            </w:r>
          </w:p>
        </w:tc>
        <w:tc>
          <w:tcPr>
            <w:tcW w:w="8655" w:type="dxa"/>
            <w:tcBorders>
              <w:top w:val="single" w:color="auto" w:sz="4" w:space="0"/>
              <w:left w:val="single" w:color="auto" w:sz="4" w:space="0"/>
              <w:bottom w:val="single" w:color="auto" w:sz="4" w:space="0"/>
            </w:tcBorders>
            <w:vAlign w:val="center"/>
          </w:tcPr>
          <w:p>
            <w:pPr>
              <w:autoSpaceDE w:val="0"/>
              <w:autoSpaceDN w:val="0"/>
              <w:adjustRightInd w:val="0"/>
              <w:spacing w:line="360" w:lineRule="exact"/>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满足磋商文件实质性要求的其他情形。</w:t>
            </w:r>
          </w:p>
        </w:tc>
      </w:tr>
    </w:tbl>
    <w:p>
      <w:pPr>
        <w:spacing w:line="360" w:lineRule="auto"/>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备注：1、如果资格评审中有一项不满足审查标准的，磋商小组将认定该</w:t>
      </w:r>
      <w:r>
        <w:rPr>
          <w:rFonts w:hint="eastAsia" w:asciiTheme="minorEastAsia" w:hAnsiTheme="minorEastAsia" w:eastAsiaTheme="minorEastAsia" w:cstheme="minorEastAsia"/>
          <w:color w:val="auto"/>
          <w:sz w:val="24"/>
          <w:lang w:val="en-US" w:eastAsia="zh-CN"/>
        </w:rPr>
        <w:t>投标人</w:t>
      </w:r>
      <w:r>
        <w:rPr>
          <w:rFonts w:hint="eastAsia" w:asciiTheme="minorEastAsia" w:hAnsiTheme="minorEastAsia" w:eastAsiaTheme="minorEastAsia" w:cstheme="minorEastAsia"/>
          <w:color w:val="auto"/>
          <w:sz w:val="24"/>
          <w:szCs w:val="24"/>
          <w:lang w:val="zh-CN"/>
        </w:rPr>
        <w:t>不通过资格审查，不得进入下一阶段评审。并且不允许</w:t>
      </w:r>
      <w:r>
        <w:rPr>
          <w:rFonts w:hint="eastAsia" w:asciiTheme="minorEastAsia" w:hAnsiTheme="minorEastAsia" w:eastAsiaTheme="minorEastAsia" w:cstheme="minorEastAsia"/>
          <w:color w:val="auto"/>
          <w:sz w:val="24"/>
          <w:lang w:val="en-US" w:eastAsia="zh-CN"/>
        </w:rPr>
        <w:t>投标人</w:t>
      </w:r>
      <w:r>
        <w:rPr>
          <w:rFonts w:hint="eastAsia" w:asciiTheme="minorEastAsia" w:hAnsiTheme="minorEastAsia" w:eastAsiaTheme="minorEastAsia" w:cstheme="minorEastAsia"/>
          <w:color w:val="auto"/>
          <w:sz w:val="24"/>
          <w:szCs w:val="24"/>
          <w:lang w:val="zh-CN"/>
        </w:rPr>
        <w:t>通过修改或撤销其不符合要求的差异或保留，使之成为具有响应性的投标。</w:t>
      </w:r>
    </w:p>
    <w:p>
      <w:pPr>
        <w:pStyle w:val="29"/>
        <w:spacing w:line="360" w:lineRule="auto"/>
        <w:rPr>
          <w:rFonts w:hint="default" w:asciiTheme="minorEastAsia" w:hAnsiTheme="minorEastAsia" w:eastAsiaTheme="minorEastAsia" w:cstheme="minorEastAsia"/>
          <w:color w:val="auto"/>
          <w:szCs w:val="24"/>
        </w:rPr>
      </w:pPr>
    </w:p>
    <w:p>
      <w:pPr>
        <w:pStyle w:val="29"/>
        <w:spacing w:line="360" w:lineRule="auto"/>
        <w:rPr>
          <w:rFonts w:hint="default" w:asciiTheme="minorEastAsia" w:hAnsiTheme="minorEastAsia" w:eastAsiaTheme="minorEastAsia" w:cstheme="minorEastAsia"/>
          <w:color w:val="auto"/>
          <w:szCs w:val="24"/>
        </w:rPr>
      </w:pPr>
    </w:p>
    <w:p>
      <w:pPr>
        <w:pStyle w:val="29"/>
        <w:spacing w:line="360" w:lineRule="auto"/>
        <w:rPr>
          <w:rFonts w:hint="default" w:asciiTheme="minorEastAsia" w:hAnsiTheme="minorEastAsia" w:eastAsiaTheme="minorEastAsia" w:cstheme="minorEastAsia"/>
          <w:color w:val="auto"/>
          <w:szCs w:val="24"/>
        </w:rPr>
      </w:pPr>
    </w:p>
    <w:p>
      <w:pPr>
        <w:pStyle w:val="29"/>
        <w:spacing w:line="360" w:lineRule="auto"/>
        <w:rPr>
          <w:rFonts w:hint="default" w:asciiTheme="minorEastAsia" w:hAnsiTheme="minorEastAsia" w:eastAsiaTheme="minorEastAsia" w:cstheme="minorEastAsia"/>
          <w:color w:val="auto"/>
          <w:szCs w:val="24"/>
        </w:rPr>
      </w:pPr>
    </w:p>
    <w:p>
      <w:pPr>
        <w:pStyle w:val="29"/>
        <w:spacing w:line="360" w:lineRule="auto"/>
        <w:rPr>
          <w:rFonts w:hint="default" w:asciiTheme="minorEastAsia" w:hAnsiTheme="minorEastAsia" w:eastAsiaTheme="minorEastAsia" w:cstheme="minorEastAsia"/>
          <w:color w:val="auto"/>
          <w:szCs w:val="24"/>
        </w:rPr>
      </w:pPr>
    </w:p>
    <w:p>
      <w:pPr>
        <w:pStyle w:val="29"/>
        <w:spacing w:line="360" w:lineRule="auto"/>
        <w:rPr>
          <w:rFonts w:asciiTheme="minorEastAsia" w:hAnsiTheme="minorEastAsia" w:eastAsiaTheme="minorEastAsia" w:cstheme="minorEastAsia"/>
          <w:color w:val="auto"/>
          <w:szCs w:val="24"/>
        </w:rPr>
      </w:pPr>
    </w:p>
    <w:p>
      <w:pPr>
        <w:pStyle w:val="29"/>
        <w:spacing w:line="360" w:lineRule="auto"/>
        <w:rPr>
          <w:rFonts w:asciiTheme="minorEastAsia" w:hAnsiTheme="minorEastAsia" w:eastAsiaTheme="minorEastAsia" w:cstheme="minorEastAsia"/>
          <w:color w:val="auto"/>
          <w:szCs w:val="24"/>
        </w:rPr>
      </w:pPr>
    </w:p>
    <w:p>
      <w:pPr>
        <w:pStyle w:val="29"/>
        <w:spacing w:line="360" w:lineRule="auto"/>
        <w:rPr>
          <w:rFonts w:asciiTheme="minorEastAsia" w:hAnsiTheme="minorEastAsia" w:eastAsiaTheme="minorEastAsia" w:cstheme="minorEastAsia"/>
          <w:color w:val="auto"/>
          <w:szCs w:val="24"/>
        </w:rPr>
      </w:pPr>
    </w:p>
    <w:p>
      <w:pPr>
        <w:pStyle w:val="29"/>
        <w:spacing w:line="360" w:lineRule="auto"/>
        <w:rPr>
          <w:rFonts w:asciiTheme="minorEastAsia" w:hAnsiTheme="minorEastAsia" w:eastAsiaTheme="minorEastAsia" w:cstheme="minorEastAsia"/>
          <w:color w:val="auto"/>
          <w:szCs w:val="24"/>
        </w:rPr>
      </w:pPr>
    </w:p>
    <w:p>
      <w:pPr>
        <w:pStyle w:val="29"/>
        <w:spacing w:line="360" w:lineRule="auto"/>
        <w:rPr>
          <w:rFonts w:asciiTheme="minorEastAsia" w:hAnsiTheme="minorEastAsia" w:eastAsiaTheme="minorEastAsia" w:cstheme="minorEastAsia"/>
          <w:color w:val="auto"/>
          <w:szCs w:val="24"/>
        </w:rPr>
      </w:pPr>
    </w:p>
    <w:p>
      <w:pPr>
        <w:pStyle w:val="29"/>
        <w:spacing w:line="360" w:lineRule="auto"/>
        <w:rPr>
          <w:rFonts w:asciiTheme="minorEastAsia" w:hAnsiTheme="minorEastAsia" w:eastAsiaTheme="minorEastAsia" w:cstheme="minorEastAsia"/>
          <w:color w:val="auto"/>
          <w:szCs w:val="24"/>
        </w:rPr>
      </w:pPr>
    </w:p>
    <w:p>
      <w:pPr>
        <w:pStyle w:val="29"/>
        <w:spacing w:line="360" w:lineRule="auto"/>
        <w:rPr>
          <w:rFonts w:hint="default" w:asciiTheme="minorEastAsia" w:hAnsiTheme="minorEastAsia" w:eastAsiaTheme="minorEastAsia" w:cstheme="minorEastAsia"/>
          <w:color w:val="auto"/>
          <w:szCs w:val="24"/>
          <w:lang w:val="zh-CN"/>
        </w:rPr>
      </w:pPr>
      <w:r>
        <w:rPr>
          <w:rFonts w:asciiTheme="minorEastAsia" w:hAnsiTheme="minorEastAsia" w:eastAsiaTheme="minorEastAsia" w:cstheme="minorEastAsia"/>
          <w:color w:val="auto"/>
          <w:szCs w:val="24"/>
        </w:rPr>
        <w:t>附表二：</w:t>
      </w:r>
    </w:p>
    <w:p>
      <w:pPr>
        <w:spacing w:line="360" w:lineRule="auto"/>
        <w:jc w:val="center"/>
        <w:rPr>
          <w:rFonts w:asciiTheme="minorEastAsia" w:hAnsiTheme="minorEastAsia" w:eastAsiaTheme="minorEastAsia" w:cstheme="minorEastAsia"/>
          <w:b/>
          <w:color w:val="auto"/>
          <w:sz w:val="32"/>
          <w:szCs w:val="24"/>
        </w:rPr>
      </w:pPr>
      <w:r>
        <w:rPr>
          <w:rFonts w:hint="eastAsia" w:asciiTheme="minorEastAsia" w:hAnsiTheme="minorEastAsia" w:eastAsiaTheme="minorEastAsia" w:cstheme="minorEastAsia"/>
          <w:b/>
          <w:color w:val="auto"/>
          <w:sz w:val="32"/>
          <w:szCs w:val="24"/>
        </w:rPr>
        <w:t>（2）初步评审标准-响应性评审</w:t>
      </w:r>
    </w:p>
    <w:tbl>
      <w:tblPr>
        <w:tblStyle w:val="23"/>
        <w:tblpPr w:leftFromText="180" w:rightFromText="180" w:vertAnchor="text" w:horzAnchor="margin" w:tblpX="-46" w:tblpY="158"/>
        <w:tblW w:w="1003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0"/>
        <w:gridCol w:w="477"/>
        <w:gridCol w:w="6633"/>
        <w:gridCol w:w="19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930" w:type="dxa"/>
            <w:vMerge w:val="restart"/>
            <w:tcBorders>
              <w:top w:val="single" w:color="auto" w:sz="12" w:space="0"/>
              <w:left w:val="single" w:color="auto" w:sz="12" w:space="0"/>
              <w:bottom w:val="single" w:color="auto" w:sz="4" w:space="0"/>
              <w:right w:val="single" w:color="auto" w:sz="6" w:space="0"/>
            </w:tcBorders>
            <w:vAlign w:val="center"/>
          </w:tcPr>
          <w:p>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w:t>
            </w:r>
          </w:p>
        </w:tc>
        <w:tc>
          <w:tcPr>
            <w:tcW w:w="7110" w:type="dxa"/>
            <w:gridSpan w:val="2"/>
            <w:vMerge w:val="restart"/>
            <w:tcBorders>
              <w:top w:val="single" w:color="auto" w:sz="12" w:space="0"/>
              <w:left w:val="single" w:color="auto" w:sz="6" w:space="0"/>
              <w:bottom w:val="single" w:color="auto" w:sz="4" w:space="0"/>
              <w:right w:val="single" w:color="auto" w:sz="6" w:space="0"/>
            </w:tcBorders>
            <w:vAlign w:val="center"/>
          </w:tcPr>
          <w:p>
            <w:pPr>
              <w:spacing w:line="360" w:lineRule="exact"/>
              <w:jc w:val="center"/>
              <w:rPr>
                <w:rFonts w:asciiTheme="minorEastAsia" w:hAnsiTheme="minorEastAsia" w:eastAsiaTheme="minorEastAsia" w:cstheme="minorEastAsia"/>
                <w:b/>
                <w:color w:val="auto"/>
                <w:sz w:val="20"/>
                <w:szCs w:val="21"/>
              </w:rPr>
            </w:pPr>
            <w:r>
              <w:rPr>
                <w:rFonts w:hint="eastAsia" w:asciiTheme="minorEastAsia" w:hAnsiTheme="minorEastAsia" w:eastAsiaTheme="minorEastAsia" w:cstheme="minorEastAsia"/>
                <w:color w:val="auto"/>
                <w:sz w:val="24"/>
                <w:szCs w:val="24"/>
              </w:rPr>
              <w:t>评审内容</w:t>
            </w:r>
          </w:p>
        </w:tc>
        <w:tc>
          <w:tcPr>
            <w:tcW w:w="1997"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评审</w:t>
            </w:r>
          </w:p>
          <w:p>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8" w:hRule="atLeast"/>
        </w:trPr>
        <w:tc>
          <w:tcPr>
            <w:tcW w:w="930" w:type="dxa"/>
            <w:vMerge w:val="continue"/>
            <w:tcBorders>
              <w:top w:val="single" w:color="auto" w:sz="12" w:space="0"/>
              <w:left w:val="single" w:color="auto" w:sz="12" w:space="0"/>
              <w:bottom w:val="single" w:color="auto" w:sz="4" w:space="0"/>
              <w:right w:val="single" w:color="auto" w:sz="6" w:space="0"/>
            </w:tcBorders>
            <w:vAlign w:val="center"/>
          </w:tcPr>
          <w:p>
            <w:pPr>
              <w:autoSpaceDE w:val="0"/>
              <w:autoSpaceDN w:val="0"/>
              <w:adjustRightInd w:val="0"/>
              <w:spacing w:line="360" w:lineRule="exact"/>
              <w:jc w:val="center"/>
              <w:rPr>
                <w:rFonts w:asciiTheme="minorEastAsia" w:hAnsiTheme="minorEastAsia" w:eastAsiaTheme="minorEastAsia" w:cstheme="minorEastAsia"/>
                <w:color w:val="auto"/>
                <w:sz w:val="24"/>
                <w:szCs w:val="24"/>
              </w:rPr>
            </w:pPr>
          </w:p>
        </w:tc>
        <w:tc>
          <w:tcPr>
            <w:tcW w:w="7110" w:type="dxa"/>
            <w:gridSpan w:val="2"/>
            <w:vMerge w:val="continue"/>
            <w:tcBorders>
              <w:top w:val="single" w:color="auto" w:sz="12" w:space="0"/>
              <w:left w:val="single" w:color="auto" w:sz="6" w:space="0"/>
              <w:bottom w:val="single" w:color="auto" w:sz="4" w:space="0"/>
              <w:right w:val="single" w:color="auto" w:sz="6" w:space="0"/>
            </w:tcBorders>
            <w:vAlign w:val="center"/>
          </w:tcPr>
          <w:p>
            <w:pPr>
              <w:spacing w:line="360" w:lineRule="exact"/>
              <w:rPr>
                <w:rFonts w:asciiTheme="minorEastAsia" w:hAnsiTheme="minorEastAsia" w:eastAsiaTheme="minorEastAsia" w:cstheme="minorEastAsia"/>
                <w:color w:val="auto"/>
                <w:sz w:val="20"/>
              </w:rPr>
            </w:pPr>
          </w:p>
        </w:tc>
        <w:tc>
          <w:tcPr>
            <w:tcW w:w="199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（通过打√、不通过打×）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9" w:hRule="atLeast"/>
        </w:trPr>
        <w:tc>
          <w:tcPr>
            <w:tcW w:w="930" w:type="dxa"/>
            <w:vMerge w:val="restart"/>
            <w:tcBorders>
              <w:top w:val="single" w:color="auto" w:sz="4" w:space="0"/>
              <w:left w:val="single" w:color="auto" w:sz="12" w:space="0"/>
              <w:right w:val="single" w:color="auto" w:sz="6" w:space="0"/>
            </w:tcBorders>
            <w:vAlign w:val="center"/>
          </w:tcPr>
          <w:p>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审</w:t>
            </w:r>
          </w:p>
          <w:p>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查</w:t>
            </w:r>
          </w:p>
          <w:p>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标</w:t>
            </w:r>
          </w:p>
          <w:p>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准</w:t>
            </w:r>
          </w:p>
        </w:tc>
        <w:tc>
          <w:tcPr>
            <w:tcW w:w="477"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6633" w:type="dxa"/>
            <w:tcBorders>
              <w:top w:val="single" w:color="auto" w:sz="6" w:space="0"/>
              <w:left w:val="single" w:color="auto" w:sz="4" w:space="0"/>
              <w:bottom w:val="single" w:color="auto" w:sz="6" w:space="0"/>
              <w:right w:val="single" w:color="auto" w:sz="4" w:space="0"/>
            </w:tcBorders>
            <w:vAlign w:val="center"/>
          </w:tcPr>
          <w:p>
            <w:pPr>
              <w:spacing w:line="36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投标报价</w:t>
            </w:r>
            <w:r>
              <w:rPr>
                <w:rFonts w:hint="eastAsia" w:asciiTheme="minorEastAsia" w:hAnsiTheme="minorEastAsia" w:eastAsiaTheme="minorEastAsia" w:cstheme="minorEastAsia"/>
                <w:color w:val="auto"/>
                <w:sz w:val="24"/>
                <w:szCs w:val="24"/>
                <w:lang w:val="en-US" w:eastAsia="zh-CN"/>
              </w:rPr>
              <w:t>未</w:t>
            </w:r>
            <w:r>
              <w:rPr>
                <w:rFonts w:hint="eastAsia" w:asciiTheme="minorEastAsia" w:hAnsiTheme="minorEastAsia" w:eastAsiaTheme="minorEastAsia" w:cstheme="minorEastAsia"/>
                <w:color w:val="auto"/>
                <w:sz w:val="24"/>
                <w:szCs w:val="24"/>
              </w:rPr>
              <w:t>高于设定的工程预算招标控制价（工程限额）的；</w:t>
            </w:r>
          </w:p>
        </w:tc>
        <w:tc>
          <w:tcPr>
            <w:tcW w:w="1997" w:type="dxa"/>
            <w:tcBorders>
              <w:top w:val="single" w:color="auto" w:sz="6" w:space="0"/>
              <w:left w:val="single" w:color="auto" w:sz="4" w:space="0"/>
              <w:bottom w:val="single" w:color="auto" w:sz="6" w:space="0"/>
              <w:right w:val="single" w:color="auto" w:sz="12" w:space="0"/>
            </w:tcBorders>
          </w:tcPr>
          <w:p>
            <w:pPr>
              <w:autoSpaceDE w:val="0"/>
              <w:autoSpaceDN w:val="0"/>
              <w:adjustRightInd w:val="0"/>
              <w:spacing w:line="360" w:lineRule="exact"/>
              <w:jc w:val="left"/>
              <w:rPr>
                <w:rFonts w:asciiTheme="minorEastAsia" w:hAnsiTheme="minorEastAsia" w:eastAsiaTheme="minorEastAsia" w:cstheme="minor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trPr>
        <w:tc>
          <w:tcPr>
            <w:tcW w:w="930" w:type="dxa"/>
            <w:vMerge w:val="continue"/>
            <w:tcBorders>
              <w:left w:val="single" w:color="auto" w:sz="12" w:space="0"/>
              <w:right w:val="single" w:color="auto" w:sz="6" w:space="0"/>
            </w:tcBorders>
            <w:vAlign w:val="center"/>
          </w:tcPr>
          <w:p>
            <w:pPr>
              <w:autoSpaceDE w:val="0"/>
              <w:autoSpaceDN w:val="0"/>
              <w:adjustRightInd w:val="0"/>
              <w:spacing w:line="360" w:lineRule="exact"/>
              <w:jc w:val="center"/>
              <w:rPr>
                <w:rFonts w:asciiTheme="minorEastAsia" w:hAnsiTheme="minorEastAsia" w:eastAsiaTheme="minorEastAsia" w:cstheme="minorEastAsia"/>
                <w:color w:val="auto"/>
                <w:sz w:val="24"/>
                <w:szCs w:val="24"/>
              </w:rPr>
            </w:pPr>
          </w:p>
        </w:tc>
        <w:tc>
          <w:tcPr>
            <w:tcW w:w="477" w:type="dxa"/>
            <w:tcBorders>
              <w:top w:val="nil"/>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6633" w:type="dxa"/>
            <w:tcBorders>
              <w:top w:val="nil"/>
              <w:left w:val="single" w:color="auto" w:sz="6" w:space="0"/>
              <w:bottom w:val="single" w:color="auto" w:sz="6" w:space="0"/>
              <w:right w:val="single" w:color="auto" w:sz="6" w:space="0"/>
            </w:tcBorders>
            <w:vAlign w:val="center"/>
          </w:tcPr>
          <w:p>
            <w:pPr>
              <w:autoSpaceDE w:val="0"/>
              <w:autoSpaceDN w:val="0"/>
              <w:adjustRightInd w:val="0"/>
              <w:spacing w:line="36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按磋商文件规定的格式填写，</w:t>
            </w:r>
            <w:r>
              <w:rPr>
                <w:rFonts w:hint="eastAsia" w:asciiTheme="minorEastAsia" w:hAnsiTheme="minorEastAsia" w:eastAsiaTheme="minorEastAsia" w:cstheme="minorEastAsia"/>
                <w:color w:val="auto"/>
                <w:sz w:val="24"/>
                <w:szCs w:val="24"/>
                <w:lang w:val="en-US" w:eastAsia="zh-CN"/>
              </w:rPr>
              <w:t>未存在</w:t>
            </w:r>
            <w:r>
              <w:rPr>
                <w:rFonts w:hint="eastAsia" w:asciiTheme="minorEastAsia" w:hAnsiTheme="minorEastAsia" w:eastAsiaTheme="minorEastAsia" w:cstheme="minorEastAsia"/>
                <w:color w:val="auto"/>
                <w:sz w:val="24"/>
                <w:szCs w:val="24"/>
              </w:rPr>
              <w:t>内容不全或关键字迹模糊、无法辨认的；</w:t>
            </w:r>
          </w:p>
        </w:tc>
        <w:tc>
          <w:tcPr>
            <w:tcW w:w="1997" w:type="dxa"/>
            <w:tcBorders>
              <w:top w:val="single" w:color="auto" w:sz="6" w:space="0"/>
              <w:left w:val="single" w:color="auto" w:sz="6" w:space="0"/>
              <w:bottom w:val="single" w:color="auto" w:sz="6" w:space="0"/>
              <w:right w:val="single" w:color="auto" w:sz="12" w:space="0"/>
            </w:tcBorders>
          </w:tcPr>
          <w:p>
            <w:pPr>
              <w:spacing w:line="360" w:lineRule="exact"/>
              <w:rPr>
                <w:rFonts w:asciiTheme="minorEastAsia" w:hAnsiTheme="minorEastAsia" w:eastAsiaTheme="minorEastAsia" w:cstheme="minorEastAsia"/>
                <w:color w:val="auto"/>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trPr>
        <w:tc>
          <w:tcPr>
            <w:tcW w:w="930" w:type="dxa"/>
            <w:vMerge w:val="continue"/>
            <w:tcBorders>
              <w:left w:val="single" w:color="auto" w:sz="12" w:space="0"/>
              <w:right w:val="single" w:color="auto" w:sz="6" w:space="0"/>
            </w:tcBorders>
            <w:vAlign w:val="center"/>
          </w:tcPr>
          <w:p>
            <w:pPr>
              <w:autoSpaceDE w:val="0"/>
              <w:autoSpaceDN w:val="0"/>
              <w:adjustRightInd w:val="0"/>
              <w:spacing w:line="360" w:lineRule="exact"/>
              <w:jc w:val="center"/>
              <w:rPr>
                <w:rFonts w:asciiTheme="minorEastAsia" w:hAnsiTheme="minorEastAsia" w:eastAsiaTheme="minorEastAsia" w:cstheme="minorEastAsia"/>
                <w:color w:val="auto"/>
                <w:sz w:val="24"/>
                <w:szCs w:val="24"/>
              </w:rPr>
            </w:pPr>
          </w:p>
        </w:tc>
        <w:tc>
          <w:tcPr>
            <w:tcW w:w="4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66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未</w:t>
            </w:r>
            <w:r>
              <w:rPr>
                <w:rFonts w:hint="eastAsia" w:asciiTheme="minorEastAsia" w:hAnsiTheme="minorEastAsia" w:eastAsiaTheme="minorEastAsia" w:cstheme="minorEastAsia"/>
                <w:color w:val="auto"/>
                <w:sz w:val="24"/>
                <w:szCs w:val="24"/>
              </w:rPr>
              <w:t>改变磋商文件提供的工程量清单中的计量单位、工程量的；</w:t>
            </w:r>
          </w:p>
        </w:tc>
        <w:tc>
          <w:tcPr>
            <w:tcW w:w="1997" w:type="dxa"/>
            <w:tcBorders>
              <w:top w:val="single" w:color="auto" w:sz="6" w:space="0"/>
              <w:left w:val="single" w:color="auto" w:sz="6" w:space="0"/>
              <w:bottom w:val="single" w:color="auto" w:sz="6" w:space="0"/>
              <w:right w:val="single" w:color="auto" w:sz="12" w:space="0"/>
            </w:tcBorders>
          </w:tcPr>
          <w:p>
            <w:pPr>
              <w:spacing w:line="360" w:lineRule="exact"/>
              <w:rPr>
                <w:rFonts w:asciiTheme="minorEastAsia" w:hAnsiTheme="minorEastAsia" w:eastAsiaTheme="minorEastAsia" w:cstheme="minorEastAsia"/>
                <w:color w:val="auto"/>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6" w:hRule="atLeast"/>
        </w:trPr>
        <w:tc>
          <w:tcPr>
            <w:tcW w:w="930" w:type="dxa"/>
            <w:vMerge w:val="continue"/>
            <w:tcBorders>
              <w:left w:val="single" w:color="auto" w:sz="12" w:space="0"/>
              <w:right w:val="single" w:color="auto" w:sz="6" w:space="0"/>
            </w:tcBorders>
            <w:vAlign w:val="center"/>
          </w:tcPr>
          <w:p>
            <w:pPr>
              <w:autoSpaceDE w:val="0"/>
              <w:autoSpaceDN w:val="0"/>
              <w:adjustRightInd w:val="0"/>
              <w:spacing w:line="360" w:lineRule="exact"/>
              <w:jc w:val="center"/>
              <w:rPr>
                <w:rFonts w:asciiTheme="minorEastAsia" w:hAnsiTheme="minorEastAsia" w:eastAsiaTheme="minorEastAsia" w:cstheme="minorEastAsia"/>
                <w:color w:val="auto"/>
                <w:sz w:val="24"/>
                <w:szCs w:val="24"/>
              </w:rPr>
            </w:pPr>
          </w:p>
        </w:tc>
        <w:tc>
          <w:tcPr>
            <w:tcW w:w="4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66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未</w:t>
            </w:r>
            <w:r>
              <w:rPr>
                <w:rFonts w:hint="eastAsia" w:asciiTheme="minorEastAsia" w:hAnsiTheme="minorEastAsia" w:eastAsiaTheme="minorEastAsia" w:cstheme="minorEastAsia"/>
                <w:color w:val="auto"/>
                <w:sz w:val="24"/>
                <w:szCs w:val="24"/>
              </w:rPr>
              <w:t>将工程排污费、社会保障费、住房公积金、危险作业意外伤害保险等规费和营业税、城市维护建设税、教育费附加等税金，以及安全文明施工费列入</w:t>
            </w:r>
            <w:r>
              <w:rPr>
                <w:rFonts w:hint="eastAsia" w:asciiTheme="minorEastAsia" w:hAnsiTheme="minorEastAsia" w:eastAsiaTheme="minorEastAsia" w:cstheme="minorEastAsia"/>
                <w:color w:val="auto"/>
                <w:sz w:val="24"/>
                <w:szCs w:val="24"/>
                <w:lang w:val="en-US" w:eastAsia="zh-CN"/>
              </w:rPr>
              <w:t>磋商</w:t>
            </w:r>
            <w:r>
              <w:rPr>
                <w:rFonts w:hint="eastAsia" w:asciiTheme="minorEastAsia" w:hAnsiTheme="minorEastAsia" w:eastAsiaTheme="minorEastAsia" w:cstheme="minorEastAsia"/>
                <w:color w:val="auto"/>
                <w:sz w:val="24"/>
                <w:szCs w:val="24"/>
              </w:rPr>
              <w:t>投标竞争性费用的；</w:t>
            </w:r>
          </w:p>
        </w:tc>
        <w:tc>
          <w:tcPr>
            <w:tcW w:w="1997" w:type="dxa"/>
            <w:tcBorders>
              <w:top w:val="single" w:color="auto" w:sz="6" w:space="0"/>
              <w:left w:val="single" w:color="auto" w:sz="6" w:space="0"/>
              <w:bottom w:val="single" w:color="auto" w:sz="6" w:space="0"/>
              <w:right w:val="single" w:color="auto" w:sz="12" w:space="0"/>
            </w:tcBorders>
          </w:tcPr>
          <w:p>
            <w:pPr>
              <w:spacing w:line="360" w:lineRule="exact"/>
              <w:rPr>
                <w:rFonts w:asciiTheme="minorEastAsia" w:hAnsiTheme="minorEastAsia" w:eastAsiaTheme="minorEastAsia" w:cstheme="minorEastAsia"/>
                <w:color w:val="auto"/>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trPr>
        <w:tc>
          <w:tcPr>
            <w:tcW w:w="930" w:type="dxa"/>
            <w:vMerge w:val="continue"/>
            <w:tcBorders>
              <w:left w:val="single" w:color="auto" w:sz="12" w:space="0"/>
              <w:right w:val="single" w:color="auto" w:sz="6" w:space="0"/>
            </w:tcBorders>
            <w:vAlign w:val="center"/>
          </w:tcPr>
          <w:p>
            <w:pPr>
              <w:autoSpaceDE w:val="0"/>
              <w:autoSpaceDN w:val="0"/>
              <w:adjustRightInd w:val="0"/>
              <w:spacing w:line="360" w:lineRule="exact"/>
              <w:jc w:val="center"/>
              <w:rPr>
                <w:rFonts w:asciiTheme="minorEastAsia" w:hAnsiTheme="minorEastAsia" w:eastAsiaTheme="minorEastAsia" w:cstheme="minorEastAsia"/>
                <w:color w:val="auto"/>
                <w:sz w:val="24"/>
                <w:szCs w:val="24"/>
              </w:rPr>
            </w:pPr>
          </w:p>
        </w:tc>
        <w:tc>
          <w:tcPr>
            <w:tcW w:w="4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66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lang w:val="en-US" w:eastAsia="zh-CN"/>
              </w:rPr>
              <w:t>投标人</w:t>
            </w:r>
            <w:r>
              <w:rPr>
                <w:rFonts w:hint="eastAsia" w:asciiTheme="minorEastAsia" w:hAnsiTheme="minorEastAsia" w:eastAsiaTheme="minorEastAsia" w:cstheme="minorEastAsia"/>
                <w:color w:val="auto"/>
                <w:sz w:val="24"/>
                <w:szCs w:val="24"/>
              </w:rPr>
              <w:t>名称、组织机构与资格预审时</w:t>
            </w:r>
            <w:r>
              <w:rPr>
                <w:rFonts w:hint="eastAsia" w:asciiTheme="minorEastAsia" w:hAnsiTheme="minorEastAsia" w:eastAsiaTheme="minorEastAsia" w:cstheme="minorEastAsia"/>
                <w:color w:val="auto"/>
                <w:sz w:val="24"/>
                <w:szCs w:val="24"/>
                <w:lang w:val="en-US" w:eastAsia="zh-CN"/>
              </w:rPr>
              <w:t>相</w:t>
            </w:r>
            <w:r>
              <w:rPr>
                <w:rFonts w:hint="eastAsia" w:asciiTheme="minorEastAsia" w:hAnsiTheme="minorEastAsia" w:eastAsiaTheme="minorEastAsia" w:cstheme="minorEastAsia"/>
                <w:color w:val="auto"/>
                <w:sz w:val="24"/>
                <w:szCs w:val="24"/>
              </w:rPr>
              <w:t>符，</w:t>
            </w:r>
            <w:r>
              <w:rPr>
                <w:rFonts w:hint="eastAsia" w:asciiTheme="minorEastAsia" w:hAnsiTheme="minorEastAsia" w:eastAsiaTheme="minorEastAsia" w:cstheme="minorEastAsia"/>
                <w:color w:val="auto"/>
                <w:sz w:val="24"/>
                <w:szCs w:val="24"/>
                <w:lang w:val="en-US" w:eastAsia="zh-CN"/>
              </w:rPr>
              <w:t>不</w:t>
            </w:r>
            <w:r>
              <w:rPr>
                <w:rFonts w:hint="eastAsia" w:asciiTheme="minorEastAsia" w:hAnsiTheme="minorEastAsia" w:eastAsiaTheme="minorEastAsia" w:cstheme="minorEastAsia"/>
                <w:color w:val="auto"/>
                <w:sz w:val="24"/>
                <w:szCs w:val="24"/>
              </w:rPr>
              <w:t>以他人名义投标的；</w:t>
            </w:r>
          </w:p>
        </w:tc>
        <w:tc>
          <w:tcPr>
            <w:tcW w:w="1997" w:type="dxa"/>
            <w:tcBorders>
              <w:top w:val="single" w:color="auto" w:sz="6" w:space="0"/>
              <w:left w:val="single" w:color="auto" w:sz="6" w:space="0"/>
              <w:bottom w:val="single" w:color="auto" w:sz="6" w:space="0"/>
              <w:right w:val="single" w:color="auto" w:sz="12" w:space="0"/>
            </w:tcBorders>
          </w:tcPr>
          <w:p>
            <w:pPr>
              <w:spacing w:line="360" w:lineRule="exact"/>
              <w:rPr>
                <w:rFonts w:asciiTheme="minorEastAsia" w:hAnsiTheme="minorEastAsia" w:eastAsiaTheme="minorEastAsia" w:cstheme="minorEastAsia"/>
                <w:color w:val="auto"/>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930" w:type="dxa"/>
            <w:vMerge w:val="continue"/>
            <w:tcBorders>
              <w:left w:val="single" w:color="auto" w:sz="12" w:space="0"/>
              <w:right w:val="single" w:color="auto" w:sz="6" w:space="0"/>
            </w:tcBorders>
            <w:vAlign w:val="center"/>
          </w:tcPr>
          <w:p>
            <w:pPr>
              <w:autoSpaceDE w:val="0"/>
              <w:autoSpaceDN w:val="0"/>
              <w:adjustRightInd w:val="0"/>
              <w:spacing w:line="360" w:lineRule="exact"/>
              <w:jc w:val="center"/>
              <w:rPr>
                <w:rFonts w:asciiTheme="minorEastAsia" w:hAnsiTheme="minorEastAsia" w:eastAsiaTheme="minorEastAsia" w:cstheme="minorEastAsia"/>
                <w:color w:val="auto"/>
                <w:sz w:val="24"/>
                <w:szCs w:val="24"/>
              </w:rPr>
            </w:pPr>
          </w:p>
        </w:tc>
        <w:tc>
          <w:tcPr>
            <w:tcW w:w="4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66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不存在投标人</w:t>
            </w:r>
            <w:r>
              <w:rPr>
                <w:rFonts w:hint="eastAsia" w:asciiTheme="minorEastAsia" w:hAnsiTheme="minorEastAsia" w:eastAsiaTheme="minorEastAsia" w:cstheme="minorEastAsia"/>
                <w:color w:val="auto"/>
                <w:sz w:val="24"/>
                <w:szCs w:val="24"/>
              </w:rPr>
              <w:t>之间或者</w:t>
            </w:r>
            <w:r>
              <w:rPr>
                <w:rFonts w:hint="eastAsia" w:asciiTheme="minorEastAsia" w:hAnsiTheme="minorEastAsia" w:eastAsiaTheme="minorEastAsia" w:cstheme="minorEastAsia"/>
                <w:color w:val="auto"/>
                <w:sz w:val="24"/>
                <w:szCs w:val="24"/>
                <w:lang w:val="en-US" w:eastAsia="zh-CN"/>
              </w:rPr>
              <w:t>投标人</w:t>
            </w:r>
            <w:r>
              <w:rPr>
                <w:rFonts w:hint="eastAsia" w:asciiTheme="minorEastAsia" w:hAnsiTheme="minorEastAsia" w:eastAsiaTheme="minorEastAsia" w:cstheme="minorEastAsia"/>
                <w:color w:val="auto"/>
                <w:sz w:val="24"/>
                <w:szCs w:val="24"/>
              </w:rPr>
              <w:t>与采购人串通投标的；</w:t>
            </w:r>
          </w:p>
        </w:tc>
        <w:tc>
          <w:tcPr>
            <w:tcW w:w="1997" w:type="dxa"/>
            <w:tcBorders>
              <w:top w:val="single" w:color="auto" w:sz="6" w:space="0"/>
              <w:left w:val="single" w:color="auto" w:sz="6" w:space="0"/>
              <w:bottom w:val="single" w:color="auto" w:sz="6" w:space="0"/>
              <w:right w:val="single" w:color="auto" w:sz="12" w:space="0"/>
            </w:tcBorders>
          </w:tcPr>
          <w:p>
            <w:pPr>
              <w:spacing w:line="360" w:lineRule="exact"/>
              <w:rPr>
                <w:rFonts w:asciiTheme="minorEastAsia" w:hAnsiTheme="minorEastAsia" w:eastAsiaTheme="minorEastAsia" w:cstheme="minorEastAsia"/>
                <w:color w:val="auto"/>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trPr>
        <w:tc>
          <w:tcPr>
            <w:tcW w:w="930" w:type="dxa"/>
            <w:vMerge w:val="continue"/>
            <w:tcBorders>
              <w:left w:val="single" w:color="auto" w:sz="12" w:space="0"/>
              <w:right w:val="single" w:color="auto" w:sz="6" w:space="0"/>
            </w:tcBorders>
            <w:vAlign w:val="center"/>
          </w:tcPr>
          <w:p>
            <w:pPr>
              <w:autoSpaceDE w:val="0"/>
              <w:autoSpaceDN w:val="0"/>
              <w:adjustRightInd w:val="0"/>
              <w:spacing w:line="360" w:lineRule="exact"/>
              <w:jc w:val="center"/>
              <w:rPr>
                <w:rFonts w:asciiTheme="minorEastAsia" w:hAnsiTheme="minorEastAsia" w:eastAsiaTheme="minorEastAsia" w:cstheme="minorEastAsia"/>
                <w:color w:val="auto"/>
                <w:sz w:val="24"/>
                <w:szCs w:val="24"/>
              </w:rPr>
            </w:pPr>
          </w:p>
        </w:tc>
        <w:tc>
          <w:tcPr>
            <w:tcW w:w="4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66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履约担保、违约赔偿、变更工程结算等的承诺，符合磋商文件要求的。</w:t>
            </w:r>
          </w:p>
        </w:tc>
        <w:tc>
          <w:tcPr>
            <w:tcW w:w="1997" w:type="dxa"/>
            <w:tcBorders>
              <w:top w:val="single" w:color="auto" w:sz="6" w:space="0"/>
              <w:left w:val="single" w:color="auto" w:sz="6" w:space="0"/>
              <w:bottom w:val="single" w:color="auto" w:sz="6" w:space="0"/>
              <w:right w:val="single" w:color="auto" w:sz="12" w:space="0"/>
            </w:tcBorders>
          </w:tcPr>
          <w:p>
            <w:pPr>
              <w:spacing w:line="360" w:lineRule="exact"/>
              <w:rPr>
                <w:rFonts w:asciiTheme="minorEastAsia" w:hAnsiTheme="minorEastAsia" w:eastAsiaTheme="minorEastAsia" w:cstheme="minorEastAsia"/>
                <w:color w:val="auto"/>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930"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结论：</w:t>
            </w:r>
          </w:p>
        </w:tc>
        <w:tc>
          <w:tcPr>
            <w:tcW w:w="7110" w:type="dxa"/>
            <w:gridSpan w:val="2"/>
            <w:tcBorders>
              <w:top w:val="single" w:color="auto" w:sz="6" w:space="0"/>
              <w:left w:val="single" w:color="auto" w:sz="6" w:space="0"/>
              <w:bottom w:val="single" w:color="auto" w:sz="12" w:space="0"/>
              <w:right w:val="single" w:color="auto" w:sz="6" w:space="0"/>
            </w:tcBorders>
          </w:tcPr>
          <w:p>
            <w:pPr>
              <w:autoSpaceDE w:val="0"/>
              <w:autoSpaceDN w:val="0"/>
              <w:adjustRightInd w:val="0"/>
              <w:spacing w:line="360" w:lineRule="exact"/>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是否通过评审（通过打√、不通过打×）</w:t>
            </w:r>
          </w:p>
        </w:tc>
        <w:tc>
          <w:tcPr>
            <w:tcW w:w="1997" w:type="dxa"/>
            <w:tcBorders>
              <w:top w:val="single" w:color="auto" w:sz="6" w:space="0"/>
              <w:left w:val="single" w:color="auto" w:sz="6" w:space="0"/>
              <w:bottom w:val="single" w:color="auto" w:sz="12" w:space="0"/>
              <w:right w:val="single" w:color="auto" w:sz="12" w:space="0"/>
            </w:tcBorders>
          </w:tcPr>
          <w:p>
            <w:pPr>
              <w:spacing w:line="360" w:lineRule="exact"/>
              <w:rPr>
                <w:rFonts w:asciiTheme="minorEastAsia" w:hAnsiTheme="minorEastAsia" w:eastAsiaTheme="minorEastAsia" w:cstheme="minorEastAsia"/>
                <w:color w:val="auto"/>
                <w:sz w:val="20"/>
                <w:szCs w:val="21"/>
              </w:rPr>
            </w:pPr>
          </w:p>
        </w:tc>
      </w:tr>
    </w:tbl>
    <w:p>
      <w:pPr>
        <w:tabs>
          <w:tab w:val="left" w:pos="900"/>
        </w:tabs>
        <w:spacing w:line="360" w:lineRule="auto"/>
        <w:rPr>
          <w:rFonts w:asciiTheme="minorEastAsia" w:hAnsiTheme="minorEastAsia" w:eastAsiaTheme="minorEastAsia" w:cstheme="minorEastAsia"/>
          <w:color w:val="auto"/>
          <w:szCs w:val="21"/>
        </w:rPr>
      </w:pPr>
    </w:p>
    <w:p>
      <w:pPr>
        <w:pStyle w:val="22"/>
        <w:spacing w:line="360" w:lineRule="auto"/>
        <w:ind w:firstLine="480"/>
        <w:rPr>
          <w:rFonts w:asciiTheme="minorEastAsia" w:hAnsiTheme="minorEastAsia" w:eastAsiaTheme="minorEastAsia" w:cstheme="minorEastAsia"/>
          <w:color w:val="auto"/>
          <w:szCs w:val="24"/>
          <w:lang w:val="zh-CN"/>
        </w:rPr>
      </w:pPr>
    </w:p>
    <w:p>
      <w:pPr>
        <w:pStyle w:val="22"/>
        <w:spacing w:line="360" w:lineRule="auto"/>
        <w:ind w:firstLine="480"/>
        <w:rPr>
          <w:rFonts w:asciiTheme="minorEastAsia" w:hAnsiTheme="minorEastAsia" w:eastAsiaTheme="minorEastAsia" w:cstheme="minorEastAsia"/>
          <w:color w:val="auto"/>
          <w:szCs w:val="24"/>
          <w:lang w:val="zh-CN"/>
        </w:rPr>
      </w:pPr>
    </w:p>
    <w:p>
      <w:pPr>
        <w:pStyle w:val="22"/>
        <w:spacing w:line="360" w:lineRule="auto"/>
        <w:ind w:firstLine="480"/>
        <w:rPr>
          <w:rFonts w:asciiTheme="minorEastAsia" w:hAnsiTheme="minorEastAsia" w:eastAsiaTheme="minorEastAsia" w:cstheme="minorEastAsia"/>
          <w:color w:val="auto"/>
          <w:szCs w:val="24"/>
          <w:lang w:val="zh-CN"/>
        </w:rPr>
      </w:pPr>
    </w:p>
    <w:p>
      <w:pPr>
        <w:rPr>
          <w:color w:val="auto"/>
          <w:lang w:val="zh-CN"/>
        </w:rPr>
      </w:pPr>
    </w:p>
    <w:p>
      <w:pPr>
        <w:pStyle w:val="2"/>
        <w:rPr>
          <w:color w:val="auto"/>
          <w:lang w:val="zh-CN"/>
        </w:rPr>
      </w:pPr>
    </w:p>
    <w:p>
      <w:pPr>
        <w:pStyle w:val="2"/>
        <w:rPr>
          <w:color w:val="auto"/>
          <w:lang w:val="zh-CN"/>
        </w:rPr>
      </w:pPr>
    </w:p>
    <w:p>
      <w:pPr>
        <w:pStyle w:val="2"/>
        <w:rPr>
          <w:color w:val="auto"/>
          <w:lang w:val="zh-CN"/>
        </w:rPr>
      </w:pPr>
    </w:p>
    <w:p>
      <w:pPr>
        <w:pStyle w:val="2"/>
        <w:rPr>
          <w:color w:val="auto"/>
          <w:lang w:val="zh-CN"/>
        </w:rPr>
      </w:pPr>
    </w:p>
    <w:p>
      <w:pPr>
        <w:pStyle w:val="2"/>
        <w:rPr>
          <w:color w:val="auto"/>
          <w:lang w:val="zh-CN"/>
        </w:rPr>
      </w:pPr>
    </w:p>
    <w:p>
      <w:pPr>
        <w:pStyle w:val="22"/>
        <w:spacing w:line="360" w:lineRule="auto"/>
        <w:ind w:firstLine="480"/>
        <w:rPr>
          <w:rFonts w:asciiTheme="minorEastAsia" w:hAnsiTheme="minorEastAsia" w:eastAsiaTheme="minorEastAsia" w:cstheme="minorEastAsia"/>
          <w:color w:val="auto"/>
          <w:szCs w:val="24"/>
          <w:lang w:val="zh-CN"/>
        </w:rPr>
      </w:pPr>
    </w:p>
    <w:p>
      <w:pPr>
        <w:pStyle w:val="22"/>
        <w:spacing w:line="360" w:lineRule="auto"/>
        <w:ind w:firstLine="0" w:firstLineChars="0"/>
        <w:jc w:val="center"/>
        <w:rPr>
          <w:rFonts w:asciiTheme="minorEastAsia" w:hAnsiTheme="minorEastAsia" w:eastAsiaTheme="minorEastAsia" w:cstheme="minorEastAsia"/>
          <w:b/>
          <w:color w:val="auto"/>
          <w:sz w:val="32"/>
          <w:szCs w:val="24"/>
          <w:lang w:val="zh-CN"/>
        </w:rPr>
      </w:pPr>
      <w:r>
        <w:rPr>
          <w:rFonts w:hint="eastAsia" w:asciiTheme="minorEastAsia" w:hAnsiTheme="minorEastAsia" w:eastAsiaTheme="minorEastAsia" w:cstheme="minorEastAsia"/>
          <w:b/>
          <w:color w:val="auto"/>
          <w:sz w:val="32"/>
          <w:szCs w:val="24"/>
          <w:lang w:val="zh-CN"/>
        </w:rPr>
        <w:t>详细评审内容标准</w:t>
      </w:r>
    </w:p>
    <w:tbl>
      <w:tblPr>
        <w:tblStyle w:val="23"/>
        <w:tblpPr w:leftFromText="180" w:rightFromText="180" w:vertAnchor="text" w:horzAnchor="page" w:tblpX="1100" w:tblpY="208"/>
        <w:tblOverlap w:val="never"/>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71"/>
        <w:gridCol w:w="850"/>
        <w:gridCol w:w="6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vAlign w:val="center"/>
          </w:tcPr>
          <w:p>
            <w:pPr>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评审项目</w:t>
            </w:r>
          </w:p>
        </w:tc>
        <w:tc>
          <w:tcPr>
            <w:tcW w:w="2521" w:type="dxa"/>
            <w:gridSpan w:val="2"/>
            <w:vAlign w:val="center"/>
          </w:tcPr>
          <w:p>
            <w:pPr>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权重值%</w:t>
            </w:r>
          </w:p>
        </w:tc>
        <w:tc>
          <w:tcPr>
            <w:tcW w:w="6567" w:type="dxa"/>
            <w:vAlign w:val="center"/>
          </w:tcPr>
          <w:p>
            <w:pPr>
              <w:snapToGrid w:val="0"/>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9763" w:type="dxa"/>
            <w:gridSpan w:val="4"/>
            <w:vAlign w:val="center"/>
          </w:tcPr>
          <w:p>
            <w:pPr>
              <w:numPr>
                <w:ilvl w:val="0"/>
                <w:numId w:val="3"/>
              </w:numPr>
              <w:snapToGrid w:val="0"/>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经济标报价部分权重K1=</w:t>
            </w:r>
            <w:r>
              <w:rPr>
                <w:rFonts w:hint="eastAsia" w:asciiTheme="minorEastAsia" w:hAnsiTheme="minorEastAsia" w:eastAsiaTheme="minorEastAsia" w:cstheme="minorEastAsia"/>
                <w:b/>
                <w:bCs/>
                <w:color w:val="auto"/>
                <w:szCs w:val="21"/>
                <w:lang w:val="en-US" w:eastAsia="zh-CN"/>
              </w:rPr>
              <w:t>3</w:t>
            </w:r>
            <w:r>
              <w:rPr>
                <w:rFonts w:hint="eastAsia" w:asciiTheme="minorEastAsia" w:hAnsiTheme="minorEastAsia" w:eastAsiaTheme="minorEastAsia" w:cstheme="minorEastAsia"/>
                <w:b/>
                <w:bCs/>
                <w:color w:val="auto"/>
                <w:szCs w:val="21"/>
              </w:rPr>
              <w:t>0%；2、商务标权重K2=10%；3、技术标权重K2=</w:t>
            </w:r>
            <w:r>
              <w:rPr>
                <w:rFonts w:hint="eastAsia" w:asciiTheme="minorEastAsia" w:hAnsiTheme="minorEastAsia" w:eastAsiaTheme="minorEastAsia" w:cstheme="minorEastAsia"/>
                <w:b/>
                <w:bCs/>
                <w:color w:val="auto"/>
                <w:szCs w:val="21"/>
                <w:lang w:val="en-US" w:eastAsia="zh-CN"/>
              </w:rPr>
              <w:t>6</w:t>
            </w:r>
            <w:r>
              <w:rPr>
                <w:rFonts w:hint="eastAsia" w:asciiTheme="minorEastAsia" w:hAnsiTheme="minorEastAsia" w:eastAsiaTheme="minorEastAsia" w:cstheme="minorEastAsia"/>
                <w:b/>
                <w:bCs/>
                <w:color w:val="auto"/>
                <w:szCs w:val="21"/>
              </w:rPr>
              <w:t>0%；  K1+K2+K3=100%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9763" w:type="dxa"/>
            <w:gridSpan w:val="4"/>
            <w:vAlign w:val="center"/>
          </w:tcPr>
          <w:p>
            <w:pPr>
              <w:snapToGrid w:val="0"/>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一、经济标报价</w:t>
            </w:r>
            <w:r>
              <w:rPr>
                <w:rFonts w:hint="eastAsia" w:asciiTheme="minorEastAsia" w:hAnsiTheme="minorEastAsia" w:eastAsiaTheme="minorEastAsia" w:cstheme="minorEastAsia"/>
                <w:b/>
                <w:bCs/>
                <w:color w:val="auto"/>
                <w:szCs w:val="21"/>
                <w:lang w:val="en-US" w:eastAsia="zh-CN"/>
              </w:rPr>
              <w:t>3</w:t>
            </w:r>
            <w:r>
              <w:rPr>
                <w:rFonts w:hint="eastAsia" w:asciiTheme="minorEastAsia" w:hAnsiTheme="minorEastAsia" w:eastAsiaTheme="minorEastAsia" w:cstheme="minorEastAsia"/>
                <w:b/>
                <w:bCs/>
                <w:color w:val="auto"/>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3" w:hRule="atLeast"/>
        </w:trPr>
        <w:tc>
          <w:tcPr>
            <w:tcW w:w="675" w:type="dxa"/>
            <w:vAlign w:val="center"/>
          </w:tcPr>
          <w:p>
            <w:pPr>
              <w:widowControl/>
              <w:spacing w:line="360" w:lineRule="exact"/>
              <w:ind w:left="630" w:hanging="630" w:hangingChars="300"/>
              <w:contextualSpacing/>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报价</w:t>
            </w:r>
          </w:p>
        </w:tc>
        <w:tc>
          <w:tcPr>
            <w:tcW w:w="2521" w:type="dxa"/>
            <w:gridSpan w:val="2"/>
            <w:vAlign w:val="center"/>
          </w:tcPr>
          <w:p>
            <w:pPr>
              <w:spacing w:line="360" w:lineRule="exact"/>
              <w:contextualSpacing/>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0 分</w:t>
            </w:r>
          </w:p>
        </w:tc>
        <w:tc>
          <w:tcPr>
            <w:tcW w:w="6567" w:type="dxa"/>
            <w:vAlign w:val="center"/>
          </w:tcPr>
          <w:p>
            <w:pPr>
              <w:spacing w:line="36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按照财政部《政府采购竞争性磋商采购方式管理暂行办法》（财库[2014]214 </w:t>
            </w:r>
            <w:r>
              <w:rPr>
                <w:rFonts w:hint="eastAsia" w:asciiTheme="minorEastAsia" w:hAnsiTheme="minorEastAsia" w:eastAsiaTheme="minorEastAsia" w:cstheme="minorEastAsia"/>
                <w:color w:val="auto"/>
                <w:spacing w:val="-4"/>
                <w:szCs w:val="21"/>
              </w:rPr>
              <w:t>号）的有关规定：价格分采用低价优先法计算，即满足竞争</w:t>
            </w:r>
            <w:r>
              <w:rPr>
                <w:rFonts w:hint="eastAsia" w:asciiTheme="minorEastAsia" w:hAnsiTheme="minorEastAsia" w:eastAsiaTheme="minorEastAsia" w:cstheme="minorEastAsia"/>
                <w:color w:val="auto"/>
                <w:spacing w:val="-117"/>
                <w:szCs w:val="21"/>
              </w:rPr>
              <w:t xml:space="preserve"> </w:t>
            </w:r>
            <w:r>
              <w:rPr>
                <w:rFonts w:hint="eastAsia" w:asciiTheme="minorEastAsia" w:hAnsiTheme="minorEastAsia" w:eastAsiaTheme="minorEastAsia" w:cstheme="minorEastAsia"/>
                <w:color w:val="auto"/>
                <w:szCs w:val="21"/>
              </w:rPr>
              <w:t xml:space="preserve">性磋商文件要求且最后报价最低的投标人的价格为磋商基准价，其价格分为满分。其他投标人的价格分统一按照下列公式计算： 磋商报价得分=（磋商基准价/最后磋商报价）×价格权值×100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9763" w:type="dxa"/>
            <w:gridSpan w:val="4"/>
            <w:tcBorders>
              <w:top w:val="single" w:color="auto" w:sz="4" w:space="0"/>
              <w:left w:val="single" w:color="auto" w:sz="4" w:space="0"/>
              <w:bottom w:val="single" w:color="auto" w:sz="4" w:space="0"/>
              <w:right w:val="single" w:color="auto" w:sz="4" w:space="0"/>
            </w:tcBorders>
            <w:vAlign w:val="center"/>
          </w:tcPr>
          <w:p>
            <w:pPr>
              <w:pStyle w:val="5"/>
              <w:spacing w:line="36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二、商务</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技术</w:t>
            </w:r>
            <w:r>
              <w:rPr>
                <w:rFonts w:hint="eastAsia" w:asciiTheme="minorEastAsia" w:hAnsiTheme="minorEastAsia" w:eastAsiaTheme="minorEastAsia" w:cstheme="minorEastAsia"/>
                <w:color w:val="auto"/>
                <w:sz w:val="21"/>
                <w:szCs w:val="21"/>
              </w:rPr>
              <w:t>标</w:t>
            </w:r>
            <w:r>
              <w:rPr>
                <w:rFonts w:hint="eastAsia" w:asciiTheme="minorEastAsia" w:hAnsiTheme="minorEastAsia" w:eastAsiaTheme="minorEastAsia" w:cstheme="minorEastAsia"/>
                <w:color w:val="auto"/>
                <w:sz w:val="21"/>
                <w:szCs w:val="21"/>
                <w:lang w:val="en-US" w:eastAsia="zh-CN"/>
              </w:rPr>
              <w:t>70</w:t>
            </w:r>
            <w:r>
              <w:rPr>
                <w:rFonts w:hint="eastAsia" w:asciiTheme="minorEastAsia" w:hAnsiTheme="minorEastAsia" w:eastAsiaTheme="minorEastAsia" w:cs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675" w:type="dxa"/>
            <w:tcBorders>
              <w:left w:val="single" w:color="auto" w:sz="4" w:space="0"/>
              <w:right w:val="single" w:color="auto" w:sz="4" w:space="0"/>
            </w:tcBorders>
            <w:vAlign w:val="center"/>
          </w:tcPr>
          <w:p>
            <w:pPr>
              <w:tabs>
                <w:tab w:val="left" w:pos="749"/>
                <w:tab w:val="left" w:pos="3346"/>
                <w:tab w:val="left" w:pos="3873"/>
                <w:tab w:val="left" w:pos="9611"/>
              </w:tabs>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1671" w:type="dxa"/>
            <w:tcBorders>
              <w:left w:val="single" w:color="auto" w:sz="4" w:space="0"/>
              <w:right w:val="single" w:color="auto" w:sz="4" w:space="0"/>
            </w:tcBorders>
            <w:vAlign w:val="center"/>
          </w:tcPr>
          <w:p>
            <w:pPr>
              <w:tabs>
                <w:tab w:val="left" w:pos="749"/>
                <w:tab w:val="left" w:pos="3346"/>
                <w:tab w:val="left" w:pos="3873"/>
                <w:tab w:val="left" w:pos="9611"/>
              </w:tabs>
              <w:spacing w:line="360" w:lineRule="exact"/>
              <w:ind w:left="227"/>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评审项目</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49"/>
                <w:tab w:val="left" w:pos="3346"/>
                <w:tab w:val="left" w:pos="3873"/>
                <w:tab w:val="left" w:pos="9611"/>
              </w:tabs>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分值</w:t>
            </w:r>
          </w:p>
        </w:tc>
        <w:tc>
          <w:tcPr>
            <w:tcW w:w="6567" w:type="dxa"/>
            <w:tcBorders>
              <w:top w:val="single" w:color="auto" w:sz="4" w:space="0"/>
              <w:left w:val="single" w:color="auto" w:sz="4" w:space="0"/>
              <w:right w:val="single" w:color="auto" w:sz="4" w:space="0"/>
            </w:tcBorders>
            <w:vAlign w:val="center"/>
          </w:tcPr>
          <w:p>
            <w:pPr>
              <w:tabs>
                <w:tab w:val="left" w:pos="749"/>
                <w:tab w:val="left" w:pos="3346"/>
                <w:tab w:val="left" w:pos="3873"/>
                <w:tab w:val="left" w:pos="9611"/>
              </w:tabs>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675" w:type="dxa"/>
            <w:tcBorders>
              <w:top w:val="single" w:color="auto" w:sz="4" w:space="0"/>
              <w:left w:val="single" w:color="auto" w:sz="4" w:space="0"/>
              <w:right w:val="single" w:color="auto" w:sz="4" w:space="0"/>
            </w:tcBorders>
            <w:vAlign w:val="center"/>
          </w:tcPr>
          <w:p>
            <w:pPr>
              <w:tabs>
                <w:tab w:val="left" w:pos="761"/>
                <w:tab w:val="left" w:pos="1662"/>
                <w:tab w:val="left" w:pos="3363"/>
                <w:tab w:val="left" w:pos="3887"/>
                <w:tab w:val="left" w:pos="9649"/>
              </w:tabs>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1671" w:type="dxa"/>
            <w:tcBorders>
              <w:top w:val="single" w:color="auto" w:sz="4" w:space="0"/>
              <w:left w:val="single" w:color="auto" w:sz="4" w:space="0"/>
              <w:right w:val="single" w:color="auto" w:sz="4" w:space="0"/>
            </w:tcBorders>
            <w:vAlign w:val="center"/>
          </w:tcPr>
          <w:p>
            <w:pPr>
              <w:tabs>
                <w:tab w:val="left" w:pos="761"/>
                <w:tab w:val="left" w:pos="1662"/>
                <w:tab w:val="left" w:pos="3363"/>
                <w:tab w:val="left" w:pos="3887"/>
                <w:tab w:val="left" w:pos="9649"/>
              </w:tabs>
              <w:jc w:val="center"/>
              <w:rPr>
                <w:rFonts w:asciiTheme="minorEastAsia" w:hAnsiTheme="minorEastAsia" w:eastAsiaTheme="minorEastAsia" w:cstheme="minorEastAsia"/>
                <w:color w:val="auto"/>
                <w:szCs w:val="18"/>
              </w:rPr>
            </w:pPr>
            <w:r>
              <w:rPr>
                <w:rFonts w:hint="eastAsia" w:asciiTheme="minorEastAsia" w:hAnsiTheme="minorEastAsia" w:eastAsiaTheme="minorEastAsia" w:cstheme="minorEastAsia"/>
                <w:color w:val="auto"/>
                <w:szCs w:val="18"/>
              </w:rPr>
              <w:t>投标人近3 年类似业绩</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61"/>
                <w:tab w:val="left" w:pos="1662"/>
                <w:tab w:val="left" w:pos="3363"/>
                <w:tab w:val="left" w:pos="3887"/>
                <w:tab w:val="left" w:pos="9649"/>
              </w:tabs>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Cs w:val="18"/>
                <w:lang w:val="en-US" w:eastAsia="zh-CN"/>
              </w:rPr>
              <w:t>4分</w:t>
            </w:r>
          </w:p>
        </w:tc>
        <w:tc>
          <w:tcPr>
            <w:tcW w:w="6567" w:type="dxa"/>
            <w:tcBorders>
              <w:top w:val="single" w:color="auto" w:sz="4" w:space="0"/>
              <w:left w:val="single" w:color="auto" w:sz="4" w:space="0"/>
              <w:bottom w:val="single" w:color="auto" w:sz="4" w:space="0"/>
              <w:right w:val="single" w:color="auto" w:sz="4" w:space="0"/>
            </w:tcBorders>
            <w:vAlign w:val="center"/>
          </w:tcPr>
          <w:p>
            <w:pPr>
              <w:tabs>
                <w:tab w:val="left" w:pos="761"/>
                <w:tab w:val="left" w:pos="1662"/>
                <w:tab w:val="left" w:pos="3363"/>
                <w:tab w:val="left" w:pos="3887"/>
                <w:tab w:val="left" w:pos="9649"/>
              </w:tabs>
              <w:ind w:left="43"/>
              <w:rPr>
                <w:rFonts w:hint="default" w:asciiTheme="minorEastAsia" w:hAnsiTheme="minorEastAsia" w:eastAsiaTheme="minorEastAsia" w:cstheme="minorEastAsia"/>
                <w:color w:val="auto"/>
                <w:sz w:val="24"/>
                <w:szCs w:val="24"/>
                <w:lang w:val="en-US" w:eastAsia="zh-CN"/>
              </w:rPr>
            </w:pPr>
            <w:r>
              <w:rPr>
                <w:rFonts w:asciiTheme="minorEastAsia" w:hAnsiTheme="minorEastAsia" w:eastAsiaTheme="minorEastAsia" w:cstheme="minorEastAsia"/>
                <w:color w:val="auto"/>
                <w:sz w:val="21"/>
                <w:szCs w:val="21"/>
              </w:rPr>
              <w:t>近3年（202</w:t>
            </w:r>
            <w:r>
              <w:rPr>
                <w:rFonts w:hint="eastAsia" w:asciiTheme="minorEastAsia" w:hAnsiTheme="minorEastAsia" w:eastAsiaTheme="minorEastAsia" w:cstheme="minorEastAsia"/>
                <w:color w:val="auto"/>
                <w:sz w:val="21"/>
                <w:szCs w:val="21"/>
                <w:lang w:val="en-US" w:eastAsia="zh-CN"/>
              </w:rPr>
              <w:t>2</w:t>
            </w:r>
            <w:r>
              <w:rPr>
                <w:rFonts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4</w:t>
            </w:r>
            <w:r>
              <w:rPr>
                <w:rFonts w:asciiTheme="minorEastAsia" w:hAnsiTheme="minorEastAsia" w:eastAsiaTheme="minorEastAsia" w:cstheme="minorEastAsia"/>
                <w:color w:val="auto"/>
                <w:sz w:val="21"/>
                <w:szCs w:val="21"/>
              </w:rPr>
              <w:t>月1日至投标截止日期）类似的业绩，每项业绩得</w:t>
            </w:r>
            <w:r>
              <w:rPr>
                <w:rFonts w:hint="eastAsia" w:asciiTheme="minorEastAsia" w:hAnsiTheme="minorEastAsia" w:eastAsiaTheme="minorEastAsia" w:cstheme="minorEastAsia"/>
                <w:color w:val="auto"/>
                <w:sz w:val="21"/>
                <w:szCs w:val="21"/>
                <w:lang w:val="en-US" w:eastAsia="zh-CN"/>
              </w:rPr>
              <w:t>1</w:t>
            </w:r>
            <w:r>
              <w:rPr>
                <w:rFonts w:asciiTheme="minorEastAsia" w:hAnsiTheme="minorEastAsia" w:eastAsiaTheme="minorEastAsia" w:cstheme="minorEastAsia"/>
                <w:color w:val="auto"/>
                <w:sz w:val="21"/>
                <w:szCs w:val="21"/>
              </w:rPr>
              <w:t xml:space="preserve"> 分，共4分，得满为止（提供中标通知书及合同）。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675" w:type="dxa"/>
            <w:tcBorders>
              <w:top w:val="single" w:color="auto" w:sz="4" w:space="0"/>
              <w:left w:val="single" w:color="auto" w:sz="4" w:space="0"/>
              <w:bottom w:val="single" w:color="auto" w:sz="4" w:space="0"/>
              <w:right w:val="single" w:color="auto" w:sz="4" w:space="0"/>
            </w:tcBorders>
            <w:vAlign w:val="center"/>
          </w:tcPr>
          <w:p>
            <w:pPr>
              <w:tabs>
                <w:tab w:val="left" w:pos="1642"/>
                <w:tab w:val="left" w:pos="3363"/>
                <w:tab w:val="left" w:pos="3887"/>
                <w:tab w:val="left" w:pos="9649"/>
              </w:tabs>
              <w:ind w:left="43" w:firstLine="210" w:firstLineChars="10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2</w:t>
            </w:r>
          </w:p>
        </w:tc>
        <w:tc>
          <w:tcPr>
            <w:tcW w:w="1671" w:type="dxa"/>
            <w:tcBorders>
              <w:top w:val="single" w:color="auto" w:sz="4" w:space="0"/>
              <w:left w:val="single" w:color="auto" w:sz="4" w:space="0"/>
              <w:bottom w:val="single" w:color="auto" w:sz="4" w:space="0"/>
              <w:right w:val="single" w:color="auto" w:sz="4" w:space="0"/>
            </w:tcBorders>
            <w:vAlign w:val="center"/>
          </w:tcPr>
          <w:p>
            <w:pPr>
              <w:tabs>
                <w:tab w:val="left" w:pos="1642"/>
                <w:tab w:val="left" w:pos="3363"/>
                <w:tab w:val="left" w:pos="3887"/>
                <w:tab w:val="left" w:pos="9649"/>
              </w:tabs>
              <w:ind w:left="43"/>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项目管理人员组成</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41"/>
                <w:tab w:val="left" w:pos="1642"/>
                <w:tab w:val="left" w:pos="3363"/>
                <w:tab w:val="left" w:pos="3887"/>
                <w:tab w:val="left" w:pos="9649"/>
              </w:tabs>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Cs w:val="18"/>
              </w:rPr>
              <w:t>4</w:t>
            </w:r>
            <w:r>
              <w:rPr>
                <w:rFonts w:hint="eastAsia" w:asciiTheme="minorEastAsia" w:hAnsiTheme="minorEastAsia" w:eastAsiaTheme="minorEastAsia" w:cstheme="minorEastAsia"/>
                <w:color w:val="auto"/>
                <w:szCs w:val="18"/>
                <w:lang w:val="en-US" w:eastAsia="zh-CN"/>
              </w:rPr>
              <w:t>分</w:t>
            </w:r>
          </w:p>
        </w:tc>
        <w:tc>
          <w:tcPr>
            <w:tcW w:w="6567" w:type="dxa"/>
            <w:tcBorders>
              <w:top w:val="single" w:color="auto" w:sz="4" w:space="0"/>
              <w:left w:val="single" w:color="auto" w:sz="4" w:space="0"/>
              <w:bottom w:val="single" w:color="auto" w:sz="4" w:space="0"/>
              <w:right w:val="single" w:color="auto" w:sz="4" w:space="0"/>
            </w:tcBorders>
            <w:vAlign w:val="center"/>
          </w:tcPr>
          <w:p>
            <w:pPr>
              <w:tabs>
                <w:tab w:val="left" w:pos="1642"/>
                <w:tab w:val="left" w:pos="3363"/>
                <w:tab w:val="left" w:pos="3887"/>
                <w:tab w:val="left" w:pos="9649"/>
              </w:tabs>
              <w:ind w:left="43"/>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Cs w:val="21"/>
              </w:rPr>
              <w:t>本项目管理机构除项目经理以外，还应当包括技术负责人、施工员、安全员、质检员等岗位。有与项目规模大小相匹配的管理机构且相应岗位 证书齐全的得4分；。岗位或证书每缺少1个扣1分，未提供不得分</w:t>
            </w:r>
            <w:r>
              <w:rPr>
                <w:rFonts w:hint="eastAsia" w:asciiTheme="minorEastAsia" w:hAnsiTheme="minorEastAsia" w:eastAsiaTheme="minorEastAsia" w:cstheme="minorEastAsia"/>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工程概况及特点</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2分</w:t>
            </w:r>
          </w:p>
        </w:tc>
        <w:tc>
          <w:tcPr>
            <w:tcW w:w="6567" w:type="dxa"/>
            <w:tcBorders>
              <w:top w:val="single" w:color="auto" w:sz="4" w:space="0"/>
              <w:left w:val="single" w:color="auto" w:sz="4" w:space="0"/>
              <w:bottom w:val="single" w:color="auto" w:sz="4" w:space="0"/>
              <w:right w:val="single" w:color="auto" w:sz="4" w:space="0"/>
            </w:tcBorders>
            <w:vAlign w:val="center"/>
          </w:tcPr>
          <w:p>
            <w:pPr>
              <w:pStyle w:val="35"/>
              <w:spacing w:line="360" w:lineRule="exac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根据投标投标文件与磋商文件要求的满足程度，工程总体概况及特点内 容完整，分析叙述清楚整且完全符合项目实际情况的得2分，每有一项 缺项或漏项扣1分。每有一处瑕疵或缺陷扣0.5分，扣完为止。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pPr>
              <w:spacing w:line="360" w:lineRule="exact"/>
              <w:jc w:val="center"/>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4</w:t>
            </w:r>
          </w:p>
        </w:tc>
        <w:tc>
          <w:tcPr>
            <w:tcW w:w="1671" w:type="dxa"/>
            <w:vAlign w:val="center"/>
          </w:tcPr>
          <w:p>
            <w:pPr>
              <w:spacing w:line="360" w:lineRule="exact"/>
              <w:jc w:val="both"/>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施工准备计划</w:t>
            </w:r>
          </w:p>
        </w:tc>
        <w:tc>
          <w:tcPr>
            <w:tcW w:w="850" w:type="dxa"/>
            <w:vAlign w:val="center"/>
          </w:tcPr>
          <w:p>
            <w:pPr>
              <w:spacing w:line="360" w:lineRule="exact"/>
              <w:jc w:val="center"/>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3分</w:t>
            </w:r>
          </w:p>
        </w:tc>
        <w:tc>
          <w:tcPr>
            <w:tcW w:w="6567" w:type="dxa"/>
            <w:vAlign w:val="center"/>
          </w:tcPr>
          <w:p>
            <w:pPr>
              <w:spacing w:line="360" w:lineRule="exact"/>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据投标单位提供的施工准备计划，包括但不限于: 1、施工技术、现场管理计划应能充分保证工程需要； 2、资源投入计划、施工部署、施工方法与进度计划能够相互呼应满足 施工需要； 3、物资储备能充分保证工程需要。 以上内容完整可行、符合项目实际情况的得3分；每有一项缺项或漏项 扣1分。每有一处瑕疵或缺陷扣0.5分，扣完为止。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5</w:t>
            </w:r>
          </w:p>
        </w:tc>
        <w:tc>
          <w:tcPr>
            <w:tcW w:w="1671" w:type="dxa"/>
            <w:vAlign w:val="center"/>
          </w:tcPr>
          <w:p>
            <w:pPr>
              <w:spacing w:line="360" w:lineRule="exact"/>
              <w:jc w:val="both"/>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施工方案</w:t>
            </w:r>
          </w:p>
        </w:tc>
        <w:tc>
          <w:tcPr>
            <w:tcW w:w="850" w:type="dxa"/>
            <w:vAlign w:val="center"/>
          </w:tcPr>
          <w:p>
            <w:pPr>
              <w:spacing w:line="360" w:lineRule="exact"/>
              <w:jc w:val="center"/>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10分</w:t>
            </w:r>
          </w:p>
        </w:tc>
        <w:tc>
          <w:tcPr>
            <w:tcW w:w="6567" w:type="dxa"/>
            <w:vAlign w:val="center"/>
          </w:tcPr>
          <w:p>
            <w:pPr>
              <w:spacing w:line="360" w:lineRule="exact"/>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根据投标单位提供的实施方案，包括但不限于： 1、对项目总体概况表述清晰、完整，符合工程实际情况； 2、部署及措施先进、可靠； 3、针对项目的重点、难点分析透彻，解决方案切实可行； 4、施工方案布置有针对性、满足施工需要，符合安全、文明生产要求 等； 5、提高生产率、缩短工期、提高质量、降低消耗、减轻劳动强度。 以上内容方案完整、可行、准确，完全符合项目实际情况的得10分； 每有一项缺项或漏项扣2分。每有一处瑕疵或缺陷扣1分，扣完为止。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6</w:t>
            </w:r>
          </w:p>
        </w:tc>
        <w:tc>
          <w:tcPr>
            <w:tcW w:w="1671" w:type="dxa"/>
            <w:vAlign w:val="center"/>
          </w:tcPr>
          <w:p>
            <w:pPr>
              <w:spacing w:line="360" w:lineRule="exact"/>
              <w:jc w:val="both"/>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施工进度计划</w:t>
            </w:r>
          </w:p>
        </w:tc>
        <w:tc>
          <w:tcPr>
            <w:tcW w:w="850" w:type="dxa"/>
            <w:vAlign w:val="center"/>
          </w:tcPr>
          <w:p>
            <w:pPr>
              <w:spacing w:line="360" w:lineRule="exact"/>
              <w:jc w:val="center"/>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8分</w:t>
            </w:r>
          </w:p>
        </w:tc>
        <w:tc>
          <w:tcPr>
            <w:tcW w:w="6567" w:type="dxa"/>
            <w:vAlign w:val="center"/>
          </w:tcPr>
          <w:p>
            <w:pPr>
              <w:spacing w:line="360" w:lineRule="exact"/>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根据投标单位提供的施工进度，包括但不限于: 1、总工期及节点工期满足</w:t>
            </w:r>
            <w:r>
              <w:rPr>
                <w:rFonts w:hint="eastAsia" w:asciiTheme="minorEastAsia" w:hAnsiTheme="minorEastAsia" w:eastAsiaTheme="minorEastAsia" w:cstheme="minorEastAsia"/>
                <w:bCs/>
                <w:color w:val="auto"/>
                <w:szCs w:val="21"/>
                <w:lang w:eastAsia="zh-CN"/>
              </w:rPr>
              <w:t>磋商文件</w:t>
            </w:r>
            <w:r>
              <w:rPr>
                <w:rFonts w:asciiTheme="minorEastAsia" w:hAnsiTheme="minorEastAsia" w:eastAsiaTheme="minorEastAsia" w:cstheme="minorEastAsia"/>
                <w:bCs/>
                <w:color w:val="auto"/>
                <w:szCs w:val="21"/>
              </w:rPr>
              <w:t>要求； 2、进度计划应在空间和时间上做合理的统筹安排且符合施工的科学规 律。 3、施工进度计划内容全面，线路清晰、准确、完整，计划编制合理、 可行； 4、进度计划的措施有力、合理、可行。 以上内容完整、科学、符合项目实际情况的得8分；每有一项缺项或漏 项扣2分，每有一处瑕疵或缺陷扣1分，扣完为止。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7</w:t>
            </w:r>
          </w:p>
        </w:tc>
        <w:tc>
          <w:tcPr>
            <w:tcW w:w="1671" w:type="dxa"/>
            <w:vAlign w:val="center"/>
          </w:tcPr>
          <w:p>
            <w:pPr>
              <w:spacing w:line="360" w:lineRule="exact"/>
              <w:jc w:val="both"/>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劳动力用量计划</w:t>
            </w:r>
          </w:p>
        </w:tc>
        <w:tc>
          <w:tcPr>
            <w:tcW w:w="850" w:type="dxa"/>
            <w:vAlign w:val="center"/>
          </w:tcPr>
          <w:p>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4分</w:t>
            </w:r>
          </w:p>
        </w:tc>
        <w:tc>
          <w:tcPr>
            <w:tcW w:w="6567" w:type="dxa"/>
            <w:vAlign w:val="center"/>
          </w:tcPr>
          <w:p>
            <w:pPr>
              <w:spacing w:line="360" w:lineRule="exact"/>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根据投标单位提供的劳动力用量计划，包括但不限于: 1、劳动力用量计划须根据工程进度计划的安排计算，并与工程进度计 划相一致； 2、劳动力用量计划降低消耗、减轻劳动强度。 以上内容完整、科学、符合项目实际情况的得4分；每有一项缺项或漏项扣2分，每有一处瑕疵或缺陷扣1分，扣完为止。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8</w:t>
            </w:r>
          </w:p>
        </w:tc>
        <w:tc>
          <w:tcPr>
            <w:tcW w:w="1671" w:type="dxa"/>
            <w:vAlign w:val="center"/>
          </w:tcPr>
          <w:p>
            <w:pPr>
              <w:spacing w:line="360" w:lineRule="exact"/>
              <w:jc w:val="both"/>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材料用量计划</w:t>
            </w:r>
          </w:p>
        </w:tc>
        <w:tc>
          <w:tcPr>
            <w:tcW w:w="850" w:type="dxa"/>
            <w:vAlign w:val="center"/>
          </w:tcPr>
          <w:p>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4分</w:t>
            </w:r>
          </w:p>
        </w:tc>
        <w:tc>
          <w:tcPr>
            <w:tcW w:w="6567" w:type="dxa"/>
            <w:vAlign w:val="center"/>
          </w:tcPr>
          <w:p>
            <w:pPr>
              <w:spacing w:line="360" w:lineRule="exact"/>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根据投标单位提供的材料用量计划，包括但不限于: 1、材料用量计划与施工进度计划相呼应且满足施工需要； 2、周转材料与主体搭配周全合理。 以上内容完整、科学、符合项目实际情况的得4分；每有一项缺项或漏 项扣2分，每有一处瑕疵或缺陷扣1分，扣完为止。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9</w:t>
            </w:r>
          </w:p>
        </w:tc>
        <w:tc>
          <w:tcPr>
            <w:tcW w:w="1671" w:type="dxa"/>
            <w:vAlign w:val="center"/>
          </w:tcPr>
          <w:p>
            <w:pPr>
              <w:spacing w:line="360" w:lineRule="exact"/>
              <w:jc w:val="both"/>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施工平面图</w:t>
            </w:r>
          </w:p>
        </w:tc>
        <w:tc>
          <w:tcPr>
            <w:tcW w:w="850" w:type="dxa"/>
            <w:vAlign w:val="center"/>
          </w:tcPr>
          <w:p>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6分</w:t>
            </w:r>
          </w:p>
        </w:tc>
        <w:tc>
          <w:tcPr>
            <w:tcW w:w="6567" w:type="dxa"/>
            <w:vAlign w:val="center"/>
          </w:tcPr>
          <w:p>
            <w:pPr>
              <w:spacing w:line="360" w:lineRule="exact"/>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根据投标单位提供的施工平面，包括但不限于: 1、施工平面图，符合工程实际，布置紧凑； 2、总体布局便于施工和管理并符合劳保、安全要求。 以上内容合理、科学、符合项目实际情况的得6分；每有一项缺项或漏 项扣3分，每有一处瑕疵或缺陷扣1分，扣完为止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10</w:t>
            </w:r>
          </w:p>
        </w:tc>
        <w:tc>
          <w:tcPr>
            <w:tcW w:w="1671" w:type="dxa"/>
            <w:vAlign w:val="center"/>
          </w:tcPr>
          <w:p>
            <w:pPr>
              <w:spacing w:line="360" w:lineRule="exact"/>
              <w:jc w:val="both"/>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机械设备用量计划</w:t>
            </w:r>
          </w:p>
        </w:tc>
        <w:tc>
          <w:tcPr>
            <w:tcW w:w="850" w:type="dxa"/>
            <w:vAlign w:val="center"/>
          </w:tcPr>
          <w:p>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4分</w:t>
            </w:r>
          </w:p>
        </w:tc>
        <w:tc>
          <w:tcPr>
            <w:tcW w:w="6567" w:type="dxa"/>
            <w:vAlign w:val="center"/>
          </w:tcPr>
          <w:p>
            <w:pPr>
              <w:spacing w:line="360" w:lineRule="exact"/>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根据投标单位提供的机械设备用量计划，包括但不限于: 1、根据项目情况，施工机械投入与施工季度计划相呼应且能满足工 序衔接的要求； 2、施工机械与主体搭配周全合理。 以上内容完整、科学、符合项目实际情况的得4分；每有一项缺项或漏 项扣2分，每有一处瑕疵或缺陷扣1分，扣完为止。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blHeader/>
        </w:trPr>
        <w:tc>
          <w:tcPr>
            <w:tcW w:w="675" w:type="dxa"/>
            <w:vAlign w:val="center"/>
          </w:tcPr>
          <w:p>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11</w:t>
            </w:r>
          </w:p>
        </w:tc>
        <w:tc>
          <w:tcPr>
            <w:tcW w:w="1671" w:type="dxa"/>
            <w:vAlign w:val="center"/>
          </w:tcPr>
          <w:p>
            <w:pPr>
              <w:spacing w:line="360" w:lineRule="exact"/>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 xml:space="preserve">质量、工期保证措施和体系 </w:t>
            </w:r>
          </w:p>
        </w:tc>
        <w:tc>
          <w:tcPr>
            <w:tcW w:w="850" w:type="dxa"/>
            <w:vAlign w:val="center"/>
          </w:tcPr>
          <w:p>
            <w:pPr>
              <w:spacing w:line="360" w:lineRule="exact"/>
              <w:ind w:firstLine="210" w:firstLineChars="100"/>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8分</w:t>
            </w:r>
          </w:p>
        </w:tc>
        <w:tc>
          <w:tcPr>
            <w:tcW w:w="6567" w:type="dxa"/>
            <w:vAlign w:val="center"/>
          </w:tcPr>
          <w:p>
            <w:pPr>
              <w:spacing w:line="360" w:lineRule="exact"/>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根据投标单位提供的质量保证、工期保证等措施，包括但不限于： 1、工期、质量目标明确，满足</w:t>
            </w:r>
            <w:r>
              <w:rPr>
                <w:rFonts w:hint="eastAsia" w:asciiTheme="minorEastAsia" w:hAnsiTheme="minorEastAsia" w:eastAsiaTheme="minorEastAsia" w:cstheme="minorEastAsia"/>
                <w:color w:val="auto"/>
                <w:szCs w:val="21"/>
                <w:lang w:eastAsia="zh-CN"/>
              </w:rPr>
              <w:t>磋商文件</w:t>
            </w:r>
            <w:r>
              <w:rPr>
                <w:rFonts w:asciiTheme="minorEastAsia" w:hAnsiTheme="minorEastAsia" w:eastAsiaTheme="minorEastAsia" w:cstheme="minorEastAsia"/>
                <w:color w:val="auto"/>
                <w:szCs w:val="21"/>
              </w:rPr>
              <w:t>的要求； 2、质量保证措施符合施工规律、国家强制性标准，实施措施全面有效； 3、管理体系齐全、保证措施全面、有效； 4、提高生产率、缩短工期、提高质量、提高进度提案； 以上内容完整切实可行的得8分；每有一项缺项或漏项扣2分，每有一处瑕疵或缺陷扣1分，扣完为止。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tblHeader/>
        </w:trPr>
        <w:tc>
          <w:tcPr>
            <w:tcW w:w="675" w:type="dxa"/>
            <w:vAlign w:val="center"/>
          </w:tcPr>
          <w:p>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12</w:t>
            </w:r>
          </w:p>
        </w:tc>
        <w:tc>
          <w:tcPr>
            <w:tcW w:w="1671" w:type="dxa"/>
            <w:vAlign w:val="center"/>
          </w:tcPr>
          <w:p>
            <w:pPr>
              <w:spacing w:line="360" w:lineRule="exact"/>
              <w:jc w:val="both"/>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安全保证措施和体系</w:t>
            </w:r>
          </w:p>
        </w:tc>
        <w:tc>
          <w:tcPr>
            <w:tcW w:w="850" w:type="dxa"/>
            <w:vAlign w:val="center"/>
          </w:tcPr>
          <w:p>
            <w:pPr>
              <w:spacing w:line="360" w:lineRule="exact"/>
              <w:jc w:val="center"/>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6分</w:t>
            </w:r>
          </w:p>
        </w:tc>
        <w:tc>
          <w:tcPr>
            <w:tcW w:w="6567" w:type="dxa"/>
            <w:vAlign w:val="center"/>
          </w:tcPr>
          <w:p>
            <w:pPr>
              <w:spacing w:line="360" w:lineRule="exact"/>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根据投标单位提供的安全保证措施和体系，包括但不限于： 1、安全目标明确，满足</w:t>
            </w:r>
            <w:r>
              <w:rPr>
                <w:rFonts w:hint="eastAsia" w:asciiTheme="minorEastAsia" w:hAnsiTheme="minorEastAsia" w:eastAsiaTheme="minorEastAsia" w:cstheme="minorEastAsia"/>
                <w:bCs/>
                <w:color w:val="auto"/>
                <w:szCs w:val="21"/>
                <w:lang w:eastAsia="zh-CN"/>
              </w:rPr>
              <w:t>磋商文件</w:t>
            </w:r>
            <w:r>
              <w:rPr>
                <w:rFonts w:asciiTheme="minorEastAsia" w:hAnsiTheme="minorEastAsia" w:eastAsiaTheme="minorEastAsia" w:cstheme="minorEastAsia"/>
                <w:bCs/>
                <w:color w:val="auto"/>
                <w:szCs w:val="21"/>
              </w:rPr>
              <w:t>的要求； 2、安全管理机构健全，职责分工明确，管理制度齐全； 3、实施与监控措施全面、有效。 以上内容完整切实可行的得6分；每有一项缺项或漏项扣2分，每有一 处瑕疵或缺陷扣1分，扣完为止。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pPr>
              <w:spacing w:line="360" w:lineRule="exact"/>
              <w:jc w:val="center"/>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rPr>
              <w:t>1</w:t>
            </w:r>
            <w:r>
              <w:rPr>
                <w:rFonts w:hint="eastAsia" w:asciiTheme="minorEastAsia" w:hAnsiTheme="minorEastAsia" w:eastAsiaTheme="minorEastAsia" w:cstheme="minorEastAsia"/>
                <w:bCs/>
                <w:color w:val="auto"/>
                <w:szCs w:val="21"/>
                <w:lang w:val="en-US" w:eastAsia="zh-CN"/>
              </w:rPr>
              <w:t>3</w:t>
            </w:r>
          </w:p>
        </w:tc>
        <w:tc>
          <w:tcPr>
            <w:tcW w:w="1671" w:type="dxa"/>
            <w:vAlign w:val="center"/>
          </w:tcPr>
          <w:p>
            <w:pPr>
              <w:spacing w:line="360" w:lineRule="exac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现场文明施工措施</w:t>
            </w:r>
          </w:p>
        </w:tc>
        <w:tc>
          <w:tcPr>
            <w:tcW w:w="850" w:type="dxa"/>
            <w:vAlign w:val="center"/>
          </w:tcPr>
          <w:p>
            <w:pPr>
              <w:spacing w:line="360" w:lineRule="exact"/>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 xml:space="preserve">  4分</w:t>
            </w:r>
          </w:p>
        </w:tc>
        <w:tc>
          <w:tcPr>
            <w:tcW w:w="6567" w:type="dxa"/>
            <w:vAlign w:val="center"/>
          </w:tcPr>
          <w:p>
            <w:pPr>
              <w:spacing w:line="360" w:lineRule="exact"/>
              <w:rPr>
                <w:rFonts w:asciiTheme="minorEastAsia" w:hAnsiTheme="minorEastAsia" w:eastAsiaTheme="minorEastAsia" w:cstheme="minorEastAsia"/>
                <w:bCs/>
                <w:color w:val="auto"/>
                <w:szCs w:val="21"/>
              </w:rPr>
            </w:pPr>
            <w:r>
              <w:rPr>
                <w:rFonts w:asciiTheme="minorEastAsia" w:hAnsiTheme="minorEastAsia" w:eastAsiaTheme="minorEastAsia" w:cstheme="minorEastAsia"/>
                <w:bCs/>
                <w:color w:val="auto"/>
                <w:szCs w:val="21"/>
              </w:rPr>
              <w:t>根据投标单位提供的现场文明施工措施，根据投标单位提供的现场文明 施工措施，包括但不限于： 1、现场文明施工措施目标明确； 2、现场施工管理制度齐全、机构健全，职责分工明确； 以上内容完整符合工程实际情况，表述清晰的得4分；每有一项缺项或 漏项扣2分，每有一处瑕疵或缺陷扣1分，扣完为止。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pPr>
              <w:spacing w:line="360" w:lineRule="exact"/>
              <w:jc w:val="center"/>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rPr>
              <w:t>1</w:t>
            </w:r>
            <w:r>
              <w:rPr>
                <w:rFonts w:hint="eastAsia" w:asciiTheme="minorEastAsia" w:hAnsiTheme="minorEastAsia" w:eastAsiaTheme="minorEastAsia" w:cstheme="minorEastAsia"/>
                <w:bCs/>
                <w:color w:val="auto"/>
                <w:szCs w:val="21"/>
                <w:lang w:val="en-US" w:eastAsia="zh-CN"/>
              </w:rPr>
              <w:t>4</w:t>
            </w:r>
          </w:p>
        </w:tc>
        <w:tc>
          <w:tcPr>
            <w:tcW w:w="1671" w:type="dxa"/>
            <w:vAlign w:val="center"/>
          </w:tcPr>
          <w:p>
            <w:pPr>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承诺</w:t>
            </w:r>
          </w:p>
        </w:tc>
        <w:tc>
          <w:tcPr>
            <w:tcW w:w="850" w:type="dxa"/>
            <w:vAlign w:val="center"/>
          </w:tcPr>
          <w:p>
            <w:pPr>
              <w:spacing w:line="360" w:lineRule="exact"/>
              <w:jc w:val="center"/>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3分</w:t>
            </w:r>
          </w:p>
        </w:tc>
        <w:tc>
          <w:tcPr>
            <w:tcW w:w="6567" w:type="dxa"/>
            <w:vAlign w:val="center"/>
          </w:tcPr>
          <w:p>
            <w:pPr>
              <w:spacing w:line="360" w:lineRule="exact"/>
              <w:rPr>
                <w:rFonts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有承诺、有违约经济处罚且措施可行的得3分；有承诺、无违约经济 处罚且措施可行的得2分，未提供不得分。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pPr>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合计</w:t>
            </w:r>
          </w:p>
        </w:tc>
        <w:tc>
          <w:tcPr>
            <w:tcW w:w="9088" w:type="dxa"/>
            <w:gridSpan w:val="3"/>
            <w:vAlign w:val="center"/>
          </w:tcPr>
          <w:p>
            <w:pPr>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pPr>
              <w:spacing w:line="36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得分</w:t>
            </w:r>
          </w:p>
        </w:tc>
        <w:tc>
          <w:tcPr>
            <w:tcW w:w="9088" w:type="dxa"/>
            <w:gridSpan w:val="3"/>
            <w:vAlign w:val="center"/>
          </w:tcPr>
          <w:p>
            <w:pPr>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合计×</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0%</w:t>
            </w:r>
          </w:p>
        </w:tc>
      </w:tr>
      <w:bookmarkEnd w:id="111"/>
      <w:bookmarkEnd w:id="112"/>
      <w:bookmarkEnd w:id="113"/>
      <w:bookmarkEnd w:id="114"/>
      <w:bookmarkEnd w:id="115"/>
      <w:bookmarkEnd w:id="116"/>
    </w:tbl>
    <w:p>
      <w:pPr>
        <w:keepNext w:val="0"/>
        <w:keepLines w:val="0"/>
        <w:pageBreakBefore w:val="0"/>
        <w:widowControl w:val="0"/>
        <w:shd w:val="clear" w:color="auto" w:fill="auto"/>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备注:1、根据《政府采购服务和服务招投标管理办法》第87号令第六十条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shd w:val="clear" w:color="auto" w:fill="auto"/>
        <w:kinsoku/>
        <w:wordWrap/>
        <w:overflowPunct/>
        <w:topLinePunct w:val="0"/>
        <w:autoSpaceDE/>
        <w:autoSpaceDN/>
        <w:bidi w:val="0"/>
        <w:adjustRightInd/>
        <w:spacing w:line="400" w:lineRule="exact"/>
        <w:ind w:firstLine="539" w:firstLineChars="257"/>
        <w:textAlignment w:val="auto"/>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2、供应商在评标过程中，所进行的力图影响评标结果的不符合</w:t>
      </w:r>
      <w:r>
        <w:rPr>
          <w:rFonts w:hint="eastAsia" w:ascii="宋体" w:hAnsi="宋体" w:cs="宋体"/>
          <w:color w:val="auto"/>
          <w:szCs w:val="21"/>
          <w:highlight w:val="none"/>
          <w:lang w:val="en-US" w:eastAsia="zh-CN" w:bidi="ar-SA"/>
        </w:rPr>
        <w:t>磋商</w:t>
      </w:r>
      <w:r>
        <w:rPr>
          <w:rFonts w:hint="eastAsia" w:ascii="宋体" w:hAnsi="宋体" w:eastAsia="宋体" w:cs="宋体"/>
          <w:color w:val="auto"/>
          <w:szCs w:val="21"/>
          <w:highlight w:val="none"/>
          <w:lang w:val="en-US" w:eastAsia="zh-CN" w:bidi="ar-SA"/>
        </w:rPr>
        <w:t>规则的活动，可能导致其被取消中标资格。</w:t>
      </w:r>
    </w:p>
    <w:p>
      <w:pPr>
        <w:keepNext w:val="0"/>
        <w:keepLines w:val="0"/>
        <w:pageBreakBefore w:val="0"/>
        <w:widowControl w:val="0"/>
        <w:shd w:val="clear" w:color="auto" w:fill="auto"/>
        <w:kinsoku/>
        <w:wordWrap/>
        <w:overflowPunct/>
        <w:topLinePunct w:val="0"/>
        <w:autoSpaceDE/>
        <w:autoSpaceDN/>
        <w:bidi w:val="0"/>
        <w:adjustRightInd/>
        <w:spacing w:line="400" w:lineRule="exact"/>
        <w:ind w:firstLine="539" w:firstLineChars="257"/>
        <w:textAlignment w:val="auto"/>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3、与磋商文件有重大偏离的响应文件将被拒绝。</w:t>
      </w:r>
    </w:p>
    <w:p>
      <w:pPr>
        <w:keepNext w:val="0"/>
        <w:keepLines w:val="0"/>
        <w:pageBreakBefore w:val="0"/>
        <w:widowControl w:val="0"/>
        <w:shd w:val="clear" w:color="auto" w:fill="auto"/>
        <w:kinsoku/>
        <w:wordWrap/>
        <w:overflowPunct/>
        <w:topLinePunct w:val="0"/>
        <w:autoSpaceDE/>
        <w:autoSpaceDN/>
        <w:bidi w:val="0"/>
        <w:adjustRightInd/>
        <w:spacing w:line="400" w:lineRule="exact"/>
        <w:ind w:firstLine="539" w:firstLineChars="257"/>
        <w:textAlignment w:val="auto"/>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附：对于商务部分（投标报价）的评分，按以下方法进行：价格分统一采用低价优先法计算，即满足磋商文件要求且评标价格最低的报价为评标基准价，其价格分为满分。其他投标人的价格分统一按照下列公式计算：报价得分=(评标基准价／评标价格)×30%×100</w:t>
      </w:r>
    </w:p>
    <w:p>
      <w:pPr>
        <w:keepNext w:val="0"/>
        <w:keepLines w:val="0"/>
        <w:pageBreakBefore w:val="0"/>
        <w:widowControl w:val="0"/>
        <w:shd w:val="clear" w:color="auto" w:fill="auto"/>
        <w:kinsoku/>
        <w:wordWrap/>
        <w:overflowPunct/>
        <w:topLinePunct w:val="0"/>
        <w:autoSpaceDE/>
        <w:autoSpaceDN/>
        <w:bidi w:val="0"/>
        <w:adjustRightInd/>
        <w:spacing w:line="400" w:lineRule="exact"/>
        <w:ind w:firstLine="539" w:firstLineChars="257"/>
        <w:textAlignment w:val="auto"/>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成交候选人。</w:t>
      </w:r>
    </w:p>
    <w:p>
      <w:pPr>
        <w:keepNext w:val="0"/>
        <w:keepLines w:val="0"/>
        <w:pageBreakBefore w:val="0"/>
        <w:widowControl w:val="0"/>
        <w:shd w:val="clear" w:color="auto" w:fill="auto"/>
        <w:kinsoku/>
        <w:wordWrap/>
        <w:overflowPunct/>
        <w:topLinePunct w:val="0"/>
        <w:autoSpaceDE/>
        <w:autoSpaceDN/>
        <w:bidi w:val="0"/>
        <w:adjustRightInd/>
        <w:spacing w:line="400" w:lineRule="exact"/>
        <w:ind w:firstLine="539" w:firstLineChars="257"/>
        <w:textAlignment w:val="auto"/>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5、最低报价不作为评标的唯一依据。采购人不承诺将合同授予报价最低的投标人。</w:t>
      </w:r>
    </w:p>
    <w:p>
      <w:pPr>
        <w:keepNext w:val="0"/>
        <w:keepLines w:val="0"/>
        <w:pageBreakBefore w:val="0"/>
        <w:widowControl w:val="0"/>
        <w:shd w:val="clear" w:color="auto" w:fill="auto"/>
        <w:kinsoku/>
        <w:wordWrap/>
        <w:overflowPunct/>
        <w:topLinePunct w:val="0"/>
        <w:autoSpaceDE/>
        <w:autoSpaceDN/>
        <w:bidi w:val="0"/>
        <w:adjustRightInd/>
        <w:spacing w:line="400" w:lineRule="exact"/>
        <w:ind w:firstLine="539" w:firstLineChars="257"/>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bidi="ar-SA"/>
        </w:rPr>
        <w:t>6、经评标委员会评议，认为投标报价过高、超出采购人预算的项目，可以不确立中标人，做为废标处理。</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0" w:firstLineChars="200"/>
        <w:textAlignment w:val="auto"/>
        <w:rPr>
          <w:rFonts w:hint="eastAsia" w:ascii="宋体" w:hAnsi="宋体"/>
          <w:b/>
          <w:color w:val="auto"/>
          <w:szCs w:val="21"/>
          <w:highlight w:val="none"/>
        </w:rPr>
      </w:pPr>
      <w:r>
        <w:rPr>
          <w:rFonts w:hint="eastAsia" w:ascii="宋体" w:hAnsi="宋体"/>
          <w:b/>
          <w:color w:val="auto"/>
          <w:szCs w:val="21"/>
          <w:highlight w:val="none"/>
          <w:lang w:val="en-US" w:eastAsia="zh-CN"/>
        </w:rPr>
        <w:t>12.</w:t>
      </w:r>
      <w:r>
        <w:rPr>
          <w:rFonts w:hint="eastAsia" w:ascii="宋体" w:hAnsi="宋体"/>
          <w:b/>
          <w:color w:val="auto"/>
          <w:szCs w:val="21"/>
          <w:highlight w:val="none"/>
        </w:rPr>
        <w:t>无效投标条款</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.1</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有下列情形之一的,其</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拒收:</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textAlignment w:val="auto"/>
        <w:rPr>
          <w:rFonts w:hint="eastAsia" w:ascii="宋体" w:hAnsi="宋体" w:cs="宋体"/>
          <w:b/>
          <w:bCs/>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 xml:space="preserve"> (1) 未在开标截止时间前通过网上</w:t>
      </w:r>
      <w:r>
        <w:rPr>
          <w:rFonts w:hint="eastAsia" w:ascii="宋体" w:hAnsi="宋体" w:cs="宋体"/>
          <w:b/>
          <w:bCs/>
          <w:color w:val="auto"/>
          <w:szCs w:val="21"/>
          <w:highlight w:val="none"/>
          <w:lang w:val="en-US" w:eastAsia="zh-CN"/>
        </w:rPr>
        <w:t>磋商</w:t>
      </w:r>
      <w:r>
        <w:rPr>
          <w:rFonts w:hint="eastAsia" w:ascii="宋体" w:hAnsi="宋体" w:cs="宋体"/>
          <w:b/>
          <w:bCs/>
          <w:color w:val="auto"/>
          <w:szCs w:val="21"/>
          <w:highlight w:val="none"/>
        </w:rPr>
        <w:t>投标系统递交有效电子</w:t>
      </w:r>
      <w:r>
        <w:rPr>
          <w:rFonts w:hint="eastAsia" w:ascii="宋体" w:hAnsi="宋体" w:cs="宋体"/>
          <w:b/>
          <w:bCs/>
          <w:color w:val="auto"/>
          <w:szCs w:val="21"/>
          <w:highlight w:val="none"/>
          <w:lang w:eastAsia="zh-CN"/>
        </w:rPr>
        <w:t>响应文件</w:t>
      </w:r>
      <w:r>
        <w:rPr>
          <w:rFonts w:hint="eastAsia" w:ascii="宋体" w:hAnsi="宋体" w:cs="宋体"/>
          <w:b/>
          <w:bCs/>
          <w:color w:val="auto"/>
          <w:szCs w:val="21"/>
          <w:highlight w:val="none"/>
        </w:rPr>
        <w:t>的，开标系统不予接收。</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0" w:firstLineChars="200"/>
        <w:textAlignment w:val="auto"/>
        <w:rPr>
          <w:rFonts w:hint="eastAsia" w:ascii="宋体" w:hAnsi="宋体"/>
          <w:b/>
          <w:color w:val="auto"/>
          <w:szCs w:val="21"/>
          <w:highlight w:val="none"/>
        </w:rPr>
      </w:pPr>
      <w:r>
        <w:rPr>
          <w:rFonts w:hint="eastAsia" w:ascii="宋体" w:hAnsi="宋体" w:cs="宋体"/>
          <w:b/>
          <w:bCs/>
          <w:color w:val="auto"/>
          <w:szCs w:val="21"/>
          <w:highlight w:val="none"/>
        </w:rPr>
        <w:t>（2）</w:t>
      </w:r>
      <w:r>
        <w:rPr>
          <w:rFonts w:hint="eastAsia" w:ascii="宋体" w:hAnsi="宋体"/>
          <w:b/>
          <w:color w:val="auto"/>
          <w:szCs w:val="21"/>
          <w:highlight w:val="none"/>
        </w:rPr>
        <w:t>所有投标人应在规定时间里完成</w:t>
      </w:r>
      <w:r>
        <w:rPr>
          <w:rFonts w:hint="eastAsia" w:ascii="宋体" w:hAnsi="宋体"/>
          <w:b/>
          <w:color w:val="auto"/>
          <w:szCs w:val="21"/>
          <w:highlight w:val="none"/>
          <w:lang w:eastAsia="zh-CN"/>
        </w:rPr>
        <w:t>响应文件</w:t>
      </w:r>
      <w:r>
        <w:rPr>
          <w:rFonts w:hint="eastAsia" w:ascii="宋体" w:hAnsi="宋体"/>
          <w:b/>
          <w:color w:val="auto"/>
          <w:szCs w:val="21"/>
          <w:highlight w:val="none"/>
        </w:rPr>
        <w:t>的解密工作</w:t>
      </w:r>
      <w:r>
        <w:rPr>
          <w:rFonts w:hint="eastAsia" w:ascii="宋体" w:hAnsi="宋体"/>
          <w:b/>
          <w:bCs/>
          <w:color w:val="auto"/>
          <w:szCs w:val="21"/>
          <w:highlight w:val="none"/>
        </w:rPr>
        <w:t>【投标人</w:t>
      </w:r>
      <w:r>
        <w:rPr>
          <w:rFonts w:hint="eastAsia" w:ascii="宋体" w:hAnsi="宋体"/>
          <w:b/>
          <w:bCs/>
          <w:color w:val="auto"/>
          <w:szCs w:val="21"/>
          <w:highlight w:val="none"/>
          <w:lang w:eastAsia="zh-CN"/>
        </w:rPr>
        <w:t>使用</w:t>
      </w:r>
      <w:r>
        <w:rPr>
          <w:rFonts w:hint="eastAsia" w:ascii="宋体" w:hAnsi="宋体"/>
          <w:b/>
          <w:bCs/>
          <w:color w:val="auto"/>
          <w:szCs w:val="21"/>
          <w:highlight w:val="none"/>
        </w:rPr>
        <w:t>其有效加密锁（CA锁）</w:t>
      </w:r>
      <w:r>
        <w:rPr>
          <w:rFonts w:hint="eastAsia" w:ascii="宋体" w:hAnsi="宋体"/>
          <w:b/>
          <w:bCs/>
          <w:color w:val="auto"/>
          <w:szCs w:val="21"/>
          <w:highlight w:val="none"/>
          <w:lang w:eastAsia="zh-CN"/>
        </w:rPr>
        <w:t>进行</w:t>
      </w:r>
      <w:r>
        <w:rPr>
          <w:rFonts w:hint="eastAsia" w:ascii="宋体" w:hAnsi="宋体"/>
          <w:b/>
          <w:bCs/>
          <w:color w:val="auto"/>
          <w:szCs w:val="21"/>
          <w:highlight w:val="none"/>
        </w:rPr>
        <w:t>解密（因投标人原因未能提供有效CA锁对其</w:t>
      </w:r>
      <w:r>
        <w:rPr>
          <w:rFonts w:hint="eastAsia" w:ascii="宋体" w:hAnsi="宋体"/>
          <w:b/>
          <w:bCs/>
          <w:color w:val="auto"/>
          <w:szCs w:val="21"/>
          <w:highlight w:val="none"/>
          <w:lang w:eastAsia="zh-CN"/>
        </w:rPr>
        <w:t>响应文件</w:t>
      </w:r>
      <w:r>
        <w:rPr>
          <w:rFonts w:hint="eastAsia" w:ascii="宋体" w:hAnsi="宋体"/>
          <w:b/>
          <w:bCs/>
          <w:color w:val="auto"/>
          <w:szCs w:val="21"/>
          <w:highlight w:val="none"/>
        </w:rPr>
        <w:t>进行解密的，其</w:t>
      </w:r>
      <w:r>
        <w:rPr>
          <w:rFonts w:hint="eastAsia" w:ascii="宋体" w:hAnsi="宋体"/>
          <w:b/>
          <w:bCs/>
          <w:color w:val="auto"/>
          <w:szCs w:val="21"/>
          <w:highlight w:val="none"/>
          <w:lang w:eastAsia="zh-CN"/>
        </w:rPr>
        <w:t>响应文件</w:t>
      </w:r>
      <w:r>
        <w:rPr>
          <w:rFonts w:hint="eastAsia" w:ascii="宋体" w:hAnsi="宋体"/>
          <w:b/>
          <w:bCs/>
          <w:color w:val="auto"/>
          <w:szCs w:val="21"/>
          <w:highlight w:val="none"/>
        </w:rPr>
        <w:t>按无效标处理），以网上招投标系统解密倒计时为准】</w:t>
      </w:r>
      <w:r>
        <w:rPr>
          <w:rFonts w:hint="eastAsia" w:ascii="宋体" w:hAnsi="宋体"/>
          <w:b/>
          <w:color w:val="auto"/>
          <w:szCs w:val="21"/>
          <w:highlight w:val="none"/>
        </w:rPr>
        <w:t>，因系统原因未能成功解密的</w:t>
      </w:r>
      <w:r>
        <w:rPr>
          <w:rFonts w:hint="eastAsia" w:ascii="宋体" w:hAnsi="宋体"/>
          <w:b/>
          <w:color w:val="auto"/>
          <w:szCs w:val="21"/>
          <w:highlight w:val="none"/>
          <w:lang w:eastAsia="zh-CN"/>
        </w:rPr>
        <w:t>响应文件</w:t>
      </w:r>
      <w:r>
        <w:rPr>
          <w:rFonts w:hint="eastAsia" w:ascii="宋体" w:hAnsi="宋体"/>
          <w:b/>
          <w:color w:val="auto"/>
          <w:szCs w:val="21"/>
          <w:highlight w:val="none"/>
        </w:rPr>
        <w:t>，可导入</w:t>
      </w:r>
      <w:r>
        <w:rPr>
          <w:rFonts w:hint="eastAsia" w:ascii="宋体" w:hAnsi="宋体"/>
          <w:b/>
          <w:color w:val="auto"/>
          <w:szCs w:val="21"/>
          <w:highlight w:val="none"/>
          <w:lang w:eastAsia="zh-CN"/>
        </w:rPr>
        <w:t>备份响应文件</w:t>
      </w:r>
      <w:r>
        <w:rPr>
          <w:rFonts w:hint="eastAsia" w:ascii="宋体" w:hAnsi="宋体"/>
          <w:b/>
          <w:color w:val="auto"/>
          <w:szCs w:val="21"/>
          <w:highlight w:val="none"/>
        </w:rPr>
        <w:t>。</w:t>
      </w:r>
      <w:r>
        <w:rPr>
          <w:rFonts w:hint="eastAsia" w:ascii="宋体" w:hAnsi="宋体"/>
          <w:b/>
          <w:color w:val="auto"/>
          <w:szCs w:val="21"/>
          <w:highlight w:val="none"/>
          <w:lang w:eastAsia="zh-CN"/>
        </w:rPr>
        <w:t>备份响应文件</w:t>
      </w:r>
      <w:r>
        <w:rPr>
          <w:rFonts w:hint="eastAsia" w:ascii="宋体" w:hAnsi="宋体"/>
          <w:b/>
          <w:color w:val="auto"/>
          <w:szCs w:val="21"/>
          <w:highlight w:val="none"/>
        </w:rPr>
        <w:t>也无法导入的，则</w:t>
      </w:r>
      <w:r>
        <w:rPr>
          <w:rFonts w:hint="eastAsia" w:ascii="宋体" w:hAnsi="宋体"/>
          <w:b/>
          <w:color w:val="auto"/>
          <w:szCs w:val="21"/>
          <w:highlight w:val="none"/>
          <w:lang w:eastAsia="zh-CN"/>
        </w:rPr>
        <w:t>响应文件</w:t>
      </w:r>
      <w:r>
        <w:rPr>
          <w:rFonts w:hint="eastAsia" w:ascii="宋体" w:hAnsi="宋体"/>
          <w:b/>
          <w:color w:val="auto"/>
          <w:szCs w:val="21"/>
          <w:highlight w:val="none"/>
        </w:rPr>
        <w:t>被否决。</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.2投标人有下列情形之一的,资格审查其投标作无效投标处理</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(2)投标人为本项目提供</w:t>
      </w:r>
      <w:r>
        <w:rPr>
          <w:rFonts w:hint="eastAsia" w:ascii="宋体" w:hAnsi="宋体" w:cs="宋体"/>
          <w:color w:val="auto"/>
          <w:szCs w:val="21"/>
          <w:highlight w:val="none"/>
          <w:lang w:val="en-US" w:eastAsia="zh-CN"/>
        </w:rPr>
        <w:t>磋商</w:t>
      </w:r>
      <w:r>
        <w:rPr>
          <w:rFonts w:hint="eastAsia" w:ascii="宋体" w:hAnsi="宋体" w:cs="宋体"/>
          <w:color w:val="auto"/>
          <w:szCs w:val="21"/>
          <w:highlight w:val="none"/>
        </w:rPr>
        <w:t>代理服务的；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(3)投标人与在本项目代理机构存在相互任职或工作的；</w:t>
      </w:r>
    </w:p>
    <w:p>
      <w:pPr>
        <w:shd w:val="clear" w:color="auto" w:fill="auto"/>
        <w:snapToGrid w:val="0"/>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(4)投标保证金未按规定要求缴纳的；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b/>
          <w:bCs/>
          <w:color w:val="auto"/>
          <w:szCs w:val="21"/>
          <w:highlight w:val="none"/>
        </w:rPr>
        <w:t>评标专家无法查看并检验电子标书中相关资料的；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)联合体投标未提交联合体协议的；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)被暂停营业的；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)被暂停或取消投标资格的；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)财产被接管或冻结的；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)投标人单位负责人为同一人或者存在控股、管理关系的不同单位的；</w:t>
      </w:r>
    </w:p>
    <w:p>
      <w:pPr>
        <w:shd w:val="clear" w:color="auto" w:fill="auto"/>
        <w:snapToGrid w:val="0"/>
        <w:spacing w:line="40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）投标人基本资格条件和特定资格条件中有一项及以上不符合要求的；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）投标人使用相同的MAC地址进行报名的；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）其它情形，经评标委员会委提出按无效投标处理，并经公共资源交易监督部门核准的；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）投标人使用相同IP地址报名的，一经发现，监管部门将进一步核实，查实后按串通投标处理；</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规定的其它无效投标情形。</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.3 投标人有下列情形之一的,符合性审查后其投标按无效投标处理：</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eastAsia="zh-CN"/>
        </w:rPr>
        <w:t>响应文件</w:t>
      </w:r>
      <w:r>
        <w:rPr>
          <w:rFonts w:hint="eastAsia" w:ascii="宋体" w:hAnsi="宋体" w:cs="宋体"/>
          <w:color w:val="auto"/>
          <w:szCs w:val="21"/>
          <w:highlight w:val="none"/>
        </w:rPr>
        <w:t>签字、盖章不全，经评标委员会一致认定对开评标内容有实质性影响并经监督部门核准的；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)未按规定的格式填写，实质性内容不全或关键字迹模糊、无法辨认; 经监督部门核准的；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(4)同一投标人提交两个以上不同的</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或者投标报价，但</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规定提交备选方案的除外；</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没有对</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的实质性要求和条件作出响应;</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)投标报价超出规定的投标限价或公布的采购预算的；注：投标人的投标报价各项单价均不得高于</w:t>
      </w:r>
      <w:r>
        <w:rPr>
          <w:rFonts w:hint="eastAsia" w:ascii="宋体" w:hAnsi="宋体" w:cs="宋体"/>
          <w:color w:val="auto"/>
          <w:szCs w:val="21"/>
          <w:highlight w:val="none"/>
          <w:lang w:eastAsia="zh-CN"/>
        </w:rPr>
        <w:t>磋商文件</w:t>
      </w:r>
      <w:r>
        <w:rPr>
          <w:rFonts w:hint="eastAsia" w:ascii="宋体" w:hAnsi="宋体" w:cs="宋体"/>
          <w:color w:val="auto"/>
          <w:szCs w:val="21"/>
          <w:highlight w:val="none"/>
        </w:rPr>
        <w:t>给定的单价最高限价，否则，其</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将按无效投标处理。</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)不按评标委员会要求澄清、说明或补正的，或者评标委员会根据</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的规定对</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的计算错误进行修正后，投标人不接受修正的投标报价的。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）其它情形，经评标委员会委提出按无效投标处理，并经公共资源交易监督部门核准的；</w:t>
      </w:r>
    </w:p>
    <w:p>
      <w:pPr>
        <w:widowControl/>
        <w:shd w:val="clear" w:color="auto" w:fill="auto"/>
        <w:spacing w:line="500" w:lineRule="exact"/>
        <w:ind w:firstLine="420" w:firstLineChars="200"/>
        <w:jc w:val="left"/>
        <w:rPr>
          <w:rFonts w:ascii="Tahoma" w:hAnsi="Tahoma" w:eastAsia="Tahoma" w:cs="Tahoma"/>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ascii="Tahoma" w:hAnsi="Tahoma" w:eastAsia="Tahoma" w:cs="Tahoma"/>
          <w:color w:val="auto"/>
          <w:kern w:val="0"/>
          <w:szCs w:val="21"/>
          <w:highlight w:val="none"/>
          <w:shd w:val="clear" w:color="auto" w:fill="FFFFFF"/>
          <w:lang w:bidi="ar"/>
        </w:rPr>
        <w:t>未按照</w:t>
      </w:r>
      <w:r>
        <w:rPr>
          <w:rFonts w:hint="eastAsia" w:ascii="Tahoma" w:hAnsi="Tahoma" w:eastAsia="宋体" w:cs="Tahoma"/>
          <w:color w:val="auto"/>
          <w:kern w:val="0"/>
          <w:szCs w:val="21"/>
          <w:highlight w:val="none"/>
          <w:shd w:val="clear" w:color="auto" w:fill="FFFFFF"/>
          <w:lang w:eastAsia="zh-CN" w:bidi="ar"/>
        </w:rPr>
        <w:t>磋商文件</w:t>
      </w:r>
      <w:r>
        <w:rPr>
          <w:rFonts w:ascii="Tahoma" w:hAnsi="Tahoma" w:eastAsia="Tahoma" w:cs="Tahoma"/>
          <w:color w:val="auto"/>
          <w:kern w:val="0"/>
          <w:szCs w:val="21"/>
          <w:highlight w:val="none"/>
          <w:shd w:val="clear" w:color="auto" w:fill="FFFFFF"/>
          <w:lang w:bidi="ar"/>
        </w:rPr>
        <w:t>的规定提交投标保证金的；</w:t>
      </w:r>
    </w:p>
    <w:p>
      <w:pPr>
        <w:widowControl/>
        <w:shd w:val="clear" w:color="auto" w:fill="auto"/>
        <w:spacing w:line="500" w:lineRule="exact"/>
        <w:ind w:firstLine="420" w:firstLineChars="200"/>
        <w:jc w:val="left"/>
        <w:rPr>
          <w:rFonts w:ascii="Tahoma" w:hAnsi="Tahoma" w:eastAsia="Tahoma" w:cs="Tahoma"/>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Tahoma" w:hAnsi="Tahoma" w:eastAsia="宋体" w:cs="Tahoma"/>
          <w:color w:val="auto"/>
          <w:kern w:val="0"/>
          <w:szCs w:val="21"/>
          <w:highlight w:val="none"/>
          <w:shd w:val="clear" w:color="auto" w:fill="FFFFFF"/>
          <w:lang w:eastAsia="zh-CN" w:bidi="ar"/>
        </w:rPr>
        <w:t>响应文件</w:t>
      </w:r>
      <w:r>
        <w:rPr>
          <w:rFonts w:ascii="Tahoma" w:hAnsi="Tahoma" w:eastAsia="Tahoma" w:cs="Tahoma"/>
          <w:color w:val="auto"/>
          <w:kern w:val="0"/>
          <w:szCs w:val="21"/>
          <w:highlight w:val="none"/>
          <w:shd w:val="clear" w:color="auto" w:fill="FFFFFF"/>
          <w:lang w:bidi="ar"/>
        </w:rPr>
        <w:t>含有采购人不能接受的附加条件的;</w:t>
      </w:r>
    </w:p>
    <w:p>
      <w:pPr>
        <w:shd w:val="clear" w:color="auto" w:fill="auto"/>
        <w:tabs>
          <w:tab w:val="left" w:pos="1123"/>
        </w:tabs>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规定的其它无效投标情形。</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(2)投标人有串通投标、弄虚作假、行贿等违法行为；</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含有违反国家法律、法规的内容，或附有招标人不能接受的条件的；</w:t>
      </w:r>
    </w:p>
    <w:p>
      <w:pPr>
        <w:shd w:val="clear" w:color="auto" w:fill="auto"/>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（4）在同一项目（或同一标段）中有多个投标人有效投标报价接近最高限价，且评标委员会认为报价出现异常的，可以宣布其投标无效；</w:t>
      </w:r>
    </w:p>
    <w:p>
      <w:pPr>
        <w:shd w:val="clear" w:color="auto" w:fill="auto"/>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报价明显低于其他投标人，且不能证明报价合理性的投标无效</w:t>
      </w:r>
      <w:r>
        <w:rPr>
          <w:rFonts w:hint="eastAsia" w:ascii="宋体" w:hAnsi="宋体" w:cs="宋体"/>
          <w:color w:val="auto"/>
          <w:szCs w:val="21"/>
          <w:highlight w:val="none"/>
        </w:rPr>
        <w:t>；</w:t>
      </w:r>
    </w:p>
    <w:p>
      <w:pPr>
        <w:shd w:val="clear" w:color="auto" w:fill="auto"/>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拒不确认评标委员会评审修正的投标无效</w:t>
      </w:r>
      <w:r>
        <w:rPr>
          <w:rFonts w:hint="eastAsia" w:ascii="宋体" w:hAnsi="宋体" w:cs="宋体"/>
          <w:color w:val="auto"/>
          <w:szCs w:val="21"/>
          <w:highlight w:val="none"/>
        </w:rPr>
        <w:t>；</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（7）其它情形，经评标委员会委提出按无效投标处理，并经公共资源交易监督部门核准的；</w:t>
      </w:r>
    </w:p>
    <w:p>
      <w:pPr>
        <w:shd w:val="clear" w:color="auto" w:fill="auto"/>
        <w:snapToGrid w:val="0"/>
        <w:spacing w:line="400" w:lineRule="exact"/>
        <w:ind w:firstLine="420" w:firstLineChars="200"/>
        <w:rPr>
          <w:rFonts w:hint="eastAsia" w:ascii="宋体" w:hAnsi="宋体" w:eastAsia="宋体" w:cs="宋体"/>
          <w:color w:val="auto"/>
          <w:szCs w:val="21"/>
          <w:highlight w:val="none"/>
          <w:lang w:eastAsia="zh-CN"/>
        </w:rPr>
        <w:sectPr>
          <w:headerReference r:id="rId3" w:type="default"/>
          <w:footerReference r:id="rId4" w:type="default"/>
          <w:pgSz w:w="11906" w:h="16838"/>
          <w:pgMar w:top="1157" w:right="969" w:bottom="1157" w:left="969" w:header="851" w:footer="992" w:gutter="0"/>
          <w:pgNumType w:fmt="decimal" w:start="1"/>
          <w:cols w:space="720" w:num="1"/>
          <w:rtlGutter w:val="0"/>
          <w:docGrid w:type="linesAndChars" w:linePitch="312" w:charSpace="0"/>
        </w:sectPr>
      </w:pPr>
      <w:r>
        <w:rPr>
          <w:rFonts w:hint="eastAsia" w:ascii="宋体" w:hAnsi="宋体" w:cs="宋体"/>
          <w:color w:val="auto"/>
          <w:szCs w:val="21"/>
          <w:highlight w:val="none"/>
        </w:rPr>
        <w:t>（8）</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规定的其它无效投标情</w:t>
      </w:r>
      <w:r>
        <w:rPr>
          <w:rFonts w:hint="eastAsia" w:ascii="宋体" w:hAnsi="宋体" w:cs="宋体"/>
          <w:color w:val="auto"/>
          <w:szCs w:val="21"/>
          <w:highlight w:val="none"/>
          <w:lang w:eastAsia="zh-CN"/>
        </w:rPr>
        <w:t>。</w:t>
      </w:r>
    </w:p>
    <w:p>
      <w:pPr>
        <w:pStyle w:val="12"/>
        <w:tabs>
          <w:tab w:val="left" w:pos="720"/>
          <w:tab w:val="left" w:pos="900"/>
          <w:tab w:val="left" w:pos="1260"/>
        </w:tabs>
        <w:adjustRightInd w:val="0"/>
        <w:spacing w:line="360" w:lineRule="auto"/>
        <w:rPr>
          <w:rFonts w:asciiTheme="minorEastAsia" w:hAnsiTheme="minorEastAsia" w:eastAsiaTheme="minorEastAsia" w:cstheme="minorEastAsia"/>
          <w:bCs/>
          <w:color w:val="auto"/>
          <w:sz w:val="24"/>
        </w:rPr>
      </w:pPr>
    </w:p>
    <w:p>
      <w:pPr>
        <w:pStyle w:val="3"/>
        <w:numPr>
          <w:ilvl w:val="0"/>
          <w:numId w:val="0"/>
        </w:numPr>
        <w:spacing w:line="360" w:lineRule="auto"/>
        <w:jc w:val="center"/>
        <w:rPr>
          <w:rFonts w:asciiTheme="minorEastAsia" w:hAnsiTheme="minorEastAsia" w:eastAsiaTheme="minorEastAsia" w:cstheme="minorEastAsia"/>
          <w:color w:val="auto"/>
          <w:sz w:val="32"/>
          <w:szCs w:val="32"/>
        </w:rPr>
      </w:pPr>
      <w:bookmarkStart w:id="118" w:name="_Toc527642959"/>
      <w:bookmarkStart w:id="119" w:name="_Toc349573127"/>
      <w:bookmarkStart w:id="120" w:name="_Toc298240411"/>
      <w:bookmarkStart w:id="121" w:name="_Toc349637926"/>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四</w:t>
      </w:r>
      <w:r>
        <w:rPr>
          <w:rFonts w:hint="eastAsia" w:asciiTheme="minorEastAsia" w:hAnsiTheme="minorEastAsia" w:eastAsiaTheme="minorEastAsia" w:cstheme="minorEastAsia"/>
          <w:color w:val="auto"/>
          <w:sz w:val="32"/>
          <w:szCs w:val="32"/>
        </w:rPr>
        <w:t>部分  技术要求</w:t>
      </w:r>
      <w:bookmarkEnd w:id="117"/>
      <w:bookmarkEnd w:id="118"/>
      <w:bookmarkEnd w:id="119"/>
      <w:bookmarkEnd w:id="120"/>
      <w:bookmarkEnd w:id="121"/>
    </w:p>
    <w:p>
      <w:pPr>
        <w:spacing w:line="360" w:lineRule="auto"/>
        <w:ind w:left="1680" w:hanging="1680" w:hangingChars="700"/>
        <w:jc w:val="left"/>
        <w:rPr>
          <w:rFonts w:asciiTheme="minorEastAsia" w:hAnsiTheme="minorEastAsia" w:eastAsiaTheme="minorEastAsia" w:cstheme="minorEastAsia"/>
          <w:bCs/>
          <w:color w:val="auto"/>
          <w:kern w:val="0"/>
          <w:sz w:val="24"/>
          <w:szCs w:val="22"/>
        </w:rPr>
      </w:pPr>
      <w:bookmarkStart w:id="122" w:name="_Toc267301295"/>
      <w:r>
        <w:rPr>
          <w:rFonts w:hint="eastAsia" w:asciiTheme="minorEastAsia" w:hAnsiTheme="minorEastAsia" w:eastAsiaTheme="minorEastAsia" w:cstheme="minorEastAsia"/>
          <w:bCs/>
          <w:color w:val="auto"/>
          <w:kern w:val="0"/>
          <w:sz w:val="24"/>
          <w:szCs w:val="22"/>
        </w:rPr>
        <w:t>一、项目名称：见投标人须知附表</w:t>
      </w:r>
    </w:p>
    <w:p>
      <w:pPr>
        <w:spacing w:line="360" w:lineRule="auto"/>
        <w:ind w:left="1680" w:hanging="1680" w:hangingChars="700"/>
        <w:jc w:val="left"/>
        <w:rPr>
          <w:rFonts w:asciiTheme="minorEastAsia" w:hAnsiTheme="minorEastAsia" w:eastAsiaTheme="minorEastAsia" w:cstheme="minorEastAsia"/>
          <w:bCs/>
          <w:color w:val="auto"/>
          <w:kern w:val="0"/>
          <w:sz w:val="24"/>
          <w:szCs w:val="22"/>
        </w:rPr>
      </w:pPr>
      <w:r>
        <w:rPr>
          <w:rFonts w:hint="eastAsia" w:asciiTheme="minorEastAsia" w:hAnsiTheme="minorEastAsia" w:eastAsiaTheme="minorEastAsia" w:cstheme="minorEastAsia"/>
          <w:bCs/>
          <w:color w:val="auto"/>
          <w:kern w:val="0"/>
          <w:sz w:val="24"/>
          <w:szCs w:val="22"/>
        </w:rPr>
        <w:t>二、</w:t>
      </w:r>
      <w:r>
        <w:rPr>
          <w:rFonts w:hint="eastAsia" w:asciiTheme="minorEastAsia" w:hAnsiTheme="minorEastAsia" w:eastAsiaTheme="minorEastAsia" w:cstheme="minorEastAsia"/>
          <w:bCs/>
          <w:color w:val="auto"/>
          <w:kern w:val="0"/>
          <w:sz w:val="24"/>
          <w:szCs w:val="22"/>
          <w:lang w:val="en-US" w:eastAsia="zh-CN"/>
        </w:rPr>
        <w:t>磋商</w:t>
      </w:r>
      <w:r>
        <w:rPr>
          <w:rFonts w:hint="eastAsia" w:asciiTheme="minorEastAsia" w:hAnsiTheme="minorEastAsia" w:eastAsiaTheme="minorEastAsia" w:cstheme="minorEastAsia"/>
          <w:bCs/>
          <w:color w:val="auto"/>
          <w:kern w:val="0"/>
          <w:sz w:val="24"/>
          <w:szCs w:val="22"/>
        </w:rPr>
        <w:t>编号：见投标人须知附表</w:t>
      </w:r>
    </w:p>
    <w:p>
      <w:pPr>
        <w:spacing w:line="360" w:lineRule="auto"/>
        <w:ind w:left="1680" w:hanging="1680" w:hangingChars="700"/>
        <w:jc w:val="left"/>
        <w:rPr>
          <w:rFonts w:asciiTheme="minorEastAsia" w:hAnsiTheme="minorEastAsia" w:eastAsiaTheme="minorEastAsia" w:cstheme="minorEastAsia"/>
          <w:bCs/>
          <w:color w:val="auto"/>
          <w:kern w:val="0"/>
          <w:sz w:val="24"/>
          <w:szCs w:val="22"/>
        </w:rPr>
      </w:pPr>
      <w:r>
        <w:rPr>
          <w:rFonts w:hint="eastAsia" w:asciiTheme="minorEastAsia" w:hAnsiTheme="minorEastAsia" w:eastAsiaTheme="minorEastAsia" w:cstheme="minorEastAsia"/>
          <w:bCs/>
          <w:color w:val="auto"/>
          <w:kern w:val="0"/>
          <w:sz w:val="24"/>
          <w:szCs w:val="22"/>
        </w:rPr>
        <w:t>三、最高投标限价：见投标人须知附表</w:t>
      </w:r>
    </w:p>
    <w:p>
      <w:pPr>
        <w:spacing w:line="360" w:lineRule="auto"/>
        <w:ind w:left="1680" w:hanging="1680" w:hangingChars="700"/>
        <w:jc w:val="left"/>
        <w:rPr>
          <w:rFonts w:asciiTheme="minorEastAsia" w:hAnsiTheme="minorEastAsia" w:eastAsiaTheme="minorEastAsia" w:cstheme="minorEastAsia"/>
          <w:bCs/>
          <w:color w:val="auto"/>
          <w:kern w:val="0"/>
          <w:sz w:val="24"/>
          <w:szCs w:val="22"/>
        </w:rPr>
      </w:pPr>
      <w:r>
        <w:rPr>
          <w:rFonts w:hint="eastAsia" w:asciiTheme="minorEastAsia" w:hAnsiTheme="minorEastAsia" w:eastAsiaTheme="minorEastAsia" w:cstheme="minorEastAsia"/>
          <w:bCs/>
          <w:color w:val="auto"/>
          <w:kern w:val="0"/>
          <w:sz w:val="24"/>
          <w:szCs w:val="22"/>
        </w:rPr>
        <w:t>四、质量要求：见投标人须知附表</w:t>
      </w:r>
    </w:p>
    <w:p>
      <w:pPr>
        <w:spacing w:line="360" w:lineRule="auto"/>
        <w:ind w:left="1680" w:hanging="1680" w:hangingChars="700"/>
        <w:jc w:val="left"/>
        <w:rPr>
          <w:rFonts w:asciiTheme="minorEastAsia" w:hAnsiTheme="minorEastAsia" w:eastAsiaTheme="minorEastAsia" w:cstheme="minorEastAsia"/>
          <w:bCs/>
          <w:color w:val="auto"/>
          <w:kern w:val="0"/>
          <w:sz w:val="24"/>
          <w:szCs w:val="22"/>
        </w:rPr>
      </w:pPr>
      <w:r>
        <w:rPr>
          <w:rFonts w:hint="eastAsia" w:asciiTheme="minorEastAsia" w:hAnsiTheme="minorEastAsia" w:eastAsiaTheme="minorEastAsia" w:cstheme="minorEastAsia"/>
          <w:bCs/>
          <w:color w:val="auto"/>
          <w:kern w:val="0"/>
          <w:sz w:val="24"/>
          <w:szCs w:val="22"/>
        </w:rPr>
        <w:t>五、工期：见投标人须知附表</w:t>
      </w:r>
    </w:p>
    <w:p>
      <w:pPr>
        <w:spacing w:line="360" w:lineRule="auto"/>
        <w:ind w:firstLine="480" w:firstLineChars="200"/>
        <w:rPr>
          <w:rFonts w:asciiTheme="minorEastAsia" w:hAnsiTheme="minorEastAsia" w:eastAsiaTheme="minorEastAsia" w:cstheme="minorEastAsia"/>
          <w:snapToGrid w:val="0"/>
          <w:color w:val="auto"/>
          <w:sz w:val="24"/>
        </w:rPr>
      </w:pPr>
      <w:r>
        <w:rPr>
          <w:rFonts w:hint="eastAsia" w:asciiTheme="minorEastAsia" w:hAnsiTheme="minorEastAsia" w:eastAsiaTheme="minorEastAsia" w:cstheme="minorEastAsia"/>
          <w:snapToGrid w:val="0"/>
          <w:color w:val="auto"/>
          <w:sz w:val="24"/>
          <w:lang w:val="en-US" w:eastAsia="zh-CN"/>
        </w:rPr>
        <w:t>磋商</w:t>
      </w:r>
      <w:r>
        <w:rPr>
          <w:rFonts w:hint="eastAsia" w:asciiTheme="minorEastAsia" w:hAnsiTheme="minorEastAsia" w:eastAsiaTheme="minorEastAsia" w:cstheme="minorEastAsia"/>
          <w:snapToGrid w:val="0"/>
          <w:color w:val="auto"/>
          <w:sz w:val="24"/>
          <w:lang w:val="zh-CN"/>
        </w:rPr>
        <w:t>范围：本工程范围内的磋商文件及工程量清单，磋商文件补充范围内的全部施工内容（包括</w:t>
      </w:r>
      <w:r>
        <w:rPr>
          <w:rFonts w:hint="eastAsia" w:asciiTheme="minorEastAsia" w:hAnsiTheme="minorEastAsia" w:eastAsiaTheme="minorEastAsia" w:cstheme="minorEastAsia"/>
          <w:snapToGrid w:val="0"/>
          <w:color w:val="auto"/>
          <w:sz w:val="24"/>
          <w:lang w:val="en-US" w:eastAsia="zh-CN"/>
        </w:rPr>
        <w:t>磋商</w:t>
      </w:r>
      <w:r>
        <w:rPr>
          <w:rFonts w:hint="eastAsia" w:asciiTheme="minorEastAsia" w:hAnsiTheme="minorEastAsia" w:eastAsiaTheme="minorEastAsia" w:cstheme="minorEastAsia"/>
          <w:snapToGrid w:val="0"/>
          <w:color w:val="auto"/>
          <w:sz w:val="24"/>
          <w:lang w:val="zh-CN"/>
        </w:rPr>
        <w:t>答疑等内容）。</w:t>
      </w:r>
    </w:p>
    <w:p>
      <w:pPr>
        <w:spacing w:line="360" w:lineRule="auto"/>
        <w:rPr>
          <w:rFonts w:asciiTheme="minorEastAsia" w:hAnsiTheme="minorEastAsia" w:eastAsiaTheme="minorEastAsia" w:cstheme="minorEastAsia"/>
          <w:snapToGrid w:val="0"/>
          <w:color w:val="auto"/>
          <w:sz w:val="24"/>
          <w:szCs w:val="22"/>
        </w:rPr>
      </w:pPr>
      <w:r>
        <w:rPr>
          <w:rFonts w:hint="eastAsia" w:asciiTheme="minorEastAsia" w:hAnsiTheme="minorEastAsia" w:eastAsiaTheme="minorEastAsia" w:cstheme="minorEastAsia"/>
          <w:snapToGrid w:val="0"/>
          <w:color w:val="auto"/>
          <w:sz w:val="24"/>
          <w:szCs w:val="22"/>
        </w:rPr>
        <w:t>六、 技术要求内容：(详见工程量清单)</w:t>
      </w:r>
    </w:p>
    <w:p>
      <w:pPr>
        <w:pStyle w:val="3"/>
        <w:numPr>
          <w:ilvl w:val="0"/>
          <w:numId w:val="0"/>
        </w:numPr>
        <w:spacing w:line="360" w:lineRule="auto"/>
        <w:ind w:left="360"/>
        <w:rPr>
          <w:rFonts w:asciiTheme="minorEastAsia" w:hAnsiTheme="minorEastAsia" w:eastAsiaTheme="minorEastAsia" w:cstheme="minorEastAsia"/>
          <w:color w:val="auto"/>
          <w:sz w:val="24"/>
          <w:szCs w:val="24"/>
        </w:rPr>
      </w:pPr>
      <w:bookmarkStart w:id="123" w:name="_Toc349637935"/>
      <w:bookmarkStart w:id="124" w:name="_Toc349573136"/>
      <w:r>
        <w:rPr>
          <w:rFonts w:hint="eastAsia" w:asciiTheme="minorEastAsia" w:hAnsiTheme="minorEastAsia" w:eastAsiaTheme="minorEastAsia" w:cstheme="minorEastAsia"/>
          <w:color w:val="auto"/>
          <w:sz w:val="24"/>
          <w:szCs w:val="24"/>
        </w:rPr>
        <w:t>1、本工程完成必须符合国家和地方现行相关质量评定标准和施工技术规范、施工图设计要求。</w:t>
      </w:r>
    </w:p>
    <w:p>
      <w:pPr>
        <w:pStyle w:val="3"/>
        <w:numPr>
          <w:ilvl w:val="0"/>
          <w:numId w:val="0"/>
        </w:numPr>
        <w:spacing w:line="360" w:lineRule="auto"/>
        <w:ind w:left="36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2、本工程的材料检验和质量、工艺试验按国家、地方现行相关规定执行。</w:t>
      </w:r>
    </w:p>
    <w:p>
      <w:pPr>
        <w:spacing w:line="360" w:lineRule="auto"/>
        <w:rPr>
          <w:rFonts w:asciiTheme="minorEastAsia" w:hAnsiTheme="minorEastAsia" w:eastAsiaTheme="minorEastAsia" w:cstheme="minorEastAsia"/>
          <w:b/>
          <w:bCs/>
          <w:snapToGrid w:val="0"/>
          <w:color w:val="auto"/>
          <w:sz w:val="24"/>
          <w:szCs w:val="22"/>
          <w:lang w:val="zh-CN"/>
        </w:rPr>
      </w:pPr>
      <w:r>
        <w:rPr>
          <w:rFonts w:hint="eastAsia" w:asciiTheme="minorEastAsia" w:hAnsiTheme="minorEastAsia" w:eastAsiaTheme="minorEastAsia" w:cstheme="minorEastAsia"/>
          <w:b/>
          <w:bCs/>
          <w:snapToGrid w:val="0"/>
          <w:color w:val="auto"/>
          <w:sz w:val="24"/>
          <w:szCs w:val="22"/>
        </w:rPr>
        <w:t>备注：若</w:t>
      </w:r>
      <w:r>
        <w:rPr>
          <w:rFonts w:hint="eastAsia" w:asciiTheme="minorEastAsia" w:hAnsiTheme="minorEastAsia" w:eastAsiaTheme="minorEastAsia" w:cstheme="minorEastAsia"/>
          <w:b/>
          <w:bCs/>
          <w:snapToGrid w:val="0"/>
          <w:color w:val="auto"/>
          <w:sz w:val="24"/>
          <w:szCs w:val="22"/>
          <w:lang w:eastAsia="zh-CN"/>
        </w:rPr>
        <w:t>磋商文件</w:t>
      </w:r>
      <w:r>
        <w:rPr>
          <w:rFonts w:hint="eastAsia" w:asciiTheme="minorEastAsia" w:hAnsiTheme="minorEastAsia" w:eastAsiaTheme="minorEastAsia" w:cstheme="minorEastAsia"/>
          <w:b/>
          <w:bCs/>
          <w:snapToGrid w:val="0"/>
          <w:color w:val="auto"/>
          <w:sz w:val="24"/>
          <w:szCs w:val="22"/>
        </w:rPr>
        <w:t>中附表表格格式与工程量清单中表格格式不一致的，以工程量清单表格格式为主。</w:t>
      </w:r>
    </w:p>
    <w:p>
      <w:pPr>
        <w:spacing w:line="360" w:lineRule="auto"/>
        <w:ind w:firstLine="480" w:firstLineChars="200"/>
        <w:rPr>
          <w:rFonts w:asciiTheme="minorEastAsia" w:hAnsiTheme="minorEastAsia" w:eastAsiaTheme="minorEastAsia" w:cstheme="minorEastAsia"/>
          <w:snapToGrid w:val="0"/>
          <w:color w:val="auto"/>
          <w:sz w:val="24"/>
          <w:szCs w:val="22"/>
          <w:lang w:val="zh-CN"/>
        </w:rPr>
      </w:pPr>
    </w:p>
    <w:p>
      <w:pPr>
        <w:pStyle w:val="2"/>
        <w:rPr>
          <w:rFonts w:asciiTheme="minorEastAsia" w:hAnsiTheme="minorEastAsia" w:eastAsiaTheme="minorEastAsia" w:cstheme="minorEastAsia"/>
          <w:snapToGrid w:val="0"/>
          <w:color w:val="auto"/>
          <w:sz w:val="24"/>
          <w:szCs w:val="22"/>
          <w:lang w:val="zh-CN"/>
        </w:rPr>
      </w:pPr>
    </w:p>
    <w:p>
      <w:pPr>
        <w:pStyle w:val="2"/>
        <w:rPr>
          <w:rFonts w:asciiTheme="minorEastAsia" w:hAnsiTheme="minorEastAsia" w:eastAsiaTheme="minorEastAsia" w:cstheme="minorEastAsia"/>
          <w:snapToGrid w:val="0"/>
          <w:color w:val="auto"/>
          <w:sz w:val="24"/>
          <w:szCs w:val="22"/>
          <w:lang w:val="zh-CN"/>
        </w:rPr>
      </w:pPr>
    </w:p>
    <w:p>
      <w:pPr>
        <w:pStyle w:val="2"/>
        <w:rPr>
          <w:rFonts w:asciiTheme="minorEastAsia" w:hAnsiTheme="minorEastAsia" w:eastAsiaTheme="minorEastAsia" w:cstheme="minorEastAsia"/>
          <w:snapToGrid w:val="0"/>
          <w:color w:val="auto"/>
          <w:sz w:val="24"/>
          <w:szCs w:val="22"/>
          <w:lang w:val="zh-CN"/>
        </w:rPr>
      </w:pPr>
    </w:p>
    <w:p>
      <w:pPr>
        <w:pStyle w:val="2"/>
        <w:rPr>
          <w:rFonts w:asciiTheme="minorEastAsia" w:hAnsiTheme="minorEastAsia" w:eastAsiaTheme="minorEastAsia" w:cstheme="minorEastAsia"/>
          <w:snapToGrid w:val="0"/>
          <w:color w:val="auto"/>
          <w:sz w:val="24"/>
          <w:szCs w:val="22"/>
          <w:lang w:val="zh-CN"/>
        </w:rPr>
      </w:pPr>
    </w:p>
    <w:p>
      <w:pPr>
        <w:pStyle w:val="2"/>
        <w:rPr>
          <w:rFonts w:asciiTheme="minorEastAsia" w:hAnsiTheme="minorEastAsia" w:eastAsiaTheme="minorEastAsia" w:cstheme="minorEastAsia"/>
          <w:snapToGrid w:val="0"/>
          <w:color w:val="auto"/>
          <w:sz w:val="24"/>
          <w:szCs w:val="22"/>
          <w:lang w:val="zh-CN"/>
        </w:rPr>
      </w:pPr>
    </w:p>
    <w:p>
      <w:pPr>
        <w:pStyle w:val="2"/>
        <w:rPr>
          <w:rFonts w:asciiTheme="minorEastAsia" w:hAnsiTheme="minorEastAsia" w:eastAsiaTheme="minorEastAsia" w:cstheme="minorEastAsia"/>
          <w:snapToGrid w:val="0"/>
          <w:color w:val="auto"/>
          <w:sz w:val="24"/>
          <w:szCs w:val="22"/>
          <w:lang w:val="zh-CN"/>
        </w:rPr>
      </w:pPr>
    </w:p>
    <w:p>
      <w:pPr>
        <w:pStyle w:val="2"/>
        <w:rPr>
          <w:rFonts w:asciiTheme="minorEastAsia" w:hAnsiTheme="minorEastAsia" w:eastAsiaTheme="minorEastAsia" w:cstheme="minorEastAsia"/>
          <w:snapToGrid w:val="0"/>
          <w:color w:val="auto"/>
          <w:sz w:val="24"/>
          <w:szCs w:val="22"/>
          <w:lang w:val="zh-CN"/>
        </w:rPr>
      </w:pPr>
    </w:p>
    <w:p>
      <w:pPr>
        <w:pStyle w:val="2"/>
        <w:rPr>
          <w:rFonts w:asciiTheme="minorEastAsia" w:hAnsiTheme="minorEastAsia" w:eastAsiaTheme="minorEastAsia" w:cstheme="minorEastAsia"/>
          <w:snapToGrid w:val="0"/>
          <w:color w:val="auto"/>
          <w:sz w:val="24"/>
          <w:szCs w:val="22"/>
          <w:lang w:val="zh-CN"/>
        </w:rPr>
      </w:pPr>
    </w:p>
    <w:bookmarkEnd w:id="122"/>
    <w:bookmarkEnd w:id="123"/>
    <w:bookmarkEnd w:id="124"/>
    <w:p>
      <w:pPr>
        <w:pStyle w:val="3"/>
        <w:numPr>
          <w:ilvl w:val="0"/>
          <w:numId w:val="0"/>
        </w:numPr>
        <w:spacing w:line="360" w:lineRule="auto"/>
        <w:jc w:val="center"/>
        <w:rPr>
          <w:rFonts w:asciiTheme="minorEastAsia" w:hAnsiTheme="minorEastAsia" w:eastAsiaTheme="minorEastAsia" w:cstheme="minorEastAsia"/>
          <w:color w:val="auto"/>
          <w:sz w:val="32"/>
          <w:szCs w:val="32"/>
        </w:rPr>
      </w:pPr>
      <w:bookmarkStart w:id="125" w:name="_Toc527642960"/>
      <w:bookmarkStart w:id="126" w:name="_Toc507690271"/>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五</w:t>
      </w:r>
      <w:r>
        <w:rPr>
          <w:rFonts w:hint="eastAsia" w:asciiTheme="minorEastAsia" w:hAnsiTheme="minorEastAsia" w:eastAsiaTheme="minorEastAsia" w:cstheme="minorEastAsia"/>
          <w:color w:val="auto"/>
          <w:sz w:val="32"/>
          <w:szCs w:val="32"/>
        </w:rPr>
        <w:t xml:space="preserve">部分  </w:t>
      </w:r>
      <w:bookmarkEnd w:id="125"/>
      <w:bookmarkEnd w:id="126"/>
      <w:r>
        <w:rPr>
          <w:rFonts w:hint="eastAsia" w:asciiTheme="minorEastAsia" w:hAnsiTheme="minorEastAsia" w:eastAsiaTheme="minorEastAsia" w:cstheme="minorEastAsia"/>
          <w:color w:val="auto"/>
          <w:sz w:val="32"/>
          <w:szCs w:val="32"/>
        </w:rPr>
        <w:t xml:space="preserve"> </w:t>
      </w:r>
      <w:r>
        <w:rPr>
          <w:rFonts w:hint="eastAsia" w:asciiTheme="minorEastAsia" w:hAnsiTheme="minorEastAsia" w:eastAsiaTheme="minorEastAsia" w:cstheme="minorEastAsia"/>
          <w:bCs/>
          <w:color w:val="auto"/>
          <w:sz w:val="32"/>
          <w:szCs w:val="32"/>
        </w:rPr>
        <w:t>合同条款及格式</w:t>
      </w:r>
    </w:p>
    <w:p>
      <w:pPr>
        <w:pStyle w:val="7"/>
        <w:spacing w:beforeLines="50" w:afterLines="50" w:line="360" w:lineRule="auto"/>
        <w:ind w:firstLine="482"/>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合同通用条款</w:t>
      </w:r>
    </w:p>
    <w:p>
      <w:pPr>
        <w:pStyle w:val="7"/>
        <w:spacing w:beforeLines="50" w:afterLines="50"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 本工程通用条款采用建设工程施工合同示范文本（GF-2017-0201）中的通用条款。</w:t>
      </w:r>
    </w:p>
    <w:p>
      <w:pPr>
        <w:pStyle w:val="7"/>
        <w:spacing w:beforeLines="50" w:afterLines="50" w:line="360" w:lineRule="auto"/>
        <w:ind w:firstLine="482"/>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合同专用条款（具体以签订的合同为准）</w:t>
      </w:r>
    </w:p>
    <w:p>
      <w:pPr>
        <w:pStyle w:val="30"/>
        <w:spacing w:line="360" w:lineRule="auto"/>
        <w:ind w:right="0"/>
        <w:rPr>
          <w:rFonts w:asciiTheme="minorEastAsia" w:hAnsiTheme="minorEastAsia" w:eastAsiaTheme="minorEastAsia" w:cstheme="minorEastAsia"/>
          <w:b/>
          <w:bCs/>
          <w:color w:val="auto"/>
        </w:rPr>
      </w:pPr>
      <w:bookmarkStart w:id="127" w:name="_Toc351203633"/>
      <w:r>
        <w:rPr>
          <w:rFonts w:hint="eastAsia" w:asciiTheme="minorEastAsia" w:hAnsiTheme="minorEastAsia" w:eastAsiaTheme="minorEastAsia" w:cstheme="minorEastAsia"/>
          <w:b/>
          <w:bCs/>
          <w:color w:val="auto"/>
        </w:rPr>
        <w:t>1</w:t>
      </w:r>
      <w:bookmarkStart w:id="128" w:name="_Toc296503156"/>
      <w:bookmarkStart w:id="129" w:name="_Toc292559866"/>
      <w:bookmarkStart w:id="130" w:name="_Toc296347155"/>
      <w:bookmarkStart w:id="131" w:name="_Toc296891196"/>
      <w:bookmarkStart w:id="132" w:name="_Toc296346657"/>
      <w:bookmarkStart w:id="133" w:name="_Toc296890984"/>
      <w:bookmarkStart w:id="134" w:name="_Toc296944495"/>
      <w:bookmarkStart w:id="135" w:name="_Toc297048342"/>
      <w:bookmarkStart w:id="136" w:name="_Toc292559361"/>
      <w:bookmarkStart w:id="137" w:name="_Toc297120456"/>
      <w:r>
        <w:rPr>
          <w:rFonts w:hint="eastAsia" w:asciiTheme="minorEastAsia" w:hAnsiTheme="minorEastAsia" w:eastAsiaTheme="minorEastAsia" w:cstheme="minorEastAsia"/>
          <w:b/>
          <w:bCs/>
          <w:color w:val="auto"/>
        </w:rPr>
        <w:t>. 一般约定</w:t>
      </w:r>
      <w:bookmarkEnd w:id="127"/>
    </w:p>
    <w:bookmarkEnd w:id="128"/>
    <w:bookmarkEnd w:id="129"/>
    <w:bookmarkEnd w:id="130"/>
    <w:bookmarkEnd w:id="131"/>
    <w:bookmarkEnd w:id="132"/>
    <w:bookmarkEnd w:id="133"/>
    <w:bookmarkEnd w:id="134"/>
    <w:bookmarkEnd w:id="135"/>
    <w:bookmarkEnd w:id="136"/>
    <w:bookmarkEnd w:id="137"/>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1.1 词语定义</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1.1.1合同</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1.1.1 其他合同文件包括：</w:t>
      </w:r>
      <w:r>
        <w:rPr>
          <w:rFonts w:hint="eastAsia" w:asciiTheme="minorEastAsia" w:hAnsiTheme="minorEastAsia" w:eastAsiaTheme="minorEastAsia" w:cstheme="minorEastAsia"/>
          <w:color w:val="auto"/>
          <w:u w:val="single"/>
        </w:rPr>
        <w:t xml:space="preserve"> 其它有关本工程的洽商、变更等书面协议。                       </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1.1.2 合同当事人及其他相关方</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1.1.2.4监理人：</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名    称：</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资质类别和等级：</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联系电话：</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电子信箱：</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通信地址：</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1.1.2.5 设计人：</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名    称：</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资质类别和等级：</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联系电话：</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电子信箱：</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通信地址：</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1.1.3 工程和设备</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1.1.3.7 作为施工现场组成部分的其他场所包括：</w:t>
      </w:r>
      <w:r>
        <w:rPr>
          <w:rFonts w:hint="eastAsia" w:asciiTheme="minorEastAsia" w:hAnsiTheme="minorEastAsia" w:eastAsiaTheme="minorEastAsia" w:cstheme="minorEastAsia"/>
          <w:color w:val="auto"/>
          <w:u w:val="single"/>
        </w:rPr>
        <w:t xml:space="preserve">              </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1.1.3.9 永久占地包括：</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1.1.3.10 临时占地包括：</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 xml:space="preserve">1.3法律 </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适用于合同的其他规范性文件：</w:t>
      </w:r>
      <w:r>
        <w:rPr>
          <w:rFonts w:hint="eastAsia" w:asciiTheme="minorEastAsia" w:hAnsiTheme="minorEastAsia" w:eastAsiaTheme="minorEastAsia" w:cstheme="minorEastAsia"/>
          <w:color w:val="auto"/>
          <w:u w:val="single"/>
        </w:rPr>
        <w:t xml:space="preserve">          /            </w:t>
      </w:r>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1.4 标准和规范</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1.4.1适用于工程的标准规范包括：</w:t>
      </w:r>
      <w:r>
        <w:rPr>
          <w:rFonts w:hint="eastAsia" w:ascii="宋体" w:hAnsi="宋体"/>
          <w:color w:val="auto"/>
          <w:u w:val="single"/>
        </w:rPr>
        <w:t>本工程项目的施工、材料及设备</w:t>
      </w:r>
      <w:r>
        <w:rPr>
          <w:rFonts w:hint="eastAsia" w:ascii="宋体" w:hAnsi="宋体"/>
          <w:color w:val="auto"/>
          <w:u w:val="single"/>
          <w:lang w:val="en-US" w:eastAsia="zh-CN"/>
        </w:rPr>
        <w:t>磋商</w:t>
      </w:r>
      <w:r>
        <w:rPr>
          <w:rFonts w:hint="eastAsia" w:ascii="宋体" w:hAnsi="宋体"/>
          <w:color w:val="auto"/>
          <w:u w:val="single"/>
        </w:rPr>
        <w:t>必须达到现行中华人民共和国及省、自治区、直辖市或行业的工程建设标准、规范的要求，如下述标准及规范有新出版者，以新出版者为准</w:t>
      </w:r>
      <w:r>
        <w:rPr>
          <w:rFonts w:ascii="宋体" w:hAnsi="宋体"/>
          <w:color w:val="auto"/>
        </w:rPr>
        <w:t>。</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1.4.2 发包人提供国外标准、规范的名称：</w:t>
      </w:r>
      <w:r>
        <w:rPr>
          <w:rFonts w:hint="eastAsia" w:asciiTheme="minorEastAsia" w:hAnsiTheme="minorEastAsia" w:eastAsiaTheme="minorEastAsia" w:cstheme="minorEastAsia"/>
          <w:color w:val="auto"/>
          <w:u w:val="single"/>
        </w:rPr>
        <w:t xml:space="preserve">     /      </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发包人提供国外标准、规范的份数：</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发包人提供国外标准、规范的名称：</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left="0"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1.4.3发包人对工程的技术标准和功能要求的特殊要求：</w:t>
      </w:r>
      <w:r>
        <w:rPr>
          <w:rFonts w:hint="eastAsia" w:asciiTheme="minorEastAsia" w:hAnsiTheme="minorEastAsia" w:eastAsiaTheme="minorEastAsia" w:cstheme="minorEastAsia"/>
          <w:color w:val="auto"/>
          <w:u w:val="single"/>
        </w:rPr>
        <w:t xml:space="preserve">   /    </w:t>
      </w:r>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1.5 合同文件的优先顺序</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合同文件组成及优先顺序为：</w:t>
      </w:r>
      <w:r>
        <w:rPr>
          <w:rFonts w:hint="eastAsia" w:asciiTheme="minorEastAsia" w:hAnsiTheme="minorEastAsia" w:eastAsiaTheme="minorEastAsia" w:cstheme="minorEastAsia"/>
          <w:color w:val="auto"/>
          <w:u w:val="single"/>
        </w:rPr>
        <w:t>1、本合同协议书；2、中标通知书；3、商务标及其商务标附录；4、专用条款及其附件；5、通用合同条款；6、技术标准和要求；7、图纸 8、已标价的工程量清单；9、其他合同文件。</w:t>
      </w:r>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1.6 图纸和承包人文件</w:t>
      </w:r>
      <w:r>
        <w:rPr>
          <w:rFonts w:hint="eastAsia" w:asciiTheme="minorEastAsia" w:hAnsiTheme="minorEastAsia" w:eastAsiaTheme="minorEastAsia" w:cstheme="minorEastAsia"/>
          <w:b/>
          <w:color w:val="auto"/>
        </w:rPr>
        <w:tab/>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1.6.1 图纸的提供</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发包人向承包人提供图纸的期限：</w:t>
      </w:r>
      <w:r>
        <w:rPr>
          <w:rFonts w:hint="eastAsia" w:asciiTheme="minorEastAsia" w:hAnsiTheme="minorEastAsia" w:eastAsiaTheme="minorEastAsia" w:cstheme="minorEastAsia"/>
          <w:color w:val="auto"/>
          <w:u w:val="single"/>
        </w:rPr>
        <w:t xml:space="preserve"> /</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发包人向承包人提供图纸的数量：</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发包人向承包人提供图纸的内容：</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1.6.4 承包人文件</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 xml:space="preserve">需要由承包人提供的文件，包括：   </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承包人提供的文件的期限为：</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承包人提供的文件的数量为：</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承包人提供的文件的形式为：</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发包人审批承包人文件的期限：</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1.6.5 现场图纸准备</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关于现场图纸准备的约定：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1.7 联络</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1.7.1发包人和承包人应当在</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天内将与合同有关的通知、批准、证明、证书、指示、指令、要求、请求、同意、意见、确定和决定等书面函件送达对方当事人。</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1.7.2 发包人接收文件的地点：</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发包人指定的接收人为：</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承包人接收文件的地点：</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承包人指定的接收人为：</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监理人接收文件的地点：</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监理人指定的接收人为：</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1.10 交通运输</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bookmarkStart w:id="138" w:name="_Toc312677986"/>
      <w:bookmarkStart w:id="139" w:name="_Toc318581155"/>
      <w:bookmarkStart w:id="140" w:name="_Toc300934943"/>
      <w:bookmarkStart w:id="141" w:name="_Toc303539100"/>
      <w:bookmarkStart w:id="142" w:name="_Toc304295521"/>
      <w:r>
        <w:rPr>
          <w:rFonts w:hint="eastAsia" w:asciiTheme="minorEastAsia" w:hAnsiTheme="minorEastAsia" w:eastAsiaTheme="minorEastAsia" w:cstheme="minorEastAsia"/>
          <w:color w:val="auto"/>
        </w:rPr>
        <w:t>.10.1 出入现场的权利</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关于出入现场的权利的约定：</w:t>
      </w:r>
      <w:r>
        <w:rPr>
          <w:rFonts w:hint="eastAsia" w:asciiTheme="minorEastAsia" w:hAnsiTheme="minorEastAsia" w:eastAsiaTheme="minorEastAsia" w:cstheme="minorEastAsia"/>
          <w:color w:val="auto"/>
          <w:u w:val="single"/>
        </w:rPr>
        <w:t xml:space="preserve">                 /           。</w:t>
      </w:r>
    </w:p>
    <w:bookmarkEnd w:id="138"/>
    <w:bookmarkEnd w:id="139"/>
    <w:bookmarkEnd w:id="140"/>
    <w:bookmarkEnd w:id="141"/>
    <w:bookmarkEnd w:id="142"/>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bookmarkStart w:id="143" w:name="_Toc312677987"/>
      <w:bookmarkStart w:id="144" w:name="_Toc318581156"/>
      <w:bookmarkStart w:id="145" w:name="_Toc303539101"/>
      <w:bookmarkStart w:id="146" w:name="_Toc300934944"/>
      <w:bookmarkStart w:id="147" w:name="_Toc304295522"/>
      <w:r>
        <w:rPr>
          <w:rFonts w:hint="eastAsia" w:asciiTheme="minorEastAsia" w:hAnsiTheme="minorEastAsia" w:eastAsiaTheme="minorEastAsia" w:cstheme="minorEastAsia"/>
          <w:color w:val="auto"/>
        </w:rPr>
        <w:t>.10.3 场内交通</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关于场外交通和场内交通的边界的约定：</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关于发包人向承包人免费提供满足工程施工需要的场内道路和交通设施的约定：</w:t>
      </w:r>
      <w:bookmarkEnd w:id="143"/>
      <w:bookmarkEnd w:id="144"/>
      <w:bookmarkEnd w:id="145"/>
      <w:bookmarkEnd w:id="146"/>
      <w:bookmarkEnd w:id="147"/>
      <w:bookmarkStart w:id="148" w:name="_Toc318581157"/>
      <w:r>
        <w:rPr>
          <w:rFonts w:hint="eastAsia" w:asciiTheme="minorEastAsia" w:hAnsiTheme="minorEastAsia" w:eastAsiaTheme="minorEastAsia" w:cstheme="minorEastAsia"/>
          <w:color w:val="auto"/>
          <w:u w:val="single"/>
        </w:rPr>
        <w:t xml:space="preserve">    /                 </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1.10.4超大件和超重件的运输</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运输超大件或超重件所需的道路和桥梁临时加固改造费用和其他有关费用由</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承担。</w:t>
      </w:r>
    </w:p>
    <w:bookmarkEnd w:id="148"/>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1.11 知识产权</w:t>
      </w:r>
    </w:p>
    <w:p>
      <w:pPr>
        <w:pStyle w:val="30"/>
        <w:spacing w:before="0" w:after="0" w:line="360" w:lineRule="auto"/>
        <w:ind w:left="0" w:right="0" w:firstLine="360" w:firstLineChars="1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1.11.1关于发包人提供给承包人的图纸、发包人为实施工程自行编制或委托编制的技术规范以及反映发包人关于合同要求或其他类似性质的文件的著作权的归属：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spacing w:line="360" w:lineRule="auto"/>
        <w:ind w:firstLine="360" w:firstLineChars="15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关于发包人提供的上述文件的使用限制的要求：</w:t>
      </w:r>
      <w:r>
        <w:rPr>
          <w:rFonts w:hint="eastAsia" w:asciiTheme="minorEastAsia" w:hAnsiTheme="minorEastAsia" w:eastAsiaTheme="minorEastAsia" w:cstheme="minorEastAsia"/>
          <w:color w:val="auto"/>
          <w:sz w:val="24"/>
          <w:u w:val="single"/>
        </w:rPr>
        <w:t xml:space="preserve">                               。</w:t>
      </w:r>
    </w:p>
    <w:p>
      <w:pPr>
        <w:spacing w:line="360" w:lineRule="auto"/>
        <w:ind w:firstLine="360" w:firstLineChars="15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1.11.2 关于承包人为实施工程所编制文件的著作权的归属：</w:t>
      </w:r>
      <w:r>
        <w:rPr>
          <w:rFonts w:hint="eastAsia" w:asciiTheme="minorEastAsia" w:hAnsiTheme="minorEastAsia" w:eastAsiaTheme="minorEastAsia" w:cstheme="minorEastAsia"/>
          <w:color w:val="auto"/>
          <w:sz w:val="24"/>
          <w:u w:val="single"/>
        </w:rPr>
        <w:t xml:space="preserve">                  。</w:t>
      </w:r>
    </w:p>
    <w:p>
      <w:pPr>
        <w:spacing w:line="360" w:lineRule="auto"/>
        <w:ind w:firstLine="360" w:firstLineChars="15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1.11.3关于承包人提供的上述文件的使用限制的要求：</w:t>
      </w:r>
      <w:r>
        <w:rPr>
          <w:rFonts w:hint="eastAsia" w:asciiTheme="minorEastAsia" w:hAnsiTheme="minorEastAsia" w:eastAsiaTheme="minorEastAsia" w:cstheme="minorEastAsia"/>
          <w:color w:val="auto"/>
          <w:sz w:val="24"/>
          <w:u w:val="single"/>
        </w:rPr>
        <w:t xml:space="preserve">                       。</w:t>
      </w:r>
    </w:p>
    <w:p>
      <w:pPr>
        <w:pStyle w:val="30"/>
        <w:spacing w:line="360" w:lineRule="auto"/>
        <w:ind w:left="0" w:right="0" w:firstLine="360" w:firstLineChars="1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1.11.4 承包人在施工过程中所采用的专利、专有技术、技术秘密的使用费的承担方式：</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1.13工程量清单错误的修正</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出现工程量清单错误时，是否调整合同价格：</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允许调整合同价格的工程量偏差范围：</w:t>
      </w:r>
      <w:r>
        <w:rPr>
          <w:rFonts w:hint="eastAsia" w:asciiTheme="minorEastAsia" w:hAnsiTheme="minorEastAsia" w:eastAsiaTheme="minorEastAsia" w:cstheme="minorEastAsia"/>
          <w:color w:val="auto"/>
          <w:u w:val="single"/>
        </w:rPr>
        <w:t xml:space="preserve">   ％</w:t>
      </w:r>
    </w:p>
    <w:p>
      <w:pPr>
        <w:pStyle w:val="30"/>
        <w:spacing w:line="360" w:lineRule="auto"/>
        <w:ind w:right="0"/>
        <w:rPr>
          <w:rFonts w:asciiTheme="minorEastAsia" w:hAnsiTheme="minorEastAsia" w:eastAsiaTheme="minorEastAsia" w:cstheme="minorEastAsia"/>
          <w:b/>
          <w:bCs/>
          <w:color w:val="auto"/>
        </w:rPr>
      </w:pPr>
      <w:bookmarkStart w:id="149" w:name="_Toc351203634"/>
      <w:r>
        <w:rPr>
          <w:rFonts w:hint="eastAsia" w:asciiTheme="minorEastAsia" w:hAnsiTheme="minorEastAsia" w:eastAsiaTheme="minorEastAsia" w:cstheme="minorEastAsia"/>
          <w:b/>
          <w:bCs/>
          <w:color w:val="auto"/>
        </w:rPr>
        <w:t>2</w:t>
      </w:r>
      <w:bookmarkStart w:id="150" w:name="_Toc296944496"/>
      <w:bookmarkStart w:id="151" w:name="_Toc296347156"/>
      <w:bookmarkStart w:id="152" w:name="_Toc297048343"/>
      <w:bookmarkStart w:id="153" w:name="_Toc292559362"/>
      <w:bookmarkStart w:id="154" w:name="_Toc292559867"/>
      <w:bookmarkStart w:id="155" w:name="_Toc296503157"/>
      <w:bookmarkStart w:id="156" w:name="_Toc296346658"/>
      <w:bookmarkStart w:id="157" w:name="_Toc296890985"/>
      <w:bookmarkStart w:id="158" w:name="_Toc296891197"/>
      <w:bookmarkStart w:id="159" w:name="_Toc297120457"/>
      <w:r>
        <w:rPr>
          <w:rFonts w:hint="eastAsia" w:asciiTheme="minorEastAsia" w:hAnsiTheme="minorEastAsia" w:eastAsiaTheme="minorEastAsia" w:cstheme="minorEastAsia"/>
          <w:b/>
          <w:bCs/>
          <w:color w:val="auto"/>
        </w:rPr>
        <w:t>. 发包人</w:t>
      </w:r>
      <w:bookmarkEnd w:id="149"/>
    </w:p>
    <w:bookmarkEnd w:id="150"/>
    <w:bookmarkEnd w:id="151"/>
    <w:bookmarkEnd w:id="152"/>
    <w:bookmarkEnd w:id="153"/>
    <w:bookmarkEnd w:id="154"/>
    <w:bookmarkEnd w:id="155"/>
    <w:bookmarkEnd w:id="156"/>
    <w:bookmarkEnd w:id="157"/>
    <w:bookmarkEnd w:id="158"/>
    <w:bookmarkEnd w:id="159"/>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2.2 发包人代表</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发包人代表：</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姓    名：</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身份证号：</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职    务：</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联系电话：</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电子信箱：</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通信地址：</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发包人对发包人代表的授权范围如下：</w:t>
      </w:r>
      <w:r>
        <w:rPr>
          <w:rFonts w:hint="eastAsia" w:asciiTheme="minorEastAsia" w:hAnsiTheme="minorEastAsia" w:eastAsiaTheme="minorEastAsia" w:cstheme="minorEastAsia"/>
          <w:color w:val="auto"/>
          <w:u w:val="single"/>
        </w:rPr>
        <w:t>1、协调各有关单位工作；2、工程进度与工程量的确认；3、督促并控制好工程进度、质量、投资。</w:t>
      </w:r>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2.4 施工现场、施工条件和基础资料的提供</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2.4.1 提供施工现场</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关于发包人移交施工现场的期限要求：</w:t>
      </w:r>
      <w:r>
        <w:rPr>
          <w:rFonts w:hint="eastAsia" w:asciiTheme="minorEastAsia" w:hAnsiTheme="minorEastAsia" w:eastAsiaTheme="minorEastAsia" w:cstheme="minorEastAsia"/>
          <w:color w:val="auto"/>
          <w:u w:val="single"/>
        </w:rPr>
        <w:t xml:space="preserve">开工前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2.4.2 提供施工条件</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关于发包人应负责提供施工所需要的条件，包括：</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2.5 资金来源证明及支付担保</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发包人提供资金来源证明的期限要求：</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发包人是否提供支付担保：</w:t>
      </w:r>
      <w:r>
        <w:rPr>
          <w:rFonts w:hint="eastAsia" w:asciiTheme="minorEastAsia" w:hAnsiTheme="minorEastAsia" w:eastAsiaTheme="minorEastAsia" w:cstheme="minorEastAsia"/>
          <w:color w:val="auto"/>
          <w:u w:val="single"/>
        </w:rPr>
        <w:t xml:space="preserve">    /  。</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发包人提供支付担保的形式：</w:t>
      </w:r>
      <w:r>
        <w:rPr>
          <w:rFonts w:hint="eastAsia" w:asciiTheme="minorEastAsia" w:hAnsiTheme="minorEastAsia" w:eastAsiaTheme="minorEastAsia" w:cstheme="minorEastAsia"/>
          <w:color w:val="auto"/>
          <w:u w:val="single"/>
        </w:rPr>
        <w:t>/</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b/>
          <w:bCs/>
          <w:color w:val="auto"/>
        </w:rPr>
      </w:pPr>
      <w:bookmarkStart w:id="160" w:name="_Toc351203635"/>
      <w:r>
        <w:rPr>
          <w:rFonts w:hint="eastAsia" w:asciiTheme="minorEastAsia" w:hAnsiTheme="minorEastAsia" w:eastAsiaTheme="minorEastAsia" w:cstheme="minorEastAsia"/>
          <w:b/>
          <w:bCs/>
          <w:color w:val="auto"/>
        </w:rPr>
        <w:t>3</w:t>
      </w:r>
      <w:bookmarkStart w:id="161" w:name="_Toc297120458"/>
      <w:bookmarkStart w:id="162" w:name="_Toc292559868"/>
      <w:bookmarkStart w:id="163" w:name="_Toc296944497"/>
      <w:bookmarkStart w:id="164" w:name="_Toc296503158"/>
      <w:bookmarkStart w:id="165" w:name="_Toc296890986"/>
      <w:bookmarkStart w:id="166" w:name="_Toc292559363"/>
      <w:bookmarkStart w:id="167" w:name="_Toc297048344"/>
      <w:bookmarkStart w:id="168" w:name="_Toc296347157"/>
      <w:bookmarkStart w:id="169" w:name="_Toc296346659"/>
      <w:bookmarkStart w:id="170" w:name="_Toc296891198"/>
      <w:r>
        <w:rPr>
          <w:rFonts w:hint="eastAsia" w:asciiTheme="minorEastAsia" w:hAnsiTheme="minorEastAsia" w:eastAsiaTheme="minorEastAsia" w:cstheme="minorEastAsia"/>
          <w:b/>
          <w:bCs/>
          <w:color w:val="auto"/>
        </w:rPr>
        <w:t>. 承包人</w:t>
      </w:r>
      <w:bookmarkEnd w:id="160"/>
    </w:p>
    <w:bookmarkEnd w:id="161"/>
    <w:bookmarkEnd w:id="162"/>
    <w:bookmarkEnd w:id="163"/>
    <w:bookmarkEnd w:id="164"/>
    <w:bookmarkEnd w:id="165"/>
    <w:bookmarkEnd w:id="166"/>
    <w:bookmarkEnd w:id="167"/>
    <w:bookmarkEnd w:id="168"/>
    <w:bookmarkEnd w:id="169"/>
    <w:bookmarkEnd w:id="170"/>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3.1 承包人的一般义务</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（9）承包人提交的竣工资料的内容：</w:t>
      </w:r>
      <w:r>
        <w:rPr>
          <w:rFonts w:hint="eastAsia" w:asciiTheme="minorEastAsia" w:hAnsiTheme="minorEastAsia" w:eastAsiaTheme="minorEastAsia" w:cstheme="minorEastAsia"/>
          <w:color w:val="auto"/>
          <w:u w:val="single"/>
        </w:rPr>
        <w:t xml:space="preserve">    /  。</w:t>
      </w:r>
    </w:p>
    <w:p>
      <w:pPr>
        <w:pStyle w:val="30"/>
        <w:spacing w:line="360" w:lineRule="auto"/>
        <w:ind w:left="0" w:right="0" w:firstLine="360" w:firstLineChars="15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承包人需要提交的竣工资料套数：</w:t>
      </w:r>
      <w:r>
        <w:rPr>
          <w:rFonts w:hint="eastAsia" w:asciiTheme="minorEastAsia" w:hAnsiTheme="minorEastAsia" w:eastAsiaTheme="minorEastAsia" w:cstheme="minorEastAsia"/>
          <w:color w:val="auto"/>
          <w:u w:val="single"/>
        </w:rPr>
        <w:t xml:space="preserve">     /  。</w:t>
      </w:r>
    </w:p>
    <w:p>
      <w:pPr>
        <w:spacing w:line="360" w:lineRule="auto"/>
        <w:ind w:firstLine="360" w:firstLineChars="15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承包人提交的竣工资料的费用承担：</w:t>
      </w:r>
      <w:r>
        <w:rPr>
          <w:rFonts w:hint="eastAsia" w:asciiTheme="minorEastAsia" w:hAnsiTheme="minorEastAsia" w:eastAsiaTheme="minorEastAsia" w:cstheme="minorEastAsia"/>
          <w:color w:val="auto"/>
          <w:kern w:val="0"/>
          <w:sz w:val="24"/>
          <w:u w:val="single"/>
        </w:rPr>
        <w:t xml:space="preserve">   /     </w:t>
      </w:r>
      <w:r>
        <w:rPr>
          <w:rFonts w:hint="eastAsia" w:asciiTheme="minorEastAsia" w:hAnsiTheme="minorEastAsia" w:eastAsiaTheme="minorEastAsia" w:cstheme="minorEastAsia"/>
          <w:color w:val="auto"/>
          <w:kern w:val="0"/>
          <w:sz w:val="24"/>
        </w:rPr>
        <w:t>。</w:t>
      </w:r>
    </w:p>
    <w:p>
      <w:pPr>
        <w:pStyle w:val="30"/>
        <w:spacing w:line="360" w:lineRule="auto"/>
        <w:ind w:left="0" w:right="0" w:firstLine="360" w:firstLineChars="1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承包人提交的竣工资料移交时间：</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承包人提交的竣工资料形式要求：</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（10）承包人应履行的其他义务：</w:t>
      </w:r>
    </w:p>
    <w:p>
      <w:pPr>
        <w:pStyle w:val="30"/>
        <w:spacing w:line="360" w:lineRule="auto"/>
        <w:ind w:left="0" w:right="0" w:firstLine="480" w:firstLineChars="20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u w:val="single"/>
        </w:rPr>
        <w:t>1）承包人在施工时，必须全面协调好与周边环境关系，施工时承包人因自身原因未处理好周边环境关系而导致工程停工，发包人将不承担由此引起的工期延误及其他工程费用损失。</w:t>
      </w:r>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3.2 项目经理</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3.2.1 项目经理：</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姓    名：</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身份证号：</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执业资格等级：</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注册证书号：</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执业印章号：</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安全生产考核合格证书号：</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联系电话：</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电子信箱：</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通信地址：</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承包人对项目经理的授权范围如下：</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关于项目经理每月在施工现场的时间要求：</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承包人未提交劳动合同，以及没有为项目经理缴纳社会保险证明的违约责任：</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项目经理未经批准，擅自离开施工现场的违约责任：</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3.2.3 承包人擅自更换项目经理的违约责任：</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3.2.4 承包人无正当理由拒绝更换项目经理的违约责任：</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3.3 承包人人员</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3.3.1 承包人提交项目管理机构及施工现场管理人员安排报告的期限：</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 xml:space="preserve">。 </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3.3.3 承包人无正当理由拒绝撤换主要施工管理人员的违约责任：</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 xml:space="preserve">3.3.4 承包人主要施工管理人员离开施工现场的批准要求： </w:t>
      </w:r>
      <w:r>
        <w:rPr>
          <w:rFonts w:hint="eastAsia" w:asciiTheme="minorEastAsia" w:hAnsiTheme="minorEastAsia" w:eastAsiaTheme="minorEastAsia" w:cstheme="minorEastAsia"/>
          <w:color w:val="auto"/>
          <w:u w:val="single"/>
        </w:rPr>
        <w:t xml:space="preserve">执行通用条款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3.3.5承包人擅自更换主要施工管理人员的违约责任：</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承包人主要施工管理人员擅自离开施工现场的违约责任：项目管理班子人员在施工现场时间必须与响应文件的承诺相一致。如未经工程师书面同意达不到承诺要求的，</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w:t>
      </w:r>
      <w:bookmarkStart w:id="171" w:name="_Toc292559364"/>
      <w:bookmarkStart w:id="172" w:name="_Toc303539102"/>
      <w:bookmarkStart w:id="173" w:name="_Toc296944498"/>
      <w:bookmarkStart w:id="174" w:name="_Toc297048345"/>
      <w:bookmarkStart w:id="175" w:name="_Toc296347158"/>
      <w:bookmarkStart w:id="176" w:name="_Toc296891199"/>
      <w:bookmarkStart w:id="177" w:name="_Toc296346660"/>
      <w:bookmarkStart w:id="178" w:name="_Toc304295523"/>
      <w:bookmarkStart w:id="179" w:name="_Toc297120459"/>
      <w:bookmarkStart w:id="180" w:name="_Toc296503159"/>
      <w:bookmarkStart w:id="181" w:name="_Toc297216151"/>
      <w:bookmarkStart w:id="182" w:name="_Toc292559869"/>
      <w:bookmarkStart w:id="183" w:name="_Toc296890987"/>
      <w:bookmarkStart w:id="184" w:name="_Toc312677988"/>
      <w:bookmarkStart w:id="185" w:name="_Toc300934945"/>
      <w:bookmarkStart w:id="186" w:name="_Toc297123492"/>
      <w:r>
        <w:rPr>
          <w:rFonts w:hint="eastAsia" w:asciiTheme="minorEastAsia" w:hAnsiTheme="minorEastAsia" w:eastAsiaTheme="minorEastAsia" w:cstheme="minorEastAsia"/>
          <w:b/>
          <w:color w:val="auto"/>
        </w:rPr>
        <w:t>.5 分包</w:t>
      </w:r>
    </w:p>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bookmarkStart w:id="187" w:name="_Toc296346661"/>
      <w:bookmarkStart w:id="188" w:name="_Toc296503160"/>
      <w:bookmarkStart w:id="189" w:name="_Toc297120460"/>
      <w:bookmarkStart w:id="190" w:name="_Toc296944499"/>
      <w:bookmarkStart w:id="191" w:name="_Toc300934946"/>
      <w:bookmarkStart w:id="192" w:name="_Toc304295524"/>
      <w:bookmarkStart w:id="193" w:name="_Toc297216152"/>
      <w:bookmarkStart w:id="194" w:name="_Toc303539103"/>
      <w:bookmarkStart w:id="195" w:name="_Toc292559365"/>
      <w:bookmarkStart w:id="196" w:name="_Toc296890988"/>
      <w:bookmarkStart w:id="197" w:name="_Toc297048346"/>
      <w:bookmarkStart w:id="198" w:name="_Toc296891200"/>
      <w:bookmarkStart w:id="199" w:name="_Toc292559870"/>
      <w:bookmarkStart w:id="200" w:name="_Toc296347159"/>
      <w:bookmarkStart w:id="201" w:name="_Toc297123493"/>
      <w:bookmarkStart w:id="202" w:name="_Toc312677989"/>
      <w:bookmarkStart w:id="203" w:name="_Toc318581158"/>
      <w:r>
        <w:rPr>
          <w:rFonts w:hint="eastAsia" w:asciiTheme="minorEastAsia" w:hAnsiTheme="minorEastAsia" w:eastAsiaTheme="minorEastAsia" w:cstheme="minorEastAsia"/>
          <w:color w:val="auto"/>
        </w:rPr>
        <w:t>.5.1 分包的一般约定</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禁止分包的工程包括：</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主体结构、关键性工作的范围：</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Start w:id="204" w:name="_Toc296890989"/>
      <w:bookmarkStart w:id="205" w:name="_Toc296944500"/>
      <w:bookmarkStart w:id="206" w:name="_Toc297216153"/>
      <w:bookmarkStart w:id="207" w:name="_Toc296346662"/>
      <w:bookmarkStart w:id="208" w:name="_Toc300934947"/>
      <w:bookmarkStart w:id="209" w:name="_Toc296891201"/>
      <w:bookmarkStart w:id="210" w:name="_Toc304295525"/>
      <w:bookmarkStart w:id="211" w:name="_Toc297123494"/>
      <w:bookmarkStart w:id="212" w:name="_Toc296347160"/>
      <w:bookmarkStart w:id="213" w:name="_Toc296503161"/>
      <w:bookmarkStart w:id="214" w:name="_Toc303539104"/>
      <w:bookmarkStart w:id="215" w:name="_Toc297048347"/>
      <w:bookmarkStart w:id="216" w:name="_Toc297120461"/>
    </w:p>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bookmarkStart w:id="217" w:name="_Toc318581159"/>
      <w:bookmarkStart w:id="218" w:name="_Toc312677990"/>
      <w:r>
        <w:rPr>
          <w:rFonts w:hint="eastAsia" w:asciiTheme="minorEastAsia" w:hAnsiTheme="minorEastAsia" w:eastAsiaTheme="minorEastAsia" w:cstheme="minorEastAsia"/>
          <w:color w:val="auto"/>
        </w:rPr>
        <w:t>.5.2分包的确定</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允许分包的专业工程包括：</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其他关于分包的约定：</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3.5.4 分包合同价款</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关于分包合同价款支付的约定：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bookmarkEnd w:id="217"/>
    <w:bookmarkEnd w:id="218"/>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3.6 工程照管与成品、半成品保护</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承包人负责照管工程及工程相关的材料、工程设备的起始时间：</w:t>
      </w:r>
      <w:r>
        <w:rPr>
          <w:rFonts w:hint="eastAsia" w:asciiTheme="minorEastAsia" w:hAnsiTheme="minorEastAsia" w:eastAsiaTheme="minorEastAsia" w:cstheme="minorEastAsia"/>
          <w:color w:val="auto"/>
          <w:u w:val="single"/>
        </w:rPr>
        <w:t xml:space="preserve">  执行通用条款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3.7 履约担保</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承包人是否提供履约担保：</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承包人提供履约担保的形式、金额及期限的：</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b/>
          <w:bCs/>
          <w:color w:val="auto"/>
        </w:rPr>
      </w:pPr>
      <w:bookmarkStart w:id="219" w:name="_Toc351203636"/>
      <w:r>
        <w:rPr>
          <w:rFonts w:hint="eastAsia" w:asciiTheme="minorEastAsia" w:hAnsiTheme="minorEastAsia" w:eastAsiaTheme="minorEastAsia" w:cstheme="minorEastAsia"/>
          <w:b/>
          <w:bCs/>
          <w:color w:val="auto"/>
        </w:rPr>
        <w:t>4</w:t>
      </w:r>
      <w:bookmarkStart w:id="220" w:name="_Toc297048348"/>
      <w:bookmarkStart w:id="221" w:name="_Toc296347161"/>
      <w:bookmarkStart w:id="222" w:name="_Toc292559366"/>
      <w:bookmarkStart w:id="223" w:name="_Toc267251413"/>
      <w:bookmarkStart w:id="224" w:name="_Toc297120462"/>
      <w:bookmarkStart w:id="225" w:name="_Toc296890990"/>
      <w:bookmarkStart w:id="226" w:name="_Toc296503162"/>
      <w:bookmarkStart w:id="227" w:name="_Toc296346663"/>
      <w:bookmarkStart w:id="228" w:name="_Toc296944501"/>
      <w:bookmarkStart w:id="229" w:name="_Toc292559871"/>
      <w:bookmarkStart w:id="230" w:name="_Toc296891202"/>
      <w:r>
        <w:rPr>
          <w:rFonts w:hint="eastAsia" w:asciiTheme="minorEastAsia" w:hAnsiTheme="minorEastAsia" w:eastAsiaTheme="minorEastAsia" w:cstheme="minorEastAsia"/>
          <w:b/>
          <w:bCs/>
          <w:color w:val="auto"/>
        </w:rPr>
        <w:t>. 监</w:t>
      </w:r>
      <w:bookmarkEnd w:id="220"/>
      <w:bookmarkEnd w:id="221"/>
      <w:bookmarkEnd w:id="222"/>
      <w:bookmarkEnd w:id="223"/>
      <w:bookmarkEnd w:id="224"/>
      <w:bookmarkEnd w:id="225"/>
      <w:bookmarkEnd w:id="226"/>
      <w:bookmarkEnd w:id="227"/>
      <w:bookmarkEnd w:id="228"/>
      <w:bookmarkEnd w:id="229"/>
      <w:bookmarkEnd w:id="230"/>
      <w:r>
        <w:rPr>
          <w:rFonts w:hint="eastAsia" w:asciiTheme="minorEastAsia" w:hAnsiTheme="minorEastAsia" w:eastAsiaTheme="minorEastAsia" w:cstheme="minorEastAsia"/>
          <w:b/>
          <w:bCs/>
          <w:color w:val="auto"/>
        </w:rPr>
        <w:t>理人</w:t>
      </w:r>
      <w:bookmarkEnd w:id="219"/>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4.1监理人的一般规定</w:t>
      </w:r>
    </w:p>
    <w:p>
      <w:pPr>
        <w:pStyle w:val="30"/>
        <w:spacing w:line="360" w:lineRule="auto"/>
        <w:ind w:left="0" w:right="0" w:firstLine="360" w:firstLineChars="1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关于监理人的监理内容：</w:t>
      </w:r>
      <w:r>
        <w:rPr>
          <w:rFonts w:hint="eastAsia" w:asciiTheme="minorEastAsia" w:hAnsiTheme="minorEastAsia" w:eastAsiaTheme="minorEastAsia" w:cstheme="minorEastAsia"/>
          <w:color w:val="auto"/>
          <w:u w:val="single"/>
        </w:rPr>
        <w:t>无</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关于监理人的监理权限：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pPr>
        <w:spacing w:line="360" w:lineRule="auto"/>
        <w:ind w:firstLine="360" w:firstLineChars="150"/>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关于监理人在施工现场的办公场所、生活场所的提供和费用承担的约定：</w:t>
      </w:r>
      <w:r>
        <w:rPr>
          <w:rFonts w:hint="eastAsia" w:asciiTheme="minorEastAsia" w:hAnsiTheme="minorEastAsia" w:eastAsiaTheme="minorEastAsia" w:cstheme="minorEastAsia"/>
          <w:color w:val="auto"/>
          <w:sz w:val="24"/>
          <w:u w:val="single"/>
        </w:rPr>
        <w:t xml:space="preserve">          </w:t>
      </w:r>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4.4 商定或确定</w:t>
      </w:r>
    </w:p>
    <w:p>
      <w:pPr>
        <w:pStyle w:val="30"/>
        <w:spacing w:line="360" w:lineRule="auto"/>
        <w:ind w:right="0"/>
        <w:rPr>
          <w:rFonts w:asciiTheme="minorEastAsia" w:hAnsiTheme="minorEastAsia" w:eastAsiaTheme="minorEastAsia" w:cstheme="minorEastAsia"/>
          <w:color w:val="auto"/>
        </w:rPr>
      </w:pPr>
      <w:bookmarkStart w:id="231" w:name="_Toc267251418"/>
      <w:r>
        <w:rPr>
          <w:rFonts w:hint="eastAsia" w:asciiTheme="minorEastAsia" w:hAnsiTheme="minorEastAsia" w:eastAsiaTheme="minorEastAsia" w:cstheme="minorEastAsia"/>
          <w:color w:val="auto"/>
        </w:rPr>
        <w:t>在发包人和承包人不能通过协商达成一致意见时，发包人授权监理人对以下事项进行确定：</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b/>
          <w:bCs/>
          <w:color w:val="auto"/>
        </w:rPr>
      </w:pPr>
      <w:bookmarkStart w:id="232" w:name="_Toc351203637"/>
      <w:r>
        <w:rPr>
          <w:rFonts w:hint="eastAsia" w:asciiTheme="minorEastAsia" w:hAnsiTheme="minorEastAsia" w:eastAsiaTheme="minorEastAsia" w:cstheme="minorEastAsia"/>
          <w:b/>
          <w:bCs/>
          <w:color w:val="auto"/>
        </w:rPr>
        <w:t>5</w:t>
      </w:r>
      <w:bookmarkEnd w:id="231"/>
      <w:bookmarkStart w:id="233" w:name="_Toc296891203"/>
      <w:bookmarkStart w:id="234" w:name="_Toc297048349"/>
      <w:bookmarkStart w:id="235" w:name="_Toc296890991"/>
      <w:bookmarkStart w:id="236" w:name="_Toc296944502"/>
      <w:bookmarkStart w:id="237" w:name="_Toc292559367"/>
      <w:bookmarkStart w:id="238" w:name="_Toc292559872"/>
      <w:bookmarkStart w:id="239" w:name="_Toc296503163"/>
      <w:bookmarkStart w:id="240" w:name="_Toc296347162"/>
      <w:bookmarkStart w:id="241" w:name="_Toc297120463"/>
      <w:bookmarkStart w:id="242" w:name="_Toc296346664"/>
      <w:r>
        <w:rPr>
          <w:rFonts w:hint="eastAsia" w:asciiTheme="minorEastAsia" w:hAnsiTheme="minorEastAsia" w:eastAsiaTheme="minorEastAsia" w:cstheme="minorEastAsia"/>
          <w:b/>
          <w:bCs/>
          <w:color w:val="auto"/>
        </w:rPr>
        <w:t>. 工程质量</w:t>
      </w:r>
      <w:bookmarkEnd w:id="232"/>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5.1 质量要求</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5</w:t>
      </w:r>
      <w:bookmarkStart w:id="243" w:name="_Toc303539106"/>
      <w:bookmarkStart w:id="244" w:name="_Toc297216155"/>
      <w:bookmarkStart w:id="245" w:name="_Toc318581164"/>
      <w:bookmarkStart w:id="246" w:name="_Toc312677997"/>
      <w:bookmarkStart w:id="247" w:name="_Toc300934949"/>
      <w:bookmarkStart w:id="248" w:name="_Toc297123496"/>
      <w:bookmarkStart w:id="249" w:name="_Toc304295527"/>
      <w:r>
        <w:rPr>
          <w:rFonts w:hint="eastAsia" w:asciiTheme="minorEastAsia" w:hAnsiTheme="minorEastAsia" w:eastAsiaTheme="minorEastAsia" w:cstheme="minorEastAsia"/>
          <w:color w:val="auto"/>
        </w:rPr>
        <w:t>.1.1 特殊质量标准和要求：</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关于工程奖项的约定：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5.3 隐蔽工程检查</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5.3.2承包人提前通知监理人隐蔽工程检查的期限的约定：</w:t>
      </w:r>
      <w:r>
        <w:rPr>
          <w:rFonts w:hint="eastAsia" w:asciiTheme="minorEastAsia" w:hAnsiTheme="minorEastAsia" w:eastAsiaTheme="minorEastAsia" w:cstheme="minorEastAsia"/>
          <w:color w:val="auto"/>
          <w:u w:val="single"/>
        </w:rPr>
        <w:t xml:space="preserve">  执行通用条款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监理人不能按时进行检查时，应提前</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小时提交书面延期要求。</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关于延期最长不得超过：</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小时。</w:t>
      </w:r>
    </w:p>
    <w:p>
      <w:pPr>
        <w:pStyle w:val="30"/>
        <w:spacing w:line="360" w:lineRule="auto"/>
        <w:ind w:right="0"/>
        <w:rPr>
          <w:rFonts w:asciiTheme="minorEastAsia" w:hAnsiTheme="minorEastAsia" w:eastAsiaTheme="minorEastAsia" w:cstheme="minorEastAsia"/>
          <w:b/>
          <w:bCs/>
          <w:color w:val="auto"/>
        </w:rPr>
      </w:pPr>
      <w:bookmarkStart w:id="250" w:name="_Toc351203638"/>
      <w:r>
        <w:rPr>
          <w:rFonts w:hint="eastAsia" w:asciiTheme="minorEastAsia" w:hAnsiTheme="minorEastAsia" w:eastAsiaTheme="minorEastAsia" w:cstheme="minorEastAsia"/>
          <w:b/>
          <w:bCs/>
          <w:color w:val="auto"/>
        </w:rPr>
        <w:t>6. 安全文明施工与环境保护</w:t>
      </w:r>
      <w:bookmarkEnd w:id="250"/>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6.1安全文明施工</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6.1.1 项目安全生产的达标目标及相应事项的约定：</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6.1.4 关于治安保卫的特别约定：</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关于编制施工场地治安管理计划的约定：</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6.1.5 文明施工</w:t>
      </w:r>
    </w:p>
    <w:p>
      <w:pPr>
        <w:pStyle w:val="30"/>
        <w:spacing w:line="360" w:lineRule="auto"/>
        <w:ind w:right="0"/>
        <w:rPr>
          <w:rFonts w:asciiTheme="minorEastAsia" w:hAnsiTheme="minorEastAsia" w:eastAsiaTheme="minorEastAsia" w:cstheme="minorEastAsia"/>
          <w:bCs/>
          <w:color w:val="auto"/>
          <w:u w:val="single"/>
        </w:rPr>
      </w:pPr>
      <w:r>
        <w:rPr>
          <w:rFonts w:hint="eastAsia" w:asciiTheme="minorEastAsia" w:hAnsiTheme="minorEastAsia" w:eastAsiaTheme="minorEastAsia" w:cstheme="minorEastAsia"/>
          <w:color w:val="auto"/>
        </w:rPr>
        <w:t>合同当事人对文明施工的要求：①</w:t>
      </w:r>
      <w:r>
        <w:rPr>
          <w:rFonts w:hint="eastAsia" w:asciiTheme="minorEastAsia" w:hAnsiTheme="minorEastAsia" w:eastAsiaTheme="minorEastAsia" w:cstheme="minorEastAsia"/>
          <w:color w:val="auto"/>
          <w:u w:val="single"/>
        </w:rPr>
        <w:t>承包人必须按照规定进行施工现场文明施工管理，</w:t>
      </w:r>
      <w:r>
        <w:rPr>
          <w:rFonts w:hint="eastAsia" w:asciiTheme="minorEastAsia" w:hAnsiTheme="minorEastAsia" w:eastAsiaTheme="minorEastAsia" w:cstheme="minorEastAsia"/>
          <w:bCs/>
          <w:color w:val="auto"/>
          <w:u w:val="single"/>
        </w:rPr>
        <w:t>所发生的费用由承包人承担。</w:t>
      </w:r>
      <w:r>
        <w:rPr>
          <w:rFonts w:hint="eastAsia" w:asciiTheme="minorEastAsia" w:hAnsiTheme="minorEastAsia" w:eastAsiaTheme="minorEastAsia" w:cstheme="minorEastAsia"/>
          <w:color w:val="auto"/>
        </w:rPr>
        <w:t>②</w:t>
      </w:r>
      <w:r>
        <w:rPr>
          <w:rFonts w:hint="eastAsia" w:asciiTheme="minorEastAsia" w:hAnsiTheme="minorEastAsia" w:eastAsiaTheme="minorEastAsia" w:cstheme="minorEastAsia"/>
          <w:bCs/>
          <w:color w:val="auto"/>
          <w:u w:val="single"/>
        </w:rPr>
        <w:t>承包人必须做好施工现场的安全围护栏（网）等防护性措施，并设置必要的警示牌，做到文明施工，安全施工，建立重大事故报告制，加强安全教育，采取必要的一切防护措施，必须消除一切不安全隐患的存在和发生，协调处理好和周围住户的关系。③乙方应根据《建筑施工安全检查标准》和《强制性条文》及有关建筑施工安全生产条例及甲方的有关管理要求，确保安全生产，同时做好社会治安综合治理工作，严格执行建设项目所在地文明施工、标准化管理规定，明确具体措施，积极落实各项安全生产工作，杜绝重大伤亡事故。</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6.1.6 关于安全文明施工费支付比例和支付期限的约定：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bookmarkEnd w:id="243"/>
    <w:bookmarkEnd w:id="244"/>
    <w:bookmarkEnd w:id="245"/>
    <w:bookmarkEnd w:id="246"/>
    <w:bookmarkEnd w:id="247"/>
    <w:bookmarkEnd w:id="248"/>
    <w:bookmarkEnd w:id="249"/>
    <w:p>
      <w:pPr>
        <w:pStyle w:val="30"/>
        <w:spacing w:line="360" w:lineRule="auto"/>
        <w:ind w:right="0"/>
        <w:rPr>
          <w:rFonts w:asciiTheme="minorEastAsia" w:hAnsiTheme="minorEastAsia" w:eastAsiaTheme="minorEastAsia" w:cstheme="minorEastAsia"/>
          <w:b/>
          <w:bCs/>
          <w:color w:val="auto"/>
        </w:rPr>
      </w:pPr>
      <w:bookmarkStart w:id="251" w:name="_Toc351203639"/>
      <w:r>
        <w:rPr>
          <w:rFonts w:hint="eastAsia" w:asciiTheme="minorEastAsia" w:hAnsiTheme="minorEastAsia" w:eastAsiaTheme="minorEastAsia" w:cstheme="minorEastAsia"/>
          <w:b/>
          <w:bCs/>
          <w:color w:val="auto"/>
        </w:rPr>
        <w:t>7. 工期和进度</w:t>
      </w:r>
      <w:bookmarkEnd w:id="251"/>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7.1 施工组织设计</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7.1.1 合同当事人约定的施工组织设计应包括的其他内容：</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7.1.2 施工组织设计的提交和修改</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承包人提交详细施工组织设计的期限的约定：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发包人和监理人在收到详细的施工组织设计后确认或提出修改意见的期限：</w:t>
      </w:r>
      <w:r>
        <w:rPr>
          <w:rFonts w:hint="eastAsia" w:asciiTheme="minorEastAsia" w:hAnsiTheme="minorEastAsia" w:eastAsiaTheme="minorEastAsia" w:cstheme="minorEastAsia"/>
          <w:color w:val="auto"/>
          <w:u w:val="single"/>
        </w:rPr>
        <w:t xml:space="preserve">                。</w:t>
      </w:r>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7</w:t>
      </w:r>
      <w:bookmarkStart w:id="252" w:name="_Toc312677479"/>
      <w:bookmarkStart w:id="253" w:name="_Toc297123514"/>
      <w:bookmarkStart w:id="254" w:name="_Toc312678005"/>
      <w:bookmarkStart w:id="255" w:name="_Toc304295541"/>
      <w:bookmarkStart w:id="256" w:name="_Toc297216173"/>
      <w:bookmarkStart w:id="257" w:name="_Toc303539123"/>
      <w:bookmarkStart w:id="258" w:name="_Toc300934966"/>
      <w:r>
        <w:rPr>
          <w:rFonts w:hint="eastAsia" w:asciiTheme="minorEastAsia" w:hAnsiTheme="minorEastAsia" w:eastAsiaTheme="minorEastAsia" w:cstheme="minorEastAsia"/>
          <w:b/>
          <w:color w:val="auto"/>
        </w:rPr>
        <w:t>.2 施工进度计划</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7.2.2 施工进度计划的修订</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发包人和监理人在收到修订的施工进度计划后确认或提出修改意见的期限：</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7.3 开工</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7.3.1 开工准备</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关于承包人提交工程开工报审表的期限：</w:t>
      </w:r>
      <w:r>
        <w:rPr>
          <w:rFonts w:hint="eastAsia" w:asciiTheme="minorEastAsia" w:hAnsiTheme="minorEastAsia" w:eastAsiaTheme="minorEastAsia" w:cstheme="minorEastAsia"/>
          <w:color w:val="auto"/>
          <w:u w:val="single"/>
        </w:rPr>
        <w:t xml:space="preserve">   执行通用条款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关于发包人应完成的其他开工准备工作及期限：</w:t>
      </w:r>
      <w:r>
        <w:rPr>
          <w:rFonts w:hint="eastAsia" w:asciiTheme="minorEastAsia" w:hAnsiTheme="minorEastAsia" w:eastAsiaTheme="minorEastAsia" w:cstheme="minorEastAsia"/>
          <w:color w:val="auto"/>
          <w:u w:val="single"/>
        </w:rPr>
        <w:t xml:space="preserve">  执行通用条款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关于承包人应完成的其他开工准备工作及期限：</w:t>
      </w:r>
      <w:r>
        <w:rPr>
          <w:rFonts w:hint="eastAsia" w:asciiTheme="minorEastAsia" w:hAnsiTheme="minorEastAsia" w:eastAsiaTheme="minorEastAsia" w:cstheme="minorEastAsia"/>
          <w:color w:val="auto"/>
          <w:u w:val="single"/>
        </w:rPr>
        <w:t xml:space="preserve">    执行通用条款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7.3.2开工通知</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因发包人原因造成监理人未能在计划开工日期之日起</w:t>
      </w:r>
      <w:r>
        <w:rPr>
          <w:rFonts w:hint="eastAsia" w:asciiTheme="minorEastAsia" w:hAnsiTheme="minorEastAsia" w:eastAsiaTheme="minorEastAsia" w:cstheme="minorEastAsia"/>
          <w:color w:val="auto"/>
          <w:u w:val="single"/>
        </w:rPr>
        <w:t xml:space="preserve"> 60</w:t>
      </w:r>
      <w:r>
        <w:rPr>
          <w:rFonts w:hint="eastAsia" w:asciiTheme="minorEastAsia" w:hAnsiTheme="minorEastAsia" w:eastAsiaTheme="minorEastAsia" w:cstheme="minorEastAsia"/>
          <w:color w:val="auto"/>
        </w:rPr>
        <w:t>天内发出开工通知的，承包人有权提出价格调整要求，或者解除合同。</w:t>
      </w:r>
    </w:p>
    <w:bookmarkEnd w:id="252"/>
    <w:bookmarkEnd w:id="253"/>
    <w:bookmarkEnd w:id="254"/>
    <w:bookmarkEnd w:id="255"/>
    <w:bookmarkEnd w:id="256"/>
    <w:bookmarkEnd w:id="257"/>
    <w:bookmarkEnd w:id="258"/>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7.4 测量放线</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7.4.1发包人通过监理人向承包人提供测量基准点、基准线和水准点及其书面资料的期限：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7</w:t>
      </w:r>
      <w:bookmarkStart w:id="259" w:name="_Toc312678010"/>
      <w:bookmarkStart w:id="260" w:name="_Toc303539125"/>
      <w:bookmarkStart w:id="261" w:name="_Toc312677484"/>
      <w:bookmarkStart w:id="262" w:name="_Toc297123516"/>
      <w:bookmarkStart w:id="263" w:name="_Toc297216175"/>
      <w:bookmarkStart w:id="264" w:name="_Toc304295546"/>
      <w:bookmarkStart w:id="265" w:name="_Toc300934968"/>
      <w:r>
        <w:rPr>
          <w:rFonts w:hint="eastAsia" w:asciiTheme="minorEastAsia" w:hAnsiTheme="minorEastAsia" w:eastAsiaTheme="minorEastAsia" w:cstheme="minorEastAsia"/>
          <w:b/>
          <w:color w:val="auto"/>
        </w:rPr>
        <w:t>.5 工期延误</w:t>
      </w:r>
    </w:p>
    <w:bookmarkEnd w:id="259"/>
    <w:bookmarkEnd w:id="260"/>
    <w:bookmarkEnd w:id="261"/>
    <w:bookmarkEnd w:id="262"/>
    <w:bookmarkEnd w:id="263"/>
    <w:bookmarkEnd w:id="264"/>
    <w:bookmarkEnd w:id="265"/>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7.5.1 因发包人原因导致工期延误</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（7）因发包人原因导致工期延误的其他情形：</w:t>
      </w:r>
      <w:r>
        <w:rPr>
          <w:rFonts w:hint="eastAsia" w:asciiTheme="minorEastAsia" w:hAnsiTheme="minorEastAsia" w:eastAsiaTheme="minorEastAsia" w:cstheme="minorEastAsia"/>
          <w:color w:val="auto"/>
          <w:u w:val="single"/>
        </w:rPr>
        <w:t xml:space="preserve">  执行通用条款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w:t>
      </w:r>
      <w:bookmarkStart w:id="266" w:name="_Toc318581169"/>
      <w:bookmarkStart w:id="267" w:name="_Toc312677486"/>
      <w:bookmarkStart w:id="268" w:name="_Toc312678012"/>
      <w:bookmarkStart w:id="269" w:name="_Toc303539127"/>
      <w:bookmarkStart w:id="270" w:name="_Toc304295548"/>
      <w:bookmarkStart w:id="271" w:name="_Toc300934970"/>
      <w:bookmarkStart w:id="272" w:name="_Toc297123518"/>
      <w:bookmarkStart w:id="273" w:name="_Toc297216177"/>
      <w:r>
        <w:rPr>
          <w:rFonts w:hint="eastAsia" w:asciiTheme="minorEastAsia" w:hAnsiTheme="minorEastAsia" w:eastAsiaTheme="minorEastAsia" w:cstheme="minorEastAsia"/>
          <w:color w:val="auto"/>
        </w:rPr>
        <w:t>.5.2 因承包人原因导致工期延误</w:t>
      </w:r>
    </w:p>
    <w:bookmarkEnd w:id="266"/>
    <w:bookmarkEnd w:id="267"/>
    <w:bookmarkEnd w:id="268"/>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因</w:t>
      </w:r>
      <w:bookmarkStart w:id="274" w:name="_Toc312678013"/>
      <w:bookmarkStart w:id="275" w:name="_Toc312677487"/>
      <w:bookmarkStart w:id="276" w:name="_Toc318581170"/>
      <w:r>
        <w:rPr>
          <w:rFonts w:hint="eastAsia" w:asciiTheme="minorEastAsia" w:hAnsiTheme="minorEastAsia" w:eastAsiaTheme="minorEastAsia" w:cstheme="minorEastAsia"/>
          <w:color w:val="auto"/>
        </w:rPr>
        <w:t>承包人原因造成工期延误，逾期竣工违约金的计算方法为：</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bookmarkEnd w:id="269"/>
      <w:bookmarkEnd w:id="270"/>
      <w:bookmarkEnd w:id="271"/>
      <w:bookmarkEnd w:id="272"/>
      <w:bookmarkEnd w:id="273"/>
      <w:bookmarkEnd w:id="274"/>
      <w:bookmarkEnd w:id="275"/>
    </w:p>
    <w:bookmarkEnd w:id="276"/>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因承包人原因造成工期延误，逾</w:t>
      </w:r>
      <w:bookmarkStart w:id="277" w:name="_Toc318581171"/>
      <w:bookmarkStart w:id="278" w:name="_Toc312678014"/>
      <w:r>
        <w:rPr>
          <w:rFonts w:hint="eastAsia" w:asciiTheme="minorEastAsia" w:hAnsiTheme="minorEastAsia" w:eastAsiaTheme="minorEastAsia" w:cstheme="minorEastAsia"/>
          <w:color w:val="auto"/>
        </w:rPr>
        <w:t>期竣工违约金的上限：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bookmarkEnd w:id="277"/>
    <w:bookmarkEnd w:id="278"/>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7</w:t>
      </w:r>
      <w:bookmarkStart w:id="279" w:name="_Toc300934971"/>
      <w:bookmarkStart w:id="280" w:name="_Toc303539128"/>
      <w:bookmarkStart w:id="281" w:name="_Toc297216178"/>
      <w:bookmarkStart w:id="282" w:name="_Toc304295549"/>
      <w:bookmarkStart w:id="283" w:name="_Toc297123519"/>
      <w:bookmarkStart w:id="284" w:name="_Toc312678015"/>
      <w:r>
        <w:rPr>
          <w:rFonts w:hint="eastAsia" w:asciiTheme="minorEastAsia" w:hAnsiTheme="minorEastAsia" w:eastAsiaTheme="minorEastAsia" w:cstheme="minorEastAsia"/>
          <w:b/>
          <w:color w:val="auto"/>
        </w:rPr>
        <w:t>.6 不</w:t>
      </w:r>
      <w:bookmarkEnd w:id="279"/>
      <w:bookmarkEnd w:id="280"/>
      <w:bookmarkEnd w:id="281"/>
      <w:bookmarkEnd w:id="282"/>
      <w:bookmarkEnd w:id="283"/>
      <w:bookmarkEnd w:id="284"/>
      <w:r>
        <w:rPr>
          <w:rFonts w:hint="eastAsia" w:asciiTheme="minorEastAsia" w:hAnsiTheme="minorEastAsia" w:eastAsiaTheme="minorEastAsia" w:cstheme="minorEastAsia"/>
          <w:b/>
          <w:color w:val="auto"/>
        </w:rPr>
        <w:t>利物质条件</w:t>
      </w:r>
    </w:p>
    <w:p>
      <w:pPr>
        <w:pStyle w:val="30"/>
        <w:spacing w:line="360" w:lineRule="auto"/>
        <w:ind w:right="0"/>
        <w:rPr>
          <w:rFonts w:asciiTheme="minorEastAsia" w:hAnsiTheme="minorEastAsia" w:eastAsiaTheme="minorEastAsia" w:cstheme="minorEastAsia"/>
          <w:color w:val="auto"/>
          <w:u w:val="single"/>
        </w:rPr>
      </w:pPr>
      <w:bookmarkStart w:id="285" w:name="_Toc297216179"/>
      <w:bookmarkStart w:id="286" w:name="_Toc300934972"/>
      <w:bookmarkStart w:id="287" w:name="_Toc312678016"/>
      <w:bookmarkStart w:id="288" w:name="_Toc297123520"/>
      <w:bookmarkStart w:id="289" w:name="_Toc304295550"/>
      <w:bookmarkStart w:id="290" w:name="_Toc303539129"/>
      <w:bookmarkStart w:id="291" w:name="_Toc318581172"/>
      <w:r>
        <w:rPr>
          <w:rFonts w:hint="eastAsia" w:asciiTheme="minorEastAsia" w:hAnsiTheme="minorEastAsia" w:eastAsiaTheme="minorEastAsia" w:cstheme="minorEastAsia"/>
          <w:color w:val="auto"/>
        </w:rPr>
        <w:t>不利物质条件的其他情形和有关约定：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bookmarkEnd w:id="285"/>
    <w:bookmarkEnd w:id="286"/>
    <w:bookmarkEnd w:id="287"/>
    <w:bookmarkEnd w:id="288"/>
    <w:bookmarkEnd w:id="289"/>
    <w:bookmarkEnd w:id="290"/>
    <w:bookmarkEnd w:id="291"/>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7</w:t>
      </w:r>
      <w:bookmarkStart w:id="292" w:name="_Toc304295551"/>
      <w:bookmarkStart w:id="293" w:name="_Toc300934973"/>
      <w:bookmarkStart w:id="294" w:name="_Toc297123521"/>
      <w:bookmarkStart w:id="295" w:name="_Toc297216180"/>
      <w:bookmarkStart w:id="296" w:name="_Toc303539130"/>
      <w:bookmarkStart w:id="297" w:name="_Toc312678017"/>
      <w:r>
        <w:rPr>
          <w:rFonts w:hint="eastAsia" w:asciiTheme="minorEastAsia" w:hAnsiTheme="minorEastAsia" w:eastAsiaTheme="minorEastAsia" w:cstheme="minorEastAsia"/>
          <w:b/>
          <w:color w:val="auto"/>
        </w:rPr>
        <w:t>.7异常恶劣的气候条件</w:t>
      </w:r>
    </w:p>
    <w:bookmarkEnd w:id="292"/>
    <w:bookmarkEnd w:id="293"/>
    <w:bookmarkEnd w:id="294"/>
    <w:bookmarkEnd w:id="295"/>
    <w:bookmarkEnd w:id="296"/>
    <w:bookmarkEnd w:id="297"/>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发包人和承包人同意以下情形视为异常恶劣的气候条件：</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7.9 提前竣工的奖励</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7.9.2提前竣工的奖励：</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b/>
          <w:bCs/>
          <w:color w:val="auto"/>
        </w:rPr>
      </w:pPr>
      <w:bookmarkStart w:id="298" w:name="_Toc351203640"/>
      <w:r>
        <w:rPr>
          <w:rFonts w:hint="eastAsia" w:asciiTheme="minorEastAsia" w:hAnsiTheme="minorEastAsia" w:eastAsiaTheme="minorEastAsia" w:cstheme="minorEastAsia"/>
          <w:b/>
          <w:bCs/>
          <w:color w:val="auto"/>
        </w:rPr>
        <w:t>8. 材料与设备</w:t>
      </w:r>
      <w:bookmarkEnd w:id="298"/>
    </w:p>
    <w:bookmarkEnd w:id="233"/>
    <w:bookmarkEnd w:id="234"/>
    <w:bookmarkEnd w:id="235"/>
    <w:bookmarkEnd w:id="236"/>
    <w:bookmarkEnd w:id="237"/>
    <w:bookmarkEnd w:id="238"/>
    <w:bookmarkEnd w:id="239"/>
    <w:bookmarkEnd w:id="240"/>
    <w:bookmarkEnd w:id="241"/>
    <w:bookmarkEnd w:id="242"/>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w:t>
      </w:r>
      <w:bookmarkStart w:id="299" w:name="_Toc297120467"/>
      <w:bookmarkStart w:id="300" w:name="_Toc296891207"/>
      <w:bookmarkStart w:id="301" w:name="_Toc292559877"/>
      <w:bookmarkStart w:id="302" w:name="_Toc303539136"/>
      <w:bookmarkStart w:id="303" w:name="_Toc296347166"/>
      <w:bookmarkStart w:id="304" w:name="_Toc304295556"/>
      <w:bookmarkStart w:id="305" w:name="_Toc312677493"/>
      <w:bookmarkStart w:id="306" w:name="_Toc297216186"/>
      <w:bookmarkStart w:id="307" w:name="_Toc297123527"/>
      <w:bookmarkStart w:id="308" w:name="_Toc296890995"/>
      <w:bookmarkStart w:id="309" w:name="_Toc312678019"/>
      <w:bookmarkStart w:id="310" w:name="_Toc296346668"/>
      <w:bookmarkStart w:id="311" w:name="_Toc296503167"/>
      <w:bookmarkStart w:id="312" w:name="_Toc300934979"/>
      <w:bookmarkStart w:id="313" w:name="_Toc292559372"/>
      <w:bookmarkStart w:id="314" w:name="_Toc296944506"/>
      <w:bookmarkStart w:id="315" w:name="_Toc280868654"/>
      <w:bookmarkStart w:id="316" w:name="_Toc297048353"/>
      <w:bookmarkStart w:id="317" w:name="_Toc267251424"/>
      <w:bookmarkStart w:id="318" w:name="_Toc280868655"/>
      <w:bookmarkStart w:id="319" w:name="_Toc280868656"/>
      <w:r>
        <w:rPr>
          <w:rFonts w:hint="eastAsia" w:asciiTheme="minorEastAsia" w:hAnsiTheme="minorEastAsia" w:eastAsiaTheme="minorEastAsia" w:cstheme="minorEastAsia"/>
          <w:color w:val="auto"/>
        </w:rPr>
        <w:t>.4材料与工程设备的保管与使用</w:t>
      </w:r>
    </w:p>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8</w:t>
      </w:r>
      <w:bookmarkStart w:id="320" w:name="_Toc292559878"/>
      <w:bookmarkStart w:id="321" w:name="_Toc292559373"/>
      <w:bookmarkStart w:id="322" w:name="_Toc297048354"/>
      <w:bookmarkStart w:id="323" w:name="_Toc300934980"/>
      <w:bookmarkStart w:id="324" w:name="_Toc296346669"/>
      <w:bookmarkStart w:id="325" w:name="_Toc296890996"/>
      <w:bookmarkStart w:id="326" w:name="_Toc312677494"/>
      <w:bookmarkStart w:id="327" w:name="_Toc312678020"/>
      <w:bookmarkStart w:id="328" w:name="_Toc296891208"/>
      <w:bookmarkStart w:id="329" w:name="_Toc297123528"/>
      <w:bookmarkStart w:id="330" w:name="_Toc318581173"/>
      <w:bookmarkStart w:id="331" w:name="_Toc297120468"/>
      <w:bookmarkStart w:id="332" w:name="_Toc303539137"/>
      <w:bookmarkStart w:id="333" w:name="_Toc297216187"/>
      <w:bookmarkStart w:id="334" w:name="_Toc296944507"/>
      <w:bookmarkStart w:id="335" w:name="_Toc296347167"/>
      <w:bookmarkStart w:id="336" w:name="_Toc296503168"/>
      <w:bookmarkStart w:id="337" w:name="_Toc304295557"/>
      <w:r>
        <w:rPr>
          <w:rFonts w:hint="eastAsia" w:asciiTheme="minorEastAsia" w:hAnsiTheme="minorEastAsia" w:eastAsiaTheme="minorEastAsia" w:cstheme="minorEastAsia"/>
          <w:color w:val="auto"/>
        </w:rPr>
        <w:t>.4.1发包人供应的材料设备的保管费用的承担：</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bookmarkEnd w:id="320"/>
      <w:bookmarkEnd w:id="321"/>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8.6 样品</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8.6.1</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样品的报送与封存</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需要承包人报送样品的材料或工程设备，样品的种类、名称、规格、数量要求：</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8.8 施工设备和临时设施</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8.8.1 承包人提供的施工设备和临时设施</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关于修建临时设施费用承担的约定：</w:t>
      </w:r>
      <w:r>
        <w:rPr>
          <w:rFonts w:hint="eastAsia" w:asciiTheme="minorEastAsia" w:hAnsiTheme="minorEastAsia" w:eastAsiaTheme="minorEastAsia" w:cstheme="minorEastAsia"/>
          <w:color w:val="auto"/>
          <w:u w:val="single"/>
        </w:rPr>
        <w:t xml:space="preserve">  /。</w:t>
      </w:r>
    </w:p>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Pr>
        <w:pStyle w:val="30"/>
        <w:spacing w:line="360" w:lineRule="auto"/>
        <w:ind w:right="0"/>
        <w:rPr>
          <w:rFonts w:asciiTheme="minorEastAsia" w:hAnsiTheme="minorEastAsia" w:eastAsiaTheme="minorEastAsia" w:cstheme="minorEastAsia"/>
          <w:b/>
          <w:bCs/>
          <w:color w:val="auto"/>
        </w:rPr>
      </w:pPr>
      <w:bookmarkStart w:id="338" w:name="_Toc351203641"/>
      <w:r>
        <w:rPr>
          <w:rFonts w:hint="eastAsia" w:asciiTheme="minorEastAsia" w:hAnsiTheme="minorEastAsia" w:eastAsiaTheme="minorEastAsia" w:cstheme="minorEastAsia"/>
          <w:b/>
          <w:bCs/>
          <w:color w:val="auto"/>
        </w:rPr>
        <w:t>9</w:t>
      </w:r>
      <w:bookmarkEnd w:id="317"/>
      <w:bookmarkEnd w:id="318"/>
      <w:bookmarkEnd w:id="319"/>
      <w:bookmarkStart w:id="339" w:name="_Toc312678021"/>
      <w:bookmarkStart w:id="340" w:name="_Toc304295559"/>
      <w:bookmarkStart w:id="341" w:name="_Toc303539139"/>
      <w:bookmarkStart w:id="342" w:name="_Toc297123533"/>
      <w:bookmarkStart w:id="343" w:name="_Toc297216192"/>
      <w:bookmarkStart w:id="344" w:name="_Toc312677495"/>
      <w:bookmarkStart w:id="345" w:name="_Toc300934982"/>
      <w:bookmarkStart w:id="346" w:name="_Toc297120473"/>
      <w:bookmarkStart w:id="347" w:name="_Toc267251428"/>
      <w:bookmarkStart w:id="348" w:name="_Toc267251427"/>
      <w:bookmarkStart w:id="349" w:name="_Toc296891001"/>
      <w:bookmarkStart w:id="350" w:name="_Toc296944512"/>
      <w:bookmarkStart w:id="351" w:name="_Toc292559883"/>
      <w:bookmarkStart w:id="352" w:name="_Toc296346674"/>
      <w:bookmarkStart w:id="353" w:name="_Toc292559378"/>
      <w:bookmarkStart w:id="354" w:name="_Toc296347172"/>
      <w:bookmarkStart w:id="355" w:name="_Toc296891213"/>
      <w:bookmarkStart w:id="356" w:name="_Toc297048359"/>
      <w:bookmarkStart w:id="357" w:name="_Toc296503173"/>
      <w:r>
        <w:rPr>
          <w:rFonts w:hint="eastAsia" w:asciiTheme="minorEastAsia" w:hAnsiTheme="minorEastAsia" w:eastAsiaTheme="minorEastAsia" w:cstheme="minorEastAsia"/>
          <w:b/>
          <w:bCs/>
          <w:color w:val="auto"/>
        </w:rPr>
        <w:t>. 试验与检验</w:t>
      </w:r>
      <w:bookmarkEnd w:id="338"/>
    </w:p>
    <w:bookmarkEnd w:id="339"/>
    <w:bookmarkEnd w:id="340"/>
    <w:bookmarkEnd w:id="341"/>
    <w:bookmarkEnd w:id="342"/>
    <w:bookmarkEnd w:id="343"/>
    <w:bookmarkEnd w:id="344"/>
    <w:bookmarkEnd w:id="345"/>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9</w:t>
      </w:r>
      <w:bookmarkStart w:id="358" w:name="_Toc304295560"/>
      <w:bookmarkStart w:id="359" w:name="_Toc312677496"/>
      <w:bookmarkStart w:id="360" w:name="_Toc312678022"/>
      <w:bookmarkStart w:id="361" w:name="_Toc297216193"/>
      <w:bookmarkStart w:id="362" w:name="_Toc303539140"/>
      <w:bookmarkStart w:id="363" w:name="_Toc297123534"/>
      <w:bookmarkStart w:id="364" w:name="_Toc300934983"/>
      <w:r>
        <w:rPr>
          <w:rFonts w:hint="eastAsia" w:asciiTheme="minorEastAsia" w:hAnsiTheme="minorEastAsia" w:eastAsiaTheme="minorEastAsia" w:cstheme="minorEastAsia"/>
          <w:b/>
          <w:color w:val="auto"/>
        </w:rPr>
        <w:t>.1试验设备与试验人员</w:t>
      </w:r>
    </w:p>
    <w:bookmarkEnd w:id="358"/>
    <w:bookmarkEnd w:id="359"/>
    <w:bookmarkEnd w:id="360"/>
    <w:bookmarkEnd w:id="361"/>
    <w:bookmarkEnd w:id="362"/>
    <w:bookmarkEnd w:id="363"/>
    <w:bookmarkEnd w:id="364"/>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w:t>
      </w:r>
      <w:bookmarkStart w:id="365" w:name="_Toc304295561"/>
      <w:bookmarkStart w:id="366" w:name="_Toc312677497"/>
      <w:bookmarkStart w:id="367" w:name="_Toc297216194"/>
      <w:bookmarkStart w:id="368" w:name="_Toc297123535"/>
      <w:bookmarkStart w:id="369" w:name="_Toc300934984"/>
      <w:bookmarkStart w:id="370" w:name="_Toc303539141"/>
      <w:bookmarkStart w:id="371" w:name="_Toc312678023"/>
      <w:bookmarkStart w:id="372" w:name="_Toc318581174"/>
      <w:r>
        <w:rPr>
          <w:rFonts w:hint="eastAsia" w:asciiTheme="minorEastAsia" w:hAnsiTheme="minorEastAsia" w:eastAsiaTheme="minorEastAsia" w:cstheme="minorEastAsia"/>
          <w:color w:val="auto"/>
        </w:rPr>
        <w:t>.1.2 试验设备</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施工现场需要配置的试验场所：</w:t>
      </w:r>
      <w:bookmarkEnd w:id="365"/>
      <w:bookmarkEnd w:id="366"/>
      <w:bookmarkEnd w:id="367"/>
      <w:bookmarkEnd w:id="368"/>
      <w:bookmarkEnd w:id="369"/>
      <w:bookmarkEnd w:id="370"/>
      <w:bookmarkEnd w:id="371"/>
      <w:bookmarkStart w:id="373" w:name="_Toc312678024"/>
      <w:bookmarkStart w:id="374" w:name="_Toc303539142"/>
      <w:bookmarkStart w:id="375" w:name="_Toc312677498"/>
      <w:bookmarkStart w:id="376" w:name="_Toc297216195"/>
      <w:bookmarkStart w:id="377" w:name="_Toc297123536"/>
      <w:bookmarkStart w:id="378" w:name="_Toc304295562"/>
      <w:bookmarkStart w:id="379" w:name="_Toc300934985"/>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施工现场需要配备的试验设备：</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施工现场需要具备的其他试验条件：</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9.4 现场工艺试验 </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现场工艺试验的有关约定：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bookmarkEnd w:id="372"/>
    <w:bookmarkEnd w:id="373"/>
    <w:bookmarkEnd w:id="374"/>
    <w:bookmarkEnd w:id="375"/>
    <w:bookmarkEnd w:id="376"/>
    <w:bookmarkEnd w:id="377"/>
    <w:bookmarkEnd w:id="378"/>
    <w:bookmarkEnd w:id="379"/>
    <w:p>
      <w:pPr>
        <w:pStyle w:val="30"/>
        <w:spacing w:line="360" w:lineRule="auto"/>
        <w:ind w:right="0"/>
        <w:rPr>
          <w:rFonts w:asciiTheme="minorEastAsia" w:hAnsiTheme="minorEastAsia" w:eastAsiaTheme="minorEastAsia" w:cstheme="minorEastAsia"/>
          <w:b/>
          <w:bCs/>
          <w:color w:val="auto"/>
        </w:rPr>
      </w:pPr>
      <w:bookmarkStart w:id="380" w:name="_Toc351203642"/>
      <w:r>
        <w:rPr>
          <w:rFonts w:hint="eastAsia" w:asciiTheme="minorEastAsia" w:hAnsiTheme="minorEastAsia" w:eastAsiaTheme="minorEastAsia" w:cstheme="minorEastAsia"/>
          <w:b/>
          <w:bCs/>
          <w:color w:val="auto"/>
        </w:rPr>
        <w:t>1</w:t>
      </w:r>
      <w:bookmarkEnd w:id="346"/>
      <w:bookmarkEnd w:id="347"/>
      <w:bookmarkEnd w:id="348"/>
      <w:bookmarkEnd w:id="349"/>
      <w:bookmarkEnd w:id="350"/>
      <w:bookmarkEnd w:id="351"/>
      <w:bookmarkEnd w:id="352"/>
      <w:bookmarkEnd w:id="353"/>
      <w:bookmarkEnd w:id="354"/>
      <w:bookmarkEnd w:id="355"/>
      <w:bookmarkEnd w:id="356"/>
      <w:bookmarkEnd w:id="357"/>
      <w:bookmarkStart w:id="381" w:name="_Toc292559398"/>
      <w:bookmarkStart w:id="382" w:name="_Toc296503193"/>
      <w:bookmarkStart w:id="383" w:name="_Toc296891021"/>
      <w:bookmarkStart w:id="384" w:name="_Toc297048379"/>
      <w:bookmarkStart w:id="385" w:name="_Toc297216199"/>
      <w:bookmarkStart w:id="386" w:name="_Toc304295566"/>
      <w:bookmarkStart w:id="387" w:name="_Toc292559903"/>
      <w:bookmarkStart w:id="388" w:name="_Toc303539146"/>
      <w:bookmarkStart w:id="389" w:name="_Toc296944532"/>
      <w:bookmarkStart w:id="390" w:name="_Toc297123540"/>
      <w:bookmarkStart w:id="391" w:name="_Toc296891233"/>
      <w:bookmarkStart w:id="392" w:name="_Toc296347192"/>
      <w:bookmarkStart w:id="393" w:name="_Toc300934989"/>
      <w:bookmarkStart w:id="394" w:name="_Toc296346694"/>
      <w:bookmarkStart w:id="395" w:name="_Toc297120493"/>
      <w:bookmarkStart w:id="396" w:name="_Toc312678025"/>
      <w:bookmarkStart w:id="397" w:name="_Toc312677499"/>
      <w:bookmarkStart w:id="398" w:name="_Toc267251433"/>
      <w:bookmarkStart w:id="399" w:name="_Toc267251440"/>
      <w:bookmarkStart w:id="400" w:name="_Toc267251439"/>
      <w:bookmarkStart w:id="401" w:name="_Toc267251435"/>
      <w:bookmarkStart w:id="402" w:name="_Toc267251441"/>
      <w:bookmarkStart w:id="403" w:name="_Toc267251437"/>
      <w:bookmarkStart w:id="404" w:name="_Toc267251442"/>
      <w:r>
        <w:rPr>
          <w:rFonts w:hint="eastAsia" w:asciiTheme="minorEastAsia" w:hAnsiTheme="minorEastAsia" w:eastAsiaTheme="minorEastAsia" w:cstheme="minorEastAsia"/>
          <w:b/>
          <w:bCs/>
          <w:color w:val="auto"/>
        </w:rPr>
        <w:t>0. 变更</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bookmarkEnd w:id="396"/>
    <w:bookmarkEnd w:id="397"/>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w:t>
      </w:r>
      <w:bookmarkStart w:id="405" w:name="_Toc296891234"/>
      <w:bookmarkStart w:id="406" w:name="_Toc297123541"/>
      <w:bookmarkStart w:id="407" w:name="_Toc296891022"/>
      <w:bookmarkStart w:id="408" w:name="_Toc292559904"/>
      <w:bookmarkStart w:id="409" w:name="_Toc296503194"/>
      <w:bookmarkStart w:id="410" w:name="_Toc292559399"/>
      <w:bookmarkStart w:id="411" w:name="_Toc304295567"/>
      <w:bookmarkStart w:id="412" w:name="_Toc303539147"/>
      <w:bookmarkStart w:id="413" w:name="_Toc296347193"/>
      <w:bookmarkStart w:id="414" w:name="_Toc297120494"/>
      <w:bookmarkStart w:id="415" w:name="_Toc312677500"/>
      <w:bookmarkStart w:id="416" w:name="_Toc296346695"/>
      <w:bookmarkStart w:id="417" w:name="_Toc300934990"/>
      <w:bookmarkStart w:id="418" w:name="_Toc312678026"/>
      <w:bookmarkStart w:id="419" w:name="_Toc297048380"/>
      <w:bookmarkStart w:id="420" w:name="_Toc297216200"/>
      <w:bookmarkStart w:id="421" w:name="_Toc296944533"/>
      <w:r>
        <w:rPr>
          <w:rFonts w:hint="eastAsia" w:asciiTheme="minorEastAsia" w:hAnsiTheme="minorEastAsia" w:eastAsiaTheme="minorEastAsia" w:cstheme="minorEastAsia"/>
          <w:b/>
          <w:color w:val="auto"/>
        </w:rPr>
        <w:t>0.1变更的范围</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关于变更的范围的约定：</w:t>
      </w:r>
      <w:r>
        <w:rPr>
          <w:rFonts w:hint="eastAsia" w:asciiTheme="minorEastAsia" w:hAnsiTheme="minorEastAsia" w:eastAsiaTheme="minorEastAsia" w:cstheme="minorEastAsia"/>
          <w:bCs/>
          <w:color w:val="auto"/>
          <w:u w:val="single"/>
        </w:rPr>
        <w:t xml:space="preserve">                       </w:t>
      </w:r>
      <w:r>
        <w:rPr>
          <w:rFonts w:hint="eastAsia" w:asciiTheme="minorEastAsia" w:hAnsiTheme="minorEastAsia" w:eastAsiaTheme="minorEastAsia" w:cstheme="minorEastAsia"/>
          <w:color w:val="auto"/>
          <w:u w:val="single"/>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10.4 变更估价</w:t>
      </w:r>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10.4.1 变更估价原则</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关于变更估价的约定: </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Start w:id="422" w:name="_Toc297048383"/>
      <w:bookmarkStart w:id="423" w:name="_Toc297123544"/>
      <w:bookmarkStart w:id="424" w:name="_Toc296503197"/>
      <w:bookmarkStart w:id="425" w:name="_Toc300934993"/>
      <w:bookmarkStart w:id="426" w:name="_Toc292559402"/>
      <w:bookmarkStart w:id="427" w:name="_Toc296347196"/>
      <w:bookmarkStart w:id="428" w:name="_Toc292559907"/>
      <w:bookmarkStart w:id="429" w:name="_Toc296891025"/>
      <w:bookmarkStart w:id="430" w:name="_Toc296346698"/>
      <w:bookmarkStart w:id="431" w:name="_Toc297120497"/>
      <w:bookmarkStart w:id="432" w:name="_Toc303539150"/>
      <w:bookmarkStart w:id="433" w:name="_Toc296944536"/>
      <w:bookmarkStart w:id="434" w:name="_Toc297216203"/>
      <w:bookmarkStart w:id="435" w:name="_Toc296891237"/>
      <w:bookmarkStart w:id="436" w:name="_Toc312678029"/>
      <w:bookmarkStart w:id="437" w:name="_Toc304295570"/>
      <w:bookmarkStart w:id="438" w:name="_Toc312677503"/>
      <w:r>
        <w:rPr>
          <w:rFonts w:hint="eastAsia" w:asciiTheme="minorEastAsia" w:hAnsiTheme="minorEastAsia" w:eastAsiaTheme="minorEastAsia" w:cstheme="minorEastAsia"/>
          <w:color w:val="auto"/>
        </w:rPr>
        <w:t>0.5承</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Start w:id="439" w:name="_Toc292559408"/>
      <w:bookmarkStart w:id="440" w:name="_Toc296347202"/>
      <w:bookmarkStart w:id="441" w:name="_Toc297216204"/>
      <w:bookmarkStart w:id="442" w:name="_Toc296891031"/>
      <w:bookmarkStart w:id="443" w:name="_Toc303539151"/>
      <w:bookmarkStart w:id="444" w:name="_Toc300934994"/>
      <w:bookmarkStart w:id="445" w:name="_Toc296346704"/>
      <w:bookmarkStart w:id="446" w:name="_Toc296891243"/>
      <w:bookmarkStart w:id="447" w:name="_Toc297048389"/>
      <w:bookmarkStart w:id="448" w:name="_Toc292559913"/>
      <w:bookmarkStart w:id="449" w:name="_Toc296503203"/>
      <w:bookmarkStart w:id="450" w:name="_Toc297120503"/>
      <w:bookmarkStart w:id="451" w:name="_Toc296944542"/>
      <w:bookmarkStart w:id="452" w:name="_Toc297123545"/>
      <w:r>
        <w:rPr>
          <w:rFonts w:hint="eastAsia" w:asciiTheme="minorEastAsia" w:hAnsiTheme="minorEastAsia" w:eastAsiaTheme="minorEastAsia" w:cstheme="minorEastAsia"/>
          <w:color w:val="auto"/>
        </w:rPr>
        <w:t>包人的合理化建议</w:t>
      </w:r>
    </w:p>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监理人审查承包人合理化建议的期限：</w:t>
      </w:r>
      <w:r>
        <w:rPr>
          <w:rFonts w:hint="eastAsia" w:asciiTheme="minorEastAsia" w:hAnsiTheme="minorEastAsia" w:eastAsiaTheme="minorEastAsia" w:cstheme="minorEastAsia"/>
          <w:color w:val="auto"/>
          <w:u w:val="single"/>
        </w:rPr>
        <w:t xml:space="preserve">        执行通用条款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发包人审批承包人合理化建议的期限：</w:t>
      </w:r>
      <w:r>
        <w:rPr>
          <w:rFonts w:hint="eastAsia" w:asciiTheme="minorEastAsia" w:hAnsiTheme="minorEastAsia" w:eastAsiaTheme="minorEastAsia" w:cstheme="minorEastAsia"/>
          <w:color w:val="auto"/>
          <w:u w:val="single"/>
        </w:rPr>
        <w:t xml:space="preserve">       执行通用条款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承</w:t>
      </w:r>
      <w:bookmarkStart w:id="453" w:name="_Toc297048390"/>
      <w:bookmarkStart w:id="454" w:name="_Toc312677504"/>
      <w:bookmarkStart w:id="455" w:name="_Toc303539152"/>
      <w:bookmarkStart w:id="456" w:name="_Toc304295571"/>
      <w:bookmarkStart w:id="457" w:name="_Toc296891244"/>
      <w:bookmarkStart w:id="458" w:name="_Toc296503204"/>
      <w:bookmarkStart w:id="459" w:name="_Toc297120504"/>
      <w:bookmarkStart w:id="460" w:name="_Toc296891032"/>
      <w:bookmarkStart w:id="461" w:name="_Toc292559914"/>
      <w:bookmarkStart w:id="462" w:name="_Toc297216205"/>
      <w:bookmarkStart w:id="463" w:name="_Toc297123546"/>
      <w:bookmarkStart w:id="464" w:name="_Toc296346705"/>
      <w:bookmarkStart w:id="465" w:name="_Toc292559409"/>
      <w:bookmarkStart w:id="466" w:name="_Toc296944543"/>
      <w:bookmarkStart w:id="467" w:name="_Toc312678030"/>
      <w:bookmarkStart w:id="468" w:name="_Toc300934995"/>
      <w:bookmarkStart w:id="469" w:name="_Toc318581175"/>
      <w:bookmarkStart w:id="470" w:name="_Toc296347203"/>
      <w:r>
        <w:rPr>
          <w:rFonts w:hint="eastAsia" w:asciiTheme="minorEastAsia" w:hAnsiTheme="minorEastAsia" w:eastAsiaTheme="minorEastAsia" w:cstheme="minorEastAsia"/>
          <w:color w:val="auto"/>
        </w:rPr>
        <w:t>包人提出的合理化建议降低了合同价格或者提高了工程经济效益的奖励的方法和金额为：</w:t>
      </w:r>
      <w:r>
        <w:rPr>
          <w:rFonts w:hint="eastAsia" w:asciiTheme="minorEastAsia" w:hAnsiTheme="minorEastAsia" w:eastAsiaTheme="minorEastAsia" w:cstheme="minorEastAsia"/>
          <w:color w:val="auto"/>
          <w:u w:val="single"/>
        </w:rPr>
        <w:t xml:space="preserve">             无  </w:t>
      </w:r>
      <w:r>
        <w:rPr>
          <w:rFonts w:hint="eastAsia" w:asciiTheme="minorEastAsia" w:hAnsiTheme="minorEastAsia" w:eastAsiaTheme="minorEastAsia" w:cstheme="minorEastAsia"/>
          <w:color w:val="auto"/>
        </w:rPr>
        <w:t>。</w:t>
      </w:r>
    </w:p>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w:t>
      </w:r>
      <w:bookmarkStart w:id="471" w:name="_Toc304295574"/>
      <w:bookmarkStart w:id="472" w:name="_Toc296346700"/>
      <w:bookmarkStart w:id="473" w:name="_Toc296891239"/>
      <w:bookmarkStart w:id="474" w:name="_Toc292559909"/>
      <w:bookmarkStart w:id="475" w:name="_Toc297123548"/>
      <w:bookmarkStart w:id="476" w:name="_Toc312677507"/>
      <w:bookmarkStart w:id="477" w:name="_Toc297120499"/>
      <w:bookmarkStart w:id="478" w:name="_Toc292559404"/>
      <w:bookmarkStart w:id="479" w:name="_Toc296944538"/>
      <w:bookmarkStart w:id="480" w:name="_Toc297216207"/>
      <w:bookmarkStart w:id="481" w:name="_Toc303539154"/>
      <w:bookmarkStart w:id="482" w:name="_Toc312678033"/>
      <w:bookmarkStart w:id="483" w:name="_Toc296503199"/>
      <w:bookmarkStart w:id="484" w:name="_Toc297048385"/>
      <w:bookmarkStart w:id="485" w:name="_Toc300934997"/>
      <w:bookmarkStart w:id="486" w:name="_Toc296891027"/>
      <w:bookmarkStart w:id="487" w:name="_Toc296347198"/>
      <w:r>
        <w:rPr>
          <w:rFonts w:hint="eastAsia" w:asciiTheme="minorEastAsia" w:hAnsiTheme="minorEastAsia" w:eastAsiaTheme="minorEastAsia" w:cstheme="minorEastAsia"/>
          <w:b/>
          <w:color w:val="auto"/>
        </w:rPr>
        <w:t>0.7 暂估价</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Start w:id="488" w:name="_Toc312677508"/>
      <w:bookmarkStart w:id="489" w:name="_Toc312678034"/>
      <w:bookmarkStart w:id="490" w:name="_Toc318581176"/>
    </w:p>
    <w:bookmarkEnd w:id="488"/>
    <w:bookmarkEnd w:id="489"/>
    <w:bookmarkEnd w:id="490"/>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bookmarkStart w:id="491" w:name="_Toc312677509"/>
      <w:bookmarkStart w:id="492" w:name="_Toc318581177"/>
      <w:bookmarkStart w:id="493" w:name="_Toc312678035"/>
      <w:r>
        <w:rPr>
          <w:rFonts w:hint="eastAsia" w:asciiTheme="minorEastAsia" w:hAnsiTheme="minorEastAsia" w:eastAsiaTheme="minorEastAsia" w:cstheme="minorEastAsia"/>
          <w:color w:val="auto"/>
        </w:rPr>
        <w:t>0.7.1 依法必须</w:t>
      </w:r>
      <w:r>
        <w:rPr>
          <w:rFonts w:hint="eastAsia" w:asciiTheme="minorEastAsia" w:hAnsiTheme="minorEastAsia" w:eastAsiaTheme="minorEastAsia" w:cstheme="minorEastAsia"/>
          <w:color w:val="auto"/>
          <w:lang w:val="en-US" w:eastAsia="zh-CN"/>
        </w:rPr>
        <w:t>磋商</w:t>
      </w:r>
      <w:r>
        <w:rPr>
          <w:rFonts w:hint="eastAsia" w:asciiTheme="minorEastAsia" w:hAnsiTheme="minorEastAsia" w:eastAsiaTheme="minorEastAsia" w:cstheme="minorEastAsia"/>
          <w:color w:val="auto"/>
        </w:rPr>
        <w:t>的暂估价项目</w:t>
      </w:r>
    </w:p>
    <w:bookmarkEnd w:id="491"/>
    <w:bookmarkEnd w:id="492"/>
    <w:bookmarkEnd w:id="493"/>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对于依法必须</w:t>
      </w:r>
      <w:r>
        <w:rPr>
          <w:rFonts w:hint="eastAsia" w:asciiTheme="minorEastAsia" w:hAnsiTheme="minorEastAsia" w:eastAsiaTheme="minorEastAsia" w:cstheme="minorEastAsia"/>
          <w:color w:val="auto"/>
          <w:lang w:val="en-US" w:eastAsia="zh-CN"/>
        </w:rPr>
        <w:t>磋商</w:t>
      </w:r>
      <w:r>
        <w:rPr>
          <w:rFonts w:hint="eastAsia" w:asciiTheme="minorEastAsia" w:hAnsiTheme="minorEastAsia" w:eastAsiaTheme="minorEastAsia" w:cstheme="minorEastAsia"/>
          <w:color w:val="auto"/>
        </w:rPr>
        <w:t>的暂估价项目的确认和批准采取招标方式确定。</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10.7.2 不属于依法必须</w:t>
      </w:r>
      <w:r>
        <w:rPr>
          <w:rFonts w:hint="eastAsia" w:asciiTheme="minorEastAsia" w:hAnsiTheme="minorEastAsia" w:eastAsiaTheme="minorEastAsia" w:cstheme="minorEastAsia"/>
          <w:color w:val="auto"/>
          <w:lang w:val="en-US" w:eastAsia="zh-CN"/>
        </w:rPr>
        <w:t>磋商</w:t>
      </w:r>
      <w:r>
        <w:rPr>
          <w:rFonts w:hint="eastAsia" w:asciiTheme="minorEastAsia" w:hAnsiTheme="minorEastAsia" w:eastAsiaTheme="minorEastAsia" w:cstheme="minorEastAsia"/>
          <w:color w:val="auto"/>
        </w:rPr>
        <w:t>的暂估价项目</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对于不属于依法必须</w:t>
      </w:r>
      <w:r>
        <w:rPr>
          <w:rFonts w:hint="eastAsia" w:asciiTheme="minorEastAsia" w:hAnsiTheme="minorEastAsia" w:eastAsiaTheme="minorEastAsia" w:cstheme="minorEastAsia"/>
          <w:color w:val="auto"/>
          <w:lang w:val="en-US" w:eastAsia="zh-CN"/>
        </w:rPr>
        <w:t>磋商</w:t>
      </w:r>
      <w:r>
        <w:rPr>
          <w:rFonts w:hint="eastAsia" w:asciiTheme="minorEastAsia" w:hAnsiTheme="minorEastAsia" w:eastAsiaTheme="minorEastAsia" w:cstheme="minorEastAsia"/>
          <w:color w:val="auto"/>
        </w:rPr>
        <w:t>的暂估价项目的确认和批准采取直接实施方式确定。</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第3种方式：承包人直接实施的暂估价项目</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承包人直接实施的暂估价项目的约定：</w:t>
      </w:r>
      <w:r>
        <w:rPr>
          <w:rFonts w:hint="eastAsia" w:asciiTheme="minorEastAsia" w:hAnsiTheme="minorEastAsia" w:eastAsiaTheme="minorEastAsia" w:cstheme="minorEastAsia"/>
          <w:color w:val="auto"/>
          <w:u w:val="single"/>
        </w:rPr>
        <w:t xml:space="preserve">/ </w:t>
      </w:r>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10.8 暂列金额</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合同当事人关于暂列金额使用的约定：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b/>
          <w:bCs/>
          <w:color w:val="auto"/>
        </w:rPr>
        <w:t>。</w:t>
      </w:r>
    </w:p>
    <w:p>
      <w:pPr>
        <w:pStyle w:val="30"/>
        <w:spacing w:line="360" w:lineRule="auto"/>
        <w:ind w:right="0"/>
        <w:rPr>
          <w:rFonts w:asciiTheme="minorEastAsia" w:hAnsiTheme="minorEastAsia" w:eastAsiaTheme="minorEastAsia" w:cstheme="minorEastAsia"/>
          <w:b/>
          <w:bCs/>
          <w:color w:val="auto"/>
        </w:rPr>
      </w:pPr>
      <w:bookmarkStart w:id="494" w:name="_Toc351203643"/>
      <w:r>
        <w:rPr>
          <w:rFonts w:hint="eastAsia" w:asciiTheme="minorEastAsia" w:hAnsiTheme="minorEastAsia" w:eastAsiaTheme="minorEastAsia" w:cstheme="minorEastAsia"/>
          <w:b/>
          <w:bCs/>
          <w:color w:val="auto"/>
        </w:rPr>
        <w:t>11. 价格调整</w:t>
      </w:r>
      <w:bookmarkEnd w:id="494"/>
    </w:p>
    <w:p>
      <w:pPr>
        <w:pStyle w:val="30"/>
        <w:spacing w:line="360" w:lineRule="auto"/>
        <w:ind w:right="0"/>
        <w:rPr>
          <w:rFonts w:asciiTheme="minorEastAsia" w:hAnsiTheme="minorEastAsia" w:eastAsiaTheme="minorEastAsia" w:cstheme="minorEastAsia"/>
          <w:b/>
          <w:color w:val="auto"/>
        </w:rPr>
      </w:pPr>
      <w:bookmarkStart w:id="495" w:name="_Toc296346702"/>
      <w:bookmarkStart w:id="496" w:name="_Toc297216209"/>
      <w:bookmarkStart w:id="497" w:name="_Toc303539157"/>
      <w:bookmarkStart w:id="498" w:name="_Toc297048387"/>
      <w:bookmarkStart w:id="499" w:name="_Toc304295577"/>
      <w:bookmarkStart w:id="500" w:name="_Toc292559911"/>
      <w:bookmarkStart w:id="501" w:name="_Toc296891029"/>
      <w:bookmarkStart w:id="502" w:name="_Toc296891241"/>
      <w:bookmarkStart w:id="503" w:name="_Toc297123550"/>
      <w:bookmarkStart w:id="504" w:name="_Toc300935000"/>
      <w:bookmarkStart w:id="505" w:name="_Toc296503201"/>
      <w:bookmarkStart w:id="506" w:name="_Toc296347200"/>
      <w:bookmarkStart w:id="507" w:name="_Toc297120501"/>
      <w:bookmarkStart w:id="508" w:name="_Toc312678039"/>
      <w:bookmarkStart w:id="509" w:name="_Toc292559406"/>
      <w:bookmarkStart w:id="510" w:name="_Toc296944540"/>
      <w:r>
        <w:rPr>
          <w:rFonts w:hint="eastAsia" w:asciiTheme="minorEastAsia" w:hAnsiTheme="minorEastAsia" w:eastAsiaTheme="minorEastAsia" w:cstheme="minorEastAsia"/>
          <w:b/>
          <w:color w:val="auto"/>
        </w:rPr>
        <w:t>11.1 市场价格波动引起的调整</w:t>
      </w:r>
    </w:p>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（1）市场价格波动是否调整合同价格的约定：</w:t>
      </w:r>
      <w:r>
        <w:rPr>
          <w:rFonts w:hint="eastAsia" w:asciiTheme="minorEastAsia" w:hAnsiTheme="minorEastAsia" w:eastAsiaTheme="minorEastAsia" w:cstheme="minorEastAsia"/>
          <w:color w:val="auto"/>
          <w:u w:val="single"/>
        </w:rPr>
        <w:t xml:space="preserve">    /   。</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因市场价格波动调整合同价格，采用以下第</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种方式对合同价格进行调整：</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第1种方式：采用价格指数进行价格调整。</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关于各可调因子、定值和变值权重，以及基本价格指数及其来源的约定：</w:t>
      </w:r>
      <w:r>
        <w:rPr>
          <w:rFonts w:hint="eastAsia" w:asciiTheme="minorEastAsia" w:hAnsiTheme="minorEastAsia" w:eastAsiaTheme="minorEastAsia" w:cstheme="minorEastAsia"/>
          <w:color w:val="auto"/>
          <w:u w:val="single"/>
        </w:rPr>
        <w:t xml:space="preserve">               ：</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第2种方式：采用造价信息进行价格调整。</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（2）关于基准价格的约定：</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专用合同条款①承包人在已标价工程量清单或预算书中载明材料单价低于基准价格的：专用合同条款合同履行期间材料单价涨幅以基准价格为基础超过</w:t>
      </w:r>
      <w:r>
        <w:rPr>
          <w:rFonts w:hint="eastAsia" w:asciiTheme="minorEastAsia" w:hAnsiTheme="minorEastAsia" w:eastAsiaTheme="minorEastAsia" w:cstheme="minorEastAsia"/>
          <w:color w:val="auto"/>
          <w:u w:val="single"/>
        </w:rPr>
        <w:t>/%</w:t>
      </w:r>
      <w:r>
        <w:rPr>
          <w:rFonts w:hint="eastAsia" w:asciiTheme="minorEastAsia" w:hAnsiTheme="minorEastAsia" w:eastAsiaTheme="minorEastAsia" w:cstheme="minorEastAsia"/>
          <w:color w:val="auto"/>
        </w:rPr>
        <w:t>时，或材料单价跌幅以在已标价工程量清单或预算书中载明材料单价为基础超过</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时，其超过部分据实调整。</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②承包人在已标价工程量清单或预算书中载明材料单价高于基准价格的：专用合同条款合同履行期间材料单价跌幅以基准价格为基础超过</w:t>
      </w:r>
      <w:r>
        <w:rPr>
          <w:rFonts w:hint="eastAsia" w:asciiTheme="minorEastAsia" w:hAnsiTheme="minorEastAsia" w:eastAsiaTheme="minorEastAsia" w:cstheme="minorEastAsia"/>
          <w:color w:val="auto"/>
          <w:u w:val="single"/>
        </w:rPr>
        <w:t>/%</w:t>
      </w:r>
      <w:r>
        <w:rPr>
          <w:rFonts w:hint="eastAsia" w:asciiTheme="minorEastAsia" w:hAnsiTheme="minorEastAsia" w:eastAsiaTheme="minorEastAsia" w:cstheme="minorEastAsia"/>
          <w:color w:val="auto"/>
        </w:rPr>
        <w:t>时，材料单价涨幅以在已标价工程量清单或预算书中载明材料单价为基础超过</w:t>
      </w:r>
      <w:r>
        <w:rPr>
          <w:rFonts w:hint="eastAsia" w:asciiTheme="minorEastAsia" w:hAnsiTheme="minorEastAsia" w:eastAsiaTheme="minorEastAsia" w:cstheme="minorEastAsia"/>
          <w:color w:val="auto"/>
          <w:u w:val="single"/>
        </w:rPr>
        <w:t>/%</w:t>
      </w:r>
      <w:r>
        <w:rPr>
          <w:rFonts w:hint="eastAsia" w:asciiTheme="minorEastAsia" w:hAnsiTheme="minorEastAsia" w:eastAsiaTheme="minorEastAsia" w:cstheme="minorEastAsia"/>
          <w:color w:val="auto"/>
        </w:rPr>
        <w:t>时，其超过部分据实调整。</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③承包人在已标价工程量清单或预算书中载明材料单价等于基准价格的：专用合同条款合同履行期间材料单价涨跌幅以基准价格为基础超过</w:t>
      </w:r>
      <w:r>
        <w:rPr>
          <w:rFonts w:hint="eastAsia" w:asciiTheme="minorEastAsia" w:hAnsiTheme="minorEastAsia" w:eastAsiaTheme="minorEastAsia" w:cstheme="minorEastAsia"/>
          <w:color w:val="auto"/>
          <w:u w:val="single"/>
        </w:rPr>
        <w:t>/%</w:t>
      </w:r>
      <w:r>
        <w:rPr>
          <w:rFonts w:hint="eastAsia" w:asciiTheme="minorEastAsia" w:hAnsiTheme="minorEastAsia" w:eastAsiaTheme="minorEastAsia" w:cstheme="minorEastAsia"/>
          <w:color w:val="auto"/>
        </w:rPr>
        <w:t>时，其超过部分据实调整。</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第3种方式：其他价格调整方式：</w:t>
      </w:r>
      <w:r>
        <w:rPr>
          <w:rFonts w:hint="eastAsia" w:asciiTheme="minorEastAsia" w:hAnsiTheme="minorEastAsia" w:eastAsiaTheme="minorEastAsia" w:cstheme="minorEastAsia"/>
          <w:color w:val="auto"/>
          <w:u w:val="single"/>
        </w:rPr>
        <w:t xml:space="preserve">   /         。</w:t>
      </w:r>
    </w:p>
    <w:bookmarkEnd w:id="398"/>
    <w:bookmarkEnd w:id="399"/>
    <w:bookmarkEnd w:id="400"/>
    <w:bookmarkEnd w:id="401"/>
    <w:bookmarkEnd w:id="402"/>
    <w:bookmarkEnd w:id="403"/>
    <w:p>
      <w:pPr>
        <w:pStyle w:val="30"/>
        <w:spacing w:line="360" w:lineRule="auto"/>
        <w:ind w:right="0"/>
        <w:rPr>
          <w:rFonts w:asciiTheme="minorEastAsia" w:hAnsiTheme="minorEastAsia" w:eastAsiaTheme="minorEastAsia" w:cstheme="minorEastAsia"/>
          <w:b/>
          <w:bCs/>
          <w:color w:val="auto"/>
        </w:rPr>
      </w:pPr>
      <w:bookmarkStart w:id="511" w:name="_Toc296944544"/>
      <w:bookmarkStart w:id="512" w:name="_Toc297120505"/>
      <w:bookmarkStart w:id="513" w:name="_Toc296891033"/>
      <w:bookmarkStart w:id="514" w:name="_Toc296503205"/>
      <w:bookmarkStart w:id="515" w:name="_Toc292559915"/>
      <w:bookmarkStart w:id="516" w:name="_Toc292559410"/>
      <w:bookmarkStart w:id="517" w:name="_Toc296346706"/>
      <w:bookmarkStart w:id="518" w:name="_Toc296891245"/>
      <w:bookmarkStart w:id="519" w:name="_Toc297048391"/>
      <w:bookmarkStart w:id="520" w:name="_Toc296347204"/>
      <w:bookmarkStart w:id="521" w:name="_Toc351203644"/>
      <w:bookmarkStart w:id="522" w:name="_Toc304295579"/>
      <w:bookmarkStart w:id="523" w:name="_Toc300935002"/>
      <w:bookmarkStart w:id="524" w:name="_Toc297123552"/>
      <w:bookmarkStart w:id="525" w:name="_Toc312678040"/>
      <w:bookmarkStart w:id="526" w:name="_Toc303539159"/>
      <w:bookmarkStart w:id="527" w:name="_Toc297216211"/>
      <w:r>
        <w:rPr>
          <w:rFonts w:hint="eastAsia" w:asciiTheme="minorEastAsia" w:hAnsiTheme="minorEastAsia" w:eastAsiaTheme="minorEastAsia" w:cstheme="minorEastAsia"/>
          <w:b/>
          <w:bCs/>
          <w:color w:val="auto"/>
        </w:rPr>
        <w:t xml:space="preserve">12. </w:t>
      </w:r>
      <w:bookmarkEnd w:id="511"/>
      <w:bookmarkEnd w:id="512"/>
      <w:bookmarkEnd w:id="513"/>
      <w:bookmarkEnd w:id="514"/>
      <w:bookmarkEnd w:id="515"/>
      <w:bookmarkEnd w:id="516"/>
      <w:bookmarkEnd w:id="517"/>
      <w:bookmarkEnd w:id="518"/>
      <w:bookmarkEnd w:id="519"/>
      <w:bookmarkEnd w:id="520"/>
      <w:r>
        <w:rPr>
          <w:rFonts w:hint="eastAsia" w:asciiTheme="minorEastAsia" w:hAnsiTheme="minorEastAsia" w:eastAsiaTheme="minorEastAsia" w:cstheme="minorEastAsia"/>
          <w:b/>
          <w:bCs/>
          <w:color w:val="auto"/>
        </w:rPr>
        <w:t>合同价格、计量与支付</w:t>
      </w:r>
      <w:bookmarkEnd w:id="521"/>
      <w:r>
        <w:rPr>
          <w:rFonts w:hint="eastAsia" w:asciiTheme="minorEastAsia" w:hAnsiTheme="minorEastAsia" w:eastAsiaTheme="minorEastAsia" w:cstheme="minorEastAsia"/>
          <w:b/>
          <w:bCs/>
          <w:color w:val="auto"/>
        </w:rPr>
        <w:t xml:space="preserve"> </w:t>
      </w:r>
    </w:p>
    <w:p>
      <w:pPr>
        <w:pStyle w:val="30"/>
        <w:spacing w:line="360" w:lineRule="auto"/>
        <w:ind w:right="0"/>
        <w:rPr>
          <w:rFonts w:asciiTheme="minorEastAsia" w:hAnsiTheme="minorEastAsia" w:eastAsiaTheme="minorEastAsia" w:cstheme="minorEastAsia"/>
          <w:color w:val="auto"/>
          <w:u w:val="single"/>
        </w:rPr>
      </w:pPr>
      <w:bookmarkStart w:id="528" w:name="_Toc267251461"/>
      <w:bookmarkStart w:id="529" w:name="_Toc292559916"/>
      <w:bookmarkStart w:id="530" w:name="_Toc292559411"/>
      <w:bookmarkStart w:id="531" w:name="_Toc296503206"/>
      <w:bookmarkStart w:id="532" w:name="_Toc296891246"/>
      <w:bookmarkStart w:id="533" w:name="_Toc297120506"/>
      <w:bookmarkStart w:id="534" w:name="_Toc297048392"/>
      <w:bookmarkStart w:id="535" w:name="_Toc296944545"/>
      <w:bookmarkStart w:id="536" w:name="_Toc296891034"/>
      <w:bookmarkStart w:id="537" w:name="_Toc296346707"/>
      <w:bookmarkStart w:id="538" w:name="_Toc296347205"/>
      <w:bookmarkStart w:id="539" w:name="_Toc300935003"/>
      <w:bookmarkStart w:id="540" w:name="_Toc303539160"/>
      <w:bookmarkStart w:id="541" w:name="_Toc312678041"/>
      <w:bookmarkStart w:id="542" w:name="_Toc297216212"/>
      <w:bookmarkStart w:id="543" w:name="_Toc297123553"/>
      <w:bookmarkStart w:id="544" w:name="_Toc304295580"/>
      <w:r>
        <w:rPr>
          <w:rFonts w:hint="eastAsia" w:asciiTheme="minorEastAsia" w:hAnsiTheme="minorEastAsia" w:eastAsiaTheme="minorEastAsia" w:cstheme="minorEastAsia"/>
          <w:b/>
          <w:color w:val="auto"/>
        </w:rPr>
        <w:t>12.1 合</w:t>
      </w:r>
      <w:bookmarkEnd w:id="528"/>
      <w:bookmarkEnd w:id="529"/>
      <w:bookmarkEnd w:id="530"/>
      <w:r>
        <w:rPr>
          <w:rFonts w:hint="eastAsia" w:asciiTheme="minorEastAsia" w:hAnsiTheme="minorEastAsia" w:eastAsiaTheme="minorEastAsia" w:cstheme="minorEastAsia"/>
          <w:b/>
          <w:color w:val="auto"/>
        </w:rPr>
        <w:t>同价</w:t>
      </w:r>
      <w:bookmarkEnd w:id="531"/>
      <w:bookmarkEnd w:id="532"/>
      <w:bookmarkEnd w:id="533"/>
      <w:bookmarkEnd w:id="534"/>
      <w:bookmarkEnd w:id="535"/>
      <w:bookmarkEnd w:id="536"/>
      <w:bookmarkEnd w:id="537"/>
      <w:bookmarkEnd w:id="538"/>
      <w:r>
        <w:rPr>
          <w:rFonts w:hint="eastAsia" w:asciiTheme="minorEastAsia" w:hAnsiTheme="minorEastAsia" w:eastAsiaTheme="minorEastAsia" w:cstheme="minorEastAsia"/>
          <w:b/>
          <w:color w:val="auto"/>
        </w:rPr>
        <w:t>格形式：</w:t>
      </w:r>
      <w:bookmarkEnd w:id="539"/>
      <w:bookmarkEnd w:id="540"/>
      <w:bookmarkEnd w:id="541"/>
      <w:bookmarkEnd w:id="542"/>
      <w:bookmarkEnd w:id="543"/>
      <w:bookmarkEnd w:id="544"/>
      <w:r>
        <w:rPr>
          <w:rFonts w:hint="eastAsia" w:asciiTheme="minorEastAsia" w:hAnsiTheme="minorEastAsia" w:eastAsiaTheme="minorEastAsia" w:cstheme="minorEastAsia"/>
          <w:b/>
          <w:color w:val="auto"/>
          <w:u w:val="single"/>
        </w:rPr>
        <w:t xml:space="preserve">    /   </w:t>
      </w:r>
      <w:r>
        <w:rPr>
          <w:rFonts w:hint="eastAsia" w:asciiTheme="minorEastAsia" w:hAnsiTheme="minorEastAsia" w:eastAsiaTheme="minorEastAsia" w:cstheme="minorEastAsia"/>
          <w:color w:val="auto"/>
          <w:u w:val="single"/>
        </w:rPr>
        <w:t xml:space="preserve"> 。</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1、单价合同。</w:t>
      </w:r>
    </w:p>
    <w:p>
      <w:pPr>
        <w:spacing w:line="360" w:lineRule="auto"/>
        <w:ind w:firstLine="480" w:firstLineChars="200"/>
        <w:jc w:val="left"/>
        <w:rPr>
          <w:rFonts w:asciiTheme="minorEastAsia" w:hAnsiTheme="minorEastAsia" w:eastAsiaTheme="minorEastAsia" w:cstheme="minorEastAsia"/>
          <w:color w:val="auto"/>
          <w:kern w:val="0"/>
          <w:sz w:val="24"/>
          <w:u w:val="single"/>
        </w:rPr>
      </w:pPr>
      <w:r>
        <w:rPr>
          <w:rFonts w:hint="eastAsia" w:asciiTheme="minorEastAsia" w:hAnsiTheme="minorEastAsia" w:eastAsiaTheme="minorEastAsia" w:cstheme="minorEastAsia"/>
          <w:color w:val="auto"/>
          <w:kern w:val="0"/>
          <w:sz w:val="24"/>
        </w:rPr>
        <w:t xml:space="preserve">综合单价包含的风险范围： </w:t>
      </w:r>
      <w:r>
        <w:rPr>
          <w:rFonts w:hint="eastAsia" w:asciiTheme="minorEastAsia" w:hAnsiTheme="minorEastAsia" w:eastAsiaTheme="minorEastAsia" w:cstheme="minorEastAsia"/>
          <w:color w:val="auto"/>
          <w:kern w:val="0"/>
          <w:sz w:val="24"/>
          <w:u w:val="single"/>
        </w:rPr>
        <w:t xml:space="preserve">   / 。</w:t>
      </w:r>
    </w:p>
    <w:p>
      <w:pPr>
        <w:spacing w:line="360" w:lineRule="auto"/>
        <w:ind w:firstLine="480" w:firstLineChars="200"/>
        <w:jc w:val="left"/>
        <w:rPr>
          <w:rFonts w:asciiTheme="minorEastAsia" w:hAnsiTheme="minorEastAsia" w:eastAsiaTheme="minorEastAsia" w:cstheme="minorEastAsia"/>
          <w:color w:val="auto"/>
          <w:kern w:val="0"/>
          <w:sz w:val="24"/>
          <w:u w:val="single"/>
        </w:rPr>
      </w:pPr>
      <w:r>
        <w:rPr>
          <w:rFonts w:hint="eastAsia" w:asciiTheme="minorEastAsia" w:hAnsiTheme="minorEastAsia" w:eastAsiaTheme="minorEastAsia" w:cstheme="minorEastAsia"/>
          <w:color w:val="auto"/>
          <w:kern w:val="0"/>
          <w:sz w:val="24"/>
        </w:rPr>
        <w:t>风险费用的计算方法：</w:t>
      </w:r>
      <w:r>
        <w:rPr>
          <w:rFonts w:hint="eastAsia" w:asciiTheme="minorEastAsia" w:hAnsiTheme="minorEastAsia" w:eastAsiaTheme="minorEastAsia" w:cstheme="minorEastAsia"/>
          <w:color w:val="auto"/>
          <w:kern w:val="0"/>
          <w:sz w:val="24"/>
          <w:u w:val="single"/>
        </w:rPr>
        <w:t xml:space="preserve">    /  。</w:t>
      </w:r>
    </w:p>
    <w:p>
      <w:pPr>
        <w:spacing w:line="360" w:lineRule="auto"/>
        <w:ind w:firstLine="480" w:firstLineChars="200"/>
        <w:jc w:val="left"/>
        <w:rPr>
          <w:rFonts w:asciiTheme="minorEastAsia" w:hAnsiTheme="minorEastAsia" w:eastAsiaTheme="minorEastAsia" w:cstheme="minorEastAsia"/>
          <w:color w:val="auto"/>
          <w:kern w:val="0"/>
          <w:sz w:val="24"/>
          <w:u w:val="single"/>
        </w:rPr>
      </w:pPr>
      <w:r>
        <w:rPr>
          <w:rFonts w:hint="eastAsia" w:asciiTheme="minorEastAsia" w:hAnsiTheme="minorEastAsia" w:eastAsiaTheme="minorEastAsia" w:cstheme="minorEastAsia"/>
          <w:color w:val="auto"/>
          <w:kern w:val="0"/>
          <w:sz w:val="24"/>
        </w:rPr>
        <w:t xml:space="preserve">风险范围以外合同价格的调整方法：  </w:t>
      </w:r>
      <w:r>
        <w:rPr>
          <w:rFonts w:hint="eastAsia" w:asciiTheme="minorEastAsia" w:hAnsiTheme="minorEastAsia" w:eastAsiaTheme="minorEastAsia" w:cstheme="minorEastAsia"/>
          <w:color w:val="auto"/>
          <w:kern w:val="0"/>
          <w:sz w:val="24"/>
          <w:u w:val="single"/>
        </w:rPr>
        <w:t xml:space="preserve">    /     。</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2、总价合同。</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总价包含的风险范围：</w:t>
      </w:r>
      <w:r>
        <w:rPr>
          <w:rFonts w:hint="eastAsia" w:asciiTheme="minorEastAsia" w:hAnsiTheme="minorEastAsia" w:eastAsiaTheme="minorEastAsia" w:cstheme="minorEastAsia"/>
          <w:color w:val="auto"/>
          <w:u w:val="single"/>
        </w:rPr>
        <w:t xml:space="preserve">    /  。</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风险费用的计算方法：</w:t>
      </w:r>
      <w:r>
        <w:rPr>
          <w:rFonts w:hint="eastAsia" w:asciiTheme="minorEastAsia" w:hAnsiTheme="minorEastAsia" w:eastAsiaTheme="minorEastAsia" w:cstheme="minorEastAsia"/>
          <w:color w:val="auto"/>
          <w:u w:val="single"/>
        </w:rPr>
        <w:t xml:space="preserve">    /  。</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风险范围以外合同价格的调整方法：</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bookmarkEnd w:id="522"/>
    <w:bookmarkEnd w:id="523"/>
    <w:bookmarkEnd w:id="524"/>
    <w:bookmarkEnd w:id="525"/>
    <w:bookmarkEnd w:id="526"/>
    <w:bookmarkEnd w:id="527"/>
    <w:p>
      <w:pPr>
        <w:pStyle w:val="30"/>
        <w:spacing w:line="360" w:lineRule="auto"/>
        <w:ind w:right="0"/>
        <w:rPr>
          <w:rFonts w:asciiTheme="minorEastAsia" w:hAnsiTheme="minorEastAsia" w:eastAsiaTheme="minorEastAsia" w:cstheme="minorEastAsia"/>
          <w:b/>
          <w:color w:val="auto"/>
        </w:rPr>
      </w:pPr>
      <w:bookmarkStart w:id="545" w:name="_Toc312678042"/>
      <w:bookmarkStart w:id="546" w:name="_Toc300935004"/>
      <w:bookmarkStart w:id="547" w:name="_Toc303539161"/>
      <w:bookmarkStart w:id="548" w:name="_Toc297123554"/>
      <w:bookmarkStart w:id="549" w:name="_Toc304295581"/>
      <w:bookmarkStart w:id="550" w:name="_Toc297216213"/>
      <w:bookmarkStart w:id="551" w:name="_Toc296891035"/>
      <w:bookmarkStart w:id="552" w:name="_Toc296944546"/>
      <w:bookmarkStart w:id="553" w:name="_Toc296346708"/>
      <w:bookmarkStart w:id="554" w:name="_Toc297120507"/>
      <w:bookmarkStart w:id="555" w:name="_Toc297048393"/>
      <w:bookmarkStart w:id="556" w:name="_Toc296891247"/>
      <w:bookmarkStart w:id="557" w:name="_Toc296503207"/>
      <w:bookmarkStart w:id="558" w:name="_Toc296347206"/>
      <w:bookmarkStart w:id="559" w:name="_Toc292559412"/>
      <w:bookmarkStart w:id="560" w:name="_Toc292559917"/>
      <w:r>
        <w:rPr>
          <w:rFonts w:hint="eastAsia" w:asciiTheme="minorEastAsia" w:hAnsiTheme="minorEastAsia" w:eastAsiaTheme="minorEastAsia" w:cstheme="minorEastAsia"/>
          <w:b/>
          <w:color w:val="auto"/>
        </w:rPr>
        <w:t>12.2 预付款</w:t>
      </w:r>
    </w:p>
    <w:bookmarkEnd w:id="545"/>
    <w:bookmarkEnd w:id="546"/>
    <w:bookmarkEnd w:id="547"/>
    <w:bookmarkEnd w:id="548"/>
    <w:bookmarkEnd w:id="549"/>
    <w:bookmarkEnd w:id="550"/>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12.2.1 预付款的支付</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 xml:space="preserve">预付款支付比例或金额：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rPr>
        <w:t xml:space="preserve">   % </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预付款支付期限：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预付款扣回的方式：</w:t>
      </w:r>
      <w:r>
        <w:rPr>
          <w:rFonts w:hint="eastAsia" w:asciiTheme="minorEastAsia" w:hAnsiTheme="minorEastAsia" w:eastAsiaTheme="minorEastAsia" w:cstheme="minorEastAsia"/>
          <w:color w:val="auto"/>
          <w:u w:val="single"/>
        </w:rPr>
        <w:t xml:space="preserve">                     </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12.2.2 预付款担保</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承包人提交预付款担保的期限：</w:t>
      </w:r>
      <w:r>
        <w:rPr>
          <w:rFonts w:hint="eastAsia" w:asciiTheme="minorEastAsia" w:hAnsiTheme="minorEastAsia" w:eastAsiaTheme="minorEastAsia" w:cstheme="minorEastAsia"/>
          <w:color w:val="auto"/>
          <w:u w:val="single"/>
        </w:rPr>
        <w:t xml:space="preserve">                   </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预付款担保的形式为：</w:t>
      </w:r>
      <w:r>
        <w:rPr>
          <w:rFonts w:hint="eastAsia" w:asciiTheme="minorEastAsia" w:hAnsiTheme="minorEastAsia" w:eastAsiaTheme="minorEastAsia" w:cstheme="minorEastAsia"/>
          <w:color w:val="auto"/>
          <w:u w:val="single"/>
        </w:rPr>
        <w:t xml:space="preserve">                            </w:t>
      </w:r>
    </w:p>
    <w:bookmarkEnd w:id="551"/>
    <w:bookmarkEnd w:id="552"/>
    <w:bookmarkEnd w:id="553"/>
    <w:bookmarkEnd w:id="554"/>
    <w:bookmarkEnd w:id="555"/>
    <w:bookmarkEnd w:id="556"/>
    <w:bookmarkEnd w:id="557"/>
    <w:bookmarkEnd w:id="558"/>
    <w:bookmarkEnd w:id="559"/>
    <w:bookmarkEnd w:id="560"/>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12.3 计量</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12.3.1 计量原则</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工程量计算规则：</w:t>
      </w:r>
      <w:r>
        <w:rPr>
          <w:rFonts w:hint="eastAsia" w:asciiTheme="minorEastAsia" w:hAnsiTheme="minorEastAsia" w:eastAsiaTheme="minorEastAsia" w:cstheme="minorEastAsia"/>
          <w:color w:val="auto"/>
          <w:u w:val="single"/>
        </w:rPr>
        <w:t xml:space="preserve">    /    。</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12.3.2 计量周期</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关于计量周期的约定：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12.3.3 单价合同的计量</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关于单价合同计量的约定：</w:t>
      </w:r>
      <w:r>
        <w:rPr>
          <w:rFonts w:hint="eastAsia" w:asciiTheme="minorEastAsia" w:hAnsiTheme="minorEastAsia" w:eastAsiaTheme="minorEastAsia" w:cstheme="minorEastAsia"/>
          <w:color w:val="auto"/>
          <w:u w:val="single"/>
        </w:rPr>
        <w:t xml:space="preserve">   /      。</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12.3.4 总价合同的计量</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关于总价合同计量的约定：</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left="0" w:right="0" w:firstLine="360" w:firstLineChars="1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12.3.5总价合同采用支付分解表计量支付的，是否适用第12.3.4 项〔总价合同的计量〕约定进行计量：</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12.3.6 其他价格形式合同的计量</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其他价格形式的计量方式和程序：</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12.4 工程进度款支付</w:t>
      </w:r>
    </w:p>
    <w:p>
      <w:pPr>
        <w:pStyle w:val="30"/>
        <w:spacing w:line="360" w:lineRule="auto"/>
        <w:ind w:right="0"/>
        <w:rPr>
          <w:rFonts w:asciiTheme="minorEastAsia" w:hAnsiTheme="minorEastAsia" w:eastAsiaTheme="minorEastAsia" w:cstheme="minorEastAsia"/>
          <w:color w:val="auto"/>
        </w:rPr>
      </w:pPr>
      <w:bookmarkStart w:id="561" w:name="_Toc303539163"/>
      <w:bookmarkStart w:id="562" w:name="_Toc297123556"/>
      <w:bookmarkStart w:id="563" w:name="_Toc297048397"/>
      <w:bookmarkStart w:id="564" w:name="_Toc296503211"/>
      <w:bookmarkStart w:id="565" w:name="_Toc292559921"/>
      <w:bookmarkStart w:id="566" w:name="_Toc296347210"/>
      <w:bookmarkStart w:id="567" w:name="_Toc297120511"/>
      <w:bookmarkStart w:id="568" w:name="_Toc296346712"/>
      <w:bookmarkStart w:id="569" w:name="_Toc292559416"/>
      <w:bookmarkStart w:id="570" w:name="_Toc300935006"/>
      <w:bookmarkStart w:id="571" w:name="_Toc296891251"/>
      <w:bookmarkStart w:id="572" w:name="_Toc296944550"/>
      <w:bookmarkStart w:id="573" w:name="_Toc297216215"/>
      <w:bookmarkStart w:id="574" w:name="_Toc296891039"/>
      <w:r>
        <w:rPr>
          <w:rFonts w:hint="eastAsia" w:asciiTheme="minorEastAsia" w:hAnsiTheme="minorEastAsia" w:eastAsiaTheme="minorEastAsia" w:cstheme="minorEastAsia"/>
          <w:color w:val="auto"/>
        </w:rPr>
        <w:t>12.4.1 付款周期</w:t>
      </w:r>
    </w:p>
    <w:p>
      <w:pPr>
        <w:pStyle w:val="30"/>
        <w:spacing w:line="360" w:lineRule="auto"/>
        <w:ind w:left="0" w:right="0" w:firstLine="360" w:firstLineChars="1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关于付款周期的约定：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12.4.2 进度付款申请单的编制</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关于进度付款申请单编制的约定：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Pr>
          <w:rFonts w:hint="eastAsia" w:asciiTheme="minorEastAsia" w:hAnsiTheme="minorEastAsia" w:eastAsiaTheme="minorEastAsia" w:cstheme="minorEastAsia"/>
          <w:color w:val="auto"/>
        </w:rPr>
        <w:t>2.4.3 进度付款申请单的提交</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（1）单价合同进度付款申请单提交的约定：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（2）总价合同进度付款申请单提交的约定：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（3）其他价格形式合同进度付款申请单提交的约定：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12.4.4 进度款审核和支付</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（1）监理人审查并报送发包人的期限：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发包人完成审批并签发进度款支付证书的期限：</w:t>
      </w:r>
      <w:r>
        <w:rPr>
          <w:rFonts w:hint="eastAsia" w:asciiTheme="minorEastAsia" w:hAnsiTheme="minorEastAsia" w:eastAsiaTheme="minorEastAsia" w:cstheme="minorEastAsia"/>
          <w:color w:val="auto"/>
          <w:u w:val="single"/>
        </w:rPr>
        <w:t xml:space="preserve">   执行通用条款        </w:t>
      </w:r>
      <w:r>
        <w:rPr>
          <w:rFonts w:hint="eastAsia" w:asciiTheme="minorEastAsia" w:hAnsiTheme="minorEastAsia" w:eastAsiaTheme="minorEastAsia" w:cstheme="minorEastAsia"/>
          <w:color w:val="auto"/>
        </w:rPr>
        <w:t>。</w:t>
      </w:r>
    </w:p>
    <w:p>
      <w:pPr>
        <w:pStyle w:val="30"/>
        <w:spacing w:line="360" w:lineRule="auto"/>
        <w:ind w:left="0" w:right="0" w:firstLine="360" w:firstLineChars="15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（2）发包人支付进度款的期限：</w:t>
      </w:r>
      <w:r>
        <w:rPr>
          <w:rFonts w:hint="eastAsia" w:asciiTheme="minorEastAsia" w:hAnsiTheme="minorEastAsia" w:eastAsiaTheme="minorEastAsia" w:cstheme="minorEastAsia"/>
          <w:color w:val="auto"/>
          <w:u w:val="single"/>
        </w:rPr>
        <w:t xml:space="preserve">                         。</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发包人逾期支付进度款的违约金的计算方式：</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12.4.6 支付分解表的编制</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2、总价合同支付分解表的编制与审批：</w:t>
      </w:r>
      <w:r>
        <w:rPr>
          <w:rFonts w:hint="eastAsia" w:asciiTheme="minorEastAsia" w:hAnsiTheme="minorEastAsia" w:eastAsiaTheme="minorEastAsia" w:cstheme="minorEastAsia"/>
          <w:color w:val="auto"/>
          <w:u w:val="single"/>
        </w:rPr>
        <w:t xml:space="preserve">       无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3、单价合同的总价项目支付分解表的编制与审批：</w:t>
      </w:r>
      <w:r>
        <w:rPr>
          <w:rFonts w:hint="eastAsia" w:asciiTheme="minorEastAsia" w:hAnsiTheme="minorEastAsia" w:eastAsiaTheme="minorEastAsia" w:cstheme="minorEastAsia"/>
          <w:color w:val="auto"/>
          <w:u w:val="single"/>
        </w:rPr>
        <w:t xml:space="preserve">    无     </w:t>
      </w:r>
      <w:r>
        <w:rPr>
          <w:rFonts w:hint="eastAsia" w:asciiTheme="minorEastAsia" w:hAnsiTheme="minorEastAsia" w:eastAsiaTheme="minorEastAsia" w:cstheme="minorEastAsia"/>
          <w:color w:val="auto"/>
        </w:rPr>
        <w:t>。</w:t>
      </w:r>
    </w:p>
    <w:bookmarkEnd w:id="404"/>
    <w:p>
      <w:pPr>
        <w:pStyle w:val="30"/>
        <w:spacing w:line="360" w:lineRule="auto"/>
        <w:ind w:right="0"/>
        <w:rPr>
          <w:rFonts w:asciiTheme="minorEastAsia" w:hAnsiTheme="minorEastAsia" w:eastAsiaTheme="minorEastAsia" w:cstheme="minorEastAsia"/>
          <w:b/>
          <w:bCs/>
          <w:color w:val="auto"/>
        </w:rPr>
      </w:pPr>
      <w:bookmarkStart w:id="575" w:name="_Toc351203645"/>
      <w:bookmarkStart w:id="576" w:name="_Toc300935015"/>
      <w:bookmarkStart w:id="577" w:name="_Toc297120519"/>
      <w:bookmarkStart w:id="578" w:name="_Toc292559929"/>
      <w:bookmarkStart w:id="579" w:name="_Toc304295593"/>
      <w:bookmarkStart w:id="580" w:name="_Toc296347218"/>
      <w:bookmarkStart w:id="581" w:name="_Toc312678053"/>
      <w:bookmarkStart w:id="582" w:name="_Toc296346720"/>
      <w:bookmarkStart w:id="583" w:name="_Toc296944558"/>
      <w:bookmarkStart w:id="584" w:name="_Toc303539172"/>
      <w:bookmarkStart w:id="585" w:name="_Toc292559424"/>
      <w:bookmarkStart w:id="586" w:name="_Toc296503219"/>
      <w:bookmarkStart w:id="587" w:name="_Toc297123564"/>
      <w:bookmarkStart w:id="588" w:name="_Toc297048405"/>
      <w:bookmarkStart w:id="589" w:name="_Toc296891259"/>
      <w:bookmarkStart w:id="590" w:name="_Toc296891047"/>
      <w:bookmarkStart w:id="591" w:name="_Toc297216223"/>
      <w:r>
        <w:rPr>
          <w:rFonts w:hint="eastAsia" w:asciiTheme="minorEastAsia" w:hAnsiTheme="minorEastAsia" w:eastAsiaTheme="minorEastAsia" w:cstheme="minorEastAsia"/>
          <w:b/>
          <w:bCs/>
          <w:color w:val="auto"/>
        </w:rPr>
        <w:t>13. 验收和工程试车</w:t>
      </w:r>
      <w:bookmarkEnd w:id="575"/>
    </w:p>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13.1 分部分项工程验收</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13.1.2监理人不能按时进行验收时，应提前</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小时提交书面延期要求。</w:t>
      </w:r>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关于延期最长不得超过：</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小时。</w:t>
      </w:r>
    </w:p>
    <w:p>
      <w:pPr>
        <w:pStyle w:val="30"/>
        <w:spacing w:line="360" w:lineRule="auto"/>
        <w:ind w:right="0"/>
        <w:rPr>
          <w:rFonts w:asciiTheme="minorEastAsia" w:hAnsiTheme="minorEastAsia" w:eastAsiaTheme="minorEastAsia" w:cstheme="minorEastAsia"/>
          <w:color w:val="auto"/>
        </w:rPr>
      </w:pPr>
      <w:bookmarkStart w:id="592" w:name="_Toc292559933"/>
      <w:bookmarkStart w:id="593" w:name="_Toc297123565"/>
      <w:bookmarkStart w:id="594" w:name="_Toc304295596"/>
      <w:bookmarkStart w:id="595" w:name="_Toc297216224"/>
      <w:bookmarkStart w:id="596" w:name="_Toc297048409"/>
      <w:bookmarkStart w:id="597" w:name="_Toc296891051"/>
      <w:bookmarkStart w:id="598" w:name="_Toc297120523"/>
      <w:bookmarkStart w:id="599" w:name="_Toc296891263"/>
      <w:bookmarkStart w:id="600" w:name="_Toc296347222"/>
      <w:bookmarkStart w:id="601" w:name="_Toc303539173"/>
      <w:bookmarkStart w:id="602" w:name="_Toc292559428"/>
      <w:bookmarkStart w:id="603" w:name="_Toc296346724"/>
      <w:bookmarkStart w:id="604" w:name="_Toc296944562"/>
      <w:bookmarkStart w:id="605" w:name="_Toc296503223"/>
      <w:bookmarkStart w:id="606" w:name="_Toc312678056"/>
      <w:bookmarkStart w:id="607" w:name="_Toc300935016"/>
      <w:bookmarkStart w:id="608" w:name="_Toc267251475"/>
      <w:bookmarkStart w:id="609" w:name="_Toc267251472"/>
      <w:bookmarkStart w:id="610" w:name="_Toc267251473"/>
      <w:bookmarkStart w:id="611" w:name="_Toc267251470"/>
      <w:bookmarkStart w:id="612" w:name="_Toc267251474"/>
      <w:bookmarkStart w:id="613" w:name="_Toc267251471"/>
      <w:bookmarkStart w:id="614" w:name="_Toc267251476"/>
      <w:r>
        <w:rPr>
          <w:rFonts w:hint="eastAsia" w:asciiTheme="minorEastAsia" w:hAnsiTheme="minorEastAsia" w:eastAsiaTheme="minorEastAsia" w:cstheme="minorEastAsia"/>
          <w:color w:val="auto"/>
        </w:rPr>
        <w:t>13.2 竣工验收</w:t>
      </w:r>
    </w:p>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Pr>
        <w:pStyle w:val="30"/>
        <w:spacing w:line="360" w:lineRule="auto"/>
        <w:ind w:right="0"/>
        <w:rPr>
          <w:rFonts w:asciiTheme="minorEastAsia" w:hAnsiTheme="minorEastAsia" w:eastAsiaTheme="minorEastAsia" w:cstheme="minorEastAsia"/>
          <w:color w:val="auto"/>
        </w:rPr>
      </w:pPr>
      <w:bookmarkStart w:id="615" w:name="_Toc280868704"/>
      <w:bookmarkStart w:id="616" w:name="_Toc280868705"/>
      <w:bookmarkStart w:id="617" w:name="_Toc280868706"/>
      <w:bookmarkStart w:id="618" w:name="_Toc280868707"/>
      <w:bookmarkStart w:id="619" w:name="_Toc280868708"/>
      <w:bookmarkStart w:id="620" w:name="_Toc280868709"/>
      <w:r>
        <w:rPr>
          <w:rFonts w:hint="eastAsia" w:asciiTheme="minorEastAsia" w:hAnsiTheme="minorEastAsia" w:eastAsiaTheme="minorEastAsia" w:cstheme="minorEastAsia"/>
          <w:color w:val="auto"/>
        </w:rPr>
        <w:t>13.2.2竣工验收程序</w:t>
      </w:r>
    </w:p>
    <w:bookmarkEnd w:id="615"/>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关于竣工验收程序的约定：</w:t>
      </w:r>
      <w:r>
        <w:rPr>
          <w:rFonts w:hint="eastAsia" w:asciiTheme="minorEastAsia" w:hAnsiTheme="minorEastAsia" w:eastAsiaTheme="minorEastAsia" w:cstheme="minorEastAsia"/>
          <w:color w:val="auto"/>
          <w:u w:val="single"/>
        </w:rPr>
        <w:t xml:space="preserve">        执行通用条款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发包人不按照本项约定组织竣工验收、颁发工程接收证书的违约金的计算方法：</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bookmarkEnd w:id="616"/>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13.2.5移交、接收全部与部分工程</w:t>
      </w:r>
    </w:p>
    <w:bookmarkEnd w:id="617"/>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承包人向发包人移交工程的期限：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发包人未按本合同约定接收全部或部分工程的，违约金的计算方法为：</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bookmarkEnd w:id="618"/>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承包人未按时移交工程的，违约金的计算方法为：</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13.3 工程试车</w:t>
      </w:r>
    </w:p>
    <w:bookmarkEnd w:id="619"/>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13.3.1 试车程序</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工程试车内容：</w:t>
      </w:r>
      <w:r>
        <w:rPr>
          <w:rFonts w:hint="eastAsia" w:asciiTheme="minorEastAsia" w:hAnsiTheme="minorEastAsia" w:eastAsiaTheme="minorEastAsia" w:cstheme="minorEastAsia"/>
          <w:color w:val="auto"/>
          <w:u w:val="single"/>
        </w:rPr>
        <w:t xml:space="preserve">                            </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（1）单机无负荷试车费用由</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承担；</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（2）无负荷联动试车费用由</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承担。</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13.3.3 投料试车</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关于投料试车相关事项的约定：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13.6 竣工退场</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13.6.1 竣工退场</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承包人完成竣工退场的期限：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b/>
          <w:bCs/>
          <w:color w:val="auto"/>
        </w:rPr>
      </w:pPr>
      <w:bookmarkStart w:id="621" w:name="_Toc351203646"/>
      <w:r>
        <w:rPr>
          <w:rFonts w:hint="eastAsia" w:asciiTheme="minorEastAsia" w:hAnsiTheme="minorEastAsia" w:eastAsiaTheme="minorEastAsia" w:cstheme="minorEastAsia"/>
          <w:b/>
          <w:bCs/>
          <w:color w:val="auto"/>
        </w:rPr>
        <w:t>14. 竣工结算</w:t>
      </w:r>
      <w:bookmarkEnd w:id="621"/>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14.1 竣工付款申请</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承包人提交竣工付款申请单的期限：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竣工付款申请单应包括的内容：</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14.2 竣工结算审核</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发包人审批竣工付款申请单的期限：</w:t>
      </w:r>
      <w:r>
        <w:rPr>
          <w:rFonts w:hint="eastAsia" w:asciiTheme="minorEastAsia" w:hAnsiTheme="minorEastAsia" w:eastAsiaTheme="minorEastAsia" w:cstheme="minorEastAsia"/>
          <w:color w:val="auto"/>
          <w:u w:val="single"/>
        </w:rPr>
        <w:t>执行通用条款。</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发包人完成竣工付款的期限：</w:t>
      </w:r>
      <w:r>
        <w:rPr>
          <w:rFonts w:hint="eastAsia" w:asciiTheme="minorEastAsia" w:hAnsiTheme="minorEastAsia" w:eastAsiaTheme="minorEastAsia" w:cstheme="minorEastAsia"/>
          <w:color w:val="auto"/>
          <w:u w:val="single"/>
        </w:rPr>
        <w:t>执行通用条款</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关于竣工付款证书异议部分复核的方式和程序：</w:t>
      </w:r>
      <w:r>
        <w:rPr>
          <w:rFonts w:hint="eastAsia" w:asciiTheme="minorEastAsia" w:hAnsiTheme="minorEastAsia" w:eastAsiaTheme="minorEastAsia" w:cstheme="minorEastAsia"/>
          <w:color w:val="auto"/>
          <w:u w:val="single"/>
        </w:rPr>
        <w:t>执行通用条款。</w:t>
      </w:r>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14.4 最终结清</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14.4.1 最终结清申请单</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承包人提交最终结清申请单的份数：</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承包人提交最终结算申请单的期限：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14.4.2 最终结清证书和支付</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（1）发包人完成最终结清申请单的审批并颁发最终结清证书的期限：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（2）发包人完成支付的期限：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bookmarkEnd w:id="608"/>
    <w:bookmarkEnd w:id="609"/>
    <w:bookmarkEnd w:id="610"/>
    <w:bookmarkEnd w:id="611"/>
    <w:bookmarkEnd w:id="612"/>
    <w:bookmarkEnd w:id="613"/>
    <w:bookmarkEnd w:id="614"/>
    <w:bookmarkEnd w:id="620"/>
    <w:p>
      <w:pPr>
        <w:pStyle w:val="30"/>
        <w:spacing w:line="360" w:lineRule="auto"/>
        <w:ind w:right="0"/>
        <w:rPr>
          <w:rFonts w:asciiTheme="minorEastAsia" w:hAnsiTheme="minorEastAsia" w:eastAsiaTheme="minorEastAsia" w:cstheme="minorEastAsia"/>
          <w:b/>
          <w:bCs/>
          <w:color w:val="auto"/>
        </w:rPr>
      </w:pPr>
      <w:bookmarkStart w:id="622" w:name="_Toc351203647"/>
      <w:bookmarkStart w:id="623" w:name="_Toc267251483"/>
      <w:bookmarkStart w:id="624" w:name="_Toc267251484"/>
      <w:bookmarkStart w:id="625" w:name="_Toc267251482"/>
      <w:bookmarkStart w:id="626" w:name="_Toc267251490"/>
      <w:bookmarkStart w:id="627" w:name="_Toc267251489"/>
      <w:bookmarkStart w:id="628" w:name="_Toc267251488"/>
      <w:bookmarkStart w:id="629" w:name="_Toc267251485"/>
      <w:bookmarkStart w:id="630" w:name="_Toc267251486"/>
      <w:bookmarkStart w:id="631" w:name="_Toc267251494"/>
      <w:bookmarkStart w:id="632" w:name="_Toc267251495"/>
      <w:bookmarkStart w:id="633" w:name="_Toc267251503"/>
      <w:bookmarkStart w:id="634" w:name="_Toc267251501"/>
      <w:bookmarkStart w:id="635" w:name="_Toc267251496"/>
      <w:bookmarkStart w:id="636" w:name="_Toc267251497"/>
      <w:bookmarkStart w:id="637" w:name="_Toc267251498"/>
      <w:bookmarkStart w:id="638" w:name="_Toc267251502"/>
      <w:bookmarkStart w:id="639" w:name="_Toc267251491"/>
      <w:bookmarkStart w:id="640" w:name="_Toc267251499"/>
      <w:bookmarkStart w:id="641" w:name="_Toc267251493"/>
      <w:bookmarkStart w:id="642" w:name="_Toc267251492"/>
      <w:bookmarkStart w:id="643" w:name="_Toc267251506"/>
      <w:bookmarkStart w:id="644" w:name="_Toc267251504"/>
      <w:bookmarkStart w:id="645" w:name="_Toc267251507"/>
      <w:bookmarkStart w:id="646" w:name="_Toc267251508"/>
      <w:bookmarkStart w:id="647" w:name="_Toc267251511"/>
      <w:bookmarkStart w:id="648" w:name="_Toc267251513"/>
      <w:bookmarkStart w:id="649" w:name="_Toc267251514"/>
      <w:bookmarkStart w:id="650" w:name="_Toc267251510"/>
      <w:bookmarkStart w:id="651" w:name="_Toc267251515"/>
      <w:bookmarkStart w:id="652" w:name="_Toc267251509"/>
      <w:r>
        <w:rPr>
          <w:rFonts w:hint="eastAsia" w:asciiTheme="minorEastAsia" w:hAnsiTheme="minorEastAsia" w:eastAsiaTheme="minorEastAsia" w:cstheme="minorEastAsia"/>
          <w:b/>
          <w:bCs/>
          <w:color w:val="auto"/>
        </w:rPr>
        <w:t>15. 缺陷责任期与保修</w:t>
      </w:r>
      <w:bookmarkEnd w:id="622"/>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15.2缺陷责任期</w:t>
      </w:r>
      <w:bookmarkEnd w:id="623"/>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缺陷责任期的具体期限：</w:t>
      </w:r>
      <w:r>
        <w:rPr>
          <w:rFonts w:hint="eastAsia" w:asciiTheme="minorEastAsia" w:hAnsiTheme="minorEastAsia" w:eastAsiaTheme="minorEastAsia" w:cstheme="minorEastAsia"/>
          <w:color w:val="auto"/>
          <w:u w:val="single"/>
        </w:rPr>
        <w:t xml:space="preserve">      /   </w:t>
      </w:r>
    </w:p>
    <w:p>
      <w:pPr>
        <w:pStyle w:val="30"/>
        <w:spacing w:line="360" w:lineRule="auto"/>
        <w:ind w:right="0"/>
        <w:rPr>
          <w:rFonts w:asciiTheme="minorEastAsia" w:hAnsiTheme="minorEastAsia" w:eastAsiaTheme="minorEastAsia" w:cstheme="minorEastAsia"/>
          <w:b/>
          <w:color w:val="auto"/>
          <w:u w:val="single"/>
        </w:rPr>
      </w:pPr>
      <w:r>
        <w:rPr>
          <w:rFonts w:hint="eastAsia" w:asciiTheme="minorEastAsia" w:hAnsiTheme="minorEastAsia" w:eastAsiaTheme="minorEastAsia" w:cstheme="minorEastAsia"/>
          <w:b/>
          <w:color w:val="auto"/>
        </w:rPr>
        <w:t>15.3 质量保证金</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关于是否扣留质量保证金的约定：</w:t>
      </w:r>
      <w:r>
        <w:rPr>
          <w:rFonts w:hint="eastAsia" w:asciiTheme="minorEastAsia" w:hAnsiTheme="minorEastAsia" w:eastAsiaTheme="minorEastAsia" w:cstheme="minorEastAsia"/>
          <w:color w:val="auto"/>
          <w:u w:val="single"/>
        </w:rPr>
        <w:t xml:space="preserve">      /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15.3.1 承包人提供质量保证金的方式</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质量保证金采用以下第</w:t>
      </w:r>
      <w:r>
        <w:rPr>
          <w:rFonts w:hint="eastAsia" w:asciiTheme="minorEastAsia" w:hAnsiTheme="minorEastAsia" w:eastAsiaTheme="minorEastAsia" w:cstheme="minorEastAsia"/>
          <w:color w:val="auto"/>
          <w:u w:val="single"/>
        </w:rPr>
        <w:t xml:space="preserve">3  </w:t>
      </w:r>
      <w:r>
        <w:rPr>
          <w:rFonts w:hint="eastAsia" w:asciiTheme="minorEastAsia" w:hAnsiTheme="minorEastAsia" w:eastAsiaTheme="minorEastAsia" w:cstheme="minorEastAsia"/>
          <w:color w:val="auto"/>
        </w:rPr>
        <w:t>种方式：</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（1）质量保证金保函，保证金额为：</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的工程款；</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（3）其他方式:</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15.3.2 质量保证金的扣留 </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质量保证金的扣留采取以下第</w:t>
      </w:r>
      <w:r>
        <w:rPr>
          <w:rFonts w:hint="eastAsia" w:asciiTheme="minorEastAsia" w:hAnsiTheme="minorEastAsia" w:eastAsiaTheme="minorEastAsia" w:cstheme="minorEastAsia"/>
          <w:color w:val="auto"/>
          <w:u w:val="single"/>
        </w:rPr>
        <w:t xml:space="preserve"> 2 </w:t>
      </w:r>
      <w:r>
        <w:rPr>
          <w:rFonts w:hint="eastAsia" w:asciiTheme="minorEastAsia" w:hAnsiTheme="minorEastAsia" w:eastAsiaTheme="minorEastAsia" w:cstheme="minorEastAsia"/>
          <w:color w:val="auto"/>
        </w:rPr>
        <w:t>种方式：</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（1）在支付工程进度款时逐次扣留，在此情形下，质量保证金的计算基数不包括预付款的支付、扣回以及价格调整的金额；</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（2）工程竣工结算时一次性扣留质量保证金；</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（3）其他扣留方式:</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关于质量保证金的补充约定：</w:t>
      </w:r>
      <w:r>
        <w:rPr>
          <w:rFonts w:hint="eastAsia" w:asciiTheme="minorEastAsia" w:hAnsiTheme="minorEastAsia" w:eastAsiaTheme="minorEastAsia" w:cstheme="minorEastAsia"/>
          <w:color w:val="auto"/>
          <w:u w:val="single"/>
        </w:rPr>
        <w:t xml:space="preserve">  </w:t>
      </w:r>
      <w:bookmarkEnd w:id="624"/>
      <w:bookmarkEnd w:id="625"/>
      <w:r>
        <w:rPr>
          <w:rFonts w:hint="eastAsia" w:asciiTheme="minorEastAsia" w:hAnsiTheme="minorEastAsia" w:eastAsiaTheme="minorEastAsia" w:cstheme="minorEastAsia"/>
          <w:color w:val="auto"/>
          <w:u w:val="single"/>
        </w:rPr>
        <w:t xml:space="preserve">     。</w:t>
      </w:r>
    </w:p>
    <w:bookmarkEnd w:id="626"/>
    <w:bookmarkEnd w:id="627"/>
    <w:bookmarkEnd w:id="628"/>
    <w:bookmarkEnd w:id="629"/>
    <w:bookmarkEnd w:id="630"/>
    <w:p>
      <w:pPr>
        <w:pStyle w:val="30"/>
        <w:spacing w:line="360" w:lineRule="auto"/>
        <w:ind w:right="0"/>
        <w:rPr>
          <w:rFonts w:asciiTheme="minorEastAsia" w:hAnsiTheme="minorEastAsia" w:eastAsiaTheme="minorEastAsia" w:cstheme="minorEastAsia"/>
          <w:b/>
          <w:bCs/>
          <w:color w:val="auto"/>
        </w:rPr>
      </w:pPr>
      <w:bookmarkStart w:id="653" w:name="_Toc351203648"/>
      <w:bookmarkStart w:id="654" w:name="_Toc280868717"/>
      <w:bookmarkStart w:id="655" w:name="_Toc280868718"/>
      <w:r>
        <w:rPr>
          <w:rFonts w:hint="eastAsia" w:asciiTheme="minorEastAsia" w:hAnsiTheme="minorEastAsia" w:eastAsiaTheme="minorEastAsia" w:cstheme="minorEastAsia"/>
          <w:b/>
          <w:bCs/>
          <w:color w:val="auto"/>
        </w:rPr>
        <w:t>16. 违约</w:t>
      </w:r>
      <w:bookmarkEnd w:id="653"/>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16.1 发包人违约</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16.1.1发包人违约的情形</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发包人违约的其他情形：</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left="0"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16.1.2 发包人违约的责任</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发包人违约责任的承担方式和计算方法：</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（1）因发包人原因未能在计划开工日期前7天内下达开工通知的违约责任：</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（2）因发包人原因未能按合同约定支付合同价款的违约责任：</w:t>
      </w:r>
      <w:r>
        <w:rPr>
          <w:rFonts w:hint="eastAsia" w:asciiTheme="minorEastAsia" w:hAnsiTheme="minorEastAsia" w:eastAsiaTheme="minorEastAsia" w:cstheme="minorEastAsia"/>
          <w:color w:val="auto"/>
          <w:u w:val="single"/>
        </w:rPr>
        <w:t xml:space="preserve">         。</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（3）发包人违反第10.1款〔变更的范围〕第（2）项约定，自行实施被取消的工作或转由他人实施的违约责任：</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（5）因发包人违反合同约定造成暂停施工的违约责任：</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（6）发包人无正当理由没有在约定期限内发出复工指示，导致承包人无法复工的违约责任：</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（7）其他：</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16.1.3 因发包人违约解除合同</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承包人按16.1.1项〔发包人违约的情形〕约定暂停施工满</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天后发包人仍不纠正其违约行为并致使合同目的不能实现的，承包人有权解除合同。</w:t>
      </w:r>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16.2 承包人违约</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16.2.1 承包人违约的情形</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承包人违约的其他情形：</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16.2.2承包人违约的责任</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承包人违约责任的承担方式和计算方法：</w:t>
      </w:r>
      <w:r>
        <w:rPr>
          <w:rFonts w:hint="eastAsia" w:asciiTheme="minorEastAsia" w:hAnsiTheme="minorEastAsia" w:eastAsiaTheme="minorEastAsia" w:cstheme="minorEastAsia"/>
          <w:color w:val="auto"/>
          <w:u w:val="single"/>
        </w:rPr>
        <w:t xml:space="preserve">       /     。</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16.2.3 因承包人违约解除合同</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关于承包人违约解除合同的特别约定：</w:t>
      </w:r>
      <w:r>
        <w:rPr>
          <w:rFonts w:hint="eastAsia" w:asciiTheme="minorEastAsia" w:hAnsiTheme="minorEastAsia" w:eastAsiaTheme="minorEastAsia" w:cstheme="minorEastAsia"/>
          <w:color w:val="auto"/>
          <w:u w:val="single"/>
        </w:rPr>
        <w:t xml:space="preserve">   /  。</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b/>
          <w:bCs/>
          <w:color w:val="auto"/>
        </w:rPr>
      </w:pPr>
      <w:bookmarkStart w:id="656" w:name="_Toc351203649"/>
      <w:r>
        <w:rPr>
          <w:rFonts w:hint="eastAsia" w:asciiTheme="minorEastAsia" w:hAnsiTheme="minorEastAsia" w:eastAsiaTheme="minorEastAsia" w:cstheme="minorEastAsia"/>
          <w:b/>
          <w:bCs/>
          <w:color w:val="auto"/>
        </w:rPr>
        <w:t>17. 不可抗力</w:t>
      </w:r>
      <w:bookmarkEnd w:id="656"/>
      <w:r>
        <w:rPr>
          <w:rFonts w:hint="eastAsia" w:asciiTheme="minorEastAsia" w:hAnsiTheme="minorEastAsia" w:eastAsiaTheme="minorEastAsia" w:cstheme="minorEastAsia"/>
          <w:b/>
          <w:bCs/>
          <w:color w:val="auto"/>
        </w:rPr>
        <w:t xml:space="preserve"> </w:t>
      </w:r>
      <w:bookmarkEnd w:id="654"/>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17.1 不可抗力的确认</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 xml:space="preserve">除通用合同条款约定的不可抗力事件之外，视为不可抗力的其他情形：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17.4 因不可抗力解除合同</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合同解除后，发包人应在商定或确定发包人应支付款项后</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天内完成款项的支付。</w:t>
      </w:r>
    </w:p>
    <w:p>
      <w:pPr>
        <w:pStyle w:val="30"/>
        <w:spacing w:line="360" w:lineRule="auto"/>
        <w:ind w:right="0"/>
        <w:rPr>
          <w:rFonts w:asciiTheme="minorEastAsia" w:hAnsiTheme="minorEastAsia" w:eastAsiaTheme="minorEastAsia" w:cstheme="minorEastAsia"/>
          <w:b/>
          <w:bCs/>
          <w:color w:val="auto"/>
        </w:rPr>
      </w:pPr>
      <w:bookmarkStart w:id="657" w:name="_Toc351203650"/>
      <w:r>
        <w:rPr>
          <w:rFonts w:hint="eastAsia" w:asciiTheme="minorEastAsia" w:hAnsiTheme="minorEastAsia" w:eastAsiaTheme="minorEastAsia" w:cstheme="minorEastAsia"/>
          <w:b/>
          <w:bCs/>
          <w:color w:val="auto"/>
        </w:rPr>
        <w:t>18. 保险</w:t>
      </w:r>
      <w:bookmarkEnd w:id="657"/>
    </w:p>
    <w:bookmarkEnd w:id="655"/>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18.1 工程保险</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关于工程保险的特别约定：</w:t>
      </w:r>
      <w:r>
        <w:rPr>
          <w:rFonts w:hint="eastAsia" w:asciiTheme="minorEastAsia" w:hAnsiTheme="minorEastAsia" w:eastAsiaTheme="minorEastAsia" w:cstheme="minorEastAsia"/>
          <w:color w:val="auto"/>
          <w:u w:val="single"/>
        </w:rPr>
        <w:t xml:space="preserve">                                 。</w:t>
      </w:r>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18.3 其他保险</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关于其他保险的约定：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承包人是否应为其施工设备等办理财产保险：</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18.7 通知义务</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关于变更保险合同时的通知义务的约定：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bookmarkEnd w:id="631"/>
    <w:bookmarkEnd w:id="632"/>
    <w:bookmarkEnd w:id="633"/>
    <w:bookmarkEnd w:id="634"/>
    <w:bookmarkEnd w:id="635"/>
    <w:bookmarkEnd w:id="636"/>
    <w:bookmarkEnd w:id="637"/>
    <w:bookmarkEnd w:id="638"/>
    <w:bookmarkEnd w:id="639"/>
    <w:bookmarkEnd w:id="640"/>
    <w:bookmarkEnd w:id="641"/>
    <w:bookmarkEnd w:id="642"/>
    <w:p>
      <w:pPr>
        <w:pStyle w:val="30"/>
        <w:spacing w:line="360" w:lineRule="auto"/>
        <w:ind w:right="0"/>
        <w:rPr>
          <w:rFonts w:asciiTheme="minorEastAsia" w:hAnsiTheme="minorEastAsia" w:eastAsiaTheme="minorEastAsia" w:cstheme="minorEastAsia"/>
          <w:b/>
          <w:bCs/>
          <w:color w:val="auto"/>
        </w:rPr>
      </w:pPr>
      <w:bookmarkStart w:id="658" w:name="_Toc351203651"/>
      <w:r>
        <w:rPr>
          <w:rFonts w:hint="eastAsia" w:asciiTheme="minorEastAsia" w:hAnsiTheme="minorEastAsia" w:eastAsiaTheme="minorEastAsia" w:cstheme="minorEastAsia"/>
          <w:b/>
          <w:bCs/>
          <w:color w:val="auto"/>
        </w:rPr>
        <w:t>20. 争议解决</w:t>
      </w:r>
      <w:bookmarkEnd w:id="658"/>
    </w:p>
    <w:bookmarkEnd w:id="643"/>
    <w:bookmarkEnd w:id="644"/>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20.3 争</w:t>
      </w:r>
      <w:bookmarkEnd w:id="645"/>
      <w:r>
        <w:rPr>
          <w:rFonts w:hint="eastAsia" w:asciiTheme="minorEastAsia" w:hAnsiTheme="minorEastAsia" w:eastAsiaTheme="minorEastAsia" w:cstheme="minorEastAsia"/>
          <w:b/>
          <w:color w:val="auto"/>
        </w:rPr>
        <w:t>议评审</w:t>
      </w:r>
    </w:p>
    <w:p>
      <w:pPr>
        <w:pStyle w:val="30"/>
        <w:spacing w:line="360" w:lineRule="auto"/>
        <w:ind w:left="0"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合同当事人是否同意将工程争议提交争议评审小组决定：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20.3.1 争议评审小组的确定</w:t>
      </w:r>
    </w:p>
    <w:p>
      <w:pPr>
        <w:pStyle w:val="30"/>
        <w:spacing w:line="360" w:lineRule="auto"/>
        <w:ind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争议评审小组成员的确定：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选定争议评审员的期限：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争议评审小组成员的报酬承担方式：</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其他事项的约定：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20.3.2 争议评审小组的决定  </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合同当事人关于本项的约定：</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pStyle w:val="30"/>
        <w:spacing w:line="360" w:lineRule="auto"/>
        <w:ind w:right="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20.4仲裁或诉讼</w:t>
      </w:r>
      <w:bookmarkEnd w:id="646"/>
    </w:p>
    <w:bookmarkEnd w:id="647"/>
    <w:bookmarkEnd w:id="648"/>
    <w:bookmarkEnd w:id="649"/>
    <w:bookmarkEnd w:id="650"/>
    <w:bookmarkEnd w:id="651"/>
    <w:bookmarkEnd w:id="652"/>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因合同及合同有关事项发生的争议，按下列第</w:t>
      </w:r>
      <w:r>
        <w:rPr>
          <w:rFonts w:hint="eastAsia" w:asciiTheme="minorEastAsia" w:hAnsiTheme="minorEastAsia" w:eastAsiaTheme="minorEastAsia" w:cstheme="minorEastAsia"/>
          <w:color w:val="auto"/>
          <w:u w:val="single"/>
        </w:rPr>
        <w:t xml:space="preserve"> 2 </w:t>
      </w:r>
      <w:r>
        <w:rPr>
          <w:rFonts w:hint="eastAsia" w:asciiTheme="minorEastAsia" w:hAnsiTheme="minorEastAsia" w:eastAsiaTheme="minorEastAsia" w:cstheme="minorEastAsia"/>
          <w:color w:val="auto"/>
        </w:rPr>
        <w:t>种方式解决：</w:t>
      </w:r>
    </w:p>
    <w:p>
      <w:pPr>
        <w:pStyle w:val="30"/>
        <w:spacing w:line="360" w:lineRule="auto"/>
        <w:ind w:right="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第一种解决方式：双方达成仲裁协议，向</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仲裁委员会申请仲裁；</w:t>
      </w:r>
    </w:p>
    <w:p>
      <w:pPr>
        <w:pStyle w:val="30"/>
        <w:spacing w:line="360" w:lineRule="auto"/>
        <w:ind w:left="0" w:right="0" w:firstLine="360" w:firstLineChars="1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第二种解决方式：向</w:t>
      </w:r>
      <w:r>
        <w:rPr>
          <w:rFonts w:hint="eastAsia" w:asciiTheme="minorEastAsia" w:hAnsiTheme="minorEastAsia" w:eastAsiaTheme="minorEastAsia" w:cstheme="minorEastAsia"/>
          <w:color w:val="auto"/>
          <w:u w:val="single"/>
        </w:rPr>
        <w:t>工程项目建设地</w:t>
      </w:r>
      <w:r>
        <w:rPr>
          <w:rFonts w:hint="eastAsia" w:asciiTheme="minorEastAsia" w:hAnsiTheme="minorEastAsia" w:eastAsiaTheme="minorEastAsia" w:cstheme="minorEastAsia"/>
          <w:color w:val="auto"/>
        </w:rPr>
        <w:t>人民法院起诉。</w:t>
      </w:r>
    </w:p>
    <w:p>
      <w:pPr>
        <w:pStyle w:val="30"/>
        <w:spacing w:line="360" w:lineRule="auto"/>
        <w:ind w:left="0" w:right="0" w:firstLine="482" w:firstLineChars="20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 xml:space="preserve">21、补充条款 </w:t>
      </w:r>
    </w:p>
    <w:p>
      <w:pPr>
        <w:pStyle w:val="30"/>
        <w:spacing w:line="360" w:lineRule="auto"/>
        <w:ind w:left="0" w:right="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u w:val="single"/>
        </w:rPr>
        <w:t xml:space="preserve">    无   </w:t>
      </w:r>
    </w:p>
    <w:p>
      <w:pPr>
        <w:spacing w:line="360" w:lineRule="auto"/>
        <w:rPr>
          <w:rFonts w:asciiTheme="minorEastAsia" w:hAnsiTheme="minorEastAsia" w:eastAsiaTheme="minorEastAsia" w:cstheme="minorEastAsia"/>
          <w:color w:val="auto"/>
        </w:rPr>
      </w:pPr>
    </w:p>
    <w:p>
      <w:pPr>
        <w:spacing w:line="360" w:lineRule="auto"/>
        <w:rPr>
          <w:rFonts w:asciiTheme="minorEastAsia" w:hAnsiTheme="minorEastAsia" w:eastAsiaTheme="minorEastAsia" w:cstheme="minorEastAsia"/>
          <w:color w:val="auto"/>
        </w:rPr>
      </w:pPr>
    </w:p>
    <w:p>
      <w:pPr>
        <w:pStyle w:val="30"/>
        <w:spacing w:line="360" w:lineRule="auto"/>
        <w:ind w:left="0" w:right="720" w:firstLine="282" w:firstLineChars="101"/>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br w:type="page"/>
      </w:r>
    </w:p>
    <w:p>
      <w:pPr>
        <w:pStyle w:val="30"/>
        <w:spacing w:line="360" w:lineRule="auto"/>
        <w:ind w:left="0" w:right="720" w:firstLine="282" w:firstLineChars="101"/>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t>附件1：</w:t>
      </w:r>
    </w:p>
    <w:p>
      <w:pPr>
        <w:pStyle w:val="30"/>
        <w:spacing w:line="360" w:lineRule="auto"/>
        <w:ind w:left="0" w:right="720"/>
        <w:jc w:val="center"/>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工  程  质  量  保  修  书</w:t>
      </w:r>
    </w:p>
    <w:p>
      <w:pPr>
        <w:pStyle w:val="30"/>
        <w:spacing w:line="360" w:lineRule="auto"/>
        <w:ind w:left="0" w:right="720" w:firstLine="480" w:firstLineChars="200"/>
        <w:rPr>
          <w:rFonts w:asciiTheme="minorEastAsia" w:hAnsiTheme="minorEastAsia" w:eastAsiaTheme="minorEastAsia" w:cstheme="minorEastAsia"/>
          <w:color w:val="auto"/>
        </w:rPr>
      </w:pPr>
    </w:p>
    <w:p>
      <w:pPr>
        <w:pStyle w:val="31"/>
        <w:spacing w:line="360" w:lineRule="auto"/>
        <w:ind w:left="420" w:leftChars="200" w:right="72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发包人（全称）：</w:t>
      </w:r>
      <w:r>
        <w:rPr>
          <w:rFonts w:hint="eastAsia" w:asciiTheme="minorEastAsia" w:hAnsiTheme="minorEastAsia" w:eastAsiaTheme="minorEastAsia" w:cstheme="minorEastAsia"/>
          <w:bCs/>
          <w:color w:val="auto"/>
          <w:szCs w:val="24"/>
          <w:u w:val="single"/>
        </w:rPr>
        <w:t xml:space="preserve">                                     </w:t>
      </w:r>
      <w:r>
        <w:rPr>
          <w:rFonts w:hint="eastAsia" w:asciiTheme="minorEastAsia" w:hAnsiTheme="minorEastAsia" w:eastAsiaTheme="minorEastAsia" w:cstheme="minorEastAsia"/>
          <w:color w:val="auto"/>
          <w:szCs w:val="24"/>
          <w:u w:val="single"/>
        </w:rPr>
        <w:t xml:space="preserve">                </w:t>
      </w:r>
      <w:r>
        <w:rPr>
          <w:rFonts w:hint="eastAsia" w:asciiTheme="minorEastAsia" w:hAnsiTheme="minorEastAsia" w:eastAsiaTheme="minorEastAsia" w:cstheme="minorEastAsia"/>
          <w:color w:val="auto"/>
          <w:szCs w:val="24"/>
        </w:rPr>
        <w:t>承包人（全称）：</w:t>
      </w:r>
      <w:r>
        <w:rPr>
          <w:rFonts w:hint="eastAsia" w:asciiTheme="minorEastAsia" w:hAnsiTheme="minorEastAsia" w:eastAsiaTheme="minorEastAsia" w:cstheme="minorEastAsia"/>
          <w:color w:val="auto"/>
          <w:szCs w:val="24"/>
          <w:u w:val="single"/>
        </w:rPr>
        <w:t xml:space="preserve">                                                   </w:t>
      </w:r>
    </w:p>
    <w:p>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为保证</w:t>
      </w:r>
      <w:r>
        <w:rPr>
          <w:rFonts w:hint="eastAsia" w:asciiTheme="minorEastAsia" w:hAnsiTheme="minorEastAsia" w:eastAsiaTheme="minorEastAsia" w:cstheme="minorEastAsia"/>
          <w:bCs/>
          <w:color w:val="auto"/>
          <w:szCs w:val="24"/>
          <w:u w:val="single"/>
        </w:rPr>
        <w:t xml:space="preserve">                                               </w:t>
      </w:r>
      <w:r>
        <w:rPr>
          <w:rFonts w:hint="eastAsia" w:asciiTheme="minorEastAsia" w:hAnsiTheme="minorEastAsia" w:eastAsiaTheme="minorEastAsia" w:cstheme="minorEastAsia"/>
          <w:color w:val="auto"/>
          <w:szCs w:val="24"/>
        </w:rPr>
        <w:t>（工程名称）在合理使用期限内正常使用，发包人承包人协商一致签订工程质量保修书。承包人在质量保修期内按照有关管理规定及双方约定承担工程质量保修责任。</w:t>
      </w:r>
    </w:p>
    <w:p>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一、工程质量保修范围和内容</w:t>
      </w:r>
    </w:p>
    <w:p>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质量保修范围包括装修工程施工等项目。具体质量保修内容双方约定如下：</w:t>
      </w:r>
      <w:r>
        <w:rPr>
          <w:rFonts w:hint="eastAsia" w:asciiTheme="minorEastAsia" w:hAnsiTheme="minorEastAsia" w:eastAsiaTheme="minorEastAsia" w:cstheme="minorEastAsia"/>
          <w:color w:val="auto"/>
          <w:szCs w:val="24"/>
          <w:u w:val="single"/>
        </w:rPr>
        <w:t xml:space="preserve">              。</w:t>
      </w:r>
    </w:p>
    <w:p>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二、质量保修期</w:t>
      </w:r>
    </w:p>
    <w:p>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质量保修期从工程实际竣工之日算起。分单项竣工验收的工程，按单项工程分别计算质量保修期。</w:t>
      </w:r>
    </w:p>
    <w:p>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双方根据国家有关规定，结合具体工程约定质量保修期如下：</w:t>
      </w:r>
    </w:p>
    <w:p>
      <w:pPr>
        <w:pStyle w:val="32"/>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1、地基基础工程和主体结构工程为设计文件规定的该工程合理使用年限；</w:t>
      </w:r>
    </w:p>
    <w:p>
      <w:pPr>
        <w:pStyle w:val="32"/>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2、质保期为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p>
    <w:p>
      <w:pPr>
        <w:pStyle w:val="32"/>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3、整体工程质保期为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p>
    <w:p>
      <w:pPr>
        <w:pStyle w:val="32"/>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4、其他项目保修期限约定如下：</w:t>
      </w:r>
      <w:r>
        <w:rPr>
          <w:rFonts w:hint="eastAsia" w:asciiTheme="minorEastAsia" w:hAnsiTheme="minorEastAsia" w:eastAsiaTheme="minorEastAsia" w:cstheme="minorEastAsia"/>
          <w:color w:val="auto"/>
          <w:sz w:val="24"/>
          <w:szCs w:val="24"/>
          <w:u w:val="single"/>
        </w:rPr>
        <w:t xml:space="preserve">   年</w:t>
      </w:r>
      <w:r>
        <w:rPr>
          <w:rFonts w:hint="eastAsia" w:asciiTheme="minorEastAsia" w:hAnsiTheme="minorEastAsia" w:eastAsiaTheme="minorEastAsia" w:cstheme="minorEastAsia"/>
          <w:color w:val="auto"/>
          <w:sz w:val="24"/>
          <w:szCs w:val="24"/>
        </w:rPr>
        <w:t>；</w:t>
      </w:r>
    </w:p>
    <w:p>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5、质量保修期自工程竣工验收合格签字之日起计算。</w:t>
      </w:r>
    </w:p>
    <w:p>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三、质量保修责任</w:t>
      </w:r>
    </w:p>
    <w:p>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 属于保修范围和内容的项目， 承包人应在接到修理通知之后7天内派人修理。承包人不在约定期限内派人修理，发包人可委托其他人员修理，保修费用从质量保修金内扣除。</w:t>
      </w:r>
    </w:p>
    <w:p>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 发生须紧急抢修事故，承包人接到事故通知后，应立即到达事故现场抢修。非承包人施工质量引起的事故，抢修费用由发包人承担。</w:t>
      </w:r>
    </w:p>
    <w:p>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3、 在国家规定的工程合理使用期限内，承包人确保地基基础工程和主体结构的质量。因承包人原因致使工程在合理使用期限内造成人身和财产损害的，承包人应承担损害赔偿责任。</w:t>
      </w:r>
    </w:p>
    <w:p>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四、质量保修金的支付：本工程约定的工程质量保金为施工结算价款的</w:t>
      </w:r>
      <w:r>
        <w:rPr>
          <w:rFonts w:hint="eastAsia" w:asciiTheme="minorEastAsia" w:hAnsiTheme="minorEastAsia" w:eastAsiaTheme="minorEastAsia" w:cstheme="minorEastAsia"/>
          <w:color w:val="auto"/>
          <w:szCs w:val="24"/>
          <w:u w:val="single"/>
        </w:rPr>
        <w:t xml:space="preserve"> 3 </w:t>
      </w:r>
      <w:r>
        <w:rPr>
          <w:rFonts w:hint="eastAsia" w:asciiTheme="minorEastAsia" w:hAnsiTheme="minorEastAsia" w:eastAsiaTheme="minorEastAsia" w:cstheme="minorEastAsia"/>
          <w:color w:val="auto"/>
          <w:szCs w:val="24"/>
        </w:rPr>
        <w:t>%</w:t>
      </w:r>
    </w:p>
    <w:p>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五、质量保修金的返还：发包人在质量保修期满无质量问题后14天内，将剩余保修金无息返还剩余质量保修金。</w:t>
      </w:r>
    </w:p>
    <w:p>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六、其他</w:t>
      </w:r>
    </w:p>
    <w:p>
      <w:pPr>
        <w:pStyle w:val="31"/>
        <w:spacing w:line="360" w:lineRule="auto"/>
        <w:ind w:left="0" w:right="720" w:firstLine="480" w:firstLineChars="200"/>
        <w:rPr>
          <w:rFonts w:asciiTheme="minorEastAsia" w:hAnsiTheme="minorEastAsia" w:eastAsiaTheme="minorEastAsia" w:cstheme="minorEastAsia"/>
          <w:color w:val="auto"/>
          <w:szCs w:val="24"/>
          <w:u w:val="single"/>
        </w:rPr>
      </w:pPr>
      <w:r>
        <w:rPr>
          <w:rFonts w:hint="eastAsia" w:asciiTheme="minorEastAsia" w:hAnsiTheme="minorEastAsia" w:eastAsiaTheme="minorEastAsia" w:cstheme="minorEastAsia"/>
          <w:color w:val="auto"/>
          <w:szCs w:val="24"/>
        </w:rPr>
        <w:t>双方约定的其他工程质量保修事项：</w:t>
      </w:r>
      <w:r>
        <w:rPr>
          <w:rFonts w:hint="eastAsia" w:asciiTheme="minorEastAsia" w:hAnsiTheme="minorEastAsia" w:eastAsiaTheme="minorEastAsia" w:cstheme="minorEastAsia"/>
          <w:color w:val="auto"/>
          <w:szCs w:val="24"/>
          <w:u w:val="single"/>
        </w:rPr>
        <w:t xml:space="preserve">  承包人负责保修期间收集整理完整工程资料。  </w:t>
      </w:r>
    </w:p>
    <w:p>
      <w:pPr>
        <w:pStyle w:val="31"/>
        <w:spacing w:line="360" w:lineRule="auto"/>
        <w:ind w:left="0" w:right="720"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本工程质量保修书作为施工合同附件，由施工合同发包人承包人双方共同签署。</w:t>
      </w:r>
    </w:p>
    <w:p>
      <w:pPr>
        <w:pStyle w:val="31"/>
        <w:spacing w:line="360" w:lineRule="auto"/>
        <w:ind w:left="0" w:right="720" w:firstLine="409" w:firstLineChars="133"/>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pacing w:val="34"/>
          <w:szCs w:val="24"/>
        </w:rPr>
        <w:t>发包人（公章）</w:t>
      </w:r>
      <w:r>
        <w:rPr>
          <w:rFonts w:hint="eastAsia" w:asciiTheme="minorEastAsia" w:hAnsiTheme="minorEastAsia" w:eastAsiaTheme="minorEastAsia" w:cstheme="minorEastAsia"/>
          <w:color w:val="auto"/>
          <w:szCs w:val="24"/>
        </w:rPr>
        <w:t xml:space="preserve">：              </w:t>
      </w:r>
      <w:r>
        <w:rPr>
          <w:rFonts w:hint="eastAsia" w:asciiTheme="minorEastAsia" w:hAnsiTheme="minorEastAsia" w:eastAsiaTheme="minorEastAsia" w:cstheme="minorEastAsia"/>
          <w:color w:val="auto"/>
          <w:spacing w:val="34"/>
          <w:szCs w:val="24"/>
        </w:rPr>
        <w:t>承包人（公章）</w:t>
      </w:r>
      <w:r>
        <w:rPr>
          <w:rFonts w:hint="eastAsia" w:asciiTheme="minorEastAsia" w:hAnsiTheme="minorEastAsia" w:eastAsiaTheme="minorEastAsia" w:cstheme="minorEastAsia"/>
          <w:color w:val="auto"/>
          <w:szCs w:val="24"/>
        </w:rPr>
        <w:t>：</w:t>
      </w:r>
    </w:p>
    <w:p>
      <w:pPr>
        <w:pStyle w:val="31"/>
        <w:spacing w:line="360" w:lineRule="auto"/>
        <w:ind w:left="0" w:right="720" w:firstLine="424" w:firstLineChars="177"/>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法定代表人（签字）：              法定代表人（签字）：</w:t>
      </w:r>
    </w:p>
    <w:p>
      <w:pPr>
        <w:pStyle w:val="31"/>
        <w:spacing w:line="360" w:lineRule="auto"/>
        <w:ind w:left="0" w:right="720" w:firstLine="424" w:firstLineChars="177"/>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u w:val="single"/>
        </w:rPr>
        <w:t xml:space="preserve">     </w:t>
      </w:r>
      <w:r>
        <w:rPr>
          <w:rFonts w:hint="eastAsia" w:asciiTheme="minorEastAsia" w:hAnsiTheme="minorEastAsia" w:eastAsiaTheme="minorEastAsia" w:cstheme="minorEastAsia"/>
          <w:color w:val="auto"/>
          <w:szCs w:val="24"/>
        </w:rPr>
        <w:t>年</w:t>
      </w:r>
      <w:r>
        <w:rPr>
          <w:rFonts w:hint="eastAsia" w:asciiTheme="minorEastAsia" w:hAnsiTheme="minorEastAsia" w:eastAsiaTheme="minorEastAsia" w:cstheme="minorEastAsia"/>
          <w:color w:val="auto"/>
          <w:szCs w:val="24"/>
          <w:u w:val="single"/>
        </w:rPr>
        <w:t xml:space="preserve">     </w:t>
      </w:r>
      <w:r>
        <w:rPr>
          <w:rFonts w:hint="eastAsia" w:asciiTheme="minorEastAsia" w:hAnsiTheme="minorEastAsia" w:eastAsiaTheme="minorEastAsia" w:cstheme="minorEastAsia"/>
          <w:color w:val="auto"/>
          <w:szCs w:val="24"/>
        </w:rPr>
        <w:t>月</w:t>
      </w:r>
      <w:r>
        <w:rPr>
          <w:rFonts w:hint="eastAsia" w:asciiTheme="minorEastAsia" w:hAnsiTheme="minorEastAsia" w:eastAsiaTheme="minorEastAsia" w:cstheme="minorEastAsia"/>
          <w:color w:val="auto"/>
          <w:szCs w:val="24"/>
          <w:u w:val="single"/>
        </w:rPr>
        <w:t xml:space="preserve">     </w:t>
      </w:r>
      <w:r>
        <w:rPr>
          <w:rFonts w:hint="eastAsia" w:asciiTheme="minorEastAsia" w:hAnsiTheme="minorEastAsia" w:eastAsiaTheme="minorEastAsia" w:cstheme="minorEastAsia"/>
          <w:color w:val="auto"/>
          <w:szCs w:val="24"/>
        </w:rPr>
        <w:t xml:space="preserve">日             </w:t>
      </w:r>
      <w:r>
        <w:rPr>
          <w:rFonts w:hint="eastAsia" w:asciiTheme="minorEastAsia" w:hAnsiTheme="minorEastAsia" w:eastAsiaTheme="minorEastAsia" w:cstheme="minorEastAsia"/>
          <w:color w:val="auto"/>
          <w:szCs w:val="24"/>
          <w:u w:val="single"/>
        </w:rPr>
        <w:t xml:space="preserve">     </w:t>
      </w:r>
      <w:r>
        <w:rPr>
          <w:rFonts w:hint="eastAsia" w:asciiTheme="minorEastAsia" w:hAnsiTheme="minorEastAsia" w:eastAsiaTheme="minorEastAsia" w:cstheme="minorEastAsia"/>
          <w:color w:val="auto"/>
          <w:szCs w:val="24"/>
        </w:rPr>
        <w:t>年</w:t>
      </w:r>
      <w:r>
        <w:rPr>
          <w:rFonts w:hint="eastAsia" w:asciiTheme="minorEastAsia" w:hAnsiTheme="minorEastAsia" w:eastAsiaTheme="minorEastAsia" w:cstheme="minorEastAsia"/>
          <w:color w:val="auto"/>
          <w:szCs w:val="24"/>
          <w:u w:val="single"/>
        </w:rPr>
        <w:t xml:space="preserve">     </w:t>
      </w:r>
      <w:r>
        <w:rPr>
          <w:rFonts w:hint="eastAsia" w:asciiTheme="minorEastAsia" w:hAnsiTheme="minorEastAsia" w:eastAsiaTheme="minorEastAsia" w:cstheme="minorEastAsia"/>
          <w:color w:val="auto"/>
          <w:szCs w:val="24"/>
        </w:rPr>
        <w:t>月</w:t>
      </w:r>
      <w:r>
        <w:rPr>
          <w:rFonts w:hint="eastAsia" w:asciiTheme="minorEastAsia" w:hAnsiTheme="minorEastAsia" w:eastAsiaTheme="minorEastAsia" w:cstheme="minorEastAsia"/>
          <w:color w:val="auto"/>
          <w:szCs w:val="24"/>
          <w:u w:val="single"/>
        </w:rPr>
        <w:t xml:space="preserve">     </w:t>
      </w:r>
      <w:r>
        <w:rPr>
          <w:rFonts w:hint="eastAsia" w:asciiTheme="minorEastAsia" w:hAnsiTheme="minorEastAsia" w:eastAsiaTheme="minorEastAsia" w:cstheme="minorEastAsia"/>
          <w:color w:val="auto"/>
          <w:szCs w:val="24"/>
        </w:rPr>
        <w:t>日</w:t>
      </w:r>
    </w:p>
    <w:p>
      <w:pPr>
        <w:autoSpaceDE w:val="0"/>
        <w:autoSpaceDN w:val="0"/>
        <w:adjustRightInd w:val="0"/>
        <w:spacing w:line="360" w:lineRule="auto"/>
        <w:rPr>
          <w:rFonts w:asciiTheme="minorEastAsia" w:hAnsiTheme="minorEastAsia" w:eastAsiaTheme="minorEastAsia" w:cstheme="minorEastAsia"/>
          <w:color w:val="auto"/>
          <w:sz w:val="32"/>
          <w:szCs w:val="32"/>
        </w:rPr>
      </w:pPr>
      <w:bookmarkStart w:id="659" w:name="_Toc349573144"/>
      <w:bookmarkStart w:id="660" w:name="_Toc349637943"/>
      <w:bookmarkStart w:id="661" w:name="_Toc507690272"/>
      <w:bookmarkStart w:id="662" w:name="_Toc298240429"/>
      <w:bookmarkStart w:id="663" w:name="_Toc527642969"/>
    </w:p>
    <w:p>
      <w:pPr>
        <w:autoSpaceDE w:val="0"/>
        <w:autoSpaceDN w:val="0"/>
        <w:adjustRightInd w:val="0"/>
        <w:spacing w:line="360" w:lineRule="auto"/>
        <w:ind w:firstLine="420"/>
        <w:jc w:val="center"/>
        <w:rPr>
          <w:rFonts w:asciiTheme="minorEastAsia" w:hAnsiTheme="minorEastAsia" w:eastAsiaTheme="minorEastAsia" w:cstheme="minorEastAsia"/>
          <w:color w:val="auto"/>
          <w:sz w:val="32"/>
          <w:szCs w:val="32"/>
        </w:rPr>
      </w:pPr>
    </w:p>
    <w:p>
      <w:pPr>
        <w:autoSpaceDE w:val="0"/>
        <w:autoSpaceDN w:val="0"/>
        <w:adjustRightInd w:val="0"/>
        <w:spacing w:line="360" w:lineRule="auto"/>
        <w:ind w:firstLine="420"/>
        <w:jc w:val="center"/>
        <w:rPr>
          <w:rFonts w:asciiTheme="minorEastAsia" w:hAnsiTheme="minorEastAsia" w:eastAsiaTheme="minorEastAsia" w:cstheme="minorEastAsia"/>
          <w:color w:val="auto"/>
          <w:sz w:val="32"/>
          <w:szCs w:val="32"/>
        </w:rPr>
      </w:pPr>
    </w:p>
    <w:p>
      <w:pPr>
        <w:autoSpaceDE w:val="0"/>
        <w:autoSpaceDN w:val="0"/>
        <w:adjustRightInd w:val="0"/>
        <w:spacing w:line="360" w:lineRule="auto"/>
        <w:jc w:val="center"/>
        <w:rPr>
          <w:rFonts w:asciiTheme="minorEastAsia" w:hAnsiTheme="minorEastAsia" w:eastAsiaTheme="minorEastAsia" w:cstheme="minorEastAsia"/>
          <w:b/>
          <w:bCs/>
          <w:color w:val="auto"/>
          <w:sz w:val="36"/>
          <w:szCs w:val="36"/>
          <w:lang w:val="zh-CN"/>
        </w:rPr>
      </w:pPr>
      <w:r>
        <w:rPr>
          <w:rFonts w:hint="eastAsia" w:asciiTheme="minorEastAsia" w:hAnsiTheme="minorEastAsia" w:eastAsiaTheme="minorEastAsia" w:cstheme="minorEastAsia"/>
          <w:b/>
          <w:color w:val="auto"/>
          <w:sz w:val="32"/>
          <w:szCs w:val="32"/>
        </w:rPr>
        <w:t>第</w:t>
      </w:r>
      <w:r>
        <w:rPr>
          <w:rFonts w:hint="eastAsia" w:asciiTheme="minorEastAsia" w:hAnsiTheme="minorEastAsia" w:eastAsiaTheme="minorEastAsia" w:cstheme="minorEastAsia"/>
          <w:b/>
          <w:color w:val="auto"/>
          <w:sz w:val="32"/>
          <w:szCs w:val="32"/>
          <w:lang w:val="en-US" w:eastAsia="zh-CN"/>
        </w:rPr>
        <w:t>六</w:t>
      </w:r>
      <w:r>
        <w:rPr>
          <w:rFonts w:hint="eastAsia" w:asciiTheme="minorEastAsia" w:hAnsiTheme="minorEastAsia" w:eastAsiaTheme="minorEastAsia" w:cstheme="minorEastAsia"/>
          <w:b/>
          <w:color w:val="auto"/>
          <w:sz w:val="32"/>
          <w:szCs w:val="32"/>
        </w:rPr>
        <w:t>部分　</w:t>
      </w:r>
      <w:bookmarkEnd w:id="659"/>
      <w:bookmarkEnd w:id="660"/>
      <w:bookmarkEnd w:id="661"/>
      <w:bookmarkEnd w:id="662"/>
      <w:bookmarkEnd w:id="663"/>
      <w:r>
        <w:rPr>
          <w:rFonts w:hint="eastAsia" w:asciiTheme="minorEastAsia" w:hAnsiTheme="minorEastAsia" w:eastAsiaTheme="minorEastAsia" w:cstheme="minorEastAsia"/>
          <w:b/>
          <w:color w:val="auto"/>
          <w:sz w:val="32"/>
          <w:szCs w:val="32"/>
          <w:lang w:val="zh-CN"/>
        </w:rPr>
        <w:t>响应文件格式</w:t>
      </w:r>
    </w:p>
    <w:p>
      <w:pPr>
        <w:spacing w:line="360" w:lineRule="auto"/>
        <w:jc w:val="center"/>
        <w:rPr>
          <w:rFonts w:asciiTheme="minorEastAsia" w:hAnsiTheme="minorEastAsia" w:eastAsiaTheme="minorEastAsia" w:cstheme="minorEastAsia"/>
          <w:color w:val="auto"/>
          <w:sz w:val="32"/>
          <w:szCs w:val="32"/>
        </w:rPr>
      </w:pPr>
    </w:p>
    <w:p>
      <w:pPr>
        <w:autoSpaceDE w:val="0"/>
        <w:autoSpaceDN w:val="0"/>
        <w:adjustRightInd w:val="0"/>
        <w:spacing w:line="360" w:lineRule="auto"/>
        <w:jc w:val="center"/>
        <w:rPr>
          <w:rFonts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color w:val="auto"/>
          <w:sz w:val="24"/>
          <w:szCs w:val="24"/>
          <w:lang w:val="zh-CN"/>
        </w:rPr>
        <w:t>注：为了便于查找，标注目录及页码</w:t>
      </w:r>
    </w:p>
    <w:p>
      <w:pPr>
        <w:autoSpaceDE w:val="0"/>
        <w:autoSpaceDN w:val="0"/>
        <w:adjustRightInd w:val="0"/>
        <w:spacing w:line="360" w:lineRule="auto"/>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（以下内容需按要求提供相应证明材料）</w:t>
      </w:r>
    </w:p>
    <w:p>
      <w:pPr>
        <w:autoSpaceDE w:val="0"/>
        <w:autoSpaceDN w:val="0"/>
        <w:adjustRightInd w:val="0"/>
        <w:spacing w:line="360" w:lineRule="auto"/>
        <w:jc w:val="center"/>
        <w:rPr>
          <w:rFonts w:asciiTheme="minorEastAsia" w:hAnsiTheme="minorEastAsia" w:eastAsiaTheme="minorEastAsia" w:cstheme="minorEastAsia"/>
          <w:b/>
          <w:bCs/>
          <w:color w:val="auto"/>
          <w:sz w:val="32"/>
          <w:szCs w:val="32"/>
          <w:lang w:val="zh-CN"/>
        </w:rPr>
      </w:pPr>
    </w:p>
    <w:p>
      <w:pPr>
        <w:autoSpaceDE w:val="0"/>
        <w:autoSpaceDN w:val="0"/>
        <w:adjustRightInd w:val="0"/>
        <w:spacing w:line="360" w:lineRule="auto"/>
        <w:rPr>
          <w:rFonts w:asciiTheme="minorEastAsia" w:hAnsiTheme="minorEastAsia" w:eastAsiaTheme="minorEastAsia" w:cstheme="minorEastAsia"/>
          <w:b/>
          <w:bCs/>
          <w:color w:val="auto"/>
          <w:sz w:val="32"/>
          <w:szCs w:val="32"/>
          <w:lang w:val="zh-CN"/>
        </w:rPr>
      </w:pPr>
    </w:p>
    <w:p>
      <w:pPr>
        <w:pStyle w:val="4"/>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val="0"/>
          <w:bCs/>
          <w:color w:val="auto"/>
          <w:sz w:val="24"/>
          <w:szCs w:val="24"/>
          <w:lang w:val="zh-CN"/>
        </w:rPr>
        <w:br w:type="page"/>
      </w:r>
      <w:bookmarkStart w:id="664" w:name="_Toc414108641"/>
      <w:bookmarkStart w:id="665" w:name="_Toc383102810"/>
      <w:r>
        <w:rPr>
          <w:rFonts w:hint="eastAsia" w:asciiTheme="minorEastAsia" w:hAnsiTheme="minorEastAsia" w:eastAsiaTheme="minorEastAsia" w:cstheme="minorEastAsia"/>
          <w:color w:val="auto"/>
          <w:lang w:val="zh-CN"/>
        </w:rPr>
        <w:t>商</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务</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标</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格</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式</w:t>
      </w:r>
      <w:bookmarkEnd w:id="664"/>
      <w:bookmarkEnd w:id="665"/>
    </w:p>
    <w:p>
      <w:pPr>
        <w:autoSpaceDE w:val="0"/>
        <w:autoSpaceDN w:val="0"/>
        <w:adjustRightInd w:val="0"/>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商务标封面示例</w:t>
      </w:r>
    </w:p>
    <w:p>
      <w:pPr>
        <w:autoSpaceDE w:val="0"/>
        <w:autoSpaceDN w:val="0"/>
        <w:adjustRightInd w:val="0"/>
        <w:spacing w:line="360" w:lineRule="auto"/>
        <w:ind w:firstLine="6720" w:firstLineChars="2400"/>
        <w:jc w:val="righ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rPr>
        <w:t xml:space="preserve"> 正本/副本</w:t>
      </w:r>
    </w:p>
    <w:p>
      <w:pPr>
        <w:autoSpaceDE w:val="0"/>
        <w:autoSpaceDN w:val="0"/>
        <w:adjustRightInd w:val="0"/>
        <w:spacing w:line="360" w:lineRule="auto"/>
        <w:rPr>
          <w:rFonts w:asciiTheme="minorEastAsia" w:hAnsiTheme="minorEastAsia" w:eastAsiaTheme="minorEastAsia" w:cstheme="minorEastAsia"/>
          <w:color w:val="auto"/>
          <w:szCs w:val="21"/>
        </w:rPr>
      </w:pPr>
    </w:p>
    <w:p>
      <w:pPr>
        <w:spacing w:line="360" w:lineRule="auto"/>
        <w:jc w:val="center"/>
        <w:rPr>
          <w:rFonts w:asciiTheme="minorEastAsia" w:hAnsiTheme="minorEastAsia" w:eastAsiaTheme="minorEastAsia" w:cstheme="minorEastAsia"/>
          <w:b/>
          <w:bCs/>
          <w:color w:val="auto"/>
          <w:lang w:val="zh-CN"/>
        </w:rPr>
      </w:pPr>
    </w:p>
    <w:p>
      <w:pPr>
        <w:spacing w:line="360" w:lineRule="auto"/>
        <w:jc w:val="center"/>
        <w:rPr>
          <w:rFonts w:asciiTheme="minorEastAsia" w:hAnsiTheme="minorEastAsia" w:eastAsiaTheme="minorEastAsia" w:cstheme="minorEastAsia"/>
          <w:b/>
          <w:bCs/>
          <w:color w:val="auto"/>
          <w:sz w:val="48"/>
          <w:szCs w:val="48"/>
        </w:rPr>
      </w:pPr>
      <w:r>
        <w:rPr>
          <w:rFonts w:hint="eastAsia" w:asciiTheme="minorEastAsia" w:hAnsiTheme="minorEastAsia" w:eastAsiaTheme="minorEastAsia" w:cstheme="minorEastAsia"/>
          <w:b/>
          <w:bCs/>
          <w:color w:val="auto"/>
          <w:sz w:val="48"/>
          <w:szCs w:val="48"/>
          <w:lang w:val="zh-CN"/>
        </w:rPr>
        <w:t>响应文件商务标</w:t>
      </w:r>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rPr>
          <w:rFonts w:asciiTheme="minorEastAsia" w:hAnsiTheme="minorEastAsia" w:eastAsiaTheme="minorEastAsia" w:cstheme="minorEastAsia"/>
          <w:color w:val="auto"/>
          <w:szCs w:val="21"/>
        </w:rPr>
      </w:pPr>
    </w:p>
    <w:p>
      <w:pPr>
        <w:pStyle w:val="22"/>
        <w:spacing w:line="360" w:lineRule="auto"/>
        <w:ind w:firstLine="480"/>
        <w:rPr>
          <w:rFonts w:asciiTheme="minorEastAsia" w:hAnsiTheme="minorEastAsia" w:eastAsiaTheme="minorEastAsia" w:cstheme="minorEastAsia"/>
          <w:color w:val="auto"/>
          <w:szCs w:val="21"/>
        </w:rPr>
      </w:pPr>
    </w:p>
    <w:p>
      <w:pPr>
        <w:autoSpaceDE w:val="0"/>
        <w:autoSpaceDN w:val="0"/>
        <w:adjustRightIn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项目名称：</w:t>
      </w:r>
    </w:p>
    <w:p>
      <w:pPr>
        <w:autoSpaceDE w:val="0"/>
        <w:autoSpaceDN w:val="0"/>
        <w:adjustRightIn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w:t>
      </w:r>
    </w:p>
    <w:p>
      <w:pPr>
        <w:autoSpaceDE w:val="0"/>
        <w:autoSpaceDN w:val="0"/>
        <w:adjustRightIn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采购人：</w:t>
      </w:r>
    </w:p>
    <w:p>
      <w:pPr>
        <w:autoSpaceDE w:val="0"/>
        <w:autoSpaceDN w:val="0"/>
        <w:adjustRightIn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投标人名称：（盖章）</w:t>
      </w:r>
    </w:p>
    <w:p>
      <w:pPr>
        <w:autoSpaceDE w:val="0"/>
        <w:autoSpaceDN w:val="0"/>
        <w:adjustRightIn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法定代表人或被授权代理人：（盖章）</w:t>
      </w:r>
    </w:p>
    <w:p>
      <w:pPr>
        <w:autoSpaceDE w:val="0"/>
        <w:autoSpaceDN w:val="0"/>
        <w:adjustRightIn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单位地址：</w:t>
      </w:r>
    </w:p>
    <w:p>
      <w:pPr>
        <w:autoSpaceDE w:val="0"/>
        <w:autoSpaceDN w:val="0"/>
        <w:adjustRightIn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联系人：</w:t>
      </w:r>
    </w:p>
    <w:p>
      <w:pPr>
        <w:autoSpaceDE w:val="0"/>
        <w:autoSpaceDN w:val="0"/>
        <w:adjustRightIn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联系电话：</w:t>
      </w:r>
    </w:p>
    <w:p>
      <w:pPr>
        <w:autoSpaceDE w:val="0"/>
        <w:autoSpaceDN w:val="0"/>
        <w:adjustRightInd w:val="0"/>
        <w:spacing w:line="360" w:lineRule="auto"/>
        <w:jc w:val="left"/>
        <w:rPr>
          <w:rFonts w:asciiTheme="minorEastAsia" w:hAnsiTheme="minorEastAsia" w:eastAsiaTheme="minorEastAsia" w:cstheme="minorEastAsia"/>
          <w:color w:val="auto"/>
          <w:szCs w:val="21"/>
        </w:rPr>
      </w:pPr>
    </w:p>
    <w:p>
      <w:pPr>
        <w:autoSpaceDE w:val="0"/>
        <w:autoSpaceDN w:val="0"/>
        <w:adjustRightIn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年      月       日</w:t>
      </w:r>
    </w:p>
    <w:p>
      <w:pPr>
        <w:autoSpaceDE w:val="0"/>
        <w:autoSpaceDN w:val="0"/>
        <w:adjustRightInd w:val="0"/>
        <w:spacing w:line="360" w:lineRule="auto"/>
        <w:jc w:val="left"/>
        <w:rPr>
          <w:rFonts w:asciiTheme="minorEastAsia" w:hAnsiTheme="minorEastAsia" w:eastAsiaTheme="minorEastAsia" w:cstheme="minorEastAsia"/>
          <w:color w:val="auto"/>
          <w:lang w:val="zh-CN"/>
        </w:rPr>
      </w:pPr>
    </w:p>
    <w:p>
      <w:pPr>
        <w:autoSpaceDE w:val="0"/>
        <w:autoSpaceDN w:val="0"/>
        <w:adjustRightInd w:val="0"/>
        <w:spacing w:line="360" w:lineRule="auto"/>
        <w:jc w:val="center"/>
        <w:rPr>
          <w:rFonts w:asciiTheme="minorEastAsia" w:hAnsiTheme="minorEastAsia" w:eastAsiaTheme="minorEastAsia" w:cstheme="minorEastAsia"/>
          <w:color w:val="auto"/>
          <w:lang w:val="zh-CN"/>
        </w:rPr>
      </w:pPr>
    </w:p>
    <w:p>
      <w:pPr>
        <w:autoSpaceDE w:val="0"/>
        <w:autoSpaceDN w:val="0"/>
        <w:adjustRightInd w:val="0"/>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商务标目录</w:t>
      </w:r>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ind w:left="210" w:left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1、投标承诺书（一）</w:t>
      </w:r>
    </w:p>
    <w:p>
      <w:pPr>
        <w:autoSpaceDE w:val="0"/>
        <w:autoSpaceDN w:val="0"/>
        <w:adjustRightInd w:val="0"/>
        <w:spacing w:line="360" w:lineRule="auto"/>
        <w:ind w:left="210" w:left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2、投标承诺书（二）</w:t>
      </w:r>
    </w:p>
    <w:p>
      <w:pPr>
        <w:autoSpaceDE w:val="0"/>
        <w:autoSpaceDN w:val="0"/>
        <w:adjustRightInd w:val="0"/>
        <w:spacing w:line="360" w:lineRule="auto"/>
        <w:ind w:left="210" w:left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3、投标承诺书（三）</w:t>
      </w:r>
    </w:p>
    <w:p>
      <w:pPr>
        <w:autoSpaceDE w:val="0"/>
        <w:autoSpaceDN w:val="0"/>
        <w:adjustRightInd w:val="0"/>
        <w:spacing w:line="360" w:lineRule="auto"/>
        <w:ind w:left="210" w:left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4、法定代表人身份证明书</w:t>
      </w:r>
    </w:p>
    <w:p>
      <w:pPr>
        <w:autoSpaceDE w:val="0"/>
        <w:autoSpaceDN w:val="0"/>
        <w:adjustRightInd w:val="0"/>
        <w:spacing w:line="360" w:lineRule="auto"/>
        <w:ind w:left="210" w:left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5、法定代表人授权委托书</w:t>
      </w:r>
    </w:p>
    <w:p>
      <w:pPr>
        <w:autoSpaceDE w:val="0"/>
        <w:autoSpaceDN w:val="0"/>
        <w:adjustRightInd w:val="0"/>
        <w:spacing w:line="360" w:lineRule="auto"/>
        <w:ind w:left="420" w:leftChars="100" w:hanging="210" w:hanging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6、投标人概况（企业营业执照副本复印件、资质证书副本复印件、安全生产许可证复印件、注册建造师证书复印件）；</w:t>
      </w:r>
    </w:p>
    <w:p>
      <w:pPr>
        <w:autoSpaceDE w:val="0"/>
        <w:autoSpaceDN w:val="0"/>
        <w:adjustRightInd w:val="0"/>
        <w:spacing w:line="360" w:lineRule="auto"/>
        <w:ind w:left="210" w:left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7、项目管理人员</w:t>
      </w:r>
    </w:p>
    <w:p>
      <w:pPr>
        <w:autoSpaceDE w:val="0"/>
        <w:autoSpaceDN w:val="0"/>
        <w:adjustRightInd w:val="0"/>
        <w:spacing w:line="360" w:lineRule="auto"/>
        <w:ind w:left="210" w:leftChars="10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8、投标保证金</w:t>
      </w:r>
      <w:r>
        <w:rPr>
          <w:rFonts w:hint="eastAsia" w:asciiTheme="minorEastAsia" w:hAnsiTheme="minorEastAsia" w:eastAsiaTheme="minorEastAsia" w:cstheme="minorEastAsia"/>
          <w:color w:val="auto"/>
          <w:szCs w:val="21"/>
          <w:lang w:val="en-US" w:eastAsia="zh-CN"/>
        </w:rPr>
        <w:t>缴纳凭证</w:t>
      </w:r>
    </w:p>
    <w:p>
      <w:pPr>
        <w:autoSpaceDE w:val="0"/>
        <w:autoSpaceDN w:val="0"/>
        <w:adjustRightInd w:val="0"/>
        <w:spacing w:line="360" w:lineRule="auto"/>
        <w:ind w:left="210" w:leftChars="1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9、磋商文件要求的其他证明材料</w:t>
      </w:r>
    </w:p>
    <w:p>
      <w:pPr>
        <w:autoSpaceDE w:val="0"/>
        <w:autoSpaceDN w:val="0"/>
        <w:adjustRightInd w:val="0"/>
        <w:spacing w:line="360" w:lineRule="auto"/>
        <w:ind w:left="210" w:leftChars="1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10、中小企业声明函（工程、服务）</w:t>
      </w:r>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注：为了便于查找，请按上述顺序编排商务标内容，并在目录中标明每项内容的起始页码。</w:t>
      </w:r>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br w:type="page"/>
      </w:r>
    </w:p>
    <w:p>
      <w:pPr>
        <w:pStyle w:val="5"/>
        <w:spacing w:line="360" w:lineRule="auto"/>
        <w:jc w:val="center"/>
        <w:rPr>
          <w:rFonts w:asciiTheme="minorEastAsia" w:hAnsiTheme="minorEastAsia" w:eastAsiaTheme="minorEastAsia" w:cstheme="minorEastAsia"/>
          <w:color w:val="auto"/>
        </w:rPr>
      </w:pPr>
      <w:bookmarkStart w:id="666" w:name="_Toc414108642"/>
      <w:r>
        <w:rPr>
          <w:rFonts w:hint="eastAsia" w:asciiTheme="minorEastAsia" w:hAnsiTheme="minorEastAsia" w:eastAsiaTheme="minorEastAsia" w:cstheme="minorEastAsia"/>
          <w:color w:val="auto"/>
          <w:lang w:val="zh-CN"/>
        </w:rPr>
        <w:t>投标承诺书（一）</w:t>
      </w:r>
      <w:bookmarkEnd w:id="666"/>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招标人：</w:t>
      </w:r>
      <w:r>
        <w:rPr>
          <w:rFonts w:hint="eastAsia" w:asciiTheme="minorEastAsia" w:hAnsiTheme="minorEastAsia" w:eastAsiaTheme="minorEastAsia" w:cstheme="minorEastAsia"/>
          <w:color w:val="auto"/>
          <w:u w:val="single"/>
        </w:rPr>
        <w:t xml:space="preserve">                 </w:t>
      </w:r>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lang w:val="zh-CN"/>
        </w:rPr>
        <w:t>、根据已收到的</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工程的磋商文件，我单位经考察现场和研究贵方的磋商文件后，将接受该工程磋商文件中各条款内容并且以经济标中所报投标价格承包本</w:t>
      </w:r>
      <w:r>
        <w:rPr>
          <w:rFonts w:hint="eastAsia" w:asciiTheme="minorEastAsia" w:hAnsiTheme="minorEastAsia" w:eastAsiaTheme="minorEastAsia" w:cstheme="minorEastAsia"/>
          <w:color w:val="auto"/>
          <w:lang w:val="en-US" w:eastAsia="zh-CN"/>
        </w:rPr>
        <w:t>磋商</w:t>
      </w:r>
      <w:r>
        <w:rPr>
          <w:rFonts w:hint="eastAsia" w:asciiTheme="minorEastAsia" w:hAnsiTheme="minorEastAsia" w:eastAsiaTheme="minorEastAsia" w:cstheme="minorEastAsia"/>
          <w:color w:val="auto"/>
          <w:lang w:val="zh-CN"/>
        </w:rPr>
        <w:t>范围内的工程。</w:t>
      </w:r>
    </w:p>
    <w:p>
      <w:pPr>
        <w:autoSpaceDE w:val="0"/>
        <w:autoSpaceDN w:val="0"/>
        <w:adjustRightIn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lang w:val="zh-CN"/>
        </w:rPr>
        <w:t>、如果我方中标，非业主原因，我方保证将在下列日期内组织施工。</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总</w:t>
      </w:r>
      <w:r>
        <w:rPr>
          <w:rFonts w:hint="eastAsia" w:asciiTheme="minorEastAsia" w:hAnsiTheme="minorEastAsia" w:eastAsiaTheme="minorEastAsia" w:cstheme="minorEastAsia"/>
          <w:color w:val="auto"/>
          <w:szCs w:val="21"/>
        </w:rPr>
        <w:t>工期：</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autoSpaceDE w:val="0"/>
        <w:autoSpaceDN w:val="0"/>
        <w:adjustRightIn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lang w:val="zh-CN"/>
        </w:rPr>
        <w:t>、如果我方中标，非业主原因，我方保证将按下列质量等级完成本工程。</w:t>
      </w:r>
    </w:p>
    <w:p>
      <w:pPr>
        <w:autoSpaceDE w:val="0"/>
        <w:autoSpaceDN w:val="0"/>
        <w:adjustRightInd w:val="0"/>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质量等级：</w:t>
      </w:r>
      <w:r>
        <w:rPr>
          <w:rFonts w:hint="eastAsia" w:asciiTheme="minorEastAsia" w:hAnsiTheme="minorEastAsia" w:eastAsiaTheme="minorEastAsia" w:cstheme="minorEastAsia"/>
          <w:color w:val="auto"/>
          <w:u w:val="single"/>
        </w:rPr>
        <w:t xml:space="preserve">      </w:t>
      </w:r>
    </w:p>
    <w:p>
      <w:pPr>
        <w:autoSpaceDE w:val="0"/>
        <w:autoSpaceDN w:val="0"/>
        <w:adjustRightIn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r>
        <w:rPr>
          <w:rFonts w:hint="eastAsia" w:asciiTheme="minorEastAsia" w:hAnsiTheme="minorEastAsia" w:eastAsiaTheme="minorEastAsia" w:cstheme="minorEastAsia"/>
          <w:color w:val="auto"/>
          <w:lang w:val="zh-CN"/>
        </w:rPr>
        <w:t>、如果我方中标，我方将按磋商文件规定的时间内签订承包合同。如果我方违约，除履约保证金外，我方还将以中标价</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lang w:val="zh-CN"/>
        </w:rPr>
        <w:t>作为赔偿金，同时贵方有权终止我方中标并选择其它中标人。</w:t>
      </w:r>
    </w:p>
    <w:p>
      <w:pPr>
        <w:autoSpaceDE w:val="0"/>
        <w:autoSpaceDN w:val="0"/>
        <w:adjustRightIn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lang w:val="zh-CN"/>
        </w:rPr>
        <w:t>、贵方的磋商文件、中标通知书、我方的响应文件将构成约束双方的合同一部分。</w:t>
      </w:r>
    </w:p>
    <w:p>
      <w:pPr>
        <w:autoSpaceDE w:val="0"/>
        <w:autoSpaceDN w:val="0"/>
        <w:adjustRightIn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w:t>
      </w:r>
      <w:r>
        <w:rPr>
          <w:rFonts w:hint="eastAsia" w:asciiTheme="minorEastAsia" w:hAnsiTheme="minorEastAsia" w:eastAsiaTheme="minorEastAsia" w:cstheme="minorEastAsia"/>
          <w:color w:val="auto"/>
          <w:lang w:val="zh-CN"/>
        </w:rPr>
        <w:t>、如果我方未中标，贵方没有必要对我方做出任何解释和说明，我方将充分尊重和理解贵方的选择。</w:t>
      </w:r>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投标人：</w:t>
      </w: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lang w:val="zh-CN"/>
        </w:rPr>
        <w:t>（盖章）</w:t>
      </w:r>
    </w:p>
    <w:p>
      <w:pPr>
        <w:autoSpaceDE w:val="0"/>
        <w:autoSpaceDN w:val="0"/>
        <w:adjustRightInd w:val="0"/>
        <w:spacing w:line="360" w:lineRule="auto"/>
        <w:rPr>
          <w:rFonts w:asciiTheme="minorEastAsia" w:hAnsiTheme="minorEastAsia" w:eastAsiaTheme="minorEastAsia" w:cstheme="minorEastAsia"/>
          <w:color w:val="auto"/>
          <w:lang w:val="zh-CN"/>
        </w:rPr>
      </w:pPr>
    </w:p>
    <w:p>
      <w:pPr>
        <w:autoSpaceDE w:val="0"/>
        <w:autoSpaceDN w:val="0"/>
        <w:adjustRightInd w:val="0"/>
        <w:spacing w:line="360" w:lineRule="auto"/>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法定代表人或委托代理人：</w:t>
      </w: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lang w:val="zh-CN"/>
        </w:rPr>
        <w:t>（盖章）</w:t>
      </w:r>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日期：</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日</w:t>
      </w:r>
      <w:r>
        <w:rPr>
          <w:rFonts w:hint="eastAsia" w:asciiTheme="minorEastAsia" w:hAnsiTheme="minorEastAsia" w:eastAsiaTheme="minorEastAsia" w:cstheme="minorEastAsia"/>
          <w:color w:val="auto"/>
          <w:szCs w:val="21"/>
        </w:rPr>
        <w:t xml:space="preserve"> </w:t>
      </w:r>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rPr>
          <w:rFonts w:asciiTheme="minorEastAsia" w:hAnsiTheme="minorEastAsia" w:eastAsiaTheme="minorEastAsia" w:cstheme="minorEastAsia"/>
          <w:color w:val="auto"/>
          <w:szCs w:val="21"/>
        </w:rPr>
      </w:pPr>
    </w:p>
    <w:p>
      <w:pPr>
        <w:pStyle w:val="5"/>
        <w:spacing w:line="360" w:lineRule="auto"/>
        <w:jc w:val="center"/>
        <w:rPr>
          <w:rFonts w:asciiTheme="minorEastAsia" w:hAnsiTheme="minorEastAsia" w:eastAsiaTheme="minorEastAsia" w:cstheme="minorEastAsia"/>
          <w:color w:val="auto"/>
        </w:rPr>
      </w:pPr>
      <w:bookmarkStart w:id="667" w:name="_Toc414108643"/>
      <w:r>
        <w:rPr>
          <w:rFonts w:hint="eastAsia" w:asciiTheme="minorEastAsia" w:hAnsiTheme="minorEastAsia" w:eastAsiaTheme="minorEastAsia" w:cstheme="minorEastAsia"/>
          <w:color w:val="auto"/>
          <w:lang w:val="zh-CN"/>
        </w:rPr>
        <w:t>投标承诺书（二）</w:t>
      </w:r>
      <w:bookmarkEnd w:id="667"/>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招标</w:t>
      </w:r>
      <w:r>
        <w:rPr>
          <w:rFonts w:hint="eastAsia" w:asciiTheme="minorEastAsia" w:hAnsiTheme="minorEastAsia" w:eastAsiaTheme="minorEastAsia" w:cstheme="minorEastAsia"/>
          <w:color w:val="auto"/>
          <w:lang w:val="zh-CN"/>
        </w:rPr>
        <w:t>人：</w:t>
      </w:r>
      <w:r>
        <w:rPr>
          <w:rFonts w:hint="eastAsia" w:asciiTheme="minorEastAsia" w:hAnsiTheme="minorEastAsia" w:eastAsiaTheme="minorEastAsia" w:cstheme="minorEastAsia"/>
          <w:color w:val="auto"/>
          <w:u w:val="single"/>
        </w:rPr>
        <w:t xml:space="preserve">                 </w:t>
      </w:r>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如果我方中标，施工项目负责人为：</w:t>
      </w:r>
    </w:p>
    <w:tbl>
      <w:tblPr>
        <w:tblStyle w:val="23"/>
        <w:tblW w:w="91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278"/>
        <w:gridCol w:w="2274"/>
        <w:gridCol w:w="2279"/>
        <w:gridCol w:w="22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2278" w:type="dxa"/>
            <w:tcBorders>
              <w:top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姓名</w:t>
            </w:r>
          </w:p>
        </w:tc>
        <w:tc>
          <w:tcPr>
            <w:tcW w:w="22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color w:val="auto"/>
                <w:szCs w:val="21"/>
                <w:u w:val="single"/>
              </w:rPr>
            </w:pPr>
          </w:p>
        </w:tc>
        <w:tc>
          <w:tcPr>
            <w:tcW w:w="22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职称</w:t>
            </w:r>
          </w:p>
        </w:tc>
        <w:tc>
          <w:tcPr>
            <w:tcW w:w="2274" w:type="dxa"/>
            <w:tcBorders>
              <w:top w:val="single" w:color="auto" w:sz="4" w:space="0"/>
              <w:left w:val="single" w:color="auto" w:sz="4" w:space="0"/>
              <w:bottom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color w:val="auto"/>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3" w:hRule="atLeast"/>
        </w:trPr>
        <w:tc>
          <w:tcPr>
            <w:tcW w:w="2278" w:type="dxa"/>
            <w:tcBorders>
              <w:top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注册建造师等级</w:t>
            </w:r>
          </w:p>
        </w:tc>
        <w:tc>
          <w:tcPr>
            <w:tcW w:w="22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color w:val="auto"/>
                <w:szCs w:val="21"/>
                <w:u w:val="single"/>
              </w:rPr>
            </w:pPr>
          </w:p>
        </w:tc>
        <w:tc>
          <w:tcPr>
            <w:tcW w:w="22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注册建造师证书编号</w:t>
            </w:r>
          </w:p>
        </w:tc>
        <w:tc>
          <w:tcPr>
            <w:tcW w:w="2274" w:type="dxa"/>
            <w:tcBorders>
              <w:top w:val="single" w:color="auto" w:sz="4" w:space="0"/>
              <w:left w:val="single" w:color="auto" w:sz="4" w:space="0"/>
              <w:bottom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color w:val="auto"/>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2" w:hRule="atLeast"/>
        </w:trPr>
        <w:tc>
          <w:tcPr>
            <w:tcW w:w="2278" w:type="dxa"/>
            <w:tcBorders>
              <w:top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身份证号码</w:t>
            </w:r>
          </w:p>
        </w:tc>
        <w:tc>
          <w:tcPr>
            <w:tcW w:w="6827" w:type="dxa"/>
            <w:gridSpan w:val="3"/>
            <w:tcBorders>
              <w:top w:val="single" w:color="auto" w:sz="4" w:space="0"/>
              <w:left w:val="single" w:color="auto" w:sz="4" w:space="0"/>
              <w:bottom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color w:val="auto"/>
                <w:szCs w:val="21"/>
                <w:u w:val="single"/>
              </w:rPr>
            </w:pPr>
          </w:p>
        </w:tc>
      </w:tr>
    </w:tbl>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中标后，若由于特殊原因须更换施工项目负责人时，我方将以资质以及信誉不低于此注册建造师的人员替换，并报业主审查。经审查通过后，方可更换。若未经业主批准，我方擅自更换施工项目负责人，我方愿以合同价的</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lang w:val="zh-CN"/>
        </w:rPr>
        <w:t>作为赔偿金。</w:t>
      </w:r>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投标人：</w:t>
      </w: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lang w:val="zh-CN"/>
        </w:rPr>
        <w:t>（盖章）</w:t>
      </w:r>
    </w:p>
    <w:p>
      <w:pPr>
        <w:autoSpaceDE w:val="0"/>
        <w:autoSpaceDN w:val="0"/>
        <w:adjustRightInd w:val="0"/>
        <w:spacing w:line="360" w:lineRule="auto"/>
        <w:rPr>
          <w:rFonts w:asciiTheme="minorEastAsia" w:hAnsiTheme="minorEastAsia" w:eastAsiaTheme="minorEastAsia" w:cstheme="minorEastAsia"/>
          <w:color w:val="auto"/>
          <w:lang w:val="zh-CN"/>
        </w:rPr>
      </w:pPr>
    </w:p>
    <w:p>
      <w:pPr>
        <w:autoSpaceDE w:val="0"/>
        <w:autoSpaceDN w:val="0"/>
        <w:adjustRightInd w:val="0"/>
        <w:spacing w:line="360" w:lineRule="auto"/>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法定代表人或委托代理人：</w:t>
      </w: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lang w:val="zh-CN"/>
        </w:rPr>
        <w:t>（盖章）</w:t>
      </w:r>
    </w:p>
    <w:p>
      <w:pPr>
        <w:autoSpaceDE w:val="0"/>
        <w:autoSpaceDN w:val="0"/>
        <w:adjustRightInd w:val="0"/>
        <w:spacing w:line="360" w:lineRule="auto"/>
        <w:rPr>
          <w:rFonts w:asciiTheme="minorEastAsia" w:hAnsiTheme="minorEastAsia" w:eastAsiaTheme="minorEastAsia" w:cstheme="minorEastAsia"/>
          <w:color w:val="auto"/>
        </w:rPr>
      </w:pPr>
    </w:p>
    <w:p>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日期：</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日</w:t>
      </w:r>
      <w:r>
        <w:rPr>
          <w:rFonts w:hint="eastAsia" w:asciiTheme="minorEastAsia" w:hAnsiTheme="minorEastAsia" w:eastAsiaTheme="minorEastAsia" w:cstheme="minorEastAsia"/>
          <w:color w:val="auto"/>
          <w:szCs w:val="21"/>
        </w:rPr>
        <w:t xml:space="preserve"> </w:t>
      </w:r>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rPr>
          <w:rFonts w:asciiTheme="minorEastAsia" w:hAnsiTheme="minorEastAsia" w:eastAsiaTheme="minorEastAsia" w:cstheme="minorEastAsia"/>
          <w:color w:val="auto"/>
          <w:szCs w:val="21"/>
        </w:rPr>
      </w:pPr>
    </w:p>
    <w:p>
      <w:pPr>
        <w:spacing w:line="360" w:lineRule="auto"/>
        <w:ind w:left="424"/>
        <w:jc w:val="center"/>
        <w:rPr>
          <w:rFonts w:asciiTheme="minorEastAsia" w:hAnsiTheme="minorEastAsia" w:eastAsiaTheme="minorEastAsia" w:cstheme="minorEastAsia"/>
          <w:b/>
          <w:bCs/>
          <w:color w:val="auto"/>
          <w:sz w:val="32"/>
          <w:szCs w:val="32"/>
          <w:lang w:val="zh-CN"/>
        </w:rPr>
      </w:pPr>
      <w:bookmarkStart w:id="668" w:name="_Toc414108644"/>
      <w:r>
        <w:rPr>
          <w:rFonts w:hint="eastAsia" w:asciiTheme="minorEastAsia" w:hAnsiTheme="minorEastAsia" w:eastAsiaTheme="minorEastAsia" w:cstheme="minorEastAsia"/>
          <w:b/>
          <w:bCs/>
          <w:color w:val="auto"/>
          <w:sz w:val="32"/>
          <w:szCs w:val="32"/>
          <w:lang w:val="zh-CN"/>
        </w:rPr>
        <w:t>投标承诺书（三）</w:t>
      </w:r>
    </w:p>
    <w:p>
      <w:pPr>
        <w:spacing w:line="360" w:lineRule="auto"/>
        <w:ind w:left="424"/>
        <w:jc w:val="center"/>
        <w:rPr>
          <w:rFonts w:asciiTheme="minorEastAsia" w:hAnsiTheme="minorEastAsia" w:eastAsiaTheme="minorEastAsia" w:cstheme="minorEastAsia"/>
          <w:b/>
          <w:color w:val="auto"/>
          <w:kern w:val="1"/>
          <w:szCs w:val="21"/>
        </w:rPr>
      </w:pPr>
    </w:p>
    <w:p>
      <w:pPr>
        <w:spacing w:line="360" w:lineRule="auto"/>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致：</w:t>
      </w:r>
      <w:r>
        <w:rPr>
          <w:rFonts w:hint="eastAsia" w:asciiTheme="minorEastAsia" w:hAnsiTheme="minorEastAsia" w:eastAsiaTheme="minorEastAsia" w:cstheme="minorEastAsia"/>
          <w:color w:val="auto"/>
          <w:szCs w:val="21"/>
          <w:u w:val="single"/>
        </w:rPr>
        <w:t xml:space="preserve"> （招标人）     </w:t>
      </w:r>
    </w:p>
    <w:p>
      <w:pPr>
        <w:spacing w:line="360" w:lineRule="auto"/>
        <w:rPr>
          <w:rFonts w:asciiTheme="minorEastAsia" w:hAnsiTheme="minorEastAsia" w:eastAsiaTheme="minorEastAsia" w:cstheme="minorEastAsia"/>
          <w:color w:val="auto"/>
          <w:szCs w:val="21"/>
          <w:u w:val="single"/>
        </w:rPr>
      </w:pPr>
    </w:p>
    <w:p>
      <w:pPr>
        <w:spacing w:line="360" w:lineRule="auto"/>
        <w:ind w:firstLine="403" w:firstLineChars="19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我公司</w:t>
      </w:r>
      <w:r>
        <w:rPr>
          <w:rFonts w:hint="eastAsia" w:asciiTheme="minorEastAsia" w:hAnsiTheme="minorEastAsia" w:eastAsiaTheme="minorEastAsia" w:cstheme="minorEastAsia"/>
          <w:color w:val="auto"/>
          <w:szCs w:val="21"/>
          <w:u w:val="single"/>
        </w:rPr>
        <w:t xml:space="preserve">    （投标人名称）       </w:t>
      </w:r>
      <w:r>
        <w:rPr>
          <w:rFonts w:hint="eastAsia" w:asciiTheme="minorEastAsia" w:hAnsiTheme="minorEastAsia" w:eastAsiaTheme="minorEastAsia" w:cstheme="minorEastAsia"/>
          <w:color w:val="auto"/>
          <w:szCs w:val="21"/>
        </w:rPr>
        <w:t>作为</w:t>
      </w:r>
      <w:r>
        <w:rPr>
          <w:rFonts w:hint="eastAsia" w:asciiTheme="minorEastAsia" w:hAnsiTheme="minorEastAsia" w:eastAsiaTheme="minorEastAsia" w:cstheme="minorEastAsia"/>
          <w:color w:val="auto"/>
          <w:szCs w:val="21"/>
          <w:u w:val="single"/>
        </w:rPr>
        <w:t xml:space="preserve">      （项目名称） </w:t>
      </w:r>
      <w:r>
        <w:rPr>
          <w:rFonts w:hint="eastAsia" w:asciiTheme="minorEastAsia" w:hAnsiTheme="minorEastAsia" w:eastAsiaTheme="minorEastAsia" w:cstheme="minorEastAsia"/>
          <w:i/>
          <w:color w:val="auto"/>
          <w:szCs w:val="21"/>
          <w:u w:val="single"/>
        </w:rPr>
        <w:t xml:space="preserve">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项目（以下简称“本项目”）的投标人在此郑重承诺。</w:t>
      </w:r>
    </w:p>
    <w:p>
      <w:pPr>
        <w:spacing w:line="360" w:lineRule="auto"/>
        <w:ind w:firstLine="403" w:firstLineChars="19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我公司承诺我方没有违反现行法律、法规及有关文件规定而被限制投标情形或者没有被有关行政监督部门限制或取消投标资格情形；近三年内在经营活动中没有重大违法记录、未因不良记录行为受行政监督管理机关处罚或通报等情况，否则若中标也将被取消中标资格，并且投标过程中我公司提供的所有书面材料都是真实可靠的，如发现有虚假情况，我公司愿自动退出本次</w:t>
      </w:r>
      <w:r>
        <w:rPr>
          <w:rFonts w:hint="eastAsia" w:asciiTheme="minorEastAsia" w:hAnsiTheme="minorEastAsia" w:eastAsiaTheme="minorEastAsia" w:cstheme="minorEastAsia"/>
          <w:color w:val="auto"/>
          <w:szCs w:val="21"/>
          <w:lang w:val="en-US" w:eastAsia="zh-CN"/>
        </w:rPr>
        <w:t>磋商</w:t>
      </w:r>
      <w:r>
        <w:rPr>
          <w:rFonts w:hint="eastAsia" w:asciiTheme="minorEastAsia" w:hAnsiTheme="minorEastAsia" w:eastAsiaTheme="minorEastAsia" w:cstheme="minorEastAsia"/>
          <w:color w:val="auto"/>
          <w:szCs w:val="21"/>
        </w:rPr>
        <w:t>活动并承担一切法律后果。</w:t>
      </w:r>
    </w:p>
    <w:p>
      <w:pPr>
        <w:spacing w:line="360" w:lineRule="auto"/>
        <w:ind w:firstLine="403" w:firstLineChars="19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特此承诺！</w:t>
      </w:r>
    </w:p>
    <w:p>
      <w:pPr>
        <w:spacing w:line="360" w:lineRule="auto"/>
        <w:rPr>
          <w:rFonts w:asciiTheme="minorEastAsia" w:hAnsiTheme="minorEastAsia" w:eastAsiaTheme="minorEastAsia" w:cstheme="minorEastAsia"/>
          <w:color w:val="auto"/>
          <w:szCs w:val="21"/>
        </w:rPr>
      </w:pPr>
    </w:p>
    <w:p>
      <w:pPr>
        <w:spacing w:line="360" w:lineRule="auto"/>
        <w:ind w:firstLine="403" w:firstLineChars="19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投标人名称：（公章）</w:t>
      </w:r>
    </w:p>
    <w:p>
      <w:pPr>
        <w:pStyle w:val="21"/>
        <w:tabs>
          <w:tab w:val="left" w:pos="630"/>
        </w:tabs>
        <w:spacing w:line="360" w:lineRule="auto"/>
        <w:ind w:firstLine="210"/>
        <w:rPr>
          <w:rFonts w:asciiTheme="minorEastAsia" w:hAnsiTheme="minorEastAsia" w:eastAsiaTheme="minorEastAsia" w:cstheme="minorEastAsia"/>
          <w:color w:val="auto"/>
        </w:rPr>
      </w:pPr>
    </w:p>
    <w:p>
      <w:pPr>
        <w:spacing w:line="360" w:lineRule="auto"/>
        <w:ind w:firstLine="403" w:firstLineChars="19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法定代表人：（盖章）</w:t>
      </w:r>
    </w:p>
    <w:p>
      <w:pPr>
        <w:spacing w:line="360" w:lineRule="auto"/>
        <w:ind w:firstLine="403" w:firstLineChars="19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p>
    <w:p>
      <w:pPr>
        <w:spacing w:line="360" w:lineRule="auto"/>
        <w:jc w:val="right"/>
        <w:rPr>
          <w:rFonts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kern w:val="1"/>
          <w:szCs w:val="21"/>
        </w:rPr>
        <w:t>日期：</w:t>
      </w:r>
      <w:r>
        <w:rPr>
          <w:rFonts w:hint="eastAsia" w:asciiTheme="minorEastAsia" w:hAnsiTheme="minorEastAsia" w:eastAsiaTheme="minorEastAsia" w:cstheme="minorEastAsia"/>
          <w:color w:val="auto"/>
          <w:kern w:val="1"/>
          <w:szCs w:val="21"/>
          <w:u w:val="single"/>
        </w:rPr>
        <w:t xml:space="preserve">        </w:t>
      </w:r>
      <w:r>
        <w:rPr>
          <w:rFonts w:hint="eastAsia" w:asciiTheme="minorEastAsia" w:hAnsiTheme="minorEastAsia" w:eastAsiaTheme="minorEastAsia" w:cstheme="minorEastAsia"/>
          <w:color w:val="auto"/>
          <w:kern w:val="1"/>
          <w:szCs w:val="21"/>
        </w:rPr>
        <w:t>年</w:t>
      </w:r>
      <w:r>
        <w:rPr>
          <w:rFonts w:hint="eastAsia" w:asciiTheme="minorEastAsia" w:hAnsiTheme="minorEastAsia" w:eastAsiaTheme="minorEastAsia" w:cstheme="minorEastAsia"/>
          <w:color w:val="auto"/>
          <w:kern w:val="1"/>
          <w:szCs w:val="21"/>
          <w:u w:val="single"/>
        </w:rPr>
        <w:t xml:space="preserve">    </w:t>
      </w:r>
      <w:r>
        <w:rPr>
          <w:rFonts w:hint="eastAsia" w:asciiTheme="minorEastAsia" w:hAnsiTheme="minorEastAsia" w:eastAsiaTheme="minorEastAsia" w:cstheme="minorEastAsia"/>
          <w:color w:val="auto"/>
          <w:kern w:val="1"/>
          <w:szCs w:val="21"/>
        </w:rPr>
        <w:t>月</w:t>
      </w:r>
      <w:r>
        <w:rPr>
          <w:rFonts w:hint="eastAsia" w:asciiTheme="minorEastAsia" w:hAnsiTheme="minorEastAsia" w:eastAsiaTheme="minorEastAsia" w:cstheme="minorEastAsia"/>
          <w:color w:val="auto"/>
          <w:kern w:val="1"/>
          <w:szCs w:val="21"/>
          <w:u w:val="single"/>
        </w:rPr>
        <w:t xml:space="preserve">    </w:t>
      </w:r>
      <w:r>
        <w:rPr>
          <w:rFonts w:hint="eastAsia" w:asciiTheme="minorEastAsia" w:hAnsiTheme="minorEastAsia" w:eastAsiaTheme="minorEastAsia" w:cstheme="minorEastAsia"/>
          <w:color w:val="auto"/>
          <w:kern w:val="1"/>
          <w:szCs w:val="21"/>
        </w:rPr>
        <w:t>日</w:t>
      </w:r>
    </w:p>
    <w:p>
      <w:pPr>
        <w:pStyle w:val="5"/>
        <w:spacing w:line="360" w:lineRule="auto"/>
        <w:rPr>
          <w:rFonts w:asciiTheme="minorEastAsia" w:hAnsiTheme="minorEastAsia" w:eastAsiaTheme="minorEastAsia" w:cstheme="minorEastAsia"/>
          <w:color w:val="auto"/>
          <w:lang w:val="zh-CN"/>
        </w:rPr>
      </w:pPr>
    </w:p>
    <w:p>
      <w:pPr>
        <w:spacing w:line="360" w:lineRule="auto"/>
        <w:rPr>
          <w:rFonts w:asciiTheme="minorEastAsia" w:hAnsiTheme="minorEastAsia" w:eastAsiaTheme="minorEastAsia" w:cstheme="minorEastAsia"/>
          <w:color w:val="auto"/>
          <w:lang w:val="zh-CN"/>
        </w:rPr>
      </w:pPr>
    </w:p>
    <w:p>
      <w:pPr>
        <w:pStyle w:val="2"/>
        <w:ind w:firstLine="420"/>
        <w:rPr>
          <w:rFonts w:asciiTheme="minorEastAsia" w:hAnsiTheme="minorEastAsia" w:eastAsiaTheme="minorEastAsia" w:cstheme="minorEastAsia"/>
          <w:color w:val="auto"/>
        </w:rPr>
      </w:pPr>
    </w:p>
    <w:p>
      <w:pPr>
        <w:pStyle w:val="2"/>
        <w:ind w:firstLine="420"/>
        <w:rPr>
          <w:rFonts w:asciiTheme="minorEastAsia" w:hAnsiTheme="minorEastAsia" w:eastAsiaTheme="minorEastAsia" w:cstheme="minorEastAsia"/>
          <w:color w:val="auto"/>
        </w:rPr>
      </w:pPr>
    </w:p>
    <w:p>
      <w:pPr>
        <w:pStyle w:val="2"/>
        <w:ind w:firstLine="420"/>
        <w:rPr>
          <w:rFonts w:asciiTheme="minorEastAsia" w:hAnsiTheme="minorEastAsia" w:eastAsiaTheme="minorEastAsia" w:cstheme="minorEastAsia"/>
          <w:color w:val="auto"/>
        </w:rPr>
      </w:pPr>
    </w:p>
    <w:p>
      <w:pPr>
        <w:pStyle w:val="5"/>
        <w:spacing w:line="360" w:lineRule="auto"/>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法定代表人身份证明书</w:t>
      </w:r>
      <w:bookmarkEnd w:id="668"/>
    </w:p>
    <w:p>
      <w:pPr>
        <w:autoSpaceDE w:val="0"/>
        <w:autoSpaceDN w:val="0"/>
        <w:adjustRightInd w:val="0"/>
        <w:spacing w:line="40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企业名称：</w:t>
      </w:r>
      <w:r>
        <w:rPr>
          <w:rFonts w:hint="eastAsia" w:asciiTheme="minorEastAsia" w:hAnsiTheme="minorEastAsia" w:eastAsiaTheme="minorEastAsia" w:cstheme="minorEastAsia"/>
          <w:color w:val="auto"/>
          <w:u w:val="single"/>
        </w:rPr>
        <w:t xml:space="preserve">                                                   </w:t>
      </w:r>
    </w:p>
    <w:p>
      <w:pPr>
        <w:autoSpaceDE w:val="0"/>
        <w:autoSpaceDN w:val="0"/>
        <w:adjustRightInd w:val="0"/>
        <w:spacing w:line="400" w:lineRule="exact"/>
        <w:rPr>
          <w:rFonts w:asciiTheme="minorEastAsia" w:hAnsiTheme="minorEastAsia" w:eastAsiaTheme="minorEastAsia" w:cstheme="minorEastAsia"/>
          <w:color w:val="auto"/>
          <w:szCs w:val="21"/>
        </w:rPr>
      </w:pPr>
    </w:p>
    <w:p>
      <w:pPr>
        <w:autoSpaceDE w:val="0"/>
        <w:autoSpaceDN w:val="0"/>
        <w:adjustRightInd w:val="0"/>
        <w:spacing w:line="400" w:lineRule="exact"/>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lang w:val="zh-CN"/>
        </w:rPr>
        <w:t>企业类型：</w:t>
      </w:r>
      <w:r>
        <w:rPr>
          <w:rFonts w:hint="eastAsia" w:asciiTheme="minorEastAsia" w:hAnsiTheme="minorEastAsia" w:eastAsiaTheme="minorEastAsia" w:cstheme="minorEastAsia"/>
          <w:color w:val="auto"/>
          <w:u w:val="single"/>
        </w:rPr>
        <w:t xml:space="preserve">                                                   </w:t>
      </w:r>
    </w:p>
    <w:p>
      <w:pPr>
        <w:autoSpaceDE w:val="0"/>
        <w:autoSpaceDN w:val="0"/>
        <w:adjustRightInd w:val="0"/>
        <w:spacing w:line="400" w:lineRule="exact"/>
        <w:rPr>
          <w:rFonts w:asciiTheme="minorEastAsia" w:hAnsiTheme="minorEastAsia" w:eastAsiaTheme="minorEastAsia" w:cstheme="minorEastAsia"/>
          <w:color w:val="auto"/>
          <w:szCs w:val="21"/>
        </w:rPr>
      </w:pPr>
    </w:p>
    <w:p>
      <w:pPr>
        <w:autoSpaceDE w:val="0"/>
        <w:autoSpaceDN w:val="0"/>
        <w:adjustRightInd w:val="0"/>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地</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址：</w:t>
      </w:r>
      <w:r>
        <w:rPr>
          <w:rFonts w:hint="eastAsia" w:asciiTheme="minorEastAsia" w:hAnsiTheme="minorEastAsia" w:eastAsiaTheme="minorEastAsia" w:cstheme="minorEastAsia"/>
          <w:color w:val="auto"/>
          <w:szCs w:val="21"/>
          <w:u w:val="single"/>
        </w:rPr>
        <w:t xml:space="preserve">                                                   </w:t>
      </w:r>
    </w:p>
    <w:p>
      <w:pPr>
        <w:autoSpaceDE w:val="0"/>
        <w:autoSpaceDN w:val="0"/>
        <w:adjustRightInd w:val="0"/>
        <w:spacing w:line="400" w:lineRule="exact"/>
        <w:rPr>
          <w:rFonts w:asciiTheme="minorEastAsia" w:hAnsiTheme="minorEastAsia" w:eastAsiaTheme="minorEastAsia" w:cstheme="minorEastAsia"/>
          <w:color w:val="auto"/>
          <w:szCs w:val="21"/>
        </w:rPr>
      </w:pPr>
    </w:p>
    <w:p>
      <w:pPr>
        <w:autoSpaceDE w:val="0"/>
        <w:autoSpaceDN w:val="0"/>
        <w:adjustRightInd w:val="0"/>
        <w:spacing w:line="40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营业期限：</w:t>
      </w:r>
      <w:r>
        <w:rPr>
          <w:rFonts w:hint="eastAsia" w:asciiTheme="minorEastAsia" w:hAnsiTheme="minorEastAsia" w:eastAsiaTheme="minorEastAsia" w:cstheme="minorEastAsia"/>
          <w:color w:val="auto"/>
          <w:u w:val="single"/>
        </w:rPr>
        <w:t xml:space="preserve">                                                   </w:t>
      </w:r>
    </w:p>
    <w:p>
      <w:pPr>
        <w:autoSpaceDE w:val="0"/>
        <w:autoSpaceDN w:val="0"/>
        <w:adjustRightInd w:val="0"/>
        <w:spacing w:line="400" w:lineRule="exact"/>
        <w:rPr>
          <w:rFonts w:asciiTheme="minorEastAsia" w:hAnsiTheme="minorEastAsia" w:eastAsiaTheme="minorEastAsia" w:cstheme="minorEastAsia"/>
          <w:color w:val="auto"/>
          <w:szCs w:val="21"/>
        </w:rPr>
      </w:pPr>
    </w:p>
    <w:p>
      <w:pPr>
        <w:autoSpaceDE w:val="0"/>
        <w:autoSpaceDN w:val="0"/>
        <w:adjustRightInd w:val="0"/>
        <w:spacing w:line="40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成立时间：</w:t>
      </w:r>
      <w:r>
        <w:rPr>
          <w:rFonts w:hint="eastAsia" w:asciiTheme="minorEastAsia" w:hAnsiTheme="minorEastAsia" w:eastAsiaTheme="minorEastAsia" w:cstheme="minorEastAsia"/>
          <w:color w:val="auto"/>
          <w:u w:val="single"/>
        </w:rPr>
        <w:t xml:space="preserve">                                                   </w:t>
      </w:r>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姓名：</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性别：</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年龄：</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职务：</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系</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（投标人名称）</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的法定代表人。</w:t>
      </w:r>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特此证明。</w:t>
      </w:r>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投标人：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（盖章）</w:t>
      </w:r>
    </w:p>
    <w:p>
      <w:pPr>
        <w:autoSpaceDE w:val="0"/>
        <w:autoSpaceDN w:val="0"/>
        <w:adjustRightInd w:val="0"/>
        <w:spacing w:line="360" w:lineRule="auto"/>
        <w:rPr>
          <w:rFonts w:asciiTheme="minorEastAsia" w:hAnsiTheme="minorEastAsia" w:eastAsiaTheme="minorEastAsia" w:cstheme="minorEastAsia"/>
          <w:color w:val="auto"/>
          <w:lang w:val="zh-CN"/>
        </w:rPr>
      </w:pPr>
    </w:p>
    <w:p>
      <w:pPr>
        <w:autoSpaceDE w:val="0"/>
        <w:autoSpaceDN w:val="0"/>
        <w:adjustRightInd w:val="0"/>
        <w:spacing w:line="360" w:lineRule="auto"/>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日</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期：</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日</w:t>
      </w:r>
    </w:p>
    <w:p>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（附法定代表人身份证复印件）</w:t>
      </w:r>
      <w:r>
        <w:rPr>
          <w:rFonts w:hint="eastAsia" w:asciiTheme="minorEastAsia" w:hAnsiTheme="minorEastAsia" w:eastAsiaTheme="minorEastAsia" w:cstheme="minorEastAsia"/>
          <w:color w:val="auto"/>
          <w:lang w:val="zh-CN"/>
        </w:rPr>
        <w:br w:type="page"/>
      </w:r>
    </w:p>
    <w:p>
      <w:pPr>
        <w:pStyle w:val="5"/>
        <w:spacing w:line="360" w:lineRule="auto"/>
        <w:jc w:val="center"/>
        <w:rPr>
          <w:rFonts w:asciiTheme="minorEastAsia" w:hAnsiTheme="minorEastAsia" w:eastAsiaTheme="minorEastAsia" w:cstheme="minorEastAsia"/>
          <w:color w:val="auto"/>
          <w:szCs w:val="21"/>
        </w:rPr>
      </w:pPr>
      <w:bookmarkStart w:id="669" w:name="_Toc414108645"/>
      <w:r>
        <w:rPr>
          <w:rFonts w:hint="eastAsia" w:asciiTheme="minorEastAsia" w:hAnsiTheme="minorEastAsia" w:eastAsiaTheme="minorEastAsia" w:cstheme="minorEastAsia"/>
          <w:color w:val="auto"/>
          <w:lang w:val="zh-CN"/>
        </w:rPr>
        <w:t>法定代表人授权委托书</w:t>
      </w:r>
      <w:bookmarkEnd w:id="669"/>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本授权委托书声明：我</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（姓名）系</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（投标人名称）的法定代表人，现授权委托</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（投标人名称）的</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（姓名）为我公司代理人，以本公司的名义参加</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（采购人）的</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en-US" w:eastAsia="zh-CN"/>
        </w:rPr>
        <w:t>磋商</w:t>
      </w:r>
      <w:r>
        <w:rPr>
          <w:rFonts w:hint="eastAsia" w:asciiTheme="minorEastAsia" w:hAnsiTheme="minorEastAsia" w:eastAsiaTheme="minorEastAsia" w:cstheme="minorEastAsia"/>
          <w:color w:val="auto"/>
          <w:lang w:val="zh-CN"/>
        </w:rPr>
        <w:t>工程的投标活动。代理人签署的响应文件和参加整个工程</w:t>
      </w:r>
      <w:r>
        <w:rPr>
          <w:rFonts w:hint="eastAsia" w:asciiTheme="minorEastAsia" w:hAnsiTheme="minorEastAsia" w:eastAsiaTheme="minorEastAsia" w:cstheme="minorEastAsia"/>
          <w:color w:val="auto"/>
          <w:lang w:val="en-US" w:eastAsia="zh-CN"/>
        </w:rPr>
        <w:t>磋商</w:t>
      </w:r>
      <w:r>
        <w:rPr>
          <w:rFonts w:hint="eastAsia" w:asciiTheme="minorEastAsia" w:hAnsiTheme="minorEastAsia" w:eastAsiaTheme="minorEastAsia" w:cstheme="minorEastAsia"/>
          <w:color w:val="auto"/>
          <w:lang w:val="zh-CN"/>
        </w:rPr>
        <w:t>投标活动中所签署的一切文件和处理与之有关的一切事物，我均予以承认。</w:t>
      </w:r>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代理人：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性别：</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年龄：</w:t>
      </w:r>
      <w:r>
        <w:rPr>
          <w:rFonts w:hint="eastAsia" w:asciiTheme="minorEastAsia" w:hAnsiTheme="minorEastAsia" w:eastAsiaTheme="minorEastAsia" w:cstheme="minorEastAsia"/>
          <w:color w:val="auto"/>
          <w:szCs w:val="21"/>
          <w:u w:val="single"/>
        </w:rPr>
        <w:t xml:space="preserve">             </w:t>
      </w:r>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单</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位：</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部门：</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职务：</w:t>
      </w:r>
      <w:r>
        <w:rPr>
          <w:rFonts w:hint="eastAsia" w:asciiTheme="minorEastAsia" w:hAnsiTheme="minorEastAsia" w:eastAsiaTheme="minorEastAsia" w:cstheme="minorEastAsia"/>
          <w:color w:val="auto"/>
          <w:szCs w:val="21"/>
          <w:u w:val="single"/>
        </w:rPr>
        <w:t xml:space="preserve">             </w:t>
      </w:r>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代理人无转委权。特此委托。</w:t>
      </w:r>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rPr>
          <w:rFonts w:asciiTheme="minorEastAsia" w:hAnsiTheme="minorEastAsia" w:eastAsiaTheme="minorEastAsia" w:cstheme="minorEastAsia"/>
          <w:color w:val="auto"/>
          <w:lang w:val="zh-CN"/>
        </w:rPr>
      </w:pPr>
    </w:p>
    <w:p>
      <w:pPr>
        <w:autoSpaceDE w:val="0"/>
        <w:autoSpaceDN w:val="0"/>
        <w:adjustRightInd w:val="0"/>
        <w:spacing w:line="360" w:lineRule="auto"/>
        <w:rPr>
          <w:rFonts w:asciiTheme="minorEastAsia" w:hAnsiTheme="minorEastAsia" w:eastAsiaTheme="minorEastAsia" w:cstheme="minorEastAsia"/>
          <w:color w:val="auto"/>
          <w:lang w:val="zh-CN"/>
        </w:rPr>
      </w:pPr>
    </w:p>
    <w:p>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投标人：</w:t>
      </w: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lang w:val="zh-CN"/>
        </w:rPr>
        <w:t>（盖章）</w:t>
      </w:r>
    </w:p>
    <w:p>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法定代表人：</w:t>
      </w: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lang w:val="zh-CN"/>
        </w:rPr>
        <w:t>（盖章）</w:t>
      </w:r>
    </w:p>
    <w:p>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日期：</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lang w:val="zh-CN"/>
        </w:rPr>
        <w:t>日</w:t>
      </w:r>
    </w:p>
    <w:p>
      <w:pPr>
        <w:autoSpaceDE w:val="0"/>
        <w:autoSpaceDN w:val="0"/>
        <w:adjustRightIn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（附被授权人身份证复印件）</w:t>
      </w:r>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rPr>
          <w:rFonts w:asciiTheme="minorEastAsia" w:hAnsiTheme="minorEastAsia" w:eastAsiaTheme="minorEastAsia" w:cstheme="minorEastAsia"/>
          <w:color w:val="auto"/>
          <w:szCs w:val="21"/>
        </w:rPr>
      </w:pPr>
    </w:p>
    <w:p>
      <w:pPr>
        <w:pStyle w:val="5"/>
        <w:spacing w:line="360" w:lineRule="auto"/>
        <w:jc w:val="center"/>
        <w:rPr>
          <w:rFonts w:asciiTheme="minorEastAsia" w:hAnsiTheme="minorEastAsia" w:eastAsiaTheme="minorEastAsia" w:cstheme="minorEastAsia"/>
          <w:color w:val="auto"/>
        </w:rPr>
      </w:pPr>
      <w:bookmarkStart w:id="670" w:name="_Toc414108646"/>
      <w:r>
        <w:rPr>
          <w:rFonts w:hint="eastAsia" w:asciiTheme="minorEastAsia" w:hAnsiTheme="minorEastAsia" w:eastAsiaTheme="minorEastAsia" w:cstheme="minorEastAsia"/>
          <w:color w:val="auto"/>
          <w:lang w:val="zh-CN"/>
        </w:rPr>
        <w:t>投标人概况</w:t>
      </w:r>
      <w:bookmarkEnd w:id="670"/>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897"/>
        <w:gridCol w:w="1019"/>
        <w:gridCol w:w="992"/>
        <w:gridCol w:w="283"/>
        <w:gridCol w:w="194"/>
        <w:gridCol w:w="1244"/>
        <w:gridCol w:w="261"/>
        <w:gridCol w:w="707"/>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投标人名称</w:t>
            </w:r>
          </w:p>
        </w:tc>
        <w:tc>
          <w:tcPr>
            <w:tcW w:w="6897" w:type="dxa"/>
            <w:gridSpan w:val="9"/>
            <w:vAlign w:val="center"/>
          </w:tcPr>
          <w:p>
            <w:pPr>
              <w:spacing w:line="360" w:lineRule="auto"/>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注册地址</w:t>
            </w:r>
          </w:p>
        </w:tc>
        <w:tc>
          <w:tcPr>
            <w:tcW w:w="3385" w:type="dxa"/>
            <w:gridSpan w:val="5"/>
            <w:vAlign w:val="center"/>
          </w:tcPr>
          <w:p>
            <w:pPr>
              <w:spacing w:line="360" w:lineRule="auto"/>
              <w:jc w:val="center"/>
              <w:rPr>
                <w:rFonts w:asciiTheme="minorEastAsia" w:hAnsiTheme="minorEastAsia" w:eastAsiaTheme="minorEastAsia" w:cstheme="minorEastAsia"/>
                <w:color w:val="auto"/>
                <w:szCs w:val="21"/>
              </w:rPr>
            </w:pPr>
          </w:p>
        </w:tc>
        <w:tc>
          <w:tcPr>
            <w:tcW w:w="1244"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邮政编码</w:t>
            </w:r>
          </w:p>
        </w:tc>
        <w:tc>
          <w:tcPr>
            <w:tcW w:w="2268" w:type="dxa"/>
            <w:gridSpan w:val="3"/>
            <w:vAlign w:val="center"/>
          </w:tcPr>
          <w:p>
            <w:pPr>
              <w:spacing w:line="360" w:lineRule="auto"/>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Merge w:val="restart"/>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联系方式</w:t>
            </w:r>
          </w:p>
        </w:tc>
        <w:tc>
          <w:tcPr>
            <w:tcW w:w="897"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联系人</w:t>
            </w:r>
          </w:p>
        </w:tc>
        <w:tc>
          <w:tcPr>
            <w:tcW w:w="2488" w:type="dxa"/>
            <w:gridSpan w:val="4"/>
            <w:vAlign w:val="center"/>
          </w:tcPr>
          <w:p>
            <w:pPr>
              <w:spacing w:line="360" w:lineRule="auto"/>
              <w:jc w:val="center"/>
              <w:rPr>
                <w:rFonts w:asciiTheme="minorEastAsia" w:hAnsiTheme="minorEastAsia" w:eastAsiaTheme="minorEastAsia" w:cstheme="minorEastAsia"/>
                <w:color w:val="auto"/>
                <w:szCs w:val="21"/>
              </w:rPr>
            </w:pPr>
          </w:p>
        </w:tc>
        <w:tc>
          <w:tcPr>
            <w:tcW w:w="1244"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  话</w:t>
            </w:r>
          </w:p>
        </w:tc>
        <w:tc>
          <w:tcPr>
            <w:tcW w:w="2268" w:type="dxa"/>
            <w:gridSpan w:val="3"/>
            <w:vAlign w:val="center"/>
          </w:tcPr>
          <w:p>
            <w:pPr>
              <w:spacing w:line="360" w:lineRule="auto"/>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Merge w:val="continue"/>
            <w:vAlign w:val="center"/>
          </w:tcPr>
          <w:p>
            <w:pPr>
              <w:spacing w:line="360" w:lineRule="auto"/>
              <w:jc w:val="center"/>
              <w:rPr>
                <w:rFonts w:asciiTheme="minorEastAsia" w:hAnsiTheme="minorEastAsia" w:eastAsiaTheme="minorEastAsia" w:cstheme="minorEastAsia"/>
                <w:color w:val="auto"/>
                <w:szCs w:val="21"/>
              </w:rPr>
            </w:pPr>
          </w:p>
        </w:tc>
        <w:tc>
          <w:tcPr>
            <w:tcW w:w="897"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传  真</w:t>
            </w:r>
          </w:p>
        </w:tc>
        <w:tc>
          <w:tcPr>
            <w:tcW w:w="2488" w:type="dxa"/>
            <w:gridSpan w:val="4"/>
            <w:vAlign w:val="center"/>
          </w:tcPr>
          <w:p>
            <w:pPr>
              <w:spacing w:line="360" w:lineRule="auto"/>
              <w:jc w:val="center"/>
              <w:rPr>
                <w:rFonts w:asciiTheme="minorEastAsia" w:hAnsiTheme="minorEastAsia" w:eastAsiaTheme="minorEastAsia" w:cstheme="minorEastAsia"/>
                <w:color w:val="auto"/>
                <w:szCs w:val="21"/>
              </w:rPr>
            </w:pPr>
          </w:p>
        </w:tc>
        <w:tc>
          <w:tcPr>
            <w:tcW w:w="1244"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网  址</w:t>
            </w:r>
          </w:p>
        </w:tc>
        <w:tc>
          <w:tcPr>
            <w:tcW w:w="2268" w:type="dxa"/>
            <w:gridSpan w:val="3"/>
            <w:vAlign w:val="center"/>
          </w:tcPr>
          <w:p>
            <w:pPr>
              <w:spacing w:line="360" w:lineRule="auto"/>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组织结构</w:t>
            </w:r>
          </w:p>
        </w:tc>
        <w:tc>
          <w:tcPr>
            <w:tcW w:w="6897" w:type="dxa"/>
            <w:gridSpan w:val="9"/>
            <w:vAlign w:val="center"/>
          </w:tcPr>
          <w:p>
            <w:pPr>
              <w:spacing w:line="360" w:lineRule="auto"/>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w:t>
            </w:r>
          </w:p>
        </w:tc>
        <w:tc>
          <w:tcPr>
            <w:tcW w:w="897"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姓名</w:t>
            </w:r>
          </w:p>
        </w:tc>
        <w:tc>
          <w:tcPr>
            <w:tcW w:w="1019" w:type="dxa"/>
            <w:vAlign w:val="center"/>
          </w:tcPr>
          <w:p>
            <w:pPr>
              <w:spacing w:line="360" w:lineRule="auto"/>
              <w:jc w:val="center"/>
              <w:rPr>
                <w:rFonts w:asciiTheme="minorEastAsia" w:hAnsiTheme="minorEastAsia" w:eastAsiaTheme="minorEastAsia" w:cstheme="minorEastAsia"/>
                <w:color w:val="auto"/>
                <w:szCs w:val="21"/>
              </w:rPr>
            </w:pPr>
          </w:p>
        </w:tc>
        <w:tc>
          <w:tcPr>
            <w:tcW w:w="1275" w:type="dxa"/>
            <w:gridSpan w:val="2"/>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技术职称</w:t>
            </w:r>
          </w:p>
        </w:tc>
        <w:tc>
          <w:tcPr>
            <w:tcW w:w="1699" w:type="dxa"/>
            <w:gridSpan w:val="3"/>
            <w:vAlign w:val="center"/>
          </w:tcPr>
          <w:p>
            <w:pPr>
              <w:spacing w:line="360" w:lineRule="auto"/>
              <w:jc w:val="center"/>
              <w:rPr>
                <w:rFonts w:asciiTheme="minorEastAsia" w:hAnsiTheme="minorEastAsia" w:eastAsiaTheme="minorEastAsia" w:cstheme="minorEastAsia"/>
                <w:color w:val="auto"/>
                <w:szCs w:val="21"/>
              </w:rPr>
            </w:pPr>
          </w:p>
        </w:tc>
        <w:tc>
          <w:tcPr>
            <w:tcW w:w="707"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电话</w:t>
            </w:r>
          </w:p>
        </w:tc>
        <w:tc>
          <w:tcPr>
            <w:tcW w:w="1300" w:type="dxa"/>
            <w:vAlign w:val="center"/>
          </w:tcPr>
          <w:p>
            <w:pPr>
              <w:spacing w:line="360" w:lineRule="auto"/>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技术负责人</w:t>
            </w:r>
          </w:p>
        </w:tc>
        <w:tc>
          <w:tcPr>
            <w:tcW w:w="897"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姓名</w:t>
            </w:r>
          </w:p>
        </w:tc>
        <w:tc>
          <w:tcPr>
            <w:tcW w:w="1019" w:type="dxa"/>
            <w:vAlign w:val="center"/>
          </w:tcPr>
          <w:p>
            <w:pPr>
              <w:spacing w:line="360" w:lineRule="auto"/>
              <w:jc w:val="center"/>
              <w:rPr>
                <w:rFonts w:asciiTheme="minorEastAsia" w:hAnsiTheme="minorEastAsia" w:eastAsiaTheme="minorEastAsia" w:cstheme="minorEastAsia"/>
                <w:color w:val="auto"/>
                <w:szCs w:val="21"/>
              </w:rPr>
            </w:pPr>
          </w:p>
        </w:tc>
        <w:tc>
          <w:tcPr>
            <w:tcW w:w="1275" w:type="dxa"/>
            <w:gridSpan w:val="2"/>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技术职称</w:t>
            </w:r>
          </w:p>
        </w:tc>
        <w:tc>
          <w:tcPr>
            <w:tcW w:w="1699" w:type="dxa"/>
            <w:gridSpan w:val="3"/>
            <w:vAlign w:val="center"/>
          </w:tcPr>
          <w:p>
            <w:pPr>
              <w:spacing w:line="360" w:lineRule="auto"/>
              <w:jc w:val="center"/>
              <w:rPr>
                <w:rFonts w:asciiTheme="minorEastAsia" w:hAnsiTheme="minorEastAsia" w:eastAsiaTheme="minorEastAsia" w:cstheme="minorEastAsia"/>
                <w:color w:val="auto"/>
                <w:szCs w:val="21"/>
              </w:rPr>
            </w:pPr>
          </w:p>
        </w:tc>
        <w:tc>
          <w:tcPr>
            <w:tcW w:w="707"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电话</w:t>
            </w:r>
          </w:p>
        </w:tc>
        <w:tc>
          <w:tcPr>
            <w:tcW w:w="1300" w:type="dxa"/>
            <w:vAlign w:val="center"/>
          </w:tcPr>
          <w:p>
            <w:pPr>
              <w:spacing w:line="360" w:lineRule="auto"/>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成立时间</w:t>
            </w:r>
          </w:p>
        </w:tc>
        <w:tc>
          <w:tcPr>
            <w:tcW w:w="1916" w:type="dxa"/>
            <w:gridSpan w:val="2"/>
            <w:vAlign w:val="center"/>
          </w:tcPr>
          <w:p>
            <w:pPr>
              <w:spacing w:line="360" w:lineRule="auto"/>
              <w:jc w:val="center"/>
              <w:rPr>
                <w:rFonts w:asciiTheme="minorEastAsia" w:hAnsiTheme="minorEastAsia" w:eastAsiaTheme="minorEastAsia" w:cstheme="minorEastAsia"/>
                <w:color w:val="auto"/>
                <w:szCs w:val="21"/>
              </w:rPr>
            </w:pPr>
          </w:p>
        </w:tc>
        <w:tc>
          <w:tcPr>
            <w:tcW w:w="4981" w:type="dxa"/>
            <w:gridSpan w:val="7"/>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企业资质等级</w:t>
            </w:r>
          </w:p>
        </w:tc>
        <w:tc>
          <w:tcPr>
            <w:tcW w:w="1916" w:type="dxa"/>
            <w:gridSpan w:val="2"/>
            <w:vAlign w:val="center"/>
          </w:tcPr>
          <w:p>
            <w:pPr>
              <w:spacing w:line="360" w:lineRule="auto"/>
              <w:jc w:val="center"/>
              <w:rPr>
                <w:rFonts w:asciiTheme="minorEastAsia" w:hAnsiTheme="minorEastAsia" w:eastAsiaTheme="minorEastAsia" w:cstheme="minorEastAsia"/>
                <w:color w:val="auto"/>
                <w:szCs w:val="21"/>
              </w:rPr>
            </w:pPr>
          </w:p>
        </w:tc>
        <w:tc>
          <w:tcPr>
            <w:tcW w:w="992" w:type="dxa"/>
            <w:vMerge w:val="restart"/>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其中</w:t>
            </w:r>
          </w:p>
        </w:tc>
        <w:tc>
          <w:tcPr>
            <w:tcW w:w="1982" w:type="dxa"/>
            <w:gridSpan w:val="4"/>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项目负责人</w:t>
            </w:r>
          </w:p>
        </w:tc>
        <w:tc>
          <w:tcPr>
            <w:tcW w:w="2007" w:type="dxa"/>
            <w:gridSpan w:val="2"/>
            <w:vAlign w:val="center"/>
          </w:tcPr>
          <w:p>
            <w:pPr>
              <w:spacing w:line="360" w:lineRule="auto"/>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营业执照号</w:t>
            </w:r>
          </w:p>
        </w:tc>
        <w:tc>
          <w:tcPr>
            <w:tcW w:w="1916" w:type="dxa"/>
            <w:gridSpan w:val="2"/>
            <w:vAlign w:val="center"/>
          </w:tcPr>
          <w:p>
            <w:pPr>
              <w:spacing w:line="360" w:lineRule="auto"/>
              <w:jc w:val="center"/>
              <w:rPr>
                <w:rFonts w:asciiTheme="minorEastAsia" w:hAnsiTheme="minorEastAsia" w:eastAsiaTheme="minorEastAsia" w:cstheme="minorEastAsia"/>
                <w:color w:val="auto"/>
                <w:szCs w:val="21"/>
              </w:rPr>
            </w:pPr>
          </w:p>
        </w:tc>
        <w:tc>
          <w:tcPr>
            <w:tcW w:w="992" w:type="dxa"/>
            <w:vMerge w:val="continue"/>
            <w:vAlign w:val="center"/>
          </w:tcPr>
          <w:p>
            <w:pPr>
              <w:spacing w:line="360" w:lineRule="auto"/>
              <w:jc w:val="center"/>
              <w:rPr>
                <w:rFonts w:asciiTheme="minorEastAsia" w:hAnsiTheme="minorEastAsia" w:eastAsiaTheme="minorEastAsia" w:cstheme="minorEastAsia"/>
                <w:color w:val="auto"/>
                <w:szCs w:val="21"/>
              </w:rPr>
            </w:pPr>
          </w:p>
        </w:tc>
        <w:tc>
          <w:tcPr>
            <w:tcW w:w="1982" w:type="dxa"/>
            <w:gridSpan w:val="4"/>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高级职称人员</w:t>
            </w:r>
          </w:p>
        </w:tc>
        <w:tc>
          <w:tcPr>
            <w:tcW w:w="2007" w:type="dxa"/>
            <w:gridSpan w:val="2"/>
            <w:vAlign w:val="center"/>
          </w:tcPr>
          <w:p>
            <w:pPr>
              <w:spacing w:line="360" w:lineRule="auto"/>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注册资金</w:t>
            </w:r>
          </w:p>
        </w:tc>
        <w:tc>
          <w:tcPr>
            <w:tcW w:w="1916" w:type="dxa"/>
            <w:gridSpan w:val="2"/>
            <w:vAlign w:val="center"/>
          </w:tcPr>
          <w:p>
            <w:pPr>
              <w:spacing w:line="360" w:lineRule="auto"/>
              <w:jc w:val="center"/>
              <w:rPr>
                <w:rFonts w:asciiTheme="minorEastAsia" w:hAnsiTheme="minorEastAsia" w:eastAsiaTheme="minorEastAsia" w:cstheme="minorEastAsia"/>
                <w:color w:val="auto"/>
                <w:szCs w:val="21"/>
              </w:rPr>
            </w:pPr>
          </w:p>
        </w:tc>
        <w:tc>
          <w:tcPr>
            <w:tcW w:w="992" w:type="dxa"/>
            <w:vMerge w:val="continue"/>
            <w:vAlign w:val="center"/>
          </w:tcPr>
          <w:p>
            <w:pPr>
              <w:spacing w:line="360" w:lineRule="auto"/>
              <w:jc w:val="center"/>
              <w:rPr>
                <w:rFonts w:asciiTheme="minorEastAsia" w:hAnsiTheme="minorEastAsia" w:eastAsiaTheme="minorEastAsia" w:cstheme="minorEastAsia"/>
                <w:color w:val="auto"/>
                <w:szCs w:val="21"/>
              </w:rPr>
            </w:pPr>
          </w:p>
        </w:tc>
        <w:tc>
          <w:tcPr>
            <w:tcW w:w="1982" w:type="dxa"/>
            <w:gridSpan w:val="4"/>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中级职称人员</w:t>
            </w:r>
          </w:p>
        </w:tc>
        <w:tc>
          <w:tcPr>
            <w:tcW w:w="2007" w:type="dxa"/>
            <w:gridSpan w:val="2"/>
            <w:vAlign w:val="center"/>
          </w:tcPr>
          <w:p>
            <w:pPr>
              <w:spacing w:line="360" w:lineRule="auto"/>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开户银行</w:t>
            </w:r>
          </w:p>
        </w:tc>
        <w:tc>
          <w:tcPr>
            <w:tcW w:w="1916" w:type="dxa"/>
            <w:gridSpan w:val="2"/>
            <w:vAlign w:val="center"/>
          </w:tcPr>
          <w:p>
            <w:pPr>
              <w:spacing w:line="360" w:lineRule="auto"/>
              <w:jc w:val="center"/>
              <w:rPr>
                <w:rFonts w:asciiTheme="minorEastAsia" w:hAnsiTheme="minorEastAsia" w:eastAsiaTheme="minorEastAsia" w:cstheme="minorEastAsia"/>
                <w:color w:val="auto"/>
                <w:szCs w:val="21"/>
              </w:rPr>
            </w:pPr>
          </w:p>
        </w:tc>
        <w:tc>
          <w:tcPr>
            <w:tcW w:w="992" w:type="dxa"/>
            <w:vMerge w:val="continue"/>
            <w:vAlign w:val="center"/>
          </w:tcPr>
          <w:p>
            <w:pPr>
              <w:spacing w:line="360" w:lineRule="auto"/>
              <w:jc w:val="center"/>
              <w:rPr>
                <w:rFonts w:asciiTheme="minorEastAsia" w:hAnsiTheme="minorEastAsia" w:eastAsiaTheme="minorEastAsia" w:cstheme="minorEastAsia"/>
                <w:color w:val="auto"/>
                <w:szCs w:val="21"/>
              </w:rPr>
            </w:pPr>
          </w:p>
        </w:tc>
        <w:tc>
          <w:tcPr>
            <w:tcW w:w="1982" w:type="dxa"/>
            <w:gridSpan w:val="4"/>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初级职称人员</w:t>
            </w:r>
          </w:p>
        </w:tc>
        <w:tc>
          <w:tcPr>
            <w:tcW w:w="2007" w:type="dxa"/>
            <w:gridSpan w:val="2"/>
            <w:vAlign w:val="center"/>
          </w:tcPr>
          <w:p>
            <w:pPr>
              <w:spacing w:line="360" w:lineRule="auto"/>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账号</w:t>
            </w:r>
          </w:p>
        </w:tc>
        <w:tc>
          <w:tcPr>
            <w:tcW w:w="1916" w:type="dxa"/>
            <w:gridSpan w:val="2"/>
            <w:vAlign w:val="center"/>
          </w:tcPr>
          <w:p>
            <w:pPr>
              <w:spacing w:line="360" w:lineRule="auto"/>
              <w:jc w:val="center"/>
              <w:rPr>
                <w:rFonts w:asciiTheme="minorEastAsia" w:hAnsiTheme="minorEastAsia" w:eastAsiaTheme="minorEastAsia" w:cstheme="minorEastAsia"/>
                <w:color w:val="auto"/>
                <w:szCs w:val="21"/>
              </w:rPr>
            </w:pPr>
          </w:p>
        </w:tc>
        <w:tc>
          <w:tcPr>
            <w:tcW w:w="992" w:type="dxa"/>
            <w:vMerge w:val="continue"/>
            <w:vAlign w:val="center"/>
          </w:tcPr>
          <w:p>
            <w:pPr>
              <w:spacing w:line="360" w:lineRule="auto"/>
              <w:jc w:val="center"/>
              <w:rPr>
                <w:rFonts w:asciiTheme="minorEastAsia" w:hAnsiTheme="minorEastAsia" w:eastAsiaTheme="minorEastAsia" w:cstheme="minorEastAsia"/>
                <w:color w:val="auto"/>
                <w:szCs w:val="21"/>
              </w:rPr>
            </w:pPr>
          </w:p>
        </w:tc>
        <w:tc>
          <w:tcPr>
            <w:tcW w:w="1982" w:type="dxa"/>
            <w:gridSpan w:val="4"/>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  工</w:t>
            </w:r>
          </w:p>
        </w:tc>
        <w:tc>
          <w:tcPr>
            <w:tcW w:w="2007" w:type="dxa"/>
            <w:gridSpan w:val="2"/>
            <w:vAlign w:val="center"/>
          </w:tcPr>
          <w:p>
            <w:pPr>
              <w:spacing w:line="360" w:lineRule="auto"/>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625"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经营范围</w:t>
            </w:r>
          </w:p>
        </w:tc>
        <w:tc>
          <w:tcPr>
            <w:tcW w:w="6897" w:type="dxa"/>
            <w:gridSpan w:val="9"/>
            <w:vAlign w:val="center"/>
          </w:tcPr>
          <w:p>
            <w:pPr>
              <w:spacing w:line="360" w:lineRule="auto"/>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备注</w:t>
            </w:r>
          </w:p>
        </w:tc>
        <w:tc>
          <w:tcPr>
            <w:tcW w:w="6897" w:type="dxa"/>
            <w:gridSpan w:val="9"/>
            <w:vAlign w:val="center"/>
          </w:tcPr>
          <w:p>
            <w:pPr>
              <w:spacing w:line="360" w:lineRule="auto"/>
              <w:jc w:val="center"/>
              <w:rPr>
                <w:rFonts w:asciiTheme="minorEastAsia" w:hAnsiTheme="minorEastAsia" w:eastAsiaTheme="minorEastAsia" w:cstheme="minorEastAsia"/>
                <w:color w:val="auto"/>
                <w:szCs w:val="21"/>
              </w:rPr>
            </w:pPr>
          </w:p>
        </w:tc>
      </w:tr>
    </w:tbl>
    <w:p>
      <w:pPr>
        <w:autoSpaceDE w:val="0"/>
        <w:autoSpaceDN w:val="0"/>
        <w:adjustRightInd w:val="0"/>
        <w:spacing w:line="360" w:lineRule="auto"/>
        <w:ind w:left="210" w:left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备注：本表后应附企业法人营业执照的证明材料、企业资质证书副本、安全生产许可证、等材料的复印件。</w:t>
      </w:r>
    </w:p>
    <w:p>
      <w:pPr>
        <w:autoSpaceDE w:val="0"/>
        <w:autoSpaceDN w:val="0"/>
        <w:adjustRightInd w:val="0"/>
        <w:spacing w:line="360" w:lineRule="auto"/>
        <w:ind w:left="210" w:left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br w:type="page"/>
      </w:r>
    </w:p>
    <w:p>
      <w:pPr>
        <w:pStyle w:val="5"/>
        <w:spacing w:line="360" w:lineRule="auto"/>
        <w:jc w:val="center"/>
        <w:rPr>
          <w:rFonts w:asciiTheme="minorEastAsia" w:hAnsiTheme="minorEastAsia" w:eastAsiaTheme="minorEastAsia" w:cstheme="minorEastAsia"/>
          <w:color w:val="auto"/>
        </w:rPr>
      </w:pPr>
      <w:bookmarkStart w:id="671" w:name="_Toc414108648"/>
      <w:r>
        <w:rPr>
          <w:rFonts w:hint="eastAsia" w:asciiTheme="minorEastAsia" w:hAnsiTheme="minorEastAsia" w:eastAsiaTheme="minorEastAsia" w:cstheme="minorEastAsia"/>
          <w:color w:val="auto"/>
          <w:lang w:val="zh-CN"/>
        </w:rPr>
        <w:t>项目负责人简历</w:t>
      </w:r>
      <w:bookmarkEnd w:id="671"/>
    </w:p>
    <w:p>
      <w:pPr>
        <w:spacing w:line="360" w:lineRule="auto"/>
        <w:ind w:left="210" w:hanging="210" w:hangingChars="1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lang w:val="zh-CN"/>
        </w:rPr>
        <w:t>、</w:t>
      </w:r>
      <w:r>
        <w:rPr>
          <w:rFonts w:hint="eastAsia" w:asciiTheme="minorEastAsia" w:hAnsiTheme="minorEastAsia" w:eastAsiaTheme="minorEastAsia" w:cstheme="minorEastAsia"/>
          <w:color w:val="auto"/>
        </w:rPr>
        <w:t>项目负责人介绍应包括：姓名、性别、年龄、职称、学历、参加工作时间、从事项目管理年限、注册建造师（项目负责人）证书编号以及其他内容。</w:t>
      </w:r>
    </w:p>
    <w:p>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2、项目负责人简历相关证明材料（注册建造师（项目负责人）证书、职称证书复印件）。</w:t>
      </w:r>
    </w:p>
    <w:p>
      <w:pPr>
        <w:spacing w:line="360" w:lineRule="auto"/>
        <w:jc w:val="center"/>
        <w:rPr>
          <w:rFonts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四、拟派项目负责人资格一览表</w:t>
      </w:r>
    </w:p>
    <w:tbl>
      <w:tblPr>
        <w:tblStyle w:val="23"/>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030"/>
        <w:gridCol w:w="2123"/>
        <w:gridCol w:w="2141"/>
        <w:gridCol w:w="2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144" w:type="dxa"/>
            <w:gridSpan w:val="2"/>
            <w:vAlign w:val="center"/>
          </w:tcPr>
          <w:p>
            <w:pPr>
              <w:pStyle w:val="11"/>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姓  名</w:t>
            </w:r>
          </w:p>
        </w:tc>
        <w:tc>
          <w:tcPr>
            <w:tcW w:w="2123" w:type="dxa"/>
            <w:vAlign w:val="center"/>
          </w:tcPr>
          <w:p>
            <w:pPr>
              <w:pStyle w:val="11"/>
              <w:spacing w:line="360" w:lineRule="auto"/>
              <w:jc w:val="center"/>
              <w:rPr>
                <w:rFonts w:asciiTheme="minorEastAsia" w:hAnsiTheme="minorEastAsia" w:eastAsiaTheme="minorEastAsia" w:cstheme="minorEastAsia"/>
                <w:color w:val="auto"/>
                <w:szCs w:val="30"/>
              </w:rPr>
            </w:pPr>
          </w:p>
        </w:tc>
        <w:tc>
          <w:tcPr>
            <w:tcW w:w="2141" w:type="dxa"/>
            <w:vAlign w:val="center"/>
          </w:tcPr>
          <w:p>
            <w:pPr>
              <w:pStyle w:val="11"/>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年  龄</w:t>
            </w:r>
          </w:p>
        </w:tc>
        <w:tc>
          <w:tcPr>
            <w:tcW w:w="2951" w:type="dxa"/>
            <w:vAlign w:val="center"/>
          </w:tcPr>
          <w:p>
            <w:pPr>
              <w:spacing w:line="360" w:lineRule="auto"/>
              <w:jc w:val="center"/>
              <w:rPr>
                <w:rFonts w:asciiTheme="minorEastAsia" w:hAnsiTheme="minorEastAsia" w:eastAsiaTheme="minorEastAsia" w:cstheme="minorEastAsia"/>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44" w:type="dxa"/>
            <w:gridSpan w:val="2"/>
            <w:vAlign w:val="center"/>
          </w:tcPr>
          <w:p>
            <w:pPr>
              <w:pStyle w:val="11"/>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学  历</w:t>
            </w:r>
          </w:p>
        </w:tc>
        <w:tc>
          <w:tcPr>
            <w:tcW w:w="2123" w:type="dxa"/>
            <w:vAlign w:val="center"/>
          </w:tcPr>
          <w:p>
            <w:pPr>
              <w:pStyle w:val="11"/>
              <w:spacing w:line="360" w:lineRule="auto"/>
              <w:jc w:val="center"/>
              <w:rPr>
                <w:rFonts w:asciiTheme="minorEastAsia" w:hAnsiTheme="minorEastAsia" w:eastAsiaTheme="minorEastAsia" w:cstheme="minorEastAsia"/>
                <w:color w:val="auto"/>
                <w:szCs w:val="30"/>
              </w:rPr>
            </w:pPr>
          </w:p>
        </w:tc>
        <w:tc>
          <w:tcPr>
            <w:tcW w:w="2141" w:type="dxa"/>
            <w:vAlign w:val="center"/>
          </w:tcPr>
          <w:p>
            <w:pPr>
              <w:pStyle w:val="11"/>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职  务</w:t>
            </w:r>
          </w:p>
        </w:tc>
        <w:tc>
          <w:tcPr>
            <w:tcW w:w="2951" w:type="dxa"/>
            <w:vAlign w:val="center"/>
          </w:tcPr>
          <w:p>
            <w:pPr>
              <w:spacing w:line="360" w:lineRule="auto"/>
              <w:jc w:val="center"/>
              <w:rPr>
                <w:rFonts w:asciiTheme="minorEastAsia" w:hAnsiTheme="minorEastAsia" w:eastAsiaTheme="minorEastAsia" w:cstheme="minorEastAsia"/>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267" w:type="dxa"/>
            <w:gridSpan w:val="3"/>
            <w:vAlign w:val="center"/>
          </w:tcPr>
          <w:p>
            <w:pPr>
              <w:pStyle w:val="11"/>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从事相关工作年限</w:t>
            </w:r>
          </w:p>
        </w:tc>
        <w:tc>
          <w:tcPr>
            <w:tcW w:w="5092" w:type="dxa"/>
            <w:gridSpan w:val="2"/>
            <w:vAlign w:val="center"/>
          </w:tcPr>
          <w:p>
            <w:pPr>
              <w:pStyle w:val="11"/>
              <w:spacing w:line="360" w:lineRule="auto"/>
              <w:jc w:val="center"/>
              <w:rPr>
                <w:rFonts w:asciiTheme="minorEastAsia" w:hAnsiTheme="minorEastAsia" w:eastAsiaTheme="minorEastAsia" w:cstheme="minorEastAsia"/>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4267" w:type="dxa"/>
            <w:gridSpan w:val="3"/>
            <w:vAlign w:val="center"/>
          </w:tcPr>
          <w:p>
            <w:pPr>
              <w:pStyle w:val="11"/>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在本项目中拟担任的职务</w:t>
            </w:r>
          </w:p>
        </w:tc>
        <w:tc>
          <w:tcPr>
            <w:tcW w:w="5092" w:type="dxa"/>
            <w:gridSpan w:val="2"/>
            <w:vAlign w:val="center"/>
          </w:tcPr>
          <w:p>
            <w:pPr>
              <w:pStyle w:val="11"/>
              <w:spacing w:line="360" w:lineRule="auto"/>
              <w:jc w:val="center"/>
              <w:rPr>
                <w:rFonts w:asciiTheme="minorEastAsia" w:hAnsiTheme="minorEastAsia" w:eastAsiaTheme="minorEastAsia" w:cstheme="minorEastAsia"/>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144" w:type="dxa"/>
            <w:gridSpan w:val="2"/>
            <w:vAlign w:val="center"/>
          </w:tcPr>
          <w:p>
            <w:pPr>
              <w:pStyle w:val="11"/>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联系方式</w:t>
            </w:r>
          </w:p>
        </w:tc>
        <w:tc>
          <w:tcPr>
            <w:tcW w:w="7215" w:type="dxa"/>
            <w:gridSpan w:val="3"/>
            <w:vAlign w:val="center"/>
          </w:tcPr>
          <w:p>
            <w:pPr>
              <w:pStyle w:val="11"/>
              <w:spacing w:line="360" w:lineRule="auto"/>
              <w:jc w:val="center"/>
              <w:rPr>
                <w:rFonts w:asciiTheme="minorEastAsia" w:hAnsiTheme="minorEastAsia" w:eastAsiaTheme="minorEastAsia" w:cstheme="minorEastAsia"/>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114" w:type="dxa"/>
            <w:vAlign w:val="center"/>
          </w:tcPr>
          <w:p>
            <w:pPr>
              <w:pStyle w:val="11"/>
              <w:spacing w:line="360" w:lineRule="auto"/>
              <w:rPr>
                <w:rFonts w:asciiTheme="minorEastAsia" w:hAnsiTheme="minorEastAsia" w:eastAsiaTheme="minorEastAsia" w:cstheme="minorEastAsia"/>
                <w:color w:val="auto"/>
                <w:szCs w:val="30"/>
              </w:rPr>
            </w:pPr>
          </w:p>
        </w:tc>
        <w:tc>
          <w:tcPr>
            <w:tcW w:w="8245" w:type="dxa"/>
            <w:gridSpan w:val="4"/>
            <w:vAlign w:val="center"/>
          </w:tcPr>
          <w:p>
            <w:pPr>
              <w:pStyle w:val="11"/>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类似工作经历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6" w:hRule="atLeast"/>
        </w:trPr>
        <w:tc>
          <w:tcPr>
            <w:tcW w:w="1114" w:type="dxa"/>
            <w:vAlign w:val="center"/>
          </w:tcPr>
          <w:p>
            <w:pPr>
              <w:pStyle w:val="11"/>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工作</w:t>
            </w:r>
          </w:p>
          <w:p>
            <w:pPr>
              <w:pStyle w:val="11"/>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经历</w:t>
            </w:r>
          </w:p>
        </w:tc>
        <w:tc>
          <w:tcPr>
            <w:tcW w:w="8245" w:type="dxa"/>
            <w:gridSpan w:val="4"/>
          </w:tcPr>
          <w:p>
            <w:pPr>
              <w:pStyle w:val="11"/>
              <w:spacing w:line="360" w:lineRule="auto"/>
              <w:ind w:firstLine="0"/>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（单位、担任职务、工作时间）</w:t>
            </w:r>
          </w:p>
        </w:tc>
      </w:tr>
    </w:tbl>
    <w:p>
      <w:pPr>
        <w:pStyle w:val="11"/>
        <w:spacing w:line="360" w:lineRule="auto"/>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参选单位：（盖章）</w:t>
      </w:r>
    </w:p>
    <w:p>
      <w:pPr>
        <w:pStyle w:val="11"/>
        <w:spacing w:line="360" w:lineRule="auto"/>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法定代表人或委托代理人：（签字）</w:t>
      </w:r>
    </w:p>
    <w:p>
      <w:pPr>
        <w:spacing w:line="360" w:lineRule="auto"/>
        <w:jc w:val="right"/>
        <w:rPr>
          <w:rFonts w:asciiTheme="minorEastAsia" w:hAnsiTheme="minorEastAsia" w:eastAsiaTheme="minorEastAsia" w:cstheme="minorEastAsia"/>
          <w:color w:val="auto"/>
          <w:sz w:val="24"/>
          <w:szCs w:val="30"/>
        </w:rPr>
      </w:pPr>
      <w:r>
        <w:rPr>
          <w:rFonts w:hint="eastAsia" w:asciiTheme="minorEastAsia" w:hAnsiTheme="minorEastAsia" w:eastAsiaTheme="minorEastAsia" w:cstheme="minorEastAsia"/>
          <w:color w:val="auto"/>
          <w:sz w:val="24"/>
          <w:szCs w:val="30"/>
        </w:rPr>
        <w:t>日期：     年  月  日</w:t>
      </w:r>
    </w:p>
    <w:p>
      <w:pPr>
        <w:spacing w:line="360" w:lineRule="auto"/>
        <w:jc w:val="right"/>
        <w:rPr>
          <w:rFonts w:asciiTheme="minorEastAsia" w:hAnsiTheme="minorEastAsia" w:eastAsiaTheme="minorEastAsia" w:cstheme="minorEastAsia"/>
          <w:color w:val="auto"/>
          <w:sz w:val="24"/>
          <w:szCs w:val="30"/>
        </w:rPr>
      </w:pPr>
    </w:p>
    <w:p>
      <w:pPr>
        <w:pStyle w:val="5"/>
        <w:spacing w:line="360" w:lineRule="auto"/>
        <w:jc w:val="center"/>
        <w:rPr>
          <w:rFonts w:asciiTheme="minorEastAsia" w:hAnsiTheme="minorEastAsia" w:eastAsiaTheme="minorEastAsia" w:cstheme="minorEastAsia"/>
          <w:color w:val="auto"/>
          <w:szCs w:val="21"/>
        </w:rPr>
      </w:pPr>
      <w:bookmarkStart w:id="672" w:name="_Toc414108649"/>
      <w:r>
        <w:rPr>
          <w:rFonts w:hint="eastAsia" w:asciiTheme="minorEastAsia" w:hAnsiTheme="minorEastAsia" w:eastAsiaTheme="minorEastAsia" w:cstheme="minorEastAsia"/>
          <w:color w:val="auto"/>
          <w:lang w:val="zh-CN"/>
        </w:rPr>
        <w:t>项目管理人员</w:t>
      </w:r>
      <w:bookmarkEnd w:id="672"/>
    </w:p>
    <w:p>
      <w:pPr>
        <w:autoSpaceDE w:val="0"/>
        <w:autoSpaceDN w:val="0"/>
        <w:adjustRightInd w:val="0"/>
        <w:spacing w:line="360" w:lineRule="auto"/>
        <w:ind w:left="630" w:leftChars="200" w:hanging="210" w:hanging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lang w:val="zh-CN"/>
        </w:rPr>
        <w:t>、项目管理人员应包括：项目工程师、质量管理员、施工管理员、材料管理员、安全管理员、资料员等和项目项目负责人需要配备的其他关键人员</w:t>
      </w:r>
    </w:p>
    <w:p>
      <w:pPr>
        <w:autoSpaceDE w:val="0"/>
        <w:autoSpaceDN w:val="0"/>
        <w:adjustRightIn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lang w:val="zh-CN"/>
        </w:rPr>
        <w:t>、上述人员简历介绍应包括姓名、职称等基本信息</w:t>
      </w:r>
    </w:p>
    <w:p>
      <w:pPr>
        <w:autoSpaceDE w:val="0"/>
        <w:autoSpaceDN w:val="0"/>
        <w:adjustRightInd w:val="0"/>
        <w:spacing w:line="360" w:lineRule="auto"/>
        <w:ind w:firstLine="420"/>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lang w:val="zh-CN"/>
        </w:rPr>
        <w:t>、项目管理人员简历中应付职称证书或上岗证书复印件</w:t>
      </w:r>
    </w:p>
    <w:p>
      <w:pPr>
        <w:widowControl/>
        <w:spacing w:line="360" w:lineRule="auto"/>
        <w:ind w:firstLine="600"/>
        <w:jc w:val="center"/>
        <w:rPr>
          <w:rFonts w:asciiTheme="minorEastAsia" w:hAnsiTheme="minorEastAsia" w:eastAsiaTheme="minorEastAsia" w:cstheme="minorEastAsia"/>
          <w:b/>
          <w:color w:val="auto"/>
          <w:kern w:val="0"/>
          <w:sz w:val="30"/>
          <w:szCs w:val="30"/>
        </w:rPr>
      </w:pPr>
      <w:r>
        <w:rPr>
          <w:rFonts w:hint="eastAsia" w:asciiTheme="minorEastAsia" w:hAnsiTheme="minorEastAsia" w:eastAsiaTheme="minorEastAsia" w:cstheme="minorEastAsia"/>
          <w:b/>
          <w:color w:val="auto"/>
          <w:kern w:val="0"/>
          <w:sz w:val="30"/>
          <w:szCs w:val="30"/>
        </w:rPr>
        <w:t>拟派项目作业人员一览表</w:t>
      </w:r>
    </w:p>
    <w:tbl>
      <w:tblPr>
        <w:tblStyle w:val="23"/>
        <w:tblpPr w:leftFromText="180" w:rightFromText="180" w:vertAnchor="text" w:horzAnchor="page" w:tblpX="1153" w:tblpY="723"/>
        <w:tblOverlap w:val="never"/>
        <w:tblW w:w="10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709"/>
        <w:gridCol w:w="1875"/>
        <w:gridCol w:w="2475"/>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04" w:type="dxa"/>
            <w:vAlign w:val="center"/>
          </w:tcPr>
          <w:p>
            <w:pPr>
              <w:pStyle w:val="11"/>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姓 名</w:t>
            </w:r>
          </w:p>
        </w:tc>
        <w:tc>
          <w:tcPr>
            <w:tcW w:w="1709" w:type="dxa"/>
            <w:vAlign w:val="center"/>
          </w:tcPr>
          <w:p>
            <w:pPr>
              <w:pStyle w:val="11"/>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职 称</w:t>
            </w:r>
          </w:p>
        </w:tc>
        <w:tc>
          <w:tcPr>
            <w:tcW w:w="1875" w:type="dxa"/>
            <w:vAlign w:val="center"/>
          </w:tcPr>
          <w:p>
            <w:pPr>
              <w:pStyle w:val="11"/>
              <w:spacing w:line="360" w:lineRule="auto"/>
              <w:ind w:firstLine="0"/>
              <w:jc w:val="center"/>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建议职务</w:t>
            </w:r>
          </w:p>
        </w:tc>
        <w:tc>
          <w:tcPr>
            <w:tcW w:w="2475" w:type="dxa"/>
            <w:vAlign w:val="center"/>
          </w:tcPr>
          <w:p>
            <w:pPr>
              <w:pStyle w:val="11"/>
              <w:spacing w:line="360" w:lineRule="auto"/>
              <w:ind w:left="-128" w:leftChars="-61" w:firstLine="22" w:firstLineChars="11"/>
              <w:jc w:val="center"/>
              <w:rPr>
                <w:rFonts w:asciiTheme="minorEastAsia" w:hAnsiTheme="minorEastAsia" w:eastAsiaTheme="minorEastAsia" w:cstheme="minorEastAsia"/>
                <w:color w:val="auto"/>
                <w:spacing w:val="-20"/>
                <w:szCs w:val="30"/>
              </w:rPr>
            </w:pPr>
            <w:r>
              <w:rPr>
                <w:rFonts w:hint="eastAsia" w:asciiTheme="minorEastAsia" w:hAnsiTheme="minorEastAsia" w:eastAsiaTheme="minorEastAsia" w:cstheme="minorEastAsia"/>
                <w:color w:val="auto"/>
                <w:spacing w:val="-20"/>
                <w:szCs w:val="30"/>
              </w:rPr>
              <w:t>从事相关工作年限</w:t>
            </w:r>
          </w:p>
        </w:tc>
        <w:tc>
          <w:tcPr>
            <w:tcW w:w="3075" w:type="dxa"/>
            <w:vAlign w:val="center"/>
          </w:tcPr>
          <w:p>
            <w:pPr>
              <w:pStyle w:val="11"/>
              <w:spacing w:line="360" w:lineRule="auto"/>
              <w:ind w:left="-128" w:leftChars="-61" w:firstLine="22" w:firstLineChars="11"/>
              <w:jc w:val="center"/>
              <w:rPr>
                <w:rFonts w:asciiTheme="minorEastAsia" w:hAnsiTheme="minorEastAsia" w:eastAsiaTheme="minorEastAsia" w:cstheme="minorEastAsia"/>
                <w:color w:val="auto"/>
                <w:spacing w:val="-20"/>
                <w:szCs w:val="30"/>
              </w:rPr>
            </w:pPr>
            <w:r>
              <w:rPr>
                <w:rFonts w:hint="eastAsia" w:asciiTheme="minorEastAsia" w:hAnsiTheme="minorEastAsia" w:eastAsiaTheme="minorEastAsia" w:cstheme="minorEastAsia"/>
                <w:color w:val="auto"/>
                <w:spacing w:val="-20"/>
                <w:szCs w:val="30"/>
              </w:rPr>
              <w:t>在本项目中负责的内容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104" w:type="dxa"/>
            <w:vMerge w:val="continue"/>
            <w:vAlign w:val="center"/>
          </w:tcPr>
          <w:p>
            <w:pPr>
              <w:pStyle w:val="11"/>
              <w:spacing w:line="360" w:lineRule="auto"/>
              <w:jc w:val="center"/>
              <w:rPr>
                <w:rFonts w:asciiTheme="minorEastAsia" w:hAnsiTheme="minorEastAsia" w:eastAsiaTheme="minorEastAsia" w:cstheme="minorEastAsia"/>
                <w:color w:val="auto"/>
                <w:szCs w:val="30"/>
              </w:rPr>
            </w:pPr>
          </w:p>
        </w:tc>
        <w:tc>
          <w:tcPr>
            <w:tcW w:w="1709" w:type="dxa"/>
            <w:vAlign w:val="center"/>
          </w:tcPr>
          <w:p>
            <w:pPr>
              <w:pStyle w:val="11"/>
              <w:spacing w:line="360" w:lineRule="auto"/>
              <w:jc w:val="center"/>
              <w:rPr>
                <w:rFonts w:asciiTheme="minorEastAsia" w:hAnsiTheme="minorEastAsia" w:eastAsiaTheme="minorEastAsia" w:cstheme="minorEastAsia"/>
                <w:color w:val="auto"/>
                <w:szCs w:val="30"/>
              </w:rPr>
            </w:pPr>
          </w:p>
        </w:tc>
        <w:tc>
          <w:tcPr>
            <w:tcW w:w="1875" w:type="dxa"/>
            <w:vAlign w:val="center"/>
          </w:tcPr>
          <w:p>
            <w:pPr>
              <w:pStyle w:val="11"/>
              <w:spacing w:line="360" w:lineRule="auto"/>
              <w:jc w:val="center"/>
              <w:rPr>
                <w:rFonts w:asciiTheme="minorEastAsia" w:hAnsiTheme="minorEastAsia" w:eastAsiaTheme="minorEastAsia" w:cstheme="minorEastAsia"/>
                <w:color w:val="auto"/>
                <w:szCs w:val="30"/>
              </w:rPr>
            </w:pPr>
          </w:p>
        </w:tc>
        <w:tc>
          <w:tcPr>
            <w:tcW w:w="2475" w:type="dxa"/>
            <w:vAlign w:val="center"/>
          </w:tcPr>
          <w:p>
            <w:pPr>
              <w:pStyle w:val="11"/>
              <w:spacing w:line="360" w:lineRule="auto"/>
              <w:jc w:val="center"/>
              <w:rPr>
                <w:rFonts w:asciiTheme="minorEastAsia" w:hAnsiTheme="minorEastAsia" w:eastAsiaTheme="minorEastAsia" w:cstheme="minorEastAsia"/>
                <w:color w:val="auto"/>
                <w:szCs w:val="30"/>
              </w:rPr>
            </w:pPr>
          </w:p>
        </w:tc>
        <w:tc>
          <w:tcPr>
            <w:tcW w:w="3075" w:type="dxa"/>
            <w:vAlign w:val="center"/>
          </w:tcPr>
          <w:p>
            <w:pPr>
              <w:pStyle w:val="11"/>
              <w:spacing w:line="360" w:lineRule="auto"/>
              <w:jc w:val="center"/>
              <w:rPr>
                <w:rFonts w:asciiTheme="minorEastAsia" w:hAnsiTheme="minorEastAsia" w:eastAsiaTheme="minorEastAsia" w:cstheme="minorEastAsia"/>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pPr>
              <w:spacing w:line="360" w:lineRule="auto"/>
              <w:jc w:val="center"/>
              <w:rPr>
                <w:rFonts w:asciiTheme="minorEastAsia" w:hAnsiTheme="minorEastAsia" w:eastAsiaTheme="minorEastAsia" w:cstheme="minorEastAsia"/>
                <w:color w:val="auto"/>
                <w:sz w:val="30"/>
                <w:szCs w:val="30"/>
              </w:rPr>
            </w:pPr>
          </w:p>
        </w:tc>
        <w:tc>
          <w:tcPr>
            <w:tcW w:w="1709" w:type="dxa"/>
            <w:vAlign w:val="center"/>
          </w:tcPr>
          <w:p>
            <w:pPr>
              <w:pStyle w:val="13"/>
              <w:spacing w:line="360" w:lineRule="auto"/>
              <w:jc w:val="center"/>
              <w:rPr>
                <w:rFonts w:asciiTheme="minorEastAsia" w:hAnsiTheme="minorEastAsia" w:eastAsiaTheme="minorEastAsia" w:cstheme="minorEastAsia"/>
                <w:color w:val="auto"/>
                <w:sz w:val="30"/>
                <w:szCs w:val="30"/>
              </w:rPr>
            </w:pPr>
          </w:p>
        </w:tc>
        <w:tc>
          <w:tcPr>
            <w:tcW w:w="1875" w:type="dxa"/>
            <w:vAlign w:val="center"/>
          </w:tcPr>
          <w:p>
            <w:pPr>
              <w:pStyle w:val="13"/>
              <w:spacing w:line="360" w:lineRule="auto"/>
              <w:ind w:left="-5" w:leftChars="-22" w:hanging="41" w:hangingChars="15"/>
              <w:jc w:val="center"/>
              <w:rPr>
                <w:rFonts w:asciiTheme="minorEastAsia" w:hAnsiTheme="minorEastAsia" w:eastAsiaTheme="minorEastAsia" w:cstheme="minorEastAsia"/>
                <w:color w:val="auto"/>
                <w:spacing w:val="-12"/>
                <w:sz w:val="30"/>
                <w:szCs w:val="30"/>
              </w:rPr>
            </w:pPr>
          </w:p>
        </w:tc>
        <w:tc>
          <w:tcPr>
            <w:tcW w:w="2475" w:type="dxa"/>
            <w:vAlign w:val="center"/>
          </w:tcPr>
          <w:p>
            <w:pPr>
              <w:spacing w:line="360" w:lineRule="auto"/>
              <w:jc w:val="center"/>
              <w:rPr>
                <w:rFonts w:asciiTheme="minorEastAsia" w:hAnsiTheme="minorEastAsia" w:eastAsiaTheme="minorEastAsia" w:cstheme="minorEastAsia"/>
                <w:color w:val="auto"/>
                <w:sz w:val="30"/>
                <w:szCs w:val="30"/>
              </w:rPr>
            </w:pPr>
          </w:p>
        </w:tc>
        <w:tc>
          <w:tcPr>
            <w:tcW w:w="3075" w:type="dxa"/>
            <w:vAlign w:val="center"/>
          </w:tcPr>
          <w:p>
            <w:pPr>
              <w:spacing w:line="360" w:lineRule="auto"/>
              <w:jc w:val="center"/>
              <w:rPr>
                <w:rFonts w:asciiTheme="minorEastAsia" w:hAnsiTheme="minorEastAsia" w:eastAsiaTheme="minorEastAsia" w:cstheme="minorEastAsia"/>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pPr>
              <w:spacing w:line="360" w:lineRule="auto"/>
              <w:jc w:val="center"/>
              <w:rPr>
                <w:rFonts w:asciiTheme="minorEastAsia" w:hAnsiTheme="minorEastAsia" w:eastAsiaTheme="minorEastAsia" w:cstheme="minorEastAsia"/>
                <w:color w:val="auto"/>
                <w:sz w:val="30"/>
                <w:szCs w:val="30"/>
              </w:rPr>
            </w:pPr>
          </w:p>
        </w:tc>
        <w:tc>
          <w:tcPr>
            <w:tcW w:w="1709" w:type="dxa"/>
            <w:vAlign w:val="center"/>
          </w:tcPr>
          <w:p>
            <w:pPr>
              <w:pStyle w:val="13"/>
              <w:spacing w:line="360" w:lineRule="auto"/>
              <w:jc w:val="center"/>
              <w:rPr>
                <w:rFonts w:asciiTheme="minorEastAsia" w:hAnsiTheme="minorEastAsia" w:eastAsiaTheme="minorEastAsia" w:cstheme="minorEastAsia"/>
                <w:color w:val="auto"/>
                <w:sz w:val="30"/>
                <w:szCs w:val="30"/>
              </w:rPr>
            </w:pPr>
          </w:p>
        </w:tc>
        <w:tc>
          <w:tcPr>
            <w:tcW w:w="1875" w:type="dxa"/>
            <w:vAlign w:val="center"/>
          </w:tcPr>
          <w:p>
            <w:pPr>
              <w:pStyle w:val="13"/>
              <w:spacing w:line="360" w:lineRule="auto"/>
              <w:jc w:val="center"/>
              <w:rPr>
                <w:rFonts w:asciiTheme="minorEastAsia" w:hAnsiTheme="minorEastAsia" w:eastAsiaTheme="minorEastAsia" w:cstheme="minorEastAsia"/>
                <w:color w:val="auto"/>
                <w:sz w:val="30"/>
                <w:szCs w:val="30"/>
              </w:rPr>
            </w:pPr>
          </w:p>
        </w:tc>
        <w:tc>
          <w:tcPr>
            <w:tcW w:w="2475" w:type="dxa"/>
            <w:vAlign w:val="center"/>
          </w:tcPr>
          <w:p>
            <w:pPr>
              <w:spacing w:line="360" w:lineRule="auto"/>
              <w:jc w:val="center"/>
              <w:rPr>
                <w:rFonts w:asciiTheme="minorEastAsia" w:hAnsiTheme="minorEastAsia" w:eastAsiaTheme="minorEastAsia" w:cstheme="minorEastAsia"/>
                <w:color w:val="auto"/>
                <w:sz w:val="30"/>
                <w:szCs w:val="30"/>
              </w:rPr>
            </w:pPr>
          </w:p>
        </w:tc>
        <w:tc>
          <w:tcPr>
            <w:tcW w:w="3075" w:type="dxa"/>
            <w:vAlign w:val="center"/>
          </w:tcPr>
          <w:p>
            <w:pPr>
              <w:spacing w:line="360" w:lineRule="auto"/>
              <w:jc w:val="center"/>
              <w:rPr>
                <w:rFonts w:asciiTheme="minorEastAsia" w:hAnsiTheme="minorEastAsia" w:eastAsiaTheme="minorEastAsia" w:cstheme="minorEastAsia"/>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pPr>
              <w:spacing w:line="360" w:lineRule="auto"/>
              <w:jc w:val="center"/>
              <w:rPr>
                <w:rFonts w:asciiTheme="minorEastAsia" w:hAnsiTheme="minorEastAsia" w:eastAsiaTheme="minorEastAsia" w:cstheme="minorEastAsia"/>
                <w:color w:val="auto"/>
                <w:sz w:val="30"/>
                <w:szCs w:val="30"/>
              </w:rPr>
            </w:pPr>
          </w:p>
        </w:tc>
        <w:tc>
          <w:tcPr>
            <w:tcW w:w="1709" w:type="dxa"/>
            <w:vAlign w:val="center"/>
          </w:tcPr>
          <w:p>
            <w:pPr>
              <w:pStyle w:val="13"/>
              <w:spacing w:line="360" w:lineRule="auto"/>
              <w:jc w:val="center"/>
              <w:rPr>
                <w:rFonts w:asciiTheme="minorEastAsia" w:hAnsiTheme="minorEastAsia" w:eastAsiaTheme="minorEastAsia" w:cstheme="minorEastAsia"/>
                <w:color w:val="auto"/>
                <w:sz w:val="30"/>
                <w:szCs w:val="30"/>
              </w:rPr>
            </w:pPr>
          </w:p>
        </w:tc>
        <w:tc>
          <w:tcPr>
            <w:tcW w:w="1875" w:type="dxa"/>
            <w:vAlign w:val="center"/>
          </w:tcPr>
          <w:p>
            <w:pPr>
              <w:pStyle w:val="11"/>
              <w:spacing w:line="360" w:lineRule="auto"/>
              <w:jc w:val="center"/>
              <w:rPr>
                <w:rFonts w:asciiTheme="minorEastAsia" w:hAnsiTheme="minorEastAsia" w:eastAsiaTheme="minorEastAsia" w:cstheme="minorEastAsia"/>
                <w:color w:val="auto"/>
                <w:szCs w:val="30"/>
              </w:rPr>
            </w:pPr>
          </w:p>
        </w:tc>
        <w:tc>
          <w:tcPr>
            <w:tcW w:w="2475" w:type="dxa"/>
            <w:vAlign w:val="center"/>
          </w:tcPr>
          <w:p>
            <w:pPr>
              <w:spacing w:line="360" w:lineRule="auto"/>
              <w:jc w:val="center"/>
              <w:rPr>
                <w:rFonts w:asciiTheme="minorEastAsia" w:hAnsiTheme="minorEastAsia" w:eastAsiaTheme="minorEastAsia" w:cstheme="minorEastAsia"/>
                <w:color w:val="auto"/>
                <w:sz w:val="30"/>
                <w:szCs w:val="30"/>
              </w:rPr>
            </w:pPr>
          </w:p>
        </w:tc>
        <w:tc>
          <w:tcPr>
            <w:tcW w:w="3075" w:type="dxa"/>
            <w:vAlign w:val="center"/>
          </w:tcPr>
          <w:p>
            <w:pPr>
              <w:spacing w:line="360" w:lineRule="auto"/>
              <w:jc w:val="center"/>
              <w:rPr>
                <w:rFonts w:asciiTheme="minorEastAsia" w:hAnsiTheme="minorEastAsia" w:eastAsiaTheme="minorEastAsia" w:cstheme="minorEastAsia"/>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pPr>
              <w:spacing w:line="360" w:lineRule="auto"/>
              <w:jc w:val="center"/>
              <w:rPr>
                <w:rFonts w:asciiTheme="minorEastAsia" w:hAnsiTheme="minorEastAsia" w:eastAsiaTheme="minorEastAsia" w:cstheme="minorEastAsia"/>
                <w:color w:val="auto"/>
                <w:sz w:val="30"/>
                <w:szCs w:val="30"/>
              </w:rPr>
            </w:pPr>
          </w:p>
        </w:tc>
        <w:tc>
          <w:tcPr>
            <w:tcW w:w="1709" w:type="dxa"/>
            <w:vAlign w:val="center"/>
          </w:tcPr>
          <w:p>
            <w:pPr>
              <w:pStyle w:val="13"/>
              <w:spacing w:line="360" w:lineRule="auto"/>
              <w:jc w:val="center"/>
              <w:rPr>
                <w:rFonts w:asciiTheme="minorEastAsia" w:hAnsiTheme="minorEastAsia" w:eastAsiaTheme="minorEastAsia" w:cstheme="minorEastAsia"/>
                <w:color w:val="auto"/>
                <w:sz w:val="30"/>
                <w:szCs w:val="30"/>
              </w:rPr>
            </w:pPr>
          </w:p>
        </w:tc>
        <w:tc>
          <w:tcPr>
            <w:tcW w:w="1875" w:type="dxa"/>
            <w:vAlign w:val="center"/>
          </w:tcPr>
          <w:p>
            <w:pPr>
              <w:pStyle w:val="11"/>
              <w:spacing w:line="360" w:lineRule="auto"/>
              <w:jc w:val="center"/>
              <w:rPr>
                <w:rFonts w:asciiTheme="minorEastAsia" w:hAnsiTheme="minorEastAsia" w:eastAsiaTheme="minorEastAsia" w:cstheme="minorEastAsia"/>
                <w:color w:val="auto"/>
                <w:szCs w:val="30"/>
              </w:rPr>
            </w:pPr>
          </w:p>
        </w:tc>
        <w:tc>
          <w:tcPr>
            <w:tcW w:w="2475" w:type="dxa"/>
            <w:vAlign w:val="center"/>
          </w:tcPr>
          <w:p>
            <w:pPr>
              <w:spacing w:line="360" w:lineRule="auto"/>
              <w:jc w:val="center"/>
              <w:rPr>
                <w:rFonts w:asciiTheme="minorEastAsia" w:hAnsiTheme="minorEastAsia" w:eastAsiaTheme="minorEastAsia" w:cstheme="minorEastAsia"/>
                <w:color w:val="auto"/>
                <w:sz w:val="30"/>
                <w:szCs w:val="30"/>
              </w:rPr>
            </w:pPr>
          </w:p>
        </w:tc>
        <w:tc>
          <w:tcPr>
            <w:tcW w:w="3075" w:type="dxa"/>
            <w:vAlign w:val="center"/>
          </w:tcPr>
          <w:p>
            <w:pPr>
              <w:spacing w:line="360" w:lineRule="auto"/>
              <w:jc w:val="center"/>
              <w:rPr>
                <w:rFonts w:asciiTheme="minorEastAsia" w:hAnsiTheme="minorEastAsia" w:eastAsiaTheme="minorEastAsia" w:cstheme="minorEastAsia"/>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pPr>
              <w:spacing w:line="360" w:lineRule="auto"/>
              <w:jc w:val="center"/>
              <w:rPr>
                <w:rFonts w:asciiTheme="minorEastAsia" w:hAnsiTheme="minorEastAsia" w:eastAsiaTheme="minorEastAsia" w:cstheme="minorEastAsia"/>
                <w:color w:val="auto"/>
                <w:sz w:val="30"/>
                <w:szCs w:val="30"/>
              </w:rPr>
            </w:pPr>
          </w:p>
        </w:tc>
        <w:tc>
          <w:tcPr>
            <w:tcW w:w="1709" w:type="dxa"/>
            <w:vAlign w:val="center"/>
          </w:tcPr>
          <w:p>
            <w:pPr>
              <w:pStyle w:val="13"/>
              <w:spacing w:line="360" w:lineRule="auto"/>
              <w:jc w:val="center"/>
              <w:rPr>
                <w:rFonts w:asciiTheme="minorEastAsia" w:hAnsiTheme="minorEastAsia" w:eastAsiaTheme="minorEastAsia" w:cstheme="minorEastAsia"/>
                <w:color w:val="auto"/>
                <w:sz w:val="30"/>
                <w:szCs w:val="30"/>
              </w:rPr>
            </w:pPr>
          </w:p>
        </w:tc>
        <w:tc>
          <w:tcPr>
            <w:tcW w:w="1875" w:type="dxa"/>
            <w:vAlign w:val="center"/>
          </w:tcPr>
          <w:p>
            <w:pPr>
              <w:pStyle w:val="11"/>
              <w:spacing w:line="360" w:lineRule="auto"/>
              <w:jc w:val="center"/>
              <w:rPr>
                <w:rFonts w:asciiTheme="minorEastAsia" w:hAnsiTheme="minorEastAsia" w:eastAsiaTheme="minorEastAsia" w:cstheme="minorEastAsia"/>
                <w:color w:val="auto"/>
                <w:szCs w:val="30"/>
              </w:rPr>
            </w:pPr>
          </w:p>
        </w:tc>
        <w:tc>
          <w:tcPr>
            <w:tcW w:w="2475" w:type="dxa"/>
            <w:vAlign w:val="center"/>
          </w:tcPr>
          <w:p>
            <w:pPr>
              <w:spacing w:line="360" w:lineRule="auto"/>
              <w:jc w:val="center"/>
              <w:rPr>
                <w:rFonts w:asciiTheme="minorEastAsia" w:hAnsiTheme="minorEastAsia" w:eastAsiaTheme="minorEastAsia" w:cstheme="minorEastAsia"/>
                <w:color w:val="auto"/>
                <w:sz w:val="30"/>
                <w:szCs w:val="30"/>
              </w:rPr>
            </w:pPr>
          </w:p>
        </w:tc>
        <w:tc>
          <w:tcPr>
            <w:tcW w:w="3075" w:type="dxa"/>
            <w:vAlign w:val="center"/>
          </w:tcPr>
          <w:p>
            <w:pPr>
              <w:spacing w:line="360" w:lineRule="auto"/>
              <w:jc w:val="center"/>
              <w:rPr>
                <w:rFonts w:asciiTheme="minorEastAsia" w:hAnsiTheme="minorEastAsia" w:eastAsiaTheme="minorEastAsia" w:cstheme="minorEastAsia"/>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pPr>
              <w:spacing w:line="360" w:lineRule="auto"/>
              <w:jc w:val="center"/>
              <w:rPr>
                <w:rFonts w:asciiTheme="minorEastAsia" w:hAnsiTheme="minorEastAsia" w:eastAsiaTheme="minorEastAsia" w:cstheme="minorEastAsia"/>
                <w:color w:val="auto"/>
                <w:sz w:val="30"/>
                <w:szCs w:val="30"/>
              </w:rPr>
            </w:pPr>
          </w:p>
        </w:tc>
        <w:tc>
          <w:tcPr>
            <w:tcW w:w="1709" w:type="dxa"/>
            <w:vAlign w:val="center"/>
          </w:tcPr>
          <w:p>
            <w:pPr>
              <w:pStyle w:val="13"/>
              <w:spacing w:line="360" w:lineRule="auto"/>
              <w:jc w:val="center"/>
              <w:rPr>
                <w:rFonts w:asciiTheme="minorEastAsia" w:hAnsiTheme="minorEastAsia" w:eastAsiaTheme="minorEastAsia" w:cstheme="minorEastAsia"/>
                <w:color w:val="auto"/>
                <w:sz w:val="30"/>
                <w:szCs w:val="30"/>
              </w:rPr>
            </w:pPr>
          </w:p>
        </w:tc>
        <w:tc>
          <w:tcPr>
            <w:tcW w:w="1875" w:type="dxa"/>
            <w:vAlign w:val="center"/>
          </w:tcPr>
          <w:p>
            <w:pPr>
              <w:pStyle w:val="11"/>
              <w:spacing w:line="360" w:lineRule="auto"/>
              <w:jc w:val="center"/>
              <w:rPr>
                <w:rFonts w:asciiTheme="minorEastAsia" w:hAnsiTheme="minorEastAsia" w:eastAsiaTheme="minorEastAsia" w:cstheme="minorEastAsia"/>
                <w:color w:val="auto"/>
                <w:szCs w:val="30"/>
              </w:rPr>
            </w:pPr>
          </w:p>
        </w:tc>
        <w:tc>
          <w:tcPr>
            <w:tcW w:w="2475" w:type="dxa"/>
            <w:vAlign w:val="center"/>
          </w:tcPr>
          <w:p>
            <w:pPr>
              <w:spacing w:line="360" w:lineRule="auto"/>
              <w:jc w:val="center"/>
              <w:rPr>
                <w:rFonts w:asciiTheme="minorEastAsia" w:hAnsiTheme="minorEastAsia" w:eastAsiaTheme="minorEastAsia" w:cstheme="minorEastAsia"/>
                <w:color w:val="auto"/>
                <w:sz w:val="30"/>
                <w:szCs w:val="30"/>
              </w:rPr>
            </w:pPr>
          </w:p>
        </w:tc>
        <w:tc>
          <w:tcPr>
            <w:tcW w:w="3075" w:type="dxa"/>
            <w:vAlign w:val="center"/>
          </w:tcPr>
          <w:p>
            <w:pPr>
              <w:spacing w:line="360" w:lineRule="auto"/>
              <w:jc w:val="center"/>
              <w:rPr>
                <w:rFonts w:asciiTheme="minorEastAsia" w:hAnsiTheme="minorEastAsia" w:eastAsiaTheme="minorEastAsia" w:cstheme="minorEastAsia"/>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pPr>
              <w:spacing w:line="360" w:lineRule="auto"/>
              <w:jc w:val="center"/>
              <w:rPr>
                <w:rFonts w:asciiTheme="minorEastAsia" w:hAnsiTheme="minorEastAsia" w:eastAsiaTheme="minorEastAsia" w:cstheme="minorEastAsia"/>
                <w:color w:val="auto"/>
                <w:sz w:val="30"/>
                <w:szCs w:val="30"/>
              </w:rPr>
            </w:pPr>
          </w:p>
        </w:tc>
        <w:tc>
          <w:tcPr>
            <w:tcW w:w="1709" w:type="dxa"/>
            <w:vAlign w:val="center"/>
          </w:tcPr>
          <w:p>
            <w:pPr>
              <w:pStyle w:val="13"/>
              <w:spacing w:line="360" w:lineRule="auto"/>
              <w:jc w:val="center"/>
              <w:rPr>
                <w:rFonts w:asciiTheme="minorEastAsia" w:hAnsiTheme="minorEastAsia" w:eastAsiaTheme="minorEastAsia" w:cstheme="minorEastAsia"/>
                <w:color w:val="auto"/>
                <w:sz w:val="30"/>
                <w:szCs w:val="30"/>
              </w:rPr>
            </w:pPr>
          </w:p>
        </w:tc>
        <w:tc>
          <w:tcPr>
            <w:tcW w:w="1875" w:type="dxa"/>
            <w:vAlign w:val="center"/>
          </w:tcPr>
          <w:p>
            <w:pPr>
              <w:pStyle w:val="11"/>
              <w:spacing w:line="360" w:lineRule="auto"/>
              <w:jc w:val="center"/>
              <w:rPr>
                <w:rFonts w:asciiTheme="minorEastAsia" w:hAnsiTheme="minorEastAsia" w:eastAsiaTheme="minorEastAsia" w:cstheme="minorEastAsia"/>
                <w:color w:val="auto"/>
                <w:szCs w:val="30"/>
              </w:rPr>
            </w:pPr>
          </w:p>
        </w:tc>
        <w:tc>
          <w:tcPr>
            <w:tcW w:w="2475" w:type="dxa"/>
            <w:vAlign w:val="center"/>
          </w:tcPr>
          <w:p>
            <w:pPr>
              <w:spacing w:line="360" w:lineRule="auto"/>
              <w:jc w:val="center"/>
              <w:rPr>
                <w:rFonts w:asciiTheme="minorEastAsia" w:hAnsiTheme="minorEastAsia" w:eastAsiaTheme="minorEastAsia" w:cstheme="minorEastAsia"/>
                <w:color w:val="auto"/>
                <w:sz w:val="30"/>
                <w:szCs w:val="30"/>
              </w:rPr>
            </w:pPr>
          </w:p>
        </w:tc>
        <w:tc>
          <w:tcPr>
            <w:tcW w:w="3075" w:type="dxa"/>
            <w:vAlign w:val="center"/>
          </w:tcPr>
          <w:p>
            <w:pPr>
              <w:spacing w:line="360" w:lineRule="auto"/>
              <w:jc w:val="center"/>
              <w:rPr>
                <w:rFonts w:asciiTheme="minorEastAsia" w:hAnsiTheme="minorEastAsia" w:eastAsiaTheme="minorEastAsia" w:cstheme="minorEastAsia"/>
                <w:color w:val="auto"/>
                <w:sz w:val="30"/>
                <w:szCs w:val="30"/>
              </w:rPr>
            </w:pPr>
          </w:p>
        </w:tc>
      </w:tr>
    </w:tbl>
    <w:p>
      <w:pPr>
        <w:pStyle w:val="11"/>
        <w:spacing w:line="360" w:lineRule="auto"/>
        <w:jc w:val="left"/>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投标人：（盖章）</w:t>
      </w:r>
    </w:p>
    <w:p>
      <w:pPr>
        <w:pStyle w:val="11"/>
        <w:wordWrap w:val="0"/>
        <w:spacing w:line="360" w:lineRule="auto"/>
        <w:ind w:firstLine="0"/>
        <w:rPr>
          <w:rFonts w:asciiTheme="minorEastAsia" w:hAnsiTheme="minorEastAsia" w:eastAsiaTheme="minorEastAsia" w:cstheme="minorEastAsia"/>
          <w:color w:val="auto"/>
          <w:szCs w:val="30"/>
        </w:rPr>
      </w:pPr>
    </w:p>
    <w:p>
      <w:pPr>
        <w:pStyle w:val="11"/>
        <w:wordWrap w:val="0"/>
        <w:spacing w:line="360" w:lineRule="auto"/>
        <w:ind w:firstLine="0"/>
        <w:rPr>
          <w:rFonts w:asciiTheme="minorEastAsia" w:hAnsiTheme="minorEastAsia" w:eastAsiaTheme="minorEastAsia" w:cstheme="minorEastAsia"/>
          <w:color w:val="auto"/>
          <w:szCs w:val="30"/>
        </w:rPr>
      </w:pPr>
      <w:r>
        <w:rPr>
          <w:rFonts w:hint="eastAsia" w:asciiTheme="minorEastAsia" w:hAnsiTheme="minorEastAsia" w:eastAsiaTheme="minorEastAsia" w:cstheme="minorEastAsia"/>
          <w:color w:val="auto"/>
          <w:szCs w:val="30"/>
        </w:rPr>
        <w:t xml:space="preserve">法定代表人或委托代理人：（签字或盖章）                               </w:t>
      </w:r>
    </w:p>
    <w:p>
      <w:pPr>
        <w:pStyle w:val="11"/>
        <w:wordWrap w:val="0"/>
        <w:spacing w:line="360" w:lineRule="auto"/>
        <w:ind w:firstLine="511" w:firstLineChars="213"/>
        <w:jc w:val="right"/>
        <w:rPr>
          <w:rFonts w:asciiTheme="minorEastAsia" w:hAnsiTheme="minorEastAsia" w:eastAsiaTheme="minorEastAsia" w:cstheme="minorEastAsia"/>
          <w:color w:val="auto"/>
          <w:szCs w:val="30"/>
        </w:rPr>
      </w:pPr>
    </w:p>
    <w:p>
      <w:pPr>
        <w:pStyle w:val="11"/>
        <w:wordWrap w:val="0"/>
        <w:spacing w:line="360" w:lineRule="auto"/>
        <w:ind w:firstLine="511" w:firstLineChars="213"/>
        <w:jc w:val="right"/>
        <w:rPr>
          <w:rFonts w:asciiTheme="minorEastAsia" w:hAnsiTheme="minorEastAsia" w:eastAsiaTheme="minorEastAsia" w:cstheme="minorEastAsia"/>
          <w:color w:val="auto"/>
          <w:szCs w:val="30"/>
        </w:rPr>
      </w:pPr>
    </w:p>
    <w:p>
      <w:pPr>
        <w:pStyle w:val="11"/>
        <w:wordWrap w:val="0"/>
        <w:spacing w:line="360" w:lineRule="auto"/>
        <w:ind w:firstLine="511" w:firstLineChars="213"/>
        <w:jc w:val="right"/>
        <w:rPr>
          <w:rFonts w:ascii="宋体" w:hAnsi="宋体"/>
          <w:color w:val="auto"/>
          <w:sz w:val="24"/>
        </w:rPr>
      </w:pPr>
      <w:r>
        <w:rPr>
          <w:rFonts w:hint="eastAsia" w:asciiTheme="minorEastAsia" w:hAnsiTheme="minorEastAsia" w:eastAsiaTheme="minorEastAsia" w:cstheme="minorEastAsia"/>
          <w:color w:val="auto"/>
          <w:szCs w:val="30"/>
        </w:rPr>
        <w:t>日期：    年  月   日</w:t>
      </w:r>
      <w:bookmarkStart w:id="673" w:name="_Toc414108650"/>
    </w:p>
    <w:p>
      <w:pPr>
        <w:pStyle w:val="7"/>
        <w:spacing w:line="360" w:lineRule="auto"/>
        <w:ind w:firstLine="480"/>
        <w:rPr>
          <w:rFonts w:ascii="宋体" w:hAnsi="宋体"/>
          <w:color w:val="auto"/>
          <w:sz w:val="24"/>
        </w:rPr>
      </w:pPr>
    </w:p>
    <w:p>
      <w:pPr>
        <w:numPr>
          <w:ilvl w:val="0"/>
          <w:numId w:val="4"/>
        </w:numPr>
        <w:spacing w:line="480" w:lineRule="exact"/>
        <w:jc w:val="center"/>
        <w:rPr>
          <w:rFonts w:ascii="黑体" w:hAnsi="黑体" w:eastAsia="黑体" w:cs="黑体"/>
          <w:color w:val="auto"/>
          <w:sz w:val="32"/>
          <w:szCs w:val="32"/>
        </w:rPr>
      </w:pPr>
      <w:r>
        <w:rPr>
          <w:rFonts w:hint="eastAsia" w:ascii="黑体" w:hAnsi="黑体" w:eastAsia="黑体" w:cs="黑体"/>
          <w:color w:val="auto"/>
          <w:sz w:val="32"/>
          <w:szCs w:val="32"/>
        </w:rPr>
        <w:t>投标保证金（投标保证金</w:t>
      </w:r>
      <w:r>
        <w:rPr>
          <w:rFonts w:hint="eastAsia" w:ascii="黑体" w:hAnsi="黑体" w:eastAsia="黑体" w:cs="黑体"/>
          <w:color w:val="auto"/>
          <w:sz w:val="32"/>
          <w:szCs w:val="32"/>
          <w:lang w:eastAsia="zh-CN"/>
        </w:rPr>
        <w:t>汇款凭证截图</w:t>
      </w:r>
      <w:r>
        <w:rPr>
          <w:rFonts w:hint="eastAsia" w:ascii="黑体" w:hAnsi="黑体" w:eastAsia="黑体" w:cs="黑体"/>
          <w:color w:val="auto"/>
          <w:sz w:val="32"/>
          <w:szCs w:val="32"/>
        </w:rPr>
        <w:t>或保险保函复印件）</w:t>
      </w:r>
    </w:p>
    <w:p>
      <w:pPr>
        <w:spacing w:line="480" w:lineRule="exact"/>
        <w:ind w:firstLine="5880" w:firstLineChars="2450"/>
        <w:jc w:val="right"/>
        <w:rPr>
          <w:rFonts w:ascii="宋体" w:hAnsi="宋体"/>
          <w:color w:val="auto"/>
          <w:sz w:val="24"/>
          <w:szCs w:val="21"/>
        </w:rPr>
      </w:pPr>
      <w:r>
        <w:rPr>
          <w:rFonts w:hint="eastAsia" w:ascii="宋体" w:hAnsi="宋体"/>
          <w:color w:val="auto"/>
          <w:sz w:val="24"/>
          <w:szCs w:val="21"/>
        </w:rPr>
        <w:t>保函编号：</w:t>
      </w:r>
      <w:r>
        <w:rPr>
          <w:rFonts w:hint="eastAsia" w:ascii="宋体" w:hAnsi="宋体"/>
          <w:color w:val="auto"/>
          <w:sz w:val="24"/>
          <w:szCs w:val="21"/>
          <w:u w:val="single"/>
        </w:rPr>
        <w:t xml:space="preserve">       </w:t>
      </w:r>
    </w:p>
    <w:p>
      <w:pPr>
        <w:spacing w:line="480" w:lineRule="exact"/>
        <w:rPr>
          <w:rFonts w:ascii="宋体" w:hAnsi="宋体"/>
          <w:color w:val="auto"/>
          <w:sz w:val="24"/>
          <w:szCs w:val="21"/>
        </w:rPr>
      </w:pPr>
      <w:r>
        <w:rPr>
          <w:rFonts w:hint="eastAsia" w:ascii="宋体" w:hAnsi="宋体"/>
          <w:color w:val="auto"/>
          <w:sz w:val="24"/>
          <w:szCs w:val="21"/>
          <w:u w:val="single"/>
        </w:rPr>
        <w:t xml:space="preserve">                     </w:t>
      </w:r>
      <w:r>
        <w:rPr>
          <w:rFonts w:hint="eastAsia" w:ascii="宋体" w:hAnsi="宋体"/>
          <w:color w:val="auto"/>
          <w:sz w:val="24"/>
          <w:szCs w:val="21"/>
        </w:rPr>
        <w:t>（招标人名称）：</w:t>
      </w:r>
    </w:p>
    <w:p>
      <w:pPr>
        <w:spacing w:line="480" w:lineRule="exact"/>
        <w:ind w:firstLine="480" w:firstLineChars="200"/>
        <w:rPr>
          <w:rFonts w:ascii="宋体" w:hAnsi="宋体"/>
          <w:color w:val="auto"/>
          <w:sz w:val="24"/>
          <w:szCs w:val="21"/>
        </w:rPr>
      </w:pPr>
      <w:r>
        <w:rPr>
          <w:rFonts w:hint="eastAsia" w:ascii="宋体" w:hAnsi="宋体"/>
          <w:color w:val="auto"/>
          <w:sz w:val="24"/>
          <w:szCs w:val="21"/>
        </w:rPr>
        <w:t>鉴于</w:t>
      </w:r>
      <w:r>
        <w:rPr>
          <w:rFonts w:hint="eastAsia" w:ascii="宋体" w:hAnsi="宋体"/>
          <w:color w:val="auto"/>
          <w:sz w:val="24"/>
          <w:szCs w:val="21"/>
          <w:u w:val="single"/>
        </w:rPr>
        <w:t xml:space="preserve">               </w:t>
      </w:r>
      <w:r>
        <w:rPr>
          <w:rFonts w:hint="eastAsia" w:ascii="宋体" w:hAnsi="宋体"/>
          <w:color w:val="auto"/>
          <w:sz w:val="24"/>
          <w:szCs w:val="21"/>
        </w:rPr>
        <w:t>（投标人名称）（以下简称“投标人”）参加你方</w:t>
      </w:r>
      <w:r>
        <w:rPr>
          <w:rFonts w:hint="eastAsia" w:ascii="宋体" w:hAnsi="宋体"/>
          <w:color w:val="auto"/>
          <w:sz w:val="24"/>
          <w:szCs w:val="21"/>
          <w:u w:val="single"/>
        </w:rPr>
        <w:t xml:space="preserve">    </w:t>
      </w:r>
      <w:r>
        <w:rPr>
          <w:rFonts w:hint="eastAsia" w:ascii="宋体" w:hAnsi="宋体"/>
          <w:color w:val="auto"/>
          <w:sz w:val="24"/>
          <w:szCs w:val="21"/>
        </w:rPr>
        <w:t>（项目名称）</w:t>
      </w:r>
      <w:r>
        <w:rPr>
          <w:rFonts w:hint="eastAsia" w:ascii="宋体" w:hAnsi="宋体"/>
          <w:color w:val="auto"/>
          <w:sz w:val="24"/>
          <w:szCs w:val="21"/>
          <w:u w:val="single"/>
        </w:rPr>
        <w:t xml:space="preserve">     </w:t>
      </w:r>
      <w:r>
        <w:rPr>
          <w:rFonts w:hint="eastAsia" w:ascii="宋体" w:hAnsi="宋体"/>
          <w:color w:val="auto"/>
          <w:sz w:val="24"/>
          <w:szCs w:val="21"/>
        </w:rPr>
        <w:t>标段的施工投标，</w:t>
      </w:r>
      <w:r>
        <w:rPr>
          <w:rFonts w:hint="eastAsia" w:ascii="宋体" w:hAnsi="宋体"/>
          <w:color w:val="auto"/>
          <w:sz w:val="24"/>
          <w:szCs w:val="21"/>
          <w:u w:val="single"/>
        </w:rPr>
        <w:t xml:space="preserve">                           </w:t>
      </w:r>
      <w:r>
        <w:rPr>
          <w:rFonts w:hint="eastAsia" w:ascii="宋体" w:hAnsi="宋体"/>
          <w:color w:val="auto"/>
          <w:sz w:val="24"/>
          <w:szCs w:val="21"/>
        </w:rPr>
        <w:t>（担保人名称）（以下简称“我方”）受该投标人委托，在此无条件地、不可撤销地保证：一旦收到你方提出的下述任何一种事实的书面通知，在7日内无条件地向你方支付总额不超过</w:t>
      </w:r>
      <w:r>
        <w:rPr>
          <w:rFonts w:hint="eastAsia" w:ascii="宋体" w:hAnsi="宋体"/>
          <w:color w:val="auto"/>
          <w:sz w:val="24"/>
          <w:szCs w:val="21"/>
          <w:u w:val="single"/>
        </w:rPr>
        <w:t xml:space="preserve">                  </w:t>
      </w:r>
      <w:r>
        <w:rPr>
          <w:rFonts w:hint="eastAsia" w:ascii="宋体" w:hAnsi="宋体"/>
          <w:color w:val="auto"/>
          <w:sz w:val="24"/>
          <w:szCs w:val="21"/>
        </w:rPr>
        <w:t>（投标保函额度）的任何你方要求的金额：</w:t>
      </w:r>
    </w:p>
    <w:p>
      <w:pPr>
        <w:spacing w:line="480" w:lineRule="exact"/>
        <w:ind w:firstLine="480" w:firstLineChars="200"/>
        <w:rPr>
          <w:rFonts w:ascii="宋体" w:hAnsi="宋体"/>
          <w:color w:val="auto"/>
          <w:sz w:val="24"/>
          <w:szCs w:val="21"/>
        </w:rPr>
      </w:pPr>
      <w:r>
        <w:rPr>
          <w:rFonts w:hint="eastAsia" w:ascii="宋体" w:hAnsi="宋体"/>
          <w:color w:val="auto"/>
          <w:sz w:val="24"/>
          <w:szCs w:val="21"/>
        </w:rPr>
        <w:t>1．投标人在规定的投标有效期内撤销或者修改其投标文件。</w:t>
      </w:r>
    </w:p>
    <w:p>
      <w:pPr>
        <w:spacing w:line="480" w:lineRule="exact"/>
        <w:ind w:firstLine="480" w:firstLineChars="200"/>
        <w:rPr>
          <w:rFonts w:ascii="宋体" w:hAnsi="宋体"/>
          <w:color w:val="auto"/>
          <w:sz w:val="24"/>
          <w:szCs w:val="21"/>
        </w:rPr>
      </w:pPr>
      <w:r>
        <w:rPr>
          <w:rFonts w:hint="eastAsia" w:ascii="宋体" w:hAnsi="宋体"/>
          <w:color w:val="auto"/>
          <w:sz w:val="24"/>
          <w:szCs w:val="21"/>
        </w:rPr>
        <w:t>2．投标人在收到中标通知书后无正当理由而未在规定期限内与贵方签署合同。</w:t>
      </w:r>
    </w:p>
    <w:p>
      <w:pPr>
        <w:spacing w:line="480" w:lineRule="exact"/>
        <w:ind w:firstLine="480" w:firstLineChars="200"/>
        <w:rPr>
          <w:rFonts w:ascii="宋体" w:hAnsi="宋体"/>
          <w:color w:val="auto"/>
          <w:sz w:val="24"/>
          <w:szCs w:val="21"/>
        </w:rPr>
      </w:pPr>
      <w:r>
        <w:rPr>
          <w:rFonts w:hint="eastAsia" w:ascii="宋体" w:hAnsi="宋体"/>
          <w:color w:val="auto"/>
          <w:sz w:val="24"/>
          <w:szCs w:val="21"/>
        </w:rPr>
        <w:t>3．投标人在收到中标通知书后未能在</w:t>
      </w:r>
      <w:r>
        <w:rPr>
          <w:rFonts w:hint="eastAsia" w:ascii="宋体" w:hAnsi="宋体"/>
          <w:color w:val="auto"/>
          <w:sz w:val="24"/>
          <w:szCs w:val="21"/>
          <w:lang w:eastAsia="zh-CN"/>
        </w:rPr>
        <w:t>磋商文件</w:t>
      </w:r>
      <w:r>
        <w:rPr>
          <w:rFonts w:hint="eastAsia" w:ascii="宋体" w:hAnsi="宋体"/>
          <w:color w:val="auto"/>
          <w:sz w:val="24"/>
          <w:szCs w:val="21"/>
        </w:rPr>
        <w:t>规定期限内向贵方提交</w:t>
      </w:r>
      <w:r>
        <w:rPr>
          <w:rFonts w:hint="eastAsia" w:ascii="宋体" w:hAnsi="宋体"/>
          <w:color w:val="auto"/>
          <w:sz w:val="24"/>
          <w:szCs w:val="21"/>
          <w:lang w:eastAsia="zh-CN"/>
        </w:rPr>
        <w:t>磋商文件</w:t>
      </w:r>
      <w:r>
        <w:rPr>
          <w:rFonts w:hint="eastAsia" w:ascii="宋体" w:hAnsi="宋体"/>
          <w:color w:val="auto"/>
          <w:sz w:val="24"/>
          <w:szCs w:val="21"/>
        </w:rPr>
        <w:t>所要求的履约担保。</w:t>
      </w:r>
    </w:p>
    <w:p>
      <w:pPr>
        <w:spacing w:line="480" w:lineRule="exact"/>
        <w:ind w:firstLine="480" w:firstLineChars="200"/>
        <w:rPr>
          <w:rFonts w:ascii="宋体" w:hAnsi="宋体"/>
          <w:color w:val="auto"/>
          <w:sz w:val="24"/>
          <w:szCs w:val="21"/>
        </w:rPr>
      </w:pPr>
      <w:r>
        <w:rPr>
          <w:rFonts w:hint="eastAsia" w:ascii="宋体" w:hAnsi="宋体"/>
          <w:color w:val="auto"/>
          <w:sz w:val="24"/>
          <w:szCs w:val="21"/>
        </w:rPr>
        <w:t>本保函在投标有效期内保持有效，除非你方提前终止或解除本保函。要求我方承担保证责任的通知应在投标有效期内送达我方。保函失效后请将本保函交投标人退回我方注销。</w:t>
      </w:r>
    </w:p>
    <w:p>
      <w:pPr>
        <w:spacing w:line="480" w:lineRule="exact"/>
        <w:ind w:firstLine="480" w:firstLineChars="200"/>
        <w:rPr>
          <w:rFonts w:ascii="宋体" w:hAnsi="宋体"/>
          <w:color w:val="auto"/>
          <w:sz w:val="24"/>
          <w:szCs w:val="21"/>
        </w:rPr>
      </w:pPr>
      <w:r>
        <w:rPr>
          <w:rFonts w:hint="eastAsia" w:ascii="宋体" w:hAnsi="宋体"/>
          <w:color w:val="auto"/>
          <w:sz w:val="24"/>
          <w:szCs w:val="21"/>
        </w:rPr>
        <w:t>本保函项下所有权利和义务均受中华人民共和国法律管辖和制约。</w:t>
      </w:r>
    </w:p>
    <w:p>
      <w:pPr>
        <w:spacing w:line="480" w:lineRule="exact"/>
        <w:rPr>
          <w:rFonts w:ascii="宋体" w:hAnsi="宋体"/>
          <w:color w:val="auto"/>
          <w:sz w:val="24"/>
          <w:szCs w:val="21"/>
        </w:rPr>
      </w:pPr>
      <w:r>
        <w:rPr>
          <w:rFonts w:hint="eastAsia" w:ascii="宋体" w:hAnsi="宋体"/>
          <w:color w:val="auto"/>
          <w:sz w:val="24"/>
          <w:szCs w:val="21"/>
        </w:rPr>
        <w:t xml:space="preserve"> </w:t>
      </w:r>
      <w:r>
        <w:rPr>
          <w:rFonts w:hint="eastAsia" w:ascii="宋体" w:hAnsi="宋体"/>
          <w:color w:val="auto"/>
          <w:sz w:val="24"/>
          <w:szCs w:val="21"/>
          <w:lang w:val="en-US" w:eastAsia="zh-CN"/>
        </w:rPr>
        <w:t xml:space="preserve">             </w:t>
      </w:r>
      <w:r>
        <w:rPr>
          <w:rFonts w:hint="eastAsia" w:ascii="宋体" w:hAnsi="宋体"/>
          <w:color w:val="auto"/>
          <w:sz w:val="24"/>
          <w:szCs w:val="21"/>
        </w:rPr>
        <w:t>担保人名称：</w:t>
      </w:r>
      <w:r>
        <w:rPr>
          <w:rFonts w:hint="eastAsia" w:ascii="宋体" w:hAnsi="宋体"/>
          <w:color w:val="auto"/>
          <w:sz w:val="24"/>
          <w:szCs w:val="21"/>
          <w:u w:val="single"/>
        </w:rPr>
        <w:t xml:space="preserve">                                </w:t>
      </w:r>
      <w:r>
        <w:rPr>
          <w:rFonts w:hint="eastAsia" w:ascii="宋体" w:hAnsi="宋体"/>
          <w:color w:val="auto"/>
          <w:sz w:val="24"/>
          <w:szCs w:val="21"/>
        </w:rPr>
        <w:t>（盖单位章）</w:t>
      </w:r>
    </w:p>
    <w:p>
      <w:pPr>
        <w:spacing w:line="480" w:lineRule="exact"/>
        <w:rPr>
          <w:rFonts w:ascii="宋体" w:hAnsi="宋体"/>
          <w:color w:val="auto"/>
          <w:sz w:val="24"/>
          <w:szCs w:val="21"/>
        </w:rPr>
      </w:pPr>
      <w:r>
        <w:rPr>
          <w:rFonts w:hint="eastAsia" w:ascii="宋体" w:hAnsi="宋体"/>
          <w:color w:val="auto"/>
          <w:sz w:val="24"/>
          <w:szCs w:val="21"/>
        </w:rPr>
        <w:t xml:space="preserve">              法定代表人或其委托代理人：</w:t>
      </w:r>
      <w:r>
        <w:rPr>
          <w:rFonts w:hint="eastAsia" w:ascii="宋体" w:hAnsi="宋体"/>
          <w:color w:val="auto"/>
          <w:sz w:val="24"/>
          <w:szCs w:val="21"/>
          <w:u w:val="single"/>
        </w:rPr>
        <w:t xml:space="preserve">                      </w:t>
      </w:r>
      <w:r>
        <w:rPr>
          <w:rFonts w:hint="eastAsia" w:ascii="宋体" w:hAnsi="宋体"/>
          <w:color w:val="auto"/>
          <w:sz w:val="24"/>
          <w:szCs w:val="21"/>
        </w:rPr>
        <w:t>（签字）</w:t>
      </w:r>
    </w:p>
    <w:p>
      <w:pPr>
        <w:spacing w:line="480" w:lineRule="exact"/>
        <w:rPr>
          <w:rFonts w:ascii="宋体" w:hAnsi="宋体"/>
          <w:color w:val="auto"/>
          <w:sz w:val="24"/>
          <w:szCs w:val="21"/>
        </w:rPr>
      </w:pPr>
      <w:r>
        <w:rPr>
          <w:rFonts w:hint="eastAsia" w:ascii="宋体" w:hAnsi="宋体"/>
          <w:color w:val="auto"/>
          <w:sz w:val="24"/>
          <w:szCs w:val="21"/>
        </w:rPr>
        <w:t xml:space="preserve">              地    址：</w:t>
      </w:r>
      <w:r>
        <w:rPr>
          <w:rFonts w:hint="eastAsia" w:ascii="宋体" w:hAnsi="宋体"/>
          <w:color w:val="auto"/>
          <w:sz w:val="24"/>
          <w:szCs w:val="21"/>
          <w:u w:val="single"/>
        </w:rPr>
        <w:t xml:space="preserve">                                            </w:t>
      </w:r>
    </w:p>
    <w:p>
      <w:pPr>
        <w:spacing w:line="480" w:lineRule="exact"/>
        <w:rPr>
          <w:rFonts w:ascii="宋体" w:hAnsi="宋体"/>
          <w:color w:val="auto"/>
          <w:sz w:val="24"/>
          <w:szCs w:val="21"/>
        </w:rPr>
      </w:pPr>
      <w:r>
        <w:rPr>
          <w:rFonts w:hint="eastAsia" w:ascii="宋体" w:hAnsi="宋体"/>
          <w:color w:val="auto"/>
          <w:sz w:val="24"/>
          <w:szCs w:val="21"/>
        </w:rPr>
        <w:t xml:space="preserve">              邮政编码：</w:t>
      </w:r>
      <w:r>
        <w:rPr>
          <w:rFonts w:hint="eastAsia" w:ascii="宋体" w:hAnsi="宋体"/>
          <w:color w:val="auto"/>
          <w:sz w:val="24"/>
          <w:szCs w:val="21"/>
          <w:u w:val="single"/>
        </w:rPr>
        <w:t xml:space="preserve">                                            </w:t>
      </w:r>
    </w:p>
    <w:p>
      <w:pPr>
        <w:spacing w:line="480" w:lineRule="exact"/>
        <w:rPr>
          <w:rFonts w:ascii="宋体" w:hAnsi="宋体"/>
          <w:color w:val="auto"/>
          <w:sz w:val="24"/>
          <w:szCs w:val="21"/>
        </w:rPr>
      </w:pPr>
      <w:r>
        <w:rPr>
          <w:rFonts w:hint="eastAsia" w:ascii="宋体" w:hAnsi="宋体"/>
          <w:color w:val="auto"/>
          <w:sz w:val="24"/>
          <w:szCs w:val="21"/>
        </w:rPr>
        <w:t xml:space="preserve">              电    话：</w:t>
      </w:r>
      <w:r>
        <w:rPr>
          <w:rFonts w:hint="eastAsia" w:ascii="宋体" w:hAnsi="宋体"/>
          <w:color w:val="auto"/>
          <w:sz w:val="24"/>
          <w:szCs w:val="21"/>
          <w:u w:val="single"/>
        </w:rPr>
        <w:t xml:space="preserve">                                            </w:t>
      </w:r>
    </w:p>
    <w:p>
      <w:pPr>
        <w:spacing w:line="480" w:lineRule="exact"/>
        <w:rPr>
          <w:rFonts w:ascii="宋体" w:hAnsi="宋体"/>
          <w:color w:val="auto"/>
          <w:sz w:val="24"/>
          <w:szCs w:val="21"/>
        </w:rPr>
      </w:pPr>
      <w:r>
        <w:rPr>
          <w:rFonts w:hint="eastAsia" w:ascii="宋体" w:hAnsi="宋体"/>
          <w:color w:val="auto"/>
          <w:sz w:val="24"/>
          <w:szCs w:val="21"/>
        </w:rPr>
        <w:t xml:space="preserve">              传    真：</w:t>
      </w:r>
      <w:r>
        <w:rPr>
          <w:rFonts w:hint="eastAsia" w:ascii="宋体" w:hAnsi="宋体"/>
          <w:color w:val="auto"/>
          <w:sz w:val="24"/>
          <w:szCs w:val="21"/>
          <w:u w:val="single"/>
        </w:rPr>
        <w:t xml:space="preserve">                                            </w:t>
      </w:r>
    </w:p>
    <w:p>
      <w:pPr>
        <w:spacing w:line="480" w:lineRule="exact"/>
        <w:jc w:val="right"/>
        <w:rPr>
          <w:rFonts w:ascii="宋体" w:hAnsi="宋体"/>
          <w:color w:val="auto"/>
          <w:sz w:val="24"/>
          <w:szCs w:val="21"/>
        </w:rPr>
      </w:pPr>
      <w:r>
        <w:rPr>
          <w:rFonts w:hint="eastAsia" w:ascii="宋体" w:hAnsi="宋体"/>
          <w:color w:val="auto"/>
          <w:sz w:val="24"/>
          <w:szCs w:val="21"/>
          <w:u w:val="single"/>
        </w:rPr>
        <w:t xml:space="preserve">          </w:t>
      </w:r>
      <w:r>
        <w:rPr>
          <w:rFonts w:hint="eastAsia" w:ascii="宋体" w:hAnsi="宋体"/>
          <w:color w:val="auto"/>
          <w:sz w:val="24"/>
          <w:szCs w:val="21"/>
        </w:rPr>
        <w:t>年</w:t>
      </w:r>
      <w:r>
        <w:rPr>
          <w:rFonts w:hint="eastAsia" w:ascii="宋体" w:hAnsi="宋体"/>
          <w:color w:val="auto"/>
          <w:sz w:val="24"/>
          <w:szCs w:val="21"/>
          <w:u w:val="single"/>
        </w:rPr>
        <w:t xml:space="preserve">       </w:t>
      </w:r>
      <w:r>
        <w:rPr>
          <w:rFonts w:hint="eastAsia" w:ascii="宋体" w:hAnsi="宋体"/>
          <w:color w:val="auto"/>
          <w:sz w:val="24"/>
          <w:szCs w:val="21"/>
        </w:rPr>
        <w:t>月</w:t>
      </w:r>
      <w:r>
        <w:rPr>
          <w:rFonts w:hint="eastAsia" w:ascii="宋体" w:hAnsi="宋体"/>
          <w:color w:val="auto"/>
          <w:sz w:val="24"/>
          <w:szCs w:val="21"/>
          <w:u w:val="single"/>
        </w:rPr>
        <w:t xml:space="preserve">       </w:t>
      </w:r>
      <w:r>
        <w:rPr>
          <w:rFonts w:hint="eastAsia" w:ascii="宋体" w:hAnsi="宋体"/>
          <w:color w:val="auto"/>
          <w:sz w:val="24"/>
          <w:szCs w:val="21"/>
        </w:rPr>
        <w:t xml:space="preserve">日      </w:t>
      </w:r>
    </w:p>
    <w:p>
      <w:pPr>
        <w:pStyle w:val="4"/>
        <w:spacing w:line="480" w:lineRule="exact"/>
        <w:jc w:val="center"/>
        <w:rPr>
          <w:rFonts w:ascii="宋体" w:hAnsi="宋体"/>
          <w:color w:val="auto"/>
          <w:sz w:val="24"/>
          <w:szCs w:val="21"/>
        </w:rPr>
      </w:pPr>
      <w:r>
        <w:rPr>
          <w:rFonts w:hint="eastAsia" w:ascii="宋体" w:hAnsi="宋体"/>
          <w:color w:val="auto"/>
          <w:sz w:val="24"/>
          <w:szCs w:val="21"/>
        </w:rPr>
        <w:t>备注：经过招标人事先的书面同意，投标人可采用招标人认可的投标保函格式，但相关内容不得背离</w:t>
      </w:r>
      <w:r>
        <w:rPr>
          <w:rFonts w:hint="eastAsia" w:ascii="宋体" w:hAnsi="宋体"/>
          <w:color w:val="auto"/>
          <w:sz w:val="24"/>
          <w:szCs w:val="21"/>
          <w:lang w:eastAsia="zh-CN"/>
        </w:rPr>
        <w:t>磋商文件</w:t>
      </w:r>
      <w:r>
        <w:rPr>
          <w:rFonts w:hint="eastAsia" w:ascii="宋体" w:hAnsi="宋体"/>
          <w:color w:val="auto"/>
          <w:sz w:val="24"/>
          <w:szCs w:val="21"/>
        </w:rPr>
        <w:t>约定的实质性内容。</w:t>
      </w:r>
    </w:p>
    <w:p>
      <w:pPr>
        <w:spacing w:line="360" w:lineRule="auto"/>
        <w:rPr>
          <w:color w:val="auto"/>
        </w:rPr>
      </w:pPr>
    </w:p>
    <w:p>
      <w:pPr>
        <w:numPr>
          <w:ilvl w:val="0"/>
          <w:numId w:val="0"/>
        </w:numPr>
        <w:spacing w:before="116" w:line="225" w:lineRule="auto"/>
        <w:jc w:val="center"/>
        <w:rPr>
          <w:rFonts w:ascii="宋体" w:hAnsi="宋体" w:eastAsia="宋体" w:cs="宋体"/>
          <w:b/>
          <w:bCs/>
          <w:color w:val="auto"/>
          <w:sz w:val="32"/>
          <w:szCs w:val="32"/>
          <w:highlight w:val="none"/>
        </w:rPr>
      </w:pPr>
      <w:r>
        <w:rPr>
          <w:rFonts w:hint="eastAsia" w:ascii="宋体" w:hAnsi="宋体" w:eastAsia="宋体" w:cs="宋体"/>
          <w:b/>
          <w:bCs/>
          <w:color w:val="auto"/>
          <w:spacing w:val="12"/>
          <w:sz w:val="32"/>
          <w:szCs w:val="32"/>
          <w:highlight w:val="none"/>
          <w:lang w:val="en-US" w:eastAsia="zh-CN"/>
        </w:rPr>
        <w:t>六.</w:t>
      </w:r>
      <w:r>
        <w:rPr>
          <w:rFonts w:ascii="宋体" w:hAnsi="宋体" w:eastAsia="宋体" w:cs="宋体"/>
          <w:b/>
          <w:bCs/>
          <w:color w:val="auto"/>
          <w:spacing w:val="12"/>
          <w:sz w:val="32"/>
          <w:szCs w:val="32"/>
          <w:highlight w:val="none"/>
        </w:rPr>
        <w:t>中</w:t>
      </w:r>
      <w:r>
        <w:rPr>
          <w:rFonts w:ascii="宋体" w:hAnsi="宋体" w:eastAsia="宋体" w:cs="宋体"/>
          <w:b/>
          <w:bCs/>
          <w:color w:val="auto"/>
          <w:spacing w:val="8"/>
          <w:sz w:val="32"/>
          <w:szCs w:val="32"/>
          <w:highlight w:val="none"/>
        </w:rPr>
        <w:t>小</w:t>
      </w:r>
      <w:r>
        <w:rPr>
          <w:rFonts w:ascii="宋体" w:hAnsi="宋体" w:eastAsia="宋体" w:cs="宋体"/>
          <w:b/>
          <w:bCs/>
          <w:color w:val="auto"/>
          <w:spacing w:val="6"/>
          <w:sz w:val="32"/>
          <w:szCs w:val="32"/>
          <w:highlight w:val="none"/>
        </w:rPr>
        <w:t>企业声明函 (工程、服务)</w:t>
      </w:r>
    </w:p>
    <w:p>
      <w:pPr>
        <w:keepNext w:val="0"/>
        <w:keepLines w:val="0"/>
        <w:pageBreakBefore w:val="0"/>
        <w:widowControl w:val="0"/>
        <w:tabs>
          <w:tab w:val="left" w:pos="193"/>
        </w:tabs>
        <w:kinsoku/>
        <w:wordWrap/>
        <w:overflowPunct/>
        <w:topLinePunct w:val="0"/>
        <w:autoSpaceDE/>
        <w:autoSpaceDN/>
        <w:bidi w:val="0"/>
        <w:adjustRightInd/>
        <w:snapToGrid/>
        <w:spacing w:before="100" w:line="520" w:lineRule="exact"/>
        <w:ind w:left="36" w:right="84" w:firstLine="64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8"/>
          <w:sz w:val="24"/>
          <w:szCs w:val="24"/>
          <w:highlight w:val="none"/>
        </w:rPr>
        <w:t>本公司郑重声明，根据《政府采购促进中</w:t>
      </w:r>
      <w:r>
        <w:rPr>
          <w:rFonts w:hint="eastAsia" w:ascii="宋体" w:hAnsi="宋体" w:eastAsia="宋体" w:cs="宋体"/>
          <w:i w:val="0"/>
          <w:iCs w:val="0"/>
          <w:color w:val="auto"/>
          <w:spacing w:val="5"/>
          <w:sz w:val="24"/>
          <w:szCs w:val="24"/>
          <w:highlight w:val="none"/>
        </w:rPr>
        <w:t>小</w:t>
      </w:r>
      <w:r>
        <w:rPr>
          <w:rFonts w:hint="eastAsia" w:ascii="宋体" w:hAnsi="宋体" w:eastAsia="宋体" w:cs="宋体"/>
          <w:i w:val="0"/>
          <w:iCs w:val="0"/>
          <w:color w:val="auto"/>
          <w:spacing w:val="-22"/>
          <w:sz w:val="24"/>
          <w:szCs w:val="24"/>
          <w:highlight w:val="none"/>
        </w:rPr>
        <w:t>企</w:t>
      </w:r>
      <w:r>
        <w:rPr>
          <w:rFonts w:hint="eastAsia" w:ascii="宋体" w:hAnsi="宋体" w:eastAsia="宋体" w:cs="宋体"/>
          <w:i w:val="0"/>
          <w:iCs w:val="0"/>
          <w:color w:val="auto"/>
          <w:spacing w:val="-12"/>
          <w:sz w:val="24"/>
          <w:szCs w:val="24"/>
          <w:highlight w:val="none"/>
        </w:rPr>
        <w:t>业</w:t>
      </w:r>
      <w:r>
        <w:rPr>
          <w:rFonts w:hint="eastAsia" w:ascii="宋体" w:hAnsi="宋体" w:eastAsia="宋体" w:cs="宋体"/>
          <w:i w:val="0"/>
          <w:iCs w:val="0"/>
          <w:color w:val="auto"/>
          <w:spacing w:val="-11"/>
          <w:sz w:val="24"/>
          <w:szCs w:val="24"/>
          <w:highlight w:val="none"/>
        </w:rPr>
        <w:t>发展管理办法》(财库 ﹝ 2020 ﹞ 46 号) 的规定，本公司</w:t>
      </w:r>
      <w:r>
        <w:rPr>
          <w:rFonts w:hint="eastAsia" w:ascii="宋体" w:hAnsi="宋体" w:eastAsia="宋体" w:cs="宋体"/>
          <w:i w:val="0"/>
          <w:iCs w:val="0"/>
          <w:color w:val="auto"/>
          <w:spacing w:val="-5"/>
          <w:sz w:val="24"/>
          <w:szCs w:val="24"/>
          <w:highlight w:val="none"/>
        </w:rPr>
        <w:t>参加</w:t>
      </w:r>
      <w:r>
        <w:rPr>
          <w:rFonts w:hint="eastAsia" w:ascii="宋体" w:hAnsi="宋体" w:eastAsia="宋体" w:cs="宋体"/>
          <w:i w:val="0"/>
          <w:iCs w:val="0"/>
          <w:color w:val="auto"/>
          <w:spacing w:val="-5"/>
          <w:sz w:val="24"/>
          <w:szCs w:val="24"/>
          <w:highlight w:val="none"/>
          <w:u w:val="single" w:color="auto"/>
        </w:rPr>
        <w:t xml:space="preserve"> (单位名称) </w:t>
      </w:r>
      <w:r>
        <w:rPr>
          <w:rFonts w:hint="eastAsia" w:ascii="宋体" w:hAnsi="宋体" w:eastAsia="宋体" w:cs="宋体"/>
          <w:i w:val="0"/>
          <w:iCs w:val="0"/>
          <w:color w:val="auto"/>
          <w:spacing w:val="-5"/>
          <w:sz w:val="24"/>
          <w:szCs w:val="24"/>
          <w:highlight w:val="none"/>
        </w:rPr>
        <w:t xml:space="preserve"> 的</w:t>
      </w:r>
      <w:r>
        <w:rPr>
          <w:rFonts w:hint="eastAsia" w:ascii="宋体" w:hAnsi="宋体" w:eastAsia="宋体" w:cs="宋体"/>
          <w:i w:val="0"/>
          <w:iCs w:val="0"/>
          <w:color w:val="auto"/>
          <w:spacing w:val="-5"/>
          <w:sz w:val="24"/>
          <w:szCs w:val="24"/>
          <w:highlight w:val="none"/>
          <w:u w:val="single" w:color="auto"/>
        </w:rPr>
        <w:t xml:space="preserve"> (项目名称) </w:t>
      </w:r>
      <w:r>
        <w:rPr>
          <w:rFonts w:hint="eastAsia" w:ascii="宋体" w:hAnsi="宋体" w:eastAsia="宋体" w:cs="宋体"/>
          <w:i w:val="0"/>
          <w:iCs w:val="0"/>
          <w:color w:val="auto"/>
          <w:spacing w:val="-5"/>
          <w:sz w:val="24"/>
          <w:szCs w:val="24"/>
          <w:highlight w:val="none"/>
        </w:rPr>
        <w:t>采购活动，工</w:t>
      </w:r>
      <w:r>
        <w:rPr>
          <w:rFonts w:hint="eastAsia" w:ascii="宋体" w:hAnsi="宋体" w:eastAsia="宋体" w:cs="宋体"/>
          <w:i w:val="0"/>
          <w:iCs w:val="0"/>
          <w:color w:val="auto"/>
          <w:spacing w:val="13"/>
          <w:sz w:val="24"/>
          <w:szCs w:val="24"/>
          <w:highlight w:val="none"/>
        </w:rPr>
        <w:t>程</w:t>
      </w:r>
      <w:r>
        <w:rPr>
          <w:rFonts w:hint="eastAsia" w:ascii="宋体" w:hAnsi="宋体" w:eastAsia="宋体" w:cs="宋体"/>
          <w:i w:val="0"/>
          <w:iCs w:val="0"/>
          <w:color w:val="auto"/>
          <w:spacing w:val="8"/>
          <w:sz w:val="24"/>
          <w:szCs w:val="24"/>
          <w:highlight w:val="none"/>
        </w:rPr>
        <w:t>的施工单位全部为符合政策要求的中小企业。相关企业的具体情</w:t>
      </w:r>
      <w:r>
        <w:rPr>
          <w:rFonts w:hint="eastAsia" w:ascii="宋体" w:hAnsi="宋体" w:eastAsia="宋体" w:cs="宋体"/>
          <w:i w:val="0"/>
          <w:iCs w:val="0"/>
          <w:color w:val="auto"/>
          <w:spacing w:val="2"/>
          <w:sz w:val="24"/>
          <w:szCs w:val="24"/>
          <w:highlight w:val="none"/>
        </w:rPr>
        <w:t>况如下</w:t>
      </w:r>
      <w:r>
        <w:rPr>
          <w:rFonts w:hint="eastAsia" w:ascii="宋体" w:hAnsi="宋体" w:eastAsia="宋体" w:cs="宋体"/>
          <w:i w:val="0"/>
          <w:iCs w:val="0"/>
          <w:color w:val="auto"/>
          <w:spacing w:val="1"/>
          <w:sz w:val="24"/>
          <w:szCs w:val="24"/>
          <w:highlight w:val="none"/>
        </w:rPr>
        <w:t>：</w:t>
      </w:r>
    </w:p>
    <w:p>
      <w:pPr>
        <w:keepNext w:val="0"/>
        <w:keepLines w:val="0"/>
        <w:pageBreakBefore w:val="0"/>
        <w:widowControl w:val="0"/>
        <w:tabs>
          <w:tab w:val="left" w:pos="193"/>
        </w:tabs>
        <w:kinsoku/>
        <w:wordWrap/>
        <w:overflowPunct/>
        <w:topLinePunct w:val="0"/>
        <w:autoSpaceDE/>
        <w:autoSpaceDN/>
        <w:bidi w:val="0"/>
        <w:adjustRightInd/>
        <w:snapToGrid/>
        <w:spacing w:before="100" w:line="520" w:lineRule="exact"/>
        <w:ind w:left="36" w:right="84" w:firstLine="640"/>
        <w:jc w:val="left"/>
        <w:textAlignment w:val="auto"/>
        <w:rPr>
          <w:rFonts w:hint="eastAsia" w:ascii="宋体" w:hAnsi="宋体" w:eastAsia="宋体" w:cs="宋体"/>
          <w:i w:val="0"/>
          <w:iCs w:val="0"/>
          <w:color w:val="auto"/>
          <w:spacing w:val="-11"/>
          <w:sz w:val="24"/>
          <w:szCs w:val="24"/>
          <w:highlight w:val="none"/>
        </w:rPr>
      </w:pPr>
      <w:r>
        <w:rPr>
          <w:rFonts w:hint="eastAsia" w:ascii="宋体" w:hAnsi="宋体" w:eastAsia="宋体" w:cs="宋体"/>
          <w:i w:val="0"/>
          <w:iCs w:val="0"/>
          <w:color w:val="auto"/>
          <w:spacing w:val="-11"/>
          <w:sz w:val="24"/>
          <w:szCs w:val="24"/>
          <w:highlight w:val="none"/>
        </w:rPr>
        <w:t xml:space="preserve">1. </w:t>
      </w:r>
      <w:r>
        <w:rPr>
          <w:rFonts w:hint="eastAsia" w:ascii="宋体" w:hAnsi="宋体" w:eastAsia="宋体" w:cs="宋体"/>
          <w:i w:val="0"/>
          <w:iCs w:val="0"/>
          <w:color w:val="auto"/>
          <w:spacing w:val="-11"/>
          <w:sz w:val="24"/>
          <w:szCs w:val="24"/>
          <w:highlight w:val="none"/>
          <w:u w:val="single"/>
        </w:rPr>
        <w:t>(标的名称)</w:t>
      </w:r>
      <w:r>
        <w:rPr>
          <w:rFonts w:hint="eastAsia" w:ascii="宋体" w:hAnsi="宋体" w:eastAsia="宋体" w:cs="宋体"/>
          <w:i w:val="0"/>
          <w:iCs w:val="0"/>
          <w:color w:val="auto"/>
          <w:spacing w:val="-11"/>
          <w:sz w:val="24"/>
          <w:szCs w:val="24"/>
          <w:highlight w:val="none"/>
        </w:rPr>
        <w:t xml:space="preserve"> ，属于</w:t>
      </w:r>
      <w:r>
        <w:rPr>
          <w:rFonts w:hint="eastAsia" w:ascii="宋体" w:hAnsi="宋体" w:eastAsia="宋体" w:cs="宋体"/>
          <w:i w:val="0"/>
          <w:iCs w:val="0"/>
          <w:color w:val="auto"/>
          <w:spacing w:val="-11"/>
          <w:sz w:val="24"/>
          <w:szCs w:val="24"/>
          <w:highlight w:val="none"/>
          <w:u w:val="single"/>
        </w:rPr>
        <w:t>(采购文件中明确的所属行业)</w:t>
      </w:r>
      <w:r>
        <w:rPr>
          <w:rFonts w:hint="eastAsia" w:ascii="宋体" w:hAnsi="宋体" w:eastAsia="宋体" w:cs="宋体"/>
          <w:i w:val="0"/>
          <w:iCs w:val="0"/>
          <w:color w:val="auto"/>
          <w:spacing w:val="-11"/>
          <w:sz w:val="24"/>
          <w:szCs w:val="24"/>
          <w:highlight w:val="none"/>
        </w:rPr>
        <w:t>；</w:t>
      </w:r>
      <w:r>
        <w:rPr>
          <w:rFonts w:hint="eastAsia" w:ascii="宋体" w:hAnsi="宋体" w:eastAsia="宋体" w:cs="宋体"/>
          <w:i w:val="0"/>
          <w:iCs w:val="0"/>
          <w:color w:val="auto"/>
          <w:spacing w:val="-11"/>
          <w:sz w:val="24"/>
          <w:szCs w:val="24"/>
          <w:highlight w:val="none"/>
          <w:u w:val="none"/>
        </w:rPr>
        <w:t>承建企业</w:t>
      </w:r>
      <w:r>
        <w:rPr>
          <w:rFonts w:hint="eastAsia" w:ascii="宋体" w:hAnsi="宋体" w:eastAsia="宋体" w:cs="宋体"/>
          <w:i w:val="0"/>
          <w:iCs w:val="0"/>
          <w:color w:val="auto"/>
          <w:spacing w:val="-11"/>
          <w:sz w:val="24"/>
          <w:szCs w:val="24"/>
          <w:highlight w:val="none"/>
        </w:rPr>
        <w:t>为</w:t>
      </w:r>
      <w:r>
        <w:rPr>
          <w:rFonts w:hint="eastAsia" w:ascii="宋体" w:hAnsi="宋体" w:eastAsia="宋体" w:cs="宋体"/>
          <w:i w:val="0"/>
          <w:iCs w:val="0"/>
          <w:color w:val="auto"/>
          <w:spacing w:val="-11"/>
          <w:sz w:val="24"/>
          <w:szCs w:val="24"/>
          <w:highlight w:val="none"/>
          <w:u w:val="single"/>
          <w:lang w:val="en-US" w:eastAsia="zh-CN"/>
        </w:rPr>
        <w:t xml:space="preserve">      </w:t>
      </w:r>
      <w:r>
        <w:rPr>
          <w:rFonts w:hint="eastAsia" w:ascii="宋体" w:hAnsi="宋体" w:eastAsia="宋体" w:cs="宋体"/>
          <w:i w:val="0"/>
          <w:iCs w:val="0"/>
          <w:color w:val="auto"/>
          <w:spacing w:val="-11"/>
          <w:sz w:val="24"/>
          <w:szCs w:val="24"/>
          <w:highlight w:val="none"/>
        </w:rPr>
        <w:t xml:space="preserve">(企业名称)，从业人员 </w:t>
      </w:r>
      <w:r>
        <w:rPr>
          <w:rFonts w:hint="eastAsia" w:ascii="宋体" w:hAnsi="宋体" w:eastAsia="宋体" w:cs="宋体"/>
          <w:i w:val="0"/>
          <w:iCs w:val="0"/>
          <w:color w:val="auto"/>
          <w:spacing w:val="-11"/>
          <w:sz w:val="24"/>
          <w:szCs w:val="24"/>
          <w:highlight w:val="none"/>
          <w:u w:val="single"/>
        </w:rPr>
        <w:t xml:space="preserve">   </w:t>
      </w:r>
      <w:r>
        <w:rPr>
          <w:rFonts w:hint="eastAsia" w:ascii="宋体" w:hAnsi="宋体" w:eastAsia="宋体" w:cs="宋体"/>
          <w:i w:val="0"/>
          <w:iCs w:val="0"/>
          <w:color w:val="auto"/>
          <w:spacing w:val="-11"/>
          <w:sz w:val="24"/>
          <w:szCs w:val="24"/>
          <w:highlight w:val="none"/>
        </w:rPr>
        <w:t xml:space="preserve">人，营业收入为 </w:t>
      </w:r>
      <w:r>
        <w:rPr>
          <w:rFonts w:hint="eastAsia" w:ascii="宋体" w:hAnsi="宋体" w:eastAsia="宋体" w:cs="宋体"/>
          <w:i w:val="0"/>
          <w:iCs w:val="0"/>
          <w:color w:val="auto"/>
          <w:spacing w:val="-11"/>
          <w:sz w:val="24"/>
          <w:szCs w:val="24"/>
          <w:highlight w:val="none"/>
          <w:u w:val="single"/>
        </w:rPr>
        <w:t xml:space="preserve">  </w:t>
      </w:r>
      <w:r>
        <w:rPr>
          <w:rFonts w:hint="eastAsia" w:ascii="宋体" w:hAnsi="宋体" w:eastAsia="宋体" w:cs="宋体"/>
          <w:i w:val="0"/>
          <w:iCs w:val="0"/>
          <w:color w:val="auto"/>
          <w:spacing w:val="-11"/>
          <w:sz w:val="24"/>
          <w:szCs w:val="24"/>
          <w:highlight w:val="none"/>
        </w:rPr>
        <w:t xml:space="preserve"> 万元，资产总额为</w:t>
      </w:r>
      <w:r>
        <w:rPr>
          <w:rFonts w:hint="eastAsia" w:ascii="宋体" w:hAnsi="宋体" w:eastAsia="宋体" w:cs="宋体"/>
          <w:i w:val="0"/>
          <w:iCs w:val="0"/>
          <w:color w:val="auto"/>
          <w:spacing w:val="-11"/>
          <w:sz w:val="24"/>
          <w:szCs w:val="24"/>
          <w:highlight w:val="none"/>
          <w:u w:val="single"/>
        </w:rPr>
        <w:t xml:space="preserve">   </w:t>
      </w:r>
      <w:r>
        <w:rPr>
          <w:rFonts w:hint="eastAsia" w:ascii="宋体" w:hAnsi="宋体" w:eastAsia="宋体" w:cs="宋体"/>
          <w:i w:val="0"/>
          <w:iCs w:val="0"/>
          <w:color w:val="auto"/>
          <w:spacing w:val="-11"/>
          <w:sz w:val="24"/>
          <w:szCs w:val="24"/>
          <w:highlight w:val="none"/>
        </w:rPr>
        <w:t xml:space="preserve"> 万元 ，属于</w:t>
      </w:r>
      <w:r>
        <w:rPr>
          <w:rFonts w:hint="eastAsia" w:ascii="宋体" w:hAnsi="宋体" w:eastAsia="宋体" w:cs="宋体"/>
          <w:i w:val="0"/>
          <w:iCs w:val="0"/>
          <w:color w:val="auto"/>
          <w:spacing w:val="-11"/>
          <w:sz w:val="24"/>
          <w:szCs w:val="24"/>
          <w:highlight w:val="none"/>
          <w:u w:val="single"/>
          <w:lang w:val="en-US" w:eastAsia="zh-CN"/>
        </w:rPr>
        <w:t xml:space="preserve">    </w:t>
      </w:r>
      <w:r>
        <w:rPr>
          <w:rFonts w:hint="eastAsia" w:ascii="宋体" w:hAnsi="宋体" w:eastAsia="宋体" w:cs="宋体"/>
          <w:i w:val="0"/>
          <w:iCs w:val="0"/>
          <w:color w:val="auto"/>
          <w:spacing w:val="-11"/>
          <w:sz w:val="24"/>
          <w:szCs w:val="24"/>
          <w:highlight w:val="none"/>
        </w:rPr>
        <w:t>(中型企业、小型企业、微型企业)；</w:t>
      </w:r>
    </w:p>
    <w:p>
      <w:pPr>
        <w:keepNext w:val="0"/>
        <w:keepLines w:val="0"/>
        <w:pageBreakBefore w:val="0"/>
        <w:widowControl w:val="0"/>
        <w:kinsoku/>
        <w:wordWrap/>
        <w:overflowPunct/>
        <w:topLinePunct w:val="0"/>
        <w:autoSpaceDE/>
        <w:autoSpaceDN/>
        <w:bidi w:val="0"/>
        <w:adjustRightInd/>
        <w:snapToGrid/>
        <w:spacing w:before="133" w:line="520" w:lineRule="exact"/>
        <w:ind w:left="18" w:firstLine="651"/>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3"/>
          <w:sz w:val="24"/>
          <w:szCs w:val="24"/>
          <w:highlight w:val="none"/>
        </w:rPr>
        <w:t>2.</w:t>
      </w:r>
      <w:r>
        <w:rPr>
          <w:rFonts w:hint="eastAsia" w:ascii="宋体" w:hAnsi="宋体" w:eastAsia="宋体" w:cs="宋体"/>
          <w:i w:val="0"/>
          <w:iCs w:val="0"/>
          <w:color w:val="auto"/>
          <w:spacing w:val="-3"/>
          <w:sz w:val="24"/>
          <w:szCs w:val="24"/>
          <w:highlight w:val="none"/>
          <w:u w:val="single" w:color="auto"/>
        </w:rPr>
        <w:t xml:space="preserve"> (标的名称) </w:t>
      </w:r>
      <w:r>
        <w:rPr>
          <w:rFonts w:hint="eastAsia" w:ascii="宋体" w:hAnsi="宋体" w:eastAsia="宋体" w:cs="宋体"/>
          <w:i w:val="0"/>
          <w:iCs w:val="0"/>
          <w:color w:val="auto"/>
          <w:spacing w:val="-3"/>
          <w:sz w:val="24"/>
          <w:szCs w:val="24"/>
          <w:highlight w:val="none"/>
        </w:rPr>
        <w:t>，属于</w:t>
      </w:r>
      <w:r>
        <w:rPr>
          <w:rFonts w:hint="eastAsia" w:ascii="宋体" w:hAnsi="宋体" w:eastAsia="宋体" w:cs="宋体"/>
          <w:i w:val="0"/>
          <w:iCs w:val="0"/>
          <w:color w:val="auto"/>
          <w:spacing w:val="-3"/>
          <w:sz w:val="24"/>
          <w:szCs w:val="24"/>
          <w:highlight w:val="none"/>
          <w:u w:val="single" w:color="auto"/>
        </w:rPr>
        <w:t>(采购文件中明确的所属行业</w:t>
      </w:r>
      <w:r>
        <w:rPr>
          <w:rFonts w:hint="eastAsia" w:ascii="宋体" w:hAnsi="宋体" w:eastAsia="宋体" w:cs="宋体"/>
          <w:i w:val="0"/>
          <w:iCs w:val="0"/>
          <w:color w:val="auto"/>
          <w:spacing w:val="-3"/>
          <w:sz w:val="24"/>
          <w:szCs w:val="24"/>
          <w:highlight w:val="none"/>
        </w:rPr>
        <w:t>)；</w:t>
      </w:r>
      <w:r>
        <w:rPr>
          <w:rFonts w:hint="eastAsia" w:ascii="宋体" w:hAnsi="宋体" w:eastAsia="宋体" w:cs="宋体"/>
          <w:i w:val="0"/>
          <w:iCs w:val="0"/>
          <w:color w:val="auto"/>
          <w:spacing w:val="14"/>
          <w:sz w:val="24"/>
          <w:szCs w:val="24"/>
          <w:highlight w:val="none"/>
        </w:rPr>
        <w:t>承</w:t>
      </w:r>
      <w:r>
        <w:rPr>
          <w:rFonts w:hint="eastAsia" w:ascii="宋体" w:hAnsi="宋体" w:eastAsia="宋体" w:cs="宋体"/>
          <w:i w:val="0"/>
          <w:iCs w:val="0"/>
          <w:color w:val="auto"/>
          <w:spacing w:val="9"/>
          <w:sz w:val="24"/>
          <w:szCs w:val="24"/>
          <w:highlight w:val="none"/>
        </w:rPr>
        <w:t>建企业为</w:t>
      </w:r>
      <w:r>
        <w:rPr>
          <w:rFonts w:hint="eastAsia" w:ascii="宋体" w:hAnsi="宋体" w:eastAsia="宋体" w:cs="宋体"/>
          <w:i w:val="0"/>
          <w:iCs w:val="0"/>
          <w:color w:val="auto"/>
          <w:spacing w:val="9"/>
          <w:sz w:val="24"/>
          <w:szCs w:val="24"/>
          <w:highlight w:val="none"/>
          <w:u w:val="single" w:color="auto"/>
        </w:rPr>
        <w:t xml:space="preserve"> </w:t>
      </w:r>
      <w:r>
        <w:rPr>
          <w:rFonts w:hint="eastAsia" w:ascii="宋体" w:hAnsi="宋体" w:eastAsia="宋体" w:cs="宋体"/>
          <w:i w:val="0"/>
          <w:iCs w:val="0"/>
          <w:color w:val="auto"/>
          <w:spacing w:val="9"/>
          <w:sz w:val="24"/>
          <w:szCs w:val="24"/>
          <w:highlight w:val="none"/>
          <w:u w:val="single" w:color="auto"/>
          <w:lang w:val="en-US" w:eastAsia="zh-CN"/>
        </w:rPr>
        <w:t xml:space="preserve">   </w:t>
      </w:r>
      <w:r>
        <w:rPr>
          <w:rFonts w:hint="eastAsia" w:ascii="宋体" w:hAnsi="宋体" w:eastAsia="宋体" w:cs="宋体"/>
          <w:i w:val="0"/>
          <w:iCs w:val="0"/>
          <w:color w:val="auto"/>
          <w:spacing w:val="9"/>
          <w:sz w:val="24"/>
          <w:szCs w:val="24"/>
          <w:highlight w:val="none"/>
          <w:u w:val="single" w:color="auto"/>
        </w:rPr>
        <w:t>(企业名称</w:t>
      </w:r>
      <w:r>
        <w:rPr>
          <w:rFonts w:hint="eastAsia" w:ascii="宋体" w:hAnsi="宋体" w:eastAsia="宋体" w:cs="宋体"/>
          <w:i w:val="0"/>
          <w:iCs w:val="0"/>
          <w:color w:val="auto"/>
          <w:spacing w:val="9"/>
          <w:sz w:val="24"/>
          <w:szCs w:val="24"/>
          <w:highlight w:val="none"/>
        </w:rPr>
        <w:t>)，从业人员</w:t>
      </w:r>
      <w:r>
        <w:rPr>
          <w:rFonts w:hint="eastAsia" w:ascii="宋体" w:hAnsi="宋体" w:eastAsia="宋体" w:cs="宋体"/>
          <w:i w:val="0"/>
          <w:iCs w:val="0"/>
          <w:color w:val="auto"/>
          <w:spacing w:val="9"/>
          <w:sz w:val="24"/>
          <w:szCs w:val="24"/>
          <w:highlight w:val="none"/>
          <w:u w:val="single" w:color="auto"/>
        </w:rPr>
        <w:t xml:space="preserve">    </w:t>
      </w:r>
      <w:r>
        <w:rPr>
          <w:rFonts w:hint="eastAsia" w:ascii="宋体" w:hAnsi="宋体" w:eastAsia="宋体" w:cs="宋体"/>
          <w:i w:val="0"/>
          <w:iCs w:val="0"/>
          <w:color w:val="auto"/>
          <w:spacing w:val="9"/>
          <w:sz w:val="24"/>
          <w:szCs w:val="24"/>
          <w:highlight w:val="none"/>
        </w:rPr>
        <w:t>人，营业</w:t>
      </w: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pacing w:val="4"/>
          <w:sz w:val="24"/>
          <w:szCs w:val="24"/>
          <w:highlight w:val="none"/>
        </w:rPr>
        <w:t>收入为</w:t>
      </w:r>
      <w:r>
        <w:rPr>
          <w:rFonts w:hint="eastAsia" w:ascii="宋体" w:hAnsi="宋体" w:eastAsia="宋体" w:cs="宋体"/>
          <w:i w:val="0"/>
          <w:iCs w:val="0"/>
          <w:color w:val="auto"/>
          <w:spacing w:val="4"/>
          <w:sz w:val="24"/>
          <w:szCs w:val="24"/>
          <w:highlight w:val="none"/>
          <w:u w:val="single" w:color="auto"/>
        </w:rPr>
        <w:t xml:space="preserve">    </w:t>
      </w:r>
      <w:r>
        <w:rPr>
          <w:rFonts w:hint="eastAsia" w:ascii="宋体" w:hAnsi="宋体" w:eastAsia="宋体" w:cs="宋体"/>
          <w:i w:val="0"/>
          <w:iCs w:val="0"/>
          <w:color w:val="auto"/>
          <w:spacing w:val="4"/>
          <w:sz w:val="24"/>
          <w:szCs w:val="24"/>
          <w:highlight w:val="none"/>
        </w:rPr>
        <w:t>万元，资产总额为</w:t>
      </w:r>
      <w:r>
        <w:rPr>
          <w:rFonts w:hint="eastAsia" w:ascii="宋体" w:hAnsi="宋体" w:eastAsia="宋体" w:cs="宋体"/>
          <w:i w:val="0"/>
          <w:iCs w:val="0"/>
          <w:color w:val="auto"/>
          <w:spacing w:val="4"/>
          <w:sz w:val="24"/>
          <w:szCs w:val="24"/>
          <w:highlight w:val="none"/>
          <w:u w:val="single" w:color="auto"/>
        </w:rPr>
        <w:t xml:space="preserve">    </w:t>
      </w:r>
      <w:r>
        <w:rPr>
          <w:rFonts w:hint="eastAsia" w:ascii="宋体" w:hAnsi="宋体" w:eastAsia="宋体" w:cs="宋体"/>
          <w:i w:val="0"/>
          <w:iCs w:val="0"/>
          <w:color w:val="auto"/>
          <w:spacing w:val="4"/>
          <w:sz w:val="24"/>
          <w:szCs w:val="24"/>
          <w:highlight w:val="none"/>
        </w:rPr>
        <w:t>万元，属于</w:t>
      </w:r>
      <w:r>
        <w:rPr>
          <w:rFonts w:hint="eastAsia" w:ascii="宋体" w:hAnsi="宋体" w:eastAsia="宋体" w:cs="宋体"/>
          <w:i w:val="0"/>
          <w:iCs w:val="0"/>
          <w:color w:val="auto"/>
          <w:spacing w:val="4"/>
          <w:sz w:val="24"/>
          <w:szCs w:val="24"/>
          <w:highlight w:val="none"/>
          <w:u w:val="single" w:color="auto"/>
        </w:rPr>
        <w:t xml:space="preserve"> </w:t>
      </w:r>
      <w:r>
        <w:rPr>
          <w:rFonts w:hint="eastAsia" w:ascii="宋体" w:hAnsi="宋体" w:eastAsia="宋体" w:cs="宋体"/>
          <w:i w:val="0"/>
          <w:iCs w:val="0"/>
          <w:color w:val="auto"/>
          <w:spacing w:val="4"/>
          <w:sz w:val="24"/>
          <w:szCs w:val="24"/>
          <w:highlight w:val="none"/>
          <w:u w:val="single" w:color="auto"/>
          <w:lang w:val="en-US" w:eastAsia="zh-CN"/>
        </w:rPr>
        <w:t xml:space="preserve">     </w:t>
      </w:r>
      <w:r>
        <w:rPr>
          <w:rFonts w:hint="eastAsia" w:ascii="宋体" w:hAnsi="宋体" w:eastAsia="宋体" w:cs="宋体"/>
          <w:i w:val="0"/>
          <w:iCs w:val="0"/>
          <w:color w:val="auto"/>
          <w:spacing w:val="4"/>
          <w:sz w:val="24"/>
          <w:szCs w:val="24"/>
          <w:highlight w:val="none"/>
          <w:u w:val="single" w:color="auto"/>
        </w:rPr>
        <w:t>(</w:t>
      </w:r>
      <w:r>
        <w:rPr>
          <w:rFonts w:hint="eastAsia" w:ascii="宋体" w:hAnsi="宋体" w:eastAsia="宋体" w:cs="宋体"/>
          <w:i w:val="0"/>
          <w:iCs w:val="0"/>
          <w:color w:val="auto"/>
          <w:spacing w:val="4"/>
          <w:sz w:val="24"/>
          <w:szCs w:val="24"/>
          <w:highlight w:val="none"/>
          <w:u w:val="none" w:color="auto"/>
        </w:rPr>
        <w:t>中型企业</w:t>
      </w:r>
      <w:r>
        <w:rPr>
          <w:rFonts w:hint="eastAsia" w:ascii="宋体" w:hAnsi="宋体" w:eastAsia="宋体" w:cs="宋体"/>
          <w:i w:val="0"/>
          <w:iCs w:val="0"/>
          <w:color w:val="auto"/>
          <w:spacing w:val="1"/>
          <w:sz w:val="24"/>
          <w:szCs w:val="24"/>
          <w:highlight w:val="none"/>
          <w:u w:val="none" w:color="auto"/>
        </w:rPr>
        <w:t>、</w:t>
      </w:r>
      <w:r>
        <w:rPr>
          <w:rFonts w:hint="eastAsia" w:ascii="宋体" w:hAnsi="宋体" w:eastAsia="宋体" w:cs="宋体"/>
          <w:i w:val="0"/>
          <w:iCs w:val="0"/>
          <w:color w:val="auto"/>
          <w:sz w:val="24"/>
          <w:szCs w:val="24"/>
          <w:highlight w:val="none"/>
          <w:u w:val="none" w:color="auto"/>
        </w:rPr>
        <w:t xml:space="preserve"> </w:t>
      </w:r>
      <w:r>
        <w:rPr>
          <w:rFonts w:hint="eastAsia" w:ascii="宋体" w:hAnsi="宋体" w:eastAsia="宋体" w:cs="宋体"/>
          <w:i w:val="0"/>
          <w:iCs w:val="0"/>
          <w:color w:val="auto"/>
          <w:spacing w:val="-4"/>
          <w:sz w:val="24"/>
          <w:szCs w:val="24"/>
          <w:highlight w:val="none"/>
          <w:u w:val="none" w:color="auto"/>
        </w:rPr>
        <w:t>小</w:t>
      </w:r>
      <w:r>
        <w:rPr>
          <w:rFonts w:hint="eastAsia" w:ascii="宋体" w:hAnsi="宋体" w:eastAsia="宋体" w:cs="宋体"/>
          <w:i w:val="0"/>
          <w:iCs w:val="0"/>
          <w:color w:val="auto"/>
          <w:spacing w:val="-3"/>
          <w:sz w:val="24"/>
          <w:szCs w:val="24"/>
          <w:highlight w:val="none"/>
          <w:u w:val="none" w:color="auto"/>
        </w:rPr>
        <w:t>型企业、微型企业)；</w:t>
      </w:r>
    </w:p>
    <w:p>
      <w:pPr>
        <w:keepNext w:val="0"/>
        <w:keepLines w:val="0"/>
        <w:pageBreakBefore w:val="0"/>
        <w:widowControl w:val="0"/>
        <w:kinsoku/>
        <w:wordWrap/>
        <w:overflowPunct/>
        <w:topLinePunct w:val="0"/>
        <w:autoSpaceDE/>
        <w:autoSpaceDN/>
        <w:bidi w:val="0"/>
        <w:adjustRightInd/>
        <w:snapToGrid/>
        <w:spacing w:line="520" w:lineRule="exact"/>
        <w:ind w:left="688"/>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5"/>
          <w:position w:val="4"/>
          <w:sz w:val="24"/>
          <w:szCs w:val="24"/>
          <w:highlight w:val="none"/>
        </w:rPr>
        <w:t>…</w:t>
      </w:r>
      <w:r>
        <w:rPr>
          <w:rFonts w:hint="eastAsia" w:ascii="宋体" w:hAnsi="宋体" w:eastAsia="宋体" w:cs="宋体"/>
          <w:i w:val="0"/>
          <w:iCs w:val="0"/>
          <w:color w:val="auto"/>
          <w:spacing w:val="4"/>
          <w:position w:val="4"/>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13" w:line="520" w:lineRule="exact"/>
        <w:ind w:left="35" w:right="86" w:firstLine="678"/>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7"/>
          <w:sz w:val="24"/>
          <w:szCs w:val="24"/>
          <w:highlight w:val="none"/>
        </w:rPr>
        <w:t>以上企业，不属于大企业的分支机构，不存在控股股</w:t>
      </w:r>
      <w:r>
        <w:rPr>
          <w:rFonts w:hint="eastAsia" w:ascii="宋体" w:hAnsi="宋体" w:eastAsia="宋体" w:cs="宋体"/>
          <w:i w:val="0"/>
          <w:iCs w:val="0"/>
          <w:color w:val="auto"/>
          <w:spacing w:val="3"/>
          <w:sz w:val="24"/>
          <w:szCs w:val="24"/>
          <w:highlight w:val="none"/>
        </w:rPr>
        <w:t>东</w:t>
      </w:r>
      <w:r>
        <w:rPr>
          <w:rFonts w:hint="eastAsia" w:ascii="宋体" w:hAnsi="宋体" w:eastAsia="宋体" w:cs="宋体"/>
          <w:i w:val="0"/>
          <w:iCs w:val="0"/>
          <w:color w:val="auto"/>
          <w:spacing w:val="16"/>
          <w:sz w:val="24"/>
          <w:szCs w:val="24"/>
          <w:highlight w:val="none"/>
        </w:rPr>
        <w:t>为大</w:t>
      </w:r>
      <w:r>
        <w:rPr>
          <w:rFonts w:hint="eastAsia" w:ascii="宋体" w:hAnsi="宋体" w:eastAsia="宋体" w:cs="宋体"/>
          <w:i w:val="0"/>
          <w:iCs w:val="0"/>
          <w:color w:val="auto"/>
          <w:spacing w:val="8"/>
          <w:sz w:val="24"/>
          <w:szCs w:val="24"/>
          <w:highlight w:val="none"/>
        </w:rPr>
        <w:t>企业的情形，也不存在与大企业的负责人为同一人的情</w:t>
      </w:r>
      <w:r>
        <w:rPr>
          <w:rFonts w:hint="eastAsia" w:ascii="宋体" w:hAnsi="宋体" w:eastAsia="宋体" w:cs="宋体"/>
          <w:i w:val="0"/>
          <w:iCs w:val="0"/>
          <w:color w:val="auto"/>
          <w:spacing w:val="-7"/>
          <w:sz w:val="24"/>
          <w:szCs w:val="24"/>
          <w:highlight w:val="none"/>
        </w:rPr>
        <w:t>形</w:t>
      </w:r>
      <w:r>
        <w:rPr>
          <w:rFonts w:hint="eastAsia" w:ascii="宋体" w:hAnsi="宋体" w:eastAsia="宋体" w:cs="宋体"/>
          <w:i w:val="0"/>
          <w:iCs w:val="0"/>
          <w:color w:val="auto"/>
          <w:spacing w:val="-6"/>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1" w:line="520" w:lineRule="exact"/>
        <w:ind w:left="45" w:right="88" w:firstLine="631"/>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16"/>
          <w:sz w:val="24"/>
          <w:szCs w:val="24"/>
          <w:highlight w:val="none"/>
        </w:rPr>
        <w:t>本</w:t>
      </w:r>
      <w:r>
        <w:rPr>
          <w:rFonts w:hint="eastAsia" w:ascii="宋体" w:hAnsi="宋体" w:eastAsia="宋体" w:cs="宋体"/>
          <w:i w:val="0"/>
          <w:iCs w:val="0"/>
          <w:color w:val="auto"/>
          <w:spacing w:val="8"/>
          <w:sz w:val="24"/>
          <w:szCs w:val="24"/>
          <w:highlight w:val="none"/>
        </w:rPr>
        <w:t>企业对上述声明内容的真实性负责。如有虚假，将依法</w:t>
      </w:r>
      <w:r>
        <w:rPr>
          <w:rFonts w:hint="eastAsia" w:ascii="宋体" w:hAnsi="宋体" w:eastAsia="宋体" w:cs="宋体"/>
          <w:i w:val="0"/>
          <w:iCs w:val="0"/>
          <w:color w:val="auto"/>
          <w:spacing w:val="5"/>
          <w:sz w:val="24"/>
          <w:szCs w:val="24"/>
          <w:highlight w:val="none"/>
        </w:rPr>
        <w:t>承</w:t>
      </w:r>
      <w:r>
        <w:rPr>
          <w:rFonts w:hint="eastAsia" w:ascii="宋体" w:hAnsi="宋体" w:eastAsia="宋体" w:cs="宋体"/>
          <w:i w:val="0"/>
          <w:iCs w:val="0"/>
          <w:color w:val="auto"/>
          <w:spacing w:val="4"/>
          <w:sz w:val="24"/>
          <w:szCs w:val="24"/>
          <w:highlight w:val="none"/>
        </w:rPr>
        <w:t>担相应责任。</w:t>
      </w:r>
    </w:p>
    <w:p>
      <w:pPr>
        <w:keepNext w:val="0"/>
        <w:keepLines w:val="0"/>
        <w:pageBreakBefore w:val="0"/>
        <w:widowControl w:val="0"/>
        <w:kinsoku/>
        <w:wordWrap/>
        <w:overflowPunct/>
        <w:topLinePunct w:val="0"/>
        <w:autoSpaceDE/>
        <w:autoSpaceDN/>
        <w:bidi w:val="0"/>
        <w:adjustRightInd/>
        <w:snapToGrid/>
        <w:spacing w:before="1" w:line="520" w:lineRule="exact"/>
        <w:ind w:left="3876"/>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3"/>
          <w:sz w:val="24"/>
          <w:szCs w:val="24"/>
          <w:highlight w:val="none"/>
        </w:rPr>
        <w:t>企业名称 (盖章)：</w:t>
      </w:r>
    </w:p>
    <w:p>
      <w:pPr>
        <w:keepNext w:val="0"/>
        <w:keepLines w:val="0"/>
        <w:pageBreakBefore w:val="0"/>
        <w:widowControl w:val="0"/>
        <w:kinsoku/>
        <w:wordWrap/>
        <w:overflowPunct/>
        <w:topLinePunct w:val="0"/>
        <w:autoSpaceDE/>
        <w:autoSpaceDN/>
        <w:bidi w:val="0"/>
        <w:adjustRightInd/>
        <w:snapToGrid/>
        <w:spacing w:before="159" w:line="520" w:lineRule="exact"/>
        <w:ind w:left="3942"/>
        <w:jc w:val="left"/>
        <w:textAlignment w:val="auto"/>
        <w:rPr>
          <w:rFonts w:hint="eastAsia" w:ascii="宋体" w:hAnsi="宋体" w:eastAsia="宋体" w:cs="宋体"/>
          <w:i w:val="0"/>
          <w:iCs w:val="0"/>
          <w:color w:val="auto"/>
          <w:spacing w:val="-38"/>
          <w:sz w:val="24"/>
          <w:szCs w:val="24"/>
          <w:highlight w:val="none"/>
          <w:lang w:val="en-US" w:eastAsia="zh-CN"/>
        </w:rPr>
      </w:pPr>
      <w:bookmarkStart w:id="674" w:name="_bookmark2"/>
      <w:bookmarkEnd w:id="674"/>
      <w:r>
        <w:rPr>
          <w:rFonts w:hint="eastAsia" w:ascii="宋体" w:hAnsi="宋体" w:eastAsia="宋体" w:cs="宋体"/>
          <w:i w:val="0"/>
          <w:iCs w:val="0"/>
          <w:color w:val="auto"/>
          <w:spacing w:val="-40"/>
          <w:sz w:val="24"/>
          <w:szCs w:val="24"/>
          <w:highlight w:val="none"/>
        </w:rPr>
        <w:t>日</w:t>
      </w:r>
      <w:r>
        <w:rPr>
          <w:rFonts w:hint="eastAsia" w:ascii="宋体" w:hAnsi="宋体" w:eastAsia="宋体" w:cs="宋体"/>
          <w:i w:val="0"/>
          <w:iCs w:val="0"/>
          <w:color w:val="auto"/>
          <w:spacing w:val="-38"/>
          <w:sz w:val="24"/>
          <w:szCs w:val="24"/>
          <w:highlight w:val="none"/>
        </w:rPr>
        <w:t xml:space="preserve"> 期</w:t>
      </w:r>
      <w:r>
        <w:rPr>
          <w:rFonts w:hint="eastAsia" w:ascii="宋体" w:hAnsi="宋体" w:eastAsia="宋体" w:cs="宋体"/>
          <w:i w:val="0"/>
          <w:iCs w:val="0"/>
          <w:color w:val="auto"/>
          <w:spacing w:val="-38"/>
          <w:sz w:val="24"/>
          <w:szCs w:val="24"/>
          <w:highlight w:val="none"/>
          <w:lang w:val="en-US" w:eastAsia="zh-CN"/>
        </w:rPr>
        <w:t xml:space="preserve"> ；</w:t>
      </w:r>
    </w:p>
    <w:p>
      <w:pPr>
        <w:pStyle w:val="5"/>
        <w:jc w:val="both"/>
        <w:outlineLvl w:val="9"/>
        <w:rPr>
          <w:rFonts w:hint="eastAsia" w:ascii="宋体" w:hAnsi="宋体" w:eastAsia="宋体" w:cs="宋体"/>
          <w:i w:val="0"/>
          <w:iCs w:val="0"/>
          <w:color w:val="auto"/>
          <w:sz w:val="24"/>
          <w:szCs w:val="24"/>
          <w:highlight w:val="none"/>
        </w:rPr>
      </w:pPr>
    </w:p>
    <w:p>
      <w:pPr>
        <w:pStyle w:val="46"/>
        <w:shd w:val="clear" w:color="auto" w:fill="auto"/>
        <w:jc w:val="both"/>
        <w:rPr>
          <w:rFonts w:hint="eastAsia" w:ascii="宋体" w:hAnsi="宋体" w:eastAsia="宋体" w:cs="宋体"/>
          <w:i w:val="0"/>
          <w:iCs w:val="0"/>
          <w:color w:val="auto"/>
          <w:spacing w:val="1"/>
          <w:sz w:val="24"/>
          <w:szCs w:val="24"/>
          <w:highlight w:val="none"/>
        </w:rPr>
      </w:pPr>
      <w:r>
        <w:rPr>
          <w:rFonts w:hint="eastAsia" w:ascii="宋体" w:hAnsi="宋体" w:eastAsia="宋体" w:cs="宋体"/>
          <w:i w:val="0"/>
          <w:iCs w:val="0"/>
          <w:color w:val="auto"/>
          <w:spacing w:val="9"/>
          <w:position w:val="6"/>
          <w:sz w:val="24"/>
          <w:szCs w:val="24"/>
          <w:highlight w:val="none"/>
        </w:rPr>
        <w:t xml:space="preserve"> </w:t>
      </w:r>
      <w:r>
        <w:rPr>
          <w:rFonts w:hint="eastAsia" w:ascii="宋体" w:hAnsi="宋体" w:eastAsia="宋体" w:cs="宋体"/>
          <w:i w:val="0"/>
          <w:iCs w:val="0"/>
          <w:color w:val="auto"/>
          <w:spacing w:val="9"/>
          <w:sz w:val="24"/>
          <w:szCs w:val="24"/>
          <w:highlight w:val="none"/>
        </w:rPr>
        <w:t>从业人员、营业收入、资产总额填报上一年度数据，无上一年度数据的新成立企业可不填报</w:t>
      </w:r>
      <w:r>
        <w:rPr>
          <w:rFonts w:hint="eastAsia" w:ascii="宋体" w:hAnsi="宋体" w:eastAsia="宋体" w:cs="宋体"/>
          <w:i w:val="0"/>
          <w:iCs w:val="0"/>
          <w:color w:val="auto"/>
          <w:spacing w:val="1"/>
          <w:sz w:val="24"/>
          <w:szCs w:val="24"/>
          <w:highlight w:val="none"/>
        </w:rPr>
        <w:t>。</w:t>
      </w:r>
    </w:p>
    <w:p>
      <w:pPr>
        <w:pStyle w:val="2"/>
        <w:ind w:firstLine="420"/>
        <w:rPr>
          <w:color w:val="auto"/>
        </w:rPr>
      </w:pPr>
    </w:p>
    <w:p>
      <w:pPr>
        <w:pStyle w:val="2"/>
        <w:ind w:firstLine="420"/>
        <w:rPr>
          <w:color w:val="auto"/>
        </w:rPr>
      </w:pPr>
    </w:p>
    <w:p>
      <w:pPr>
        <w:pStyle w:val="2"/>
        <w:ind w:firstLine="420"/>
        <w:rPr>
          <w:color w:val="auto"/>
        </w:rPr>
      </w:pPr>
    </w:p>
    <w:p>
      <w:pPr>
        <w:pStyle w:val="2"/>
        <w:ind w:firstLine="420"/>
        <w:rPr>
          <w:color w:val="auto"/>
        </w:rPr>
      </w:pPr>
    </w:p>
    <w:p>
      <w:pPr>
        <w:pStyle w:val="2"/>
        <w:ind w:firstLine="420"/>
        <w:rPr>
          <w:color w:val="auto"/>
        </w:rPr>
      </w:pPr>
    </w:p>
    <w:p>
      <w:pPr>
        <w:pStyle w:val="2"/>
        <w:ind w:firstLine="420"/>
        <w:rPr>
          <w:color w:val="auto"/>
        </w:rPr>
      </w:pPr>
    </w:p>
    <w:p>
      <w:pPr>
        <w:pStyle w:val="4"/>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磋商文件要求的其他证明材料</w:t>
      </w:r>
      <w:bookmarkEnd w:id="673"/>
      <w:r>
        <w:rPr>
          <w:rFonts w:hint="eastAsia" w:asciiTheme="minorEastAsia" w:hAnsiTheme="minorEastAsia" w:eastAsiaTheme="minorEastAsia" w:cstheme="minorEastAsia"/>
          <w:color w:val="auto"/>
          <w:lang w:val="zh-CN"/>
        </w:rPr>
        <w:br w:type="page"/>
      </w:r>
      <w:r>
        <w:rPr>
          <w:rFonts w:hint="eastAsia" w:asciiTheme="minorEastAsia" w:hAnsiTheme="minorEastAsia" w:eastAsiaTheme="minorEastAsia" w:cstheme="minorEastAsia"/>
          <w:color w:val="auto"/>
          <w:lang w:val="zh-CN"/>
        </w:rPr>
        <w:t>技</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lang w:val="zh-CN"/>
        </w:rPr>
        <w:t>术</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标</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格</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式</w:t>
      </w:r>
    </w:p>
    <w:p>
      <w:pPr>
        <w:autoSpaceDE w:val="0"/>
        <w:autoSpaceDN w:val="0"/>
        <w:adjustRightInd w:val="0"/>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技术标封面示例</w:t>
      </w:r>
    </w:p>
    <w:p>
      <w:pPr>
        <w:autoSpaceDE w:val="0"/>
        <w:autoSpaceDN w:val="0"/>
        <w:adjustRightInd w:val="0"/>
        <w:spacing w:line="360" w:lineRule="auto"/>
        <w:ind w:firstLine="6720" w:firstLineChars="2400"/>
        <w:jc w:val="righ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rPr>
        <w:t xml:space="preserve"> 正本/副本</w:t>
      </w:r>
    </w:p>
    <w:p>
      <w:pPr>
        <w:autoSpaceDE w:val="0"/>
        <w:autoSpaceDN w:val="0"/>
        <w:adjustRightInd w:val="0"/>
        <w:spacing w:line="360" w:lineRule="auto"/>
        <w:rPr>
          <w:rFonts w:asciiTheme="minorEastAsia" w:hAnsiTheme="minorEastAsia" w:eastAsiaTheme="minorEastAsia" w:cstheme="minorEastAsia"/>
          <w:color w:val="auto"/>
          <w:szCs w:val="21"/>
        </w:rPr>
      </w:pPr>
    </w:p>
    <w:p>
      <w:pPr>
        <w:spacing w:line="360" w:lineRule="auto"/>
        <w:jc w:val="center"/>
        <w:rPr>
          <w:rFonts w:asciiTheme="minorEastAsia" w:hAnsiTheme="minorEastAsia" w:eastAsiaTheme="minorEastAsia" w:cstheme="minorEastAsia"/>
          <w:b/>
          <w:bCs/>
          <w:color w:val="auto"/>
          <w:lang w:val="zh-CN"/>
        </w:rPr>
      </w:pPr>
    </w:p>
    <w:p>
      <w:pPr>
        <w:spacing w:line="360" w:lineRule="auto"/>
        <w:jc w:val="center"/>
        <w:rPr>
          <w:rFonts w:asciiTheme="minorEastAsia" w:hAnsiTheme="minorEastAsia" w:eastAsiaTheme="minorEastAsia" w:cstheme="minorEastAsia"/>
          <w:b/>
          <w:bCs/>
          <w:color w:val="auto"/>
          <w:sz w:val="48"/>
          <w:szCs w:val="48"/>
        </w:rPr>
      </w:pPr>
      <w:r>
        <w:rPr>
          <w:rFonts w:hint="eastAsia" w:asciiTheme="minorEastAsia" w:hAnsiTheme="minorEastAsia" w:eastAsiaTheme="minorEastAsia" w:cstheme="minorEastAsia"/>
          <w:b/>
          <w:bCs/>
          <w:color w:val="auto"/>
          <w:sz w:val="48"/>
          <w:szCs w:val="48"/>
          <w:lang w:val="zh-CN"/>
        </w:rPr>
        <w:t>响应文件技术标</w:t>
      </w:r>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rPr>
          <w:rFonts w:asciiTheme="minorEastAsia" w:hAnsiTheme="minorEastAsia" w:eastAsiaTheme="minorEastAsia" w:cstheme="minorEastAsia"/>
          <w:color w:val="auto"/>
          <w:szCs w:val="21"/>
        </w:rPr>
      </w:pPr>
    </w:p>
    <w:p>
      <w:pPr>
        <w:autoSpaceDE w:val="0"/>
        <w:autoSpaceDN w:val="0"/>
        <w:adjustRightInd w:val="0"/>
        <w:spacing w:line="360" w:lineRule="auto"/>
        <w:jc w:val="left"/>
        <w:rPr>
          <w:rFonts w:asciiTheme="minorEastAsia" w:hAnsiTheme="minorEastAsia" w:eastAsiaTheme="minorEastAsia" w:cstheme="minorEastAsia"/>
          <w:color w:val="auto"/>
          <w:szCs w:val="21"/>
        </w:rPr>
      </w:pPr>
    </w:p>
    <w:p>
      <w:pPr>
        <w:pStyle w:val="22"/>
        <w:spacing w:line="360" w:lineRule="auto"/>
        <w:ind w:firstLine="480"/>
        <w:rPr>
          <w:rFonts w:asciiTheme="minorEastAsia" w:hAnsiTheme="minorEastAsia" w:eastAsiaTheme="minorEastAsia" w:cstheme="minorEastAsia"/>
          <w:color w:val="auto"/>
          <w:szCs w:val="21"/>
        </w:rPr>
      </w:pPr>
    </w:p>
    <w:p>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项目名称：</w:t>
      </w:r>
    </w:p>
    <w:p>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w:t>
      </w:r>
    </w:p>
    <w:p>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招标人：</w:t>
      </w:r>
    </w:p>
    <w:p>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投标人名称：（盖章）</w:t>
      </w:r>
    </w:p>
    <w:p>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法定代表人或被授权代理人：（盖章）</w:t>
      </w:r>
    </w:p>
    <w:p>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单位地址：</w:t>
      </w:r>
    </w:p>
    <w:p>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联系人：</w:t>
      </w:r>
    </w:p>
    <w:p>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联系电话：</w:t>
      </w:r>
    </w:p>
    <w:p>
      <w:pPr>
        <w:autoSpaceDE w:val="0"/>
        <w:autoSpaceDN w:val="0"/>
        <w:adjustRightInd w:val="0"/>
        <w:spacing w:line="360" w:lineRule="auto"/>
        <w:jc w:val="left"/>
        <w:rPr>
          <w:rFonts w:asciiTheme="minorEastAsia" w:hAnsiTheme="minorEastAsia" w:eastAsiaTheme="minorEastAsia" w:cstheme="minorEastAsia"/>
          <w:color w:val="auto"/>
          <w:szCs w:val="21"/>
        </w:rPr>
      </w:pPr>
    </w:p>
    <w:p>
      <w:pPr>
        <w:autoSpaceDE w:val="0"/>
        <w:autoSpaceDN w:val="0"/>
        <w:adjustRightIn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年      月       日</w:t>
      </w:r>
    </w:p>
    <w:p>
      <w:pPr>
        <w:autoSpaceDE w:val="0"/>
        <w:autoSpaceDN w:val="0"/>
        <w:adjustRightInd w:val="0"/>
        <w:spacing w:line="360" w:lineRule="auto"/>
        <w:jc w:val="left"/>
        <w:rPr>
          <w:rFonts w:asciiTheme="minorEastAsia" w:hAnsiTheme="minorEastAsia" w:eastAsiaTheme="minorEastAsia" w:cstheme="minorEastAsia"/>
          <w:color w:val="auto"/>
          <w:lang w:val="zh-CN"/>
        </w:rPr>
      </w:pPr>
    </w:p>
    <w:p>
      <w:pPr>
        <w:spacing w:line="480" w:lineRule="exact"/>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目 录</w:t>
      </w:r>
    </w:p>
    <w:p>
      <w:pPr>
        <w:topLinePunct/>
        <w:spacing w:line="480" w:lineRule="exact"/>
        <w:ind w:firstLine="240" w:firstLineChars="100"/>
        <w:rPr>
          <w:rFonts w:asciiTheme="minorEastAsia" w:hAnsiTheme="minorEastAsia" w:eastAsiaTheme="minorEastAsia" w:cstheme="minorEastAsia"/>
          <w:color w:val="auto"/>
          <w:sz w:val="24"/>
        </w:rPr>
      </w:pPr>
      <w:bookmarkStart w:id="675" w:name="_Toc414108653"/>
      <w:r>
        <w:rPr>
          <w:rFonts w:hint="eastAsia" w:asciiTheme="minorEastAsia" w:hAnsiTheme="minorEastAsia" w:eastAsiaTheme="minorEastAsia" w:cstheme="minorEastAsia"/>
          <w:color w:val="auto"/>
          <w:sz w:val="24"/>
        </w:rPr>
        <w:t>1、工程概况及特点</w:t>
      </w:r>
    </w:p>
    <w:p>
      <w:pPr>
        <w:topLinePunct/>
        <w:spacing w:line="480" w:lineRule="exact"/>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2、施工准备计划</w:t>
      </w:r>
    </w:p>
    <w:p>
      <w:pPr>
        <w:topLinePunct/>
        <w:spacing w:line="480" w:lineRule="exact"/>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3、施工方案</w:t>
      </w:r>
    </w:p>
    <w:p>
      <w:pPr>
        <w:topLinePunct/>
        <w:spacing w:line="480" w:lineRule="exact"/>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4、施工进度计划</w:t>
      </w:r>
    </w:p>
    <w:p>
      <w:pPr>
        <w:topLinePunct/>
        <w:spacing w:line="480" w:lineRule="exact"/>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5、施工平面图</w:t>
      </w:r>
    </w:p>
    <w:p>
      <w:pPr>
        <w:topLinePunct/>
        <w:spacing w:line="480" w:lineRule="exact"/>
        <w:ind w:firstLine="240" w:firstLineChars="1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6、劳动力需用量计划</w:t>
      </w:r>
    </w:p>
    <w:p>
      <w:pPr>
        <w:topLinePunct/>
        <w:spacing w:line="480" w:lineRule="exact"/>
        <w:ind w:firstLine="240" w:firstLineChars="100"/>
        <w:rPr>
          <w:rFonts w:ascii="宋体" w:hAnsi="宋体" w:eastAsia="宋体" w:cs="宋体"/>
          <w:sz w:val="24"/>
          <w:szCs w:val="24"/>
        </w:rPr>
      </w:pPr>
      <w:r>
        <w:rPr>
          <w:rFonts w:hint="eastAsia" w:asciiTheme="minorEastAsia" w:hAnsiTheme="minorEastAsia" w:eastAsiaTheme="minorEastAsia" w:cstheme="minorEastAsia"/>
          <w:color w:val="auto"/>
          <w:sz w:val="24"/>
          <w:lang w:val="en-US" w:eastAsia="zh-CN"/>
        </w:rPr>
        <w:t>7、</w:t>
      </w:r>
      <w:r>
        <w:rPr>
          <w:rFonts w:ascii="宋体" w:hAnsi="宋体" w:eastAsia="宋体" w:cs="宋体"/>
          <w:sz w:val="24"/>
          <w:szCs w:val="24"/>
        </w:rPr>
        <w:t>材料用量计划</w:t>
      </w:r>
    </w:p>
    <w:p>
      <w:pPr>
        <w:topLinePunct/>
        <w:spacing w:line="480" w:lineRule="exact"/>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ascii="宋体" w:hAnsi="宋体" w:eastAsia="宋体" w:cs="宋体"/>
          <w:sz w:val="24"/>
          <w:szCs w:val="24"/>
        </w:rPr>
        <w:t>机械设备用量计</w:t>
      </w:r>
    </w:p>
    <w:p>
      <w:pPr>
        <w:topLinePunct/>
        <w:spacing w:line="480" w:lineRule="exact"/>
        <w:ind w:firstLine="240" w:firstLineChars="100"/>
        <w:rPr>
          <w:rFonts w:ascii="宋体" w:hAnsi="宋体" w:eastAsia="宋体" w:cs="宋体"/>
          <w:sz w:val="24"/>
          <w:szCs w:val="24"/>
        </w:rPr>
      </w:pPr>
      <w:r>
        <w:rPr>
          <w:rFonts w:hint="eastAsia" w:asciiTheme="minorEastAsia" w:hAnsiTheme="minorEastAsia" w:eastAsiaTheme="minorEastAsia" w:cstheme="minorEastAsia"/>
          <w:color w:val="auto"/>
          <w:sz w:val="24"/>
          <w:lang w:val="en-US" w:eastAsia="zh-CN"/>
        </w:rPr>
        <w:t>9</w:t>
      </w:r>
      <w:r>
        <w:rPr>
          <w:rFonts w:hint="eastAsia" w:asciiTheme="minorEastAsia" w:hAnsiTheme="minorEastAsia" w:eastAsiaTheme="minorEastAsia" w:cstheme="minorEastAsia"/>
          <w:color w:val="auto"/>
          <w:sz w:val="24"/>
        </w:rPr>
        <w:t>、</w:t>
      </w:r>
      <w:r>
        <w:rPr>
          <w:rFonts w:ascii="宋体" w:hAnsi="宋体" w:eastAsia="宋体" w:cs="宋体"/>
          <w:sz w:val="24"/>
          <w:szCs w:val="24"/>
        </w:rPr>
        <w:t>质量、工期保证措施和体系</w:t>
      </w:r>
    </w:p>
    <w:p>
      <w:pPr>
        <w:topLinePunct/>
        <w:spacing w:line="480" w:lineRule="exact"/>
        <w:ind w:firstLine="240" w:firstLineChars="100"/>
        <w:rPr>
          <w:rFonts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color w:val="auto"/>
          <w:sz w:val="24"/>
          <w:szCs w:val="22"/>
          <w:lang w:val="en-US" w:eastAsia="zh-CN"/>
        </w:rPr>
        <w:t>10</w:t>
      </w:r>
      <w:r>
        <w:rPr>
          <w:rFonts w:hint="eastAsia" w:asciiTheme="minorEastAsia" w:hAnsiTheme="minorEastAsia" w:eastAsiaTheme="minorEastAsia" w:cstheme="minorEastAsia"/>
          <w:color w:val="auto"/>
          <w:sz w:val="24"/>
          <w:szCs w:val="22"/>
        </w:rPr>
        <w:t>、安全保证措施和体系</w:t>
      </w:r>
    </w:p>
    <w:p>
      <w:pPr>
        <w:topLinePunct/>
        <w:spacing w:line="480" w:lineRule="exact"/>
        <w:ind w:firstLine="240" w:firstLineChars="100"/>
        <w:rPr>
          <w:rFonts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color w:val="auto"/>
          <w:sz w:val="24"/>
          <w:szCs w:val="22"/>
          <w:lang w:val="en-US" w:eastAsia="zh-CN"/>
        </w:rPr>
        <w:t>11</w:t>
      </w:r>
      <w:r>
        <w:rPr>
          <w:rFonts w:hint="eastAsia" w:asciiTheme="minorEastAsia" w:hAnsiTheme="minorEastAsia" w:eastAsiaTheme="minorEastAsia" w:cstheme="minorEastAsia"/>
          <w:color w:val="auto"/>
          <w:sz w:val="24"/>
          <w:szCs w:val="22"/>
        </w:rPr>
        <w:t>、现场文明施工措施</w:t>
      </w:r>
    </w:p>
    <w:p>
      <w:pPr>
        <w:topLinePunct/>
        <w:spacing w:line="480" w:lineRule="exact"/>
        <w:ind w:firstLine="240" w:firstLineChars="100"/>
        <w:rPr>
          <w:rFonts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color w:val="auto"/>
          <w:sz w:val="24"/>
          <w:szCs w:val="22"/>
          <w:lang w:val="en-US" w:eastAsia="zh-CN"/>
        </w:rPr>
        <w:t>12</w:t>
      </w:r>
      <w:r>
        <w:rPr>
          <w:rFonts w:hint="eastAsia" w:asciiTheme="minorEastAsia" w:hAnsiTheme="minorEastAsia" w:eastAsiaTheme="minorEastAsia" w:cstheme="minorEastAsia"/>
          <w:color w:val="auto"/>
          <w:sz w:val="24"/>
          <w:szCs w:val="22"/>
        </w:rPr>
        <w:t>、承诺</w:t>
      </w:r>
    </w:p>
    <w:p>
      <w:pPr>
        <w:topLinePunct/>
        <w:spacing w:line="480" w:lineRule="exact"/>
        <w:rPr>
          <w:rFonts w:asciiTheme="minorEastAsia" w:hAnsiTheme="minorEastAsia" w:eastAsiaTheme="minorEastAsia" w:cstheme="minorEastAsia"/>
          <w:color w:val="auto"/>
          <w:kern w:val="0"/>
          <w:sz w:val="24"/>
          <w:szCs w:val="28"/>
        </w:rPr>
      </w:pPr>
      <w:r>
        <w:rPr>
          <w:rFonts w:hint="eastAsia" w:asciiTheme="minorEastAsia" w:hAnsiTheme="minorEastAsia" w:eastAsiaTheme="minorEastAsia" w:cstheme="minorEastAsia"/>
          <w:color w:val="auto"/>
          <w:sz w:val="24"/>
        </w:rPr>
        <w:t>注：</w:t>
      </w:r>
      <w:r>
        <w:rPr>
          <w:rFonts w:hint="eastAsia" w:asciiTheme="minorEastAsia" w:hAnsiTheme="minorEastAsia" w:eastAsiaTheme="minorEastAsia" w:cstheme="minorEastAsia"/>
          <w:color w:val="auto"/>
          <w:kern w:val="0"/>
          <w:sz w:val="24"/>
        </w:rPr>
        <w:t>投标文件须按技术标格式目录顺序编写</w:t>
      </w:r>
    </w:p>
    <w:p>
      <w:pPr>
        <w:topLinePunct/>
        <w:spacing w:line="480" w:lineRule="exact"/>
        <w:rPr>
          <w:rFonts w:asciiTheme="minorEastAsia" w:hAnsiTheme="minorEastAsia" w:eastAsiaTheme="minorEastAsia" w:cstheme="minorEastAsia"/>
          <w:b/>
          <w:color w:val="auto"/>
          <w:lang w:val="zh-CN"/>
        </w:rPr>
      </w:pPr>
    </w:p>
    <w:p>
      <w:pPr>
        <w:pStyle w:val="5"/>
        <w:spacing w:line="360" w:lineRule="auto"/>
        <w:rPr>
          <w:rFonts w:asciiTheme="minorEastAsia" w:hAnsiTheme="minorEastAsia" w:eastAsiaTheme="minorEastAsia" w:cstheme="minorEastAsia"/>
          <w:color w:val="auto"/>
          <w:sz w:val="21"/>
          <w:lang w:val="zh-CN"/>
        </w:rPr>
      </w:pPr>
    </w:p>
    <w:p>
      <w:pPr>
        <w:spacing w:line="360" w:lineRule="auto"/>
        <w:rPr>
          <w:rFonts w:asciiTheme="minorEastAsia" w:hAnsiTheme="minorEastAsia" w:eastAsiaTheme="minorEastAsia" w:cstheme="minorEastAsia"/>
          <w:b/>
          <w:color w:val="auto"/>
          <w:lang w:val="zh-CN"/>
        </w:rPr>
      </w:pPr>
    </w:p>
    <w:p>
      <w:pPr>
        <w:pStyle w:val="5"/>
        <w:spacing w:line="360" w:lineRule="auto"/>
        <w:rPr>
          <w:rFonts w:asciiTheme="minorEastAsia" w:hAnsiTheme="minorEastAsia" w:eastAsiaTheme="minorEastAsia" w:cstheme="minorEastAsia"/>
          <w:color w:val="auto"/>
          <w:sz w:val="21"/>
          <w:lang w:val="zh-CN"/>
        </w:rPr>
      </w:pPr>
    </w:p>
    <w:p>
      <w:pPr>
        <w:spacing w:line="360" w:lineRule="auto"/>
        <w:rPr>
          <w:rFonts w:asciiTheme="minorEastAsia" w:hAnsiTheme="minorEastAsia" w:eastAsiaTheme="minorEastAsia" w:cstheme="minorEastAsia"/>
          <w:b/>
          <w:color w:val="auto"/>
          <w:lang w:val="zh-CN"/>
        </w:rPr>
      </w:pPr>
    </w:p>
    <w:p>
      <w:pPr>
        <w:pStyle w:val="5"/>
        <w:spacing w:line="360" w:lineRule="auto"/>
        <w:rPr>
          <w:rFonts w:asciiTheme="minorEastAsia" w:hAnsiTheme="minorEastAsia" w:eastAsiaTheme="minorEastAsia" w:cstheme="minorEastAsia"/>
          <w:color w:val="auto"/>
          <w:sz w:val="21"/>
          <w:lang w:val="zh-CN"/>
        </w:rPr>
      </w:pPr>
    </w:p>
    <w:p>
      <w:pPr>
        <w:spacing w:line="360" w:lineRule="auto"/>
        <w:rPr>
          <w:rFonts w:asciiTheme="minorEastAsia" w:hAnsiTheme="minorEastAsia" w:eastAsiaTheme="minorEastAsia" w:cstheme="minorEastAsia"/>
          <w:b/>
          <w:color w:val="auto"/>
          <w:lang w:val="zh-CN"/>
        </w:rPr>
      </w:pPr>
    </w:p>
    <w:p>
      <w:pPr>
        <w:pStyle w:val="2"/>
        <w:ind w:firstLine="420"/>
        <w:rPr>
          <w:color w:val="auto"/>
        </w:rPr>
      </w:pPr>
    </w:p>
    <w:p>
      <w:pPr>
        <w:pStyle w:val="2"/>
        <w:ind w:firstLine="420"/>
        <w:rPr>
          <w:color w:val="auto"/>
        </w:rPr>
      </w:pPr>
    </w:p>
    <w:p>
      <w:pPr>
        <w:pStyle w:val="4"/>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zh-CN"/>
        </w:rPr>
        <w:t>经</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济</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标</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格</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lang w:val="zh-CN"/>
        </w:rPr>
        <w:t>式</w:t>
      </w:r>
      <w:bookmarkEnd w:id="675"/>
    </w:p>
    <w:p>
      <w:pPr>
        <w:autoSpaceDE w:val="0"/>
        <w:autoSpaceDN w:val="0"/>
        <w:adjustRightInd w:val="0"/>
        <w:spacing w:line="360" w:lineRule="auto"/>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rPr>
        <w:t xml:space="preserve">经济标封面示例                                 </w:t>
      </w:r>
      <w:r>
        <w:rPr>
          <w:rFonts w:hint="eastAsia" w:asciiTheme="minorEastAsia" w:hAnsiTheme="minorEastAsia" w:eastAsiaTheme="minorEastAsia" w:cstheme="minorEastAsia"/>
          <w:color w:val="auto"/>
          <w:sz w:val="28"/>
        </w:rPr>
        <w:t xml:space="preserve"> </w:t>
      </w:r>
    </w:p>
    <w:p>
      <w:pPr>
        <w:autoSpaceDE w:val="0"/>
        <w:autoSpaceDN w:val="0"/>
        <w:adjustRightInd w:val="0"/>
        <w:spacing w:line="360" w:lineRule="auto"/>
        <w:ind w:firstLine="7560" w:firstLineChars="27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rPr>
        <w:t>正本/副本</w:t>
      </w:r>
    </w:p>
    <w:p>
      <w:pPr>
        <w:spacing w:line="360" w:lineRule="auto"/>
        <w:rPr>
          <w:rFonts w:asciiTheme="minorEastAsia" w:hAnsiTheme="minorEastAsia" w:eastAsiaTheme="minorEastAsia" w:cstheme="minorEastAsia"/>
          <w:color w:val="auto"/>
        </w:rPr>
      </w:pPr>
    </w:p>
    <w:p>
      <w:pPr>
        <w:spacing w:line="360" w:lineRule="auto"/>
        <w:rPr>
          <w:rFonts w:asciiTheme="minorEastAsia" w:hAnsiTheme="minorEastAsia" w:eastAsiaTheme="minorEastAsia" w:cstheme="minorEastAsia"/>
          <w:color w:val="auto"/>
        </w:rPr>
      </w:pPr>
    </w:p>
    <w:p>
      <w:pPr>
        <w:spacing w:line="360" w:lineRule="auto"/>
        <w:rPr>
          <w:rFonts w:asciiTheme="minorEastAsia" w:hAnsiTheme="minorEastAsia" w:eastAsiaTheme="minorEastAsia" w:cstheme="minorEastAsia"/>
          <w:color w:val="auto"/>
        </w:rPr>
      </w:pPr>
    </w:p>
    <w:p>
      <w:pPr>
        <w:spacing w:line="360" w:lineRule="auto"/>
        <w:rPr>
          <w:rFonts w:asciiTheme="minorEastAsia" w:hAnsiTheme="minorEastAsia" w:eastAsiaTheme="minorEastAsia" w:cstheme="minorEastAsia"/>
          <w:color w:val="auto"/>
        </w:rPr>
      </w:pPr>
    </w:p>
    <w:p>
      <w:pPr>
        <w:spacing w:line="360" w:lineRule="auto"/>
        <w:jc w:val="center"/>
        <w:rPr>
          <w:rFonts w:asciiTheme="minorEastAsia" w:hAnsiTheme="minorEastAsia" w:eastAsiaTheme="minorEastAsia" w:cstheme="minorEastAsia"/>
          <w:b/>
          <w:color w:val="auto"/>
          <w:sz w:val="44"/>
          <w:szCs w:val="44"/>
        </w:rPr>
      </w:pPr>
      <w:r>
        <w:rPr>
          <w:rFonts w:hint="eastAsia" w:asciiTheme="minorEastAsia" w:hAnsiTheme="minorEastAsia" w:eastAsiaTheme="minorEastAsia" w:cstheme="minorEastAsia"/>
          <w:b/>
          <w:color w:val="auto"/>
          <w:sz w:val="44"/>
          <w:szCs w:val="44"/>
        </w:rPr>
        <w:t>响应文件经济标</w:t>
      </w:r>
    </w:p>
    <w:p>
      <w:pPr>
        <w:spacing w:line="360" w:lineRule="auto"/>
        <w:rPr>
          <w:rFonts w:asciiTheme="minorEastAsia" w:hAnsiTheme="minorEastAsia" w:eastAsiaTheme="minorEastAsia" w:cstheme="minorEastAsia"/>
          <w:color w:val="auto"/>
          <w:sz w:val="28"/>
          <w:szCs w:val="28"/>
        </w:rPr>
      </w:pPr>
    </w:p>
    <w:p>
      <w:pPr>
        <w:pStyle w:val="34"/>
        <w:spacing w:line="360" w:lineRule="auto"/>
        <w:ind w:firstLine="0" w:firstLineChars="0"/>
        <w:rPr>
          <w:rFonts w:asciiTheme="minorEastAsia" w:hAnsiTheme="minorEastAsia" w:eastAsiaTheme="minorEastAsia" w:cstheme="minorEastAsia"/>
          <w:color w:val="auto"/>
          <w:sz w:val="28"/>
          <w:szCs w:val="28"/>
        </w:rPr>
      </w:pPr>
    </w:p>
    <w:p>
      <w:pPr>
        <w:pStyle w:val="34"/>
        <w:spacing w:line="360" w:lineRule="auto"/>
        <w:ind w:firstLine="0" w:firstLineChars="0"/>
        <w:rPr>
          <w:rFonts w:asciiTheme="minorEastAsia" w:hAnsiTheme="minorEastAsia" w:eastAsiaTheme="minorEastAsia" w:cstheme="minorEastAsia"/>
          <w:color w:val="auto"/>
          <w:sz w:val="28"/>
          <w:szCs w:val="28"/>
        </w:rPr>
      </w:pPr>
    </w:p>
    <w:p>
      <w:pPr>
        <w:pStyle w:val="34"/>
        <w:spacing w:line="480" w:lineRule="exact"/>
        <w:ind w:firstLine="0" w:firstLineChars="0"/>
        <w:rPr>
          <w:rFonts w:asciiTheme="minorEastAsia" w:hAnsiTheme="minorEastAsia" w:eastAsiaTheme="minorEastAsia" w:cstheme="minorEastAsia"/>
          <w:color w:val="auto"/>
          <w:sz w:val="28"/>
          <w:szCs w:val="28"/>
        </w:rPr>
      </w:pPr>
    </w:p>
    <w:p>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项目名称：</w:t>
      </w:r>
    </w:p>
    <w:p>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w:t>
      </w:r>
    </w:p>
    <w:p>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招标人：</w:t>
      </w:r>
    </w:p>
    <w:p>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投标人名称：（盖章）</w:t>
      </w:r>
    </w:p>
    <w:p>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法定代表人或被授权代理人：（盖章）</w:t>
      </w:r>
    </w:p>
    <w:p>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单位地址：</w:t>
      </w:r>
    </w:p>
    <w:p>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联系人：</w:t>
      </w:r>
    </w:p>
    <w:p>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联系电话：</w:t>
      </w:r>
    </w:p>
    <w:p>
      <w:pPr>
        <w:autoSpaceDE w:val="0"/>
        <w:autoSpaceDN w:val="0"/>
        <w:adjustRightInd w:val="0"/>
        <w:spacing w:line="480" w:lineRule="exact"/>
        <w:jc w:val="left"/>
        <w:rPr>
          <w:rFonts w:asciiTheme="minorEastAsia" w:hAnsiTheme="minorEastAsia" w:eastAsiaTheme="minorEastAsia" w:cstheme="minorEastAsia"/>
          <w:color w:val="auto"/>
          <w:szCs w:val="21"/>
        </w:rPr>
      </w:pPr>
    </w:p>
    <w:p>
      <w:pPr>
        <w:autoSpaceDE w:val="0"/>
        <w:autoSpaceDN w:val="0"/>
        <w:adjustRightInd w:val="0"/>
        <w:spacing w:line="4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年      月       日</w:t>
      </w:r>
    </w:p>
    <w:p>
      <w:pPr>
        <w:autoSpaceDE w:val="0"/>
        <w:autoSpaceDN w:val="0"/>
        <w:adjustRightInd w:val="0"/>
        <w:spacing w:line="360" w:lineRule="auto"/>
        <w:jc w:val="left"/>
        <w:rPr>
          <w:rFonts w:asciiTheme="minorEastAsia" w:hAnsiTheme="minorEastAsia" w:eastAsiaTheme="minorEastAsia" w:cstheme="minorEastAsia"/>
          <w:color w:val="auto"/>
          <w:lang w:val="zh-CN"/>
        </w:rPr>
      </w:pPr>
    </w:p>
    <w:p>
      <w:pPr>
        <w:pStyle w:val="34"/>
        <w:spacing w:line="360" w:lineRule="auto"/>
        <w:ind w:firstLine="0" w:firstLineChars="0"/>
        <w:jc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经济标目录</w:t>
      </w:r>
    </w:p>
    <w:p>
      <w:pPr>
        <w:pStyle w:val="34"/>
        <w:spacing w:line="360" w:lineRule="auto"/>
        <w:ind w:firstLine="0" w:firstLineChars="0"/>
        <w:jc w:val="center"/>
        <w:rPr>
          <w:rFonts w:asciiTheme="minorEastAsia" w:hAnsiTheme="minorEastAsia" w:eastAsiaTheme="minorEastAsia" w:cstheme="minorEastAsia"/>
          <w:b/>
          <w:color w:val="auto"/>
        </w:rPr>
      </w:pPr>
    </w:p>
    <w:p>
      <w:pPr>
        <w:pStyle w:val="34"/>
        <w:spacing w:line="360" w:lineRule="auto"/>
        <w:ind w:firstLine="0" w:firstLineChars="0"/>
        <w:jc w:val="center"/>
        <w:rPr>
          <w:rFonts w:asciiTheme="minorEastAsia" w:hAnsiTheme="minorEastAsia" w:eastAsiaTheme="minorEastAsia" w:cstheme="minorEastAsia"/>
          <w:b/>
          <w:color w:val="auto"/>
        </w:rPr>
      </w:pPr>
    </w:p>
    <w:p>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注：以工程量清单为依据编制</w:t>
      </w:r>
    </w:p>
    <w:p>
      <w:pPr>
        <w:pStyle w:val="34"/>
        <w:spacing w:line="480" w:lineRule="exact"/>
        <w:ind w:firstLine="0" w:firstLineChars="0"/>
        <w:jc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br w:type="page"/>
      </w:r>
      <w:r>
        <w:rPr>
          <w:rFonts w:hint="eastAsia" w:asciiTheme="minorEastAsia" w:hAnsiTheme="minorEastAsia" w:eastAsiaTheme="minorEastAsia" w:cstheme="minorEastAsia"/>
          <w:b/>
          <w:color w:val="auto"/>
        </w:rPr>
        <w:t>投 标 总 价</w:t>
      </w:r>
    </w:p>
    <w:p>
      <w:pPr>
        <w:pStyle w:val="34"/>
        <w:spacing w:line="480" w:lineRule="exact"/>
        <w:rPr>
          <w:rFonts w:asciiTheme="minorEastAsia" w:hAnsiTheme="minorEastAsia" w:eastAsiaTheme="minorEastAsia" w:cstheme="minorEastAsia"/>
          <w:color w:val="auto"/>
        </w:rPr>
      </w:pPr>
    </w:p>
    <w:p>
      <w:pPr>
        <w:pStyle w:val="34"/>
        <w:spacing w:line="48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招     标    人：</w:t>
      </w:r>
      <w:r>
        <w:rPr>
          <w:rFonts w:hint="eastAsia" w:asciiTheme="minorEastAsia" w:hAnsiTheme="minorEastAsia" w:eastAsiaTheme="minorEastAsia" w:cstheme="minorEastAsia"/>
          <w:color w:val="auto"/>
          <w:u w:val="single"/>
        </w:rPr>
        <w:t xml:space="preserve">                                                         </w:t>
      </w:r>
    </w:p>
    <w:p>
      <w:pPr>
        <w:pStyle w:val="34"/>
        <w:spacing w:line="48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工   程  名  称：</w:t>
      </w:r>
      <w:r>
        <w:rPr>
          <w:rFonts w:hint="eastAsia" w:asciiTheme="minorEastAsia" w:hAnsiTheme="minorEastAsia" w:eastAsiaTheme="minorEastAsia" w:cstheme="minorEastAsia"/>
          <w:color w:val="auto"/>
          <w:u w:val="single"/>
        </w:rPr>
        <w:t xml:space="preserve">                                                         </w:t>
      </w:r>
    </w:p>
    <w:p>
      <w:pPr>
        <w:pStyle w:val="34"/>
        <w:spacing w:line="48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投标总价（小写）：</w:t>
      </w:r>
      <w:r>
        <w:rPr>
          <w:rFonts w:hint="eastAsia" w:asciiTheme="minorEastAsia" w:hAnsiTheme="minorEastAsia" w:eastAsiaTheme="minorEastAsia" w:cstheme="minorEastAsia"/>
          <w:color w:val="auto"/>
          <w:u w:val="single"/>
        </w:rPr>
        <w:t xml:space="preserve">                                                         </w:t>
      </w:r>
    </w:p>
    <w:p>
      <w:pPr>
        <w:pStyle w:val="34"/>
        <w:spacing w:line="480" w:lineRule="exact"/>
        <w:ind w:left="84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（大写） </w:t>
      </w:r>
      <w:r>
        <w:rPr>
          <w:rFonts w:hint="eastAsia" w:asciiTheme="minorEastAsia" w:hAnsiTheme="minorEastAsia" w:eastAsiaTheme="minorEastAsia" w:cstheme="minorEastAsia"/>
          <w:color w:val="auto"/>
          <w:u w:val="single"/>
        </w:rPr>
        <w:t xml:space="preserve">                                                         </w:t>
      </w:r>
    </w:p>
    <w:p>
      <w:pPr>
        <w:pStyle w:val="34"/>
        <w:spacing w:line="480" w:lineRule="exact"/>
        <w:rPr>
          <w:rFonts w:asciiTheme="minorEastAsia" w:hAnsiTheme="minorEastAsia" w:eastAsiaTheme="minorEastAsia" w:cstheme="minorEastAsia"/>
          <w:color w:val="auto"/>
        </w:rPr>
      </w:pPr>
    </w:p>
    <w:p>
      <w:pPr>
        <w:pStyle w:val="34"/>
        <w:spacing w:line="48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    标    人：</w:t>
      </w:r>
      <w:r>
        <w:rPr>
          <w:rFonts w:hint="eastAsia" w:asciiTheme="minorEastAsia" w:hAnsiTheme="minorEastAsia" w:eastAsiaTheme="minorEastAsia" w:cstheme="minorEastAsia"/>
          <w:color w:val="auto"/>
          <w:u w:val="single"/>
        </w:rPr>
        <w:t xml:space="preserve">                                                          </w:t>
      </w:r>
    </w:p>
    <w:p>
      <w:pPr>
        <w:spacing w:line="480" w:lineRule="exact"/>
        <w:ind w:firstLine="525" w:firstLineChars="250"/>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（单位盖章）</w:t>
      </w:r>
    </w:p>
    <w:p>
      <w:pPr>
        <w:pStyle w:val="34"/>
        <w:spacing w:line="480" w:lineRule="exact"/>
        <w:rPr>
          <w:rFonts w:asciiTheme="minorEastAsia" w:hAnsiTheme="minorEastAsia" w:eastAsiaTheme="minorEastAsia" w:cstheme="minorEastAsia"/>
          <w:color w:val="auto"/>
        </w:rPr>
      </w:pPr>
    </w:p>
    <w:p>
      <w:pPr>
        <w:pStyle w:val="34"/>
        <w:spacing w:line="48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法定代表人或其授权人：</w:t>
      </w:r>
      <w:r>
        <w:rPr>
          <w:rFonts w:hint="eastAsia" w:asciiTheme="minorEastAsia" w:hAnsiTheme="minorEastAsia" w:eastAsiaTheme="minorEastAsia" w:cstheme="minorEastAsia"/>
          <w:color w:val="auto"/>
          <w:u w:val="single"/>
        </w:rPr>
        <w:t xml:space="preserve">                                                    </w:t>
      </w:r>
    </w:p>
    <w:p>
      <w:pPr>
        <w:pStyle w:val="34"/>
        <w:spacing w:line="480" w:lineRule="exact"/>
        <w:ind w:firstLine="525" w:firstLineChars="2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（签字或盖章）</w:t>
      </w:r>
    </w:p>
    <w:p>
      <w:pPr>
        <w:pStyle w:val="34"/>
        <w:spacing w:line="480" w:lineRule="exact"/>
        <w:rPr>
          <w:rFonts w:asciiTheme="minorEastAsia" w:hAnsiTheme="minorEastAsia" w:eastAsiaTheme="minorEastAsia" w:cstheme="minorEastAsia"/>
          <w:color w:val="auto"/>
        </w:rPr>
      </w:pPr>
    </w:p>
    <w:p>
      <w:pPr>
        <w:pStyle w:val="34"/>
        <w:spacing w:line="48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编    制    人：</w:t>
      </w:r>
      <w:r>
        <w:rPr>
          <w:rFonts w:hint="eastAsia" w:asciiTheme="minorEastAsia" w:hAnsiTheme="minorEastAsia" w:eastAsiaTheme="minorEastAsia" w:cstheme="minorEastAsia"/>
          <w:color w:val="auto"/>
          <w:u w:val="single"/>
        </w:rPr>
        <w:t xml:space="preserve">                                                          </w:t>
      </w:r>
    </w:p>
    <w:p>
      <w:pPr>
        <w:pStyle w:val="34"/>
        <w:spacing w:line="480" w:lineRule="exact"/>
        <w:ind w:firstLine="525" w:firstLineChars="2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（造价人员签字）</w:t>
      </w:r>
    </w:p>
    <w:p>
      <w:pPr>
        <w:pStyle w:val="34"/>
        <w:spacing w:line="480" w:lineRule="exact"/>
        <w:rPr>
          <w:rFonts w:asciiTheme="minorEastAsia" w:hAnsiTheme="minorEastAsia" w:eastAsiaTheme="minorEastAsia" w:cstheme="minorEastAsia"/>
          <w:color w:val="auto"/>
        </w:rPr>
      </w:pPr>
    </w:p>
    <w:p>
      <w:pPr>
        <w:pStyle w:val="34"/>
        <w:spacing w:line="480" w:lineRule="exact"/>
        <w:rPr>
          <w:rFonts w:asciiTheme="minorEastAsia" w:hAnsiTheme="minorEastAsia" w:eastAsiaTheme="minorEastAsia" w:cstheme="minorEastAsia"/>
          <w:color w:val="auto"/>
        </w:rPr>
      </w:pPr>
    </w:p>
    <w:p>
      <w:pPr>
        <w:pStyle w:val="34"/>
        <w:spacing w:line="480" w:lineRule="exact"/>
        <w:rPr>
          <w:rFonts w:asciiTheme="minorEastAsia" w:hAnsiTheme="minorEastAsia" w:eastAsiaTheme="minorEastAsia" w:cstheme="minorEastAsia"/>
          <w:color w:val="auto"/>
        </w:rPr>
      </w:pPr>
    </w:p>
    <w:p>
      <w:pPr>
        <w:pStyle w:val="34"/>
        <w:spacing w:line="48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编 制 时 间: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年</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日</w:t>
      </w:r>
    </w:p>
    <w:p>
      <w:pPr>
        <w:spacing w:line="360" w:lineRule="auto"/>
        <w:rPr>
          <w:rFonts w:ascii="宋体" w:hAnsi="宋体"/>
          <w:b/>
          <w:color w:val="auto"/>
          <w:sz w:val="24"/>
        </w:rPr>
      </w:pPr>
    </w:p>
    <w:sectPr>
      <w:footerReference r:id="rId7" w:type="first"/>
      <w:headerReference r:id="rId5" w:type="default"/>
      <w:footerReference r:id="rId6" w:type="default"/>
      <w:pgSz w:w="11907" w:h="16840"/>
      <w:pgMar w:top="1440" w:right="1080" w:bottom="1440" w:left="1080" w:header="851" w:footer="68" w:gutter="0"/>
      <w:pgNumType w:fmt="decimal"/>
      <w:cols w:space="720" w:num="1"/>
      <w:titlePg/>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_x000B__x000C_">
    <w:altName w:val="Courier New"/>
    <w:panose1 w:val="00000000000000000000"/>
    <w:charset w:val="00"/>
    <w:family w:val="roma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default" w:ascii="Times New Roman" w:hAnsi="Times New Roman" w:eastAsia="宋体" w:cs="Times New Roman"/>
        <w:color w:val="800000"/>
        <w:sz w:val="20"/>
        <w:szCs w:val="20"/>
        <w:lang w:val="en-US" w:eastAsia="zh-CN"/>
      </w:rPr>
    </w:pPr>
    <w:r>
      <w:rPr>
        <w:sz w:val="16"/>
      </w:rPr>
      <w:pict>
        <v:shape id="_x0000_s1030" o:spid="_x0000_s1030"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right"/>
    </w:pP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72</w:t>
                </w:r>
                <w:r>
                  <w:fldChar w:fldCharType="end"/>
                </w:r>
              </w:p>
            </w:txbxContent>
          </v:textbox>
        </v:shape>
      </w:pict>
    </w:r>
    <w:r>
      <w:rPr>
        <w:lang w:val="zh-CN"/>
      </w:rPr>
      <w:t xml:space="preserve">  </w:t>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lear" w:pos="4153"/>
        <w:tab w:val="clear" w:pos="8306"/>
      </w:tabs>
      <w:jc w:val="both"/>
      <w:rPr>
        <w:rFonts w:hint="eastAsia" w:eastAsia="宋体"/>
        <w:u w:val="none"/>
        <w:lang w:eastAsia="zh-CN"/>
      </w:rPr>
    </w:pPr>
    <w:r>
      <w:rPr>
        <w:rFonts w:hint="eastAsia" w:eastAsia="宋体"/>
        <w:u w:val="none"/>
        <w:lang w:val="en-US" w:eastAsia="zh-CN"/>
      </w:rPr>
      <w:t xml:space="preserve">            </w:t>
    </w:r>
    <w:r>
      <w:rPr>
        <w:rFonts w:hint="eastAsia" w:eastAsia="宋体"/>
        <w:u w:val="none"/>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rPr>
        <w:sz w:val="21"/>
      </w:rPr>
    </w:pPr>
    <w:r>
      <w:rPr>
        <w:rFonts w:hint="eastAsia"/>
        <w:sz w:val="21"/>
        <w:szCs w:val="22"/>
      </w:rPr>
      <w:t xml:space="preserve">    </w:t>
    </w:r>
    <w:r>
      <w:rPr>
        <w:rFonts w:hint="eastAsia"/>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49FEC"/>
    <w:multiLevelType w:val="singleLevel"/>
    <w:tmpl w:val="A5F49FEC"/>
    <w:lvl w:ilvl="0" w:tentative="0">
      <w:start w:val="5"/>
      <w:numFmt w:val="chineseCounting"/>
      <w:suff w:val="nothing"/>
      <w:lvlText w:val="%1、"/>
      <w:lvlJc w:val="left"/>
      <w:rPr>
        <w:rFonts w:hint="eastAsia"/>
      </w:rPr>
    </w:lvl>
  </w:abstractNum>
  <w:abstractNum w:abstractNumId="1">
    <w:nsid w:val="D2F726D3"/>
    <w:multiLevelType w:val="singleLevel"/>
    <w:tmpl w:val="D2F726D3"/>
    <w:lvl w:ilvl="0" w:tentative="0">
      <w:start w:val="5"/>
      <w:numFmt w:val="chineseCounting"/>
      <w:suff w:val="nothing"/>
      <w:lvlText w:val="%1、"/>
      <w:lvlJc w:val="left"/>
      <w:rPr>
        <w:rFonts w:hint="eastAsia"/>
      </w:rPr>
    </w:lvl>
  </w:abstractNum>
  <w:abstractNum w:abstractNumId="2">
    <w:nsid w:val="15812A10"/>
    <w:multiLevelType w:val="multilevel"/>
    <w:tmpl w:val="15812A10"/>
    <w:lvl w:ilvl="0" w:tentative="0">
      <w:start w:val="1"/>
      <w:numFmt w:val="upperLetter"/>
      <w:pStyle w:val="3"/>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D006C46"/>
    <w:multiLevelType w:val="singleLevel"/>
    <w:tmpl w:val="5D006C46"/>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BkODM4NGIwZDQzOTZlM2Y4MWVkYzVlNmE1YzdjN2IifQ=="/>
    <w:docVar w:name="KSO_WPS_MARK_KEY" w:val="5eddd5a3-b1b0-4f45-adc2-95e47dd46a15"/>
  </w:docVars>
  <w:rsids>
    <w:rsidRoot w:val="37640A01"/>
    <w:rsid w:val="000016A6"/>
    <w:rsid w:val="0000246B"/>
    <w:rsid w:val="00005388"/>
    <w:rsid w:val="000100F2"/>
    <w:rsid w:val="0002738B"/>
    <w:rsid w:val="00031B1C"/>
    <w:rsid w:val="00033D85"/>
    <w:rsid w:val="00044961"/>
    <w:rsid w:val="00053A58"/>
    <w:rsid w:val="000624D4"/>
    <w:rsid w:val="000632FC"/>
    <w:rsid w:val="00065C8E"/>
    <w:rsid w:val="000814A0"/>
    <w:rsid w:val="000836D6"/>
    <w:rsid w:val="00086F9E"/>
    <w:rsid w:val="00094348"/>
    <w:rsid w:val="000A65B3"/>
    <w:rsid w:val="000B47D1"/>
    <w:rsid w:val="000B7792"/>
    <w:rsid w:val="000B7EA8"/>
    <w:rsid w:val="000D112F"/>
    <w:rsid w:val="000D325E"/>
    <w:rsid w:val="000D6B9F"/>
    <w:rsid w:val="000F1878"/>
    <w:rsid w:val="000F6E39"/>
    <w:rsid w:val="00103E85"/>
    <w:rsid w:val="0010481C"/>
    <w:rsid w:val="001109CD"/>
    <w:rsid w:val="00121454"/>
    <w:rsid w:val="001234D8"/>
    <w:rsid w:val="00130EE9"/>
    <w:rsid w:val="00137800"/>
    <w:rsid w:val="00156020"/>
    <w:rsid w:val="001624D1"/>
    <w:rsid w:val="00180213"/>
    <w:rsid w:val="00180F07"/>
    <w:rsid w:val="001B15E7"/>
    <w:rsid w:val="001B283F"/>
    <w:rsid w:val="001C080D"/>
    <w:rsid w:val="001C3AA9"/>
    <w:rsid w:val="001C7D2F"/>
    <w:rsid w:val="001D4383"/>
    <w:rsid w:val="001D64B1"/>
    <w:rsid w:val="001D7AB3"/>
    <w:rsid w:val="001F342C"/>
    <w:rsid w:val="001F535F"/>
    <w:rsid w:val="001F57AF"/>
    <w:rsid w:val="001F5E45"/>
    <w:rsid w:val="00205E07"/>
    <w:rsid w:val="00215AF6"/>
    <w:rsid w:val="00245853"/>
    <w:rsid w:val="00253FF0"/>
    <w:rsid w:val="00257F33"/>
    <w:rsid w:val="00264CC7"/>
    <w:rsid w:val="00270DFA"/>
    <w:rsid w:val="002761DF"/>
    <w:rsid w:val="002779E1"/>
    <w:rsid w:val="002845A1"/>
    <w:rsid w:val="002924FC"/>
    <w:rsid w:val="002937ED"/>
    <w:rsid w:val="002D5C87"/>
    <w:rsid w:val="002E3063"/>
    <w:rsid w:val="00300D4E"/>
    <w:rsid w:val="0030607F"/>
    <w:rsid w:val="00310C8B"/>
    <w:rsid w:val="003166F2"/>
    <w:rsid w:val="0033144E"/>
    <w:rsid w:val="00345B38"/>
    <w:rsid w:val="003542E4"/>
    <w:rsid w:val="00356080"/>
    <w:rsid w:val="00356D82"/>
    <w:rsid w:val="00362C50"/>
    <w:rsid w:val="00381428"/>
    <w:rsid w:val="00386850"/>
    <w:rsid w:val="00397E43"/>
    <w:rsid w:val="003A03D9"/>
    <w:rsid w:val="003B643A"/>
    <w:rsid w:val="003C2D01"/>
    <w:rsid w:val="003C4332"/>
    <w:rsid w:val="003D11E6"/>
    <w:rsid w:val="003F4E8B"/>
    <w:rsid w:val="003F53E8"/>
    <w:rsid w:val="00401582"/>
    <w:rsid w:val="00401C1F"/>
    <w:rsid w:val="004132DF"/>
    <w:rsid w:val="00422910"/>
    <w:rsid w:val="00426EB6"/>
    <w:rsid w:val="004326B7"/>
    <w:rsid w:val="0044390E"/>
    <w:rsid w:val="00470ED5"/>
    <w:rsid w:val="00472D83"/>
    <w:rsid w:val="004844B6"/>
    <w:rsid w:val="00484F20"/>
    <w:rsid w:val="004A05ED"/>
    <w:rsid w:val="004A547F"/>
    <w:rsid w:val="004B55EF"/>
    <w:rsid w:val="004C0330"/>
    <w:rsid w:val="004D32AC"/>
    <w:rsid w:val="004D4FBF"/>
    <w:rsid w:val="004E2746"/>
    <w:rsid w:val="004E3FFC"/>
    <w:rsid w:val="004F2AFF"/>
    <w:rsid w:val="004F4FDF"/>
    <w:rsid w:val="005015E2"/>
    <w:rsid w:val="00513819"/>
    <w:rsid w:val="00521DBE"/>
    <w:rsid w:val="005335A5"/>
    <w:rsid w:val="00545989"/>
    <w:rsid w:val="00550103"/>
    <w:rsid w:val="00563377"/>
    <w:rsid w:val="005722D1"/>
    <w:rsid w:val="005A4F5F"/>
    <w:rsid w:val="005A6D4D"/>
    <w:rsid w:val="005B4E12"/>
    <w:rsid w:val="005D5E0C"/>
    <w:rsid w:val="005F6B49"/>
    <w:rsid w:val="006111B4"/>
    <w:rsid w:val="006144BC"/>
    <w:rsid w:val="00617595"/>
    <w:rsid w:val="00624884"/>
    <w:rsid w:val="00625C76"/>
    <w:rsid w:val="00633B0F"/>
    <w:rsid w:val="00637906"/>
    <w:rsid w:val="00643017"/>
    <w:rsid w:val="00667161"/>
    <w:rsid w:val="006A1B69"/>
    <w:rsid w:val="006A6D04"/>
    <w:rsid w:val="006B0F92"/>
    <w:rsid w:val="006B28E2"/>
    <w:rsid w:val="006C4003"/>
    <w:rsid w:val="006C42F9"/>
    <w:rsid w:val="006F4EBD"/>
    <w:rsid w:val="006F580C"/>
    <w:rsid w:val="00716EAB"/>
    <w:rsid w:val="0073177C"/>
    <w:rsid w:val="00735766"/>
    <w:rsid w:val="0075552E"/>
    <w:rsid w:val="007629DC"/>
    <w:rsid w:val="00781208"/>
    <w:rsid w:val="00795AF4"/>
    <w:rsid w:val="00796BA0"/>
    <w:rsid w:val="007B43FD"/>
    <w:rsid w:val="007B61B7"/>
    <w:rsid w:val="007C502D"/>
    <w:rsid w:val="007C730A"/>
    <w:rsid w:val="007D45E4"/>
    <w:rsid w:val="007E1BDF"/>
    <w:rsid w:val="007E4EE0"/>
    <w:rsid w:val="007F2D4F"/>
    <w:rsid w:val="007F3C57"/>
    <w:rsid w:val="007F41D3"/>
    <w:rsid w:val="0080257B"/>
    <w:rsid w:val="00817EEA"/>
    <w:rsid w:val="00821B10"/>
    <w:rsid w:val="00837AFC"/>
    <w:rsid w:val="00863613"/>
    <w:rsid w:val="00863E58"/>
    <w:rsid w:val="00867401"/>
    <w:rsid w:val="00871C41"/>
    <w:rsid w:val="00881FF5"/>
    <w:rsid w:val="00884ED4"/>
    <w:rsid w:val="008A2264"/>
    <w:rsid w:val="008B3A45"/>
    <w:rsid w:val="008D3694"/>
    <w:rsid w:val="008E1BDC"/>
    <w:rsid w:val="008F4424"/>
    <w:rsid w:val="009019BE"/>
    <w:rsid w:val="00907104"/>
    <w:rsid w:val="00956CE9"/>
    <w:rsid w:val="00973934"/>
    <w:rsid w:val="00976BED"/>
    <w:rsid w:val="009952CF"/>
    <w:rsid w:val="009A510E"/>
    <w:rsid w:val="009B6E62"/>
    <w:rsid w:val="009C223D"/>
    <w:rsid w:val="009C4286"/>
    <w:rsid w:val="009E130B"/>
    <w:rsid w:val="009E4CE1"/>
    <w:rsid w:val="009E533F"/>
    <w:rsid w:val="009F20EF"/>
    <w:rsid w:val="00A11C3E"/>
    <w:rsid w:val="00A220BB"/>
    <w:rsid w:val="00A22365"/>
    <w:rsid w:val="00A269C5"/>
    <w:rsid w:val="00A43630"/>
    <w:rsid w:val="00A454EF"/>
    <w:rsid w:val="00A76B4D"/>
    <w:rsid w:val="00A94C69"/>
    <w:rsid w:val="00A954CD"/>
    <w:rsid w:val="00AA2AC6"/>
    <w:rsid w:val="00AA3CB7"/>
    <w:rsid w:val="00AC0F91"/>
    <w:rsid w:val="00AC158F"/>
    <w:rsid w:val="00AD1743"/>
    <w:rsid w:val="00AD5207"/>
    <w:rsid w:val="00AE4EE7"/>
    <w:rsid w:val="00B012AD"/>
    <w:rsid w:val="00B07F04"/>
    <w:rsid w:val="00B11879"/>
    <w:rsid w:val="00B16A5F"/>
    <w:rsid w:val="00B31FC8"/>
    <w:rsid w:val="00B40445"/>
    <w:rsid w:val="00B40FFF"/>
    <w:rsid w:val="00B4129A"/>
    <w:rsid w:val="00B424AC"/>
    <w:rsid w:val="00B504E9"/>
    <w:rsid w:val="00B6386C"/>
    <w:rsid w:val="00B670E3"/>
    <w:rsid w:val="00B727CA"/>
    <w:rsid w:val="00B757C2"/>
    <w:rsid w:val="00B8246A"/>
    <w:rsid w:val="00B949BF"/>
    <w:rsid w:val="00BA4F1C"/>
    <w:rsid w:val="00BA7829"/>
    <w:rsid w:val="00BB0710"/>
    <w:rsid w:val="00BC628F"/>
    <w:rsid w:val="00BE6225"/>
    <w:rsid w:val="00BE79B3"/>
    <w:rsid w:val="00BF3262"/>
    <w:rsid w:val="00BF3AF5"/>
    <w:rsid w:val="00C019C3"/>
    <w:rsid w:val="00C11867"/>
    <w:rsid w:val="00C12D27"/>
    <w:rsid w:val="00C154FC"/>
    <w:rsid w:val="00C2146B"/>
    <w:rsid w:val="00C23B74"/>
    <w:rsid w:val="00C2500B"/>
    <w:rsid w:val="00C37A30"/>
    <w:rsid w:val="00C574D9"/>
    <w:rsid w:val="00C61120"/>
    <w:rsid w:val="00C644E5"/>
    <w:rsid w:val="00CA1CC4"/>
    <w:rsid w:val="00CB0978"/>
    <w:rsid w:val="00CB3087"/>
    <w:rsid w:val="00CC078B"/>
    <w:rsid w:val="00CC6A40"/>
    <w:rsid w:val="00CD4A87"/>
    <w:rsid w:val="00CE1DAE"/>
    <w:rsid w:val="00CE279D"/>
    <w:rsid w:val="00CE729A"/>
    <w:rsid w:val="00CF1D2B"/>
    <w:rsid w:val="00CF3AD5"/>
    <w:rsid w:val="00CF72B5"/>
    <w:rsid w:val="00D14C5F"/>
    <w:rsid w:val="00D33FBF"/>
    <w:rsid w:val="00D34244"/>
    <w:rsid w:val="00D45952"/>
    <w:rsid w:val="00D55597"/>
    <w:rsid w:val="00D67FD3"/>
    <w:rsid w:val="00D740C4"/>
    <w:rsid w:val="00D91727"/>
    <w:rsid w:val="00DA2A8A"/>
    <w:rsid w:val="00DB2371"/>
    <w:rsid w:val="00DD19E7"/>
    <w:rsid w:val="00DD4624"/>
    <w:rsid w:val="00E252C2"/>
    <w:rsid w:val="00E30D76"/>
    <w:rsid w:val="00E45853"/>
    <w:rsid w:val="00E56D4B"/>
    <w:rsid w:val="00E63850"/>
    <w:rsid w:val="00E72944"/>
    <w:rsid w:val="00E81201"/>
    <w:rsid w:val="00EA1757"/>
    <w:rsid w:val="00EB4328"/>
    <w:rsid w:val="00EB7D52"/>
    <w:rsid w:val="00EC0F85"/>
    <w:rsid w:val="00EC585B"/>
    <w:rsid w:val="00ED0326"/>
    <w:rsid w:val="00ED18E2"/>
    <w:rsid w:val="00EE1E50"/>
    <w:rsid w:val="00EF0AC0"/>
    <w:rsid w:val="00EF3BDB"/>
    <w:rsid w:val="00EF4029"/>
    <w:rsid w:val="00F133ED"/>
    <w:rsid w:val="00F1358C"/>
    <w:rsid w:val="00F47DFF"/>
    <w:rsid w:val="00F512C0"/>
    <w:rsid w:val="00F545A9"/>
    <w:rsid w:val="00F57AA1"/>
    <w:rsid w:val="00F71E58"/>
    <w:rsid w:val="00FA42A4"/>
    <w:rsid w:val="00FA5D87"/>
    <w:rsid w:val="00FA71BB"/>
    <w:rsid w:val="00FA7F07"/>
    <w:rsid w:val="00FB6AD2"/>
    <w:rsid w:val="00FC6A2C"/>
    <w:rsid w:val="00FC70B9"/>
    <w:rsid w:val="00FD0F45"/>
    <w:rsid w:val="00FE3422"/>
    <w:rsid w:val="0119677B"/>
    <w:rsid w:val="011C15FF"/>
    <w:rsid w:val="01567C26"/>
    <w:rsid w:val="01721B83"/>
    <w:rsid w:val="01A32417"/>
    <w:rsid w:val="01CF0822"/>
    <w:rsid w:val="01E06C7B"/>
    <w:rsid w:val="01E865B2"/>
    <w:rsid w:val="02210933"/>
    <w:rsid w:val="02360EDB"/>
    <w:rsid w:val="027345B1"/>
    <w:rsid w:val="02830FB3"/>
    <w:rsid w:val="02B075ED"/>
    <w:rsid w:val="02FE10F4"/>
    <w:rsid w:val="035440E1"/>
    <w:rsid w:val="036B7036"/>
    <w:rsid w:val="039E3BFD"/>
    <w:rsid w:val="03A52186"/>
    <w:rsid w:val="03CC5D27"/>
    <w:rsid w:val="03D80929"/>
    <w:rsid w:val="03E05C76"/>
    <w:rsid w:val="041871BE"/>
    <w:rsid w:val="042B435D"/>
    <w:rsid w:val="049F37D5"/>
    <w:rsid w:val="04CB3C60"/>
    <w:rsid w:val="04DD3F64"/>
    <w:rsid w:val="05017C52"/>
    <w:rsid w:val="050F6841"/>
    <w:rsid w:val="05294336"/>
    <w:rsid w:val="055F0D07"/>
    <w:rsid w:val="056106F1"/>
    <w:rsid w:val="057771F1"/>
    <w:rsid w:val="05D37841"/>
    <w:rsid w:val="05D717CC"/>
    <w:rsid w:val="05FB0B46"/>
    <w:rsid w:val="060D6622"/>
    <w:rsid w:val="069F5E3F"/>
    <w:rsid w:val="06E806DB"/>
    <w:rsid w:val="06F714C4"/>
    <w:rsid w:val="0732065F"/>
    <w:rsid w:val="0747450D"/>
    <w:rsid w:val="07603356"/>
    <w:rsid w:val="076B33F2"/>
    <w:rsid w:val="07707311"/>
    <w:rsid w:val="077E1A2E"/>
    <w:rsid w:val="079846CF"/>
    <w:rsid w:val="07D258D6"/>
    <w:rsid w:val="07EF76F4"/>
    <w:rsid w:val="0833233D"/>
    <w:rsid w:val="0837398B"/>
    <w:rsid w:val="083D2D09"/>
    <w:rsid w:val="08770014"/>
    <w:rsid w:val="08A17403"/>
    <w:rsid w:val="08DB07BA"/>
    <w:rsid w:val="09045F63"/>
    <w:rsid w:val="09513E08"/>
    <w:rsid w:val="09BD211A"/>
    <w:rsid w:val="09D92B0A"/>
    <w:rsid w:val="09F47D86"/>
    <w:rsid w:val="0A186249"/>
    <w:rsid w:val="0A197F7E"/>
    <w:rsid w:val="0A385CC9"/>
    <w:rsid w:val="0A5627EE"/>
    <w:rsid w:val="0A9B1208"/>
    <w:rsid w:val="0B1306DF"/>
    <w:rsid w:val="0B3176B9"/>
    <w:rsid w:val="0B350F1E"/>
    <w:rsid w:val="0B567DB2"/>
    <w:rsid w:val="0B8003C6"/>
    <w:rsid w:val="0B953281"/>
    <w:rsid w:val="0BBE4AEF"/>
    <w:rsid w:val="0BC1638D"/>
    <w:rsid w:val="0BE67BA2"/>
    <w:rsid w:val="0C4D1A7D"/>
    <w:rsid w:val="0C6E307A"/>
    <w:rsid w:val="0C79631A"/>
    <w:rsid w:val="0C870073"/>
    <w:rsid w:val="0CD26635"/>
    <w:rsid w:val="0CF04470"/>
    <w:rsid w:val="0D2546FA"/>
    <w:rsid w:val="0D442DD2"/>
    <w:rsid w:val="0D5B011C"/>
    <w:rsid w:val="0D8F6D83"/>
    <w:rsid w:val="0D9C2C0E"/>
    <w:rsid w:val="0DB21270"/>
    <w:rsid w:val="0DFC7AC6"/>
    <w:rsid w:val="0E05260E"/>
    <w:rsid w:val="0E17302F"/>
    <w:rsid w:val="0E8129BA"/>
    <w:rsid w:val="0E87446B"/>
    <w:rsid w:val="0EB951BB"/>
    <w:rsid w:val="0EBB70C4"/>
    <w:rsid w:val="0F240D7A"/>
    <w:rsid w:val="0F3349D4"/>
    <w:rsid w:val="0F40543D"/>
    <w:rsid w:val="0F543075"/>
    <w:rsid w:val="10190546"/>
    <w:rsid w:val="10207882"/>
    <w:rsid w:val="10497440"/>
    <w:rsid w:val="10497C64"/>
    <w:rsid w:val="109147B6"/>
    <w:rsid w:val="10936165"/>
    <w:rsid w:val="109C5D2A"/>
    <w:rsid w:val="10A307B1"/>
    <w:rsid w:val="111D3578"/>
    <w:rsid w:val="113A6706"/>
    <w:rsid w:val="117723FA"/>
    <w:rsid w:val="118F0A79"/>
    <w:rsid w:val="12003DC3"/>
    <w:rsid w:val="122C00C1"/>
    <w:rsid w:val="123407D3"/>
    <w:rsid w:val="1240233E"/>
    <w:rsid w:val="12440260"/>
    <w:rsid w:val="12707929"/>
    <w:rsid w:val="12C64289"/>
    <w:rsid w:val="130F0287"/>
    <w:rsid w:val="13212838"/>
    <w:rsid w:val="134745E8"/>
    <w:rsid w:val="134C478E"/>
    <w:rsid w:val="136D66AD"/>
    <w:rsid w:val="138B6BBE"/>
    <w:rsid w:val="139A1CDC"/>
    <w:rsid w:val="13A22600"/>
    <w:rsid w:val="14223741"/>
    <w:rsid w:val="14335138"/>
    <w:rsid w:val="14432035"/>
    <w:rsid w:val="145C799A"/>
    <w:rsid w:val="145D29CB"/>
    <w:rsid w:val="146B333A"/>
    <w:rsid w:val="14726477"/>
    <w:rsid w:val="14AC287C"/>
    <w:rsid w:val="14B51C4C"/>
    <w:rsid w:val="14C52A4A"/>
    <w:rsid w:val="14E51AA6"/>
    <w:rsid w:val="150E6DF6"/>
    <w:rsid w:val="15610299"/>
    <w:rsid w:val="157058CF"/>
    <w:rsid w:val="159A18B0"/>
    <w:rsid w:val="15FB0BA1"/>
    <w:rsid w:val="1606331B"/>
    <w:rsid w:val="16133262"/>
    <w:rsid w:val="162E6537"/>
    <w:rsid w:val="16721D73"/>
    <w:rsid w:val="16A02D2B"/>
    <w:rsid w:val="16B12103"/>
    <w:rsid w:val="16C136E5"/>
    <w:rsid w:val="16C94170"/>
    <w:rsid w:val="16DC0C5E"/>
    <w:rsid w:val="171777EB"/>
    <w:rsid w:val="17514A69"/>
    <w:rsid w:val="176A242F"/>
    <w:rsid w:val="176D1177"/>
    <w:rsid w:val="17C26BEE"/>
    <w:rsid w:val="18003AE1"/>
    <w:rsid w:val="1807273B"/>
    <w:rsid w:val="189664AC"/>
    <w:rsid w:val="18B708FC"/>
    <w:rsid w:val="18C837D7"/>
    <w:rsid w:val="19045B0B"/>
    <w:rsid w:val="19197971"/>
    <w:rsid w:val="1943415D"/>
    <w:rsid w:val="198E357D"/>
    <w:rsid w:val="19F17461"/>
    <w:rsid w:val="1A092BF4"/>
    <w:rsid w:val="1A0C2BBE"/>
    <w:rsid w:val="1A392464"/>
    <w:rsid w:val="1A4A267C"/>
    <w:rsid w:val="1A50725A"/>
    <w:rsid w:val="1A6E6738"/>
    <w:rsid w:val="1A7B1ADB"/>
    <w:rsid w:val="1A910CAF"/>
    <w:rsid w:val="1AC72FDD"/>
    <w:rsid w:val="1AD52046"/>
    <w:rsid w:val="1AF000F5"/>
    <w:rsid w:val="1AF3309A"/>
    <w:rsid w:val="1B276D1E"/>
    <w:rsid w:val="1B5A7C65"/>
    <w:rsid w:val="1B7A3E63"/>
    <w:rsid w:val="1BA151F5"/>
    <w:rsid w:val="1BB06AD1"/>
    <w:rsid w:val="1BBC5B17"/>
    <w:rsid w:val="1BC25F36"/>
    <w:rsid w:val="1BD71185"/>
    <w:rsid w:val="1BE415A1"/>
    <w:rsid w:val="1C014D39"/>
    <w:rsid w:val="1C4032FE"/>
    <w:rsid w:val="1C41045A"/>
    <w:rsid w:val="1C736226"/>
    <w:rsid w:val="1C817AE6"/>
    <w:rsid w:val="1C8B6B24"/>
    <w:rsid w:val="1CDA105D"/>
    <w:rsid w:val="1CED332D"/>
    <w:rsid w:val="1CED6FE2"/>
    <w:rsid w:val="1CFF0AC4"/>
    <w:rsid w:val="1D444C95"/>
    <w:rsid w:val="1D61136E"/>
    <w:rsid w:val="1DAD628A"/>
    <w:rsid w:val="1DC0012D"/>
    <w:rsid w:val="1DDB2121"/>
    <w:rsid w:val="1E2D1660"/>
    <w:rsid w:val="1E3A73FC"/>
    <w:rsid w:val="1E4D0B27"/>
    <w:rsid w:val="1E8230F0"/>
    <w:rsid w:val="1E960FB4"/>
    <w:rsid w:val="1EDC0D56"/>
    <w:rsid w:val="1EF63DD6"/>
    <w:rsid w:val="1F174A4F"/>
    <w:rsid w:val="1F5F1881"/>
    <w:rsid w:val="1F803082"/>
    <w:rsid w:val="1FA327B0"/>
    <w:rsid w:val="1FB1048A"/>
    <w:rsid w:val="1FF06080"/>
    <w:rsid w:val="2000568E"/>
    <w:rsid w:val="20015A66"/>
    <w:rsid w:val="20024C12"/>
    <w:rsid w:val="20847C5E"/>
    <w:rsid w:val="20EF69A7"/>
    <w:rsid w:val="210E5F6C"/>
    <w:rsid w:val="211D59BC"/>
    <w:rsid w:val="212119CC"/>
    <w:rsid w:val="212149BB"/>
    <w:rsid w:val="21474729"/>
    <w:rsid w:val="215C1D4B"/>
    <w:rsid w:val="21946CF0"/>
    <w:rsid w:val="219A7D02"/>
    <w:rsid w:val="21A128DC"/>
    <w:rsid w:val="21CF6AB1"/>
    <w:rsid w:val="21F1326C"/>
    <w:rsid w:val="21FE759C"/>
    <w:rsid w:val="222F5F26"/>
    <w:rsid w:val="224215E8"/>
    <w:rsid w:val="229720A1"/>
    <w:rsid w:val="22BB61B1"/>
    <w:rsid w:val="22E03145"/>
    <w:rsid w:val="22E079AB"/>
    <w:rsid w:val="22E91FFA"/>
    <w:rsid w:val="236312FC"/>
    <w:rsid w:val="23A523C2"/>
    <w:rsid w:val="23BD599E"/>
    <w:rsid w:val="23CD508A"/>
    <w:rsid w:val="23D03546"/>
    <w:rsid w:val="23FF13A9"/>
    <w:rsid w:val="24151771"/>
    <w:rsid w:val="24287D53"/>
    <w:rsid w:val="249675D0"/>
    <w:rsid w:val="24A501A2"/>
    <w:rsid w:val="24EC5DD1"/>
    <w:rsid w:val="25107448"/>
    <w:rsid w:val="25291CCF"/>
    <w:rsid w:val="252A3AB2"/>
    <w:rsid w:val="25381017"/>
    <w:rsid w:val="253C5C51"/>
    <w:rsid w:val="2562072A"/>
    <w:rsid w:val="257F09F3"/>
    <w:rsid w:val="258F6530"/>
    <w:rsid w:val="26143832"/>
    <w:rsid w:val="26576797"/>
    <w:rsid w:val="26642B4B"/>
    <w:rsid w:val="26F86CAF"/>
    <w:rsid w:val="2730634B"/>
    <w:rsid w:val="274417F4"/>
    <w:rsid w:val="274A4CBD"/>
    <w:rsid w:val="27C052F3"/>
    <w:rsid w:val="27EB4DC2"/>
    <w:rsid w:val="27F37477"/>
    <w:rsid w:val="284607DD"/>
    <w:rsid w:val="284D02F3"/>
    <w:rsid w:val="28592222"/>
    <w:rsid w:val="286B34B1"/>
    <w:rsid w:val="286B7345"/>
    <w:rsid w:val="288042AC"/>
    <w:rsid w:val="28836A4D"/>
    <w:rsid w:val="288834CC"/>
    <w:rsid w:val="28E374EB"/>
    <w:rsid w:val="2914678D"/>
    <w:rsid w:val="29506139"/>
    <w:rsid w:val="297739B7"/>
    <w:rsid w:val="297C0619"/>
    <w:rsid w:val="297C60EF"/>
    <w:rsid w:val="29A819B4"/>
    <w:rsid w:val="29B132C6"/>
    <w:rsid w:val="29BA192D"/>
    <w:rsid w:val="29BE2D99"/>
    <w:rsid w:val="29F33F71"/>
    <w:rsid w:val="2A3A138D"/>
    <w:rsid w:val="2A614DAD"/>
    <w:rsid w:val="2A9943B2"/>
    <w:rsid w:val="2ABE3D6C"/>
    <w:rsid w:val="2B326109"/>
    <w:rsid w:val="2B387FE2"/>
    <w:rsid w:val="2B8A0212"/>
    <w:rsid w:val="2BF97111"/>
    <w:rsid w:val="2C1762D8"/>
    <w:rsid w:val="2C1D1654"/>
    <w:rsid w:val="2C715EFC"/>
    <w:rsid w:val="2C74679D"/>
    <w:rsid w:val="2C8F70C4"/>
    <w:rsid w:val="2C930564"/>
    <w:rsid w:val="2CB76CC5"/>
    <w:rsid w:val="2CD07D87"/>
    <w:rsid w:val="2CE017AE"/>
    <w:rsid w:val="2D2105E2"/>
    <w:rsid w:val="2D35143B"/>
    <w:rsid w:val="2D4D5093"/>
    <w:rsid w:val="2D6329A9"/>
    <w:rsid w:val="2D6C4D84"/>
    <w:rsid w:val="2D815720"/>
    <w:rsid w:val="2D995EDD"/>
    <w:rsid w:val="2E372AE1"/>
    <w:rsid w:val="2E442A83"/>
    <w:rsid w:val="2E46434A"/>
    <w:rsid w:val="2E8B665B"/>
    <w:rsid w:val="2EA34213"/>
    <w:rsid w:val="2EA96AE1"/>
    <w:rsid w:val="2EBF4557"/>
    <w:rsid w:val="2ECA280E"/>
    <w:rsid w:val="2F257C1D"/>
    <w:rsid w:val="2F352047"/>
    <w:rsid w:val="2F4A283C"/>
    <w:rsid w:val="2F526AE0"/>
    <w:rsid w:val="2F724E02"/>
    <w:rsid w:val="2F9A5F9B"/>
    <w:rsid w:val="2FA06136"/>
    <w:rsid w:val="2FA47F3C"/>
    <w:rsid w:val="2FAD7ACE"/>
    <w:rsid w:val="2FB7522E"/>
    <w:rsid w:val="2FD86AB4"/>
    <w:rsid w:val="2FF855BE"/>
    <w:rsid w:val="3026485C"/>
    <w:rsid w:val="304A60A2"/>
    <w:rsid w:val="3064630F"/>
    <w:rsid w:val="308B111F"/>
    <w:rsid w:val="30D727F8"/>
    <w:rsid w:val="30DE2053"/>
    <w:rsid w:val="30EA2F55"/>
    <w:rsid w:val="30FB781C"/>
    <w:rsid w:val="312B7C81"/>
    <w:rsid w:val="315974AF"/>
    <w:rsid w:val="317D5A1D"/>
    <w:rsid w:val="31C5622D"/>
    <w:rsid w:val="31DE6AA2"/>
    <w:rsid w:val="321668FF"/>
    <w:rsid w:val="321C75CA"/>
    <w:rsid w:val="32221084"/>
    <w:rsid w:val="326218BD"/>
    <w:rsid w:val="32C57240"/>
    <w:rsid w:val="32FE4074"/>
    <w:rsid w:val="333D58F1"/>
    <w:rsid w:val="3354659A"/>
    <w:rsid w:val="336B65AC"/>
    <w:rsid w:val="336C7696"/>
    <w:rsid w:val="33792F26"/>
    <w:rsid w:val="33A81F5D"/>
    <w:rsid w:val="33B421B0"/>
    <w:rsid w:val="33C822F5"/>
    <w:rsid w:val="34124B1D"/>
    <w:rsid w:val="341715C0"/>
    <w:rsid w:val="341C4B0F"/>
    <w:rsid w:val="34216F09"/>
    <w:rsid w:val="346C2A8B"/>
    <w:rsid w:val="3487175B"/>
    <w:rsid w:val="34995B59"/>
    <w:rsid w:val="34A367D2"/>
    <w:rsid w:val="34AC10D9"/>
    <w:rsid w:val="34AF08E4"/>
    <w:rsid w:val="350F0004"/>
    <w:rsid w:val="350F1260"/>
    <w:rsid w:val="351D4414"/>
    <w:rsid w:val="357B5E76"/>
    <w:rsid w:val="358856A2"/>
    <w:rsid w:val="359A61DE"/>
    <w:rsid w:val="360016DD"/>
    <w:rsid w:val="36185A41"/>
    <w:rsid w:val="3628478F"/>
    <w:rsid w:val="36334579"/>
    <w:rsid w:val="36733FFE"/>
    <w:rsid w:val="369C7F87"/>
    <w:rsid w:val="36A50FD6"/>
    <w:rsid w:val="36C36A3A"/>
    <w:rsid w:val="36D86D6C"/>
    <w:rsid w:val="36DA0180"/>
    <w:rsid w:val="36E43AC6"/>
    <w:rsid w:val="374B79D2"/>
    <w:rsid w:val="375472C7"/>
    <w:rsid w:val="375D3E89"/>
    <w:rsid w:val="37640A01"/>
    <w:rsid w:val="3779542C"/>
    <w:rsid w:val="37C91FA2"/>
    <w:rsid w:val="380F2E63"/>
    <w:rsid w:val="3844292D"/>
    <w:rsid w:val="388D7FC8"/>
    <w:rsid w:val="38901A41"/>
    <w:rsid w:val="38B32E97"/>
    <w:rsid w:val="393234F6"/>
    <w:rsid w:val="393C716C"/>
    <w:rsid w:val="39602FBB"/>
    <w:rsid w:val="396821D2"/>
    <w:rsid w:val="397D4DF2"/>
    <w:rsid w:val="39AE171D"/>
    <w:rsid w:val="39BC1DBE"/>
    <w:rsid w:val="39C7632D"/>
    <w:rsid w:val="39C918D0"/>
    <w:rsid w:val="39F45E7D"/>
    <w:rsid w:val="39F524E6"/>
    <w:rsid w:val="39FC0581"/>
    <w:rsid w:val="3A362498"/>
    <w:rsid w:val="3A871A53"/>
    <w:rsid w:val="3AB360F8"/>
    <w:rsid w:val="3AB45052"/>
    <w:rsid w:val="3AE179FC"/>
    <w:rsid w:val="3B021339"/>
    <w:rsid w:val="3B021AD7"/>
    <w:rsid w:val="3B194FEF"/>
    <w:rsid w:val="3B2C25BB"/>
    <w:rsid w:val="3B4F27BE"/>
    <w:rsid w:val="3B6E70E8"/>
    <w:rsid w:val="3B7F031A"/>
    <w:rsid w:val="3B8858C7"/>
    <w:rsid w:val="3BC211E2"/>
    <w:rsid w:val="3BC62B7A"/>
    <w:rsid w:val="3BE330AA"/>
    <w:rsid w:val="3C1926A7"/>
    <w:rsid w:val="3C574020"/>
    <w:rsid w:val="3C686F62"/>
    <w:rsid w:val="3C6D0808"/>
    <w:rsid w:val="3C81109D"/>
    <w:rsid w:val="3C876488"/>
    <w:rsid w:val="3C9855D7"/>
    <w:rsid w:val="3CB11983"/>
    <w:rsid w:val="3CBF17A9"/>
    <w:rsid w:val="3CC72F54"/>
    <w:rsid w:val="3CD013FC"/>
    <w:rsid w:val="3CFC4A0B"/>
    <w:rsid w:val="3D023DBB"/>
    <w:rsid w:val="3D216AD8"/>
    <w:rsid w:val="3D233F03"/>
    <w:rsid w:val="3D3102FF"/>
    <w:rsid w:val="3D3A6CFA"/>
    <w:rsid w:val="3D4923D4"/>
    <w:rsid w:val="3D49754A"/>
    <w:rsid w:val="3D5C682B"/>
    <w:rsid w:val="3DA212CB"/>
    <w:rsid w:val="3DA908AC"/>
    <w:rsid w:val="3DAE3D89"/>
    <w:rsid w:val="3E500CD2"/>
    <w:rsid w:val="3E5641C9"/>
    <w:rsid w:val="3E9F211B"/>
    <w:rsid w:val="3EB05C6A"/>
    <w:rsid w:val="3EFD0AF3"/>
    <w:rsid w:val="3F000327"/>
    <w:rsid w:val="3F263339"/>
    <w:rsid w:val="3F6B250C"/>
    <w:rsid w:val="401C475C"/>
    <w:rsid w:val="4024443A"/>
    <w:rsid w:val="40293256"/>
    <w:rsid w:val="40383BFD"/>
    <w:rsid w:val="408F0764"/>
    <w:rsid w:val="40AD00CB"/>
    <w:rsid w:val="40AD4170"/>
    <w:rsid w:val="40C35254"/>
    <w:rsid w:val="40D7128C"/>
    <w:rsid w:val="40DC6726"/>
    <w:rsid w:val="40EA2FF3"/>
    <w:rsid w:val="40F46635"/>
    <w:rsid w:val="410B7187"/>
    <w:rsid w:val="414E1E87"/>
    <w:rsid w:val="417157EF"/>
    <w:rsid w:val="41A60B8F"/>
    <w:rsid w:val="41B26803"/>
    <w:rsid w:val="41EE0F83"/>
    <w:rsid w:val="421B789E"/>
    <w:rsid w:val="42552980"/>
    <w:rsid w:val="4257703E"/>
    <w:rsid w:val="425C31C8"/>
    <w:rsid w:val="427C20AC"/>
    <w:rsid w:val="4298407F"/>
    <w:rsid w:val="42A57F14"/>
    <w:rsid w:val="42AC27B0"/>
    <w:rsid w:val="42B87A7C"/>
    <w:rsid w:val="42C121F4"/>
    <w:rsid w:val="42C45840"/>
    <w:rsid w:val="42CD04D9"/>
    <w:rsid w:val="43825B49"/>
    <w:rsid w:val="43DB268B"/>
    <w:rsid w:val="43F860E9"/>
    <w:rsid w:val="44506D54"/>
    <w:rsid w:val="44625310"/>
    <w:rsid w:val="448259B3"/>
    <w:rsid w:val="449D0A3E"/>
    <w:rsid w:val="44F20D8A"/>
    <w:rsid w:val="44FF5255"/>
    <w:rsid w:val="450E1DB1"/>
    <w:rsid w:val="455407C7"/>
    <w:rsid w:val="45622E50"/>
    <w:rsid w:val="4574179F"/>
    <w:rsid w:val="45813EBC"/>
    <w:rsid w:val="45AC77B2"/>
    <w:rsid w:val="45B55914"/>
    <w:rsid w:val="45C26B04"/>
    <w:rsid w:val="45D747BD"/>
    <w:rsid w:val="45DB181E"/>
    <w:rsid w:val="45DC61CB"/>
    <w:rsid w:val="461666EB"/>
    <w:rsid w:val="46592743"/>
    <w:rsid w:val="4678378C"/>
    <w:rsid w:val="471072A6"/>
    <w:rsid w:val="474326C1"/>
    <w:rsid w:val="475353E4"/>
    <w:rsid w:val="475525BD"/>
    <w:rsid w:val="47AD71EA"/>
    <w:rsid w:val="47E41615"/>
    <w:rsid w:val="48063950"/>
    <w:rsid w:val="48133CBE"/>
    <w:rsid w:val="48465966"/>
    <w:rsid w:val="484C6A03"/>
    <w:rsid w:val="48556B46"/>
    <w:rsid w:val="489C3C76"/>
    <w:rsid w:val="48A6719A"/>
    <w:rsid w:val="48F11B33"/>
    <w:rsid w:val="49061CFA"/>
    <w:rsid w:val="49356DB4"/>
    <w:rsid w:val="493D3155"/>
    <w:rsid w:val="495C2C76"/>
    <w:rsid w:val="49637AB7"/>
    <w:rsid w:val="49A275F1"/>
    <w:rsid w:val="49C86C79"/>
    <w:rsid w:val="49D2118A"/>
    <w:rsid w:val="49F350EC"/>
    <w:rsid w:val="4A107E21"/>
    <w:rsid w:val="4A2A2D74"/>
    <w:rsid w:val="4A302A8D"/>
    <w:rsid w:val="4A3F43A6"/>
    <w:rsid w:val="4A72585A"/>
    <w:rsid w:val="4A9E7A36"/>
    <w:rsid w:val="4AAC55E7"/>
    <w:rsid w:val="4AC45C39"/>
    <w:rsid w:val="4AD373DB"/>
    <w:rsid w:val="4ADF590D"/>
    <w:rsid w:val="4B15132F"/>
    <w:rsid w:val="4BC90BD5"/>
    <w:rsid w:val="4BE84F77"/>
    <w:rsid w:val="4C135CB5"/>
    <w:rsid w:val="4C181F0E"/>
    <w:rsid w:val="4C2B1311"/>
    <w:rsid w:val="4C5F7AA8"/>
    <w:rsid w:val="4CA63CA0"/>
    <w:rsid w:val="4CAD1E26"/>
    <w:rsid w:val="4CB42DC9"/>
    <w:rsid w:val="4CDD74A5"/>
    <w:rsid w:val="4CDF3E13"/>
    <w:rsid w:val="4CE128E3"/>
    <w:rsid w:val="4D0913CF"/>
    <w:rsid w:val="4D355221"/>
    <w:rsid w:val="4D5325E2"/>
    <w:rsid w:val="4D5819A6"/>
    <w:rsid w:val="4D65261C"/>
    <w:rsid w:val="4DF92B80"/>
    <w:rsid w:val="4E327DD4"/>
    <w:rsid w:val="4E423311"/>
    <w:rsid w:val="4E431E8F"/>
    <w:rsid w:val="4E5008D0"/>
    <w:rsid w:val="4E713DB8"/>
    <w:rsid w:val="4E76548B"/>
    <w:rsid w:val="4E915170"/>
    <w:rsid w:val="4EAE3EAF"/>
    <w:rsid w:val="4EAE4A90"/>
    <w:rsid w:val="4ECC5CC5"/>
    <w:rsid w:val="4EE447E9"/>
    <w:rsid w:val="4F362EF6"/>
    <w:rsid w:val="4F373F83"/>
    <w:rsid w:val="4F46314E"/>
    <w:rsid w:val="4F6116DC"/>
    <w:rsid w:val="50304849"/>
    <w:rsid w:val="50431A40"/>
    <w:rsid w:val="5058182C"/>
    <w:rsid w:val="507C59AC"/>
    <w:rsid w:val="50812FC2"/>
    <w:rsid w:val="50955D8A"/>
    <w:rsid w:val="50BF7ED6"/>
    <w:rsid w:val="50DC644B"/>
    <w:rsid w:val="50E7551B"/>
    <w:rsid w:val="50F11EF6"/>
    <w:rsid w:val="50F622FE"/>
    <w:rsid w:val="512F0C70"/>
    <w:rsid w:val="51466933"/>
    <w:rsid w:val="515626A1"/>
    <w:rsid w:val="516E7ED5"/>
    <w:rsid w:val="516F70A0"/>
    <w:rsid w:val="518F0B84"/>
    <w:rsid w:val="51A650B5"/>
    <w:rsid w:val="51C55131"/>
    <w:rsid w:val="51E77834"/>
    <w:rsid w:val="52236041"/>
    <w:rsid w:val="52301389"/>
    <w:rsid w:val="52364E13"/>
    <w:rsid w:val="525A2F72"/>
    <w:rsid w:val="52707F16"/>
    <w:rsid w:val="5289695B"/>
    <w:rsid w:val="52F25F35"/>
    <w:rsid w:val="5306347C"/>
    <w:rsid w:val="530F2662"/>
    <w:rsid w:val="531A2859"/>
    <w:rsid w:val="533010B0"/>
    <w:rsid w:val="53760374"/>
    <w:rsid w:val="53822BBA"/>
    <w:rsid w:val="539B2D1D"/>
    <w:rsid w:val="53B37937"/>
    <w:rsid w:val="53BE2437"/>
    <w:rsid w:val="53C90F08"/>
    <w:rsid w:val="53DE6083"/>
    <w:rsid w:val="53DF249A"/>
    <w:rsid w:val="53E26F5C"/>
    <w:rsid w:val="54062CED"/>
    <w:rsid w:val="540D4353"/>
    <w:rsid w:val="54125703"/>
    <w:rsid w:val="543D36A4"/>
    <w:rsid w:val="545830E6"/>
    <w:rsid w:val="54596730"/>
    <w:rsid w:val="54B230E1"/>
    <w:rsid w:val="54B27BEE"/>
    <w:rsid w:val="54F81655"/>
    <w:rsid w:val="54FD4ABD"/>
    <w:rsid w:val="54FF57F9"/>
    <w:rsid w:val="55001A1E"/>
    <w:rsid w:val="551F2D3B"/>
    <w:rsid w:val="556E1DF4"/>
    <w:rsid w:val="558843A1"/>
    <w:rsid w:val="55B4188E"/>
    <w:rsid w:val="55B521B7"/>
    <w:rsid w:val="55EE6AE2"/>
    <w:rsid w:val="562F5BB8"/>
    <w:rsid w:val="565054E5"/>
    <w:rsid w:val="56EF5D07"/>
    <w:rsid w:val="56F634C4"/>
    <w:rsid w:val="57655010"/>
    <w:rsid w:val="576E2940"/>
    <w:rsid w:val="5784476F"/>
    <w:rsid w:val="57877110"/>
    <w:rsid w:val="57BF0E2F"/>
    <w:rsid w:val="57C977D2"/>
    <w:rsid w:val="58111424"/>
    <w:rsid w:val="585B496A"/>
    <w:rsid w:val="587549E7"/>
    <w:rsid w:val="589A78EC"/>
    <w:rsid w:val="58B912F3"/>
    <w:rsid w:val="58EB3947"/>
    <w:rsid w:val="58F26454"/>
    <w:rsid w:val="593A51BD"/>
    <w:rsid w:val="5943350B"/>
    <w:rsid w:val="59952A8F"/>
    <w:rsid w:val="599F11F2"/>
    <w:rsid w:val="59A00745"/>
    <w:rsid w:val="59A1399B"/>
    <w:rsid w:val="59D95C1D"/>
    <w:rsid w:val="5A2275C4"/>
    <w:rsid w:val="5A2669C9"/>
    <w:rsid w:val="5A3E3CD2"/>
    <w:rsid w:val="5A870DC9"/>
    <w:rsid w:val="5AAA1221"/>
    <w:rsid w:val="5AAE2C06"/>
    <w:rsid w:val="5AC96BE9"/>
    <w:rsid w:val="5ACB0EAD"/>
    <w:rsid w:val="5AE334E4"/>
    <w:rsid w:val="5AF47777"/>
    <w:rsid w:val="5AFF722C"/>
    <w:rsid w:val="5BC54A6B"/>
    <w:rsid w:val="5BCE4174"/>
    <w:rsid w:val="5BD14706"/>
    <w:rsid w:val="5BD46D29"/>
    <w:rsid w:val="5BDD6A4F"/>
    <w:rsid w:val="5BE554CC"/>
    <w:rsid w:val="5BEE5078"/>
    <w:rsid w:val="5C08653C"/>
    <w:rsid w:val="5C607282"/>
    <w:rsid w:val="5C62344D"/>
    <w:rsid w:val="5C6E0D25"/>
    <w:rsid w:val="5CB17D25"/>
    <w:rsid w:val="5CCD7CBB"/>
    <w:rsid w:val="5CEE5E83"/>
    <w:rsid w:val="5CF41F11"/>
    <w:rsid w:val="5D133B71"/>
    <w:rsid w:val="5D465FE4"/>
    <w:rsid w:val="5D753EAF"/>
    <w:rsid w:val="5D83481E"/>
    <w:rsid w:val="5DDE3802"/>
    <w:rsid w:val="5DEC0898"/>
    <w:rsid w:val="5DFB3548"/>
    <w:rsid w:val="5E055233"/>
    <w:rsid w:val="5E1561C1"/>
    <w:rsid w:val="5E1A5010"/>
    <w:rsid w:val="5E442CB7"/>
    <w:rsid w:val="5E56783C"/>
    <w:rsid w:val="5E7A5AA7"/>
    <w:rsid w:val="5EE906B0"/>
    <w:rsid w:val="5EF17565"/>
    <w:rsid w:val="5F182745"/>
    <w:rsid w:val="5F1D387E"/>
    <w:rsid w:val="5F4530DE"/>
    <w:rsid w:val="5F4A37AF"/>
    <w:rsid w:val="5F714404"/>
    <w:rsid w:val="5F925BF4"/>
    <w:rsid w:val="5F9440A6"/>
    <w:rsid w:val="5FAF4A95"/>
    <w:rsid w:val="5FB94527"/>
    <w:rsid w:val="6037544B"/>
    <w:rsid w:val="603B4F3C"/>
    <w:rsid w:val="60630F33"/>
    <w:rsid w:val="60767BD1"/>
    <w:rsid w:val="60A575FB"/>
    <w:rsid w:val="60A70110"/>
    <w:rsid w:val="60AB1A3D"/>
    <w:rsid w:val="6125254D"/>
    <w:rsid w:val="61503FD2"/>
    <w:rsid w:val="61585F61"/>
    <w:rsid w:val="616575B2"/>
    <w:rsid w:val="61954371"/>
    <w:rsid w:val="61966F55"/>
    <w:rsid w:val="61B9080E"/>
    <w:rsid w:val="61D948CF"/>
    <w:rsid w:val="61F370AE"/>
    <w:rsid w:val="62015D11"/>
    <w:rsid w:val="62157A0E"/>
    <w:rsid w:val="6220516F"/>
    <w:rsid w:val="62254E80"/>
    <w:rsid w:val="62466A34"/>
    <w:rsid w:val="624C3A1E"/>
    <w:rsid w:val="62651973"/>
    <w:rsid w:val="62802B07"/>
    <w:rsid w:val="62814A3E"/>
    <w:rsid w:val="628E28E5"/>
    <w:rsid w:val="62CA6624"/>
    <w:rsid w:val="62E153A9"/>
    <w:rsid w:val="62E713AB"/>
    <w:rsid w:val="62F060C2"/>
    <w:rsid w:val="62FF4946"/>
    <w:rsid w:val="6322476F"/>
    <w:rsid w:val="632E6FDA"/>
    <w:rsid w:val="63367C3C"/>
    <w:rsid w:val="633A772C"/>
    <w:rsid w:val="63536D70"/>
    <w:rsid w:val="63554566"/>
    <w:rsid w:val="637349EC"/>
    <w:rsid w:val="63892462"/>
    <w:rsid w:val="63926B24"/>
    <w:rsid w:val="63C82F8A"/>
    <w:rsid w:val="63CF256B"/>
    <w:rsid w:val="63F773CC"/>
    <w:rsid w:val="648F075D"/>
    <w:rsid w:val="64A15A3D"/>
    <w:rsid w:val="64C64FF0"/>
    <w:rsid w:val="64C8746C"/>
    <w:rsid w:val="651421FF"/>
    <w:rsid w:val="652E4750"/>
    <w:rsid w:val="654A79CF"/>
    <w:rsid w:val="65654C79"/>
    <w:rsid w:val="65735178"/>
    <w:rsid w:val="65880AB6"/>
    <w:rsid w:val="65B819D7"/>
    <w:rsid w:val="65B95448"/>
    <w:rsid w:val="66737617"/>
    <w:rsid w:val="667B2536"/>
    <w:rsid w:val="668A3C67"/>
    <w:rsid w:val="66B82185"/>
    <w:rsid w:val="66C0619B"/>
    <w:rsid w:val="66CE46B8"/>
    <w:rsid w:val="66EA47BB"/>
    <w:rsid w:val="66F61CA6"/>
    <w:rsid w:val="66F83B86"/>
    <w:rsid w:val="670E53AA"/>
    <w:rsid w:val="67351044"/>
    <w:rsid w:val="67420199"/>
    <w:rsid w:val="679D3EE0"/>
    <w:rsid w:val="67C63C85"/>
    <w:rsid w:val="67CB53CB"/>
    <w:rsid w:val="67CE63F2"/>
    <w:rsid w:val="680653BB"/>
    <w:rsid w:val="681C54D7"/>
    <w:rsid w:val="68424A89"/>
    <w:rsid w:val="6870599E"/>
    <w:rsid w:val="68B7537B"/>
    <w:rsid w:val="68C55CEA"/>
    <w:rsid w:val="68C81EE7"/>
    <w:rsid w:val="68D073D9"/>
    <w:rsid w:val="68D96635"/>
    <w:rsid w:val="695A27D3"/>
    <w:rsid w:val="69BC4671"/>
    <w:rsid w:val="6A576993"/>
    <w:rsid w:val="6A843983"/>
    <w:rsid w:val="6AAE2B2E"/>
    <w:rsid w:val="6ABC1BC7"/>
    <w:rsid w:val="6AC12AC8"/>
    <w:rsid w:val="6AC33582"/>
    <w:rsid w:val="6AC41FD2"/>
    <w:rsid w:val="6AD835A1"/>
    <w:rsid w:val="6AE62D7E"/>
    <w:rsid w:val="6AEB3A02"/>
    <w:rsid w:val="6AF21074"/>
    <w:rsid w:val="6B051CA6"/>
    <w:rsid w:val="6B0548C4"/>
    <w:rsid w:val="6B6F63E1"/>
    <w:rsid w:val="6B7C7A4B"/>
    <w:rsid w:val="6BB11DC7"/>
    <w:rsid w:val="6BCB2EA1"/>
    <w:rsid w:val="6BE26C1E"/>
    <w:rsid w:val="6BEE5558"/>
    <w:rsid w:val="6BF57613"/>
    <w:rsid w:val="6BFD3754"/>
    <w:rsid w:val="6C661592"/>
    <w:rsid w:val="6C7D4B2E"/>
    <w:rsid w:val="6C8B2B64"/>
    <w:rsid w:val="6CCF1AF5"/>
    <w:rsid w:val="6D06719A"/>
    <w:rsid w:val="6D3235D3"/>
    <w:rsid w:val="6D8F4B19"/>
    <w:rsid w:val="6E3F78FF"/>
    <w:rsid w:val="6E421F00"/>
    <w:rsid w:val="6E7B61C5"/>
    <w:rsid w:val="6E8C1058"/>
    <w:rsid w:val="6ECA66E7"/>
    <w:rsid w:val="6EE32384"/>
    <w:rsid w:val="6F056812"/>
    <w:rsid w:val="6F065006"/>
    <w:rsid w:val="6F4162E7"/>
    <w:rsid w:val="6F507677"/>
    <w:rsid w:val="6F6B0CBA"/>
    <w:rsid w:val="6FA7614A"/>
    <w:rsid w:val="6FAF24B7"/>
    <w:rsid w:val="6FD86214"/>
    <w:rsid w:val="6FDD47F3"/>
    <w:rsid w:val="6FEE5049"/>
    <w:rsid w:val="6FF331EB"/>
    <w:rsid w:val="7044489E"/>
    <w:rsid w:val="704C6251"/>
    <w:rsid w:val="70910BA8"/>
    <w:rsid w:val="70FB6624"/>
    <w:rsid w:val="71121CE9"/>
    <w:rsid w:val="71134EF4"/>
    <w:rsid w:val="713E488C"/>
    <w:rsid w:val="713F5E68"/>
    <w:rsid w:val="71B003AE"/>
    <w:rsid w:val="71DF7164"/>
    <w:rsid w:val="71E17F11"/>
    <w:rsid w:val="71EA0570"/>
    <w:rsid w:val="71FE2D81"/>
    <w:rsid w:val="72033806"/>
    <w:rsid w:val="720F711F"/>
    <w:rsid w:val="723B701D"/>
    <w:rsid w:val="72DC140E"/>
    <w:rsid w:val="73175665"/>
    <w:rsid w:val="73405305"/>
    <w:rsid w:val="73651B2F"/>
    <w:rsid w:val="73700F48"/>
    <w:rsid w:val="73C3551C"/>
    <w:rsid w:val="73C753EB"/>
    <w:rsid w:val="73CA5D53"/>
    <w:rsid w:val="73E43920"/>
    <w:rsid w:val="741753B6"/>
    <w:rsid w:val="742A4638"/>
    <w:rsid w:val="7494102D"/>
    <w:rsid w:val="749D5D6D"/>
    <w:rsid w:val="74A0760B"/>
    <w:rsid w:val="74BE7A92"/>
    <w:rsid w:val="74D106AE"/>
    <w:rsid w:val="751D4246"/>
    <w:rsid w:val="75962F61"/>
    <w:rsid w:val="75A639D8"/>
    <w:rsid w:val="75CB686E"/>
    <w:rsid w:val="75DF5BA5"/>
    <w:rsid w:val="75F220E9"/>
    <w:rsid w:val="760E7286"/>
    <w:rsid w:val="764C33DF"/>
    <w:rsid w:val="76985CE1"/>
    <w:rsid w:val="76BF7F2A"/>
    <w:rsid w:val="76FD0D45"/>
    <w:rsid w:val="77173977"/>
    <w:rsid w:val="77233D21"/>
    <w:rsid w:val="772509AA"/>
    <w:rsid w:val="773442C9"/>
    <w:rsid w:val="775D7A36"/>
    <w:rsid w:val="775F716F"/>
    <w:rsid w:val="77A71FBB"/>
    <w:rsid w:val="77DE3544"/>
    <w:rsid w:val="77F147E1"/>
    <w:rsid w:val="77F852E3"/>
    <w:rsid w:val="7805290C"/>
    <w:rsid w:val="78293B7A"/>
    <w:rsid w:val="782B0CB9"/>
    <w:rsid w:val="783009D8"/>
    <w:rsid w:val="783B47F8"/>
    <w:rsid w:val="786F7A21"/>
    <w:rsid w:val="78E201F2"/>
    <w:rsid w:val="79050385"/>
    <w:rsid w:val="7906151F"/>
    <w:rsid w:val="792920BF"/>
    <w:rsid w:val="79404F19"/>
    <w:rsid w:val="79500F4C"/>
    <w:rsid w:val="7971208A"/>
    <w:rsid w:val="797945E4"/>
    <w:rsid w:val="79A32814"/>
    <w:rsid w:val="7A0469B8"/>
    <w:rsid w:val="7A237D75"/>
    <w:rsid w:val="7A332CB6"/>
    <w:rsid w:val="7A41363F"/>
    <w:rsid w:val="7A5A1D85"/>
    <w:rsid w:val="7A766672"/>
    <w:rsid w:val="7A827988"/>
    <w:rsid w:val="7AA0216B"/>
    <w:rsid w:val="7AC27CB7"/>
    <w:rsid w:val="7AF523E6"/>
    <w:rsid w:val="7B0C1557"/>
    <w:rsid w:val="7B3719B9"/>
    <w:rsid w:val="7B4B5366"/>
    <w:rsid w:val="7B551150"/>
    <w:rsid w:val="7B964C1F"/>
    <w:rsid w:val="7C00629D"/>
    <w:rsid w:val="7C011166"/>
    <w:rsid w:val="7C283AF2"/>
    <w:rsid w:val="7C5F06BA"/>
    <w:rsid w:val="7C656839"/>
    <w:rsid w:val="7C683105"/>
    <w:rsid w:val="7C703BD4"/>
    <w:rsid w:val="7C9537CE"/>
    <w:rsid w:val="7CBE60F6"/>
    <w:rsid w:val="7CD53A06"/>
    <w:rsid w:val="7CE24C65"/>
    <w:rsid w:val="7CE7227B"/>
    <w:rsid w:val="7CF13CEF"/>
    <w:rsid w:val="7D1105DB"/>
    <w:rsid w:val="7D1B3655"/>
    <w:rsid w:val="7DA96E5C"/>
    <w:rsid w:val="7DAF26CA"/>
    <w:rsid w:val="7DB427A3"/>
    <w:rsid w:val="7DD0309F"/>
    <w:rsid w:val="7DDA2983"/>
    <w:rsid w:val="7E096221"/>
    <w:rsid w:val="7E365DA1"/>
    <w:rsid w:val="7E707B8D"/>
    <w:rsid w:val="7E731A04"/>
    <w:rsid w:val="7E9C4EDE"/>
    <w:rsid w:val="7E9F26E2"/>
    <w:rsid w:val="7EB75B8C"/>
    <w:rsid w:val="7EBC7738"/>
    <w:rsid w:val="7F1B7FBA"/>
    <w:rsid w:val="7F8C2BD1"/>
    <w:rsid w:val="7FA2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numPr>
        <w:ilvl w:val="0"/>
        <w:numId w:val="1"/>
      </w:numPr>
      <w:outlineLvl w:val="0"/>
    </w:pPr>
    <w:rPr>
      <w:b/>
    </w:rPr>
  </w:style>
  <w:style w:type="paragraph" w:styleId="4">
    <w:name w:val="heading 2"/>
    <w:basedOn w:val="1"/>
    <w:next w:val="1"/>
    <w:qFormat/>
    <w:uiPriority w:val="0"/>
    <w:pPr>
      <w:keepNext/>
      <w:keepLines/>
      <w:spacing w:before="260" w:after="260" w:line="416"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7">
    <w:name w:val="Normal Indent"/>
    <w:basedOn w:val="1"/>
    <w:next w:val="1"/>
    <w:qFormat/>
    <w:uiPriority w:val="0"/>
    <w:pPr>
      <w:ind w:firstLine="420" w:firstLineChars="200"/>
    </w:pPr>
    <w:rPr>
      <w:szCs w:val="24"/>
    </w:rPr>
  </w:style>
  <w:style w:type="paragraph" w:styleId="8">
    <w:name w:val="Body Text 3"/>
    <w:basedOn w:val="1"/>
    <w:qFormat/>
    <w:uiPriority w:val="0"/>
    <w:pPr>
      <w:spacing w:line="440" w:lineRule="exact"/>
    </w:pPr>
    <w:rPr>
      <w:color w:val="000000"/>
      <w:szCs w:val="18"/>
    </w:rPr>
  </w:style>
  <w:style w:type="paragraph" w:styleId="9">
    <w:name w:val="Body Text"/>
    <w:basedOn w:val="1"/>
    <w:next w:val="10"/>
    <w:qFormat/>
    <w:uiPriority w:val="0"/>
    <w:rPr>
      <w:rFonts w:ascii="Arial" w:hAnsi="Arial"/>
      <w:sz w:val="24"/>
    </w:rPr>
  </w:style>
  <w:style w:type="paragraph" w:styleId="10">
    <w:name w:val="Date"/>
    <w:basedOn w:val="1"/>
    <w:next w:val="1"/>
    <w:qFormat/>
    <w:uiPriority w:val="0"/>
    <w:pPr>
      <w:ind w:left="100" w:leftChars="2500"/>
    </w:pPr>
  </w:style>
  <w:style w:type="paragraph" w:styleId="11">
    <w:name w:val="Body Text Indent"/>
    <w:basedOn w:val="1"/>
    <w:next w:val="1"/>
    <w:qFormat/>
    <w:uiPriority w:val="0"/>
    <w:pPr>
      <w:ind w:firstLine="480"/>
    </w:pPr>
    <w:rPr>
      <w:rFonts w:ascii="宋体" w:hAnsi="宋体"/>
      <w:sz w:val="24"/>
    </w:rPr>
  </w:style>
  <w:style w:type="paragraph" w:styleId="12">
    <w:name w:val="Plain Text"/>
    <w:basedOn w:val="1"/>
    <w:qFormat/>
    <w:uiPriority w:val="0"/>
    <w:rPr>
      <w:rFonts w:ascii="宋体" w:hAnsi="Courier New"/>
    </w:rPr>
  </w:style>
  <w:style w:type="paragraph" w:styleId="13">
    <w:name w:val="footer"/>
    <w:basedOn w:val="1"/>
    <w:qFormat/>
    <w:uiPriority w:val="99"/>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style>
  <w:style w:type="paragraph" w:styleId="16">
    <w:name w:val="footnote text"/>
    <w:basedOn w:val="1"/>
    <w:link w:val="38"/>
    <w:qFormat/>
    <w:uiPriority w:val="0"/>
    <w:pPr>
      <w:snapToGrid w:val="0"/>
      <w:jc w:val="left"/>
    </w:pPr>
    <w:rPr>
      <w:sz w:val="18"/>
    </w:rPr>
  </w:style>
  <w:style w:type="paragraph" w:styleId="17">
    <w:name w:val="index 7"/>
    <w:basedOn w:val="1"/>
    <w:next w:val="1"/>
    <w:qFormat/>
    <w:uiPriority w:val="0"/>
    <w:pPr>
      <w:autoSpaceDE/>
      <w:autoSpaceDN/>
      <w:adjustRightInd/>
      <w:ind w:left="1200" w:leftChars="1200"/>
    </w:pPr>
    <w:rPr>
      <w:color w:val="auto"/>
      <w:kern w:val="2"/>
      <w:szCs w:val="24"/>
    </w:rPr>
  </w:style>
  <w:style w:type="paragraph" w:styleId="18">
    <w:name w:val="toc 2"/>
    <w:basedOn w:val="1"/>
    <w:next w:val="1"/>
    <w:qFormat/>
    <w:uiPriority w:val="39"/>
    <w:pPr>
      <w:ind w:left="420" w:leftChars="200"/>
    </w:pPr>
  </w:style>
  <w:style w:type="paragraph" w:styleId="19">
    <w:name w:val="Body Text 2"/>
    <w:basedOn w:val="1"/>
    <w:qFormat/>
    <w:uiPriority w:val="0"/>
    <w:pPr>
      <w:tabs>
        <w:tab w:val="left" w:pos="0"/>
      </w:tabs>
      <w:spacing w:line="400" w:lineRule="atLeast"/>
    </w:pPr>
    <w:rPr>
      <w:rFonts w:ascii="Arial" w:hAnsi="Arial"/>
      <w:color w:val="000000"/>
    </w:rPr>
  </w:style>
  <w:style w:type="paragraph" w:styleId="2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21">
    <w:name w:val="Body Text First Indent"/>
    <w:basedOn w:val="9"/>
    <w:qFormat/>
    <w:uiPriority w:val="0"/>
    <w:pPr>
      <w:spacing w:after="120"/>
      <w:ind w:firstLine="420" w:firstLineChars="100"/>
    </w:pPr>
    <w:rPr>
      <w:rFonts w:ascii="Times New Roman" w:hAnsi="Times New Roman"/>
      <w:sz w:val="21"/>
    </w:rPr>
  </w:style>
  <w:style w:type="paragraph" w:styleId="22">
    <w:name w:val="Body Text First Indent 2"/>
    <w:basedOn w:val="11"/>
    <w:next w:val="1"/>
    <w:unhideWhenUsed/>
    <w:qFormat/>
    <w:uiPriority w:val="99"/>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basedOn w:val="25"/>
    <w:qFormat/>
    <w:uiPriority w:val="99"/>
    <w:rPr>
      <w:color w:val="0000FF"/>
      <w:u w:val="single"/>
    </w:rPr>
  </w:style>
  <w:style w:type="paragraph" w:customStyle="1" w:styleId="29">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3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31">
    <w:name w:val="Blockquote_0"/>
    <w:basedOn w:val="32"/>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3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GZTB表格样式"/>
    <w:basedOn w:val="1"/>
    <w:qFormat/>
    <w:uiPriority w:val="0"/>
    <w:pPr>
      <w:spacing w:after="200" w:line="440" w:lineRule="exact"/>
    </w:pPr>
    <w:rPr>
      <w:rFonts w:ascii="新宋体" w:hAnsi="新宋体" w:eastAsia="新宋体"/>
      <w:szCs w:val="22"/>
    </w:rPr>
  </w:style>
  <w:style w:type="paragraph" w:customStyle="1" w:styleId="34">
    <w:name w:val="GZTB段落样式"/>
    <w:basedOn w:val="1"/>
    <w:qFormat/>
    <w:uiPriority w:val="0"/>
    <w:pPr>
      <w:spacing w:after="200" w:line="440" w:lineRule="exact"/>
      <w:ind w:firstLine="420" w:firstLineChars="200"/>
    </w:pPr>
    <w:rPr>
      <w:rFonts w:ascii="新宋体" w:hAnsi="新宋体" w:eastAsia="新宋体"/>
      <w:szCs w:val="22"/>
    </w:rPr>
  </w:style>
  <w:style w:type="paragraph" w:customStyle="1" w:styleId="35">
    <w:name w:val="WPS Plain"/>
    <w:qFormat/>
    <w:uiPriority w:val="0"/>
    <w:rPr>
      <w:rFonts w:ascii="Times New Roman" w:hAnsi="Times New Roman" w:eastAsia="宋体" w:cs="Times New Roman"/>
      <w:lang w:val="en-US" w:eastAsia="zh-CN" w:bidi="ar-SA"/>
    </w:rPr>
  </w:style>
  <w:style w:type="paragraph" w:customStyle="1" w:styleId="3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sz w:val="28"/>
    </w:rPr>
  </w:style>
  <w:style w:type="paragraph" w:customStyle="1" w:styleId="37">
    <w:name w:val="样式 标题 3 + (中文) 黑体 小四 非加粗 段前: 7.8 磅 段后: 0 磅 行距: 固定值 20 磅"/>
    <w:basedOn w:val="5"/>
    <w:qFormat/>
    <w:uiPriority w:val="0"/>
    <w:pPr>
      <w:spacing w:before="0" w:after="0" w:line="400" w:lineRule="exact"/>
    </w:pPr>
    <w:rPr>
      <w:rFonts w:eastAsia="黑体" w:cs="宋体"/>
      <w:sz w:val="24"/>
      <w:szCs w:val="20"/>
    </w:rPr>
  </w:style>
  <w:style w:type="character" w:customStyle="1" w:styleId="38">
    <w:name w:val="脚注文本 Char"/>
    <w:basedOn w:val="25"/>
    <w:link w:val="16"/>
    <w:qFormat/>
    <w:uiPriority w:val="0"/>
    <w:rPr>
      <w:kern w:val="2"/>
      <w:sz w:val="18"/>
    </w:rPr>
  </w:style>
  <w:style w:type="character" w:customStyle="1" w:styleId="39">
    <w:name w:val="Default Text Char Char"/>
    <w:link w:val="40"/>
    <w:qFormat/>
    <w:uiPriority w:val="0"/>
    <w:rPr>
      <w:color w:val="000000"/>
      <w:sz w:val="24"/>
    </w:rPr>
  </w:style>
  <w:style w:type="paragraph" w:customStyle="1" w:styleId="40">
    <w:name w:val="Default Text"/>
    <w:link w:val="39"/>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41">
    <w:name w:val="表格文字"/>
    <w:basedOn w:val="1"/>
    <w:unhideWhenUsed/>
    <w:qFormat/>
    <w:uiPriority w:val="0"/>
    <w:pPr>
      <w:spacing w:before="25" w:after="25"/>
      <w:jc w:val="left"/>
    </w:pPr>
    <w:rPr>
      <w:rFonts w:ascii="Calibri" w:hAnsi="Calibri"/>
      <w:spacing w:val="10"/>
      <w:kern w:val="0"/>
      <w:sz w:val="24"/>
    </w:rPr>
  </w:style>
  <w:style w:type="character" w:customStyle="1" w:styleId="42">
    <w:name w:val="bookmark-item"/>
    <w:basedOn w:val="25"/>
    <w:qFormat/>
    <w:uiPriority w:val="0"/>
  </w:style>
  <w:style w:type="character" w:customStyle="1" w:styleId="43">
    <w:name w:val="NormalCharacter"/>
    <w:semiHidden/>
    <w:qFormat/>
    <w:uiPriority w:val="0"/>
  </w:style>
  <w:style w:type="paragraph" w:styleId="44">
    <w:name w:val="List Paragraph"/>
    <w:basedOn w:val="1"/>
    <w:unhideWhenUsed/>
    <w:qFormat/>
    <w:uiPriority w:val="99"/>
    <w:pPr>
      <w:ind w:firstLine="420" w:firstLineChars="200"/>
    </w:pPr>
  </w:style>
  <w:style w:type="paragraph" w:customStyle="1" w:styleId="45">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46">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textRotate="1"/>
    <customShpInfo spid="_x0000_s1028"/>
    <customShpInfo spid="_x0000_s10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39304</Words>
  <Characters>41949</Characters>
  <Lines>244</Lines>
  <Paragraphs>68</Paragraphs>
  <TotalTime>35</TotalTime>
  <ScaleCrop>false</ScaleCrop>
  <LinksUpToDate>false</LinksUpToDate>
  <CharactersWithSpaces>48701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2019-07-04T02:45:00Z</dcterms:created>
  <dc:creator>暖1367819621</dc:creator>
  <cp:lastModifiedBy>hp10</cp:lastModifiedBy>
  <cp:lastPrinted>2025-04-22T10:31:00Z</cp:lastPrinted>
  <dcterms:modified xsi:type="dcterms:W3CDTF">2025-05-20T10:01:40Z</dcterms:modified>
  <cp:revision>402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3B3811A0513641C9A6DECCEC6387F149</vt:lpwstr>
  </property>
  <property fmtid="{D5CDD505-2E9C-101B-9397-08002B2CF9AE}" pid="4" name="KSOTemplateDocerSaveRecord">
    <vt:lpwstr>eyJoZGlkIjoiZmNmNTMxNjAxOTdlOGZlYTA0MDgwODgzZDc3YWI3OGEifQ==</vt:lpwstr>
  </property>
</Properties>
</file>