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both"/>
        <w:rPr>
          <w:rFonts w:hint="eastAsia" w:ascii="仿宋_GB2312" w:eastAsia="仿宋_GB2312"/>
          <w:b/>
          <w:sz w:val="52"/>
          <w:szCs w:val="52"/>
        </w:rPr>
      </w:pPr>
    </w:p>
    <w:p>
      <w:pPr>
        <w:spacing w:line="240" w:lineRule="atLeast"/>
        <w:jc w:val="center"/>
        <w:rPr>
          <w:rFonts w:hint="eastAsia" w:ascii="仿宋_GB2312" w:eastAsia="仿宋_GB2312"/>
          <w:b/>
          <w:sz w:val="52"/>
          <w:szCs w:val="52"/>
        </w:rPr>
      </w:pPr>
      <w:r>
        <w:rPr>
          <w:rFonts w:hint="eastAsia" w:ascii="仿宋_GB2312" w:eastAsia="仿宋_GB2312"/>
          <w:b/>
          <w:sz w:val="52"/>
          <w:szCs w:val="52"/>
        </w:rPr>
        <w:t>察布查尔锡伯自治县智慧广电固边工程</w:t>
      </w:r>
    </w:p>
    <w:p>
      <w:pPr>
        <w:spacing w:line="240" w:lineRule="atLeast"/>
        <w:jc w:val="center"/>
        <w:rPr>
          <w:rFonts w:hint="eastAsia" w:ascii="仿宋_GB2312" w:eastAsia="仿宋_GB2312"/>
          <w:b/>
          <w:sz w:val="52"/>
          <w:szCs w:val="52"/>
        </w:rPr>
      </w:pPr>
      <w:r>
        <w:rPr>
          <w:rFonts w:hint="eastAsia" w:ascii="仿宋_GB2312" w:eastAsia="仿宋_GB2312"/>
          <w:b/>
          <w:sz w:val="52"/>
          <w:szCs w:val="52"/>
        </w:rPr>
        <w:t>招标文件</w:t>
      </w:r>
    </w:p>
    <w:p>
      <w:pPr>
        <w:spacing w:line="360" w:lineRule="auto"/>
        <w:jc w:val="left"/>
        <w:outlineLvl w:val="0"/>
        <w:rPr>
          <w:rFonts w:hint="eastAsia" w:ascii="仿宋_GB2312" w:eastAsia="仿宋_GB2312"/>
          <w:b/>
          <w:sz w:val="30"/>
          <w:szCs w:val="30"/>
        </w:rPr>
      </w:pPr>
      <w:bookmarkStart w:id="0" w:name="_Toc528"/>
      <w:bookmarkStart w:id="1" w:name="_Toc16920"/>
      <w:bookmarkStart w:id="2" w:name="_Toc30119"/>
      <w:bookmarkStart w:id="3" w:name="_Toc8876"/>
      <w:bookmarkStart w:id="4" w:name="_Toc26369"/>
    </w:p>
    <w:p>
      <w:pPr>
        <w:spacing w:line="360" w:lineRule="auto"/>
        <w:jc w:val="left"/>
        <w:outlineLvl w:val="0"/>
        <w:rPr>
          <w:rFonts w:hint="eastAsia" w:ascii="仿宋_GB2312" w:eastAsia="仿宋_GB2312"/>
          <w:b/>
          <w:sz w:val="30"/>
          <w:szCs w:val="30"/>
        </w:rPr>
      </w:pPr>
    </w:p>
    <w:p>
      <w:pPr>
        <w:pStyle w:val="18"/>
        <w:rPr>
          <w:rFonts w:hint="eastAsia" w:ascii="仿宋_GB2312" w:eastAsia="仿宋_GB2312"/>
          <w:b/>
          <w:sz w:val="30"/>
          <w:szCs w:val="30"/>
        </w:rPr>
      </w:pPr>
    </w:p>
    <w:p>
      <w:pPr>
        <w:rPr>
          <w:rFonts w:hint="eastAsia"/>
        </w:rPr>
      </w:pPr>
    </w:p>
    <w:p>
      <w:pPr>
        <w:spacing w:line="360" w:lineRule="auto"/>
        <w:jc w:val="left"/>
        <w:outlineLvl w:val="0"/>
        <w:rPr>
          <w:rFonts w:hint="eastAsia" w:ascii="仿宋_GB2312" w:eastAsia="仿宋_GB2312"/>
          <w:b/>
          <w:sz w:val="30"/>
          <w:szCs w:val="30"/>
        </w:rPr>
      </w:pPr>
    </w:p>
    <w:p>
      <w:pPr>
        <w:spacing w:line="360" w:lineRule="auto"/>
        <w:jc w:val="left"/>
        <w:outlineLvl w:val="0"/>
        <w:rPr>
          <w:rFonts w:hint="eastAsia" w:ascii="仿宋_GB2312" w:eastAsia="仿宋_GB2312"/>
          <w:b/>
          <w:sz w:val="30"/>
          <w:szCs w:val="30"/>
        </w:rPr>
      </w:pPr>
    </w:p>
    <w:p>
      <w:pPr>
        <w:spacing w:line="360" w:lineRule="auto"/>
        <w:jc w:val="left"/>
        <w:outlineLvl w:val="0"/>
        <w:rPr>
          <w:rFonts w:hint="eastAsia" w:ascii="仿宋_GB2312" w:eastAsia="仿宋_GB2312"/>
          <w:b/>
          <w:sz w:val="30"/>
          <w:szCs w:val="30"/>
        </w:rPr>
      </w:pPr>
    </w:p>
    <w:p>
      <w:pPr>
        <w:spacing w:line="360" w:lineRule="auto"/>
        <w:jc w:val="left"/>
        <w:outlineLvl w:val="0"/>
        <w:rPr>
          <w:rFonts w:hint="eastAsia" w:ascii="仿宋_GB2312" w:eastAsia="仿宋_GB2312"/>
          <w:b/>
          <w:sz w:val="30"/>
          <w:szCs w:val="30"/>
          <w:u w:val="single"/>
          <w:lang w:val="en-US" w:eastAsia="zh-CN"/>
        </w:rPr>
      </w:pPr>
      <w:r>
        <w:rPr>
          <w:rFonts w:hint="eastAsia" w:ascii="仿宋_GB2312" w:eastAsia="仿宋_GB2312"/>
          <w:b/>
          <w:sz w:val="30"/>
          <w:szCs w:val="30"/>
        </w:rPr>
        <w:t>项目名称:</w:t>
      </w:r>
      <w:bookmarkEnd w:id="0"/>
      <w:bookmarkEnd w:id="1"/>
      <w:bookmarkEnd w:id="2"/>
      <w:bookmarkEnd w:id="3"/>
      <w:bookmarkEnd w:id="4"/>
      <w:r>
        <w:rPr>
          <w:rFonts w:hint="eastAsia" w:ascii="仿宋_GB2312" w:eastAsia="仿宋_GB2312"/>
          <w:b/>
          <w:sz w:val="30"/>
          <w:szCs w:val="30"/>
          <w:u w:val="single"/>
          <w:lang w:val="en-US" w:eastAsia="zh-CN"/>
        </w:rPr>
        <w:t>察布查尔锡伯自治县智慧广电固边工程</w:t>
      </w:r>
    </w:p>
    <w:p>
      <w:pPr>
        <w:spacing w:line="360" w:lineRule="auto"/>
        <w:jc w:val="left"/>
        <w:rPr>
          <w:rFonts w:hint="eastAsia" w:ascii="仿宋_GB2312" w:eastAsia="仿宋_GB2312"/>
          <w:b/>
          <w:sz w:val="30"/>
          <w:szCs w:val="30"/>
        </w:rPr>
      </w:pPr>
      <w:r>
        <w:rPr>
          <w:rFonts w:hint="eastAsia" w:ascii="仿宋_GB2312" w:eastAsia="仿宋_GB2312"/>
          <w:b/>
          <w:sz w:val="30"/>
          <w:szCs w:val="30"/>
          <w:highlight w:val="none"/>
          <w:lang w:val="en-US" w:eastAsia="zh-CN"/>
        </w:rPr>
        <w:t>项目</w:t>
      </w:r>
      <w:r>
        <w:rPr>
          <w:rFonts w:hint="eastAsia" w:ascii="仿宋_GB2312" w:eastAsia="仿宋_GB2312"/>
          <w:b/>
          <w:sz w:val="30"/>
          <w:szCs w:val="30"/>
          <w:highlight w:val="none"/>
        </w:rPr>
        <w:t>编号：</w:t>
      </w:r>
      <w:r>
        <w:rPr>
          <w:rFonts w:hint="eastAsia" w:ascii="仿宋_GB2312" w:eastAsia="仿宋_GB2312"/>
          <w:b/>
          <w:sz w:val="30"/>
          <w:szCs w:val="30"/>
          <w:highlight w:val="none"/>
          <w:u w:val="single"/>
          <w:lang w:val="en-US" w:eastAsia="zh-CN"/>
        </w:rPr>
        <w:t xml:space="preserve"> XJTYHW-20230801　</w:t>
      </w:r>
      <w:r>
        <w:rPr>
          <w:rFonts w:hint="eastAsia" w:ascii="仿宋_GB2312" w:eastAsia="仿宋_GB2312"/>
          <w:b/>
          <w:sz w:val="30"/>
          <w:szCs w:val="30"/>
          <w:highlight w:val="none"/>
        </w:rPr>
        <w:t>　　</w:t>
      </w:r>
      <w:r>
        <w:rPr>
          <w:rFonts w:hint="eastAsia" w:ascii="仿宋_GB2312" w:eastAsia="仿宋_GB2312"/>
          <w:b/>
          <w:sz w:val="30"/>
          <w:szCs w:val="30"/>
        </w:rPr>
        <w:t>　</w:t>
      </w:r>
    </w:p>
    <w:p>
      <w:pPr>
        <w:spacing w:line="240" w:lineRule="auto"/>
        <w:jc w:val="left"/>
        <w:outlineLvl w:val="0"/>
        <w:rPr>
          <w:rFonts w:hint="eastAsia" w:ascii="仿宋_GB2312" w:eastAsia="仿宋_GB2312"/>
          <w:b/>
          <w:sz w:val="30"/>
          <w:szCs w:val="30"/>
          <w:u w:val="single"/>
          <w:lang w:eastAsia="zh-CN"/>
        </w:rPr>
      </w:pPr>
      <w:bookmarkStart w:id="5" w:name="_Toc773"/>
      <w:bookmarkStart w:id="6" w:name="_Toc13046"/>
      <w:bookmarkStart w:id="7" w:name="_Toc7542"/>
      <w:bookmarkStart w:id="8" w:name="_Toc30831"/>
      <w:bookmarkStart w:id="9" w:name="_Toc8166"/>
      <w:r>
        <w:rPr>
          <w:rFonts w:hint="eastAsia" w:ascii="仿宋_GB2312" w:eastAsia="仿宋_GB2312"/>
          <w:b/>
          <w:sz w:val="30"/>
          <w:szCs w:val="30"/>
        </w:rPr>
        <w:t>采购人</w:t>
      </w:r>
      <w:r>
        <w:rPr>
          <w:rFonts w:ascii="仿宋_GB2312" w:eastAsia="仿宋_GB2312"/>
          <w:b/>
          <w:sz w:val="30"/>
          <w:szCs w:val="30"/>
        </w:rPr>
        <w:t>：</w:t>
      </w:r>
      <w:bookmarkEnd w:id="5"/>
      <w:bookmarkEnd w:id="6"/>
      <w:bookmarkEnd w:id="7"/>
      <w:bookmarkEnd w:id="8"/>
      <w:bookmarkEnd w:id="9"/>
      <w:r>
        <w:rPr>
          <w:rFonts w:hint="eastAsia" w:ascii="仿宋_GB2312" w:eastAsia="仿宋_GB2312"/>
          <w:b/>
          <w:sz w:val="30"/>
          <w:szCs w:val="30"/>
          <w:u w:val="single"/>
          <w:lang w:eastAsia="zh-CN"/>
        </w:rPr>
        <w:t>察布查尔锡伯自治县文化体育广播电视和旅游局</w:t>
      </w:r>
    </w:p>
    <w:p>
      <w:pPr>
        <w:spacing w:line="360" w:lineRule="auto"/>
        <w:jc w:val="left"/>
        <w:outlineLvl w:val="0"/>
        <w:rPr>
          <w:rFonts w:ascii="仿宋_GB2312" w:eastAsia="仿宋_GB2312"/>
          <w:b/>
          <w:sz w:val="30"/>
          <w:szCs w:val="30"/>
          <w:u w:val="single"/>
        </w:rPr>
      </w:pPr>
      <w:bookmarkStart w:id="10" w:name="_Toc23836"/>
      <w:bookmarkStart w:id="11" w:name="_Toc29495"/>
      <w:bookmarkStart w:id="12" w:name="_Toc29497"/>
      <w:bookmarkStart w:id="13" w:name="_Toc26009"/>
      <w:bookmarkStart w:id="14" w:name="_Toc25218"/>
      <w:r>
        <w:rPr>
          <w:rFonts w:hint="eastAsia" w:ascii="仿宋_GB2312" w:eastAsia="仿宋_GB2312"/>
          <w:b/>
          <w:sz w:val="30"/>
          <w:szCs w:val="30"/>
        </w:rPr>
        <w:t>采购</w:t>
      </w:r>
      <w:r>
        <w:rPr>
          <w:rFonts w:ascii="仿宋_GB2312" w:eastAsia="仿宋_GB2312"/>
          <w:b/>
          <w:sz w:val="30"/>
          <w:szCs w:val="30"/>
        </w:rPr>
        <w:t>代理机构：</w:t>
      </w:r>
      <w:bookmarkEnd w:id="10"/>
      <w:bookmarkEnd w:id="11"/>
      <w:bookmarkEnd w:id="12"/>
      <w:bookmarkEnd w:id="13"/>
      <w:bookmarkEnd w:id="14"/>
      <w:r>
        <w:rPr>
          <w:rFonts w:hint="eastAsia" w:ascii="仿宋_GB2312" w:eastAsia="仿宋_GB2312"/>
          <w:b/>
          <w:sz w:val="30"/>
          <w:szCs w:val="30"/>
          <w:u w:val="single"/>
          <w:lang w:eastAsia="zh-CN"/>
        </w:rPr>
        <w:t>新疆拓越招标代理有限公司</w:t>
      </w:r>
      <w:r>
        <w:rPr>
          <w:rFonts w:hint="eastAsia" w:ascii="仿宋_GB2312" w:eastAsia="仿宋_GB2312"/>
          <w:b/>
          <w:sz w:val="30"/>
          <w:szCs w:val="30"/>
          <w:u w:val="single"/>
        </w:rPr>
        <w:t xml:space="preserve"> </w:t>
      </w:r>
    </w:p>
    <w:p>
      <w:pPr>
        <w:spacing w:line="360" w:lineRule="auto"/>
        <w:jc w:val="left"/>
        <w:rPr>
          <w:rFonts w:hint="default" w:ascii="仿宋_GB2312" w:eastAsia="仿宋_GB2312"/>
          <w:b/>
          <w:sz w:val="30"/>
          <w:szCs w:val="30"/>
          <w:u w:val="single"/>
          <w:lang w:val="en-US" w:eastAsia="zh-CN"/>
        </w:rPr>
        <w:sectPr>
          <w:footerReference r:id="rId4" w:type="first"/>
          <w:footerReference r:id="rId3" w:type="even"/>
          <w:pgSz w:w="11906" w:h="16838"/>
          <w:pgMar w:top="1440" w:right="1797" w:bottom="1440" w:left="1797" w:header="851" w:footer="992" w:gutter="0"/>
          <w:pgNumType w:start="1"/>
          <w:cols w:space="720" w:num="1"/>
          <w:docGrid w:type="linesAndChars" w:linePitch="312" w:charSpace="0"/>
        </w:sectPr>
      </w:pPr>
      <w:r>
        <w:rPr>
          <w:rFonts w:hint="eastAsia" w:ascii="仿宋_GB2312" w:eastAsia="仿宋_GB2312"/>
          <w:b/>
          <w:sz w:val="30"/>
          <w:szCs w:val="30"/>
        </w:rPr>
        <w:t>时</w:t>
      </w:r>
      <w:r>
        <w:rPr>
          <w:rFonts w:hint="eastAsia" w:ascii="仿宋_GB2312" w:eastAsia="仿宋_GB2312"/>
          <w:b/>
          <w:sz w:val="30"/>
          <w:szCs w:val="30"/>
          <w:lang w:val="en-US" w:eastAsia="zh-CN"/>
        </w:rPr>
        <w:t xml:space="preserve">   </w:t>
      </w:r>
      <w:r>
        <w:rPr>
          <w:rFonts w:hint="eastAsia" w:ascii="仿宋_GB2312" w:eastAsia="仿宋_GB2312"/>
          <w:b/>
          <w:sz w:val="30"/>
          <w:szCs w:val="30"/>
        </w:rPr>
        <w:t>间</w:t>
      </w:r>
      <w:r>
        <w:rPr>
          <w:rFonts w:ascii="仿宋_GB2312" w:eastAsia="仿宋_GB2312"/>
          <w:b/>
          <w:sz w:val="30"/>
          <w:szCs w:val="30"/>
        </w:rPr>
        <w:t>：</w:t>
      </w:r>
      <w:r>
        <w:rPr>
          <w:rFonts w:hint="eastAsia" w:ascii="仿宋_GB2312" w:eastAsia="仿宋_GB2312"/>
          <w:b/>
          <w:sz w:val="30"/>
          <w:szCs w:val="30"/>
          <w:u w:val="single"/>
        </w:rPr>
        <w:t>二〇</w:t>
      </w:r>
      <w:r>
        <w:rPr>
          <w:rFonts w:hint="eastAsia" w:ascii="仿宋_GB2312" w:eastAsia="仿宋_GB2312"/>
          <w:b/>
          <w:sz w:val="30"/>
          <w:szCs w:val="30"/>
          <w:u w:val="single"/>
          <w:lang w:val="en-US" w:eastAsia="zh-CN"/>
        </w:rPr>
        <w:t>二三</w:t>
      </w:r>
      <w:r>
        <w:rPr>
          <w:rFonts w:hint="eastAsia" w:ascii="仿宋_GB2312" w:eastAsia="仿宋_GB2312"/>
          <w:b/>
          <w:sz w:val="30"/>
          <w:szCs w:val="30"/>
          <w:u w:val="single"/>
        </w:rPr>
        <w:t>年</w:t>
      </w:r>
      <w:r>
        <w:rPr>
          <w:rFonts w:hint="eastAsia" w:ascii="仿宋_GB2312" w:eastAsia="仿宋_GB2312"/>
          <w:b/>
          <w:sz w:val="30"/>
          <w:szCs w:val="30"/>
          <w:u w:val="single"/>
          <w:lang w:val="en-US" w:eastAsia="zh-CN"/>
        </w:rPr>
        <w:t>七</w:t>
      </w:r>
      <w:r>
        <w:rPr>
          <w:rFonts w:hint="eastAsia" w:ascii="仿宋_GB2312" w:eastAsia="仿宋_GB2312"/>
          <w:b/>
          <w:sz w:val="30"/>
          <w:szCs w:val="30"/>
          <w:u w:val="single"/>
        </w:rPr>
        <w:t>月</w:t>
      </w:r>
    </w:p>
    <w:p>
      <w:pPr>
        <w:snapToGrid/>
        <w:spacing w:before="480" w:beforeAutospacing="0" w:after="120" w:afterAutospacing="0" w:line="240" w:lineRule="auto"/>
        <w:ind w:left="0" w:leftChars="0" w:right="0" w:rightChars="0" w:firstLine="0" w:firstLineChars="0"/>
        <w:jc w:val="center"/>
        <w:rPr>
          <w:rFonts w:hint="eastAsia" w:ascii="仿宋_GB2312" w:eastAsia="微软雅黑"/>
          <w:b w:val="0"/>
          <w:sz w:val="32"/>
        </w:rPr>
      </w:pPr>
      <w:r>
        <w:rPr>
          <w:rFonts w:hint="eastAsia" w:ascii="仿宋_GB2312" w:eastAsia="微软雅黑"/>
          <w:b w:val="0"/>
          <w:sz w:val="32"/>
        </w:rPr>
        <w:t>目  录</w:t>
      </w:r>
    </w:p>
    <w:p>
      <w:pPr>
        <w:pStyle w:val="28"/>
        <w:tabs>
          <w:tab w:val="right" w:leader="dot" w:pos="8312"/>
        </w:tabs>
        <w:rPr>
          <w:rFonts w:hint="eastAsia" w:ascii="宋体" w:hAnsi="宋体" w:eastAsia="宋体" w:cs="宋体"/>
          <w:sz w:val="28"/>
          <w:szCs w:val="28"/>
        </w:rPr>
      </w:pPr>
      <w:r>
        <w:rPr>
          <w:rFonts w:hint="eastAsia" w:ascii="微软雅黑" w:hAnsi="楷体" w:eastAsia="微软雅黑" w:cs="楷体"/>
          <w:b w:val="0"/>
          <w:sz w:val="28"/>
        </w:rPr>
        <w:fldChar w:fldCharType="begin"/>
      </w:r>
      <w:r>
        <w:rPr>
          <w:rFonts w:hint="eastAsia" w:ascii="微软雅黑" w:hAnsi="楷体" w:eastAsia="微软雅黑" w:cs="楷体"/>
          <w:b w:val="0"/>
          <w:sz w:val="28"/>
        </w:rPr>
        <w:instrText xml:space="preserve">TOC \o "1-1" \h \u </w:instrText>
      </w:r>
      <w:r>
        <w:rPr>
          <w:rFonts w:hint="eastAsia" w:ascii="微软雅黑" w:hAnsi="楷体" w:eastAsia="微软雅黑" w:cs="楷体"/>
          <w:b w:val="0"/>
          <w:sz w:val="28"/>
        </w:rPr>
        <w:fldChar w:fldCharType="separate"/>
      </w:r>
    </w:p>
    <w:p>
      <w:pPr>
        <w:pStyle w:val="28"/>
        <w:tabs>
          <w:tab w:val="right" w:leader="dot" w:pos="8312"/>
        </w:tabs>
        <w:spacing w:line="360" w:lineRule="auto"/>
      </w:pPr>
      <w:r>
        <w:rPr>
          <w:rFonts w:hint="eastAsia" w:ascii="楷体" w:hAnsi="楷体" w:eastAsia="楷体" w:cs="楷体"/>
        </w:rPr>
        <w:fldChar w:fldCharType="begin"/>
      </w:r>
      <w:r>
        <w:rPr>
          <w:rFonts w:hint="eastAsia" w:ascii="楷体" w:hAnsi="楷体" w:eastAsia="楷体" w:cs="楷体"/>
        </w:rPr>
        <w:instrText xml:space="preserve"> HYPERLINK \l _Toc6543 </w:instrText>
      </w:r>
      <w:r>
        <w:rPr>
          <w:rFonts w:hint="eastAsia" w:ascii="楷体" w:hAnsi="楷体" w:eastAsia="楷体" w:cs="楷体"/>
        </w:rPr>
        <w:fldChar w:fldCharType="separate"/>
      </w:r>
      <w:r>
        <w:rPr>
          <w:rFonts w:hint="eastAsia" w:ascii="宋体" w:hAnsi="楷体" w:eastAsia="宋体" w:cs="楷体"/>
          <w:szCs w:val="32"/>
        </w:rPr>
        <w:t>第一章   招标公告</w:t>
      </w:r>
      <w:r>
        <w:tab/>
      </w:r>
      <w:r>
        <w:fldChar w:fldCharType="begin"/>
      </w:r>
      <w:r>
        <w:instrText xml:space="preserve"> PAGEREF _Toc6543 \h </w:instrText>
      </w:r>
      <w:r>
        <w:fldChar w:fldCharType="separate"/>
      </w:r>
      <w:r>
        <w:t>3</w:t>
      </w:r>
      <w:r>
        <w:fldChar w:fldCharType="end"/>
      </w:r>
      <w:r>
        <w:rPr>
          <w:rFonts w:hint="eastAsia" w:ascii="楷体" w:hAnsi="楷体" w:eastAsia="楷体" w:cs="楷体"/>
        </w:rPr>
        <w:fldChar w:fldCharType="end"/>
      </w:r>
    </w:p>
    <w:p>
      <w:pPr>
        <w:pStyle w:val="28"/>
        <w:tabs>
          <w:tab w:val="right" w:leader="dot" w:pos="8312"/>
        </w:tabs>
        <w:spacing w:line="360" w:lineRule="auto"/>
      </w:pPr>
      <w:r>
        <w:rPr>
          <w:rFonts w:hint="eastAsia" w:ascii="楷体" w:hAnsi="楷体" w:eastAsia="楷体" w:cs="楷体"/>
        </w:rPr>
        <w:fldChar w:fldCharType="begin"/>
      </w:r>
      <w:r>
        <w:rPr>
          <w:rFonts w:hint="eastAsia" w:ascii="楷体" w:hAnsi="楷体" w:eastAsia="楷体" w:cs="楷体"/>
        </w:rPr>
        <w:instrText xml:space="preserve"> HYPERLINK \l _Toc29134 </w:instrText>
      </w:r>
      <w:r>
        <w:rPr>
          <w:rFonts w:hint="eastAsia" w:ascii="楷体" w:hAnsi="楷体" w:eastAsia="楷体" w:cs="楷体"/>
        </w:rPr>
        <w:fldChar w:fldCharType="separate"/>
      </w:r>
      <w:r>
        <w:rPr>
          <w:rFonts w:hint="eastAsia" w:ascii="宋体" w:eastAsia="宋体"/>
        </w:rPr>
        <w:t xml:space="preserve">第二章 </w:t>
      </w:r>
      <w:r>
        <w:rPr>
          <w:rFonts w:ascii="宋体" w:eastAsia="宋体"/>
        </w:rPr>
        <w:t xml:space="preserve">  </w:t>
      </w:r>
      <w:r>
        <w:rPr>
          <w:rFonts w:hint="eastAsia" w:ascii="宋体" w:eastAsia="宋体"/>
        </w:rPr>
        <w:t>投标须知前附表</w:t>
      </w:r>
      <w:r>
        <w:tab/>
      </w:r>
      <w:r>
        <w:fldChar w:fldCharType="begin"/>
      </w:r>
      <w:r>
        <w:instrText xml:space="preserve"> PAGEREF _Toc29134 \h </w:instrText>
      </w:r>
      <w:r>
        <w:fldChar w:fldCharType="separate"/>
      </w:r>
      <w:r>
        <w:t>7</w:t>
      </w:r>
      <w:r>
        <w:fldChar w:fldCharType="end"/>
      </w:r>
      <w:r>
        <w:rPr>
          <w:rFonts w:hint="eastAsia" w:ascii="楷体" w:hAnsi="楷体" w:eastAsia="楷体" w:cs="楷体"/>
        </w:rPr>
        <w:fldChar w:fldCharType="end"/>
      </w:r>
    </w:p>
    <w:p>
      <w:pPr>
        <w:pStyle w:val="28"/>
        <w:tabs>
          <w:tab w:val="right" w:leader="dot" w:pos="8312"/>
        </w:tabs>
        <w:spacing w:line="360" w:lineRule="auto"/>
      </w:pPr>
      <w:r>
        <w:rPr>
          <w:rFonts w:hint="eastAsia" w:ascii="楷体" w:hAnsi="楷体" w:eastAsia="楷体" w:cs="楷体"/>
        </w:rPr>
        <w:fldChar w:fldCharType="begin"/>
      </w:r>
      <w:r>
        <w:rPr>
          <w:rFonts w:hint="eastAsia" w:ascii="楷体" w:hAnsi="楷体" w:eastAsia="楷体" w:cs="楷体"/>
        </w:rPr>
        <w:instrText xml:space="preserve"> HYPERLINK \l _Toc21044 </w:instrText>
      </w:r>
      <w:r>
        <w:rPr>
          <w:rFonts w:hint="eastAsia" w:ascii="楷体" w:hAnsi="楷体" w:eastAsia="楷体" w:cs="楷体"/>
        </w:rPr>
        <w:fldChar w:fldCharType="separate"/>
      </w:r>
      <w:r>
        <w:rPr>
          <w:rFonts w:hint="eastAsia" w:ascii="宋体" w:hAnsi="楷体" w:eastAsia="宋体" w:cs="楷体"/>
          <w:szCs w:val="32"/>
        </w:rPr>
        <w:t>第三章 投标人须知</w:t>
      </w:r>
      <w:r>
        <w:tab/>
      </w:r>
      <w:r>
        <w:fldChar w:fldCharType="begin"/>
      </w:r>
      <w:r>
        <w:instrText xml:space="preserve"> PAGEREF _Toc21044 \h </w:instrText>
      </w:r>
      <w:r>
        <w:fldChar w:fldCharType="separate"/>
      </w:r>
      <w:r>
        <w:t>9</w:t>
      </w:r>
      <w:r>
        <w:fldChar w:fldCharType="end"/>
      </w:r>
      <w:r>
        <w:rPr>
          <w:rFonts w:hint="eastAsia" w:ascii="楷体" w:hAnsi="楷体" w:eastAsia="楷体" w:cs="楷体"/>
        </w:rPr>
        <w:fldChar w:fldCharType="end"/>
      </w:r>
    </w:p>
    <w:p>
      <w:pPr>
        <w:pStyle w:val="28"/>
        <w:tabs>
          <w:tab w:val="right" w:leader="dot" w:pos="8312"/>
        </w:tabs>
        <w:spacing w:line="360" w:lineRule="auto"/>
      </w:pPr>
      <w:r>
        <w:rPr>
          <w:rFonts w:hint="eastAsia" w:ascii="楷体" w:hAnsi="楷体" w:eastAsia="楷体" w:cs="楷体"/>
        </w:rPr>
        <w:fldChar w:fldCharType="begin"/>
      </w:r>
      <w:r>
        <w:rPr>
          <w:rFonts w:hint="eastAsia" w:ascii="楷体" w:hAnsi="楷体" w:eastAsia="楷体" w:cs="楷体"/>
        </w:rPr>
        <w:instrText xml:space="preserve"> HYPERLINK \l _Toc24580 </w:instrText>
      </w:r>
      <w:r>
        <w:rPr>
          <w:rFonts w:hint="eastAsia" w:ascii="楷体" w:hAnsi="楷体" w:eastAsia="楷体" w:cs="楷体"/>
        </w:rPr>
        <w:fldChar w:fldCharType="separate"/>
      </w:r>
      <w:r>
        <w:rPr>
          <w:rFonts w:hint="eastAsia" w:ascii="宋体" w:hAnsi="楷体" w:eastAsia="宋体" w:cs="楷体"/>
          <w:szCs w:val="32"/>
        </w:rPr>
        <w:t>第四章   投标文件格式</w:t>
      </w:r>
      <w:r>
        <w:tab/>
      </w:r>
      <w:r>
        <w:fldChar w:fldCharType="begin"/>
      </w:r>
      <w:r>
        <w:instrText xml:space="preserve"> PAGEREF _Toc24580 \h </w:instrText>
      </w:r>
      <w:r>
        <w:fldChar w:fldCharType="separate"/>
      </w:r>
      <w:r>
        <w:t>30</w:t>
      </w:r>
      <w:r>
        <w:fldChar w:fldCharType="end"/>
      </w:r>
      <w:r>
        <w:rPr>
          <w:rFonts w:hint="eastAsia" w:ascii="楷体" w:hAnsi="楷体" w:eastAsia="楷体" w:cs="楷体"/>
        </w:rPr>
        <w:fldChar w:fldCharType="end"/>
      </w:r>
    </w:p>
    <w:p>
      <w:pPr>
        <w:pStyle w:val="28"/>
        <w:tabs>
          <w:tab w:val="right" w:leader="dot" w:pos="8312"/>
        </w:tabs>
        <w:spacing w:line="360" w:lineRule="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_Toc6655 </w:instrText>
      </w:r>
      <w:r>
        <w:rPr>
          <w:rFonts w:hint="eastAsia" w:ascii="宋体" w:hAnsi="宋体" w:eastAsia="宋体" w:cs="宋体"/>
        </w:rPr>
        <w:fldChar w:fldCharType="separate"/>
      </w:r>
      <w:r>
        <w:rPr>
          <w:rFonts w:hint="eastAsia" w:ascii="宋体" w:hAnsi="宋体" w:eastAsia="宋体" w:cs="宋体"/>
        </w:rPr>
        <w:t xml:space="preserve">第五章  </w:t>
      </w:r>
      <w:r>
        <w:rPr>
          <w:rFonts w:hint="eastAsia" w:ascii="宋体" w:hAnsi="宋体" w:eastAsia="宋体" w:cs="宋体"/>
          <w:highlight w:val="none"/>
        </w:rPr>
        <w:t xml:space="preserve"> 采购合同格式</w:t>
      </w:r>
      <w:r>
        <w:rPr>
          <w:rFonts w:hint="eastAsia" w:ascii="宋体" w:hAnsi="宋体" w:eastAsia="宋体" w:cs="宋体"/>
          <w:bCs w:val="0"/>
          <w:szCs w:val="18"/>
          <w:highlight w:val="none"/>
        </w:rPr>
        <w:t>（以甲乙双方签订的合同为准）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_Toc6655 \h </w:instrText>
      </w:r>
      <w:r>
        <w:rPr>
          <w:rFonts w:hint="eastAsia" w:ascii="宋体" w:hAnsi="宋体" w:eastAsia="宋体" w:cs="宋体"/>
        </w:rPr>
        <w:fldChar w:fldCharType="separate"/>
      </w:r>
      <w:r>
        <w:rPr>
          <w:rFonts w:hint="eastAsia" w:ascii="宋体" w:hAnsi="宋体" w:eastAsia="宋体" w:cs="宋体"/>
        </w:rPr>
        <w:t>57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8312"/>
        </w:tabs>
        <w:spacing w:line="360" w:lineRule="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_Toc12409 </w:instrText>
      </w:r>
      <w:r>
        <w:rPr>
          <w:rFonts w:hint="eastAsia" w:ascii="宋体" w:hAnsi="宋体" w:eastAsia="宋体" w:cs="宋体"/>
        </w:rPr>
        <w:fldChar w:fldCharType="separate"/>
      </w:r>
      <w:r>
        <w:rPr>
          <w:rFonts w:hint="eastAsia" w:ascii="宋体" w:hAnsi="宋体" w:eastAsia="宋体" w:cs="宋体"/>
          <w:szCs w:val="24"/>
          <w:highlight w:val="none"/>
        </w:rPr>
        <w:t>政府采购合同格式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_Toc12409 \h </w:instrText>
      </w:r>
      <w:r>
        <w:rPr>
          <w:rFonts w:hint="eastAsia" w:ascii="宋体" w:hAnsi="宋体" w:eastAsia="宋体" w:cs="宋体"/>
        </w:rPr>
        <w:fldChar w:fldCharType="separate"/>
      </w:r>
      <w:r>
        <w:rPr>
          <w:rFonts w:hint="eastAsia" w:ascii="宋体" w:hAnsi="宋体" w:eastAsia="宋体" w:cs="宋体"/>
        </w:rPr>
        <w:t>67</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8312"/>
        </w:tabs>
        <w:spacing w:line="360" w:lineRule="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_Toc5046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val="en-US" w:eastAsia="zh-CN"/>
        </w:rPr>
        <w:t>六</w:t>
      </w:r>
      <w:r>
        <w:rPr>
          <w:rFonts w:hint="eastAsia" w:ascii="宋体" w:hAnsi="宋体" w:eastAsia="宋体" w:cs="宋体"/>
        </w:rPr>
        <w:t xml:space="preserve">章   </w:t>
      </w:r>
      <w:r>
        <w:rPr>
          <w:rFonts w:hint="eastAsia" w:ascii="宋体" w:hAnsi="宋体" w:eastAsia="宋体" w:cs="宋体"/>
          <w:lang w:val="en-US" w:eastAsia="zh-CN"/>
        </w:rPr>
        <w:t>采购需求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_Toc5046 \h </w:instrText>
      </w:r>
      <w:r>
        <w:rPr>
          <w:rFonts w:hint="eastAsia" w:ascii="宋体" w:hAnsi="宋体" w:eastAsia="宋体" w:cs="宋体"/>
        </w:rPr>
        <w:fldChar w:fldCharType="separate"/>
      </w:r>
      <w:r>
        <w:rPr>
          <w:rFonts w:hint="eastAsia" w:ascii="宋体" w:hAnsi="宋体" w:eastAsia="宋体" w:cs="宋体"/>
        </w:rPr>
        <w:t>70</w:t>
      </w:r>
      <w:r>
        <w:rPr>
          <w:rFonts w:hint="eastAsia" w:ascii="宋体" w:hAnsi="宋体" w:eastAsia="宋体" w:cs="宋体"/>
        </w:rPr>
        <w:fldChar w:fldCharType="end"/>
      </w:r>
      <w:r>
        <w:rPr>
          <w:rFonts w:hint="eastAsia" w:ascii="宋体" w:hAnsi="宋体" w:eastAsia="宋体" w:cs="宋体"/>
        </w:rPr>
        <w:fldChar w:fldCharType="end"/>
      </w:r>
      <w:bookmarkStart w:id="566" w:name="_GoBack"/>
      <w:bookmarkEnd w:id="566"/>
    </w:p>
    <w:p>
      <w:pPr>
        <w:pStyle w:val="28"/>
        <w:tabs>
          <w:tab w:val="right" w:leader="dot" w:pos="831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_Toc23086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val="en-US" w:eastAsia="zh-CN"/>
        </w:rPr>
        <w:t>七</w:t>
      </w:r>
      <w:r>
        <w:rPr>
          <w:rFonts w:hint="eastAsia" w:ascii="宋体" w:hAnsi="宋体" w:eastAsia="宋体" w:cs="宋体"/>
        </w:rPr>
        <w:t>章   评标方法和标准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_Toc23086 \h </w:instrText>
      </w:r>
      <w:r>
        <w:rPr>
          <w:rFonts w:hint="eastAsia" w:ascii="宋体" w:hAnsi="宋体" w:eastAsia="宋体" w:cs="宋体"/>
        </w:rPr>
        <w:fldChar w:fldCharType="separate"/>
      </w:r>
      <w:r>
        <w:rPr>
          <w:rFonts w:hint="eastAsia" w:ascii="宋体" w:hAnsi="宋体" w:eastAsia="宋体" w:cs="宋体"/>
        </w:rPr>
        <w:t>100</w:t>
      </w:r>
      <w:r>
        <w:rPr>
          <w:rFonts w:hint="eastAsia" w:ascii="宋体" w:hAnsi="宋体" w:eastAsia="宋体" w:cs="宋体"/>
        </w:rPr>
        <w:fldChar w:fldCharType="end"/>
      </w:r>
      <w:r>
        <w:rPr>
          <w:rFonts w:hint="eastAsia" w:ascii="宋体" w:hAnsi="宋体" w:eastAsia="宋体" w:cs="宋体"/>
        </w:rPr>
        <w:fldChar w:fldCharType="end"/>
      </w:r>
    </w:p>
    <w:p>
      <w:pPr>
        <w:pStyle w:val="28"/>
        <w:tabs>
          <w:tab w:val="right" w:leader="dot" w:pos="8312"/>
        </w:tabs>
      </w:pPr>
    </w:p>
    <w:p>
      <w:pPr>
        <w:ind w:firstLine="480" w:firstLineChars="200"/>
        <w:rPr>
          <w:rFonts w:hint="eastAsia" w:ascii="楷体" w:hAnsi="楷体" w:eastAsia="楷体" w:cs="楷体"/>
        </w:rPr>
      </w:pPr>
      <w:r>
        <w:rPr>
          <w:rFonts w:hint="eastAsia" w:ascii="楷体" w:hAnsi="楷体" w:eastAsia="楷体" w:cs="楷体"/>
        </w:rPr>
        <w:fldChar w:fldCharType="end"/>
      </w:r>
    </w:p>
    <w:p>
      <w:pPr>
        <w:pStyle w:val="4"/>
        <w:tabs>
          <w:tab w:val="right" w:leader="dot" w:pos="8302"/>
        </w:tabs>
        <w:snapToGrid/>
        <w:spacing w:before="200" w:beforeAutospacing="0" w:after="200" w:afterAutospacing="0" w:line="240" w:lineRule="auto"/>
        <w:ind w:left="0" w:leftChars="0" w:right="0" w:rightChars="0" w:firstLine="0" w:firstLineChars="0"/>
        <w:jc w:val="center"/>
        <w:outlineLvl w:val="0"/>
        <w:rPr>
          <w:rFonts w:hint="eastAsia" w:ascii="宋体" w:hAnsi="楷体" w:eastAsia="宋体" w:cs="楷体"/>
          <w:b/>
          <w:sz w:val="24"/>
          <w:szCs w:val="32"/>
        </w:rPr>
      </w:pPr>
      <w:bookmarkStart w:id="15" w:name="_Toc219175634"/>
      <w:bookmarkStart w:id="16" w:name="_Toc216582822"/>
      <w:bookmarkStart w:id="17" w:name="_Toc507399902"/>
      <w:bookmarkStart w:id="18" w:name="_Toc218935350"/>
      <w:bookmarkStart w:id="19" w:name="_Toc548"/>
      <w:r>
        <w:rPr>
          <w:rFonts w:hint="eastAsia" w:ascii="宋体" w:hAnsi="楷体" w:eastAsia="宋体" w:cs="楷体"/>
          <w:b/>
          <w:sz w:val="24"/>
          <w:szCs w:val="32"/>
        </w:rPr>
        <w:br w:type="page"/>
      </w:r>
      <w:bookmarkStart w:id="20" w:name="_Toc6543"/>
      <w:bookmarkStart w:id="21" w:name="_Toc10026"/>
      <w:bookmarkStart w:id="22" w:name="_Toc11558"/>
      <w:bookmarkStart w:id="23" w:name="_Toc9892"/>
      <w:bookmarkStart w:id="24" w:name="_Toc1599"/>
      <w:r>
        <w:rPr>
          <w:rFonts w:hint="eastAsia" w:ascii="宋体" w:hAnsi="楷体" w:eastAsia="宋体" w:cs="楷体"/>
          <w:b/>
          <w:sz w:val="30"/>
          <w:szCs w:val="30"/>
        </w:rPr>
        <w:t xml:space="preserve">第一章   </w:t>
      </w:r>
      <w:bookmarkEnd w:id="15"/>
      <w:bookmarkEnd w:id="16"/>
      <w:bookmarkEnd w:id="17"/>
      <w:bookmarkEnd w:id="18"/>
      <w:bookmarkEnd w:id="19"/>
      <w:r>
        <w:rPr>
          <w:rFonts w:hint="eastAsia" w:ascii="宋体" w:hAnsi="楷体" w:eastAsia="宋体" w:cs="楷体"/>
          <w:b/>
          <w:sz w:val="30"/>
          <w:szCs w:val="30"/>
        </w:rPr>
        <w:t>招标公告</w:t>
      </w:r>
      <w:bookmarkEnd w:id="20"/>
      <w:bookmarkEnd w:id="21"/>
      <w:bookmarkEnd w:id="22"/>
      <w:bookmarkEnd w:id="23"/>
      <w:bookmarkEnd w:id="24"/>
    </w:p>
    <w:tbl>
      <w:tblPr>
        <w:tblStyle w:val="37"/>
        <w:tblpPr w:leftFromText="180" w:rightFromText="180" w:vertAnchor="text" w:horzAnchor="page" w:tblpX="1120" w:tblpY="305"/>
        <w:tblOverlap w:val="never"/>
        <w:tblW w:w="960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60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9600" w:type="dxa"/>
            <w:noWrap w:val="0"/>
            <w:vAlign w:val="top"/>
          </w:tcPr>
          <w:p>
            <w:pPr>
              <w:spacing w:line="360" w:lineRule="auto"/>
              <w:ind w:firstLine="480" w:firstLineChars="200"/>
              <w:rPr>
                <w:rFonts w:hint="eastAsia" w:ascii="宋体" w:hAnsi="宋体" w:eastAsia="宋体" w:cs="宋体"/>
                <w:b w:val="0"/>
                <w:bCs w:val="0"/>
                <w:kern w:val="2"/>
                <w:sz w:val="24"/>
                <w:szCs w:val="22"/>
                <w:lang w:val="en-US" w:eastAsia="zh-CN" w:bidi="ar-SA"/>
              </w:rPr>
            </w:pPr>
            <w:bookmarkStart w:id="25" w:name="EB8ae18f4b0ab5424aa16b9793487c7c1c"/>
            <w:r>
              <w:rPr>
                <w:rFonts w:hint="eastAsia" w:ascii="宋体" w:hAnsi="宋体" w:eastAsia="宋体" w:cs="宋体"/>
                <w:b w:val="0"/>
                <w:bCs w:val="0"/>
                <w:kern w:val="2"/>
                <w:sz w:val="24"/>
                <w:szCs w:val="22"/>
                <w:lang w:val="en-US" w:eastAsia="zh-CN" w:bidi="ar-SA"/>
              </w:rPr>
              <w:t>项目概况</w:t>
            </w:r>
          </w:p>
          <w:p>
            <w:pPr>
              <w:spacing w:line="360" w:lineRule="auto"/>
              <w:ind w:firstLine="480" w:firstLineChars="200"/>
              <w:rPr>
                <w:rFonts w:ascii="宋体" w:hAnsi="宋体" w:cs="宋体"/>
                <w:sz w:val="31"/>
                <w:szCs w:val="31"/>
              </w:rPr>
            </w:pPr>
            <w:r>
              <w:rPr>
                <w:rFonts w:hint="eastAsia" w:ascii="宋体" w:hAnsi="宋体" w:eastAsia="宋体" w:cs="宋体"/>
                <w:b w:val="0"/>
                <w:bCs w:val="0"/>
                <w:kern w:val="2"/>
                <w:sz w:val="24"/>
                <w:szCs w:val="22"/>
                <w:lang w:val="en-US" w:eastAsia="zh-CN" w:bidi="ar-SA"/>
              </w:rPr>
              <w:t>察布查尔锡伯自治县智慧广电固边工程的潜在投标人应在</w:t>
            </w:r>
            <w:r>
              <w:rPr>
                <w:rFonts w:hint="eastAsia" w:ascii="宋体" w:hAnsi="宋体" w:eastAsia="宋体" w:cs="宋体"/>
                <w:b w:val="0"/>
                <w:bCs w:val="0"/>
                <w:kern w:val="2"/>
                <w:sz w:val="24"/>
                <w:szCs w:val="22"/>
                <w:u w:val="none"/>
                <w:lang w:val="en-US" w:eastAsia="zh-CN" w:bidi="ar-SA"/>
              </w:rPr>
              <w:t>新疆政采云平台线上获</w:t>
            </w:r>
            <w:r>
              <w:rPr>
                <w:rFonts w:hint="eastAsia" w:ascii="宋体" w:hAnsi="宋体" w:eastAsia="宋体" w:cs="宋体"/>
                <w:b w:val="0"/>
                <w:bCs w:val="0"/>
                <w:kern w:val="2"/>
                <w:sz w:val="24"/>
                <w:szCs w:val="22"/>
                <w:lang w:val="en-US" w:eastAsia="zh-CN" w:bidi="ar-SA"/>
              </w:rPr>
              <w:t>取采购文件，并于</w:t>
            </w:r>
            <w:r>
              <w:rPr>
                <w:rFonts w:hint="eastAsia" w:ascii="宋体" w:hAnsi="宋体" w:eastAsia="宋体" w:cs="宋体"/>
                <w:b w:val="0"/>
                <w:bCs w:val="0"/>
                <w:kern w:val="2"/>
                <w:sz w:val="24"/>
                <w:szCs w:val="22"/>
                <w:u w:val="none"/>
                <w:lang w:val="en-US" w:eastAsia="zh-CN" w:bidi="ar-SA"/>
              </w:rPr>
              <w:t>2023年</w:t>
            </w:r>
            <w:r>
              <w:rPr>
                <w:rFonts w:hint="eastAsia" w:ascii="宋体" w:hAnsi="宋体" w:eastAsia="宋体" w:cs="宋体"/>
                <w:b w:val="0"/>
                <w:bCs w:val="0"/>
                <w:kern w:val="2"/>
                <w:sz w:val="24"/>
                <w:szCs w:val="22"/>
                <w:highlight w:val="none"/>
                <w:u w:val="none"/>
                <w:lang w:val="en-US" w:eastAsia="zh-CN" w:bidi="ar-SA"/>
              </w:rPr>
              <w:t>08月29日</w:t>
            </w:r>
            <w:r>
              <w:rPr>
                <w:rFonts w:hint="eastAsia" w:ascii="宋体" w:hAnsi="宋体" w:eastAsia="宋体" w:cs="宋体"/>
                <w:b w:val="0"/>
                <w:bCs w:val="0"/>
                <w:kern w:val="2"/>
                <w:sz w:val="24"/>
                <w:szCs w:val="22"/>
                <w:u w:val="none"/>
                <w:lang w:val="en-US" w:eastAsia="zh-CN" w:bidi="ar-SA"/>
              </w:rPr>
              <w:t>16点30分</w:t>
            </w:r>
            <w:r>
              <w:rPr>
                <w:rFonts w:hint="eastAsia" w:ascii="宋体" w:hAnsi="宋体" w:eastAsia="宋体" w:cs="宋体"/>
                <w:b w:val="0"/>
                <w:bCs w:val="0"/>
                <w:kern w:val="2"/>
                <w:sz w:val="24"/>
                <w:szCs w:val="22"/>
                <w:lang w:val="en-US" w:eastAsia="zh-CN" w:bidi="ar-SA"/>
              </w:rPr>
              <w:t>（北京时间）前递交投标文件。</w:t>
            </w:r>
          </w:p>
        </w:tc>
      </w:tr>
      <w:bookmarkEnd w:id="25"/>
    </w:tbl>
    <w:p>
      <w:pPr>
        <w:pStyle w:val="125"/>
        <w:spacing w:line="360" w:lineRule="auto"/>
        <w:rPr>
          <w:rFonts w:hint="eastAsia" w:ascii="宋体" w:hAnsi="宋体" w:cs="宋体"/>
          <w:b/>
          <w:bCs/>
          <w:sz w:val="24"/>
        </w:rPr>
      </w:pPr>
      <w:r>
        <w:rPr>
          <w:rFonts w:hint="eastAsia" w:ascii="宋体" w:hAnsi="宋体" w:cs="宋体"/>
          <w:b/>
          <w:bCs/>
          <w:sz w:val="24"/>
        </w:rPr>
        <w:t>一、项目基本情况</w:t>
      </w:r>
    </w:p>
    <w:p>
      <w:pPr>
        <w:pStyle w:val="125"/>
        <w:spacing w:line="360" w:lineRule="auto"/>
        <w:ind w:firstLine="480" w:firstLineChars="200"/>
        <w:rPr>
          <w:rFonts w:hint="default" w:ascii="宋体" w:hAnsi="宋体" w:eastAsia="宋体" w:cs="宋体"/>
          <w:b w:val="0"/>
          <w:bCs w:val="0"/>
          <w:sz w:val="24"/>
          <w:lang w:val="en-US" w:eastAsia="zh-CN"/>
        </w:rPr>
      </w:pPr>
      <w:r>
        <w:rPr>
          <w:rFonts w:hint="eastAsia" w:ascii="宋体" w:hAnsi="宋体" w:cs="宋体"/>
          <w:b w:val="0"/>
          <w:bCs w:val="0"/>
          <w:sz w:val="24"/>
        </w:rPr>
        <w:t>项目编号：XJTY</w:t>
      </w:r>
      <w:r>
        <w:rPr>
          <w:rFonts w:hint="eastAsia" w:ascii="宋体" w:hAnsi="宋体" w:cs="宋体"/>
          <w:b w:val="0"/>
          <w:bCs w:val="0"/>
          <w:sz w:val="24"/>
          <w:lang w:val="en-US" w:eastAsia="zh-CN"/>
        </w:rPr>
        <w:t>HW</w:t>
      </w:r>
      <w:r>
        <w:rPr>
          <w:rFonts w:hint="eastAsia" w:ascii="宋体" w:hAnsi="宋体" w:cs="宋体"/>
          <w:b w:val="0"/>
          <w:bCs w:val="0"/>
          <w:sz w:val="24"/>
        </w:rPr>
        <w:t>-202</w:t>
      </w:r>
      <w:r>
        <w:rPr>
          <w:rFonts w:hint="eastAsia" w:ascii="宋体" w:hAnsi="宋体" w:cs="宋体"/>
          <w:b w:val="0"/>
          <w:bCs w:val="0"/>
          <w:sz w:val="24"/>
          <w:lang w:val="en-US" w:eastAsia="zh-CN"/>
        </w:rPr>
        <w:t>30801</w:t>
      </w:r>
    </w:p>
    <w:p>
      <w:pPr>
        <w:pStyle w:val="125"/>
        <w:spacing w:line="360" w:lineRule="auto"/>
        <w:ind w:firstLine="480" w:firstLineChars="200"/>
        <w:rPr>
          <w:rFonts w:hint="eastAsia" w:ascii="宋体" w:hAnsi="宋体" w:cs="宋体"/>
          <w:b w:val="0"/>
          <w:bCs w:val="0"/>
          <w:sz w:val="24"/>
          <w:lang w:eastAsia="zh-CN"/>
        </w:rPr>
      </w:pPr>
      <w:r>
        <w:rPr>
          <w:rFonts w:hint="eastAsia" w:ascii="宋体" w:hAnsi="宋体" w:cs="宋体"/>
          <w:b w:val="0"/>
          <w:bCs w:val="0"/>
          <w:sz w:val="24"/>
        </w:rPr>
        <w:t>项目名称：</w:t>
      </w:r>
      <w:r>
        <w:rPr>
          <w:rFonts w:hint="eastAsia" w:ascii="宋体" w:hAnsi="宋体" w:cs="宋体"/>
          <w:b w:val="0"/>
          <w:bCs w:val="0"/>
          <w:sz w:val="24"/>
          <w:lang w:eastAsia="zh-CN"/>
        </w:rPr>
        <w:t>察布查尔锡伯自治县智慧广电固边工程</w:t>
      </w:r>
    </w:p>
    <w:p>
      <w:pPr>
        <w:pStyle w:val="125"/>
        <w:spacing w:line="360" w:lineRule="auto"/>
        <w:ind w:firstLine="480" w:firstLineChars="200"/>
        <w:rPr>
          <w:rFonts w:hint="eastAsia" w:ascii="宋体" w:hAnsi="宋体" w:cs="宋体"/>
          <w:b w:val="0"/>
          <w:bCs w:val="0"/>
          <w:sz w:val="24"/>
        </w:rPr>
      </w:pPr>
      <w:r>
        <w:rPr>
          <w:rFonts w:hint="eastAsia" w:ascii="宋体" w:hAnsi="宋体" w:cs="宋体"/>
          <w:b w:val="0"/>
          <w:bCs w:val="0"/>
          <w:sz w:val="24"/>
        </w:rPr>
        <w:t>采购方式：</w:t>
      </w:r>
      <w:r>
        <w:rPr>
          <w:rFonts w:hint="eastAsia" w:ascii="宋体" w:hAnsi="宋体" w:cs="宋体"/>
          <w:b w:val="0"/>
          <w:bCs w:val="0"/>
          <w:sz w:val="24"/>
          <w:lang w:val="en-US" w:eastAsia="zh-CN"/>
        </w:rPr>
        <w:t>公开招标</w:t>
      </w:r>
      <w:r>
        <w:rPr>
          <w:rFonts w:hint="eastAsia" w:ascii="宋体" w:hAnsi="宋体" w:cs="宋体"/>
          <w:b w:val="0"/>
          <w:bCs w:val="0"/>
          <w:sz w:val="24"/>
        </w:rPr>
        <w:t xml:space="preserve">  </w:t>
      </w:r>
    </w:p>
    <w:p>
      <w:pPr>
        <w:pStyle w:val="125"/>
        <w:spacing w:line="360" w:lineRule="auto"/>
        <w:ind w:firstLine="480" w:firstLineChars="200"/>
        <w:rPr>
          <w:rFonts w:hint="default" w:ascii="宋体" w:hAnsi="宋体" w:cs="宋体"/>
          <w:b w:val="0"/>
          <w:bCs w:val="0"/>
          <w:sz w:val="24"/>
          <w:lang w:val="en-US" w:eastAsia="zh-CN"/>
        </w:rPr>
      </w:pPr>
      <w:r>
        <w:rPr>
          <w:rFonts w:hint="eastAsia" w:ascii="宋体" w:hAnsi="宋体" w:cs="宋体"/>
          <w:b w:val="0"/>
          <w:bCs w:val="0"/>
          <w:sz w:val="24"/>
        </w:rPr>
        <w:t>预算金额（元）：</w:t>
      </w:r>
      <w:r>
        <w:rPr>
          <w:rFonts w:hint="eastAsia" w:ascii="宋体" w:hAnsi="宋体" w:cs="宋体"/>
          <w:b w:val="0"/>
          <w:bCs w:val="0"/>
          <w:sz w:val="24"/>
          <w:lang w:val="en-US" w:eastAsia="zh-CN"/>
        </w:rPr>
        <w:t>15000000.00</w:t>
      </w:r>
    </w:p>
    <w:p>
      <w:pPr>
        <w:pStyle w:val="125"/>
        <w:spacing w:line="360" w:lineRule="auto"/>
        <w:ind w:firstLine="480" w:firstLineChars="200"/>
        <w:rPr>
          <w:rFonts w:hint="default" w:ascii="宋体" w:hAnsi="宋体" w:eastAsia="宋体" w:cs="宋体"/>
          <w:b w:val="0"/>
          <w:bCs w:val="0"/>
          <w:color w:val="auto"/>
          <w:sz w:val="24"/>
          <w:highlight w:val="none"/>
          <w:u w:val="none"/>
          <w:lang w:val="en-US" w:eastAsia="zh-CN"/>
        </w:rPr>
      </w:pPr>
      <w:r>
        <w:rPr>
          <w:rFonts w:hint="eastAsia" w:ascii="宋体" w:hAnsi="宋体" w:cs="宋体"/>
          <w:b w:val="0"/>
          <w:bCs w:val="0"/>
          <w:color w:val="auto"/>
          <w:sz w:val="24"/>
          <w:highlight w:val="none"/>
        </w:rPr>
        <w:t>最高限价（元）：12908314.93</w:t>
      </w:r>
    </w:p>
    <w:p>
      <w:pPr>
        <w:pStyle w:val="125"/>
        <w:spacing w:line="360" w:lineRule="auto"/>
        <w:ind w:firstLine="480" w:firstLineChars="200"/>
        <w:rPr>
          <w:rFonts w:hint="eastAsia" w:ascii="宋体" w:hAnsi="宋体" w:cs="宋体"/>
          <w:b w:val="0"/>
          <w:bCs w:val="0"/>
          <w:sz w:val="24"/>
          <w:highlight w:val="none"/>
        </w:rPr>
      </w:pPr>
      <w:r>
        <w:rPr>
          <w:rFonts w:hint="eastAsia" w:ascii="宋体" w:hAnsi="宋体" w:cs="宋体"/>
          <w:b w:val="0"/>
          <w:bCs w:val="0"/>
          <w:sz w:val="24"/>
          <w:highlight w:val="none"/>
        </w:rPr>
        <w:t>采购需求：</w:t>
      </w:r>
    </w:p>
    <w:p>
      <w:pPr>
        <w:pStyle w:val="125"/>
        <w:spacing w:line="360" w:lineRule="auto"/>
        <w:ind w:firstLine="480" w:firstLineChars="200"/>
        <w:rPr>
          <w:rFonts w:hint="eastAsia" w:ascii="宋体" w:hAnsi="宋体" w:eastAsia="宋体" w:cs="宋体"/>
          <w:b w:val="0"/>
          <w:bCs w:val="0"/>
          <w:sz w:val="24"/>
          <w:highlight w:val="none"/>
          <w:lang w:eastAsia="zh-CN"/>
        </w:rPr>
      </w:pPr>
      <w:r>
        <w:rPr>
          <w:rFonts w:hint="eastAsia" w:ascii="宋体" w:hAnsi="宋体" w:cs="宋体"/>
          <w:b w:val="0"/>
          <w:bCs w:val="0"/>
          <w:sz w:val="24"/>
          <w:highlight w:val="none"/>
        </w:rPr>
        <w:t>数量</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不限</w:t>
      </w:r>
    </w:p>
    <w:p>
      <w:pPr>
        <w:pStyle w:val="125"/>
        <w:spacing w:line="360" w:lineRule="auto"/>
        <w:ind w:firstLine="480" w:firstLineChars="200"/>
        <w:rPr>
          <w:rFonts w:hint="eastAsia" w:ascii="宋体" w:hAnsi="宋体" w:cs="宋体"/>
          <w:b w:val="0"/>
          <w:bCs w:val="0"/>
          <w:sz w:val="24"/>
          <w:highlight w:val="none"/>
        </w:rPr>
      </w:pPr>
      <w:r>
        <w:rPr>
          <w:rFonts w:hint="eastAsia" w:ascii="宋体" w:hAnsi="宋体" w:cs="宋体"/>
          <w:b w:val="0"/>
          <w:bCs w:val="0"/>
          <w:sz w:val="24"/>
          <w:highlight w:val="none"/>
        </w:rPr>
        <w:t>简要规格描述或项目基本概况介绍、用途：</w:t>
      </w:r>
      <w:r>
        <w:rPr>
          <w:rFonts w:hint="eastAsia" w:ascii="宋体" w:hAnsi="宋体" w:cs="宋体"/>
          <w:b w:val="0"/>
          <w:bCs w:val="0"/>
          <w:sz w:val="24"/>
          <w:highlight w:val="none"/>
          <w:lang w:eastAsia="zh-CN"/>
        </w:rPr>
        <w:t>①传输网络建设。传输线路含敷设G.652D类标准化光纤169千米，安装油木杆3470根，光纤采用架空及沿用预留线管方式安装；传输设备含购置安装OTN光传输设备1套、数据汇聚交换机4台、OLT光网络局端设备11台、ONU设备和机顶盒1379套、新一代直播卫星222套。②创建边缘云系统（又称公共服务管理平台），含软件云服务、全媒体、业务运营管理、运维管理、统一门户展现、内容汇聚分发以及检测监管；创建专用文化信息服务平台，含门户服务和业务应用系统；硬件设备部署计算机虚拟化节点服务器2台、分布式存储服务器2台、交换机2台。③创建网络安全等保防护体系1套。</w:t>
      </w:r>
      <w:r>
        <w:rPr>
          <w:rFonts w:hint="eastAsia" w:ascii="宋体" w:hAnsi="宋体" w:cs="宋体"/>
          <w:b w:val="0"/>
          <w:bCs w:val="0"/>
          <w:sz w:val="24"/>
          <w:highlight w:val="none"/>
        </w:rPr>
        <w:t>（具体内容详见招标文件）</w:t>
      </w:r>
      <w:r>
        <w:rPr>
          <w:rFonts w:hint="eastAsia" w:ascii="宋体" w:hAnsi="宋体" w:cs="宋体"/>
          <w:b w:val="0"/>
          <w:bCs w:val="0"/>
          <w:sz w:val="24"/>
          <w:highlight w:val="none"/>
          <w:lang w:eastAsia="zh-CN"/>
        </w:rPr>
        <w:t>。</w:t>
      </w:r>
    </w:p>
    <w:p>
      <w:pPr>
        <w:pStyle w:val="125"/>
        <w:spacing w:line="360" w:lineRule="auto"/>
        <w:ind w:firstLine="480" w:firstLineChars="200"/>
        <w:rPr>
          <w:rFonts w:hint="eastAsia" w:ascii="宋体" w:hAnsi="宋体" w:cs="宋体"/>
          <w:b w:val="0"/>
          <w:bCs w:val="0"/>
          <w:sz w:val="24"/>
        </w:rPr>
      </w:pPr>
      <w:r>
        <w:rPr>
          <w:rFonts w:hint="eastAsia" w:ascii="宋体" w:hAnsi="宋体" w:cs="宋体"/>
          <w:b w:val="0"/>
          <w:bCs w:val="0"/>
          <w:sz w:val="24"/>
        </w:rPr>
        <w:t>备注：</w:t>
      </w:r>
    </w:p>
    <w:p>
      <w:pPr>
        <w:pStyle w:val="125"/>
        <w:spacing w:line="360" w:lineRule="auto"/>
        <w:ind w:firstLine="480" w:firstLineChars="200"/>
        <w:rPr>
          <w:rFonts w:hint="eastAsia" w:ascii="宋体" w:hAnsi="宋体" w:eastAsia="宋体" w:cs="宋体"/>
          <w:b w:val="0"/>
          <w:bCs w:val="0"/>
          <w:sz w:val="24"/>
          <w:lang w:eastAsia="zh-CN"/>
        </w:rPr>
      </w:pPr>
      <w:r>
        <w:rPr>
          <w:rFonts w:hint="eastAsia" w:ascii="宋体" w:hAnsi="宋体" w:cs="宋体"/>
          <w:b w:val="0"/>
          <w:bCs w:val="0"/>
          <w:sz w:val="24"/>
        </w:rPr>
        <w:t>合同</w:t>
      </w:r>
      <w:r>
        <w:rPr>
          <w:rFonts w:hint="eastAsia" w:ascii="宋体" w:hAnsi="宋体" w:cs="宋体"/>
          <w:b w:val="0"/>
          <w:bCs w:val="0"/>
          <w:sz w:val="24"/>
          <w:lang w:val="en-US" w:eastAsia="zh-CN"/>
        </w:rPr>
        <w:t>履约</w:t>
      </w:r>
      <w:r>
        <w:rPr>
          <w:rFonts w:hint="eastAsia" w:ascii="宋体" w:hAnsi="宋体" w:cs="宋体"/>
          <w:b w:val="0"/>
          <w:bCs w:val="0"/>
          <w:sz w:val="24"/>
        </w:rPr>
        <w:t>期限：</w:t>
      </w:r>
      <w:r>
        <w:rPr>
          <w:rFonts w:hint="eastAsia" w:ascii="宋体" w:hAnsi="宋体" w:cs="宋体"/>
          <w:b w:val="0"/>
          <w:bCs w:val="0"/>
          <w:sz w:val="24"/>
          <w:lang w:val="en-US" w:eastAsia="zh-CN"/>
        </w:rPr>
        <w:t>标项1，2024年12月1日前完工；</w:t>
      </w:r>
    </w:p>
    <w:p>
      <w:pPr>
        <w:pStyle w:val="125"/>
        <w:spacing w:line="360" w:lineRule="auto"/>
        <w:ind w:firstLine="480" w:firstLineChars="200"/>
        <w:rPr>
          <w:rFonts w:hint="eastAsia" w:ascii="宋体" w:hAnsi="宋体" w:cs="宋体"/>
          <w:sz w:val="24"/>
        </w:rPr>
      </w:pPr>
      <w:r>
        <w:rPr>
          <w:rFonts w:hint="eastAsia" w:ascii="宋体" w:hAnsi="宋体" w:cs="宋体"/>
          <w:b w:val="0"/>
          <w:bCs w:val="0"/>
          <w:sz w:val="24"/>
        </w:rPr>
        <w:t xml:space="preserve">本项目（否）接受联合体投标。 </w:t>
      </w:r>
      <w:r>
        <w:rPr>
          <w:rFonts w:hint="eastAsia" w:ascii="宋体" w:hAnsi="宋体" w:cs="宋体"/>
          <w:sz w:val="24"/>
        </w:rPr>
        <w:t xml:space="preserve">                                       </w:t>
      </w:r>
    </w:p>
    <w:p>
      <w:pPr>
        <w:pStyle w:val="125"/>
        <w:spacing w:line="360" w:lineRule="auto"/>
        <w:rPr>
          <w:rFonts w:hint="eastAsia" w:ascii="宋体" w:hAnsi="宋体" w:cs="宋体"/>
          <w:b/>
          <w:bCs/>
          <w:sz w:val="24"/>
        </w:rPr>
      </w:pPr>
      <w:r>
        <w:rPr>
          <w:rFonts w:hint="eastAsia" w:ascii="宋体" w:hAnsi="宋体" w:cs="宋体"/>
          <w:b/>
          <w:bCs/>
          <w:sz w:val="24"/>
        </w:rPr>
        <w:t>二、申请人的资格要求：</w:t>
      </w:r>
    </w:p>
    <w:p>
      <w:pPr>
        <w:widowControl/>
        <w:tabs>
          <w:tab w:val="left" w:pos="3570"/>
        </w:tabs>
        <w:spacing w:line="360" w:lineRule="auto"/>
        <w:ind w:firstLine="480" w:firstLineChars="200"/>
        <w:jc w:val="left"/>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1.符合《中华人民共和国政府采购法》第二十二条规定条件；</w:t>
      </w:r>
    </w:p>
    <w:p>
      <w:pPr>
        <w:widowControl/>
        <w:tabs>
          <w:tab w:val="left" w:pos="3570"/>
        </w:tabs>
        <w:spacing w:line="360" w:lineRule="auto"/>
        <w:ind w:firstLine="480" w:firstLineChars="200"/>
        <w:jc w:val="left"/>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2.落实政府采购政策需满足的资格要求：无（优惠政策按中小企业、jianyu企业、残疾人福利性单位、节能产品、环境标志产品等有关规定执行，具体详见招标文件）；</w:t>
      </w:r>
    </w:p>
    <w:p>
      <w:pPr>
        <w:widowControl/>
        <w:tabs>
          <w:tab w:val="left" w:pos="3570"/>
        </w:tabs>
        <w:spacing w:line="360" w:lineRule="auto"/>
        <w:ind w:firstLine="480" w:firstLineChars="200"/>
        <w:jc w:val="left"/>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3.本项目的特定资格要求：投标人须具备国家广播电视总局令第12号要求的《广播电视节目传送业务经营许可证》；</w:t>
      </w:r>
    </w:p>
    <w:p>
      <w:pPr>
        <w:pStyle w:val="125"/>
        <w:spacing w:line="360" w:lineRule="auto"/>
        <w:rPr>
          <w:rFonts w:hint="eastAsia" w:ascii="宋体" w:hAnsi="宋体" w:cs="宋体"/>
          <w:b/>
          <w:bCs/>
          <w:sz w:val="24"/>
        </w:rPr>
      </w:pPr>
      <w:r>
        <w:rPr>
          <w:rFonts w:hint="eastAsia" w:ascii="宋体" w:hAnsi="宋体" w:cs="宋体"/>
          <w:b/>
          <w:bCs/>
          <w:sz w:val="24"/>
        </w:rPr>
        <w:t>三、获取采购文件</w:t>
      </w:r>
    </w:p>
    <w:p>
      <w:pPr>
        <w:pStyle w:val="125"/>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08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09</w:t>
      </w:r>
      <w:r>
        <w:rPr>
          <w:rFonts w:hint="eastAsia" w:ascii="宋体" w:hAnsi="宋体" w:cs="宋体"/>
          <w:color w:val="auto"/>
          <w:sz w:val="24"/>
          <w:highlight w:val="none"/>
        </w:rPr>
        <w:t>日（北京时间）至202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08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日（北京时间）每天上午</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:00至1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:00，下午</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0至</w:t>
      </w:r>
      <w:r>
        <w:rPr>
          <w:rFonts w:hint="eastAsia" w:ascii="宋体" w:hAnsi="宋体" w:cs="宋体"/>
          <w:color w:val="auto"/>
          <w:sz w:val="24"/>
          <w:highlight w:val="none"/>
          <w:lang w:val="en-US" w:eastAsia="zh-CN"/>
        </w:rPr>
        <w:t>20:00</w:t>
      </w:r>
      <w:r>
        <w:rPr>
          <w:rFonts w:hint="eastAsia" w:ascii="宋体" w:hAnsi="宋体" w:cs="宋体"/>
          <w:color w:val="auto"/>
          <w:sz w:val="24"/>
          <w:highlight w:val="none"/>
        </w:rPr>
        <w:t>（北京时间，法定节假日除外）；</w:t>
      </w:r>
    </w:p>
    <w:p>
      <w:pPr>
        <w:pStyle w:val="125"/>
        <w:spacing w:line="360" w:lineRule="auto"/>
        <w:ind w:firstLine="480" w:firstLineChars="200"/>
        <w:rPr>
          <w:rFonts w:hint="eastAsia" w:ascii="宋体" w:hAnsi="宋体" w:cs="宋体"/>
          <w:sz w:val="24"/>
        </w:rPr>
      </w:pPr>
      <w:r>
        <w:rPr>
          <w:rFonts w:hint="eastAsia" w:ascii="宋体" w:hAnsi="宋体" w:cs="宋体"/>
          <w:sz w:val="24"/>
        </w:rPr>
        <w:t>地点：新疆政采云平台线上</w:t>
      </w:r>
    </w:p>
    <w:p>
      <w:pPr>
        <w:pStyle w:val="125"/>
        <w:spacing w:line="360" w:lineRule="auto"/>
        <w:ind w:firstLine="480" w:firstLineChars="200"/>
        <w:rPr>
          <w:rFonts w:hint="eastAsia" w:ascii="宋体" w:hAnsi="宋体" w:eastAsia="宋体" w:cs="宋体"/>
          <w:sz w:val="24"/>
          <w:lang w:eastAsia="zh-CN"/>
        </w:rPr>
      </w:pPr>
      <w:r>
        <w:rPr>
          <w:rFonts w:hint="eastAsia" w:ascii="宋体" w:hAnsi="宋体" w:cs="宋体"/>
          <w:sz w:val="24"/>
        </w:rPr>
        <w:t>方式：</w:t>
      </w:r>
      <w:r>
        <w:rPr>
          <w:rFonts w:hint="eastAsia" w:ascii="宋体" w:hAnsi="宋体" w:cs="宋体"/>
          <w:sz w:val="24"/>
          <w:lang w:val="en-US" w:eastAsia="zh-CN"/>
        </w:rPr>
        <w:t>投标人</w:t>
      </w:r>
      <w:r>
        <w:rPr>
          <w:rFonts w:hint="eastAsia" w:ascii="宋体" w:hAnsi="宋体" w:cs="宋体"/>
          <w:sz w:val="24"/>
        </w:rPr>
        <w:t>登录政采云平台https://www.zcygov.cn/在线申请获取采购文件</w:t>
      </w:r>
      <w:r>
        <w:rPr>
          <w:rFonts w:hint="eastAsia" w:ascii="宋体" w:hAnsi="宋体" w:cs="宋体"/>
          <w:sz w:val="24"/>
          <w:lang w:eastAsia="zh-CN"/>
        </w:rPr>
        <w:t>，</w:t>
      </w:r>
      <w:r>
        <w:rPr>
          <w:rFonts w:hint="eastAsia" w:ascii="宋体" w:hAnsi="宋体" w:cs="宋体"/>
          <w:sz w:val="24"/>
        </w:rPr>
        <w:t>进入“项目采购”应用，在获取采购文件菜单中选择项目，申请获取采购文件</w:t>
      </w:r>
      <w:r>
        <w:rPr>
          <w:rFonts w:hint="eastAsia" w:ascii="宋体" w:hAnsi="宋体" w:cs="宋体"/>
          <w:sz w:val="24"/>
          <w:lang w:eastAsia="zh-CN"/>
        </w:rPr>
        <w:t>（</w:t>
      </w:r>
      <w:r>
        <w:rPr>
          <w:rFonts w:hint="eastAsia" w:ascii="宋体" w:hAnsi="宋体" w:cs="宋体"/>
          <w:sz w:val="24"/>
        </w:rPr>
        <w:t>如有操作性问题，可与政采云在线客服进行咨询，咨询电话：400-881-7190</w:t>
      </w:r>
      <w:r>
        <w:rPr>
          <w:rFonts w:hint="eastAsia" w:ascii="宋体" w:hAnsi="宋体" w:cs="宋体"/>
          <w:sz w:val="24"/>
          <w:lang w:eastAsia="zh-CN"/>
        </w:rPr>
        <w:t>）</w:t>
      </w:r>
      <w:r>
        <w:rPr>
          <w:rFonts w:hint="eastAsia" w:ascii="宋体" w:hAnsi="宋体" w:cs="宋体"/>
          <w:sz w:val="24"/>
        </w:rPr>
        <w:t>。</w:t>
      </w:r>
    </w:p>
    <w:p>
      <w:pPr>
        <w:pStyle w:val="125"/>
        <w:spacing w:line="360" w:lineRule="auto"/>
        <w:ind w:firstLine="480" w:firstLineChars="200"/>
        <w:rPr>
          <w:rFonts w:hint="eastAsia" w:ascii="宋体" w:hAnsi="宋体" w:cs="宋体"/>
          <w:sz w:val="24"/>
        </w:rPr>
      </w:pPr>
      <w:r>
        <w:rPr>
          <w:rFonts w:hint="eastAsia" w:ascii="宋体" w:hAnsi="宋体" w:cs="宋体"/>
          <w:sz w:val="24"/>
        </w:rPr>
        <w:t>售价（元）：0</w:t>
      </w:r>
    </w:p>
    <w:p>
      <w:pPr>
        <w:pStyle w:val="125"/>
        <w:numPr>
          <w:ilvl w:val="0"/>
          <w:numId w:val="3"/>
        </w:numPr>
        <w:spacing w:line="360" w:lineRule="auto"/>
        <w:rPr>
          <w:rFonts w:hint="eastAsia" w:ascii="宋体" w:hAnsi="宋体" w:cs="宋体"/>
          <w:b/>
          <w:bCs/>
          <w:sz w:val="24"/>
        </w:rPr>
      </w:pPr>
      <w:r>
        <w:rPr>
          <w:rFonts w:hint="eastAsia" w:ascii="宋体" w:hAnsi="宋体" w:cs="宋体"/>
          <w:b/>
          <w:bCs/>
          <w:sz w:val="24"/>
        </w:rPr>
        <w:t>提交</w:t>
      </w:r>
      <w:r>
        <w:rPr>
          <w:rFonts w:hint="eastAsia" w:ascii="宋体" w:hAnsi="宋体" w:cs="宋体"/>
          <w:b/>
          <w:bCs/>
          <w:sz w:val="24"/>
          <w:lang w:val="en-US" w:eastAsia="zh-CN"/>
        </w:rPr>
        <w:t>投标</w:t>
      </w:r>
      <w:r>
        <w:rPr>
          <w:rFonts w:hint="eastAsia" w:ascii="宋体" w:hAnsi="宋体" w:cs="宋体"/>
          <w:b/>
          <w:bCs/>
          <w:sz w:val="24"/>
        </w:rPr>
        <w:t>文件截止时间、开标时间和地点</w:t>
      </w:r>
    </w:p>
    <w:p>
      <w:pPr>
        <w:pStyle w:val="125"/>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rPr>
        <w:t>提交</w:t>
      </w:r>
      <w:r>
        <w:rPr>
          <w:rFonts w:hint="eastAsia" w:ascii="宋体" w:hAnsi="宋体" w:cs="宋体"/>
          <w:color w:val="auto"/>
          <w:sz w:val="24"/>
          <w:lang w:val="en-US" w:eastAsia="zh-CN"/>
        </w:rPr>
        <w:t>投标</w:t>
      </w:r>
      <w:r>
        <w:rPr>
          <w:rFonts w:hint="eastAsia" w:ascii="宋体" w:hAnsi="宋体" w:cs="宋体"/>
          <w:color w:val="auto"/>
          <w:sz w:val="24"/>
        </w:rPr>
        <w:t>文件截止时间：</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08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29</w:t>
      </w:r>
      <w:r>
        <w:rPr>
          <w:rFonts w:hint="eastAsia" w:ascii="宋体" w:hAnsi="宋体" w:cs="宋体"/>
          <w:color w:val="auto"/>
          <w:sz w:val="24"/>
          <w:highlight w:val="none"/>
        </w:rPr>
        <w:t>日下午16：</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（北京时间）</w:t>
      </w:r>
    </w:p>
    <w:p>
      <w:pPr>
        <w:pStyle w:val="125"/>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投标地点：请登录政采云投标客户端投标</w:t>
      </w:r>
    </w:p>
    <w:p>
      <w:pPr>
        <w:pStyle w:val="125"/>
        <w:spacing w:line="360" w:lineRule="auto"/>
        <w:ind w:firstLine="480" w:firstLineChars="200"/>
        <w:rPr>
          <w:rFonts w:hint="eastAsia" w:ascii="宋体" w:hAnsi="宋体" w:cs="宋体"/>
          <w:color w:val="FF0000"/>
          <w:sz w:val="24"/>
          <w:highlight w:val="none"/>
        </w:rPr>
      </w:pPr>
      <w:r>
        <w:rPr>
          <w:rFonts w:hint="eastAsia" w:ascii="宋体" w:hAnsi="宋体" w:cs="宋体"/>
          <w:color w:val="auto"/>
          <w:sz w:val="24"/>
          <w:highlight w:val="none"/>
        </w:rPr>
        <w:t>开标时间：202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08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29</w:t>
      </w:r>
      <w:r>
        <w:rPr>
          <w:rFonts w:hint="eastAsia" w:ascii="宋体" w:hAnsi="宋体" w:cs="宋体"/>
          <w:color w:val="auto"/>
          <w:sz w:val="24"/>
          <w:highlight w:val="none"/>
        </w:rPr>
        <w:t>日下午16：</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（北京时间）</w:t>
      </w:r>
    </w:p>
    <w:p>
      <w:pPr>
        <w:pStyle w:val="125"/>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开标地点：政采云电子开标大厅</w:t>
      </w:r>
    </w:p>
    <w:p>
      <w:pPr>
        <w:pStyle w:val="125"/>
        <w:spacing w:line="360" w:lineRule="auto"/>
        <w:rPr>
          <w:rFonts w:hint="eastAsia" w:ascii="宋体" w:hAnsi="宋体" w:cs="宋体"/>
          <w:b/>
          <w:bCs/>
          <w:sz w:val="24"/>
        </w:rPr>
      </w:pPr>
      <w:r>
        <w:rPr>
          <w:rFonts w:hint="eastAsia" w:ascii="宋体" w:hAnsi="宋体" w:cs="宋体"/>
          <w:b/>
          <w:bCs/>
          <w:sz w:val="24"/>
        </w:rPr>
        <w:t>五、公告期限</w:t>
      </w:r>
    </w:p>
    <w:p>
      <w:pPr>
        <w:pStyle w:val="125"/>
        <w:spacing w:line="360" w:lineRule="auto"/>
        <w:ind w:firstLine="480" w:firstLineChars="200"/>
        <w:rPr>
          <w:rFonts w:hint="eastAsia" w:ascii="宋体" w:hAnsi="宋体" w:cs="宋体"/>
          <w:sz w:val="24"/>
        </w:rPr>
      </w:pPr>
      <w:r>
        <w:rPr>
          <w:rFonts w:hint="eastAsia" w:ascii="宋体" w:hAnsi="宋体" w:cs="宋体"/>
          <w:sz w:val="24"/>
        </w:rPr>
        <w:t>自本公告发布之日起</w:t>
      </w:r>
      <w:r>
        <w:rPr>
          <w:rFonts w:hint="eastAsia" w:ascii="宋体" w:hAnsi="宋体" w:cs="宋体"/>
          <w:sz w:val="24"/>
          <w:lang w:val="en-US" w:eastAsia="zh-CN"/>
        </w:rPr>
        <w:t>5</w:t>
      </w:r>
      <w:r>
        <w:rPr>
          <w:rFonts w:hint="eastAsia" w:ascii="宋体" w:hAnsi="宋体" w:cs="宋体"/>
          <w:sz w:val="24"/>
        </w:rPr>
        <w:t>个工作日。</w:t>
      </w:r>
    </w:p>
    <w:p>
      <w:pPr>
        <w:pStyle w:val="125"/>
        <w:spacing w:line="360" w:lineRule="auto"/>
        <w:rPr>
          <w:rFonts w:hint="eastAsia" w:ascii="宋体" w:hAnsi="宋体" w:cs="宋体"/>
          <w:b/>
          <w:bCs/>
          <w:sz w:val="24"/>
        </w:rPr>
      </w:pPr>
      <w:r>
        <w:rPr>
          <w:rFonts w:hint="eastAsia" w:ascii="宋体" w:hAnsi="宋体" w:cs="宋体"/>
          <w:b/>
          <w:bCs/>
          <w:sz w:val="24"/>
          <w:lang w:val="en-US" w:eastAsia="zh-CN"/>
        </w:rPr>
        <w:t>六</w:t>
      </w:r>
      <w:r>
        <w:rPr>
          <w:rFonts w:hint="eastAsia" w:ascii="宋体" w:hAnsi="宋体" w:cs="宋体"/>
          <w:b/>
          <w:bCs/>
          <w:sz w:val="24"/>
        </w:rPr>
        <w:t>、其他补充事宜</w:t>
      </w:r>
    </w:p>
    <w:p>
      <w:pPr>
        <w:pStyle w:val="125"/>
        <w:spacing w:line="360" w:lineRule="auto"/>
        <w:ind w:firstLine="480" w:firstLineChars="200"/>
        <w:rPr>
          <w:rFonts w:hint="eastAsia" w:ascii="宋体" w:hAnsi="宋体" w:cs="宋体"/>
          <w:sz w:val="24"/>
        </w:rPr>
      </w:pPr>
      <w:r>
        <w:rPr>
          <w:rFonts w:hint="eastAsia" w:ascii="宋体" w:hAnsi="宋体" w:cs="宋体"/>
          <w:sz w:val="24"/>
        </w:rPr>
        <w:t>1、本次采购采用</w:t>
      </w:r>
      <w:r>
        <w:rPr>
          <w:rFonts w:hint="eastAsia" w:ascii="宋体" w:hAnsi="宋体" w:cs="宋体"/>
          <w:sz w:val="24"/>
          <w:lang w:val="en-US" w:eastAsia="zh-CN"/>
        </w:rPr>
        <w:t>不见面</w:t>
      </w:r>
      <w:r>
        <w:rPr>
          <w:rFonts w:hint="eastAsia" w:ascii="宋体" w:hAnsi="宋体" w:cs="宋体"/>
          <w:sz w:val="24"/>
        </w:rPr>
        <w:t>电子交易方式，电子交易平台为“政府采购云平台（www.zcygov.cn）”。</w:t>
      </w:r>
      <w:r>
        <w:rPr>
          <w:rFonts w:hint="eastAsia" w:ascii="宋体" w:hAnsi="宋体" w:cs="宋体"/>
          <w:sz w:val="24"/>
          <w:lang w:val="en-US" w:eastAsia="zh-CN"/>
        </w:rPr>
        <w:t>投标人</w:t>
      </w:r>
      <w:r>
        <w:rPr>
          <w:rFonts w:hint="eastAsia" w:ascii="宋体" w:hAnsi="宋体" w:cs="宋体"/>
          <w:sz w:val="24"/>
        </w:rPr>
        <w:t>参与本项目电子交易活动前，应注册成为政府采购云平台供应商。编制电子投标文件前还需申领CA证书并绑定帐号，CA申领可访问新疆数字证书认证中心官方网站（https://www.xjca.com.cn/）或下载“新疆政务通 ”APP 自行进行申领。如需咨询，请联系新疆 CA 服务热线 0991-2819290。</w:t>
      </w:r>
    </w:p>
    <w:p>
      <w:pPr>
        <w:pStyle w:val="125"/>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投标人</w:t>
      </w:r>
      <w:r>
        <w:rPr>
          <w:rFonts w:hint="eastAsia" w:ascii="宋体" w:hAnsi="宋体" w:cs="宋体"/>
          <w:sz w:val="24"/>
        </w:rPr>
        <w:t>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w:t>
      </w:r>
      <w:r>
        <w:rPr>
          <w:rFonts w:hint="eastAsia" w:ascii="宋体" w:hAnsi="宋体" w:cs="宋体"/>
          <w:sz w:val="24"/>
          <w:lang w:val="en-US" w:eastAsia="zh-CN"/>
        </w:rPr>
        <w:t>投标人</w:t>
      </w:r>
      <w:r>
        <w:rPr>
          <w:rFonts w:hint="eastAsia" w:ascii="宋体" w:hAnsi="宋体" w:cs="宋体"/>
          <w:sz w:val="24"/>
        </w:rPr>
        <w:t>自行前往“新疆政府采购网—下载专区—新疆维吾尔自治区全流程电子招投标项目管理系统--电子招投标供应商客户端”版块获取。</w:t>
      </w:r>
    </w:p>
    <w:p>
      <w:pPr>
        <w:pStyle w:val="125"/>
        <w:spacing w:line="360" w:lineRule="auto"/>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投标人</w:t>
      </w:r>
      <w:r>
        <w:rPr>
          <w:rFonts w:hint="eastAsia" w:ascii="宋体" w:hAnsi="宋体" w:cs="宋体"/>
          <w:sz w:val="24"/>
        </w:rPr>
        <w:t>应当在投标截止时间前，将“电子招投标供应商客户端”生成的“电子加密投标文件”上传</w:t>
      </w:r>
      <w:r>
        <w:rPr>
          <w:rFonts w:hint="eastAsia" w:ascii="宋体" w:hAnsi="宋体" w:cs="宋体"/>
          <w:sz w:val="24"/>
          <w:lang w:val="en-US" w:eastAsia="zh-CN"/>
        </w:rPr>
        <w:t>至</w:t>
      </w:r>
      <w:r>
        <w:rPr>
          <w:rFonts w:hint="eastAsia" w:ascii="宋体" w:hAnsi="宋体" w:cs="宋体"/>
          <w:sz w:val="24"/>
        </w:rPr>
        <w:t>电子交易平台。</w:t>
      </w:r>
    </w:p>
    <w:p>
      <w:pPr>
        <w:pStyle w:val="125"/>
        <w:spacing w:line="360" w:lineRule="auto"/>
        <w:ind w:firstLine="480" w:firstLineChars="200"/>
        <w:rPr>
          <w:rFonts w:hint="eastAsia" w:ascii="宋体" w:hAnsi="宋体" w:cs="宋体"/>
          <w:sz w:val="24"/>
        </w:rPr>
      </w:pPr>
      <w:r>
        <w:rPr>
          <w:rFonts w:hint="eastAsia" w:ascii="宋体" w:hAnsi="宋体" w:cs="宋体"/>
          <w:sz w:val="24"/>
        </w:rPr>
        <w:t>4、</w:t>
      </w:r>
      <w:r>
        <w:rPr>
          <w:rFonts w:hint="eastAsia" w:ascii="宋体" w:hAnsi="宋体" w:cs="宋体"/>
          <w:sz w:val="24"/>
          <w:lang w:val="en-US" w:eastAsia="zh-CN"/>
        </w:rPr>
        <w:t>投标人</w:t>
      </w:r>
      <w:r>
        <w:rPr>
          <w:rFonts w:hint="eastAsia" w:ascii="宋体" w:hAnsi="宋体" w:cs="宋体"/>
          <w:sz w:val="24"/>
        </w:rPr>
        <w:t>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政采云热线人工号码：400-881-7190（工作时间：工作日08:00~20：00）</w:t>
      </w:r>
    </w:p>
    <w:p>
      <w:pPr>
        <w:pStyle w:val="125"/>
        <w:spacing w:line="360" w:lineRule="auto"/>
        <w:rPr>
          <w:rFonts w:hint="eastAsia"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、对本次采购提出询问，请按以下方式联系</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1.采购人信息：</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名    称：察布查尔锡伯自治县文化体育广播电视和旅游局</w:t>
      </w:r>
    </w:p>
    <w:p>
      <w:pPr>
        <w:pStyle w:val="125"/>
        <w:spacing w:line="360" w:lineRule="auto"/>
        <w:ind w:firstLine="480" w:firstLineChars="200"/>
        <w:rPr>
          <w:rFonts w:hint="eastAsia" w:ascii="宋体" w:hAnsi="宋体" w:cs="宋体"/>
          <w:sz w:val="24"/>
          <w:lang w:val="en-US" w:eastAsia="zh-CN"/>
        </w:rPr>
      </w:pPr>
      <w:r>
        <w:rPr>
          <w:rFonts w:hint="eastAsia" w:ascii="宋体" w:hAnsi="宋体" w:eastAsia="宋体" w:cs="宋体"/>
          <w:sz w:val="24"/>
          <w:lang w:val="en-US" w:eastAsia="zh-CN"/>
        </w:rPr>
        <w:t>地    址：察布查尔锡伯自治县</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联系方式</w:t>
      </w:r>
      <w:r>
        <w:rPr>
          <w:rFonts w:hint="eastAsia" w:ascii="宋体" w:hAnsi="宋体" w:eastAsia="宋体" w:cs="宋体"/>
          <w:sz w:val="24"/>
          <w:highlight w:val="none"/>
          <w:lang w:val="en-US" w:eastAsia="zh-CN"/>
        </w:rPr>
        <w:t>：13079930277</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2.采购代理机构信息</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名    称： 新疆拓越招标代理有限公司</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地    址： 新疆伊宁市开发区上海北路鸿泰康城小区旁院内办公楼2楼 </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联系方式： 18299255568</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3.项目联系方式</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项目联系人：张姝</w:t>
      </w:r>
      <w:r>
        <w:rPr>
          <w:rFonts w:hint="eastAsia" w:ascii="宋体" w:hAnsi="宋体" w:cs="宋体"/>
          <w:sz w:val="24"/>
          <w:lang w:val="en-US" w:eastAsia="zh-CN"/>
        </w:rPr>
        <w:t>、李文慧</w:t>
      </w:r>
    </w:p>
    <w:p>
      <w:pPr>
        <w:pStyle w:val="125"/>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电 话：18299255568</w:t>
      </w:r>
    </w:p>
    <w:p>
      <w:pPr>
        <w:pStyle w:val="125"/>
        <w:spacing w:line="360" w:lineRule="auto"/>
        <w:jc w:val="both"/>
        <w:rPr>
          <w:rFonts w:hint="eastAsia" w:ascii="宋体" w:hAnsi="宋体" w:eastAsia="宋体" w:cs="宋体"/>
          <w:sz w:val="24"/>
          <w:highlight w:val="none"/>
          <w:lang w:val="en-US" w:eastAsia="zh-CN"/>
        </w:rPr>
      </w:pPr>
    </w:p>
    <w:p>
      <w:pPr>
        <w:pStyle w:val="125"/>
        <w:spacing w:line="360" w:lineRule="auto"/>
        <w:ind w:firstLine="480" w:firstLineChars="200"/>
        <w:jc w:val="right"/>
        <w:rPr>
          <w:rFonts w:hint="eastAsia" w:ascii="宋体" w:hAnsi="宋体" w:eastAsia="宋体" w:cs="宋体"/>
          <w:sz w:val="24"/>
          <w:highlight w:val="none"/>
          <w:lang w:val="en-US" w:eastAsia="zh-CN"/>
        </w:rPr>
      </w:pPr>
    </w:p>
    <w:p>
      <w:pPr>
        <w:pStyle w:val="125"/>
        <w:spacing w:line="360" w:lineRule="auto"/>
        <w:jc w:val="righ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新疆拓越招标代理有限公司</w:t>
      </w:r>
    </w:p>
    <w:p>
      <w:pPr>
        <w:autoSpaceDE w:val="0"/>
        <w:autoSpaceDN w:val="0"/>
        <w:adjustRightInd w:val="0"/>
        <w:snapToGrid/>
        <w:spacing w:beforeAutospacing="0" w:afterAutospacing="0" w:line="360" w:lineRule="auto"/>
        <w:ind w:left="0" w:leftChars="0" w:firstLine="480" w:firstLineChars="200"/>
        <w:jc w:val="right"/>
        <w:rPr>
          <w:rFonts w:hint="eastAsia" w:ascii="宋体" w:hAnsi="华文仿宋" w:eastAsia="宋体"/>
          <w:b/>
          <w:bCs/>
          <w:i/>
          <w:color w:val="auto"/>
          <w:sz w:val="24"/>
          <w:szCs w:val="28"/>
        </w:rPr>
      </w:pPr>
      <w:r>
        <w:rPr>
          <w:rFonts w:hint="eastAsia" w:ascii="宋体" w:hAnsi="宋体" w:eastAsia="宋体" w:cs="宋体"/>
          <w:color w:val="auto"/>
          <w:sz w:val="24"/>
          <w:highlight w:val="none"/>
          <w:lang w:val="en-US" w:eastAsia="zh-CN"/>
        </w:rPr>
        <w:t>202</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08</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08</w:t>
      </w:r>
      <w:r>
        <w:rPr>
          <w:rFonts w:hint="eastAsia" w:ascii="宋体" w:hAnsi="宋体" w:eastAsia="宋体" w:cs="宋体"/>
          <w:color w:val="auto"/>
          <w:sz w:val="24"/>
          <w:highlight w:val="none"/>
          <w:lang w:val="en-US" w:eastAsia="zh-CN"/>
        </w:rPr>
        <w:t>日</w:t>
      </w:r>
    </w:p>
    <w:p>
      <w:pPr>
        <w:pStyle w:val="78"/>
        <w:snapToGrid/>
        <w:spacing w:beforeAutospacing="0" w:afterAutospacing="0" w:line="360" w:lineRule="auto"/>
        <w:ind w:left="0" w:leftChars="0" w:firstLine="0" w:firstLineChars="0"/>
        <w:jc w:val="both"/>
        <w:rPr>
          <w:rFonts w:hint="eastAsia" w:ascii="宋体" w:hAnsi="华文仿宋" w:eastAsia="宋体"/>
          <w:b/>
          <w:bCs/>
          <w:i/>
          <w:sz w:val="24"/>
          <w:szCs w:val="28"/>
        </w:rPr>
      </w:pPr>
    </w:p>
    <w:p>
      <w:pPr>
        <w:pStyle w:val="78"/>
        <w:snapToGrid/>
        <w:spacing w:beforeAutospacing="0" w:afterAutospacing="0" w:line="360" w:lineRule="auto"/>
        <w:ind w:left="0" w:leftChars="0" w:firstLine="480" w:firstLineChars="200"/>
        <w:jc w:val="center"/>
        <w:rPr>
          <w:rFonts w:hint="eastAsia" w:ascii="宋体" w:hAnsi="华文仿宋" w:eastAsia="宋体"/>
          <w:i/>
          <w:sz w:val="24"/>
        </w:rPr>
      </w:pPr>
      <w:r>
        <w:rPr>
          <w:rFonts w:hint="eastAsia" w:ascii="宋体" w:hAnsi="华文仿宋" w:eastAsia="宋体"/>
          <w:b/>
          <w:bCs/>
          <w:i/>
          <w:sz w:val="24"/>
          <w:szCs w:val="28"/>
        </w:rPr>
        <w:t>特 别 告 知</w:t>
      </w:r>
    </w:p>
    <w:p>
      <w:pPr>
        <w:pStyle w:val="78"/>
        <w:snapToGrid/>
        <w:spacing w:beforeAutospacing="0" w:afterAutospacing="0" w:line="360" w:lineRule="auto"/>
        <w:ind w:left="0" w:leftChars="0" w:firstLine="480" w:firstLineChars="200"/>
        <w:rPr>
          <w:rFonts w:hint="eastAsia" w:ascii="宋体" w:hAnsi="楷体" w:eastAsia="宋体" w:cs="楷体"/>
          <w:kern w:val="2"/>
          <w:sz w:val="24"/>
        </w:rPr>
      </w:pPr>
      <w:r>
        <w:rPr>
          <w:rFonts w:hint="eastAsia" w:ascii="宋体" w:hAnsi="楷体" w:eastAsia="宋体" w:cs="楷体"/>
          <w:kern w:val="2"/>
          <w:sz w:val="24"/>
        </w:rPr>
        <w:t>各潜在投标人：</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360" w:lineRule="auto"/>
        <w:ind w:left="0" w:leftChars="0" w:firstLine="480" w:firstLineChars="200"/>
        <w:textAlignment w:val="auto"/>
        <w:rPr>
          <w:rFonts w:hint="eastAsia" w:ascii="宋体" w:hAnsi="楷体" w:eastAsia="宋体" w:cs="楷体"/>
          <w:b w:val="0"/>
          <w:bCs w:val="0"/>
          <w:kern w:val="2"/>
          <w:sz w:val="24"/>
          <w:szCs w:val="24"/>
          <w:lang w:val="en-US" w:eastAsia="zh-CN" w:bidi="ar-SA"/>
        </w:rPr>
      </w:pPr>
      <w:r>
        <w:rPr>
          <w:rFonts w:hint="eastAsia" w:ascii="宋体" w:hAnsi="楷体" w:eastAsia="宋体" w:cs="楷体"/>
          <w:b w:val="0"/>
          <w:bCs w:val="0"/>
          <w:kern w:val="2"/>
          <w:sz w:val="24"/>
          <w:szCs w:val="24"/>
          <w:lang w:val="en-US" w:eastAsia="zh-CN" w:bidi="ar-SA"/>
        </w:rPr>
        <w:t>1、本项目为电子招投标项目，实行网上投标，采用电子响应文件（供应商需要CA 加密锁通过政采云电子投标客户端制作响应文件），凡参加本项目供应商可自主通过新疆 CA 申领渠道申请政采云平台可使用的 CA 设备。若供应商参与投标响应，自行承担投标响应一切费用。</w:t>
      </w: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leftChars="0" w:firstLine="480" w:firstLineChars="200"/>
        <w:textAlignment w:val="auto"/>
        <w:rPr>
          <w:rFonts w:hint="eastAsia" w:ascii="宋体" w:hAnsi="楷体" w:eastAsia="宋体" w:cs="楷体"/>
          <w:b w:val="0"/>
          <w:bCs w:val="0"/>
          <w:kern w:val="2"/>
          <w:sz w:val="24"/>
          <w:szCs w:val="24"/>
          <w:lang w:val="en-US" w:eastAsia="zh-CN" w:bidi="ar-SA"/>
        </w:rPr>
      </w:pPr>
      <w:r>
        <w:rPr>
          <w:rFonts w:hint="eastAsia" w:ascii="宋体" w:hAnsi="楷体" w:eastAsia="宋体" w:cs="楷体"/>
          <w:b w:val="0"/>
          <w:bCs w:val="0"/>
          <w:kern w:val="2"/>
          <w:sz w:val="24"/>
          <w:szCs w:val="24"/>
          <w:lang w:val="en-US" w:eastAsia="zh-CN" w:bidi="ar-SA"/>
        </w:rPr>
        <w:t>2、各供应商应确保成为政府采购云平台供应商，并完成 CA 数字证书申领。因未注册入库、未办理 CA 数字证书等原因造成无法响应或投标响应失败等后果由供应商自行承担。</w:t>
      </w: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leftChars="0" w:firstLine="480" w:firstLineChars="200"/>
        <w:textAlignment w:val="auto"/>
        <w:rPr>
          <w:rFonts w:hint="eastAsia" w:ascii="宋体" w:hAnsi="楷体" w:eastAsia="宋体" w:cs="楷体"/>
          <w:b w:val="0"/>
          <w:bCs w:val="0"/>
          <w:kern w:val="2"/>
          <w:sz w:val="24"/>
          <w:szCs w:val="24"/>
          <w:lang w:val="en-US" w:eastAsia="zh-CN" w:bidi="ar-SA"/>
        </w:rPr>
      </w:pPr>
      <w:r>
        <w:rPr>
          <w:rFonts w:hint="eastAsia" w:ascii="宋体" w:hAnsi="楷体" w:eastAsia="宋体" w:cs="楷体"/>
          <w:b w:val="0"/>
          <w:bCs w:val="0"/>
          <w:kern w:val="2"/>
          <w:sz w:val="24"/>
          <w:szCs w:val="24"/>
          <w:lang w:val="en-US" w:eastAsia="zh-CN" w:bidi="ar-SA"/>
        </w:rPr>
        <w:t>3、供应商将政采云电子交易客户端下载、安装完成后，可通过账号密码或 CA登录客户端进行投标响应文件制作。在使用政采云客户端时，建议使用WIN7 及 以 上 操 作 系 统 。 客 户 端 请 至 新 疆 政 府 采 购 网（www.ccgp-xinjiang.gov.cn）下载专区查看，如有问题可拨打政采云客户服务热线 95763 进行咨询。</w:t>
      </w: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leftChars="0" w:firstLine="480" w:firstLineChars="200"/>
        <w:textAlignment w:val="auto"/>
        <w:rPr>
          <w:rFonts w:hint="eastAsia" w:ascii="宋体" w:hAnsi="楷体" w:eastAsia="宋体" w:cs="楷体"/>
          <w:b w:val="0"/>
          <w:bCs w:val="0"/>
          <w:kern w:val="2"/>
          <w:sz w:val="24"/>
          <w:szCs w:val="24"/>
          <w:lang w:val="en-US" w:eastAsia="zh-CN" w:bidi="ar-SA"/>
        </w:rPr>
      </w:pPr>
      <w:r>
        <w:rPr>
          <w:rFonts w:hint="eastAsia" w:ascii="宋体" w:hAnsi="楷体" w:eastAsia="宋体" w:cs="楷体"/>
          <w:b w:val="0"/>
          <w:bCs w:val="0"/>
          <w:kern w:val="2"/>
          <w:sz w:val="24"/>
          <w:szCs w:val="24"/>
          <w:lang w:val="en-US" w:eastAsia="zh-CN" w:bidi="ar-SA"/>
        </w:rPr>
        <w:t>4 、 供 应 商 对 不 见 面 开 评 标 系 统 的 技 术 操 作 咨 询 ， 可 通 过https://edu.zcygov.cn/luban/xinjiang-e-biding 自助查询，也可在政采云帮助中心常见问题解答和操作流程讲解视频中自助查询，网址为：https://service.zcygov.cn/#/help，“项目采购”—“操作流程－电子招投标”—“政府采购项目电子交易管理操作指南－供应商”版面获取操作指南。</w:t>
      </w: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leftChars="0" w:firstLine="480" w:firstLineChars="200"/>
        <w:textAlignment w:val="auto"/>
        <w:rPr>
          <w:rFonts w:hint="eastAsia" w:ascii="宋体" w:hAnsi="楷体" w:eastAsia="宋体" w:cs="楷体"/>
          <w:b w:val="0"/>
          <w:bCs w:val="0"/>
          <w:kern w:val="2"/>
          <w:sz w:val="24"/>
          <w:szCs w:val="24"/>
          <w:lang w:val="en-US" w:eastAsia="zh-CN" w:bidi="ar-SA"/>
        </w:rPr>
      </w:pPr>
      <w:r>
        <w:rPr>
          <w:rFonts w:hint="eastAsia" w:ascii="宋体" w:hAnsi="楷体" w:eastAsia="宋体" w:cs="楷体"/>
          <w:b w:val="0"/>
          <w:bCs w:val="0"/>
          <w:kern w:val="2"/>
          <w:sz w:val="24"/>
          <w:szCs w:val="24"/>
          <w:lang w:val="en-US" w:eastAsia="zh-CN" w:bidi="ar-SA"/>
        </w:rPr>
        <w:t>5、各供应商须在开标时间在政采云平台自行解密文件，请及时跟进招投标及开标流程进度，若因超时未解密成功等原因造成无法响应或投标响应失败等后果由供应商自行承担。</w:t>
      </w: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leftChars="0" w:firstLine="480" w:firstLineChars="200"/>
        <w:textAlignment w:val="auto"/>
        <w:rPr>
          <w:rFonts w:hint="eastAsia" w:ascii="宋体" w:hAnsi="楷体" w:eastAsia="宋体" w:cs="楷体"/>
          <w:b w:val="0"/>
          <w:bCs w:val="0"/>
          <w:kern w:val="2"/>
          <w:sz w:val="24"/>
          <w:szCs w:val="24"/>
          <w:lang w:val="en-US" w:eastAsia="zh-CN" w:bidi="ar-SA"/>
        </w:rPr>
      </w:pPr>
      <w:r>
        <w:rPr>
          <w:rFonts w:hint="eastAsia" w:ascii="宋体" w:hAnsi="楷体" w:eastAsia="宋体" w:cs="楷体"/>
          <w:b w:val="0"/>
          <w:bCs w:val="0"/>
          <w:kern w:val="2"/>
          <w:sz w:val="24"/>
          <w:szCs w:val="24"/>
          <w:lang w:val="en-US" w:eastAsia="zh-CN" w:bidi="ar-SA"/>
        </w:rPr>
        <w:t>6、为了保证开评标顺利进行，政采云线上开标功能完全实现，投标人开标所使用的电脑设备须具有视频及语音功能。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default" w:ascii="宋体" w:hAnsi="楷体" w:eastAsia="宋体" w:cs="楷体"/>
          <w:b w:val="0"/>
          <w:bCs w:val="0"/>
          <w:kern w:val="2"/>
          <w:sz w:val="24"/>
          <w:szCs w:val="24"/>
          <w:lang w:val="en-US" w:eastAsia="zh-CN" w:bidi="ar-SA"/>
        </w:rPr>
      </w:pPr>
      <w:r>
        <w:rPr>
          <w:rFonts w:hint="eastAsia" w:ascii="宋体" w:hAnsi="楷体" w:eastAsia="宋体" w:cs="楷体"/>
          <w:b w:val="0"/>
          <w:bCs w:val="0"/>
          <w:kern w:val="2"/>
          <w:sz w:val="24"/>
          <w:szCs w:val="24"/>
          <w:lang w:val="en-US" w:eastAsia="zh-CN" w:bidi="ar-SA"/>
        </w:rPr>
        <w:t>7、保证金缴纳请详细阅读第二章投标须知前附表条款号第12中相关内容。</w:t>
      </w:r>
    </w:p>
    <w:p>
      <w:pPr>
        <w:pStyle w:val="4"/>
        <w:snapToGrid/>
        <w:spacing w:before="200" w:beforeAutospacing="0" w:after="200" w:afterAutospacing="0" w:line="240" w:lineRule="auto"/>
        <w:ind w:left="0" w:leftChars="0" w:right="0" w:rightChars="0" w:firstLine="0" w:firstLineChars="0"/>
        <w:jc w:val="center"/>
        <w:outlineLvl w:val="0"/>
        <w:rPr>
          <w:rFonts w:hint="eastAsia" w:ascii="宋体" w:eastAsia="宋体"/>
          <w:b/>
          <w:sz w:val="24"/>
          <w:szCs w:val="32"/>
        </w:rPr>
      </w:pPr>
      <w:bookmarkStart w:id="26" w:name="_Toc512937850"/>
      <w:r>
        <w:rPr>
          <w:rFonts w:ascii="宋体" w:hAnsi="仿宋" w:eastAsia="宋体"/>
          <w:b/>
          <w:i/>
          <w:kern w:val="0"/>
          <w:sz w:val="24"/>
          <w:szCs w:val="24"/>
        </w:rPr>
        <w:br w:type="page"/>
      </w:r>
      <w:bookmarkStart w:id="27" w:name="_Toc10002"/>
      <w:bookmarkStart w:id="28" w:name="_Toc507399903"/>
      <w:bookmarkStart w:id="29" w:name="_Toc29134"/>
      <w:bookmarkStart w:id="30" w:name="_Toc13681"/>
      <w:bookmarkStart w:id="31" w:name="_Toc216582823"/>
      <w:bookmarkStart w:id="32" w:name="_Toc28296"/>
      <w:bookmarkStart w:id="33" w:name="_Toc574"/>
      <w:bookmarkStart w:id="34" w:name="_Toc11180"/>
      <w:r>
        <w:rPr>
          <w:rFonts w:hint="eastAsia" w:ascii="宋体" w:eastAsia="宋体"/>
          <w:b/>
          <w:sz w:val="30"/>
          <w:szCs w:val="30"/>
        </w:rPr>
        <w:t xml:space="preserve">第二章 </w:t>
      </w:r>
      <w:r>
        <w:rPr>
          <w:rFonts w:ascii="宋体" w:eastAsia="宋体"/>
          <w:b/>
          <w:sz w:val="30"/>
          <w:szCs w:val="30"/>
        </w:rPr>
        <w:t xml:space="preserve">  </w:t>
      </w:r>
      <w:r>
        <w:rPr>
          <w:rFonts w:hint="eastAsia" w:ascii="宋体" w:eastAsia="宋体"/>
          <w:b/>
          <w:sz w:val="30"/>
          <w:szCs w:val="30"/>
        </w:rPr>
        <w:t>投标须知前附表</w:t>
      </w:r>
      <w:bookmarkEnd w:id="27"/>
      <w:bookmarkEnd w:id="28"/>
      <w:bookmarkEnd w:id="29"/>
      <w:bookmarkEnd w:id="30"/>
      <w:bookmarkEnd w:id="31"/>
      <w:bookmarkEnd w:id="32"/>
      <w:bookmarkEnd w:id="33"/>
      <w:bookmarkEnd w:id="34"/>
    </w:p>
    <w:bookmarkEnd w:id="26"/>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本表是关于要采购货物的具体资料，是对投标人须知的具体补充和修改，如有矛盾，应以本前附表为准。</w:t>
      </w:r>
    </w:p>
    <w:tbl>
      <w:tblPr>
        <w:tblStyle w:val="37"/>
        <w:tblW w:w="9025" w:type="dxa"/>
        <w:tblInd w:w="-3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13"/>
        <w:gridCol w:w="75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条款号</w:t>
            </w:r>
          </w:p>
        </w:tc>
        <w:tc>
          <w:tcPr>
            <w:tcW w:w="7512" w:type="dxa"/>
            <w:noWrap w:val="0"/>
            <w:vAlign w:val="center"/>
          </w:tcPr>
          <w:p>
            <w:pPr>
              <w:spacing w:line="240" w:lineRule="atLeast"/>
              <w:ind w:left="1156" w:leftChars="257" w:hanging="540"/>
              <w:rPr>
                <w:rFonts w:hint="eastAsia" w:ascii="楷体" w:hAnsi="楷体" w:eastAsia="楷体" w:cs="楷体"/>
                <w:b/>
                <w:sz w:val="24"/>
                <w:szCs w:val="24"/>
              </w:rPr>
            </w:pPr>
            <w:r>
              <w:rPr>
                <w:rFonts w:hint="eastAsia" w:ascii="楷体" w:hAnsi="楷体" w:eastAsia="楷体" w:cs="楷体"/>
                <w:b/>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1.1</w:t>
            </w:r>
          </w:p>
        </w:tc>
        <w:tc>
          <w:tcPr>
            <w:tcW w:w="75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highlight w:val="none"/>
              </w:rPr>
              <w:t>采 购 人：</w:t>
            </w:r>
            <w:r>
              <w:rPr>
                <w:rFonts w:hint="eastAsia" w:ascii="楷体" w:hAnsi="楷体" w:cs="楷体"/>
                <w:sz w:val="24"/>
                <w:szCs w:val="24"/>
                <w:lang w:eastAsia="zh-CN"/>
              </w:rPr>
              <w:t>察布查尔锡伯自治县文化体育广播电视和旅游局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楷体" w:hAnsi="楷体" w:eastAsia="楷体" w:cs="楷体"/>
                <w:sz w:val="24"/>
                <w:szCs w:val="24"/>
                <w:lang w:val="en-US"/>
              </w:rPr>
            </w:pPr>
            <w:r>
              <w:rPr>
                <w:rFonts w:hint="eastAsia" w:ascii="楷体" w:hAnsi="楷体" w:eastAsia="楷体" w:cs="楷体"/>
                <w:sz w:val="24"/>
                <w:szCs w:val="24"/>
                <w:highlight w:val="none"/>
              </w:rPr>
              <w:t>地    址：</w:t>
            </w:r>
            <w:r>
              <w:rPr>
                <w:rFonts w:hint="eastAsia" w:ascii="楷体" w:hAnsi="楷体" w:cs="楷体"/>
                <w:sz w:val="24"/>
                <w:szCs w:val="24"/>
                <w:lang w:eastAsia="zh-CN"/>
              </w:rPr>
              <w:t>察布查尔锡伯自治县</w:t>
            </w:r>
            <w:r>
              <w:rPr>
                <w:rFonts w:hint="eastAsia" w:ascii="楷体" w:hAnsi="楷体" w:cs="楷体"/>
                <w:sz w:val="24"/>
                <w:szCs w:val="24"/>
                <w:lang w:val="en-US" w:eastAsia="zh-CN"/>
              </w:rPr>
              <w:t>辖区内</w:t>
            </w:r>
          </w:p>
          <w:p>
            <w:pPr>
              <w:keepNext w:val="0"/>
              <w:keepLines w:val="0"/>
              <w:pageBreakBefore w:val="0"/>
              <w:widowControl w:val="0"/>
              <w:tabs>
                <w:tab w:val="left" w:pos="4276"/>
                <w:tab w:val="left" w:pos="8522"/>
              </w:tabs>
              <w:kinsoku/>
              <w:wordWrap/>
              <w:overflowPunct/>
              <w:topLinePunct w:val="0"/>
              <w:autoSpaceDE/>
              <w:autoSpaceDN/>
              <w:bidi w:val="0"/>
              <w:adjustRightInd/>
              <w:snapToGrid/>
              <w:spacing w:line="240" w:lineRule="auto"/>
              <w:jc w:val="left"/>
              <w:textAlignment w:val="auto"/>
              <w:rPr>
                <w:rFonts w:hint="eastAsia" w:ascii="楷体" w:hAnsi="楷体" w:eastAsia="楷体" w:cs="楷体"/>
                <w:sz w:val="24"/>
                <w:szCs w:val="24"/>
              </w:rPr>
            </w:pPr>
            <w:r>
              <w:rPr>
                <w:rFonts w:hint="eastAsia" w:ascii="楷体" w:hAnsi="楷体" w:eastAsia="楷体" w:cs="楷体"/>
                <w:sz w:val="24"/>
                <w:szCs w:val="24"/>
                <w:highlight w:val="none"/>
              </w:rPr>
              <w:t>联 系 人：永琼玉</w:t>
            </w:r>
          </w:p>
          <w:p>
            <w:pPr>
              <w:keepNext w:val="0"/>
              <w:keepLines w:val="0"/>
              <w:pageBreakBefore w:val="0"/>
              <w:widowControl w:val="0"/>
              <w:tabs>
                <w:tab w:val="left" w:pos="4276"/>
                <w:tab w:val="left" w:pos="8522"/>
              </w:tabs>
              <w:kinsoku/>
              <w:wordWrap/>
              <w:overflowPunct/>
              <w:topLinePunct w:val="0"/>
              <w:autoSpaceDE/>
              <w:autoSpaceDN/>
              <w:bidi w:val="0"/>
              <w:adjustRightInd/>
              <w:snapToGrid/>
              <w:spacing w:line="240" w:lineRule="auto"/>
              <w:jc w:val="left"/>
              <w:textAlignment w:val="auto"/>
              <w:rPr>
                <w:rFonts w:hint="eastAsia" w:ascii="楷体" w:hAnsi="楷体" w:eastAsia="楷体" w:cs="楷体"/>
                <w:sz w:val="24"/>
                <w:szCs w:val="24"/>
              </w:rPr>
            </w:pPr>
            <w:r>
              <w:rPr>
                <w:rFonts w:hint="eastAsia" w:ascii="楷体" w:hAnsi="楷体" w:eastAsia="楷体" w:cs="楷体"/>
                <w:sz w:val="24"/>
                <w:szCs w:val="24"/>
                <w:highlight w:val="none"/>
              </w:rPr>
              <w:t>电    话：13079930277</w:t>
            </w:r>
            <w:r>
              <w:rPr>
                <w:rFonts w:hint="eastAsia" w:ascii="楷体" w:hAnsi="楷体" w:eastAsia="楷体" w:cs="楷体"/>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1.2</w:t>
            </w:r>
          </w:p>
        </w:tc>
        <w:tc>
          <w:tcPr>
            <w:tcW w:w="7512" w:type="dxa"/>
            <w:noWrap w:val="0"/>
            <w:vAlign w:val="center"/>
          </w:tcPr>
          <w:p>
            <w:pPr>
              <w:spacing w:line="240" w:lineRule="atLeast"/>
              <w:rPr>
                <w:rFonts w:hint="eastAsia" w:ascii="楷体" w:hAnsi="楷体" w:eastAsia="楷体" w:cs="楷体"/>
                <w:sz w:val="24"/>
                <w:szCs w:val="24"/>
                <w:lang w:eastAsia="zh-CN"/>
              </w:rPr>
            </w:pPr>
            <w:r>
              <w:rPr>
                <w:rFonts w:hint="eastAsia" w:ascii="楷体" w:hAnsi="楷体" w:eastAsia="楷体" w:cs="楷体"/>
                <w:sz w:val="24"/>
                <w:szCs w:val="24"/>
              </w:rPr>
              <w:t>采购代理机构：</w:t>
            </w:r>
            <w:r>
              <w:rPr>
                <w:rFonts w:hint="eastAsia" w:ascii="楷体" w:hAnsi="楷体" w:eastAsia="楷体" w:cs="楷体"/>
                <w:sz w:val="24"/>
                <w:szCs w:val="24"/>
                <w:lang w:eastAsia="zh-CN"/>
              </w:rPr>
              <w:t>疆拓越招标代理有限公司</w:t>
            </w:r>
          </w:p>
          <w:p>
            <w:pPr>
              <w:spacing w:line="240" w:lineRule="atLeast"/>
              <w:rPr>
                <w:rFonts w:hint="eastAsia" w:ascii="楷体" w:hAnsi="楷体" w:eastAsia="楷体" w:cs="楷体"/>
                <w:sz w:val="24"/>
                <w:szCs w:val="24"/>
                <w:lang w:eastAsia="zh-CN"/>
              </w:rPr>
            </w:pPr>
            <w:r>
              <w:rPr>
                <w:rFonts w:hint="eastAsia" w:ascii="楷体" w:hAnsi="楷体" w:eastAsia="楷体" w:cs="楷体"/>
                <w:sz w:val="24"/>
                <w:szCs w:val="24"/>
              </w:rPr>
              <w:t>地　　址：</w:t>
            </w:r>
            <w:r>
              <w:rPr>
                <w:rFonts w:hint="eastAsia" w:ascii="楷体" w:hAnsi="楷体" w:eastAsia="楷体" w:cs="楷体"/>
                <w:sz w:val="24"/>
                <w:szCs w:val="24"/>
                <w:lang w:eastAsia="zh-CN"/>
              </w:rPr>
              <w:t>新疆伊宁市开发区上海北路鸿泰康城小区旁院内办公楼2楼</w:t>
            </w:r>
          </w:p>
          <w:p>
            <w:pPr>
              <w:spacing w:line="240" w:lineRule="atLeast"/>
              <w:rPr>
                <w:rFonts w:hint="eastAsia" w:ascii="楷体" w:hAnsi="楷体" w:eastAsia="楷体" w:cs="楷体"/>
                <w:sz w:val="24"/>
                <w:szCs w:val="24"/>
              </w:rPr>
            </w:pPr>
            <w:r>
              <w:rPr>
                <w:rFonts w:hint="eastAsia" w:ascii="楷体" w:hAnsi="楷体" w:eastAsia="楷体" w:cs="楷体"/>
                <w:sz w:val="24"/>
                <w:szCs w:val="24"/>
              </w:rPr>
              <w:t>业务联系人：张姝、李文慧</w:t>
            </w:r>
          </w:p>
          <w:p>
            <w:pPr>
              <w:spacing w:line="240" w:lineRule="atLeast"/>
              <w:rPr>
                <w:rFonts w:hint="eastAsia" w:ascii="楷体" w:hAnsi="楷体" w:eastAsia="楷体" w:cs="楷体"/>
                <w:sz w:val="24"/>
                <w:szCs w:val="24"/>
              </w:rPr>
            </w:pPr>
            <w:r>
              <w:rPr>
                <w:rFonts w:hint="eastAsia" w:ascii="楷体" w:hAnsi="楷体" w:eastAsia="楷体" w:cs="楷体"/>
                <w:sz w:val="24"/>
                <w:szCs w:val="24"/>
              </w:rPr>
              <w:t>电话：18299255568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7"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1.3.4</w:t>
            </w:r>
          </w:p>
        </w:tc>
        <w:tc>
          <w:tcPr>
            <w:tcW w:w="7512" w:type="dxa"/>
            <w:noWrap w:val="0"/>
            <w:vAlign w:val="center"/>
          </w:tcPr>
          <w:p>
            <w:pPr>
              <w:spacing w:line="240" w:lineRule="atLeast"/>
              <w:rPr>
                <w:rFonts w:hint="eastAsia" w:ascii="楷体" w:hAnsi="楷体" w:eastAsia="楷体" w:cs="楷体"/>
                <w:sz w:val="24"/>
                <w:szCs w:val="24"/>
                <w:lang w:val="en-US" w:eastAsia="zh-CN"/>
              </w:rPr>
            </w:pPr>
            <w:r>
              <w:rPr>
                <w:rFonts w:hint="eastAsia" w:ascii="楷体" w:hAnsi="楷体" w:eastAsia="楷体" w:cs="楷体"/>
                <w:sz w:val="24"/>
                <w:szCs w:val="24"/>
              </w:rPr>
              <w:t>合格投标人的其他资格要求：</w:t>
            </w:r>
            <w:r>
              <w:rPr>
                <w:rFonts w:hint="eastAsia" w:ascii="楷体" w:hAnsi="楷体" w:eastAsia="楷体" w:cs="楷体"/>
                <w:sz w:val="24"/>
                <w:szCs w:val="24"/>
                <w:u w:val="single"/>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6"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 xml:space="preserve">1.4   </w:t>
            </w:r>
          </w:p>
        </w:tc>
        <w:tc>
          <w:tcPr>
            <w:tcW w:w="7512" w:type="dxa"/>
            <w:noWrap w:val="0"/>
            <w:vAlign w:val="center"/>
          </w:tcPr>
          <w:p>
            <w:pPr>
              <w:spacing w:line="240" w:lineRule="atLeast"/>
              <w:rPr>
                <w:rFonts w:hint="eastAsia" w:ascii="楷体" w:hAnsi="楷体" w:eastAsia="楷体" w:cs="楷体"/>
                <w:sz w:val="24"/>
                <w:szCs w:val="24"/>
              </w:rPr>
            </w:pPr>
            <w:r>
              <w:rPr>
                <w:rFonts w:hint="eastAsia" w:ascii="楷体" w:hAnsi="楷体" w:eastAsia="楷体" w:cs="楷体"/>
                <w:sz w:val="24"/>
                <w:szCs w:val="24"/>
              </w:rPr>
              <w:t>是否允许采购进口产品：</w:t>
            </w:r>
            <w:r>
              <w:rPr>
                <w:rFonts w:hint="eastAsia" w:ascii="楷体" w:hAnsi="楷体" w:eastAsia="楷体" w:cs="楷体"/>
                <w:sz w:val="24"/>
                <w:szCs w:val="24"/>
                <w:u w:val="single"/>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1.5.1</w:t>
            </w:r>
          </w:p>
        </w:tc>
        <w:tc>
          <w:tcPr>
            <w:tcW w:w="7512" w:type="dxa"/>
            <w:noWrap w:val="0"/>
            <w:vAlign w:val="center"/>
          </w:tcPr>
          <w:p>
            <w:pPr>
              <w:spacing w:line="240" w:lineRule="atLeast"/>
              <w:rPr>
                <w:rFonts w:hint="eastAsia" w:ascii="楷体" w:hAnsi="楷体" w:eastAsia="楷体" w:cs="楷体"/>
                <w:sz w:val="24"/>
                <w:szCs w:val="24"/>
                <w:lang w:val="en-US" w:eastAsia="zh-CN"/>
              </w:rPr>
            </w:pPr>
            <w:r>
              <w:rPr>
                <w:rFonts w:hint="eastAsia" w:ascii="楷体" w:hAnsi="楷体" w:eastAsia="楷体" w:cs="楷体"/>
                <w:sz w:val="24"/>
                <w:szCs w:val="24"/>
                <w:u w:val="single"/>
                <w:lang w:val="en-US" w:eastAsia="zh-CN"/>
              </w:rPr>
              <w:t>所属行业：信息传输业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1.5.2</w:t>
            </w:r>
          </w:p>
        </w:tc>
        <w:tc>
          <w:tcPr>
            <w:tcW w:w="7512" w:type="dxa"/>
            <w:noWrap w:val="0"/>
            <w:vAlign w:val="center"/>
          </w:tcPr>
          <w:p>
            <w:pPr>
              <w:spacing w:line="240" w:lineRule="atLeast"/>
              <w:rPr>
                <w:rFonts w:hint="eastAsia" w:ascii="楷体" w:hAnsi="楷体" w:eastAsia="楷体" w:cs="楷体"/>
                <w:i/>
                <w:color w:val="FF6600"/>
                <w:sz w:val="24"/>
                <w:szCs w:val="24"/>
                <w:highlight w:val="none"/>
                <w:lang w:eastAsia="zh-CN"/>
              </w:rPr>
            </w:pPr>
            <w:r>
              <w:rPr>
                <w:rFonts w:hint="eastAsia" w:ascii="楷体" w:hAnsi="楷体" w:eastAsia="楷体" w:cs="楷体"/>
                <w:sz w:val="24"/>
                <w:szCs w:val="24"/>
                <w:highlight w:val="none"/>
              </w:rPr>
              <w:t>是否为专门面向中小企业采购：</w:t>
            </w:r>
            <w:r>
              <w:rPr>
                <w:rFonts w:hint="eastAsia" w:ascii="楷体" w:hAnsi="楷体" w:eastAsia="楷体" w:cs="楷体"/>
                <w:sz w:val="24"/>
                <w:szCs w:val="24"/>
                <w:highlight w:val="none"/>
                <w:u w:val="single"/>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1.5.3</w:t>
            </w:r>
          </w:p>
        </w:tc>
        <w:tc>
          <w:tcPr>
            <w:tcW w:w="7512" w:type="dxa"/>
            <w:noWrap w:val="0"/>
            <w:vAlign w:val="center"/>
          </w:tcPr>
          <w:p>
            <w:pPr>
              <w:spacing w:line="240" w:lineRule="atLeast"/>
              <w:rPr>
                <w:rFonts w:hint="eastAsia" w:ascii="楷体" w:hAnsi="楷体" w:eastAsia="楷体" w:cs="楷体"/>
                <w:sz w:val="24"/>
                <w:szCs w:val="24"/>
                <w:highlight w:val="none"/>
              </w:rPr>
            </w:pPr>
            <w:r>
              <w:rPr>
                <w:rFonts w:hint="eastAsia" w:ascii="楷体" w:hAnsi="楷体" w:eastAsia="楷体" w:cs="楷体"/>
                <w:sz w:val="24"/>
                <w:szCs w:val="24"/>
                <w:highlight w:val="none"/>
              </w:rPr>
              <w:t>是否为本项目面向中小企业采购预留份额：</w:t>
            </w:r>
            <w:r>
              <w:rPr>
                <w:rFonts w:hint="eastAsia" w:ascii="楷体" w:hAnsi="楷体" w:eastAsia="楷体" w:cs="楷体"/>
                <w:sz w:val="24"/>
                <w:szCs w:val="24"/>
                <w:highlight w:val="none"/>
                <w:u w:val="single"/>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1.6</w:t>
            </w:r>
          </w:p>
        </w:tc>
        <w:tc>
          <w:tcPr>
            <w:tcW w:w="7512" w:type="dxa"/>
            <w:noWrap w:val="0"/>
            <w:vAlign w:val="center"/>
          </w:tcPr>
          <w:p>
            <w:pPr>
              <w:spacing w:line="240" w:lineRule="atLeast"/>
              <w:rPr>
                <w:rFonts w:hint="eastAsia" w:ascii="楷体" w:hAnsi="楷体" w:eastAsia="楷体" w:cs="楷体"/>
                <w:sz w:val="24"/>
                <w:szCs w:val="24"/>
              </w:rPr>
            </w:pPr>
            <w:r>
              <w:rPr>
                <w:rFonts w:hint="eastAsia" w:ascii="楷体" w:hAnsi="楷体" w:eastAsia="楷体" w:cs="楷体"/>
                <w:sz w:val="24"/>
                <w:szCs w:val="24"/>
              </w:rPr>
              <w:t>是否允许联合体投标：</w:t>
            </w:r>
            <w:r>
              <w:rPr>
                <w:rFonts w:hint="eastAsia" w:ascii="楷体" w:hAnsi="楷体" w:eastAsia="楷体" w:cs="楷体"/>
                <w:sz w:val="24"/>
                <w:szCs w:val="24"/>
                <w:u w:val="single"/>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1.6.8</w:t>
            </w:r>
          </w:p>
        </w:tc>
        <w:tc>
          <w:tcPr>
            <w:tcW w:w="7512" w:type="dxa"/>
            <w:noWrap w:val="0"/>
            <w:vAlign w:val="center"/>
          </w:tcPr>
          <w:p>
            <w:pPr>
              <w:spacing w:line="240" w:lineRule="atLeast"/>
              <w:rPr>
                <w:rFonts w:hint="default" w:ascii="楷体" w:hAnsi="楷体" w:eastAsia="楷体" w:cs="楷体"/>
                <w:sz w:val="24"/>
                <w:szCs w:val="24"/>
                <w:lang w:val="en-US" w:eastAsia="zh-CN"/>
              </w:rPr>
            </w:pPr>
            <w:r>
              <w:rPr>
                <w:rFonts w:hint="eastAsia" w:ascii="楷体" w:hAnsi="楷体" w:eastAsia="楷体" w:cs="楷体"/>
                <w:sz w:val="24"/>
                <w:szCs w:val="24"/>
              </w:rPr>
              <w:t>联合体的其他资格要求</w:t>
            </w:r>
            <w:r>
              <w:rPr>
                <w:rFonts w:hint="eastAsia" w:ascii="楷体" w:hAnsi="楷体" w:eastAsia="楷体" w:cs="楷体"/>
                <w:sz w:val="24"/>
                <w:szCs w:val="24"/>
                <w:lang w:eastAsia="zh-CN"/>
              </w:rPr>
              <w:t>：</w:t>
            </w:r>
            <w:r>
              <w:rPr>
                <w:rFonts w:hint="eastAsia" w:ascii="楷体" w:hAnsi="楷体" w:cs="楷体"/>
                <w:sz w:val="24"/>
                <w:szCs w:val="24"/>
                <w:u w:val="singl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2.2</w:t>
            </w:r>
          </w:p>
        </w:tc>
        <w:tc>
          <w:tcPr>
            <w:tcW w:w="7512" w:type="dxa"/>
            <w:noWrap w:val="0"/>
            <w:vAlign w:val="center"/>
          </w:tcPr>
          <w:p>
            <w:pPr>
              <w:spacing w:line="240" w:lineRule="atLeast"/>
              <w:rPr>
                <w:rFonts w:hint="default" w:ascii="楷体" w:hAnsi="楷体" w:eastAsia="楷体" w:cs="楷体"/>
                <w:sz w:val="24"/>
                <w:szCs w:val="24"/>
                <w:lang w:val="en-US" w:eastAsia="zh-CN"/>
              </w:rPr>
            </w:pPr>
            <w:r>
              <w:rPr>
                <w:rFonts w:hint="eastAsia" w:ascii="楷体" w:hAnsi="楷体" w:eastAsia="楷体" w:cs="楷体"/>
                <w:sz w:val="24"/>
                <w:szCs w:val="24"/>
              </w:rPr>
              <w:t>项目预算金额：</w:t>
            </w:r>
            <w:r>
              <w:rPr>
                <w:rFonts w:hint="eastAsia" w:ascii="楷体" w:hAnsi="楷体" w:cs="楷体"/>
                <w:sz w:val="24"/>
                <w:szCs w:val="24"/>
                <w:lang w:val="en-US" w:eastAsia="zh-CN"/>
              </w:rPr>
              <w:t>15000000.00元，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513" w:type="dxa"/>
            <w:shd w:val="clear" w:color="auto" w:fill="auto"/>
            <w:noWrap w:val="0"/>
            <w:vAlign w:val="center"/>
          </w:tcPr>
          <w:p>
            <w:pPr>
              <w:spacing w:line="240" w:lineRule="atLeast"/>
              <w:ind w:left="1156" w:leftChars="257" w:hanging="540"/>
              <w:rPr>
                <w:rFonts w:hint="default"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2.3</w:t>
            </w:r>
          </w:p>
        </w:tc>
        <w:tc>
          <w:tcPr>
            <w:tcW w:w="7512" w:type="dxa"/>
            <w:shd w:val="clear" w:color="auto" w:fill="auto"/>
            <w:noWrap w:val="0"/>
            <w:vAlign w:val="center"/>
          </w:tcPr>
          <w:p>
            <w:pPr>
              <w:spacing w:line="240" w:lineRule="atLeast"/>
              <w:rPr>
                <w:rFonts w:hint="default" w:ascii="楷体" w:hAnsi="楷体" w:eastAsia="楷体" w:cs="楷体"/>
                <w:color w:val="auto"/>
                <w:sz w:val="24"/>
                <w:szCs w:val="24"/>
                <w:highlight w:val="none"/>
                <w:lang w:val="en-US"/>
              </w:rPr>
            </w:pPr>
            <w:r>
              <w:rPr>
                <w:rFonts w:hint="eastAsia" w:ascii="楷体" w:hAnsi="楷体" w:cs="楷体"/>
                <w:b/>
                <w:bCs/>
                <w:color w:val="auto"/>
                <w:sz w:val="24"/>
                <w:szCs w:val="24"/>
                <w:highlight w:val="none"/>
                <w:lang w:val="en-US" w:eastAsia="zh-CN"/>
              </w:rPr>
              <w:t>项目最高限价：12908314.93元</w:t>
            </w:r>
            <w:r>
              <w:rPr>
                <w:rFonts w:hint="eastAsia" w:ascii="楷体" w:hAnsi="楷体" w:cs="楷体"/>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5.4</w:t>
            </w:r>
          </w:p>
        </w:tc>
        <w:tc>
          <w:tcPr>
            <w:tcW w:w="7512" w:type="dxa"/>
            <w:noWrap w:val="0"/>
            <w:vAlign w:val="center"/>
          </w:tcPr>
          <w:p>
            <w:pPr>
              <w:spacing w:line="240" w:lineRule="atLeast"/>
              <w:rPr>
                <w:rFonts w:hint="eastAsia" w:ascii="楷体" w:hAnsi="楷体" w:eastAsia="楷体" w:cs="楷体"/>
                <w:sz w:val="24"/>
                <w:szCs w:val="24"/>
              </w:rPr>
            </w:pPr>
            <w:r>
              <w:rPr>
                <w:rFonts w:hint="eastAsia" w:ascii="楷体" w:hAnsi="楷体" w:eastAsia="楷体" w:cs="楷体"/>
                <w:sz w:val="24"/>
                <w:szCs w:val="24"/>
              </w:rPr>
              <w:t>是否组织现场考察或者召开答疑会：</w:t>
            </w:r>
            <w:r>
              <w:rPr>
                <w:rFonts w:hint="eastAsia" w:ascii="楷体" w:hAnsi="楷体" w:eastAsia="楷体" w:cs="楷体"/>
                <w:sz w:val="24"/>
                <w:szCs w:val="24"/>
                <w:u w:val="single"/>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5.5</w:t>
            </w:r>
          </w:p>
        </w:tc>
        <w:tc>
          <w:tcPr>
            <w:tcW w:w="7512" w:type="dxa"/>
            <w:noWrap w:val="0"/>
            <w:vAlign w:val="center"/>
          </w:tcPr>
          <w:p>
            <w:pPr>
              <w:spacing w:line="240" w:lineRule="atLeast"/>
              <w:rPr>
                <w:rFonts w:hint="eastAsia" w:ascii="楷体" w:hAnsi="楷体" w:eastAsia="楷体" w:cs="楷体"/>
                <w:sz w:val="24"/>
                <w:szCs w:val="24"/>
                <w:highlight w:val="none"/>
              </w:rPr>
            </w:pPr>
            <w:r>
              <w:rPr>
                <w:rFonts w:hint="eastAsia" w:ascii="楷体" w:hAnsi="楷体" w:eastAsia="楷体" w:cs="楷体"/>
                <w:sz w:val="24"/>
                <w:szCs w:val="24"/>
                <w:highlight w:val="none"/>
              </w:rPr>
              <w:t>是否需要提供样品：</w:t>
            </w:r>
            <w:r>
              <w:rPr>
                <w:rFonts w:hint="eastAsia" w:ascii="楷体" w:hAnsi="楷体" w:eastAsia="楷体" w:cs="楷体"/>
                <w:sz w:val="24"/>
                <w:szCs w:val="24"/>
                <w:highlight w:val="none"/>
                <w:u w:val="single"/>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8.1</w:t>
            </w:r>
          </w:p>
        </w:tc>
        <w:tc>
          <w:tcPr>
            <w:tcW w:w="7512" w:type="dxa"/>
            <w:noWrap w:val="0"/>
            <w:vAlign w:val="center"/>
          </w:tcPr>
          <w:p>
            <w:pPr>
              <w:spacing w:line="240" w:lineRule="atLeast"/>
              <w:rPr>
                <w:rFonts w:hint="eastAsia" w:ascii="楷体" w:hAnsi="楷体" w:eastAsia="楷体" w:cs="楷体"/>
                <w:sz w:val="24"/>
                <w:szCs w:val="24"/>
                <w:highlight w:val="none"/>
                <w:lang w:val="en-US" w:eastAsia="zh-CN"/>
              </w:rPr>
            </w:pPr>
            <w:r>
              <w:rPr>
                <w:rFonts w:hint="eastAsia" w:ascii="楷体" w:hAnsi="楷体" w:eastAsia="楷体" w:cs="楷体"/>
                <w:b/>
                <w:bCs/>
                <w:sz w:val="24"/>
                <w:szCs w:val="24"/>
                <w:highlight w:val="none"/>
                <w:lang w:val="en-US" w:eastAsia="zh-CN"/>
              </w:rPr>
              <w:t>中标人数量</w:t>
            </w:r>
            <w:r>
              <w:rPr>
                <w:rFonts w:hint="eastAsia" w:ascii="楷体" w:hAnsi="楷体" w:cs="楷体"/>
                <w:b/>
                <w:bCs/>
                <w:sz w:val="24"/>
                <w:szCs w:val="24"/>
                <w:highlight w:val="none"/>
                <w:lang w:val="en-US" w:eastAsia="zh-CN"/>
              </w:rPr>
              <w:t>：</w:t>
            </w:r>
            <w:r>
              <w:rPr>
                <w:rFonts w:hint="eastAsia" w:ascii="楷体" w:hAnsi="楷体" w:eastAsia="楷体" w:cs="楷体"/>
                <w:b/>
                <w:bCs/>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12</w:t>
            </w:r>
          </w:p>
        </w:tc>
        <w:tc>
          <w:tcPr>
            <w:tcW w:w="7512" w:type="dxa"/>
            <w:noWrap w:val="0"/>
            <w:vAlign w:val="center"/>
          </w:tcPr>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楷体" w:hAnsi="楷体" w:eastAsia="楷体" w:cs="楷体"/>
                <w:sz w:val="24"/>
                <w:szCs w:val="24"/>
              </w:rPr>
            </w:pPr>
            <w:r>
              <w:rPr>
                <w:rFonts w:hint="eastAsia" w:ascii="楷体" w:hAnsi="楷体" w:cs="楷体"/>
                <w:sz w:val="24"/>
                <w:szCs w:val="24"/>
                <w:lang w:val="en-US" w:eastAsia="zh-CN"/>
              </w:rPr>
              <w:t>1.</w:t>
            </w:r>
            <w:r>
              <w:rPr>
                <w:rFonts w:hint="eastAsia" w:ascii="楷体" w:hAnsi="楷体" w:eastAsia="楷体" w:cs="楷体"/>
                <w:sz w:val="24"/>
                <w:szCs w:val="24"/>
              </w:rPr>
              <w:t>投标保证金的形式：①转账；②电汇；③保函；</w:t>
            </w:r>
          </w:p>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楷体" w:hAnsi="楷体" w:eastAsia="楷体" w:cs="楷体"/>
                <w:b/>
                <w:bCs/>
                <w:sz w:val="24"/>
                <w:szCs w:val="24"/>
              </w:rPr>
            </w:pPr>
            <w:r>
              <w:rPr>
                <w:rFonts w:hint="eastAsia" w:ascii="楷体" w:hAnsi="楷体" w:cs="楷体"/>
                <w:b/>
                <w:bCs/>
                <w:sz w:val="24"/>
                <w:szCs w:val="24"/>
                <w:lang w:val="en-US" w:eastAsia="zh-CN"/>
              </w:rPr>
              <w:t>2.投标</w:t>
            </w:r>
            <w:r>
              <w:rPr>
                <w:rFonts w:hint="eastAsia" w:ascii="楷体" w:hAnsi="楷体" w:eastAsia="楷体" w:cs="楷体"/>
                <w:b/>
                <w:bCs/>
                <w:sz w:val="24"/>
                <w:szCs w:val="24"/>
              </w:rPr>
              <w:t>保证金金额：</w:t>
            </w:r>
            <w:r>
              <w:rPr>
                <w:rFonts w:hint="eastAsia" w:ascii="楷体" w:hAnsi="楷体" w:cs="楷体"/>
                <w:b/>
                <w:bCs/>
                <w:sz w:val="24"/>
                <w:szCs w:val="24"/>
                <w:lang w:val="en-US" w:eastAsia="zh-CN"/>
              </w:rPr>
              <w:t>￥100000.00</w:t>
            </w:r>
            <w:r>
              <w:rPr>
                <w:rFonts w:hint="eastAsia" w:ascii="楷体" w:hAnsi="楷体" w:eastAsia="楷体" w:cs="楷体"/>
                <w:b/>
                <w:bCs/>
                <w:sz w:val="24"/>
                <w:szCs w:val="24"/>
              </w:rPr>
              <w:t>元（</w:t>
            </w:r>
            <w:r>
              <w:rPr>
                <w:rFonts w:hint="eastAsia" w:ascii="楷体" w:hAnsi="楷体" w:cs="楷体"/>
                <w:b/>
                <w:bCs/>
                <w:sz w:val="24"/>
                <w:szCs w:val="24"/>
                <w:lang w:val="en-US" w:eastAsia="zh-CN"/>
              </w:rPr>
              <w:t>大写：壹拾万元整</w:t>
            </w:r>
            <w:r>
              <w:rPr>
                <w:rFonts w:hint="eastAsia" w:ascii="楷体" w:hAnsi="楷体" w:eastAsia="楷体" w:cs="楷体"/>
                <w:b/>
                <w:bCs/>
                <w:sz w:val="24"/>
                <w:szCs w:val="24"/>
              </w:rPr>
              <w:t>）</w:t>
            </w:r>
          </w:p>
          <w:p>
            <w:pPr>
              <w:widowControl w:val="0"/>
              <w:spacing w:line="360" w:lineRule="exact"/>
              <w:jc w:val="left"/>
              <w:rPr>
                <w:rFonts w:hint="eastAsia" w:ascii="楷体" w:hAnsi="楷体" w:eastAsia="楷体" w:cs="楷体"/>
                <w:sz w:val="24"/>
                <w:szCs w:val="24"/>
              </w:rPr>
            </w:pPr>
            <w:r>
              <w:rPr>
                <w:rFonts w:hint="eastAsia" w:ascii="楷体" w:hAnsi="楷体" w:cs="楷体"/>
                <w:sz w:val="24"/>
                <w:szCs w:val="24"/>
                <w:lang w:val="en-US" w:eastAsia="zh-CN"/>
              </w:rPr>
              <w:t>3.投标保证金的</w:t>
            </w:r>
            <w:r>
              <w:rPr>
                <w:rFonts w:hint="eastAsia" w:ascii="楷体" w:hAnsi="楷体" w:eastAsia="楷体" w:cs="楷体"/>
                <w:sz w:val="24"/>
                <w:szCs w:val="24"/>
              </w:rPr>
              <w:t>递交方式：</w:t>
            </w:r>
          </w:p>
          <w:p>
            <w:pPr>
              <w:widowControl w:val="0"/>
              <w:spacing w:line="360" w:lineRule="exact"/>
              <w:jc w:val="left"/>
              <w:rPr>
                <w:rFonts w:hint="eastAsia" w:ascii="楷体" w:hAnsi="楷体" w:eastAsia="楷体" w:cs="楷体"/>
                <w:sz w:val="24"/>
                <w:szCs w:val="24"/>
              </w:rPr>
            </w:pPr>
            <w:r>
              <w:rPr>
                <w:rFonts w:hint="eastAsia" w:ascii="楷体" w:hAnsi="楷体" w:cs="楷体"/>
                <w:sz w:val="24"/>
                <w:szCs w:val="24"/>
                <w:lang w:val="en-US" w:eastAsia="zh-CN"/>
              </w:rPr>
              <w:t>3.1</w:t>
            </w:r>
            <w:r>
              <w:rPr>
                <w:rFonts w:hint="eastAsia" w:ascii="楷体" w:hAnsi="楷体" w:eastAsia="楷体" w:cs="楷体"/>
                <w:sz w:val="24"/>
                <w:szCs w:val="24"/>
              </w:rPr>
              <w:t>投标人采用第①②种形式递交保证金的，将投标保证金从企业</w:t>
            </w:r>
            <w:r>
              <w:rPr>
                <w:rFonts w:hint="eastAsia" w:ascii="楷体" w:hAnsi="楷体" w:cs="楷体"/>
                <w:sz w:val="24"/>
                <w:szCs w:val="24"/>
                <w:lang w:eastAsia="zh-CN"/>
              </w:rPr>
              <w:t>基本账户</w:t>
            </w:r>
            <w:r>
              <w:rPr>
                <w:rFonts w:hint="eastAsia" w:ascii="楷体" w:hAnsi="楷体" w:eastAsia="楷体" w:cs="楷体"/>
                <w:sz w:val="24"/>
                <w:szCs w:val="24"/>
              </w:rPr>
              <w:t>汇至以下账户</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rPr>
              <w:t>单位名称：新疆拓越招标代理有限公司</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rPr>
              <w:t>账    号：812030112010108758825</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rPr>
              <w:t>行    号：402898000121</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rPr>
              <w:t>开户行名称：新疆伊犁农村商业银行股份有限公司迎宾路支行</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楷体" w:hAnsi="楷体" w:eastAsia="楷体" w:cs="楷体"/>
                <w:sz w:val="24"/>
                <w:szCs w:val="24"/>
                <w:lang w:val="zh-CN"/>
              </w:rPr>
            </w:pPr>
            <w:r>
              <w:rPr>
                <w:rFonts w:hint="eastAsia" w:ascii="楷体" w:hAnsi="楷体" w:eastAsia="楷体" w:cs="楷体"/>
                <w:sz w:val="24"/>
                <w:szCs w:val="24"/>
              </w:rPr>
              <w:t>财务电话：13309990709</w:t>
            </w:r>
          </w:p>
          <w:p>
            <w:pPr>
              <w:pStyle w:val="2"/>
              <w:widowControl w:val="0"/>
              <w:jc w:val="both"/>
              <w:rPr>
                <w:rFonts w:hint="eastAsia" w:ascii="楷体" w:hAnsi="楷体" w:eastAsia="楷体" w:cs="楷体"/>
                <w:sz w:val="24"/>
                <w:szCs w:val="24"/>
              </w:rPr>
            </w:pPr>
            <w:r>
              <w:rPr>
                <w:rFonts w:hint="eastAsia" w:ascii="楷体" w:hAnsi="楷体" w:eastAsia="楷体" w:cs="楷体"/>
                <w:sz w:val="24"/>
                <w:szCs w:val="24"/>
              </w:rPr>
              <w:t>3.2投标人采用第③种形式递交保证金的，投标人须在投标截止时间前，将所投项目对应的保函原件的扫描件随投标文件一起提交；</w:t>
            </w:r>
          </w:p>
          <w:p>
            <w:pPr>
              <w:pStyle w:val="2"/>
              <w:widowControl w:val="0"/>
              <w:jc w:val="both"/>
              <w:rPr>
                <w:rFonts w:hint="eastAsia" w:ascii="楷体" w:hAnsi="楷体" w:eastAsia="楷体" w:cs="楷体"/>
                <w:sz w:val="24"/>
                <w:szCs w:val="24"/>
                <w:lang w:val="zh-CN"/>
              </w:rPr>
            </w:pPr>
            <w:r>
              <w:rPr>
                <w:rFonts w:hint="eastAsia" w:ascii="楷体" w:hAnsi="楷体" w:cs="楷体"/>
                <w:sz w:val="24"/>
                <w:szCs w:val="24"/>
                <w:lang w:val="en-US" w:eastAsia="zh-CN"/>
              </w:rPr>
              <w:t>4.投标保证金</w:t>
            </w:r>
            <w:r>
              <w:rPr>
                <w:rFonts w:hint="eastAsia" w:ascii="楷体" w:hAnsi="楷体" w:eastAsia="楷体" w:cs="楷体"/>
                <w:sz w:val="24"/>
                <w:szCs w:val="24"/>
              </w:rPr>
              <w:t>递交</w:t>
            </w:r>
            <w:r>
              <w:rPr>
                <w:rFonts w:hint="eastAsia" w:ascii="楷体" w:hAnsi="楷体" w:cs="楷体"/>
                <w:sz w:val="24"/>
                <w:szCs w:val="24"/>
                <w:lang w:val="en-US" w:eastAsia="zh-CN"/>
              </w:rPr>
              <w:t>截止</w:t>
            </w:r>
            <w:r>
              <w:rPr>
                <w:rFonts w:hint="eastAsia" w:ascii="楷体" w:hAnsi="楷体" w:eastAsia="楷体" w:cs="楷体"/>
                <w:sz w:val="24"/>
                <w:szCs w:val="24"/>
              </w:rPr>
              <w:t>时间：</w:t>
            </w:r>
            <w:r>
              <w:rPr>
                <w:rFonts w:hint="eastAsia" w:ascii="楷体" w:hAnsi="楷体" w:cs="楷体"/>
                <w:sz w:val="24"/>
                <w:szCs w:val="24"/>
                <w:lang w:val="en-US" w:eastAsia="zh-CN"/>
              </w:rPr>
              <w:t>同投标截止时间</w:t>
            </w:r>
            <w:r>
              <w:rPr>
                <w:rFonts w:hint="eastAsia" w:ascii="楷体" w:hAnsi="楷体" w:eastAsia="楷体" w:cs="楷体"/>
                <w:sz w:val="24"/>
                <w:szCs w:val="24"/>
              </w:rPr>
              <w:t>（投标单位应充分考虑跨行等因素导致的延迟到账情况）。</w:t>
            </w:r>
          </w:p>
          <w:p>
            <w:pPr>
              <w:pStyle w:val="2"/>
              <w:widowControl w:val="0"/>
              <w:jc w:val="both"/>
              <w:rPr>
                <w:rFonts w:hint="eastAsia" w:ascii="楷体" w:hAnsi="楷体" w:eastAsia="楷体" w:cs="楷体"/>
                <w:i/>
                <w:color w:val="FF6600"/>
                <w:sz w:val="24"/>
                <w:szCs w:val="24"/>
              </w:rPr>
            </w:pPr>
            <w:r>
              <w:rPr>
                <w:rFonts w:hint="eastAsia" w:ascii="楷体" w:hAnsi="楷体" w:eastAsia="楷体" w:cs="楷体"/>
                <w:b/>
                <w:bCs/>
                <w:sz w:val="24"/>
                <w:szCs w:val="24"/>
                <w:lang w:val="en-US" w:eastAsia="zh-CN"/>
              </w:rPr>
              <w:t>注：投标人可以自主选择以上任意一种形式递交投标保证金，投标人采用第①②种形式递交</w:t>
            </w:r>
            <w:r>
              <w:rPr>
                <w:rFonts w:hint="eastAsia" w:ascii="楷体" w:hAnsi="楷体" w:cs="楷体"/>
                <w:b/>
                <w:bCs/>
                <w:sz w:val="24"/>
                <w:szCs w:val="24"/>
                <w:lang w:val="en-US" w:eastAsia="zh-CN"/>
              </w:rPr>
              <w:t>投标</w:t>
            </w:r>
            <w:r>
              <w:rPr>
                <w:rFonts w:hint="eastAsia" w:ascii="楷体" w:hAnsi="楷体" w:eastAsia="楷体" w:cs="楷体"/>
                <w:b/>
                <w:bCs/>
                <w:sz w:val="24"/>
                <w:szCs w:val="24"/>
                <w:lang w:val="en-US" w:eastAsia="zh-CN"/>
              </w:rPr>
              <w:t>保证金的，投标保证金必须从投标人企业基本账户转入到指定账户，并注明“察布查尔锡伯自治县智慧广电固边工程保证金”字样，请自行核实保投标证金入账情况，若因投标人汇款错误等原因导致投标保证金未在规定时间内缴纳至指定账户，视为未按招标文件</w:t>
            </w:r>
            <w:r>
              <w:rPr>
                <w:rFonts w:hint="eastAsia" w:ascii="楷体" w:hAnsi="楷体" w:cs="楷体"/>
                <w:b/>
                <w:bCs/>
                <w:sz w:val="24"/>
                <w:szCs w:val="24"/>
                <w:lang w:val="en-US" w:eastAsia="zh-CN"/>
              </w:rPr>
              <w:t>规定</w:t>
            </w:r>
            <w:r>
              <w:rPr>
                <w:rFonts w:hint="eastAsia" w:ascii="楷体" w:hAnsi="楷体" w:eastAsia="楷体" w:cs="楷体"/>
                <w:b/>
                <w:bCs/>
                <w:sz w:val="24"/>
                <w:szCs w:val="24"/>
                <w:lang w:val="en-US" w:eastAsia="zh-CN"/>
              </w:rPr>
              <w:t>缴纳投标保证金，后果由投标人自行承担。</w:t>
            </w:r>
            <w:r>
              <w:rPr>
                <w:rFonts w:hint="eastAsia" w:ascii="楷体" w:hAnsi="楷体" w:eastAsia="楷体" w:cs="楷体"/>
                <w:b/>
                <w:bCs/>
                <w:sz w:val="24"/>
                <w:szCs w:val="24"/>
              </w:rPr>
              <w:t>未递交投标保证金视为投标无效。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13.1</w:t>
            </w:r>
          </w:p>
        </w:tc>
        <w:tc>
          <w:tcPr>
            <w:tcW w:w="7512" w:type="dxa"/>
            <w:noWrap w:val="0"/>
            <w:vAlign w:val="center"/>
          </w:tcPr>
          <w:p>
            <w:pPr>
              <w:spacing w:line="240" w:lineRule="atLeast"/>
              <w:rPr>
                <w:rFonts w:hint="eastAsia" w:ascii="楷体" w:hAnsi="楷体" w:eastAsia="楷体" w:cs="楷体"/>
                <w:sz w:val="24"/>
                <w:szCs w:val="24"/>
                <w:u w:val="single"/>
              </w:rPr>
            </w:pPr>
            <w:r>
              <w:rPr>
                <w:rFonts w:hint="eastAsia" w:ascii="楷体" w:hAnsi="楷体" w:eastAsia="楷体" w:cs="楷体"/>
                <w:sz w:val="24"/>
                <w:szCs w:val="24"/>
              </w:rPr>
              <w:t>投标有效期：</w:t>
            </w:r>
            <w:r>
              <w:rPr>
                <w:rFonts w:hint="eastAsia" w:ascii="楷体" w:hAnsi="楷体" w:eastAsia="楷体" w:cs="楷体"/>
                <w:sz w:val="24"/>
                <w:szCs w:val="24"/>
                <w:u w:val="single"/>
                <w:lang w:val="en-US" w:eastAsia="zh-CN"/>
              </w:rPr>
              <w:t>90</w:t>
            </w:r>
            <w:r>
              <w:rPr>
                <w:rFonts w:hint="eastAsia" w:ascii="楷体" w:hAnsi="楷体" w:eastAsia="楷体" w:cs="楷体"/>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14.1</w:t>
            </w:r>
          </w:p>
        </w:tc>
        <w:tc>
          <w:tcPr>
            <w:tcW w:w="75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rPr>
            </w:pPr>
            <w:r>
              <w:rPr>
                <w:rFonts w:hint="eastAsia" w:ascii="楷体" w:hAnsi="楷体" w:cs="楷体"/>
                <w:sz w:val="24"/>
                <w:szCs w:val="24"/>
                <w:lang w:val="en-US" w:eastAsia="zh-CN"/>
              </w:rPr>
              <w:t>本项目采用电子招标投标，</w:t>
            </w:r>
            <w:r>
              <w:rPr>
                <w:rFonts w:hint="eastAsia" w:ascii="楷体" w:hAnsi="楷体" w:eastAsia="楷体" w:cs="楷体"/>
                <w:sz w:val="24"/>
                <w:szCs w:val="24"/>
              </w:rPr>
              <w:t>具体要求</w:t>
            </w:r>
            <w:r>
              <w:rPr>
                <w:rFonts w:hint="eastAsia" w:ascii="楷体" w:hAnsi="楷体" w:cs="楷体"/>
                <w:sz w:val="24"/>
                <w:szCs w:val="24"/>
                <w:lang w:val="en-US" w:eastAsia="zh-CN"/>
              </w:rPr>
              <w:t>如下</w:t>
            </w:r>
            <w:r>
              <w:rPr>
                <w:rFonts w:hint="eastAsia" w:ascii="楷体" w:hAnsi="楷体" w:eastAsia="楷体" w:cs="楷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rPr>
            </w:pPr>
            <w:r>
              <w:rPr>
                <w:rFonts w:hint="eastAsia" w:ascii="楷体" w:hAnsi="楷体" w:eastAsia="楷体" w:cs="楷体"/>
                <w:sz w:val="24"/>
                <w:szCs w:val="24"/>
              </w:rPr>
              <w:t>1、投标文件解密时间：投标文件解密时间30分钟，开标前投标单位用CA证书登录政采云平台开标大厅签到，在30分钟解密时间内输入CA证书PIN码解密投标文件。在30分钟解密时间内未进行解密的投标单位将导致废标。（解密时间开始时政采云平台将以短信形式向供应商在政采云平台预留的手机号发送短信通知，请供应商及时关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rPr>
            </w:pPr>
            <w:r>
              <w:rPr>
                <w:rFonts w:hint="eastAsia" w:ascii="楷体" w:hAnsi="楷体" w:eastAsia="楷体" w:cs="楷体"/>
                <w:sz w:val="24"/>
                <w:szCs w:val="24"/>
              </w:rPr>
              <w:t>2、供应商报价CA签字确认：报价文件开启后将开启签字时段，供应商须在20分钟内用CA证书对报价进行签字确认。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rPr>
            </w:pPr>
            <w:r>
              <w:rPr>
                <w:rFonts w:hint="eastAsia" w:ascii="楷体" w:hAnsi="楷体" w:eastAsia="楷体" w:cs="楷体"/>
                <w:sz w:val="24"/>
                <w:szCs w:val="24"/>
              </w:rPr>
              <w:t>3、备注: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rPr>
            </w:pPr>
            <w:r>
              <w:rPr>
                <w:rFonts w:hint="eastAsia" w:ascii="楷体" w:hAnsi="楷体" w:eastAsia="楷体" w:cs="楷体"/>
                <w:sz w:val="24"/>
                <w:szCs w:val="24"/>
              </w:rPr>
              <w:t>（1）本次采购采用电子交易方式，电子交易平台为“政府采购云平台（www.zcygov.cn）”。投标人参与本项目电子交易活动前，应注册成为政府采购云平台供应商。编制电子投标文件前还需申领CA证书并绑定帐号。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rPr>
            </w:pPr>
            <w:r>
              <w:rPr>
                <w:rFonts w:hint="eastAsia" w:ascii="楷体" w:hAnsi="楷体" w:eastAsia="楷体" w:cs="楷体"/>
                <w:sz w:val="24"/>
                <w:szCs w:val="24"/>
              </w:rPr>
              <w:t>（2）投标人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rPr>
            </w:pPr>
            <w:r>
              <w:rPr>
                <w:rFonts w:hint="eastAsia" w:ascii="楷体" w:hAnsi="楷体" w:eastAsia="楷体" w:cs="楷体"/>
                <w:sz w:val="24"/>
                <w:szCs w:val="24"/>
              </w:rPr>
              <w:t>（3）投标人应当在投标截止时间前，将“电子招投标供应商客户端”生成的“电子加密投标文件”上传至电子交易平台。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rPr>
            </w:pPr>
            <w:r>
              <w:rPr>
                <w:rFonts w:hint="eastAsia" w:ascii="楷体" w:hAnsi="楷体" w:eastAsia="楷体" w:cs="楷体"/>
                <w:sz w:val="24"/>
                <w:szCs w:val="24"/>
              </w:rPr>
              <w:t>（5）服务与支持。各政府采购代理机构（含集采机构）及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政采云热线人工号码：400-881-7190（工作时间：工作日08:00~20：00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 w:val="24"/>
                <w:szCs w:val="24"/>
                <w:u w:val="single"/>
              </w:rPr>
            </w:pPr>
            <w:r>
              <w:rPr>
                <w:rFonts w:hint="eastAsia" w:ascii="楷体" w:hAnsi="楷体" w:eastAsia="楷体" w:cs="楷体"/>
                <w:b/>
                <w:bCs/>
                <w:sz w:val="24"/>
                <w:szCs w:val="24"/>
                <w:lang w:val="en-US" w:eastAsia="zh-CN"/>
              </w:rPr>
              <w:t>备注：</w:t>
            </w:r>
            <w:r>
              <w:rPr>
                <w:rFonts w:hint="eastAsia" w:ascii="楷体" w:hAnsi="楷体" w:eastAsia="楷体" w:cs="楷体"/>
                <w:b/>
                <w:bCs/>
                <w:sz w:val="24"/>
                <w:szCs w:val="24"/>
              </w:rPr>
              <w:t>投标人使用相同IP地址的，一经发现，</w:t>
            </w:r>
            <w:r>
              <w:rPr>
                <w:rFonts w:hint="eastAsia" w:ascii="楷体" w:hAnsi="楷体" w:eastAsia="楷体" w:cs="楷体"/>
                <w:b/>
                <w:bCs/>
                <w:sz w:val="24"/>
                <w:szCs w:val="24"/>
                <w:lang w:eastAsia="zh-CN"/>
              </w:rPr>
              <w:t>相关</w:t>
            </w:r>
            <w:r>
              <w:rPr>
                <w:rFonts w:hint="eastAsia" w:ascii="楷体" w:hAnsi="楷体" w:eastAsia="楷体" w:cs="楷体"/>
                <w:b/>
                <w:bCs/>
                <w:sz w:val="24"/>
                <w:szCs w:val="24"/>
              </w:rPr>
              <w:t>部门将进一步核实，查实后按串通投标处理</w:t>
            </w:r>
            <w:r>
              <w:rPr>
                <w:rFonts w:hint="eastAsia" w:ascii="楷体" w:hAnsi="楷体" w:eastAsia="楷体" w:cs="楷体"/>
                <w:b/>
                <w:bCs/>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16.1</w:t>
            </w:r>
          </w:p>
        </w:tc>
        <w:tc>
          <w:tcPr>
            <w:tcW w:w="7512" w:type="dxa"/>
            <w:noWrap w:val="0"/>
            <w:vAlign w:val="center"/>
          </w:tcPr>
          <w:p>
            <w:pPr>
              <w:spacing w:line="240" w:lineRule="atLeast"/>
              <w:rPr>
                <w:rFonts w:hint="eastAsia" w:ascii="楷体" w:hAnsi="楷体" w:eastAsia="楷体" w:cs="楷体"/>
                <w:color w:val="auto"/>
                <w:sz w:val="24"/>
                <w:szCs w:val="24"/>
                <w:highlight w:val="none"/>
                <w:lang w:val="en-US"/>
              </w:rPr>
            </w:pPr>
            <w:r>
              <w:rPr>
                <w:rFonts w:hint="eastAsia" w:ascii="楷体" w:hAnsi="楷体" w:eastAsia="楷体" w:cs="楷体"/>
                <w:color w:val="auto"/>
                <w:sz w:val="24"/>
                <w:szCs w:val="24"/>
                <w:highlight w:val="none"/>
              </w:rPr>
              <w:t>投标截止时间：</w:t>
            </w:r>
            <w:r>
              <w:rPr>
                <w:rFonts w:hint="eastAsia" w:ascii="楷体" w:hAnsi="楷体" w:eastAsia="楷体" w:cs="楷体"/>
                <w:color w:val="FF0000"/>
                <w:sz w:val="24"/>
                <w:szCs w:val="24"/>
                <w:highlight w:val="none"/>
                <w:u w:val="single"/>
                <w:lang w:val="en-US" w:eastAsia="zh-CN"/>
              </w:rPr>
              <w:t>2023年</w:t>
            </w:r>
            <w:r>
              <w:rPr>
                <w:rFonts w:hint="eastAsia" w:ascii="楷体" w:hAnsi="楷体" w:cs="楷体"/>
                <w:color w:val="FF0000"/>
                <w:sz w:val="24"/>
                <w:szCs w:val="24"/>
                <w:highlight w:val="none"/>
                <w:u w:val="single"/>
                <w:lang w:val="en-US" w:eastAsia="zh-CN"/>
              </w:rPr>
              <w:t>09</w:t>
            </w:r>
            <w:r>
              <w:rPr>
                <w:rFonts w:hint="eastAsia" w:ascii="楷体" w:hAnsi="楷体" w:eastAsia="楷体" w:cs="楷体"/>
                <w:color w:val="FF0000"/>
                <w:sz w:val="24"/>
                <w:szCs w:val="24"/>
                <w:highlight w:val="none"/>
                <w:u w:val="single"/>
                <w:lang w:val="en-US" w:eastAsia="zh-CN"/>
              </w:rPr>
              <w:t>月</w:t>
            </w:r>
            <w:r>
              <w:rPr>
                <w:rFonts w:hint="eastAsia" w:ascii="楷体" w:hAnsi="楷体" w:cs="楷体"/>
                <w:color w:val="FF0000"/>
                <w:sz w:val="24"/>
                <w:szCs w:val="24"/>
                <w:highlight w:val="none"/>
                <w:u w:val="single"/>
                <w:lang w:val="en-US" w:eastAsia="zh-CN"/>
              </w:rPr>
              <w:t>06</w:t>
            </w:r>
            <w:r>
              <w:rPr>
                <w:rFonts w:hint="eastAsia" w:ascii="楷体" w:hAnsi="楷体" w:eastAsia="楷体" w:cs="楷体"/>
                <w:color w:val="FF0000"/>
                <w:sz w:val="24"/>
                <w:szCs w:val="24"/>
                <w:highlight w:val="none"/>
                <w:u w:val="single"/>
                <w:lang w:val="en-US" w:eastAsia="zh-CN"/>
              </w:rPr>
              <w:t>日1</w:t>
            </w:r>
            <w:r>
              <w:rPr>
                <w:rFonts w:hint="eastAsia" w:ascii="楷体" w:hAnsi="楷体" w:cs="楷体"/>
                <w:color w:val="FF0000"/>
                <w:sz w:val="24"/>
                <w:szCs w:val="24"/>
                <w:highlight w:val="none"/>
                <w:u w:val="single"/>
                <w:lang w:val="en-US" w:eastAsia="zh-CN"/>
              </w:rPr>
              <w:t>6</w:t>
            </w:r>
            <w:r>
              <w:rPr>
                <w:rFonts w:hint="eastAsia" w:ascii="楷体" w:hAnsi="楷体" w:eastAsia="楷体" w:cs="楷体"/>
                <w:color w:val="FF0000"/>
                <w:sz w:val="24"/>
                <w:szCs w:val="24"/>
                <w:highlight w:val="none"/>
                <w:u w:val="single"/>
                <w:lang w:val="en-US" w:eastAsia="zh-CN"/>
              </w:rPr>
              <w:t>时</w:t>
            </w:r>
            <w:r>
              <w:rPr>
                <w:rFonts w:hint="eastAsia" w:ascii="楷体" w:hAnsi="楷体" w:cs="楷体"/>
                <w:color w:val="FF0000"/>
                <w:sz w:val="24"/>
                <w:szCs w:val="24"/>
                <w:highlight w:val="none"/>
                <w:u w:val="single"/>
                <w:lang w:val="en-US" w:eastAsia="zh-CN"/>
              </w:rPr>
              <w:t>3</w:t>
            </w:r>
            <w:r>
              <w:rPr>
                <w:rFonts w:hint="eastAsia" w:ascii="楷体" w:hAnsi="楷体" w:eastAsia="楷体" w:cs="楷体"/>
                <w:color w:val="FF0000"/>
                <w:sz w:val="24"/>
                <w:szCs w:val="24"/>
                <w:highlight w:val="none"/>
                <w:u w:val="single"/>
                <w:lang w:val="en-US" w:eastAsia="zh-CN"/>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18.1</w:t>
            </w:r>
          </w:p>
        </w:tc>
        <w:tc>
          <w:tcPr>
            <w:tcW w:w="7512" w:type="dxa"/>
            <w:noWrap w:val="0"/>
            <w:vAlign w:val="center"/>
          </w:tcPr>
          <w:p>
            <w:pPr>
              <w:spacing w:line="240" w:lineRule="atLeast"/>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开标时间：</w:t>
            </w:r>
            <w:r>
              <w:rPr>
                <w:rFonts w:hint="eastAsia" w:ascii="楷体" w:hAnsi="楷体" w:eastAsia="楷体" w:cs="楷体"/>
                <w:color w:val="FF0000"/>
                <w:sz w:val="24"/>
                <w:szCs w:val="24"/>
                <w:highlight w:val="none"/>
                <w:u w:val="single"/>
                <w:lang w:val="en-US" w:eastAsia="zh-CN"/>
              </w:rPr>
              <w:t>2023年</w:t>
            </w:r>
            <w:r>
              <w:rPr>
                <w:rFonts w:hint="eastAsia" w:ascii="楷体" w:hAnsi="楷体" w:cs="楷体"/>
                <w:color w:val="FF0000"/>
                <w:sz w:val="24"/>
                <w:szCs w:val="24"/>
                <w:highlight w:val="none"/>
                <w:u w:val="single"/>
                <w:lang w:val="en-US" w:eastAsia="zh-CN"/>
              </w:rPr>
              <w:t>09</w:t>
            </w:r>
            <w:r>
              <w:rPr>
                <w:rFonts w:hint="eastAsia" w:ascii="楷体" w:hAnsi="楷体" w:eastAsia="楷体" w:cs="楷体"/>
                <w:color w:val="FF0000"/>
                <w:sz w:val="24"/>
                <w:szCs w:val="24"/>
                <w:highlight w:val="none"/>
                <w:u w:val="single"/>
                <w:lang w:val="en-US" w:eastAsia="zh-CN"/>
              </w:rPr>
              <w:t>月</w:t>
            </w:r>
            <w:r>
              <w:rPr>
                <w:rFonts w:hint="eastAsia" w:ascii="楷体" w:hAnsi="楷体" w:cs="楷体"/>
                <w:color w:val="FF0000"/>
                <w:sz w:val="24"/>
                <w:szCs w:val="24"/>
                <w:highlight w:val="none"/>
                <w:u w:val="single"/>
                <w:lang w:val="en-US" w:eastAsia="zh-CN"/>
              </w:rPr>
              <w:t>06</w:t>
            </w:r>
            <w:r>
              <w:rPr>
                <w:rFonts w:hint="eastAsia" w:ascii="楷体" w:hAnsi="楷体" w:eastAsia="楷体" w:cs="楷体"/>
                <w:color w:val="FF0000"/>
                <w:sz w:val="24"/>
                <w:szCs w:val="24"/>
                <w:highlight w:val="none"/>
                <w:u w:val="single"/>
                <w:lang w:val="en-US" w:eastAsia="zh-CN"/>
              </w:rPr>
              <w:t>日1</w:t>
            </w:r>
            <w:r>
              <w:rPr>
                <w:rFonts w:hint="eastAsia" w:ascii="楷体" w:hAnsi="楷体" w:cs="楷体"/>
                <w:color w:val="FF0000"/>
                <w:sz w:val="24"/>
                <w:szCs w:val="24"/>
                <w:highlight w:val="none"/>
                <w:u w:val="single"/>
                <w:lang w:val="en-US" w:eastAsia="zh-CN"/>
              </w:rPr>
              <w:t>6</w:t>
            </w:r>
            <w:r>
              <w:rPr>
                <w:rFonts w:hint="eastAsia" w:ascii="楷体" w:hAnsi="楷体" w:eastAsia="楷体" w:cs="楷体"/>
                <w:color w:val="FF0000"/>
                <w:sz w:val="24"/>
                <w:szCs w:val="24"/>
                <w:highlight w:val="none"/>
                <w:u w:val="single"/>
                <w:lang w:val="en-US" w:eastAsia="zh-CN"/>
              </w:rPr>
              <w:t>时</w:t>
            </w:r>
            <w:r>
              <w:rPr>
                <w:rFonts w:hint="eastAsia" w:ascii="楷体" w:hAnsi="楷体" w:cs="楷体"/>
                <w:color w:val="FF0000"/>
                <w:sz w:val="24"/>
                <w:szCs w:val="24"/>
                <w:highlight w:val="none"/>
                <w:u w:val="single"/>
                <w:lang w:val="en-US" w:eastAsia="zh-CN"/>
              </w:rPr>
              <w:t>3</w:t>
            </w:r>
            <w:r>
              <w:rPr>
                <w:rFonts w:hint="eastAsia" w:ascii="楷体" w:hAnsi="楷体" w:eastAsia="楷体" w:cs="楷体"/>
                <w:color w:val="FF0000"/>
                <w:sz w:val="24"/>
                <w:szCs w:val="24"/>
                <w:highlight w:val="none"/>
                <w:u w:val="single"/>
                <w:lang w:val="en-US" w:eastAsia="zh-CN"/>
              </w:rPr>
              <w:t>0分</w:t>
            </w:r>
          </w:p>
          <w:p>
            <w:pPr>
              <w:spacing w:line="240" w:lineRule="atLeas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开标地点：政采云</w:t>
            </w:r>
            <w:r>
              <w:rPr>
                <w:rFonts w:hint="eastAsia" w:ascii="楷体" w:hAnsi="楷体" w:cs="楷体"/>
                <w:color w:val="auto"/>
                <w:sz w:val="24"/>
                <w:szCs w:val="24"/>
                <w:highlight w:val="none"/>
                <w:lang w:val="en-US" w:eastAsia="zh-CN"/>
              </w:rPr>
              <w:t>电子开标大厅</w:t>
            </w:r>
            <w:r>
              <w:rPr>
                <w:rFonts w:hint="eastAsia" w:ascii="楷体" w:hAnsi="楷体" w:eastAsia="楷体" w:cs="楷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1"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19.2</w:t>
            </w:r>
          </w:p>
        </w:tc>
        <w:tc>
          <w:tcPr>
            <w:tcW w:w="7512" w:type="dxa"/>
            <w:noWrap w:val="0"/>
            <w:vAlign w:val="center"/>
          </w:tcPr>
          <w:p>
            <w:pPr>
              <w:spacing w:line="360" w:lineRule="auto"/>
              <w:jc w:val="both"/>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信用查询时间:</w:t>
            </w:r>
            <w:r>
              <w:rPr>
                <w:rFonts w:hint="eastAsia" w:ascii="楷体" w:hAnsi="楷体" w:eastAsia="楷体" w:cs="楷体"/>
                <w:color w:val="FF0000"/>
                <w:sz w:val="24"/>
                <w:szCs w:val="24"/>
                <w:highlight w:val="none"/>
                <w:u w:val="single"/>
                <w:lang w:val="en-US" w:eastAsia="zh-CN"/>
              </w:rPr>
              <w:t>2023年</w:t>
            </w:r>
            <w:r>
              <w:rPr>
                <w:rFonts w:hint="eastAsia" w:ascii="楷体" w:hAnsi="楷体" w:cs="楷体"/>
                <w:color w:val="FF0000"/>
                <w:sz w:val="24"/>
                <w:szCs w:val="24"/>
                <w:highlight w:val="none"/>
                <w:u w:val="single"/>
                <w:lang w:val="en-US" w:eastAsia="zh-CN"/>
              </w:rPr>
              <w:t>09</w:t>
            </w:r>
            <w:r>
              <w:rPr>
                <w:rFonts w:hint="eastAsia" w:ascii="楷体" w:hAnsi="楷体" w:eastAsia="楷体" w:cs="楷体"/>
                <w:color w:val="FF0000"/>
                <w:sz w:val="24"/>
                <w:szCs w:val="24"/>
                <w:highlight w:val="none"/>
                <w:u w:val="single"/>
                <w:lang w:val="en-US" w:eastAsia="zh-CN"/>
              </w:rPr>
              <w:t>月</w:t>
            </w:r>
            <w:r>
              <w:rPr>
                <w:rFonts w:hint="eastAsia" w:ascii="楷体" w:hAnsi="楷体" w:cs="楷体"/>
                <w:color w:val="FF0000"/>
                <w:sz w:val="24"/>
                <w:szCs w:val="24"/>
                <w:highlight w:val="none"/>
                <w:u w:val="single"/>
                <w:lang w:val="en-US" w:eastAsia="zh-CN"/>
              </w:rPr>
              <w:t>06</w:t>
            </w:r>
            <w:r>
              <w:rPr>
                <w:rFonts w:hint="eastAsia" w:ascii="楷体" w:hAnsi="楷体" w:eastAsia="楷体" w:cs="楷体"/>
                <w:color w:val="FF0000"/>
                <w:sz w:val="24"/>
                <w:szCs w:val="24"/>
                <w:highlight w:val="none"/>
                <w:u w:val="single"/>
                <w:lang w:val="en-US" w:eastAsia="zh-CN"/>
              </w:rPr>
              <w:t>日1</w:t>
            </w:r>
            <w:r>
              <w:rPr>
                <w:rFonts w:hint="eastAsia" w:ascii="楷体" w:hAnsi="楷体" w:cs="楷体"/>
                <w:color w:val="FF0000"/>
                <w:sz w:val="24"/>
                <w:szCs w:val="24"/>
                <w:highlight w:val="none"/>
                <w:u w:val="single"/>
                <w:lang w:val="en-US" w:eastAsia="zh-CN"/>
              </w:rPr>
              <w:t>6</w:t>
            </w:r>
            <w:r>
              <w:rPr>
                <w:rFonts w:hint="eastAsia" w:ascii="楷体" w:hAnsi="楷体" w:eastAsia="楷体" w:cs="楷体"/>
                <w:color w:val="FF0000"/>
                <w:sz w:val="24"/>
                <w:szCs w:val="24"/>
                <w:highlight w:val="none"/>
                <w:u w:val="single"/>
                <w:lang w:val="en-US" w:eastAsia="zh-CN"/>
              </w:rPr>
              <w:t>时</w:t>
            </w:r>
            <w:r>
              <w:rPr>
                <w:rFonts w:hint="eastAsia" w:ascii="楷体" w:hAnsi="楷体" w:cs="楷体"/>
                <w:color w:val="FF0000"/>
                <w:sz w:val="24"/>
                <w:szCs w:val="24"/>
                <w:highlight w:val="none"/>
                <w:u w:val="single"/>
                <w:lang w:val="en-US" w:eastAsia="zh-CN"/>
              </w:rPr>
              <w:t>3</w:t>
            </w:r>
            <w:r>
              <w:rPr>
                <w:rFonts w:hint="eastAsia" w:ascii="楷体" w:hAnsi="楷体" w:eastAsia="楷体" w:cs="楷体"/>
                <w:color w:val="FF0000"/>
                <w:sz w:val="24"/>
                <w:szCs w:val="24"/>
                <w:highlight w:val="none"/>
                <w:u w:val="single"/>
                <w:lang w:val="en-US" w:eastAsia="zh-CN"/>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20.4</w:t>
            </w:r>
          </w:p>
        </w:tc>
        <w:tc>
          <w:tcPr>
            <w:tcW w:w="7512" w:type="dxa"/>
            <w:noWrap w:val="0"/>
            <w:vAlign w:val="center"/>
          </w:tcPr>
          <w:p>
            <w:pPr>
              <w:spacing w:line="240" w:lineRule="atLeast"/>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核心产品</w:t>
            </w:r>
            <w:r>
              <w:rPr>
                <w:rFonts w:hint="eastAsia" w:ascii="楷体" w:hAnsi="楷体" w:eastAsia="楷体" w:cs="楷体"/>
                <w:b/>
                <w:bCs/>
                <w:color w:val="000000" w:themeColor="text1"/>
                <w:sz w:val="24"/>
                <w:szCs w:val="24"/>
                <w:lang w:eastAsia="zh-CN"/>
                <w14:textFill>
                  <w14:solidFill>
                    <w14:schemeClr w14:val="tx1"/>
                  </w14:solidFill>
                </w14:textFill>
              </w:rPr>
              <w:t>：</w:t>
            </w:r>
            <w:r>
              <w:rPr>
                <w:rFonts w:hint="eastAsia" w:ascii="楷体" w:hAnsi="楷体" w:cs="楷体"/>
                <w:b/>
                <w:bCs/>
                <w:color w:val="000000" w:themeColor="text1"/>
                <w:sz w:val="24"/>
                <w:szCs w:val="24"/>
                <w:lang w:val="en-US" w:eastAsia="zh-CN"/>
                <w14:textFill>
                  <w14:solidFill>
                    <w14:schemeClr w14:val="tx1"/>
                  </w14:solidFill>
                </w14:textFill>
              </w:rPr>
              <w:t>机顶盒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23.2</w:t>
            </w:r>
          </w:p>
        </w:tc>
        <w:tc>
          <w:tcPr>
            <w:tcW w:w="7512" w:type="dxa"/>
            <w:noWrap w:val="0"/>
            <w:vAlign w:val="center"/>
          </w:tcPr>
          <w:p>
            <w:pPr>
              <w:spacing w:line="240" w:lineRule="atLeast"/>
              <w:rPr>
                <w:rFonts w:hint="default" w:ascii="楷体" w:hAnsi="楷体" w:eastAsia="楷体" w:cs="楷体"/>
                <w:i/>
                <w:color w:val="000000" w:themeColor="text1"/>
                <w:sz w:val="24"/>
                <w:szCs w:val="24"/>
                <w:lang w:val="en-US"/>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评标方法：</w:t>
            </w:r>
            <w:r>
              <w:rPr>
                <w:rFonts w:hint="eastAsia" w:ascii="楷体" w:hAnsi="楷体" w:eastAsia="楷体" w:cs="楷体"/>
                <w:color w:val="000000" w:themeColor="text1"/>
                <w:sz w:val="24"/>
                <w:szCs w:val="24"/>
                <w:lang w:val="en-US" w:eastAsia="zh-CN"/>
                <w14:textFill>
                  <w14:solidFill>
                    <w14:schemeClr w14:val="tx1"/>
                  </w14:solidFill>
                </w14:textFill>
              </w:rPr>
              <w:t>综合评分</w:t>
            </w:r>
            <w:r>
              <w:rPr>
                <w:rFonts w:hint="eastAsia" w:ascii="楷体" w:hAnsi="楷体" w:cs="楷体"/>
                <w:color w:val="000000" w:themeColor="text1"/>
                <w:sz w:val="24"/>
                <w:szCs w:val="24"/>
                <w:lang w:val="en-US" w:eastAsia="zh-CN"/>
                <w14:textFill>
                  <w14:solidFill>
                    <w14:schemeClr w14:val="tx1"/>
                  </w14:solidFill>
                </w14:textFill>
              </w:rPr>
              <w:t>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27.1</w:t>
            </w:r>
          </w:p>
        </w:tc>
        <w:tc>
          <w:tcPr>
            <w:tcW w:w="7512" w:type="dxa"/>
            <w:noWrap w:val="0"/>
            <w:vAlign w:val="center"/>
          </w:tcPr>
          <w:p>
            <w:pPr>
              <w:spacing w:line="240" w:lineRule="atLeast"/>
              <w:rPr>
                <w:rFonts w:hint="eastAsia" w:ascii="楷体" w:hAnsi="楷体" w:eastAsia="楷体" w:cs="楷体"/>
                <w:color w:val="000000" w:themeColor="text1"/>
                <w:sz w:val="24"/>
                <w:szCs w:val="24"/>
                <w:lang w:eastAsia="zh-CN"/>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推荐中标候选供应商的数量：</w:t>
            </w:r>
            <w:r>
              <w:rPr>
                <w:rFonts w:hint="eastAsia" w:ascii="楷体" w:hAnsi="楷体" w:eastAsia="楷体" w:cs="楷体"/>
                <w:color w:val="000000" w:themeColor="text1"/>
                <w:sz w:val="24"/>
                <w:szCs w:val="24"/>
                <w:u w:val="single"/>
                <w:lang w:val="en-US" w:eastAsia="zh-CN"/>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27.2</w:t>
            </w:r>
          </w:p>
        </w:tc>
        <w:tc>
          <w:tcPr>
            <w:tcW w:w="7512" w:type="dxa"/>
            <w:noWrap w:val="0"/>
            <w:vAlign w:val="center"/>
          </w:tcPr>
          <w:p>
            <w:pPr>
              <w:spacing w:line="240" w:lineRule="atLeast"/>
              <w:rPr>
                <w:rFonts w:hint="eastAsia" w:ascii="楷体" w:hAnsi="楷体" w:eastAsia="楷体" w:cs="楷体"/>
                <w:color w:val="000000" w:themeColor="text1"/>
                <w:sz w:val="24"/>
                <w:szCs w:val="24"/>
                <w:lang w:eastAsia="zh-CN"/>
                <w14:textFill>
                  <w14:solidFill>
                    <w14:schemeClr w14:val="tx1"/>
                  </w14:solidFill>
                </w14:textFill>
              </w:rPr>
            </w:pPr>
            <w:r>
              <w:rPr>
                <w:rFonts w:hint="eastAsia" w:ascii="楷体" w:hAnsi="楷体" w:cs="楷体"/>
                <w:color w:val="000000" w:themeColor="text1"/>
                <w:sz w:val="24"/>
                <w:szCs w:val="24"/>
                <w:lang w:val="en-US" w:eastAsia="zh-CN"/>
                <w14:textFill>
                  <w14:solidFill>
                    <w14:schemeClr w14:val="tx1"/>
                  </w14:solidFill>
                </w14:textFill>
              </w:rPr>
              <w:t>采购</w:t>
            </w:r>
            <w:r>
              <w:rPr>
                <w:rFonts w:hint="eastAsia" w:ascii="楷体" w:hAnsi="楷体" w:eastAsia="楷体" w:cs="楷体"/>
                <w:color w:val="000000" w:themeColor="text1"/>
                <w:sz w:val="24"/>
                <w:szCs w:val="24"/>
                <w14:textFill>
                  <w14:solidFill>
                    <w14:schemeClr w14:val="tx1"/>
                  </w14:solidFill>
                </w14:textFill>
              </w:rPr>
              <w:t>人是否委托评标委员会直接确定中标人：</w:t>
            </w:r>
            <w:r>
              <w:rPr>
                <w:rFonts w:hint="eastAsia" w:ascii="楷体" w:hAnsi="楷体" w:eastAsia="楷体" w:cs="楷体"/>
                <w:color w:val="000000" w:themeColor="text1"/>
                <w:sz w:val="24"/>
                <w:szCs w:val="24"/>
                <w:lang w:eastAsia="zh-CN"/>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highlight w:val="none"/>
              </w:rPr>
            </w:pPr>
            <w:r>
              <w:rPr>
                <w:rFonts w:hint="eastAsia" w:ascii="楷体" w:hAnsi="楷体" w:eastAsia="楷体" w:cs="楷体"/>
                <w:sz w:val="24"/>
                <w:szCs w:val="24"/>
                <w:highlight w:val="none"/>
              </w:rPr>
              <w:t>31.1</w:t>
            </w:r>
          </w:p>
        </w:tc>
        <w:tc>
          <w:tcPr>
            <w:tcW w:w="7512" w:type="dxa"/>
            <w:noWrap w:val="0"/>
            <w:vAlign w:val="center"/>
          </w:tcPr>
          <w:p>
            <w:pPr>
              <w:spacing w:line="240" w:lineRule="atLeast"/>
              <w:rPr>
                <w:rFonts w:hint="eastAsia" w:ascii="楷体" w:hAnsi="楷体" w:eastAsia="楷体" w:cs="楷体"/>
                <w:color w:val="000000" w:themeColor="text1"/>
                <w:sz w:val="24"/>
                <w:szCs w:val="24"/>
                <w:highlight w:val="none"/>
                <w:lang w:eastAsia="zh-CN"/>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提交履约保证金的时间：签订合同</w:t>
            </w:r>
            <w:r>
              <w:rPr>
                <w:rFonts w:hint="eastAsia" w:ascii="楷体" w:hAnsi="楷体" w:cs="楷体"/>
                <w:color w:val="000000" w:themeColor="text1"/>
                <w:sz w:val="24"/>
                <w:szCs w:val="24"/>
                <w:highlight w:val="none"/>
                <w:lang w:val="en-US" w:eastAsia="zh-CN"/>
                <w14:textFill>
                  <w14:solidFill>
                    <w14:schemeClr w14:val="tx1"/>
                  </w14:solidFill>
                </w14:textFill>
              </w:rPr>
              <w:t>时</w:t>
            </w:r>
          </w:p>
          <w:p>
            <w:pPr>
              <w:spacing w:line="240" w:lineRule="atLeast"/>
              <w:rPr>
                <w:rFonts w:hint="default" w:ascii="楷体" w:hAnsi="楷体" w:eastAsia="楷体" w:cs="楷体"/>
                <w:i/>
                <w:color w:val="000000" w:themeColor="text1"/>
                <w:sz w:val="24"/>
                <w:szCs w:val="24"/>
                <w:highlight w:val="none"/>
                <w:lang w:val="en-US"/>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履约保证金金额：合同总价的</w:t>
            </w:r>
            <w:r>
              <w:rPr>
                <w:rFonts w:hint="eastAsia" w:ascii="楷体" w:hAnsi="楷体" w:cs="楷体"/>
                <w:color w:val="000000" w:themeColor="text1"/>
                <w:sz w:val="24"/>
                <w:szCs w:val="24"/>
                <w:highlight w:val="none"/>
                <w:lang w:val="en-US" w:eastAsia="zh-CN"/>
                <w14:textFill>
                  <w14:solidFill>
                    <w14:schemeClr w14:val="tx1"/>
                  </w14:solidFill>
                </w14:textFill>
              </w:rPr>
              <w:t>5%</w:t>
            </w:r>
          </w:p>
          <w:p>
            <w:pPr>
              <w:spacing w:line="240" w:lineRule="atLeast"/>
              <w:rPr>
                <w:rFonts w:hint="eastAsia" w:ascii="楷体" w:hAnsi="楷体" w:eastAsia="楷体" w:cs="楷体"/>
                <w:color w:val="000000" w:themeColor="text1"/>
                <w:sz w:val="24"/>
                <w:szCs w:val="24"/>
                <w:highlight w:val="none"/>
                <w:u w:val="singl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履约保证金形式：支票、银行汇票或保函等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highlight w:val="none"/>
              </w:rPr>
            </w:pPr>
            <w:r>
              <w:rPr>
                <w:rFonts w:hint="eastAsia" w:ascii="楷体" w:hAnsi="楷体" w:eastAsia="楷体" w:cs="楷体"/>
                <w:sz w:val="24"/>
                <w:szCs w:val="24"/>
                <w:highlight w:val="none"/>
              </w:rPr>
              <w:t>32.1</w:t>
            </w:r>
          </w:p>
        </w:tc>
        <w:tc>
          <w:tcPr>
            <w:tcW w:w="7512" w:type="dxa"/>
            <w:noWrap w:val="0"/>
            <w:vAlign w:val="center"/>
          </w:tcPr>
          <w:p>
            <w:pPr>
              <w:spacing w:line="240" w:lineRule="atLeast"/>
              <w:rPr>
                <w:rFonts w:hint="eastAsia" w:ascii="楷体" w:hAnsi="楷体" w:eastAsia="楷体" w:cs="楷体"/>
                <w:sz w:val="24"/>
                <w:szCs w:val="24"/>
              </w:rPr>
            </w:pPr>
            <w:r>
              <w:rPr>
                <w:rFonts w:hint="eastAsia" w:ascii="楷体" w:hAnsi="楷体" w:eastAsia="楷体" w:cs="楷体"/>
                <w:color w:val="000000"/>
                <w:sz w:val="24"/>
                <w:szCs w:val="24"/>
              </w:rPr>
              <w:t>预付款金额为政府采购合同标的总金额的</w:t>
            </w:r>
            <w:r>
              <w:rPr>
                <w:rFonts w:hint="eastAsia" w:ascii="楷体" w:hAnsi="楷体" w:cs="楷体"/>
                <w:color w:val="000000"/>
                <w:sz w:val="24"/>
                <w:szCs w:val="24"/>
                <w:u w:val="single"/>
                <w:lang w:val="en-US" w:eastAsia="zh-CN"/>
              </w:rPr>
              <w:t>3</w:t>
            </w:r>
            <w:r>
              <w:rPr>
                <w:rFonts w:hint="eastAsia" w:ascii="楷体" w:hAnsi="楷体" w:eastAsia="楷体" w:cs="楷体"/>
                <w:color w:val="000000"/>
                <w:sz w:val="24"/>
                <w:szCs w:val="24"/>
                <w:u w:val="single"/>
                <w:lang w:val="en-US" w:eastAsia="zh-CN"/>
              </w:rPr>
              <w:t>0</w:t>
            </w:r>
            <w:r>
              <w:rPr>
                <w:rFonts w:hint="eastAsia" w:ascii="楷体" w:hAnsi="楷体" w:eastAsia="楷体" w:cs="楷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highlight w:val="none"/>
              </w:rPr>
            </w:pPr>
            <w:r>
              <w:rPr>
                <w:rFonts w:hint="eastAsia" w:ascii="楷体" w:hAnsi="楷体" w:eastAsia="楷体" w:cs="楷体"/>
                <w:sz w:val="24"/>
                <w:szCs w:val="24"/>
                <w:highlight w:val="none"/>
              </w:rPr>
              <w:t>33</w:t>
            </w:r>
          </w:p>
        </w:tc>
        <w:tc>
          <w:tcPr>
            <w:tcW w:w="7512" w:type="dxa"/>
            <w:noWrap w:val="0"/>
            <w:vAlign w:val="center"/>
          </w:tcPr>
          <w:p>
            <w:pPr>
              <w:spacing w:line="240" w:lineRule="atLeast"/>
              <w:rPr>
                <w:rFonts w:hint="eastAsia" w:ascii="楷体" w:hAnsi="楷体" w:eastAsia="楷体" w:cs="楷体"/>
                <w:sz w:val="24"/>
                <w:szCs w:val="24"/>
                <w:highlight w:val="none"/>
                <w:u w:val="single"/>
                <w:lang w:val="en-US" w:eastAsia="zh-CN"/>
              </w:rPr>
            </w:pPr>
            <w:r>
              <w:rPr>
                <w:rFonts w:hint="eastAsia" w:ascii="楷体" w:hAnsi="楷体" w:eastAsia="楷体" w:cs="楷体"/>
                <w:sz w:val="24"/>
                <w:szCs w:val="24"/>
                <w:highlight w:val="none"/>
              </w:rPr>
              <w:t>是否由中标人缴纳招标代理费：</w:t>
            </w:r>
            <w:r>
              <w:rPr>
                <w:rFonts w:hint="eastAsia" w:ascii="楷体" w:hAnsi="楷体" w:eastAsia="楷体" w:cs="楷体"/>
                <w:color w:val="000000" w:themeColor="text1"/>
                <w:sz w:val="24"/>
                <w:szCs w:val="24"/>
                <w:highlight w:val="none"/>
                <w:u w:val="single"/>
                <w:lang w:val="en-US" w:eastAsia="zh-CN"/>
                <w14:textFill>
                  <w14:solidFill>
                    <w14:schemeClr w14:val="tx1"/>
                  </w14:solidFill>
                </w14:textFill>
              </w:rPr>
              <w:t>是</w:t>
            </w:r>
          </w:p>
          <w:p>
            <w:pPr>
              <w:spacing w:line="240" w:lineRule="atLeast"/>
              <w:rPr>
                <w:rFonts w:hint="eastAsia" w:ascii="楷体" w:hAnsi="楷体" w:eastAsia="楷体" w:cs="楷体"/>
                <w:sz w:val="24"/>
                <w:szCs w:val="24"/>
                <w:highlight w:val="none"/>
              </w:rPr>
            </w:pPr>
            <w:r>
              <w:rPr>
                <w:rFonts w:hint="eastAsia" w:ascii="楷体" w:hAnsi="楷体" w:eastAsia="楷体" w:cs="楷体"/>
                <w:sz w:val="24"/>
                <w:szCs w:val="24"/>
                <w:highlight w:val="none"/>
              </w:rPr>
              <w:t>招标代理费：参照原国家计委计价格【2002】1980号文和国家发改委发改办价格【2003】857号文的计算方法收取。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513" w:type="dxa"/>
            <w:noWrap w:val="0"/>
            <w:vAlign w:val="center"/>
          </w:tcPr>
          <w:p>
            <w:pPr>
              <w:spacing w:line="240" w:lineRule="atLeast"/>
              <w:ind w:left="1156" w:leftChars="257" w:hanging="540"/>
              <w:rPr>
                <w:rFonts w:hint="eastAsia" w:ascii="楷体" w:hAnsi="楷体" w:eastAsia="楷体" w:cs="楷体"/>
                <w:sz w:val="24"/>
                <w:szCs w:val="24"/>
              </w:rPr>
            </w:pPr>
            <w:r>
              <w:rPr>
                <w:rFonts w:hint="eastAsia" w:ascii="楷体" w:hAnsi="楷体" w:eastAsia="楷体" w:cs="楷体"/>
                <w:sz w:val="24"/>
                <w:szCs w:val="24"/>
              </w:rPr>
              <w:t>37.2</w:t>
            </w:r>
          </w:p>
        </w:tc>
        <w:tc>
          <w:tcPr>
            <w:tcW w:w="7512" w:type="dxa"/>
            <w:noWrap w:val="0"/>
            <w:vAlign w:val="center"/>
          </w:tcPr>
          <w:p>
            <w:pPr>
              <w:spacing w:line="240" w:lineRule="atLeast"/>
              <w:ind w:firstLine="480" w:firstLineChars="200"/>
              <w:rPr>
                <w:rFonts w:hint="eastAsia" w:ascii="楷体" w:hAnsi="楷体" w:eastAsia="楷体" w:cs="楷体"/>
                <w:sz w:val="24"/>
                <w:szCs w:val="24"/>
              </w:rPr>
            </w:pPr>
            <w:r>
              <w:rPr>
                <w:rFonts w:hint="eastAsia" w:ascii="楷体" w:hAnsi="楷体" w:eastAsia="楷体" w:cs="楷体"/>
                <w:sz w:val="24"/>
                <w:szCs w:val="24"/>
              </w:rPr>
              <w:t>针对同一采购程序环节的质疑次数：</w:t>
            </w:r>
          </w:p>
          <w:p>
            <w:pPr>
              <w:spacing w:line="240" w:lineRule="atLeast"/>
              <w:ind w:firstLine="480" w:firstLineChars="200"/>
              <w:rPr>
                <w:rFonts w:hint="eastAsia" w:ascii="楷体" w:hAnsi="楷体" w:eastAsia="楷体" w:cs="楷体"/>
                <w:sz w:val="24"/>
                <w:szCs w:val="24"/>
              </w:rPr>
            </w:pPr>
            <w:r>
              <w:rPr>
                <w:rFonts w:hint="eastAsia" w:ascii="楷体" w:hAnsi="楷体" w:cs="楷体"/>
                <w:sz w:val="24"/>
                <w:szCs w:val="24"/>
                <w:lang w:eastAsia="zh-CN"/>
              </w:rPr>
              <w:t>☑</w:t>
            </w:r>
            <w:r>
              <w:rPr>
                <w:rFonts w:hint="eastAsia" w:ascii="楷体" w:hAnsi="楷体" w:eastAsia="楷体" w:cs="楷体"/>
                <w:sz w:val="24"/>
                <w:szCs w:val="24"/>
              </w:rPr>
              <w:t>一次性提出     □多次提出</w:t>
            </w:r>
          </w:p>
        </w:tc>
      </w:tr>
    </w:tbl>
    <w:p>
      <w:pPr>
        <w:pStyle w:val="4"/>
        <w:numPr>
          <w:ilvl w:val="0"/>
          <w:numId w:val="0"/>
        </w:numPr>
        <w:snapToGrid/>
        <w:spacing w:before="200" w:beforeAutospacing="0" w:after="200" w:afterAutospacing="0" w:line="240" w:lineRule="auto"/>
        <w:ind w:leftChars="0" w:right="0" w:rightChars="0"/>
        <w:jc w:val="center"/>
        <w:outlineLvl w:val="0"/>
        <w:rPr>
          <w:rFonts w:hint="eastAsia" w:ascii="宋体" w:hAnsi="楷体" w:eastAsia="宋体" w:cs="楷体"/>
          <w:b/>
          <w:sz w:val="24"/>
          <w:szCs w:val="32"/>
        </w:rPr>
      </w:pPr>
      <w:bookmarkStart w:id="35" w:name="_Toc216582804"/>
      <w:bookmarkStart w:id="36" w:name="_Toc26236"/>
      <w:bookmarkStart w:id="37" w:name="_Toc7037"/>
      <w:bookmarkStart w:id="38" w:name="_Toc3479"/>
      <w:bookmarkStart w:id="39" w:name="_Toc4846"/>
      <w:r>
        <w:rPr>
          <w:rFonts w:hint="eastAsia" w:eastAsia="宋体"/>
          <w:b/>
          <w:sz w:val="30"/>
          <w:szCs w:val="30"/>
          <w:lang w:val="en-US" w:eastAsia="zh-CN"/>
        </w:rPr>
        <w:t>第三章</w:t>
      </w:r>
      <w:r>
        <w:rPr>
          <w:rFonts w:hint="eastAsia" w:ascii="宋体" w:hAnsi="楷体" w:eastAsia="宋体" w:cs="楷体"/>
          <w:b/>
          <w:sz w:val="30"/>
          <w:szCs w:val="30"/>
        </w:rPr>
        <w:t xml:space="preserve">  </w:t>
      </w:r>
      <w:bookmarkStart w:id="40" w:name="_Toc8554"/>
      <w:bookmarkStart w:id="41" w:name="_Toc21044"/>
      <w:r>
        <w:rPr>
          <w:rFonts w:hint="eastAsia" w:ascii="宋体" w:hAnsi="楷体" w:eastAsia="宋体" w:cs="楷体"/>
          <w:b/>
          <w:sz w:val="30"/>
          <w:szCs w:val="30"/>
        </w:rPr>
        <w:t>投标人须知</w:t>
      </w:r>
      <w:bookmarkEnd w:id="35"/>
      <w:bookmarkEnd w:id="36"/>
      <w:bookmarkEnd w:id="37"/>
      <w:bookmarkEnd w:id="38"/>
      <w:bookmarkEnd w:id="39"/>
      <w:bookmarkEnd w:id="40"/>
      <w:bookmarkEnd w:id="41"/>
    </w:p>
    <w:p>
      <w:pPr>
        <w:pStyle w:val="5"/>
        <w:tabs>
          <w:tab w:val="left" w:pos="900"/>
        </w:tabs>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lang w:val="en-US" w:eastAsia="zh-CN"/>
        </w:rPr>
      </w:pPr>
      <w:r>
        <w:rPr>
          <w:rFonts w:hint="eastAsia" w:ascii="宋体" w:hAnsi="楷体" w:eastAsia="宋体" w:cs="楷体"/>
          <w:b/>
          <w:sz w:val="24"/>
          <w:lang w:val="en-US" w:eastAsia="zh-CN"/>
        </w:rPr>
        <w:t>一</w:t>
      </w:r>
      <w:r>
        <w:rPr>
          <w:rFonts w:hint="eastAsia" w:ascii="宋体" w:hAnsi="楷体" w:eastAsia="宋体" w:cs="楷体"/>
          <w:b/>
          <w:sz w:val="24"/>
        </w:rPr>
        <w:t xml:space="preserve">   投标</w:t>
      </w:r>
      <w:r>
        <w:rPr>
          <w:rFonts w:hint="eastAsia" w:ascii="宋体" w:hAnsi="楷体" w:eastAsia="宋体" w:cs="楷体"/>
          <w:b/>
          <w:sz w:val="24"/>
          <w:lang w:val="en-US" w:eastAsia="zh-CN"/>
        </w:rPr>
        <w:t>说明</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42" w:name="_Toc520356144"/>
      <w:bookmarkStart w:id="43" w:name="_Toc27591"/>
      <w:bookmarkStart w:id="44" w:name="_Toc2134"/>
      <w:r>
        <w:rPr>
          <w:rFonts w:hint="eastAsia" w:ascii="宋体" w:hAnsi="楷体" w:eastAsia="宋体" w:cs="楷体"/>
          <w:b/>
          <w:sz w:val="24"/>
          <w:u w:val="none"/>
        </w:rPr>
        <w:t>1.采购人、采购代理机构及</w:t>
      </w:r>
      <w:bookmarkEnd w:id="42"/>
      <w:r>
        <w:rPr>
          <w:rFonts w:hint="eastAsia" w:ascii="宋体" w:hAnsi="楷体" w:eastAsia="宋体" w:cs="楷体"/>
          <w:b/>
          <w:sz w:val="24"/>
          <w:u w:val="none"/>
        </w:rPr>
        <w:t>投标人</w:t>
      </w:r>
      <w:bookmarkEnd w:id="43"/>
      <w:bookmarkEnd w:id="44"/>
    </w:p>
    <w:p>
      <w:pPr>
        <w:numPr>
          <w:ilvl w:val="1"/>
          <w:numId w:val="4"/>
        </w:numPr>
        <w:tabs>
          <w:tab w:val="left" w:pos="0"/>
          <w:tab w:val="clear" w:pos="90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采购人：是指依法进行政府采购的国家机构、事业单位、团体组织。</w:t>
      </w:r>
    </w:p>
    <w:p>
      <w:pPr>
        <w:numPr>
          <w:ilvl w:val="1"/>
          <w:numId w:val="4"/>
        </w:numPr>
        <w:tabs>
          <w:tab w:val="left" w:pos="0"/>
          <w:tab w:val="clear" w:pos="90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采购代理机构：本次招标的采购代理机构为</w:t>
      </w:r>
      <w:r>
        <w:rPr>
          <w:rFonts w:hint="eastAsia" w:ascii="宋体" w:hAnsi="楷体" w:eastAsia="宋体" w:cs="楷体"/>
          <w:sz w:val="24"/>
          <w:lang w:eastAsia="zh-CN"/>
        </w:rPr>
        <w:t>新疆拓越招标代理有限公司</w:t>
      </w:r>
      <w:r>
        <w:rPr>
          <w:rFonts w:hint="eastAsia" w:ascii="宋体" w:hAnsi="楷体" w:eastAsia="宋体" w:cs="楷体"/>
          <w:sz w:val="24"/>
        </w:rPr>
        <w:t>。</w:t>
      </w:r>
    </w:p>
    <w:p>
      <w:pPr>
        <w:numPr>
          <w:ilvl w:val="1"/>
          <w:numId w:val="4"/>
        </w:num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投标人：是指响应招标、参加投标竞争的法人、非法人组织或者自然人。潜在投标人：以招标文件规定的方式获取本项目招标文件的法人、非法人组织或者自然人。</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投标人须满足以下条件：</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1.3.1</w:t>
      </w:r>
      <w:r>
        <w:rPr>
          <w:rFonts w:hint="eastAsia" w:ascii="宋体" w:hAnsi="楷体" w:eastAsia="宋体" w:cs="楷体"/>
          <w:sz w:val="24"/>
        </w:rPr>
        <w:tab/>
      </w:r>
      <w:r>
        <w:rPr>
          <w:rFonts w:hint="eastAsia" w:ascii="宋体" w:hAnsi="楷体" w:eastAsia="宋体" w:cs="楷体"/>
          <w:sz w:val="24"/>
        </w:rPr>
        <w:t>在中华人民共和国境内注册，能够独立承担民事责任，有生产或供应能力的本国供应商，包括法人、非法人组织或者自然人。</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1.3.2  具备《中华人民共和国政府采购法》第二十二条关于供应商条件的规定，遵守国家、本项目采购人本级和上级财政部门政府采购的有关规定。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1.3.3  以招标文件规定的方式获得了本项目的招标文件。</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1.3.4  符合</w:t>
      </w:r>
      <w:r>
        <w:rPr>
          <w:rFonts w:hint="eastAsia" w:ascii="宋体" w:hAnsi="楷体" w:eastAsia="宋体" w:cs="楷体"/>
          <w:sz w:val="24"/>
          <w:u w:val="single"/>
        </w:rPr>
        <w:t>投标须知前附表</w:t>
      </w:r>
      <w:r>
        <w:rPr>
          <w:rFonts w:hint="eastAsia" w:ascii="宋体" w:hAnsi="楷体" w:eastAsia="宋体" w:cs="楷体"/>
          <w:sz w:val="24"/>
        </w:rPr>
        <w:t>中规定的其他要求。</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1.4  如经财政主管部门批准可以采购进口产品，将在</w:t>
      </w:r>
      <w:r>
        <w:rPr>
          <w:rFonts w:hint="eastAsia" w:ascii="宋体" w:hAnsi="楷体" w:eastAsia="宋体" w:cs="楷体"/>
          <w:sz w:val="24"/>
          <w:u w:val="single"/>
        </w:rPr>
        <w:t>投标须知前附表</w:t>
      </w:r>
      <w:r>
        <w:rPr>
          <w:rFonts w:hint="eastAsia" w:ascii="宋体" w:hAnsi="楷体" w:eastAsia="宋体" w:cs="楷体"/>
          <w:sz w:val="24"/>
        </w:rPr>
        <w:t>中写明。但投标人应保证所投产品可履行合法报通关手续进入中国关境内。</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若</w:t>
      </w:r>
      <w:r>
        <w:rPr>
          <w:rFonts w:hint="eastAsia" w:ascii="宋体" w:hAnsi="楷体" w:eastAsia="宋体" w:cs="楷体"/>
          <w:sz w:val="24"/>
          <w:u w:val="single"/>
        </w:rPr>
        <w:t>投标须知前附表</w:t>
      </w:r>
      <w:r>
        <w:rPr>
          <w:rFonts w:hint="eastAsia" w:ascii="宋体" w:hAnsi="楷体" w:eastAsia="宋体" w:cs="楷体"/>
          <w:sz w:val="24"/>
        </w:rPr>
        <w:t>中未写明允许采购进口产品，如投标人所投产品为进口产品，其投标将被认定为</w:t>
      </w:r>
      <w:r>
        <w:rPr>
          <w:rFonts w:hint="eastAsia" w:ascii="宋体" w:hAnsi="楷体" w:eastAsia="宋体" w:cs="楷体"/>
          <w:b/>
          <w:bCs/>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1.5  投标人提供的货物由中小企业制造，即货物由中小企业生产且使用该中小企业商号或者注册商标，享受中小企业扶持政策。投标人</w:t>
      </w:r>
      <w:r>
        <w:rPr>
          <w:rFonts w:hint="eastAsia" w:ascii="宋体" w:hAnsi="楷体" w:eastAsia="宋体" w:cs="楷体"/>
          <w:kern w:val="0"/>
          <w:sz w:val="24"/>
        </w:rPr>
        <w:t>根据《工业和信息化部、国家统计局、国家发展和改革委员会、财政部关于印发中小企业划型标准规定的通知》（工信部联企业[2011]300号）确定企业类型；也可在工业和信息化部网站（https://www.miit.gov.cn/）的“中小企业规模类型自测小程序”自助查询到企业类型。</w:t>
      </w:r>
    </w:p>
    <w:p>
      <w:pPr>
        <w:snapToGrid/>
        <w:spacing w:beforeAutospacing="0" w:afterAutospacing="0" w:line="360" w:lineRule="auto"/>
        <w:ind w:left="0" w:leftChars="0" w:firstLine="480" w:firstLineChars="200"/>
        <w:outlineLvl w:val="2"/>
        <w:rPr>
          <w:rFonts w:hint="eastAsia" w:ascii="宋体" w:hAnsi="楷体" w:eastAsia="宋体" w:cs="楷体"/>
          <w:sz w:val="24"/>
        </w:rPr>
      </w:pPr>
      <w:r>
        <w:rPr>
          <w:rFonts w:hint="eastAsia" w:ascii="宋体" w:hAnsi="楷体" w:eastAsia="宋体" w:cs="楷体"/>
          <w:sz w:val="24"/>
        </w:rPr>
        <w:t>1.5.1  投标标的所属行业见</w:t>
      </w:r>
      <w:r>
        <w:rPr>
          <w:rFonts w:hint="eastAsia" w:ascii="宋体" w:hAnsi="楷体" w:eastAsia="宋体" w:cs="楷体"/>
          <w:sz w:val="24"/>
          <w:u w:val="single"/>
        </w:rPr>
        <w:t>投标人须知前附表</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1.5.2  若</w:t>
      </w:r>
      <w:r>
        <w:rPr>
          <w:rFonts w:hint="eastAsia" w:ascii="宋体" w:hAnsi="楷体" w:eastAsia="宋体" w:cs="楷体"/>
          <w:sz w:val="24"/>
          <w:u w:val="single"/>
        </w:rPr>
        <w:t>投标须知前附表中</w:t>
      </w:r>
      <w:r>
        <w:rPr>
          <w:rFonts w:hint="eastAsia" w:ascii="宋体" w:hAnsi="楷体" w:eastAsia="宋体" w:cs="楷体"/>
          <w:sz w:val="24"/>
        </w:rPr>
        <w:t>写明专门面向中小企业采购的，如投标人所投产品为非中小企业产品，其投标将被认定为</w:t>
      </w:r>
      <w:r>
        <w:rPr>
          <w:rFonts w:hint="eastAsia" w:ascii="宋体" w:hAnsi="楷体" w:eastAsia="宋体" w:cs="楷体"/>
          <w:b/>
          <w:sz w:val="24"/>
        </w:rPr>
        <w:t>投标无效</w:t>
      </w:r>
      <w:r>
        <w:rPr>
          <w:rFonts w:hint="eastAsia" w:ascii="宋体" w:hAnsi="楷体" w:eastAsia="宋体" w:cs="楷体"/>
          <w:sz w:val="24"/>
        </w:rPr>
        <w:t>。制造商如为</w:t>
      </w:r>
      <w:r>
        <w:rPr>
          <w:rFonts w:hint="eastAsia" w:ascii="宋体" w:hAnsi="楷体" w:eastAsia="宋体" w:cs="楷体"/>
          <w:sz w:val="24"/>
          <w:lang w:eastAsia="zh-CN"/>
        </w:rPr>
        <w:t>jianyu</w:t>
      </w:r>
      <w:r>
        <w:rPr>
          <w:rFonts w:hint="eastAsia" w:ascii="宋体" w:hAnsi="楷体" w:eastAsia="宋体" w:cs="楷体"/>
          <w:sz w:val="24"/>
        </w:rPr>
        <w:t>企业或残疾人福利性单位的，视同为小型、微型企业。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1.5.3  本项目是否面向中小企业采购预留份额、措施及比例见</w:t>
      </w:r>
      <w:r>
        <w:rPr>
          <w:rFonts w:hint="eastAsia" w:ascii="宋体" w:hAnsi="楷体" w:eastAsia="宋体" w:cs="楷体"/>
          <w:sz w:val="24"/>
          <w:u w:val="single"/>
        </w:rPr>
        <w:t>投标人须知前附表，</w:t>
      </w:r>
      <w:r>
        <w:rPr>
          <w:rFonts w:hint="eastAsia" w:ascii="宋体" w:hAnsi="楷体" w:eastAsia="宋体" w:cs="楷体"/>
          <w:sz w:val="24"/>
        </w:rPr>
        <w:t>未达到上述比例的投标将被认定为</w:t>
      </w:r>
      <w:r>
        <w:rPr>
          <w:rFonts w:hint="eastAsia" w:ascii="宋体" w:hAnsi="楷体" w:eastAsia="宋体" w:cs="楷体"/>
          <w:b/>
          <w:sz w:val="24"/>
        </w:rPr>
        <w:t>投标无效</w:t>
      </w:r>
      <w:r>
        <w:rPr>
          <w:rFonts w:hint="eastAsia" w:ascii="宋体" w:hAnsi="楷体" w:eastAsia="宋体" w:cs="楷体"/>
          <w:sz w:val="24"/>
        </w:rPr>
        <w:t>。制造商如为</w:t>
      </w:r>
      <w:r>
        <w:rPr>
          <w:rFonts w:hint="eastAsia" w:ascii="宋体" w:hAnsi="楷体" w:eastAsia="宋体" w:cs="楷体"/>
          <w:sz w:val="24"/>
          <w:lang w:eastAsia="zh-CN"/>
        </w:rPr>
        <w:t>jianyu</w:t>
      </w:r>
      <w:r>
        <w:rPr>
          <w:rFonts w:hint="eastAsia" w:ascii="宋体" w:hAnsi="楷体" w:eastAsia="宋体" w:cs="楷体"/>
          <w:sz w:val="24"/>
        </w:rPr>
        <w:t>企业或残疾人福利性单位的，视同为小型、微型企业。</w:t>
      </w:r>
    </w:p>
    <w:p>
      <w:pPr>
        <w:autoSpaceDE w:val="0"/>
        <w:autoSpaceDN w:val="0"/>
        <w:adjustRightInd w:val="0"/>
        <w:snapToGrid/>
        <w:spacing w:beforeAutospacing="0" w:afterAutospacing="0" w:line="360" w:lineRule="auto"/>
        <w:ind w:left="0" w:leftChars="0" w:firstLine="480" w:firstLineChars="200"/>
        <w:jc w:val="left"/>
        <w:rPr>
          <w:rFonts w:hint="eastAsia" w:ascii="宋体" w:hAnsi="楷体" w:eastAsia="宋体" w:cs="楷体"/>
          <w:sz w:val="24"/>
        </w:rPr>
      </w:pPr>
      <w:r>
        <w:rPr>
          <w:rFonts w:hint="eastAsia" w:ascii="宋体" w:hAnsi="楷体" w:eastAsia="宋体" w:cs="楷体"/>
          <w:sz w:val="24"/>
        </w:rPr>
        <w:t>1.5.4  享受中小企业扶持政策获得政府采购合同的，小微企业不得将合同分包给大中型企业，中型企业不得将合同分包给大型企业。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1.6  如</w:t>
      </w:r>
      <w:r>
        <w:rPr>
          <w:rFonts w:hint="eastAsia" w:ascii="宋体" w:hAnsi="楷体" w:eastAsia="宋体" w:cs="楷体"/>
          <w:sz w:val="24"/>
          <w:u w:val="single"/>
        </w:rPr>
        <w:t>投标须知前附表</w:t>
      </w:r>
      <w:r>
        <w:rPr>
          <w:rFonts w:hint="eastAsia" w:ascii="宋体" w:hAnsi="楷体" w:eastAsia="宋体" w:cs="楷体"/>
          <w:sz w:val="24"/>
        </w:rPr>
        <w:t>中允许联合体投标，对联合体规定如下：</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1.6.1  两个以上供应商可以组成一个投标联合体，以一个投标人的身份投标。</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1.6.2  联合体各方均应符合《中华人民共和国政府采购法》第二十二条规定的条件，遵守国家、本项目采购人本级和上级财政部门政府采购的有关规定。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1.6.3  采购人根据采购项目对投标人的特殊要求，联合体中至少应当有一方符合相关规定。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1.6.4  联合体各方应签订共同投标协议，明确约定联合体各方承担的工作和相应的责任，并将共同投标协议连同投标文件一并提交招标采购单位。</w:t>
      </w:r>
    </w:p>
    <w:p>
      <w:pPr>
        <w:autoSpaceDE w:val="0"/>
        <w:autoSpaceDN w:val="0"/>
        <w:adjustRightInd w:val="0"/>
        <w:snapToGrid/>
        <w:spacing w:beforeAutospacing="0" w:afterAutospacing="0" w:line="360" w:lineRule="auto"/>
        <w:ind w:left="0" w:leftChars="0" w:firstLine="480" w:firstLineChars="200"/>
        <w:jc w:val="left"/>
        <w:rPr>
          <w:rFonts w:hint="eastAsia" w:ascii="宋体" w:hAnsi="楷体" w:eastAsia="宋体" w:cs="楷体"/>
          <w:sz w:val="24"/>
        </w:rPr>
      </w:pPr>
      <w:r>
        <w:rPr>
          <w:rFonts w:hint="eastAsia" w:ascii="宋体" w:hAnsi="楷体" w:eastAsia="宋体" w:cs="楷体"/>
          <w:sz w:val="24"/>
        </w:rPr>
        <w:t>1.6.5  大中型企业、其他自然人、法人或者非法人组织与小型、微型企业组成联合体共同参加投标，共同投标协议中应写明小型、微型企业的协议合同金额占到共同投标协议投标总金额的比例。联合体各方均为中小企业的，联合体视同中小企业。其中，联合体各方均为小微企业的，联合体视同小微企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1.6.6  联合体中有同类资质的供应商按照联合体分工承担相同工作的，按照资质等级较低的供应商确定资质等级。</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1.6.7  以联合体形式参加政府采购活动的，联合体各方不得再单独参加或者与其他供应商另外组成联合体参加本项目投标，否则相关投标将被认定为</w:t>
      </w:r>
      <w:r>
        <w:rPr>
          <w:rFonts w:hint="eastAsia" w:ascii="宋体" w:hAnsi="楷体" w:eastAsia="宋体" w:cs="楷体"/>
          <w:b/>
          <w:bCs/>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outlineLvl w:val="2"/>
        <w:rPr>
          <w:rFonts w:hint="eastAsia" w:ascii="宋体" w:hAnsi="楷体" w:eastAsia="宋体" w:cs="楷体"/>
          <w:sz w:val="24"/>
        </w:rPr>
      </w:pPr>
      <w:r>
        <w:rPr>
          <w:rFonts w:hint="eastAsia" w:ascii="宋体" w:hAnsi="楷体" w:eastAsia="宋体" w:cs="楷体"/>
          <w:sz w:val="24"/>
        </w:rPr>
        <w:t xml:space="preserve">1.6.8 </w:t>
      </w:r>
      <w:r>
        <w:rPr>
          <w:rFonts w:hint="eastAsia" w:ascii="宋体" w:hAnsi="楷体" w:eastAsia="宋体" w:cs="楷体"/>
          <w:sz w:val="24"/>
          <w:lang w:val="en-US" w:eastAsia="zh-CN"/>
        </w:rPr>
        <w:t xml:space="preserve"> </w:t>
      </w:r>
      <w:r>
        <w:rPr>
          <w:rFonts w:hint="eastAsia" w:ascii="宋体" w:hAnsi="楷体" w:eastAsia="宋体" w:cs="楷体"/>
          <w:sz w:val="24"/>
        </w:rPr>
        <w:t>对联合体投标的其他资格要求见</w:t>
      </w:r>
      <w:r>
        <w:rPr>
          <w:rFonts w:hint="eastAsia" w:ascii="宋体" w:hAnsi="楷体" w:eastAsia="宋体" w:cs="楷体"/>
          <w:sz w:val="24"/>
          <w:u w:val="single"/>
        </w:rPr>
        <w:t>投标须知前附表</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1.7  单位负责人为同一人或者存在直接控股、管理关系的不同供应商，其投标将被认定为</w:t>
      </w:r>
      <w:r>
        <w:rPr>
          <w:rFonts w:hint="eastAsia" w:ascii="宋体" w:hAnsi="楷体" w:eastAsia="宋体" w:cs="楷体"/>
          <w:b/>
          <w:bCs/>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1.8  为本项目提供整体设计、规范编制或者项目管理、监理、检测等服务的供应商，其投标将被认定为</w:t>
      </w:r>
      <w:r>
        <w:rPr>
          <w:rFonts w:hint="eastAsia" w:ascii="宋体" w:hAnsi="楷体" w:eastAsia="宋体" w:cs="楷体"/>
          <w:b/>
          <w:bCs/>
          <w:sz w:val="24"/>
        </w:rPr>
        <w:t>投标无效</w:t>
      </w:r>
      <w:r>
        <w:rPr>
          <w:rFonts w:hint="eastAsia" w:ascii="宋体" w:hAnsi="楷体" w:eastAsia="宋体" w:cs="楷体"/>
          <w:sz w:val="24"/>
        </w:rPr>
        <w:t>。</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45" w:name="_Toc994"/>
      <w:bookmarkStart w:id="46" w:name="_Toc16378"/>
      <w:r>
        <w:rPr>
          <w:rFonts w:hint="eastAsia" w:ascii="宋体" w:hAnsi="楷体" w:eastAsia="宋体" w:cs="楷体"/>
          <w:b/>
          <w:sz w:val="24"/>
          <w:u w:val="none"/>
        </w:rPr>
        <w:t>2</w:t>
      </w:r>
      <w:r>
        <w:rPr>
          <w:rFonts w:hint="eastAsia" w:ascii="宋体" w:hAnsi="楷体" w:eastAsia="宋体" w:cs="楷体"/>
          <w:b/>
          <w:sz w:val="24"/>
          <w:u w:val="none"/>
          <w:lang w:eastAsia="zh-CN"/>
        </w:rPr>
        <w:t>.</w:t>
      </w:r>
      <w:r>
        <w:rPr>
          <w:rFonts w:hint="eastAsia" w:ascii="宋体" w:hAnsi="楷体" w:eastAsia="宋体" w:cs="楷体"/>
          <w:b/>
          <w:sz w:val="24"/>
          <w:u w:val="none"/>
        </w:rPr>
        <w:t>资金来源</w:t>
      </w:r>
      <w:bookmarkEnd w:id="45"/>
      <w:bookmarkEnd w:id="46"/>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2.1</w:t>
      </w:r>
      <w:r>
        <w:rPr>
          <w:rFonts w:hint="eastAsia" w:ascii="宋体" w:hAnsi="楷体" w:eastAsia="宋体" w:cs="楷体"/>
          <w:sz w:val="24"/>
          <w:lang w:val="en-US" w:eastAsia="zh-CN"/>
        </w:rPr>
        <w:t xml:space="preserve">  </w:t>
      </w:r>
      <w:r>
        <w:rPr>
          <w:rFonts w:hint="eastAsia" w:ascii="宋体" w:hAnsi="楷体" w:eastAsia="宋体" w:cs="楷体"/>
          <w:sz w:val="24"/>
        </w:rPr>
        <w:t>本项目的采购人已获得足以支付本次招标后所签订的合同项下的资金（包括财政性资金和本项目采购中无法与财政性资金分割的非财政性资金）。</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2.2  项目预算金额和最高限价（如有）见</w:t>
      </w:r>
      <w:r>
        <w:rPr>
          <w:rFonts w:hint="eastAsia" w:ascii="宋体" w:hAnsi="楷体" w:eastAsia="宋体" w:cs="楷体"/>
          <w:sz w:val="24"/>
          <w:u w:val="single"/>
        </w:rPr>
        <w:t>投标须知前附表</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2.3  投标人报价超过招标文件规定的预算金额</w:t>
      </w:r>
      <w:r>
        <w:rPr>
          <w:rFonts w:hint="eastAsia" w:ascii="宋体" w:hAnsi="楷体" w:eastAsia="宋体" w:cs="楷体"/>
          <w:sz w:val="24"/>
          <w:lang w:val="en-US" w:eastAsia="zh-CN"/>
        </w:rPr>
        <w:t>及</w:t>
      </w:r>
      <w:r>
        <w:rPr>
          <w:rFonts w:hint="eastAsia" w:ascii="宋体" w:hAnsi="楷体" w:eastAsia="宋体" w:cs="楷体"/>
          <w:sz w:val="24"/>
        </w:rPr>
        <w:t>最高限价的，其投标将被认定为</w:t>
      </w:r>
      <w:r>
        <w:rPr>
          <w:rFonts w:hint="eastAsia" w:ascii="宋体" w:hAnsi="楷体" w:eastAsia="宋体" w:cs="楷体"/>
          <w:b/>
          <w:bCs/>
          <w:sz w:val="24"/>
        </w:rPr>
        <w:t>投标无效</w:t>
      </w:r>
      <w:r>
        <w:rPr>
          <w:rFonts w:hint="eastAsia" w:ascii="宋体" w:hAnsi="楷体" w:eastAsia="宋体" w:cs="楷体"/>
          <w:sz w:val="24"/>
        </w:rPr>
        <w:t>。</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47" w:name="_Toc520356145"/>
      <w:bookmarkStart w:id="48" w:name="_Toc21350"/>
      <w:bookmarkStart w:id="49" w:name="_Toc23562"/>
      <w:r>
        <w:rPr>
          <w:rFonts w:hint="eastAsia" w:ascii="宋体" w:hAnsi="楷体" w:eastAsia="宋体" w:cs="楷体"/>
          <w:b/>
          <w:sz w:val="24"/>
          <w:u w:val="none"/>
        </w:rPr>
        <w:t>3</w:t>
      </w:r>
      <w:r>
        <w:rPr>
          <w:rFonts w:hint="eastAsia" w:ascii="宋体" w:hAnsi="楷体" w:eastAsia="宋体" w:cs="楷体"/>
          <w:b/>
          <w:sz w:val="24"/>
          <w:u w:val="none"/>
          <w:lang w:eastAsia="zh-CN"/>
        </w:rPr>
        <w:t>.</w:t>
      </w:r>
      <w:r>
        <w:rPr>
          <w:rFonts w:hint="eastAsia" w:ascii="宋体" w:hAnsi="楷体" w:eastAsia="宋体" w:cs="楷体"/>
          <w:b/>
          <w:sz w:val="24"/>
          <w:u w:val="none"/>
        </w:rPr>
        <w:t>投标费用</w:t>
      </w:r>
      <w:bookmarkEnd w:id="47"/>
      <w:bookmarkEnd w:id="48"/>
      <w:bookmarkEnd w:id="49"/>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不论投标的结果如何，投标人应承担所有与投标有关的费用。</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50" w:name="_Toc22344"/>
      <w:bookmarkStart w:id="51" w:name="_Toc8987"/>
      <w:r>
        <w:rPr>
          <w:rFonts w:hint="eastAsia" w:ascii="宋体" w:hAnsi="楷体" w:eastAsia="宋体" w:cs="楷体"/>
          <w:b/>
          <w:sz w:val="24"/>
          <w:u w:val="none"/>
        </w:rPr>
        <w:t>4.适用法律</w:t>
      </w:r>
      <w:bookmarkEnd w:id="50"/>
      <w:bookmarkEnd w:id="51"/>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本项目采购人、采购代理机构、投标人、评标委员会的相关行为均受《中华人民共和国政府采购法</w:t>
      </w:r>
      <w:r>
        <w:rPr>
          <w:rFonts w:hint="eastAsia" w:ascii="宋体" w:hAnsi="楷体" w:eastAsia="宋体" w:cs="楷体"/>
          <w:sz w:val="24"/>
          <w:lang w:eastAsia="zh-CN"/>
        </w:rPr>
        <w:t>》《</w:t>
      </w:r>
      <w:r>
        <w:rPr>
          <w:rFonts w:hint="eastAsia" w:ascii="宋体" w:hAnsi="楷体" w:eastAsia="宋体" w:cs="楷体"/>
          <w:sz w:val="24"/>
        </w:rPr>
        <w:t>中华人民共和国政府采购法实施条例》及本项目本级和上级财政部门政府采购有关规定的约束和保护。</w:t>
      </w:r>
    </w:p>
    <w:p>
      <w:pPr>
        <w:pStyle w:val="5"/>
        <w:bidi w:val="0"/>
        <w:snapToGrid/>
        <w:spacing w:before="200" w:beforeAutospacing="0" w:after="200" w:afterAutospacing="0" w:line="240" w:lineRule="auto"/>
        <w:ind w:left="0" w:leftChars="0" w:right="0" w:rightChars="0" w:firstLine="0" w:firstLineChars="0"/>
        <w:jc w:val="left"/>
        <w:outlineLvl w:val="1"/>
        <w:rPr>
          <w:rFonts w:hint="eastAsia" w:ascii="宋体" w:eastAsia="宋体"/>
          <w:b/>
          <w:sz w:val="24"/>
        </w:rPr>
      </w:pPr>
      <w:bookmarkStart w:id="52" w:name="_Toc216582806"/>
      <w:bookmarkStart w:id="53" w:name="_Toc520356146"/>
      <w:bookmarkStart w:id="54" w:name="_Toc3197"/>
      <w:r>
        <w:rPr>
          <w:rFonts w:hint="eastAsia" w:ascii="宋体" w:eastAsia="宋体"/>
          <w:b/>
          <w:sz w:val="24"/>
        </w:rPr>
        <w:t>二   招标文件</w:t>
      </w:r>
      <w:bookmarkEnd w:id="52"/>
      <w:bookmarkEnd w:id="53"/>
      <w:bookmarkEnd w:id="54"/>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55" w:name="_Toc3878"/>
      <w:bookmarkStart w:id="56" w:name="_Toc19725"/>
      <w:bookmarkStart w:id="57" w:name="_Toc520356147"/>
      <w:r>
        <w:rPr>
          <w:rFonts w:hint="eastAsia" w:ascii="宋体" w:hAnsi="楷体" w:eastAsia="宋体" w:cs="楷体"/>
          <w:b/>
          <w:sz w:val="24"/>
          <w:u w:val="none"/>
        </w:rPr>
        <w:t>5. 招标文件构成</w:t>
      </w:r>
      <w:bookmarkEnd w:id="55"/>
      <w:bookmarkEnd w:id="56"/>
      <w:bookmarkEnd w:id="57"/>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w:t>
      </w:r>
      <w:r>
        <w:rPr>
          <w:rFonts w:hint="eastAsia" w:ascii="宋体" w:hAnsi="楷体" w:eastAsia="宋体" w:cs="楷体"/>
          <w:sz w:val="24"/>
          <w:lang w:val="en-US" w:eastAsia="zh-CN"/>
        </w:rPr>
        <w:t xml:space="preserve">1  </w:t>
      </w:r>
      <w:r>
        <w:rPr>
          <w:rFonts w:hint="eastAsia" w:ascii="宋体" w:hAnsi="楷体" w:eastAsia="宋体" w:cs="楷体"/>
          <w:sz w:val="24"/>
        </w:rPr>
        <w:t>要求提供货物的内容及详细技术需求、投标须知和合同条件等在招标文件中均有说明。</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招标文件共</w:t>
      </w:r>
      <w:r>
        <w:rPr>
          <w:rFonts w:hint="eastAsia" w:ascii="宋体" w:hAnsi="楷体" w:eastAsia="宋体" w:cs="楷体"/>
          <w:sz w:val="24"/>
          <w:lang w:val="en-US" w:eastAsia="zh-CN"/>
        </w:rPr>
        <w:t>七</w:t>
      </w:r>
      <w:r>
        <w:rPr>
          <w:rFonts w:hint="eastAsia" w:ascii="宋体" w:hAnsi="楷体" w:eastAsia="宋体" w:cs="楷体"/>
          <w:sz w:val="24"/>
        </w:rPr>
        <w:t>章，内容如下：</w:t>
      </w:r>
    </w:p>
    <w:p>
      <w:pPr>
        <w:numPr>
          <w:ilvl w:val="0"/>
          <w:numId w:val="5"/>
        </w:numPr>
        <w:tabs>
          <w:tab w:val="left" w:pos="0"/>
          <w:tab w:val="clear" w:pos="1680"/>
        </w:tabs>
        <w:snapToGrid/>
        <w:spacing w:beforeAutospacing="0" w:afterAutospacing="0" w:line="360" w:lineRule="auto"/>
        <w:ind w:left="0" w:leftChars="0" w:firstLine="480" w:firstLineChars="200"/>
        <w:rPr>
          <w:rFonts w:hint="eastAsia" w:ascii="宋体" w:hAnsi="楷体" w:eastAsia="宋体" w:cs="楷体"/>
          <w:sz w:val="24"/>
          <w:highlight w:val="none"/>
        </w:rPr>
      </w:pPr>
      <w:r>
        <w:rPr>
          <w:rFonts w:hint="eastAsia" w:ascii="宋体" w:hAnsi="楷体" w:eastAsia="宋体" w:cs="楷体"/>
          <w:sz w:val="24"/>
          <w:highlight w:val="none"/>
          <w:lang w:val="en-US" w:eastAsia="zh-CN"/>
        </w:rPr>
        <w:t>招标公告</w:t>
      </w:r>
    </w:p>
    <w:p>
      <w:pPr>
        <w:numPr>
          <w:ilvl w:val="0"/>
          <w:numId w:val="0"/>
        </w:numPr>
        <w:snapToGrid/>
        <w:spacing w:beforeAutospacing="0" w:afterAutospacing="0" w:line="360" w:lineRule="auto"/>
        <w:ind w:leftChars="200"/>
        <w:rPr>
          <w:rFonts w:hint="eastAsia" w:ascii="宋体" w:hAnsi="楷体" w:eastAsia="宋体" w:cs="楷体"/>
          <w:sz w:val="24"/>
          <w:highlight w:val="none"/>
        </w:rPr>
      </w:pPr>
      <w:r>
        <w:rPr>
          <w:rFonts w:hint="eastAsia" w:ascii="宋体" w:hAnsi="楷体" w:eastAsia="宋体" w:cs="楷体"/>
          <w:sz w:val="24"/>
          <w:highlight w:val="none"/>
          <w:lang w:val="en-US" w:eastAsia="zh-CN"/>
        </w:rPr>
        <w:t xml:space="preserve">第二章 </w:t>
      </w:r>
      <w:r>
        <w:rPr>
          <w:rFonts w:hint="eastAsia" w:ascii="宋体" w:hAnsi="楷体" w:eastAsia="宋体" w:cs="楷体"/>
          <w:sz w:val="24"/>
          <w:highlight w:val="none"/>
        </w:rPr>
        <w:t>投标须知前附表</w:t>
      </w:r>
    </w:p>
    <w:p>
      <w:pPr>
        <w:numPr>
          <w:ilvl w:val="0"/>
          <w:numId w:val="0"/>
        </w:numPr>
        <w:snapToGrid/>
        <w:spacing w:beforeAutospacing="0" w:afterAutospacing="0" w:line="360" w:lineRule="auto"/>
        <w:ind w:leftChars="200"/>
        <w:rPr>
          <w:rFonts w:hint="eastAsia" w:ascii="宋体" w:hAnsi="楷体" w:eastAsia="宋体" w:cs="楷体"/>
          <w:sz w:val="24"/>
          <w:highlight w:val="none"/>
        </w:rPr>
      </w:pPr>
      <w:r>
        <w:rPr>
          <w:rFonts w:hint="eastAsia" w:ascii="宋体" w:hAnsi="楷体" w:eastAsia="宋体" w:cs="楷体"/>
          <w:sz w:val="24"/>
          <w:highlight w:val="none"/>
          <w:lang w:val="en-US" w:eastAsia="zh-CN"/>
        </w:rPr>
        <w:t xml:space="preserve">第三章 </w:t>
      </w:r>
      <w:r>
        <w:rPr>
          <w:rFonts w:hint="eastAsia" w:ascii="宋体" w:hAnsi="楷体" w:eastAsia="宋体" w:cs="楷体"/>
          <w:sz w:val="24"/>
          <w:highlight w:val="none"/>
        </w:rPr>
        <w:t>投标人须知</w:t>
      </w:r>
    </w:p>
    <w:p>
      <w:pPr>
        <w:snapToGrid/>
        <w:spacing w:beforeAutospacing="0" w:afterAutospacing="0" w:line="360" w:lineRule="auto"/>
        <w:ind w:left="0" w:leftChars="0" w:firstLine="480" w:firstLineChars="200"/>
        <w:rPr>
          <w:rFonts w:hint="eastAsia" w:ascii="宋体" w:hAnsi="楷体" w:eastAsia="宋体" w:cs="楷体"/>
          <w:sz w:val="24"/>
          <w:highlight w:val="none"/>
        </w:rPr>
      </w:pPr>
      <w:r>
        <w:rPr>
          <w:rFonts w:hint="eastAsia" w:ascii="宋体" w:hAnsi="楷体" w:eastAsia="宋体" w:cs="楷体"/>
          <w:sz w:val="24"/>
          <w:highlight w:val="none"/>
        </w:rPr>
        <w:t>第四章</w:t>
      </w:r>
      <w:r>
        <w:rPr>
          <w:rFonts w:hint="eastAsia" w:ascii="宋体" w:hAnsi="楷体" w:eastAsia="宋体" w:cs="楷体"/>
          <w:sz w:val="24"/>
          <w:highlight w:val="none"/>
        </w:rPr>
        <w:tab/>
      </w:r>
      <w:r>
        <w:rPr>
          <w:rFonts w:hint="eastAsia" w:ascii="宋体" w:hAnsi="楷体" w:eastAsia="宋体" w:cs="楷体"/>
          <w:sz w:val="24"/>
          <w:highlight w:val="none"/>
          <w:lang w:val="en-US" w:eastAsia="zh-CN"/>
        </w:rPr>
        <w:t xml:space="preserve"> </w:t>
      </w:r>
      <w:r>
        <w:rPr>
          <w:rFonts w:hint="eastAsia" w:ascii="宋体" w:hAnsi="楷体" w:eastAsia="宋体" w:cs="楷体"/>
          <w:sz w:val="24"/>
          <w:highlight w:val="none"/>
        </w:rPr>
        <w:t>投标文件格式</w:t>
      </w:r>
    </w:p>
    <w:p>
      <w:pPr>
        <w:snapToGrid/>
        <w:spacing w:beforeAutospacing="0" w:afterAutospacing="0" w:line="360" w:lineRule="auto"/>
        <w:ind w:left="0" w:leftChars="0" w:firstLine="480" w:firstLineChars="200"/>
        <w:rPr>
          <w:rFonts w:hint="eastAsia" w:ascii="宋体" w:hAnsi="楷体" w:eastAsia="宋体" w:cs="楷体"/>
          <w:sz w:val="24"/>
          <w:highlight w:val="none"/>
        </w:rPr>
      </w:pPr>
      <w:r>
        <w:rPr>
          <w:rFonts w:hint="eastAsia" w:ascii="宋体" w:hAnsi="楷体" w:eastAsia="宋体" w:cs="楷体"/>
          <w:sz w:val="24"/>
          <w:highlight w:val="none"/>
        </w:rPr>
        <w:t>第五章 政府采购合同格式</w:t>
      </w:r>
    </w:p>
    <w:p>
      <w:pPr>
        <w:snapToGrid/>
        <w:spacing w:beforeAutospacing="0" w:afterAutospacing="0" w:line="360" w:lineRule="auto"/>
        <w:ind w:left="0" w:leftChars="0" w:firstLine="480" w:firstLineChars="200"/>
        <w:rPr>
          <w:rFonts w:hint="eastAsia" w:ascii="宋体" w:hAnsi="楷体" w:eastAsia="宋体" w:cs="楷体"/>
          <w:sz w:val="24"/>
          <w:highlight w:val="none"/>
        </w:rPr>
      </w:pPr>
      <w:r>
        <w:rPr>
          <w:rFonts w:hint="eastAsia" w:ascii="宋体" w:hAnsi="楷体" w:eastAsia="宋体" w:cs="楷体"/>
          <w:sz w:val="24"/>
          <w:highlight w:val="none"/>
        </w:rPr>
        <w:t xml:space="preserve">第六章 </w:t>
      </w:r>
      <w:r>
        <w:rPr>
          <w:rFonts w:hint="eastAsia" w:ascii="宋体" w:hAnsi="楷体" w:eastAsia="宋体" w:cs="楷体"/>
          <w:sz w:val="24"/>
          <w:highlight w:val="none"/>
          <w:lang w:val="en-US" w:eastAsia="zh-CN"/>
        </w:rPr>
        <w:t>采购</w:t>
      </w:r>
      <w:r>
        <w:rPr>
          <w:rFonts w:hint="eastAsia" w:ascii="宋体" w:hAnsi="楷体" w:eastAsia="宋体" w:cs="楷体"/>
          <w:sz w:val="24"/>
          <w:highlight w:val="none"/>
        </w:rPr>
        <w:t>需求</w:t>
      </w:r>
    </w:p>
    <w:p>
      <w:pPr>
        <w:snapToGrid/>
        <w:spacing w:beforeAutospacing="0" w:afterAutospacing="0" w:line="360" w:lineRule="auto"/>
        <w:ind w:left="0" w:leftChars="0" w:firstLine="480" w:firstLineChars="200"/>
        <w:rPr>
          <w:rFonts w:hint="eastAsia" w:ascii="宋体" w:hAnsi="楷体" w:eastAsia="宋体" w:cs="楷体"/>
          <w:sz w:val="24"/>
          <w:highlight w:val="none"/>
        </w:rPr>
      </w:pPr>
      <w:r>
        <w:rPr>
          <w:rFonts w:hint="eastAsia" w:ascii="宋体" w:hAnsi="楷体" w:eastAsia="宋体" w:cs="楷体"/>
          <w:sz w:val="24"/>
          <w:highlight w:val="none"/>
        </w:rPr>
        <w:t>第</w:t>
      </w:r>
      <w:r>
        <w:rPr>
          <w:rFonts w:hint="eastAsia" w:ascii="宋体" w:hAnsi="楷体" w:eastAsia="宋体" w:cs="楷体"/>
          <w:sz w:val="24"/>
          <w:highlight w:val="none"/>
          <w:lang w:val="en-US" w:eastAsia="zh-CN"/>
        </w:rPr>
        <w:t>七</w:t>
      </w:r>
      <w:r>
        <w:rPr>
          <w:rFonts w:hint="eastAsia" w:ascii="宋体" w:hAnsi="楷体" w:eastAsia="宋体" w:cs="楷体"/>
          <w:sz w:val="24"/>
          <w:highlight w:val="none"/>
        </w:rPr>
        <w:t>章 评标方法和标准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5.2</w:t>
      </w:r>
      <w:r>
        <w:rPr>
          <w:rFonts w:hint="eastAsia" w:ascii="宋体" w:hAnsi="楷体" w:eastAsia="宋体" w:cs="楷体"/>
          <w:sz w:val="24"/>
          <w:lang w:val="en-US" w:eastAsia="zh-CN"/>
        </w:rPr>
        <w:t xml:space="preserve">  </w:t>
      </w:r>
      <w:r>
        <w:rPr>
          <w:rFonts w:hint="eastAsia" w:ascii="宋体" w:hAnsi="楷体" w:eastAsia="宋体" w:cs="楷体"/>
          <w:sz w:val="24"/>
        </w:rPr>
        <w:t>招标文件中有不一致的，有澄清的部分以最终的澄清更正内容为准；未澄清的，以投标须知前附表为准；投标须知前附表不涉及的内容，以编排在后的最后描述为准。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5.3  投标人应认真阅读招标文件所有的事项、格式、条款和技术规范等。如投标文件没有对招标文件的实质性要求做出响应，其投标将被认定为</w:t>
      </w:r>
      <w:r>
        <w:rPr>
          <w:rFonts w:hint="eastAsia" w:ascii="宋体" w:hAnsi="楷体" w:eastAsia="宋体" w:cs="楷体"/>
          <w:b/>
          <w:bCs/>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5.4  现场考察或者答疑会及相关事项见</w:t>
      </w:r>
      <w:r>
        <w:rPr>
          <w:rFonts w:hint="eastAsia" w:ascii="宋体" w:hAnsi="楷体" w:eastAsia="宋体" w:cs="楷体"/>
          <w:sz w:val="24"/>
          <w:u w:val="single"/>
        </w:rPr>
        <w:t>投标须知前附表</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5.5  原则上采购人、采购代理机构不要求投标人提供样品。除仅凭书面方式不能准确描述采购需求，或者需要对样品进行主观判断以确认是否满足采购需求等特殊情况除外。</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如需提供样品，对样品相关要求见</w:t>
      </w:r>
      <w:r>
        <w:rPr>
          <w:rFonts w:hint="eastAsia" w:ascii="宋体" w:hAnsi="楷体" w:eastAsia="宋体" w:cs="楷体"/>
          <w:sz w:val="24"/>
          <w:u w:val="single"/>
        </w:rPr>
        <w:t>投标须知前附表</w:t>
      </w:r>
      <w:r>
        <w:rPr>
          <w:rFonts w:hint="eastAsia" w:ascii="宋体" w:hAnsi="楷体" w:eastAsia="宋体" w:cs="楷体"/>
          <w:sz w:val="24"/>
        </w:rPr>
        <w:t>，对样品的评审方法及评审标准见招标文件第</w:t>
      </w:r>
      <w:r>
        <w:rPr>
          <w:rFonts w:hint="eastAsia" w:ascii="宋体" w:hAnsi="楷体" w:eastAsia="宋体" w:cs="楷体"/>
          <w:sz w:val="24"/>
          <w:lang w:val="en-US" w:eastAsia="zh-CN"/>
        </w:rPr>
        <w:t>七</w:t>
      </w:r>
      <w:r>
        <w:rPr>
          <w:rFonts w:hint="eastAsia" w:ascii="宋体" w:hAnsi="楷体" w:eastAsia="宋体" w:cs="楷体"/>
          <w:sz w:val="24"/>
        </w:rPr>
        <w:t>章。</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58" w:name="_Toc515904805"/>
      <w:bookmarkStart w:id="59" w:name="_Toc26044"/>
      <w:bookmarkStart w:id="60" w:name="_Toc11243"/>
      <w:bookmarkStart w:id="61" w:name="_Toc9232"/>
      <w:bookmarkStart w:id="62" w:name="_Toc25791"/>
      <w:bookmarkStart w:id="63" w:name="_Toc2582270"/>
      <w:bookmarkStart w:id="64" w:name="_Toc532473456"/>
      <w:bookmarkStart w:id="65" w:name="_Toc520356148"/>
      <w:r>
        <w:rPr>
          <w:rFonts w:hint="eastAsia" w:ascii="宋体" w:hAnsi="楷体" w:eastAsia="宋体" w:cs="楷体"/>
          <w:b/>
          <w:sz w:val="24"/>
          <w:u w:val="none"/>
        </w:rPr>
        <w:t>6.招标文件的澄清</w:t>
      </w:r>
      <w:bookmarkEnd w:id="58"/>
      <w:r>
        <w:rPr>
          <w:rFonts w:hint="eastAsia" w:ascii="宋体" w:hAnsi="楷体" w:eastAsia="宋体" w:cs="楷体"/>
          <w:b/>
          <w:sz w:val="24"/>
          <w:u w:val="none"/>
        </w:rPr>
        <w:t>与修改</w:t>
      </w:r>
      <w:bookmarkEnd w:id="59"/>
      <w:bookmarkEnd w:id="60"/>
      <w:bookmarkEnd w:id="61"/>
      <w:bookmarkEnd w:id="62"/>
      <w:bookmarkEnd w:id="63"/>
      <w:bookmarkEnd w:id="64"/>
    </w:p>
    <w:p>
      <w:pPr>
        <w:pStyle w:val="6"/>
        <w:snapToGrid/>
        <w:spacing w:beforeAutospacing="0" w:afterAutospacing="0" w:line="360" w:lineRule="auto"/>
        <w:ind w:left="0" w:leftChars="0" w:firstLine="480" w:firstLineChars="200"/>
        <w:rPr>
          <w:rFonts w:hint="eastAsia" w:ascii="宋体" w:hAnsi="楷体" w:eastAsia="宋体" w:cs="楷体"/>
          <w:sz w:val="24"/>
          <w:szCs w:val="24"/>
        </w:rPr>
      </w:pPr>
      <w:bookmarkStart w:id="66" w:name="_Toc515904806"/>
      <w:r>
        <w:rPr>
          <w:rFonts w:hint="eastAsia" w:ascii="宋体" w:hAnsi="楷体" w:eastAsia="宋体" w:cs="楷体"/>
          <w:sz w:val="24"/>
          <w:szCs w:val="24"/>
        </w:rPr>
        <w:t>6.1</w:t>
      </w:r>
      <w:r>
        <w:rPr>
          <w:rFonts w:hint="eastAsia" w:hAnsi="楷体" w:eastAsia="宋体" w:cs="楷体"/>
          <w:sz w:val="24"/>
          <w:szCs w:val="24"/>
          <w:lang w:val="en-US" w:eastAsia="zh-CN"/>
        </w:rPr>
        <w:t xml:space="preserve">  </w:t>
      </w:r>
      <w:r>
        <w:rPr>
          <w:rFonts w:hint="eastAsia" w:ascii="宋体" w:hAnsi="楷体" w:eastAsia="宋体" w:cs="楷体"/>
          <w:sz w:val="24"/>
          <w:szCs w:val="24"/>
        </w:rPr>
        <w:t>采购人可</w:t>
      </w:r>
      <w:r>
        <w:rPr>
          <w:rFonts w:hint="eastAsia" w:ascii="宋体" w:hAnsi="楷体" w:eastAsia="宋体" w:cs="楷体"/>
          <w:sz w:val="24"/>
          <w:szCs w:val="24"/>
          <w:lang w:eastAsia="zh-CN"/>
        </w:rPr>
        <w:t>主动的或在</w:t>
      </w:r>
      <w:r>
        <w:rPr>
          <w:rFonts w:hint="eastAsia" w:ascii="宋体" w:hAnsi="楷体" w:eastAsia="宋体" w:cs="楷体"/>
          <w:sz w:val="24"/>
          <w:szCs w:val="24"/>
        </w:rPr>
        <w:t>解答投标人提出的澄清问题时对招标文件进行澄清或修改。采购代理机构将以发布澄清（更正）公告的方式，澄清或修改招标文件，澄清或修改内容作为招标文件的组成部分。</w:t>
      </w:r>
    </w:p>
    <w:p>
      <w:pPr>
        <w:pStyle w:val="6"/>
        <w:snapToGrid/>
        <w:spacing w:beforeAutospacing="0" w:afterAutospacing="0" w:line="360" w:lineRule="auto"/>
        <w:ind w:left="0" w:leftChars="0" w:firstLine="480" w:firstLineChars="200"/>
        <w:rPr>
          <w:rFonts w:hint="eastAsia" w:ascii="宋体" w:hAnsi="楷体" w:eastAsia="宋体" w:cs="楷体"/>
          <w:sz w:val="24"/>
          <w:szCs w:val="24"/>
        </w:rPr>
      </w:pPr>
      <w:r>
        <w:rPr>
          <w:rFonts w:hint="eastAsia" w:ascii="宋体" w:hAnsi="楷体" w:eastAsia="宋体" w:cs="楷体"/>
          <w:sz w:val="24"/>
          <w:szCs w:val="24"/>
        </w:rPr>
        <w:t>6.2</w:t>
      </w:r>
      <w:r>
        <w:rPr>
          <w:rFonts w:hint="eastAsia" w:hAnsi="楷体" w:eastAsia="宋体" w:cs="楷体"/>
          <w:sz w:val="24"/>
          <w:szCs w:val="24"/>
          <w:lang w:val="en-US" w:eastAsia="zh-CN"/>
        </w:rPr>
        <w:t xml:space="preserve">  </w:t>
      </w:r>
      <w:r>
        <w:rPr>
          <w:rFonts w:hint="eastAsia" w:ascii="宋体" w:hAnsi="楷体" w:eastAsia="宋体" w:cs="楷体"/>
          <w:sz w:val="24"/>
          <w:szCs w:val="24"/>
        </w:rPr>
        <w:t>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pPr>
        <w:pStyle w:val="6"/>
        <w:snapToGrid/>
        <w:spacing w:beforeAutospacing="0" w:afterAutospacing="0" w:line="360" w:lineRule="auto"/>
        <w:ind w:left="0" w:leftChars="0" w:firstLine="480" w:firstLineChars="200"/>
        <w:rPr>
          <w:rFonts w:hint="eastAsia" w:ascii="宋体" w:hAnsi="楷体" w:eastAsia="宋体" w:cs="楷体"/>
          <w:sz w:val="24"/>
          <w:szCs w:val="24"/>
        </w:rPr>
      </w:pPr>
      <w:r>
        <w:rPr>
          <w:rFonts w:hint="eastAsia" w:ascii="宋体" w:hAnsi="楷体" w:eastAsia="宋体" w:cs="楷体"/>
          <w:sz w:val="24"/>
          <w:szCs w:val="24"/>
        </w:rPr>
        <w:t>因潜在投标人原因或通讯线路故障导致通知逾期送达或无法送达，采购代理机构不因此承担任何责任，有关的招标采购活动可以继续有效进行。</w:t>
      </w:r>
    </w:p>
    <w:p>
      <w:pPr>
        <w:pStyle w:val="7"/>
        <w:tabs>
          <w:tab w:val="left" w:pos="900"/>
        </w:tabs>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67" w:name="_Toc14569"/>
      <w:bookmarkStart w:id="68" w:name="_Toc532473457"/>
      <w:bookmarkStart w:id="69" w:name="_Toc10645"/>
      <w:bookmarkStart w:id="70" w:name="_Toc15846"/>
      <w:bookmarkStart w:id="71" w:name="_Toc2582271"/>
      <w:bookmarkStart w:id="72" w:name="_Toc25635"/>
      <w:r>
        <w:rPr>
          <w:rFonts w:hint="eastAsia" w:ascii="宋体" w:hAnsi="楷体" w:eastAsia="宋体" w:cs="楷体"/>
          <w:b/>
          <w:sz w:val="24"/>
          <w:u w:val="none"/>
        </w:rPr>
        <w:t>7</w:t>
      </w:r>
      <w:bookmarkEnd w:id="66"/>
      <w:r>
        <w:rPr>
          <w:rFonts w:hint="eastAsia" w:ascii="宋体" w:hAnsi="楷体" w:eastAsia="宋体" w:cs="楷体"/>
          <w:b/>
          <w:sz w:val="24"/>
          <w:u w:val="none"/>
        </w:rPr>
        <w:t>.投标截止时间的顺延</w:t>
      </w:r>
      <w:bookmarkEnd w:id="67"/>
      <w:bookmarkEnd w:id="68"/>
      <w:bookmarkEnd w:id="69"/>
      <w:bookmarkEnd w:id="70"/>
      <w:bookmarkEnd w:id="71"/>
      <w:bookmarkEnd w:id="72"/>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为使投标人有足够的时间对招标文件的澄清或者修改部分进行研究而准备投标或因其他原因，采购人将依法决定是否顺延投标截止时间。</w:t>
      </w:r>
      <w:bookmarkEnd w:id="65"/>
    </w:p>
    <w:p>
      <w:pPr>
        <w:pStyle w:val="5"/>
        <w:bidi w:val="0"/>
        <w:snapToGrid/>
        <w:spacing w:before="200" w:beforeAutospacing="0" w:after="200" w:afterAutospacing="0" w:line="240" w:lineRule="auto"/>
        <w:ind w:left="0" w:leftChars="0" w:right="0" w:rightChars="0" w:firstLine="0" w:firstLineChars="0"/>
        <w:jc w:val="left"/>
        <w:outlineLvl w:val="1"/>
        <w:rPr>
          <w:rFonts w:hint="eastAsia" w:ascii="宋体" w:eastAsia="宋体"/>
          <w:b/>
          <w:sz w:val="24"/>
        </w:rPr>
      </w:pPr>
      <w:bookmarkStart w:id="73" w:name="_Toc516367020"/>
      <w:bookmarkStart w:id="74" w:name="_Toc520356150"/>
      <w:bookmarkStart w:id="75" w:name="_Toc216582807"/>
      <w:bookmarkStart w:id="76" w:name="_Toc11766"/>
      <w:r>
        <w:rPr>
          <w:rFonts w:hint="eastAsia" w:ascii="宋体" w:eastAsia="宋体"/>
          <w:b/>
          <w:sz w:val="24"/>
        </w:rPr>
        <w:t>三   投标文件</w:t>
      </w:r>
      <w:bookmarkEnd w:id="73"/>
      <w:r>
        <w:rPr>
          <w:rFonts w:hint="eastAsia" w:ascii="宋体" w:eastAsia="宋体"/>
          <w:b/>
          <w:sz w:val="24"/>
        </w:rPr>
        <w:t>的编制</w:t>
      </w:r>
      <w:bookmarkEnd w:id="74"/>
      <w:bookmarkEnd w:id="75"/>
      <w:bookmarkEnd w:id="76"/>
    </w:p>
    <w:p>
      <w:pPr>
        <w:pStyle w:val="7"/>
        <w:tabs>
          <w:tab w:val="left" w:pos="900"/>
        </w:tabs>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77" w:name="_Toc2582273"/>
      <w:bookmarkStart w:id="78" w:name="_Toc1058"/>
      <w:bookmarkStart w:id="79" w:name="_Toc532473459"/>
      <w:bookmarkStart w:id="80" w:name="_Toc3553"/>
      <w:bookmarkStart w:id="81" w:name="_Toc7786"/>
      <w:bookmarkStart w:id="82" w:name="_Toc32358"/>
      <w:bookmarkStart w:id="83" w:name="_Toc515647767"/>
      <w:bookmarkStart w:id="84" w:name="_Toc520356151"/>
      <w:bookmarkStart w:id="85" w:name="_Toc516367021"/>
      <w:r>
        <w:rPr>
          <w:rFonts w:hint="eastAsia" w:ascii="宋体" w:hAnsi="楷体" w:eastAsia="宋体" w:cs="楷体"/>
          <w:b/>
          <w:sz w:val="24"/>
          <w:u w:val="none"/>
        </w:rPr>
        <w:t>8.投标范围及投标文件中标准和计量单位的使用</w:t>
      </w:r>
      <w:bookmarkEnd w:id="77"/>
      <w:bookmarkEnd w:id="78"/>
      <w:bookmarkEnd w:id="79"/>
      <w:bookmarkEnd w:id="80"/>
      <w:bookmarkEnd w:id="81"/>
      <w:bookmarkEnd w:id="82"/>
      <w:bookmarkEnd w:id="83"/>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8.1</w:t>
      </w:r>
      <w:r>
        <w:rPr>
          <w:rFonts w:hint="eastAsia" w:ascii="宋体" w:hAnsi="楷体" w:eastAsia="宋体" w:cs="楷体"/>
          <w:sz w:val="24"/>
          <w:lang w:val="en-US" w:eastAsia="zh-CN"/>
        </w:rPr>
        <w:t xml:space="preserve">  </w:t>
      </w:r>
      <w:r>
        <w:rPr>
          <w:rFonts w:hint="eastAsia" w:ascii="宋体" w:hAnsi="楷体" w:eastAsia="宋体" w:cs="楷体"/>
          <w:sz w:val="24"/>
        </w:rPr>
        <w:t>投标人可对招标文件中一个或几个分包货物进行投标，除非在</w:t>
      </w:r>
      <w:r>
        <w:rPr>
          <w:rFonts w:hint="eastAsia" w:ascii="宋体" w:hAnsi="楷体" w:eastAsia="宋体" w:cs="楷体"/>
          <w:sz w:val="24"/>
          <w:u w:val="single"/>
        </w:rPr>
        <w:t>投标须知前附表</w:t>
      </w:r>
      <w:r>
        <w:rPr>
          <w:rFonts w:hint="eastAsia" w:ascii="宋体" w:hAnsi="楷体" w:eastAsia="宋体" w:cs="楷体"/>
          <w:sz w:val="24"/>
        </w:rPr>
        <w:t>中另有规定。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8.2  投标人应当对所投分包招标文件中“货物及伴随服务和工程需求”所列的所有内容进行投标，如仅响应分包中的部分内容，其该包投标将被认定为</w:t>
      </w:r>
      <w:r>
        <w:rPr>
          <w:rFonts w:hint="eastAsia" w:ascii="宋体" w:hAnsi="楷体" w:eastAsia="宋体" w:cs="楷体"/>
          <w:b/>
          <w:bCs/>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8.3  无论招标文件中是否要求，投标人所投货物及伴随的服务和工程均应符合国家强制性标准。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8.4  除招标文件中有特殊要求外，投标文件中所使用的计量单位，应采用中华人民共和国法定计量单位。</w:t>
      </w:r>
    </w:p>
    <w:bookmarkEnd w:id="84"/>
    <w:bookmarkEnd w:id="85"/>
    <w:p>
      <w:pPr>
        <w:pStyle w:val="7"/>
        <w:tabs>
          <w:tab w:val="left" w:pos="900"/>
        </w:tabs>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86" w:name="_Toc10364"/>
      <w:bookmarkStart w:id="87" w:name="_Toc28307"/>
      <w:bookmarkStart w:id="88" w:name="_Toc515647768"/>
      <w:bookmarkStart w:id="89" w:name="_Toc27614"/>
      <w:bookmarkStart w:id="90" w:name="_Toc2582274"/>
      <w:bookmarkStart w:id="91" w:name="_Toc532473460"/>
      <w:bookmarkStart w:id="92" w:name="_Toc1376"/>
      <w:bookmarkStart w:id="93" w:name="_Ref467306676"/>
      <w:bookmarkStart w:id="94" w:name="_Ref467306195"/>
      <w:bookmarkStart w:id="95" w:name="_Toc516367022"/>
      <w:bookmarkStart w:id="96" w:name="_Toc520356152"/>
      <w:r>
        <w:rPr>
          <w:rFonts w:hint="eastAsia" w:ascii="宋体" w:hAnsi="楷体" w:eastAsia="宋体" w:cs="楷体"/>
          <w:b/>
          <w:sz w:val="24"/>
          <w:u w:val="none"/>
        </w:rPr>
        <w:t>9.投标文件组成</w:t>
      </w:r>
      <w:bookmarkEnd w:id="86"/>
      <w:bookmarkEnd w:id="87"/>
      <w:bookmarkEnd w:id="88"/>
      <w:bookmarkEnd w:id="89"/>
      <w:bookmarkEnd w:id="90"/>
      <w:bookmarkEnd w:id="91"/>
      <w:bookmarkEnd w:id="92"/>
    </w:p>
    <w:p>
      <w:pPr>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9.1  投标文件由“资格证明文件”、“商务技术文件”和“报价文件”三个部分组成。投标人应完整地按照招标文件提供的投标文件格式及要求编写投标文件。投标文件中资格审查和符合性审查涉及的事项不满足招标文件要求的，其投标将被认定为</w:t>
      </w:r>
      <w:r>
        <w:rPr>
          <w:rFonts w:hint="eastAsia" w:ascii="宋体" w:hAnsi="楷体" w:eastAsia="宋体" w:cs="楷体"/>
          <w:b/>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9.2  上述文件应按照招标文件的规定签署</w:t>
      </w:r>
      <w:r>
        <w:rPr>
          <w:rFonts w:hint="eastAsia" w:ascii="宋体" w:hAnsi="楷体" w:eastAsia="宋体" w:cs="楷体"/>
          <w:sz w:val="24"/>
          <w:lang w:val="en-US" w:eastAsia="zh-CN"/>
        </w:rPr>
        <w:t>盖章</w:t>
      </w:r>
      <w:r>
        <w:rPr>
          <w:rFonts w:hint="eastAsia" w:ascii="宋体" w:hAnsi="楷体" w:eastAsia="宋体" w:cs="楷体"/>
          <w:sz w:val="24"/>
        </w:rPr>
        <w:t>。</w:t>
      </w:r>
    </w:p>
    <w:bookmarkEnd w:id="93"/>
    <w:bookmarkEnd w:id="94"/>
    <w:bookmarkEnd w:id="95"/>
    <w:bookmarkEnd w:id="96"/>
    <w:p>
      <w:pPr>
        <w:pStyle w:val="7"/>
        <w:tabs>
          <w:tab w:val="left" w:pos="900"/>
        </w:tabs>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97" w:name="_Toc11603"/>
      <w:bookmarkStart w:id="98" w:name="_Toc10379"/>
      <w:bookmarkStart w:id="99" w:name="_Toc2582275"/>
      <w:bookmarkStart w:id="100" w:name="_Toc1327"/>
      <w:bookmarkStart w:id="101" w:name="_Toc4601"/>
      <w:bookmarkStart w:id="102" w:name="_Toc532473461"/>
      <w:bookmarkStart w:id="103" w:name="_Toc515647769"/>
      <w:bookmarkStart w:id="104" w:name="_Toc516367023"/>
      <w:bookmarkStart w:id="105" w:name="_Toc520356153"/>
      <w:r>
        <w:rPr>
          <w:rFonts w:hint="eastAsia" w:ascii="宋体" w:hAnsi="楷体" w:eastAsia="宋体" w:cs="楷体"/>
          <w:b/>
          <w:sz w:val="24"/>
          <w:u w:val="none"/>
        </w:rPr>
        <w:t>10.证明投标标的的合格性和符合招标文件规定的技术文件</w:t>
      </w:r>
      <w:bookmarkEnd w:id="97"/>
      <w:bookmarkEnd w:id="98"/>
      <w:bookmarkEnd w:id="99"/>
      <w:bookmarkEnd w:id="100"/>
      <w:bookmarkEnd w:id="101"/>
      <w:bookmarkEnd w:id="102"/>
      <w:bookmarkEnd w:id="103"/>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10.1</w:t>
      </w:r>
      <w:r>
        <w:rPr>
          <w:rFonts w:hint="eastAsia" w:ascii="宋体" w:hAnsi="楷体" w:eastAsia="宋体" w:cs="楷体"/>
          <w:sz w:val="24"/>
          <w:lang w:val="en-US" w:eastAsia="zh-CN"/>
        </w:rPr>
        <w:t xml:space="preserve">  </w:t>
      </w:r>
      <w:r>
        <w:rPr>
          <w:rFonts w:hint="eastAsia" w:ascii="宋体" w:hAnsi="楷体" w:eastAsia="宋体" w:cs="楷体"/>
          <w:sz w:val="24"/>
        </w:rPr>
        <w:t>投标人应提交证明文件，证明其投标标的符合招标文件规定。该证明文件是投标文件的技术文件。</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10.2</w:t>
      </w:r>
      <w:r>
        <w:rPr>
          <w:rFonts w:hint="eastAsia" w:ascii="宋体" w:hAnsi="楷体" w:eastAsia="宋体" w:cs="楷体"/>
          <w:sz w:val="24"/>
          <w:lang w:val="en-US" w:eastAsia="zh-CN"/>
        </w:rPr>
        <w:t xml:space="preserve">  </w:t>
      </w:r>
      <w:r>
        <w:rPr>
          <w:rFonts w:hint="eastAsia" w:ascii="宋体" w:hAnsi="楷体" w:eastAsia="宋体" w:cs="楷体"/>
          <w:sz w:val="24"/>
        </w:rPr>
        <w:t>上款所述的证明文件，可以是文字资料、图纸和数据，包括：</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10.2.1</w:t>
      </w:r>
      <w:r>
        <w:rPr>
          <w:rFonts w:hint="eastAsia" w:ascii="宋体" w:hAnsi="楷体" w:eastAsia="宋体" w:cs="楷体"/>
          <w:sz w:val="24"/>
        </w:rPr>
        <w:tab/>
      </w:r>
      <w:r>
        <w:rPr>
          <w:rFonts w:hint="eastAsia" w:ascii="宋体" w:hAnsi="楷体" w:eastAsia="宋体" w:cs="楷体"/>
          <w:sz w:val="24"/>
          <w:lang w:val="en-US" w:eastAsia="zh-CN"/>
        </w:rPr>
        <w:t>工程</w:t>
      </w:r>
      <w:r>
        <w:rPr>
          <w:rFonts w:hint="eastAsia" w:ascii="宋体" w:hAnsi="楷体" w:eastAsia="宋体" w:cs="楷体"/>
          <w:sz w:val="24"/>
        </w:rPr>
        <w:t>货物</w:t>
      </w:r>
      <w:r>
        <w:rPr>
          <w:rFonts w:hint="eastAsia" w:ascii="宋体" w:hAnsi="楷体" w:eastAsia="宋体" w:cs="楷体"/>
          <w:sz w:val="24"/>
          <w:lang w:val="en-US" w:eastAsia="zh-CN"/>
        </w:rPr>
        <w:t>服务</w:t>
      </w:r>
      <w:r>
        <w:rPr>
          <w:rFonts w:hint="eastAsia" w:ascii="宋体" w:hAnsi="楷体" w:eastAsia="宋体" w:cs="楷体"/>
          <w:sz w:val="24"/>
        </w:rPr>
        <w:t>主要技术指标和性能的详细说明及实现的功能或者目标；</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10.2.2</w:t>
      </w:r>
      <w:r>
        <w:rPr>
          <w:rFonts w:hint="eastAsia" w:ascii="宋体" w:hAnsi="楷体" w:eastAsia="宋体" w:cs="楷体"/>
          <w:sz w:val="24"/>
        </w:rPr>
        <w:tab/>
      </w:r>
      <w:r>
        <w:rPr>
          <w:rFonts w:hint="eastAsia" w:ascii="宋体" w:hAnsi="楷体" w:eastAsia="宋体" w:cs="楷体"/>
          <w:sz w:val="24"/>
        </w:rPr>
        <w:t>货物从买方开始使用至招标文件规定的保质期内正常、连续地使用所</w:t>
      </w:r>
      <w:r>
        <w:rPr>
          <w:rFonts w:hint="eastAsia" w:ascii="宋体" w:hAnsi="楷体" w:eastAsia="宋体" w:cs="楷体"/>
          <w:sz w:val="24"/>
          <w:lang w:eastAsia="zh-CN"/>
        </w:rPr>
        <w:t>必需</w:t>
      </w:r>
      <w:r>
        <w:rPr>
          <w:rFonts w:hint="eastAsia" w:ascii="宋体" w:hAnsi="楷体" w:eastAsia="宋体" w:cs="楷体"/>
          <w:sz w:val="24"/>
        </w:rPr>
        <w:t>的备件和专用工具清单，包括备件和专用工具的货源及现行价格；</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10.2.3</w:t>
      </w:r>
      <w:r>
        <w:rPr>
          <w:rFonts w:hint="eastAsia" w:ascii="宋体" w:hAnsi="楷体" w:eastAsia="宋体" w:cs="楷体"/>
          <w:sz w:val="24"/>
        </w:rPr>
        <w:tab/>
      </w:r>
      <w:r>
        <w:rPr>
          <w:rFonts w:hint="eastAsia" w:ascii="宋体" w:hAnsi="楷体" w:eastAsia="宋体" w:cs="楷体"/>
          <w:sz w:val="24"/>
        </w:rPr>
        <w:t>对照招标文件技术规格，逐条说明所提供货物及伴随的工程和服务已对招标文件的技术规格做出了实质性的响应，或申明与技术规格条文的偏差和例外。</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10.3</w:t>
      </w:r>
      <w:r>
        <w:rPr>
          <w:rFonts w:hint="eastAsia" w:ascii="宋体" w:hAnsi="楷体" w:eastAsia="宋体" w:cs="楷体"/>
          <w:sz w:val="24"/>
          <w:lang w:val="en-US" w:eastAsia="zh-CN"/>
        </w:rPr>
        <w:t xml:space="preserve">  </w:t>
      </w:r>
      <w:r>
        <w:rPr>
          <w:rFonts w:hint="eastAsia" w:ascii="宋体" w:hAnsi="楷体" w:eastAsia="宋体" w:cs="楷体"/>
          <w:sz w:val="24"/>
        </w:rPr>
        <w:t>投标人应注意采购人在技术规格中指出的工艺、材料和设备的参照品牌型号仅起说明作用，并没有任何倾向性或限制性。采购人、采购代理机构承诺不以上述参照品牌型号作为评标时判定其投标是否有效的标准。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10.4  本条所指证明文件不包括对招标文件相关部分的文字、图标的复制。</w:t>
      </w:r>
    </w:p>
    <w:bookmarkEnd w:id="104"/>
    <w:bookmarkEnd w:id="105"/>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06" w:name="_Toc17026"/>
      <w:bookmarkStart w:id="107" w:name="_Toc19875"/>
      <w:bookmarkStart w:id="108" w:name="_Toc520356155"/>
      <w:r>
        <w:rPr>
          <w:rFonts w:hint="eastAsia" w:ascii="宋体" w:hAnsi="楷体" w:eastAsia="宋体" w:cs="楷体"/>
          <w:b/>
          <w:sz w:val="24"/>
          <w:u w:val="none"/>
        </w:rPr>
        <w:t>11.投标报价</w:t>
      </w:r>
      <w:bookmarkEnd w:id="106"/>
      <w:bookmarkEnd w:id="107"/>
      <w:bookmarkEnd w:id="108"/>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11.1</w:t>
      </w:r>
      <w:r>
        <w:rPr>
          <w:rFonts w:hint="eastAsia" w:ascii="宋体" w:hAnsi="楷体" w:eastAsia="宋体" w:cs="楷体"/>
          <w:sz w:val="24"/>
          <w:lang w:val="en-US" w:eastAsia="zh-CN"/>
        </w:rPr>
        <w:t xml:space="preserve">  </w:t>
      </w:r>
      <w:r>
        <w:rPr>
          <w:rFonts w:hint="eastAsia" w:ascii="宋体" w:hAnsi="楷体" w:eastAsia="宋体" w:cs="楷体"/>
          <w:sz w:val="24"/>
        </w:rPr>
        <w:t>所有投标均以人民币报价。投标人的投标报价应遵守《中华人民共和国价格法》。同时，根据《中华人民共和国政府采购法》第二条的规定，为保证公平竞争，如有货物主体部分的赠与行为，其投标将被认定为投标无效。</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11.2</w:t>
      </w:r>
      <w:r>
        <w:rPr>
          <w:rFonts w:hint="eastAsia" w:ascii="宋体" w:hAnsi="楷体" w:eastAsia="宋体" w:cs="楷体"/>
          <w:sz w:val="24"/>
          <w:lang w:val="en-US" w:eastAsia="zh-CN"/>
        </w:rPr>
        <w:t xml:space="preserve">  </w:t>
      </w:r>
      <w:r>
        <w:rPr>
          <w:rFonts w:hint="eastAsia" w:ascii="宋体" w:hAnsi="楷体" w:eastAsia="宋体" w:cs="楷体"/>
          <w:sz w:val="24"/>
        </w:rPr>
        <w:t>投标人应在投标分项报价表上标明投标货物及相关服务的单价（如适用）和总价，并由法定代表人或其授权代表签署。</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11.3</w:t>
      </w:r>
      <w:r>
        <w:rPr>
          <w:rFonts w:hint="eastAsia" w:ascii="宋体" w:hAnsi="楷体" w:eastAsia="宋体" w:cs="楷体"/>
          <w:sz w:val="24"/>
          <w:lang w:val="en-US" w:eastAsia="zh-CN"/>
        </w:rPr>
        <w:t xml:space="preserve">  </w:t>
      </w:r>
      <w:r>
        <w:rPr>
          <w:rFonts w:hint="eastAsia" w:ascii="宋体" w:hAnsi="楷体" w:eastAsia="宋体" w:cs="楷体"/>
          <w:sz w:val="24"/>
        </w:rPr>
        <w:t>投标分项报价表上的价格应包括：投标货物（包括备品备件、专用工具等）的价格（包括已在中国国内的进口货物完税后的仓库交货价、展室交货价或货架交货价），投标货物运输（含保险）、安装（如有）、调试、检验、技术服务、培训和招标文件要求提供的所有伴随服务、工程等费用。</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11.4</w:t>
      </w:r>
      <w:r>
        <w:rPr>
          <w:rFonts w:hint="eastAsia" w:ascii="宋体" w:hAnsi="楷体" w:eastAsia="宋体" w:cs="楷体"/>
          <w:sz w:val="24"/>
          <w:lang w:val="en-US" w:eastAsia="zh-CN"/>
        </w:rPr>
        <w:t xml:space="preserve">  </w:t>
      </w:r>
      <w:r>
        <w:rPr>
          <w:rFonts w:hint="eastAsia" w:ascii="宋体" w:hAnsi="楷体" w:eastAsia="宋体" w:cs="楷体"/>
          <w:sz w:val="24"/>
        </w:rPr>
        <w:t>投标人所报的各分项投标单价在合同履行过程中是固定不变的，不得以任何理由予以变更。任何包含价格调整要求的投标，其投标将被认定为投标无效。</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11.5</w:t>
      </w:r>
      <w:r>
        <w:rPr>
          <w:rFonts w:hint="eastAsia" w:ascii="宋体" w:hAnsi="楷体" w:eastAsia="宋体" w:cs="楷体"/>
          <w:sz w:val="24"/>
          <w:lang w:val="en-US" w:eastAsia="zh-CN"/>
        </w:rPr>
        <w:t xml:space="preserve">  </w:t>
      </w:r>
      <w:r>
        <w:rPr>
          <w:rFonts w:hint="eastAsia" w:ascii="宋体" w:hAnsi="楷体" w:eastAsia="宋体" w:cs="楷体"/>
          <w:sz w:val="24"/>
        </w:rPr>
        <w:t>每种货物只能有一个投标报价。采购人不接受具有附加条件的报价。</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09" w:name="_Toc520356156"/>
      <w:bookmarkStart w:id="110" w:name="_Toc9065"/>
      <w:bookmarkStart w:id="111" w:name="_Toc4776"/>
      <w:bookmarkStart w:id="112" w:name="_Ref467306513"/>
      <w:r>
        <w:rPr>
          <w:rFonts w:hint="eastAsia" w:ascii="宋体" w:hAnsi="楷体" w:eastAsia="宋体" w:cs="楷体"/>
          <w:b/>
          <w:sz w:val="24"/>
          <w:u w:val="none"/>
        </w:rPr>
        <w:t>12.投标保证金</w:t>
      </w:r>
      <w:bookmarkEnd w:id="109"/>
      <w:bookmarkEnd w:id="110"/>
      <w:bookmarkEnd w:id="111"/>
      <w:bookmarkEnd w:id="112"/>
    </w:p>
    <w:p>
      <w:pPr>
        <w:snapToGrid/>
        <w:spacing w:beforeAutospacing="0" w:afterAutospacing="0" w:line="360" w:lineRule="auto"/>
        <w:ind w:left="0" w:leftChars="0" w:firstLine="480" w:firstLineChars="200"/>
        <w:rPr>
          <w:rFonts w:hint="eastAsia" w:ascii="宋体" w:hAnsi="楷体" w:eastAsia="宋体" w:cs="楷体"/>
          <w:sz w:val="24"/>
        </w:rPr>
      </w:pPr>
      <w:bookmarkStart w:id="113" w:name="_Ref467306302"/>
      <w:r>
        <w:rPr>
          <w:rFonts w:hint="eastAsia" w:ascii="宋体" w:hAnsi="楷体" w:eastAsia="宋体" w:cs="楷体"/>
          <w:sz w:val="24"/>
        </w:rPr>
        <w:t>12.1</w:t>
      </w:r>
      <w:r>
        <w:rPr>
          <w:rFonts w:hint="eastAsia" w:ascii="宋体" w:hAnsi="楷体" w:eastAsia="宋体" w:cs="楷体"/>
          <w:sz w:val="24"/>
          <w:lang w:val="en-US" w:eastAsia="zh-CN"/>
        </w:rPr>
        <w:t xml:space="preserve">  </w:t>
      </w:r>
      <w:r>
        <w:rPr>
          <w:rFonts w:hint="eastAsia" w:ascii="宋体" w:hAnsi="楷体" w:eastAsia="宋体" w:cs="楷体"/>
          <w:sz w:val="24"/>
        </w:rPr>
        <w:t>投标人应提交</w:t>
      </w:r>
      <w:r>
        <w:rPr>
          <w:rFonts w:hint="eastAsia" w:ascii="宋体" w:hAnsi="楷体" w:eastAsia="宋体" w:cs="楷体"/>
          <w:sz w:val="24"/>
          <w:u w:val="single"/>
        </w:rPr>
        <w:t>投标须知前附表</w:t>
      </w:r>
      <w:r>
        <w:rPr>
          <w:rFonts w:hint="eastAsia" w:ascii="宋体" w:hAnsi="楷体" w:eastAsia="宋体" w:cs="楷体"/>
          <w:sz w:val="24"/>
        </w:rPr>
        <w:t>中规定的投标保证金</w:t>
      </w:r>
      <w:bookmarkEnd w:id="113"/>
      <w:r>
        <w:rPr>
          <w:rFonts w:hint="eastAsia" w:ascii="宋体" w:hAnsi="楷体" w:eastAsia="宋体" w:cs="楷体"/>
          <w:sz w:val="24"/>
        </w:rPr>
        <w:t>，并作为其投标的一部分。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12.2</w:t>
      </w:r>
      <w:r>
        <w:rPr>
          <w:rFonts w:hint="eastAsia" w:ascii="宋体" w:hAnsi="楷体" w:eastAsia="宋体" w:cs="楷体"/>
          <w:sz w:val="24"/>
          <w:lang w:val="en-US" w:eastAsia="zh-CN"/>
        </w:rPr>
        <w:t xml:space="preserve">  </w:t>
      </w:r>
      <w:r>
        <w:rPr>
          <w:rFonts w:hint="eastAsia" w:ascii="宋体" w:hAnsi="楷体" w:eastAsia="宋体" w:cs="楷体"/>
          <w:sz w:val="24"/>
        </w:rPr>
        <w:t>投标保证金是为了保护采购人和采购代理机构免遭因投标人的行为蒙受损失而要求的。</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下列任何情况发生，投标保证金不予退还：</w:t>
      </w:r>
    </w:p>
    <w:p>
      <w:pPr>
        <w:pStyle w:val="21"/>
        <w:tabs>
          <w:tab w:val="left" w:pos="224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（1）在投标有效期内，投标人撤回投标的；</w:t>
      </w:r>
    </w:p>
    <w:p>
      <w:pPr>
        <w:pStyle w:val="21"/>
        <w:tabs>
          <w:tab w:val="left" w:pos="224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（2）中标人不按本须知第30条的规定与采购人签订合同的；</w:t>
      </w:r>
    </w:p>
    <w:p>
      <w:pPr>
        <w:pStyle w:val="21"/>
        <w:tabs>
          <w:tab w:val="left" w:pos="224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（3）中标人不按本须知第31条的规定提交履约保证金的；</w:t>
      </w:r>
    </w:p>
    <w:p>
      <w:pPr>
        <w:pStyle w:val="21"/>
        <w:tabs>
          <w:tab w:val="left" w:pos="224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（4）中标人不按本须知第32条的规定缴纳中标服务费；</w:t>
      </w:r>
    </w:p>
    <w:p>
      <w:pPr>
        <w:pStyle w:val="21"/>
        <w:tabs>
          <w:tab w:val="left" w:pos="224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（5）存在的串通投标情形的；</w:t>
      </w:r>
    </w:p>
    <w:p>
      <w:pPr>
        <w:pStyle w:val="21"/>
        <w:tabs>
          <w:tab w:val="left" w:pos="224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（6）存在向采购人、代理机构或评标专家行贿事实的。</w:t>
      </w:r>
    </w:p>
    <w:p>
      <w:pPr>
        <w:snapToGrid/>
        <w:spacing w:beforeAutospacing="0" w:afterAutospacing="0" w:line="360" w:lineRule="auto"/>
        <w:ind w:left="0" w:leftChars="0" w:firstLine="480" w:firstLineChars="200"/>
        <w:outlineLvl w:val="2"/>
        <w:rPr>
          <w:rFonts w:hint="eastAsia" w:ascii="宋体" w:hAnsi="楷体" w:eastAsia="宋体" w:cs="楷体"/>
          <w:sz w:val="24"/>
        </w:rPr>
      </w:pPr>
      <w:bookmarkStart w:id="114" w:name="_Ref467306336"/>
      <w:r>
        <w:rPr>
          <w:rFonts w:hint="eastAsia" w:ascii="宋体" w:hAnsi="楷体" w:eastAsia="宋体" w:cs="楷体"/>
          <w:sz w:val="24"/>
        </w:rPr>
        <w:t>12.3</w:t>
      </w:r>
      <w:r>
        <w:rPr>
          <w:rFonts w:hint="eastAsia" w:ascii="宋体" w:hAnsi="楷体" w:eastAsia="宋体" w:cs="楷体"/>
          <w:sz w:val="24"/>
        </w:rPr>
        <w:tab/>
      </w:r>
      <w:r>
        <w:rPr>
          <w:rFonts w:hint="eastAsia" w:ascii="宋体" w:hAnsi="楷体" w:eastAsia="宋体" w:cs="楷体"/>
          <w:sz w:val="24"/>
        </w:rPr>
        <w:t>投标保证金可采用下列形式之一：</w:t>
      </w:r>
      <w:bookmarkEnd w:id="114"/>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投标须知前附表中可接受的形式；</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12.4</w:t>
      </w:r>
      <w:r>
        <w:rPr>
          <w:rFonts w:hint="eastAsia" w:ascii="宋体" w:hAnsi="楷体" w:eastAsia="宋体" w:cs="楷体"/>
          <w:sz w:val="24"/>
        </w:rPr>
        <w:tab/>
      </w:r>
      <w:r>
        <w:rPr>
          <w:rFonts w:hint="eastAsia" w:ascii="宋体" w:hAnsi="楷体" w:eastAsia="宋体" w:cs="楷体"/>
          <w:sz w:val="24"/>
        </w:rPr>
        <w:t>投标人没有根据本须知12.1和第12.3条规定提交投标保证金的，其投标将被认定为投标无效。</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如投标人未及时提交</w:t>
      </w:r>
      <w:r>
        <w:rPr>
          <w:rFonts w:hint="eastAsia" w:ascii="宋体" w:hAnsi="楷体" w:eastAsia="宋体" w:cs="楷体"/>
          <w:sz w:val="24"/>
          <w:lang w:val="en-US" w:eastAsia="zh-CN"/>
        </w:rPr>
        <w:t>投标保证金或</w:t>
      </w:r>
      <w:r>
        <w:rPr>
          <w:rFonts w:hint="eastAsia" w:ascii="宋体" w:hAnsi="楷体" w:eastAsia="宋体" w:cs="楷体"/>
          <w:sz w:val="24"/>
        </w:rPr>
        <w:t>投标保证金不能按时进入指定账户的，将按照招标文件的第22.2条相关规定处理。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12.5</w:t>
      </w:r>
      <w:r>
        <w:rPr>
          <w:rFonts w:hint="eastAsia" w:ascii="宋体" w:hAnsi="楷体" w:eastAsia="宋体" w:cs="楷体"/>
          <w:sz w:val="24"/>
          <w:lang w:val="en-US" w:eastAsia="zh-CN"/>
        </w:rPr>
        <w:t xml:space="preserve">  </w:t>
      </w:r>
      <w:r>
        <w:rPr>
          <w:rFonts w:hint="eastAsia" w:ascii="宋体" w:hAnsi="楷体" w:eastAsia="宋体" w:cs="楷体"/>
          <w:sz w:val="24"/>
        </w:rPr>
        <w:t>联合体投标的，可以由联合体中的一方或者共同提交投标保证金，以一方名义提交投标保证金的，对联合体各方均具有约束力。</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12.6</w:t>
      </w:r>
      <w:r>
        <w:rPr>
          <w:rFonts w:hint="eastAsia" w:ascii="宋体" w:hAnsi="楷体" w:eastAsia="宋体" w:cs="楷体"/>
          <w:sz w:val="24"/>
          <w:lang w:val="en-US" w:eastAsia="zh-CN"/>
        </w:rPr>
        <w:t xml:space="preserve">  </w:t>
      </w:r>
      <w:r>
        <w:rPr>
          <w:rFonts w:hint="eastAsia" w:ascii="宋体" w:hAnsi="楷体" w:eastAsia="宋体" w:cs="楷体"/>
          <w:sz w:val="24"/>
        </w:rPr>
        <w:t>中标人应在与采购人签订合同之日起5个工作日内及时联系采购代理机构办理投标保证金无息退还手续。</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未中标投标人的投标保证金将在中标通知书发出之日暨中标结果公告公布之日起5个工作日内，及时联系采购人或采购代理机构办理无息退还投标保证金手续因投标人自身原因导致无法及时退还的，采购人或采购代理机构将不承担资金占用费。</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政府采购投标信用担保函正本不予退回。</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15" w:name="_Toc22532"/>
      <w:bookmarkStart w:id="116" w:name="_Toc520356157"/>
      <w:bookmarkStart w:id="117" w:name="_Toc18026"/>
      <w:r>
        <w:rPr>
          <w:rFonts w:hint="eastAsia" w:ascii="宋体" w:hAnsi="楷体" w:eastAsia="宋体" w:cs="楷体"/>
          <w:b/>
          <w:sz w:val="24"/>
          <w:u w:val="none"/>
        </w:rPr>
        <w:t>13.投标有效期</w:t>
      </w:r>
      <w:bookmarkEnd w:id="115"/>
      <w:bookmarkEnd w:id="116"/>
      <w:bookmarkEnd w:id="117"/>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13.1</w:t>
      </w:r>
      <w:r>
        <w:rPr>
          <w:rFonts w:hint="eastAsia" w:ascii="宋体" w:hAnsi="楷体" w:eastAsia="宋体" w:cs="楷体"/>
          <w:sz w:val="24"/>
          <w:lang w:val="en-US" w:eastAsia="zh-CN"/>
        </w:rPr>
        <w:t xml:space="preserve">  </w:t>
      </w:r>
      <w:r>
        <w:rPr>
          <w:rFonts w:hint="eastAsia" w:ascii="宋体" w:hAnsi="楷体" w:eastAsia="宋体" w:cs="楷体"/>
          <w:sz w:val="24"/>
        </w:rPr>
        <w:t>投标应在规定的提交投标文件截止之日起，按照</w:t>
      </w:r>
      <w:r>
        <w:rPr>
          <w:rFonts w:hint="eastAsia" w:ascii="宋体" w:hAnsi="楷体" w:eastAsia="宋体" w:cs="楷体"/>
          <w:sz w:val="24"/>
          <w:u w:val="single"/>
        </w:rPr>
        <w:t>投标须知前附表</w:t>
      </w:r>
      <w:r>
        <w:rPr>
          <w:rFonts w:hint="eastAsia" w:ascii="宋体" w:hAnsi="楷体" w:eastAsia="宋体" w:cs="楷体"/>
          <w:sz w:val="24"/>
        </w:rPr>
        <w:t>中规定时间内保持有效。投标有效期不满足要求的投标，其投标将被认定为</w:t>
      </w:r>
      <w:r>
        <w:rPr>
          <w:rFonts w:hint="eastAsia" w:ascii="宋体" w:hAnsi="楷体" w:eastAsia="宋体" w:cs="楷体"/>
          <w:b/>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13.2</w:t>
      </w:r>
      <w:r>
        <w:rPr>
          <w:rFonts w:hint="eastAsia" w:ascii="宋体" w:hAnsi="楷体" w:eastAsia="宋体" w:cs="楷体"/>
          <w:sz w:val="24"/>
          <w:lang w:val="en-US" w:eastAsia="zh-CN"/>
        </w:rPr>
        <w:t xml:space="preserve">  </w:t>
      </w:r>
      <w:r>
        <w:rPr>
          <w:rFonts w:hint="eastAsia" w:ascii="宋体" w:hAnsi="楷体" w:eastAsia="宋体" w:cs="楷体"/>
          <w:sz w:val="24"/>
        </w:rPr>
        <w:t>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也可以拒绝延长投标有效期的要求，其投标保证金将不会被没收。上述要求和答复都应以书面形式提交。</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18" w:name="_Toc17074"/>
      <w:bookmarkStart w:id="119" w:name="_Toc493"/>
      <w:bookmarkStart w:id="120" w:name="_Toc532473465"/>
      <w:bookmarkStart w:id="121" w:name="_Toc515647773"/>
      <w:bookmarkStart w:id="122" w:name="_Toc2582279"/>
      <w:bookmarkStart w:id="123" w:name="_Toc1189"/>
      <w:bookmarkStart w:id="124" w:name="_Toc3696"/>
      <w:bookmarkStart w:id="125" w:name="_Toc520356158"/>
      <w:r>
        <w:rPr>
          <w:rFonts w:hint="eastAsia" w:ascii="宋体" w:hAnsi="楷体" w:eastAsia="宋体" w:cs="楷体"/>
          <w:b/>
          <w:sz w:val="24"/>
          <w:u w:val="none"/>
        </w:rPr>
        <w:t>14.投标文件的</w:t>
      </w:r>
      <w:bookmarkEnd w:id="118"/>
      <w:bookmarkEnd w:id="119"/>
      <w:bookmarkEnd w:id="120"/>
      <w:bookmarkEnd w:id="121"/>
      <w:r>
        <w:rPr>
          <w:rFonts w:hint="eastAsia" w:ascii="宋体" w:hAnsi="楷体" w:eastAsia="宋体" w:cs="楷体"/>
          <w:b/>
          <w:sz w:val="24"/>
          <w:u w:val="none"/>
        </w:rPr>
        <w:t>制作</w:t>
      </w:r>
      <w:bookmarkEnd w:id="122"/>
      <w:bookmarkEnd w:id="123"/>
      <w:bookmarkEnd w:id="124"/>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14.1</w:t>
      </w:r>
      <w:r>
        <w:rPr>
          <w:rFonts w:hint="eastAsia" w:ascii="宋体" w:hAnsi="楷体" w:eastAsia="宋体" w:cs="楷体"/>
          <w:sz w:val="24"/>
          <w:lang w:val="en-US" w:eastAsia="zh-CN"/>
        </w:rPr>
        <w:t xml:space="preserve">  投标文件应按照政采云平台统一的“电子投标文件制作工具”以及采购文件要求进行制作编制，保证目录清晰、内容完整；如有必要，可以增加附页，作为投标文件的组成部分。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14.2</w:t>
      </w:r>
      <w:r>
        <w:rPr>
          <w:rFonts w:hint="eastAsia" w:ascii="宋体" w:hAnsi="楷体" w:eastAsia="宋体" w:cs="楷体"/>
          <w:sz w:val="24"/>
          <w:lang w:val="en-US" w:eastAsia="zh-CN"/>
        </w:rPr>
        <w:t xml:space="preserve">  </w:t>
      </w:r>
      <w:r>
        <w:rPr>
          <w:rFonts w:hint="eastAsia" w:ascii="宋体" w:hAnsi="楷体" w:eastAsia="宋体" w:cs="楷体"/>
          <w:sz w:val="24"/>
        </w:rPr>
        <w:t>投标文件应当对招标文件有关合同履约期限、投标有效期、采购要求、招标范围等实质性内容作出响应。投标文件在满足招标文件实质性要求的基础上，可以提出比招标文件要求更有利于采购人的承诺。</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14.3</w:t>
      </w:r>
      <w:r>
        <w:rPr>
          <w:rFonts w:hint="eastAsia" w:ascii="宋体" w:hAnsi="楷体" w:eastAsia="宋体" w:cs="楷体"/>
          <w:sz w:val="24"/>
          <w:lang w:val="en-US" w:eastAsia="zh-CN"/>
        </w:rPr>
        <w:t xml:space="preserve">  </w:t>
      </w:r>
      <w:r>
        <w:rPr>
          <w:rFonts w:hint="eastAsia" w:ascii="宋体" w:hAnsi="楷体" w:eastAsia="宋体" w:cs="楷体"/>
          <w:sz w:val="24"/>
        </w:rPr>
        <w:t>投标文件各类证件须与投标人注册登记资料相一致；</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14.4</w:t>
      </w:r>
      <w:r>
        <w:rPr>
          <w:rFonts w:hint="eastAsia" w:ascii="宋体" w:hAnsi="楷体" w:eastAsia="宋体" w:cs="楷体"/>
          <w:sz w:val="24"/>
          <w:lang w:val="en-US" w:eastAsia="zh-CN"/>
        </w:rPr>
        <w:t xml:space="preserve">  </w:t>
      </w:r>
      <w:r>
        <w:rPr>
          <w:rFonts w:hint="eastAsia" w:ascii="宋体" w:hAnsi="楷体" w:eastAsia="宋体" w:cs="楷体"/>
          <w:sz w:val="24"/>
        </w:rPr>
        <w:t>投标人因自身原因导致投标文件无法导入电子评标系统的，该投标文件视为无效文件。</w:t>
      </w:r>
    </w:p>
    <w:p>
      <w:pPr>
        <w:snapToGrid/>
        <w:spacing w:beforeAutospacing="0" w:afterAutospacing="0" w:line="360" w:lineRule="auto"/>
        <w:ind w:left="0" w:leftChars="0" w:firstLine="480" w:firstLineChars="200"/>
        <w:rPr>
          <w:rFonts w:hint="eastAsia" w:ascii="宋体" w:hAnsi="楷体" w:eastAsia="宋体" w:cs="楷体"/>
          <w:sz w:val="24"/>
          <w:lang w:val="en-US" w:eastAsia="zh-CN"/>
        </w:rPr>
      </w:pPr>
      <w:r>
        <w:rPr>
          <w:rFonts w:hint="eastAsia" w:ascii="宋体" w:hAnsi="楷体" w:eastAsia="宋体" w:cs="楷体"/>
          <w:sz w:val="24"/>
          <w:lang w:val="en-US" w:eastAsia="zh-CN"/>
        </w:rPr>
        <w:t>14.5  投标文件具有法律效力，与其他形式的采购文件以及投标文件在内容和格式上等同，若投标文件与采购文件要求不一致，其内容影响成交结果时，责任由投标人自行承担。</w:t>
      </w:r>
    </w:p>
    <w:p>
      <w:pPr>
        <w:snapToGrid/>
        <w:spacing w:beforeAutospacing="0" w:afterAutospacing="0" w:line="360" w:lineRule="auto"/>
        <w:ind w:left="0" w:leftChars="0" w:firstLine="480" w:firstLineChars="200"/>
        <w:rPr>
          <w:rFonts w:hint="eastAsia" w:ascii="宋体" w:hAnsi="楷体" w:eastAsia="宋体" w:cs="楷体"/>
          <w:sz w:val="24"/>
          <w:lang w:val="en-US" w:eastAsia="zh-CN"/>
        </w:rPr>
      </w:pPr>
      <w:r>
        <w:rPr>
          <w:rFonts w:hint="eastAsia" w:ascii="宋体" w:hAnsi="楷体" w:eastAsia="宋体" w:cs="楷体"/>
          <w:sz w:val="24"/>
          <w:lang w:val="en-US" w:eastAsia="zh-CN"/>
        </w:rPr>
        <w:t>14.6  为了保证投标文件的合法性、安全性和完整性，投标文件转换完成后，应在规定区域加盖单位CA电子签章和法定代表人章。投标文件若无 CA电子签章和法定代表人章，则视为无效文件。</w:t>
      </w:r>
    </w:p>
    <w:p>
      <w:pPr>
        <w:snapToGrid/>
        <w:spacing w:beforeAutospacing="0" w:afterAutospacing="0" w:line="360" w:lineRule="auto"/>
        <w:ind w:left="0" w:leftChars="0" w:firstLine="480" w:firstLineChars="200"/>
        <w:rPr>
          <w:rFonts w:hint="default"/>
          <w:lang w:val="en-US" w:eastAsia="zh-CN"/>
        </w:rPr>
      </w:pPr>
      <w:r>
        <w:rPr>
          <w:rFonts w:hint="eastAsia" w:ascii="宋体" w:hAnsi="楷体" w:eastAsia="宋体" w:cs="楷体"/>
          <w:sz w:val="24"/>
          <w:lang w:val="en-US" w:eastAsia="zh-CN"/>
        </w:rPr>
        <w:t>14.7  如因投标人只填写和提供了本文件要求的部分内容和附件，而给评审造成困难，其可能导致的结果和责任由投标人自行承担。</w:t>
      </w:r>
    </w:p>
    <w:bookmarkEnd w:id="125"/>
    <w:p>
      <w:pPr>
        <w:pStyle w:val="5"/>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szCs w:val="28"/>
        </w:rPr>
      </w:pPr>
      <w:bookmarkStart w:id="126" w:name="_Toc520356159"/>
      <w:bookmarkStart w:id="127" w:name="_Toc216582808"/>
      <w:bookmarkStart w:id="128" w:name="_Toc22434"/>
      <w:r>
        <w:rPr>
          <w:rFonts w:hint="eastAsia" w:ascii="宋体" w:hAnsi="楷体" w:eastAsia="宋体" w:cs="楷体"/>
          <w:b/>
          <w:sz w:val="24"/>
          <w:szCs w:val="28"/>
        </w:rPr>
        <w:t>四   投标文件的递交</w:t>
      </w:r>
      <w:bookmarkEnd w:id="126"/>
      <w:bookmarkEnd w:id="127"/>
      <w:bookmarkEnd w:id="128"/>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29" w:name="_Toc532473467"/>
      <w:bookmarkStart w:id="130" w:name="_Toc2582281"/>
      <w:bookmarkStart w:id="131" w:name="_Toc32337"/>
      <w:bookmarkStart w:id="132" w:name="_Toc21645"/>
      <w:bookmarkStart w:id="133" w:name="_Toc515647775"/>
      <w:bookmarkStart w:id="134" w:name="_Toc10003"/>
      <w:bookmarkStart w:id="135" w:name="_Toc30993"/>
      <w:bookmarkStart w:id="136" w:name="_Toc520356160"/>
      <w:r>
        <w:rPr>
          <w:rFonts w:hint="eastAsia" w:ascii="宋体" w:hAnsi="楷体" w:eastAsia="宋体" w:cs="楷体"/>
          <w:b/>
          <w:sz w:val="24"/>
          <w:u w:val="none"/>
        </w:rPr>
        <w:t>15.投标文件的密封和标记</w:t>
      </w:r>
      <w:bookmarkEnd w:id="129"/>
      <w:bookmarkEnd w:id="130"/>
      <w:bookmarkEnd w:id="131"/>
      <w:bookmarkEnd w:id="132"/>
      <w:bookmarkEnd w:id="133"/>
      <w:bookmarkEnd w:id="134"/>
      <w:bookmarkEnd w:id="135"/>
    </w:p>
    <w:p>
      <w:pPr>
        <w:snapToGrid/>
        <w:spacing w:beforeAutospacing="0" w:afterAutospacing="0" w:line="360" w:lineRule="auto"/>
        <w:ind w:left="0" w:leftChars="0" w:firstLine="480" w:firstLineChars="200"/>
        <w:outlineLvl w:val="2"/>
        <w:rPr>
          <w:rFonts w:hint="eastAsia" w:ascii="宋体" w:hAnsi="楷体" w:eastAsia="宋体" w:cs="楷体"/>
          <w:sz w:val="24"/>
          <w:lang w:val="en-US" w:eastAsia="zh-CN"/>
        </w:rPr>
      </w:pPr>
      <w:r>
        <w:rPr>
          <w:rFonts w:hint="eastAsia" w:ascii="宋体" w:hAnsi="楷体" w:eastAsia="宋体" w:cs="楷体"/>
          <w:sz w:val="24"/>
        </w:rPr>
        <w:t>15.</w:t>
      </w:r>
      <w:r>
        <w:rPr>
          <w:rFonts w:hint="eastAsia" w:ascii="宋体" w:hAnsi="楷体" w:eastAsia="宋体" w:cs="楷体"/>
          <w:sz w:val="24"/>
          <w:lang w:val="en-US" w:eastAsia="zh-CN"/>
        </w:rPr>
        <w:t>1</w:t>
      </w:r>
      <w:bookmarkEnd w:id="136"/>
      <w:bookmarkStart w:id="137" w:name="_Toc520356161"/>
      <w:r>
        <w:rPr>
          <w:rFonts w:hint="eastAsia" w:ascii="宋体" w:hAnsi="楷体" w:eastAsia="宋体" w:cs="楷体"/>
          <w:sz w:val="24"/>
          <w:lang w:val="en-US" w:eastAsia="zh-CN"/>
        </w:rPr>
        <w:t xml:space="preserve">  投标文件应密封包装，密封和标记要求详见投标人须知前附表。</w:t>
      </w:r>
    </w:p>
    <w:p>
      <w:pPr>
        <w:snapToGrid/>
        <w:spacing w:beforeAutospacing="0" w:afterAutospacing="0" w:line="360" w:lineRule="auto"/>
        <w:ind w:left="0" w:leftChars="0" w:firstLine="480" w:firstLineChars="200"/>
        <w:outlineLvl w:val="2"/>
        <w:rPr>
          <w:rFonts w:hint="eastAsia" w:ascii="宋体" w:hAnsi="楷体" w:eastAsia="宋体" w:cs="楷体"/>
          <w:sz w:val="24"/>
          <w:lang w:val="en-US" w:eastAsia="zh-CN"/>
        </w:rPr>
      </w:pPr>
      <w:r>
        <w:rPr>
          <w:rFonts w:hint="eastAsia" w:ascii="宋体" w:hAnsi="楷体" w:eastAsia="宋体" w:cs="楷体"/>
          <w:sz w:val="24"/>
          <w:lang w:val="en-US" w:eastAsia="zh-CN"/>
        </w:rPr>
        <w:t>15.2  投标文件封套上应写明的内容见投标人须知前附表。</w:t>
      </w:r>
    </w:p>
    <w:p>
      <w:pPr>
        <w:pStyle w:val="18"/>
        <w:rPr>
          <w:rFonts w:hint="default"/>
          <w:lang w:val="en-US" w:eastAsia="zh-CN"/>
        </w:rPr>
      </w:pPr>
      <w:r>
        <w:rPr>
          <w:rFonts w:hint="eastAsia" w:ascii="宋体" w:hAnsi="楷体" w:eastAsia="宋体" w:cs="楷体"/>
          <w:sz w:val="24"/>
          <w:lang w:val="en-US" w:eastAsia="zh-CN"/>
        </w:rPr>
        <w:t>15.3  未按本章第 15.1项要求密封的投标文件，采购人将予以拒收。</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38" w:name="_Toc515647776"/>
      <w:bookmarkStart w:id="139" w:name="_Toc19258"/>
      <w:bookmarkStart w:id="140" w:name="_Toc12751"/>
      <w:bookmarkStart w:id="141" w:name="_Toc2582282"/>
      <w:bookmarkStart w:id="142" w:name="_Toc9840"/>
      <w:bookmarkStart w:id="143" w:name="_Toc475"/>
      <w:bookmarkStart w:id="144" w:name="_Toc532473468"/>
      <w:r>
        <w:rPr>
          <w:rFonts w:hint="eastAsia" w:ascii="宋体" w:hAnsi="楷体" w:eastAsia="宋体" w:cs="楷体"/>
          <w:b/>
          <w:sz w:val="24"/>
          <w:u w:val="none"/>
        </w:rPr>
        <w:t>16.投标截止</w:t>
      </w:r>
      <w:bookmarkEnd w:id="138"/>
      <w:bookmarkEnd w:id="139"/>
      <w:bookmarkEnd w:id="140"/>
      <w:bookmarkEnd w:id="141"/>
      <w:bookmarkEnd w:id="142"/>
      <w:bookmarkEnd w:id="143"/>
      <w:bookmarkEnd w:id="144"/>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16.1</w:t>
      </w:r>
      <w:r>
        <w:rPr>
          <w:rFonts w:hint="eastAsia" w:ascii="宋体" w:hAnsi="楷体" w:eastAsia="宋体" w:cs="楷体"/>
          <w:sz w:val="24"/>
          <w:lang w:val="en-US" w:eastAsia="zh-CN"/>
        </w:rPr>
        <w:t xml:space="preserve">  </w:t>
      </w:r>
      <w:r>
        <w:rPr>
          <w:rFonts w:hint="eastAsia" w:ascii="宋体" w:hAnsi="楷体" w:eastAsia="宋体" w:cs="楷体"/>
          <w:sz w:val="24"/>
        </w:rPr>
        <w:t>投标人应在</w:t>
      </w:r>
      <w:r>
        <w:rPr>
          <w:rFonts w:hint="eastAsia" w:ascii="宋体" w:hAnsi="楷体" w:eastAsia="宋体" w:cs="楷体"/>
          <w:sz w:val="24"/>
          <w:u w:val="single"/>
        </w:rPr>
        <w:t>投标须知前附表中</w:t>
      </w:r>
      <w:r>
        <w:rPr>
          <w:rFonts w:hint="eastAsia" w:ascii="宋体" w:hAnsi="楷体" w:eastAsia="宋体" w:cs="楷体"/>
          <w:sz w:val="24"/>
        </w:rPr>
        <w:t>规定的截止时间前，将投标文件递交到招标公告中规定的地点。</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16.2</w:t>
      </w:r>
      <w:r>
        <w:rPr>
          <w:rFonts w:hint="eastAsia" w:ascii="宋体" w:hAnsi="楷体" w:eastAsia="宋体" w:cs="楷体"/>
          <w:sz w:val="24"/>
          <w:lang w:val="en-US" w:eastAsia="zh-CN"/>
        </w:rPr>
        <w:t xml:space="preserve">  </w:t>
      </w:r>
      <w:r>
        <w:rPr>
          <w:rFonts w:hint="eastAsia" w:ascii="宋体" w:hAnsi="楷体" w:eastAsia="宋体" w:cs="楷体"/>
          <w:sz w:val="24"/>
        </w:rPr>
        <w:t>采购人和采购代理机构将拒绝接收在投标截止时间后送达投标文件。</w:t>
      </w:r>
    </w:p>
    <w:bookmarkEnd w:id="137"/>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45" w:name="_Toc520356162"/>
      <w:bookmarkStart w:id="146" w:name="_Toc13244"/>
      <w:bookmarkStart w:id="147" w:name="_Toc9284"/>
      <w:r>
        <w:rPr>
          <w:rFonts w:hint="eastAsia" w:ascii="宋体" w:hAnsi="楷体" w:eastAsia="宋体" w:cs="楷体"/>
          <w:b/>
          <w:sz w:val="24"/>
          <w:u w:val="none"/>
        </w:rPr>
        <w:t>17.投标文件的接收、修改与撤回</w:t>
      </w:r>
      <w:bookmarkEnd w:id="145"/>
      <w:bookmarkEnd w:id="146"/>
      <w:bookmarkEnd w:id="147"/>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17.1</w:t>
      </w:r>
      <w:r>
        <w:rPr>
          <w:rFonts w:hint="eastAsia" w:ascii="宋体" w:hAnsi="楷体" w:eastAsia="宋体" w:cs="楷体"/>
          <w:sz w:val="24"/>
          <w:lang w:val="en-US" w:eastAsia="zh-CN"/>
        </w:rPr>
        <w:t xml:space="preserve">  </w:t>
      </w:r>
      <w:r>
        <w:rPr>
          <w:rFonts w:hint="eastAsia" w:ascii="宋体" w:hAnsi="楷体" w:eastAsia="宋体" w:cs="楷体"/>
          <w:sz w:val="24"/>
        </w:rPr>
        <w:t>采购人和采购代理机构将按招标文件规定的时间和地点接收投标文件。</w:t>
      </w:r>
    </w:p>
    <w:p>
      <w:pPr>
        <w:snapToGrid/>
        <w:spacing w:beforeAutospacing="0" w:afterAutospacing="0" w:line="360" w:lineRule="auto"/>
        <w:ind w:left="0" w:leftChars="0" w:firstLine="480" w:firstLineChars="200"/>
        <w:rPr>
          <w:rFonts w:hint="eastAsia" w:ascii="宋体" w:hAnsi="楷体" w:eastAsia="宋体" w:cs="楷体"/>
          <w:sz w:val="24"/>
          <w:lang w:eastAsia="zh-CN"/>
        </w:rPr>
      </w:pPr>
      <w:r>
        <w:rPr>
          <w:rFonts w:hint="eastAsia" w:ascii="宋体" w:hAnsi="楷体" w:eastAsia="宋体" w:cs="楷体"/>
          <w:sz w:val="24"/>
        </w:rPr>
        <w:t>17.2</w:t>
      </w:r>
      <w:r>
        <w:rPr>
          <w:rFonts w:hint="eastAsia" w:ascii="宋体" w:hAnsi="楷体" w:eastAsia="宋体" w:cs="楷体"/>
          <w:sz w:val="24"/>
          <w:lang w:val="en-US" w:eastAsia="zh-CN"/>
        </w:rPr>
        <w:t xml:space="preserve">  </w:t>
      </w:r>
      <w:r>
        <w:rPr>
          <w:rFonts w:hint="eastAsia" w:ascii="宋体" w:hAnsi="楷体" w:eastAsia="宋体" w:cs="楷体"/>
          <w:sz w:val="24"/>
        </w:rPr>
        <w:t>采购人或者采购代理机构收到投标文件后，应当如实记载投标文件的送达时间和密封情况</w:t>
      </w:r>
      <w:r>
        <w:rPr>
          <w:rFonts w:hint="eastAsia" w:ascii="宋体" w:hAnsi="楷体" w:eastAsia="宋体" w:cs="楷体"/>
          <w:sz w:val="24"/>
          <w:lang w:eastAsia="zh-CN"/>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17.3</w:t>
      </w:r>
      <w:r>
        <w:rPr>
          <w:rFonts w:hint="eastAsia" w:ascii="宋体" w:hAnsi="楷体" w:eastAsia="宋体" w:cs="楷体"/>
          <w:sz w:val="24"/>
        </w:rPr>
        <w:tab/>
      </w:r>
      <w:r>
        <w:rPr>
          <w:rFonts w:hint="eastAsia" w:ascii="宋体" w:hAnsi="楷体" w:eastAsia="宋体" w:cs="楷体"/>
          <w:sz w:val="24"/>
        </w:rPr>
        <w:t>递交投标文件以后，如果投标人要进行修改，应以书面形式通知采购人</w:t>
      </w:r>
      <w:r>
        <w:rPr>
          <w:rFonts w:hint="eastAsia" w:ascii="宋体" w:hAnsi="楷体" w:eastAsia="宋体" w:cs="楷体"/>
          <w:sz w:val="24"/>
          <w:lang w:eastAsia="zh-CN"/>
        </w:rPr>
        <w:t>，</w:t>
      </w:r>
      <w:r>
        <w:rPr>
          <w:rFonts w:hint="eastAsia" w:ascii="宋体" w:hAnsi="楷体" w:eastAsia="宋体" w:cs="楷体"/>
          <w:sz w:val="24"/>
          <w:lang w:val="en-US" w:eastAsia="zh-CN"/>
        </w:rPr>
        <w:t>并</w:t>
      </w:r>
      <w:r>
        <w:rPr>
          <w:rFonts w:hint="eastAsia" w:ascii="宋体" w:hAnsi="楷体" w:eastAsia="宋体" w:cs="楷体"/>
          <w:sz w:val="24"/>
        </w:rPr>
        <w:t>按本须知规定的要求签字</w:t>
      </w:r>
      <w:r>
        <w:rPr>
          <w:rFonts w:hint="eastAsia" w:ascii="宋体" w:hAnsi="楷体" w:eastAsia="宋体" w:cs="楷体"/>
          <w:sz w:val="24"/>
          <w:lang w:eastAsia="zh-CN"/>
        </w:rPr>
        <w:t>、</w:t>
      </w:r>
      <w:r>
        <w:rPr>
          <w:rFonts w:hint="eastAsia" w:ascii="宋体" w:hAnsi="楷体" w:eastAsia="宋体" w:cs="楷体"/>
          <w:sz w:val="24"/>
        </w:rPr>
        <w:t>盖章。采购人和采购代理机构将予以接收，并视为投标文件的组成部分</w:t>
      </w:r>
      <w:r>
        <w:rPr>
          <w:rFonts w:hint="eastAsia" w:ascii="宋体" w:hAnsi="楷体" w:eastAsia="宋体" w:cs="楷体"/>
          <w:sz w:val="24"/>
          <w:lang w:eastAsia="zh-CN"/>
        </w:rPr>
        <w:t>，</w:t>
      </w:r>
      <w:r>
        <w:rPr>
          <w:rFonts w:hint="eastAsia" w:ascii="宋体" w:hAnsi="楷体" w:eastAsia="宋体" w:cs="楷体"/>
          <w:sz w:val="24"/>
        </w:rPr>
        <w:t>向投标人出具签收凭证。</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递交投标文件以后，如果投标人要进行撤回的，应以书面形式通知采购人，并按本须知规定的要求签字、盖章。采购人和采购代理机构将予以接收，并视为投标文件的组成部分，向投标人出具签收凭证。</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17.4</w:t>
      </w:r>
      <w:r>
        <w:rPr>
          <w:rFonts w:hint="eastAsia" w:ascii="宋体" w:hAnsi="楷体" w:eastAsia="宋体" w:cs="楷体"/>
          <w:sz w:val="24"/>
        </w:rPr>
        <w:tab/>
      </w:r>
      <w:r>
        <w:rPr>
          <w:rFonts w:hint="eastAsia" w:ascii="宋体" w:hAnsi="楷体" w:eastAsia="宋体" w:cs="楷体"/>
          <w:sz w:val="24"/>
        </w:rPr>
        <w:t>在投标截止时间之后，投标人不得对其投标文件</w:t>
      </w:r>
      <w:r>
        <w:rPr>
          <w:rFonts w:hint="eastAsia" w:ascii="宋体" w:hAnsi="楷体" w:eastAsia="宋体" w:cs="楷体"/>
          <w:sz w:val="24"/>
          <w:lang w:eastAsia="zh-CN"/>
        </w:rPr>
        <w:t>作</w:t>
      </w:r>
      <w:r>
        <w:rPr>
          <w:rFonts w:hint="eastAsia" w:ascii="宋体" w:hAnsi="楷体" w:eastAsia="宋体" w:cs="楷体"/>
          <w:sz w:val="24"/>
        </w:rPr>
        <w:t>任何修改。</w:t>
      </w:r>
    </w:p>
    <w:p>
      <w:pPr>
        <w:snapToGrid/>
        <w:spacing w:beforeAutospacing="0" w:afterAutospacing="0" w:line="360" w:lineRule="auto"/>
        <w:ind w:left="0" w:leftChars="0" w:firstLine="480" w:firstLineChars="200"/>
        <w:rPr>
          <w:rFonts w:hint="eastAsia" w:ascii="宋体" w:hAnsi="楷体" w:eastAsia="宋体" w:cs="楷体"/>
          <w:sz w:val="24"/>
          <w:shd w:val="pct10" w:color="auto" w:fill="FFFFFF"/>
        </w:rPr>
      </w:pPr>
      <w:r>
        <w:rPr>
          <w:rFonts w:hint="eastAsia" w:ascii="宋体" w:hAnsi="楷体" w:eastAsia="宋体" w:cs="楷体"/>
          <w:sz w:val="24"/>
        </w:rPr>
        <w:t>17.5</w:t>
      </w:r>
      <w:r>
        <w:rPr>
          <w:rFonts w:hint="eastAsia" w:ascii="宋体" w:hAnsi="楷体" w:eastAsia="宋体" w:cs="楷体"/>
          <w:sz w:val="24"/>
        </w:rPr>
        <w:tab/>
      </w:r>
      <w:r>
        <w:rPr>
          <w:rFonts w:hint="eastAsia" w:ascii="宋体" w:hAnsi="楷体" w:eastAsia="宋体" w:cs="楷体"/>
          <w:sz w:val="24"/>
        </w:rPr>
        <w:t>除投标人不足3家未开标外，采购人和采购代理机构对所接收投标文件概不退回。</w:t>
      </w:r>
    </w:p>
    <w:p>
      <w:pPr>
        <w:pStyle w:val="5"/>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szCs w:val="28"/>
        </w:rPr>
      </w:pPr>
      <w:bookmarkStart w:id="148" w:name="_Toc520356163"/>
      <w:bookmarkStart w:id="149" w:name="_Toc216582809"/>
      <w:bookmarkStart w:id="150" w:name="_Toc4564"/>
      <w:r>
        <w:rPr>
          <w:rFonts w:hint="eastAsia" w:ascii="宋体" w:hAnsi="楷体" w:eastAsia="宋体" w:cs="楷体"/>
          <w:b/>
          <w:sz w:val="24"/>
          <w:szCs w:val="28"/>
        </w:rPr>
        <w:t>五   开标及评标</w:t>
      </w:r>
      <w:bookmarkEnd w:id="148"/>
      <w:bookmarkEnd w:id="149"/>
      <w:bookmarkEnd w:id="150"/>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51" w:name="_Toc29479"/>
      <w:bookmarkStart w:id="152" w:name="_Toc520356164"/>
      <w:bookmarkStart w:id="153" w:name="_Toc17290"/>
      <w:r>
        <w:rPr>
          <w:rFonts w:hint="eastAsia" w:ascii="宋体" w:hAnsi="楷体" w:eastAsia="宋体" w:cs="楷体"/>
          <w:b/>
          <w:sz w:val="24"/>
          <w:u w:val="none"/>
        </w:rPr>
        <w:t>18.开标</w:t>
      </w:r>
      <w:bookmarkEnd w:id="151"/>
      <w:bookmarkEnd w:id="152"/>
      <w:bookmarkEnd w:id="153"/>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18.1</w:t>
      </w:r>
      <w:r>
        <w:rPr>
          <w:rFonts w:hint="eastAsia" w:ascii="宋体" w:hAnsi="楷体" w:eastAsia="宋体" w:cs="楷体"/>
          <w:sz w:val="24"/>
          <w:lang w:val="en-US" w:eastAsia="zh-CN"/>
        </w:rPr>
        <w:t xml:space="preserve">  </w:t>
      </w:r>
      <w:r>
        <w:rPr>
          <w:rFonts w:hint="eastAsia" w:ascii="宋体" w:hAnsi="楷体" w:eastAsia="宋体" w:cs="楷体"/>
          <w:sz w:val="24"/>
        </w:rPr>
        <w:t>采购人和采购代理机构将按</w:t>
      </w:r>
      <w:r>
        <w:rPr>
          <w:rFonts w:hint="eastAsia" w:ascii="宋体" w:hAnsi="楷体" w:eastAsia="宋体" w:cs="楷体"/>
          <w:sz w:val="24"/>
          <w:u w:val="single"/>
        </w:rPr>
        <w:t>投标须知前附表</w:t>
      </w:r>
      <w:r>
        <w:rPr>
          <w:rFonts w:hint="eastAsia" w:ascii="宋体" w:hAnsi="楷体" w:eastAsia="宋体" w:cs="楷体"/>
          <w:sz w:val="24"/>
        </w:rPr>
        <w:t>中规定的开标时间和地点组织公开开标并邀请所有投标人代表参加。</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投标人不足3家的，不予开标。</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18.</w:t>
      </w:r>
      <w:r>
        <w:rPr>
          <w:rFonts w:hint="eastAsia" w:ascii="宋体" w:hAnsi="楷体" w:eastAsia="宋体" w:cs="楷体"/>
          <w:sz w:val="24"/>
          <w:lang w:val="en-US" w:eastAsia="zh-CN"/>
        </w:rPr>
        <w:t>2</w:t>
      </w:r>
      <w:r>
        <w:rPr>
          <w:rFonts w:hint="eastAsia" w:ascii="宋体" w:hAnsi="楷体" w:eastAsia="宋体" w:cs="楷体"/>
          <w:sz w:val="24"/>
        </w:rPr>
        <w:t>主持人按下列程序进行开标：</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（1）宣布开标纪律；</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（2）公布在投标截止时间前递交投标文件的投标人名称；</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（3）宣布开标人、唱标人、记录人、监标人等有关人员姓名；</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（4）投标人解密投标文件，按照投标人须知前附表规定的开标顺序当众开标，公布采购项目名称、投标人名称、投标报价、合同履约期限</w:t>
      </w:r>
      <w:r>
        <w:rPr>
          <w:rFonts w:hint="eastAsia" w:ascii="宋体" w:hAnsi="楷体" w:eastAsia="宋体" w:cs="楷体"/>
          <w:sz w:val="24"/>
          <w:lang w:val="en-US" w:eastAsia="zh-CN"/>
        </w:rPr>
        <w:t>等</w:t>
      </w:r>
      <w:r>
        <w:rPr>
          <w:rFonts w:hint="eastAsia" w:ascii="宋体" w:hAnsi="楷体" w:eastAsia="宋体" w:cs="楷体"/>
          <w:sz w:val="24"/>
        </w:rPr>
        <w:t>内容，并记录在案；</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（5）投标人代表、采购人代表、监标人、记录人等有关人员在开标记录上签字确认；</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（6）开标结束。</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18.3</w:t>
      </w:r>
      <w:r>
        <w:rPr>
          <w:rFonts w:hint="eastAsia" w:ascii="宋体" w:hAnsi="楷体" w:eastAsia="宋体" w:cs="楷体"/>
          <w:sz w:val="24"/>
          <w:lang w:val="en-US" w:eastAsia="zh-CN"/>
        </w:rPr>
        <w:t xml:space="preserve">  </w:t>
      </w:r>
      <w:r>
        <w:rPr>
          <w:rFonts w:hint="eastAsia" w:ascii="宋体" w:hAnsi="楷体" w:eastAsia="宋体" w:cs="楷体"/>
          <w:sz w:val="24"/>
        </w:rPr>
        <w:t>投标人未派代表参加开标的，视同投标人认可开标结果。</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18.4</w:t>
      </w:r>
      <w:r>
        <w:rPr>
          <w:rFonts w:hint="eastAsia" w:ascii="宋体" w:hAnsi="楷体" w:eastAsia="宋体" w:cs="楷体"/>
          <w:sz w:val="24"/>
          <w:lang w:val="en-US" w:eastAsia="zh-CN"/>
        </w:rPr>
        <w:t xml:space="preserve">  </w:t>
      </w:r>
      <w:r>
        <w:rPr>
          <w:rFonts w:hint="eastAsia" w:ascii="宋体" w:hAnsi="楷体" w:eastAsia="宋体" w:cs="楷体"/>
          <w:sz w:val="24"/>
        </w:rPr>
        <w:t>投标人代表对开标过程和开标记录有疑义，以及认为开标现场采购人、采购代理机构相关工作人员有需要回避的情形的，应当场提出询问或者回避申请。</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54" w:name="_Toc20969"/>
      <w:bookmarkStart w:id="155" w:name="_Toc16473"/>
      <w:bookmarkStart w:id="156" w:name="_Toc21372"/>
      <w:bookmarkStart w:id="157" w:name="_Toc532473472"/>
      <w:bookmarkStart w:id="158" w:name="_Toc2582286"/>
      <w:bookmarkStart w:id="159" w:name="_Toc515647780"/>
      <w:bookmarkStart w:id="160" w:name="_Toc19296"/>
      <w:bookmarkStart w:id="161" w:name="_Toc520356165"/>
      <w:r>
        <w:rPr>
          <w:rFonts w:hint="eastAsia" w:ascii="宋体" w:hAnsi="楷体" w:eastAsia="宋体" w:cs="楷体"/>
          <w:b/>
          <w:sz w:val="24"/>
          <w:u w:val="none"/>
        </w:rPr>
        <w:t>19.资格审查及组建评标委员会</w:t>
      </w:r>
      <w:bookmarkEnd w:id="154"/>
      <w:bookmarkEnd w:id="155"/>
      <w:bookmarkEnd w:id="156"/>
      <w:bookmarkEnd w:id="157"/>
      <w:bookmarkEnd w:id="158"/>
      <w:bookmarkEnd w:id="159"/>
      <w:bookmarkEnd w:id="160"/>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19.</w:t>
      </w:r>
      <w:r>
        <w:rPr>
          <w:rFonts w:hint="eastAsia" w:ascii="宋体" w:hAnsi="楷体" w:eastAsia="宋体" w:cs="楷体"/>
          <w:sz w:val="24"/>
          <w:lang w:val="en-US" w:eastAsia="zh-CN"/>
        </w:rPr>
        <w:t xml:space="preserve">1  </w:t>
      </w:r>
      <w:r>
        <w:rPr>
          <w:rFonts w:hint="eastAsia" w:ascii="宋体" w:hAnsi="楷体" w:eastAsia="宋体" w:cs="楷体"/>
          <w:sz w:val="24"/>
        </w:rPr>
        <w:t>采购人或采购代理机构依据法律法规和招标文件中规定的内容，对投标人及其投标货物的资格进行审查，未通过资格审查的投标人不进入评标。</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通过资格审查的投标人不足三家的，不得评标。</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19.2</w:t>
      </w:r>
      <w:r>
        <w:rPr>
          <w:rFonts w:hint="eastAsia" w:ascii="宋体" w:hAnsi="楷体" w:eastAsia="宋体" w:cs="楷体"/>
          <w:sz w:val="24"/>
          <w:lang w:val="en-US" w:eastAsia="zh-CN"/>
        </w:rPr>
        <w:t xml:space="preserve">  </w:t>
      </w:r>
      <w:r>
        <w:rPr>
          <w:rFonts w:hint="eastAsia" w:ascii="宋体" w:hAnsi="楷体" w:eastAsia="宋体" w:cs="楷体"/>
          <w:sz w:val="24"/>
        </w:rPr>
        <w:t>采购人或采购代理机构将按</w:t>
      </w:r>
      <w:r>
        <w:rPr>
          <w:rFonts w:hint="eastAsia" w:ascii="宋体" w:hAnsi="楷体" w:eastAsia="宋体" w:cs="楷体"/>
          <w:sz w:val="24"/>
          <w:u w:val="single"/>
        </w:rPr>
        <w:t>投标须知前附表</w:t>
      </w:r>
      <w:r>
        <w:rPr>
          <w:rFonts w:hint="eastAsia" w:ascii="宋体" w:hAnsi="楷体" w:eastAsia="宋体" w:cs="楷体"/>
          <w:sz w:val="24"/>
        </w:rPr>
        <w:t>中规定的时间查询投标人的信用记录。</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19.2.1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w:t>
      </w:r>
      <w:r>
        <w:rPr>
          <w:rFonts w:hint="eastAsia" w:ascii="宋体" w:hAnsi="楷体" w:eastAsia="宋体" w:cs="楷体"/>
          <w:b/>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以联合体形式参加投标的，联合体任何成员存在以上记录的，联合体投标将被认定为</w:t>
      </w:r>
      <w:r>
        <w:rPr>
          <w:rFonts w:hint="eastAsia" w:ascii="宋体" w:hAnsi="楷体" w:eastAsia="宋体" w:cs="楷体"/>
          <w:b/>
          <w:bCs/>
          <w:sz w:val="24"/>
        </w:rPr>
        <w:t>投标无效</w:t>
      </w:r>
      <w:r>
        <w:rPr>
          <w:rFonts w:hint="eastAsia" w:ascii="宋体" w:hAnsi="楷体" w:eastAsia="宋体" w:cs="楷体"/>
          <w:sz w:val="24"/>
        </w:rPr>
        <w:t>。</w:t>
      </w:r>
    </w:p>
    <w:p>
      <w:pPr>
        <w:pStyle w:val="6"/>
        <w:snapToGrid/>
        <w:spacing w:beforeAutospacing="0" w:afterAutospacing="0" w:line="360" w:lineRule="auto"/>
        <w:ind w:left="0" w:leftChars="0" w:firstLine="480" w:firstLineChars="200"/>
        <w:jc w:val="both"/>
        <w:rPr>
          <w:rFonts w:hint="eastAsia" w:ascii="宋体" w:hAnsi="楷体" w:eastAsia="宋体" w:cs="楷体"/>
          <w:sz w:val="24"/>
        </w:rPr>
      </w:pPr>
      <w:r>
        <w:rPr>
          <w:rFonts w:hint="eastAsia" w:ascii="宋体" w:hAnsi="楷体" w:eastAsia="宋体" w:cs="楷体"/>
          <w:sz w:val="24"/>
        </w:rPr>
        <w:t>19.2.2 采购人或采购代理机构经办人将查询网页打印、签字并存档备查。投标人不良信用记录以采购人或采购代理机构查询结果为准。投标人自行提供的与网站信息不一致的其他证明材料亦不作为资格审查依据。</w:t>
      </w:r>
    </w:p>
    <w:p>
      <w:pPr>
        <w:pStyle w:val="6"/>
        <w:snapToGrid/>
        <w:spacing w:beforeAutospacing="0" w:afterAutospacing="0" w:line="360" w:lineRule="auto"/>
        <w:ind w:left="0" w:leftChars="0" w:firstLine="480" w:firstLineChars="200"/>
        <w:jc w:val="both"/>
        <w:rPr>
          <w:rFonts w:hint="eastAsia" w:ascii="宋体" w:hAnsi="楷体" w:eastAsia="宋体" w:cs="楷体"/>
          <w:sz w:val="24"/>
        </w:rPr>
      </w:pPr>
      <w:r>
        <w:rPr>
          <w:rFonts w:hint="eastAsia" w:ascii="宋体" w:hAnsi="楷体" w:eastAsia="宋体" w:cs="楷体"/>
          <w:sz w:val="24"/>
        </w:rPr>
        <w:t>在本招标文件规定的查询时间之外，网站信息发生的任何变更均不作为资格审查依据。</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19.3   按照《中华人民共和国政府采购法</w:t>
      </w:r>
      <w:r>
        <w:rPr>
          <w:rFonts w:hint="eastAsia" w:ascii="宋体" w:hAnsi="楷体" w:eastAsia="宋体" w:cs="楷体"/>
          <w:sz w:val="24"/>
          <w:lang w:eastAsia="zh-CN"/>
        </w:rPr>
        <w:t>》《</w:t>
      </w:r>
      <w:r>
        <w:rPr>
          <w:rFonts w:hint="eastAsia" w:ascii="宋体" w:hAnsi="楷体" w:eastAsia="宋体" w:cs="楷体"/>
          <w:sz w:val="24"/>
        </w:rPr>
        <w:t>中华人民共和国政府采购法实施条例》及本项目本级和上级财政部门的有关规定依法组建的评标委员会，负责评标工作。</w:t>
      </w:r>
    </w:p>
    <w:bookmarkEnd w:id="161"/>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bCs/>
          <w:sz w:val="24"/>
          <w:bdr w:val="single" w:color="auto" w:sz="4" w:space="0"/>
        </w:rPr>
      </w:pPr>
      <w:bookmarkStart w:id="162" w:name="_Toc520356166"/>
      <w:bookmarkStart w:id="163" w:name="_Toc17464"/>
      <w:bookmarkStart w:id="164" w:name="_Toc6462"/>
      <w:r>
        <w:rPr>
          <w:rFonts w:hint="eastAsia" w:ascii="宋体" w:hAnsi="楷体" w:eastAsia="宋体" w:cs="楷体"/>
          <w:b/>
          <w:sz w:val="24"/>
          <w:u w:val="none"/>
        </w:rPr>
        <w:t>20.投标文件的</w:t>
      </w:r>
      <w:bookmarkEnd w:id="162"/>
      <w:r>
        <w:rPr>
          <w:rFonts w:hint="eastAsia" w:ascii="宋体" w:hAnsi="楷体" w:eastAsia="宋体" w:cs="楷体"/>
          <w:b/>
          <w:sz w:val="24"/>
          <w:u w:val="none"/>
        </w:rPr>
        <w:t>符合性审查与澄清</w:t>
      </w:r>
      <w:bookmarkEnd w:id="163"/>
      <w:bookmarkEnd w:id="164"/>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20.1</w:t>
      </w:r>
      <w:r>
        <w:rPr>
          <w:rFonts w:hint="eastAsia" w:ascii="宋体" w:hAnsi="楷体" w:eastAsia="宋体" w:cs="楷体"/>
          <w:sz w:val="24"/>
          <w:lang w:val="en-US" w:eastAsia="zh-CN"/>
        </w:rPr>
        <w:t xml:space="preserve">  </w:t>
      </w:r>
      <w:r>
        <w:rPr>
          <w:rFonts w:hint="eastAsia" w:ascii="宋体" w:hAnsi="楷体" w:eastAsia="宋体" w:cs="楷体"/>
          <w:sz w:val="24"/>
        </w:rPr>
        <w:t>符合性审查是指依据招标文件的规定，从商务和技术角度对投标文件的有效性和完整性进行审查，以确定是否对招标文件的实质性要求做出响应。</w:t>
      </w:r>
      <w:bookmarkStart w:id="165" w:name="_Hlt522424701"/>
      <w:bookmarkEnd w:id="165"/>
      <w:bookmarkStart w:id="166" w:name="_Toc520356167"/>
    </w:p>
    <w:p>
      <w:pPr>
        <w:snapToGrid/>
        <w:spacing w:beforeAutospacing="0" w:afterAutospacing="0" w:line="360" w:lineRule="auto"/>
        <w:ind w:left="0" w:leftChars="0" w:firstLine="480" w:firstLineChars="200"/>
        <w:outlineLvl w:val="9"/>
        <w:rPr>
          <w:rFonts w:hint="eastAsia" w:ascii="宋体" w:hAnsi="楷体" w:eastAsia="宋体" w:cs="楷体"/>
          <w:sz w:val="24"/>
        </w:rPr>
      </w:pPr>
      <w:r>
        <w:rPr>
          <w:rFonts w:hint="eastAsia" w:ascii="宋体" w:hAnsi="楷体" w:eastAsia="宋体" w:cs="楷体"/>
          <w:sz w:val="24"/>
        </w:rPr>
        <w:t>20.</w:t>
      </w:r>
      <w:r>
        <w:rPr>
          <w:rFonts w:hint="eastAsia" w:ascii="宋体" w:hAnsi="楷体" w:eastAsia="宋体" w:cs="楷体"/>
          <w:sz w:val="24"/>
          <w:lang w:val="en-US" w:eastAsia="zh-CN"/>
        </w:rPr>
        <w:t xml:space="preserve">2  </w:t>
      </w:r>
      <w:r>
        <w:rPr>
          <w:rFonts w:hint="eastAsia" w:ascii="宋体" w:hAnsi="楷体" w:eastAsia="宋体" w:cs="楷体"/>
          <w:sz w:val="24"/>
        </w:rPr>
        <w:t>投标文件的澄清</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20.2.1  在评标期间，评标委员会将以书面方式要求投标人对其投标文件中含义不明确、对同类问题表述不一致或者有明显文字和计算错误的内容，以及评标委员会认为投标人的报价明显低于其他通过符合性审查投标人的报价，有可能影响履约的情况</w:t>
      </w:r>
      <w:r>
        <w:rPr>
          <w:rFonts w:hint="eastAsia" w:ascii="宋体" w:hAnsi="楷体" w:eastAsia="宋体" w:cs="楷体"/>
          <w:sz w:val="24"/>
          <w:lang w:eastAsia="zh-CN"/>
        </w:rPr>
        <w:t>做必要的</w:t>
      </w:r>
      <w:r>
        <w:rPr>
          <w:rFonts w:hint="eastAsia" w:ascii="宋体" w:hAnsi="楷体" w:eastAsia="宋体" w:cs="楷体"/>
          <w:sz w:val="24"/>
        </w:rPr>
        <w:t>澄清、说明或补正。投标人的澄清、说明或补正应在评标委员会规定的时间内以书面方式进行，并不得超出投标文件范围或者改变投标文件的实质性内容。</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20.2.2 投标人的澄清、说明或补正将作为投标文件的一部分。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20.2.3 投标文件报价出现前后不一致的，按照下列规定修正：</w:t>
      </w:r>
    </w:p>
    <w:p>
      <w:pPr>
        <w:snapToGrid/>
        <w:spacing w:beforeAutospacing="0" w:afterAutospacing="0" w:line="360" w:lineRule="auto"/>
        <w:ind w:left="0" w:leftChars="0" w:firstLine="480" w:firstLineChars="200"/>
        <w:outlineLvl w:val="9"/>
        <w:rPr>
          <w:rFonts w:hint="eastAsia" w:ascii="宋体" w:hAnsi="楷体" w:eastAsia="宋体" w:cs="楷体"/>
          <w:sz w:val="24"/>
        </w:rPr>
      </w:pPr>
      <w:r>
        <w:rPr>
          <w:rFonts w:hint="eastAsia" w:ascii="宋体" w:hAnsi="楷体" w:eastAsia="宋体" w:cs="楷体"/>
          <w:sz w:val="24"/>
        </w:rPr>
        <w:t>（一）投标文件中开标一览表（报价表）内容与投标文件中相应内容不一致的，以开标一览表（报价表）为准；</w:t>
      </w:r>
    </w:p>
    <w:p>
      <w:pPr>
        <w:snapToGrid/>
        <w:spacing w:beforeAutospacing="0" w:afterAutospacing="0" w:line="360" w:lineRule="auto"/>
        <w:ind w:left="0" w:leftChars="0" w:firstLine="480" w:firstLineChars="200"/>
        <w:outlineLvl w:val="9"/>
        <w:rPr>
          <w:rFonts w:hint="eastAsia" w:ascii="宋体" w:hAnsi="楷体" w:eastAsia="宋体" w:cs="楷体"/>
          <w:sz w:val="24"/>
        </w:rPr>
      </w:pPr>
      <w:r>
        <w:rPr>
          <w:rFonts w:hint="eastAsia" w:ascii="宋体" w:hAnsi="楷体" w:eastAsia="宋体" w:cs="楷体"/>
          <w:sz w:val="24"/>
        </w:rPr>
        <w:t>（二）大写金额和小写金额不一致的，以大写金额为准；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（三）单价金额小数点或者百分比有明显错位的，以开标一览表的总价为准，并修改单价；</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（四）总价金额与按单价汇总金额不一致的，以单价金额计算结果为准。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同时出现两种以上不一致的，按照前款规定的顺序修正。修正后的报价按照第20.2条的规定经投标人确认后产生约束力，投标人不确认的，其投标将被认定为</w:t>
      </w:r>
      <w:r>
        <w:rPr>
          <w:rFonts w:hint="eastAsia" w:ascii="宋体" w:hAnsi="楷体" w:eastAsia="宋体" w:cs="楷体"/>
          <w:b/>
          <w:bCs/>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对不同文字文本投标文件的解释发生异议的，以汉语语言文本为准。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20.3</w:t>
      </w:r>
      <w:r>
        <w:rPr>
          <w:rFonts w:hint="eastAsia" w:ascii="宋体" w:hAnsi="楷体" w:eastAsia="宋体" w:cs="楷体"/>
          <w:sz w:val="24"/>
          <w:lang w:val="en-US" w:eastAsia="zh-CN"/>
        </w:rPr>
        <w:t xml:space="preserve">  </w:t>
      </w:r>
      <w:r>
        <w:rPr>
          <w:rFonts w:hint="eastAsia" w:ascii="宋体" w:hAnsi="楷体" w:eastAsia="宋体" w:cs="楷体"/>
          <w:sz w:val="24"/>
        </w:rPr>
        <w:t>如一个分包内只有一种产品，不同投标人所投产品为同一品牌的，按如下方式处理：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20.3.1如本项目使用最低评标价法，提供相同品牌产品的不同投标人以其中通过资格审查、符合性审查且报价最低的参加评标；报价相同的，由采购人或者采购人委托评标委员会按照招标文件中评标办法规定的方式确定一个参加评标的投标人；未规定的采取随机抽取方式确定，其他</w:t>
      </w:r>
      <w:r>
        <w:rPr>
          <w:rFonts w:hint="eastAsia" w:ascii="宋体" w:hAnsi="楷体" w:eastAsia="宋体" w:cs="楷体"/>
          <w:b/>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20.3.2 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20.4   如一个分包内包含多种产品的，采购人或采购代理机构将在</w:t>
      </w:r>
      <w:r>
        <w:rPr>
          <w:rFonts w:hint="eastAsia" w:ascii="宋体" w:hAnsi="楷体" w:eastAsia="宋体" w:cs="楷体"/>
          <w:sz w:val="24"/>
          <w:u w:val="single"/>
        </w:rPr>
        <w:t>投标须知前附表</w:t>
      </w:r>
      <w:r>
        <w:rPr>
          <w:rFonts w:hint="eastAsia" w:ascii="宋体" w:hAnsi="楷体" w:eastAsia="宋体" w:cs="楷体"/>
          <w:sz w:val="24"/>
        </w:rPr>
        <w:t>中载明核心产品，投标人提供的核心产品中只要有1个核心产品的品牌相同，相关投标人将被认定为属于提供相同品牌产品，按第20.</w:t>
      </w:r>
      <w:r>
        <w:rPr>
          <w:rFonts w:hint="eastAsia" w:ascii="宋体" w:hAnsi="楷体" w:eastAsia="宋体" w:cs="楷体"/>
          <w:sz w:val="24"/>
          <w:lang w:val="en-US" w:eastAsia="zh-CN"/>
        </w:rPr>
        <w:t>3</w:t>
      </w:r>
      <w:r>
        <w:rPr>
          <w:rFonts w:hint="eastAsia" w:ascii="宋体" w:hAnsi="楷体" w:eastAsia="宋体" w:cs="楷体"/>
          <w:sz w:val="24"/>
        </w:rPr>
        <w:t>条规定处理。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20.5   投标人所投产品如被列入财政部与国家主管部门颁发的节能产品或环境标志产品品目清单或无线局域网产品清单，应提供处于有效期之内认证证书等相关证明，在评标时予以优先采购，具体优先采购办法见第</w:t>
      </w:r>
      <w:r>
        <w:rPr>
          <w:rFonts w:hint="eastAsia" w:ascii="宋体" w:hAnsi="楷体" w:eastAsia="宋体" w:cs="楷体"/>
          <w:sz w:val="24"/>
          <w:lang w:val="en-US" w:eastAsia="zh-CN"/>
        </w:rPr>
        <w:t>7</w:t>
      </w:r>
      <w:r>
        <w:rPr>
          <w:rFonts w:hint="eastAsia" w:ascii="宋体" w:hAnsi="楷体" w:eastAsia="宋体" w:cs="楷体"/>
          <w:sz w:val="24"/>
        </w:rPr>
        <w:t>章评标方法和标准。</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如采购人所采购产品为政府强制采购的产品，投标人所投产品应属于品目清单的强制采购部分。投标人应提供有效期内的认证证书，否则其投标将被认定为</w:t>
      </w:r>
      <w:r>
        <w:rPr>
          <w:rFonts w:hint="eastAsia" w:ascii="宋体" w:hAnsi="楷体" w:eastAsia="宋体" w:cs="楷体"/>
          <w:b/>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如采购人所采购产品属于信息安全产品的，投标人所投产品应为经国家认证的信息安全产品，并提供由中国信息安全认证中心按国家标准认证颁发的有效认证证书，否则其投标将被认定为</w:t>
      </w:r>
      <w:r>
        <w:rPr>
          <w:rFonts w:hint="eastAsia" w:ascii="宋体" w:hAnsi="楷体" w:eastAsia="宋体" w:cs="楷体"/>
          <w:b/>
          <w:bCs/>
          <w:sz w:val="24"/>
        </w:rPr>
        <w:t>投标无效</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20.6</w:t>
      </w:r>
      <w:r>
        <w:rPr>
          <w:rFonts w:hint="eastAsia" w:ascii="宋体" w:hAnsi="楷体" w:eastAsia="宋体" w:cs="楷体"/>
          <w:sz w:val="24"/>
          <w:lang w:val="en-US" w:eastAsia="zh-CN"/>
        </w:rPr>
        <w:t xml:space="preserve">  </w:t>
      </w:r>
      <w:r>
        <w:rPr>
          <w:rFonts w:hint="eastAsia" w:ascii="宋体" w:hAnsi="楷体" w:eastAsia="宋体" w:cs="楷体"/>
          <w:sz w:val="24"/>
        </w:rPr>
        <w:t>政府采购货物、工程和服务项目中涉及商品包装和快递包装的，供应商提供产品及相关快递服务的具体包装要求请详见《商品包装政府采购需求标准（试行）</w:t>
      </w:r>
      <w:r>
        <w:rPr>
          <w:rFonts w:hint="eastAsia" w:ascii="宋体" w:hAnsi="楷体" w:eastAsia="宋体" w:cs="楷体"/>
          <w:sz w:val="24"/>
          <w:lang w:eastAsia="zh-CN"/>
        </w:rPr>
        <w:t>》《</w:t>
      </w:r>
      <w:r>
        <w:rPr>
          <w:rFonts w:hint="eastAsia" w:ascii="宋体" w:hAnsi="楷体" w:eastAsia="宋体" w:cs="楷体"/>
          <w:sz w:val="24"/>
        </w:rPr>
        <w:t>快递包装政府采购需求标准（试行）》。</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67" w:name="_Toc15669"/>
      <w:bookmarkStart w:id="168" w:name="_Toc21648"/>
      <w:r>
        <w:rPr>
          <w:rFonts w:hint="eastAsia" w:ascii="宋体" w:hAnsi="楷体" w:eastAsia="宋体" w:cs="楷体"/>
          <w:b/>
          <w:sz w:val="24"/>
          <w:u w:val="none"/>
        </w:rPr>
        <w:t>21.投标偏离</w:t>
      </w:r>
      <w:bookmarkEnd w:id="167"/>
      <w:bookmarkEnd w:id="168"/>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对于投标文件中不构成实质性偏差的不正规、不一致或不规则，评标委员会可以接受，但这种接受不能损坏或影响任何投标人的相对排序。</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69" w:name="_Toc10733"/>
      <w:bookmarkStart w:id="170" w:name="_Toc31310"/>
      <w:r>
        <w:rPr>
          <w:rFonts w:hint="eastAsia" w:ascii="宋体" w:hAnsi="楷体" w:eastAsia="宋体" w:cs="楷体"/>
          <w:b/>
          <w:sz w:val="24"/>
          <w:u w:val="none"/>
        </w:rPr>
        <w:t>22.无效投标</w:t>
      </w:r>
      <w:bookmarkEnd w:id="169"/>
      <w:bookmarkEnd w:id="170"/>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22.1  在比较与评价之前，根据招标文件的规定，评标委员会要审查每份投标文件是否实质上响应了招标文件的要求。实质上响应的投标应该是与招标文件要求的全部条款、条件和规格相符，没有重大偏离的投标。对关键条款的偏离、保留和反对，将被认为是实质上的偏离，其投标将被认定为</w:t>
      </w:r>
      <w:r>
        <w:rPr>
          <w:rFonts w:hint="eastAsia" w:ascii="宋体" w:hAnsi="楷体" w:eastAsia="宋体" w:cs="楷体"/>
          <w:b/>
          <w:sz w:val="24"/>
        </w:rPr>
        <w:t>投标无效</w:t>
      </w:r>
      <w:r>
        <w:rPr>
          <w:rFonts w:hint="eastAsia" w:ascii="宋体" w:hAnsi="楷体" w:eastAsia="宋体" w:cs="楷体"/>
          <w:sz w:val="24"/>
        </w:rPr>
        <w:t>。评标委员会决定投标的响应性只根据招标文件要求、投标文件内容及财政主管部门指定相关信息发布媒体。</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22.2</w:t>
      </w:r>
      <w:r>
        <w:rPr>
          <w:rFonts w:hint="eastAsia" w:ascii="宋体" w:hAnsi="楷体" w:eastAsia="宋体" w:cs="楷体"/>
          <w:sz w:val="24"/>
        </w:rPr>
        <w:tab/>
      </w:r>
      <w:r>
        <w:rPr>
          <w:rFonts w:hint="eastAsia" w:ascii="宋体" w:hAnsi="楷体" w:eastAsia="宋体" w:cs="楷体"/>
          <w:sz w:val="24"/>
        </w:rPr>
        <w:t>实质上没有响应招标文件要求的投标将被认定为</w:t>
      </w:r>
      <w:r>
        <w:rPr>
          <w:rFonts w:hint="eastAsia" w:ascii="宋体" w:hAnsi="楷体" w:eastAsia="宋体" w:cs="楷体"/>
          <w:b/>
          <w:sz w:val="24"/>
        </w:rPr>
        <w:t>投标无效</w:t>
      </w:r>
      <w:r>
        <w:rPr>
          <w:rFonts w:hint="eastAsia" w:ascii="宋体" w:hAnsi="楷体" w:eastAsia="宋体" w:cs="楷体"/>
          <w:sz w:val="24"/>
        </w:rPr>
        <w:t>。投标人不得通过修正或撤销不符合要求的偏离或保留从而使其投标成为实质上响应的投标。如发现下列情况之一的，其投标将被认定为</w:t>
      </w:r>
      <w:r>
        <w:rPr>
          <w:rFonts w:hint="eastAsia" w:ascii="宋体" w:hAnsi="楷体" w:eastAsia="宋体" w:cs="楷体"/>
          <w:b/>
          <w:sz w:val="24"/>
        </w:rPr>
        <w:t>投标无效</w:t>
      </w:r>
      <w:r>
        <w:rPr>
          <w:rFonts w:hint="eastAsia" w:ascii="宋体" w:hAnsi="楷体" w:eastAsia="宋体" w:cs="楷体"/>
          <w:sz w:val="24"/>
        </w:rPr>
        <w:t>：</w:t>
      </w:r>
    </w:p>
    <w:p>
      <w:pPr>
        <w:numPr>
          <w:ilvl w:val="0"/>
          <w:numId w:val="6"/>
        </w:num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未按招标文件规定的形式和金额</w:t>
      </w:r>
      <w:r>
        <w:rPr>
          <w:rFonts w:hint="eastAsia" w:ascii="宋体" w:hAnsi="楷体" w:eastAsia="宋体" w:cs="楷体"/>
          <w:sz w:val="24"/>
          <w:lang w:eastAsia="zh-CN"/>
        </w:rPr>
        <w:t>缴纳</w:t>
      </w:r>
      <w:r>
        <w:rPr>
          <w:rFonts w:hint="eastAsia" w:ascii="宋体" w:hAnsi="楷体" w:eastAsia="宋体" w:cs="楷体"/>
          <w:sz w:val="24"/>
        </w:rPr>
        <w:t>投标保证金的；</w:t>
      </w:r>
    </w:p>
    <w:p>
      <w:pPr>
        <w:numPr>
          <w:ilvl w:val="0"/>
          <w:numId w:val="6"/>
        </w:num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未按照招标文件规定要求签署、盖章的；</w:t>
      </w:r>
    </w:p>
    <w:p>
      <w:pPr>
        <w:numPr>
          <w:ilvl w:val="0"/>
          <w:numId w:val="6"/>
        </w:num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未满足招标文件中技术条款的实质性要求；</w:t>
      </w:r>
    </w:p>
    <w:p>
      <w:pPr>
        <w:numPr>
          <w:ilvl w:val="0"/>
          <w:numId w:val="6"/>
        </w:num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属于串通投标，或者依法被视为串通投标；</w:t>
      </w:r>
    </w:p>
    <w:p>
      <w:pPr>
        <w:numPr>
          <w:ilvl w:val="0"/>
          <w:numId w:val="6"/>
        </w:num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投标文件含有采购人不能接受的附加条件的；</w:t>
      </w:r>
    </w:p>
    <w:p>
      <w:pPr>
        <w:numPr>
          <w:ilvl w:val="0"/>
          <w:numId w:val="6"/>
        </w:num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评标委员会认为投标人的报价明显低于其他通过符合性检查投标人的报价，有可能影响履约的，且投标人未按照规定证明其报价合理性的；</w:t>
      </w:r>
    </w:p>
    <w:p>
      <w:pPr>
        <w:numPr>
          <w:ilvl w:val="0"/>
          <w:numId w:val="6"/>
        </w:num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属于招标文件规定的其他无效投标情形；</w:t>
      </w:r>
    </w:p>
    <w:p>
      <w:pPr>
        <w:numPr>
          <w:ilvl w:val="0"/>
          <w:numId w:val="6"/>
        </w:numPr>
        <w:tabs>
          <w:tab w:val="left" w:pos="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不符合法规和招标文件中规定的其他实质性要求的。</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71" w:name="_Toc17640"/>
      <w:bookmarkStart w:id="172" w:name="_Toc18025"/>
      <w:r>
        <w:rPr>
          <w:rFonts w:hint="eastAsia" w:ascii="宋体" w:hAnsi="楷体" w:eastAsia="宋体" w:cs="楷体"/>
          <w:b/>
          <w:sz w:val="24"/>
          <w:u w:val="none"/>
        </w:rPr>
        <w:t>23.</w:t>
      </w:r>
      <w:bookmarkEnd w:id="166"/>
      <w:r>
        <w:rPr>
          <w:rFonts w:hint="eastAsia" w:ascii="宋体" w:hAnsi="楷体" w:eastAsia="宋体" w:cs="楷体"/>
          <w:b/>
          <w:sz w:val="24"/>
          <w:u w:val="none"/>
        </w:rPr>
        <w:t>比较与评价</w:t>
      </w:r>
      <w:bookmarkEnd w:id="171"/>
      <w:bookmarkEnd w:id="172"/>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23.1</w:t>
      </w:r>
      <w:r>
        <w:rPr>
          <w:rFonts w:hint="eastAsia" w:ascii="宋体" w:hAnsi="楷体" w:eastAsia="宋体" w:cs="楷体"/>
          <w:sz w:val="24"/>
        </w:rPr>
        <w:tab/>
      </w:r>
      <w:r>
        <w:rPr>
          <w:rFonts w:hint="eastAsia" w:ascii="宋体" w:hAnsi="楷体" w:eastAsia="宋体" w:cs="楷体"/>
          <w:sz w:val="24"/>
        </w:rPr>
        <w:t>经符合性审查合格的投标文件，评标委员会将根据招标文件确定的评标方法和标准，对其技术部分和商务部分作进一步的比较和评价。</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 xml:space="preserve">23.2  </w:t>
      </w:r>
      <w:r>
        <w:rPr>
          <w:rFonts w:hint="eastAsia" w:ascii="宋体" w:hAnsi="楷体" w:eastAsia="宋体" w:cs="楷体"/>
          <w:sz w:val="24"/>
        </w:rPr>
        <w:tab/>
      </w:r>
      <w:r>
        <w:rPr>
          <w:rFonts w:hint="eastAsia" w:ascii="宋体" w:hAnsi="楷体" w:eastAsia="宋体" w:cs="楷体"/>
          <w:sz w:val="24"/>
        </w:rPr>
        <w:t>评标严格按照招标文件的要求和条件进行。根据实际情况，在</w:t>
      </w:r>
      <w:r>
        <w:rPr>
          <w:rFonts w:hint="eastAsia" w:ascii="宋体" w:hAnsi="楷体" w:eastAsia="宋体" w:cs="楷体"/>
          <w:sz w:val="24"/>
          <w:u w:val="single"/>
        </w:rPr>
        <w:t>投标须知前附表</w:t>
      </w:r>
      <w:r>
        <w:rPr>
          <w:rFonts w:hint="eastAsia" w:ascii="宋体" w:hAnsi="楷体" w:eastAsia="宋体" w:cs="楷体"/>
          <w:sz w:val="24"/>
        </w:rPr>
        <w:t>中规定采用下列一种评标方法，详细评标标准见招标文件第</w:t>
      </w:r>
      <w:r>
        <w:rPr>
          <w:rFonts w:hint="eastAsia" w:ascii="宋体" w:hAnsi="楷体" w:eastAsia="宋体" w:cs="楷体"/>
          <w:sz w:val="24"/>
          <w:lang w:val="en-US" w:eastAsia="zh-CN"/>
        </w:rPr>
        <w:t>七</w:t>
      </w:r>
      <w:r>
        <w:rPr>
          <w:rFonts w:hint="eastAsia" w:ascii="宋体" w:hAnsi="楷体" w:eastAsia="宋体" w:cs="楷体"/>
          <w:sz w:val="24"/>
        </w:rPr>
        <w:t>章：</w:t>
      </w:r>
    </w:p>
    <w:p>
      <w:pPr>
        <w:pStyle w:val="21"/>
        <w:snapToGrid/>
        <w:spacing w:beforeAutospacing="0" w:afterAutospacing="0" w:line="360" w:lineRule="auto"/>
        <w:ind w:left="0" w:leftChars="0" w:firstLine="480" w:firstLineChars="200"/>
        <w:rPr>
          <w:rFonts w:hint="eastAsia" w:ascii="宋体" w:hAnsi="楷体" w:eastAsia="宋体" w:cs="楷体"/>
          <w:sz w:val="24"/>
          <w:szCs w:val="24"/>
        </w:rPr>
      </w:pPr>
      <w:r>
        <w:rPr>
          <w:rFonts w:hint="eastAsia" w:ascii="宋体" w:hAnsi="楷体" w:eastAsia="宋体" w:cs="楷体"/>
          <w:sz w:val="24"/>
          <w:szCs w:val="24"/>
        </w:rPr>
        <w:t>（1） 最低评标价法，是指投标文件满足招标文件全部实质性要求，且投标报价最低的投标人为中标候选人的评标方法。</w:t>
      </w:r>
    </w:p>
    <w:p>
      <w:pPr>
        <w:pStyle w:val="21"/>
        <w:snapToGrid/>
        <w:spacing w:beforeAutospacing="0" w:afterAutospacing="0" w:line="360" w:lineRule="auto"/>
        <w:ind w:left="0" w:leftChars="0" w:firstLine="480" w:firstLineChars="200"/>
        <w:rPr>
          <w:rFonts w:hint="eastAsia" w:ascii="宋体" w:hAnsi="楷体" w:eastAsia="宋体" w:cs="楷体"/>
          <w:sz w:val="24"/>
          <w:szCs w:val="24"/>
        </w:rPr>
      </w:pPr>
      <w:r>
        <w:rPr>
          <w:rFonts w:hint="eastAsia" w:ascii="宋体" w:hAnsi="楷体" w:eastAsia="宋体" w:cs="楷体"/>
          <w:sz w:val="24"/>
          <w:szCs w:val="24"/>
        </w:rPr>
        <w:t>（2） 综合评分法，是指投标文件满足招标文件全部实质性要求，且按照评审因素的量化指标评审得分最高的投标人为中标候选人的评标方法。</w:t>
      </w:r>
    </w:p>
    <w:p>
      <w:pPr>
        <w:pStyle w:val="21"/>
        <w:snapToGrid/>
        <w:spacing w:beforeAutospacing="0" w:afterAutospacing="0" w:line="360" w:lineRule="auto"/>
        <w:ind w:left="0" w:leftChars="0" w:firstLine="480" w:firstLineChars="200"/>
        <w:rPr>
          <w:rFonts w:hint="eastAsia" w:ascii="宋体" w:hAnsi="楷体" w:eastAsia="宋体" w:cs="楷体"/>
          <w:sz w:val="24"/>
          <w:szCs w:val="24"/>
        </w:rPr>
      </w:pPr>
      <w:r>
        <w:rPr>
          <w:rFonts w:hint="eastAsia" w:ascii="宋体" w:hAnsi="楷体" w:eastAsia="宋体" w:cs="楷体"/>
          <w:sz w:val="24"/>
          <w:szCs w:val="24"/>
        </w:rPr>
        <w:t xml:space="preserve">23.3   根据《政府采购促进中小企业发展管理办法》（财库[2020]46号）、《财政部 </w:t>
      </w:r>
      <w:r>
        <w:rPr>
          <w:rFonts w:hint="eastAsia" w:hAnsi="楷体" w:eastAsia="宋体" w:cs="楷体"/>
          <w:sz w:val="24"/>
          <w:szCs w:val="24"/>
          <w:lang w:eastAsia="zh-CN"/>
        </w:rPr>
        <w:t>sifa</w:t>
      </w:r>
      <w:r>
        <w:rPr>
          <w:rFonts w:hint="eastAsia" w:ascii="宋体" w:hAnsi="楷体" w:eastAsia="宋体" w:cs="楷体"/>
          <w:sz w:val="24"/>
          <w:szCs w:val="24"/>
        </w:rPr>
        <w:t>部关于政府采购支持</w:t>
      </w:r>
      <w:r>
        <w:rPr>
          <w:rFonts w:hint="eastAsia" w:hAnsi="楷体" w:eastAsia="宋体" w:cs="楷体"/>
          <w:sz w:val="24"/>
          <w:szCs w:val="24"/>
          <w:lang w:eastAsia="zh-CN"/>
        </w:rPr>
        <w:t>jianyu</w:t>
      </w:r>
      <w:r>
        <w:rPr>
          <w:rFonts w:hint="eastAsia" w:ascii="宋体" w:hAnsi="楷体" w:eastAsia="宋体" w:cs="楷体"/>
          <w:sz w:val="24"/>
          <w:szCs w:val="24"/>
        </w:rPr>
        <w:t>企业发展有关问题的通知》（财库〔2014〕68号）和《三部门联合发布关于促进残疾人就业政府采购政策的通知》（</w:t>
      </w:r>
      <w:bookmarkStart w:id="173" w:name="sendNo"/>
      <w:r>
        <w:rPr>
          <w:rFonts w:hint="eastAsia" w:ascii="宋体" w:hAnsi="楷体" w:eastAsia="宋体" w:cs="楷体"/>
          <w:bCs/>
          <w:sz w:val="24"/>
          <w:szCs w:val="24"/>
        </w:rPr>
        <w:t>财库〔</w:t>
      </w:r>
      <w:bookmarkEnd w:id="173"/>
      <w:r>
        <w:rPr>
          <w:rFonts w:hint="eastAsia" w:ascii="宋体" w:hAnsi="楷体" w:eastAsia="宋体" w:cs="楷体"/>
          <w:bCs/>
          <w:sz w:val="24"/>
          <w:szCs w:val="24"/>
        </w:rPr>
        <w:t>2017〕141号</w:t>
      </w:r>
      <w:r>
        <w:rPr>
          <w:rFonts w:hint="eastAsia" w:ascii="宋体" w:hAnsi="楷体" w:eastAsia="宋体" w:cs="楷体"/>
          <w:sz w:val="24"/>
          <w:szCs w:val="24"/>
        </w:rPr>
        <w:t>）的规定，对满足价格扣除条件且在投标文件中提交了《中小企业声明函》或省级以上</w:t>
      </w:r>
      <w:r>
        <w:rPr>
          <w:rFonts w:hint="eastAsia" w:hAnsi="楷体" w:eastAsia="宋体" w:cs="楷体"/>
          <w:sz w:val="24"/>
          <w:szCs w:val="24"/>
          <w:lang w:eastAsia="zh-CN"/>
        </w:rPr>
        <w:t>jianyu</w:t>
      </w:r>
      <w:r>
        <w:rPr>
          <w:rFonts w:hint="eastAsia" w:ascii="宋体" w:hAnsi="楷体" w:eastAsia="宋体" w:cs="楷体"/>
          <w:sz w:val="24"/>
          <w:szCs w:val="24"/>
        </w:rPr>
        <w:t>管理局、戒毒管理局（含新疆生产建设兵团）出具的属于</w:t>
      </w:r>
      <w:r>
        <w:rPr>
          <w:rFonts w:hint="eastAsia" w:hAnsi="楷体" w:eastAsia="宋体" w:cs="楷体"/>
          <w:sz w:val="24"/>
          <w:szCs w:val="24"/>
          <w:lang w:eastAsia="zh-CN"/>
        </w:rPr>
        <w:t>jianyu</w:t>
      </w:r>
      <w:r>
        <w:rPr>
          <w:rFonts w:hint="eastAsia" w:ascii="宋体" w:hAnsi="楷体" w:eastAsia="宋体" w:cs="楷体"/>
          <w:sz w:val="24"/>
          <w:szCs w:val="24"/>
        </w:rPr>
        <w:t>企业的证明文件的投标人，其投标报价扣除</w:t>
      </w:r>
      <w:r>
        <w:rPr>
          <w:rFonts w:hint="eastAsia" w:hAnsi="楷体" w:eastAsia="宋体" w:cs="楷体"/>
          <w:sz w:val="24"/>
          <w:szCs w:val="24"/>
          <w:lang w:val="en-US" w:eastAsia="zh-CN"/>
        </w:rPr>
        <w:t>10</w:t>
      </w:r>
      <w:r>
        <w:rPr>
          <w:rFonts w:hint="eastAsia" w:ascii="宋体" w:hAnsi="楷体" w:eastAsia="宋体" w:cs="楷体"/>
          <w:sz w:val="24"/>
          <w:szCs w:val="24"/>
          <w:lang w:eastAsia="zh-CN"/>
        </w:rPr>
        <w:t>%</w:t>
      </w:r>
      <w:r>
        <w:rPr>
          <w:rFonts w:hint="eastAsia" w:hAnsi="楷体" w:eastAsia="宋体" w:cs="楷体"/>
          <w:sz w:val="24"/>
          <w:szCs w:val="24"/>
          <w:lang w:eastAsia="zh-CN"/>
        </w:rPr>
        <w:t>—</w:t>
      </w:r>
      <w:r>
        <w:rPr>
          <w:rFonts w:hint="eastAsia" w:hAnsi="楷体" w:eastAsia="宋体" w:cs="楷体"/>
          <w:sz w:val="24"/>
          <w:szCs w:val="24"/>
          <w:lang w:val="en-US" w:eastAsia="zh-CN"/>
        </w:rPr>
        <w:t>20</w:t>
      </w:r>
      <w:r>
        <w:rPr>
          <w:rFonts w:hint="eastAsia" w:ascii="宋体" w:hAnsi="楷体" w:eastAsia="宋体" w:cs="楷体"/>
          <w:sz w:val="24"/>
          <w:szCs w:val="24"/>
          <w:lang w:eastAsia="zh-CN"/>
        </w:rPr>
        <w:t>%</w:t>
      </w:r>
      <w:r>
        <w:rPr>
          <w:rFonts w:hint="eastAsia" w:ascii="宋体" w:hAnsi="楷体" w:eastAsia="宋体" w:cs="楷体"/>
          <w:sz w:val="24"/>
          <w:szCs w:val="24"/>
        </w:rPr>
        <w:t>后参与评审。具体办法详见招标文件第</w:t>
      </w:r>
      <w:r>
        <w:rPr>
          <w:rFonts w:hint="eastAsia" w:hAnsi="楷体" w:eastAsia="宋体" w:cs="楷体"/>
          <w:sz w:val="24"/>
          <w:szCs w:val="24"/>
          <w:lang w:val="en-US" w:eastAsia="zh-CN"/>
        </w:rPr>
        <w:t>七</w:t>
      </w:r>
      <w:r>
        <w:rPr>
          <w:rFonts w:hint="eastAsia" w:ascii="宋体" w:hAnsi="楷体" w:eastAsia="宋体" w:cs="楷体"/>
          <w:sz w:val="24"/>
          <w:szCs w:val="24"/>
        </w:rPr>
        <w:t>章。</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74" w:name="_Toc520356168"/>
      <w:bookmarkStart w:id="175" w:name="_Toc10445"/>
      <w:bookmarkStart w:id="176" w:name="_Toc19449"/>
      <w:r>
        <w:rPr>
          <w:rFonts w:hint="eastAsia" w:ascii="宋体" w:hAnsi="楷体" w:eastAsia="宋体" w:cs="楷体"/>
          <w:b/>
          <w:sz w:val="24"/>
          <w:u w:val="none"/>
        </w:rPr>
        <w:t>24</w:t>
      </w:r>
      <w:bookmarkEnd w:id="174"/>
      <w:r>
        <w:rPr>
          <w:rFonts w:hint="eastAsia" w:ascii="宋体" w:hAnsi="楷体" w:eastAsia="宋体" w:cs="楷体"/>
          <w:b/>
          <w:sz w:val="24"/>
          <w:u w:val="none"/>
          <w:lang w:eastAsia="zh-CN"/>
        </w:rPr>
        <w:t>.</w:t>
      </w:r>
      <w:r>
        <w:rPr>
          <w:rFonts w:hint="eastAsia" w:ascii="宋体" w:hAnsi="楷体" w:eastAsia="宋体" w:cs="楷体"/>
          <w:b/>
          <w:sz w:val="24"/>
          <w:u w:val="none"/>
        </w:rPr>
        <w:t>废标</w:t>
      </w:r>
      <w:bookmarkEnd w:id="175"/>
      <w:bookmarkEnd w:id="176"/>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出现下列情形之一，将导致项目废标即本项目的所有</w:t>
      </w:r>
      <w:r>
        <w:rPr>
          <w:rFonts w:hint="eastAsia" w:ascii="宋体" w:hAnsi="楷体" w:eastAsia="宋体" w:cs="楷体"/>
          <w:b/>
          <w:sz w:val="24"/>
        </w:rPr>
        <w:t>投标被拒绝</w:t>
      </w:r>
      <w:r>
        <w:rPr>
          <w:rFonts w:hint="eastAsia" w:ascii="宋体" w:hAnsi="楷体" w:eastAsia="宋体" w:cs="楷体"/>
          <w:sz w:val="24"/>
        </w:rPr>
        <w:t xml:space="preserve">： </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（1）符合专业条件的供应商或者对招标文件做实质性响应的供应商不足三家；</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（2）出现影响采购公正的违法、违规行为的；</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（3）投标人的报价均超过了采购预算，采购人不能支付的；</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 xml:space="preserve">（4）因重大变故，采购任务取消的。   </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77" w:name="_Toc3186"/>
      <w:bookmarkStart w:id="178" w:name="_Toc24941"/>
      <w:bookmarkStart w:id="179" w:name="_Toc520356169"/>
      <w:r>
        <w:rPr>
          <w:rFonts w:hint="eastAsia" w:ascii="宋体" w:hAnsi="楷体" w:eastAsia="宋体" w:cs="楷体"/>
          <w:b/>
          <w:sz w:val="24"/>
          <w:u w:val="none"/>
        </w:rPr>
        <w:t>25</w:t>
      </w:r>
      <w:r>
        <w:rPr>
          <w:rFonts w:hint="eastAsia" w:ascii="宋体" w:hAnsi="楷体" w:eastAsia="宋体" w:cs="楷体"/>
          <w:b/>
          <w:sz w:val="24"/>
          <w:u w:val="none"/>
          <w:lang w:eastAsia="zh-CN"/>
        </w:rPr>
        <w:t>.</w:t>
      </w:r>
      <w:r>
        <w:rPr>
          <w:rFonts w:hint="eastAsia" w:ascii="宋体" w:hAnsi="楷体" w:eastAsia="宋体" w:cs="楷体"/>
          <w:b/>
          <w:sz w:val="24"/>
          <w:u w:val="none"/>
        </w:rPr>
        <w:t>保密原则</w:t>
      </w:r>
      <w:bookmarkEnd w:id="177"/>
      <w:bookmarkEnd w:id="178"/>
    </w:p>
    <w:p>
      <w:pPr>
        <w:snapToGrid/>
        <w:spacing w:beforeAutospacing="0" w:afterAutospacing="0" w:line="360" w:lineRule="auto"/>
        <w:ind w:left="0" w:leftChars="0" w:firstLine="480" w:firstLineChars="200"/>
        <w:outlineLvl w:val="9"/>
        <w:rPr>
          <w:rFonts w:hint="eastAsia" w:ascii="宋体" w:hAnsi="楷体" w:eastAsia="宋体" w:cs="楷体"/>
          <w:sz w:val="24"/>
        </w:rPr>
      </w:pPr>
      <w:r>
        <w:rPr>
          <w:rFonts w:hint="eastAsia" w:ascii="宋体" w:hAnsi="楷体" w:eastAsia="宋体" w:cs="楷体"/>
          <w:sz w:val="24"/>
        </w:rPr>
        <w:t>25.1</w:t>
      </w:r>
      <w:r>
        <w:rPr>
          <w:rFonts w:hint="eastAsia" w:ascii="宋体" w:hAnsi="楷体" w:eastAsia="宋体" w:cs="楷体"/>
          <w:sz w:val="24"/>
        </w:rPr>
        <w:tab/>
      </w:r>
      <w:r>
        <w:rPr>
          <w:rFonts w:hint="eastAsia" w:ascii="宋体" w:hAnsi="楷体" w:eastAsia="宋体" w:cs="楷体"/>
          <w:sz w:val="24"/>
        </w:rPr>
        <w:t>评标将在严格保密的情况下进行。</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25.2</w:t>
      </w:r>
      <w:r>
        <w:rPr>
          <w:rFonts w:hint="eastAsia" w:ascii="宋体" w:hAnsi="楷体" w:eastAsia="宋体" w:cs="楷体"/>
          <w:sz w:val="24"/>
        </w:rPr>
        <w:tab/>
      </w:r>
      <w:r>
        <w:rPr>
          <w:rFonts w:hint="eastAsia" w:ascii="宋体" w:hAnsi="楷体" w:eastAsia="宋体" w:cs="楷体"/>
          <w:sz w:val="24"/>
        </w:rPr>
        <w:t>政府采购评审专家应当遵守评审工作纪律，不得泄露评审文件、评审情况和评审中获悉的商业秘密。</w:t>
      </w:r>
    </w:p>
    <w:p>
      <w:pPr>
        <w:pStyle w:val="5"/>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szCs w:val="28"/>
        </w:rPr>
      </w:pPr>
      <w:bookmarkStart w:id="180" w:name="_Toc216582810"/>
      <w:bookmarkStart w:id="181" w:name="_Toc18711"/>
      <w:r>
        <w:rPr>
          <w:rFonts w:hint="eastAsia" w:ascii="宋体" w:hAnsi="楷体" w:eastAsia="宋体" w:cs="楷体"/>
          <w:b/>
          <w:sz w:val="24"/>
          <w:szCs w:val="28"/>
        </w:rPr>
        <w:t xml:space="preserve">六   </w:t>
      </w:r>
      <w:bookmarkEnd w:id="179"/>
      <w:r>
        <w:rPr>
          <w:rFonts w:hint="eastAsia" w:ascii="宋体" w:hAnsi="楷体" w:eastAsia="宋体" w:cs="楷体"/>
          <w:b/>
          <w:sz w:val="24"/>
          <w:szCs w:val="28"/>
        </w:rPr>
        <w:t>确定中标</w:t>
      </w:r>
      <w:bookmarkEnd w:id="180"/>
      <w:bookmarkEnd w:id="181"/>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82" w:name="_Ref467307010"/>
      <w:bookmarkStart w:id="183" w:name="_Toc708"/>
      <w:bookmarkStart w:id="184" w:name="_Toc520356170"/>
      <w:bookmarkStart w:id="185" w:name="_Toc2748"/>
      <w:r>
        <w:rPr>
          <w:rFonts w:hint="eastAsia" w:ascii="宋体" w:hAnsi="楷体" w:eastAsia="宋体" w:cs="楷体"/>
          <w:b/>
          <w:sz w:val="24"/>
          <w:u w:val="none"/>
        </w:rPr>
        <w:t>26</w:t>
      </w:r>
      <w:r>
        <w:rPr>
          <w:rFonts w:hint="eastAsia" w:ascii="宋体" w:hAnsi="楷体" w:eastAsia="宋体" w:cs="楷体"/>
          <w:b/>
          <w:sz w:val="24"/>
          <w:u w:val="none"/>
          <w:lang w:eastAsia="zh-CN"/>
        </w:rPr>
        <w:t>.</w:t>
      </w:r>
      <w:r>
        <w:rPr>
          <w:rFonts w:hint="eastAsia" w:ascii="宋体" w:hAnsi="楷体" w:eastAsia="宋体" w:cs="楷体"/>
          <w:b/>
          <w:sz w:val="24"/>
          <w:u w:val="none"/>
        </w:rPr>
        <w:t>中标候选人的确定原则及标准</w:t>
      </w:r>
      <w:bookmarkEnd w:id="182"/>
      <w:bookmarkEnd w:id="183"/>
      <w:bookmarkEnd w:id="184"/>
      <w:bookmarkEnd w:id="185"/>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除评标委员会受采购人委托直接确定中标人的情形外，对实质上响应招标文件的投标人按下列方法进行排序，确定中标候选人：</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（1）采用最低评标价法的，除了算数修正和落实政府采购政策需进行的价格扣除外，不对投标人的投标价格进行任何调整。评标结果按投标报价由低到高顺序排列。报价相同的并列（详见第</w:t>
      </w:r>
      <w:r>
        <w:rPr>
          <w:rFonts w:hint="eastAsia" w:ascii="宋体" w:hAnsi="楷体" w:eastAsia="宋体" w:cs="楷体"/>
          <w:sz w:val="24"/>
          <w:lang w:val="en-US" w:eastAsia="zh-CN"/>
        </w:rPr>
        <w:t>七</w:t>
      </w:r>
      <w:r>
        <w:rPr>
          <w:rFonts w:hint="eastAsia" w:ascii="宋体" w:hAnsi="楷体" w:eastAsia="宋体" w:cs="楷体"/>
          <w:sz w:val="24"/>
        </w:rPr>
        <w:t>章）。</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（2）采用综合评分法的，评标结果按评审后得分由高到低顺序排列。得分相同的，按投标报价由低到高顺序排列。得分与投标报价均相同的并列（详见第</w:t>
      </w:r>
      <w:r>
        <w:rPr>
          <w:rFonts w:hint="eastAsia" w:ascii="宋体" w:hAnsi="楷体" w:eastAsia="宋体" w:cs="楷体"/>
          <w:sz w:val="24"/>
          <w:lang w:val="en-US" w:eastAsia="zh-CN"/>
        </w:rPr>
        <w:t>七</w:t>
      </w:r>
      <w:r>
        <w:rPr>
          <w:rFonts w:hint="eastAsia" w:ascii="宋体" w:hAnsi="楷体" w:eastAsia="宋体" w:cs="楷体"/>
          <w:sz w:val="24"/>
        </w:rPr>
        <w:t>章）。</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86" w:name="_Toc520356171"/>
      <w:bookmarkStart w:id="187" w:name="_Toc27585"/>
      <w:bookmarkStart w:id="188" w:name="_Toc18901"/>
      <w:r>
        <w:rPr>
          <w:rFonts w:hint="eastAsia" w:ascii="宋体" w:hAnsi="楷体" w:eastAsia="宋体" w:cs="楷体"/>
          <w:b/>
          <w:sz w:val="24"/>
          <w:u w:val="none"/>
        </w:rPr>
        <w:t>27</w:t>
      </w:r>
      <w:bookmarkEnd w:id="186"/>
      <w:r>
        <w:rPr>
          <w:rFonts w:hint="eastAsia" w:ascii="宋体" w:hAnsi="楷体" w:eastAsia="宋体" w:cs="楷体"/>
          <w:b/>
          <w:sz w:val="24"/>
          <w:u w:val="none"/>
          <w:lang w:eastAsia="zh-CN"/>
        </w:rPr>
        <w:t>.</w:t>
      </w:r>
      <w:r>
        <w:rPr>
          <w:rFonts w:hint="eastAsia" w:ascii="宋体" w:hAnsi="楷体" w:eastAsia="宋体" w:cs="楷体"/>
          <w:b/>
          <w:sz w:val="24"/>
          <w:u w:val="none"/>
        </w:rPr>
        <w:t>确定中标候选人和中标人</w:t>
      </w:r>
      <w:bookmarkEnd w:id="187"/>
      <w:bookmarkEnd w:id="188"/>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27.1   评标委员会将根据评标标准，按</w:t>
      </w:r>
      <w:r>
        <w:rPr>
          <w:rFonts w:hint="eastAsia" w:ascii="宋体" w:hAnsi="楷体" w:eastAsia="宋体" w:cs="楷体"/>
          <w:sz w:val="24"/>
          <w:u w:val="single"/>
        </w:rPr>
        <w:t>投标须知前附表</w:t>
      </w:r>
      <w:r>
        <w:rPr>
          <w:rFonts w:hint="eastAsia" w:ascii="宋体" w:hAnsi="楷体" w:eastAsia="宋体" w:cs="楷体"/>
          <w:sz w:val="24"/>
        </w:rPr>
        <w:t>中规定数量推荐中标候选人。</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27.2    按</w:t>
      </w:r>
      <w:r>
        <w:rPr>
          <w:rFonts w:hint="eastAsia" w:ascii="宋体" w:hAnsi="楷体" w:eastAsia="宋体" w:cs="楷体"/>
          <w:sz w:val="24"/>
          <w:u w:val="single"/>
        </w:rPr>
        <w:t>投标须知前附表</w:t>
      </w:r>
      <w:r>
        <w:rPr>
          <w:rFonts w:hint="eastAsia" w:ascii="宋体" w:hAnsi="楷体" w:eastAsia="宋体" w:cs="楷体"/>
          <w:sz w:val="24"/>
        </w:rPr>
        <w:t>中规定，由评标委员会直接确定中标人。</w:t>
      </w:r>
      <w:bookmarkStart w:id="189" w:name="_Toc520356174"/>
    </w:p>
    <w:p>
      <w:pPr>
        <w:pStyle w:val="7"/>
        <w:tabs>
          <w:tab w:val="left" w:pos="900"/>
        </w:tabs>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190" w:name="_Toc2582296"/>
      <w:bookmarkStart w:id="191" w:name="_Toc64"/>
      <w:bookmarkStart w:id="192" w:name="_Toc30370"/>
      <w:bookmarkStart w:id="193" w:name="_Toc31099"/>
      <w:bookmarkStart w:id="194" w:name="_Toc532473483"/>
      <w:bookmarkStart w:id="195" w:name="_Toc30170"/>
      <w:bookmarkStart w:id="196" w:name="_Toc515647791"/>
      <w:r>
        <w:rPr>
          <w:rFonts w:hint="eastAsia" w:ascii="宋体" w:hAnsi="楷体" w:eastAsia="宋体" w:cs="楷体"/>
          <w:b/>
          <w:sz w:val="24"/>
          <w:u w:val="none"/>
        </w:rPr>
        <w:t>28.发出中标通知书</w:t>
      </w:r>
      <w:bookmarkEnd w:id="190"/>
      <w:bookmarkEnd w:id="191"/>
      <w:bookmarkEnd w:id="192"/>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在投标有效期内，中标人确定后，采购人或者采购代理机构发布中标公告。在公告中标结果的同时，向中标人发出中标通知书，中标通知书是合同的组成部分。</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rPr>
      </w:pPr>
      <w:bookmarkStart w:id="197" w:name="_Toc3936"/>
      <w:bookmarkStart w:id="198" w:name="_Toc2582297"/>
      <w:bookmarkStart w:id="199" w:name="_Toc15377"/>
      <w:r>
        <w:rPr>
          <w:rFonts w:hint="eastAsia" w:ascii="宋体" w:hAnsi="楷体" w:eastAsia="宋体" w:cs="楷体"/>
          <w:b/>
          <w:sz w:val="24"/>
          <w:u w:val="none"/>
        </w:rPr>
        <w:t>29.告知招标结果</w:t>
      </w:r>
      <w:bookmarkEnd w:id="197"/>
      <w:bookmarkEnd w:id="198"/>
      <w:bookmarkEnd w:id="199"/>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在公告中标结果的同时，告知未通过资格审查投标人未通过的原因；采用综合评分法评审的，还将告知未中标人本人的评审得分和排序。</w:t>
      </w:r>
      <w:bookmarkEnd w:id="193"/>
      <w:bookmarkEnd w:id="194"/>
      <w:bookmarkEnd w:id="195"/>
      <w:bookmarkEnd w:id="196"/>
    </w:p>
    <w:bookmarkEnd w:id="189"/>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200" w:name="_Ref467306377"/>
      <w:bookmarkStart w:id="201" w:name="_Toc3939"/>
      <w:bookmarkStart w:id="202" w:name="_Ref467307204"/>
      <w:bookmarkStart w:id="203" w:name="_Toc9636"/>
      <w:bookmarkStart w:id="204" w:name="_Ref467307062"/>
      <w:bookmarkStart w:id="205" w:name="_Ref467306978"/>
      <w:bookmarkStart w:id="206" w:name="_Toc520356175"/>
      <w:r>
        <w:rPr>
          <w:rFonts w:hint="eastAsia" w:ascii="宋体" w:hAnsi="楷体" w:eastAsia="宋体" w:cs="楷体"/>
          <w:b/>
          <w:sz w:val="24"/>
          <w:u w:val="none"/>
        </w:rPr>
        <w:t>30.签订合同</w:t>
      </w:r>
      <w:bookmarkEnd w:id="200"/>
      <w:bookmarkEnd w:id="201"/>
      <w:bookmarkEnd w:id="202"/>
      <w:bookmarkEnd w:id="203"/>
      <w:bookmarkEnd w:id="204"/>
      <w:bookmarkEnd w:id="205"/>
      <w:bookmarkEnd w:id="206"/>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30.</w:t>
      </w:r>
      <w:r>
        <w:rPr>
          <w:rFonts w:hint="eastAsia" w:ascii="宋体" w:hAnsi="楷体" w:eastAsia="宋体" w:cs="楷体"/>
          <w:sz w:val="24"/>
          <w:lang w:val="en-US" w:eastAsia="zh-CN"/>
        </w:rPr>
        <w:t xml:space="preserve">1  </w:t>
      </w:r>
      <w:r>
        <w:rPr>
          <w:rFonts w:hint="eastAsia" w:ascii="宋体" w:hAnsi="楷体" w:eastAsia="宋体" w:cs="楷体"/>
          <w:sz w:val="24"/>
        </w:rPr>
        <w:t>中标人应当自发出中标通知书之日起30日内，与采购人签订合同。</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30.2</w:t>
      </w:r>
      <w:bookmarkStart w:id="207" w:name="_Ref467306425"/>
      <w:bookmarkStart w:id="208" w:name="_Toc520356176"/>
      <w:bookmarkStart w:id="209" w:name="_Ref467307090"/>
      <w:r>
        <w:rPr>
          <w:rFonts w:hint="eastAsia" w:ascii="宋体" w:hAnsi="楷体" w:eastAsia="宋体" w:cs="楷体"/>
          <w:sz w:val="24"/>
          <w:lang w:val="en-US" w:eastAsia="zh-CN"/>
        </w:rPr>
        <w:t xml:space="preserve">  </w:t>
      </w:r>
      <w:r>
        <w:rPr>
          <w:rFonts w:hint="eastAsia" w:ascii="宋体" w:hAnsi="楷体" w:eastAsia="宋体" w:cs="楷体"/>
          <w:sz w:val="24"/>
        </w:rPr>
        <w:t>招标文件、中标人的投标文件及其澄清文件等，均为签订合同的依据。</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30.3</w:t>
      </w:r>
      <w:r>
        <w:rPr>
          <w:rFonts w:hint="eastAsia" w:ascii="宋体" w:hAnsi="楷体" w:eastAsia="宋体" w:cs="楷体"/>
          <w:sz w:val="24"/>
          <w:lang w:val="en-US" w:eastAsia="zh-CN"/>
        </w:rPr>
        <w:t xml:space="preserve">  </w:t>
      </w:r>
      <w:r>
        <w:rPr>
          <w:rFonts w:hint="eastAsia" w:ascii="宋体" w:hAnsi="楷体" w:eastAsia="宋体" w:cs="楷体"/>
          <w:sz w:val="24"/>
        </w:rPr>
        <w:t>中标人拒绝与采购人签订合同的，采购人可以按照评审报告推荐的中标候选人名单排序，确定下一候选人为中标人，也可以重新开展政府采购活动。</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30.4</w:t>
      </w:r>
      <w:r>
        <w:rPr>
          <w:rFonts w:hint="eastAsia" w:ascii="宋体" w:hAnsi="楷体" w:eastAsia="宋体" w:cs="楷体"/>
          <w:sz w:val="24"/>
          <w:lang w:val="en-US" w:eastAsia="zh-CN"/>
        </w:rPr>
        <w:t xml:space="preserve">  </w:t>
      </w:r>
      <w:r>
        <w:rPr>
          <w:rFonts w:hint="eastAsia" w:ascii="宋体" w:hAnsi="楷体" w:eastAsia="宋体" w:cs="楷体"/>
          <w:sz w:val="24"/>
        </w:rPr>
        <w:t>当出现法规规定的中标无效或中标结果无效情形时，采购人可与排名下一位的中标候选人另行签订合同，或依法重新开展采购活动。</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210" w:name="_Toc31121"/>
      <w:bookmarkStart w:id="211" w:name="_Toc14085"/>
      <w:r>
        <w:rPr>
          <w:rFonts w:hint="eastAsia" w:ascii="宋体" w:hAnsi="楷体" w:eastAsia="宋体" w:cs="楷体"/>
          <w:b/>
          <w:sz w:val="24"/>
          <w:u w:val="none"/>
        </w:rPr>
        <w:t>31</w:t>
      </w:r>
      <w:r>
        <w:rPr>
          <w:rFonts w:hint="eastAsia" w:ascii="宋体" w:hAnsi="楷体" w:eastAsia="宋体" w:cs="楷体"/>
          <w:b/>
          <w:sz w:val="24"/>
          <w:u w:val="none"/>
          <w:lang w:eastAsia="zh-CN"/>
        </w:rPr>
        <w:t>.</w:t>
      </w:r>
      <w:r>
        <w:rPr>
          <w:rFonts w:hint="eastAsia" w:ascii="宋体" w:hAnsi="楷体" w:eastAsia="宋体" w:cs="楷体"/>
          <w:b/>
          <w:sz w:val="24"/>
          <w:u w:val="none"/>
        </w:rPr>
        <w:t>履约保证金</w:t>
      </w:r>
      <w:bookmarkEnd w:id="207"/>
      <w:bookmarkEnd w:id="208"/>
      <w:bookmarkEnd w:id="209"/>
      <w:bookmarkEnd w:id="210"/>
      <w:bookmarkEnd w:id="211"/>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31.1</w:t>
      </w:r>
      <w:r>
        <w:rPr>
          <w:rFonts w:hint="eastAsia" w:ascii="宋体" w:hAnsi="楷体" w:eastAsia="宋体" w:cs="楷体"/>
          <w:sz w:val="24"/>
          <w:lang w:val="en-US" w:eastAsia="zh-CN"/>
        </w:rPr>
        <w:t xml:space="preserve">  </w:t>
      </w:r>
      <w:r>
        <w:rPr>
          <w:rFonts w:hint="eastAsia" w:ascii="宋体" w:hAnsi="楷体" w:eastAsia="宋体" w:cs="楷体"/>
          <w:sz w:val="24"/>
        </w:rPr>
        <w:t>中标人应按照</w:t>
      </w:r>
      <w:r>
        <w:rPr>
          <w:rFonts w:hint="eastAsia" w:ascii="宋体" w:hAnsi="楷体" w:eastAsia="宋体" w:cs="楷体"/>
          <w:sz w:val="24"/>
          <w:u w:val="single"/>
        </w:rPr>
        <w:t>投标须知前附表</w:t>
      </w:r>
      <w:r>
        <w:rPr>
          <w:rFonts w:hint="eastAsia" w:ascii="宋体" w:hAnsi="楷体" w:eastAsia="宋体" w:cs="楷体"/>
          <w:sz w:val="24"/>
        </w:rPr>
        <w:t>规定的金额、形式和时间向采购人缴纳履约保证金（如采用保函形式，格式见本章附件1）。经采购人同意，中标人也可以自愿采用其他履约保证金的提供方式。</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31.2</w:t>
      </w:r>
      <w:r>
        <w:rPr>
          <w:rFonts w:hint="eastAsia" w:ascii="宋体" w:hAnsi="楷体" w:eastAsia="宋体" w:cs="楷体"/>
          <w:sz w:val="24"/>
          <w:lang w:val="en-US" w:eastAsia="zh-CN"/>
        </w:rPr>
        <w:t xml:space="preserve">  </w:t>
      </w:r>
      <w:r>
        <w:rPr>
          <w:rFonts w:hint="eastAsia" w:ascii="宋体" w:hAnsi="楷体" w:eastAsia="宋体" w:cs="楷体"/>
          <w:sz w:val="24"/>
        </w:rPr>
        <w:t>中标人除31.1规定的情形外，也可以按照财政部门的规定，向采购人提供合格的履约担保函（格式见本章附件2）。</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 xml:space="preserve">31.3 </w:t>
      </w:r>
      <w:r>
        <w:rPr>
          <w:rFonts w:hint="eastAsia" w:ascii="宋体" w:hAnsi="楷体" w:eastAsia="宋体" w:cs="楷体"/>
          <w:sz w:val="24"/>
          <w:lang w:val="en-US" w:eastAsia="zh-CN"/>
        </w:rPr>
        <w:t xml:space="preserve">  </w:t>
      </w:r>
      <w:r>
        <w:rPr>
          <w:rFonts w:hint="eastAsia" w:ascii="宋体" w:hAnsi="楷体" w:eastAsia="宋体" w:cs="楷体"/>
          <w:sz w:val="24"/>
        </w:rPr>
        <w:t>如果中标人没有按照上述第30条或31.1条的规定执行，将视为放弃中标资格，中标人的投标保证金将被没收。在此情况下，采购人可确定下一候选人为中标人，也可以重新开展政府采购活动。</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color w:val="auto"/>
          <w:sz w:val="24"/>
          <w:u w:val="none"/>
        </w:rPr>
      </w:pPr>
      <w:bookmarkStart w:id="212" w:name="_Toc518923098"/>
      <w:bookmarkStart w:id="213" w:name="_Toc26885"/>
      <w:bookmarkStart w:id="214" w:name="_Toc24977"/>
      <w:r>
        <w:rPr>
          <w:rFonts w:hint="eastAsia" w:ascii="宋体" w:hAnsi="楷体" w:eastAsia="宋体" w:cs="楷体"/>
          <w:b/>
          <w:color w:val="auto"/>
          <w:sz w:val="24"/>
          <w:u w:val="none"/>
        </w:rPr>
        <w:t>32.</w:t>
      </w:r>
      <w:bookmarkEnd w:id="212"/>
      <w:r>
        <w:rPr>
          <w:rFonts w:hint="eastAsia" w:ascii="宋体" w:hAnsi="楷体" w:eastAsia="宋体" w:cs="楷体"/>
          <w:b/>
          <w:color w:val="auto"/>
          <w:sz w:val="24"/>
          <w:u w:val="none"/>
        </w:rPr>
        <w:t>预付款</w:t>
      </w:r>
      <w:bookmarkEnd w:id="213"/>
      <w:bookmarkEnd w:id="214"/>
    </w:p>
    <w:p>
      <w:pPr>
        <w:snapToGrid/>
        <w:spacing w:beforeAutospacing="0" w:afterAutospacing="0" w:line="360" w:lineRule="auto"/>
        <w:ind w:left="0" w:leftChars="0" w:firstLine="480" w:firstLineChars="200"/>
        <w:rPr>
          <w:rFonts w:hint="eastAsia" w:ascii="宋体" w:hAnsi="楷体" w:eastAsia="宋体" w:cs="楷体"/>
          <w:color w:val="auto"/>
          <w:sz w:val="24"/>
        </w:rPr>
      </w:pPr>
      <w:r>
        <w:rPr>
          <w:rFonts w:hint="eastAsia" w:ascii="宋体" w:hAnsi="楷体" w:eastAsia="宋体" w:cs="楷体"/>
          <w:color w:val="auto"/>
          <w:sz w:val="24"/>
        </w:rPr>
        <w:t>32.</w:t>
      </w:r>
      <w:r>
        <w:rPr>
          <w:rFonts w:hint="eastAsia" w:ascii="宋体" w:hAnsi="楷体" w:eastAsia="宋体" w:cs="楷体"/>
          <w:color w:val="auto"/>
          <w:sz w:val="24"/>
          <w:lang w:val="en-US" w:eastAsia="zh-CN"/>
        </w:rPr>
        <w:t xml:space="preserve">1  </w:t>
      </w:r>
      <w:r>
        <w:rPr>
          <w:rFonts w:hint="eastAsia" w:ascii="宋体" w:hAnsi="楷体" w:eastAsia="宋体" w:cs="楷体"/>
          <w:color w:val="auto"/>
          <w:sz w:val="24"/>
        </w:rPr>
        <w:t>政府采购合同签订后，采购人向中标人预先支付部分合同款项，预付款金额为政府采购合同标的总金额的比例见</w:t>
      </w:r>
      <w:r>
        <w:rPr>
          <w:rFonts w:hint="eastAsia" w:ascii="宋体" w:hAnsi="楷体" w:eastAsia="宋体" w:cs="楷体"/>
          <w:color w:val="auto"/>
          <w:sz w:val="24"/>
          <w:u w:val="single"/>
        </w:rPr>
        <w:t>投标须知资料表</w:t>
      </w:r>
      <w:r>
        <w:rPr>
          <w:rFonts w:hint="eastAsia" w:ascii="宋体" w:hAnsi="楷体" w:eastAsia="宋体" w:cs="楷体"/>
          <w:color w:val="auto"/>
          <w:sz w:val="24"/>
        </w:rPr>
        <w:t>。如需提高预付款比例或者中标人为中小企业，预付款提高比例按照</w:t>
      </w:r>
      <w:r>
        <w:rPr>
          <w:rFonts w:hint="eastAsia" w:ascii="宋体" w:hAnsi="楷体" w:eastAsia="宋体" w:cs="楷体"/>
          <w:color w:val="auto"/>
          <w:sz w:val="24"/>
          <w:u w:val="single"/>
        </w:rPr>
        <w:t>投标须知资料表</w:t>
      </w:r>
      <w:r>
        <w:rPr>
          <w:rFonts w:hint="eastAsia" w:ascii="宋体" w:hAnsi="楷体" w:eastAsia="宋体" w:cs="楷体"/>
          <w:color w:val="auto"/>
          <w:sz w:val="24"/>
        </w:rPr>
        <w:t>规定执行。</w:t>
      </w:r>
    </w:p>
    <w:p>
      <w:pPr>
        <w:snapToGrid/>
        <w:spacing w:beforeAutospacing="0" w:afterAutospacing="0" w:line="360" w:lineRule="auto"/>
        <w:ind w:left="0" w:leftChars="0" w:firstLine="480" w:firstLineChars="200"/>
        <w:rPr>
          <w:rFonts w:hint="eastAsia" w:ascii="宋体" w:hAnsi="楷体" w:eastAsia="宋体" w:cs="楷体"/>
          <w:color w:val="auto"/>
          <w:sz w:val="24"/>
        </w:rPr>
      </w:pPr>
      <w:r>
        <w:rPr>
          <w:rFonts w:hint="eastAsia" w:ascii="宋体" w:hAnsi="楷体" w:eastAsia="宋体" w:cs="楷体"/>
          <w:color w:val="auto"/>
          <w:sz w:val="24"/>
        </w:rPr>
        <w:t>32.2</w:t>
      </w:r>
      <w:r>
        <w:rPr>
          <w:rFonts w:hint="eastAsia" w:ascii="宋体" w:hAnsi="楷体" w:eastAsia="宋体" w:cs="楷体"/>
          <w:color w:val="auto"/>
          <w:sz w:val="24"/>
          <w:lang w:val="en-US" w:eastAsia="zh-CN"/>
        </w:rPr>
        <w:t xml:space="preserve">  </w:t>
      </w:r>
      <w:r>
        <w:rPr>
          <w:rFonts w:hint="eastAsia" w:ascii="宋体" w:hAnsi="楷体" w:eastAsia="宋体" w:cs="楷体"/>
          <w:color w:val="auto"/>
          <w:sz w:val="24"/>
        </w:rPr>
        <w:t>如采购人要求，中标人在收到预付款前，需向采购人提供预付款保函。预付款保函是指中标人向银行或者有资质的专业的担保机构申请，由其向采购人出具的确保预付款直接或者间接用于政府采购合同履约或者保障政府采购履约质量的银行保函或者担保保函等。</w:t>
      </w:r>
    </w:p>
    <w:p>
      <w:pPr>
        <w:snapToGrid/>
        <w:spacing w:beforeAutospacing="0" w:afterAutospacing="0" w:line="360" w:lineRule="auto"/>
        <w:ind w:left="0" w:leftChars="0" w:firstLine="480" w:firstLineChars="200"/>
        <w:rPr>
          <w:rFonts w:hint="eastAsia" w:ascii="宋体" w:hAnsi="楷体" w:eastAsia="宋体" w:cs="楷体"/>
          <w:color w:val="auto"/>
          <w:sz w:val="24"/>
          <w:u w:val="single"/>
        </w:rPr>
      </w:pPr>
      <w:r>
        <w:rPr>
          <w:rFonts w:hint="eastAsia" w:ascii="宋体" w:hAnsi="楷体" w:eastAsia="宋体" w:cs="楷体"/>
          <w:color w:val="auto"/>
          <w:sz w:val="24"/>
        </w:rPr>
        <w:t>32.3</w:t>
      </w:r>
      <w:r>
        <w:rPr>
          <w:rFonts w:hint="eastAsia" w:ascii="宋体" w:hAnsi="楷体" w:eastAsia="宋体" w:cs="楷体"/>
          <w:color w:val="auto"/>
          <w:sz w:val="24"/>
          <w:lang w:val="en-US" w:eastAsia="zh-CN"/>
        </w:rPr>
        <w:t xml:space="preserve">  </w:t>
      </w:r>
      <w:r>
        <w:rPr>
          <w:rFonts w:hint="eastAsia" w:ascii="宋体" w:hAnsi="楷体" w:eastAsia="宋体" w:cs="楷体"/>
          <w:color w:val="auto"/>
          <w:sz w:val="24"/>
        </w:rPr>
        <w:t>本项目采购人不需要支付预付款的情形，见</w:t>
      </w:r>
      <w:r>
        <w:rPr>
          <w:rFonts w:hint="eastAsia" w:ascii="宋体" w:hAnsi="楷体" w:eastAsia="宋体" w:cs="楷体"/>
          <w:color w:val="auto"/>
          <w:sz w:val="24"/>
          <w:u w:val="single"/>
        </w:rPr>
        <w:t>投标须知资料表。</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215" w:name="_Toc18022"/>
      <w:bookmarkStart w:id="216" w:name="_Toc28491"/>
      <w:r>
        <w:rPr>
          <w:rFonts w:hint="eastAsia" w:ascii="宋体" w:hAnsi="楷体" w:eastAsia="宋体" w:cs="楷体"/>
          <w:b/>
          <w:sz w:val="24"/>
          <w:u w:val="none"/>
        </w:rPr>
        <w:t>33.招标代理费</w:t>
      </w:r>
      <w:bookmarkEnd w:id="215"/>
      <w:bookmarkEnd w:id="216"/>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本项目是否由中标人向采购代理机构支付招标代理费，按照</w:t>
      </w:r>
      <w:r>
        <w:rPr>
          <w:rFonts w:hint="eastAsia" w:ascii="宋体" w:hAnsi="楷体" w:eastAsia="宋体" w:cs="楷体"/>
          <w:sz w:val="24"/>
          <w:u w:val="single"/>
        </w:rPr>
        <w:t>投标须知资料表</w:t>
      </w:r>
      <w:r>
        <w:rPr>
          <w:rFonts w:hint="eastAsia" w:ascii="宋体" w:hAnsi="楷体" w:eastAsia="宋体" w:cs="楷体"/>
          <w:sz w:val="24"/>
        </w:rPr>
        <w:t>规定执行。</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217" w:name="_Toc23452"/>
      <w:bookmarkStart w:id="218" w:name="_Toc20506"/>
      <w:r>
        <w:rPr>
          <w:rFonts w:hint="eastAsia" w:ascii="宋体" w:hAnsi="楷体" w:eastAsia="宋体" w:cs="楷体"/>
          <w:b/>
          <w:sz w:val="24"/>
          <w:u w:val="none"/>
        </w:rPr>
        <w:t>34.政府采购信用担保</w:t>
      </w:r>
      <w:bookmarkEnd w:id="217"/>
      <w:bookmarkEnd w:id="218"/>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34.1   中小型企业投标人可以自由按照财政部门的规定，采用投标担保、履约担保和融资担保。</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34.2   投标人递交的投标担保函和履约担保函应符合本招标文件的规定。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34.3   投标人可以采取融资担保的形式为政府采购项目履约进行融资。</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219" w:name="_Toc7763"/>
      <w:bookmarkStart w:id="220" w:name="_Toc518923100"/>
      <w:bookmarkStart w:id="221" w:name="_Toc2583661"/>
      <w:bookmarkStart w:id="222" w:name="_Toc23918"/>
      <w:r>
        <w:rPr>
          <w:rFonts w:hint="eastAsia" w:ascii="宋体" w:hAnsi="楷体" w:eastAsia="宋体" w:cs="楷体"/>
          <w:b/>
          <w:sz w:val="24"/>
          <w:u w:val="none"/>
        </w:rPr>
        <w:t>35.廉洁自律规定</w:t>
      </w:r>
      <w:bookmarkEnd w:id="219"/>
      <w:bookmarkEnd w:id="220"/>
      <w:bookmarkEnd w:id="221"/>
      <w:bookmarkEnd w:id="222"/>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35.1   采购代理机构工作人员不得以不正当手段获取政府采购代理业务，不得与采购人、供应商恶意串通。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35.2   采购代理机构工作人员不得接受采购人或者供应商组织的宴请、旅游、娱乐，不得收受礼品、现金、有价证券等，不得向采购人或者供应商报销应当由个人承担的费用。</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35.3   为强化内部监督机制，供应商可按</w:t>
      </w:r>
      <w:r>
        <w:rPr>
          <w:rFonts w:hint="eastAsia" w:ascii="宋体" w:hAnsi="楷体" w:eastAsia="宋体" w:cs="楷体"/>
          <w:sz w:val="24"/>
          <w:u w:val="single"/>
        </w:rPr>
        <w:t>投标须知前附表</w:t>
      </w:r>
      <w:r>
        <w:rPr>
          <w:rFonts w:hint="eastAsia" w:ascii="宋体" w:hAnsi="楷体" w:eastAsia="宋体" w:cs="楷体"/>
          <w:sz w:val="24"/>
        </w:rPr>
        <w:t>中代理机构的反腐倡廉监督电话/邮箱，反映采购代理机构的廉洁自律等问题。</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223" w:name="_Toc30173"/>
      <w:bookmarkStart w:id="224" w:name="_Toc518923101"/>
      <w:bookmarkStart w:id="225" w:name="_Toc2583662"/>
      <w:bookmarkStart w:id="226" w:name="_Toc30486"/>
      <w:r>
        <w:rPr>
          <w:rFonts w:hint="eastAsia" w:ascii="宋体" w:hAnsi="楷体" w:eastAsia="宋体" w:cs="楷体"/>
          <w:b/>
          <w:sz w:val="24"/>
          <w:u w:val="none"/>
        </w:rPr>
        <w:t>36.人员回避</w:t>
      </w:r>
      <w:bookmarkEnd w:id="223"/>
      <w:bookmarkEnd w:id="224"/>
      <w:bookmarkEnd w:id="225"/>
      <w:bookmarkEnd w:id="226"/>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潜在投标人认为招标文件使自己的权益受到损害的，投标人认为采购人员及其相关人员有法律法规所列与其他供应商有利害关系的，均可以向采购人或采购代理机构书面提出回避申请，并说明理由。</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u w:val="none"/>
        </w:rPr>
      </w:pPr>
      <w:bookmarkStart w:id="227" w:name="_Toc12917"/>
      <w:bookmarkStart w:id="228" w:name="_Toc23566"/>
      <w:bookmarkStart w:id="229" w:name="_Toc2583663"/>
      <w:bookmarkStart w:id="230" w:name="_Toc518923102"/>
      <w:r>
        <w:rPr>
          <w:rFonts w:hint="eastAsia" w:ascii="宋体" w:hAnsi="楷体" w:eastAsia="宋体" w:cs="楷体"/>
          <w:b/>
          <w:sz w:val="24"/>
          <w:u w:val="none"/>
        </w:rPr>
        <w:t>37.质疑的提出与接收</w:t>
      </w:r>
      <w:bookmarkEnd w:id="227"/>
      <w:bookmarkEnd w:id="228"/>
      <w:bookmarkEnd w:id="229"/>
      <w:bookmarkEnd w:id="230"/>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37.1  投标人认为招标文件、招标过程和中标结果使自己的权益受到损害的，可以根据《中华人民共和国政府采购法</w:t>
      </w:r>
      <w:r>
        <w:rPr>
          <w:rFonts w:hint="eastAsia" w:ascii="宋体" w:hAnsi="楷体" w:eastAsia="宋体" w:cs="楷体"/>
          <w:sz w:val="24"/>
          <w:lang w:eastAsia="zh-CN"/>
        </w:rPr>
        <w:t>》《</w:t>
      </w:r>
      <w:r>
        <w:rPr>
          <w:rFonts w:hint="eastAsia" w:ascii="宋体" w:hAnsi="楷体" w:eastAsia="宋体" w:cs="楷体"/>
          <w:sz w:val="24"/>
        </w:rPr>
        <w:t>中华人民共和国政府采购法实施条例》和《政府采购质疑和投诉办法》的有关规定，依法向采购人或其委托的采购代理机构提出质疑。</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37.2  质疑供应商应按照财政部制定的《政府采购质疑函范本》格式（可从财政部官方网站下载）和《政府采购质疑和投诉办法》的要求，在法定质疑期内以书面形式</w:t>
      </w:r>
      <w:r>
        <w:rPr>
          <w:rFonts w:hint="eastAsia" w:ascii="宋体" w:hAnsi="楷体" w:eastAsia="宋体" w:cs="楷体"/>
          <w:sz w:val="24"/>
          <w:lang w:eastAsia="zh-CN"/>
        </w:rPr>
        <w:t>质疑</w:t>
      </w:r>
      <w:r>
        <w:rPr>
          <w:rFonts w:hint="eastAsia" w:ascii="宋体" w:hAnsi="楷体" w:eastAsia="宋体" w:cs="楷体"/>
          <w:sz w:val="24"/>
        </w:rPr>
        <w:t>，针对同一采购程序环节的质疑次数应符合</w:t>
      </w:r>
      <w:r>
        <w:rPr>
          <w:rFonts w:hint="eastAsia" w:ascii="宋体" w:hAnsi="楷体" w:eastAsia="宋体" w:cs="楷体"/>
          <w:sz w:val="24"/>
          <w:u w:val="single"/>
        </w:rPr>
        <w:t>投标须知前附表</w:t>
      </w:r>
      <w:r>
        <w:rPr>
          <w:rFonts w:hint="eastAsia" w:ascii="宋体" w:hAnsi="楷体" w:eastAsia="宋体" w:cs="楷体"/>
          <w:sz w:val="24"/>
        </w:rPr>
        <w:t>的规定。</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超出法定质疑期提交的质疑将被拒绝。</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重复或分次提出的、内容或形式不符合《政府采购质疑和投诉办法》的，质疑供应商将依法承担不利后果。</w:t>
      </w:r>
    </w:p>
    <w:p>
      <w:pPr>
        <w:snapToGrid/>
        <w:spacing w:beforeAutospacing="0" w:afterAutospacing="0" w:line="360" w:lineRule="auto"/>
        <w:ind w:left="0" w:leftChars="0" w:firstLine="480" w:firstLineChars="200"/>
        <w:outlineLvl w:val="2"/>
        <w:rPr>
          <w:rFonts w:hint="eastAsia" w:ascii="宋体" w:hAnsi="楷体" w:eastAsia="宋体" w:cs="楷体"/>
          <w:sz w:val="24"/>
        </w:rPr>
      </w:pPr>
      <w:r>
        <w:rPr>
          <w:rFonts w:hint="eastAsia" w:ascii="宋体" w:hAnsi="楷体" w:eastAsia="宋体" w:cs="楷体"/>
          <w:sz w:val="24"/>
        </w:rPr>
        <w:t>37.3  采购代理机构质疑函接收部门、联系电话和通讯地址</w:t>
      </w:r>
    </w:p>
    <w:p>
      <w:pPr>
        <w:snapToGrid/>
        <w:spacing w:beforeAutospacing="0" w:afterAutospacing="0" w:line="360" w:lineRule="auto"/>
        <w:ind w:left="0" w:leftChars="0" w:firstLine="480" w:firstLineChars="200"/>
        <w:rPr>
          <w:rFonts w:hint="default" w:ascii="宋体" w:hAnsi="楷体" w:eastAsia="宋体" w:cs="楷体"/>
          <w:sz w:val="24"/>
          <w:lang w:val="en-US"/>
        </w:rPr>
      </w:pPr>
      <w:r>
        <w:rPr>
          <w:rFonts w:hint="eastAsia" w:ascii="宋体" w:hAnsi="楷体" w:eastAsia="宋体" w:cs="楷体"/>
          <w:sz w:val="24"/>
        </w:rPr>
        <w:t>联系部门：</w:t>
      </w:r>
      <w:r>
        <w:rPr>
          <w:rFonts w:hint="eastAsia" w:ascii="宋体" w:hAnsi="楷体" w:eastAsia="宋体" w:cs="楷体"/>
          <w:sz w:val="24"/>
          <w:lang w:eastAsia="zh-CN"/>
        </w:rPr>
        <w:t>新疆拓越招标代理有限公司</w:t>
      </w:r>
      <w:r>
        <w:rPr>
          <w:rFonts w:hint="eastAsia" w:ascii="宋体" w:hAnsi="楷体" w:eastAsia="宋体" w:cs="楷体"/>
          <w:sz w:val="24"/>
          <w:lang w:val="en-US" w:eastAsia="zh-CN"/>
        </w:rPr>
        <w:t>业务部</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联系电话：18299255568</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通讯地址：新疆伊宁市开发区上海北路鸿泰康城小区旁院内办公楼2楼</w:t>
      </w:r>
    </w:p>
    <w:p>
      <w:pPr>
        <w:pStyle w:val="5"/>
        <w:snapToGrid/>
        <w:spacing w:before="0" w:beforeAutospacing="0" w:afterAutospacing="0" w:line="360" w:lineRule="auto"/>
        <w:ind w:left="0" w:leftChars="0" w:firstLine="480" w:firstLineChars="200"/>
        <w:rPr>
          <w:rFonts w:hint="eastAsia" w:ascii="宋体" w:hAnsi="楷体" w:eastAsia="宋体" w:cs="楷体"/>
          <w:sz w:val="24"/>
          <w:szCs w:val="24"/>
        </w:rPr>
      </w:pPr>
      <w:r>
        <w:rPr>
          <w:rFonts w:hint="eastAsia" w:ascii="宋体" w:hAnsi="楷体" w:eastAsia="宋体" w:cs="楷体"/>
          <w:sz w:val="24"/>
        </w:rPr>
        <w:br w:type="page"/>
      </w:r>
      <w:bookmarkStart w:id="231" w:name="_Toc2242"/>
      <w:r>
        <w:rPr>
          <w:rFonts w:hint="eastAsia" w:ascii="宋体" w:hAnsi="楷体" w:eastAsia="宋体" w:cs="楷体"/>
          <w:sz w:val="24"/>
          <w:szCs w:val="24"/>
        </w:rPr>
        <w:t>附件1：履约保证金保函（格式）</w:t>
      </w:r>
      <w:bookmarkEnd w:id="231"/>
    </w:p>
    <w:p>
      <w:pPr>
        <w:pStyle w:val="21"/>
        <w:snapToGrid/>
        <w:spacing w:beforeAutospacing="0" w:afterAutospacing="0" w:line="360" w:lineRule="auto"/>
        <w:ind w:left="0" w:leftChars="0" w:firstLine="480" w:firstLineChars="200"/>
        <w:rPr>
          <w:rFonts w:hint="eastAsia" w:ascii="宋体" w:hAnsi="楷体" w:eastAsia="宋体" w:cs="楷体"/>
          <w:bCs/>
          <w:sz w:val="24"/>
        </w:rPr>
      </w:pPr>
      <w:r>
        <w:rPr>
          <w:rFonts w:hint="eastAsia" w:ascii="宋体" w:hAnsi="楷体" w:eastAsia="宋体" w:cs="楷体"/>
          <w:bCs/>
          <w:sz w:val="24"/>
        </w:rPr>
        <w:t>（中标后开具）</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 xml:space="preserve">致: </w:t>
      </w:r>
      <w:r>
        <w:rPr>
          <w:rFonts w:hint="eastAsia" w:ascii="宋体" w:hAnsi="楷体" w:eastAsia="宋体" w:cs="楷体"/>
          <w:sz w:val="24"/>
          <w:lang w:eastAsia="zh-CN"/>
        </w:rPr>
        <w:t>（</w:t>
      </w:r>
      <w:r>
        <w:rPr>
          <w:rFonts w:hint="eastAsia" w:ascii="宋体" w:hAnsi="楷体" w:eastAsia="宋体" w:cs="楷体"/>
          <w:i/>
          <w:sz w:val="24"/>
          <w:u w:val="single"/>
        </w:rPr>
        <w:t>买方名称</w:t>
      </w:r>
      <w:r>
        <w:rPr>
          <w:rFonts w:hint="eastAsia" w:ascii="宋体" w:hAnsi="楷体" w:eastAsia="宋体" w:cs="楷体"/>
          <w:i/>
          <w:sz w:val="24"/>
          <w:u w:val="single"/>
          <w:lang w:eastAsia="zh-CN"/>
        </w:rPr>
        <w:t>）</w:t>
      </w:r>
    </w:p>
    <w:p>
      <w:pPr>
        <w:pStyle w:val="21"/>
        <w:snapToGrid/>
        <w:spacing w:beforeAutospacing="0" w:afterAutospacing="0" w:line="360" w:lineRule="auto"/>
        <w:ind w:left="0" w:leftChars="0" w:firstLine="480" w:firstLineChars="200"/>
        <w:jc w:val="center"/>
        <w:rPr>
          <w:rFonts w:hint="eastAsia" w:ascii="宋体" w:hAnsi="楷体" w:eastAsia="宋体" w:cs="楷体"/>
          <w:sz w:val="24"/>
        </w:rPr>
      </w:pPr>
      <w:r>
        <w:rPr>
          <w:rFonts w:hint="eastAsia" w:ascii="宋体" w:hAnsi="楷体" w:eastAsia="宋体" w:cs="楷体"/>
          <w:sz w:val="24"/>
        </w:rPr>
        <w:t>号合同履约保函</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本保函作为贵方与</w:t>
      </w:r>
      <w:r>
        <w:rPr>
          <w:rFonts w:hint="eastAsia" w:ascii="宋体" w:hAnsi="楷体" w:eastAsia="宋体" w:cs="楷体"/>
          <w:sz w:val="24"/>
          <w:lang w:eastAsia="zh-CN"/>
        </w:rPr>
        <w:t>（</w:t>
      </w:r>
      <w:r>
        <w:rPr>
          <w:rFonts w:hint="eastAsia" w:ascii="宋体" w:hAnsi="楷体" w:eastAsia="宋体" w:cs="楷体"/>
          <w:i/>
          <w:sz w:val="24"/>
          <w:u w:val="single"/>
        </w:rPr>
        <w:t>卖方名称</w:t>
      </w:r>
      <w:r>
        <w:rPr>
          <w:rFonts w:hint="eastAsia" w:ascii="宋体" w:hAnsi="楷体" w:eastAsia="宋体" w:cs="楷体"/>
          <w:i/>
          <w:sz w:val="24"/>
          <w:u w:val="single"/>
          <w:lang w:eastAsia="zh-CN"/>
        </w:rPr>
        <w:t>）（</w:t>
      </w:r>
      <w:r>
        <w:rPr>
          <w:rFonts w:hint="eastAsia" w:ascii="宋体" w:hAnsi="楷体" w:eastAsia="宋体" w:cs="楷体"/>
          <w:sz w:val="24"/>
        </w:rPr>
        <w:t>以下简称卖方</w:t>
      </w:r>
      <w:r>
        <w:rPr>
          <w:rFonts w:hint="eastAsia" w:ascii="宋体" w:hAnsi="楷体" w:eastAsia="宋体" w:cs="楷体"/>
          <w:sz w:val="24"/>
          <w:lang w:eastAsia="zh-CN"/>
        </w:rPr>
        <w:t>）</w:t>
      </w:r>
      <w:r>
        <w:rPr>
          <w:rFonts w:hint="eastAsia" w:ascii="宋体" w:hAnsi="楷体" w:eastAsia="宋体" w:cs="楷体"/>
          <w:sz w:val="24"/>
        </w:rPr>
        <w:t>于</w:t>
      </w:r>
      <w:r>
        <w:rPr>
          <w:rFonts w:hint="eastAsia" w:ascii="宋体" w:hAnsi="楷体" w:eastAsia="宋体" w:cs="楷体"/>
          <w:sz w:val="24"/>
          <w:u w:val="single"/>
        </w:rPr>
        <w:t xml:space="preserve">     </w:t>
      </w:r>
      <w:r>
        <w:rPr>
          <w:rFonts w:hint="eastAsia" w:ascii="宋体" w:hAnsi="楷体" w:eastAsia="宋体" w:cs="楷体"/>
          <w:sz w:val="24"/>
        </w:rPr>
        <w:t>年</w:t>
      </w:r>
      <w:r>
        <w:rPr>
          <w:rFonts w:hint="eastAsia" w:ascii="宋体" w:hAnsi="楷体" w:eastAsia="宋体" w:cs="楷体"/>
          <w:sz w:val="24"/>
          <w:u w:val="single"/>
        </w:rPr>
        <w:t xml:space="preserve">     </w:t>
      </w:r>
      <w:r>
        <w:rPr>
          <w:rFonts w:hint="eastAsia" w:ascii="宋体" w:hAnsi="楷体" w:eastAsia="宋体" w:cs="楷体"/>
          <w:sz w:val="24"/>
        </w:rPr>
        <w:t>月</w:t>
      </w:r>
      <w:r>
        <w:rPr>
          <w:rFonts w:hint="eastAsia" w:ascii="宋体" w:hAnsi="楷体" w:eastAsia="宋体" w:cs="楷体"/>
          <w:sz w:val="24"/>
          <w:u w:val="single"/>
        </w:rPr>
        <w:t xml:space="preserve">     </w:t>
      </w:r>
      <w:r>
        <w:rPr>
          <w:rFonts w:hint="eastAsia" w:ascii="宋体" w:hAnsi="楷体" w:eastAsia="宋体" w:cs="楷体"/>
          <w:sz w:val="24"/>
        </w:rPr>
        <w:t>日就</w:t>
      </w:r>
      <w:r>
        <w:rPr>
          <w:rFonts w:hint="eastAsia" w:ascii="宋体" w:hAnsi="楷体" w:eastAsia="宋体" w:cs="楷体"/>
          <w:sz w:val="24"/>
          <w:u w:val="single"/>
        </w:rPr>
        <w:t xml:space="preserve">                  </w:t>
      </w:r>
      <w:r>
        <w:rPr>
          <w:rFonts w:hint="eastAsia" w:ascii="宋体" w:hAnsi="楷体" w:eastAsia="宋体" w:cs="楷体"/>
          <w:sz w:val="24"/>
        </w:rPr>
        <w:t>项目</w:t>
      </w:r>
      <w:r>
        <w:rPr>
          <w:rFonts w:hint="eastAsia" w:ascii="宋体" w:hAnsi="楷体" w:eastAsia="宋体" w:cs="楷体"/>
          <w:sz w:val="24"/>
          <w:lang w:eastAsia="zh-CN"/>
        </w:rPr>
        <w:t>（</w:t>
      </w:r>
      <w:r>
        <w:rPr>
          <w:rFonts w:hint="eastAsia" w:ascii="宋体" w:hAnsi="楷体" w:eastAsia="宋体" w:cs="楷体"/>
          <w:sz w:val="24"/>
        </w:rPr>
        <w:t>以下简称项目</w:t>
      </w:r>
      <w:r>
        <w:rPr>
          <w:rFonts w:hint="eastAsia" w:ascii="宋体" w:hAnsi="楷体" w:eastAsia="宋体" w:cs="楷体"/>
          <w:sz w:val="24"/>
          <w:lang w:eastAsia="zh-CN"/>
        </w:rPr>
        <w:t>）</w:t>
      </w:r>
      <w:r>
        <w:rPr>
          <w:rFonts w:hint="eastAsia" w:ascii="宋体" w:hAnsi="楷体" w:eastAsia="宋体" w:cs="楷体"/>
          <w:sz w:val="24"/>
        </w:rPr>
        <w:t>项下提供</w:t>
      </w:r>
      <w:r>
        <w:rPr>
          <w:rFonts w:hint="eastAsia" w:ascii="宋体" w:hAnsi="楷体" w:eastAsia="宋体" w:cs="楷体"/>
          <w:sz w:val="24"/>
          <w:lang w:eastAsia="zh-CN"/>
        </w:rPr>
        <w:t>（</w:t>
      </w:r>
      <w:r>
        <w:rPr>
          <w:rFonts w:hint="eastAsia" w:ascii="宋体" w:hAnsi="楷体" w:eastAsia="宋体" w:cs="楷体"/>
          <w:i/>
          <w:sz w:val="24"/>
          <w:u w:val="single"/>
        </w:rPr>
        <w:t>货物名称</w:t>
      </w:r>
      <w:r>
        <w:rPr>
          <w:rFonts w:hint="eastAsia" w:ascii="宋体" w:hAnsi="楷体" w:eastAsia="宋体" w:cs="楷体"/>
          <w:i/>
          <w:sz w:val="24"/>
          <w:u w:val="single"/>
          <w:lang w:eastAsia="zh-CN"/>
        </w:rPr>
        <w:t>）（</w:t>
      </w:r>
      <w:r>
        <w:rPr>
          <w:rFonts w:hint="eastAsia" w:ascii="宋体" w:hAnsi="楷体" w:eastAsia="宋体" w:cs="楷体"/>
          <w:sz w:val="24"/>
        </w:rPr>
        <w:t>以下简称货物</w:t>
      </w:r>
      <w:r>
        <w:rPr>
          <w:rFonts w:hint="eastAsia" w:ascii="宋体" w:hAnsi="楷体" w:eastAsia="宋体" w:cs="楷体"/>
          <w:sz w:val="24"/>
          <w:lang w:eastAsia="zh-CN"/>
        </w:rPr>
        <w:t>）</w:t>
      </w:r>
      <w:r>
        <w:rPr>
          <w:rFonts w:hint="eastAsia" w:ascii="宋体" w:hAnsi="楷体" w:eastAsia="宋体" w:cs="楷体"/>
          <w:sz w:val="24"/>
        </w:rPr>
        <w:t>签订的</w:t>
      </w:r>
      <w:r>
        <w:rPr>
          <w:rFonts w:hint="eastAsia" w:ascii="宋体" w:hAnsi="楷体" w:eastAsia="宋体" w:cs="楷体"/>
          <w:sz w:val="24"/>
          <w:lang w:eastAsia="zh-CN"/>
        </w:rPr>
        <w:t>（</w:t>
      </w:r>
      <w:r>
        <w:rPr>
          <w:rFonts w:hint="eastAsia" w:ascii="宋体" w:hAnsi="楷体" w:eastAsia="宋体" w:cs="楷体"/>
          <w:i/>
          <w:sz w:val="24"/>
          <w:u w:val="single"/>
        </w:rPr>
        <w:t>合同号</w:t>
      </w:r>
      <w:r>
        <w:rPr>
          <w:rFonts w:hint="eastAsia" w:ascii="宋体" w:hAnsi="楷体" w:eastAsia="宋体" w:cs="楷体"/>
          <w:i/>
          <w:sz w:val="24"/>
          <w:u w:val="single"/>
          <w:lang w:eastAsia="zh-CN"/>
        </w:rPr>
        <w:t>）</w:t>
      </w:r>
      <w:r>
        <w:rPr>
          <w:rFonts w:hint="eastAsia" w:ascii="宋体" w:hAnsi="楷体" w:eastAsia="宋体" w:cs="楷体"/>
          <w:sz w:val="24"/>
        </w:rPr>
        <w:t>号合同的履约保函。</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lang w:eastAsia="zh-CN"/>
        </w:rPr>
        <w:t>（</w:t>
      </w:r>
      <w:r>
        <w:rPr>
          <w:rFonts w:hint="eastAsia" w:ascii="宋体" w:hAnsi="楷体" w:eastAsia="宋体" w:cs="楷体"/>
          <w:i/>
          <w:sz w:val="24"/>
          <w:u w:val="single"/>
        </w:rPr>
        <w:t>出具保函的银行名称</w:t>
      </w:r>
      <w:r>
        <w:rPr>
          <w:rFonts w:hint="eastAsia" w:ascii="宋体" w:hAnsi="楷体" w:eastAsia="宋体" w:cs="楷体"/>
          <w:i/>
          <w:sz w:val="24"/>
          <w:u w:val="single"/>
          <w:lang w:eastAsia="zh-CN"/>
        </w:rPr>
        <w:t>）（</w:t>
      </w:r>
      <w:r>
        <w:rPr>
          <w:rFonts w:hint="eastAsia" w:ascii="宋体" w:hAnsi="楷体" w:eastAsia="宋体" w:cs="楷体"/>
          <w:sz w:val="24"/>
        </w:rPr>
        <w:t>以下简称银行</w:t>
      </w:r>
      <w:r>
        <w:rPr>
          <w:rFonts w:hint="eastAsia" w:ascii="宋体" w:hAnsi="楷体" w:eastAsia="宋体" w:cs="楷体"/>
          <w:sz w:val="24"/>
          <w:lang w:eastAsia="zh-CN"/>
        </w:rPr>
        <w:t>）</w:t>
      </w:r>
      <w:r>
        <w:rPr>
          <w:rFonts w:hint="eastAsia" w:ascii="宋体" w:hAnsi="楷体" w:eastAsia="宋体" w:cs="楷体"/>
          <w:sz w:val="24"/>
        </w:rPr>
        <w:t>无条件地、不可撤销地具结保证本行、其继承人和受让人无追索地向贵方以</w:t>
      </w:r>
      <w:r>
        <w:rPr>
          <w:rFonts w:hint="eastAsia" w:ascii="宋体" w:hAnsi="楷体" w:eastAsia="宋体" w:cs="楷体"/>
          <w:sz w:val="24"/>
          <w:lang w:eastAsia="zh-CN"/>
        </w:rPr>
        <w:t>（</w:t>
      </w:r>
      <w:r>
        <w:rPr>
          <w:rFonts w:hint="eastAsia" w:ascii="宋体" w:hAnsi="楷体" w:eastAsia="宋体" w:cs="楷体"/>
          <w:i/>
          <w:sz w:val="24"/>
          <w:u w:val="single"/>
        </w:rPr>
        <w:t>货币名称</w:t>
      </w:r>
      <w:r>
        <w:rPr>
          <w:rFonts w:hint="eastAsia" w:ascii="宋体" w:hAnsi="楷体" w:eastAsia="宋体" w:cs="楷体"/>
          <w:i/>
          <w:sz w:val="24"/>
          <w:u w:val="single"/>
          <w:lang w:eastAsia="zh-CN"/>
        </w:rPr>
        <w:t>）</w:t>
      </w:r>
      <w:r>
        <w:rPr>
          <w:rFonts w:hint="eastAsia" w:ascii="宋体" w:hAnsi="楷体" w:eastAsia="宋体" w:cs="楷体"/>
          <w:sz w:val="24"/>
        </w:rPr>
        <w:t>支付总额不超过</w:t>
      </w:r>
      <w:r>
        <w:rPr>
          <w:rFonts w:hint="eastAsia" w:ascii="宋体" w:hAnsi="楷体" w:eastAsia="宋体" w:cs="楷体"/>
          <w:sz w:val="24"/>
          <w:lang w:eastAsia="zh-CN"/>
        </w:rPr>
        <w:t>（</w:t>
      </w:r>
      <w:r>
        <w:rPr>
          <w:rFonts w:hint="eastAsia" w:ascii="宋体" w:hAnsi="楷体" w:eastAsia="宋体" w:cs="楷体"/>
          <w:i/>
          <w:sz w:val="24"/>
          <w:u w:val="single"/>
        </w:rPr>
        <w:t>货币数量</w:t>
      </w:r>
      <w:r>
        <w:rPr>
          <w:rFonts w:hint="eastAsia" w:ascii="宋体" w:hAnsi="楷体" w:eastAsia="宋体" w:cs="楷体"/>
          <w:i/>
          <w:sz w:val="24"/>
          <w:u w:val="single"/>
          <w:lang w:eastAsia="zh-CN"/>
        </w:rPr>
        <w:t>），</w:t>
      </w:r>
      <w:r>
        <w:rPr>
          <w:rFonts w:hint="eastAsia" w:ascii="宋体" w:hAnsi="楷体" w:eastAsia="宋体" w:cs="楷体"/>
          <w:sz w:val="24"/>
        </w:rPr>
        <w:t>即相当于合同价格的</w:t>
      </w:r>
      <w:r>
        <w:rPr>
          <w:rFonts w:hint="eastAsia" w:ascii="宋体" w:hAnsi="楷体" w:eastAsia="宋体" w:cs="楷体"/>
          <w:sz w:val="24"/>
          <w:u w:val="single"/>
        </w:rPr>
        <w:t xml:space="preserve">     </w:t>
      </w:r>
      <w:r>
        <w:rPr>
          <w:rFonts w:hint="eastAsia" w:ascii="宋体" w:hAnsi="楷体" w:eastAsia="宋体" w:cs="楷体"/>
          <w:sz w:val="24"/>
        </w:rPr>
        <w:t>%</w:t>
      </w:r>
      <w:r>
        <w:rPr>
          <w:rFonts w:hint="eastAsia" w:ascii="宋体" w:hAnsi="楷体" w:eastAsia="宋体" w:cs="楷体"/>
          <w:sz w:val="24"/>
          <w:lang w:eastAsia="zh-CN"/>
        </w:rPr>
        <w:t>，</w:t>
      </w:r>
      <w:r>
        <w:rPr>
          <w:rFonts w:hint="eastAsia" w:ascii="宋体" w:hAnsi="楷体" w:eastAsia="宋体" w:cs="楷体"/>
          <w:sz w:val="24"/>
        </w:rPr>
        <w:t>并以此约定如下:</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1.只要贵方确定卖方未能忠实地履行所有合同文件的规定和双方此后一致 同意的修改、补充和变动</w:t>
      </w:r>
      <w:r>
        <w:rPr>
          <w:rFonts w:hint="eastAsia" w:ascii="宋体" w:hAnsi="楷体" w:eastAsia="宋体" w:cs="楷体"/>
          <w:sz w:val="24"/>
          <w:lang w:eastAsia="zh-CN"/>
        </w:rPr>
        <w:t>，</w:t>
      </w:r>
      <w:r>
        <w:rPr>
          <w:rFonts w:hint="eastAsia" w:ascii="宋体" w:hAnsi="楷体" w:eastAsia="宋体" w:cs="楷体"/>
          <w:sz w:val="24"/>
        </w:rPr>
        <w:t>包括更改和/或修补贵方认为有缺陷的货物</w:t>
      </w:r>
      <w:r>
        <w:rPr>
          <w:rFonts w:hint="eastAsia" w:ascii="宋体" w:hAnsi="楷体" w:eastAsia="宋体" w:cs="楷体"/>
          <w:sz w:val="24"/>
          <w:lang w:eastAsia="zh-CN"/>
        </w:rPr>
        <w:t>（</w:t>
      </w:r>
      <w:r>
        <w:rPr>
          <w:rFonts w:hint="eastAsia" w:ascii="宋体" w:hAnsi="楷体" w:eastAsia="宋体" w:cs="楷体"/>
          <w:sz w:val="24"/>
        </w:rPr>
        <w:t>以下简称违约</w:t>
      </w:r>
      <w:r>
        <w:rPr>
          <w:rFonts w:hint="eastAsia" w:ascii="宋体" w:hAnsi="楷体" w:eastAsia="宋体" w:cs="楷体"/>
          <w:sz w:val="24"/>
          <w:lang w:eastAsia="zh-CN"/>
        </w:rPr>
        <w:t>），</w:t>
      </w:r>
      <w:r>
        <w:rPr>
          <w:rFonts w:hint="eastAsia" w:ascii="宋体" w:hAnsi="楷体" w:eastAsia="宋体" w:cs="楷体"/>
          <w:sz w:val="24"/>
        </w:rPr>
        <w:t>无论卖方有任何反对</w:t>
      </w:r>
      <w:r>
        <w:rPr>
          <w:rFonts w:hint="eastAsia" w:ascii="宋体" w:hAnsi="楷体" w:eastAsia="宋体" w:cs="楷体"/>
          <w:sz w:val="24"/>
          <w:lang w:eastAsia="zh-CN"/>
        </w:rPr>
        <w:t>，</w:t>
      </w:r>
      <w:r>
        <w:rPr>
          <w:rFonts w:hint="eastAsia" w:ascii="宋体" w:hAnsi="楷体" w:eastAsia="宋体" w:cs="楷体"/>
          <w:sz w:val="24"/>
        </w:rPr>
        <w:t>本行将凭贵方关于卖方违约说明的书面通知</w:t>
      </w:r>
      <w:r>
        <w:rPr>
          <w:rFonts w:hint="eastAsia" w:ascii="宋体" w:hAnsi="楷体" w:eastAsia="宋体" w:cs="楷体"/>
          <w:sz w:val="24"/>
          <w:lang w:eastAsia="zh-CN"/>
        </w:rPr>
        <w:t>，</w:t>
      </w:r>
      <w:r>
        <w:rPr>
          <w:rFonts w:hint="eastAsia" w:ascii="宋体" w:hAnsi="楷体" w:eastAsia="宋体" w:cs="楷体"/>
          <w:sz w:val="24"/>
        </w:rPr>
        <w:t>立即按贵方提出的累计总额不超过上述金额的款项和按贵方通知规定的方式付给贵方。</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2.本保函项下的任何支付应为免税和净值。对于现有或将来的税收、关税、收费、费用扣减或预提税款，不论这些款项是何种性质和由谁征收，都不应从本保函项下的支付中扣除。</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3.本保函的条款构成本行无条件的、不可撤销的直接责任。对即将履行的合同条款的任何变更、贵方在时间上的宽限</w:t>
      </w:r>
      <w:r>
        <w:rPr>
          <w:rFonts w:hint="eastAsia" w:ascii="宋体" w:hAnsi="楷体" w:eastAsia="宋体" w:cs="楷体"/>
          <w:sz w:val="24"/>
          <w:lang w:eastAsia="zh-CN"/>
        </w:rPr>
        <w:t>，或</w:t>
      </w:r>
      <w:r>
        <w:rPr>
          <w:rFonts w:hint="eastAsia" w:ascii="宋体" w:hAnsi="楷体" w:eastAsia="宋体" w:cs="楷体"/>
          <w:sz w:val="24"/>
        </w:rPr>
        <w:t>由贵方采取的如果没有本款可能免除本行责任的任何其它行为，均不能解除或免除本行在本保函项下的责任。</w:t>
      </w:r>
    </w:p>
    <w:p>
      <w:pPr>
        <w:pStyle w:val="21"/>
        <w:snapToGrid/>
        <w:spacing w:beforeAutospacing="0" w:afterAutospacing="0" w:line="360" w:lineRule="auto"/>
        <w:ind w:left="0" w:leftChars="0" w:firstLine="480" w:firstLineChars="200"/>
        <w:outlineLvl w:val="1"/>
        <w:rPr>
          <w:rFonts w:hint="eastAsia" w:ascii="宋体" w:hAnsi="楷体" w:eastAsia="宋体" w:cs="楷体"/>
          <w:sz w:val="24"/>
        </w:rPr>
      </w:pPr>
      <w:r>
        <w:rPr>
          <w:rFonts w:hint="eastAsia" w:ascii="宋体" w:hAnsi="楷体" w:eastAsia="宋体" w:cs="楷体"/>
          <w:sz w:val="24"/>
        </w:rPr>
        <w:t>4.本保函在本合同规定的保证期期满前完全有效。</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谨启</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出具保函银行名称：</w:t>
      </w:r>
      <w:r>
        <w:rPr>
          <w:rFonts w:hint="eastAsia" w:ascii="宋体" w:hAnsi="楷体" w:eastAsia="宋体" w:cs="楷体"/>
          <w:sz w:val="24"/>
          <w:u w:val="single"/>
        </w:rPr>
        <w:t xml:space="preserve">                             </w:t>
      </w:r>
    </w:p>
    <w:p>
      <w:pPr>
        <w:pStyle w:val="21"/>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rPr>
        <w:t>签字人姓名和职务：</w:t>
      </w:r>
      <w:r>
        <w:rPr>
          <w:rFonts w:hint="eastAsia" w:ascii="宋体" w:hAnsi="楷体" w:eastAsia="宋体" w:cs="楷体"/>
          <w:sz w:val="24"/>
          <w:u w:val="single"/>
        </w:rPr>
        <w:t xml:space="preserve">                             </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签字人签名：</w:t>
      </w:r>
      <w:r>
        <w:rPr>
          <w:rFonts w:hint="eastAsia" w:ascii="宋体" w:hAnsi="楷体" w:eastAsia="宋体" w:cs="楷体"/>
          <w:sz w:val="24"/>
          <w:u w:val="single"/>
        </w:rPr>
        <w:t xml:space="preserve">                                   </w:t>
      </w:r>
    </w:p>
    <w:p>
      <w:pPr>
        <w:pStyle w:val="21"/>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rPr>
        <w:t>公章：</w:t>
      </w:r>
      <w:r>
        <w:rPr>
          <w:rFonts w:hint="eastAsia" w:ascii="宋体" w:hAnsi="楷体" w:eastAsia="宋体" w:cs="楷体"/>
          <w:sz w:val="24"/>
          <w:u w:val="single"/>
        </w:rPr>
        <w:t xml:space="preserve">                                         </w:t>
      </w:r>
    </w:p>
    <w:p>
      <w:pPr>
        <w:pStyle w:val="5"/>
        <w:snapToGrid/>
        <w:spacing w:before="0" w:beforeAutospacing="0" w:afterAutospacing="0" w:line="360" w:lineRule="auto"/>
        <w:ind w:left="0" w:leftChars="0" w:firstLine="480" w:firstLineChars="200"/>
        <w:outlineLvl w:val="2"/>
        <w:rPr>
          <w:rFonts w:hint="eastAsia" w:ascii="宋体" w:hAnsi="楷体" w:eastAsia="宋体" w:cs="楷体"/>
          <w:sz w:val="24"/>
          <w:szCs w:val="24"/>
        </w:rPr>
      </w:pPr>
      <w:r>
        <w:rPr>
          <w:rFonts w:hint="eastAsia" w:ascii="宋体" w:hAnsi="楷体" w:eastAsia="宋体" w:cs="楷体"/>
          <w:sz w:val="24"/>
        </w:rPr>
        <w:br w:type="page"/>
      </w:r>
      <w:bookmarkStart w:id="232" w:name="_Toc13248"/>
      <w:r>
        <w:rPr>
          <w:rFonts w:hint="eastAsia" w:ascii="宋体" w:hAnsi="楷体" w:eastAsia="宋体" w:cs="楷体"/>
          <w:sz w:val="24"/>
          <w:szCs w:val="24"/>
        </w:rPr>
        <w:t>附件2：履约担保函格式</w:t>
      </w:r>
      <w:bookmarkEnd w:id="232"/>
    </w:p>
    <w:p>
      <w:pPr>
        <w:snapToGrid/>
        <w:spacing w:beforeAutospacing="0" w:afterAutospacing="0" w:line="360" w:lineRule="auto"/>
        <w:ind w:left="0" w:leftChars="0" w:firstLine="480" w:firstLineChars="200"/>
        <w:jc w:val="center"/>
        <w:rPr>
          <w:rFonts w:hint="eastAsia" w:ascii="宋体" w:hAnsi="楷体" w:eastAsia="宋体" w:cs="楷体"/>
          <w:sz w:val="24"/>
        </w:rPr>
      </w:pPr>
      <w:r>
        <w:rPr>
          <w:rFonts w:hint="eastAsia" w:ascii="宋体" w:hAnsi="楷体" w:eastAsia="宋体" w:cs="楷体"/>
          <w:sz w:val="24"/>
        </w:rPr>
        <w:t>（如采用政府采购信用担保形式时使用）</w:t>
      </w:r>
    </w:p>
    <w:p>
      <w:pPr>
        <w:snapToGrid/>
        <w:spacing w:beforeAutospacing="0" w:afterAutospacing="0" w:line="360" w:lineRule="auto"/>
        <w:ind w:left="0" w:leftChars="0" w:firstLine="480" w:firstLineChars="200"/>
        <w:jc w:val="center"/>
        <w:rPr>
          <w:rFonts w:hint="eastAsia" w:ascii="宋体" w:hAnsi="楷体" w:eastAsia="宋体" w:cs="楷体"/>
          <w:sz w:val="24"/>
        </w:rPr>
      </w:pPr>
      <w:r>
        <w:rPr>
          <w:rFonts w:hint="eastAsia" w:ascii="宋体" w:hAnsi="楷体" w:eastAsia="宋体" w:cs="楷体"/>
          <w:sz w:val="24"/>
        </w:rPr>
        <w:t>政府采购履约担保函（项目用）</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编号：</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（采购人）：</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鉴于你方与</w:t>
      </w:r>
      <w:r>
        <w:rPr>
          <w:rFonts w:hint="eastAsia" w:ascii="宋体" w:hAnsi="楷体" w:eastAsia="宋体" w:cs="楷体"/>
          <w:sz w:val="24"/>
          <w:u w:val="single"/>
        </w:rPr>
        <w:t xml:space="preserve">                    </w:t>
      </w:r>
      <w:r>
        <w:rPr>
          <w:rFonts w:hint="eastAsia" w:ascii="宋体" w:hAnsi="楷体" w:eastAsia="宋体" w:cs="楷体"/>
          <w:sz w:val="24"/>
        </w:rPr>
        <w:t>（以下简称供应商）于</w:t>
      </w:r>
      <w:r>
        <w:rPr>
          <w:rFonts w:hint="eastAsia" w:ascii="宋体" w:hAnsi="楷体" w:eastAsia="宋体" w:cs="楷体"/>
          <w:sz w:val="24"/>
          <w:u w:val="single"/>
        </w:rPr>
        <w:t xml:space="preserve">   </w:t>
      </w:r>
      <w:r>
        <w:rPr>
          <w:rFonts w:hint="eastAsia" w:ascii="宋体" w:hAnsi="楷体" w:eastAsia="宋体" w:cs="楷体"/>
          <w:sz w:val="24"/>
        </w:rPr>
        <w:t>年</w:t>
      </w:r>
      <w:r>
        <w:rPr>
          <w:rFonts w:hint="eastAsia" w:ascii="宋体" w:hAnsi="楷体" w:eastAsia="宋体" w:cs="楷体"/>
          <w:sz w:val="24"/>
          <w:u w:val="single"/>
        </w:rPr>
        <w:t xml:space="preserve">  </w:t>
      </w:r>
      <w:r>
        <w:rPr>
          <w:rFonts w:hint="eastAsia" w:ascii="宋体" w:hAnsi="楷体" w:eastAsia="宋体" w:cs="楷体"/>
          <w:sz w:val="24"/>
        </w:rPr>
        <w:t>月</w:t>
      </w:r>
      <w:r>
        <w:rPr>
          <w:rFonts w:hint="eastAsia" w:ascii="宋体" w:hAnsi="楷体" w:eastAsia="宋体" w:cs="楷体"/>
          <w:sz w:val="24"/>
          <w:u w:val="single"/>
        </w:rPr>
        <w:t xml:space="preserve">  </w:t>
      </w:r>
      <w:r>
        <w:rPr>
          <w:rFonts w:hint="eastAsia" w:ascii="宋体" w:hAnsi="楷体" w:eastAsia="宋体" w:cs="楷体"/>
          <w:sz w:val="24"/>
        </w:rPr>
        <w:t>日</w:t>
      </w:r>
      <w:r>
        <w:rPr>
          <w:rFonts w:hint="eastAsia" w:ascii="宋体" w:hAnsi="楷体" w:eastAsia="宋体" w:cs="楷体"/>
          <w:sz w:val="24"/>
          <w:lang w:eastAsia="zh-CN"/>
        </w:rPr>
        <w:t>签订</w:t>
      </w:r>
      <w:r>
        <w:rPr>
          <w:rFonts w:hint="eastAsia" w:ascii="宋体" w:hAnsi="楷体" w:eastAsia="宋体" w:cs="楷体"/>
          <w:sz w:val="24"/>
        </w:rPr>
        <w:t>编号为   的《</w:t>
      </w:r>
      <w:r>
        <w:rPr>
          <w:rFonts w:hint="eastAsia" w:ascii="宋体" w:hAnsi="楷体" w:eastAsia="宋体" w:cs="楷体"/>
          <w:sz w:val="24"/>
          <w:u w:val="single"/>
        </w:rPr>
        <w:t xml:space="preserve">           </w:t>
      </w:r>
      <w:r>
        <w:rPr>
          <w:rFonts w:hint="eastAsia" w:ascii="宋体" w:hAnsi="楷体" w:eastAsia="宋体" w:cs="楷体"/>
          <w:sz w:val="24"/>
        </w:rPr>
        <w:t>政府采购合同》（以下简称主合同），且依据该合同的约定，供应商应在</w:t>
      </w:r>
      <w:r>
        <w:rPr>
          <w:rFonts w:hint="eastAsia" w:ascii="宋体" w:hAnsi="楷体" w:eastAsia="宋体" w:cs="楷体"/>
          <w:sz w:val="24"/>
          <w:u w:val="single"/>
        </w:rPr>
        <w:t xml:space="preserve">    </w:t>
      </w:r>
      <w:r>
        <w:rPr>
          <w:rFonts w:hint="eastAsia" w:ascii="宋体" w:hAnsi="楷体" w:eastAsia="宋体" w:cs="楷体"/>
          <w:sz w:val="24"/>
        </w:rPr>
        <w:t>年</w:t>
      </w:r>
      <w:r>
        <w:rPr>
          <w:rFonts w:hint="eastAsia" w:ascii="宋体" w:hAnsi="楷体" w:eastAsia="宋体" w:cs="楷体"/>
          <w:sz w:val="24"/>
          <w:u w:val="single"/>
        </w:rPr>
        <w:t xml:space="preserve">    </w:t>
      </w:r>
      <w:r>
        <w:rPr>
          <w:rFonts w:hint="eastAsia" w:ascii="宋体" w:hAnsi="楷体" w:eastAsia="宋体" w:cs="楷体"/>
          <w:sz w:val="24"/>
        </w:rPr>
        <w:t>月</w:t>
      </w:r>
      <w:r>
        <w:rPr>
          <w:rFonts w:hint="eastAsia" w:ascii="宋体" w:hAnsi="楷体" w:eastAsia="宋体" w:cs="楷体"/>
          <w:sz w:val="24"/>
          <w:u w:val="single"/>
        </w:rPr>
        <w:t xml:space="preserve">   </w:t>
      </w:r>
      <w:r>
        <w:rPr>
          <w:rFonts w:hint="eastAsia" w:ascii="宋体" w:hAnsi="楷体" w:eastAsia="宋体" w:cs="楷体"/>
          <w:sz w:val="24"/>
        </w:rPr>
        <w:t>日前向你方交纳履约保证金，且可以履约担保函的形式交纳履约保证金。应供应商的申请，我方以保证的方式向你方提供如下履约保证金担保：</w:t>
      </w:r>
    </w:p>
    <w:p>
      <w:pPr>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rPr>
      </w:pPr>
      <w:r>
        <w:rPr>
          <w:rFonts w:hint="eastAsia" w:ascii="宋体" w:hAnsi="楷体" w:eastAsia="宋体" w:cs="楷体"/>
          <w:b/>
          <w:sz w:val="24"/>
        </w:rPr>
        <w:t>一、保证责任的情形及保证金额</w:t>
      </w:r>
    </w:p>
    <w:p>
      <w:pPr>
        <w:snapToGrid/>
        <w:spacing w:beforeAutospacing="0" w:afterAutospacing="0" w:line="360" w:lineRule="auto"/>
        <w:ind w:left="0" w:leftChars="0" w:firstLine="480" w:firstLineChars="200"/>
        <w:outlineLvl w:val="9"/>
        <w:rPr>
          <w:rFonts w:hint="eastAsia" w:ascii="宋体" w:hAnsi="楷体" w:eastAsia="宋体" w:cs="楷体"/>
          <w:sz w:val="24"/>
        </w:rPr>
      </w:pPr>
      <w:r>
        <w:rPr>
          <w:rFonts w:hint="eastAsia" w:ascii="宋体" w:hAnsi="楷体" w:eastAsia="宋体" w:cs="楷体"/>
          <w:sz w:val="24"/>
        </w:rPr>
        <w:t>（一）在供应商出现下列情形之一时，我方承担保证责任：</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1．将中标项目转让给他人，或者在投标文件中未说明，且未经采购招标机构人同意，将中标项目分包给他人的；</w:t>
      </w:r>
    </w:p>
    <w:p>
      <w:pPr>
        <w:snapToGrid/>
        <w:spacing w:beforeAutospacing="0" w:afterAutospacing="0" w:line="360" w:lineRule="auto"/>
        <w:ind w:left="0" w:leftChars="0" w:firstLine="480" w:firstLineChars="200"/>
        <w:outlineLvl w:val="1"/>
        <w:rPr>
          <w:rFonts w:hint="eastAsia" w:ascii="宋体" w:hAnsi="楷体" w:eastAsia="宋体" w:cs="楷体"/>
          <w:sz w:val="24"/>
        </w:rPr>
      </w:pPr>
      <w:r>
        <w:rPr>
          <w:rFonts w:hint="eastAsia" w:ascii="宋体" w:hAnsi="楷体" w:eastAsia="宋体" w:cs="楷体"/>
          <w:sz w:val="24"/>
        </w:rPr>
        <w:t xml:space="preserve">2．主合同约定的应当缴纳履约保证金的情形: </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（1）未按主合同约定的质量、数量和期限供应货物/提供服务/完成工程的；</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w:t>
      </w:r>
      <w:r>
        <w:rPr>
          <w:rFonts w:hint="eastAsia" w:ascii="宋体" w:hAnsi="楷体" w:eastAsia="宋体" w:cs="楷体"/>
          <w:sz w:val="24"/>
          <w:u w:val="single"/>
        </w:rPr>
        <w:t xml:space="preserve">                                                           </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（二）我方的保证范围是主合同约定的合同价款总额的</w:t>
      </w:r>
      <w:r>
        <w:rPr>
          <w:rFonts w:hint="eastAsia" w:ascii="宋体" w:hAnsi="楷体" w:eastAsia="宋体" w:cs="楷体"/>
          <w:sz w:val="24"/>
          <w:u w:val="single"/>
        </w:rPr>
        <w:t xml:space="preserve">        </w:t>
      </w:r>
      <w:r>
        <w:rPr>
          <w:rFonts w:hint="eastAsia" w:ascii="宋体" w:hAnsi="楷体" w:eastAsia="宋体" w:cs="楷体"/>
          <w:sz w:val="24"/>
        </w:rPr>
        <w:t>%数额为</w:t>
      </w:r>
      <w:r>
        <w:rPr>
          <w:rFonts w:hint="eastAsia" w:ascii="宋体" w:hAnsi="楷体" w:eastAsia="宋体" w:cs="楷体"/>
          <w:sz w:val="24"/>
          <w:u w:val="single"/>
        </w:rPr>
        <w:t xml:space="preserve">         </w:t>
      </w:r>
      <w:r>
        <w:rPr>
          <w:rFonts w:hint="eastAsia" w:ascii="宋体" w:hAnsi="楷体" w:eastAsia="宋体" w:cs="楷体"/>
          <w:sz w:val="24"/>
        </w:rPr>
        <w:t>元（大写</w:t>
      </w:r>
      <w:r>
        <w:rPr>
          <w:rFonts w:hint="eastAsia" w:ascii="宋体" w:hAnsi="楷体" w:eastAsia="宋体" w:cs="楷体"/>
          <w:sz w:val="24"/>
          <w:u w:val="single"/>
        </w:rPr>
        <w:t xml:space="preserve">           </w:t>
      </w:r>
      <w:r>
        <w:rPr>
          <w:rFonts w:hint="eastAsia" w:ascii="宋体" w:hAnsi="楷体" w:eastAsia="宋体" w:cs="楷体"/>
          <w:sz w:val="24"/>
        </w:rPr>
        <w:t>），币种为</w:t>
      </w:r>
      <w:r>
        <w:rPr>
          <w:rFonts w:hint="eastAsia" w:ascii="宋体" w:hAnsi="楷体" w:eastAsia="宋体" w:cs="楷体"/>
          <w:sz w:val="24"/>
          <w:u w:val="single"/>
        </w:rPr>
        <w:t xml:space="preserve">        </w:t>
      </w:r>
      <w:r>
        <w:rPr>
          <w:rFonts w:hint="eastAsia" w:ascii="宋体" w:hAnsi="楷体" w:eastAsia="宋体" w:cs="楷体"/>
          <w:sz w:val="24"/>
        </w:rPr>
        <w:t>。（即主合同履约保证金金额）</w:t>
      </w:r>
    </w:p>
    <w:p>
      <w:pPr>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rPr>
      </w:pPr>
      <w:r>
        <w:rPr>
          <w:rFonts w:hint="eastAsia" w:ascii="宋体" w:hAnsi="楷体" w:eastAsia="宋体" w:cs="楷体"/>
          <w:b/>
          <w:sz w:val="24"/>
        </w:rPr>
        <w:t>二、保证的方式及保证期间</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我方保证的方式为：连带责任保证。</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我方保证的期间为：自本合同生效之日起至供应商按照主合同约定的供货/完工期限届满后</w:t>
      </w:r>
      <w:r>
        <w:rPr>
          <w:rFonts w:hint="eastAsia" w:ascii="宋体" w:hAnsi="楷体" w:eastAsia="宋体" w:cs="楷体"/>
          <w:color w:val="FF0000"/>
          <w:sz w:val="24"/>
          <w:u w:val="single"/>
        </w:rPr>
        <w:t xml:space="preserve">     </w:t>
      </w:r>
      <w:r>
        <w:rPr>
          <w:rFonts w:hint="eastAsia" w:ascii="宋体" w:hAnsi="楷体" w:eastAsia="宋体" w:cs="楷体"/>
          <w:sz w:val="24"/>
        </w:rPr>
        <w:t>日内。</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如果供应商未按主合同约定向贵方供应货物/提供服务/完成工程的，由我方在保证金额内向你方支付上述款项。</w:t>
      </w:r>
    </w:p>
    <w:p>
      <w:pPr>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rPr>
      </w:pPr>
      <w:r>
        <w:rPr>
          <w:rFonts w:hint="eastAsia" w:ascii="宋体" w:hAnsi="楷体" w:eastAsia="宋体" w:cs="楷体"/>
          <w:b/>
          <w:sz w:val="24"/>
        </w:rPr>
        <w:t>三、承担保证责任的程序</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1．你方要求我方承担保证责任的，应在本保函保证期间内向我方发出书面索赔通知。索赔通知应写明要求索赔的金额，支付款项应到达</w:t>
      </w:r>
      <w:r>
        <w:rPr>
          <w:rFonts w:hint="eastAsia" w:ascii="宋体" w:hAnsi="楷体" w:eastAsia="宋体" w:cs="楷体"/>
          <w:sz w:val="24"/>
          <w:lang w:eastAsia="zh-CN"/>
        </w:rPr>
        <w:t>的账号</w:t>
      </w:r>
      <w:r>
        <w:rPr>
          <w:rFonts w:hint="eastAsia" w:ascii="宋体" w:hAnsi="楷体" w:eastAsia="宋体" w:cs="楷体"/>
          <w:sz w:val="24"/>
        </w:rPr>
        <w:t>。并附有证明供应商违约事实的证明材料。</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如果你方与供应商因货物质量问题产生争议，你方还需同时提供</w:t>
      </w:r>
      <w:r>
        <w:rPr>
          <w:rFonts w:hint="eastAsia" w:ascii="宋体" w:hAnsi="楷体" w:eastAsia="宋体" w:cs="楷体"/>
          <w:sz w:val="24"/>
          <w:u w:val="single"/>
        </w:rPr>
        <w:t xml:space="preserve">        </w:t>
      </w:r>
      <w:r>
        <w:rPr>
          <w:rFonts w:hint="eastAsia" w:ascii="宋体" w:hAnsi="楷体" w:eastAsia="宋体" w:cs="楷体"/>
          <w:sz w:val="24"/>
        </w:rPr>
        <w:t>部门出具的质量检测报告，或经诉讼（仲裁）程序裁决后的裁决书、调解书，本保证人即按照检测结果或裁决书、调解书决定是否承担保证责任。</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 我方收到你方的书面索赔通知及相应证明材料，</w:t>
      </w:r>
      <w:r>
        <w:rPr>
          <w:rFonts w:hint="eastAsia" w:ascii="宋体" w:hAnsi="楷体" w:eastAsia="宋体" w:cs="楷体"/>
          <w:color w:val="auto"/>
          <w:sz w:val="24"/>
        </w:rPr>
        <w:t>在</w:t>
      </w:r>
      <w:r>
        <w:rPr>
          <w:rFonts w:hint="eastAsia" w:ascii="宋体" w:hAnsi="楷体" w:eastAsia="宋体" w:cs="楷体"/>
          <w:color w:val="auto"/>
          <w:sz w:val="24"/>
          <w:u w:val="single"/>
        </w:rPr>
        <w:t xml:space="preserve">     </w:t>
      </w:r>
      <w:r>
        <w:rPr>
          <w:rFonts w:hint="eastAsia" w:ascii="宋体" w:hAnsi="楷体" w:eastAsia="宋体" w:cs="楷体"/>
          <w:color w:val="auto"/>
          <w:sz w:val="24"/>
        </w:rPr>
        <w:t>工</w:t>
      </w:r>
      <w:r>
        <w:rPr>
          <w:rFonts w:hint="eastAsia" w:ascii="宋体" w:hAnsi="楷体" w:eastAsia="宋体" w:cs="楷体"/>
          <w:sz w:val="24"/>
        </w:rPr>
        <w:t>作日内进行核定后按照本保函的承诺承担保证责任。</w:t>
      </w:r>
    </w:p>
    <w:p>
      <w:pPr>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rPr>
      </w:pPr>
      <w:r>
        <w:rPr>
          <w:rFonts w:hint="eastAsia" w:ascii="宋体" w:hAnsi="楷体" w:eastAsia="宋体" w:cs="楷体"/>
          <w:b/>
          <w:sz w:val="24"/>
        </w:rPr>
        <w:t>四、保证责任的终止</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2．我方按照本保函向你方履行了保证责任后，自我方向你方支付款项（支付款项从我方账户划出）之日起，保证责任即终止。</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3．按照法律法规的规定或出现应终止我方保证责任的其它情形的，我方在本保函项下的保证责任亦终止。</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rPr>
      </w:pPr>
      <w:r>
        <w:rPr>
          <w:rFonts w:hint="eastAsia" w:ascii="宋体" w:hAnsi="楷体" w:eastAsia="宋体" w:cs="楷体"/>
          <w:b/>
          <w:sz w:val="24"/>
        </w:rPr>
        <w:t>五、免责条款</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1．因你方违反主合同约定致使供应商不能履行义务的，我方不承担保证责任。</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2．依照法律法规的规定或你方与供应商的另行约定，全部或者部分免除供应商应缴纳的保证金义务的，我方亦免除相应的保证责任。</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3．因不可抗力造成供应商不能履行供货义务的，我方不承担保证责任。</w:t>
      </w:r>
    </w:p>
    <w:p>
      <w:pPr>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rPr>
      </w:pPr>
      <w:r>
        <w:rPr>
          <w:rFonts w:hint="eastAsia" w:ascii="宋体" w:hAnsi="楷体" w:eastAsia="宋体" w:cs="楷体"/>
          <w:b/>
          <w:sz w:val="24"/>
        </w:rPr>
        <w:t>六、争议的解决</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因本保函发生的纠纷，由你我双方协商解决，协商不成的，通过诉讼程序解决，诉讼管辖地法院为</w:t>
      </w:r>
      <w:r>
        <w:rPr>
          <w:rFonts w:hint="eastAsia" w:ascii="宋体" w:hAnsi="楷体" w:eastAsia="宋体" w:cs="楷体"/>
          <w:color w:val="FF0000"/>
          <w:sz w:val="24"/>
          <w:u w:val="single"/>
        </w:rPr>
        <w:t xml:space="preserve">        </w:t>
      </w:r>
      <w:r>
        <w:rPr>
          <w:rFonts w:hint="eastAsia" w:ascii="宋体" w:hAnsi="楷体" w:eastAsia="宋体" w:cs="楷体"/>
          <w:sz w:val="24"/>
        </w:rPr>
        <w:t>法院。</w:t>
      </w:r>
    </w:p>
    <w:p>
      <w:pPr>
        <w:snapToGrid/>
        <w:spacing w:before="200" w:beforeAutospacing="0" w:after="200" w:afterAutospacing="0" w:line="240" w:lineRule="auto"/>
        <w:ind w:left="0" w:leftChars="0" w:right="0" w:rightChars="0" w:firstLine="0" w:firstLineChars="0"/>
        <w:jc w:val="left"/>
        <w:outlineLvl w:val="1"/>
        <w:rPr>
          <w:rFonts w:hint="eastAsia" w:ascii="宋体" w:hAnsi="楷体" w:eastAsia="宋体" w:cs="楷体"/>
          <w:b/>
          <w:sz w:val="24"/>
        </w:rPr>
      </w:pPr>
      <w:r>
        <w:rPr>
          <w:rFonts w:hint="eastAsia" w:ascii="宋体" w:hAnsi="楷体" w:eastAsia="宋体" w:cs="楷体"/>
          <w:b/>
          <w:sz w:val="24"/>
        </w:rPr>
        <w:t>七、保函的生效</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本保函自我方加盖公章之日起生效。</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保证人：（公章）</w:t>
      </w:r>
    </w:p>
    <w:p>
      <w:pPr>
        <w:snapToGrid/>
        <w:spacing w:beforeAutospacing="0" w:afterAutospacing="0" w:line="360" w:lineRule="auto"/>
        <w:ind w:left="0" w:leftChars="0" w:firstLine="480" w:firstLineChars="200"/>
        <w:rPr>
          <w:rFonts w:hint="eastAsia" w:ascii="宋体" w:hAnsi="楷体" w:eastAsia="宋体" w:cs="楷体"/>
          <w:sz w:val="24"/>
        </w:rPr>
        <w:sectPr>
          <w:footerReference r:id="rId5" w:type="default"/>
          <w:pgSz w:w="11906" w:h="16838"/>
          <w:pgMar w:top="1440" w:right="1797" w:bottom="1440" w:left="1797" w:header="851" w:footer="992" w:gutter="0"/>
          <w:cols w:space="720" w:num="1"/>
          <w:docGrid w:type="linesAndChars" w:linePitch="312" w:charSpace="0"/>
        </w:sectPr>
      </w:pPr>
      <w:r>
        <w:rPr>
          <w:rFonts w:hint="eastAsia" w:ascii="宋体" w:hAnsi="楷体" w:eastAsia="宋体" w:cs="楷体"/>
          <w:sz w:val="24"/>
        </w:rPr>
        <w:t>年     月      日</w:t>
      </w:r>
    </w:p>
    <w:p>
      <w:pPr>
        <w:pStyle w:val="4"/>
        <w:snapToGrid/>
        <w:spacing w:before="200" w:beforeAutospacing="0" w:after="200" w:afterAutospacing="0" w:line="240" w:lineRule="auto"/>
        <w:ind w:left="0" w:leftChars="0" w:right="0" w:rightChars="0" w:firstLine="0" w:firstLineChars="0"/>
        <w:jc w:val="center"/>
        <w:outlineLvl w:val="0"/>
        <w:rPr>
          <w:rFonts w:hint="eastAsia" w:ascii="宋体" w:hAnsi="楷体" w:eastAsia="宋体" w:cs="楷体"/>
          <w:b/>
          <w:sz w:val="30"/>
          <w:szCs w:val="30"/>
        </w:rPr>
      </w:pPr>
      <w:bookmarkStart w:id="233" w:name="_Toc18691"/>
      <w:bookmarkStart w:id="234" w:name="_Toc18285"/>
      <w:bookmarkStart w:id="235" w:name="_Toc29350"/>
      <w:bookmarkStart w:id="236" w:name="_Toc24341"/>
      <w:bookmarkStart w:id="237" w:name="_Toc26674"/>
      <w:bookmarkStart w:id="238" w:name="_Toc24580"/>
      <w:r>
        <w:rPr>
          <w:rFonts w:hint="eastAsia" w:ascii="宋体" w:hAnsi="楷体" w:eastAsia="宋体" w:cs="楷体"/>
          <w:b/>
          <w:sz w:val="30"/>
          <w:szCs w:val="30"/>
        </w:rPr>
        <w:t>第四章   投标文件格式</w:t>
      </w:r>
      <w:bookmarkEnd w:id="233"/>
      <w:bookmarkEnd w:id="234"/>
      <w:bookmarkEnd w:id="235"/>
      <w:bookmarkEnd w:id="236"/>
      <w:bookmarkEnd w:id="237"/>
      <w:bookmarkEnd w:id="238"/>
    </w:p>
    <w:p>
      <w:pPr>
        <w:pStyle w:val="5"/>
        <w:snapToGrid/>
        <w:spacing w:before="0" w:beforeAutospacing="0" w:afterAutospacing="0" w:line="360" w:lineRule="auto"/>
        <w:ind w:left="0" w:leftChars="0" w:firstLine="480" w:firstLineChars="200"/>
        <w:rPr>
          <w:rFonts w:ascii="宋体" w:hAnsi="宋体" w:eastAsia="宋体"/>
          <w:sz w:val="24"/>
          <w:szCs w:val="28"/>
        </w:rPr>
      </w:pPr>
      <w:bookmarkStart w:id="239" w:name="_Toc15557"/>
      <w:r>
        <w:rPr>
          <w:rFonts w:hint="eastAsia" w:ascii="宋体" w:hAnsi="楷体" w:eastAsia="宋体" w:cs="楷体"/>
          <w:sz w:val="24"/>
          <w:szCs w:val="28"/>
        </w:rPr>
        <w:t>第一部分</w:t>
      </w:r>
      <w:r>
        <w:rPr>
          <w:rFonts w:hint="eastAsia" w:ascii="宋体" w:hAnsi="楷体" w:eastAsia="宋体" w:cs="楷体"/>
          <w:sz w:val="24"/>
          <w:szCs w:val="28"/>
          <w:lang w:val="en-US" w:eastAsia="zh-CN"/>
        </w:rPr>
        <w:t xml:space="preserve"> </w:t>
      </w:r>
      <w:r>
        <w:rPr>
          <w:rFonts w:hint="eastAsia" w:ascii="宋体" w:hAnsi="楷体" w:eastAsia="宋体" w:cs="楷体"/>
          <w:sz w:val="24"/>
          <w:szCs w:val="28"/>
        </w:rPr>
        <w:t>资格证明文件</w:t>
      </w:r>
      <w:bookmarkEnd w:id="239"/>
    </w:p>
    <w:p>
      <w:pPr>
        <w:tabs>
          <w:tab w:val="left" w:pos="5580"/>
        </w:tabs>
        <w:snapToGrid/>
        <w:spacing w:beforeAutospacing="0" w:afterAutospacing="0" w:line="360" w:lineRule="auto"/>
        <w:ind w:left="0" w:leftChars="0" w:firstLine="480" w:firstLineChars="200"/>
        <w:rPr>
          <w:rFonts w:hint="eastAsia" w:ascii="宋体" w:hAnsi="楷体" w:eastAsia="宋体" w:cs="楷体"/>
          <w:sz w:val="24"/>
          <w:lang w:eastAsia="zh-CN"/>
        </w:rPr>
      </w:pPr>
      <w:r>
        <w:rPr>
          <w:rFonts w:hint="eastAsia" w:ascii="宋体" w:hAnsi="楷体" w:eastAsia="宋体" w:cs="楷体"/>
          <w:sz w:val="24"/>
          <w:lang w:val="en-US" w:eastAsia="zh-CN"/>
        </w:rPr>
        <w:t>1</w:t>
      </w:r>
      <w:r>
        <w:rPr>
          <w:rFonts w:hint="eastAsia" w:ascii="宋体" w:hAnsi="楷体" w:eastAsia="宋体" w:cs="楷体"/>
          <w:sz w:val="24"/>
        </w:rPr>
        <w:t>、法人或者非法人组织的营业执照等证明文件或自然人的身份证明</w:t>
      </w:r>
      <w:r>
        <w:rPr>
          <w:rFonts w:hint="eastAsia" w:ascii="宋体" w:hAnsi="楷体" w:eastAsia="宋体" w:cs="楷体"/>
          <w:sz w:val="24"/>
          <w:lang w:eastAsia="zh-CN"/>
        </w:rPr>
        <w:t>；</w:t>
      </w:r>
    </w:p>
    <w:p>
      <w:pPr>
        <w:tabs>
          <w:tab w:val="left" w:pos="5580"/>
        </w:tabs>
        <w:snapToGrid/>
        <w:spacing w:beforeAutospacing="0" w:afterAutospacing="0" w:line="360" w:lineRule="auto"/>
        <w:ind w:left="0" w:leftChars="0" w:firstLine="480" w:firstLineChars="200"/>
        <w:outlineLvl w:val="2"/>
        <w:rPr>
          <w:rFonts w:hint="eastAsia" w:ascii="宋体" w:hAnsi="楷体" w:eastAsia="宋体" w:cs="楷体"/>
          <w:sz w:val="24"/>
        </w:rPr>
      </w:pPr>
      <w:r>
        <w:rPr>
          <w:rFonts w:hint="eastAsia" w:ascii="宋体" w:hAnsi="楷体" w:eastAsia="宋体" w:cs="楷体"/>
          <w:sz w:val="24"/>
          <w:lang w:val="en-US" w:eastAsia="zh-CN"/>
        </w:rPr>
        <w:t>2</w:t>
      </w:r>
      <w:r>
        <w:rPr>
          <w:rFonts w:hint="eastAsia" w:ascii="宋体" w:hAnsi="楷体" w:eastAsia="宋体" w:cs="楷体"/>
          <w:sz w:val="24"/>
        </w:rPr>
        <w:t>、投标人具有良好的商业信誉和健全的财务会计制度的证明文件；</w:t>
      </w:r>
    </w:p>
    <w:p>
      <w:pPr>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lang w:val="en-US" w:eastAsia="zh-CN"/>
        </w:rPr>
        <w:t>3</w:t>
      </w:r>
      <w:r>
        <w:rPr>
          <w:rFonts w:hint="eastAsia" w:ascii="宋体" w:hAnsi="楷体" w:eastAsia="宋体" w:cs="楷体"/>
          <w:sz w:val="24"/>
        </w:rPr>
        <w:t>、投标保证金缴纳凭证复印件或投标担保函（见投标文件格式</w:t>
      </w:r>
      <w:r>
        <w:rPr>
          <w:rFonts w:hint="eastAsia" w:ascii="宋体" w:hAnsi="楷体" w:eastAsia="宋体" w:cs="楷体"/>
          <w:sz w:val="24"/>
          <w:lang w:val="en-US" w:eastAsia="zh-CN"/>
        </w:rPr>
        <w:t>一</w:t>
      </w:r>
      <w:r>
        <w:rPr>
          <w:rFonts w:hint="eastAsia" w:ascii="宋体" w:hAnsi="楷体" w:eastAsia="宋体" w:cs="楷体"/>
          <w:sz w:val="24"/>
        </w:rPr>
        <w:t>，如采用）</w:t>
      </w:r>
      <w:r>
        <w:rPr>
          <w:rFonts w:hint="eastAsia" w:ascii="宋体" w:hAnsi="楷体" w:eastAsia="宋体" w:cs="楷体"/>
          <w:sz w:val="24"/>
          <w:lang w:eastAsia="zh-CN"/>
        </w:rPr>
        <w:t>；</w:t>
      </w:r>
    </w:p>
    <w:p>
      <w:pPr>
        <w:tabs>
          <w:tab w:val="left" w:pos="5580"/>
        </w:tabs>
        <w:snapToGrid/>
        <w:spacing w:beforeAutospacing="0" w:afterAutospacing="0" w:line="360" w:lineRule="auto"/>
        <w:ind w:left="0" w:leftChars="0" w:firstLine="480" w:firstLineChars="200"/>
        <w:outlineLvl w:val="2"/>
        <w:rPr>
          <w:rFonts w:hint="eastAsia" w:ascii="宋体" w:hAnsi="楷体" w:eastAsia="宋体" w:cs="楷体"/>
          <w:sz w:val="24"/>
        </w:rPr>
      </w:pPr>
      <w:r>
        <w:rPr>
          <w:rFonts w:hint="eastAsia" w:ascii="宋体" w:hAnsi="楷体" w:eastAsia="宋体" w:cs="楷体"/>
          <w:sz w:val="24"/>
          <w:lang w:val="en-US" w:eastAsia="zh-CN"/>
        </w:rPr>
        <w:t>4</w:t>
      </w:r>
      <w:r>
        <w:rPr>
          <w:rFonts w:hint="eastAsia" w:ascii="宋体" w:hAnsi="楷体" w:eastAsia="宋体" w:cs="楷体"/>
          <w:sz w:val="24"/>
        </w:rPr>
        <w:t>、符合要求的依法缴纳税收和社会保障资金记录</w:t>
      </w:r>
      <w:r>
        <w:rPr>
          <w:rFonts w:hint="eastAsia" w:ascii="宋体" w:hAnsi="楷体" w:eastAsia="宋体" w:cs="楷体"/>
          <w:sz w:val="24"/>
          <w:lang w:eastAsia="zh-CN"/>
        </w:rPr>
        <w:t>；</w:t>
      </w:r>
    </w:p>
    <w:p>
      <w:pPr>
        <w:tabs>
          <w:tab w:val="left" w:pos="5580"/>
        </w:tabs>
        <w:snapToGrid/>
        <w:spacing w:beforeAutospacing="0" w:afterAutospacing="0" w:line="360" w:lineRule="auto"/>
        <w:ind w:left="0" w:leftChars="0" w:firstLine="480" w:firstLineChars="200"/>
        <w:rPr>
          <w:rFonts w:hint="eastAsia" w:ascii="宋体" w:hAnsi="楷体" w:eastAsia="宋体" w:cs="楷体"/>
          <w:sz w:val="24"/>
          <w:lang w:eastAsia="zh-CN"/>
        </w:rPr>
      </w:pPr>
      <w:r>
        <w:rPr>
          <w:rFonts w:hint="eastAsia" w:ascii="宋体" w:hAnsi="楷体" w:eastAsia="宋体" w:cs="楷体"/>
          <w:sz w:val="24"/>
          <w:lang w:val="en-US" w:eastAsia="zh-CN"/>
        </w:rPr>
        <w:t>5</w:t>
      </w:r>
      <w:r>
        <w:rPr>
          <w:rFonts w:hint="eastAsia" w:ascii="宋体" w:hAnsi="楷体" w:eastAsia="宋体" w:cs="楷体"/>
          <w:sz w:val="24"/>
        </w:rPr>
        <w:t>、参加政府采购活动前3年内在经营活动中没有重大违法记录的书面声明</w:t>
      </w:r>
      <w:r>
        <w:rPr>
          <w:rFonts w:hint="eastAsia" w:ascii="宋体" w:hAnsi="楷体" w:eastAsia="宋体" w:cs="楷体"/>
          <w:sz w:val="24"/>
          <w:lang w:eastAsia="zh-CN"/>
        </w:rPr>
        <w:t>；</w:t>
      </w:r>
    </w:p>
    <w:p>
      <w:pPr>
        <w:pStyle w:val="18"/>
        <w:rPr>
          <w:rFonts w:hint="default"/>
          <w:lang w:val="en-US"/>
        </w:rPr>
      </w:pPr>
      <w:r>
        <w:rPr>
          <w:rFonts w:hint="eastAsia" w:ascii="宋体" w:hAnsi="楷体" w:eastAsia="宋体" w:cs="楷体"/>
          <w:sz w:val="24"/>
          <w:lang w:val="en-US" w:eastAsia="zh-CN"/>
        </w:rPr>
        <w:t>6、投标人须具备国家广播电视总局令第12号要求的《广播电视节目传送业务经营许可证》。</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ascii="宋体" w:hAnsi="宋体" w:eastAsia="宋体"/>
          <w:b/>
          <w:color w:val="auto"/>
          <w:sz w:val="24"/>
        </w:rPr>
        <w:br w:type="page"/>
      </w:r>
      <w:bookmarkStart w:id="240" w:name="_Ref467988698"/>
      <w:bookmarkStart w:id="241" w:name="_Toc480942349"/>
      <w:bookmarkStart w:id="242" w:name="_Toc520356217"/>
      <w:bookmarkStart w:id="243" w:name="_Toc216582813"/>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sz w:val="24"/>
          <w:szCs w:val="28"/>
        </w:rPr>
      </w:pPr>
      <w:bookmarkStart w:id="244" w:name="_Toc14945"/>
      <w:r>
        <w:rPr>
          <w:rFonts w:hint="eastAsia" w:hAnsi="楷体" w:eastAsia="宋体" w:cs="楷体"/>
          <w:b/>
          <w:sz w:val="24"/>
          <w:szCs w:val="28"/>
          <w:lang w:val="en-US" w:eastAsia="zh-CN"/>
        </w:rPr>
        <w:t>1</w:t>
      </w:r>
      <w:r>
        <w:rPr>
          <w:rFonts w:hint="eastAsia" w:ascii="宋体" w:hAnsi="楷体" w:eastAsia="宋体" w:cs="楷体"/>
          <w:b/>
          <w:sz w:val="24"/>
          <w:szCs w:val="28"/>
        </w:rPr>
        <w:t xml:space="preserve">  法人或者非法人组织的营业执照等证明文件</w:t>
      </w:r>
      <w:bookmarkEnd w:id="244"/>
      <w:bookmarkStart w:id="245" w:name="_Toc11614"/>
      <w:bookmarkStart w:id="246" w:name="_Toc67054057"/>
      <w:bookmarkStart w:id="247" w:name="_Toc60830312"/>
      <w:r>
        <w:rPr>
          <w:rFonts w:hint="eastAsia" w:ascii="宋体" w:hAnsi="楷体" w:eastAsia="宋体" w:cs="楷体"/>
          <w:sz w:val="24"/>
          <w:szCs w:val="28"/>
        </w:rPr>
        <w:t>或自然人的身份证明</w:t>
      </w:r>
      <w:bookmarkEnd w:id="245"/>
      <w:bookmarkEnd w:id="246"/>
      <w:bookmarkEnd w:id="247"/>
    </w:p>
    <w:p>
      <w:pPr>
        <w:snapToGrid/>
        <w:spacing w:beforeAutospacing="0" w:afterAutospacing="0" w:line="360" w:lineRule="auto"/>
        <w:ind w:left="0" w:leftChars="0" w:firstLine="480" w:firstLineChars="200"/>
        <w:rPr>
          <w:rFonts w:hint="eastAsia" w:ascii="宋体" w:hAnsi="楷体" w:eastAsia="宋体" w:cs="楷体"/>
          <w:sz w:val="24"/>
        </w:rPr>
      </w:pPr>
      <w:bookmarkStart w:id="248" w:name="_Toc2582311"/>
      <w:r>
        <w:rPr>
          <w:rFonts w:hint="eastAsia" w:ascii="宋体" w:hAnsi="楷体" w:eastAsia="宋体" w:cs="楷体"/>
          <w:sz w:val="24"/>
        </w:rPr>
        <w:t>1、投标人须提供有效的营业执照等证明文件复印件并加盖本单位公章。</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2.、投标人为自然人的，应提供身份证明的复印件。</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3、联合体投标应提供联合体各方满足以上要求的证明文件。</w:t>
      </w:r>
      <w:r>
        <w:rPr>
          <w:rFonts w:ascii="宋体" w:eastAsia="宋体"/>
          <w:sz w:val="24"/>
        </w:rPr>
        <w:br w:type="page"/>
      </w:r>
      <w:bookmarkEnd w:id="248"/>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szCs w:val="28"/>
        </w:rPr>
      </w:pPr>
      <w:bookmarkStart w:id="249" w:name="_Toc14787"/>
      <w:r>
        <w:rPr>
          <w:rFonts w:hint="eastAsia" w:hAnsi="楷体" w:eastAsia="宋体" w:cs="楷体"/>
          <w:b/>
          <w:sz w:val="24"/>
          <w:szCs w:val="28"/>
          <w:lang w:val="en-US" w:eastAsia="zh-CN"/>
        </w:rPr>
        <w:t>2</w:t>
      </w:r>
      <w:r>
        <w:rPr>
          <w:rFonts w:hint="eastAsia" w:ascii="宋体" w:hAnsi="楷体" w:eastAsia="宋体" w:cs="楷体"/>
          <w:b/>
          <w:sz w:val="24"/>
          <w:szCs w:val="28"/>
        </w:rPr>
        <w:t xml:space="preserve">  投标人具有良好的商业信誉和健全的财务会计制度的证明文件</w:t>
      </w:r>
      <w:bookmarkEnd w:id="249"/>
    </w:p>
    <w:p>
      <w:pPr>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1、投标人须提供本单位2021年度或2022年度经会计师事务所出具的审计报告复印件并加盖本单位公章。</w:t>
      </w:r>
    </w:p>
    <w:p>
      <w:pPr>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如投标人无法提供2021年度或2022年度审计报告，则须提供银行在投标截止时间前三个月内开具证明文件的原件或复印件（银行出具的证明文件应能说明该投标人与银行之间业务往来正常，企业信誉良好等）。若提供的是复印件，采购单位保留审核原件的权利。</w:t>
      </w:r>
    </w:p>
    <w:p>
      <w:pPr>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3、成立时间距离投标截止时间不足三个月的投标人可出具具有良好的商业信誉和健全的财务会计制度承诺函并加盖本单位公章（格式自拟）。</w:t>
      </w:r>
    </w:p>
    <w:p>
      <w:pPr>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4、如果是联合体投标，联合体各方均须提供上述证明。</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szCs w:val="28"/>
        </w:rPr>
      </w:pPr>
      <w:r>
        <w:rPr>
          <w:rFonts w:ascii="宋体" w:eastAsia="宋体"/>
          <w:b/>
          <w:sz w:val="24"/>
          <w:szCs w:val="28"/>
        </w:rPr>
        <w:br w:type="page"/>
      </w:r>
      <w:bookmarkStart w:id="250" w:name="_Toc9035"/>
      <w:r>
        <w:rPr>
          <w:rFonts w:hint="eastAsia" w:hAnsi="楷体" w:eastAsia="宋体" w:cs="楷体"/>
          <w:b/>
          <w:sz w:val="24"/>
          <w:szCs w:val="28"/>
          <w:lang w:val="en-US" w:eastAsia="zh-CN"/>
        </w:rPr>
        <w:t>3</w:t>
      </w:r>
      <w:r>
        <w:rPr>
          <w:rFonts w:hint="eastAsia" w:ascii="宋体" w:hAnsi="楷体" w:eastAsia="宋体" w:cs="楷体"/>
          <w:b/>
          <w:sz w:val="24"/>
          <w:szCs w:val="28"/>
        </w:rPr>
        <w:t xml:space="preserve"> </w:t>
      </w:r>
      <w:r>
        <w:rPr>
          <w:rFonts w:hint="eastAsia" w:ascii="宋体" w:hAnsi="楷体" w:eastAsia="宋体" w:cs="楷体"/>
          <w:b/>
          <w:sz w:val="24"/>
          <w:szCs w:val="28"/>
          <w:lang w:val="en-US" w:eastAsia="zh-CN"/>
        </w:rPr>
        <w:t xml:space="preserve"> </w:t>
      </w:r>
      <w:r>
        <w:rPr>
          <w:rFonts w:hint="eastAsia" w:ascii="宋体" w:hAnsi="楷体" w:eastAsia="宋体" w:cs="楷体"/>
          <w:b/>
          <w:sz w:val="24"/>
          <w:szCs w:val="28"/>
        </w:rPr>
        <w:t>投标保证金缴纳凭证复印件或投标担保函</w:t>
      </w:r>
      <w:bookmarkEnd w:id="250"/>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1、投标人须提供投标保证金支付的汇款凭证、支票、汇票或保证金收据（如有）的复印件并加盖本单位公章；</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2、若投标人使用银行保函等其他投标担保函提交投标保证金的，须提供担保函正本的扫描件；如采用政府采购信用担保形式的，应使用（投标文件格式一），提供原件的扫描件。</w:t>
      </w:r>
    </w:p>
    <w:p>
      <w:pPr>
        <w:snapToGrid/>
        <w:spacing w:beforeAutospacing="0" w:afterAutospacing="0" w:line="360" w:lineRule="auto"/>
        <w:ind w:left="0" w:leftChars="0" w:firstLine="480" w:firstLineChars="200"/>
        <w:jc w:val="center"/>
        <w:rPr>
          <w:rFonts w:hint="eastAsia" w:ascii="宋体" w:hAnsi="楷体" w:eastAsia="宋体" w:cs="楷体"/>
          <w:sz w:val="24"/>
        </w:rPr>
      </w:pPr>
      <w:r>
        <w:rPr>
          <w:rFonts w:hint="eastAsia" w:ascii="宋体" w:hAnsi="楷体" w:eastAsia="宋体" w:cs="楷体"/>
          <w:sz w:val="24"/>
        </w:rPr>
        <w:t>政府采购投标担保函 （项目用）（投标文件格式</w:t>
      </w:r>
      <w:r>
        <w:rPr>
          <w:rFonts w:hint="eastAsia" w:ascii="宋体" w:hAnsi="楷体" w:eastAsia="宋体" w:cs="楷体"/>
          <w:sz w:val="24"/>
          <w:lang w:val="en-US" w:eastAsia="zh-CN"/>
        </w:rPr>
        <w:t>一</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编号：</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（采购人或采购代理机构）：</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鉴于</w:t>
      </w:r>
      <w:r>
        <w:rPr>
          <w:rFonts w:hint="eastAsia" w:ascii="宋体" w:hAnsi="楷体" w:eastAsia="宋体" w:cs="楷体"/>
          <w:sz w:val="24"/>
          <w:u w:val="single"/>
        </w:rPr>
        <w:t xml:space="preserve">               </w:t>
      </w:r>
      <w:r>
        <w:rPr>
          <w:rFonts w:hint="eastAsia" w:ascii="宋体" w:hAnsi="楷体" w:eastAsia="宋体" w:cs="楷体"/>
          <w:sz w:val="24"/>
        </w:rPr>
        <w:t>（以下简称“投标人”）拟参加编号为</w:t>
      </w:r>
      <w:r>
        <w:rPr>
          <w:rFonts w:hint="eastAsia" w:ascii="宋体" w:hAnsi="楷体" w:eastAsia="宋体" w:cs="楷体"/>
          <w:sz w:val="24"/>
          <w:u w:val="single"/>
        </w:rPr>
        <w:t xml:space="preserve">            </w:t>
      </w:r>
      <w:r>
        <w:rPr>
          <w:rFonts w:hint="eastAsia" w:ascii="宋体" w:hAnsi="楷体" w:eastAsia="宋体" w:cs="楷体"/>
          <w:sz w:val="24"/>
        </w:rPr>
        <w:t>的</w:t>
      </w:r>
      <w:r>
        <w:rPr>
          <w:rFonts w:hint="eastAsia" w:ascii="宋体" w:hAnsi="楷体" w:eastAsia="宋体" w:cs="楷体"/>
          <w:sz w:val="24"/>
          <w:u w:val="single"/>
        </w:rPr>
        <w:t xml:space="preserve">           </w:t>
      </w:r>
      <w:r>
        <w:rPr>
          <w:rFonts w:hint="eastAsia" w:ascii="宋体" w:hAnsi="楷体" w:eastAsia="宋体" w:cs="楷体"/>
          <w:sz w:val="24"/>
        </w:rPr>
        <w:t xml:space="preserve">                            </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napToGrid/>
        <w:spacing w:beforeAutospacing="0" w:afterAutospacing="0" w:line="360" w:lineRule="auto"/>
        <w:ind w:left="0" w:leftChars="0" w:firstLine="480" w:firstLineChars="200"/>
        <w:outlineLvl w:val="3"/>
        <w:rPr>
          <w:rFonts w:hint="eastAsia" w:ascii="宋体" w:hAnsi="楷体" w:eastAsia="宋体" w:cs="楷体"/>
          <w:sz w:val="24"/>
        </w:rPr>
      </w:pPr>
      <w:r>
        <w:rPr>
          <w:rFonts w:hint="eastAsia" w:ascii="宋体" w:hAnsi="楷体" w:eastAsia="宋体" w:cs="楷体"/>
          <w:sz w:val="24"/>
        </w:rPr>
        <w:t>一、保证责任的情形及保证金额</w:t>
      </w:r>
    </w:p>
    <w:p>
      <w:pPr>
        <w:snapToGrid/>
        <w:spacing w:beforeAutospacing="0" w:afterAutospacing="0" w:line="360" w:lineRule="auto"/>
        <w:ind w:left="0" w:leftChars="0" w:firstLine="480" w:firstLineChars="200"/>
        <w:outlineLvl w:val="4"/>
        <w:rPr>
          <w:rFonts w:hint="eastAsia" w:ascii="宋体" w:hAnsi="楷体" w:eastAsia="宋体" w:cs="楷体"/>
          <w:sz w:val="24"/>
        </w:rPr>
      </w:pPr>
      <w:r>
        <w:rPr>
          <w:rFonts w:hint="eastAsia" w:ascii="宋体" w:hAnsi="楷体" w:eastAsia="宋体" w:cs="楷体"/>
          <w:sz w:val="24"/>
        </w:rPr>
        <w:t>（一）在投标人出现下列情形之一时，我方承担保证责任：</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1．中标后投标人无正当理由不与采购人或者采购代理机构签订《政府采购合同》；</w:t>
      </w:r>
    </w:p>
    <w:p>
      <w:pPr>
        <w:snapToGrid/>
        <w:spacing w:beforeAutospacing="0" w:afterAutospacing="0" w:line="360" w:lineRule="auto"/>
        <w:ind w:left="0" w:leftChars="0" w:firstLine="480" w:firstLineChars="200"/>
        <w:outlineLvl w:val="2"/>
        <w:rPr>
          <w:rFonts w:hint="eastAsia" w:ascii="宋体" w:hAnsi="楷体" w:eastAsia="宋体" w:cs="楷体"/>
          <w:sz w:val="24"/>
        </w:rPr>
      </w:pPr>
      <w:r>
        <w:rPr>
          <w:rFonts w:hint="eastAsia" w:ascii="宋体" w:hAnsi="楷体" w:eastAsia="宋体" w:cs="楷体"/>
          <w:sz w:val="24"/>
        </w:rPr>
        <w:t>2．招标文件规定的投标人应当缴纳保证金的其他情形。</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（二）我方承担保证责任的最高金额为人民币</w:t>
      </w:r>
      <w:r>
        <w:rPr>
          <w:rFonts w:hint="eastAsia" w:ascii="宋体" w:hAnsi="楷体" w:eastAsia="宋体" w:cs="楷体"/>
          <w:sz w:val="24"/>
          <w:u w:val="single"/>
        </w:rPr>
        <w:t xml:space="preserve">      </w:t>
      </w:r>
      <w:r>
        <w:rPr>
          <w:rFonts w:hint="eastAsia" w:ascii="宋体" w:hAnsi="楷体" w:eastAsia="宋体" w:cs="楷体"/>
          <w:sz w:val="24"/>
        </w:rPr>
        <w:t>元（大写</w:t>
      </w:r>
      <w:r>
        <w:rPr>
          <w:rFonts w:hint="eastAsia" w:ascii="宋体" w:hAnsi="楷体" w:eastAsia="宋体" w:cs="楷体"/>
          <w:sz w:val="24"/>
          <w:u w:val="single"/>
        </w:rPr>
        <w:t xml:space="preserve">            </w:t>
      </w:r>
      <w:r>
        <w:rPr>
          <w:rFonts w:hint="eastAsia" w:ascii="宋体" w:hAnsi="楷体" w:eastAsia="宋体" w:cs="楷体"/>
          <w:sz w:val="24"/>
        </w:rPr>
        <w:t>），即本项目的投标保证金金额。</w:t>
      </w:r>
    </w:p>
    <w:p>
      <w:pPr>
        <w:snapToGrid/>
        <w:spacing w:beforeAutospacing="0" w:afterAutospacing="0" w:line="360" w:lineRule="auto"/>
        <w:ind w:left="0" w:leftChars="0" w:firstLine="480" w:firstLineChars="200"/>
        <w:outlineLvl w:val="3"/>
        <w:rPr>
          <w:rFonts w:hint="eastAsia" w:ascii="宋体" w:hAnsi="楷体" w:eastAsia="宋体" w:cs="楷体"/>
          <w:sz w:val="24"/>
        </w:rPr>
      </w:pPr>
      <w:r>
        <w:rPr>
          <w:rFonts w:hint="eastAsia" w:ascii="宋体" w:hAnsi="楷体" w:eastAsia="宋体" w:cs="楷体"/>
          <w:sz w:val="24"/>
        </w:rPr>
        <w:t>二、保证的方式及保证期间</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我方保证的方式为：连带责任保证。</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我方的保证期间为：自本保函生效之日起</w:t>
      </w:r>
      <w:r>
        <w:rPr>
          <w:rFonts w:hint="eastAsia" w:ascii="宋体" w:hAnsi="楷体" w:eastAsia="宋体" w:cs="楷体"/>
          <w:sz w:val="24"/>
          <w:u w:val="single"/>
        </w:rPr>
        <w:t xml:space="preserve">    </w:t>
      </w:r>
      <w:r>
        <w:rPr>
          <w:rFonts w:hint="eastAsia" w:ascii="宋体" w:hAnsi="楷体" w:eastAsia="宋体" w:cs="楷体"/>
          <w:sz w:val="24"/>
        </w:rPr>
        <w:t>个月止。</w:t>
      </w:r>
    </w:p>
    <w:p>
      <w:pPr>
        <w:snapToGrid/>
        <w:spacing w:beforeAutospacing="0" w:afterAutospacing="0" w:line="360" w:lineRule="auto"/>
        <w:ind w:left="0" w:leftChars="0" w:firstLine="480" w:firstLineChars="200"/>
        <w:outlineLvl w:val="3"/>
        <w:rPr>
          <w:rFonts w:hint="eastAsia" w:ascii="宋体" w:hAnsi="楷体" w:eastAsia="宋体" w:cs="楷体"/>
          <w:sz w:val="24"/>
        </w:rPr>
      </w:pPr>
      <w:r>
        <w:rPr>
          <w:rFonts w:hint="eastAsia" w:ascii="宋体" w:hAnsi="楷体" w:eastAsia="宋体" w:cs="楷体"/>
          <w:sz w:val="24"/>
        </w:rPr>
        <w:t>三、承担保证责任的程序</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2．我方在收到索赔通知及相关证明材料后，在</w:t>
      </w:r>
      <w:r>
        <w:rPr>
          <w:rFonts w:hint="eastAsia" w:ascii="宋体" w:hAnsi="楷体" w:eastAsia="宋体" w:cs="楷体"/>
          <w:sz w:val="24"/>
          <w:u w:val="single"/>
        </w:rPr>
        <w:t>　　　</w:t>
      </w:r>
      <w:r>
        <w:rPr>
          <w:rFonts w:hint="eastAsia" w:ascii="宋体" w:hAnsi="楷体" w:eastAsia="宋体" w:cs="楷体"/>
          <w:sz w:val="24"/>
        </w:rPr>
        <w:t>个工作日内进行审查，符合应承担保证责任情形的，我方应按照你方的要求代投标人向你方支付投标保证金。</w:t>
      </w:r>
    </w:p>
    <w:p>
      <w:pPr>
        <w:snapToGrid/>
        <w:spacing w:beforeAutospacing="0" w:afterAutospacing="0" w:line="360" w:lineRule="auto"/>
        <w:ind w:left="0" w:leftChars="0" w:firstLine="480" w:firstLineChars="200"/>
        <w:outlineLvl w:val="3"/>
        <w:rPr>
          <w:rFonts w:hint="eastAsia" w:ascii="宋体" w:hAnsi="楷体" w:eastAsia="宋体" w:cs="楷体"/>
          <w:sz w:val="24"/>
        </w:rPr>
      </w:pPr>
      <w:r>
        <w:rPr>
          <w:rFonts w:hint="eastAsia" w:ascii="宋体" w:hAnsi="楷体" w:eastAsia="宋体" w:cs="楷体"/>
          <w:sz w:val="24"/>
        </w:rPr>
        <w:t>四、保证责任的终止</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1．保证期间届满你方未向我方书面主张保证责任的，自保证期间届满次日起，我方保证责任自动终止。</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2．我方按照本保函向你贵方履行了保证责任后，自我方向你贵方支付款项（支付款项从我方账户划出）之日起，保证责任终止。</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3．按照法律法规的规定或出现我方保证责任终止的其它情形的，我方在本保函项下的保证责任亦终止。</w:t>
      </w:r>
    </w:p>
    <w:p>
      <w:pPr>
        <w:snapToGrid/>
        <w:spacing w:beforeAutospacing="0" w:afterAutospacing="0" w:line="360" w:lineRule="auto"/>
        <w:ind w:left="0" w:leftChars="0" w:firstLine="480" w:firstLineChars="200"/>
        <w:outlineLvl w:val="3"/>
        <w:rPr>
          <w:rFonts w:hint="eastAsia" w:ascii="宋体" w:hAnsi="楷体" w:eastAsia="宋体" w:cs="楷体"/>
          <w:sz w:val="24"/>
        </w:rPr>
      </w:pPr>
      <w:r>
        <w:rPr>
          <w:rFonts w:hint="eastAsia" w:ascii="宋体" w:hAnsi="楷体" w:eastAsia="宋体" w:cs="楷体"/>
          <w:sz w:val="24"/>
        </w:rPr>
        <w:t>五、免责条款</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1．依照法律规定或你方与投标人的另行约定，全部或者部分免除投标人投标保证金义务时，我方亦免除相应的保证责任。</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2．因你方原因致使投标人发生本保函第一条第（一）款约定情形的，我方不承担保证责任。</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3．因不可抗力造成投标人发生本保函第一条约定情形的，我方不承担保证责任。</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4．你方或其他有权机关对招标文件进行任何澄清或修改，加重我方保证责任的，我方对加重部分不承担保证责任，但该澄清或修改经我方事先书面同意的除外。</w:t>
      </w:r>
    </w:p>
    <w:p>
      <w:pPr>
        <w:snapToGrid/>
        <w:spacing w:beforeAutospacing="0" w:afterAutospacing="0" w:line="360" w:lineRule="auto"/>
        <w:ind w:left="0" w:leftChars="0" w:firstLine="480" w:firstLineChars="200"/>
        <w:outlineLvl w:val="3"/>
        <w:rPr>
          <w:rFonts w:hint="eastAsia" w:ascii="宋体" w:hAnsi="楷体" w:eastAsia="宋体" w:cs="楷体"/>
          <w:sz w:val="24"/>
        </w:rPr>
      </w:pPr>
      <w:r>
        <w:rPr>
          <w:rFonts w:hint="eastAsia" w:ascii="宋体" w:hAnsi="楷体" w:eastAsia="宋体" w:cs="楷体"/>
          <w:sz w:val="24"/>
        </w:rPr>
        <w:t>六、争议的解决</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因本保函发生的纠纷，由你我双方协商解决，协商不成的，通过诉讼程序解决，诉讼管辖地法院为</w:t>
      </w:r>
      <w:r>
        <w:rPr>
          <w:rFonts w:hint="eastAsia" w:ascii="宋体" w:hAnsi="楷体" w:eastAsia="宋体" w:cs="楷体"/>
          <w:sz w:val="24"/>
          <w:u w:val="single"/>
        </w:rPr>
        <w:t xml:space="preserve">          </w:t>
      </w:r>
      <w:r>
        <w:rPr>
          <w:rFonts w:hint="eastAsia" w:ascii="宋体" w:hAnsi="楷体" w:eastAsia="宋体" w:cs="楷体"/>
          <w:sz w:val="24"/>
        </w:rPr>
        <w:t>法院。</w:t>
      </w:r>
    </w:p>
    <w:p>
      <w:pPr>
        <w:snapToGrid/>
        <w:spacing w:beforeAutospacing="0" w:afterAutospacing="0" w:line="360" w:lineRule="auto"/>
        <w:ind w:left="0" w:leftChars="0" w:firstLine="480" w:firstLineChars="200"/>
        <w:outlineLvl w:val="3"/>
        <w:rPr>
          <w:rFonts w:hint="eastAsia" w:ascii="宋体" w:hAnsi="楷体" w:eastAsia="宋体" w:cs="楷体"/>
          <w:sz w:val="24"/>
        </w:rPr>
      </w:pPr>
      <w:r>
        <w:rPr>
          <w:rFonts w:hint="eastAsia" w:ascii="宋体" w:hAnsi="楷体" w:eastAsia="宋体" w:cs="楷体"/>
          <w:sz w:val="24"/>
        </w:rPr>
        <w:t>七、保函的生效</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本保函自我方加盖公章之日起生效。</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保证人：（公章）</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年     月      日</w:t>
      </w:r>
    </w:p>
    <w:p>
      <w:pPr>
        <w:snapToGrid/>
        <w:spacing w:beforeAutospacing="0" w:afterAutospacing="0" w:line="360" w:lineRule="auto"/>
        <w:ind w:left="0" w:leftChars="0" w:firstLine="480" w:firstLineChars="200"/>
        <w:rPr>
          <w:rFonts w:hint="eastAsia" w:ascii="宋体" w:hAnsi="楷体" w:eastAsia="宋体" w:cs="楷体"/>
          <w:sz w:val="24"/>
        </w:rPr>
        <w:sectPr>
          <w:pgSz w:w="11906" w:h="16838"/>
          <w:pgMar w:top="1440" w:right="1797" w:bottom="1440" w:left="1797" w:header="851" w:footer="992" w:gutter="0"/>
          <w:cols w:space="720" w:num="1"/>
          <w:docGrid w:type="linesAndChars" w:linePitch="312" w:charSpace="0"/>
        </w:sectPr>
      </w:pPr>
    </w:p>
    <w:p>
      <w:pPr>
        <w:pStyle w:val="5"/>
        <w:snapToGrid/>
        <w:spacing w:before="0" w:beforeAutospacing="0" w:afterAutospacing="0" w:line="360" w:lineRule="auto"/>
        <w:ind w:left="0" w:leftChars="0" w:firstLine="480" w:firstLineChars="200"/>
        <w:jc w:val="left"/>
        <w:outlineLvl w:val="2"/>
        <w:rPr>
          <w:rFonts w:hint="eastAsia" w:ascii="宋体" w:hAnsi="楷体" w:eastAsia="宋体" w:cs="楷体"/>
          <w:sz w:val="24"/>
          <w:szCs w:val="28"/>
          <w:u w:val="single"/>
        </w:rPr>
      </w:pPr>
      <w:bookmarkStart w:id="251" w:name="_Toc24280"/>
      <w:r>
        <w:rPr>
          <w:rFonts w:hint="eastAsia" w:ascii="宋体" w:hAnsi="楷体" w:eastAsia="宋体" w:cs="楷体"/>
          <w:sz w:val="24"/>
          <w:szCs w:val="28"/>
          <w:u w:val="single"/>
          <w:lang w:val="en-US" w:eastAsia="zh-CN"/>
        </w:rPr>
        <w:t>4</w:t>
      </w:r>
      <w:r>
        <w:rPr>
          <w:rFonts w:hint="eastAsia" w:ascii="宋体" w:hAnsi="楷体" w:eastAsia="宋体" w:cs="楷体"/>
          <w:sz w:val="24"/>
          <w:szCs w:val="28"/>
          <w:u w:val="single"/>
        </w:rPr>
        <w:t xml:space="preserve"> 依法缴纳税收和社会保障资金的记录</w:t>
      </w:r>
      <w:bookmarkEnd w:id="251"/>
    </w:p>
    <w:p>
      <w:pPr>
        <w:tabs>
          <w:tab w:val="left" w:pos="5580"/>
        </w:tabs>
        <w:snapToGrid/>
        <w:spacing w:beforeAutospacing="0" w:afterAutospacing="0" w:line="360" w:lineRule="auto"/>
        <w:ind w:left="0" w:leftChars="0" w:firstLine="480" w:firstLineChars="200"/>
        <w:rPr>
          <w:rFonts w:hint="eastAsia" w:ascii="宋体" w:hAnsi="楷体" w:eastAsia="宋体" w:cs="楷体"/>
          <w:b w:val="0"/>
          <w:bCs w:val="0"/>
          <w:sz w:val="24"/>
        </w:rPr>
      </w:pPr>
      <w:r>
        <w:rPr>
          <w:rFonts w:hint="eastAsia" w:ascii="宋体" w:hAnsi="楷体" w:eastAsia="宋体" w:cs="楷体"/>
          <w:b w:val="0"/>
          <w:bCs w:val="0"/>
          <w:sz w:val="24"/>
        </w:rPr>
        <w:t>1、投标人须提供最近3个月任意一个月的纳税和社保缴纳记录复印件并加盖本单位公章；</w:t>
      </w:r>
    </w:p>
    <w:p>
      <w:pPr>
        <w:tabs>
          <w:tab w:val="left" w:pos="5580"/>
        </w:tabs>
        <w:snapToGrid/>
        <w:spacing w:beforeAutospacing="0" w:afterAutospacing="0" w:line="360" w:lineRule="auto"/>
        <w:ind w:left="0" w:leftChars="0" w:firstLine="480" w:firstLineChars="200"/>
        <w:rPr>
          <w:rFonts w:hint="eastAsia" w:ascii="宋体" w:hAnsi="楷体" w:eastAsia="宋体" w:cs="楷体"/>
          <w:b w:val="0"/>
          <w:bCs w:val="0"/>
          <w:sz w:val="24"/>
        </w:rPr>
      </w:pPr>
      <w:r>
        <w:rPr>
          <w:rFonts w:hint="eastAsia" w:ascii="宋体" w:hAnsi="楷体" w:eastAsia="宋体" w:cs="楷体"/>
          <w:b w:val="0"/>
          <w:bCs w:val="0"/>
          <w:sz w:val="24"/>
        </w:rPr>
        <w:t>2、成立不满3个月的企业，须提供依法缴纳税收和社保承诺书并加盖本单位公章（格式自拟）。</w:t>
      </w:r>
    </w:p>
    <w:p>
      <w:pPr>
        <w:tabs>
          <w:tab w:val="left" w:pos="5580"/>
        </w:tabs>
        <w:snapToGrid/>
        <w:spacing w:beforeAutospacing="0" w:afterAutospacing="0" w:line="360" w:lineRule="auto"/>
        <w:ind w:left="0" w:leftChars="0" w:firstLine="480" w:firstLineChars="200"/>
        <w:rPr>
          <w:rFonts w:hint="eastAsia" w:ascii="宋体" w:eastAsia="宋体"/>
          <w:b w:val="0"/>
          <w:bCs w:val="0"/>
          <w:sz w:val="24"/>
        </w:rPr>
      </w:pPr>
      <w:r>
        <w:rPr>
          <w:rFonts w:hint="eastAsia" w:ascii="宋体" w:hAnsi="楷体" w:eastAsia="宋体" w:cs="楷体"/>
          <w:b w:val="0"/>
          <w:bCs w:val="0"/>
          <w:sz w:val="24"/>
        </w:rPr>
        <w:t>3、如果是联合体投标，联合体各方均须提供上述证明。</w:t>
      </w:r>
    </w:p>
    <w:p>
      <w:pPr>
        <w:pStyle w:val="5"/>
        <w:snapToGrid/>
        <w:spacing w:before="0" w:beforeAutospacing="0" w:afterAutospacing="0" w:line="360" w:lineRule="auto"/>
        <w:ind w:left="0" w:leftChars="0" w:firstLine="480" w:firstLineChars="200"/>
        <w:jc w:val="left"/>
        <w:outlineLvl w:val="2"/>
        <w:rPr>
          <w:rFonts w:hint="eastAsia" w:ascii="宋体" w:hAnsi="楷体" w:eastAsia="宋体" w:cs="楷体"/>
          <w:sz w:val="24"/>
          <w:szCs w:val="28"/>
        </w:rPr>
      </w:pPr>
      <w:r>
        <w:rPr>
          <w:rFonts w:ascii="宋体" w:hAnsi="宋体" w:eastAsia="宋体"/>
          <w:sz w:val="24"/>
        </w:rPr>
        <w:br w:type="page"/>
      </w:r>
      <w:bookmarkStart w:id="252" w:name="_Toc51"/>
      <w:r>
        <w:rPr>
          <w:rFonts w:hint="eastAsia" w:ascii="宋体" w:hAnsi="楷体" w:eastAsia="宋体" w:cs="楷体"/>
          <w:sz w:val="24"/>
          <w:szCs w:val="28"/>
          <w:u w:val="single"/>
          <w:lang w:val="en-US" w:eastAsia="zh-CN"/>
        </w:rPr>
        <w:t>5</w:t>
      </w:r>
      <w:r>
        <w:rPr>
          <w:rFonts w:hint="eastAsia" w:ascii="宋体" w:hAnsi="楷体" w:eastAsia="宋体" w:cs="楷体"/>
          <w:sz w:val="24"/>
          <w:szCs w:val="28"/>
          <w:u w:val="single"/>
        </w:rPr>
        <w:t xml:space="preserve"> 参加政府采购活动前3年内</w:t>
      </w:r>
      <w:bookmarkEnd w:id="252"/>
      <w:bookmarkStart w:id="253" w:name="_Toc10954"/>
      <w:bookmarkStart w:id="254" w:name="_Toc67054064"/>
      <w:r>
        <w:rPr>
          <w:rFonts w:hint="eastAsia" w:ascii="宋体" w:hAnsi="楷体" w:eastAsia="宋体" w:cs="楷体"/>
          <w:sz w:val="24"/>
          <w:szCs w:val="28"/>
          <w:u w:val="single"/>
        </w:rPr>
        <w:t>在经营活动中没有重大违法记录的书面声明</w:t>
      </w:r>
      <w:bookmarkEnd w:id="253"/>
      <w:bookmarkEnd w:id="254"/>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1、投标人应按照相关法规规定如实作出声明并加盖本单位公章。</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2、如果是联合体投标，联合体各方均须提供上述证明。</w:t>
      </w:r>
    </w:p>
    <w:p>
      <w:pPr>
        <w:pStyle w:val="5"/>
        <w:snapToGrid/>
        <w:spacing w:before="0" w:beforeAutospacing="0" w:afterAutospacing="0" w:line="360" w:lineRule="auto"/>
        <w:jc w:val="both"/>
        <w:rPr>
          <w:rFonts w:hint="eastAsia" w:ascii="宋体" w:eastAsia="宋体"/>
          <w:sz w:val="24"/>
          <w:u w:val="single"/>
        </w:rPr>
      </w:pPr>
      <w:r>
        <w:rPr>
          <w:rFonts w:ascii="宋体" w:eastAsia="宋体"/>
          <w:sz w:val="24"/>
        </w:rPr>
        <w:br w:type="page"/>
      </w:r>
      <w:bookmarkStart w:id="255" w:name="_Toc7935"/>
      <w:r>
        <w:rPr>
          <w:rFonts w:hint="eastAsia" w:ascii="宋体" w:eastAsia="宋体"/>
          <w:sz w:val="24"/>
          <w:lang w:val="en-US" w:eastAsia="zh-CN"/>
        </w:rPr>
        <w:t xml:space="preserve">    </w:t>
      </w:r>
      <w:r>
        <w:rPr>
          <w:rFonts w:hint="eastAsia" w:ascii="宋体" w:eastAsia="宋体"/>
          <w:sz w:val="24"/>
          <w:u w:val="single"/>
          <w:lang w:val="en-US" w:eastAsia="zh-CN"/>
        </w:rPr>
        <w:t xml:space="preserve">6 </w:t>
      </w:r>
      <w:r>
        <w:rPr>
          <w:rFonts w:hint="eastAsia" w:ascii="宋体" w:eastAsia="宋体"/>
          <w:sz w:val="24"/>
          <w:u w:val="single"/>
        </w:rPr>
        <w:t>投标人须具备国家广播电视总局令第12号要求的《广播电视节目传送业务经营许可证》。</w:t>
      </w: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r>
        <w:rPr>
          <w:rFonts w:hint="eastAsia" w:ascii="宋体" w:hAnsi="楷体" w:eastAsia="宋体" w:cs="楷体"/>
          <w:b w:val="0"/>
          <w:bCs/>
          <w:sz w:val="24"/>
          <w:szCs w:val="28"/>
        </w:rPr>
        <w:t>投标人须具备国家广播电视总局令第12号要求的《广播电视节目传送业务经营许可证》。</w:t>
      </w: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b w:val="0"/>
          <w:bCs/>
          <w:sz w:val="24"/>
          <w:szCs w:val="28"/>
        </w:rPr>
      </w:pPr>
    </w:p>
    <w:p>
      <w:pPr>
        <w:pStyle w:val="5"/>
        <w:snapToGrid/>
        <w:spacing w:before="0" w:beforeAutospacing="0" w:afterAutospacing="0" w:line="360" w:lineRule="auto"/>
        <w:ind w:firstLine="480" w:firstLineChars="200"/>
        <w:jc w:val="both"/>
        <w:rPr>
          <w:rFonts w:hint="eastAsia" w:ascii="宋体" w:hAnsi="楷体" w:eastAsia="宋体" w:cs="楷体"/>
          <w:sz w:val="24"/>
        </w:rPr>
      </w:pPr>
      <w:r>
        <w:rPr>
          <w:rFonts w:hint="eastAsia" w:ascii="宋体" w:hAnsi="楷体" w:eastAsia="宋体" w:cs="楷体"/>
          <w:sz w:val="24"/>
          <w:szCs w:val="28"/>
        </w:rPr>
        <w:t xml:space="preserve">第二部分  </w:t>
      </w:r>
      <w:r>
        <w:rPr>
          <w:rFonts w:hint="eastAsia" w:ascii="宋体" w:hAnsi="楷体" w:eastAsia="宋体" w:cs="楷体"/>
          <w:sz w:val="24"/>
          <w:szCs w:val="28"/>
          <w:lang w:val="en-US" w:eastAsia="zh-CN"/>
        </w:rPr>
        <w:t>报价</w:t>
      </w:r>
      <w:r>
        <w:rPr>
          <w:rFonts w:hint="eastAsia" w:ascii="宋体" w:hAnsi="楷体" w:eastAsia="宋体" w:cs="楷体"/>
          <w:sz w:val="24"/>
          <w:szCs w:val="28"/>
        </w:rPr>
        <w:t>文件</w:t>
      </w:r>
      <w:bookmarkEnd w:id="255"/>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1、投标书（投标文件格式</w:t>
      </w:r>
      <w:r>
        <w:rPr>
          <w:rFonts w:hint="eastAsia" w:hAnsi="楷体" w:eastAsia="宋体" w:cs="楷体"/>
          <w:sz w:val="24"/>
          <w:lang w:val="en-US" w:eastAsia="zh-CN"/>
        </w:rPr>
        <w:t>二</w:t>
      </w:r>
      <w:r>
        <w:rPr>
          <w:rFonts w:hint="eastAsia" w:ascii="宋体" w:hAnsi="楷体" w:eastAsia="宋体" w:cs="楷体"/>
          <w:sz w:val="24"/>
        </w:rPr>
        <w:t>）</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2、开标一览表（见投标文件格式</w:t>
      </w:r>
      <w:r>
        <w:rPr>
          <w:rFonts w:hint="eastAsia" w:hAnsi="楷体" w:eastAsia="宋体" w:cs="楷体"/>
          <w:sz w:val="24"/>
          <w:lang w:val="en-US" w:eastAsia="zh-CN"/>
        </w:rPr>
        <w:t>三</w:t>
      </w:r>
      <w:r>
        <w:rPr>
          <w:rFonts w:hint="eastAsia" w:ascii="宋体" w:hAnsi="楷体" w:eastAsia="宋体" w:cs="楷体"/>
          <w:sz w:val="24"/>
        </w:rPr>
        <w:t>）</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hAnsi="楷体" w:eastAsia="宋体" w:cs="楷体"/>
          <w:sz w:val="24"/>
          <w:lang w:val="en-US" w:eastAsia="zh-CN"/>
        </w:rPr>
        <w:t>3、</w:t>
      </w:r>
      <w:r>
        <w:rPr>
          <w:rFonts w:hint="eastAsia" w:ascii="宋体" w:hAnsi="楷体" w:eastAsia="宋体" w:cs="楷体"/>
          <w:sz w:val="24"/>
        </w:rPr>
        <w:t>投标分项报价表（投标文件格式</w:t>
      </w:r>
      <w:r>
        <w:rPr>
          <w:rFonts w:hint="eastAsia" w:hAnsi="楷体" w:eastAsia="宋体" w:cs="楷体"/>
          <w:sz w:val="24"/>
          <w:lang w:val="en-US" w:eastAsia="zh-CN"/>
        </w:rPr>
        <w:t>四</w:t>
      </w:r>
      <w:r>
        <w:rPr>
          <w:rFonts w:hint="eastAsia" w:ascii="宋体" w:hAnsi="楷体" w:eastAsia="宋体" w:cs="楷体"/>
          <w:sz w:val="24"/>
        </w:rPr>
        <w:t>）</w:t>
      </w:r>
    </w:p>
    <w:p>
      <w:pPr>
        <w:pStyle w:val="21"/>
        <w:snapToGrid/>
        <w:spacing w:beforeAutospacing="0" w:afterAutospacing="0" w:line="360" w:lineRule="auto"/>
        <w:ind w:left="0" w:leftChars="0" w:firstLine="480" w:firstLineChars="200"/>
        <w:rPr>
          <w:rFonts w:hint="eastAsia" w:ascii="宋体" w:hAnsi="楷体" w:eastAsia="宋体" w:cs="楷体"/>
          <w:sz w:val="24"/>
        </w:rPr>
      </w:pP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szCs w:val="28"/>
        </w:rPr>
      </w:pPr>
      <w:r>
        <w:rPr>
          <w:rFonts w:ascii="宋体" w:hAnsi="宋体" w:eastAsia="宋体"/>
          <w:b/>
          <w:sz w:val="24"/>
        </w:rPr>
        <w:br w:type="page"/>
      </w:r>
      <w:bookmarkStart w:id="256" w:name="_Toc18082"/>
      <w:r>
        <w:rPr>
          <w:rFonts w:hint="eastAsia" w:ascii="宋体" w:hAnsi="楷体" w:eastAsia="宋体" w:cs="楷体"/>
          <w:b/>
          <w:sz w:val="24"/>
          <w:szCs w:val="28"/>
        </w:rPr>
        <w:t xml:space="preserve">1  </w:t>
      </w:r>
      <w:bookmarkStart w:id="257" w:name="_Hlt520355504"/>
      <w:bookmarkEnd w:id="257"/>
      <w:r>
        <w:rPr>
          <w:rFonts w:hint="eastAsia" w:ascii="宋体" w:hAnsi="楷体" w:eastAsia="宋体" w:cs="楷体"/>
          <w:b/>
          <w:sz w:val="24"/>
          <w:szCs w:val="28"/>
        </w:rPr>
        <w:t>投标</w:t>
      </w:r>
      <w:bookmarkEnd w:id="240"/>
      <w:bookmarkEnd w:id="241"/>
      <w:r>
        <w:rPr>
          <w:rFonts w:hint="eastAsia" w:ascii="宋体" w:hAnsi="楷体" w:eastAsia="宋体" w:cs="楷体"/>
          <w:b/>
          <w:sz w:val="24"/>
          <w:szCs w:val="28"/>
        </w:rPr>
        <w:t>书</w:t>
      </w:r>
      <w:bookmarkEnd w:id="242"/>
      <w:r>
        <w:rPr>
          <w:rFonts w:hint="eastAsia" w:ascii="宋体" w:hAnsi="楷体" w:eastAsia="宋体" w:cs="楷体"/>
          <w:b/>
          <w:sz w:val="24"/>
          <w:szCs w:val="28"/>
        </w:rPr>
        <w:t>（投标文件格式</w:t>
      </w:r>
      <w:r>
        <w:rPr>
          <w:rFonts w:hint="eastAsia" w:hAnsi="楷体" w:eastAsia="宋体" w:cs="楷体"/>
          <w:b/>
          <w:sz w:val="24"/>
          <w:szCs w:val="28"/>
          <w:lang w:val="en-US" w:eastAsia="zh-CN"/>
        </w:rPr>
        <w:t>二</w:t>
      </w:r>
      <w:r>
        <w:rPr>
          <w:rFonts w:hint="eastAsia" w:ascii="宋体" w:hAnsi="楷体" w:eastAsia="宋体" w:cs="楷体"/>
          <w:b/>
          <w:sz w:val="24"/>
          <w:szCs w:val="28"/>
        </w:rPr>
        <w:t>）</w:t>
      </w:r>
      <w:bookmarkEnd w:id="243"/>
      <w:bookmarkEnd w:id="256"/>
    </w:p>
    <w:p>
      <w:pPr>
        <w:tabs>
          <w:tab w:val="left" w:pos="5580"/>
        </w:tabs>
        <w:snapToGrid/>
        <w:spacing w:beforeAutospacing="0" w:afterAutospacing="0" w:line="360" w:lineRule="auto"/>
        <w:ind w:left="0" w:leftChars="0" w:firstLine="480" w:firstLineChars="200"/>
        <w:outlineLvl w:val="3"/>
        <w:rPr>
          <w:rFonts w:hint="eastAsia" w:ascii="宋体" w:hAnsi="楷体" w:eastAsia="宋体" w:cs="楷体"/>
          <w:sz w:val="24"/>
          <w:lang w:eastAsia="zh-CN"/>
        </w:rPr>
      </w:pPr>
      <w:r>
        <w:rPr>
          <w:rFonts w:hint="eastAsia" w:ascii="宋体" w:hAnsi="楷体" w:eastAsia="宋体" w:cs="楷体"/>
          <w:sz w:val="24"/>
        </w:rPr>
        <w:t>致：</w:t>
      </w:r>
      <w:r>
        <w:rPr>
          <w:rFonts w:hint="eastAsia" w:ascii="宋体" w:hAnsi="楷体" w:eastAsia="宋体" w:cs="楷体"/>
          <w:sz w:val="24"/>
          <w:u w:val="single"/>
          <w:lang w:eastAsia="zh-CN"/>
        </w:rPr>
        <w:t>XXXXXXXX</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根据贵方为</w:t>
      </w:r>
      <w:r>
        <w:rPr>
          <w:rFonts w:hint="eastAsia" w:ascii="宋体" w:hAnsi="楷体" w:eastAsia="宋体" w:cs="楷体"/>
          <w:sz w:val="24"/>
          <w:lang w:eastAsia="zh-CN"/>
        </w:rPr>
        <w:t>（</w:t>
      </w:r>
      <w:r>
        <w:rPr>
          <w:rFonts w:hint="eastAsia" w:ascii="宋体" w:hAnsi="楷体" w:eastAsia="宋体" w:cs="楷体"/>
          <w:i/>
          <w:sz w:val="24"/>
          <w:u w:val="single"/>
        </w:rPr>
        <w:t>项目名称</w:t>
      </w:r>
      <w:r>
        <w:rPr>
          <w:rFonts w:hint="eastAsia" w:ascii="宋体" w:hAnsi="楷体" w:eastAsia="宋体" w:cs="楷体"/>
          <w:i/>
          <w:sz w:val="24"/>
          <w:u w:val="single"/>
          <w:lang w:eastAsia="zh-CN"/>
        </w:rPr>
        <w:t>）</w:t>
      </w:r>
      <w:r>
        <w:rPr>
          <w:rFonts w:hint="eastAsia" w:ascii="宋体" w:hAnsi="楷体" w:eastAsia="宋体" w:cs="楷体"/>
          <w:sz w:val="24"/>
        </w:rPr>
        <w:t>项目的投标邀请</w:t>
      </w:r>
      <w:r>
        <w:rPr>
          <w:rFonts w:hint="eastAsia" w:ascii="宋体" w:hAnsi="楷体" w:eastAsia="宋体" w:cs="楷体"/>
          <w:sz w:val="24"/>
          <w:lang w:eastAsia="zh-CN"/>
        </w:rPr>
        <w:t>（</w:t>
      </w:r>
      <w:r>
        <w:rPr>
          <w:rFonts w:hint="eastAsia" w:ascii="宋体" w:hAnsi="楷体" w:eastAsia="宋体" w:cs="楷体"/>
          <w:i/>
          <w:sz w:val="24"/>
          <w:u w:val="single"/>
        </w:rPr>
        <w:t>招标编号</w:t>
      </w:r>
      <w:r>
        <w:rPr>
          <w:rFonts w:hint="eastAsia" w:ascii="宋体" w:hAnsi="楷体" w:eastAsia="宋体" w:cs="楷体"/>
          <w:i/>
          <w:sz w:val="24"/>
          <w:u w:val="single"/>
          <w:lang w:eastAsia="zh-CN"/>
        </w:rPr>
        <w:t>），</w:t>
      </w:r>
      <w:r>
        <w:rPr>
          <w:rFonts w:hint="eastAsia" w:ascii="宋体" w:hAnsi="楷体" w:eastAsia="宋体" w:cs="楷体"/>
          <w:sz w:val="24"/>
        </w:rPr>
        <w:t>签字代表</w:t>
      </w:r>
      <w:r>
        <w:rPr>
          <w:rFonts w:hint="eastAsia" w:ascii="宋体" w:hAnsi="楷体" w:eastAsia="宋体" w:cs="楷体"/>
          <w:sz w:val="24"/>
          <w:lang w:eastAsia="zh-CN"/>
        </w:rPr>
        <w:t>（</w:t>
      </w:r>
      <w:r>
        <w:rPr>
          <w:rFonts w:hint="eastAsia" w:ascii="宋体" w:hAnsi="楷体" w:eastAsia="宋体" w:cs="楷体"/>
          <w:i/>
          <w:sz w:val="24"/>
          <w:u w:val="single"/>
        </w:rPr>
        <w:t>姓名、职务</w:t>
      </w:r>
      <w:r>
        <w:rPr>
          <w:rFonts w:hint="eastAsia" w:ascii="宋体" w:hAnsi="楷体" w:eastAsia="宋体" w:cs="楷体"/>
          <w:i/>
          <w:sz w:val="24"/>
          <w:u w:val="single"/>
          <w:lang w:eastAsia="zh-CN"/>
        </w:rPr>
        <w:t>）</w:t>
      </w:r>
      <w:r>
        <w:rPr>
          <w:rFonts w:hint="eastAsia" w:ascii="宋体" w:hAnsi="楷体" w:eastAsia="宋体" w:cs="楷体"/>
          <w:sz w:val="24"/>
        </w:rPr>
        <w:t>经正式授权并代表投标人（</w:t>
      </w:r>
      <w:r>
        <w:rPr>
          <w:rFonts w:hint="eastAsia" w:ascii="宋体" w:hAnsi="楷体" w:eastAsia="宋体" w:cs="楷体"/>
          <w:i/>
          <w:sz w:val="24"/>
          <w:u w:val="single"/>
        </w:rPr>
        <w:t>投标人名称、地址</w:t>
      </w:r>
      <w:r>
        <w:rPr>
          <w:rFonts w:hint="eastAsia" w:ascii="宋体" w:hAnsi="楷体" w:eastAsia="宋体" w:cs="楷体"/>
          <w:sz w:val="24"/>
        </w:rPr>
        <w:t>）提交下述文件正本</w:t>
      </w:r>
      <w:r>
        <w:rPr>
          <w:rFonts w:hint="eastAsia" w:ascii="宋体" w:hAnsi="楷体" w:eastAsia="宋体" w:cs="楷体"/>
          <w:sz w:val="24"/>
          <w:u w:val="single"/>
        </w:rPr>
        <w:t xml:space="preserve">   </w:t>
      </w:r>
      <w:r>
        <w:rPr>
          <w:rFonts w:hint="eastAsia" w:ascii="宋体" w:hAnsi="楷体" w:eastAsia="宋体" w:cs="楷体"/>
          <w:sz w:val="24"/>
        </w:rPr>
        <w:t>份、副本</w:t>
      </w:r>
      <w:r>
        <w:rPr>
          <w:rFonts w:hint="eastAsia" w:ascii="宋体" w:hAnsi="楷体" w:eastAsia="宋体" w:cs="楷体"/>
          <w:sz w:val="24"/>
          <w:u w:val="single"/>
        </w:rPr>
        <w:t xml:space="preserve">     </w:t>
      </w:r>
      <w:r>
        <w:rPr>
          <w:rFonts w:hint="eastAsia" w:ascii="宋体" w:hAnsi="楷体" w:eastAsia="宋体" w:cs="楷体"/>
          <w:sz w:val="24"/>
        </w:rPr>
        <w:t>份及电子文档</w:t>
      </w:r>
      <w:r>
        <w:rPr>
          <w:rFonts w:hint="eastAsia" w:ascii="宋体" w:hAnsi="楷体" w:eastAsia="宋体" w:cs="楷体"/>
          <w:sz w:val="24"/>
          <w:u w:val="single"/>
        </w:rPr>
        <w:t xml:space="preserve">     </w:t>
      </w:r>
      <w:r>
        <w:rPr>
          <w:rFonts w:hint="eastAsia" w:ascii="宋体" w:hAnsi="楷体" w:eastAsia="宋体" w:cs="楷体"/>
          <w:sz w:val="24"/>
        </w:rPr>
        <w:t>份，以</w:t>
      </w:r>
      <w:r>
        <w:rPr>
          <w:rFonts w:hint="eastAsia" w:ascii="宋体" w:hAnsi="楷体" w:eastAsia="宋体" w:cs="楷体"/>
          <w:sz w:val="24"/>
          <w:u w:val="single"/>
        </w:rPr>
        <w:t xml:space="preserve">         </w:t>
      </w:r>
      <w:r>
        <w:rPr>
          <w:rFonts w:hint="eastAsia" w:ascii="宋体" w:hAnsi="楷体" w:eastAsia="宋体" w:cs="楷体"/>
          <w:sz w:val="24"/>
        </w:rPr>
        <w:t>形式出具的金额为人民币</w:t>
      </w:r>
      <w:r>
        <w:rPr>
          <w:rFonts w:hint="eastAsia" w:ascii="宋体" w:hAnsi="楷体" w:eastAsia="宋体" w:cs="楷体"/>
          <w:sz w:val="24"/>
          <w:u w:val="single"/>
        </w:rPr>
        <w:t>　　　　</w:t>
      </w:r>
      <w:r>
        <w:rPr>
          <w:rFonts w:hint="eastAsia" w:ascii="宋体" w:hAnsi="楷体" w:eastAsia="宋体" w:cs="楷体"/>
          <w:sz w:val="24"/>
        </w:rPr>
        <w:t>元的投标保证金。</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据此，签字代表宣布同意如下：</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（1）本投标有效期为自投标截止之日起</w:t>
      </w:r>
      <w:r>
        <w:rPr>
          <w:rFonts w:hint="eastAsia" w:ascii="宋体" w:hAnsi="楷体" w:eastAsia="宋体" w:cs="楷体"/>
          <w:sz w:val="24"/>
          <w:u w:val="single"/>
        </w:rPr>
        <w:t xml:space="preserve">          </w:t>
      </w:r>
      <w:r>
        <w:rPr>
          <w:rFonts w:hint="eastAsia" w:ascii="宋体" w:hAnsi="楷体" w:eastAsia="宋体" w:cs="楷体"/>
          <w:sz w:val="24"/>
        </w:rPr>
        <w:t>个日历日。</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（2）投标人已详细审查全部招标文件，包括所有补充通知（如果有的话）。我们完全理解并同意放弃对这方面有不明、误解的权力。</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（3）根据投标人须知第1条规定，我方承诺，我方不是为本项目提供整体设计、规范编制或者项目管理、监理、检测等服务的供应商，我方不是采购代理机构的附属机构。</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（4）在规定的开标时间后，投标人保证遵守招标文件中有关保证金的规定。</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（5）按照招标文件的规定，在中标后向贵方一次性支付招标代理费。</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（6）投标人同意提供按照贵方可能要求的与其投标有关的一切数据或资料，完全理解贵方不一定接受最低价的投标或收到的任何投标。</w:t>
      </w:r>
    </w:p>
    <w:p>
      <w:pPr>
        <w:pStyle w:val="21"/>
        <w:tabs>
          <w:tab w:val="left" w:pos="5580"/>
        </w:tabs>
        <w:snapToGrid/>
        <w:spacing w:beforeAutospacing="0" w:afterAutospacing="0" w:line="360" w:lineRule="auto"/>
        <w:ind w:left="0" w:leftChars="0" w:firstLine="480" w:firstLineChars="200"/>
        <w:outlineLvl w:val="3"/>
        <w:rPr>
          <w:rFonts w:hint="eastAsia" w:ascii="宋体" w:hAnsi="楷体" w:eastAsia="宋体" w:cs="楷体"/>
          <w:sz w:val="24"/>
        </w:rPr>
      </w:pPr>
      <w:r>
        <w:rPr>
          <w:rFonts w:hint="eastAsia" w:ascii="宋体" w:hAnsi="楷体" w:eastAsia="宋体" w:cs="楷体"/>
          <w:sz w:val="24"/>
        </w:rPr>
        <w:t>（7）投标人将按招标文件的规定履行合同责任和义务。</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与本投标有关的一切正式往来信函请寄：</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地址</w:t>
      </w:r>
      <w:r>
        <w:rPr>
          <w:rFonts w:hint="eastAsia" w:ascii="宋体" w:hAnsi="楷体" w:eastAsia="宋体" w:cs="楷体"/>
          <w:sz w:val="24"/>
          <w:u w:val="single"/>
        </w:rPr>
        <w:t xml:space="preserve">                         </w:t>
      </w:r>
      <w:r>
        <w:rPr>
          <w:rFonts w:hint="eastAsia" w:ascii="宋体" w:hAnsi="楷体" w:eastAsia="宋体" w:cs="楷体"/>
          <w:sz w:val="24"/>
        </w:rPr>
        <w:t xml:space="preserve">     传真</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b/>
          <w:sz w:val="24"/>
        </w:rPr>
      </w:pPr>
      <w:r>
        <w:rPr>
          <w:rFonts w:hint="eastAsia" w:ascii="宋体" w:hAnsi="楷体" w:eastAsia="宋体" w:cs="楷体"/>
          <w:sz w:val="24"/>
        </w:rPr>
        <w:t>电话</w:t>
      </w:r>
      <w:r>
        <w:rPr>
          <w:rFonts w:hint="eastAsia" w:ascii="宋体" w:hAnsi="楷体" w:eastAsia="宋体" w:cs="楷体"/>
          <w:sz w:val="24"/>
          <w:u w:val="single"/>
        </w:rPr>
        <w:t xml:space="preserve">                         </w:t>
      </w:r>
      <w:r>
        <w:rPr>
          <w:rFonts w:hint="eastAsia" w:ascii="宋体" w:hAnsi="楷体" w:eastAsia="宋体" w:cs="楷体"/>
          <w:sz w:val="24"/>
        </w:rPr>
        <w:t xml:space="preserve">     电子函件</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法定代表人或委托代理人（签字或签章）：</w:t>
      </w:r>
      <w:r>
        <w:rPr>
          <w:rFonts w:hint="eastAsia" w:ascii="宋体" w:hAnsi="楷体" w:eastAsia="宋体" w:cs="楷体"/>
          <w:sz w:val="24"/>
          <w:u w:val="single"/>
        </w:rPr>
        <w:t xml:space="preserve">                 </w:t>
      </w:r>
      <w:r>
        <w:rPr>
          <w:rFonts w:hint="eastAsia" w:ascii="宋体" w:hAnsi="楷体" w:eastAsia="宋体" w:cs="楷体"/>
          <w:sz w:val="24"/>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投标人名称（盖公章）-----------------</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投标人开户银行（全称）</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投标人</w:t>
      </w:r>
      <w:r>
        <w:rPr>
          <w:rFonts w:hint="eastAsia" w:ascii="宋体" w:hAnsi="楷体" w:eastAsia="宋体" w:cs="楷体"/>
          <w:sz w:val="24"/>
          <w:lang w:eastAsia="zh-CN"/>
        </w:rPr>
        <w:t>银行账号</w:t>
      </w:r>
      <w:r>
        <w:rPr>
          <w:rFonts w:hint="eastAsia" w:ascii="宋体" w:hAnsi="楷体" w:eastAsia="宋体" w:cs="楷体"/>
          <w:sz w:val="24"/>
          <w:u w:val="single"/>
        </w:rPr>
        <w:t>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sectPr>
          <w:footerReference r:id="rId6" w:type="default"/>
          <w:pgSz w:w="11906" w:h="16838"/>
          <w:pgMar w:top="1440" w:right="1797" w:bottom="1440" w:left="1797" w:header="851" w:footer="992" w:gutter="0"/>
          <w:cols w:space="720" w:num="1"/>
          <w:docGrid w:type="linesAndChars" w:linePitch="312" w:charSpace="0"/>
        </w:sectPr>
      </w:pPr>
      <w:bookmarkStart w:id="258" w:name="_Toc494296668"/>
      <w:bookmarkStart w:id="259" w:name="_Toc494297001"/>
      <w:r>
        <w:rPr>
          <w:rFonts w:hint="eastAsia" w:ascii="宋体" w:hAnsi="楷体" w:eastAsia="宋体" w:cs="楷体"/>
          <w:sz w:val="24"/>
        </w:rPr>
        <w:t>日期</w:t>
      </w:r>
      <w:r>
        <w:rPr>
          <w:rFonts w:hint="eastAsia" w:ascii="宋体" w:hAnsi="楷体" w:eastAsia="宋体" w:cs="楷体"/>
          <w:sz w:val="24"/>
          <w:lang w:eastAsia="zh-CN"/>
        </w:rPr>
        <w:t>－</w:t>
      </w:r>
      <w:r>
        <w:rPr>
          <w:rFonts w:hint="eastAsia" w:ascii="宋体" w:hAnsi="楷体" w:eastAsia="宋体" w:cs="楷体"/>
          <w:sz w:val="24"/>
        </w:rPr>
        <w:t>------------------------------</w:t>
      </w:r>
      <w:bookmarkEnd w:id="258"/>
      <w:bookmarkEnd w:id="259"/>
      <w:bookmarkStart w:id="260" w:name="_Hlt520356243"/>
      <w:bookmarkEnd w:id="260"/>
      <w:bookmarkStart w:id="261" w:name="_Hlt520355938"/>
      <w:bookmarkEnd w:id="261"/>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color w:val="auto"/>
          <w:sz w:val="24"/>
          <w:szCs w:val="28"/>
        </w:rPr>
      </w:pPr>
      <w:bookmarkStart w:id="262" w:name="_Toc13983"/>
      <w:bookmarkStart w:id="263" w:name="_Toc2582321"/>
      <w:bookmarkStart w:id="264" w:name="_Toc25188"/>
      <w:bookmarkStart w:id="265" w:name="_Toc1881"/>
      <w:bookmarkStart w:id="266" w:name="_Toc20897"/>
      <w:bookmarkStart w:id="267" w:name="_Toc532473507"/>
      <w:bookmarkStart w:id="268" w:name="_Toc515647818"/>
      <w:bookmarkStart w:id="269" w:name="_Toc216582815"/>
      <w:r>
        <w:rPr>
          <w:rFonts w:hint="eastAsia" w:ascii="宋体" w:hAnsi="楷体" w:eastAsia="宋体" w:cs="楷体"/>
          <w:b/>
          <w:color w:val="auto"/>
          <w:sz w:val="24"/>
          <w:szCs w:val="28"/>
          <w:lang w:val="en-US" w:eastAsia="zh-CN"/>
        </w:rPr>
        <w:t>2</w:t>
      </w:r>
      <w:r>
        <w:rPr>
          <w:rFonts w:hint="eastAsia" w:ascii="宋体" w:hAnsi="楷体" w:eastAsia="宋体" w:cs="楷体"/>
          <w:b/>
          <w:color w:val="auto"/>
          <w:sz w:val="24"/>
          <w:szCs w:val="28"/>
        </w:rPr>
        <w:t xml:space="preserve"> 开标一览表（投标文件格式</w:t>
      </w:r>
      <w:r>
        <w:rPr>
          <w:rFonts w:hint="eastAsia" w:ascii="宋体" w:hAnsi="楷体" w:eastAsia="宋体" w:cs="楷体"/>
          <w:b/>
          <w:color w:val="auto"/>
          <w:sz w:val="24"/>
          <w:szCs w:val="28"/>
          <w:lang w:val="en-US" w:eastAsia="zh-CN"/>
        </w:rPr>
        <w:t>三</w:t>
      </w:r>
      <w:r>
        <w:rPr>
          <w:rFonts w:hint="eastAsia" w:ascii="宋体" w:hAnsi="楷体" w:eastAsia="宋体" w:cs="楷体"/>
          <w:b/>
          <w:color w:val="auto"/>
          <w:sz w:val="24"/>
          <w:szCs w:val="28"/>
        </w:rPr>
        <w:t>）</w:t>
      </w:r>
      <w:bookmarkEnd w:id="262"/>
    </w:p>
    <w:p>
      <w:pPr>
        <w:tabs>
          <w:tab w:val="left" w:pos="1800"/>
          <w:tab w:val="left" w:pos="5580"/>
        </w:tabs>
        <w:snapToGrid/>
        <w:spacing w:beforeAutospacing="0" w:afterAutospacing="0" w:line="360" w:lineRule="auto"/>
        <w:ind w:left="0" w:leftChars="0" w:right="-991" w:rightChars="-413" w:firstLine="480" w:firstLineChars="200"/>
        <w:rPr>
          <w:rFonts w:hint="eastAsia" w:ascii="宋体" w:hAnsi="楷体" w:eastAsia="宋体" w:cs="楷体"/>
          <w:sz w:val="24"/>
        </w:rPr>
      </w:pPr>
      <w:r>
        <w:rPr>
          <w:rFonts w:hint="eastAsia" w:ascii="宋体" w:hAnsi="楷体" w:eastAsia="宋体" w:cs="楷体"/>
          <w:sz w:val="24"/>
        </w:rPr>
        <w:t xml:space="preserve">项目名称：　                  </w:t>
      </w:r>
      <w:r>
        <w:rPr>
          <w:rFonts w:hint="eastAsia" w:ascii="宋体" w:hAnsi="楷体" w:eastAsia="宋体" w:cs="楷体"/>
          <w:sz w:val="24"/>
          <w:lang w:val="en-US" w:eastAsia="zh-CN"/>
        </w:rPr>
        <w:t xml:space="preserve">     </w:t>
      </w:r>
      <w:r>
        <w:rPr>
          <w:rFonts w:hint="eastAsia" w:ascii="宋体" w:hAnsi="楷体" w:eastAsia="宋体" w:cs="楷体"/>
          <w:sz w:val="24"/>
        </w:rPr>
        <w:t xml:space="preserve">招标编号：                 </w:t>
      </w:r>
      <w:r>
        <w:rPr>
          <w:rFonts w:hint="eastAsia" w:ascii="宋体" w:hAnsi="楷体" w:eastAsia="宋体" w:cs="楷体"/>
          <w:sz w:val="24"/>
          <w:lang w:val="en-US" w:eastAsia="zh-CN"/>
        </w:rPr>
        <w:t xml:space="preserve">          </w:t>
      </w:r>
      <w:r>
        <w:rPr>
          <w:rFonts w:hint="eastAsia" w:ascii="宋体" w:hAnsi="楷体" w:eastAsia="宋体" w:cs="楷体"/>
          <w:sz w:val="24"/>
        </w:rPr>
        <w:t>包号：         报价单位：人民币</w:t>
      </w:r>
      <w:r>
        <w:rPr>
          <w:rFonts w:hint="eastAsia" w:ascii="宋体" w:hAnsi="楷体" w:eastAsia="宋体" w:cs="楷体"/>
          <w:b/>
          <w:sz w:val="24"/>
        </w:rPr>
        <w:t>元</w:t>
      </w:r>
    </w:p>
    <w:tbl>
      <w:tblPr>
        <w:tblStyle w:val="37"/>
        <w:tblW w:w="13497" w:type="dxa"/>
        <w:tblInd w:w="-61" w:type="dxa"/>
        <w:tblLayout w:type="fixed"/>
        <w:tblCellMar>
          <w:top w:w="0" w:type="dxa"/>
          <w:left w:w="0" w:type="dxa"/>
          <w:bottom w:w="0" w:type="dxa"/>
          <w:right w:w="0" w:type="dxa"/>
        </w:tblCellMar>
      </w:tblPr>
      <w:tblGrid>
        <w:gridCol w:w="2166"/>
        <w:gridCol w:w="3569"/>
        <w:gridCol w:w="2358"/>
        <w:gridCol w:w="1946"/>
        <w:gridCol w:w="1903"/>
        <w:gridCol w:w="1555"/>
      </w:tblGrid>
      <w:tr>
        <w:tblPrEx>
          <w:tblCellMar>
            <w:top w:w="0" w:type="dxa"/>
            <w:left w:w="0" w:type="dxa"/>
            <w:bottom w:w="0" w:type="dxa"/>
            <w:right w:w="0" w:type="dxa"/>
          </w:tblCellMar>
        </w:tblPrEx>
        <w:trPr>
          <w:trHeight w:val="924" w:hRule="atLeast"/>
        </w:trPr>
        <w:tc>
          <w:tcPr>
            <w:tcW w:w="2166"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spacing w:line="240" w:lineRule="atLeast"/>
              <w:ind w:right="-199"/>
              <w:jc w:val="center"/>
              <w:rPr>
                <w:rFonts w:hint="eastAsia" w:ascii="楷体" w:hAnsi="楷体" w:eastAsia="楷体" w:cs="楷体"/>
                <w:sz w:val="24"/>
              </w:rPr>
            </w:pPr>
            <w:r>
              <w:rPr>
                <w:rFonts w:hint="eastAsia" w:ascii="楷体" w:hAnsi="楷体" w:eastAsia="楷体" w:cs="楷体"/>
                <w:sz w:val="24"/>
                <w:lang w:val="en-US" w:eastAsia="zh-CN"/>
              </w:rPr>
              <w:t>项目</w:t>
            </w:r>
            <w:r>
              <w:rPr>
                <w:rFonts w:hint="eastAsia" w:ascii="楷体" w:hAnsi="楷体" w:eastAsia="楷体" w:cs="楷体"/>
                <w:sz w:val="24"/>
              </w:rPr>
              <w:t>名称</w:t>
            </w:r>
          </w:p>
        </w:tc>
        <w:tc>
          <w:tcPr>
            <w:tcW w:w="3569"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spacing w:line="240" w:lineRule="atLeast"/>
              <w:jc w:val="center"/>
              <w:rPr>
                <w:rFonts w:hint="eastAsia" w:ascii="楷体" w:hAnsi="楷体" w:eastAsia="楷体" w:cs="楷体"/>
                <w:sz w:val="24"/>
              </w:rPr>
            </w:pPr>
            <w:r>
              <w:rPr>
                <w:rFonts w:hint="eastAsia" w:ascii="楷体" w:hAnsi="楷体" w:eastAsia="楷体" w:cs="楷体"/>
                <w:sz w:val="24"/>
              </w:rPr>
              <w:t>投标总价</w:t>
            </w:r>
          </w:p>
        </w:tc>
        <w:tc>
          <w:tcPr>
            <w:tcW w:w="2358"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hint="eastAsia" w:ascii="楷体" w:hAnsi="楷体" w:eastAsia="楷体" w:cs="楷体"/>
                <w:sz w:val="24"/>
                <w:lang w:eastAsia="zh-CN"/>
              </w:rPr>
            </w:pPr>
            <w:r>
              <w:rPr>
                <w:rFonts w:hint="eastAsia" w:ascii="楷体" w:hAnsi="楷体" w:eastAsia="楷体" w:cs="楷体"/>
                <w:sz w:val="24"/>
                <w:lang w:eastAsia="zh-CN"/>
              </w:rPr>
              <w:t>履约期限</w:t>
            </w:r>
          </w:p>
        </w:tc>
        <w:tc>
          <w:tcPr>
            <w:tcW w:w="1946"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hint="eastAsia" w:ascii="楷体" w:hAnsi="楷体" w:eastAsia="楷体" w:cs="楷体"/>
                <w:sz w:val="24"/>
                <w:lang w:eastAsia="zh-CN"/>
              </w:rPr>
            </w:pPr>
            <w:r>
              <w:rPr>
                <w:rFonts w:hint="eastAsia" w:ascii="楷体" w:hAnsi="楷体" w:eastAsia="楷体" w:cs="楷体"/>
                <w:sz w:val="24"/>
                <w:lang w:eastAsia="zh-CN"/>
              </w:rPr>
              <w:t>履约地点</w:t>
            </w:r>
          </w:p>
        </w:tc>
        <w:tc>
          <w:tcPr>
            <w:tcW w:w="1903"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hint="eastAsia" w:ascii="楷体" w:hAnsi="楷体" w:eastAsia="楷体" w:cs="楷体"/>
                <w:sz w:val="24"/>
              </w:rPr>
            </w:pPr>
            <w:r>
              <w:rPr>
                <w:rFonts w:hint="eastAsia" w:ascii="楷体" w:hAnsi="楷体" w:eastAsia="楷体" w:cs="楷体"/>
                <w:sz w:val="24"/>
              </w:rPr>
              <w:t>投标保证金</w:t>
            </w:r>
          </w:p>
        </w:tc>
        <w:tc>
          <w:tcPr>
            <w:tcW w:w="1555"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tLeast"/>
              <w:jc w:val="center"/>
              <w:rPr>
                <w:rFonts w:hint="eastAsia" w:ascii="楷体" w:hAnsi="楷体" w:eastAsia="楷体" w:cs="楷体"/>
                <w:sz w:val="24"/>
              </w:rPr>
            </w:pPr>
            <w:r>
              <w:rPr>
                <w:rFonts w:hint="eastAsia" w:ascii="楷体" w:hAnsi="楷体" w:eastAsia="楷体" w:cs="楷体"/>
                <w:sz w:val="24"/>
              </w:rPr>
              <w:t>备注</w:t>
            </w:r>
          </w:p>
        </w:tc>
      </w:tr>
      <w:tr>
        <w:tblPrEx>
          <w:tblCellMar>
            <w:top w:w="0" w:type="dxa"/>
            <w:left w:w="0" w:type="dxa"/>
            <w:bottom w:w="0" w:type="dxa"/>
            <w:right w:w="0" w:type="dxa"/>
          </w:tblCellMar>
        </w:tblPrEx>
        <w:trPr>
          <w:cantSplit/>
          <w:trHeight w:val="2265" w:hRule="atLeast"/>
        </w:trPr>
        <w:tc>
          <w:tcPr>
            <w:tcW w:w="2166"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240" w:lineRule="atLeast"/>
              <w:ind w:left="1157" w:leftChars="257" w:hanging="540"/>
              <w:jc w:val="center"/>
              <w:rPr>
                <w:rFonts w:hint="eastAsia" w:ascii="楷体" w:hAnsi="楷体" w:eastAsia="楷体" w:cs="楷体"/>
                <w:sz w:val="24"/>
              </w:rPr>
            </w:pPr>
          </w:p>
        </w:tc>
        <w:tc>
          <w:tcPr>
            <w:tcW w:w="3569" w:type="dxa"/>
            <w:tcBorders>
              <w:top w:val="single" w:color="auto" w:sz="8" w:space="0"/>
              <w:left w:val="single" w:color="auto" w:sz="8" w:space="0"/>
              <w:bottom w:val="single" w:color="auto" w:sz="4" w:space="0"/>
              <w:right w:val="single" w:color="auto" w:sz="4" w:space="0"/>
            </w:tcBorders>
            <w:noWrap w:val="0"/>
            <w:vAlign w:val="center"/>
          </w:tcPr>
          <w:p>
            <w:pPr>
              <w:tabs>
                <w:tab w:val="left" w:pos="5580"/>
              </w:tabs>
              <w:spacing w:line="240" w:lineRule="atLeast"/>
              <w:ind w:firstLine="480" w:firstLineChars="200"/>
              <w:jc w:val="left"/>
              <w:rPr>
                <w:rFonts w:hint="eastAsia" w:ascii="楷体" w:hAnsi="楷体" w:eastAsia="楷体" w:cs="楷体"/>
                <w:sz w:val="24"/>
              </w:rPr>
            </w:pPr>
            <w:r>
              <w:rPr>
                <w:rFonts w:hint="eastAsia" w:ascii="楷体" w:hAnsi="楷体" w:eastAsia="楷体" w:cs="楷体"/>
                <w:sz w:val="24"/>
              </w:rPr>
              <w:t>大写：</w:t>
            </w:r>
          </w:p>
          <w:p>
            <w:pPr>
              <w:tabs>
                <w:tab w:val="left" w:pos="5580"/>
              </w:tabs>
              <w:spacing w:line="240" w:lineRule="atLeast"/>
              <w:ind w:firstLine="480" w:firstLineChars="200"/>
              <w:jc w:val="left"/>
              <w:rPr>
                <w:rFonts w:hint="eastAsia" w:ascii="楷体" w:hAnsi="楷体" w:eastAsia="楷体" w:cs="楷体"/>
                <w:sz w:val="24"/>
              </w:rPr>
            </w:pPr>
            <w:r>
              <w:rPr>
                <w:rFonts w:hint="eastAsia" w:ascii="楷体" w:hAnsi="楷体" w:eastAsia="楷体" w:cs="楷体"/>
                <w:sz w:val="24"/>
              </w:rPr>
              <w:t>小写：</w:t>
            </w:r>
          </w:p>
        </w:tc>
        <w:tc>
          <w:tcPr>
            <w:tcW w:w="2358"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157" w:leftChars="257" w:hanging="540"/>
              <w:jc w:val="center"/>
              <w:rPr>
                <w:rFonts w:hint="eastAsia" w:ascii="楷体" w:hAnsi="楷体" w:eastAsia="楷体" w:cs="楷体"/>
                <w:sz w:val="24"/>
              </w:rPr>
            </w:pPr>
          </w:p>
        </w:tc>
        <w:tc>
          <w:tcPr>
            <w:tcW w:w="1946"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157" w:leftChars="257" w:hanging="540"/>
              <w:jc w:val="center"/>
              <w:rPr>
                <w:rFonts w:hint="eastAsia" w:ascii="楷体" w:hAnsi="楷体" w:eastAsia="楷体" w:cs="楷体"/>
                <w:sz w:val="24"/>
              </w:rPr>
            </w:pPr>
          </w:p>
        </w:tc>
        <w:tc>
          <w:tcPr>
            <w:tcW w:w="1903"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157" w:leftChars="257" w:hanging="540"/>
              <w:jc w:val="center"/>
              <w:rPr>
                <w:rFonts w:hint="eastAsia" w:ascii="楷体" w:hAnsi="楷体" w:eastAsia="楷体" w:cs="楷体"/>
                <w:sz w:val="24"/>
              </w:rPr>
            </w:pPr>
          </w:p>
        </w:tc>
        <w:tc>
          <w:tcPr>
            <w:tcW w:w="1555" w:type="dxa"/>
            <w:tcBorders>
              <w:top w:val="single" w:color="auto" w:sz="8" w:space="0"/>
              <w:left w:val="single" w:color="auto" w:sz="4" w:space="0"/>
              <w:bottom w:val="single" w:color="auto" w:sz="4" w:space="0"/>
              <w:right w:val="single" w:color="auto" w:sz="8" w:space="0"/>
            </w:tcBorders>
            <w:noWrap w:val="0"/>
            <w:vAlign w:val="center"/>
          </w:tcPr>
          <w:p>
            <w:pPr>
              <w:tabs>
                <w:tab w:val="left" w:pos="5580"/>
              </w:tabs>
              <w:spacing w:line="240" w:lineRule="atLeast"/>
              <w:ind w:left="1157" w:leftChars="257" w:hanging="540"/>
              <w:jc w:val="center"/>
              <w:rPr>
                <w:rFonts w:hint="eastAsia" w:ascii="楷体" w:hAnsi="楷体" w:eastAsia="楷体" w:cs="楷体"/>
                <w:sz w:val="24"/>
              </w:rPr>
            </w:pPr>
          </w:p>
        </w:tc>
      </w:tr>
    </w:tbl>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投标人（盖公章）：</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rPr>
        <w:t>法定代表人或委托代理人</w:t>
      </w:r>
      <w:r>
        <w:rPr>
          <w:rFonts w:hint="eastAsia" w:ascii="宋体" w:hAnsi="楷体" w:eastAsia="宋体" w:cs="楷体"/>
          <w:sz w:val="24"/>
          <w:lang w:eastAsia="zh-CN"/>
        </w:rPr>
        <w:t>（</w:t>
      </w:r>
      <w:r>
        <w:rPr>
          <w:rFonts w:hint="eastAsia" w:ascii="宋体" w:hAnsi="楷体" w:eastAsia="宋体" w:cs="楷体"/>
          <w:sz w:val="24"/>
        </w:rPr>
        <w:t>签字或签章</w:t>
      </w:r>
      <w:r>
        <w:rPr>
          <w:rFonts w:hint="eastAsia" w:ascii="宋体" w:hAnsi="楷体" w:eastAsia="宋体" w:cs="楷体"/>
          <w:sz w:val="24"/>
          <w:lang w:eastAsia="zh-CN"/>
        </w:rPr>
        <w:t>）</w:t>
      </w:r>
      <w:r>
        <w:rPr>
          <w:rFonts w:hint="eastAsia" w:ascii="宋体" w:hAnsi="楷体" w:eastAsia="宋体" w:cs="楷体"/>
          <w:sz w:val="24"/>
        </w:rPr>
        <w:t>:</w:t>
      </w:r>
      <w:r>
        <w:rPr>
          <w:rFonts w:hint="eastAsia" w:ascii="宋体" w:hAnsi="楷体" w:eastAsia="宋体" w:cs="楷体"/>
          <w:sz w:val="24"/>
          <w:u w:val="single"/>
        </w:rPr>
        <w:tab/>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注:1、此表应按投标人须知的规定装订密封。</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2、此表中，每包的投标总价应和投标分项报价表（投标文件格式</w:t>
      </w:r>
      <w:r>
        <w:rPr>
          <w:rFonts w:hint="eastAsia" w:hAnsi="楷体" w:eastAsia="宋体" w:cs="楷体"/>
          <w:sz w:val="24"/>
          <w:lang w:val="en-US" w:eastAsia="zh-CN"/>
        </w:rPr>
        <w:t>四</w:t>
      </w:r>
      <w:r>
        <w:rPr>
          <w:rFonts w:hint="eastAsia" w:ascii="宋体" w:hAnsi="楷体" w:eastAsia="宋体" w:cs="楷体"/>
          <w:sz w:val="24"/>
        </w:rPr>
        <w:t>）的总价相一致。</w:t>
      </w:r>
    </w:p>
    <w:p>
      <w:pPr>
        <w:pStyle w:val="5"/>
        <w:snapToGrid/>
        <w:spacing w:before="0" w:beforeAutospacing="0" w:afterAutospacing="0" w:line="360" w:lineRule="auto"/>
        <w:ind w:left="0" w:leftChars="0" w:firstLine="482" w:firstLineChars="200"/>
        <w:outlineLvl w:val="2"/>
        <w:rPr>
          <w:rFonts w:hint="eastAsia" w:ascii="宋体" w:hAnsi="楷体" w:eastAsia="宋体" w:cs="楷体"/>
          <w:sz w:val="24"/>
        </w:rPr>
      </w:pPr>
    </w:p>
    <w:p>
      <w:pPr>
        <w:rPr>
          <w:rFonts w:hint="eastAsia"/>
        </w:rPr>
      </w:pPr>
    </w:p>
    <w:p>
      <w:pPr>
        <w:pStyle w:val="5"/>
        <w:snapToGrid/>
        <w:spacing w:before="0" w:beforeAutospacing="0" w:afterAutospacing="0" w:line="240" w:lineRule="auto"/>
        <w:jc w:val="both"/>
        <w:outlineLvl w:val="2"/>
        <w:rPr>
          <w:rFonts w:hint="eastAsia" w:ascii="宋体" w:hAnsi="楷体" w:eastAsia="宋体" w:cs="楷体"/>
          <w:sz w:val="24"/>
          <w:u w:val="single"/>
          <w:lang w:val="en-US" w:eastAsia="zh-CN"/>
        </w:rPr>
      </w:pPr>
    </w:p>
    <w:p>
      <w:pPr>
        <w:pStyle w:val="5"/>
        <w:snapToGrid/>
        <w:spacing w:before="0" w:beforeAutospacing="0" w:afterAutospacing="0" w:line="240" w:lineRule="auto"/>
        <w:jc w:val="both"/>
        <w:outlineLvl w:val="2"/>
        <w:rPr>
          <w:rFonts w:hint="eastAsia" w:ascii="宋体" w:hAnsi="楷体" w:eastAsia="宋体" w:cs="楷体"/>
          <w:sz w:val="24"/>
        </w:rPr>
      </w:pPr>
      <w:r>
        <w:rPr>
          <w:rFonts w:hint="eastAsia" w:ascii="宋体" w:hAnsi="楷体" w:eastAsia="宋体" w:cs="楷体"/>
          <w:sz w:val="24"/>
          <w:u w:val="single"/>
          <w:lang w:val="en-US" w:eastAsia="zh-CN"/>
        </w:rPr>
        <w:t>3</w:t>
      </w:r>
      <w:r>
        <w:rPr>
          <w:rFonts w:hint="eastAsia" w:ascii="宋体" w:hAnsi="楷体" w:eastAsia="宋体" w:cs="楷体"/>
          <w:sz w:val="24"/>
          <w:u w:val="single"/>
        </w:rPr>
        <w:t xml:space="preserve"> </w:t>
      </w:r>
      <w:r>
        <w:rPr>
          <w:rFonts w:hint="eastAsia" w:ascii="宋体" w:hAnsi="楷体" w:eastAsia="宋体" w:cs="楷体"/>
          <w:sz w:val="24"/>
          <w:u w:val="single"/>
          <w:lang w:val="en-US" w:eastAsia="zh-CN"/>
        </w:rPr>
        <w:t xml:space="preserve"> </w:t>
      </w:r>
      <w:r>
        <w:rPr>
          <w:rFonts w:hint="eastAsia" w:ascii="宋体" w:hAnsi="楷体" w:eastAsia="宋体" w:cs="楷体"/>
          <w:sz w:val="24"/>
          <w:u w:val="single"/>
        </w:rPr>
        <w:t>投标分项报价表</w:t>
      </w:r>
      <w:bookmarkEnd w:id="263"/>
      <w:bookmarkEnd w:id="264"/>
      <w:r>
        <w:rPr>
          <w:rFonts w:hint="eastAsia" w:ascii="宋体" w:hAnsi="楷体" w:eastAsia="宋体" w:cs="楷体"/>
          <w:sz w:val="24"/>
          <w:u w:val="single"/>
        </w:rPr>
        <w:t>（投标文件格式四）</w:t>
      </w:r>
    </w:p>
    <w:bookmarkEnd w:id="265"/>
    <w:bookmarkEnd w:id="266"/>
    <w:bookmarkEnd w:id="267"/>
    <w:bookmarkEnd w:id="268"/>
    <w:p>
      <w:pPr>
        <w:pStyle w:val="21"/>
        <w:snapToGrid/>
        <w:spacing w:beforeAutospacing="0" w:afterAutospacing="0" w:line="360" w:lineRule="auto"/>
        <w:ind w:left="0" w:leftChars="0" w:firstLine="480" w:firstLineChars="200"/>
        <w:rPr>
          <w:rFonts w:hint="eastAsia" w:ascii="宋体" w:hAnsi="楷体" w:eastAsia="宋体" w:cs="楷体"/>
          <w:sz w:val="24"/>
        </w:rPr>
      </w:pP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 xml:space="preserve">项目名称:                     </w:t>
      </w:r>
      <w:r>
        <w:rPr>
          <w:rFonts w:hint="eastAsia" w:hAnsi="楷体" w:eastAsia="宋体" w:cs="楷体"/>
          <w:sz w:val="24"/>
          <w:lang w:val="en-US" w:eastAsia="zh-CN"/>
        </w:rPr>
        <w:t xml:space="preserve">   </w:t>
      </w:r>
      <w:r>
        <w:rPr>
          <w:rFonts w:hint="eastAsia" w:ascii="宋体" w:hAnsi="楷体" w:eastAsia="宋体" w:cs="楷体"/>
          <w:sz w:val="24"/>
        </w:rPr>
        <w:t xml:space="preserve"> 招标编号:                        </w:t>
      </w:r>
      <w:r>
        <w:rPr>
          <w:rFonts w:hint="eastAsia" w:hAnsi="楷体" w:eastAsia="宋体" w:cs="楷体"/>
          <w:sz w:val="24"/>
          <w:lang w:val="en-US" w:eastAsia="zh-CN"/>
        </w:rPr>
        <w:t xml:space="preserve">   </w:t>
      </w:r>
      <w:r>
        <w:rPr>
          <w:rFonts w:hint="eastAsia" w:ascii="宋体" w:hAnsi="楷体" w:eastAsia="宋体" w:cs="楷体"/>
          <w:sz w:val="24"/>
        </w:rPr>
        <w:t xml:space="preserve"> </w:t>
      </w:r>
      <w:r>
        <w:rPr>
          <w:rFonts w:hint="eastAsia" w:hAnsi="楷体" w:eastAsia="宋体" w:cs="楷体"/>
          <w:sz w:val="24"/>
          <w:lang w:val="en-US" w:eastAsia="zh-CN"/>
        </w:rPr>
        <w:t xml:space="preserve">  </w:t>
      </w:r>
      <w:r>
        <w:rPr>
          <w:rFonts w:hint="eastAsia" w:ascii="宋体" w:hAnsi="楷体" w:eastAsia="宋体" w:cs="楷体"/>
          <w:sz w:val="24"/>
        </w:rPr>
        <w:t>包号: 　 　</w:t>
      </w:r>
      <w:r>
        <w:rPr>
          <w:rFonts w:hint="eastAsia" w:hAnsi="楷体" w:eastAsia="宋体" w:cs="楷体"/>
          <w:sz w:val="24"/>
          <w:lang w:val="en-US" w:eastAsia="zh-CN"/>
        </w:rPr>
        <w:t xml:space="preserve">     </w:t>
      </w:r>
      <w:r>
        <w:rPr>
          <w:rFonts w:hint="eastAsia" w:ascii="宋体" w:hAnsi="楷体" w:eastAsia="宋体" w:cs="楷体"/>
          <w:sz w:val="24"/>
        </w:rPr>
        <w:t>报价单位：人民币元</w:t>
      </w:r>
    </w:p>
    <w:tbl>
      <w:tblPr>
        <w:tblStyle w:val="37"/>
        <w:tblW w:w="13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741"/>
        <w:gridCol w:w="1060"/>
        <w:gridCol w:w="1600"/>
        <w:gridCol w:w="1466"/>
        <w:gridCol w:w="977"/>
        <w:gridCol w:w="1843"/>
        <w:gridCol w:w="913"/>
        <w:gridCol w:w="106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7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序号</w:t>
            </w:r>
          </w:p>
        </w:tc>
        <w:tc>
          <w:tcPr>
            <w:tcW w:w="274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名称</w:t>
            </w:r>
          </w:p>
        </w:tc>
        <w:tc>
          <w:tcPr>
            <w:tcW w:w="1060"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品牌</w:t>
            </w:r>
          </w:p>
        </w:tc>
        <w:tc>
          <w:tcPr>
            <w:tcW w:w="1600"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型号和规格</w:t>
            </w:r>
          </w:p>
        </w:tc>
        <w:tc>
          <w:tcPr>
            <w:tcW w:w="1466"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数量</w:t>
            </w:r>
          </w:p>
        </w:tc>
        <w:tc>
          <w:tcPr>
            <w:tcW w:w="977"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原产地</w:t>
            </w:r>
          </w:p>
        </w:tc>
        <w:tc>
          <w:tcPr>
            <w:tcW w:w="1843" w:type="dxa"/>
            <w:noWrap w:val="0"/>
            <w:vAlign w:val="center"/>
          </w:tcPr>
          <w:p>
            <w:pPr>
              <w:pStyle w:val="21"/>
              <w:spacing w:line="360" w:lineRule="auto"/>
              <w:ind w:firstLine="480" w:firstLineChars="200"/>
              <w:jc w:val="center"/>
              <w:rPr>
                <w:rFonts w:hint="eastAsia" w:ascii="楷体" w:hAnsi="楷体" w:eastAsia="楷体" w:cs="楷体"/>
                <w:sz w:val="24"/>
              </w:rPr>
            </w:pPr>
            <w:r>
              <w:rPr>
                <w:rFonts w:hint="eastAsia" w:ascii="楷体" w:hAnsi="楷体" w:eastAsia="楷体" w:cs="楷体"/>
                <w:sz w:val="24"/>
              </w:rPr>
              <w:t>制造商</w:t>
            </w:r>
          </w:p>
          <w:p>
            <w:pPr>
              <w:pStyle w:val="21"/>
              <w:spacing w:line="360" w:lineRule="auto"/>
              <w:ind w:firstLine="480" w:firstLineChars="200"/>
              <w:jc w:val="center"/>
              <w:rPr>
                <w:rFonts w:hint="eastAsia" w:ascii="楷体" w:hAnsi="楷体" w:eastAsia="楷体" w:cs="楷体"/>
                <w:sz w:val="24"/>
              </w:rPr>
            </w:pPr>
            <w:r>
              <w:rPr>
                <w:rFonts w:hint="eastAsia" w:ascii="楷体" w:hAnsi="楷体" w:eastAsia="楷体" w:cs="楷体"/>
                <w:sz w:val="24"/>
              </w:rPr>
              <w:t>（服务商）名称</w:t>
            </w:r>
          </w:p>
        </w:tc>
        <w:tc>
          <w:tcPr>
            <w:tcW w:w="913"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单价</w:t>
            </w:r>
          </w:p>
        </w:tc>
        <w:tc>
          <w:tcPr>
            <w:tcW w:w="1067"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总价</w:t>
            </w:r>
          </w:p>
        </w:tc>
        <w:tc>
          <w:tcPr>
            <w:tcW w:w="1072"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1</w:t>
            </w:r>
          </w:p>
        </w:tc>
        <w:tc>
          <w:tcPr>
            <w:tcW w:w="2741" w:type="dxa"/>
            <w:noWrap w:val="0"/>
            <w:vAlign w:val="center"/>
          </w:tcPr>
          <w:p>
            <w:pPr>
              <w:pStyle w:val="21"/>
              <w:spacing w:line="360" w:lineRule="auto"/>
              <w:jc w:val="center"/>
              <w:rPr>
                <w:rFonts w:hint="eastAsia" w:ascii="楷体" w:hAnsi="楷体" w:eastAsia="楷体" w:cs="楷体"/>
                <w:i/>
                <w:sz w:val="24"/>
              </w:rPr>
            </w:pPr>
            <w:r>
              <w:rPr>
                <w:rFonts w:hint="eastAsia" w:ascii="楷体" w:hAnsi="楷体" w:eastAsia="楷体" w:cs="楷体"/>
                <w:i/>
                <w:sz w:val="24"/>
              </w:rPr>
              <w:t>货物名称</w:t>
            </w:r>
          </w:p>
        </w:tc>
        <w:tc>
          <w:tcPr>
            <w:tcW w:w="1060" w:type="dxa"/>
            <w:noWrap w:val="0"/>
            <w:vAlign w:val="top"/>
          </w:tcPr>
          <w:p>
            <w:pPr>
              <w:pStyle w:val="21"/>
              <w:spacing w:line="360" w:lineRule="auto"/>
              <w:ind w:left="1157" w:leftChars="257" w:hanging="540"/>
              <w:jc w:val="center"/>
              <w:rPr>
                <w:rFonts w:hint="eastAsia" w:ascii="楷体" w:hAnsi="楷体" w:eastAsia="楷体" w:cs="楷体"/>
                <w:sz w:val="24"/>
              </w:rPr>
            </w:pPr>
          </w:p>
        </w:tc>
        <w:tc>
          <w:tcPr>
            <w:tcW w:w="1600"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466"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7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84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1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6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72" w:type="dxa"/>
            <w:noWrap w:val="0"/>
            <w:vAlign w:val="center"/>
          </w:tcPr>
          <w:p>
            <w:pPr>
              <w:pStyle w:val="21"/>
              <w:spacing w:line="360" w:lineRule="auto"/>
              <w:ind w:left="1157" w:leftChars="257" w:hanging="540"/>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2</w:t>
            </w:r>
          </w:p>
        </w:tc>
        <w:tc>
          <w:tcPr>
            <w:tcW w:w="2741" w:type="dxa"/>
            <w:noWrap w:val="0"/>
            <w:vAlign w:val="center"/>
          </w:tcPr>
          <w:p>
            <w:pPr>
              <w:pStyle w:val="21"/>
              <w:spacing w:line="360" w:lineRule="auto"/>
              <w:jc w:val="center"/>
              <w:rPr>
                <w:rFonts w:hint="eastAsia" w:ascii="楷体" w:hAnsi="楷体" w:eastAsia="楷体" w:cs="楷体"/>
                <w:i/>
                <w:sz w:val="24"/>
              </w:rPr>
            </w:pPr>
            <w:r>
              <w:rPr>
                <w:rFonts w:hint="eastAsia" w:ascii="楷体" w:hAnsi="楷体" w:eastAsia="楷体" w:cs="楷体"/>
                <w:i/>
                <w:sz w:val="24"/>
              </w:rPr>
              <w:t>备品备件</w:t>
            </w:r>
          </w:p>
        </w:tc>
        <w:tc>
          <w:tcPr>
            <w:tcW w:w="1060" w:type="dxa"/>
            <w:noWrap w:val="0"/>
            <w:vAlign w:val="top"/>
          </w:tcPr>
          <w:p>
            <w:pPr>
              <w:pStyle w:val="21"/>
              <w:spacing w:line="360" w:lineRule="auto"/>
              <w:ind w:left="1157" w:leftChars="257" w:hanging="540"/>
              <w:jc w:val="center"/>
              <w:rPr>
                <w:rFonts w:hint="eastAsia" w:ascii="楷体" w:hAnsi="楷体" w:eastAsia="楷体" w:cs="楷体"/>
                <w:sz w:val="24"/>
              </w:rPr>
            </w:pPr>
          </w:p>
        </w:tc>
        <w:tc>
          <w:tcPr>
            <w:tcW w:w="1600"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466"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7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84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1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6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72" w:type="dxa"/>
            <w:noWrap w:val="0"/>
            <w:vAlign w:val="center"/>
          </w:tcPr>
          <w:p>
            <w:pPr>
              <w:pStyle w:val="21"/>
              <w:spacing w:line="360" w:lineRule="auto"/>
              <w:ind w:left="1157" w:leftChars="257" w:hanging="540"/>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3</w:t>
            </w:r>
          </w:p>
        </w:tc>
        <w:tc>
          <w:tcPr>
            <w:tcW w:w="2741" w:type="dxa"/>
            <w:noWrap w:val="0"/>
            <w:vAlign w:val="center"/>
          </w:tcPr>
          <w:p>
            <w:pPr>
              <w:pStyle w:val="21"/>
              <w:spacing w:line="360" w:lineRule="auto"/>
              <w:jc w:val="center"/>
              <w:rPr>
                <w:rFonts w:hint="eastAsia" w:ascii="楷体" w:hAnsi="楷体" w:eastAsia="楷体" w:cs="楷体"/>
                <w:i/>
                <w:sz w:val="24"/>
              </w:rPr>
            </w:pPr>
            <w:r>
              <w:rPr>
                <w:rFonts w:hint="eastAsia" w:ascii="楷体" w:hAnsi="楷体" w:eastAsia="楷体" w:cs="楷体"/>
                <w:i/>
                <w:sz w:val="24"/>
              </w:rPr>
              <w:t>专用工具</w:t>
            </w:r>
          </w:p>
        </w:tc>
        <w:tc>
          <w:tcPr>
            <w:tcW w:w="1060" w:type="dxa"/>
            <w:noWrap w:val="0"/>
            <w:vAlign w:val="top"/>
          </w:tcPr>
          <w:p>
            <w:pPr>
              <w:pStyle w:val="21"/>
              <w:spacing w:line="360" w:lineRule="auto"/>
              <w:ind w:left="1157" w:leftChars="257" w:hanging="540"/>
              <w:jc w:val="center"/>
              <w:rPr>
                <w:rFonts w:hint="eastAsia" w:ascii="楷体" w:hAnsi="楷体" w:eastAsia="楷体" w:cs="楷体"/>
                <w:sz w:val="24"/>
              </w:rPr>
            </w:pPr>
          </w:p>
        </w:tc>
        <w:tc>
          <w:tcPr>
            <w:tcW w:w="1600"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466"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7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84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1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6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72" w:type="dxa"/>
            <w:noWrap w:val="0"/>
            <w:vAlign w:val="center"/>
          </w:tcPr>
          <w:p>
            <w:pPr>
              <w:pStyle w:val="21"/>
              <w:spacing w:line="360" w:lineRule="auto"/>
              <w:ind w:left="1157" w:leftChars="257" w:hanging="540"/>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4</w:t>
            </w:r>
          </w:p>
        </w:tc>
        <w:tc>
          <w:tcPr>
            <w:tcW w:w="274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运输（含保险）</w:t>
            </w:r>
          </w:p>
        </w:tc>
        <w:tc>
          <w:tcPr>
            <w:tcW w:w="1060" w:type="dxa"/>
            <w:noWrap w:val="0"/>
            <w:vAlign w:val="top"/>
          </w:tcPr>
          <w:p>
            <w:pPr>
              <w:pStyle w:val="21"/>
              <w:spacing w:line="360" w:lineRule="auto"/>
              <w:ind w:left="1157" w:leftChars="257" w:hanging="540"/>
              <w:jc w:val="center"/>
              <w:rPr>
                <w:rFonts w:hint="eastAsia" w:ascii="楷体" w:hAnsi="楷体" w:eastAsia="楷体" w:cs="楷体"/>
                <w:sz w:val="24"/>
              </w:rPr>
            </w:pPr>
          </w:p>
        </w:tc>
        <w:tc>
          <w:tcPr>
            <w:tcW w:w="1600"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466"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7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84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1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6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72" w:type="dxa"/>
            <w:noWrap w:val="0"/>
            <w:vAlign w:val="center"/>
          </w:tcPr>
          <w:p>
            <w:pPr>
              <w:pStyle w:val="21"/>
              <w:spacing w:line="360" w:lineRule="auto"/>
              <w:ind w:left="1157" w:leftChars="257" w:hanging="540"/>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5</w:t>
            </w:r>
          </w:p>
        </w:tc>
        <w:tc>
          <w:tcPr>
            <w:tcW w:w="274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安装、调试、检验</w:t>
            </w:r>
          </w:p>
        </w:tc>
        <w:tc>
          <w:tcPr>
            <w:tcW w:w="1060" w:type="dxa"/>
            <w:noWrap w:val="0"/>
            <w:vAlign w:val="top"/>
          </w:tcPr>
          <w:p>
            <w:pPr>
              <w:pStyle w:val="21"/>
              <w:spacing w:line="360" w:lineRule="auto"/>
              <w:ind w:left="1157" w:leftChars="257" w:hanging="540"/>
              <w:jc w:val="center"/>
              <w:rPr>
                <w:rFonts w:hint="eastAsia" w:ascii="楷体" w:hAnsi="楷体" w:eastAsia="楷体" w:cs="楷体"/>
                <w:sz w:val="24"/>
              </w:rPr>
            </w:pPr>
          </w:p>
        </w:tc>
        <w:tc>
          <w:tcPr>
            <w:tcW w:w="1600"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466"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7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84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1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6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72" w:type="dxa"/>
            <w:noWrap w:val="0"/>
            <w:vAlign w:val="center"/>
          </w:tcPr>
          <w:p>
            <w:pPr>
              <w:pStyle w:val="21"/>
              <w:spacing w:line="360" w:lineRule="auto"/>
              <w:ind w:left="1157" w:leftChars="257" w:hanging="540"/>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6</w:t>
            </w:r>
          </w:p>
        </w:tc>
        <w:tc>
          <w:tcPr>
            <w:tcW w:w="274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培训</w:t>
            </w:r>
          </w:p>
        </w:tc>
        <w:tc>
          <w:tcPr>
            <w:tcW w:w="1060" w:type="dxa"/>
            <w:noWrap w:val="0"/>
            <w:vAlign w:val="top"/>
          </w:tcPr>
          <w:p>
            <w:pPr>
              <w:pStyle w:val="21"/>
              <w:spacing w:line="360" w:lineRule="auto"/>
              <w:ind w:left="1157" w:leftChars="257" w:hanging="540"/>
              <w:jc w:val="center"/>
              <w:rPr>
                <w:rFonts w:hint="eastAsia" w:ascii="楷体" w:hAnsi="楷体" w:eastAsia="楷体" w:cs="楷体"/>
                <w:sz w:val="24"/>
              </w:rPr>
            </w:pPr>
          </w:p>
        </w:tc>
        <w:tc>
          <w:tcPr>
            <w:tcW w:w="1600"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466"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7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84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1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6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72" w:type="dxa"/>
            <w:noWrap w:val="0"/>
            <w:vAlign w:val="center"/>
          </w:tcPr>
          <w:p>
            <w:pPr>
              <w:pStyle w:val="21"/>
              <w:spacing w:line="360" w:lineRule="auto"/>
              <w:ind w:left="1157" w:leftChars="257" w:hanging="540"/>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7</w:t>
            </w:r>
          </w:p>
        </w:tc>
        <w:tc>
          <w:tcPr>
            <w:tcW w:w="274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技术服务</w:t>
            </w:r>
          </w:p>
        </w:tc>
        <w:tc>
          <w:tcPr>
            <w:tcW w:w="1060" w:type="dxa"/>
            <w:noWrap w:val="0"/>
            <w:vAlign w:val="top"/>
          </w:tcPr>
          <w:p>
            <w:pPr>
              <w:pStyle w:val="21"/>
              <w:spacing w:line="360" w:lineRule="auto"/>
              <w:ind w:left="1157" w:leftChars="257" w:hanging="540"/>
              <w:jc w:val="center"/>
              <w:rPr>
                <w:rFonts w:hint="eastAsia" w:ascii="楷体" w:hAnsi="楷体" w:eastAsia="楷体" w:cs="楷体"/>
                <w:sz w:val="24"/>
              </w:rPr>
            </w:pPr>
          </w:p>
        </w:tc>
        <w:tc>
          <w:tcPr>
            <w:tcW w:w="1600"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466"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7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84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1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6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72" w:type="dxa"/>
            <w:noWrap w:val="0"/>
            <w:vAlign w:val="center"/>
          </w:tcPr>
          <w:p>
            <w:pPr>
              <w:pStyle w:val="21"/>
              <w:spacing w:line="360" w:lineRule="auto"/>
              <w:ind w:left="1157" w:leftChars="257" w:hanging="540"/>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8</w:t>
            </w:r>
          </w:p>
        </w:tc>
        <w:tc>
          <w:tcPr>
            <w:tcW w:w="2741" w:type="dxa"/>
            <w:noWrap w:val="0"/>
            <w:vAlign w:val="center"/>
          </w:tcPr>
          <w:p>
            <w:pPr>
              <w:pStyle w:val="21"/>
              <w:spacing w:line="360" w:lineRule="auto"/>
              <w:jc w:val="center"/>
              <w:rPr>
                <w:rFonts w:hint="eastAsia" w:ascii="楷体" w:hAnsi="楷体" w:eastAsia="楷体" w:cs="楷体"/>
                <w:sz w:val="24"/>
              </w:rPr>
            </w:pPr>
            <w:r>
              <w:rPr>
                <w:rFonts w:hint="eastAsia" w:ascii="楷体" w:hAnsi="楷体" w:eastAsia="楷体" w:cs="楷体"/>
                <w:sz w:val="24"/>
              </w:rPr>
              <w:t>其他伴随的服务和工程</w:t>
            </w:r>
          </w:p>
        </w:tc>
        <w:tc>
          <w:tcPr>
            <w:tcW w:w="1060" w:type="dxa"/>
            <w:noWrap w:val="0"/>
            <w:vAlign w:val="top"/>
          </w:tcPr>
          <w:p>
            <w:pPr>
              <w:pStyle w:val="21"/>
              <w:spacing w:line="360" w:lineRule="auto"/>
              <w:ind w:left="1157" w:leftChars="257" w:hanging="540"/>
              <w:jc w:val="center"/>
              <w:rPr>
                <w:rFonts w:hint="eastAsia" w:ascii="楷体" w:hAnsi="楷体" w:eastAsia="楷体" w:cs="楷体"/>
                <w:sz w:val="24"/>
              </w:rPr>
            </w:pPr>
          </w:p>
        </w:tc>
        <w:tc>
          <w:tcPr>
            <w:tcW w:w="1600"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466"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7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84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913"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67" w:type="dxa"/>
            <w:noWrap w:val="0"/>
            <w:vAlign w:val="center"/>
          </w:tcPr>
          <w:p>
            <w:pPr>
              <w:pStyle w:val="21"/>
              <w:spacing w:line="360" w:lineRule="auto"/>
              <w:ind w:left="1157" w:leftChars="257" w:hanging="540"/>
              <w:jc w:val="center"/>
              <w:rPr>
                <w:rFonts w:hint="eastAsia" w:ascii="楷体" w:hAnsi="楷体" w:eastAsia="楷体" w:cs="楷体"/>
                <w:sz w:val="24"/>
              </w:rPr>
            </w:pPr>
          </w:p>
        </w:tc>
        <w:tc>
          <w:tcPr>
            <w:tcW w:w="1072" w:type="dxa"/>
            <w:noWrap w:val="0"/>
            <w:vAlign w:val="center"/>
          </w:tcPr>
          <w:p>
            <w:pPr>
              <w:pStyle w:val="21"/>
              <w:spacing w:line="360" w:lineRule="auto"/>
              <w:ind w:left="1157" w:leftChars="257" w:hanging="540"/>
              <w:jc w:val="center"/>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3410" w:type="dxa"/>
            <w:gridSpan w:val="10"/>
            <w:noWrap w:val="0"/>
            <w:vAlign w:val="top"/>
          </w:tcPr>
          <w:p>
            <w:pPr>
              <w:pStyle w:val="21"/>
              <w:spacing w:line="360" w:lineRule="auto"/>
              <w:jc w:val="left"/>
              <w:rPr>
                <w:rFonts w:hint="eastAsia" w:ascii="楷体" w:hAnsi="楷体" w:eastAsia="楷体" w:cs="楷体"/>
                <w:sz w:val="24"/>
              </w:rPr>
            </w:pPr>
            <w:r>
              <w:rPr>
                <w:rFonts w:hint="eastAsia" w:ascii="楷体" w:hAnsi="楷体" w:eastAsia="楷体" w:cs="楷体"/>
                <w:sz w:val="24"/>
              </w:rPr>
              <w:t>总价：</w:t>
            </w:r>
          </w:p>
        </w:tc>
      </w:tr>
    </w:tbl>
    <w:p>
      <w:pPr>
        <w:pStyle w:val="21"/>
        <w:tabs>
          <w:tab w:val="left" w:pos="5370"/>
        </w:tabs>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rPr>
        <w:t>投标人</w:t>
      </w:r>
      <w:r>
        <w:rPr>
          <w:rFonts w:hint="eastAsia" w:ascii="宋体" w:hAnsi="楷体" w:eastAsia="宋体" w:cs="楷体"/>
          <w:sz w:val="24"/>
          <w:lang w:eastAsia="zh-CN"/>
        </w:rPr>
        <w:t>（</w:t>
      </w:r>
      <w:r>
        <w:rPr>
          <w:rFonts w:hint="eastAsia" w:ascii="宋体" w:hAnsi="楷体" w:eastAsia="宋体" w:cs="楷体"/>
          <w:sz w:val="24"/>
        </w:rPr>
        <w:t>盖公章</w:t>
      </w:r>
      <w:r>
        <w:rPr>
          <w:rFonts w:hint="eastAsia" w:ascii="宋体" w:hAnsi="楷体" w:eastAsia="宋体" w:cs="楷体"/>
          <w:sz w:val="24"/>
          <w:lang w:eastAsia="zh-CN"/>
        </w:rPr>
        <w:t>）</w:t>
      </w:r>
      <w:r>
        <w:rPr>
          <w:rFonts w:hint="eastAsia" w:ascii="宋体" w:hAnsi="楷体" w:eastAsia="宋体" w:cs="楷体"/>
          <w:sz w:val="24"/>
        </w:rPr>
        <w:t>:</w:t>
      </w:r>
      <w:r>
        <w:rPr>
          <w:rFonts w:hint="eastAsia" w:ascii="宋体" w:hAnsi="楷体" w:eastAsia="宋体" w:cs="楷体"/>
          <w:sz w:val="24"/>
          <w:u w:val="single"/>
        </w:rPr>
        <w:tab/>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法定代表人或委托代理人（签字或签章）:</w:t>
      </w:r>
      <w:r>
        <w:rPr>
          <w:rFonts w:hint="eastAsia" w:ascii="宋体" w:hAnsi="楷体" w:eastAsia="宋体" w:cs="楷体"/>
          <w:sz w:val="24"/>
          <w:u w:val="single"/>
        </w:rPr>
        <w:t xml:space="preserve"> </w:t>
      </w:r>
      <w:r>
        <w:rPr>
          <w:rFonts w:hint="eastAsia" w:ascii="宋体" w:hAnsi="楷体" w:eastAsia="宋体" w:cs="楷体"/>
          <w:sz w:val="24"/>
          <w:u w:val="single"/>
        </w:rPr>
        <w:tab/>
      </w:r>
      <w:r>
        <w:rPr>
          <w:rFonts w:hint="eastAsia" w:ascii="宋体" w:hAnsi="楷体" w:eastAsia="宋体" w:cs="楷体"/>
          <w:sz w:val="24"/>
          <w:u w:val="single"/>
        </w:rPr>
        <w:t xml:space="preserve">                 </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注:1.如果投标人认为需要，每种货物填写一份本表。</w:t>
      </w:r>
    </w:p>
    <w:p>
      <w:pPr>
        <w:pStyle w:val="21"/>
        <w:snapToGrid/>
        <w:spacing w:beforeAutospacing="0" w:afterAutospacing="0" w:line="360" w:lineRule="auto"/>
        <w:ind w:left="0" w:leftChars="0" w:firstLine="480" w:firstLineChars="200"/>
        <w:outlineLvl w:val="2"/>
        <w:rPr>
          <w:rFonts w:hint="eastAsia" w:ascii="宋体" w:hAnsi="楷体" w:eastAsia="宋体" w:cs="楷体"/>
          <w:sz w:val="24"/>
        </w:rPr>
      </w:pPr>
      <w:r>
        <w:rPr>
          <w:rFonts w:hint="eastAsia" w:ascii="宋体" w:hAnsi="楷体" w:eastAsia="宋体" w:cs="楷体"/>
          <w:sz w:val="24"/>
        </w:rPr>
        <w:t>2.如果按单价计算的结果与总价不一致</w:t>
      </w:r>
      <w:r>
        <w:rPr>
          <w:rFonts w:hint="eastAsia" w:ascii="宋体" w:hAnsi="楷体" w:eastAsia="宋体" w:cs="楷体"/>
          <w:sz w:val="24"/>
          <w:lang w:eastAsia="zh-CN"/>
        </w:rPr>
        <w:t>，</w:t>
      </w:r>
      <w:r>
        <w:rPr>
          <w:rFonts w:hint="eastAsia" w:ascii="宋体" w:hAnsi="楷体" w:eastAsia="宋体" w:cs="楷体"/>
          <w:sz w:val="24"/>
        </w:rPr>
        <w:t>以单价为准修正总价。</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3.如果不提供详细分项报价将视为没有实质性响应招标文件。</w:t>
      </w:r>
    </w:p>
    <w:p>
      <w:pPr>
        <w:pStyle w:val="21"/>
        <w:snapToGrid/>
        <w:spacing w:beforeAutospacing="0" w:afterAutospacing="0" w:line="360" w:lineRule="auto"/>
        <w:ind w:left="0" w:leftChars="0" w:firstLine="480" w:firstLineChars="200"/>
        <w:outlineLvl w:val="2"/>
        <w:rPr>
          <w:rFonts w:hint="eastAsia" w:ascii="宋体" w:hAnsi="楷体" w:eastAsia="宋体" w:cs="楷体"/>
          <w:sz w:val="24"/>
        </w:rPr>
      </w:pPr>
      <w:r>
        <w:rPr>
          <w:rFonts w:hint="eastAsia" w:ascii="宋体" w:hAnsi="楷体" w:eastAsia="宋体" w:cs="楷体"/>
          <w:sz w:val="24"/>
        </w:rPr>
        <w:t>4.上述各项的详细分项报价，可另页描述。</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5.如果开标一览表（报价表）内容与本表内容和合计金额不一致的，以开标一览表（报价表）内容为准。</w:t>
      </w:r>
    </w:p>
    <w:bookmarkEnd w:id="269"/>
    <w:p>
      <w:pPr>
        <w:pStyle w:val="21"/>
        <w:snapToGrid/>
        <w:spacing w:beforeAutospacing="0" w:afterAutospacing="0" w:line="360" w:lineRule="auto"/>
        <w:ind w:left="0" w:leftChars="0" w:firstLine="480" w:firstLineChars="200"/>
        <w:rPr>
          <w:rFonts w:ascii="宋体" w:eastAsia="宋体"/>
          <w:sz w:val="24"/>
        </w:rPr>
        <w:sectPr>
          <w:pgSz w:w="16838" w:h="11906" w:orient="landscape"/>
          <w:pgMar w:top="1797" w:right="1440" w:bottom="1797" w:left="1440" w:header="851" w:footer="992" w:gutter="0"/>
          <w:cols w:space="720" w:num="1"/>
          <w:docGrid w:linePitch="312" w:charSpace="0"/>
        </w:sectPr>
      </w:pPr>
      <w:bookmarkStart w:id="270" w:name="_Toc14536"/>
      <w:bookmarkStart w:id="271" w:name="_Toc515647819"/>
      <w:bookmarkStart w:id="272" w:name="_Toc14037"/>
      <w:bookmarkStart w:id="273" w:name="_Toc18267"/>
      <w:bookmarkStart w:id="274" w:name="_Toc532473508"/>
      <w:bookmarkStart w:id="275" w:name="_Toc216582816"/>
      <w:bookmarkStart w:id="276" w:name="_Toc2582322"/>
    </w:p>
    <w:bookmarkEnd w:id="270"/>
    <w:bookmarkEnd w:id="271"/>
    <w:bookmarkEnd w:id="272"/>
    <w:bookmarkEnd w:id="273"/>
    <w:bookmarkEnd w:id="274"/>
    <w:bookmarkEnd w:id="275"/>
    <w:bookmarkEnd w:id="276"/>
    <w:p>
      <w:pPr>
        <w:pStyle w:val="21"/>
        <w:snapToGrid/>
        <w:spacing w:beforeAutospacing="0" w:afterAutospacing="0" w:line="360" w:lineRule="auto"/>
        <w:rPr>
          <w:rFonts w:hint="eastAsia" w:ascii="宋体" w:hAnsi="楷体" w:eastAsia="宋体" w:cs="楷体"/>
          <w:b/>
          <w:kern w:val="0"/>
          <w:sz w:val="24"/>
          <w:szCs w:val="28"/>
          <w:lang w:val="en-US" w:eastAsia="zh-CN" w:bidi="ar-SA"/>
        </w:rPr>
      </w:pPr>
      <w:bookmarkStart w:id="277" w:name="_Toc216582817"/>
      <w:bookmarkStart w:id="278" w:name="_Toc21391"/>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sectPr>
          <w:type w:val="continuous"/>
          <w:pgSz w:w="16838" w:h="11906" w:orient="landscape"/>
          <w:pgMar w:top="1797" w:right="1440" w:bottom="1797" w:left="1440" w:header="851" w:footer="992" w:gutter="0"/>
          <w:cols w:space="720" w:num="1"/>
          <w:docGrid w:linePitch="312" w:charSpace="0"/>
        </w:sect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p>
    <w:p>
      <w:pPr>
        <w:pStyle w:val="21"/>
        <w:snapToGrid/>
        <w:spacing w:beforeAutospacing="0" w:afterAutospacing="0" w:line="360" w:lineRule="auto"/>
        <w:rPr>
          <w:rFonts w:hint="eastAsia" w:ascii="宋体" w:hAnsi="楷体" w:eastAsia="宋体" w:cs="楷体"/>
          <w:b/>
          <w:kern w:val="0"/>
          <w:sz w:val="24"/>
          <w:szCs w:val="28"/>
          <w:lang w:val="en-US" w:eastAsia="zh-CN" w:bidi="ar-SA"/>
        </w:rPr>
      </w:pPr>
      <w:r>
        <w:rPr>
          <w:rFonts w:hint="eastAsia" w:ascii="宋体" w:hAnsi="楷体" w:eastAsia="宋体" w:cs="楷体"/>
          <w:b/>
          <w:kern w:val="0"/>
          <w:sz w:val="24"/>
          <w:szCs w:val="28"/>
          <w:lang w:val="en-US" w:eastAsia="zh-CN" w:bidi="ar-SA"/>
        </w:rPr>
        <w:t>第三部分  商务技术文件</w:t>
      </w:r>
    </w:p>
    <w:p>
      <w:pPr>
        <w:pStyle w:val="21"/>
        <w:snapToGrid/>
        <w:spacing w:beforeAutospacing="0" w:afterAutospacing="0" w:line="360" w:lineRule="auto"/>
        <w:ind w:left="0" w:leftChars="0" w:firstLine="480" w:firstLineChars="200"/>
        <w:rPr>
          <w:rFonts w:hint="eastAsia" w:ascii="宋体" w:hAnsi="楷体" w:eastAsia="宋体" w:cs="楷体"/>
          <w:sz w:val="24"/>
          <w:lang w:val="en-US" w:eastAsia="zh-CN"/>
        </w:rPr>
      </w:pPr>
      <w:r>
        <w:rPr>
          <w:rFonts w:hint="eastAsia" w:ascii="宋体" w:hAnsi="楷体" w:eastAsia="宋体" w:cs="楷体"/>
          <w:sz w:val="24"/>
          <w:lang w:val="en-US" w:eastAsia="zh-CN"/>
        </w:rPr>
        <w:t>1、法定代表人身份证明书（见投标文件格式五）</w:t>
      </w:r>
    </w:p>
    <w:p>
      <w:pPr>
        <w:pStyle w:val="21"/>
        <w:snapToGrid/>
        <w:spacing w:beforeAutospacing="0" w:afterAutospacing="0" w:line="360" w:lineRule="auto"/>
        <w:ind w:left="0" w:leftChars="0" w:firstLine="480" w:firstLineChars="200"/>
        <w:rPr>
          <w:rFonts w:hint="eastAsia" w:ascii="宋体" w:hAnsi="楷体" w:eastAsia="宋体" w:cs="楷体"/>
          <w:sz w:val="24"/>
          <w:lang w:val="en-US" w:eastAsia="zh-CN"/>
        </w:rPr>
      </w:pPr>
      <w:r>
        <w:rPr>
          <w:rFonts w:hint="eastAsia" w:ascii="宋体" w:hAnsi="楷体" w:eastAsia="宋体" w:cs="楷体"/>
          <w:sz w:val="24"/>
          <w:lang w:val="en-US" w:eastAsia="zh-CN"/>
        </w:rPr>
        <w:t>2、法定代表人授权书（见投标文件格式六，自然人投标的或法定代表人投标的无需提供）</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3、货物及伴随服务和工程说明一览表（投标文件格式</w:t>
      </w:r>
      <w:r>
        <w:rPr>
          <w:rFonts w:hint="eastAsia" w:ascii="宋体" w:hAnsi="楷体" w:eastAsia="宋体" w:cs="楷体"/>
          <w:sz w:val="24"/>
          <w:lang w:val="en-US" w:eastAsia="zh-CN"/>
        </w:rPr>
        <w:t>七</w:t>
      </w:r>
      <w:r>
        <w:rPr>
          <w:rFonts w:hint="eastAsia" w:ascii="宋体" w:hAnsi="楷体" w:eastAsia="宋体" w:cs="楷体"/>
          <w:sz w:val="24"/>
        </w:rPr>
        <w:t>）</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4、技术规格偏离表（投标文件格式九）</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5、商务条款偏离表（投标文件格式十）</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6、缴纳招标代理费承诺书（投标文件格式十一）</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7、符合《政府采购促进中小企业发展管理办法</w:t>
      </w:r>
      <w:r>
        <w:rPr>
          <w:rFonts w:hint="eastAsia" w:ascii="宋体" w:hAnsi="楷体" w:eastAsia="宋体" w:cs="楷体"/>
          <w:sz w:val="24"/>
          <w:lang w:eastAsia="zh-CN"/>
        </w:rPr>
        <w:t>》《</w:t>
      </w:r>
      <w:r>
        <w:rPr>
          <w:rFonts w:hint="eastAsia" w:ascii="宋体" w:hAnsi="楷体" w:eastAsia="宋体" w:cs="楷体"/>
          <w:sz w:val="24"/>
        </w:rPr>
        <w:t>关于政府采购支持</w:t>
      </w:r>
      <w:r>
        <w:rPr>
          <w:rFonts w:hint="eastAsia" w:hAnsi="楷体" w:eastAsia="宋体" w:cs="楷体"/>
          <w:sz w:val="24"/>
          <w:lang w:eastAsia="zh-CN"/>
        </w:rPr>
        <w:t>jianyu</w:t>
      </w:r>
      <w:r>
        <w:rPr>
          <w:rFonts w:hint="eastAsia" w:ascii="宋体" w:hAnsi="楷体" w:eastAsia="宋体" w:cs="楷体"/>
          <w:sz w:val="24"/>
        </w:rPr>
        <w:t>企业发展有关问题的通知》和《三部门联合发布关于促进残疾人就业政府采购政策的通知》价格扣减条件的投标人须提交</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7-1《中小企业声明函》（投标文件格式十二）</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7-2《</w:t>
      </w:r>
      <w:r>
        <w:rPr>
          <w:rFonts w:hint="eastAsia" w:hAnsi="楷体" w:eastAsia="宋体" w:cs="楷体"/>
          <w:sz w:val="24"/>
          <w:lang w:eastAsia="zh-CN"/>
        </w:rPr>
        <w:t>jianyu</w:t>
      </w:r>
      <w:r>
        <w:rPr>
          <w:rFonts w:hint="eastAsia" w:ascii="宋体" w:hAnsi="楷体" w:eastAsia="宋体" w:cs="楷体"/>
          <w:sz w:val="24"/>
        </w:rPr>
        <w:t>企业声明函》（见投标文件格式十三）</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7-3《残疾人福利性单位声明函》（投标文件格式十四）</w:t>
      </w:r>
    </w:p>
    <w:p>
      <w:pPr>
        <w:pStyle w:val="21"/>
        <w:snapToGrid/>
        <w:spacing w:beforeAutospacing="0" w:afterAutospacing="0" w:line="360" w:lineRule="auto"/>
        <w:ind w:left="0" w:leftChars="0" w:firstLine="482" w:firstLineChars="200"/>
        <w:rPr>
          <w:rFonts w:hint="eastAsia" w:ascii="宋体" w:hAnsi="楷体" w:eastAsia="宋体" w:cs="楷体"/>
          <w:sz w:val="24"/>
        </w:rPr>
      </w:pPr>
      <w:r>
        <w:rPr>
          <w:rFonts w:hint="eastAsia" w:ascii="宋体" w:hAnsi="楷体" w:eastAsia="宋体" w:cs="楷体"/>
          <w:b/>
          <w:bCs/>
          <w:sz w:val="24"/>
        </w:rPr>
        <w:t>其他用于价格扣减条件的相关文件（如有，如不属于资格条件的联合体协议或者分包意向协议等，格式自拟）</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8、投标人商务符合性承诺函（投标文件格式十五）</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9、投标人关联单位的说明（格式自拟）</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10、符合评分标准要求的商务文件</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11、</w:t>
      </w:r>
      <w:r>
        <w:rPr>
          <w:rFonts w:hint="eastAsia" w:ascii="宋体" w:hAnsi="楷体" w:eastAsia="宋体" w:cs="楷体"/>
          <w:sz w:val="24"/>
          <w:lang w:val="en-US" w:eastAsia="zh-CN"/>
        </w:rPr>
        <w:t>符合</w:t>
      </w:r>
      <w:r>
        <w:rPr>
          <w:rFonts w:hint="eastAsia" w:hAnsi="楷体" w:eastAsia="宋体" w:cs="楷体"/>
          <w:sz w:val="24"/>
          <w:lang w:val="en-US" w:eastAsia="zh-CN"/>
        </w:rPr>
        <w:t>第六章 采购需求及评分标准要求</w:t>
      </w:r>
      <w:r>
        <w:rPr>
          <w:rFonts w:hint="eastAsia" w:ascii="宋体" w:hAnsi="楷体" w:eastAsia="宋体" w:cs="楷体"/>
          <w:sz w:val="24"/>
        </w:rPr>
        <w:t>的所有技术文件</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12、</w:t>
      </w:r>
      <w:r>
        <w:rPr>
          <w:rFonts w:hint="eastAsia" w:ascii="宋体" w:hAnsi="楷体" w:eastAsia="宋体" w:cs="楷体"/>
          <w:sz w:val="24"/>
          <w:u w:val="single"/>
        </w:rPr>
        <w:t>投标须知前附表</w:t>
      </w:r>
      <w:r>
        <w:rPr>
          <w:rFonts w:hint="eastAsia" w:ascii="宋体" w:hAnsi="楷体" w:eastAsia="宋体" w:cs="楷体"/>
          <w:sz w:val="24"/>
        </w:rPr>
        <w:t>要求的其他文件</w:t>
      </w:r>
    </w:p>
    <w:p>
      <w:pPr>
        <w:pStyle w:val="5"/>
        <w:snapToGrid/>
        <w:spacing w:before="0" w:beforeAutospacing="0" w:afterAutospacing="0" w:line="360" w:lineRule="auto"/>
        <w:ind w:left="0" w:leftChars="0" w:firstLine="482" w:firstLineChars="200"/>
        <w:outlineLvl w:val="2"/>
        <w:rPr>
          <w:rFonts w:hint="eastAsia" w:ascii="宋体" w:hAnsi="楷体" w:eastAsia="宋体" w:cs="楷体"/>
          <w:sz w:val="24"/>
        </w:rPr>
      </w:pPr>
    </w:p>
    <w:p>
      <w:pPr>
        <w:rPr>
          <w:rFonts w:hint="eastAsia" w:ascii="宋体" w:hAnsi="楷体" w:eastAsia="宋体" w:cs="楷体"/>
          <w:sz w:val="24"/>
        </w:rPr>
      </w:pPr>
    </w:p>
    <w:p>
      <w:pPr>
        <w:pStyle w:val="18"/>
        <w:rPr>
          <w:rFonts w:hint="eastAsia" w:ascii="宋体" w:hAnsi="楷体" w:eastAsia="宋体" w:cs="楷体"/>
          <w:sz w:val="24"/>
        </w:rPr>
      </w:pPr>
    </w:p>
    <w:p>
      <w:pPr>
        <w:rPr>
          <w:rFonts w:hint="eastAsia" w:ascii="宋体" w:hAnsi="楷体" w:eastAsia="宋体" w:cs="楷体"/>
          <w:sz w:val="24"/>
        </w:rPr>
      </w:pPr>
    </w:p>
    <w:p>
      <w:pPr>
        <w:pStyle w:val="18"/>
        <w:rPr>
          <w:rFonts w:hint="eastAsia" w:ascii="宋体" w:hAnsi="楷体" w:eastAsia="宋体" w:cs="楷体"/>
          <w:sz w:val="24"/>
        </w:rPr>
      </w:pPr>
    </w:p>
    <w:p>
      <w:pPr>
        <w:rPr>
          <w:rFonts w:hint="eastAsia" w:ascii="宋体" w:hAnsi="楷体" w:eastAsia="宋体" w:cs="楷体"/>
          <w:sz w:val="24"/>
        </w:rPr>
      </w:pPr>
    </w:p>
    <w:p>
      <w:pPr>
        <w:pStyle w:val="18"/>
        <w:rPr>
          <w:rFonts w:hint="eastAsia" w:ascii="宋体" w:hAnsi="楷体" w:eastAsia="宋体" w:cs="楷体"/>
          <w:sz w:val="24"/>
        </w:rPr>
      </w:pPr>
    </w:p>
    <w:p>
      <w:pPr>
        <w:rPr>
          <w:rFonts w:hint="eastAsia" w:ascii="宋体" w:hAnsi="楷体" w:eastAsia="宋体" w:cs="楷体"/>
          <w:sz w:val="24"/>
        </w:rPr>
      </w:pPr>
    </w:p>
    <w:p>
      <w:pPr>
        <w:pStyle w:val="18"/>
        <w:rPr>
          <w:rFonts w:hint="eastAsia"/>
        </w:rPr>
      </w:pPr>
    </w:p>
    <w:p>
      <w:pPr>
        <w:snapToGrid/>
        <w:spacing w:beforeAutospacing="0" w:afterAutospacing="0" w:line="360" w:lineRule="auto"/>
        <w:jc w:val="left"/>
        <w:outlineLvl w:val="3"/>
        <w:rPr>
          <w:rFonts w:hint="eastAsia" w:ascii="宋体" w:hAnsi="楷体" w:eastAsia="宋体" w:cs="楷体"/>
          <w:b/>
          <w:bCs/>
          <w:sz w:val="24"/>
          <w:szCs w:val="28"/>
          <w:u w:val="single"/>
        </w:rPr>
      </w:pPr>
      <w:bookmarkStart w:id="279" w:name="_Toc67054058"/>
      <w:r>
        <w:rPr>
          <w:rFonts w:hint="eastAsia" w:ascii="宋体" w:hAnsi="楷体" w:eastAsia="宋体" w:cs="楷体"/>
          <w:b/>
          <w:bCs/>
          <w:sz w:val="24"/>
          <w:szCs w:val="28"/>
          <w:u w:val="single"/>
          <w:lang w:val="en-US" w:eastAsia="zh-CN"/>
        </w:rPr>
        <w:t xml:space="preserve">1 </w:t>
      </w:r>
      <w:r>
        <w:rPr>
          <w:rFonts w:hint="eastAsia" w:ascii="宋体" w:hAnsi="楷体" w:eastAsia="宋体" w:cs="楷体"/>
          <w:b/>
          <w:bCs/>
          <w:sz w:val="24"/>
          <w:szCs w:val="28"/>
          <w:u w:val="single"/>
        </w:rPr>
        <w:t>法定代表人身份证明书</w:t>
      </w:r>
      <w:bookmarkEnd w:id="279"/>
      <w:r>
        <w:rPr>
          <w:rFonts w:hint="eastAsia" w:ascii="宋体" w:hAnsi="楷体" w:eastAsia="宋体" w:cs="楷体"/>
          <w:b/>
          <w:bCs/>
          <w:sz w:val="24"/>
          <w:szCs w:val="28"/>
          <w:u w:val="single"/>
        </w:rPr>
        <w:t>（投标文件格式五）</w:t>
      </w:r>
    </w:p>
    <w:p>
      <w:pPr>
        <w:snapToGrid/>
        <w:spacing w:beforeAutospacing="0" w:afterAutospacing="0" w:line="360" w:lineRule="auto"/>
        <w:ind w:left="0" w:leftChars="0" w:firstLine="480" w:firstLineChars="200"/>
        <w:rPr>
          <w:rFonts w:hint="eastAsia" w:ascii="宋体" w:hAnsi="楷体" w:eastAsia="宋体" w:cs="楷体"/>
          <w:sz w:val="24"/>
          <w:u w:val="single"/>
        </w:rPr>
      </w:pP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u w:val="single"/>
        </w:rPr>
        <w:t>致（采购代理机构名称）</w:t>
      </w:r>
      <w:r>
        <w:rPr>
          <w:rFonts w:hint="eastAsia" w:ascii="宋体" w:hAnsi="楷体" w:eastAsia="宋体" w:cs="楷体"/>
          <w:sz w:val="24"/>
        </w:rPr>
        <w:t>：</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（姓名、性别、年龄、身份证号码）在我</w:t>
      </w:r>
      <w:r>
        <w:rPr>
          <w:rFonts w:hint="eastAsia" w:ascii="宋体" w:hAnsi="楷体" w:eastAsia="宋体" w:cs="楷体"/>
          <w:sz w:val="24"/>
        </w:rPr>
        <w:fldChar w:fldCharType="begin"/>
      </w:r>
      <w:r>
        <w:rPr>
          <w:rFonts w:hint="eastAsia" w:ascii="宋体" w:hAnsi="楷体" w:eastAsia="宋体" w:cs="楷体"/>
          <w:sz w:val="24"/>
        </w:rPr>
        <w:instrText xml:space="preserve"> HYPERLINK "https://baike.baidu.com/item/%E5%8D%95%E4%BD%8D/32292" \t "_blank" </w:instrText>
      </w:r>
      <w:r>
        <w:rPr>
          <w:rFonts w:hint="eastAsia" w:ascii="宋体" w:hAnsi="楷体" w:eastAsia="宋体" w:cs="楷体"/>
          <w:sz w:val="24"/>
        </w:rPr>
        <w:fldChar w:fldCharType="separate"/>
      </w:r>
      <w:r>
        <w:rPr>
          <w:rFonts w:hint="eastAsia" w:ascii="宋体" w:hAnsi="楷体" w:eastAsia="宋体" w:cs="楷体"/>
          <w:sz w:val="24"/>
        </w:rPr>
        <w:t>单位</w:t>
      </w:r>
      <w:r>
        <w:rPr>
          <w:rFonts w:hint="eastAsia" w:ascii="宋体" w:hAnsi="楷体" w:eastAsia="宋体" w:cs="楷体"/>
          <w:sz w:val="24"/>
        </w:rPr>
        <w:fldChar w:fldCharType="end"/>
      </w:r>
      <w:r>
        <w:rPr>
          <w:rFonts w:hint="eastAsia" w:ascii="宋体" w:hAnsi="楷体" w:eastAsia="宋体" w:cs="楷体"/>
          <w:sz w:val="24"/>
        </w:rPr>
        <w:t>任</w:t>
      </w:r>
      <w:r>
        <w:rPr>
          <w:rFonts w:hint="eastAsia" w:ascii="宋体" w:hAnsi="楷体" w:eastAsia="宋体" w:cs="楷体"/>
          <w:sz w:val="24"/>
          <w:u w:val="single"/>
        </w:rPr>
        <w:t xml:space="preserve">       </w:t>
      </w:r>
      <w:r>
        <w:rPr>
          <w:rFonts w:hint="eastAsia" w:ascii="宋体" w:hAnsi="楷体" w:eastAsia="宋体" w:cs="楷体"/>
          <w:sz w:val="24"/>
        </w:rPr>
        <w:t>（董事长、总经理等）职务，是我单位的法定代表人。</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特此证明。</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投标人（盖公章）：</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详细通讯地址：</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邮 政 编 码 ：</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传　　　　真：</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电　　　　话：</w:t>
      </w:r>
      <w:r>
        <w:rPr>
          <w:rFonts w:hint="eastAsia" w:ascii="宋体" w:hAnsi="楷体" w:eastAsia="宋体" w:cs="楷体"/>
          <w:sz w:val="24"/>
          <w:u w:val="single"/>
        </w:rPr>
        <w:t xml:space="preserve">                                </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注：自然人投标的无需提供。</w:t>
      </w:r>
    </w:p>
    <w:p>
      <w:pPr>
        <w:pStyle w:val="7"/>
        <w:snapToGrid/>
        <w:spacing w:before="200" w:beforeAutospacing="0" w:after="200" w:afterAutospacing="0" w:line="240" w:lineRule="auto"/>
        <w:ind w:left="0" w:leftChars="0" w:right="0" w:rightChars="0" w:firstLine="0" w:firstLineChars="0"/>
        <w:jc w:val="left"/>
        <w:outlineLvl w:val="2"/>
        <w:rPr>
          <w:rFonts w:hint="eastAsia" w:ascii="宋体" w:hAnsi="楷体" w:eastAsia="宋体" w:cs="楷体"/>
          <w:b/>
          <w:sz w:val="24"/>
          <w:szCs w:val="28"/>
        </w:rPr>
      </w:pPr>
      <w:r>
        <w:rPr>
          <w:rFonts w:ascii="宋体" w:hAnsi="宋体" w:eastAsia="宋体"/>
          <w:b/>
          <w:sz w:val="24"/>
        </w:rPr>
        <w:br w:type="page"/>
      </w:r>
      <w:bookmarkStart w:id="280" w:name="_Toc2582312"/>
      <w:bookmarkStart w:id="281" w:name="_Toc8972"/>
      <w:bookmarkStart w:id="282" w:name="_Toc532473498"/>
      <w:r>
        <w:rPr>
          <w:rFonts w:hint="eastAsia" w:ascii="宋体" w:hAnsi="楷体" w:eastAsia="宋体" w:cs="楷体"/>
          <w:b/>
          <w:sz w:val="24"/>
          <w:szCs w:val="28"/>
          <w:lang w:val="en-US" w:eastAsia="zh-CN"/>
        </w:rPr>
        <w:t>2</w:t>
      </w:r>
      <w:r>
        <w:rPr>
          <w:rFonts w:hint="eastAsia" w:ascii="宋体" w:hAnsi="楷体" w:eastAsia="宋体" w:cs="楷体"/>
          <w:b/>
          <w:sz w:val="24"/>
          <w:szCs w:val="28"/>
        </w:rPr>
        <w:t xml:space="preserve">  法定代表人授权委托书</w:t>
      </w:r>
      <w:bookmarkEnd w:id="280"/>
      <w:bookmarkEnd w:id="281"/>
      <w:r>
        <w:rPr>
          <w:rFonts w:hint="eastAsia" w:ascii="宋体" w:hAnsi="楷体" w:eastAsia="宋体" w:cs="楷体"/>
          <w:b/>
          <w:sz w:val="24"/>
          <w:szCs w:val="28"/>
        </w:rPr>
        <w:t>（投标文件格式</w:t>
      </w:r>
      <w:r>
        <w:rPr>
          <w:rFonts w:hint="eastAsia" w:ascii="宋体" w:hAnsi="楷体" w:eastAsia="宋体" w:cs="楷体"/>
          <w:b/>
          <w:sz w:val="24"/>
          <w:szCs w:val="28"/>
          <w:lang w:val="en-US" w:eastAsia="zh-CN"/>
        </w:rPr>
        <w:t>六</w:t>
      </w:r>
      <w:r>
        <w:rPr>
          <w:rFonts w:hint="eastAsia" w:ascii="宋体" w:hAnsi="楷体" w:eastAsia="宋体" w:cs="楷体"/>
          <w:b/>
          <w:sz w:val="24"/>
          <w:szCs w:val="28"/>
        </w:rPr>
        <w:t>）</w:t>
      </w:r>
    </w:p>
    <w:bookmarkEnd w:id="282"/>
    <w:p>
      <w:pPr>
        <w:pStyle w:val="21"/>
        <w:tabs>
          <w:tab w:val="left" w:pos="5580"/>
        </w:tabs>
        <w:snapToGrid/>
        <w:spacing w:beforeAutospacing="0" w:afterAutospacing="0" w:line="360" w:lineRule="auto"/>
        <w:ind w:left="0" w:leftChars="0" w:firstLine="480" w:firstLineChars="200"/>
        <w:jc w:val="center"/>
        <w:rPr>
          <w:rFonts w:hint="eastAsia" w:ascii="宋体" w:hAnsi="楷体" w:eastAsia="宋体" w:cs="楷体"/>
          <w:sz w:val="24"/>
        </w:rPr>
      </w:pP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本授权书声明：注册于</w:t>
      </w:r>
      <w:r>
        <w:rPr>
          <w:rFonts w:hint="eastAsia" w:ascii="宋体" w:hAnsi="楷体" w:eastAsia="宋体" w:cs="楷体"/>
          <w:sz w:val="24"/>
          <w:u w:val="single"/>
        </w:rPr>
        <w:t>（国家或地区的名称）</w:t>
      </w:r>
      <w:r>
        <w:rPr>
          <w:rFonts w:hint="eastAsia" w:ascii="宋体" w:hAnsi="楷体" w:eastAsia="宋体" w:cs="楷体"/>
          <w:sz w:val="24"/>
        </w:rPr>
        <w:t>的（</w:t>
      </w:r>
      <w:r>
        <w:rPr>
          <w:rFonts w:hint="eastAsia" w:ascii="宋体" w:hAnsi="楷体" w:eastAsia="宋体" w:cs="楷体"/>
          <w:i/>
          <w:sz w:val="24"/>
          <w:u w:val="single"/>
        </w:rPr>
        <w:t>投标人</w:t>
      </w:r>
      <w:r>
        <w:rPr>
          <w:rFonts w:hint="eastAsia" w:ascii="宋体" w:hAnsi="楷体" w:eastAsia="宋体" w:cs="楷体"/>
          <w:sz w:val="24"/>
        </w:rPr>
        <w:t>）的在下面签字的（</w:t>
      </w:r>
      <w:r>
        <w:rPr>
          <w:rFonts w:hint="eastAsia" w:ascii="宋体" w:hAnsi="楷体" w:eastAsia="宋体" w:cs="楷体"/>
          <w:i/>
          <w:sz w:val="24"/>
          <w:u w:val="single"/>
        </w:rPr>
        <w:t>法人代表姓名、职务</w:t>
      </w:r>
      <w:r>
        <w:rPr>
          <w:rFonts w:hint="eastAsia" w:ascii="宋体" w:hAnsi="楷体" w:eastAsia="宋体" w:cs="楷体"/>
          <w:sz w:val="24"/>
        </w:rPr>
        <w:t>）代表我单位授权在下面签字的（</w:t>
      </w:r>
      <w:r>
        <w:rPr>
          <w:rFonts w:hint="eastAsia" w:ascii="宋体" w:hAnsi="楷体" w:eastAsia="宋体" w:cs="楷体"/>
          <w:i/>
          <w:sz w:val="24"/>
          <w:u w:val="single"/>
        </w:rPr>
        <w:t>被授权人的姓名</w:t>
      </w:r>
      <w:r>
        <w:rPr>
          <w:rFonts w:hint="eastAsia" w:ascii="宋体" w:hAnsi="楷体" w:eastAsia="宋体" w:cs="楷体"/>
          <w:sz w:val="24"/>
        </w:rPr>
        <w:t>）为我单位的合法代理人，就（</w:t>
      </w:r>
      <w:r>
        <w:rPr>
          <w:rFonts w:hint="eastAsia" w:ascii="宋体" w:hAnsi="楷体" w:eastAsia="宋体" w:cs="楷体"/>
          <w:i/>
          <w:sz w:val="24"/>
          <w:u w:val="single"/>
        </w:rPr>
        <w:t>项目名称</w:t>
      </w:r>
      <w:r>
        <w:rPr>
          <w:rFonts w:hint="eastAsia" w:ascii="宋体" w:hAnsi="楷体" w:eastAsia="宋体" w:cs="楷体"/>
          <w:sz w:val="24"/>
        </w:rPr>
        <w:t>）投标，以我单位名义处理一切与之有关的事务。</w:t>
      </w:r>
      <w:r>
        <w:rPr>
          <w:rFonts w:hint="eastAsia" w:ascii="宋体" w:hAnsi="楷体" w:eastAsia="宋体" w:cs="楷体"/>
          <w:sz w:val="24"/>
        </w:rPr>
        <w:cr/>
      </w:r>
      <w:r>
        <w:rPr>
          <w:rFonts w:hint="eastAsia" w:ascii="宋体" w:hAnsi="楷体" w:eastAsia="宋体" w:cs="楷体"/>
          <w:sz w:val="24"/>
        </w:rPr>
        <w:t>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本授权书于</w:t>
      </w:r>
      <w:r>
        <w:rPr>
          <w:rFonts w:hint="eastAsia" w:ascii="宋体" w:hAnsi="楷体" w:eastAsia="宋体" w:cs="楷体"/>
          <w:sz w:val="24"/>
          <w:u w:val="single"/>
        </w:rPr>
        <w:t xml:space="preserve">           </w:t>
      </w:r>
      <w:r>
        <w:rPr>
          <w:rFonts w:hint="eastAsia" w:ascii="宋体" w:hAnsi="楷体" w:eastAsia="宋体" w:cs="楷体"/>
          <w:sz w:val="24"/>
        </w:rPr>
        <w:t>年</w:t>
      </w:r>
      <w:r>
        <w:rPr>
          <w:rFonts w:hint="eastAsia" w:ascii="宋体" w:hAnsi="楷体" w:eastAsia="宋体" w:cs="楷体"/>
          <w:sz w:val="24"/>
          <w:u w:val="single"/>
        </w:rPr>
        <w:t xml:space="preserve">     </w:t>
      </w:r>
      <w:r>
        <w:rPr>
          <w:rFonts w:hint="eastAsia" w:ascii="宋体" w:hAnsi="楷体" w:eastAsia="宋体" w:cs="楷体"/>
          <w:sz w:val="24"/>
        </w:rPr>
        <w:t>月</w:t>
      </w:r>
      <w:r>
        <w:rPr>
          <w:rFonts w:hint="eastAsia" w:ascii="宋体" w:hAnsi="楷体" w:eastAsia="宋体" w:cs="楷体"/>
          <w:sz w:val="24"/>
          <w:u w:val="single"/>
        </w:rPr>
        <w:t xml:space="preserve">     </w:t>
      </w:r>
      <w:r>
        <w:rPr>
          <w:rFonts w:hint="eastAsia" w:ascii="宋体" w:hAnsi="楷体" w:eastAsia="宋体" w:cs="楷体"/>
          <w:sz w:val="24"/>
        </w:rPr>
        <w:t>日生效</w:t>
      </w:r>
      <w:r>
        <w:rPr>
          <w:rFonts w:hint="eastAsia" w:ascii="宋体" w:hAnsi="楷体" w:eastAsia="宋体" w:cs="楷体"/>
          <w:sz w:val="24"/>
          <w:lang w:eastAsia="zh-CN"/>
        </w:rPr>
        <w:t>，</w:t>
      </w:r>
      <w:r>
        <w:rPr>
          <w:rFonts w:hint="eastAsia" w:ascii="宋体" w:hAnsi="楷体" w:eastAsia="宋体" w:cs="楷体"/>
          <w:sz w:val="24"/>
        </w:rPr>
        <w:t>特此声明。</w:t>
      </w:r>
      <w:r>
        <w:rPr>
          <w:rFonts w:hint="eastAsia" w:ascii="宋体" w:hAnsi="楷体" w:eastAsia="宋体" w:cs="楷体"/>
          <w:sz w:val="24"/>
        </w:rPr>
        <w:cr/>
      </w:r>
      <w:r>
        <w:rPr>
          <w:rFonts w:hint="eastAsia" w:ascii="宋体" w:hAnsi="楷体" w:eastAsia="宋体" w:cs="楷体"/>
          <w:sz w:val="24"/>
        </w:rPr>
        <w:cr/>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u w:val="single" w:color="FFFFFF"/>
        </w:rPr>
        <w:t>投标</w:t>
      </w:r>
      <w:r>
        <w:rPr>
          <w:rFonts w:hint="eastAsia" w:ascii="宋体" w:hAnsi="楷体" w:eastAsia="宋体" w:cs="楷体"/>
          <w:sz w:val="24"/>
        </w:rPr>
        <w:t>人（盖公章）：</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u w:val="single" w:color="FFFFFF"/>
        </w:rPr>
        <w:t>法定代表人（签字或签章）</w:t>
      </w:r>
      <w:r>
        <w:rPr>
          <w:rFonts w:hint="eastAsia" w:ascii="宋体" w:hAnsi="楷体" w:eastAsia="宋体" w:cs="楷体"/>
          <w:sz w:val="24"/>
        </w:rPr>
        <w:t>：</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u w:val="single" w:color="EEECE1"/>
        </w:rPr>
        <w:t>身份证号码</w:t>
      </w:r>
      <w:r>
        <w:rPr>
          <w:rFonts w:hint="eastAsia" w:ascii="宋体" w:hAnsi="楷体" w:eastAsia="宋体" w:cs="楷体"/>
          <w:sz w:val="24"/>
        </w:rPr>
        <w:t>：</w:t>
      </w:r>
      <w:r>
        <w:rPr>
          <w:rFonts w:hint="eastAsia" w:ascii="宋体" w:hAnsi="楷体" w:eastAsia="宋体" w:cs="楷体"/>
          <w:sz w:val="24"/>
          <w:u w:val="single"/>
        </w:rPr>
        <w:t xml:space="preserve">__________________________________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委托代理人</w:t>
      </w:r>
      <w:r>
        <w:rPr>
          <w:rFonts w:hint="eastAsia" w:ascii="宋体" w:hAnsi="楷体" w:eastAsia="宋体" w:cs="楷体"/>
          <w:sz w:val="24"/>
          <w:u w:val="single" w:color="FFFFFF"/>
        </w:rPr>
        <w:t>（签字或签章）</w:t>
      </w:r>
      <w:r>
        <w:rPr>
          <w:rFonts w:hint="eastAsia" w:ascii="宋体" w:hAnsi="楷体" w:eastAsia="宋体" w:cs="楷体"/>
          <w:sz w:val="24"/>
        </w:rPr>
        <w:t>：</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身份证号码：</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u w:val="single" w:color="FFFFFF"/>
        </w:rPr>
        <w:t>详细通讯地址</w:t>
      </w:r>
      <w:r>
        <w:rPr>
          <w:rFonts w:hint="eastAsia" w:ascii="宋体" w:hAnsi="楷体" w:eastAsia="宋体" w:cs="楷体"/>
          <w:sz w:val="24"/>
        </w:rPr>
        <w:t>：</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u w:val="single" w:color="FFFFFF"/>
        </w:rPr>
        <w:t xml:space="preserve">邮 政 编 码 </w:t>
      </w:r>
      <w:r>
        <w:rPr>
          <w:rFonts w:hint="eastAsia" w:ascii="宋体" w:hAnsi="楷体" w:eastAsia="宋体" w:cs="楷体"/>
          <w:sz w:val="24"/>
        </w:rPr>
        <w:t>：</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u w:val="single" w:color="FFFFFF"/>
        </w:rPr>
        <w:t>传　　　　真</w:t>
      </w:r>
      <w:r>
        <w:rPr>
          <w:rFonts w:hint="eastAsia" w:ascii="宋体" w:hAnsi="楷体" w:eastAsia="宋体" w:cs="楷体"/>
          <w:sz w:val="24"/>
        </w:rPr>
        <w:t>：</w:t>
      </w:r>
      <w:r>
        <w:rPr>
          <w:rFonts w:hint="eastAsia" w:ascii="宋体" w:hAnsi="楷体" w:eastAsia="宋体" w:cs="楷体"/>
          <w:sz w:val="24"/>
          <w:u w:val="single"/>
        </w:rPr>
        <w:t xml:space="preserve">                                 </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u w:val="single" w:color="FFFFFF"/>
        </w:rPr>
        <w:t>电　　　　话</w:t>
      </w:r>
      <w:r>
        <w:rPr>
          <w:rFonts w:hint="eastAsia" w:ascii="宋体" w:hAnsi="楷体" w:eastAsia="宋体" w:cs="楷体"/>
          <w:sz w:val="24"/>
        </w:rPr>
        <w:t>：</w:t>
      </w:r>
      <w:r>
        <w:rPr>
          <w:rFonts w:hint="eastAsia" w:ascii="宋体" w:hAnsi="楷体" w:eastAsia="宋体" w:cs="楷体"/>
          <w:sz w:val="24"/>
          <w:u w:val="single"/>
        </w:rPr>
        <w:t xml:space="preserve">                                 </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注1：请提供法定代表人及授权代表身份证复印件并加盖公章。</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注2：自然人投标的或法定代表人投标的无需提供。</w:t>
      </w:r>
    </w:p>
    <w:p/>
    <w:p>
      <w:pPr>
        <w:pStyle w:val="5"/>
        <w:snapToGrid/>
        <w:spacing w:before="0" w:beforeAutospacing="0" w:afterAutospacing="0" w:line="360" w:lineRule="auto"/>
        <w:ind w:left="0" w:leftChars="0" w:firstLine="482" w:firstLineChars="200"/>
        <w:outlineLvl w:val="2"/>
        <w:rPr>
          <w:rFonts w:hint="eastAsia" w:ascii="宋体" w:hAnsi="楷体" w:eastAsia="宋体" w:cs="楷体"/>
          <w:sz w:val="24"/>
        </w:rPr>
      </w:pPr>
    </w:p>
    <w:p>
      <w:pPr>
        <w:rPr>
          <w:rFonts w:hint="eastAsia" w:ascii="宋体" w:hAnsi="楷体" w:eastAsia="宋体" w:cs="楷体"/>
          <w:sz w:val="24"/>
        </w:rPr>
        <w:sectPr>
          <w:type w:val="continuous"/>
          <w:pgSz w:w="11906" w:h="16838"/>
          <w:pgMar w:top="1440" w:right="1797" w:bottom="1440" w:left="1797" w:header="851" w:footer="992" w:gutter="0"/>
          <w:cols w:space="720" w:num="1"/>
          <w:docGrid w:linePitch="312" w:charSpace="0"/>
        </w:sectPr>
      </w:pPr>
    </w:p>
    <w:p>
      <w:pPr>
        <w:pStyle w:val="5"/>
        <w:snapToGrid/>
        <w:spacing w:before="0" w:beforeAutospacing="0" w:afterAutospacing="0" w:line="360" w:lineRule="auto"/>
        <w:jc w:val="both"/>
        <w:outlineLvl w:val="2"/>
        <w:rPr>
          <w:rFonts w:hint="eastAsia" w:ascii="宋体" w:hAnsi="楷体" w:eastAsia="宋体" w:cs="楷体"/>
          <w:sz w:val="24"/>
          <w:u w:val="single"/>
        </w:rPr>
      </w:pPr>
      <w:r>
        <w:rPr>
          <w:rFonts w:hint="eastAsia" w:ascii="宋体" w:hAnsi="楷体" w:eastAsia="宋体" w:cs="楷体"/>
          <w:sz w:val="24"/>
          <w:u w:val="single"/>
        </w:rPr>
        <w:t xml:space="preserve">3 </w:t>
      </w:r>
      <w:r>
        <w:rPr>
          <w:rFonts w:hint="eastAsia" w:ascii="宋体" w:hAnsi="楷体" w:eastAsia="宋体" w:cs="楷体"/>
          <w:sz w:val="24"/>
          <w:u w:val="single"/>
          <w:lang w:val="en-US" w:eastAsia="zh-CN"/>
        </w:rPr>
        <w:t xml:space="preserve"> </w:t>
      </w:r>
      <w:r>
        <w:rPr>
          <w:rFonts w:hint="eastAsia" w:ascii="宋体" w:hAnsi="楷体" w:eastAsia="宋体" w:cs="楷体"/>
          <w:sz w:val="24"/>
          <w:u w:val="single"/>
        </w:rPr>
        <w:t>货物及伴随服务和工程说明一览表（投标文件格式</w:t>
      </w:r>
      <w:r>
        <w:rPr>
          <w:rFonts w:hint="eastAsia" w:ascii="宋体" w:hAnsi="楷体" w:eastAsia="宋体" w:cs="楷体"/>
          <w:sz w:val="24"/>
          <w:u w:val="single"/>
          <w:lang w:val="en-US" w:eastAsia="zh-CN"/>
        </w:rPr>
        <w:t>七</w:t>
      </w:r>
      <w:r>
        <w:rPr>
          <w:rFonts w:hint="eastAsia" w:ascii="宋体" w:hAnsi="楷体" w:eastAsia="宋体" w:cs="楷体"/>
          <w:sz w:val="24"/>
          <w:u w:val="single"/>
        </w:rPr>
        <w:t>）</w:t>
      </w:r>
    </w:p>
    <w:p>
      <w:pPr>
        <w:pStyle w:val="21"/>
        <w:snapToGrid/>
        <w:spacing w:beforeAutospacing="0" w:afterAutospacing="0" w:line="360" w:lineRule="auto"/>
        <w:ind w:left="0" w:leftChars="0" w:firstLine="480" w:firstLineChars="200"/>
        <w:rPr>
          <w:rFonts w:hint="eastAsia" w:ascii="宋体" w:hAnsi="楷体" w:eastAsia="宋体" w:cs="楷体"/>
          <w:sz w:val="24"/>
        </w:rPr>
      </w:pP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 xml:space="preserve">项目名称:                                    招标编号:                       包号:                      </w:t>
      </w:r>
    </w:p>
    <w:tbl>
      <w:tblPr>
        <w:tblStyle w:val="37"/>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21"/>
              <w:spacing w:line="360" w:lineRule="auto"/>
              <w:ind w:left="1157" w:leftChars="257" w:hanging="540"/>
              <w:rPr>
                <w:rFonts w:hint="eastAsia" w:ascii="楷体" w:hAnsi="楷体" w:eastAsia="楷体" w:cs="楷体"/>
                <w:sz w:val="24"/>
              </w:rPr>
            </w:pPr>
            <w:r>
              <w:rPr>
                <w:rFonts w:hint="eastAsia" w:ascii="楷体" w:hAnsi="楷体" w:eastAsia="楷体" w:cs="楷体"/>
                <w:sz w:val="24"/>
              </w:rPr>
              <w:t>序号</w:t>
            </w:r>
          </w:p>
        </w:tc>
        <w:tc>
          <w:tcPr>
            <w:tcW w:w="1980" w:type="dxa"/>
            <w:noWrap w:val="0"/>
            <w:vAlign w:val="top"/>
          </w:tcPr>
          <w:p>
            <w:pPr>
              <w:pStyle w:val="21"/>
              <w:spacing w:line="360" w:lineRule="auto"/>
              <w:ind w:left="-25" w:firstLine="27"/>
              <w:jc w:val="center"/>
              <w:rPr>
                <w:rFonts w:hint="eastAsia" w:ascii="楷体" w:hAnsi="楷体" w:eastAsia="楷体" w:cs="楷体"/>
                <w:sz w:val="24"/>
              </w:rPr>
            </w:pPr>
            <w:r>
              <w:rPr>
                <w:rFonts w:hint="eastAsia" w:ascii="楷体" w:hAnsi="楷体" w:eastAsia="楷体" w:cs="楷体"/>
                <w:sz w:val="24"/>
              </w:rPr>
              <w:t>货物名称</w:t>
            </w:r>
          </w:p>
        </w:tc>
        <w:tc>
          <w:tcPr>
            <w:tcW w:w="1800" w:type="dxa"/>
            <w:noWrap w:val="0"/>
            <w:vAlign w:val="top"/>
          </w:tcPr>
          <w:p>
            <w:pPr>
              <w:pStyle w:val="21"/>
              <w:spacing w:line="360" w:lineRule="auto"/>
              <w:ind w:left="621" w:leftChars="138" w:hanging="290"/>
              <w:rPr>
                <w:rFonts w:hint="eastAsia" w:ascii="楷体" w:hAnsi="楷体" w:eastAsia="楷体" w:cs="楷体"/>
                <w:sz w:val="24"/>
              </w:rPr>
            </w:pPr>
            <w:r>
              <w:rPr>
                <w:rFonts w:hint="eastAsia" w:ascii="楷体" w:hAnsi="楷体" w:eastAsia="楷体" w:cs="楷体"/>
                <w:sz w:val="24"/>
              </w:rPr>
              <w:t>主要规格</w:t>
            </w:r>
          </w:p>
        </w:tc>
        <w:tc>
          <w:tcPr>
            <w:tcW w:w="1620" w:type="dxa"/>
            <w:noWrap w:val="0"/>
            <w:vAlign w:val="top"/>
          </w:tcPr>
          <w:p>
            <w:pPr>
              <w:pStyle w:val="21"/>
              <w:spacing w:line="360" w:lineRule="auto"/>
              <w:ind w:left="1157" w:leftChars="257" w:hanging="540"/>
              <w:rPr>
                <w:rFonts w:hint="eastAsia" w:ascii="楷体" w:hAnsi="楷体" w:eastAsia="楷体" w:cs="楷体"/>
                <w:sz w:val="24"/>
              </w:rPr>
            </w:pPr>
            <w:r>
              <w:rPr>
                <w:rFonts w:hint="eastAsia" w:ascii="楷体" w:hAnsi="楷体" w:eastAsia="楷体" w:cs="楷体"/>
                <w:sz w:val="24"/>
              </w:rPr>
              <w:t>数量</w:t>
            </w:r>
          </w:p>
        </w:tc>
        <w:tc>
          <w:tcPr>
            <w:tcW w:w="1980" w:type="dxa"/>
            <w:noWrap w:val="0"/>
            <w:vAlign w:val="top"/>
          </w:tcPr>
          <w:p>
            <w:pPr>
              <w:pStyle w:val="21"/>
              <w:spacing w:line="360" w:lineRule="auto"/>
              <w:ind w:left="1157" w:leftChars="257" w:hanging="540"/>
              <w:rPr>
                <w:rFonts w:hint="eastAsia" w:ascii="楷体" w:hAnsi="楷体" w:eastAsia="楷体" w:cs="楷体"/>
                <w:sz w:val="24"/>
                <w:lang w:eastAsia="zh-CN"/>
              </w:rPr>
            </w:pPr>
            <w:r>
              <w:rPr>
                <w:rFonts w:hint="eastAsia" w:ascii="楷体" w:hAnsi="楷体" w:eastAsia="楷体" w:cs="楷体"/>
                <w:sz w:val="24"/>
                <w:lang w:eastAsia="zh-CN"/>
              </w:rPr>
              <w:t>履约期限</w:t>
            </w:r>
          </w:p>
        </w:tc>
        <w:tc>
          <w:tcPr>
            <w:tcW w:w="2160" w:type="dxa"/>
            <w:noWrap w:val="0"/>
            <w:vAlign w:val="top"/>
          </w:tcPr>
          <w:p>
            <w:pPr>
              <w:pStyle w:val="21"/>
              <w:spacing w:line="360" w:lineRule="auto"/>
              <w:ind w:left="1157" w:leftChars="257" w:hanging="540"/>
              <w:rPr>
                <w:rFonts w:hint="eastAsia" w:ascii="楷体" w:hAnsi="楷体" w:eastAsia="楷体" w:cs="楷体"/>
                <w:sz w:val="24"/>
                <w:lang w:eastAsia="zh-CN"/>
              </w:rPr>
            </w:pPr>
            <w:r>
              <w:rPr>
                <w:rFonts w:hint="eastAsia" w:ascii="楷体" w:hAnsi="楷体" w:eastAsia="楷体" w:cs="楷体"/>
                <w:sz w:val="24"/>
                <w:lang w:eastAsia="zh-CN"/>
              </w:rPr>
              <w:t>履约地点</w:t>
            </w:r>
          </w:p>
        </w:tc>
        <w:tc>
          <w:tcPr>
            <w:tcW w:w="1980" w:type="dxa"/>
            <w:noWrap w:val="0"/>
            <w:vAlign w:val="top"/>
          </w:tcPr>
          <w:p>
            <w:pPr>
              <w:pStyle w:val="21"/>
              <w:spacing w:line="360" w:lineRule="auto"/>
              <w:ind w:left="1157" w:leftChars="257" w:hanging="540"/>
              <w:rPr>
                <w:rFonts w:hint="eastAsia" w:ascii="楷体" w:hAnsi="楷体" w:eastAsia="楷体" w:cs="楷体"/>
                <w:sz w:val="24"/>
              </w:rPr>
            </w:pPr>
            <w:r>
              <w:rPr>
                <w:rFonts w:hint="eastAsia" w:ascii="楷体" w:hAnsi="楷体" w:eastAsia="楷体" w:cs="楷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1800" w:type="dxa"/>
            <w:noWrap w:val="0"/>
            <w:vAlign w:val="top"/>
          </w:tcPr>
          <w:p>
            <w:pPr>
              <w:pStyle w:val="21"/>
              <w:spacing w:line="360" w:lineRule="auto"/>
              <w:ind w:left="1157" w:leftChars="257" w:hanging="540"/>
              <w:rPr>
                <w:rFonts w:hint="eastAsia" w:ascii="楷体" w:hAnsi="楷体" w:eastAsia="楷体" w:cs="楷体"/>
                <w:sz w:val="24"/>
              </w:rPr>
            </w:pPr>
          </w:p>
        </w:tc>
        <w:tc>
          <w:tcPr>
            <w:tcW w:w="162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216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1800" w:type="dxa"/>
            <w:noWrap w:val="0"/>
            <w:vAlign w:val="top"/>
          </w:tcPr>
          <w:p>
            <w:pPr>
              <w:pStyle w:val="21"/>
              <w:spacing w:line="360" w:lineRule="auto"/>
              <w:ind w:left="1157" w:leftChars="257" w:hanging="540"/>
              <w:rPr>
                <w:rFonts w:hint="eastAsia" w:ascii="楷体" w:hAnsi="楷体" w:eastAsia="楷体" w:cs="楷体"/>
                <w:sz w:val="24"/>
              </w:rPr>
            </w:pPr>
          </w:p>
        </w:tc>
        <w:tc>
          <w:tcPr>
            <w:tcW w:w="162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216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1800" w:type="dxa"/>
            <w:noWrap w:val="0"/>
            <w:vAlign w:val="top"/>
          </w:tcPr>
          <w:p>
            <w:pPr>
              <w:pStyle w:val="21"/>
              <w:spacing w:line="360" w:lineRule="auto"/>
              <w:ind w:left="1157" w:leftChars="257" w:hanging="540"/>
              <w:rPr>
                <w:rFonts w:hint="eastAsia" w:ascii="楷体" w:hAnsi="楷体" w:eastAsia="楷体" w:cs="楷体"/>
                <w:sz w:val="24"/>
              </w:rPr>
            </w:pPr>
          </w:p>
        </w:tc>
        <w:tc>
          <w:tcPr>
            <w:tcW w:w="162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216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1800" w:type="dxa"/>
            <w:noWrap w:val="0"/>
            <w:vAlign w:val="top"/>
          </w:tcPr>
          <w:p>
            <w:pPr>
              <w:pStyle w:val="21"/>
              <w:spacing w:line="360" w:lineRule="auto"/>
              <w:ind w:left="1157" w:leftChars="257" w:hanging="540"/>
              <w:rPr>
                <w:rFonts w:hint="eastAsia" w:ascii="楷体" w:hAnsi="楷体" w:eastAsia="楷体" w:cs="楷体"/>
                <w:sz w:val="24"/>
              </w:rPr>
            </w:pPr>
          </w:p>
        </w:tc>
        <w:tc>
          <w:tcPr>
            <w:tcW w:w="162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216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1800" w:type="dxa"/>
            <w:noWrap w:val="0"/>
            <w:vAlign w:val="top"/>
          </w:tcPr>
          <w:p>
            <w:pPr>
              <w:pStyle w:val="21"/>
              <w:spacing w:line="360" w:lineRule="auto"/>
              <w:ind w:left="1157" w:leftChars="257" w:hanging="540"/>
              <w:rPr>
                <w:rFonts w:hint="eastAsia" w:ascii="楷体" w:hAnsi="楷体" w:eastAsia="楷体" w:cs="楷体"/>
                <w:sz w:val="24"/>
              </w:rPr>
            </w:pPr>
          </w:p>
        </w:tc>
        <w:tc>
          <w:tcPr>
            <w:tcW w:w="162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c>
          <w:tcPr>
            <w:tcW w:w="2160" w:type="dxa"/>
            <w:noWrap w:val="0"/>
            <w:vAlign w:val="top"/>
          </w:tcPr>
          <w:p>
            <w:pPr>
              <w:pStyle w:val="21"/>
              <w:spacing w:line="360" w:lineRule="auto"/>
              <w:ind w:left="1157" w:leftChars="257" w:hanging="540"/>
              <w:rPr>
                <w:rFonts w:hint="eastAsia" w:ascii="楷体" w:hAnsi="楷体" w:eastAsia="楷体" w:cs="楷体"/>
                <w:sz w:val="24"/>
              </w:rPr>
            </w:pPr>
          </w:p>
        </w:tc>
        <w:tc>
          <w:tcPr>
            <w:tcW w:w="1980" w:type="dxa"/>
            <w:noWrap w:val="0"/>
            <w:vAlign w:val="top"/>
          </w:tcPr>
          <w:p>
            <w:pPr>
              <w:pStyle w:val="21"/>
              <w:spacing w:line="360" w:lineRule="auto"/>
              <w:ind w:left="1157" w:leftChars="257" w:hanging="540"/>
              <w:rPr>
                <w:rFonts w:hint="eastAsia" w:ascii="楷体" w:hAnsi="楷体" w:eastAsia="楷体" w:cs="楷体"/>
                <w:sz w:val="24"/>
              </w:rPr>
            </w:pPr>
          </w:p>
        </w:tc>
      </w:tr>
    </w:tbl>
    <w:p>
      <w:pPr>
        <w:pStyle w:val="21"/>
        <w:tabs>
          <w:tab w:val="left" w:pos="5370"/>
        </w:tabs>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rPr>
        <w:t>投标人</w:t>
      </w:r>
      <w:r>
        <w:rPr>
          <w:rFonts w:hint="eastAsia" w:ascii="宋体" w:hAnsi="楷体" w:eastAsia="宋体" w:cs="楷体"/>
          <w:sz w:val="24"/>
          <w:lang w:eastAsia="zh-CN"/>
        </w:rPr>
        <w:t>（</w:t>
      </w:r>
      <w:r>
        <w:rPr>
          <w:rFonts w:hint="eastAsia" w:ascii="宋体" w:hAnsi="楷体" w:eastAsia="宋体" w:cs="楷体"/>
          <w:sz w:val="24"/>
        </w:rPr>
        <w:t>盖公章</w:t>
      </w:r>
      <w:r>
        <w:rPr>
          <w:rFonts w:hint="eastAsia" w:ascii="宋体" w:hAnsi="楷体" w:eastAsia="宋体" w:cs="楷体"/>
          <w:sz w:val="24"/>
          <w:lang w:eastAsia="zh-CN"/>
        </w:rPr>
        <w:t>）</w:t>
      </w:r>
      <w:r>
        <w:rPr>
          <w:rFonts w:hint="eastAsia" w:ascii="宋体" w:hAnsi="楷体" w:eastAsia="宋体" w:cs="楷体"/>
          <w:sz w:val="24"/>
        </w:rPr>
        <w:t>:</w:t>
      </w:r>
      <w:r>
        <w:rPr>
          <w:rFonts w:hint="eastAsia" w:ascii="宋体" w:hAnsi="楷体" w:eastAsia="宋体" w:cs="楷体"/>
          <w:sz w:val="24"/>
          <w:u w:val="single"/>
        </w:rPr>
        <w:tab/>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法定代表人或委托代理人（签字或签章）:</w:t>
      </w:r>
      <w:r>
        <w:rPr>
          <w:rFonts w:hint="eastAsia" w:ascii="宋体" w:hAnsi="楷体" w:eastAsia="宋体" w:cs="楷体"/>
          <w:sz w:val="24"/>
          <w:u w:val="single"/>
        </w:rPr>
        <w:t xml:space="preserve"> </w:t>
      </w:r>
      <w:r>
        <w:rPr>
          <w:rFonts w:hint="eastAsia" w:ascii="宋体" w:hAnsi="楷体" w:eastAsia="宋体" w:cs="楷体"/>
          <w:sz w:val="24"/>
          <w:u w:val="single"/>
        </w:rPr>
        <w:tab/>
      </w:r>
      <w:r>
        <w:rPr>
          <w:rFonts w:hint="eastAsia" w:ascii="宋体" w:hAnsi="楷体" w:eastAsia="宋体" w:cs="楷体"/>
          <w:sz w:val="24"/>
          <w:u w:val="single"/>
        </w:rPr>
        <w:t xml:space="preserve">                 </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注: 各项货物及伴随服务和工程详细技术性能应另页描述。</w:t>
      </w:r>
    </w:p>
    <w:p>
      <w:pPr>
        <w:pStyle w:val="21"/>
        <w:snapToGrid/>
        <w:spacing w:beforeAutospacing="0" w:afterAutospacing="0" w:line="360" w:lineRule="auto"/>
        <w:ind w:left="0" w:leftChars="0" w:firstLine="480" w:firstLineChars="200"/>
        <w:jc w:val="center"/>
        <w:rPr>
          <w:rFonts w:ascii="宋体" w:eastAsia="宋体"/>
          <w:sz w:val="24"/>
        </w:rPr>
        <w:sectPr>
          <w:type w:val="continuous"/>
          <w:pgSz w:w="16838" w:h="11906" w:orient="landscape"/>
          <w:pgMar w:top="1797" w:right="1440" w:bottom="1797" w:left="1440" w:header="851" w:footer="992" w:gutter="0"/>
          <w:cols w:space="720" w:num="1"/>
          <w:docGrid w:linePitch="312" w:charSpace="0"/>
        </w:sectPr>
      </w:pPr>
    </w:p>
    <w:p>
      <w:pPr>
        <w:pStyle w:val="5"/>
        <w:snapToGrid/>
        <w:spacing w:before="0" w:beforeAutospacing="0" w:afterAutospacing="0" w:line="360" w:lineRule="auto"/>
        <w:jc w:val="left"/>
        <w:outlineLvl w:val="2"/>
        <w:rPr>
          <w:rFonts w:hint="eastAsia" w:ascii="宋体" w:hAnsi="楷体" w:eastAsia="宋体" w:cs="楷体"/>
          <w:sz w:val="24"/>
          <w:u w:val="single"/>
        </w:rPr>
      </w:pPr>
      <w:r>
        <w:rPr>
          <w:rFonts w:hint="eastAsia" w:ascii="宋体" w:hAnsi="楷体" w:eastAsia="宋体" w:cs="楷体"/>
          <w:sz w:val="24"/>
          <w:u w:val="single"/>
        </w:rPr>
        <w:t>4 技术规格偏离表</w:t>
      </w:r>
      <w:bookmarkEnd w:id="277"/>
      <w:r>
        <w:rPr>
          <w:rFonts w:hint="eastAsia" w:ascii="宋体" w:hAnsi="楷体" w:eastAsia="宋体" w:cs="楷体"/>
          <w:sz w:val="24"/>
          <w:u w:val="single"/>
        </w:rPr>
        <w:t>（投标文件格式</w:t>
      </w:r>
      <w:r>
        <w:rPr>
          <w:rFonts w:hint="eastAsia" w:ascii="宋体" w:hAnsi="楷体" w:eastAsia="宋体" w:cs="楷体"/>
          <w:sz w:val="24"/>
          <w:u w:val="single"/>
          <w:lang w:val="en-US" w:eastAsia="zh-CN"/>
        </w:rPr>
        <w:t>八</w:t>
      </w:r>
      <w:r>
        <w:rPr>
          <w:rFonts w:hint="eastAsia" w:ascii="宋体" w:hAnsi="楷体" w:eastAsia="宋体" w:cs="楷体"/>
          <w:sz w:val="24"/>
          <w:u w:val="single"/>
        </w:rPr>
        <w:t>）</w:t>
      </w:r>
      <w:bookmarkEnd w:id="278"/>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项目名称:                       招标编号:                 包号:</w:t>
      </w:r>
    </w:p>
    <w:tbl>
      <w:tblPr>
        <w:tblStyle w:val="3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序号</w:t>
            </w:r>
          </w:p>
        </w:tc>
        <w:tc>
          <w:tcPr>
            <w:tcW w:w="1260" w:type="dxa"/>
            <w:noWrap w:val="0"/>
            <w:vAlign w:val="center"/>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货物名称</w:t>
            </w:r>
          </w:p>
        </w:tc>
        <w:tc>
          <w:tcPr>
            <w:tcW w:w="2340" w:type="dxa"/>
            <w:noWrap w:val="0"/>
            <w:vAlign w:val="center"/>
          </w:tcPr>
          <w:p>
            <w:pPr>
              <w:pStyle w:val="21"/>
              <w:spacing w:line="240" w:lineRule="atLeast"/>
              <w:ind w:left="307" w:leftChars="128"/>
              <w:jc w:val="center"/>
              <w:rPr>
                <w:rFonts w:hint="eastAsia" w:ascii="楷体" w:hAnsi="楷体" w:eastAsia="楷体" w:cs="楷体"/>
                <w:sz w:val="24"/>
              </w:rPr>
            </w:pPr>
            <w:r>
              <w:rPr>
                <w:rFonts w:hint="eastAsia" w:ascii="楷体" w:hAnsi="楷体" w:eastAsia="楷体" w:cs="楷体"/>
                <w:sz w:val="24"/>
              </w:rPr>
              <w:t>招标文件条款号</w:t>
            </w:r>
          </w:p>
        </w:tc>
        <w:tc>
          <w:tcPr>
            <w:tcW w:w="1260" w:type="dxa"/>
            <w:noWrap w:val="0"/>
            <w:vAlign w:val="center"/>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招标要求</w:t>
            </w:r>
          </w:p>
        </w:tc>
        <w:tc>
          <w:tcPr>
            <w:tcW w:w="1260" w:type="dxa"/>
            <w:noWrap w:val="0"/>
            <w:vAlign w:val="center"/>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投标响应</w:t>
            </w:r>
          </w:p>
        </w:tc>
        <w:tc>
          <w:tcPr>
            <w:tcW w:w="900" w:type="dxa"/>
            <w:noWrap w:val="0"/>
            <w:vAlign w:val="center"/>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偏离</w:t>
            </w:r>
          </w:p>
        </w:tc>
        <w:tc>
          <w:tcPr>
            <w:tcW w:w="900" w:type="dxa"/>
            <w:noWrap w:val="0"/>
            <w:vAlign w:val="center"/>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234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126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bl>
    <w:p>
      <w:pPr>
        <w:pStyle w:val="21"/>
        <w:tabs>
          <w:tab w:val="left" w:pos="5370"/>
        </w:tabs>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rPr>
        <w:t>投标人</w:t>
      </w:r>
      <w:r>
        <w:rPr>
          <w:rFonts w:hint="eastAsia" w:ascii="宋体" w:hAnsi="楷体" w:eastAsia="宋体" w:cs="楷体"/>
          <w:sz w:val="24"/>
          <w:lang w:eastAsia="zh-CN"/>
        </w:rPr>
        <w:t>（</w:t>
      </w:r>
      <w:r>
        <w:rPr>
          <w:rFonts w:hint="eastAsia" w:ascii="宋体" w:hAnsi="楷体" w:eastAsia="宋体" w:cs="楷体"/>
          <w:sz w:val="24"/>
        </w:rPr>
        <w:t>盖公章</w:t>
      </w:r>
      <w:r>
        <w:rPr>
          <w:rFonts w:hint="eastAsia" w:ascii="宋体" w:hAnsi="楷体" w:eastAsia="宋体" w:cs="楷体"/>
          <w:sz w:val="24"/>
          <w:lang w:eastAsia="zh-CN"/>
        </w:rPr>
        <w:t>）</w:t>
      </w:r>
      <w:r>
        <w:rPr>
          <w:rFonts w:hint="eastAsia" w:ascii="宋体" w:hAnsi="楷体" w:eastAsia="宋体" w:cs="楷体"/>
          <w:sz w:val="24"/>
        </w:rPr>
        <w:t>:</w:t>
      </w:r>
      <w:r>
        <w:rPr>
          <w:rFonts w:hint="eastAsia" w:ascii="宋体" w:hAnsi="楷体" w:eastAsia="宋体" w:cs="楷体"/>
          <w:sz w:val="24"/>
          <w:u w:val="single"/>
        </w:rPr>
        <w:tab/>
      </w:r>
    </w:p>
    <w:p>
      <w:pPr>
        <w:pStyle w:val="21"/>
        <w:tabs>
          <w:tab w:val="left" w:pos="5580"/>
        </w:tabs>
        <w:snapToGrid/>
        <w:spacing w:beforeAutospacing="0" w:afterAutospacing="0" w:line="360" w:lineRule="auto"/>
        <w:ind w:left="0" w:leftChars="0" w:firstLine="480" w:firstLineChars="200"/>
        <w:rPr>
          <w:rFonts w:hint="eastAsia" w:ascii="宋体" w:eastAsia="宋体"/>
          <w:sz w:val="24"/>
        </w:rPr>
      </w:pPr>
      <w:r>
        <w:rPr>
          <w:rFonts w:hint="eastAsia" w:ascii="宋体" w:hAnsi="楷体" w:eastAsia="宋体" w:cs="楷体"/>
          <w:sz w:val="24"/>
        </w:rPr>
        <w:t>法定代表人或委托代理人（签字或签章）:</w:t>
      </w:r>
      <w:r>
        <w:rPr>
          <w:rFonts w:hint="eastAsia" w:ascii="宋体" w:hAnsi="楷体" w:eastAsia="宋体" w:cs="楷体"/>
          <w:sz w:val="24"/>
          <w:u w:val="single"/>
        </w:rPr>
        <w:t xml:space="preserve"> </w:t>
      </w:r>
      <w:r>
        <w:rPr>
          <w:rFonts w:hint="eastAsia" w:ascii="宋体" w:hAnsi="楷体" w:eastAsia="宋体" w:cs="楷体"/>
          <w:sz w:val="24"/>
          <w:u w:val="single"/>
        </w:rPr>
        <w:tab/>
      </w:r>
      <w:r>
        <w:rPr>
          <w:rFonts w:hint="eastAsia" w:ascii="宋体" w:hAnsi="楷体" w:eastAsia="宋体" w:cs="楷体"/>
          <w:sz w:val="24"/>
          <w:u w:val="single"/>
        </w:rPr>
        <w:t xml:space="preserve">                 </w:t>
      </w:r>
      <w:r>
        <w:rPr>
          <w:rFonts w:hint="eastAsia" w:ascii="宋体" w:hAnsi="楷体" w:eastAsia="宋体" w:cs="楷体"/>
          <w:sz w:val="24"/>
          <w:u w:val="single"/>
        </w:rPr>
        <w:br w:type="page"/>
      </w:r>
    </w:p>
    <w:p>
      <w:pPr>
        <w:pStyle w:val="5"/>
        <w:snapToGrid/>
        <w:spacing w:before="0" w:beforeAutospacing="0" w:afterAutospacing="0" w:line="360" w:lineRule="auto"/>
        <w:jc w:val="left"/>
        <w:outlineLvl w:val="2"/>
        <w:rPr>
          <w:rFonts w:hint="eastAsia" w:ascii="宋体" w:hAnsi="楷体" w:eastAsia="宋体" w:cs="楷体"/>
          <w:sz w:val="24"/>
          <w:u w:val="single"/>
        </w:rPr>
      </w:pPr>
      <w:bookmarkStart w:id="283" w:name="_Toc216582818"/>
      <w:bookmarkStart w:id="284" w:name="_Toc6293"/>
      <w:r>
        <w:rPr>
          <w:rFonts w:hint="eastAsia" w:ascii="宋体" w:hAnsi="楷体" w:eastAsia="宋体" w:cs="楷体"/>
          <w:sz w:val="24"/>
          <w:u w:val="single"/>
        </w:rPr>
        <w:t>5  商务条款偏离表</w:t>
      </w:r>
      <w:bookmarkEnd w:id="283"/>
      <w:r>
        <w:rPr>
          <w:rFonts w:hint="eastAsia" w:ascii="宋体" w:hAnsi="楷体" w:eastAsia="宋体" w:cs="楷体"/>
          <w:sz w:val="24"/>
          <w:u w:val="single"/>
        </w:rPr>
        <w:t>（投标文件格式</w:t>
      </w:r>
      <w:r>
        <w:rPr>
          <w:rFonts w:hint="eastAsia" w:ascii="宋体" w:hAnsi="楷体" w:eastAsia="宋体" w:cs="楷体"/>
          <w:sz w:val="24"/>
          <w:u w:val="single"/>
          <w:lang w:val="en-US" w:eastAsia="zh-CN"/>
        </w:rPr>
        <w:t>九</w:t>
      </w:r>
      <w:r>
        <w:rPr>
          <w:rFonts w:hint="eastAsia" w:ascii="宋体" w:hAnsi="楷体" w:eastAsia="宋体" w:cs="楷体"/>
          <w:sz w:val="24"/>
          <w:u w:val="single"/>
        </w:rPr>
        <w:t>）</w:t>
      </w:r>
      <w:bookmarkEnd w:id="284"/>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项目名称:                      招标编号:             包号:</w:t>
      </w:r>
    </w:p>
    <w:tbl>
      <w:tblPr>
        <w:tblStyle w:val="3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序号</w:t>
            </w:r>
          </w:p>
        </w:tc>
        <w:tc>
          <w:tcPr>
            <w:tcW w:w="2040" w:type="dxa"/>
            <w:noWrap w:val="0"/>
            <w:vAlign w:val="top"/>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招标文件条款号</w:t>
            </w:r>
          </w:p>
        </w:tc>
        <w:tc>
          <w:tcPr>
            <w:tcW w:w="2520" w:type="dxa"/>
            <w:noWrap w:val="0"/>
            <w:vAlign w:val="top"/>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招标文件的商务条款</w:t>
            </w:r>
          </w:p>
        </w:tc>
        <w:tc>
          <w:tcPr>
            <w:tcW w:w="2520" w:type="dxa"/>
            <w:noWrap w:val="0"/>
            <w:vAlign w:val="top"/>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投标文件的商务条款</w:t>
            </w:r>
          </w:p>
        </w:tc>
        <w:tc>
          <w:tcPr>
            <w:tcW w:w="900" w:type="dxa"/>
            <w:noWrap w:val="0"/>
            <w:vAlign w:val="top"/>
          </w:tcPr>
          <w:p>
            <w:pPr>
              <w:pStyle w:val="21"/>
              <w:spacing w:line="240" w:lineRule="atLeast"/>
              <w:jc w:val="center"/>
              <w:rPr>
                <w:rFonts w:hint="eastAsia" w:ascii="楷体" w:hAnsi="楷体" w:eastAsia="楷体" w:cs="楷体"/>
                <w:sz w:val="24"/>
              </w:rPr>
            </w:pPr>
            <w:r>
              <w:rPr>
                <w:rFonts w:hint="eastAsia" w:ascii="楷体" w:hAnsi="楷体" w:eastAsia="楷体" w:cs="楷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jc w:val="center"/>
              <w:rPr>
                <w:rFonts w:hint="eastAsia" w:ascii="楷体" w:hAnsi="楷体" w:eastAsia="楷体" w:cs="楷体"/>
                <w:sz w:val="24"/>
              </w:rPr>
            </w:pPr>
          </w:p>
        </w:tc>
        <w:tc>
          <w:tcPr>
            <w:tcW w:w="2520" w:type="dxa"/>
            <w:noWrap w:val="0"/>
            <w:vAlign w:val="top"/>
          </w:tcPr>
          <w:p>
            <w:pPr>
              <w:pStyle w:val="21"/>
              <w:spacing w:line="240" w:lineRule="atLeast"/>
              <w:ind w:left="1157" w:leftChars="257" w:hanging="540"/>
              <w:jc w:val="center"/>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21"/>
              <w:spacing w:line="240" w:lineRule="atLeast"/>
              <w:ind w:left="1157" w:leftChars="257" w:hanging="540"/>
              <w:rPr>
                <w:rFonts w:hint="eastAsia" w:ascii="楷体" w:hAnsi="楷体" w:eastAsia="楷体" w:cs="楷体"/>
                <w:sz w:val="24"/>
              </w:rPr>
            </w:pPr>
          </w:p>
        </w:tc>
        <w:tc>
          <w:tcPr>
            <w:tcW w:w="204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2520" w:type="dxa"/>
            <w:noWrap w:val="0"/>
            <w:vAlign w:val="top"/>
          </w:tcPr>
          <w:p>
            <w:pPr>
              <w:pStyle w:val="21"/>
              <w:spacing w:line="240" w:lineRule="atLeast"/>
              <w:ind w:left="1157" w:leftChars="257" w:hanging="540"/>
              <w:rPr>
                <w:rFonts w:hint="eastAsia" w:ascii="楷体" w:hAnsi="楷体" w:eastAsia="楷体" w:cs="楷体"/>
                <w:sz w:val="24"/>
              </w:rPr>
            </w:pPr>
          </w:p>
        </w:tc>
        <w:tc>
          <w:tcPr>
            <w:tcW w:w="900" w:type="dxa"/>
            <w:noWrap w:val="0"/>
            <w:vAlign w:val="top"/>
          </w:tcPr>
          <w:p>
            <w:pPr>
              <w:pStyle w:val="21"/>
              <w:spacing w:line="240" w:lineRule="atLeast"/>
              <w:ind w:left="1157" w:leftChars="257" w:hanging="540"/>
              <w:rPr>
                <w:rFonts w:hint="eastAsia" w:ascii="楷体" w:hAnsi="楷体" w:eastAsia="楷体" w:cs="楷体"/>
                <w:sz w:val="24"/>
              </w:rPr>
            </w:pPr>
          </w:p>
        </w:tc>
      </w:tr>
    </w:tbl>
    <w:p>
      <w:pPr>
        <w:pStyle w:val="21"/>
        <w:tabs>
          <w:tab w:val="left" w:pos="5370"/>
        </w:tabs>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rPr>
        <w:t>投标人</w:t>
      </w:r>
      <w:r>
        <w:rPr>
          <w:rFonts w:hint="eastAsia" w:ascii="宋体" w:hAnsi="楷体" w:eastAsia="宋体" w:cs="楷体"/>
          <w:sz w:val="24"/>
          <w:lang w:eastAsia="zh-CN"/>
        </w:rPr>
        <w:t>（</w:t>
      </w:r>
      <w:r>
        <w:rPr>
          <w:rFonts w:hint="eastAsia" w:ascii="宋体" w:hAnsi="楷体" w:eastAsia="宋体" w:cs="楷体"/>
          <w:sz w:val="24"/>
        </w:rPr>
        <w:t>盖公章</w:t>
      </w:r>
      <w:r>
        <w:rPr>
          <w:rFonts w:hint="eastAsia" w:ascii="宋体" w:hAnsi="楷体" w:eastAsia="宋体" w:cs="楷体"/>
          <w:sz w:val="24"/>
          <w:lang w:eastAsia="zh-CN"/>
        </w:rPr>
        <w:t>）</w:t>
      </w:r>
      <w:r>
        <w:rPr>
          <w:rFonts w:hint="eastAsia" w:ascii="宋体" w:hAnsi="楷体" w:eastAsia="宋体" w:cs="楷体"/>
          <w:sz w:val="24"/>
        </w:rPr>
        <w:t>:</w:t>
      </w:r>
      <w:r>
        <w:rPr>
          <w:rFonts w:hint="eastAsia" w:ascii="宋体" w:hAnsi="楷体" w:eastAsia="宋体" w:cs="楷体"/>
          <w:sz w:val="24"/>
          <w:u w:val="single"/>
        </w:rPr>
        <w:tab/>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法定代表人或委托代理人（签字或签章）:</w:t>
      </w:r>
      <w:r>
        <w:rPr>
          <w:rFonts w:hint="eastAsia" w:ascii="宋体" w:hAnsi="楷体" w:eastAsia="宋体" w:cs="楷体"/>
          <w:sz w:val="24"/>
          <w:u w:val="single"/>
        </w:rPr>
        <w:t xml:space="preserve"> </w:t>
      </w:r>
      <w:r>
        <w:rPr>
          <w:rFonts w:hint="eastAsia" w:ascii="宋体" w:hAnsi="楷体" w:eastAsia="宋体" w:cs="楷体"/>
          <w:sz w:val="24"/>
          <w:u w:val="single"/>
        </w:rPr>
        <w:tab/>
      </w:r>
      <w:r>
        <w:rPr>
          <w:rFonts w:hint="eastAsia" w:ascii="宋体" w:hAnsi="楷体" w:eastAsia="宋体" w:cs="楷体"/>
          <w:sz w:val="24"/>
          <w:u w:val="single"/>
        </w:rPr>
        <w:t xml:space="preserve">                 </w:t>
      </w:r>
    </w:p>
    <w:p>
      <w:pPr>
        <w:pStyle w:val="21"/>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u w:val="single"/>
        </w:rPr>
        <w:br w:type="page"/>
      </w:r>
    </w:p>
    <w:p>
      <w:pPr>
        <w:pStyle w:val="5"/>
        <w:snapToGrid/>
        <w:spacing w:before="0" w:beforeAutospacing="0" w:afterAutospacing="0" w:line="360" w:lineRule="auto"/>
        <w:jc w:val="left"/>
        <w:outlineLvl w:val="2"/>
        <w:rPr>
          <w:rFonts w:hint="eastAsia" w:ascii="宋体" w:hAnsi="楷体" w:eastAsia="宋体" w:cs="楷体"/>
          <w:b w:val="0"/>
          <w:sz w:val="24"/>
          <w:u w:val="single"/>
        </w:rPr>
      </w:pPr>
      <w:bookmarkStart w:id="285" w:name="_Ref467988543"/>
      <w:bookmarkStart w:id="286" w:name="_Toc480942355"/>
      <w:bookmarkStart w:id="287" w:name="_Toc216582819"/>
      <w:bookmarkStart w:id="288" w:name="_Toc520356224"/>
      <w:bookmarkStart w:id="289" w:name="_Toc31716"/>
      <w:r>
        <w:rPr>
          <w:rFonts w:hint="eastAsia" w:ascii="宋体" w:hAnsi="楷体" w:eastAsia="宋体" w:cs="楷体"/>
          <w:sz w:val="24"/>
          <w:u w:val="single"/>
        </w:rPr>
        <w:t xml:space="preserve">6  </w:t>
      </w:r>
      <w:bookmarkEnd w:id="285"/>
      <w:bookmarkEnd w:id="286"/>
      <w:bookmarkEnd w:id="287"/>
      <w:bookmarkEnd w:id="288"/>
      <w:bookmarkStart w:id="290" w:name="_Hlt520274393"/>
      <w:bookmarkEnd w:id="290"/>
      <w:bookmarkStart w:id="291" w:name="_Hlt520274407"/>
      <w:bookmarkEnd w:id="291"/>
      <w:bookmarkStart w:id="292" w:name="_Hlt520273973"/>
      <w:bookmarkEnd w:id="292"/>
      <w:bookmarkStart w:id="293" w:name="_Hlt520271212"/>
      <w:bookmarkEnd w:id="293"/>
      <w:bookmarkStart w:id="294" w:name="_Hlt520350918"/>
      <w:bookmarkEnd w:id="294"/>
      <w:bookmarkStart w:id="295" w:name="_Hlt520343392"/>
      <w:bookmarkEnd w:id="295"/>
      <w:bookmarkStart w:id="296" w:name="_Hlt520274065"/>
      <w:bookmarkEnd w:id="296"/>
      <w:bookmarkStart w:id="297" w:name="_Hlt520273711"/>
      <w:bookmarkEnd w:id="297"/>
      <w:bookmarkStart w:id="298" w:name="_Hlt520350957"/>
      <w:bookmarkEnd w:id="298"/>
      <w:bookmarkStart w:id="299" w:name="_Hlt520343000"/>
      <w:bookmarkEnd w:id="299"/>
      <w:bookmarkStart w:id="300" w:name="_Hlt520274911"/>
      <w:bookmarkEnd w:id="300"/>
      <w:bookmarkStart w:id="301" w:name="_Toc216582821"/>
      <w:bookmarkStart w:id="302" w:name="_Toc216513801"/>
      <w:r>
        <w:rPr>
          <w:rFonts w:hint="eastAsia" w:ascii="宋体" w:hAnsi="楷体" w:eastAsia="宋体" w:cs="楷体"/>
          <w:sz w:val="24"/>
          <w:u w:val="single"/>
        </w:rPr>
        <w:t>招标代理费承诺书（投标文件格式十）</w:t>
      </w:r>
      <w:bookmarkEnd w:id="289"/>
    </w:p>
    <w:p>
      <w:pPr>
        <w:snapToGrid/>
        <w:spacing w:beforeAutospacing="0" w:afterAutospacing="0" w:line="360" w:lineRule="auto"/>
        <w:ind w:left="0" w:leftChars="0" w:firstLine="480" w:firstLineChars="200"/>
        <w:rPr>
          <w:rFonts w:hint="eastAsia" w:ascii="宋体" w:hAnsi="楷体" w:eastAsia="宋体" w:cs="楷体"/>
          <w:sz w:val="24"/>
          <w:u w:val="single"/>
          <w:lang w:eastAsia="zh-CN"/>
        </w:rPr>
      </w:pPr>
      <w:r>
        <w:rPr>
          <w:rFonts w:hint="eastAsia" w:ascii="宋体" w:hAnsi="楷体" w:eastAsia="宋体" w:cs="楷体"/>
          <w:sz w:val="24"/>
        </w:rPr>
        <w:t>致：</w:t>
      </w:r>
      <w:r>
        <w:rPr>
          <w:rFonts w:hint="eastAsia" w:ascii="宋体" w:hAnsi="楷体" w:eastAsia="宋体" w:cs="楷体"/>
          <w:sz w:val="24"/>
          <w:lang w:eastAsia="zh-CN"/>
        </w:rPr>
        <w:t>察布查尔锡伯自治县文化体育广播电视和旅游局、新疆拓越招标代理有限公司</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我们在贵公司组织的</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rPr>
        <w:t>项目招标中若获得中标资格（招标文件编号：</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rPr>
        <w:t>），我们保证在领取中标通知书的同时按招标文件的规定，以支票、电汇等形式，向贵公司一次性支付应由我们交纳的招标代理服务费用。</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特此承诺！</w:t>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投标人名称：</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地址：</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电话：</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rPr>
        <w:tab/>
      </w:r>
      <w:r>
        <w:rPr>
          <w:rFonts w:hint="eastAsia" w:ascii="宋体" w:hAnsi="楷体" w:eastAsia="宋体" w:cs="楷体"/>
          <w:sz w:val="24"/>
        </w:rPr>
        <w:tab/>
      </w:r>
      <w:r>
        <w:rPr>
          <w:rFonts w:hint="eastAsia" w:ascii="宋体" w:hAnsi="楷体" w:eastAsia="宋体" w:cs="楷体"/>
          <w:sz w:val="24"/>
        </w:rPr>
        <w:t>传真：</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电子邮件：</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rPr>
        <w:t>邮编：</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p>
    <w:p>
      <w:pPr>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承诺方授权代表签字：</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 xml:space="preserve">    </w:t>
      </w:r>
      <w:r>
        <w:rPr>
          <w:rFonts w:hint="eastAsia" w:ascii="宋体" w:hAnsi="楷体" w:eastAsia="宋体" w:cs="楷体"/>
          <w:sz w:val="24"/>
        </w:rPr>
        <w:t>（承诺方盖章）</w:t>
      </w:r>
    </w:p>
    <w:p>
      <w:pPr>
        <w:snapToGrid/>
        <w:spacing w:beforeAutospacing="0" w:afterAutospacing="0" w:line="360" w:lineRule="auto"/>
        <w:ind w:left="0" w:leftChars="0" w:firstLine="480" w:firstLineChars="200"/>
        <w:rPr>
          <w:rFonts w:hint="eastAsia" w:ascii="宋体" w:hAnsi="楷体" w:eastAsia="宋体" w:cs="楷体"/>
          <w:sz w:val="24"/>
          <w:u w:val="single"/>
        </w:rPr>
      </w:pPr>
      <w:r>
        <w:rPr>
          <w:rFonts w:hint="eastAsia" w:ascii="宋体" w:hAnsi="楷体" w:eastAsia="宋体" w:cs="楷体"/>
          <w:sz w:val="24"/>
        </w:rPr>
        <w:t>承诺日期：</w:t>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ab/>
      </w:r>
      <w:r>
        <w:rPr>
          <w:rFonts w:hint="eastAsia" w:ascii="宋体" w:hAnsi="楷体" w:eastAsia="宋体" w:cs="楷体"/>
          <w:sz w:val="24"/>
          <w:u w:val="single"/>
        </w:rPr>
        <w:t xml:space="preserve">                      </w:t>
      </w:r>
      <w:bookmarkEnd w:id="301"/>
      <w:bookmarkEnd w:id="302"/>
    </w:p>
    <w:p>
      <w:pPr>
        <w:pStyle w:val="5"/>
        <w:snapToGrid/>
        <w:spacing w:before="0" w:beforeAutospacing="0" w:afterAutospacing="0" w:line="360" w:lineRule="auto"/>
        <w:jc w:val="both"/>
        <w:outlineLvl w:val="9"/>
        <w:rPr>
          <w:rFonts w:hint="eastAsia" w:ascii="宋体" w:hAnsi="楷体" w:eastAsia="宋体" w:cs="楷体"/>
          <w:sz w:val="24"/>
          <w:szCs w:val="28"/>
        </w:rPr>
      </w:pPr>
      <w:r>
        <w:rPr>
          <w:rFonts w:hint="eastAsia" w:ascii="宋体" w:hAnsi="楷体" w:eastAsia="宋体" w:cs="楷体"/>
          <w:sz w:val="24"/>
        </w:rPr>
        <w:br w:type="page"/>
      </w:r>
      <w:r>
        <w:rPr>
          <w:rFonts w:hint="eastAsia" w:ascii="宋体" w:hAnsi="楷体" w:eastAsia="宋体" w:cs="楷体"/>
          <w:sz w:val="24"/>
        </w:rPr>
        <w:t xml:space="preserve"> </w:t>
      </w:r>
      <w:bookmarkStart w:id="303" w:name="_Toc9088"/>
      <w:r>
        <w:rPr>
          <w:rFonts w:hint="eastAsia" w:ascii="宋体" w:hAnsi="楷体" w:eastAsia="宋体" w:cs="楷体"/>
          <w:sz w:val="24"/>
          <w:szCs w:val="28"/>
          <w:u w:val="single"/>
        </w:rPr>
        <w:t xml:space="preserve">7-1 </w:t>
      </w:r>
      <w:r>
        <w:rPr>
          <w:rFonts w:hint="eastAsia" w:ascii="宋体" w:hAnsi="楷体" w:eastAsia="宋体" w:cs="楷体"/>
          <w:b w:val="0"/>
          <w:sz w:val="24"/>
          <w:szCs w:val="28"/>
          <w:u w:val="single"/>
        </w:rPr>
        <w:t xml:space="preserve"> </w:t>
      </w:r>
      <w:r>
        <w:rPr>
          <w:rFonts w:hint="eastAsia" w:ascii="宋体" w:hAnsi="楷体" w:eastAsia="宋体" w:cs="楷体"/>
          <w:sz w:val="24"/>
          <w:szCs w:val="28"/>
          <w:u w:val="single"/>
        </w:rPr>
        <w:t>中小企业声明函</w:t>
      </w:r>
      <w:bookmarkEnd w:id="303"/>
      <w:r>
        <w:rPr>
          <w:rFonts w:hint="eastAsia" w:ascii="宋体" w:hAnsi="楷体" w:eastAsia="宋体" w:cs="楷体"/>
          <w:sz w:val="24"/>
          <w:szCs w:val="28"/>
          <w:u w:val="single"/>
        </w:rPr>
        <w:t>（投标文件格式十</w:t>
      </w:r>
      <w:r>
        <w:rPr>
          <w:rFonts w:hint="eastAsia" w:ascii="宋体" w:hAnsi="楷体" w:eastAsia="宋体" w:cs="楷体"/>
          <w:sz w:val="24"/>
          <w:szCs w:val="28"/>
          <w:u w:val="single"/>
          <w:lang w:val="en-US" w:eastAsia="zh-CN"/>
        </w:rPr>
        <w:t>一</w:t>
      </w:r>
      <w:r>
        <w:rPr>
          <w:rFonts w:hint="eastAsia" w:ascii="宋体" w:hAnsi="楷体" w:eastAsia="宋体" w:cs="楷体"/>
          <w:sz w:val="24"/>
          <w:szCs w:val="28"/>
          <w:u w:val="single"/>
        </w:rPr>
        <w:t>）</w:t>
      </w:r>
    </w:p>
    <w:p>
      <w:pPr>
        <w:snapToGrid/>
        <w:spacing w:beforeAutospacing="0" w:afterAutospacing="0" w:line="360" w:lineRule="auto"/>
        <w:ind w:left="0" w:leftChars="0" w:firstLine="480" w:firstLineChars="200"/>
        <w:jc w:val="center"/>
        <w:rPr>
          <w:rFonts w:hint="eastAsia" w:ascii="宋体" w:hAnsi="楷体" w:eastAsia="宋体" w:cs="楷体"/>
          <w:sz w:val="24"/>
          <w:szCs w:val="20"/>
        </w:rPr>
      </w:pP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本公司（联合体）郑重声明，根据《政府采购促进中小企业发展管理办法》（财库﹝2020﹞46 号）的规定，本公司（联合体）参加</w:t>
      </w:r>
      <w:r>
        <w:rPr>
          <w:rFonts w:hint="eastAsia" w:ascii="宋体" w:hAnsi="楷体" w:eastAsia="宋体" w:cs="楷体"/>
          <w:i/>
          <w:sz w:val="24"/>
          <w:u w:val="single"/>
        </w:rPr>
        <w:t>（单位名称）</w:t>
      </w:r>
      <w:r>
        <w:rPr>
          <w:rFonts w:hint="eastAsia" w:ascii="宋体" w:hAnsi="楷体" w:eastAsia="宋体" w:cs="楷体"/>
          <w:sz w:val="24"/>
        </w:rPr>
        <w:t>的</w:t>
      </w:r>
      <w:r>
        <w:rPr>
          <w:rFonts w:hint="eastAsia" w:ascii="宋体" w:hAnsi="楷体" w:eastAsia="宋体" w:cs="楷体"/>
          <w:i/>
          <w:sz w:val="24"/>
          <w:u w:val="single"/>
        </w:rPr>
        <w:t>（项目名称）</w:t>
      </w:r>
      <w:r>
        <w:rPr>
          <w:rFonts w:hint="eastAsia" w:ascii="宋体" w:hAnsi="楷体" w:eastAsia="宋体" w:cs="楷体"/>
          <w:sz w:val="24"/>
        </w:rPr>
        <w:t>采购活动，提供的货物全部由符合政策要求的中小企业制造。相关企业（含联合体中的中小企业、签订分包意向协议的中小企业）的具体情况如下：</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 xml:space="preserve">1. </w:t>
      </w:r>
      <w:r>
        <w:rPr>
          <w:rFonts w:hint="eastAsia" w:ascii="宋体" w:hAnsi="楷体" w:eastAsia="宋体" w:cs="楷体"/>
          <w:i/>
          <w:sz w:val="24"/>
          <w:u w:val="single"/>
        </w:rPr>
        <w:t>（标的名称）</w:t>
      </w:r>
      <w:r>
        <w:rPr>
          <w:rFonts w:hint="eastAsia" w:ascii="宋体" w:hAnsi="楷体" w:eastAsia="宋体" w:cs="楷体"/>
          <w:sz w:val="24"/>
        </w:rPr>
        <w:t xml:space="preserve"> ，属于</w:t>
      </w:r>
      <w:r>
        <w:rPr>
          <w:rFonts w:hint="eastAsia" w:ascii="宋体" w:hAnsi="楷体" w:eastAsia="宋体" w:cs="楷体"/>
          <w:i/>
          <w:sz w:val="24"/>
          <w:u w:val="single"/>
        </w:rPr>
        <w:t>（采购文件中明确的所属行业）</w:t>
      </w:r>
      <w:r>
        <w:rPr>
          <w:rFonts w:hint="eastAsia" w:ascii="宋体" w:hAnsi="楷体" w:eastAsia="宋体" w:cs="楷体"/>
          <w:sz w:val="24"/>
        </w:rPr>
        <w:t>行业；制造商为</w:t>
      </w:r>
      <w:r>
        <w:rPr>
          <w:rFonts w:hint="eastAsia" w:ascii="宋体" w:hAnsi="楷体" w:eastAsia="宋体" w:cs="楷体"/>
          <w:i/>
          <w:sz w:val="24"/>
          <w:u w:val="single"/>
        </w:rPr>
        <w:t>（企业名称）</w:t>
      </w:r>
      <w:r>
        <w:rPr>
          <w:rFonts w:hint="eastAsia" w:ascii="宋体" w:hAnsi="楷体" w:eastAsia="宋体" w:cs="楷体"/>
          <w:sz w:val="24"/>
        </w:rPr>
        <w:t>，从业人员</w:t>
      </w:r>
      <w:r>
        <w:rPr>
          <w:rFonts w:hint="eastAsia" w:ascii="宋体" w:hAnsi="楷体" w:eastAsia="宋体" w:cs="楷体"/>
          <w:sz w:val="24"/>
          <w:u w:val="single"/>
        </w:rPr>
        <w:t xml:space="preserve">      </w:t>
      </w:r>
      <w:r>
        <w:rPr>
          <w:rFonts w:hint="eastAsia" w:ascii="宋体" w:hAnsi="楷体" w:eastAsia="宋体" w:cs="楷体"/>
          <w:sz w:val="24"/>
        </w:rPr>
        <w:t>人，营业收入为</w:t>
      </w:r>
      <w:r>
        <w:rPr>
          <w:rFonts w:hint="eastAsia" w:ascii="宋体" w:hAnsi="楷体" w:eastAsia="宋体" w:cs="楷体"/>
          <w:sz w:val="24"/>
          <w:u w:val="single"/>
        </w:rPr>
        <w:t xml:space="preserve">      </w:t>
      </w:r>
      <w:r>
        <w:rPr>
          <w:rFonts w:hint="eastAsia" w:ascii="宋体" w:hAnsi="楷体" w:eastAsia="宋体" w:cs="楷体"/>
          <w:sz w:val="24"/>
        </w:rPr>
        <w:t>万元，资产总额为</w:t>
      </w:r>
      <w:r>
        <w:rPr>
          <w:rFonts w:hint="eastAsia" w:ascii="宋体" w:hAnsi="楷体" w:eastAsia="宋体" w:cs="楷体"/>
          <w:sz w:val="24"/>
          <w:u w:val="single"/>
        </w:rPr>
        <w:t xml:space="preserve">    </w:t>
      </w:r>
      <w:r>
        <w:rPr>
          <w:rFonts w:hint="eastAsia" w:ascii="宋体" w:hAnsi="楷体" w:eastAsia="宋体" w:cs="楷体"/>
          <w:sz w:val="24"/>
        </w:rPr>
        <w:t>万元，属于</w:t>
      </w:r>
      <w:r>
        <w:rPr>
          <w:rFonts w:hint="eastAsia" w:ascii="宋体" w:hAnsi="楷体" w:eastAsia="宋体" w:cs="楷体"/>
          <w:i/>
          <w:sz w:val="24"/>
          <w:u w:val="single"/>
        </w:rPr>
        <w:t>（中型企业、小型企业、微型企业）</w:t>
      </w:r>
      <w:r>
        <w:rPr>
          <w:rFonts w:hint="eastAsia" w:ascii="宋体" w:hAnsi="楷体" w:eastAsia="宋体" w:cs="楷体"/>
          <w:sz w:val="24"/>
        </w:rPr>
        <w:t>；</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 xml:space="preserve">2. </w:t>
      </w:r>
      <w:r>
        <w:rPr>
          <w:rFonts w:hint="eastAsia" w:ascii="宋体" w:hAnsi="楷体" w:eastAsia="宋体" w:cs="楷体"/>
          <w:sz w:val="24"/>
          <w:u w:val="single"/>
        </w:rPr>
        <w:t>（</w:t>
      </w:r>
      <w:r>
        <w:rPr>
          <w:rFonts w:hint="eastAsia" w:ascii="宋体" w:hAnsi="楷体" w:eastAsia="宋体" w:cs="楷体"/>
          <w:i/>
          <w:sz w:val="24"/>
          <w:u w:val="single"/>
        </w:rPr>
        <w:t>标的名称）</w:t>
      </w:r>
      <w:r>
        <w:rPr>
          <w:rFonts w:hint="eastAsia" w:ascii="宋体" w:hAnsi="楷体" w:eastAsia="宋体" w:cs="楷体"/>
          <w:sz w:val="24"/>
        </w:rPr>
        <w:t xml:space="preserve"> ，属于</w:t>
      </w:r>
      <w:r>
        <w:rPr>
          <w:rFonts w:hint="eastAsia" w:ascii="宋体" w:hAnsi="楷体" w:eastAsia="宋体" w:cs="楷体"/>
          <w:i/>
          <w:sz w:val="24"/>
          <w:u w:val="single"/>
        </w:rPr>
        <w:t>（采购文件中明确的所属行业）</w:t>
      </w:r>
      <w:r>
        <w:rPr>
          <w:rFonts w:hint="eastAsia" w:ascii="宋体" w:hAnsi="楷体" w:eastAsia="宋体" w:cs="楷体"/>
          <w:sz w:val="24"/>
        </w:rPr>
        <w:t>行业；制造商为</w:t>
      </w:r>
      <w:r>
        <w:rPr>
          <w:rFonts w:hint="eastAsia" w:ascii="宋体" w:hAnsi="楷体" w:eastAsia="宋体" w:cs="楷体"/>
          <w:i/>
          <w:sz w:val="24"/>
          <w:u w:val="single"/>
        </w:rPr>
        <w:t>（企业名称）</w:t>
      </w:r>
      <w:r>
        <w:rPr>
          <w:rFonts w:hint="eastAsia" w:ascii="宋体" w:hAnsi="楷体" w:eastAsia="宋体" w:cs="楷体"/>
          <w:sz w:val="24"/>
        </w:rPr>
        <w:t>，从业人员</w:t>
      </w:r>
      <w:r>
        <w:rPr>
          <w:rFonts w:hint="eastAsia" w:ascii="宋体" w:hAnsi="楷体" w:eastAsia="宋体" w:cs="楷体"/>
          <w:sz w:val="24"/>
          <w:u w:val="single"/>
        </w:rPr>
        <w:t xml:space="preserve">      </w:t>
      </w:r>
      <w:r>
        <w:rPr>
          <w:rFonts w:hint="eastAsia" w:ascii="宋体" w:hAnsi="楷体" w:eastAsia="宋体" w:cs="楷体"/>
          <w:sz w:val="24"/>
        </w:rPr>
        <w:t>人，营业收入为</w:t>
      </w:r>
      <w:r>
        <w:rPr>
          <w:rFonts w:hint="eastAsia" w:ascii="宋体" w:hAnsi="楷体" w:eastAsia="宋体" w:cs="楷体"/>
          <w:sz w:val="24"/>
          <w:u w:val="single"/>
        </w:rPr>
        <w:t xml:space="preserve">      </w:t>
      </w:r>
      <w:r>
        <w:rPr>
          <w:rFonts w:hint="eastAsia" w:ascii="宋体" w:hAnsi="楷体" w:eastAsia="宋体" w:cs="楷体"/>
          <w:sz w:val="24"/>
        </w:rPr>
        <w:t>万元，资产总额为</w:t>
      </w:r>
      <w:r>
        <w:rPr>
          <w:rFonts w:hint="eastAsia" w:ascii="宋体" w:hAnsi="楷体" w:eastAsia="宋体" w:cs="楷体"/>
          <w:sz w:val="24"/>
          <w:u w:val="single"/>
        </w:rPr>
        <w:t xml:space="preserve">    </w:t>
      </w:r>
      <w:r>
        <w:rPr>
          <w:rFonts w:hint="eastAsia" w:ascii="宋体" w:hAnsi="楷体" w:eastAsia="宋体" w:cs="楷体"/>
          <w:sz w:val="24"/>
        </w:rPr>
        <w:t>万元，属于</w:t>
      </w:r>
      <w:r>
        <w:rPr>
          <w:rFonts w:hint="eastAsia" w:ascii="宋体" w:hAnsi="楷体" w:eastAsia="宋体" w:cs="楷体"/>
          <w:i/>
          <w:sz w:val="24"/>
          <w:u w:val="single"/>
        </w:rPr>
        <w:t>（中型企业、小型企业、微型企业）</w:t>
      </w:r>
      <w:r>
        <w:rPr>
          <w:rFonts w:hint="eastAsia" w:ascii="宋体" w:hAnsi="楷体" w:eastAsia="宋体" w:cs="楷体"/>
          <w:sz w:val="24"/>
        </w:rPr>
        <w:t>；</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以上企业，不属于大企业的分支机构，不存在控股股东为大企业的情形，也不存在与大企业的负责人为同一人的情形。</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本企业对上述声明内容的真实性负责。如有虚假，将依法承担相应责任。</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企业名称（盖章）：</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日期：</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注1：从业人员、营业收入、资产总额填报上一年度数据，无上一年度数据的新成立企业可不填报。</w:t>
      </w:r>
    </w:p>
    <w:p>
      <w:pPr>
        <w:pStyle w:val="21"/>
        <w:tabs>
          <w:tab w:val="left" w:pos="5580"/>
        </w:tabs>
        <w:snapToGrid/>
        <w:spacing w:beforeAutospacing="0" w:afterAutospacing="0" w:line="360" w:lineRule="auto"/>
        <w:ind w:left="0" w:leftChars="0" w:firstLine="480" w:firstLineChars="200"/>
        <w:rPr>
          <w:rFonts w:hint="eastAsia" w:ascii="宋体" w:hAnsi="楷体" w:eastAsia="宋体" w:cs="楷体"/>
          <w:sz w:val="24"/>
        </w:rPr>
      </w:pPr>
      <w:r>
        <w:rPr>
          <w:rFonts w:hint="eastAsia" w:ascii="宋体" w:hAnsi="楷体" w:eastAsia="宋体" w:cs="楷体"/>
          <w:sz w:val="24"/>
        </w:rPr>
        <w:t>注2：请在本表中填写前附表中写明的中小企业行业类别。</w:t>
      </w:r>
    </w:p>
    <w:p>
      <w:pPr>
        <w:widowControl/>
        <w:snapToGrid/>
        <w:spacing w:beforeAutospacing="0" w:afterAutospacing="0" w:line="360" w:lineRule="auto"/>
        <w:ind w:left="0" w:leftChars="0" w:firstLine="480" w:firstLineChars="200"/>
        <w:jc w:val="left"/>
        <w:rPr>
          <w:rFonts w:hint="eastAsia" w:ascii="宋体" w:hAnsi="楷体" w:eastAsia="宋体" w:cs="楷体"/>
          <w:color w:val="auto"/>
          <w:kern w:val="0"/>
          <w:sz w:val="24"/>
        </w:rPr>
      </w:pPr>
      <w:r>
        <w:rPr>
          <w:rFonts w:hint="eastAsia" w:ascii="宋体" w:hAnsi="楷体" w:eastAsia="宋体" w:cs="楷体"/>
          <w:color w:val="auto"/>
          <w:sz w:val="24"/>
        </w:rPr>
        <w:t>注3：制造商如为</w:t>
      </w:r>
      <w:r>
        <w:rPr>
          <w:rFonts w:hint="eastAsia" w:ascii="宋体" w:hAnsi="楷体" w:eastAsia="宋体" w:cs="楷体"/>
          <w:color w:val="auto"/>
          <w:sz w:val="24"/>
          <w:lang w:val="en-US" w:eastAsia="zh-CN"/>
        </w:rPr>
        <w:t>jy</w:t>
      </w:r>
      <w:r>
        <w:rPr>
          <w:rFonts w:hint="eastAsia" w:ascii="宋体" w:hAnsi="楷体" w:eastAsia="宋体" w:cs="楷体"/>
          <w:color w:val="auto"/>
          <w:sz w:val="24"/>
        </w:rPr>
        <w:t>企业或残疾人福利性单位的，视同为小型、微型企业，请填写此声明函，并需要出具相应的声明函和证明文件（格式后附）。</w:t>
      </w:r>
    </w:p>
    <w:p>
      <w:pPr>
        <w:pStyle w:val="5"/>
        <w:snapToGrid/>
        <w:spacing w:before="0" w:beforeAutospacing="0" w:afterAutospacing="0" w:line="360" w:lineRule="auto"/>
        <w:jc w:val="both"/>
        <w:rPr>
          <w:rFonts w:hint="eastAsia" w:ascii="宋体" w:hAnsi="楷体" w:eastAsia="宋体" w:cs="楷体"/>
          <w:sz w:val="24"/>
          <w:szCs w:val="28"/>
        </w:rPr>
      </w:pPr>
      <w:r>
        <w:rPr>
          <w:rFonts w:hint="eastAsia" w:ascii="宋体" w:hAnsi="楷体" w:eastAsia="宋体" w:cs="楷体"/>
          <w:b w:val="0"/>
          <w:sz w:val="24"/>
        </w:rPr>
        <w:br w:type="page"/>
      </w:r>
      <w:bookmarkStart w:id="304" w:name="_Toc15874"/>
      <w:r>
        <w:rPr>
          <w:rFonts w:hint="eastAsia" w:ascii="宋体" w:hAnsi="楷体" w:eastAsia="宋体" w:cs="楷体"/>
          <w:sz w:val="24"/>
          <w:szCs w:val="28"/>
          <w:u w:val="single"/>
        </w:rPr>
        <w:t xml:space="preserve">7-2   </w:t>
      </w:r>
      <w:r>
        <w:rPr>
          <w:rFonts w:hint="eastAsia" w:ascii="宋体" w:hAnsi="楷体" w:eastAsia="宋体" w:cs="楷体"/>
          <w:sz w:val="24"/>
          <w:szCs w:val="28"/>
          <w:u w:val="single"/>
          <w:lang w:eastAsia="zh-CN"/>
        </w:rPr>
        <w:t>jianyu</w:t>
      </w:r>
      <w:r>
        <w:rPr>
          <w:rFonts w:hint="eastAsia" w:ascii="宋体" w:hAnsi="楷体" w:eastAsia="宋体" w:cs="楷体"/>
          <w:sz w:val="24"/>
          <w:szCs w:val="28"/>
          <w:u w:val="single"/>
        </w:rPr>
        <w:t>企业声明函</w:t>
      </w:r>
      <w:bookmarkEnd w:id="304"/>
      <w:r>
        <w:rPr>
          <w:rFonts w:hint="eastAsia" w:ascii="宋体" w:hAnsi="楷体" w:eastAsia="宋体" w:cs="楷体"/>
          <w:sz w:val="24"/>
          <w:szCs w:val="28"/>
          <w:u w:val="single"/>
        </w:rPr>
        <w:t>（投标文件格式十</w:t>
      </w:r>
      <w:r>
        <w:rPr>
          <w:rFonts w:hint="eastAsia" w:ascii="宋体" w:hAnsi="楷体" w:eastAsia="宋体" w:cs="楷体"/>
          <w:sz w:val="24"/>
          <w:szCs w:val="28"/>
          <w:u w:val="single"/>
          <w:lang w:val="en-US" w:eastAsia="zh-CN"/>
        </w:rPr>
        <w:t>二</w:t>
      </w:r>
      <w:r>
        <w:rPr>
          <w:rFonts w:hint="eastAsia" w:ascii="宋体" w:hAnsi="楷体" w:eastAsia="宋体" w:cs="楷体"/>
          <w:sz w:val="24"/>
          <w:szCs w:val="28"/>
          <w:u w:val="single"/>
        </w:rPr>
        <w:t>）</w:t>
      </w:r>
    </w:p>
    <w:p>
      <w:pPr>
        <w:widowControl/>
        <w:snapToGrid/>
        <w:spacing w:beforeAutospacing="0" w:afterAutospacing="0" w:line="360" w:lineRule="auto"/>
        <w:ind w:left="0" w:leftChars="0" w:firstLine="480" w:firstLineChars="200"/>
        <w:jc w:val="left"/>
        <w:rPr>
          <w:rFonts w:hint="eastAsia" w:ascii="宋体" w:hAnsi="楷体" w:eastAsia="宋体" w:cs="楷体"/>
          <w:kern w:val="0"/>
          <w:sz w:val="24"/>
        </w:rPr>
      </w:pPr>
      <w:r>
        <w:rPr>
          <w:rFonts w:hint="eastAsia" w:ascii="宋体" w:hAnsi="楷体" w:eastAsia="宋体" w:cs="楷体"/>
          <w:kern w:val="0"/>
          <w:sz w:val="24"/>
        </w:rPr>
        <w:t>本单位郑重声明，本单位在参加</w:t>
      </w:r>
      <w:r>
        <w:rPr>
          <w:rFonts w:hint="eastAsia" w:ascii="宋体" w:hAnsi="楷体" w:eastAsia="宋体" w:cs="楷体"/>
          <w:kern w:val="0"/>
          <w:sz w:val="24"/>
          <w:u w:val="single"/>
        </w:rPr>
        <w:t>（采购人名称）</w:t>
      </w:r>
      <w:r>
        <w:rPr>
          <w:rFonts w:hint="eastAsia" w:ascii="宋体" w:hAnsi="楷体" w:eastAsia="宋体" w:cs="楷体"/>
          <w:kern w:val="0"/>
          <w:sz w:val="24"/>
        </w:rPr>
        <w:t>的</w:t>
      </w:r>
      <w:r>
        <w:rPr>
          <w:rFonts w:hint="eastAsia" w:ascii="宋体" w:hAnsi="楷体" w:eastAsia="宋体" w:cs="楷体"/>
          <w:kern w:val="0"/>
          <w:sz w:val="24"/>
          <w:u w:val="single"/>
        </w:rPr>
        <w:t>（招标项目名称）</w:t>
      </w:r>
      <w:r>
        <w:rPr>
          <w:rFonts w:hint="eastAsia" w:ascii="宋体" w:hAnsi="楷体" w:eastAsia="宋体" w:cs="楷体"/>
          <w:kern w:val="0"/>
          <w:sz w:val="24"/>
        </w:rPr>
        <w:t>项目采购活动提供以下</w:t>
      </w:r>
      <w:r>
        <w:rPr>
          <w:rFonts w:hint="eastAsia" w:ascii="宋体" w:hAnsi="楷体" w:eastAsia="宋体" w:cs="楷体"/>
          <w:kern w:val="0"/>
          <w:sz w:val="24"/>
          <w:lang w:val="en-US" w:eastAsia="zh-CN"/>
        </w:rPr>
        <w:t>jy</w:t>
      </w:r>
      <w:r>
        <w:rPr>
          <w:rFonts w:hint="eastAsia" w:ascii="宋体" w:hAnsi="楷体" w:eastAsia="宋体" w:cs="楷体"/>
          <w:kern w:val="0"/>
          <w:sz w:val="24"/>
        </w:rPr>
        <w:t>企业制造的货物（或</w:t>
      </w:r>
      <w:r>
        <w:rPr>
          <w:rFonts w:hint="eastAsia" w:ascii="宋体" w:hAnsi="楷体" w:eastAsia="宋体" w:cs="楷体"/>
          <w:kern w:val="0"/>
          <w:sz w:val="24"/>
          <w:lang w:val="en-US" w:eastAsia="zh-CN"/>
        </w:rPr>
        <w:t>jy</w:t>
      </w:r>
      <w:r>
        <w:rPr>
          <w:rFonts w:hint="eastAsia" w:ascii="宋体" w:hAnsi="楷体" w:eastAsia="宋体" w:cs="楷体"/>
          <w:kern w:val="0"/>
          <w:sz w:val="24"/>
        </w:rPr>
        <w:t>企业承担的工程</w:t>
      </w:r>
      <w:r>
        <w:rPr>
          <w:rFonts w:hint="eastAsia" w:ascii="宋体" w:hAnsi="楷体" w:eastAsia="宋体" w:cs="楷体"/>
          <w:kern w:val="0"/>
          <w:sz w:val="24"/>
          <w:lang w:eastAsia="zh-CN"/>
        </w:rPr>
        <w:t>，或</w:t>
      </w:r>
      <w:r>
        <w:rPr>
          <w:rFonts w:hint="eastAsia" w:ascii="宋体" w:hAnsi="楷体" w:eastAsia="宋体" w:cs="楷体"/>
          <w:kern w:val="0"/>
          <w:sz w:val="24"/>
          <w:lang w:val="en-US" w:eastAsia="zh-CN"/>
        </w:rPr>
        <w:t>jy</w:t>
      </w:r>
      <w:r>
        <w:rPr>
          <w:rFonts w:hint="eastAsia" w:ascii="宋体" w:hAnsi="楷体" w:eastAsia="宋体" w:cs="楷体"/>
          <w:kern w:val="0"/>
          <w:sz w:val="24"/>
        </w:rPr>
        <w:t>企业承接的服务），具体情况如下：（按照实际情况勾选或填空）</w:t>
      </w:r>
    </w:p>
    <w:p>
      <w:pPr>
        <w:widowControl/>
        <w:snapToGrid/>
        <w:spacing w:beforeAutospacing="0" w:afterAutospacing="0" w:line="360" w:lineRule="auto"/>
        <w:ind w:left="0" w:leftChars="0" w:firstLine="480" w:firstLineChars="200"/>
        <w:jc w:val="left"/>
        <w:rPr>
          <w:rFonts w:hint="eastAsia" w:ascii="宋体" w:hAnsi="楷体" w:eastAsia="宋体" w:cs="楷体"/>
          <w:kern w:val="0"/>
          <w:sz w:val="24"/>
        </w:rPr>
      </w:pPr>
      <w:r>
        <w:rPr>
          <w:rFonts w:hint="eastAsia" w:ascii="宋体" w:hAnsi="楷体" w:eastAsia="宋体" w:cs="楷体"/>
          <w:kern w:val="0"/>
          <w:sz w:val="24"/>
        </w:rPr>
        <w:t>（1）□</w:t>
      </w:r>
      <w:r>
        <w:rPr>
          <w:rFonts w:hint="eastAsia" w:ascii="宋体" w:hAnsi="楷体" w:eastAsia="宋体" w:cs="楷体"/>
          <w:kern w:val="0"/>
          <w:sz w:val="24"/>
          <w:u w:val="single"/>
        </w:rPr>
        <w:t>（制造商名称）</w:t>
      </w:r>
      <w:r>
        <w:rPr>
          <w:rFonts w:hint="eastAsia" w:ascii="宋体" w:hAnsi="楷体" w:eastAsia="宋体" w:cs="楷体"/>
          <w:kern w:val="0"/>
          <w:sz w:val="24"/>
        </w:rPr>
        <w:t>属于</w:t>
      </w:r>
      <w:r>
        <w:rPr>
          <w:rFonts w:hint="eastAsia" w:ascii="宋体" w:hAnsi="楷体" w:eastAsia="宋体" w:cs="楷体"/>
          <w:kern w:val="0"/>
          <w:sz w:val="24"/>
          <w:lang w:val="en-US" w:eastAsia="zh-CN"/>
        </w:rPr>
        <w:t>jy</w:t>
      </w:r>
      <w:r>
        <w:rPr>
          <w:rFonts w:hint="eastAsia" w:ascii="宋体" w:hAnsi="楷体" w:eastAsia="宋体" w:cs="楷体"/>
          <w:kern w:val="0"/>
          <w:sz w:val="24"/>
        </w:rPr>
        <w:t>企业，后附省级以上</w:t>
      </w:r>
      <w:r>
        <w:rPr>
          <w:rFonts w:hint="eastAsia" w:ascii="宋体" w:hAnsi="楷体" w:eastAsia="宋体" w:cs="楷体"/>
          <w:kern w:val="0"/>
          <w:sz w:val="24"/>
          <w:lang w:val="en-US" w:eastAsia="zh-CN"/>
        </w:rPr>
        <w:t>jy</w:t>
      </w:r>
      <w:r>
        <w:rPr>
          <w:rFonts w:hint="eastAsia" w:ascii="宋体" w:hAnsi="楷体" w:eastAsia="宋体" w:cs="楷体"/>
          <w:kern w:val="0"/>
          <w:sz w:val="24"/>
        </w:rPr>
        <w:t>管理局、戒毒管理局（含新疆生产建设兵团）出具的属于</w:t>
      </w:r>
      <w:r>
        <w:rPr>
          <w:rFonts w:hint="eastAsia" w:ascii="宋体" w:hAnsi="楷体" w:eastAsia="宋体" w:cs="楷体"/>
          <w:kern w:val="0"/>
          <w:sz w:val="24"/>
          <w:lang w:val="en-US" w:eastAsia="zh-CN"/>
        </w:rPr>
        <w:t>jy</w:t>
      </w:r>
      <w:r>
        <w:rPr>
          <w:rFonts w:hint="eastAsia" w:ascii="宋体" w:hAnsi="楷体" w:eastAsia="宋体" w:cs="楷体"/>
          <w:kern w:val="0"/>
          <w:sz w:val="24"/>
        </w:rPr>
        <w:t>企业的证明文件。</w:t>
      </w:r>
    </w:p>
    <w:p>
      <w:pPr>
        <w:widowControl/>
        <w:snapToGrid/>
        <w:spacing w:beforeAutospacing="0" w:afterAutospacing="0" w:line="360" w:lineRule="auto"/>
        <w:ind w:left="0" w:leftChars="0" w:firstLine="480" w:firstLineChars="200"/>
        <w:jc w:val="left"/>
        <w:rPr>
          <w:rFonts w:hint="eastAsia" w:ascii="宋体" w:hAnsi="楷体" w:eastAsia="宋体" w:cs="楷体"/>
          <w:kern w:val="0"/>
          <w:sz w:val="24"/>
        </w:rPr>
      </w:pPr>
      <w:r>
        <w:rPr>
          <w:rFonts w:hint="eastAsia" w:ascii="宋体" w:hAnsi="楷体" w:eastAsia="宋体" w:cs="楷体"/>
          <w:kern w:val="0"/>
          <w:sz w:val="24"/>
        </w:rPr>
        <w:t>（2）□</w:t>
      </w:r>
      <w:r>
        <w:rPr>
          <w:rFonts w:hint="eastAsia" w:ascii="宋体" w:hAnsi="楷体" w:eastAsia="宋体" w:cs="楷体"/>
          <w:kern w:val="0"/>
          <w:sz w:val="24"/>
          <w:u w:val="single"/>
        </w:rPr>
        <w:t>（制造商名称）</w:t>
      </w:r>
      <w:r>
        <w:rPr>
          <w:rFonts w:hint="eastAsia" w:ascii="宋体" w:hAnsi="楷体" w:eastAsia="宋体" w:cs="楷体"/>
          <w:kern w:val="0"/>
          <w:sz w:val="24"/>
        </w:rPr>
        <w:t>属于</w:t>
      </w:r>
      <w:r>
        <w:rPr>
          <w:rFonts w:hint="eastAsia" w:ascii="宋体" w:hAnsi="楷体" w:eastAsia="宋体" w:cs="楷体"/>
          <w:kern w:val="0"/>
          <w:sz w:val="24"/>
          <w:lang w:val="en-US" w:eastAsia="zh-CN"/>
        </w:rPr>
        <w:t>jy</w:t>
      </w:r>
      <w:r>
        <w:rPr>
          <w:rFonts w:hint="eastAsia" w:ascii="宋体" w:hAnsi="楷体" w:eastAsia="宋体" w:cs="楷体"/>
          <w:kern w:val="0"/>
          <w:sz w:val="24"/>
        </w:rPr>
        <w:t>企业并作为联合体一方，其提供协议合同金额占到共同投标协议合同总金额的比例为</w:t>
      </w:r>
      <w:r>
        <w:rPr>
          <w:rFonts w:hint="eastAsia" w:ascii="宋体" w:hAnsi="楷体" w:eastAsia="宋体" w:cs="楷体"/>
          <w:kern w:val="0"/>
          <w:sz w:val="24"/>
          <w:u w:val="single"/>
        </w:rPr>
        <w:t xml:space="preserve">       </w:t>
      </w:r>
      <w:r>
        <w:rPr>
          <w:rFonts w:hint="eastAsia" w:ascii="宋体" w:hAnsi="楷体" w:eastAsia="宋体" w:cs="楷体"/>
          <w:kern w:val="0"/>
          <w:sz w:val="24"/>
        </w:rPr>
        <w:t>。后附省级以上</w:t>
      </w:r>
      <w:r>
        <w:rPr>
          <w:rFonts w:hint="eastAsia" w:ascii="宋体" w:hAnsi="楷体" w:eastAsia="宋体" w:cs="楷体"/>
          <w:kern w:val="0"/>
          <w:sz w:val="24"/>
          <w:lang w:val="en-US" w:eastAsia="zh-CN"/>
        </w:rPr>
        <w:t>jy</w:t>
      </w:r>
      <w:r>
        <w:rPr>
          <w:rFonts w:hint="eastAsia" w:ascii="宋体" w:hAnsi="楷体" w:eastAsia="宋体" w:cs="楷体"/>
          <w:kern w:val="0"/>
          <w:sz w:val="24"/>
        </w:rPr>
        <w:t>管理局、戒毒管理局（含新疆生产建设兵团）出具的属于</w:t>
      </w:r>
      <w:r>
        <w:rPr>
          <w:rFonts w:hint="eastAsia" w:ascii="宋体" w:hAnsi="楷体" w:eastAsia="宋体" w:cs="楷体"/>
          <w:kern w:val="0"/>
          <w:sz w:val="24"/>
          <w:lang w:val="en-US" w:eastAsia="zh-CN"/>
        </w:rPr>
        <w:t>jy</w:t>
      </w:r>
      <w:r>
        <w:rPr>
          <w:rFonts w:hint="eastAsia" w:ascii="宋体" w:hAnsi="楷体" w:eastAsia="宋体" w:cs="楷体"/>
          <w:kern w:val="0"/>
          <w:sz w:val="24"/>
        </w:rPr>
        <w:t>企业的证明文件。</w:t>
      </w:r>
    </w:p>
    <w:p>
      <w:pPr>
        <w:widowControl/>
        <w:snapToGrid/>
        <w:spacing w:beforeAutospacing="0" w:afterAutospacing="0" w:line="360" w:lineRule="auto"/>
        <w:ind w:left="0" w:leftChars="0" w:firstLine="480" w:firstLineChars="200"/>
        <w:jc w:val="left"/>
        <w:rPr>
          <w:rFonts w:hint="eastAsia" w:ascii="宋体" w:hAnsi="楷体" w:eastAsia="宋体" w:cs="楷体"/>
          <w:kern w:val="0"/>
          <w:sz w:val="24"/>
        </w:rPr>
      </w:pPr>
      <w:r>
        <w:rPr>
          <w:rFonts w:hint="eastAsia" w:ascii="宋体" w:hAnsi="楷体" w:eastAsia="宋体" w:cs="楷体"/>
          <w:kern w:val="0"/>
          <w:sz w:val="24"/>
        </w:rPr>
        <w:t>（3）□</w:t>
      </w:r>
      <w:r>
        <w:rPr>
          <w:rFonts w:hint="eastAsia" w:ascii="宋体" w:hAnsi="楷体" w:eastAsia="宋体" w:cs="楷体"/>
          <w:kern w:val="0"/>
          <w:sz w:val="24"/>
          <w:u w:val="single"/>
        </w:rPr>
        <w:t>（制造商名称）</w:t>
      </w:r>
      <w:r>
        <w:rPr>
          <w:rFonts w:hint="eastAsia" w:ascii="宋体" w:hAnsi="楷体" w:eastAsia="宋体" w:cs="楷体"/>
          <w:kern w:val="0"/>
          <w:sz w:val="24"/>
        </w:rPr>
        <w:t>属于</w:t>
      </w:r>
      <w:r>
        <w:rPr>
          <w:rFonts w:hint="eastAsia" w:ascii="宋体" w:hAnsi="楷体" w:eastAsia="宋体" w:cs="楷体"/>
          <w:kern w:val="0"/>
          <w:sz w:val="24"/>
          <w:lang w:val="en-US" w:eastAsia="zh-CN"/>
        </w:rPr>
        <w:t>jy</w:t>
      </w:r>
      <w:r>
        <w:rPr>
          <w:rFonts w:hint="eastAsia" w:ascii="宋体" w:hAnsi="楷体" w:eastAsia="宋体" w:cs="楷体"/>
          <w:kern w:val="0"/>
          <w:sz w:val="24"/>
        </w:rPr>
        <w:t>企业并作为分包方，其提供协议合同金额占到分包意向协议合同总金额的比例为</w:t>
      </w:r>
      <w:r>
        <w:rPr>
          <w:rFonts w:hint="eastAsia" w:ascii="宋体" w:hAnsi="楷体" w:eastAsia="宋体" w:cs="楷体"/>
          <w:kern w:val="0"/>
          <w:sz w:val="24"/>
          <w:u w:val="single"/>
        </w:rPr>
        <w:t xml:space="preserve">       </w:t>
      </w:r>
      <w:r>
        <w:rPr>
          <w:rFonts w:hint="eastAsia" w:ascii="宋体" w:hAnsi="楷体" w:eastAsia="宋体" w:cs="楷体"/>
          <w:kern w:val="0"/>
          <w:sz w:val="24"/>
        </w:rPr>
        <w:t>。后附省级以上</w:t>
      </w:r>
      <w:r>
        <w:rPr>
          <w:rFonts w:hint="eastAsia" w:ascii="宋体" w:hAnsi="楷体" w:eastAsia="宋体" w:cs="楷体"/>
          <w:kern w:val="0"/>
          <w:sz w:val="24"/>
          <w:lang w:val="en-US" w:eastAsia="zh-CN"/>
        </w:rPr>
        <w:t>jy</w:t>
      </w:r>
      <w:r>
        <w:rPr>
          <w:rFonts w:hint="eastAsia" w:ascii="宋体" w:hAnsi="楷体" w:eastAsia="宋体" w:cs="楷体"/>
          <w:kern w:val="0"/>
          <w:sz w:val="24"/>
        </w:rPr>
        <w:t>管理局、戒毒管理局（含新疆生产建设兵团）出具的属于</w:t>
      </w:r>
      <w:r>
        <w:rPr>
          <w:rFonts w:hint="eastAsia" w:ascii="宋体" w:hAnsi="楷体" w:eastAsia="宋体" w:cs="楷体"/>
          <w:kern w:val="0"/>
          <w:sz w:val="24"/>
          <w:lang w:val="en-US" w:eastAsia="zh-CN"/>
        </w:rPr>
        <w:t>jy</w:t>
      </w:r>
      <w:r>
        <w:rPr>
          <w:rFonts w:hint="eastAsia" w:ascii="宋体" w:hAnsi="楷体" w:eastAsia="宋体" w:cs="楷体"/>
          <w:kern w:val="0"/>
          <w:sz w:val="24"/>
        </w:rPr>
        <w:t>企业的证明文件。</w:t>
      </w:r>
    </w:p>
    <w:p>
      <w:pPr>
        <w:widowControl/>
        <w:snapToGrid/>
        <w:spacing w:beforeAutospacing="0" w:afterAutospacing="0" w:line="360" w:lineRule="auto"/>
        <w:ind w:left="0" w:leftChars="0" w:firstLine="480" w:firstLineChars="200"/>
        <w:jc w:val="left"/>
        <w:rPr>
          <w:rFonts w:hint="eastAsia" w:ascii="宋体" w:hAnsi="楷体" w:eastAsia="宋体" w:cs="楷体"/>
          <w:kern w:val="0"/>
          <w:sz w:val="24"/>
        </w:rPr>
      </w:pPr>
      <w:r>
        <w:rPr>
          <w:rFonts w:hint="eastAsia" w:ascii="宋体" w:hAnsi="楷体" w:eastAsia="宋体" w:cs="楷体"/>
          <w:kern w:val="0"/>
          <w:sz w:val="24"/>
        </w:rPr>
        <w:t>本单位对上述声明的真实性负责。如有虚假，将依法承担相应责任。</w:t>
      </w:r>
    </w:p>
    <w:p>
      <w:pPr>
        <w:snapToGrid/>
        <w:spacing w:beforeAutospacing="0" w:afterAutospacing="0" w:line="360" w:lineRule="auto"/>
        <w:ind w:left="0" w:leftChars="0" w:firstLine="480" w:firstLineChars="200"/>
        <w:rPr>
          <w:rFonts w:hint="eastAsia" w:ascii="宋体" w:hAnsi="楷体" w:eastAsia="宋体" w:cs="楷体"/>
          <w:kern w:val="0"/>
          <w:sz w:val="24"/>
        </w:rPr>
      </w:pPr>
      <w:r>
        <w:rPr>
          <w:rFonts w:hint="eastAsia" w:ascii="宋体" w:hAnsi="楷体" w:eastAsia="宋体" w:cs="楷体"/>
          <w:kern w:val="0"/>
          <w:sz w:val="24"/>
        </w:rPr>
        <w:t>单位名称（盖章）：</w:t>
      </w:r>
    </w:p>
    <w:p>
      <w:pPr>
        <w:widowControl/>
        <w:snapToGrid/>
        <w:spacing w:beforeAutospacing="0" w:afterAutospacing="0" w:line="360" w:lineRule="auto"/>
        <w:ind w:left="0" w:leftChars="0" w:firstLine="480" w:firstLineChars="200"/>
        <w:jc w:val="left"/>
        <w:rPr>
          <w:rFonts w:hint="eastAsia" w:ascii="宋体" w:hAnsi="楷体" w:eastAsia="宋体" w:cs="楷体"/>
          <w:color w:val="auto"/>
          <w:kern w:val="0"/>
          <w:sz w:val="24"/>
          <w:szCs w:val="21"/>
        </w:rPr>
      </w:pPr>
      <w:r>
        <w:rPr>
          <w:rFonts w:hint="eastAsia" w:ascii="宋体" w:hAnsi="楷体" w:eastAsia="宋体" w:cs="楷体"/>
          <w:color w:val="auto"/>
          <w:kern w:val="0"/>
          <w:sz w:val="24"/>
        </w:rPr>
        <w:t>日  期：</w:t>
      </w:r>
    </w:p>
    <w:p>
      <w:pPr>
        <w:pStyle w:val="5"/>
        <w:snapToGrid/>
        <w:spacing w:before="0" w:beforeAutospacing="0" w:afterAutospacing="0" w:line="360" w:lineRule="auto"/>
        <w:jc w:val="both"/>
        <w:rPr>
          <w:rFonts w:hint="eastAsia" w:ascii="宋体" w:hAnsi="楷体" w:eastAsia="宋体" w:cs="楷体"/>
          <w:sz w:val="24"/>
          <w:szCs w:val="28"/>
          <w:u w:val="single"/>
        </w:rPr>
      </w:pPr>
      <w:bookmarkStart w:id="305" w:name="_Toc26794"/>
      <w:bookmarkStart w:id="306" w:name="OLE_LINK13"/>
      <w:bookmarkStart w:id="307" w:name="OLE_LINK14"/>
      <w:r>
        <w:rPr>
          <w:rFonts w:hint="eastAsia" w:ascii="宋体" w:hAnsi="楷体" w:eastAsia="宋体" w:cs="楷体"/>
          <w:sz w:val="24"/>
          <w:szCs w:val="28"/>
          <w:u w:val="single"/>
        </w:rPr>
        <w:t>7-3   残疾人福利性单位声明函</w:t>
      </w:r>
      <w:bookmarkEnd w:id="305"/>
      <w:r>
        <w:rPr>
          <w:rFonts w:hint="eastAsia" w:ascii="宋体" w:hAnsi="楷体" w:eastAsia="宋体" w:cs="楷体"/>
          <w:sz w:val="24"/>
          <w:szCs w:val="28"/>
          <w:u w:val="single"/>
        </w:rPr>
        <w:t>（投标文件格式十</w:t>
      </w:r>
      <w:r>
        <w:rPr>
          <w:rFonts w:hint="eastAsia" w:ascii="宋体" w:hAnsi="楷体" w:eastAsia="宋体" w:cs="楷体"/>
          <w:sz w:val="24"/>
          <w:szCs w:val="28"/>
          <w:u w:val="single"/>
          <w:lang w:val="en-US" w:eastAsia="zh-CN"/>
        </w:rPr>
        <w:t>三</w:t>
      </w:r>
      <w:r>
        <w:rPr>
          <w:rFonts w:hint="eastAsia" w:ascii="宋体" w:hAnsi="楷体" w:eastAsia="宋体" w:cs="楷体"/>
          <w:sz w:val="24"/>
          <w:szCs w:val="28"/>
          <w:u w:val="single"/>
        </w:rPr>
        <w:t>）</w:t>
      </w:r>
    </w:p>
    <w:p>
      <w:pPr>
        <w:snapToGrid/>
        <w:spacing w:beforeAutospacing="0" w:afterAutospacing="0" w:line="360" w:lineRule="auto"/>
        <w:ind w:left="0" w:leftChars="0" w:firstLine="480" w:firstLineChars="200"/>
        <w:jc w:val="center"/>
        <w:rPr>
          <w:rFonts w:hint="eastAsia" w:ascii="宋体" w:hAnsi="楷体" w:eastAsia="宋体" w:cs="楷体"/>
          <w:kern w:val="0"/>
          <w:sz w:val="24"/>
        </w:rPr>
      </w:pPr>
    </w:p>
    <w:bookmarkEnd w:id="306"/>
    <w:bookmarkEnd w:id="307"/>
    <w:p>
      <w:pPr>
        <w:snapToGrid/>
        <w:spacing w:beforeAutospacing="0" w:afterAutospacing="0" w:line="360" w:lineRule="auto"/>
        <w:ind w:left="0" w:leftChars="0" w:firstLine="480" w:firstLineChars="200"/>
        <w:rPr>
          <w:rFonts w:hint="eastAsia" w:ascii="宋体" w:hAnsi="楷体" w:eastAsia="宋体" w:cs="楷体"/>
          <w:kern w:val="0"/>
          <w:sz w:val="24"/>
        </w:rPr>
      </w:pPr>
      <w:r>
        <w:rPr>
          <w:rFonts w:hint="eastAsia" w:ascii="宋体" w:hAnsi="楷体" w:eastAsia="宋体" w:cs="楷体"/>
          <w:kern w:val="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楷体" w:hAnsi="楷体" w:eastAsia="楷体" w:cs="楷体"/>
          <w:kern w:val="0"/>
          <w:sz w:val="24"/>
        </w:rPr>
      </w:pPr>
      <w:r>
        <w:rPr>
          <w:rFonts w:hint="eastAsia" w:ascii="楷体" w:hAnsi="楷体" w:eastAsia="楷体" w:cs="楷体"/>
          <w:kern w:val="0"/>
          <w:sz w:val="24"/>
        </w:rPr>
        <w:t>本单位对上述声明的真实性负责。如有虚假，将依法承担相应责任。</w:t>
      </w:r>
    </w:p>
    <w:p>
      <w:pPr>
        <w:spacing w:line="588" w:lineRule="exact"/>
        <w:ind w:firstLine="480" w:firstLineChars="200"/>
        <w:rPr>
          <w:rFonts w:hint="eastAsia" w:ascii="楷体" w:hAnsi="楷体" w:eastAsia="楷体" w:cs="楷体"/>
          <w:kern w:val="0"/>
          <w:sz w:val="24"/>
        </w:rPr>
      </w:pPr>
      <w:r>
        <w:rPr>
          <w:rFonts w:hint="eastAsia" w:ascii="楷体" w:hAnsi="楷体" w:eastAsia="楷体" w:cs="楷体"/>
          <w:kern w:val="0"/>
          <w:sz w:val="24"/>
        </w:rPr>
        <w:t>单位名称（盖章）：</w:t>
      </w:r>
    </w:p>
    <w:p>
      <w:pPr>
        <w:spacing w:line="588" w:lineRule="exact"/>
        <w:ind w:firstLine="480" w:firstLineChars="200"/>
        <w:rPr>
          <w:rFonts w:hint="eastAsia" w:ascii="楷体" w:hAnsi="楷体" w:eastAsia="楷体" w:cs="楷体"/>
          <w:kern w:val="0"/>
          <w:sz w:val="24"/>
        </w:rPr>
      </w:pPr>
      <w:r>
        <w:rPr>
          <w:rFonts w:hint="eastAsia" w:ascii="楷体" w:hAnsi="楷体" w:eastAsia="楷体" w:cs="楷体"/>
          <w:kern w:val="0"/>
          <w:sz w:val="24"/>
        </w:rPr>
        <w:t>日  期：</w:t>
      </w:r>
    </w:p>
    <w:p>
      <w:pPr>
        <w:pStyle w:val="5"/>
        <w:spacing w:before="0" w:line="360" w:lineRule="auto"/>
        <w:jc w:val="left"/>
        <w:outlineLvl w:val="2"/>
        <w:rPr>
          <w:rFonts w:hint="eastAsia" w:ascii="楷体" w:hAnsi="楷体" w:eastAsia="楷体" w:cs="楷体"/>
          <w:sz w:val="28"/>
          <w:szCs w:val="28"/>
        </w:rPr>
      </w:pPr>
      <w:r>
        <w:rPr>
          <w:rFonts w:ascii="仿宋_GB2312" w:hAnsi="宋体" w:eastAsia="仿宋_GB2312"/>
          <w:sz w:val="24"/>
        </w:rPr>
        <w:br w:type="page"/>
      </w:r>
      <w:bookmarkStart w:id="308" w:name="_Toc12182"/>
      <w:r>
        <w:rPr>
          <w:rFonts w:hint="eastAsia" w:ascii="宋体" w:hAnsi="宋体" w:eastAsia="宋体" w:cs="宋体"/>
          <w:sz w:val="24"/>
          <w:szCs w:val="24"/>
          <w:u w:val="single"/>
        </w:rPr>
        <w:t>8  投标人商务符合性承诺函</w:t>
      </w:r>
      <w:bookmarkEnd w:id="308"/>
      <w:r>
        <w:rPr>
          <w:rFonts w:hint="eastAsia" w:ascii="宋体" w:hAnsi="宋体" w:eastAsia="宋体" w:cs="宋体"/>
          <w:sz w:val="24"/>
          <w:szCs w:val="24"/>
          <w:u w:val="single"/>
        </w:rPr>
        <w:t>（投标文件格式十</w:t>
      </w:r>
      <w:r>
        <w:rPr>
          <w:rFonts w:hint="eastAsia" w:ascii="宋体" w:hAnsi="宋体" w:eastAsia="宋体" w:cs="宋体"/>
          <w:sz w:val="24"/>
          <w:szCs w:val="24"/>
          <w:u w:val="single"/>
          <w:lang w:val="en-US" w:eastAsia="zh-CN"/>
        </w:rPr>
        <w:t>四</w:t>
      </w:r>
      <w:r>
        <w:rPr>
          <w:rFonts w:hint="eastAsia" w:ascii="宋体" w:hAnsi="宋体" w:eastAsia="宋体" w:cs="宋体"/>
          <w:sz w:val="24"/>
          <w:szCs w:val="24"/>
          <w:u w:val="single"/>
        </w:rPr>
        <w:t>）</w:t>
      </w:r>
    </w:p>
    <w:p>
      <w:pPr>
        <w:pStyle w:val="6"/>
        <w:spacing w:line="360" w:lineRule="auto"/>
        <w:ind w:firstLine="480" w:firstLineChars="200"/>
        <w:rPr>
          <w:rFonts w:hint="eastAsia" w:ascii="楷体" w:hAnsi="楷体" w:eastAsia="楷体" w:cs="楷体"/>
        </w:rPr>
      </w:pPr>
    </w:p>
    <w:p>
      <w:pPr>
        <w:pStyle w:val="6"/>
        <w:spacing w:line="360" w:lineRule="auto"/>
        <w:ind w:firstLine="480" w:firstLineChars="200"/>
        <w:rPr>
          <w:rFonts w:hint="eastAsia" w:ascii="宋体" w:hAnsi="宋体" w:eastAsia="宋体" w:cs="宋体"/>
        </w:rPr>
      </w:pPr>
      <w:r>
        <w:rPr>
          <w:rFonts w:hint="eastAsia" w:ascii="宋体" w:hAnsi="宋体" w:eastAsia="宋体" w:cs="宋体"/>
        </w:rPr>
        <w:t>我公司在此郑重承诺：未为本项目提供整体设计、规范编制或者项目管理、监理、检测等服务；投标过程中不存在向采购人提供、给予任何有价值的物品，试图影响其正常决策行为。</w:t>
      </w:r>
    </w:p>
    <w:p>
      <w:pPr>
        <w:spacing w:line="360" w:lineRule="auto"/>
        <w:ind w:left="617" w:leftChars="257" w:firstLine="480" w:firstLineChars="200"/>
        <w:jc w:val="center"/>
        <w:rPr>
          <w:rFonts w:hint="eastAsia" w:ascii="宋体" w:hAnsi="宋体" w:eastAsia="宋体" w:cs="宋体"/>
          <w:kern w:val="0"/>
          <w:sz w:val="24"/>
          <w:szCs w:val="20"/>
        </w:rPr>
      </w:pPr>
      <w:r>
        <w:rPr>
          <w:rFonts w:hint="eastAsia" w:ascii="宋体" w:hAnsi="宋体" w:eastAsia="宋体" w:cs="宋体"/>
          <w:kern w:val="0"/>
          <w:sz w:val="24"/>
          <w:szCs w:val="20"/>
        </w:rPr>
        <w:t>单位名称（盖章）：</w:t>
      </w:r>
    </w:p>
    <w:p>
      <w:pPr>
        <w:spacing w:line="360" w:lineRule="auto"/>
        <w:ind w:left="617" w:leftChars="257" w:firstLine="480" w:firstLineChars="200"/>
        <w:jc w:val="center"/>
        <w:rPr>
          <w:rFonts w:hint="eastAsia" w:ascii="宋体" w:hAnsi="宋体" w:eastAsia="宋体" w:cs="宋体"/>
          <w:kern w:val="0"/>
          <w:sz w:val="24"/>
          <w:szCs w:val="20"/>
        </w:rPr>
      </w:pPr>
      <w:r>
        <w:rPr>
          <w:rFonts w:hint="eastAsia" w:ascii="宋体" w:hAnsi="宋体" w:eastAsia="宋体" w:cs="宋体"/>
          <w:kern w:val="0"/>
          <w:sz w:val="24"/>
          <w:szCs w:val="20"/>
        </w:rPr>
        <w:t>日  期：</w:t>
      </w:r>
    </w:p>
    <w:p>
      <w:pPr>
        <w:pStyle w:val="6"/>
        <w:ind w:left="0" w:leftChars="0" w:firstLine="480" w:firstLineChars="200"/>
        <w:rPr>
          <w:rFonts w:ascii="仿宋_GB2312" w:hAnsi="宋体" w:eastAsia="仿宋_GB2312"/>
        </w:rPr>
      </w:pPr>
      <w:r>
        <w:rPr>
          <w:rFonts w:ascii="仿宋_GB2312" w:hAnsi="宋体" w:eastAsia="仿宋_GB2312"/>
        </w:rPr>
        <w:br w:type="page"/>
      </w:r>
    </w:p>
    <w:p>
      <w:pPr>
        <w:pStyle w:val="5"/>
        <w:spacing w:before="0" w:line="240" w:lineRule="atLeast"/>
        <w:jc w:val="left"/>
        <w:outlineLvl w:val="2"/>
        <w:rPr>
          <w:rFonts w:hint="eastAsia" w:ascii="宋体" w:hAnsi="宋体" w:eastAsia="宋体" w:cs="宋体"/>
          <w:sz w:val="24"/>
          <w:szCs w:val="24"/>
          <w:u w:val="single"/>
        </w:rPr>
      </w:pPr>
      <w:bookmarkStart w:id="309" w:name="_Toc9687"/>
      <w:r>
        <w:rPr>
          <w:rFonts w:hint="eastAsia" w:ascii="宋体" w:hAnsi="宋体" w:eastAsia="宋体" w:cs="宋体"/>
          <w:sz w:val="24"/>
          <w:szCs w:val="24"/>
          <w:u w:val="single"/>
        </w:rPr>
        <w:t>9   投标人关联单位的说明</w:t>
      </w:r>
      <w:bookmarkEnd w:id="309"/>
    </w:p>
    <w:p>
      <w:pPr>
        <w:pStyle w:val="6"/>
        <w:spacing w:line="360" w:lineRule="auto"/>
        <w:ind w:firstLine="480" w:firstLineChars="200"/>
        <w:jc w:val="center"/>
        <w:rPr>
          <w:rFonts w:hint="eastAsia" w:ascii="宋体" w:hAnsi="宋体" w:eastAsia="宋体" w:cs="宋体"/>
        </w:rPr>
      </w:pPr>
      <w:r>
        <w:rPr>
          <w:rFonts w:hint="eastAsia" w:ascii="宋体" w:hAnsi="宋体" w:eastAsia="宋体" w:cs="宋体"/>
        </w:rPr>
        <w:t>（格式自拟）</w:t>
      </w:r>
    </w:p>
    <w:p>
      <w:pPr>
        <w:pStyle w:val="6"/>
        <w:spacing w:line="360" w:lineRule="auto"/>
        <w:ind w:firstLine="480" w:firstLineChars="200"/>
        <w:rPr>
          <w:rFonts w:hint="eastAsia" w:ascii="宋体" w:hAnsi="宋体" w:eastAsia="宋体" w:cs="宋体"/>
        </w:rPr>
      </w:pPr>
      <w:r>
        <w:rPr>
          <w:rFonts w:hint="eastAsia" w:ascii="宋体" w:hAnsi="宋体" w:eastAsia="宋体" w:cs="宋体"/>
        </w:rPr>
        <w:t>说明：投标人应当如实披露与本单位存在下列关联关系的单位名称：</w:t>
      </w:r>
    </w:p>
    <w:p>
      <w:pPr>
        <w:pStyle w:val="6"/>
        <w:numPr>
          <w:ilvl w:val="0"/>
          <w:numId w:val="7"/>
        </w:numPr>
        <w:spacing w:line="360" w:lineRule="auto"/>
        <w:ind w:firstLine="480" w:firstLineChars="200"/>
        <w:outlineLvl w:val="3"/>
        <w:rPr>
          <w:rFonts w:hint="eastAsia" w:ascii="宋体" w:hAnsi="宋体" w:eastAsia="宋体" w:cs="宋体"/>
        </w:rPr>
      </w:pPr>
      <w:r>
        <w:rPr>
          <w:rFonts w:hint="eastAsia" w:ascii="宋体" w:hAnsi="宋体" w:eastAsia="宋体" w:cs="宋体"/>
        </w:rPr>
        <w:t>与投标人单位负责人为同一人的其他单位；</w:t>
      </w:r>
    </w:p>
    <w:p>
      <w:pPr>
        <w:pStyle w:val="6"/>
        <w:numPr>
          <w:ilvl w:val="0"/>
          <w:numId w:val="7"/>
        </w:numPr>
        <w:spacing w:line="360" w:lineRule="auto"/>
        <w:ind w:firstLine="480" w:firstLineChars="200"/>
        <w:rPr>
          <w:rFonts w:hint="eastAsia" w:ascii="宋体" w:hAnsi="宋体" w:eastAsia="宋体" w:cs="宋体"/>
        </w:rPr>
      </w:pPr>
      <w:r>
        <w:rPr>
          <w:rFonts w:hint="eastAsia" w:ascii="宋体" w:hAnsi="宋体" w:eastAsia="宋体" w:cs="宋体"/>
        </w:rPr>
        <w:t>与投标人存在直接控股、管理关系的其他单位；</w:t>
      </w:r>
    </w:p>
    <w:p>
      <w:pPr>
        <w:pStyle w:val="6"/>
        <w:spacing w:line="360" w:lineRule="auto"/>
        <w:ind w:firstLine="480" w:firstLineChars="200"/>
        <w:outlineLvl w:val="3"/>
        <w:rPr>
          <w:rFonts w:hint="eastAsia" w:ascii="宋体" w:hAnsi="宋体" w:eastAsia="宋体" w:cs="宋体"/>
        </w:rPr>
      </w:pPr>
      <w:r>
        <w:rPr>
          <w:rFonts w:hint="eastAsia" w:ascii="宋体" w:hAnsi="宋体" w:eastAsia="宋体" w:cs="宋体"/>
        </w:rPr>
        <w:t>（3）如无关联单位可不提供此说明。</w:t>
      </w:r>
    </w:p>
    <w:p>
      <w:pPr>
        <w:pStyle w:val="6"/>
        <w:ind w:firstLine="480" w:firstLineChars="200"/>
        <w:rPr>
          <w:rFonts w:hint="eastAsia" w:ascii="仿宋_GB2312" w:hAnsi="宋体" w:eastAsia="仿宋_GB2312"/>
        </w:rPr>
      </w:pPr>
      <w:r>
        <w:br w:type="page"/>
      </w:r>
    </w:p>
    <w:p>
      <w:pPr>
        <w:pStyle w:val="5"/>
        <w:spacing w:before="0" w:line="240" w:lineRule="atLeast"/>
        <w:jc w:val="left"/>
        <w:outlineLvl w:val="2"/>
        <w:rPr>
          <w:rFonts w:hint="eastAsia" w:asciiTheme="minorEastAsia" w:hAnsiTheme="minorEastAsia" w:eastAsiaTheme="minorEastAsia" w:cstheme="minorEastAsia"/>
          <w:sz w:val="24"/>
          <w:szCs w:val="24"/>
          <w:u w:val="single"/>
        </w:rPr>
      </w:pPr>
      <w:bookmarkStart w:id="310" w:name="_Toc17146"/>
      <w:r>
        <w:rPr>
          <w:rFonts w:hint="eastAsia" w:asciiTheme="minorEastAsia" w:hAnsiTheme="minorEastAsia" w:eastAsiaTheme="minorEastAsia" w:cstheme="minorEastAsia"/>
          <w:sz w:val="24"/>
          <w:szCs w:val="24"/>
          <w:u w:val="single"/>
        </w:rPr>
        <w:t xml:space="preserve">10 </w:t>
      </w:r>
      <w:bookmarkStart w:id="311" w:name="_Toc532473516"/>
      <w:bookmarkStart w:id="312" w:name="_Toc515647828"/>
      <w:bookmarkStart w:id="313" w:name="_Toc7414"/>
      <w:bookmarkStart w:id="314" w:name="_Toc17333"/>
      <w:r>
        <w:rPr>
          <w:rFonts w:hint="eastAsia" w:asciiTheme="minorEastAsia" w:hAnsiTheme="minorEastAsia" w:eastAsiaTheme="minorEastAsia" w:cstheme="minorEastAsia"/>
          <w:sz w:val="24"/>
          <w:szCs w:val="24"/>
          <w:u w:val="single"/>
        </w:rPr>
        <w:t xml:space="preserve"> </w:t>
      </w:r>
      <w:bookmarkEnd w:id="310"/>
      <w:bookmarkEnd w:id="311"/>
      <w:bookmarkEnd w:id="312"/>
      <w:bookmarkEnd w:id="313"/>
      <w:bookmarkEnd w:id="314"/>
      <w:r>
        <w:rPr>
          <w:rFonts w:hint="eastAsia" w:asciiTheme="minorEastAsia" w:hAnsiTheme="minorEastAsia" w:eastAsiaTheme="minorEastAsia" w:cstheme="minorEastAsia"/>
          <w:sz w:val="24"/>
          <w:szCs w:val="24"/>
          <w:u w:val="single"/>
        </w:rPr>
        <w:t>符合评分标准要求的商务文件</w:t>
      </w:r>
    </w:p>
    <w:p>
      <w:pPr>
        <w:rPr>
          <w:rFonts w:hint="eastAsia" w:asciiTheme="minorEastAsia" w:hAnsiTheme="minorEastAsia" w:eastAsiaTheme="minorEastAsia" w:cstheme="minorEastAsia"/>
          <w:sz w:val="24"/>
          <w:szCs w:val="24"/>
          <w:u w:val="none"/>
          <w:lang w:val="en-US" w:eastAsia="zh-CN"/>
        </w:rPr>
      </w:pPr>
    </w:p>
    <w:p>
      <w:pPr>
        <w:ind w:firstLine="480" w:firstLineChars="200"/>
        <w:rPr>
          <w:rFonts w:hint="eastAsia" w:asciiTheme="minorEastAsia" w:hAnsiTheme="minorEastAsia" w:eastAsiaTheme="minorEastAsia" w:cstheme="minorEastAsia"/>
          <w:u w:val="none"/>
          <w:lang w:val="en-US" w:eastAsia="zh-CN"/>
        </w:rPr>
      </w:pPr>
      <w:r>
        <w:rPr>
          <w:rFonts w:hint="eastAsia" w:asciiTheme="minorEastAsia" w:hAnsiTheme="minorEastAsia" w:eastAsiaTheme="minorEastAsia" w:cstheme="minorEastAsia"/>
          <w:sz w:val="24"/>
          <w:szCs w:val="24"/>
          <w:u w:val="none"/>
          <w:lang w:val="en-US" w:eastAsia="zh-CN"/>
        </w:rPr>
        <w:t>格式自拟</w:t>
      </w:r>
    </w:p>
    <w:p>
      <w:pPr>
        <w:pStyle w:val="5"/>
        <w:spacing w:before="0" w:line="240" w:lineRule="atLeast"/>
        <w:jc w:val="left"/>
        <w:outlineLvl w:val="2"/>
        <w:rPr>
          <w:rFonts w:hint="eastAsia" w:ascii="宋体" w:hAnsi="宋体" w:eastAsia="宋体" w:cs="宋体"/>
          <w:sz w:val="24"/>
          <w:szCs w:val="24"/>
          <w:u w:val="single"/>
        </w:rPr>
      </w:pPr>
      <w:r>
        <w:rPr>
          <w:rFonts w:hint="eastAsia" w:ascii="仿宋_GB2312" w:hAnsi="宋体" w:eastAsia="仿宋_GB2312"/>
          <w:sz w:val="24"/>
        </w:rPr>
        <w:br w:type="page"/>
      </w:r>
      <w:bookmarkStart w:id="315" w:name="_Toc2320"/>
      <w:r>
        <w:rPr>
          <w:rFonts w:hint="eastAsia" w:ascii="宋体" w:hAnsi="宋体" w:eastAsia="宋体" w:cs="宋体"/>
          <w:sz w:val="24"/>
          <w:szCs w:val="24"/>
          <w:u w:val="single"/>
        </w:rPr>
        <w:t xml:space="preserve">11  </w:t>
      </w:r>
      <w:bookmarkEnd w:id="315"/>
      <w:r>
        <w:rPr>
          <w:rFonts w:hint="eastAsia" w:ascii="宋体" w:hAnsi="宋体" w:eastAsia="宋体" w:cs="宋体"/>
          <w:sz w:val="24"/>
          <w:szCs w:val="24"/>
          <w:u w:val="single"/>
        </w:rPr>
        <w:t>符合第六章 采购需求</w:t>
      </w:r>
      <w:r>
        <w:rPr>
          <w:rFonts w:hint="eastAsia" w:ascii="宋体" w:hAnsi="宋体" w:eastAsia="宋体" w:cs="宋体"/>
          <w:sz w:val="24"/>
          <w:szCs w:val="24"/>
          <w:u w:val="single"/>
          <w:lang w:val="en-US" w:eastAsia="zh-CN"/>
        </w:rPr>
        <w:t>及</w:t>
      </w:r>
      <w:r>
        <w:rPr>
          <w:rFonts w:hint="eastAsia" w:ascii="宋体" w:hAnsi="宋体" w:eastAsia="宋体" w:cs="宋体"/>
          <w:sz w:val="24"/>
          <w:szCs w:val="24"/>
          <w:u w:val="single"/>
        </w:rPr>
        <w:t>评分标准要求的所有技术文件</w:t>
      </w:r>
    </w:p>
    <w:p>
      <w:pPr>
        <w:rPr>
          <w:rFonts w:hint="eastAsia" w:ascii="宋体" w:hAnsi="宋体" w:eastAsia="宋体" w:cs="宋体"/>
          <w:sz w:val="24"/>
          <w:szCs w:val="24"/>
          <w:u w:val="single"/>
          <w:lang w:val="en-US" w:eastAsia="zh-CN"/>
        </w:rPr>
      </w:pPr>
    </w:p>
    <w:p>
      <w:pPr>
        <w:ind w:firstLine="480" w:firstLineChars="200"/>
        <w:rPr>
          <w:rFonts w:hint="eastAsia" w:ascii="宋体" w:hAnsi="宋体" w:eastAsia="宋体" w:cs="宋体"/>
          <w:u w:val="none"/>
          <w:lang w:val="en-US" w:eastAsia="zh-CN"/>
        </w:rPr>
      </w:pPr>
      <w:r>
        <w:rPr>
          <w:rFonts w:hint="eastAsia" w:ascii="宋体" w:hAnsi="宋体" w:eastAsia="宋体" w:cs="宋体"/>
          <w:sz w:val="24"/>
          <w:szCs w:val="24"/>
          <w:u w:val="none"/>
          <w:lang w:val="en-US" w:eastAsia="zh-CN"/>
        </w:rPr>
        <w:t>格式自拟</w:t>
      </w:r>
    </w:p>
    <w:p>
      <w:pPr>
        <w:pStyle w:val="5"/>
        <w:spacing w:before="0" w:line="240" w:lineRule="atLeast"/>
        <w:jc w:val="both"/>
        <w:outlineLvl w:val="2"/>
        <w:rPr>
          <w:rFonts w:hint="eastAsia" w:ascii="宋体" w:hAnsi="宋体" w:eastAsia="宋体" w:cs="宋体"/>
          <w:sz w:val="24"/>
          <w:szCs w:val="24"/>
          <w:u w:val="single"/>
        </w:rPr>
      </w:pPr>
      <w:r>
        <w:rPr>
          <w:rFonts w:hint="eastAsia" w:ascii="仿宋_GB2312" w:hAnsi="宋体" w:eastAsia="仿宋_GB2312"/>
          <w:sz w:val="24"/>
        </w:rPr>
        <w:br w:type="page"/>
      </w:r>
      <w:bookmarkStart w:id="316" w:name="_Toc18113"/>
      <w:r>
        <w:rPr>
          <w:rFonts w:hint="eastAsia" w:ascii="宋体" w:hAnsi="宋体" w:eastAsia="宋体" w:cs="宋体"/>
          <w:sz w:val="24"/>
          <w:szCs w:val="24"/>
          <w:u w:val="single"/>
        </w:rPr>
        <w:t>12</w:t>
      </w:r>
      <w:bookmarkStart w:id="317" w:name="_Toc532473518"/>
      <w:bookmarkStart w:id="318" w:name="_Toc2582332"/>
      <w:r>
        <w:rPr>
          <w:rFonts w:hint="eastAsia" w:ascii="宋体" w:hAnsi="宋体" w:eastAsia="宋体" w:cs="宋体"/>
          <w:sz w:val="24"/>
          <w:szCs w:val="24"/>
          <w:u w:val="single"/>
        </w:rPr>
        <w:t xml:space="preserve">  投标须知前附表要求的</w:t>
      </w:r>
      <w:bookmarkEnd w:id="316"/>
      <w:bookmarkEnd w:id="317"/>
      <w:bookmarkEnd w:id="318"/>
      <w:r>
        <w:rPr>
          <w:rFonts w:hint="eastAsia" w:ascii="宋体" w:hAnsi="宋体" w:eastAsia="宋体" w:cs="宋体"/>
          <w:sz w:val="24"/>
          <w:szCs w:val="24"/>
          <w:u w:val="single"/>
        </w:rPr>
        <w:t>其他文件</w:t>
      </w:r>
    </w:p>
    <w:p>
      <w:pPr>
        <w:pStyle w:val="18"/>
        <w:ind w:left="0" w:leftChars="0" w:firstLine="0" w:firstLineChars="0"/>
        <w:rPr>
          <w:rFonts w:hint="eastAsia" w:ascii="宋体" w:hAnsi="宋体" w:eastAsia="宋体" w:cs="宋体"/>
          <w:sz w:val="24"/>
          <w:szCs w:val="24"/>
          <w:u w:val="single"/>
        </w:rPr>
      </w:pPr>
    </w:p>
    <w:p>
      <w:pPr>
        <w:ind w:firstLine="480" w:firstLineChars="200"/>
        <w:rPr>
          <w:rFonts w:hint="eastAsia" w:ascii="宋体" w:hAnsi="宋体" w:eastAsia="宋体" w:cs="宋体"/>
          <w:u w:val="none"/>
          <w:lang w:val="en-US" w:eastAsia="zh-CN"/>
        </w:rPr>
        <w:sectPr>
          <w:type w:val="continuous"/>
          <w:pgSz w:w="11906" w:h="16838"/>
          <w:pgMar w:top="1440" w:right="1797" w:bottom="1440" w:left="1797" w:header="851" w:footer="992" w:gutter="0"/>
          <w:cols w:space="720" w:num="1"/>
          <w:docGrid w:linePitch="312" w:charSpace="0"/>
        </w:sectPr>
      </w:pPr>
      <w:r>
        <w:rPr>
          <w:rFonts w:hint="eastAsia" w:ascii="宋体" w:hAnsi="宋体" w:eastAsia="宋体" w:cs="宋体"/>
          <w:sz w:val="24"/>
          <w:szCs w:val="24"/>
          <w:u w:val="none"/>
          <w:lang w:val="en-US" w:eastAsia="zh-CN"/>
        </w:rPr>
        <w:t>格式自拟</w:t>
      </w:r>
    </w:p>
    <w:p>
      <w:pPr>
        <w:pStyle w:val="4"/>
        <w:numPr>
          <w:ilvl w:val="0"/>
          <w:numId w:val="8"/>
        </w:numPr>
        <w:spacing w:before="0" w:after="0" w:line="240" w:lineRule="atLeast"/>
        <w:ind w:firstLine="643" w:firstLineChars="200"/>
        <w:rPr>
          <w:rFonts w:hint="eastAsia" w:ascii="宋体" w:hAnsi="宋体"/>
          <w:highlight w:val="none"/>
        </w:rPr>
      </w:pPr>
      <w:bookmarkStart w:id="319" w:name="_Toc25736"/>
      <w:bookmarkStart w:id="320" w:name="_Toc507399904"/>
      <w:bookmarkStart w:id="321" w:name="_Toc12079"/>
      <w:bookmarkStart w:id="322" w:name="_Toc15983"/>
      <w:bookmarkStart w:id="323" w:name="_Toc19488"/>
      <w:bookmarkStart w:id="324" w:name="_Toc12923"/>
      <w:bookmarkStart w:id="325" w:name="_Toc6655"/>
      <w:r>
        <w:rPr>
          <w:rFonts w:hint="eastAsia" w:ascii="楷体" w:hAnsi="楷体" w:eastAsia="楷体" w:cs="楷体"/>
        </w:rPr>
        <w:t xml:space="preserve"> </w:t>
      </w:r>
      <w:bookmarkEnd w:id="319"/>
      <w:bookmarkEnd w:id="320"/>
      <w:bookmarkStart w:id="326" w:name="_Hlt487972895"/>
      <w:bookmarkEnd w:id="326"/>
      <w:bookmarkStart w:id="327" w:name="_Toc506227567"/>
      <w:bookmarkStart w:id="328" w:name="_Toc487900382"/>
      <w:bookmarkStart w:id="329" w:name="_Toc216513788"/>
      <w:r>
        <w:rPr>
          <w:rFonts w:hint="eastAsia" w:ascii="宋体" w:hAnsi="宋体"/>
          <w:highlight w:val="none"/>
        </w:rPr>
        <w:t xml:space="preserve"> </w:t>
      </w:r>
      <w:r>
        <w:rPr>
          <w:rFonts w:hint="eastAsia"/>
          <w:highlight w:val="none"/>
          <w:lang w:val="en-US" w:eastAsia="zh-CN"/>
        </w:rPr>
        <w:t>政府</w:t>
      </w:r>
      <w:r>
        <w:rPr>
          <w:rFonts w:hint="eastAsia" w:ascii="宋体" w:hAnsi="宋体"/>
          <w:highlight w:val="none"/>
        </w:rPr>
        <w:t>采购合同格式</w:t>
      </w:r>
      <w:bookmarkEnd w:id="327"/>
    </w:p>
    <w:p>
      <w:pPr>
        <w:pStyle w:val="4"/>
        <w:numPr>
          <w:ilvl w:val="0"/>
          <w:numId w:val="0"/>
        </w:numPr>
        <w:spacing w:before="0" w:after="0" w:line="240" w:lineRule="atLeast"/>
        <w:jc w:val="center"/>
        <w:rPr>
          <w:rFonts w:ascii="宋体" w:hAnsi="宋体"/>
          <w:highlight w:val="none"/>
        </w:rPr>
      </w:pPr>
      <w:r>
        <w:rPr>
          <w:rFonts w:hint="eastAsia" w:ascii="宋体" w:hAnsi="宋体"/>
          <w:b w:val="0"/>
          <w:bCs w:val="0"/>
          <w:sz w:val="28"/>
          <w:szCs w:val="18"/>
          <w:highlight w:val="none"/>
        </w:rPr>
        <w:t>（以甲乙双方签订的合同为准）</w:t>
      </w:r>
      <w:bookmarkEnd w:id="321"/>
      <w:bookmarkEnd w:id="322"/>
      <w:bookmarkEnd w:id="323"/>
      <w:bookmarkEnd w:id="324"/>
      <w:bookmarkEnd w:id="325"/>
    </w:p>
    <w:p>
      <w:pPr>
        <w:pStyle w:val="5"/>
        <w:bidi w:val="0"/>
        <w:ind w:firstLine="602" w:firstLineChars="200"/>
        <w:jc w:val="center"/>
      </w:pPr>
      <w:bookmarkStart w:id="330" w:name="_Toc506227568"/>
      <w:bookmarkStart w:id="331" w:name="_Toc9107"/>
      <w:r>
        <w:t>合同一般条款</w:t>
      </w:r>
      <w:bookmarkEnd w:id="330"/>
      <w:bookmarkEnd w:id="331"/>
    </w:p>
    <w:p>
      <w:pPr>
        <w:pStyle w:val="7"/>
        <w:shd w:val="clear" w:color="auto" w:fill="auto"/>
        <w:tabs>
          <w:tab w:val="left" w:pos="900"/>
        </w:tabs>
        <w:spacing w:line="360" w:lineRule="auto"/>
        <w:ind w:firstLine="482" w:firstLineChars="200"/>
        <w:outlineLvl w:val="1"/>
        <w:rPr>
          <w:rFonts w:ascii="宋体" w:hAnsi="宋体"/>
          <w:color w:val="000000"/>
          <w:sz w:val="24"/>
          <w:szCs w:val="24"/>
          <w:highlight w:val="none"/>
        </w:rPr>
      </w:pPr>
      <w:bookmarkStart w:id="332" w:name="_Ref467379094"/>
      <w:bookmarkStart w:id="333" w:name="_Ref467378404"/>
      <w:bookmarkStart w:id="334" w:name="_Ref467379214"/>
      <w:bookmarkStart w:id="335" w:name="_Ref467378463"/>
      <w:bookmarkStart w:id="336" w:name="_Ref467379109"/>
      <w:bookmarkStart w:id="337" w:name="_Toc487900349"/>
      <w:bookmarkStart w:id="338" w:name="_Toc17744"/>
      <w:bookmarkStart w:id="339" w:name="_Ref467379205"/>
      <w:bookmarkStart w:id="340" w:name="_Ref467379225"/>
      <w:bookmarkStart w:id="341" w:name="_Toc506227569"/>
      <w:bookmarkStart w:id="342" w:name="_Ref467379101"/>
      <w:bookmarkStart w:id="343" w:name="_Ref467378499"/>
      <w:bookmarkStart w:id="344" w:name="_Toc310195732"/>
      <w:bookmarkStart w:id="345" w:name="_Ref467379195"/>
      <w:r>
        <w:rPr>
          <w:rFonts w:ascii="宋体" w:hAnsi="宋体"/>
          <w:color w:val="000000"/>
          <w:sz w:val="24"/>
          <w:szCs w:val="24"/>
          <w:highlight w:val="none"/>
        </w:rPr>
        <w:t>1. 定义</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shd w:val="clear" w:color="auto" w:fill="auto"/>
        <w:tabs>
          <w:tab w:val="left" w:pos="900"/>
        </w:tabs>
        <w:spacing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本合同中的下列术语应解释为：</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1.1 “合同”系指买卖双方签署的、合同格式中载明的买卖双方所达成的协议，包括所有的附件、附录和构成合同的其它文件。</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 “合同价”系指根据合同约定，卖方在完全履行合同义务后买方应付给卖方的价格。</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 “货物”系指卖方根据合同约定须向买方提供的一切设备、机械、仪表、备件、工具、手册等其它相关资料。</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1.4 “服务”系指根据合同约定卖方承担与供货有关的辅助服务，如运输、保险</w:t>
      </w:r>
      <w:r>
        <w:rPr>
          <w:rFonts w:hint="eastAsia" w:ascii="楷体" w:hAnsi="楷体" w:eastAsia="楷体" w:cs="楷体"/>
          <w:color w:val="000000"/>
          <w:sz w:val="24"/>
          <w:szCs w:val="24"/>
          <w:highlight w:val="none"/>
          <w:lang w:eastAsia="zh-CN"/>
        </w:rPr>
        <w:t>及</w:t>
      </w:r>
      <w:r>
        <w:rPr>
          <w:rFonts w:hint="eastAsia" w:ascii="楷体" w:hAnsi="楷体" w:eastAsia="楷体" w:cs="楷体"/>
          <w:color w:val="000000"/>
          <w:sz w:val="24"/>
          <w:szCs w:val="24"/>
          <w:highlight w:val="none"/>
        </w:rPr>
        <w:t>安装、调试、提供技术援助、培训和其他类似的服务。</w:t>
      </w:r>
    </w:p>
    <w:p>
      <w:pPr>
        <w:shd w:val="clear" w:color="auto" w:fill="auto"/>
        <w:spacing w:before="120" w:line="360" w:lineRule="auto"/>
        <w:ind w:firstLine="480" w:firstLineChars="200"/>
        <w:outlineLvl w:val="2"/>
        <w:rPr>
          <w:rFonts w:hint="eastAsia" w:ascii="楷体" w:hAnsi="楷体" w:eastAsia="楷体" w:cs="楷体"/>
          <w:color w:val="000000"/>
          <w:sz w:val="24"/>
          <w:szCs w:val="24"/>
          <w:highlight w:val="none"/>
        </w:rPr>
      </w:pPr>
      <w:bookmarkStart w:id="346" w:name="_Ref467378840"/>
      <w:r>
        <w:rPr>
          <w:rFonts w:hint="eastAsia" w:ascii="楷体" w:hAnsi="楷体" w:eastAsia="楷体" w:cs="楷体"/>
          <w:color w:val="000000"/>
          <w:sz w:val="24"/>
          <w:szCs w:val="24"/>
          <w:highlight w:val="none"/>
        </w:rPr>
        <w:t>1.5 “买方”系指采购人或购买货物的单位。</w:t>
      </w:r>
      <w:bookmarkEnd w:id="346"/>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bookmarkStart w:id="347" w:name="_Ref467379400"/>
      <w:r>
        <w:rPr>
          <w:rFonts w:hint="eastAsia" w:ascii="楷体" w:hAnsi="楷体" w:eastAsia="楷体" w:cs="楷体"/>
          <w:color w:val="000000"/>
          <w:sz w:val="24"/>
          <w:szCs w:val="24"/>
          <w:highlight w:val="none"/>
        </w:rPr>
        <w:t>1.6 “卖方”系指根据合同约定提供货物及相关服务的投标人，即中标人。</w:t>
      </w:r>
      <w:bookmarkEnd w:id="347"/>
    </w:p>
    <w:p>
      <w:pPr>
        <w:shd w:val="clear" w:color="auto" w:fill="auto"/>
        <w:tabs>
          <w:tab w:val="left" w:pos="900"/>
        </w:tabs>
        <w:spacing w:before="120" w:line="360" w:lineRule="auto"/>
        <w:ind w:firstLine="480" w:firstLineChars="200"/>
        <w:outlineLvl w:val="2"/>
        <w:rPr>
          <w:rFonts w:hint="eastAsia" w:ascii="楷体" w:hAnsi="楷体" w:eastAsia="楷体" w:cs="楷体"/>
          <w:color w:val="000000"/>
          <w:sz w:val="24"/>
          <w:szCs w:val="24"/>
          <w:highlight w:val="none"/>
        </w:rPr>
      </w:pPr>
      <w:bookmarkStart w:id="348" w:name="_Ref467379436"/>
      <w:r>
        <w:rPr>
          <w:rFonts w:hint="eastAsia" w:ascii="楷体" w:hAnsi="楷体" w:eastAsia="楷体" w:cs="楷体"/>
          <w:color w:val="000000"/>
          <w:sz w:val="24"/>
          <w:szCs w:val="24"/>
          <w:highlight w:val="none"/>
        </w:rPr>
        <w:t>1.7 “现场”系指合同约定货物将要运至和安装的地点。</w:t>
      </w:r>
      <w:bookmarkEnd w:id="348"/>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1.8 “验收”系指合同双方依据强制性的国家技术质量规范和合同约定，确认合同项下的货物符合合同规定的活动。</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49" w:name="_Toc310195733"/>
      <w:bookmarkStart w:id="350" w:name="_Toc2186"/>
      <w:bookmarkStart w:id="351" w:name="_Toc487900350"/>
      <w:bookmarkStart w:id="352" w:name="_Toc506227570"/>
      <w:r>
        <w:rPr>
          <w:rFonts w:hint="eastAsia" w:ascii="楷体" w:hAnsi="楷体" w:eastAsia="楷体" w:cs="楷体"/>
          <w:color w:val="000000"/>
          <w:sz w:val="24"/>
          <w:szCs w:val="24"/>
          <w:highlight w:val="none"/>
        </w:rPr>
        <w:t>2．技术规范</w:t>
      </w:r>
      <w:bookmarkEnd w:id="349"/>
      <w:bookmarkEnd w:id="350"/>
      <w:bookmarkEnd w:id="351"/>
      <w:bookmarkEnd w:id="352"/>
    </w:p>
    <w:p>
      <w:pPr>
        <w:shd w:val="clear" w:color="auto" w:fill="auto"/>
        <w:tabs>
          <w:tab w:val="left" w:pos="900"/>
        </w:tabs>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2.1 提交货物的技术规范应与招标文件规定的技术规范和技术规范附件</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如果有的话</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及其投标文件的技术规范偏差表</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如果被买方接受的话</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相一致。若技术规范中无相应说明，则以国家有关部门最新颁布的相应标准及规范为准。</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53" w:name="_Toc18810"/>
      <w:bookmarkStart w:id="354" w:name="_Toc506227571"/>
      <w:bookmarkStart w:id="355" w:name="_Toc310195734"/>
      <w:bookmarkStart w:id="356" w:name="_Toc487900351"/>
      <w:r>
        <w:rPr>
          <w:rFonts w:hint="eastAsia" w:ascii="楷体" w:hAnsi="楷体" w:eastAsia="楷体" w:cs="楷体"/>
          <w:color w:val="000000"/>
          <w:sz w:val="24"/>
          <w:szCs w:val="24"/>
          <w:highlight w:val="none"/>
        </w:rPr>
        <w:t>3. 知识产权</w:t>
      </w:r>
      <w:bookmarkEnd w:id="353"/>
      <w:bookmarkEnd w:id="354"/>
      <w:bookmarkEnd w:id="355"/>
      <w:bookmarkEnd w:id="356"/>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3.1 卖方应保证买方在使用该货物或其任何一部分时不受第三方提出的侵犯专利权、 著作权、商标权和工业设计权等的起诉。如果任何第三方提出侵权指控， 卖方须与第三方交涉并承担由此发生的一切责任、费用和经济赔偿。</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57" w:name="_Toc506227572"/>
      <w:bookmarkStart w:id="358" w:name="_Toc6910"/>
      <w:bookmarkStart w:id="359" w:name="_Toc487900352"/>
      <w:bookmarkStart w:id="360" w:name="_Toc310195735"/>
      <w:r>
        <w:rPr>
          <w:rFonts w:hint="eastAsia" w:ascii="楷体" w:hAnsi="楷体" w:eastAsia="楷体" w:cs="楷体"/>
          <w:color w:val="000000"/>
          <w:sz w:val="24"/>
          <w:szCs w:val="24"/>
          <w:highlight w:val="none"/>
        </w:rPr>
        <w:t>4. 包装要求</w:t>
      </w:r>
      <w:bookmarkEnd w:id="357"/>
      <w:bookmarkEnd w:id="358"/>
      <w:bookmarkEnd w:id="359"/>
      <w:bookmarkEnd w:id="360"/>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4.1 除合同另有约定外</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卖方提供的全部货物</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pPr>
        <w:shd w:val="clear" w:color="auto" w:fill="auto"/>
        <w:spacing w:before="120" w:line="360" w:lineRule="auto"/>
        <w:ind w:firstLine="480" w:firstLineChars="200"/>
        <w:outlineLvl w:val="2"/>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4.2 每件包装箱内应附一份详细装箱单和质量合格证。</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61" w:name="_Toc487900353"/>
      <w:bookmarkStart w:id="362" w:name="_Toc310195736"/>
      <w:bookmarkStart w:id="363" w:name="_Toc3307"/>
      <w:bookmarkStart w:id="364" w:name="_Toc506227573"/>
      <w:r>
        <w:rPr>
          <w:rFonts w:hint="eastAsia" w:ascii="楷体" w:hAnsi="楷体" w:eastAsia="楷体" w:cs="楷体"/>
          <w:color w:val="000000"/>
          <w:sz w:val="24"/>
          <w:szCs w:val="24"/>
          <w:highlight w:val="none"/>
        </w:rPr>
        <w:t>5. 装运标志</w:t>
      </w:r>
      <w:bookmarkEnd w:id="361"/>
      <w:bookmarkEnd w:id="362"/>
      <w:bookmarkEnd w:id="363"/>
      <w:bookmarkEnd w:id="364"/>
    </w:p>
    <w:p>
      <w:pPr>
        <w:shd w:val="clear" w:color="auto" w:fill="auto"/>
        <w:spacing w:before="120" w:line="360" w:lineRule="auto"/>
        <w:ind w:left="720"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5.1 卖方应在每一包装箱的四侧用不褪色的油漆以醒目的中文字样做出下列标记：</w:t>
      </w:r>
    </w:p>
    <w:p>
      <w:pPr>
        <w:shd w:val="clear" w:color="auto" w:fill="auto"/>
        <w:spacing w:line="360" w:lineRule="auto"/>
        <w:ind w:left="1276"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收货人：</w:t>
      </w:r>
      <w:r>
        <w:rPr>
          <w:rFonts w:hint="eastAsia" w:ascii="楷体" w:hAnsi="楷体" w:eastAsia="楷体" w:cs="楷体"/>
          <w:color w:val="000000"/>
          <w:sz w:val="24"/>
          <w:szCs w:val="24"/>
          <w:highlight w:val="none"/>
          <w:u w:val="single"/>
        </w:rPr>
        <w:t xml:space="preserve">                                   </w:t>
      </w:r>
    </w:p>
    <w:p>
      <w:pPr>
        <w:shd w:val="clear" w:color="auto" w:fill="auto"/>
        <w:spacing w:line="360" w:lineRule="auto"/>
        <w:ind w:left="1276"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合同号：</w:t>
      </w:r>
      <w:r>
        <w:rPr>
          <w:rFonts w:hint="eastAsia" w:ascii="楷体" w:hAnsi="楷体" w:eastAsia="楷体" w:cs="楷体"/>
          <w:color w:val="000000"/>
          <w:sz w:val="24"/>
          <w:szCs w:val="24"/>
          <w:highlight w:val="none"/>
          <w:u w:val="single"/>
        </w:rPr>
        <w:t xml:space="preserve">                                   </w:t>
      </w:r>
    </w:p>
    <w:p>
      <w:pPr>
        <w:shd w:val="clear" w:color="auto" w:fill="auto"/>
        <w:spacing w:line="360" w:lineRule="auto"/>
        <w:ind w:left="1276"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装运标志：</w:t>
      </w:r>
      <w:r>
        <w:rPr>
          <w:rFonts w:hint="eastAsia" w:ascii="楷体" w:hAnsi="楷体" w:eastAsia="楷体" w:cs="楷体"/>
          <w:color w:val="000000"/>
          <w:sz w:val="24"/>
          <w:szCs w:val="24"/>
          <w:highlight w:val="none"/>
          <w:u w:val="single"/>
        </w:rPr>
        <w:t xml:space="preserve">                                 </w:t>
      </w:r>
    </w:p>
    <w:p>
      <w:pPr>
        <w:shd w:val="clear" w:color="auto" w:fill="auto"/>
        <w:spacing w:line="360" w:lineRule="auto"/>
        <w:ind w:left="1276"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收货人代号：</w:t>
      </w:r>
      <w:r>
        <w:rPr>
          <w:rFonts w:hint="eastAsia" w:ascii="楷体" w:hAnsi="楷体" w:eastAsia="楷体" w:cs="楷体"/>
          <w:color w:val="000000"/>
          <w:sz w:val="24"/>
          <w:szCs w:val="24"/>
          <w:highlight w:val="none"/>
          <w:u w:val="single"/>
        </w:rPr>
        <w:t xml:space="preserve">                               </w:t>
      </w:r>
    </w:p>
    <w:p>
      <w:pPr>
        <w:shd w:val="clear" w:color="auto" w:fill="auto"/>
        <w:spacing w:line="360" w:lineRule="auto"/>
        <w:ind w:left="1276"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目的地：</w:t>
      </w:r>
      <w:r>
        <w:rPr>
          <w:rFonts w:hint="eastAsia" w:ascii="楷体" w:hAnsi="楷体" w:eastAsia="楷体" w:cs="楷体"/>
          <w:color w:val="000000"/>
          <w:sz w:val="24"/>
          <w:szCs w:val="24"/>
          <w:highlight w:val="none"/>
          <w:u w:val="single"/>
        </w:rPr>
        <w:t xml:space="preserve">                                   </w:t>
      </w:r>
    </w:p>
    <w:p>
      <w:pPr>
        <w:shd w:val="clear" w:color="auto" w:fill="auto"/>
        <w:spacing w:line="360" w:lineRule="auto"/>
        <w:ind w:left="1276"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货物名称、品目号和箱号：</w:t>
      </w:r>
      <w:r>
        <w:rPr>
          <w:rFonts w:hint="eastAsia" w:ascii="楷体" w:hAnsi="楷体" w:eastAsia="楷体" w:cs="楷体"/>
          <w:color w:val="000000"/>
          <w:sz w:val="24"/>
          <w:szCs w:val="24"/>
          <w:highlight w:val="none"/>
          <w:u w:val="single"/>
        </w:rPr>
        <w:t xml:space="preserve">                   </w:t>
      </w:r>
    </w:p>
    <w:p>
      <w:pPr>
        <w:shd w:val="clear" w:color="auto" w:fill="auto"/>
        <w:spacing w:line="360" w:lineRule="auto"/>
        <w:ind w:left="1276"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毛重／净重：</w:t>
      </w:r>
      <w:r>
        <w:rPr>
          <w:rFonts w:hint="eastAsia" w:ascii="楷体" w:hAnsi="楷体" w:eastAsia="楷体" w:cs="楷体"/>
          <w:color w:val="000000"/>
          <w:sz w:val="24"/>
          <w:szCs w:val="24"/>
          <w:highlight w:val="none"/>
          <w:u w:val="single"/>
        </w:rPr>
        <w:t xml:space="preserve">                               </w:t>
      </w:r>
    </w:p>
    <w:p>
      <w:pPr>
        <w:shd w:val="clear" w:color="auto" w:fill="auto"/>
        <w:spacing w:line="360" w:lineRule="auto"/>
        <w:ind w:left="1276"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尺寸</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长×宽×高以厘米计</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w:t>
      </w:r>
      <w:r>
        <w:rPr>
          <w:rFonts w:hint="eastAsia" w:ascii="楷体" w:hAnsi="楷体" w:eastAsia="楷体" w:cs="楷体"/>
          <w:color w:val="000000"/>
          <w:sz w:val="24"/>
          <w:szCs w:val="24"/>
          <w:highlight w:val="none"/>
          <w:u w:val="single"/>
        </w:rPr>
        <w:t xml:space="preserve">                 </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5.2 如果货物单件重量在2吨或2吨以上，卖方应在每件包装箱的两侧用中文和适当的运输标记，标明“重心”和“吊装点”，以便装卸和搬运。根据货物的特点和运输的不同要求， 卖方应在包装箱上清楚地标有“小心轻放</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防潮”、 “勿倒置”等字样和其他适当的标志。</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65" w:name="_Toc506227574"/>
      <w:bookmarkStart w:id="366" w:name="_Toc487900354"/>
      <w:bookmarkStart w:id="367" w:name="_Ref467378591"/>
      <w:bookmarkStart w:id="368" w:name="_Toc22886"/>
      <w:bookmarkStart w:id="369" w:name="_Ref467379542"/>
      <w:bookmarkStart w:id="370" w:name="_Toc310195737"/>
      <w:bookmarkStart w:id="371" w:name="_Ref467379536"/>
      <w:bookmarkStart w:id="372" w:name="_Ref467379527"/>
      <w:bookmarkStart w:id="373" w:name="_Ref467378541"/>
      <w:r>
        <w:rPr>
          <w:rFonts w:hint="eastAsia" w:ascii="楷体" w:hAnsi="楷体" w:eastAsia="楷体" w:cs="楷体"/>
          <w:color w:val="000000"/>
          <w:sz w:val="24"/>
          <w:szCs w:val="24"/>
          <w:highlight w:val="none"/>
        </w:rPr>
        <w:t>6. 交货方式</w:t>
      </w:r>
      <w:bookmarkEnd w:id="365"/>
      <w:bookmarkEnd w:id="366"/>
      <w:bookmarkEnd w:id="367"/>
      <w:bookmarkEnd w:id="368"/>
      <w:bookmarkEnd w:id="369"/>
      <w:bookmarkEnd w:id="370"/>
      <w:bookmarkEnd w:id="371"/>
      <w:bookmarkEnd w:id="372"/>
      <w:bookmarkEnd w:id="373"/>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bookmarkStart w:id="374" w:name="_Ref467379657"/>
      <w:r>
        <w:rPr>
          <w:rFonts w:hint="eastAsia" w:ascii="楷体" w:hAnsi="楷体" w:eastAsia="楷体" w:cs="楷体"/>
          <w:color w:val="000000"/>
          <w:sz w:val="24"/>
          <w:szCs w:val="24"/>
          <w:highlight w:val="none"/>
        </w:rPr>
        <w:t>6.1 交货方式一般为下列其中一种，具体在合同特殊条款中规定。</w:t>
      </w:r>
      <w:bookmarkEnd w:id="374"/>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6.1.1 现场交货：卖方负责办理运输和保险，将货物运抵现场。有关运输和保险的一切费用由卖方承担。所有货物运抵现场的日期为交货日期。</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6.1.2 工厂交货：由卖方负责代办运输和保险事宜。运输费和保险费由买方承担。运输部门出具收据的日期为交货日期。</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6.1.3 买方自提货物：由买方在合同规定地点自行办理提货。提单日期为交货日期。</w:t>
      </w:r>
    </w:p>
    <w:p>
      <w:pPr>
        <w:shd w:val="clear" w:color="auto" w:fill="auto"/>
        <w:spacing w:before="120" w:line="360" w:lineRule="auto"/>
        <w:ind w:left="2"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6.2 卖方应在合同规定的交货期10天以前以电报或传真形式将合同号、货物名称、数量、包装箱件数、总毛重、总体积</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立方米</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和备妥交货日期通知买方。同时卖方应用挂号信将详细交货清单一式6份包括合同号、货物名称、规格、数量、总毛重、总体积</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立方米</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、包装箱件数和每个包装箱的尺寸</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长×宽×高</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、货物总价和备妥待交日期以及对货物在运输和仓储的特殊要求和注意事项通知买方。</w:t>
      </w:r>
    </w:p>
    <w:p>
      <w:pPr>
        <w:shd w:val="clear" w:color="auto" w:fill="auto"/>
        <w:tabs>
          <w:tab w:val="left" w:pos="0"/>
        </w:tabs>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6.3 在现场交货和工厂交货条件下，卖方装运的货物不应超过合同规定的数量或重量。否则，卖方应对超运部分引起的一切后果负责。</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75" w:name="_Toc506227575"/>
      <w:bookmarkStart w:id="376" w:name="_Toc310195738"/>
      <w:bookmarkStart w:id="377" w:name="_Toc487900355"/>
      <w:bookmarkStart w:id="378" w:name="_Toc19485"/>
      <w:r>
        <w:rPr>
          <w:rFonts w:hint="eastAsia" w:ascii="楷体" w:hAnsi="楷体" w:eastAsia="楷体" w:cs="楷体"/>
          <w:color w:val="000000"/>
          <w:sz w:val="24"/>
          <w:szCs w:val="24"/>
          <w:highlight w:val="none"/>
        </w:rPr>
        <w:t>7. 装运通知</w:t>
      </w:r>
      <w:bookmarkEnd w:id="375"/>
      <w:bookmarkEnd w:id="376"/>
      <w:bookmarkEnd w:id="377"/>
      <w:bookmarkEnd w:id="378"/>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7.1 在现场交货和工厂交货条件下的货物，在卖方已通知买方货物已备妥待运输后24小时之内，卖方应将合同号、货名、数量、毛重、总体积</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立方米</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、运输工具名称及装运日期，以电报或传真通知买方。</w:t>
      </w:r>
    </w:p>
    <w:p>
      <w:pPr>
        <w:pStyle w:val="31"/>
        <w:shd w:val="clear" w:color="auto" w:fill="auto"/>
        <w:spacing w:line="360" w:lineRule="auto"/>
        <w:ind w:left="0" w:leftChars="0"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7.2 如因卖方延误将上述内容用电报或传真通知买方，由此引起的一切后果损失应由卖方负责。</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79" w:name="_Toc310195739"/>
      <w:bookmarkStart w:id="380" w:name="_Toc28340"/>
      <w:bookmarkStart w:id="381" w:name="_Toc487900356"/>
      <w:bookmarkStart w:id="382" w:name="_Toc506227576"/>
      <w:r>
        <w:rPr>
          <w:rFonts w:hint="eastAsia" w:ascii="楷体" w:hAnsi="楷体" w:eastAsia="楷体" w:cs="楷体"/>
          <w:color w:val="000000"/>
          <w:sz w:val="24"/>
          <w:szCs w:val="24"/>
          <w:highlight w:val="none"/>
        </w:rPr>
        <w:t>8. 保险</w:t>
      </w:r>
      <w:bookmarkEnd w:id="379"/>
      <w:bookmarkEnd w:id="380"/>
      <w:bookmarkEnd w:id="381"/>
      <w:bookmarkEnd w:id="382"/>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8.1 如果货物是按现场交货方式或工厂交货方式报价的，由卖方办理保险，按照发票金额的110％办理“一切险”，保险范围包括卖方承诺装运的货物；如果货物是按买方自提货物方式报价的，其保险由买方办理。</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83" w:name="_Toc487900357"/>
      <w:bookmarkStart w:id="384" w:name="_Toc310195740"/>
      <w:bookmarkStart w:id="385" w:name="_Toc19756"/>
      <w:bookmarkStart w:id="386" w:name="_Toc506227577"/>
      <w:bookmarkStart w:id="387" w:name="_Ref467379793"/>
      <w:bookmarkStart w:id="388" w:name="_Ref467379807"/>
      <w:r>
        <w:rPr>
          <w:rFonts w:hint="eastAsia" w:ascii="楷体" w:hAnsi="楷体" w:eastAsia="楷体" w:cs="楷体"/>
          <w:color w:val="000000"/>
          <w:sz w:val="24"/>
          <w:szCs w:val="24"/>
          <w:highlight w:val="none"/>
        </w:rPr>
        <w:t>9 付款条件</w:t>
      </w:r>
      <w:bookmarkEnd w:id="383"/>
      <w:bookmarkEnd w:id="384"/>
      <w:bookmarkEnd w:id="385"/>
      <w:bookmarkEnd w:id="386"/>
      <w:bookmarkEnd w:id="387"/>
      <w:bookmarkEnd w:id="388"/>
    </w:p>
    <w:p>
      <w:pPr>
        <w:shd w:val="clear" w:color="auto" w:fill="auto"/>
        <w:spacing w:before="120" w:line="360" w:lineRule="auto"/>
        <w:ind w:firstLine="480" w:firstLineChars="200"/>
        <w:outlineLvl w:val="2"/>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9.1 付款条件见“合同专用条款”。</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89" w:name="_Toc31670"/>
      <w:bookmarkStart w:id="390" w:name="_Toc506227578"/>
      <w:bookmarkStart w:id="391" w:name="_Ref467379852"/>
      <w:bookmarkStart w:id="392" w:name="_Ref467379863"/>
      <w:bookmarkStart w:id="393" w:name="_Toc487900358"/>
      <w:bookmarkStart w:id="394" w:name="_Ref467379923"/>
      <w:bookmarkStart w:id="395" w:name="_Toc310195741"/>
      <w:r>
        <w:rPr>
          <w:rFonts w:hint="eastAsia" w:ascii="楷体" w:hAnsi="楷体" w:eastAsia="楷体" w:cs="楷体"/>
          <w:color w:val="000000"/>
          <w:sz w:val="24"/>
          <w:szCs w:val="24"/>
          <w:highlight w:val="none"/>
        </w:rPr>
        <w:t>10 .技术资料</w:t>
      </w:r>
      <w:bookmarkEnd w:id="389"/>
      <w:bookmarkEnd w:id="390"/>
      <w:bookmarkEnd w:id="391"/>
      <w:bookmarkEnd w:id="392"/>
      <w:bookmarkEnd w:id="393"/>
      <w:bookmarkEnd w:id="394"/>
      <w:bookmarkEnd w:id="395"/>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10.1 合同项下技术资料</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除合同特殊条款规定外</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将以下列方式交付：</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合同生效后</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single"/>
          <w:lang w:val="en-US" w:eastAsia="zh-CN"/>
        </w:rPr>
        <w:t xml:space="preserve">  </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000000"/>
          <w:sz w:val="24"/>
          <w:szCs w:val="24"/>
          <w:highlight w:val="none"/>
        </w:rPr>
        <w:t>天之内，卖方应将每台设备和仪器的中文技术资料一套，如目录索引、图纸、操作手册、使用指南、维修指南和／或服务手册和示意图寄给买方。</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10.2 另外一套完整的上述资料应包装好随同每批货物一起发运。</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10.3 如果买方确认卖方提供的技术资料不完整或在运输过程中丢失，卖方将在收到买方通知后</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single"/>
          <w:lang w:val="en-US" w:eastAsia="zh-CN"/>
        </w:rPr>
        <w:t xml:space="preserve"> </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000000"/>
          <w:sz w:val="24"/>
          <w:szCs w:val="24"/>
          <w:highlight w:val="none"/>
        </w:rPr>
        <w:t>天内将这些资料免费寄给买方。</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396" w:name="_Ref467379937"/>
      <w:bookmarkStart w:id="397" w:name="_Toc310195742"/>
      <w:bookmarkStart w:id="398" w:name="_Toc31795"/>
      <w:bookmarkStart w:id="399" w:name="_Ref467377798"/>
      <w:bookmarkStart w:id="400" w:name="_Toc506227579"/>
      <w:bookmarkStart w:id="401" w:name="_Toc487900359"/>
      <w:bookmarkStart w:id="402" w:name="_Ref467379946"/>
      <w:bookmarkStart w:id="403" w:name="_Ref467377962"/>
      <w:r>
        <w:rPr>
          <w:rFonts w:hint="eastAsia" w:ascii="楷体" w:hAnsi="楷体" w:eastAsia="楷体" w:cs="楷体"/>
          <w:color w:val="000000"/>
          <w:sz w:val="24"/>
          <w:szCs w:val="24"/>
          <w:highlight w:val="none"/>
        </w:rPr>
        <w:t>11. 质量保证</w:t>
      </w:r>
      <w:bookmarkEnd w:id="396"/>
      <w:bookmarkEnd w:id="397"/>
      <w:bookmarkEnd w:id="398"/>
      <w:bookmarkEnd w:id="399"/>
      <w:bookmarkEnd w:id="400"/>
      <w:bookmarkEnd w:id="401"/>
      <w:bookmarkEnd w:id="402"/>
      <w:bookmarkEnd w:id="403"/>
    </w:p>
    <w:p>
      <w:pPr>
        <w:shd w:val="clear" w:color="auto" w:fill="auto"/>
        <w:spacing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11.1 卖方应保证货物是全新、未使用过的，并完全符合强制性的国家技术质量规范和合同规定的质量、规格、性能和技术规范等的要求。</w:t>
      </w:r>
    </w:p>
    <w:p>
      <w:pPr>
        <w:shd w:val="clear" w:color="auto" w:fill="auto"/>
        <w:spacing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11.2 卖方应保证所提供的货物经正确安装、正常运转和保养，在其使用寿命期内应具有符合质量要求和产品说明书的性能。在货物质量保证期之内，卖方应对由于设计、工艺或材料的缺陷而发生的任何不足或故障负责。</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11.3 根据买方按检验标准自己检验结果或委托有资质的相关质检机构的检验结果，或者在质量保证期内，如果货物的数量、质量或规格与合同不符，或证实货物是有缺陷的，包括潜在的缺陷或使用不符合要求的材料等，买方应尽快以书面形式通知卖方。卖方在收到通知后最迟</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val="en-US" w:eastAsia="zh-CN"/>
        </w:rPr>
        <w:t xml:space="preserve"> 2 </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天内应免费维修或更换有缺陷的货物或部件。平台出现技术问题，在最迟</w:t>
      </w:r>
      <w:r>
        <w:rPr>
          <w:rFonts w:hint="eastAsia" w:ascii="楷体" w:hAnsi="楷体" w:eastAsia="楷体" w:cs="楷体"/>
          <w:color w:val="000000"/>
          <w:sz w:val="24"/>
          <w:szCs w:val="24"/>
          <w:highlight w:val="none"/>
          <w:u w:val="single"/>
          <w:lang w:val="en-US" w:eastAsia="zh-CN"/>
        </w:rPr>
        <w:t xml:space="preserve"> 48 </w:t>
      </w:r>
      <w:r>
        <w:rPr>
          <w:rFonts w:hint="eastAsia" w:ascii="楷体" w:hAnsi="楷体" w:eastAsia="楷体" w:cs="楷体"/>
          <w:color w:val="000000"/>
          <w:sz w:val="24"/>
          <w:szCs w:val="24"/>
          <w:highlight w:val="none"/>
        </w:rPr>
        <w:t>小时内解决。</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11.4 如果卖方在收到通知后</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single"/>
          <w:lang w:val="en-US" w:eastAsia="zh-CN"/>
        </w:rPr>
        <w:t xml:space="preserve">  </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000000"/>
          <w:sz w:val="24"/>
          <w:szCs w:val="24"/>
          <w:highlight w:val="none"/>
        </w:rPr>
        <w:t>天内没有弥补缺陷，买方可采取必要的补救措施，但由此引发的风险和费用将由卖方承担。</w:t>
      </w:r>
    </w:p>
    <w:p>
      <w:pPr>
        <w:shd w:val="clear" w:color="auto" w:fill="auto"/>
        <w:spacing w:before="120" w:line="360" w:lineRule="auto"/>
        <w:ind w:firstLine="480" w:firstLineChars="200"/>
        <w:rPr>
          <w:rFonts w:hint="eastAsia" w:ascii="楷体" w:hAnsi="楷体" w:eastAsia="楷体" w:cs="楷体"/>
          <w:b/>
          <w:color w:val="000000"/>
          <w:sz w:val="24"/>
          <w:szCs w:val="24"/>
          <w:highlight w:val="none"/>
        </w:rPr>
      </w:pPr>
      <w:r>
        <w:rPr>
          <w:rFonts w:hint="eastAsia" w:ascii="楷体" w:hAnsi="楷体" w:eastAsia="楷体" w:cs="楷体"/>
          <w:color w:val="000000"/>
          <w:sz w:val="24"/>
          <w:szCs w:val="24"/>
          <w:highlight w:val="none"/>
        </w:rPr>
        <w:t>11.5 合同项下货物的质量保证期为自货物通过最终验收起</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val="en-US" w:eastAsia="zh-CN"/>
        </w:rPr>
        <w:t>12</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个月。</w:t>
      </w:r>
      <w:r>
        <w:rPr>
          <w:rFonts w:hint="eastAsia" w:ascii="楷体" w:hAnsi="楷体" w:eastAsia="楷体" w:cs="楷体"/>
          <w:b/>
          <w:color w:val="000000"/>
          <w:sz w:val="24"/>
          <w:szCs w:val="24"/>
          <w:highlight w:val="none"/>
        </w:rPr>
        <w:t>详见合同特殊条款.</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04" w:name="_Toc487900360"/>
      <w:bookmarkStart w:id="405" w:name="_Ref467378018"/>
      <w:bookmarkStart w:id="406" w:name="_Toc506227580"/>
      <w:bookmarkStart w:id="407" w:name="_Toc310195743"/>
      <w:bookmarkStart w:id="408" w:name="_Toc22683"/>
      <w:r>
        <w:rPr>
          <w:rFonts w:hint="eastAsia" w:ascii="楷体" w:hAnsi="楷体" w:eastAsia="楷体" w:cs="楷体"/>
          <w:color w:val="000000"/>
          <w:sz w:val="24"/>
          <w:szCs w:val="24"/>
          <w:highlight w:val="none"/>
        </w:rPr>
        <w:t>12. 检验</w:t>
      </w:r>
      <w:bookmarkEnd w:id="404"/>
      <w:bookmarkEnd w:id="405"/>
      <w:r>
        <w:rPr>
          <w:rFonts w:hint="eastAsia" w:ascii="楷体" w:hAnsi="楷体" w:eastAsia="楷体" w:cs="楷体"/>
          <w:color w:val="000000"/>
          <w:sz w:val="24"/>
          <w:szCs w:val="24"/>
          <w:highlight w:val="none"/>
        </w:rPr>
        <w:t>和验收</w:t>
      </w:r>
      <w:bookmarkEnd w:id="406"/>
      <w:bookmarkEnd w:id="407"/>
      <w:bookmarkEnd w:id="408"/>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12.1 在交货前，制造商应对货物的质量、规格、性能、数量和重量等进行详细而全面</w:t>
      </w:r>
      <w:r>
        <w:rPr>
          <w:rFonts w:hint="eastAsia" w:ascii="楷体" w:hAnsi="楷体" w:cs="楷体"/>
          <w:color w:val="000000"/>
          <w:sz w:val="24"/>
          <w:szCs w:val="24"/>
          <w:highlight w:val="none"/>
          <w:lang w:eastAsia="zh-CN"/>
        </w:rPr>
        <w:t>地</w:t>
      </w:r>
      <w:r>
        <w:rPr>
          <w:rFonts w:hint="eastAsia" w:ascii="楷体" w:hAnsi="楷体" w:eastAsia="楷体" w:cs="楷体"/>
          <w:color w:val="000000"/>
          <w:sz w:val="24"/>
          <w:szCs w:val="24"/>
          <w:highlight w:val="none"/>
        </w:rPr>
        <w:t>检验，并出具证明货物符合合同规定的文件。制造商检验的结果和细节应在文件中加以说明。该文件将作为申请付款单据的一部分，但有关质量、规格、性能、数量或重量的检验不应视为最终检验。</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12.2 货物运抵现场后，买方应在</w:t>
      </w:r>
      <w:r>
        <w:rPr>
          <w:rFonts w:hint="eastAsia" w:ascii="楷体" w:hAnsi="楷体" w:eastAsia="楷体" w:cs="楷体"/>
          <w:color w:val="000000"/>
          <w:sz w:val="24"/>
          <w:szCs w:val="24"/>
          <w:highlight w:val="none"/>
          <w:u w:val="single"/>
        </w:rPr>
        <w:t xml:space="preserve"> 7 </w:t>
      </w:r>
      <w:r>
        <w:rPr>
          <w:rFonts w:hint="eastAsia" w:ascii="楷体" w:hAnsi="楷体" w:eastAsia="楷体" w:cs="楷体"/>
          <w:color w:val="000000"/>
          <w:sz w:val="24"/>
          <w:szCs w:val="24"/>
          <w:highlight w:val="none"/>
        </w:rPr>
        <w:t>日内组织验收，并制作验收备忘录，签署验收意见并报政府采购监督管理部门备案。</w:t>
      </w:r>
    </w:p>
    <w:p>
      <w:pPr>
        <w:shd w:val="clear" w:color="auto" w:fill="auto"/>
        <w:spacing w:line="360" w:lineRule="auto"/>
        <w:ind w:left="1"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12.3 如果任何被检验或测试的货物不能满足规格的要求，买方可以拒绝接受该货物，卖方应更换被拒绝的货物，或者免费进行必要的修改以满足规格的要求。</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12.4 买方有在货物制造过程中派人员监造的权利</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 xml:space="preserve"> 卖方有义务为买方监造人员行使该权利提供方便。</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12.5 制造厂对所供货物进行机械运转试验和性能试验时，必须提前通知买方。</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09" w:name="_Toc506227581"/>
      <w:bookmarkStart w:id="410" w:name="_Toc25398"/>
      <w:bookmarkStart w:id="411" w:name="_Toc487900361"/>
      <w:bookmarkStart w:id="412" w:name="_Toc310195744"/>
      <w:r>
        <w:rPr>
          <w:rFonts w:hint="eastAsia" w:ascii="楷体" w:hAnsi="楷体" w:eastAsia="楷体" w:cs="楷体"/>
          <w:color w:val="000000"/>
          <w:sz w:val="24"/>
          <w:szCs w:val="24"/>
          <w:highlight w:val="none"/>
        </w:rPr>
        <w:t>13. 索赔</w:t>
      </w:r>
      <w:bookmarkEnd w:id="409"/>
      <w:bookmarkEnd w:id="410"/>
      <w:bookmarkEnd w:id="411"/>
      <w:bookmarkEnd w:id="412"/>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13.1 如果货物的质量、规格、数量、重量等与合同不符，或在第11.5规定的质量保证期内证实货物是有缺陷的，包括潜在的缺陷或使用不符合要求的材料，买方有权根据有资质的质检机构的检验结果向卖方提出索赔。但责任应由保险公司或运输部门承担的除外。</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bookmarkStart w:id="413" w:name="_Ref467378076"/>
      <w:r>
        <w:rPr>
          <w:rFonts w:hint="eastAsia" w:ascii="楷体" w:hAnsi="楷体" w:eastAsia="楷体" w:cs="楷体"/>
          <w:color w:val="000000"/>
          <w:sz w:val="24"/>
          <w:szCs w:val="24"/>
          <w:highlight w:val="none"/>
        </w:rPr>
        <w:t>13.2 在根据合同第11条和第12条规定的检验期和质量保证期内，如果卖方对买方提出的索赔负有责任，卖方应按照买方同意的下列一种或多种方式解决索赔事宜：</w:t>
      </w:r>
      <w:bookmarkEnd w:id="413"/>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13.2.1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13.2.2 根据货物低劣程度、损坏程度以及买方所遭受损失的数额，经买卖双方商定降低货物的价格，或由有权的部门评估，以降低后的价格或评估价格为准。</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13.2.3 用符合规格、质量和性能要求的新零件、部件或货物来更换有缺陷的部分或／和修补缺陷部分，卖方应承担一切费用和风险并负担买方所发生的一切直接费用。同时，卖方应按合同第11条规定，相应延长修补或更换件的质量保证期。</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13.3 如果在买方发出索赔通知后</w:t>
      </w:r>
      <w:r>
        <w:rPr>
          <w:rFonts w:hint="eastAsia" w:ascii="楷体" w:hAnsi="楷体" w:eastAsia="楷体" w:cs="楷体"/>
          <w:color w:val="000000"/>
          <w:sz w:val="24"/>
          <w:szCs w:val="24"/>
          <w:highlight w:val="none"/>
          <w:u w:val="single"/>
        </w:rPr>
        <w:t xml:space="preserve"> 7 </w:t>
      </w:r>
      <w:r>
        <w:rPr>
          <w:rFonts w:hint="eastAsia" w:ascii="楷体" w:hAnsi="楷体" w:eastAsia="楷体" w:cs="楷体"/>
          <w:color w:val="000000"/>
          <w:sz w:val="24"/>
          <w:szCs w:val="24"/>
          <w:highlight w:val="none"/>
        </w:rPr>
        <w:t>天内，卖方未作答复，上述索赔应视为已被卖方接受。如卖方未能在买方提出索赔通知后</w:t>
      </w:r>
      <w:r>
        <w:rPr>
          <w:rFonts w:hint="eastAsia" w:ascii="楷体" w:hAnsi="楷体" w:eastAsia="楷体" w:cs="楷体"/>
          <w:color w:val="000000"/>
          <w:sz w:val="24"/>
          <w:szCs w:val="24"/>
          <w:highlight w:val="none"/>
          <w:u w:val="single"/>
        </w:rPr>
        <w:t xml:space="preserve"> 7 </w:t>
      </w:r>
      <w:r>
        <w:rPr>
          <w:rFonts w:hint="eastAsia" w:ascii="楷体" w:hAnsi="楷体" w:eastAsia="楷体" w:cs="楷体"/>
          <w:color w:val="000000"/>
          <w:sz w:val="24"/>
          <w:szCs w:val="24"/>
          <w:highlight w:val="none"/>
        </w:rPr>
        <w:t>天内或买方同意的更长时间内，按照本合同第13.2条规定的任何一种方法解决索赔事宜，买方将从合同款或从卖方开具的履约保证金保函中扣回索赔金额。如果这些金额不足以补偿索赔金额，买方有权向卖方提出不足部分的补偿。</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14" w:name="_Toc506227582"/>
      <w:bookmarkStart w:id="415" w:name="_Toc310195745"/>
      <w:bookmarkStart w:id="416" w:name="_Toc487900362"/>
      <w:bookmarkStart w:id="417" w:name="_Toc30626"/>
      <w:r>
        <w:rPr>
          <w:rFonts w:hint="eastAsia" w:ascii="楷体" w:hAnsi="楷体" w:eastAsia="楷体" w:cs="楷体"/>
          <w:color w:val="000000"/>
          <w:sz w:val="24"/>
          <w:szCs w:val="24"/>
          <w:highlight w:val="none"/>
        </w:rPr>
        <w:t>14. 迟延交货</w:t>
      </w:r>
      <w:bookmarkEnd w:id="414"/>
      <w:bookmarkEnd w:id="415"/>
      <w:bookmarkEnd w:id="416"/>
      <w:bookmarkEnd w:id="417"/>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14.1 卖方应按照“货物需求一览表及技术规格”中买方规定的时间表交货和提供服务。</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14.2 如果卖方无正当理由迟延交货，买方有权提出违约损失赔偿或解除合同。</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14.3 在履行合同过程中，如果卖方遇到不能按时交货和提供服务的情况，应及时以书面形式将不能按时交货的理由、预期延误时间通知买方。买方收到卖方通知后，认为其理由正当的，可酌情延长交货时间。</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18" w:name="_Toc310195746"/>
      <w:bookmarkStart w:id="419" w:name="_Toc506227583"/>
      <w:bookmarkStart w:id="420" w:name="_Toc487900363"/>
      <w:bookmarkStart w:id="421" w:name="_Toc8854"/>
      <w:r>
        <w:rPr>
          <w:rFonts w:hint="eastAsia" w:ascii="楷体" w:hAnsi="楷体" w:eastAsia="楷体" w:cs="楷体"/>
          <w:color w:val="000000"/>
          <w:sz w:val="24"/>
          <w:szCs w:val="24"/>
          <w:highlight w:val="none"/>
        </w:rPr>
        <w:t>15. 违约赔偿</w:t>
      </w:r>
      <w:bookmarkEnd w:id="418"/>
      <w:bookmarkEnd w:id="419"/>
      <w:bookmarkEnd w:id="420"/>
      <w:bookmarkEnd w:id="421"/>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15.1 除合同第16条规定外，如果卖方没有按照合同规定的时间交货和提供服务，买方可要求卖方支付违约金。违约金按每周迟交货物或未提供服务交货价的0.5%计收。但违约金的最高限额为迟交货物或没有提供服务的合同价的10%。一周按7天计算，不足7天按一周计算。如果达到最高限额，买方有权解除合同。</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15.2如卖方或其指定的售后维保商（或厂家）未能按照本合同约定履行质保义务，或不能及时响应按时提供质保服务的，买方应按照本合同约定从卖方质量保证金中扣除维保费用。</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15.3卖方所提供的产品质量或规格如与合同不符，或证实设备是有缺陷的，包括潜在的缺陷或使用不符合要求的材料等，卖方应在接到买方通知后3天内负责采用符合合同规定的规格、质量和性能要求的新零件、部件或设备来更换有缺陷的部分或修补缺陷部分，其费用由卖方负担。同时，卖方应按本合同规定，相应延长修补或更换件的质量保证期。卖方提供设备为全新设备，如买方在使用期间发现是经过翻新或改造等非全新的设备，造成的直接及间接损失由卖方承担，并承担相应的法律责任。买方拥有不限时限的追索权。</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15.4当买方发现卖方提供的产品有质量问题，或于本合同规格不符等问题，导致买方无法使用，卖方应在 24 小时内予以解决。 超过48小时未能解决，卖方有义务向买方说明情况申请延期。如卖方未向买方说明情况，买方有权利在向卖方支付的货款中扣除损失费。</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15.5质保期内如遇故障等其他因素，卖方应在</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小时内做出响应查出故障原因提交故障处理方案并能解决故障，卖方未能按合同约定期限解决故障的，卖方还应向买方支付10000元/天（不足24小时按一天计算）的违约金，直至故障完全解除；同时卖方48小时不能维修到位，则自48小时届满，卖方有义务免费提供备用设备供买方使用。备用设备的功能、能耗及使用便利性不得低于本合同项目中的设备。卖方逾期维修，买方可自行组织维修，但相关维修费用由卖方承担，买方可直接从卖方质量保证金中扣除，扣除后卖方应在5个日历日内将质量保证金补足。</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22" w:name="_Toc487900364"/>
      <w:bookmarkStart w:id="423" w:name="_Ref467378121"/>
      <w:bookmarkStart w:id="424" w:name="_Toc6715"/>
      <w:bookmarkStart w:id="425" w:name="_Toc310195747"/>
      <w:bookmarkStart w:id="426" w:name="_Toc506227584"/>
      <w:r>
        <w:rPr>
          <w:rFonts w:hint="eastAsia" w:ascii="楷体" w:hAnsi="楷体" w:eastAsia="楷体" w:cs="楷体"/>
          <w:color w:val="000000"/>
          <w:sz w:val="24"/>
          <w:szCs w:val="24"/>
          <w:highlight w:val="none"/>
        </w:rPr>
        <w:t>16. 不可抗力</w:t>
      </w:r>
      <w:bookmarkEnd w:id="422"/>
      <w:bookmarkEnd w:id="423"/>
      <w:bookmarkEnd w:id="424"/>
      <w:bookmarkEnd w:id="425"/>
      <w:bookmarkEnd w:id="426"/>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16.1 如果双方中任何一方遭遇法律规定的不可抗力，致使合同履行受阻时，履行合同的期限应予延长，延长的期限应相当于不可抗力所影响的时间。</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16.2 受事故影响的一方应在不可抗力的事故发生后尽快书面形式通知另一方，并在事故发生后</w:t>
      </w:r>
      <w:r>
        <w:rPr>
          <w:rFonts w:hint="eastAsia" w:ascii="楷体" w:hAnsi="楷体" w:eastAsia="楷体" w:cs="楷体"/>
          <w:color w:val="000000"/>
          <w:sz w:val="24"/>
          <w:szCs w:val="24"/>
          <w:highlight w:val="none"/>
          <w:u w:val="single"/>
        </w:rPr>
        <w:t xml:space="preserve"> 14 </w:t>
      </w:r>
      <w:r>
        <w:rPr>
          <w:rFonts w:hint="eastAsia" w:ascii="楷体" w:hAnsi="楷体" w:eastAsia="楷体" w:cs="楷体"/>
          <w:color w:val="000000"/>
          <w:sz w:val="24"/>
          <w:szCs w:val="24"/>
          <w:highlight w:val="none"/>
        </w:rPr>
        <w:t>天内，将有关部门出具的证明文件送达另一方。</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16.3不可抗力使合同的某些内容有变更必要的， 双方应通过协商在</w:t>
      </w:r>
      <w:r>
        <w:rPr>
          <w:rFonts w:hint="eastAsia" w:ascii="楷体" w:hAnsi="楷体" w:eastAsia="楷体" w:cs="楷体"/>
          <w:color w:val="000000"/>
          <w:sz w:val="24"/>
          <w:szCs w:val="24"/>
          <w:highlight w:val="none"/>
          <w:u w:val="single"/>
        </w:rPr>
        <w:t xml:space="preserve"> 28 </w:t>
      </w:r>
      <w:r>
        <w:rPr>
          <w:rFonts w:hint="eastAsia" w:ascii="楷体" w:hAnsi="楷体" w:eastAsia="楷体" w:cs="楷体"/>
          <w:color w:val="000000"/>
          <w:sz w:val="24"/>
          <w:szCs w:val="24"/>
          <w:highlight w:val="none"/>
        </w:rPr>
        <w:t>日内达成进一步履行合同的协议，因不可抗力致使合同不能履行的，合同终止。</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27" w:name="_Toc30269"/>
      <w:bookmarkStart w:id="428" w:name="_Toc506227585"/>
      <w:bookmarkStart w:id="429" w:name="_Toc310195748"/>
      <w:bookmarkStart w:id="430" w:name="_Toc487900365"/>
      <w:r>
        <w:rPr>
          <w:rFonts w:hint="eastAsia" w:ascii="楷体" w:hAnsi="楷体" w:eastAsia="楷体" w:cs="楷体"/>
          <w:color w:val="000000"/>
          <w:sz w:val="24"/>
          <w:szCs w:val="24"/>
          <w:highlight w:val="none"/>
        </w:rPr>
        <w:t>17. 税费</w:t>
      </w:r>
      <w:bookmarkEnd w:id="427"/>
      <w:bookmarkEnd w:id="428"/>
      <w:bookmarkEnd w:id="429"/>
      <w:bookmarkEnd w:id="430"/>
    </w:p>
    <w:p>
      <w:pPr>
        <w:shd w:val="clear" w:color="auto" w:fill="auto"/>
        <w:spacing w:before="120" w:line="360" w:lineRule="auto"/>
        <w:ind w:left="960"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17.1 与本合同有关的一切税费均适用中华人民共和国法律的相关规定。</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31" w:name="_Hlt487900425"/>
      <w:bookmarkEnd w:id="431"/>
      <w:bookmarkStart w:id="432" w:name="_Toc487900366"/>
      <w:bookmarkStart w:id="433" w:name="_Toc310195749"/>
      <w:bookmarkStart w:id="434" w:name="_Toc21529"/>
      <w:bookmarkStart w:id="435" w:name="_Toc506227586"/>
      <w:r>
        <w:rPr>
          <w:rFonts w:hint="eastAsia" w:ascii="楷体" w:hAnsi="楷体" w:eastAsia="楷体" w:cs="楷体"/>
          <w:color w:val="000000"/>
          <w:sz w:val="24"/>
          <w:szCs w:val="24"/>
          <w:highlight w:val="none"/>
        </w:rPr>
        <w:t>18. 仲裁</w:t>
      </w:r>
      <w:bookmarkEnd w:id="432"/>
      <w:bookmarkEnd w:id="433"/>
      <w:bookmarkEnd w:id="434"/>
      <w:bookmarkEnd w:id="435"/>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18.1 买卖双方应通过友好协商，解决在执行本合同中所发生的或与本合同有关的一切争端。如果协商不成的，任何一方均可申请当地仲裁委员会进行仲裁。</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18.2 仲裁裁决应为最终裁决，对双方均具有约束力，当事人应当履行。当事人一方在规定时间内不履行仲裁机构的仲裁裁决的，另一方可以申请人民法院强制执行。</w:t>
      </w:r>
    </w:p>
    <w:p>
      <w:pPr>
        <w:shd w:val="clear" w:color="auto" w:fill="auto"/>
        <w:tabs>
          <w:tab w:val="left" w:pos="900"/>
        </w:tabs>
        <w:spacing w:before="120" w:line="360" w:lineRule="auto"/>
        <w:ind w:firstLine="480" w:firstLineChars="200"/>
        <w:outlineLvl w:val="2"/>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18.3 仲裁费除仲裁机构另有裁决外，应由败诉方负担。</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18.4 在仲裁期间，除正在进行仲裁的合同条款外，合同的其它部分应继续执行。</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36" w:name="_Toc310195750"/>
      <w:bookmarkStart w:id="437" w:name="_Toc487900367"/>
      <w:bookmarkStart w:id="438" w:name="_Toc506227587"/>
      <w:bookmarkStart w:id="439" w:name="_Toc29898"/>
      <w:r>
        <w:rPr>
          <w:rFonts w:hint="eastAsia" w:ascii="楷体" w:hAnsi="楷体" w:eastAsia="楷体" w:cs="楷体"/>
          <w:color w:val="000000"/>
          <w:sz w:val="24"/>
          <w:szCs w:val="24"/>
          <w:highlight w:val="none"/>
        </w:rPr>
        <w:t>19. 违约解除合同</w:t>
      </w:r>
      <w:bookmarkEnd w:id="436"/>
      <w:bookmarkEnd w:id="437"/>
      <w:bookmarkEnd w:id="438"/>
      <w:bookmarkEnd w:id="439"/>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bookmarkStart w:id="440" w:name="_Ref467378234"/>
      <w:r>
        <w:rPr>
          <w:rFonts w:hint="eastAsia" w:ascii="楷体" w:hAnsi="楷体" w:eastAsia="楷体" w:cs="楷体"/>
          <w:color w:val="000000"/>
          <w:sz w:val="24"/>
          <w:szCs w:val="24"/>
          <w:highlight w:val="none"/>
        </w:rPr>
        <w:t>19.1 在卖方违约的情况下，买方经政府采购监督管理部门同意后，可向卖方发出书面通知，部分或全部终止合同。同时保留向卖方追诉的权利。</w:t>
      </w:r>
      <w:bookmarkEnd w:id="440"/>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19.1.1 卖方未能在合同规定的限期或买方同意延长的限期内，提供全部或部分货物的； </w:t>
      </w:r>
    </w:p>
    <w:p>
      <w:pPr>
        <w:shd w:val="clear" w:color="auto" w:fill="auto"/>
        <w:spacing w:before="120" w:line="360" w:lineRule="auto"/>
        <w:ind w:firstLine="480" w:firstLineChars="200"/>
        <w:outlineLvl w:val="2"/>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19.1.2 卖方未能履行合同规定的其它主要义务的；</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19.1.3 买方认为卖方在本合同履行过程中有腐败和欺诈行为的。</w:t>
      </w:r>
    </w:p>
    <w:p>
      <w:pPr>
        <w:shd w:val="clear" w:color="auto" w:fill="auto"/>
        <w:spacing w:before="120" w:line="360" w:lineRule="auto"/>
        <w:ind w:firstLine="480" w:firstLineChars="200"/>
        <w:outlineLvl w:val="3"/>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19.1.3.1“腐败行为”和“欺诈行为”定义如下:</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19.1.3.1.1“腐败行为”是指提供/给予/接受或索取任何有价值的东西来影响买方在</w:t>
      </w:r>
      <w:r>
        <w:rPr>
          <w:rFonts w:hint="eastAsia" w:ascii="楷体" w:hAnsi="楷体" w:eastAsia="楷体" w:cs="楷体"/>
          <w:color w:val="000000"/>
          <w:sz w:val="24"/>
          <w:szCs w:val="24"/>
          <w:highlight w:val="none"/>
          <w:lang w:eastAsia="zh-CN"/>
        </w:rPr>
        <w:t>合同签订</w:t>
      </w:r>
      <w:r>
        <w:rPr>
          <w:rFonts w:hint="eastAsia" w:ascii="楷体" w:hAnsi="楷体" w:eastAsia="楷体" w:cs="楷体"/>
          <w:color w:val="000000"/>
          <w:sz w:val="24"/>
          <w:szCs w:val="24"/>
          <w:highlight w:val="none"/>
        </w:rPr>
        <w:t>、履行过程中的行为。</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19.1.3.1.2“欺诈行为”是指为了影响</w:t>
      </w:r>
      <w:r>
        <w:rPr>
          <w:rFonts w:hint="eastAsia" w:ascii="楷体" w:hAnsi="楷体" w:eastAsia="楷体" w:cs="楷体"/>
          <w:color w:val="000000"/>
          <w:sz w:val="24"/>
          <w:szCs w:val="24"/>
          <w:highlight w:val="none"/>
          <w:lang w:eastAsia="zh-CN"/>
        </w:rPr>
        <w:t>合同签订</w:t>
      </w:r>
      <w:r>
        <w:rPr>
          <w:rFonts w:hint="eastAsia" w:ascii="楷体" w:hAnsi="楷体" w:eastAsia="楷体" w:cs="楷体"/>
          <w:color w:val="000000"/>
          <w:sz w:val="24"/>
          <w:szCs w:val="24"/>
          <w:highlight w:val="none"/>
        </w:rPr>
        <w:t>、履行过程中，以谎报事实的方法，损害买方的利益的行为。</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19.2 在买方根据上述第19.1条规定，全部或部分解除合同之后，应当遵循诚实信用原则，以政府采购监督管理部门同意的方式，购买与未交付的货物类似的货物或服务，卖方应承担买方购买类似货物或服务而产生的额外支出。部分解除合同的，卖方应继续履行合同中未解除的部分。</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41" w:name="_Toc506227588"/>
      <w:bookmarkStart w:id="442" w:name="_Toc29716"/>
      <w:bookmarkStart w:id="443" w:name="_Toc487900368"/>
      <w:bookmarkStart w:id="444" w:name="_Toc310195751"/>
      <w:r>
        <w:rPr>
          <w:rFonts w:hint="eastAsia" w:ascii="楷体" w:hAnsi="楷体" w:eastAsia="楷体" w:cs="楷体"/>
          <w:color w:val="000000"/>
          <w:sz w:val="24"/>
          <w:szCs w:val="24"/>
          <w:highlight w:val="none"/>
        </w:rPr>
        <w:t>20. 破产终止合同</w:t>
      </w:r>
      <w:bookmarkEnd w:id="441"/>
      <w:bookmarkEnd w:id="442"/>
      <w:bookmarkEnd w:id="443"/>
      <w:bookmarkEnd w:id="444"/>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20.1 如果卖方破产或无清偿能力时，买方经报政府采购监督管理部门同意后，可在任何时候以书面通知卖方，提出终止合同而不给卖方补偿。该合同的终止将不损害或影响买方已经采取或将要采取的任何行动或补救措施的权利。</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45" w:name="_Toc487900369"/>
      <w:bookmarkStart w:id="446" w:name="_Toc24976"/>
      <w:bookmarkStart w:id="447" w:name="_Toc310195752"/>
      <w:bookmarkStart w:id="448" w:name="_Toc506227589"/>
      <w:r>
        <w:rPr>
          <w:rFonts w:hint="eastAsia" w:ascii="楷体" w:hAnsi="楷体" w:eastAsia="楷体" w:cs="楷体"/>
          <w:color w:val="000000"/>
          <w:sz w:val="24"/>
          <w:szCs w:val="24"/>
          <w:highlight w:val="none"/>
        </w:rPr>
        <w:t>21. 转让和分包</w:t>
      </w:r>
      <w:bookmarkEnd w:id="445"/>
      <w:bookmarkEnd w:id="446"/>
      <w:bookmarkEnd w:id="447"/>
      <w:bookmarkEnd w:id="448"/>
    </w:p>
    <w:p>
      <w:pPr>
        <w:shd w:val="clear" w:color="auto" w:fill="auto"/>
        <w:spacing w:before="120" w:line="360" w:lineRule="auto"/>
        <w:ind w:firstLine="480" w:firstLineChars="200"/>
        <w:outlineLvl w:val="2"/>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21.1 </w:t>
      </w:r>
      <w:r>
        <w:rPr>
          <w:rFonts w:hint="eastAsia" w:ascii="楷体" w:hAnsi="楷体" w:eastAsia="楷体" w:cs="楷体"/>
          <w:b/>
          <w:color w:val="000000"/>
          <w:sz w:val="24"/>
          <w:szCs w:val="24"/>
          <w:highlight w:val="none"/>
        </w:rPr>
        <w:t>政府采购合同不能转让。</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21.2 经买方和政府采购监督管理部门事先书面同意 卖方可以将合同项下非主体、非关键性工作分包给他人完成。接受分包的人应当具备相应的资格条件，并不得再次分包。分包不能解除卖方履行本合同的责任和义务。</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49" w:name="_Toc310195753"/>
      <w:bookmarkStart w:id="450" w:name="_Toc506227590"/>
      <w:bookmarkStart w:id="451" w:name="_Toc26820"/>
      <w:bookmarkStart w:id="452" w:name="_Toc487900370"/>
      <w:r>
        <w:rPr>
          <w:rFonts w:hint="eastAsia" w:ascii="楷体" w:hAnsi="楷体" w:eastAsia="楷体" w:cs="楷体"/>
          <w:color w:val="000000"/>
          <w:sz w:val="24"/>
          <w:szCs w:val="24"/>
          <w:highlight w:val="none"/>
        </w:rPr>
        <w:t>22. 合同修改</w:t>
      </w:r>
      <w:bookmarkEnd w:id="449"/>
      <w:bookmarkEnd w:id="450"/>
      <w:bookmarkEnd w:id="451"/>
      <w:bookmarkEnd w:id="452"/>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22.1 买方和卖方都不得擅自变更本合同，但合同继续履行将损害国家和社会公共利益的除外。如必须对合同条款进行改动时，由双方当事人提出书面的合同修改意见，并经政府采购监督管理部门同意后签署。</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53" w:name="_Toc506227591"/>
      <w:bookmarkStart w:id="454" w:name="_Toc487900371"/>
      <w:bookmarkStart w:id="455" w:name="_Toc28454"/>
      <w:bookmarkStart w:id="456" w:name="_Toc310195754"/>
      <w:r>
        <w:rPr>
          <w:rFonts w:hint="eastAsia" w:ascii="楷体" w:hAnsi="楷体" w:eastAsia="楷体" w:cs="楷体"/>
          <w:color w:val="000000"/>
          <w:sz w:val="24"/>
          <w:szCs w:val="24"/>
          <w:highlight w:val="none"/>
        </w:rPr>
        <w:t>23. 通知</w:t>
      </w:r>
      <w:bookmarkEnd w:id="453"/>
      <w:bookmarkEnd w:id="454"/>
      <w:bookmarkEnd w:id="455"/>
      <w:bookmarkEnd w:id="456"/>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23.1 本合同任何一方给另一方的通知，都应以书面形式发送，而另一方也应以书面形式确认并发送到对方明确的地址。</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57" w:name="_Toc310195755"/>
      <w:bookmarkStart w:id="458" w:name="_Toc506227592"/>
      <w:bookmarkStart w:id="459" w:name="_Toc487900372"/>
      <w:bookmarkStart w:id="460" w:name="_Toc10037"/>
      <w:r>
        <w:rPr>
          <w:rFonts w:hint="eastAsia" w:ascii="楷体" w:hAnsi="楷体" w:eastAsia="楷体" w:cs="楷体"/>
          <w:color w:val="000000"/>
          <w:sz w:val="24"/>
          <w:szCs w:val="24"/>
          <w:highlight w:val="none"/>
        </w:rPr>
        <w:t>24. 计量单位</w:t>
      </w:r>
      <w:bookmarkEnd w:id="457"/>
      <w:bookmarkEnd w:id="458"/>
      <w:bookmarkEnd w:id="459"/>
      <w:bookmarkEnd w:id="460"/>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24.1 除技术规范中另有规定外</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计量单位均使用国家法定计量单位。</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61" w:name="_Toc310195756"/>
      <w:bookmarkStart w:id="462" w:name="_Toc487900373"/>
      <w:bookmarkStart w:id="463" w:name="_Toc506227593"/>
      <w:bookmarkStart w:id="464" w:name="_Toc32726"/>
      <w:r>
        <w:rPr>
          <w:rFonts w:hint="eastAsia" w:ascii="楷体" w:hAnsi="楷体" w:eastAsia="楷体" w:cs="楷体"/>
          <w:color w:val="000000"/>
          <w:sz w:val="24"/>
          <w:szCs w:val="24"/>
          <w:highlight w:val="none"/>
        </w:rPr>
        <w:t>25. 适用法律</w:t>
      </w:r>
      <w:bookmarkEnd w:id="461"/>
      <w:bookmarkEnd w:id="462"/>
      <w:bookmarkEnd w:id="463"/>
      <w:bookmarkEnd w:id="464"/>
    </w:p>
    <w:p>
      <w:pPr>
        <w:shd w:val="clear" w:color="auto" w:fill="auto"/>
        <w:spacing w:before="120" w:line="360" w:lineRule="auto"/>
        <w:ind w:firstLine="480" w:firstLineChars="200"/>
        <w:outlineLvl w:val="2"/>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25.1 本合同应按照中华人民共和国的法律进行解释。</w:t>
      </w:r>
    </w:p>
    <w:p>
      <w:pPr>
        <w:pStyle w:val="7"/>
        <w:shd w:val="clear" w:color="auto" w:fill="auto"/>
        <w:spacing w:line="360" w:lineRule="auto"/>
        <w:ind w:firstLine="482" w:firstLineChars="200"/>
        <w:outlineLvl w:val="1"/>
        <w:rPr>
          <w:rFonts w:hint="eastAsia" w:ascii="楷体" w:hAnsi="楷体" w:eastAsia="楷体" w:cs="楷体"/>
          <w:color w:val="000000"/>
          <w:sz w:val="24"/>
          <w:szCs w:val="24"/>
          <w:highlight w:val="none"/>
        </w:rPr>
      </w:pPr>
      <w:bookmarkStart w:id="465" w:name="_Toc487900374"/>
      <w:bookmarkStart w:id="466" w:name="_Toc3128"/>
      <w:bookmarkStart w:id="467" w:name="_Toc506227594"/>
      <w:bookmarkStart w:id="468" w:name="_Toc310195757"/>
      <w:r>
        <w:rPr>
          <w:rFonts w:hint="eastAsia" w:ascii="楷体" w:hAnsi="楷体" w:eastAsia="楷体" w:cs="楷体"/>
          <w:color w:val="000000"/>
          <w:sz w:val="24"/>
          <w:szCs w:val="24"/>
          <w:highlight w:val="none"/>
        </w:rPr>
        <w:t>26. 合同生效</w:t>
      </w:r>
      <w:bookmarkEnd w:id="465"/>
      <w:r>
        <w:rPr>
          <w:rFonts w:hint="eastAsia" w:ascii="楷体" w:hAnsi="楷体" w:eastAsia="楷体" w:cs="楷体"/>
          <w:color w:val="000000"/>
          <w:sz w:val="24"/>
          <w:szCs w:val="24"/>
          <w:highlight w:val="none"/>
        </w:rPr>
        <w:t>和其它</w:t>
      </w:r>
      <w:bookmarkEnd w:id="466"/>
      <w:bookmarkEnd w:id="467"/>
      <w:bookmarkEnd w:id="468"/>
    </w:p>
    <w:p>
      <w:pPr>
        <w:pStyle w:val="6"/>
        <w:shd w:val="clear" w:color="auto" w:fill="auto"/>
        <w:spacing w:line="360" w:lineRule="auto"/>
        <w:ind w:left="2"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26.1 </w:t>
      </w:r>
      <w:r>
        <w:rPr>
          <w:rFonts w:hint="eastAsia" w:ascii="楷体" w:hAnsi="楷体" w:eastAsia="楷体" w:cs="楷体"/>
          <w:color w:val="000000"/>
          <w:kern w:val="2"/>
          <w:sz w:val="24"/>
          <w:szCs w:val="24"/>
          <w:highlight w:val="none"/>
        </w:rPr>
        <w:t>政府采购项目的采购合同内容的确定应以招标文件和投标文件为基础，不得违背其实质性内容。政府采购项目的采购合同自签订之日起七个工作日内，买方应当将合同副本报同级政府采购监督管理部门备案。合同将在双方签字盖章后开始生效。</w:t>
      </w:r>
    </w:p>
    <w:p>
      <w:pPr>
        <w:shd w:val="clear" w:color="auto" w:fill="auto"/>
        <w:spacing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26.2 本合同一式</w:t>
      </w:r>
      <w:r>
        <w:rPr>
          <w:rFonts w:hint="eastAsia" w:ascii="楷体" w:hAnsi="楷体" w:eastAsia="楷体" w:cs="楷体"/>
          <w:color w:val="000000"/>
          <w:sz w:val="24"/>
          <w:szCs w:val="24"/>
          <w:highlight w:val="none"/>
          <w:u w:val="single"/>
        </w:rPr>
        <w:t xml:space="preserve"> 8 </w:t>
      </w:r>
      <w:r>
        <w:rPr>
          <w:rFonts w:hint="eastAsia" w:ascii="楷体" w:hAnsi="楷体" w:eastAsia="楷体" w:cs="楷体"/>
          <w:color w:val="000000"/>
          <w:sz w:val="24"/>
          <w:szCs w:val="24"/>
          <w:highlight w:val="none"/>
        </w:rPr>
        <w:t>份，具有同等法律效力。买方执</w:t>
      </w:r>
      <w:r>
        <w:rPr>
          <w:rFonts w:hint="eastAsia" w:ascii="楷体" w:hAnsi="楷体" w:eastAsia="楷体" w:cs="楷体"/>
          <w:color w:val="000000"/>
          <w:sz w:val="24"/>
          <w:szCs w:val="24"/>
          <w:highlight w:val="none"/>
          <w:u w:val="single"/>
        </w:rPr>
        <w:t xml:space="preserve"> 4 </w:t>
      </w:r>
      <w:r>
        <w:rPr>
          <w:rFonts w:hint="eastAsia" w:ascii="楷体" w:hAnsi="楷体" w:eastAsia="楷体" w:cs="楷体"/>
          <w:color w:val="000000"/>
          <w:sz w:val="24"/>
          <w:szCs w:val="24"/>
          <w:highlight w:val="none"/>
        </w:rPr>
        <w:t>份，卖方执</w:t>
      </w:r>
      <w:r>
        <w:rPr>
          <w:rFonts w:hint="eastAsia" w:ascii="楷体" w:hAnsi="楷体" w:eastAsia="楷体" w:cs="楷体"/>
          <w:color w:val="000000"/>
          <w:sz w:val="24"/>
          <w:szCs w:val="24"/>
          <w:highlight w:val="none"/>
          <w:u w:val="single"/>
        </w:rPr>
        <w:t xml:space="preserve"> 2 </w:t>
      </w:r>
      <w:r>
        <w:rPr>
          <w:rFonts w:hint="eastAsia" w:ascii="楷体" w:hAnsi="楷体" w:eastAsia="楷体" w:cs="楷体"/>
          <w:color w:val="000000"/>
          <w:sz w:val="24"/>
          <w:szCs w:val="24"/>
          <w:highlight w:val="none"/>
        </w:rPr>
        <w:t xml:space="preserve">份，采购代理机构执 </w:t>
      </w:r>
      <w:r>
        <w:rPr>
          <w:rFonts w:hint="eastAsia" w:ascii="楷体" w:hAnsi="楷体" w:eastAsia="楷体" w:cs="楷体"/>
          <w:color w:val="000000"/>
          <w:sz w:val="24"/>
          <w:szCs w:val="24"/>
          <w:highlight w:val="none"/>
          <w:u w:val="single"/>
        </w:rPr>
        <w:t xml:space="preserve"> 2 </w:t>
      </w:r>
      <w:r>
        <w:rPr>
          <w:rFonts w:hint="eastAsia" w:ascii="楷体" w:hAnsi="楷体" w:eastAsia="楷体" w:cs="楷体"/>
          <w:color w:val="000000"/>
          <w:sz w:val="24"/>
          <w:szCs w:val="24"/>
          <w:highlight w:val="none"/>
        </w:rPr>
        <w:t xml:space="preserve"> 份。</w:t>
      </w:r>
    </w:p>
    <w:p>
      <w:pPr>
        <w:pStyle w:val="5"/>
        <w:bidi w:val="0"/>
        <w:ind w:firstLine="482" w:firstLineChars="200"/>
        <w:outlineLvl w:val="2"/>
        <w:rPr>
          <w:rFonts w:hint="eastAsia" w:ascii="楷体" w:hAnsi="楷体" w:eastAsia="楷体" w:cs="楷体"/>
          <w:sz w:val="24"/>
          <w:szCs w:val="24"/>
        </w:rPr>
      </w:pPr>
      <w:bookmarkStart w:id="469" w:name="_Toc310195759"/>
      <w:bookmarkStart w:id="470" w:name="_Toc24493"/>
      <w:bookmarkStart w:id="471" w:name="_Toc506227595"/>
      <w:bookmarkStart w:id="472" w:name="_Toc6708"/>
      <w:bookmarkStart w:id="473" w:name="_Toc310195758"/>
      <w:r>
        <w:rPr>
          <w:rFonts w:hint="eastAsia" w:ascii="楷体" w:hAnsi="楷体" w:eastAsia="楷体" w:cs="楷体"/>
          <w:sz w:val="24"/>
          <w:szCs w:val="24"/>
        </w:rPr>
        <w:t>合同专用条款</w:t>
      </w:r>
      <w:bookmarkEnd w:id="469"/>
      <w:bookmarkEnd w:id="470"/>
      <w:bookmarkEnd w:id="471"/>
      <w:bookmarkEnd w:id="472"/>
      <w:bookmarkEnd w:id="473"/>
    </w:p>
    <w:p>
      <w:pPr>
        <w:shd w:val="clear" w:color="auto" w:fill="auto"/>
        <w:spacing w:before="120" w:line="360" w:lineRule="auto"/>
        <w:ind w:firstLine="480" w:firstLineChars="200"/>
        <w:rPr>
          <w:rFonts w:hint="eastAsia" w:ascii="楷体" w:hAnsi="楷体" w:eastAsia="楷体" w:cs="楷体"/>
          <w:sz w:val="24"/>
          <w:szCs w:val="24"/>
          <w:highlight w:val="none"/>
        </w:rPr>
      </w:pPr>
      <w:r>
        <w:rPr>
          <w:rFonts w:hint="eastAsia" w:ascii="楷体" w:hAnsi="楷体" w:eastAsia="楷体" w:cs="楷体"/>
          <w:color w:val="000000"/>
          <w:sz w:val="24"/>
          <w:szCs w:val="24"/>
          <w:highlight w:val="none"/>
        </w:rPr>
        <w:t>合同专用条款是合同一般条款的补充和修改。如果两者之间有抵触，应以专用条款为准。合同</w:t>
      </w:r>
      <w:r>
        <w:rPr>
          <w:rFonts w:hint="eastAsia" w:ascii="楷体" w:hAnsi="楷体" w:eastAsia="楷体" w:cs="楷体"/>
          <w:sz w:val="24"/>
          <w:szCs w:val="24"/>
          <w:highlight w:val="none"/>
        </w:rPr>
        <w:t>专用条款的序号将与合同一般条款序号相对应。</w:t>
      </w:r>
    </w:p>
    <w:p>
      <w:pPr>
        <w:shd w:val="clear" w:color="auto" w:fill="auto"/>
        <w:spacing w:line="360" w:lineRule="auto"/>
        <w:ind w:firstLine="480" w:firstLineChars="200"/>
        <w:outlineLvl w:val="1"/>
        <w:rPr>
          <w:rFonts w:hint="eastAsia" w:ascii="楷体" w:hAnsi="楷体" w:eastAsia="楷体" w:cs="楷体"/>
          <w:sz w:val="24"/>
          <w:szCs w:val="24"/>
          <w:highlight w:val="none"/>
        </w:rPr>
      </w:pPr>
      <w:r>
        <w:rPr>
          <w:rFonts w:hint="eastAsia" w:ascii="楷体" w:hAnsi="楷体" w:eastAsia="楷体" w:cs="楷体"/>
          <w:sz w:val="24"/>
          <w:szCs w:val="24"/>
          <w:highlight w:val="none"/>
        </w:rPr>
        <w:t>1、定义</w:t>
      </w:r>
    </w:p>
    <w:p>
      <w:pPr>
        <w:shd w:val="clear" w:color="auto" w:fill="auto"/>
        <w:spacing w:line="360" w:lineRule="auto"/>
        <w:ind w:firstLine="480" w:firstLineChars="200"/>
        <w:rPr>
          <w:rFonts w:hint="eastAsia" w:ascii="楷体" w:hAnsi="楷体" w:eastAsia="楷体" w:cs="楷体"/>
          <w:sz w:val="24"/>
          <w:szCs w:val="24"/>
          <w:highlight w:val="none"/>
          <w:u w:val="single"/>
        </w:rPr>
      </w:pPr>
      <w:r>
        <w:rPr>
          <w:rFonts w:hint="eastAsia" w:ascii="楷体" w:hAnsi="楷体" w:eastAsia="楷体" w:cs="楷体"/>
          <w:sz w:val="24"/>
          <w:szCs w:val="24"/>
          <w:highlight w:val="none"/>
        </w:rPr>
        <w:t>1.5买方：本合同买方系指：</w:t>
      </w:r>
      <w:r>
        <w:rPr>
          <w:rFonts w:hint="eastAsia" w:ascii="楷体" w:hAnsi="楷体" w:eastAsia="楷体" w:cs="楷体"/>
          <w:sz w:val="24"/>
          <w:szCs w:val="24"/>
          <w:highlight w:val="none"/>
          <w:u w:val="single"/>
        </w:rPr>
        <w:t xml:space="preserve">  </w:t>
      </w:r>
      <w:r>
        <w:rPr>
          <w:rFonts w:hint="eastAsia" w:ascii="楷体" w:hAnsi="楷体" w:eastAsia="楷体" w:cs="楷体"/>
          <w:sz w:val="24"/>
          <w:szCs w:val="24"/>
          <w:highlight w:val="none"/>
          <w:u w:val="single"/>
          <w:lang w:val="en-US" w:eastAsia="zh-CN"/>
        </w:rPr>
        <w:t xml:space="preserve">                             </w:t>
      </w:r>
      <w:r>
        <w:rPr>
          <w:rFonts w:hint="eastAsia" w:ascii="楷体" w:hAnsi="楷体" w:eastAsia="楷体" w:cs="楷体"/>
          <w:bCs/>
          <w:sz w:val="24"/>
          <w:szCs w:val="24"/>
          <w:highlight w:val="none"/>
          <w:u w:val="single"/>
        </w:rPr>
        <w:t xml:space="preserve">  </w:t>
      </w:r>
    </w:p>
    <w:p>
      <w:pPr>
        <w:shd w:val="clear" w:color="auto" w:fill="auto"/>
        <w:spacing w:line="360" w:lineRule="auto"/>
        <w:ind w:firstLine="480" w:firstLineChars="200"/>
        <w:outlineLvl w:val="2"/>
        <w:rPr>
          <w:rFonts w:hint="eastAsia" w:ascii="楷体" w:hAnsi="楷体" w:eastAsia="楷体" w:cs="楷体"/>
          <w:sz w:val="24"/>
          <w:szCs w:val="24"/>
          <w:highlight w:val="none"/>
        </w:rPr>
      </w:pPr>
      <w:r>
        <w:rPr>
          <w:rFonts w:hint="eastAsia" w:ascii="楷体" w:hAnsi="楷体" w:eastAsia="楷体" w:cs="楷体"/>
          <w:sz w:val="24"/>
          <w:szCs w:val="24"/>
          <w:highlight w:val="none"/>
        </w:rPr>
        <w:t>1.6卖方：本合同卖方系指：</w:t>
      </w:r>
      <w:r>
        <w:rPr>
          <w:rFonts w:hint="eastAsia" w:ascii="楷体" w:hAnsi="楷体" w:eastAsia="楷体" w:cs="楷体"/>
          <w:sz w:val="24"/>
          <w:szCs w:val="24"/>
          <w:highlight w:val="none"/>
          <w:u w:val="single"/>
        </w:rPr>
        <w:t>中标人</w:t>
      </w:r>
    </w:p>
    <w:p>
      <w:pPr>
        <w:shd w:val="clear" w:color="auto" w:fill="auto"/>
        <w:spacing w:line="360" w:lineRule="auto"/>
        <w:ind w:firstLine="480" w:firstLineChars="200"/>
        <w:rPr>
          <w:rFonts w:hint="eastAsia" w:ascii="楷体" w:hAnsi="楷体" w:eastAsia="楷体" w:cs="楷体"/>
          <w:sz w:val="24"/>
          <w:szCs w:val="24"/>
          <w:highlight w:val="none"/>
          <w:u w:val="single"/>
        </w:rPr>
      </w:pPr>
      <w:r>
        <w:rPr>
          <w:rFonts w:hint="eastAsia" w:ascii="楷体" w:hAnsi="楷体" w:eastAsia="楷体" w:cs="楷体"/>
          <w:sz w:val="24"/>
          <w:szCs w:val="24"/>
          <w:highlight w:val="none"/>
        </w:rPr>
        <w:t>1.7现场：本合同项下的货物配送地点位于：</w:t>
      </w:r>
      <w:r>
        <w:rPr>
          <w:rFonts w:hint="eastAsia" w:ascii="楷体" w:hAnsi="楷体" w:eastAsia="楷体" w:cs="楷体"/>
          <w:sz w:val="24"/>
          <w:szCs w:val="24"/>
          <w:highlight w:val="none"/>
          <w:u w:val="single"/>
        </w:rPr>
        <w:t xml:space="preserve">  见投标人须知前附表   </w:t>
      </w:r>
    </w:p>
    <w:p>
      <w:pPr>
        <w:shd w:val="clear" w:color="auto" w:fill="auto"/>
        <w:spacing w:line="360" w:lineRule="auto"/>
        <w:ind w:firstLine="480" w:firstLineChars="200"/>
        <w:outlineLvl w:val="1"/>
        <w:rPr>
          <w:rFonts w:hint="eastAsia" w:ascii="楷体" w:hAnsi="楷体" w:eastAsia="楷体" w:cs="楷体"/>
          <w:sz w:val="24"/>
          <w:szCs w:val="24"/>
          <w:highlight w:val="none"/>
        </w:rPr>
      </w:pPr>
      <w:r>
        <w:rPr>
          <w:rFonts w:hint="eastAsia" w:ascii="楷体" w:hAnsi="楷体" w:eastAsia="楷体" w:cs="楷体"/>
          <w:sz w:val="24"/>
          <w:szCs w:val="24"/>
          <w:highlight w:val="none"/>
        </w:rPr>
        <w:t>6、交货方式</w:t>
      </w:r>
    </w:p>
    <w:p>
      <w:pPr>
        <w:shd w:val="clear" w:color="auto" w:fill="auto"/>
        <w:spacing w:line="36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6.1.1　本合同项下的货物交货方式为：适用合同条款6.1.1。</w:t>
      </w:r>
    </w:p>
    <w:p>
      <w:pPr>
        <w:shd w:val="clear" w:color="auto" w:fill="auto"/>
        <w:spacing w:line="36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6.1.1  交货时间：所有货物、产品在</w:t>
      </w:r>
      <w:r>
        <w:rPr>
          <w:rFonts w:hint="eastAsia" w:ascii="宋体" w:hAnsi="宋体" w:cs="宋体"/>
          <w:b w:val="0"/>
          <w:bCs w:val="0"/>
          <w:sz w:val="24"/>
          <w:lang w:val="en-US" w:eastAsia="zh-CN"/>
        </w:rPr>
        <w:t>2024年12月1日前</w:t>
      </w:r>
      <w:r>
        <w:rPr>
          <w:rFonts w:hint="eastAsia" w:ascii="楷体" w:hAnsi="楷体" w:eastAsia="楷体" w:cs="楷体"/>
          <w:sz w:val="24"/>
          <w:szCs w:val="24"/>
          <w:highlight w:val="none"/>
        </w:rPr>
        <w:t>全部交货安装并通过最终验收合格。</w:t>
      </w:r>
    </w:p>
    <w:p>
      <w:pPr>
        <w:shd w:val="clear" w:color="auto" w:fill="auto"/>
        <w:spacing w:line="36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9.1、付款条件：签订施工合同后甲方支付施工方合同价30％工程预付款，完成实际工程进度达70％时，支付合同价20％工程进度款，完成所有工程内容时，支付合同价20％工程进度款，达到合同价70％时停止支付，经财政审计并进行竣工验收合格后付至工程结算审计定案值的97％，预留工程结算审计定案值的3％作为质量保证金，质保期满后支付。承包人在开工前须开设农民工工资专户，并每一笔支付款项的35％作为农民工工资专项款，转入专用账户，在施工期间只能发放农民工工资。</w:t>
      </w:r>
    </w:p>
    <w:p>
      <w:pPr>
        <w:shd w:val="clear" w:color="auto" w:fill="auto"/>
        <w:snapToGrid w:val="0"/>
        <w:spacing w:line="360" w:lineRule="auto"/>
        <w:ind w:firstLine="480" w:firstLineChars="200"/>
        <w:outlineLvl w:val="1"/>
        <w:rPr>
          <w:rFonts w:hint="eastAsia" w:ascii="楷体" w:hAnsi="楷体" w:eastAsia="楷体" w:cs="楷体"/>
          <w:sz w:val="24"/>
          <w:szCs w:val="24"/>
          <w:highlight w:val="none"/>
        </w:rPr>
      </w:pPr>
      <w:r>
        <w:rPr>
          <w:rFonts w:hint="eastAsia" w:ascii="楷体" w:hAnsi="楷体" w:eastAsia="楷体" w:cs="楷体"/>
          <w:sz w:val="24"/>
          <w:szCs w:val="24"/>
          <w:highlight w:val="none"/>
        </w:rPr>
        <w:t>11、质量保证：</w:t>
      </w:r>
    </w:p>
    <w:p>
      <w:pPr>
        <w:shd w:val="clear" w:color="auto" w:fill="auto"/>
        <w:spacing w:line="36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11.3 如果卖方在收到通知后</w:t>
      </w:r>
      <w:r>
        <w:rPr>
          <w:rFonts w:hint="eastAsia" w:ascii="楷体" w:hAnsi="楷体" w:eastAsia="楷体" w:cs="楷体"/>
          <w:sz w:val="24"/>
          <w:szCs w:val="24"/>
          <w:highlight w:val="none"/>
          <w:u w:val="single"/>
        </w:rPr>
        <w:t xml:space="preserve">  2 </w:t>
      </w:r>
      <w:r>
        <w:rPr>
          <w:rFonts w:hint="eastAsia" w:ascii="楷体" w:hAnsi="楷体" w:eastAsia="楷体" w:cs="楷体"/>
          <w:sz w:val="24"/>
          <w:szCs w:val="24"/>
          <w:highlight w:val="none"/>
        </w:rPr>
        <w:t>天内没有弥补缺陷，买方可采取必要的补救措施，但风险和费用将由卖方承担。</w:t>
      </w:r>
    </w:p>
    <w:p>
      <w:pPr>
        <w:shd w:val="clear" w:color="auto" w:fill="auto"/>
        <w:spacing w:line="36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11.5 合同项下货物的质量保证期为自货物通过最终验收起至少不低于</w:t>
      </w:r>
      <w:r>
        <w:rPr>
          <w:rFonts w:hint="eastAsia" w:ascii="楷体" w:hAnsi="楷体" w:eastAsia="楷体" w:cs="楷体"/>
          <w:sz w:val="24"/>
          <w:szCs w:val="24"/>
          <w:highlight w:val="none"/>
          <w:u w:val="single"/>
          <w:lang w:val="en-US" w:eastAsia="zh-CN"/>
        </w:rPr>
        <w:t>12</w:t>
      </w:r>
      <w:r>
        <w:rPr>
          <w:rFonts w:hint="eastAsia" w:ascii="楷体" w:hAnsi="楷体" w:eastAsia="楷体" w:cs="楷体"/>
          <w:sz w:val="24"/>
          <w:szCs w:val="24"/>
          <w:highlight w:val="none"/>
          <w:u w:val="single"/>
        </w:rPr>
        <w:t>个</w:t>
      </w:r>
      <w:r>
        <w:rPr>
          <w:rFonts w:hint="eastAsia" w:ascii="楷体" w:hAnsi="楷体" w:eastAsia="楷体" w:cs="楷体"/>
          <w:sz w:val="24"/>
          <w:szCs w:val="24"/>
          <w:highlight w:val="none"/>
        </w:rPr>
        <w:t>月。（</w:t>
      </w:r>
      <w:r>
        <w:rPr>
          <w:rFonts w:hint="eastAsia" w:ascii="楷体" w:hAnsi="楷体" w:eastAsia="楷体" w:cs="楷体"/>
          <w:b/>
          <w:sz w:val="24"/>
          <w:szCs w:val="24"/>
          <w:highlight w:val="none"/>
        </w:rPr>
        <w:t>如有特殊要求，则以“技术参数要求”为准</w:t>
      </w:r>
      <w:r>
        <w:rPr>
          <w:rFonts w:hint="eastAsia" w:ascii="楷体" w:hAnsi="楷体" w:eastAsia="楷体" w:cs="楷体"/>
          <w:sz w:val="24"/>
          <w:szCs w:val="24"/>
          <w:highlight w:val="none"/>
        </w:rPr>
        <w:t>）</w:t>
      </w:r>
    </w:p>
    <w:p>
      <w:pPr>
        <w:shd w:val="clear" w:color="auto" w:fill="auto"/>
        <w:spacing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br w:type="page"/>
      </w:r>
    </w:p>
    <w:p>
      <w:pPr>
        <w:pStyle w:val="4"/>
        <w:shd w:val="clear" w:color="auto" w:fill="auto"/>
        <w:spacing w:line="360" w:lineRule="auto"/>
        <w:ind w:firstLine="482" w:firstLineChars="200"/>
        <w:outlineLvl w:val="2"/>
        <w:rPr>
          <w:rFonts w:hint="eastAsia" w:ascii="楷体" w:hAnsi="楷体" w:eastAsia="楷体" w:cs="楷体"/>
          <w:color w:val="000000"/>
          <w:sz w:val="24"/>
          <w:szCs w:val="24"/>
          <w:highlight w:val="none"/>
        </w:rPr>
      </w:pPr>
      <w:bookmarkStart w:id="474" w:name="_Toc20110"/>
      <w:bookmarkStart w:id="475" w:name="_Toc13578"/>
      <w:bookmarkStart w:id="476" w:name="_Toc29637"/>
      <w:bookmarkStart w:id="477" w:name="_Toc12409"/>
      <w:bookmarkStart w:id="478" w:name="_Toc14179"/>
      <w:bookmarkStart w:id="479" w:name="_Toc310195760"/>
      <w:bookmarkStart w:id="480" w:name="_Toc506227596"/>
      <w:bookmarkStart w:id="481" w:name="_Toc26041"/>
      <w:r>
        <w:rPr>
          <w:rFonts w:hint="eastAsia" w:ascii="楷体" w:hAnsi="楷体" w:eastAsia="楷体" w:cs="楷体"/>
          <w:color w:val="000000"/>
          <w:sz w:val="24"/>
          <w:szCs w:val="24"/>
          <w:highlight w:val="none"/>
        </w:rPr>
        <w:t>政府采购合同格式</w:t>
      </w:r>
      <w:bookmarkEnd w:id="474"/>
      <w:bookmarkEnd w:id="475"/>
      <w:bookmarkEnd w:id="476"/>
      <w:bookmarkEnd w:id="477"/>
      <w:bookmarkEnd w:id="478"/>
      <w:bookmarkEnd w:id="479"/>
      <w:bookmarkEnd w:id="480"/>
      <w:bookmarkEnd w:id="481"/>
    </w:p>
    <w:p>
      <w:pPr>
        <w:shd w:val="clear" w:color="auto" w:fill="auto"/>
        <w:spacing w:line="360" w:lineRule="auto"/>
        <w:jc w:val="left"/>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合同编号：</w:t>
      </w:r>
    </w:p>
    <w:p>
      <w:pPr>
        <w:shd w:val="clear" w:color="auto" w:fill="auto"/>
        <w:spacing w:line="360" w:lineRule="auto"/>
        <w:ind w:firstLine="1044" w:firstLineChars="200"/>
        <w:jc w:val="center"/>
        <w:rPr>
          <w:rFonts w:hint="eastAsia" w:ascii="楷体" w:hAnsi="楷体" w:eastAsia="楷体" w:cs="楷体"/>
          <w:b/>
          <w:color w:val="000000"/>
          <w:sz w:val="52"/>
          <w:szCs w:val="52"/>
          <w:highlight w:val="none"/>
        </w:rPr>
      </w:pPr>
    </w:p>
    <w:p>
      <w:pPr>
        <w:shd w:val="clear" w:color="auto" w:fill="auto"/>
        <w:spacing w:line="360" w:lineRule="auto"/>
        <w:ind w:firstLine="1044" w:firstLineChars="200"/>
        <w:jc w:val="center"/>
        <w:rPr>
          <w:rFonts w:hint="eastAsia" w:ascii="楷体" w:hAnsi="楷体" w:eastAsia="楷体" w:cs="楷体"/>
          <w:b/>
          <w:color w:val="000000"/>
          <w:sz w:val="52"/>
          <w:szCs w:val="52"/>
          <w:highlight w:val="none"/>
        </w:rPr>
      </w:pPr>
    </w:p>
    <w:p>
      <w:pPr>
        <w:shd w:val="clear" w:color="auto" w:fill="auto"/>
        <w:spacing w:line="360" w:lineRule="auto"/>
        <w:ind w:firstLine="1044" w:firstLineChars="200"/>
        <w:jc w:val="center"/>
        <w:rPr>
          <w:rFonts w:hint="eastAsia" w:ascii="楷体" w:hAnsi="楷体" w:eastAsia="楷体" w:cs="楷体"/>
          <w:b/>
          <w:color w:val="000000"/>
          <w:sz w:val="52"/>
          <w:szCs w:val="52"/>
          <w:highlight w:val="none"/>
        </w:rPr>
      </w:pPr>
      <w:r>
        <w:rPr>
          <w:rFonts w:hint="eastAsia" w:ascii="楷体" w:hAnsi="楷体" w:eastAsia="楷体" w:cs="楷体"/>
          <w:b/>
          <w:color w:val="000000"/>
          <w:sz w:val="52"/>
          <w:szCs w:val="52"/>
          <w:highlight w:val="none"/>
        </w:rPr>
        <w:t>政府采购合同</w:t>
      </w:r>
    </w:p>
    <w:p>
      <w:pPr>
        <w:shd w:val="clear" w:color="auto" w:fill="auto"/>
        <w:spacing w:before="120" w:line="360" w:lineRule="auto"/>
        <w:ind w:left="1440" w:firstLine="480" w:firstLineChars="200"/>
        <w:rPr>
          <w:rFonts w:hint="eastAsia" w:ascii="楷体" w:hAnsi="楷体" w:eastAsia="楷体" w:cs="楷体"/>
          <w:color w:val="000000"/>
          <w:sz w:val="24"/>
          <w:szCs w:val="24"/>
          <w:highlight w:val="none"/>
        </w:rPr>
      </w:pPr>
    </w:p>
    <w:p>
      <w:pPr>
        <w:shd w:val="clear" w:color="auto" w:fill="auto"/>
        <w:spacing w:before="120" w:line="360" w:lineRule="auto"/>
        <w:ind w:left="1440" w:firstLine="480" w:firstLineChars="200"/>
        <w:rPr>
          <w:rFonts w:hint="eastAsia" w:ascii="楷体" w:hAnsi="楷体" w:eastAsia="楷体" w:cs="楷体"/>
          <w:color w:val="000000"/>
          <w:sz w:val="24"/>
          <w:szCs w:val="24"/>
          <w:highlight w:val="none"/>
        </w:rPr>
      </w:pPr>
    </w:p>
    <w:p>
      <w:pPr>
        <w:shd w:val="clear" w:color="auto" w:fill="auto"/>
        <w:spacing w:before="120" w:line="360" w:lineRule="auto"/>
        <w:ind w:left="1440" w:firstLine="480" w:firstLineChars="200"/>
        <w:rPr>
          <w:rFonts w:hint="eastAsia" w:ascii="楷体" w:hAnsi="楷体" w:eastAsia="楷体" w:cs="楷体"/>
          <w:color w:val="000000"/>
          <w:sz w:val="24"/>
          <w:szCs w:val="24"/>
          <w:highlight w:val="none"/>
        </w:rPr>
      </w:pPr>
    </w:p>
    <w:p>
      <w:pPr>
        <w:shd w:val="clear" w:color="auto" w:fill="auto"/>
        <w:spacing w:before="120" w:line="360" w:lineRule="auto"/>
        <w:ind w:left="1440" w:firstLine="480" w:firstLineChars="200"/>
        <w:rPr>
          <w:rFonts w:hint="eastAsia" w:ascii="楷体" w:hAnsi="楷体" w:eastAsia="楷体" w:cs="楷体"/>
          <w:color w:val="000000"/>
          <w:sz w:val="24"/>
          <w:szCs w:val="24"/>
          <w:highlight w:val="none"/>
        </w:rPr>
      </w:pPr>
    </w:p>
    <w:p>
      <w:pPr>
        <w:shd w:val="clear" w:color="auto" w:fill="auto"/>
        <w:spacing w:before="120" w:line="360" w:lineRule="auto"/>
        <w:ind w:left="1440" w:firstLine="480" w:firstLineChars="200"/>
        <w:rPr>
          <w:rFonts w:hint="eastAsia" w:ascii="楷体" w:hAnsi="楷体" w:eastAsia="楷体" w:cs="楷体"/>
          <w:color w:val="000000"/>
          <w:sz w:val="24"/>
          <w:szCs w:val="24"/>
          <w:highlight w:val="none"/>
        </w:rPr>
      </w:pP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项目名称：</w:t>
      </w:r>
      <w:r>
        <w:rPr>
          <w:rFonts w:hint="eastAsia" w:ascii="楷体" w:hAnsi="楷体" w:eastAsia="楷体" w:cs="楷体"/>
          <w:color w:val="000000"/>
          <w:sz w:val="24"/>
          <w:szCs w:val="24"/>
          <w:highlight w:val="none"/>
          <w:u w:val="single"/>
        </w:rPr>
        <w:t xml:space="preserve">                                    </w:t>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货物名称：</w:t>
      </w:r>
      <w:r>
        <w:rPr>
          <w:rFonts w:hint="eastAsia" w:ascii="楷体" w:hAnsi="楷体" w:eastAsia="楷体" w:cs="楷体"/>
          <w:color w:val="000000"/>
          <w:sz w:val="24"/>
          <w:szCs w:val="24"/>
          <w:highlight w:val="none"/>
          <w:u w:val="single"/>
        </w:rPr>
        <w:t xml:space="preserve">                                    </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买　　方：</w:t>
      </w:r>
      <w:r>
        <w:rPr>
          <w:rFonts w:hint="eastAsia" w:ascii="楷体" w:hAnsi="楷体" w:eastAsia="楷体" w:cs="楷体"/>
          <w:color w:val="000000"/>
          <w:sz w:val="24"/>
          <w:szCs w:val="24"/>
          <w:highlight w:val="none"/>
          <w:u w:val="single"/>
        </w:rPr>
        <w:t xml:space="preserve">                                    </w:t>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卖　　方：</w:t>
      </w:r>
      <w:r>
        <w:rPr>
          <w:rFonts w:hint="eastAsia" w:ascii="楷体" w:hAnsi="楷体" w:eastAsia="楷体" w:cs="楷体"/>
          <w:color w:val="000000"/>
          <w:sz w:val="24"/>
          <w:szCs w:val="24"/>
          <w:highlight w:val="none"/>
          <w:u w:val="single"/>
        </w:rPr>
        <w:t xml:space="preserve">                                    </w:t>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签署日期：</w:t>
      </w:r>
      <w:r>
        <w:rPr>
          <w:rFonts w:hint="eastAsia" w:ascii="楷体" w:hAnsi="楷体" w:eastAsia="楷体" w:cs="楷体"/>
          <w:color w:val="000000"/>
          <w:sz w:val="24"/>
          <w:szCs w:val="24"/>
          <w:highlight w:val="none"/>
          <w:u w:val="single"/>
        </w:rPr>
        <w:t xml:space="preserve">                                    </w:t>
      </w:r>
    </w:p>
    <w:p>
      <w:pPr>
        <w:shd w:val="clear" w:color="auto" w:fill="auto"/>
        <w:spacing w:before="120" w:line="360" w:lineRule="auto"/>
        <w:ind w:firstLine="480" w:firstLineChars="200"/>
        <w:jc w:val="center"/>
        <w:rPr>
          <w:rFonts w:hint="eastAsia" w:ascii="楷体" w:hAnsi="楷体" w:eastAsia="楷体" w:cs="楷体"/>
          <w:b/>
          <w:color w:val="000000"/>
          <w:sz w:val="24"/>
          <w:szCs w:val="24"/>
          <w:highlight w:val="none"/>
        </w:rPr>
      </w:pPr>
      <w:r>
        <w:rPr>
          <w:rFonts w:ascii="宋体" w:hAnsi="宋体"/>
          <w:color w:val="000000"/>
          <w:szCs w:val="21"/>
          <w:highlight w:val="none"/>
        </w:rPr>
        <w:br w:type="page"/>
      </w:r>
      <w:r>
        <w:rPr>
          <w:rFonts w:hint="eastAsia" w:ascii="楷体" w:hAnsi="楷体" w:eastAsia="楷体" w:cs="楷体"/>
          <w:b/>
          <w:color w:val="000000"/>
          <w:sz w:val="24"/>
          <w:szCs w:val="24"/>
          <w:highlight w:val="none"/>
        </w:rPr>
        <w:t>合　　　同　　　书</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u w:val="single"/>
          <w:lang w:eastAsia="zh-CN"/>
        </w:rPr>
        <w:t>（</w:t>
      </w:r>
      <w:r>
        <w:rPr>
          <w:rFonts w:hint="eastAsia" w:ascii="楷体" w:hAnsi="楷体" w:eastAsia="楷体" w:cs="楷体"/>
          <w:color w:val="000000"/>
          <w:sz w:val="24"/>
          <w:szCs w:val="24"/>
          <w:highlight w:val="none"/>
        </w:rPr>
        <w:t>买方</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eastAsia="zh-CN"/>
        </w:rPr>
        <w:t>（</w:t>
      </w:r>
      <w:r>
        <w:rPr>
          <w:rFonts w:hint="eastAsia" w:ascii="楷体" w:hAnsi="楷体" w:eastAsia="楷体" w:cs="楷体"/>
          <w:color w:val="000000"/>
          <w:sz w:val="24"/>
          <w:szCs w:val="24"/>
          <w:highlight w:val="none"/>
        </w:rPr>
        <w:t>项目名称</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中所需</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eastAsia="zh-CN"/>
        </w:rPr>
        <w:t>（</w:t>
      </w:r>
      <w:r>
        <w:rPr>
          <w:rFonts w:hint="eastAsia" w:ascii="楷体" w:hAnsi="楷体" w:eastAsia="楷体" w:cs="楷体"/>
          <w:color w:val="000000"/>
          <w:sz w:val="24"/>
          <w:szCs w:val="24"/>
          <w:highlight w:val="none"/>
        </w:rPr>
        <w:t>货物名称</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经</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eastAsia="zh-CN"/>
        </w:rPr>
        <w:t>（</w:t>
      </w:r>
      <w:r>
        <w:rPr>
          <w:rFonts w:hint="eastAsia" w:ascii="楷体" w:hAnsi="楷体" w:eastAsia="楷体" w:cs="楷体"/>
          <w:color w:val="000000"/>
          <w:sz w:val="24"/>
          <w:szCs w:val="24"/>
          <w:highlight w:val="none"/>
        </w:rPr>
        <w:t>采购代理机构</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以</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号招标文件在国内</w:t>
      </w:r>
      <w:r>
        <w:rPr>
          <w:rFonts w:hint="eastAsia" w:ascii="楷体" w:hAnsi="楷体" w:eastAsia="楷体" w:cs="楷体"/>
          <w:color w:val="000000"/>
          <w:sz w:val="24"/>
          <w:szCs w:val="24"/>
          <w:highlight w:val="none"/>
          <w:u w:val="single"/>
        </w:rPr>
        <w:t>　　　　</w:t>
      </w:r>
      <w:r>
        <w:rPr>
          <w:rFonts w:hint="eastAsia" w:ascii="楷体" w:hAnsi="楷体" w:eastAsia="楷体" w:cs="楷体"/>
          <w:color w:val="000000"/>
          <w:sz w:val="24"/>
          <w:szCs w:val="24"/>
          <w:highlight w:val="none"/>
        </w:rPr>
        <w:t>（公开/邀请）招标。经评标委员会评定</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eastAsia="zh-CN"/>
        </w:rPr>
        <w:t>（</w:t>
      </w:r>
      <w:r>
        <w:rPr>
          <w:rFonts w:hint="eastAsia" w:ascii="楷体" w:hAnsi="楷体" w:eastAsia="楷体" w:cs="楷体"/>
          <w:color w:val="000000"/>
          <w:sz w:val="24"/>
          <w:szCs w:val="24"/>
          <w:highlight w:val="none"/>
        </w:rPr>
        <w:t>卖方</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为中标人。买、卖双方同意按照下面的条款和条件，签署本合同。</w:t>
      </w:r>
    </w:p>
    <w:p>
      <w:pPr>
        <w:shd w:val="clear" w:color="auto" w:fill="auto"/>
        <w:spacing w:before="240" w:line="360" w:lineRule="auto"/>
        <w:ind w:firstLine="482" w:firstLineChars="200"/>
        <w:outlineLvl w:val="1"/>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1、合同文件</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下列文件构成本合同的组成部分，应该认为是一个整体，彼此相互解释，相互补充。为便于解释，组成合同的多个文件的优先支配地位的次序如下：</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a.</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本合同书　</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b.</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中标通知书</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c.</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协议</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d.</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投标文件</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含澄清文件</w:t>
      </w:r>
      <w:r>
        <w:rPr>
          <w:rFonts w:hint="eastAsia" w:ascii="楷体" w:hAnsi="楷体" w:eastAsia="楷体" w:cs="楷体"/>
          <w:color w:val="000000"/>
          <w:sz w:val="24"/>
          <w:szCs w:val="24"/>
          <w:highlight w:val="none"/>
          <w:lang w:eastAsia="zh-CN"/>
        </w:rPr>
        <w:t>）</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e.</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招标文件</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含招标文件补充通知</w:t>
      </w:r>
      <w:r>
        <w:rPr>
          <w:rFonts w:hint="eastAsia" w:ascii="楷体" w:hAnsi="楷体" w:eastAsia="楷体" w:cs="楷体"/>
          <w:color w:val="000000"/>
          <w:sz w:val="24"/>
          <w:szCs w:val="24"/>
          <w:highlight w:val="none"/>
          <w:lang w:eastAsia="zh-CN"/>
        </w:rPr>
        <w:t>）</w:t>
      </w:r>
    </w:p>
    <w:p>
      <w:pPr>
        <w:shd w:val="clear" w:color="auto" w:fill="auto"/>
        <w:spacing w:before="240" w:line="360" w:lineRule="auto"/>
        <w:ind w:firstLine="482" w:firstLineChars="200"/>
        <w:outlineLvl w:val="1"/>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2、货物和数量</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本合同货物：</w:t>
      </w:r>
      <w:r>
        <w:rPr>
          <w:rFonts w:hint="eastAsia" w:ascii="楷体" w:hAnsi="楷体" w:eastAsia="楷体" w:cs="楷体"/>
          <w:color w:val="000000"/>
          <w:sz w:val="24"/>
          <w:szCs w:val="24"/>
          <w:highlight w:val="none"/>
          <w:u w:val="single"/>
        </w:rPr>
        <w:t>　　　　　　　　　　　　</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数量：</w:t>
      </w:r>
      <w:r>
        <w:rPr>
          <w:rFonts w:hint="eastAsia" w:ascii="楷体" w:hAnsi="楷体" w:eastAsia="楷体" w:cs="楷体"/>
          <w:color w:val="000000"/>
          <w:sz w:val="24"/>
          <w:szCs w:val="24"/>
          <w:highlight w:val="none"/>
          <w:u w:val="single"/>
        </w:rPr>
        <w:t>　　　　　　　　　　　　　　　</w:t>
      </w:r>
    </w:p>
    <w:p>
      <w:pPr>
        <w:shd w:val="clear" w:color="auto" w:fill="auto"/>
        <w:spacing w:before="240" w:line="360" w:lineRule="auto"/>
        <w:ind w:firstLine="482" w:firstLineChars="200"/>
        <w:outlineLvl w:val="1"/>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3、合同总价</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本合同总价为</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元人民币。</w:t>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分项价格：</w:t>
      </w:r>
      <w:r>
        <w:rPr>
          <w:rFonts w:hint="eastAsia" w:ascii="楷体" w:hAnsi="楷体" w:eastAsia="楷体" w:cs="楷体"/>
          <w:color w:val="000000"/>
          <w:sz w:val="24"/>
          <w:szCs w:val="24"/>
          <w:highlight w:val="none"/>
          <w:u w:val="single"/>
        </w:rPr>
        <w:t>　　　　　　　　　　　　</w:t>
      </w:r>
    </w:p>
    <w:p>
      <w:pPr>
        <w:shd w:val="clear" w:color="auto" w:fill="auto"/>
        <w:spacing w:before="240" w:line="360" w:lineRule="auto"/>
        <w:ind w:firstLine="482" w:firstLineChars="200"/>
        <w:outlineLvl w:val="1"/>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4、付款方式</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签订施工合同后甲方支付施工方合同价30％工程预付款，完成实际工程进度达70％时，支付合同价20％工程进度款，完成所有工程内容时，支付合同价20％工程进度款，达到合同价70％时停止支付，经财政审计并进行竣工验收合格后付至工程结算审计定案值的97％，预留工程结算审计定案值的3％作为质量保证金，质保期满后支付。承包人在开工前须开设农民工工资专户，并每一笔支付款项的35％作为农民工工资专项款，转入专用账户，在施工期间只能发放农民工工资。</w:t>
      </w:r>
    </w:p>
    <w:p>
      <w:pPr>
        <w:shd w:val="clear" w:color="auto" w:fill="auto"/>
        <w:spacing w:before="240" w:line="360" w:lineRule="auto"/>
        <w:ind w:firstLine="482" w:firstLineChars="200"/>
        <w:outlineLvl w:val="1"/>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5、本合同货物的交货时间及交货地点</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交货时间：</w:t>
      </w:r>
      <w:r>
        <w:rPr>
          <w:rFonts w:hint="eastAsia" w:ascii="楷体" w:hAnsi="楷体" w:eastAsia="楷体" w:cs="楷体"/>
          <w:color w:val="000000"/>
          <w:sz w:val="24"/>
          <w:szCs w:val="24"/>
          <w:highlight w:val="none"/>
          <w:u w:val="single"/>
        </w:rPr>
        <w:t>所有货物、产品在</w:t>
      </w:r>
      <w:r>
        <w:rPr>
          <w:rFonts w:hint="eastAsia" w:ascii="楷体" w:hAnsi="楷体" w:eastAsia="楷体" w:cs="楷体"/>
          <w:sz w:val="24"/>
          <w:szCs w:val="24"/>
          <w:highlight w:val="none"/>
          <w:u w:val="single"/>
          <w:lang w:val="en-US" w:eastAsia="zh-CN"/>
        </w:rPr>
        <w:t>2024年12月1日前</w:t>
      </w:r>
      <w:r>
        <w:rPr>
          <w:rFonts w:hint="eastAsia" w:ascii="楷体" w:hAnsi="楷体" w:eastAsia="楷体" w:cs="楷体"/>
          <w:color w:val="000000"/>
          <w:sz w:val="24"/>
          <w:szCs w:val="24"/>
          <w:highlight w:val="none"/>
          <w:u w:val="single"/>
        </w:rPr>
        <w:t>全部交货完成安装并通过最终验收合格。</w:t>
      </w:r>
    </w:p>
    <w:p>
      <w:pPr>
        <w:shd w:val="clear" w:color="auto" w:fill="auto"/>
        <w:spacing w:line="360" w:lineRule="auto"/>
        <w:ind w:firstLine="480" w:firstLineChars="200"/>
        <w:rPr>
          <w:rFonts w:hint="eastAsia" w:ascii="楷体" w:hAnsi="楷体" w:eastAsia="楷体" w:cs="楷体"/>
          <w:sz w:val="24"/>
          <w:szCs w:val="24"/>
          <w:highlight w:val="none"/>
          <w:u w:val="single"/>
        </w:rPr>
      </w:pPr>
      <w:r>
        <w:rPr>
          <w:rFonts w:hint="eastAsia" w:ascii="楷体" w:hAnsi="楷体" w:eastAsia="楷体" w:cs="楷体"/>
          <w:color w:val="000000"/>
          <w:sz w:val="24"/>
          <w:szCs w:val="24"/>
          <w:highlight w:val="none"/>
        </w:rPr>
        <w:t>交货地点：</w:t>
      </w:r>
      <w:r>
        <w:rPr>
          <w:rFonts w:hint="eastAsia" w:ascii="楷体" w:hAnsi="楷体" w:eastAsia="楷体" w:cs="楷体"/>
          <w:sz w:val="24"/>
          <w:szCs w:val="24"/>
          <w:highlight w:val="none"/>
          <w:u w:val="single"/>
        </w:rPr>
        <w:t xml:space="preserve">运至买方指定地点 </w:t>
      </w:r>
    </w:p>
    <w:p>
      <w:pPr>
        <w:shd w:val="clear" w:color="auto" w:fill="auto"/>
        <w:spacing w:before="240" w:line="360" w:lineRule="auto"/>
        <w:ind w:firstLine="482" w:firstLineChars="200"/>
        <w:outlineLvl w:val="1"/>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6、合同的生效。</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本合同经双方全权代表签署、加盖单位印章生效。</w:t>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买　方：</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 xml:space="preserve"> </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 xml:space="preserve">   卖　方：</w:t>
      </w:r>
      <w:r>
        <w:rPr>
          <w:rFonts w:hint="eastAsia" w:ascii="楷体" w:hAnsi="楷体" w:eastAsia="楷体" w:cs="楷体"/>
          <w:color w:val="000000"/>
          <w:sz w:val="24"/>
          <w:szCs w:val="24"/>
          <w:highlight w:val="none"/>
          <w:u w:val="single"/>
        </w:rPr>
        <w:t xml:space="preserve">               </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名　称：</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印章</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　　　　　　　　　   名　称：</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印章</w:t>
      </w:r>
      <w:r>
        <w:rPr>
          <w:rFonts w:hint="eastAsia" w:ascii="楷体" w:hAnsi="楷体" w:eastAsia="楷体" w:cs="楷体"/>
          <w:color w:val="000000"/>
          <w:sz w:val="24"/>
          <w:szCs w:val="24"/>
          <w:highlight w:val="none"/>
          <w:lang w:eastAsia="zh-CN"/>
        </w:rPr>
        <w:t>）</w:t>
      </w:r>
    </w:p>
    <w:p>
      <w:pPr>
        <w:shd w:val="clear" w:color="auto" w:fill="auto"/>
        <w:spacing w:before="120" w:line="36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年　月　日　　　　　　　　　　　    年　月　日</w:t>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授权代表</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签字</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授权代表</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签字</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w:t>
      </w:r>
      <w:r>
        <w:rPr>
          <w:rFonts w:hint="eastAsia" w:ascii="楷体" w:hAnsi="楷体" w:eastAsia="楷体" w:cs="楷体"/>
          <w:color w:val="000000"/>
          <w:sz w:val="24"/>
          <w:szCs w:val="24"/>
          <w:highlight w:val="none"/>
          <w:u w:val="single"/>
        </w:rPr>
        <w:t xml:space="preserve">       </w:t>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地　　址：</w:t>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地　　址：</w:t>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邮政编码：</w:t>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邮政编码：</w:t>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电　　话：</w:t>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电　　话：</w:t>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p>
    <w:p>
      <w:pPr>
        <w:shd w:val="clear" w:color="auto" w:fill="auto"/>
        <w:spacing w:before="120" w:line="360" w:lineRule="auto"/>
        <w:ind w:firstLine="480" w:firstLineChars="200"/>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开户银行：</w:t>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ab/>
      </w:r>
      <w:r>
        <w:rPr>
          <w:rFonts w:hint="eastAsia" w:ascii="楷体" w:hAnsi="楷体" w:eastAsia="楷体" w:cs="楷体"/>
          <w:color w:val="000000"/>
          <w:sz w:val="24"/>
          <w:szCs w:val="24"/>
          <w:highlight w:val="none"/>
        </w:rPr>
        <w:t>开户银行：</w:t>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r>
        <w:rPr>
          <w:rFonts w:hint="eastAsia" w:ascii="楷体" w:hAnsi="楷体" w:eastAsia="楷体" w:cs="楷体"/>
          <w:color w:val="000000"/>
          <w:sz w:val="24"/>
          <w:szCs w:val="24"/>
          <w:highlight w:val="none"/>
          <w:u w:val="single"/>
        </w:rPr>
        <w:tab/>
      </w:r>
    </w:p>
    <w:bookmarkEnd w:id="328"/>
    <w:bookmarkEnd w:id="329"/>
    <w:p>
      <w:pPr>
        <w:pStyle w:val="18"/>
        <w:ind w:firstLine="643" w:firstLineChars="200"/>
        <w:jc w:val="center"/>
        <w:outlineLvl w:val="0"/>
        <w:rPr>
          <w:rStyle w:val="50"/>
          <w:rFonts w:hint="eastAsia"/>
        </w:rPr>
      </w:pPr>
      <w:bookmarkStart w:id="482" w:name="_Toc12981"/>
      <w:bookmarkStart w:id="483" w:name="_Toc12321"/>
      <w:bookmarkStart w:id="484" w:name="_Toc13471"/>
      <w:bookmarkStart w:id="485" w:name="_Toc1062"/>
      <w:bookmarkStart w:id="486" w:name="_Toc5046"/>
      <w:bookmarkStart w:id="487" w:name="_Toc216582825"/>
      <w:bookmarkStart w:id="488" w:name="_Toc218935354"/>
      <w:bookmarkStart w:id="489" w:name="_Toc507399906"/>
      <w:bookmarkStart w:id="490" w:name="_Toc219175638"/>
      <w:bookmarkStart w:id="491" w:name="_Toc512937852"/>
    </w:p>
    <w:p>
      <w:pPr>
        <w:pStyle w:val="18"/>
        <w:ind w:firstLine="643" w:firstLineChars="200"/>
        <w:jc w:val="center"/>
        <w:outlineLvl w:val="0"/>
        <w:rPr>
          <w:rStyle w:val="50"/>
          <w:rFonts w:hint="eastAsia"/>
        </w:rPr>
      </w:pPr>
    </w:p>
    <w:p>
      <w:pPr>
        <w:pStyle w:val="18"/>
        <w:ind w:firstLine="643" w:firstLineChars="200"/>
        <w:jc w:val="center"/>
        <w:outlineLvl w:val="0"/>
        <w:rPr>
          <w:rStyle w:val="50"/>
          <w:rFonts w:hint="eastAsia"/>
        </w:rPr>
      </w:pPr>
    </w:p>
    <w:p>
      <w:pPr>
        <w:pStyle w:val="18"/>
        <w:ind w:firstLine="643" w:firstLineChars="200"/>
        <w:jc w:val="center"/>
        <w:outlineLvl w:val="0"/>
        <w:rPr>
          <w:rStyle w:val="50"/>
          <w:rFonts w:hint="eastAsia"/>
        </w:rPr>
      </w:pPr>
    </w:p>
    <w:p>
      <w:pPr>
        <w:pStyle w:val="18"/>
        <w:ind w:left="0" w:leftChars="0" w:firstLine="0" w:firstLineChars="0"/>
        <w:jc w:val="both"/>
        <w:outlineLvl w:val="0"/>
        <w:rPr>
          <w:rStyle w:val="50"/>
          <w:rFonts w:hint="eastAsia"/>
        </w:rPr>
      </w:pPr>
    </w:p>
    <w:p>
      <w:pPr>
        <w:pStyle w:val="18"/>
        <w:ind w:firstLine="643" w:firstLineChars="200"/>
        <w:jc w:val="center"/>
        <w:outlineLvl w:val="0"/>
        <w:rPr>
          <w:rFonts w:hint="default" w:eastAsia="楷体"/>
          <w:lang w:val="en-US" w:eastAsia="zh-CN"/>
        </w:rPr>
      </w:pPr>
      <w:r>
        <w:rPr>
          <w:rStyle w:val="50"/>
          <w:rFonts w:hint="eastAsia"/>
        </w:rPr>
        <w:t>第</w:t>
      </w:r>
      <w:r>
        <w:rPr>
          <w:rStyle w:val="50"/>
          <w:rFonts w:hint="eastAsia"/>
          <w:lang w:val="en-US" w:eastAsia="zh-CN"/>
        </w:rPr>
        <w:t>六</w:t>
      </w:r>
      <w:r>
        <w:rPr>
          <w:rStyle w:val="50"/>
          <w:rFonts w:hint="eastAsia"/>
        </w:rPr>
        <w:t xml:space="preserve">章   </w:t>
      </w:r>
      <w:r>
        <w:rPr>
          <w:rStyle w:val="50"/>
          <w:rFonts w:hint="eastAsia"/>
          <w:lang w:val="en-US" w:eastAsia="zh-CN"/>
        </w:rPr>
        <w:t>采购需求</w:t>
      </w:r>
      <w:bookmarkEnd w:id="482"/>
      <w:bookmarkEnd w:id="483"/>
      <w:bookmarkEnd w:id="484"/>
      <w:bookmarkEnd w:id="485"/>
      <w:bookmarkEnd w:id="486"/>
    </w:p>
    <w:bookmarkEnd w:id="487"/>
    <w:bookmarkEnd w:id="488"/>
    <w:bookmarkEnd w:id="489"/>
    <w:bookmarkEnd w:id="490"/>
    <w:bookmarkEnd w:id="491"/>
    <w:p>
      <w:pPr>
        <w:pStyle w:val="7"/>
        <w:bidi w:val="0"/>
        <w:ind w:firstLine="482" w:firstLineChars="200"/>
        <w:rPr>
          <w:rFonts w:hint="eastAsia" w:ascii="宋体" w:hAnsi="宋体" w:eastAsia="宋体" w:cs="宋体"/>
          <w:sz w:val="24"/>
          <w:szCs w:val="24"/>
        </w:rPr>
      </w:pPr>
      <w:bookmarkStart w:id="492" w:name="_Toc26167"/>
      <w:bookmarkStart w:id="493" w:name="_Toc86157263"/>
      <w:bookmarkStart w:id="494" w:name="_Toc89880975"/>
      <w:bookmarkStart w:id="495" w:name="_Toc86156962"/>
      <w:bookmarkStart w:id="496" w:name="_Toc5706"/>
      <w:bookmarkStart w:id="497" w:name="_Toc89358258"/>
      <w:bookmarkStart w:id="498" w:name="_Toc90307770"/>
      <w:bookmarkStart w:id="499" w:name="_Toc86158197"/>
      <w:bookmarkStart w:id="500" w:name="_Toc86157162"/>
      <w:bookmarkStart w:id="501" w:name="_Toc90307771"/>
      <w:r>
        <w:rPr>
          <w:rFonts w:hint="eastAsia" w:ascii="宋体" w:hAnsi="宋体" w:eastAsia="宋体" w:cs="宋体"/>
          <w:sz w:val="24"/>
          <w:szCs w:val="24"/>
          <w:lang w:val="en-US" w:eastAsia="zh-CN"/>
        </w:rPr>
        <w:t>1.</w:t>
      </w:r>
      <w:r>
        <w:rPr>
          <w:rFonts w:hint="eastAsia" w:ascii="宋体" w:hAnsi="宋体" w:eastAsia="宋体" w:cs="宋体"/>
          <w:sz w:val="24"/>
          <w:szCs w:val="24"/>
        </w:rPr>
        <w:t>建设目标</w:t>
      </w:r>
      <w:bookmarkEnd w:id="492"/>
    </w:p>
    <w:p>
      <w:pPr>
        <w:pStyle w:val="108"/>
        <w:tabs>
          <w:tab w:val="left" w:pos="851"/>
        </w:tabs>
        <w:spacing w:line="360" w:lineRule="auto"/>
        <w:ind w:firstLine="480" w:firstLineChars="200"/>
        <w:rPr>
          <w:rFonts w:hint="eastAsia" w:ascii="宋体" w:hAnsi="宋体" w:eastAsia="宋体" w:cs="宋体"/>
          <w:w w:val="100"/>
          <w:kern w:val="2"/>
          <w:sz w:val="24"/>
          <w:szCs w:val="24"/>
          <w:lang w:val="en-US" w:eastAsia="zh-CN" w:bidi="ar-SA"/>
        </w:rPr>
      </w:pPr>
      <w:r>
        <w:rPr>
          <w:rFonts w:hint="eastAsia" w:ascii="宋体" w:hAnsi="宋体" w:eastAsia="宋体" w:cs="宋体"/>
          <w:w w:val="100"/>
          <w:kern w:val="2"/>
          <w:sz w:val="24"/>
          <w:szCs w:val="24"/>
          <w:lang w:val="en-US" w:eastAsia="zh-CN" w:bidi="ar-SA"/>
        </w:rPr>
        <w:t>通过实施察布查尔锡伯自治县智慧广电固边工程（以下简称“本项目”）充分发挥广播电视平台、网络、技术、队伍等方面的优势，建设“智慧广电+”公共服务平台及服务网络，促进智慧广电业务在基层政务管理、公共服务和BF建设中的应用。拓展广播电视网络服务的内容和方式，做强基础平台和网络，提供高清和超高清电视服务承载发展智慧广电+远程医疗、教育培训、公共文化、数据专网、公共</w:t>
      </w:r>
    </w:p>
    <w:p>
      <w:pPr>
        <w:pStyle w:val="108"/>
        <w:tabs>
          <w:tab w:val="left" w:pos="851"/>
        </w:tabs>
        <w:spacing w:line="360" w:lineRule="auto"/>
        <w:ind w:firstLine="480" w:firstLineChars="200"/>
        <w:rPr>
          <w:rFonts w:hint="eastAsia" w:ascii="宋体" w:hAnsi="宋体" w:eastAsia="宋体" w:cs="宋体"/>
          <w:w w:val="100"/>
          <w:kern w:val="2"/>
          <w:sz w:val="24"/>
          <w:szCs w:val="24"/>
          <w:lang w:val="zh-CN" w:eastAsia="zh-CN" w:bidi="ar-SA"/>
        </w:rPr>
      </w:pPr>
      <w:r>
        <w:rPr>
          <w:rFonts w:hint="eastAsia" w:ascii="宋体" w:hAnsi="宋体" w:eastAsia="宋体" w:cs="宋体"/>
          <w:w w:val="100"/>
          <w:kern w:val="2"/>
          <w:sz w:val="24"/>
          <w:szCs w:val="24"/>
          <w:lang w:val="en-US" w:eastAsia="zh-CN" w:bidi="ar-SA"/>
        </w:rPr>
        <w:t>信息发布和应急能力，服务察布查尔县党委政府中心工作，满足群众需要、政府需要，有力提升察布查尔县BJ地区文化建设。</w:t>
      </w:r>
    </w:p>
    <w:p>
      <w:pPr>
        <w:pStyle w:val="7"/>
        <w:bidi w:val="0"/>
        <w:ind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2.建设内容</w:t>
      </w:r>
    </w:p>
    <w:p>
      <w:pPr>
        <w:pStyle w:val="108"/>
        <w:tabs>
          <w:tab w:val="left" w:pos="851"/>
        </w:tabs>
        <w:spacing w:line="360" w:lineRule="auto"/>
        <w:ind w:firstLine="480" w:firstLineChars="200"/>
        <w:rPr>
          <w:rFonts w:hint="eastAsia" w:ascii="宋体" w:hAnsi="宋体" w:eastAsia="宋体" w:cs="宋体"/>
          <w:w w:val="100"/>
          <w:kern w:val="2"/>
          <w:sz w:val="24"/>
          <w:szCs w:val="24"/>
          <w:lang w:val="en-US" w:eastAsia="zh-CN" w:bidi="ar-SA"/>
        </w:rPr>
      </w:pPr>
      <w:r>
        <w:rPr>
          <w:rFonts w:hint="eastAsia" w:ascii="宋体" w:hAnsi="宋体" w:eastAsia="宋体" w:cs="宋体"/>
          <w:w w:val="100"/>
          <w:kern w:val="2"/>
          <w:sz w:val="24"/>
          <w:szCs w:val="24"/>
          <w:lang w:val="en-US" w:eastAsia="zh-CN" w:bidi="ar-SA"/>
        </w:rPr>
        <w:t>本项目具体建设内容主要包括：①传输网络建设。传输线路含敷设G.652D类标准化光纤169千米，安装油木杆3470根，光纤采用架空及沿用预留线管方式安装；传输设备含购置安装OTN光传输设备1套、数据汇聚交换机4台、OLT光网络局端设备11台、ONU设备和机顶盒1379套、新一代直播卫星222套。②创建边缘云系统（又称公共服务管理平台），含软件云服务、全媒体、业务运营管理、运维管理、统一门户展现、内容汇聚分发以及检测监管；创建专用文化信息服务平台，含门户服务和业务应用系统；硬件设备部署计算机虚拟化节点服务器2台、分布式存储服务器2台、交换机2台。③创建网络安全等保防护体系1套。</w:t>
      </w:r>
    </w:p>
    <w:p>
      <w:pPr>
        <w:pStyle w:val="8"/>
        <w:bidi w:val="0"/>
        <w:ind w:left="0" w:leftChars="0" w:firstLine="482"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2.1网络建设</w:t>
      </w:r>
    </w:p>
    <w:p>
      <w:pPr>
        <w:pStyle w:val="108"/>
        <w:tabs>
          <w:tab w:val="left" w:pos="851"/>
        </w:tabs>
        <w:spacing w:line="360" w:lineRule="auto"/>
        <w:ind w:firstLine="480"/>
        <w:rPr>
          <w:rFonts w:hint="eastAsia" w:ascii="宋体" w:hAnsi="宋体" w:eastAsia="宋体" w:cs="宋体"/>
          <w:w w:val="100"/>
          <w:kern w:val="2"/>
          <w:sz w:val="24"/>
          <w:szCs w:val="24"/>
          <w:lang w:val="en-US" w:eastAsia="zh-CN" w:bidi="ar-SA"/>
        </w:rPr>
      </w:pPr>
      <w:r>
        <w:rPr>
          <w:rFonts w:hint="eastAsia" w:ascii="宋体" w:hAnsi="宋体" w:eastAsia="宋体" w:cs="宋体"/>
          <w:w w:val="100"/>
          <w:kern w:val="2"/>
          <w:sz w:val="24"/>
          <w:szCs w:val="24"/>
          <w:lang w:val="en-US" w:eastAsia="zh-CN" w:bidi="ar-SA"/>
        </w:rPr>
        <w:t>本工程光缆建设主要分为主干光缆建设和用户光缆建设两个部分。</w:t>
      </w:r>
      <w:r>
        <w:rPr>
          <w:rFonts w:hint="eastAsia" w:ascii="宋体" w:hAnsi="宋体" w:eastAsia="宋体" w:cs="宋体"/>
          <w:color w:val="FF0000"/>
          <w:w w:val="100"/>
          <w:kern w:val="2"/>
          <w:sz w:val="24"/>
          <w:szCs w:val="24"/>
          <w:highlight w:val="none"/>
          <w:lang w:val="en-US" w:eastAsia="zh-CN" w:bidi="ar-SA"/>
        </w:rPr>
        <w:t>本工程共新建光缆169公里，穿放管道及附挂92.45公里，其中主干覆盖光缆134.97公里，用户覆盖光缆34.03公里。新建用户接入光缆92.45公里。</w:t>
      </w:r>
      <w:r>
        <w:rPr>
          <w:rFonts w:hint="eastAsia" w:ascii="宋体" w:hAnsi="宋体" w:eastAsia="宋体" w:cs="宋体"/>
          <w:w w:val="100"/>
          <w:kern w:val="2"/>
          <w:sz w:val="24"/>
          <w:szCs w:val="24"/>
          <w:lang w:val="en-US" w:eastAsia="zh-CN" w:bidi="ar-SA"/>
        </w:rPr>
        <w:t>用户终端部署1379套ONU设备和机顶盒。满足当地群众百兆带宽接入需求，实现公共服务机构千兆以上的接入能力。</w:t>
      </w:r>
    </w:p>
    <w:p>
      <w:pPr>
        <w:pStyle w:val="8"/>
        <w:bidi w:val="0"/>
        <w:ind w:left="0" w:leftChars="0"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服务平台建设</w:t>
      </w:r>
    </w:p>
    <w:p>
      <w:pPr>
        <w:pStyle w:val="9"/>
        <w:bidi w:val="0"/>
        <w:ind w:firstLine="482"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智慧广电公共服务管理平台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充分利用现有</w:t>
      </w:r>
      <w:r>
        <w:rPr>
          <w:rFonts w:hint="eastAsia" w:ascii="宋体" w:hAnsi="宋体" w:eastAsia="宋体" w:cs="宋体"/>
          <w:sz w:val="24"/>
          <w:szCs w:val="24"/>
          <w:lang w:val="en-US" w:eastAsia="zh-CN"/>
        </w:rPr>
        <w:t>中国广电新疆公司</w:t>
      </w:r>
      <w:r>
        <w:rPr>
          <w:rFonts w:hint="eastAsia" w:ascii="宋体" w:hAnsi="宋体" w:eastAsia="宋体" w:cs="宋体"/>
          <w:sz w:val="24"/>
          <w:szCs w:val="24"/>
        </w:rPr>
        <w:t>全媒体数据中心、天山云2.0全媒体业务平台等相关资源，进一步构建和完善布局合理、功能多样、上下联动的智慧广电云平台体系和支撑服务功能，基于此建设具有</w:t>
      </w:r>
      <w:r>
        <w:rPr>
          <w:rFonts w:hint="eastAsia" w:ascii="宋体" w:hAnsi="宋体" w:eastAsia="宋体" w:cs="宋体"/>
          <w:sz w:val="24"/>
          <w:szCs w:val="24"/>
          <w:lang w:eastAsia="zh-CN"/>
        </w:rPr>
        <w:t>察布查尔县</w:t>
      </w:r>
      <w:r>
        <w:rPr>
          <w:rFonts w:hint="eastAsia" w:ascii="宋体" w:hAnsi="宋体" w:eastAsia="宋体" w:cs="宋体"/>
          <w:sz w:val="24"/>
          <w:szCs w:val="24"/>
        </w:rPr>
        <w:t>特色的智慧广电公共服务管理平台，平台主要包括云服务系统、全媒体系统、业务运营管理系统、运维管理系统、统一门户展现系统、内容汇聚分发系统以及监测监管系统等功能，支撑高清、超高清电视节目、广播电视直播业务，哈萨克语维吾尔语电视业务、科普新疆等多种广播电视服务、公共服务和融合业务，丰富当地群众的精神文化生活。</w:t>
      </w:r>
    </w:p>
    <w:p>
      <w:pPr>
        <w:pStyle w:val="9"/>
        <w:bidi w:val="0"/>
        <w:ind w:firstLine="482"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）文化信息服务平台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依托现有网络与</w:t>
      </w:r>
      <w:r>
        <w:rPr>
          <w:rFonts w:hint="eastAsia" w:ascii="宋体" w:hAnsi="宋体" w:eastAsia="宋体" w:cs="宋体"/>
          <w:sz w:val="24"/>
          <w:szCs w:val="24"/>
          <w:lang w:val="en-US" w:eastAsia="zh-CN"/>
        </w:rPr>
        <w:t>中国广电新疆公司中心云</w:t>
      </w:r>
      <w:r>
        <w:rPr>
          <w:rFonts w:hint="eastAsia" w:ascii="宋体" w:hAnsi="宋体" w:eastAsia="宋体" w:cs="宋体"/>
          <w:sz w:val="24"/>
          <w:szCs w:val="24"/>
        </w:rPr>
        <w:t>资源，共享利用公共服务管理平台能力，预留外部接口，能够实现与</w:t>
      </w:r>
      <w:r>
        <w:rPr>
          <w:rFonts w:hint="eastAsia" w:ascii="宋体" w:hAnsi="宋体" w:eastAsia="宋体" w:cs="宋体"/>
          <w:sz w:val="24"/>
          <w:szCs w:val="24"/>
          <w:lang w:eastAsia="zh-CN"/>
        </w:rPr>
        <w:t>DZJJ</w:t>
      </w:r>
      <w:r>
        <w:rPr>
          <w:rFonts w:hint="eastAsia" w:ascii="宋体" w:hAnsi="宋体" w:eastAsia="宋体" w:cs="宋体"/>
          <w:sz w:val="24"/>
          <w:szCs w:val="24"/>
        </w:rPr>
        <w:t>平台、县级融媒体平台、应急广播平台以及其他平台对接，实现数据汇聚、交换等功能。</w:t>
      </w:r>
    </w:p>
    <w:p>
      <w:pPr>
        <w:pStyle w:val="5"/>
        <w:bidi w:val="0"/>
        <w:ind w:firstLine="602" w:firstLineChars="200"/>
        <w:rPr>
          <w:rFonts w:hint="eastAsia" w:cs="Times New Roman"/>
          <w:lang w:val="en-US" w:eastAsia="zh-CN"/>
        </w:rPr>
      </w:pPr>
      <w:bookmarkStart w:id="502" w:name="_Toc19447"/>
      <w:r>
        <w:rPr>
          <w:rFonts w:hint="eastAsia" w:cs="Times New Roman"/>
          <w:lang w:val="en-US" w:eastAsia="zh-CN"/>
        </w:rPr>
        <w:t>二、技术要求</w:t>
      </w:r>
    </w:p>
    <w:p>
      <w:pPr>
        <w:pStyle w:val="7"/>
        <w:bidi w:val="0"/>
        <w:ind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1.广播电视网络</w:t>
      </w:r>
      <w:bookmarkEnd w:id="502"/>
      <w:r>
        <w:rPr>
          <w:rFonts w:hint="eastAsia" w:ascii="宋体" w:hAnsi="宋体" w:eastAsia="宋体" w:cs="宋体"/>
          <w:sz w:val="24"/>
          <w:szCs w:val="24"/>
          <w:lang w:val="en-US" w:eastAsia="zh-CN"/>
        </w:rPr>
        <w:t>技术要求</w:t>
      </w:r>
    </w:p>
    <w:p>
      <w:pPr>
        <w:pStyle w:val="8"/>
        <w:bidi w:val="0"/>
        <w:ind w:left="0" w:leftChars="0"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1.1广播电视网络建设技术要求</w:t>
      </w:r>
    </w:p>
    <w:p>
      <w:pPr>
        <w:pStyle w:val="9"/>
        <w:bidi w:val="0"/>
        <w:ind w:firstLine="482" w:firstLineChars="200"/>
        <w:rPr>
          <w:rFonts w:hint="eastAsia" w:ascii="宋体" w:hAnsi="宋体" w:eastAsia="宋体" w:cs="宋体"/>
          <w:sz w:val="24"/>
          <w:szCs w:val="24"/>
        </w:rPr>
      </w:pPr>
      <w:bookmarkStart w:id="503" w:name="_Toc1873"/>
      <w:bookmarkStart w:id="504" w:name="_Toc25953"/>
      <w:bookmarkStart w:id="505" w:name="_Toc32640"/>
      <w:bookmarkStart w:id="506" w:name="_Toc30530"/>
      <w:r>
        <w:rPr>
          <w:rFonts w:hint="eastAsia" w:ascii="宋体" w:hAnsi="宋体" w:eastAsia="宋体" w:cs="宋体"/>
          <w:sz w:val="24"/>
          <w:szCs w:val="24"/>
          <w:lang w:val="en-US" w:eastAsia="zh-CN"/>
        </w:rPr>
        <w:t>1.1.1</w:t>
      </w:r>
      <w:r>
        <w:rPr>
          <w:rFonts w:hint="eastAsia" w:ascii="宋体" w:hAnsi="宋体" w:eastAsia="宋体" w:cs="宋体"/>
          <w:sz w:val="24"/>
          <w:szCs w:val="24"/>
        </w:rPr>
        <w:t>光缆规格选择要求</w:t>
      </w:r>
      <w:bookmarkEnd w:id="503"/>
      <w:bookmarkEnd w:id="504"/>
      <w:bookmarkEnd w:id="505"/>
      <w:bookmarkEnd w:id="50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本工程缆内光纤采用G.652D类标准光纤（光纤子类B1.3），可工作于1310nm和1550nm波段。光缆选型应符合现行标准《接入网用室内外光缆》YD/T1770-2008和《通信用引入光缆第1部分：蝶形光缆》YD/T1997.1-2022的有关规定：</w:t>
      </w:r>
    </w:p>
    <w:p>
      <w:pPr>
        <w:pageBreakBefore w:val="0"/>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本工程光缆宜选用12芯、24芯、48芯规格。</w:t>
      </w:r>
    </w:p>
    <w:p>
      <w:pPr>
        <w:pageBreakBefore w:val="0"/>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入户采用2芯皮线光缆，皮线光缆应采用G.657A光纤。</w:t>
      </w:r>
    </w:p>
    <w:p>
      <w:pPr>
        <w:pageBreakBefore w:val="0"/>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皮线光缆选择：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楼道单元、弱电坚井、线槽桥架敷设采用普通蝶形（皮线）光缆；</w:t>
      </w:r>
    </w:p>
    <w:p>
      <w:pPr>
        <w:numPr>
          <w:ilvl w:val="0"/>
          <w:numId w:val="0"/>
        </w:numPr>
        <w:bidi w:val="0"/>
        <w:ind w:leftChars="200"/>
        <w:rPr>
          <w:rFonts w:hint="eastAsia" w:ascii="宋体" w:hAnsi="宋体" w:eastAsia="宋体" w:cs="宋体"/>
          <w:sz w:val="24"/>
          <w:szCs w:val="24"/>
          <w:lang w:val="zh-CN"/>
        </w:rPr>
      </w:pPr>
      <w:bookmarkStart w:id="507" w:name="_Toc30772"/>
      <w:r>
        <w:rPr>
          <w:rFonts w:hint="eastAsia" w:ascii="宋体" w:hAnsi="宋体" w:eastAsia="宋体" w:cs="宋体"/>
          <w:sz w:val="24"/>
          <w:szCs w:val="24"/>
          <w:lang w:val="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val="zh-CN"/>
        </w:rPr>
        <w:t>室外架空敷设光缆采用自承式蝶形（皮线）光缆；</w:t>
      </w:r>
      <w:bookmarkEnd w:id="50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地埋管道布放采用带护套的管道型蝶形（皮线）光缆：局端、用户端光纤接头的使用应与设备接口一致，ODN系统中活动接头使用SC/UPC。</w:t>
      </w:r>
    </w:p>
    <w:p>
      <w:pPr>
        <w:pStyle w:val="9"/>
        <w:bidi w:val="0"/>
        <w:ind w:firstLine="482" w:firstLineChars="200"/>
        <w:rPr>
          <w:rFonts w:hint="eastAsia" w:ascii="宋体" w:hAnsi="宋体" w:eastAsia="宋体" w:cs="宋体"/>
          <w:sz w:val="24"/>
          <w:szCs w:val="24"/>
        </w:rPr>
      </w:pPr>
      <w:bookmarkStart w:id="508" w:name="_Toc17599"/>
      <w:bookmarkStart w:id="509" w:name="_Toc30548"/>
      <w:bookmarkStart w:id="510" w:name="_Toc1705"/>
      <w:bookmarkStart w:id="511" w:name="_Toc25757"/>
      <w:r>
        <w:rPr>
          <w:rFonts w:hint="eastAsia" w:ascii="宋体" w:hAnsi="宋体" w:eastAsia="宋体" w:cs="宋体"/>
          <w:sz w:val="24"/>
          <w:szCs w:val="24"/>
          <w:lang w:val="en-US" w:eastAsia="zh-CN"/>
        </w:rPr>
        <w:t>1.1.2</w:t>
      </w:r>
      <w:r>
        <w:rPr>
          <w:rFonts w:hint="eastAsia" w:ascii="宋体" w:hAnsi="宋体" w:eastAsia="宋体" w:cs="宋体"/>
          <w:sz w:val="24"/>
          <w:szCs w:val="24"/>
        </w:rPr>
        <w:t>光缆主要技术指标要求</w:t>
      </w:r>
      <w:bookmarkEnd w:id="508"/>
      <w:bookmarkEnd w:id="509"/>
      <w:bookmarkEnd w:id="510"/>
      <w:bookmarkEnd w:id="51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80" w:firstLineChars="200"/>
        <w:textAlignment w:val="auto"/>
        <w:outlineLvl w:val="5"/>
        <w:rPr>
          <w:rFonts w:hint="eastAsia" w:ascii="宋体" w:hAnsi="宋体" w:eastAsia="宋体" w:cs="宋体"/>
          <w:sz w:val="24"/>
          <w:szCs w:val="24"/>
          <w:lang w:val="zh-CN"/>
        </w:rPr>
      </w:pPr>
      <w:bookmarkStart w:id="512" w:name="_Toc19619"/>
      <w:bookmarkStart w:id="513" w:name="_Toc19680"/>
      <w:r>
        <w:rPr>
          <w:rFonts w:hint="eastAsia" w:ascii="宋体" w:hAnsi="宋体" w:eastAsia="宋体" w:cs="宋体"/>
          <w:sz w:val="24"/>
          <w:szCs w:val="24"/>
          <w:lang w:val="zh-CN"/>
        </w:rPr>
        <w:t>机械性能</w:t>
      </w:r>
      <w:bookmarkEnd w:id="512"/>
      <w:bookmarkEnd w:id="51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光缆的机械性能应符合下表规定。光缆在承受短期允许拉伸力和压扁力时，光纤附加衰减应小于0.1dB。拉伸力和压扁力解除后，光纤应无明显残余附加衰减和应变，光缆也应无明显残余应变，护套应无目力可见开裂。光缆承受长期允许拉伸力和压扁力时，光纤应无明显附加衰减和应变。</w:t>
      </w:r>
    </w:p>
    <w:p>
      <w:pPr>
        <w:pStyle w:val="14"/>
        <w:pageBreakBefore w:val="0"/>
        <w:kinsoku/>
        <w:wordWrap/>
        <w:overflowPunct/>
        <w:bidi w:val="0"/>
        <w:spacing w:beforeLines="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表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STYLEREF 1 \s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表 \* ARABIC \s 1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光缆允许拉伸力和压扁力表</w:t>
      </w:r>
    </w:p>
    <w:tbl>
      <w:tblPr>
        <w:tblStyle w:val="3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9"/>
        <w:gridCol w:w="1874"/>
        <w:gridCol w:w="1797"/>
        <w:gridCol w:w="173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光缆类型</w:t>
            </w:r>
          </w:p>
        </w:tc>
        <w:tc>
          <w:tcPr>
            <w:tcW w:w="178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允许拉伸力</w:t>
            </w:r>
          </w:p>
        </w:tc>
        <w:tc>
          <w:tcPr>
            <w:tcW w:w="152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允许压扁力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c>
          <w:tcPr>
            <w:tcW w:w="91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短期</w:t>
            </w:r>
          </w:p>
        </w:tc>
        <w:tc>
          <w:tcPr>
            <w:tcW w:w="873"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长期</w:t>
            </w:r>
          </w:p>
        </w:tc>
        <w:tc>
          <w:tcPr>
            <w:tcW w:w="841"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短期</w:t>
            </w:r>
          </w:p>
        </w:tc>
        <w:tc>
          <w:tcPr>
            <w:tcW w:w="684"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69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管道和非自承架空</w:t>
            </w:r>
          </w:p>
        </w:tc>
        <w:tc>
          <w:tcPr>
            <w:tcW w:w="91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1500</w:t>
            </w:r>
          </w:p>
        </w:tc>
        <w:tc>
          <w:tcPr>
            <w:tcW w:w="873"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600</w:t>
            </w:r>
          </w:p>
        </w:tc>
        <w:tc>
          <w:tcPr>
            <w:tcW w:w="841"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1000</w:t>
            </w:r>
          </w:p>
        </w:tc>
        <w:tc>
          <w:tcPr>
            <w:tcW w:w="684"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直埋</w:t>
            </w:r>
          </w:p>
        </w:tc>
        <w:tc>
          <w:tcPr>
            <w:tcW w:w="91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3000</w:t>
            </w:r>
          </w:p>
        </w:tc>
        <w:tc>
          <w:tcPr>
            <w:tcW w:w="873"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1000</w:t>
            </w:r>
          </w:p>
        </w:tc>
        <w:tc>
          <w:tcPr>
            <w:tcW w:w="841"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3000</w:t>
            </w:r>
          </w:p>
        </w:tc>
        <w:tc>
          <w:tcPr>
            <w:tcW w:w="684"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特殊直埋</w:t>
            </w:r>
          </w:p>
        </w:tc>
        <w:tc>
          <w:tcPr>
            <w:tcW w:w="91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10000</w:t>
            </w:r>
          </w:p>
        </w:tc>
        <w:tc>
          <w:tcPr>
            <w:tcW w:w="873"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4000</w:t>
            </w:r>
          </w:p>
        </w:tc>
        <w:tc>
          <w:tcPr>
            <w:tcW w:w="841"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5000</w:t>
            </w:r>
          </w:p>
        </w:tc>
        <w:tc>
          <w:tcPr>
            <w:tcW w:w="684"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水下（20000Ｎ）</w:t>
            </w:r>
          </w:p>
        </w:tc>
        <w:tc>
          <w:tcPr>
            <w:tcW w:w="91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20000</w:t>
            </w:r>
          </w:p>
        </w:tc>
        <w:tc>
          <w:tcPr>
            <w:tcW w:w="873"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10000</w:t>
            </w:r>
          </w:p>
        </w:tc>
        <w:tc>
          <w:tcPr>
            <w:tcW w:w="841"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5000</w:t>
            </w:r>
          </w:p>
        </w:tc>
        <w:tc>
          <w:tcPr>
            <w:tcW w:w="684"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水下（40000Ｎ）</w:t>
            </w:r>
          </w:p>
        </w:tc>
        <w:tc>
          <w:tcPr>
            <w:tcW w:w="910"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40000</w:t>
            </w:r>
          </w:p>
        </w:tc>
        <w:tc>
          <w:tcPr>
            <w:tcW w:w="873"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20000</w:t>
            </w:r>
          </w:p>
        </w:tc>
        <w:tc>
          <w:tcPr>
            <w:tcW w:w="841"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8000</w:t>
            </w:r>
          </w:p>
        </w:tc>
        <w:tc>
          <w:tcPr>
            <w:tcW w:w="684" w:type="pc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5000</w:t>
            </w:r>
          </w:p>
        </w:tc>
      </w:tr>
    </w:tbl>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outlineLvl w:val="5"/>
        <w:rPr>
          <w:rFonts w:hint="eastAsia" w:ascii="宋体" w:hAnsi="宋体" w:eastAsia="宋体" w:cs="宋体"/>
          <w:sz w:val="24"/>
          <w:szCs w:val="24"/>
          <w:lang w:val="zh-CN"/>
        </w:rPr>
      </w:pPr>
      <w:bookmarkStart w:id="514" w:name="_Toc20773"/>
      <w:bookmarkStart w:id="515" w:name="_Toc17432"/>
      <w:r>
        <w:rPr>
          <w:rFonts w:hint="eastAsia" w:ascii="宋体" w:hAnsi="宋体" w:eastAsia="宋体" w:cs="宋体"/>
          <w:sz w:val="24"/>
          <w:szCs w:val="24"/>
          <w:lang w:val="zh-CN"/>
        </w:rPr>
        <w:t>环境温度</w:t>
      </w:r>
      <w:bookmarkEnd w:id="514"/>
      <w:bookmarkEnd w:id="515"/>
    </w:p>
    <w:p>
      <w:pPr>
        <w:pageBreakBefore w:val="0"/>
        <w:numPr>
          <w:ilvl w:val="0"/>
          <w:numId w:val="10"/>
        </w:numPr>
        <w:tabs>
          <w:tab w:val="left" w:pos="851"/>
          <w:tab w:val="clear" w:pos="1080"/>
        </w:tabs>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工作时在-40℃--70℃；</w:t>
      </w:r>
    </w:p>
    <w:p>
      <w:pPr>
        <w:pageBreakBefore w:val="0"/>
        <w:numPr>
          <w:ilvl w:val="0"/>
          <w:numId w:val="10"/>
        </w:numPr>
        <w:tabs>
          <w:tab w:val="left" w:pos="709"/>
          <w:tab w:val="clear" w:pos="1080"/>
        </w:tabs>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敷设时在-30℃--60℃；</w:t>
      </w:r>
    </w:p>
    <w:p>
      <w:pPr>
        <w:pageBreakBefore w:val="0"/>
        <w:numPr>
          <w:ilvl w:val="0"/>
          <w:numId w:val="10"/>
        </w:numPr>
        <w:tabs>
          <w:tab w:val="left" w:pos="709"/>
          <w:tab w:val="clear" w:pos="1080"/>
        </w:tabs>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运输和储存时在-50℃--70℃。</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outlineLvl w:val="5"/>
        <w:rPr>
          <w:rFonts w:hint="eastAsia" w:ascii="宋体" w:hAnsi="宋体" w:eastAsia="宋体" w:cs="宋体"/>
          <w:sz w:val="24"/>
          <w:szCs w:val="24"/>
          <w:lang w:val="zh-CN"/>
        </w:rPr>
      </w:pPr>
      <w:bookmarkStart w:id="516" w:name="_Toc4907"/>
      <w:bookmarkStart w:id="517" w:name="_Toc31880"/>
      <w:r>
        <w:rPr>
          <w:rFonts w:hint="eastAsia" w:ascii="宋体" w:hAnsi="宋体" w:eastAsia="宋体" w:cs="宋体"/>
          <w:sz w:val="24"/>
          <w:szCs w:val="24"/>
          <w:lang w:val="zh-CN"/>
        </w:rPr>
        <w:t>光缆弯曲性能</w:t>
      </w:r>
      <w:bookmarkEnd w:id="516"/>
      <w:bookmarkEnd w:id="517"/>
    </w:p>
    <w:p>
      <w:pPr>
        <w:pageBreakBefore w:val="0"/>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光缆敷设安装的最小曲率半径符合下列规定：</w:t>
      </w:r>
    </w:p>
    <w:p>
      <w:pPr>
        <w:pageBreakBefore w:val="0"/>
        <w:numPr>
          <w:ilvl w:val="0"/>
          <w:numId w:val="11"/>
        </w:numPr>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敷设过程中应不小于光缆外径的20倍；</w:t>
      </w:r>
    </w:p>
    <w:p>
      <w:pPr>
        <w:pageBreakBefore w:val="0"/>
        <w:numPr>
          <w:ilvl w:val="0"/>
          <w:numId w:val="11"/>
        </w:numPr>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安装固定后不小于光缆外径的10倍。</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outlineLvl w:val="5"/>
        <w:rPr>
          <w:rFonts w:hint="eastAsia" w:ascii="宋体" w:hAnsi="宋体" w:eastAsia="宋体" w:cs="宋体"/>
          <w:sz w:val="24"/>
          <w:szCs w:val="24"/>
          <w:lang w:val="zh-CN"/>
        </w:rPr>
      </w:pPr>
      <w:bookmarkStart w:id="518" w:name="_Toc13836"/>
      <w:bookmarkStart w:id="519" w:name="_Toc23292"/>
      <w:r>
        <w:rPr>
          <w:rFonts w:hint="eastAsia" w:ascii="宋体" w:hAnsi="宋体" w:eastAsia="宋体" w:cs="宋体"/>
          <w:sz w:val="24"/>
          <w:szCs w:val="24"/>
          <w:lang w:val="zh-CN"/>
        </w:rPr>
        <w:t>光缆外套ＰＥ绝缘电阻</w:t>
      </w:r>
      <w:bookmarkEnd w:id="518"/>
      <w:bookmarkEnd w:id="519"/>
    </w:p>
    <w:p>
      <w:pPr>
        <w:pageBreakBefore w:val="0"/>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光缆外套内的铠装或金属护层与大地间绝缘电阻，在光缆浸水24小时后测试，不小于2000MΩ·KM</w:t>
      </w:r>
      <w:r>
        <w:rPr>
          <w:rFonts w:hint="eastAsia" w:ascii="宋体" w:hAnsi="宋体" w:eastAsia="宋体" w:cs="宋体"/>
          <w:sz w:val="24"/>
          <w:szCs w:val="24"/>
          <w:lang w:eastAsia="zh-CN"/>
        </w:rPr>
        <w:t>（</w:t>
      </w:r>
      <w:r>
        <w:rPr>
          <w:rFonts w:hint="eastAsia" w:ascii="宋体" w:hAnsi="宋体" w:eastAsia="宋体" w:cs="宋体"/>
          <w:sz w:val="24"/>
          <w:szCs w:val="24"/>
        </w:rPr>
        <w:t>500VDC测试</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outlineLvl w:val="5"/>
        <w:rPr>
          <w:rFonts w:hint="eastAsia" w:ascii="宋体" w:hAnsi="宋体" w:eastAsia="宋体" w:cs="宋体"/>
          <w:sz w:val="24"/>
          <w:szCs w:val="24"/>
          <w:lang w:val="zh-CN"/>
        </w:rPr>
      </w:pPr>
      <w:bookmarkStart w:id="520" w:name="_Toc16949"/>
      <w:bookmarkStart w:id="521" w:name="_Toc19398"/>
      <w:r>
        <w:rPr>
          <w:rFonts w:hint="eastAsia" w:ascii="宋体" w:hAnsi="宋体" w:eastAsia="宋体" w:cs="宋体"/>
          <w:sz w:val="24"/>
          <w:szCs w:val="24"/>
          <w:lang w:val="zh-CN"/>
        </w:rPr>
        <w:t>光缆外套ＰＥ耐电压强度</w:t>
      </w:r>
      <w:bookmarkEnd w:id="520"/>
      <w:bookmarkEnd w:id="521"/>
    </w:p>
    <w:p>
      <w:pPr>
        <w:pageBreakBefore w:val="0"/>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光缆外套内的铠装或金属护层与大地间耐电压强度，在光缆浸水24小时后测试，不小于15KVDC2分钟。</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outlineLvl w:val="5"/>
        <w:rPr>
          <w:rFonts w:hint="eastAsia" w:ascii="宋体" w:hAnsi="宋体" w:eastAsia="宋体" w:cs="宋体"/>
          <w:sz w:val="24"/>
          <w:szCs w:val="24"/>
          <w:lang w:val="zh-CN"/>
        </w:rPr>
      </w:pPr>
      <w:bookmarkStart w:id="522" w:name="_Toc17270"/>
      <w:bookmarkStart w:id="523" w:name="_Toc22395"/>
      <w:r>
        <w:rPr>
          <w:rFonts w:hint="eastAsia" w:ascii="宋体" w:hAnsi="宋体" w:eastAsia="宋体" w:cs="宋体"/>
          <w:sz w:val="24"/>
          <w:szCs w:val="24"/>
          <w:lang w:val="zh-CN"/>
        </w:rPr>
        <w:t>光缆标准盘长</w:t>
      </w:r>
      <w:bookmarkEnd w:id="522"/>
      <w:bookmarkEnd w:id="523"/>
    </w:p>
    <w:p>
      <w:pPr>
        <w:pageBreakBefore w:val="0"/>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架空光缆：4000米</w:t>
      </w:r>
    </w:p>
    <w:p>
      <w:pPr>
        <w:pageBreakBefore w:val="0"/>
        <w:kinsoku/>
        <w:wordWrap/>
        <w:overflowPunct/>
        <w:bidi w:val="0"/>
        <w:spacing w:line="360" w:lineRule="auto"/>
        <w:ind w:left="0" w:leftChars="0" w:firstLine="480" w:firstLineChars="200"/>
        <w:outlineLvl w:val="9"/>
        <w:rPr>
          <w:rFonts w:hint="eastAsia" w:ascii="宋体" w:hAnsi="宋体" w:eastAsia="宋体" w:cs="宋体"/>
          <w:sz w:val="24"/>
          <w:szCs w:val="24"/>
        </w:rPr>
      </w:pPr>
      <w:r>
        <w:rPr>
          <w:rFonts w:hint="eastAsia" w:ascii="宋体" w:hAnsi="宋体" w:eastAsia="宋体" w:cs="宋体"/>
          <w:sz w:val="24"/>
          <w:szCs w:val="24"/>
          <w:lang w:val="en-US" w:eastAsia="zh-CN"/>
        </w:rPr>
        <w:t>ADSS</w:t>
      </w:r>
      <w:r>
        <w:rPr>
          <w:rFonts w:hint="eastAsia" w:ascii="宋体" w:hAnsi="宋体" w:eastAsia="宋体" w:cs="宋体"/>
          <w:sz w:val="24"/>
          <w:szCs w:val="24"/>
        </w:rPr>
        <w:t>光缆：按设计所需</w:t>
      </w:r>
    </w:p>
    <w:p>
      <w:pPr>
        <w:pageBreakBefore w:val="0"/>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偏差：4000米标准盘长负偏差为</w:t>
      </w:r>
      <w:r>
        <w:rPr>
          <w:rFonts w:hint="eastAsia" w:ascii="宋体" w:hAnsi="宋体" w:eastAsia="宋体" w:cs="宋体"/>
          <w:sz w:val="24"/>
          <w:szCs w:val="24"/>
          <w:lang w:val="en-US" w:eastAsia="zh-CN"/>
        </w:rPr>
        <w:t>0</w:t>
      </w:r>
      <w:r>
        <w:rPr>
          <w:rFonts w:hint="eastAsia" w:ascii="宋体" w:hAnsi="宋体" w:eastAsia="宋体" w:cs="宋体"/>
          <w:sz w:val="24"/>
          <w:szCs w:val="24"/>
        </w:rPr>
        <w:t>，正偏差≤50ｍ</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80" w:firstLineChars="200"/>
        <w:textAlignment w:val="auto"/>
        <w:outlineLvl w:val="5"/>
        <w:rPr>
          <w:rFonts w:hint="eastAsia" w:ascii="宋体" w:hAnsi="宋体" w:eastAsia="宋体" w:cs="宋体"/>
          <w:sz w:val="24"/>
          <w:szCs w:val="24"/>
          <w:lang w:val="zh-CN"/>
        </w:rPr>
      </w:pPr>
      <w:bookmarkStart w:id="524" w:name="_Toc22019"/>
      <w:bookmarkStart w:id="525" w:name="_Toc32454"/>
      <w:r>
        <w:rPr>
          <w:rFonts w:hint="eastAsia" w:ascii="宋体" w:hAnsi="宋体" w:eastAsia="宋体" w:cs="宋体"/>
          <w:sz w:val="24"/>
          <w:szCs w:val="24"/>
          <w:lang w:val="zh-CN"/>
        </w:rPr>
        <w:t>光缆外层护套上应印有间隔</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米的长度标志。</w:t>
      </w:r>
      <w:bookmarkEnd w:id="524"/>
      <w:bookmarkEnd w:id="525"/>
    </w:p>
    <w:p>
      <w:pPr>
        <w:pageBreakBefore w:val="0"/>
        <w:numPr>
          <w:ilvl w:val="0"/>
          <w:numId w:val="12"/>
        </w:numPr>
        <w:tabs>
          <w:tab w:val="left" w:pos="851"/>
        </w:tabs>
        <w:kinsoku/>
        <w:wordWrap/>
        <w:overflowPunct/>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光缆敷设安装的重叠、增长和预留长度可结合工程实际情况参照下表确定。</w:t>
      </w:r>
    </w:p>
    <w:p>
      <w:pPr>
        <w:pStyle w:val="14"/>
        <w:pageBreakBefore w:val="0"/>
        <w:kinsoku/>
        <w:wordWrap/>
        <w:overflowPunct/>
        <w:bidi w:val="0"/>
        <w:spacing w:beforeLines="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表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STYLEREF 1 \s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表 \* ARABIC \s 1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光缆增长和预留长度参考值</w:t>
      </w:r>
    </w:p>
    <w:tbl>
      <w:tblPr>
        <w:tblStyle w:val="37"/>
        <w:tblW w:w="9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1772"/>
        <w:gridCol w:w="1726"/>
        <w:gridCol w:w="1539"/>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30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635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敷设方式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30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c>
          <w:tcPr>
            <w:tcW w:w="177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直埋</w:t>
            </w:r>
          </w:p>
        </w:tc>
        <w:tc>
          <w:tcPr>
            <w:tcW w:w="172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管道</w:t>
            </w:r>
          </w:p>
        </w:tc>
        <w:tc>
          <w:tcPr>
            <w:tcW w:w="153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架空</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30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接头每侧预留长度</w:t>
            </w:r>
          </w:p>
        </w:tc>
        <w:tc>
          <w:tcPr>
            <w:tcW w:w="177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5～10m</w:t>
            </w:r>
          </w:p>
        </w:tc>
        <w:tc>
          <w:tcPr>
            <w:tcW w:w="172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5～10m</w:t>
            </w:r>
          </w:p>
        </w:tc>
        <w:tc>
          <w:tcPr>
            <w:tcW w:w="153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5～10m</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30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人手孔内自然弯曲增长</w:t>
            </w:r>
          </w:p>
        </w:tc>
        <w:tc>
          <w:tcPr>
            <w:tcW w:w="177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c>
          <w:tcPr>
            <w:tcW w:w="172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0.5～1m</w:t>
            </w:r>
          </w:p>
        </w:tc>
        <w:tc>
          <w:tcPr>
            <w:tcW w:w="153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30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光缆沟或管道内弯曲增长</w:t>
            </w:r>
          </w:p>
        </w:tc>
        <w:tc>
          <w:tcPr>
            <w:tcW w:w="177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72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53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按实际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30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架空光缆弯曲增长</w:t>
            </w:r>
          </w:p>
        </w:tc>
        <w:tc>
          <w:tcPr>
            <w:tcW w:w="177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c>
          <w:tcPr>
            <w:tcW w:w="1726"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c>
          <w:tcPr>
            <w:tcW w:w="153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7‰~10‰</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30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地下局站内每侧预留</w:t>
            </w:r>
          </w:p>
        </w:tc>
        <w:tc>
          <w:tcPr>
            <w:tcW w:w="635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5～10m，可按实际需要调整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330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地面局站内每侧预留</w:t>
            </w:r>
          </w:p>
        </w:tc>
        <w:tc>
          <w:tcPr>
            <w:tcW w:w="635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10～20m，可按实际需要调整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330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因水利、道路、桥梁等建设规划导致的预留</w:t>
            </w:r>
          </w:p>
        </w:tc>
        <w:tc>
          <w:tcPr>
            <w:tcW w:w="635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spacing w:line="360" w:lineRule="auto"/>
              <w:ind w:left="0" w:leftChars="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按实际需要</w:t>
            </w:r>
          </w:p>
        </w:tc>
      </w:tr>
    </w:tbl>
    <w:p>
      <w:pPr>
        <w:pStyle w:val="9"/>
        <w:bidi w:val="0"/>
        <w:ind w:firstLine="482" w:firstLineChars="200"/>
        <w:rPr>
          <w:rFonts w:hint="eastAsia" w:ascii="宋体" w:hAnsi="宋体" w:eastAsia="宋体" w:cs="宋体"/>
          <w:sz w:val="24"/>
          <w:szCs w:val="24"/>
        </w:rPr>
      </w:pPr>
      <w:bookmarkStart w:id="526" w:name="_Toc30649"/>
      <w:bookmarkStart w:id="527" w:name="_Toc7008"/>
      <w:bookmarkStart w:id="528" w:name="_Toc15295"/>
      <w:bookmarkStart w:id="529" w:name="_Toc23833"/>
      <w:r>
        <w:rPr>
          <w:rFonts w:hint="eastAsia" w:ascii="宋体" w:hAnsi="宋体" w:eastAsia="宋体" w:cs="宋体"/>
          <w:sz w:val="24"/>
          <w:szCs w:val="24"/>
          <w:lang w:val="en-US" w:eastAsia="zh-CN"/>
        </w:rPr>
        <w:t>1.1.3</w:t>
      </w:r>
      <w:r>
        <w:rPr>
          <w:rFonts w:hint="eastAsia" w:ascii="宋体" w:hAnsi="宋体" w:eastAsia="宋体" w:cs="宋体"/>
          <w:sz w:val="24"/>
          <w:szCs w:val="24"/>
        </w:rPr>
        <w:t>中继段光纤链路传输设计指标要求</w:t>
      </w:r>
      <w:bookmarkEnd w:id="526"/>
      <w:bookmarkEnd w:id="527"/>
      <w:bookmarkEnd w:id="528"/>
      <w:bookmarkEnd w:id="529"/>
    </w:p>
    <w:p>
      <w:pPr>
        <w:pStyle w:val="18"/>
        <w:numPr>
          <w:ilvl w:val="0"/>
          <w:numId w:val="13"/>
        </w:numPr>
        <w:spacing w:beforeLines="0" w:afterLines="0"/>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长途光缆中继段光纤链路的衰减指标计算公式如下：</w:t>
      </w:r>
    </w:p>
    <w:p>
      <w:pPr>
        <w:pStyle w:val="18"/>
        <w:numPr>
          <w:ilvl w:val="0"/>
          <w:numId w:val="13"/>
        </w:numPr>
        <w:adjustRightInd/>
        <w:spacing w:beforeLines="0" w:afterLines="0" w:line="360" w:lineRule="auto"/>
        <w:ind w:firstLine="480" w:firstLineChars="200"/>
        <w:rPr>
          <w:rFonts w:hint="eastAsia" w:ascii="宋体" w:hAnsi="宋体" w:eastAsia="宋体" w:cs="宋体"/>
          <w:sz w:val="24"/>
          <w:szCs w:val="24"/>
          <w:lang w:val="nl-BE"/>
        </w:rPr>
      </w:pPr>
      <w:r>
        <w:rPr>
          <w:rFonts w:hint="eastAsia" w:ascii="宋体" w:hAnsi="宋体" w:eastAsia="宋体" w:cs="宋体"/>
          <w:sz w:val="24"/>
          <w:szCs w:val="24"/>
        </w:rPr>
        <w:t>β=</w:t>
      </w:r>
      <w:r>
        <w:rPr>
          <w:rFonts w:hint="eastAsia" w:ascii="宋体" w:hAnsi="宋体" w:eastAsia="宋体" w:cs="宋体"/>
          <w:sz w:val="24"/>
          <w:szCs w:val="24"/>
          <w:lang w:val="nl-BE"/>
        </w:rPr>
        <w:t>af</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nl-BE"/>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nl-BE"/>
        </w:rPr>
        <w:t>L+(N</w:t>
      </w:r>
      <w:r>
        <w:rPr>
          <w:rFonts w:hint="eastAsia" w:ascii="宋体" w:hAnsi="宋体" w:eastAsia="宋体" w:cs="宋体"/>
          <w:sz w:val="24"/>
          <w:szCs w:val="24"/>
          <w:lang w:val="en-US" w:eastAsia="zh-CN"/>
        </w:rPr>
        <w:t>+</w:t>
      </w:r>
      <w:r>
        <w:rPr>
          <w:rFonts w:hint="eastAsia" w:ascii="宋体" w:hAnsi="宋体" w:eastAsia="宋体" w:cs="宋体"/>
          <w:sz w:val="24"/>
          <w:szCs w:val="24"/>
          <w:lang w:val="nl-BE"/>
        </w:rPr>
        <w:t>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nl-BE"/>
        </w:rPr>
        <w:t>*aj</w:t>
      </w:r>
    </w:p>
    <w:p>
      <w:pPr>
        <w:pStyle w:val="18"/>
        <w:numPr>
          <w:ilvl w:val="0"/>
          <w:numId w:val="13"/>
        </w:numPr>
        <w:adjustRightInd/>
        <w:spacing w:beforeLines="0" w:afterLines="0" w:line="360" w:lineRule="auto"/>
        <w:ind w:firstLine="480" w:firstLineChars="200"/>
        <w:rPr>
          <w:rFonts w:hint="eastAsia" w:ascii="宋体" w:hAnsi="宋体" w:eastAsia="宋体" w:cs="宋体"/>
          <w:sz w:val="24"/>
          <w:szCs w:val="24"/>
          <w:lang w:val="nl-BE"/>
        </w:rPr>
      </w:pPr>
      <w:r>
        <w:rPr>
          <w:rFonts w:hint="eastAsia" w:ascii="宋体" w:hAnsi="宋体" w:eastAsia="宋体" w:cs="宋体"/>
          <w:sz w:val="24"/>
          <w:szCs w:val="24"/>
        </w:rPr>
        <w:t>其中</w:t>
      </w:r>
      <w:r>
        <w:rPr>
          <w:rFonts w:hint="eastAsia" w:ascii="宋体" w:hAnsi="宋体" w:eastAsia="宋体" w:cs="宋体"/>
          <w:sz w:val="24"/>
          <w:szCs w:val="24"/>
          <w:lang w:val="nl-BE"/>
        </w:rPr>
        <w:t>：</w:t>
      </w:r>
    </w:p>
    <w:p>
      <w:pPr>
        <w:pStyle w:val="18"/>
        <w:numPr>
          <w:ilvl w:val="0"/>
          <w:numId w:val="13"/>
        </w:numPr>
        <w:adjustRightInd/>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β为中继段光纤链路传输损耗，单位为dB；</w:t>
      </w:r>
    </w:p>
    <w:p>
      <w:pPr>
        <w:pStyle w:val="18"/>
        <w:numPr>
          <w:ilvl w:val="0"/>
          <w:numId w:val="13"/>
        </w:numPr>
        <w:adjustRightInd/>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L为中继段光缆线路光纤链路长度，单位为km；</w:t>
      </w:r>
    </w:p>
    <w:p>
      <w:pPr>
        <w:pStyle w:val="18"/>
        <w:numPr>
          <w:ilvl w:val="0"/>
          <w:numId w:val="13"/>
        </w:numPr>
        <w:adjustRightInd/>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af为设计中所选用的光纤衰减常数，单位为dB/km，按光缆供应商提供的实际的光纤衰减常数的平均值计算。G.652光纤参考指标为：af=0.20dB/km(1550nm)；af=0.36dB/km(1310nm)；</w:t>
      </w:r>
    </w:p>
    <w:p>
      <w:pPr>
        <w:pStyle w:val="18"/>
        <w:numPr>
          <w:ilvl w:val="0"/>
          <w:numId w:val="13"/>
        </w:numPr>
        <w:adjustRightInd/>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N为中继段光缆接头数；</w:t>
      </w:r>
    </w:p>
    <w:p>
      <w:pPr>
        <w:pStyle w:val="18"/>
        <w:numPr>
          <w:ilvl w:val="0"/>
          <w:numId w:val="13"/>
        </w:numPr>
        <w:adjustRightInd/>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2为中继段光缆线路终端接头数，每端1个。</w:t>
      </w:r>
    </w:p>
    <w:p>
      <w:pPr>
        <w:pStyle w:val="18"/>
        <w:numPr>
          <w:ilvl w:val="0"/>
          <w:numId w:val="13"/>
        </w:num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aj为设计中根据光纤类型和站间距离等因素综合考虑取定的光纤接头损耗系数，单位为dB/个，本工程按0.08dB/个取定。</w:t>
      </w:r>
      <w:bookmarkStart w:id="530" w:name="_Toc11474"/>
    </w:p>
    <w:bookmarkEnd w:id="530"/>
    <w:p>
      <w:pPr>
        <w:pStyle w:val="9"/>
        <w:bidi w:val="0"/>
        <w:ind w:firstLine="482" w:firstLineChars="200"/>
        <w:outlineLvl w:val="9"/>
        <w:rPr>
          <w:rFonts w:hint="eastAsia" w:ascii="宋体" w:hAnsi="宋体" w:eastAsia="宋体" w:cs="宋体"/>
          <w:sz w:val="24"/>
          <w:szCs w:val="24"/>
        </w:rPr>
      </w:pPr>
      <w:bookmarkStart w:id="531" w:name="_Toc5315"/>
      <w:bookmarkStart w:id="532" w:name="_Toc26194"/>
      <w:bookmarkStart w:id="533" w:name="_Toc21628"/>
      <w:bookmarkStart w:id="534" w:name="_Toc9248"/>
      <w:r>
        <w:rPr>
          <w:rFonts w:hint="eastAsia" w:ascii="宋体" w:hAnsi="宋体" w:eastAsia="宋体" w:cs="宋体"/>
          <w:sz w:val="24"/>
          <w:szCs w:val="24"/>
          <w:lang w:val="en-US" w:eastAsia="zh-CN"/>
        </w:rPr>
        <w:t xml:space="preserve">1.1.4 </w:t>
      </w:r>
      <w:r>
        <w:rPr>
          <w:rFonts w:hint="eastAsia" w:ascii="宋体" w:hAnsi="宋体" w:eastAsia="宋体" w:cs="宋体"/>
          <w:sz w:val="24"/>
          <w:szCs w:val="24"/>
        </w:rPr>
        <w:t>ONU设备主要技术指标要求</w:t>
      </w:r>
      <w:bookmarkEnd w:id="531"/>
      <w:bookmarkEnd w:id="532"/>
      <w:bookmarkEnd w:id="533"/>
      <w:bookmarkEnd w:id="534"/>
    </w:p>
    <w:p>
      <w:pPr>
        <w:pStyle w:val="18"/>
        <w:pageBreakBefore w:val="0"/>
        <w:numPr>
          <w:ilvl w:val="0"/>
          <w:numId w:val="13"/>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盒式ONU设备。网络侧接口：网络层支持</w:t>
      </w:r>
      <w:r>
        <w:rPr>
          <w:rFonts w:hint="eastAsia" w:ascii="宋体" w:hAnsi="宋体" w:eastAsia="宋体" w:cs="宋体"/>
          <w:sz w:val="24"/>
          <w:szCs w:val="24"/>
          <w:lang w:eastAsia="en-US"/>
        </w:rPr>
        <w:t>GPON</w:t>
      </w:r>
      <w:r>
        <w:rPr>
          <w:rFonts w:hint="eastAsia" w:ascii="宋体" w:hAnsi="宋体" w:eastAsia="宋体" w:cs="宋体"/>
          <w:sz w:val="24"/>
          <w:szCs w:val="24"/>
        </w:rPr>
        <w:t>上下行，为用户提供</w:t>
      </w:r>
      <w:r>
        <w:rPr>
          <w:rFonts w:hint="eastAsia" w:ascii="宋体" w:hAnsi="宋体" w:eastAsia="宋体" w:cs="宋体"/>
          <w:sz w:val="24"/>
          <w:szCs w:val="24"/>
          <w:lang w:eastAsia="en-US"/>
        </w:rPr>
        <w:t>GE</w:t>
      </w:r>
      <w:r>
        <w:rPr>
          <w:rFonts w:hint="eastAsia" w:ascii="宋体" w:hAnsi="宋体" w:eastAsia="宋体" w:cs="宋体"/>
          <w:sz w:val="24"/>
          <w:szCs w:val="24"/>
        </w:rPr>
        <w:t>接口；支持</w:t>
      </w:r>
      <w:r>
        <w:rPr>
          <w:rFonts w:hint="eastAsia" w:ascii="宋体" w:hAnsi="宋体" w:eastAsia="宋体" w:cs="宋体"/>
          <w:sz w:val="24"/>
          <w:szCs w:val="24"/>
          <w:lang w:eastAsia="en-US"/>
        </w:rPr>
        <w:t>IPv6</w:t>
      </w:r>
      <w:r>
        <w:rPr>
          <w:rFonts w:hint="eastAsia" w:ascii="宋体" w:hAnsi="宋体" w:eastAsia="宋体" w:cs="宋体"/>
          <w:sz w:val="24"/>
          <w:szCs w:val="24"/>
        </w:rPr>
        <w:t>功能；</w:t>
      </w:r>
    </w:p>
    <w:p>
      <w:pPr>
        <w:pStyle w:val="18"/>
        <w:pageBreakBefore w:val="0"/>
        <w:numPr>
          <w:ilvl w:val="0"/>
          <w:numId w:val="13"/>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安全性能：支持配置防 DoS 攻击、MAC 地址过滤、IP 地址过滤、URL 地址过滤、IPv6/IPv4 防火墙和静态MAC地址绑定；</w:t>
      </w:r>
    </w:p>
    <w:p>
      <w:pPr>
        <w:pStyle w:val="18"/>
        <w:pageBreakBefore w:val="0"/>
        <w:numPr>
          <w:ilvl w:val="0"/>
          <w:numId w:val="13"/>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支持GPON TypeB单/双归属保护；</w:t>
      </w:r>
    </w:p>
    <w:p>
      <w:pPr>
        <w:pStyle w:val="18"/>
        <w:pageBreakBefore w:val="0"/>
        <w:numPr>
          <w:ilvl w:val="0"/>
          <w:numId w:val="13"/>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优先采用国产化设备。</w:t>
      </w:r>
    </w:p>
    <w:p>
      <w:pPr>
        <w:pStyle w:val="9"/>
        <w:bidi w:val="0"/>
        <w:ind w:firstLine="482" w:firstLineChars="200"/>
        <w:rPr>
          <w:rFonts w:hint="eastAsia" w:ascii="宋体" w:hAnsi="宋体" w:eastAsia="宋体" w:cs="宋体"/>
          <w:sz w:val="24"/>
          <w:szCs w:val="24"/>
        </w:rPr>
      </w:pPr>
      <w:bookmarkStart w:id="535" w:name="_Toc30305"/>
      <w:bookmarkStart w:id="536" w:name="_Toc29155"/>
      <w:r>
        <w:rPr>
          <w:rFonts w:hint="eastAsia" w:ascii="宋体" w:hAnsi="宋体" w:eastAsia="宋体" w:cs="宋体"/>
          <w:sz w:val="24"/>
          <w:szCs w:val="24"/>
          <w:lang w:val="en-US" w:eastAsia="zh-CN"/>
        </w:rPr>
        <w:t xml:space="preserve">▲1.1.5 </w:t>
      </w:r>
      <w:r>
        <w:rPr>
          <w:rFonts w:hint="eastAsia" w:ascii="宋体" w:hAnsi="宋体" w:eastAsia="宋体" w:cs="宋体"/>
          <w:sz w:val="24"/>
          <w:szCs w:val="24"/>
        </w:rPr>
        <w:t>机顶盒主要技术指标要求</w:t>
      </w:r>
      <w:bookmarkEnd w:id="535"/>
      <w:bookmarkEnd w:id="536"/>
    </w:p>
    <w:p>
      <w:pPr>
        <w:pStyle w:val="18"/>
        <w:pageBreakBefore w:val="0"/>
        <w:numPr>
          <w:ilvl w:val="0"/>
          <w:numId w:val="14"/>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具备良好的散热性能，采用塑料外壳，并符合RoHS《电气、电子设备中限制使用某些有害物质指令》标准；</w:t>
      </w:r>
    </w:p>
    <w:p>
      <w:pPr>
        <w:pStyle w:val="18"/>
        <w:pageBreakBefore w:val="0"/>
        <w:numPr>
          <w:ilvl w:val="0"/>
          <w:numId w:val="14"/>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CPU主频≥1.5GHz、运算能力≥10k DMIPS；</w:t>
      </w:r>
    </w:p>
    <w:p>
      <w:pPr>
        <w:pStyle w:val="18"/>
        <w:pageBreakBefore w:val="0"/>
        <w:numPr>
          <w:ilvl w:val="0"/>
          <w:numId w:val="14"/>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RAM≥2GByte，DDR3/4；</w:t>
      </w:r>
    </w:p>
    <w:p>
      <w:pPr>
        <w:pStyle w:val="18"/>
        <w:pageBreakBefore w:val="0"/>
        <w:numPr>
          <w:ilvl w:val="0"/>
          <w:numId w:val="14"/>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支持IPV4和IPV6协议；</w:t>
      </w:r>
    </w:p>
    <w:p>
      <w:pPr>
        <w:pStyle w:val="18"/>
        <w:pageBreakBefore w:val="0"/>
        <w:numPr>
          <w:ilvl w:val="0"/>
          <w:numId w:val="14"/>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1个10/100Mbps全双工自适应，支持符合RFC2131标准的DHCP功能；</w:t>
      </w:r>
    </w:p>
    <w:p>
      <w:pPr>
        <w:pStyle w:val="18"/>
        <w:pageBreakBefore w:val="0"/>
        <w:numPr>
          <w:ilvl w:val="0"/>
          <w:numId w:val="14"/>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HDMI接口1个、电源接口1个，DC/AC、支持红外遥控；</w:t>
      </w:r>
    </w:p>
    <w:p>
      <w:pPr>
        <w:pStyle w:val="18"/>
        <w:pageBreakBefore w:val="0"/>
        <w:numPr>
          <w:ilvl w:val="0"/>
          <w:numId w:val="14"/>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优先采用国产化设备。</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（8）支持TVOS3.0及以上操作系统</w:t>
      </w:r>
    </w:p>
    <w:p>
      <w:pPr>
        <w:pStyle w:val="9"/>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▲1.1.6新一代直播卫星终端技术指标要求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（1）硬件扩展支持蓝牙遥控器，支持蓝牙语音遥控器，支持外置WIFI 模块</w:t>
      </w:r>
      <w:r>
        <w:rPr>
          <w:rFonts w:hint="eastAsia" w:ascii="宋体" w:hAnsi="宋体" w:eastAsia="宋体" w:cs="宋体"/>
          <w:sz w:val="24"/>
          <w:szCs w:val="24"/>
          <w:lang w:eastAsia="zh-CN"/>
        </w:rPr>
        <w:t>；</w:t>
      </w:r>
      <w:r>
        <w:rPr>
          <w:rFonts w:hint="eastAsia" w:ascii="宋体" w:hAnsi="宋体" w:eastAsia="宋体" w:cs="宋体"/>
          <w:sz w:val="24"/>
          <w:szCs w:val="24"/>
        </w:rPr>
        <w:t>业务扩展支持省级应急广播模式，支持流媒体数据广播；</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（2）符合使用TVOS、DCAS、北斗定位对原有系统全面升级，支持2K和4K解码；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（3）双模接收设施的性能及功能应符合卫星直播系统综合接收解码器 </w:t>
      </w:r>
      <w:r>
        <w:rPr>
          <w:rFonts w:hint="eastAsia" w:ascii="宋体" w:hAnsi="宋体" w:eastAsia="宋体" w:cs="宋体"/>
          <w:sz w:val="24"/>
          <w:szCs w:val="24"/>
          <w:lang w:eastAsia="zh-CN"/>
        </w:rPr>
        <w:t>（</w:t>
      </w:r>
      <w:r>
        <w:rPr>
          <w:rFonts w:hint="eastAsia" w:ascii="宋体" w:hAnsi="宋体" w:eastAsia="宋体" w:cs="宋体"/>
          <w:sz w:val="24"/>
          <w:szCs w:val="24"/>
        </w:rPr>
        <w:t>智能基本型</w:t>
      </w:r>
      <w:r>
        <w:rPr>
          <w:rFonts w:hint="eastAsia" w:ascii="宋体" w:hAnsi="宋体" w:eastAsia="宋体" w:cs="宋体"/>
          <w:sz w:val="24"/>
          <w:szCs w:val="24"/>
          <w:lang w:eastAsia="zh-CN"/>
        </w:rPr>
        <w:t>－</w:t>
      </w:r>
      <w:r>
        <w:rPr>
          <w:rFonts w:hint="eastAsia" w:ascii="宋体" w:hAnsi="宋体" w:eastAsia="宋体" w:cs="宋体"/>
          <w:sz w:val="24"/>
          <w:szCs w:val="24"/>
        </w:rPr>
        <w:t>卫星地面双模</w:t>
      </w:r>
      <w:r>
        <w:rPr>
          <w:rFonts w:hint="eastAsia" w:ascii="宋体" w:hAnsi="宋体" w:eastAsia="宋体" w:cs="宋体"/>
          <w:sz w:val="24"/>
          <w:szCs w:val="24"/>
          <w:lang w:eastAsia="zh-CN"/>
        </w:rPr>
        <w:t>）</w:t>
      </w:r>
      <w:r>
        <w:rPr>
          <w:rFonts w:hint="eastAsia" w:ascii="宋体" w:hAnsi="宋体" w:eastAsia="宋体" w:cs="宋体"/>
          <w:sz w:val="24"/>
          <w:szCs w:val="24"/>
        </w:rPr>
        <w:t xml:space="preserve"> 技术要求与测量方法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（4）具备接收北斗卫星信号功能的卫星直播系统一体化下变频器技术要求和测量方法</w:t>
      </w:r>
    </w:p>
    <w:p>
      <w:pPr>
        <w:ind w:firstLine="480" w:firstLineChars="200"/>
        <w:outlineLvl w:val="0"/>
        <w:rPr>
          <w:rFonts w:hint="eastAsia" w:ascii="宋体" w:hAnsi="宋体" w:eastAsia="宋体" w:cs="宋体"/>
          <w:sz w:val="24"/>
          <w:szCs w:val="24"/>
          <w:lang w:val="en-US" w:eastAsia="zh-CN"/>
        </w:rPr>
      </w:pPr>
      <w:bookmarkStart w:id="537" w:name="_Toc31889"/>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具备通过新一代通信技术完成本地化节目点播。</w:t>
      </w:r>
      <w:bookmarkEnd w:id="537"/>
    </w:p>
    <w:p>
      <w:pPr>
        <w:pStyle w:val="9"/>
        <w:bidi w:val="0"/>
        <w:ind w:firstLine="482" w:firstLineChars="200"/>
        <w:outlineLvl w:val="3"/>
        <w:rPr>
          <w:rFonts w:hint="eastAsia" w:ascii="宋体" w:hAnsi="宋体" w:eastAsia="宋体" w:cs="宋体"/>
          <w:sz w:val="24"/>
          <w:szCs w:val="24"/>
        </w:rPr>
      </w:pPr>
      <w:r>
        <w:rPr>
          <w:rFonts w:hint="eastAsia" w:ascii="宋体" w:hAnsi="宋体" w:eastAsia="宋体" w:cs="宋体"/>
          <w:sz w:val="24"/>
          <w:szCs w:val="24"/>
          <w:lang w:val="en-US" w:eastAsia="zh-CN"/>
        </w:rPr>
        <w:t>1.1.7</w:t>
      </w:r>
      <w:r>
        <w:rPr>
          <w:rFonts w:hint="eastAsia" w:ascii="宋体" w:hAnsi="宋体" w:eastAsia="宋体" w:cs="宋体"/>
          <w:sz w:val="24"/>
          <w:szCs w:val="24"/>
        </w:rPr>
        <w:t>通信光缆</w:t>
      </w:r>
    </w:p>
    <w:p>
      <w:pPr>
        <w:bidi w:val="0"/>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型号：</w:t>
      </w:r>
      <w:r>
        <w:rPr>
          <w:rFonts w:hint="eastAsia" w:ascii="宋体" w:hAnsi="宋体" w:eastAsia="宋体" w:cs="宋体"/>
          <w:sz w:val="24"/>
          <w:szCs w:val="24"/>
        </w:rPr>
        <w:t>GYTS- 12</w:t>
      </w:r>
      <w:r>
        <w:rPr>
          <w:rFonts w:hint="eastAsia" w:ascii="宋体" w:hAnsi="宋体" w:eastAsia="宋体" w:cs="宋体"/>
          <w:sz w:val="24"/>
          <w:szCs w:val="24"/>
          <w:lang w:eastAsia="zh-CN"/>
        </w:rPr>
        <w:t>、</w:t>
      </w:r>
      <w:r>
        <w:rPr>
          <w:rFonts w:hint="eastAsia" w:ascii="宋体" w:hAnsi="宋体" w:eastAsia="宋体" w:cs="宋体"/>
          <w:sz w:val="24"/>
          <w:szCs w:val="24"/>
        </w:rPr>
        <w:t xml:space="preserve">GYTS- </w:t>
      </w:r>
      <w:r>
        <w:rPr>
          <w:rFonts w:hint="eastAsia" w:ascii="宋体" w:hAnsi="宋体" w:eastAsia="宋体" w:cs="宋体"/>
          <w:sz w:val="24"/>
          <w:szCs w:val="24"/>
          <w:lang w:val="en-US" w:eastAsia="zh-CN"/>
        </w:rPr>
        <w:t>24</w:t>
      </w:r>
      <w:r>
        <w:rPr>
          <w:rFonts w:hint="eastAsia" w:ascii="宋体" w:hAnsi="宋体" w:eastAsia="宋体" w:cs="宋体"/>
          <w:sz w:val="24"/>
          <w:szCs w:val="24"/>
          <w:lang w:eastAsia="zh-CN"/>
        </w:rPr>
        <w:t>、</w:t>
      </w:r>
      <w:r>
        <w:rPr>
          <w:rFonts w:hint="eastAsia" w:ascii="宋体" w:hAnsi="宋体" w:eastAsia="宋体" w:cs="宋体"/>
          <w:sz w:val="24"/>
          <w:szCs w:val="24"/>
        </w:rPr>
        <w:t xml:space="preserve">GYTS- </w:t>
      </w:r>
      <w:r>
        <w:rPr>
          <w:rFonts w:hint="eastAsia" w:ascii="宋体" w:hAnsi="宋体" w:eastAsia="宋体" w:cs="宋体"/>
          <w:sz w:val="24"/>
          <w:szCs w:val="24"/>
          <w:lang w:val="en-US" w:eastAsia="zh-CN"/>
        </w:rPr>
        <w:t>48</w:t>
      </w:r>
      <w:r>
        <w:rPr>
          <w:rFonts w:hint="eastAsia" w:ascii="宋体" w:hAnsi="宋体" w:eastAsia="宋体" w:cs="宋体"/>
          <w:sz w:val="24"/>
          <w:szCs w:val="24"/>
          <w:lang w:eastAsia="zh-CN"/>
        </w:rPr>
        <w:t>、</w:t>
      </w:r>
      <w:r>
        <w:rPr>
          <w:rFonts w:hint="eastAsia" w:ascii="宋体" w:hAnsi="宋体" w:eastAsia="宋体" w:cs="宋体"/>
          <w:sz w:val="24"/>
          <w:szCs w:val="24"/>
        </w:rPr>
        <w:t xml:space="preserve">GYTS- </w:t>
      </w:r>
      <w:r>
        <w:rPr>
          <w:rFonts w:hint="eastAsia" w:ascii="宋体" w:hAnsi="宋体" w:eastAsia="宋体" w:cs="宋体"/>
          <w:sz w:val="24"/>
          <w:szCs w:val="24"/>
          <w:lang w:val="en-US" w:eastAsia="zh-CN"/>
        </w:rPr>
        <w:t>72</w:t>
      </w:r>
      <w:r>
        <w:rPr>
          <w:rFonts w:hint="eastAsia" w:ascii="宋体" w:hAnsi="宋体" w:eastAsia="宋体" w:cs="宋体"/>
          <w:sz w:val="24"/>
          <w:szCs w:val="24"/>
          <w:lang w:eastAsia="zh-CN"/>
        </w:rPr>
        <w:t>、</w:t>
      </w:r>
      <w:r>
        <w:rPr>
          <w:rFonts w:hint="eastAsia" w:ascii="宋体" w:hAnsi="宋体" w:eastAsia="宋体" w:cs="宋体"/>
          <w:sz w:val="24"/>
          <w:szCs w:val="24"/>
        </w:rPr>
        <w:t>GYTS- 1</w:t>
      </w:r>
      <w:r>
        <w:rPr>
          <w:rFonts w:hint="eastAsia" w:ascii="宋体" w:hAnsi="宋体" w:eastAsia="宋体" w:cs="宋体"/>
          <w:sz w:val="24"/>
          <w:szCs w:val="24"/>
          <w:lang w:val="en-US" w:eastAsia="zh-CN"/>
        </w:rPr>
        <w:t>44</w:t>
      </w:r>
    </w:p>
    <w:p>
      <w:pPr>
        <w:pStyle w:val="18"/>
        <w:pageBreakBefore w:val="0"/>
        <w:numPr>
          <w:ilvl w:val="0"/>
          <w:numId w:val="15"/>
        </w:numPr>
        <w:kinsoku/>
        <w:wordWrap/>
        <w:overflowPunct/>
        <w:bidi w:val="0"/>
        <w:adjustRightInd/>
        <w:snapToGrid/>
        <w:spacing w:before="0" w:beforeLines="0" w:after="0" w:afterLines="0" w:line="360" w:lineRule="auto"/>
        <w:ind w:left="0" w:leftChars="0" w:firstLine="480" w:firstLineChars="200"/>
        <w:outlineLvl w:val="0"/>
        <w:rPr>
          <w:rFonts w:hint="eastAsia" w:ascii="宋体" w:hAnsi="宋体" w:eastAsia="宋体" w:cs="宋体"/>
          <w:sz w:val="24"/>
          <w:szCs w:val="24"/>
        </w:rPr>
      </w:pPr>
      <w:bookmarkStart w:id="538" w:name="_Toc15870"/>
      <w:r>
        <w:rPr>
          <w:rFonts w:hint="eastAsia" w:ascii="宋体" w:hAnsi="宋体" w:eastAsia="宋体" w:cs="宋体"/>
          <w:sz w:val="24"/>
          <w:szCs w:val="24"/>
        </w:rPr>
        <w:t>G.652 D型光纤</w:t>
      </w:r>
      <w:bookmarkEnd w:id="538"/>
    </w:p>
    <w:p>
      <w:pPr>
        <w:pStyle w:val="18"/>
        <w:pageBreakBefore w:val="0"/>
        <w:numPr>
          <w:ilvl w:val="0"/>
          <w:numId w:val="15"/>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每一批次的所有光纤为同一型号和同一来源（同一工厂、同一材料、同一制造方法和同一折射率分布）。</w:t>
      </w:r>
    </w:p>
    <w:p>
      <w:pPr>
        <w:pStyle w:val="18"/>
        <w:pageBreakBefore w:val="0"/>
        <w:numPr>
          <w:ilvl w:val="0"/>
          <w:numId w:val="15"/>
        </w:numPr>
        <w:kinsoku/>
        <w:wordWrap/>
        <w:overflowPunct/>
        <w:bidi w:val="0"/>
        <w:adjustRightInd/>
        <w:snapToGrid/>
        <w:spacing w:before="0" w:beforeLines="0" w:after="0" w:afterLines="0" w:line="360" w:lineRule="auto"/>
        <w:ind w:left="0" w:leftChars="0" w:firstLine="480" w:firstLineChars="200"/>
        <w:outlineLvl w:val="0"/>
        <w:rPr>
          <w:rFonts w:hint="eastAsia" w:ascii="宋体" w:hAnsi="宋体" w:eastAsia="宋体" w:cs="宋体"/>
          <w:sz w:val="24"/>
          <w:szCs w:val="24"/>
        </w:rPr>
      </w:pPr>
      <w:bookmarkStart w:id="539" w:name="_Toc18524"/>
      <w:r>
        <w:rPr>
          <w:rFonts w:hint="eastAsia" w:ascii="宋体" w:hAnsi="宋体" w:eastAsia="宋体" w:cs="宋体"/>
          <w:sz w:val="24"/>
          <w:szCs w:val="24"/>
        </w:rPr>
        <w:t>成缆后光纤的衰减系数:</w:t>
      </w:r>
      <w:bookmarkEnd w:id="539"/>
    </w:p>
    <w:p>
      <w:pPr>
        <w:keepNext w:val="0"/>
        <w:keepLines w:val="0"/>
        <w:pageBreakBefore w:val="0"/>
        <w:widowControl w:val="0"/>
        <w:numPr>
          <w:ilvl w:val="0"/>
          <w:numId w:val="16"/>
        </w:numPr>
        <w:kinsoku/>
        <w:wordWrap/>
        <w:overflowPunct/>
        <w:topLinePunct w:val="0"/>
        <w:autoSpaceDE/>
        <w:autoSpaceDN/>
        <w:bidi w:val="0"/>
        <w:adjustRightInd/>
        <w:snapToGrid/>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在1310nm波长上的最大衰减系数为：0.35dB/km。</w:t>
      </w:r>
    </w:p>
    <w:p>
      <w:pPr>
        <w:keepNext w:val="0"/>
        <w:keepLines w:val="0"/>
        <w:pageBreakBefore w:val="0"/>
        <w:widowControl w:val="0"/>
        <w:numPr>
          <w:ilvl w:val="0"/>
          <w:numId w:val="16"/>
        </w:numPr>
        <w:kinsoku/>
        <w:wordWrap/>
        <w:overflowPunct/>
        <w:topLinePunct w:val="0"/>
        <w:autoSpaceDE/>
        <w:autoSpaceDN/>
        <w:bidi w:val="0"/>
        <w:adjustRightInd/>
        <w:snapToGrid/>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在1383nm±3nm波长上的最大衰减值小于1310nm波长上的最大衰减值。</w:t>
      </w:r>
    </w:p>
    <w:p>
      <w:pPr>
        <w:keepNext w:val="0"/>
        <w:keepLines w:val="0"/>
        <w:pageBreakBefore w:val="0"/>
        <w:widowControl w:val="0"/>
        <w:numPr>
          <w:ilvl w:val="0"/>
          <w:numId w:val="16"/>
        </w:numPr>
        <w:kinsoku/>
        <w:wordWrap/>
        <w:overflowPunct/>
        <w:topLinePunct w:val="0"/>
        <w:autoSpaceDE/>
        <w:autoSpaceDN/>
        <w:bidi w:val="0"/>
        <w:adjustRightInd/>
        <w:snapToGrid/>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在1550nm波长上的最大衰减值不大于0.22</w:t>
      </w:r>
      <w:r>
        <w:rPr>
          <w:rFonts w:hint="eastAsia" w:ascii="宋体" w:hAnsi="宋体" w:eastAsia="宋体" w:cs="宋体"/>
          <w:sz w:val="24"/>
          <w:szCs w:val="24"/>
          <w:lang w:eastAsia="zh-CN"/>
        </w:rPr>
        <w:t>（</w:t>
      </w:r>
      <w:r>
        <w:rPr>
          <w:rFonts w:hint="eastAsia" w:ascii="宋体" w:hAnsi="宋体" w:eastAsia="宋体" w:cs="宋体"/>
          <w:sz w:val="24"/>
          <w:szCs w:val="24"/>
        </w:rPr>
        <w:t>特殊地区0.21</w:t>
      </w:r>
      <w:r>
        <w:rPr>
          <w:rFonts w:hint="eastAsia" w:ascii="宋体" w:hAnsi="宋体" w:eastAsia="宋体" w:cs="宋体"/>
          <w:sz w:val="24"/>
          <w:szCs w:val="24"/>
          <w:lang w:eastAsia="zh-CN"/>
        </w:rPr>
        <w:t>）</w:t>
      </w:r>
      <w:r>
        <w:rPr>
          <w:rFonts w:hint="eastAsia" w:ascii="宋体" w:hAnsi="宋体" w:eastAsia="宋体" w:cs="宋体"/>
          <w:sz w:val="24"/>
          <w:szCs w:val="24"/>
        </w:rPr>
        <w:t>dB/km。</w:t>
      </w:r>
    </w:p>
    <w:p>
      <w:pPr>
        <w:keepNext w:val="0"/>
        <w:keepLines w:val="0"/>
        <w:pageBreakBefore w:val="0"/>
        <w:widowControl w:val="0"/>
        <w:numPr>
          <w:ilvl w:val="0"/>
          <w:numId w:val="16"/>
        </w:numPr>
        <w:kinsoku/>
        <w:wordWrap/>
        <w:overflowPunct/>
        <w:topLinePunct w:val="0"/>
        <w:autoSpaceDE/>
        <w:autoSpaceDN/>
        <w:bidi w:val="0"/>
        <w:adjustRightInd/>
        <w:snapToGrid/>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在1625nm波长上的最大衰减值不大于0.26dB/km。</w:t>
      </w:r>
    </w:p>
    <w:p>
      <w:pPr>
        <w:keepNext w:val="0"/>
        <w:keepLines w:val="0"/>
        <w:pageBreakBefore w:val="0"/>
        <w:widowControl w:val="0"/>
        <w:numPr>
          <w:ilvl w:val="0"/>
          <w:numId w:val="16"/>
        </w:numPr>
        <w:kinsoku/>
        <w:wordWrap/>
        <w:overflowPunct/>
        <w:topLinePunct w:val="0"/>
        <w:autoSpaceDE/>
        <w:autoSpaceDN/>
        <w:bidi w:val="0"/>
        <w:adjustRightInd/>
        <w:snapToGrid/>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在1285～1330nm波长范围内，任一波长上光纤的衰减系数与1310nm波长上的衰减系数相比，其差值不超过0.03dB/km。</w:t>
      </w:r>
    </w:p>
    <w:p>
      <w:pPr>
        <w:keepNext w:val="0"/>
        <w:keepLines w:val="0"/>
        <w:pageBreakBefore w:val="0"/>
        <w:widowControl w:val="0"/>
        <w:numPr>
          <w:ilvl w:val="0"/>
          <w:numId w:val="16"/>
        </w:numPr>
        <w:kinsoku/>
        <w:wordWrap/>
        <w:overflowPunct/>
        <w:topLinePunct w:val="0"/>
        <w:autoSpaceDE/>
        <w:autoSpaceDN/>
        <w:bidi w:val="0"/>
        <w:adjustRightInd/>
        <w:snapToGrid/>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在1525～1575nm波长范围内，任一波长上光纤的衰减系数与1550nm波长上的衰减系数相比，其差值不超过0.05dB/km。</w:t>
      </w:r>
    </w:p>
    <w:p>
      <w:pPr>
        <w:keepNext w:val="0"/>
        <w:keepLines w:val="0"/>
        <w:pageBreakBefore w:val="0"/>
        <w:widowControl w:val="0"/>
        <w:numPr>
          <w:ilvl w:val="0"/>
          <w:numId w:val="16"/>
        </w:numPr>
        <w:kinsoku/>
        <w:wordWrap/>
        <w:overflowPunct/>
        <w:topLinePunct w:val="0"/>
        <w:autoSpaceDE/>
        <w:autoSpaceDN/>
        <w:bidi w:val="0"/>
        <w:adjustRightInd/>
        <w:snapToGrid/>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在1310～1625nm波长范围内的最大衰减值为：0.35dB/km。</w:t>
      </w:r>
    </w:p>
    <w:p>
      <w:pPr>
        <w:keepNext w:val="0"/>
        <w:keepLines w:val="0"/>
        <w:pageBreakBefore w:val="0"/>
        <w:widowControl w:val="0"/>
        <w:numPr>
          <w:ilvl w:val="0"/>
          <w:numId w:val="16"/>
        </w:numPr>
        <w:kinsoku/>
        <w:wordWrap/>
        <w:overflowPunct/>
        <w:topLinePunct w:val="0"/>
        <w:autoSpaceDE/>
        <w:autoSpaceDN/>
        <w:bidi w:val="0"/>
        <w:adjustRightInd/>
        <w:snapToGrid/>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光纤衰减曲线应有良好的线性并且无明显台阶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用OTDR检测任意一根光纤时，在1310nm和1550nm处500m光纤的衰减值不大于</w:t>
      </w:r>
    </w:p>
    <w:p>
      <w:pPr>
        <w:keepNext w:val="0"/>
        <w:keepLines w:val="0"/>
        <w:pageBreakBefore w:val="0"/>
        <w:kinsoku/>
        <w:wordWrap/>
        <w:overflowPunct/>
        <w:autoSpaceDE/>
        <w:autoSpaceDN/>
        <w:bidi w:val="0"/>
        <w:adjustRightInd/>
        <w:snapToGrid/>
        <w:spacing w:line="360" w:lineRule="auto"/>
        <w:ind w:left="0" w:leftChars="0"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1485900" cy="4171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rcRect l="-2" t="-2" r="30927" b="-5318"/>
                    <a:stretch>
                      <a:fillRect/>
                    </a:stretch>
                  </pic:blipFill>
                  <pic:spPr>
                    <a:xfrm>
                      <a:off x="0" y="0"/>
                      <a:ext cx="1485900" cy="417195"/>
                    </a:xfrm>
                    <a:prstGeom prst="rect">
                      <a:avLst/>
                    </a:prstGeom>
                    <a:noFill/>
                    <a:ln>
                      <a:noFill/>
                    </a:ln>
                  </pic:spPr>
                </pic:pic>
              </a:graphicData>
            </a:graphic>
          </wp:inline>
        </w:drawing>
      </w:r>
    </w:p>
    <w:p>
      <w:pPr>
        <w:pStyle w:val="18"/>
        <w:pageBreakBefore w:val="0"/>
        <w:numPr>
          <w:ilvl w:val="0"/>
          <w:numId w:val="15"/>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截止波长应满足下述λcc≤1250nm</w:t>
      </w:r>
    </w:p>
    <w:p>
      <w:pPr>
        <w:pStyle w:val="18"/>
        <w:pageBreakBefore w:val="0"/>
        <w:numPr>
          <w:ilvl w:val="0"/>
          <w:numId w:val="15"/>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偏振模色散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在1550nm波长光缆单盘偏振模色散系数：</w:t>
      </w:r>
    </w:p>
    <w:p>
      <w:pPr>
        <w:pageBreakBefore w:val="0"/>
        <w:kinsoku/>
        <w:wordWrap/>
        <w:overflowPunct/>
        <w:bidi w:val="0"/>
        <w:spacing w:line="360" w:lineRule="auto"/>
        <w:ind w:left="0" w:leftChars="0" w:firstLine="480" w:firstLineChars="200"/>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1710055" cy="412115"/>
            <wp:effectExtent l="0" t="0" r="444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1710055" cy="4121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光纤成缆后必须满足在1550nm波长光缆链路（≥20盘光缆）偏振模色散系数</w:t>
      </w:r>
      <w:r>
        <w:rPr>
          <w:rFonts w:hint="eastAsia" w:ascii="宋体" w:hAnsi="宋体" w:eastAsia="宋体" w:cs="宋体"/>
          <w:sz w:val="24"/>
          <w:szCs w:val="24"/>
          <w:lang w:eastAsia="zh-CN"/>
        </w:rPr>
        <w:t>：</w:t>
      </w:r>
    </w:p>
    <w:p>
      <w:pPr>
        <w:pageBreakBefore w:val="0"/>
        <w:kinsoku/>
        <w:wordWrap/>
        <w:overflowPunct/>
        <w:bidi w:val="0"/>
        <w:spacing w:line="360" w:lineRule="auto"/>
        <w:ind w:left="0" w:leftChars="0" w:firstLine="480" w:firstLineChars="200"/>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093085" cy="402590"/>
            <wp:effectExtent l="0" t="0" r="1206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3093085" cy="402590"/>
                    </a:xfrm>
                    <a:prstGeom prst="rect">
                      <a:avLst/>
                    </a:prstGeom>
                    <a:noFill/>
                    <a:ln>
                      <a:noFill/>
                    </a:ln>
                  </pic:spPr>
                </pic:pic>
              </a:graphicData>
            </a:graphic>
          </wp:inline>
        </w:drawing>
      </w:r>
    </w:p>
    <w:p>
      <w:pPr>
        <w:pStyle w:val="9"/>
        <w:bidi w:val="0"/>
        <w:ind w:firstLine="482" w:firstLineChars="200"/>
        <w:outlineLvl w:val="3"/>
        <w:rPr>
          <w:rFonts w:hint="eastAsia" w:ascii="宋体" w:hAnsi="宋体" w:eastAsia="宋体" w:cs="宋体"/>
          <w:sz w:val="24"/>
          <w:szCs w:val="24"/>
        </w:rPr>
      </w:pPr>
      <w:bookmarkStart w:id="540" w:name="_Toc32365"/>
      <w:r>
        <w:rPr>
          <w:rFonts w:hint="eastAsia" w:ascii="宋体" w:hAnsi="宋体" w:eastAsia="宋体" w:cs="宋体"/>
          <w:sz w:val="24"/>
          <w:szCs w:val="24"/>
          <w:lang w:val="en-US" w:eastAsia="zh-CN"/>
        </w:rPr>
        <w:t xml:space="preserve">1.1.8 </w:t>
      </w:r>
      <w:r>
        <w:rPr>
          <w:rFonts w:hint="eastAsia" w:ascii="宋体" w:hAnsi="宋体" w:eastAsia="宋体" w:cs="宋体"/>
          <w:sz w:val="24"/>
          <w:szCs w:val="24"/>
        </w:rPr>
        <w:t>蝶形光缆</w:t>
      </w:r>
      <w:bookmarkEnd w:id="540"/>
    </w:p>
    <w:p>
      <w:pPr>
        <w:pStyle w:val="18"/>
        <w:pageBreakBefore w:val="0"/>
        <w:numPr>
          <w:ilvl w:val="0"/>
          <w:numId w:val="17"/>
        </w:numPr>
        <w:kinsoku/>
        <w:wordWrap/>
        <w:overflowPunct/>
        <w:bidi w:val="0"/>
        <w:adjustRightInd/>
        <w:snapToGrid/>
        <w:spacing w:before="0" w:beforeLines="0" w:after="0" w:afterLines="0" w:line="360" w:lineRule="auto"/>
        <w:ind w:left="0" w:leftChars="0" w:firstLine="480" w:firstLineChars="200"/>
        <w:outlineLvl w:val="0"/>
        <w:rPr>
          <w:rFonts w:hint="eastAsia" w:ascii="宋体" w:hAnsi="宋体" w:eastAsia="宋体" w:cs="宋体"/>
          <w:sz w:val="24"/>
          <w:szCs w:val="24"/>
          <w:lang w:val="en-US" w:eastAsia="zh-CN"/>
        </w:rPr>
      </w:pPr>
      <w:bookmarkStart w:id="541" w:name="_Toc11779"/>
      <w:r>
        <w:rPr>
          <w:rFonts w:hint="eastAsia" w:ascii="宋体" w:hAnsi="宋体" w:eastAsia="宋体" w:cs="宋体"/>
          <w:sz w:val="24"/>
          <w:szCs w:val="24"/>
          <w:lang w:val="en-US" w:eastAsia="zh-CN"/>
        </w:rPr>
        <w:t>G.657A2型光纤</w:t>
      </w:r>
      <w:bookmarkEnd w:id="541"/>
    </w:p>
    <w:p>
      <w:pPr>
        <w:pStyle w:val="18"/>
        <w:pageBreakBefore w:val="0"/>
        <w:numPr>
          <w:ilvl w:val="0"/>
          <w:numId w:val="17"/>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每一批次的所有光纤为同一型号和同一来源（同一工厂、同一材料、同一制造方法和同一折射率分布）。</w:t>
      </w:r>
    </w:p>
    <w:p>
      <w:pPr>
        <w:pStyle w:val="18"/>
        <w:pageBreakBefore w:val="0"/>
        <w:numPr>
          <w:ilvl w:val="0"/>
          <w:numId w:val="17"/>
        </w:numPr>
        <w:kinsoku/>
        <w:wordWrap/>
        <w:overflowPunct/>
        <w:bidi w:val="0"/>
        <w:adjustRightInd/>
        <w:snapToGrid/>
        <w:spacing w:before="0" w:beforeLines="0" w:after="0" w:afterLines="0" w:line="360" w:lineRule="auto"/>
        <w:ind w:left="0" w:leftChars="0" w:firstLine="480" w:firstLineChars="200"/>
        <w:outlineLvl w:val="0"/>
        <w:rPr>
          <w:rFonts w:hint="eastAsia" w:ascii="宋体" w:hAnsi="宋体" w:eastAsia="宋体" w:cs="宋体"/>
          <w:sz w:val="24"/>
          <w:szCs w:val="24"/>
          <w:lang w:val="en-US" w:eastAsia="zh-CN"/>
        </w:rPr>
      </w:pPr>
      <w:bookmarkStart w:id="542" w:name="_Toc23733"/>
      <w:r>
        <w:rPr>
          <w:rFonts w:hint="eastAsia" w:ascii="宋体" w:hAnsi="宋体" w:eastAsia="宋体" w:cs="宋体"/>
          <w:sz w:val="24"/>
          <w:szCs w:val="24"/>
          <w:lang w:val="en-US" w:eastAsia="zh-CN"/>
        </w:rPr>
        <w:t>成缆后光纤的衰减系数:</w:t>
      </w:r>
      <w:bookmarkEnd w:id="54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①在1310nm波长上的最大衰减系数为：0.35dB/km。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在1383nm±3nm波长上的最大衰减值小于：0.35dB/km。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在1550nm波长上的最大衰减值不大于0.22（特殊地区0.21）dB/km。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在1285 ～ 1330nm波长范围内，任一波长上光纤的衰减系数与1310nm波长上的衰减系数相比，其差值不超过0.07dB/km。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在1525 ～ 1575nm波长范围内，任一波长上光纤的衰减系数与1550nm波长上的衰减系数相比，其差值不超过0.05dB/km。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在1575 ～ 1625nm波长范围内的最大衰减值为：0.25dB/km。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②光纤衰减曲线应有良好的线性并且无明显台阶；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用OTDR检测任意一根光纤时，在1310nm和1550nm处500m光纤的衰减值不大于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drawing>
          <wp:inline distT="0" distB="0" distL="114300" distR="114300">
            <wp:extent cx="1588135" cy="445770"/>
            <wp:effectExtent l="0" t="0" r="12065"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rcRect l="-2" t="-2" r="30927" b="-5318"/>
                    <a:stretch>
                      <a:fillRect/>
                    </a:stretch>
                  </pic:blipFill>
                  <pic:spPr>
                    <a:xfrm>
                      <a:off x="0" y="0"/>
                      <a:ext cx="1588135" cy="445770"/>
                    </a:xfrm>
                    <a:prstGeom prst="rect">
                      <a:avLst/>
                    </a:prstGeom>
                    <a:noFill/>
                    <a:ln>
                      <a:noFill/>
                    </a:ln>
                  </pic:spPr>
                </pic:pic>
              </a:graphicData>
            </a:graphic>
          </wp:inline>
        </w:drawing>
      </w:r>
    </w:p>
    <w:p>
      <w:pPr>
        <w:pStyle w:val="18"/>
        <w:pageBreakBefore w:val="0"/>
        <w:numPr>
          <w:ilvl w:val="0"/>
          <w:numId w:val="17"/>
        </w:numPr>
        <w:kinsoku/>
        <w:wordWrap/>
        <w:overflowPunct/>
        <w:bidi w:val="0"/>
        <w:adjustRightInd/>
        <w:snapToGrid/>
        <w:spacing w:before="0" w:beforeLines="0" w:after="0" w:afterLines="0" w:line="360" w:lineRule="auto"/>
        <w:ind w:left="0" w:leftChars="0" w:firstLine="480" w:firstLineChars="200"/>
        <w:outlineLvl w:val="0"/>
        <w:rPr>
          <w:rFonts w:hint="eastAsia" w:ascii="宋体" w:hAnsi="宋体" w:eastAsia="宋体" w:cs="宋体"/>
          <w:sz w:val="24"/>
          <w:szCs w:val="24"/>
          <w:lang w:val="en-US" w:eastAsia="zh-CN"/>
        </w:rPr>
      </w:pPr>
      <w:bookmarkStart w:id="543" w:name="_Toc10200"/>
      <w:r>
        <w:rPr>
          <w:rFonts w:hint="eastAsia" w:ascii="宋体" w:hAnsi="宋体" w:eastAsia="宋体" w:cs="宋体"/>
          <w:sz w:val="24"/>
          <w:szCs w:val="24"/>
          <w:lang w:val="en-US" w:eastAsia="zh-CN"/>
        </w:rPr>
        <w:t>截止波长应满足下述λcc≤1260nm。</w:t>
      </w:r>
      <w:bookmarkEnd w:id="543"/>
    </w:p>
    <w:p>
      <w:pPr>
        <w:pStyle w:val="9"/>
        <w:bidi w:val="0"/>
        <w:ind w:firstLine="482" w:firstLineChars="200"/>
        <w:outlineLvl w:val="3"/>
        <w:rPr>
          <w:rFonts w:hint="eastAsia" w:ascii="宋体" w:hAnsi="宋体" w:eastAsia="宋体" w:cs="宋体"/>
          <w:sz w:val="24"/>
          <w:szCs w:val="24"/>
        </w:rPr>
      </w:pPr>
      <w:bookmarkStart w:id="544" w:name="_Toc5171"/>
      <w:r>
        <w:rPr>
          <w:rFonts w:hint="eastAsia" w:ascii="宋体" w:hAnsi="宋体" w:eastAsia="宋体" w:cs="宋体"/>
          <w:sz w:val="24"/>
          <w:szCs w:val="24"/>
          <w:lang w:val="en-US" w:eastAsia="zh-CN"/>
        </w:rPr>
        <w:t>1.1.9 防腐木杆</w:t>
      </w:r>
      <w:bookmarkEnd w:id="544"/>
    </w:p>
    <w:p>
      <w:pPr>
        <w:pStyle w:val="18"/>
        <w:pageBreakBefore w:val="0"/>
        <w:numPr>
          <w:ilvl w:val="0"/>
          <w:numId w:val="18"/>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防腐木杆规格杆高8000mm，杆梢直径＞120mm。</w:t>
      </w:r>
    </w:p>
    <w:p>
      <w:pPr>
        <w:pStyle w:val="18"/>
        <w:pageBreakBefore w:val="0"/>
        <w:numPr>
          <w:ilvl w:val="0"/>
          <w:numId w:val="18"/>
        </w:numPr>
        <w:kinsoku/>
        <w:wordWrap/>
        <w:overflowPunct/>
        <w:bidi w:val="0"/>
        <w:adjustRightInd/>
        <w:snapToGrid/>
        <w:spacing w:before="0" w:beforeLines="0" w:after="0" w:afterLines="0" w:line="360" w:lineRule="auto"/>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素质木杆材质要求</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木质坚韧、文理直、强度高、不开裂、杆身挺直；</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杆梢不许有内部腐烂现象，木杆根内部允许腐烂程度对于一等杆材不超过检尺径的20%，对于二等杆允许腐烂程度不超过检尺径的40%；</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木杆梢部和根部均不许有腐烂、漏节和虫害现象 （表面有可以）；</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杆身无硬伤劈裂，表面无高出 2cm 以上的残留节疤；</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木杆锥度:对于松木杆每米径差 0.8cm 计算，对于杉木杆每米镜差按 1.1cm计算；</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木杆弯曲：（指杆身最大弯处距杆档与杆根间连线的垂直距离），一等材不超过2%，二等材不超过4%；</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身不许有通身的裂纹（杆档至杆根）。</w:t>
      </w:r>
    </w:p>
    <w:p>
      <w:pPr>
        <w:pStyle w:val="18"/>
        <w:pageBreakBefore w:val="0"/>
        <w:numPr>
          <w:ilvl w:val="0"/>
          <w:numId w:val="18"/>
        </w:numPr>
        <w:kinsoku/>
        <w:wordWrap/>
        <w:overflowPunct/>
        <w:bidi w:val="0"/>
        <w:adjustRightInd/>
        <w:snapToGrid/>
        <w:spacing w:before="0" w:beforeLines="0" w:after="0" w:afterLines="0" w:line="360" w:lineRule="auto"/>
        <w:ind w:left="0" w:leftChars="0" w:firstLine="480" w:firstLineChars="200"/>
        <w:outlineLvl w:val="0"/>
        <w:rPr>
          <w:rFonts w:hint="eastAsia" w:ascii="宋体" w:hAnsi="宋体" w:eastAsia="宋体" w:cs="宋体"/>
          <w:sz w:val="24"/>
          <w:szCs w:val="24"/>
          <w:lang w:val="en-US" w:eastAsia="zh-CN"/>
        </w:rPr>
      </w:pPr>
      <w:bookmarkStart w:id="545" w:name="_Toc7733"/>
      <w:r>
        <w:rPr>
          <w:rFonts w:hint="eastAsia" w:ascii="宋体" w:hAnsi="宋体" w:eastAsia="宋体" w:cs="宋体"/>
          <w:sz w:val="24"/>
          <w:szCs w:val="24"/>
          <w:lang w:val="en-US" w:eastAsia="zh-CN"/>
        </w:rPr>
        <w:t>防腐杆杆浸注最深度（mm）</w:t>
      </w:r>
      <w:bookmarkEnd w:id="545"/>
    </w:p>
    <w:tbl>
      <w:tblPr>
        <w:tblStyle w:val="3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5"/>
        <w:gridCol w:w="4188"/>
        <w:gridCol w:w="4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木质</w:t>
            </w:r>
          </w:p>
        </w:tc>
        <w:tc>
          <w:tcPr>
            <w:tcW w:w="40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防腐杆杆浸注最深度（mm）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0"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bidi w:val="0"/>
              <w:spacing w:line="360" w:lineRule="auto"/>
              <w:ind w:left="0" w:leftChars="0" w:firstLine="480" w:firstLineChars="200"/>
              <w:jc w:val="center"/>
              <w:rPr>
                <w:rFonts w:hint="eastAsia" w:ascii="宋体" w:hAnsi="宋体" w:eastAsia="宋体" w:cs="宋体"/>
                <w:i w:val="0"/>
                <w:iCs w:val="0"/>
                <w:color w:val="000000"/>
                <w:sz w:val="24"/>
                <w:szCs w:val="24"/>
                <w:u w:val="none"/>
              </w:rPr>
            </w:pPr>
          </w:p>
        </w:tc>
        <w:tc>
          <w:tcPr>
            <w:tcW w:w="2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油质防腐剂</w:t>
            </w:r>
          </w:p>
        </w:tc>
        <w:tc>
          <w:tcPr>
            <w:tcW w:w="2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水质防腐剂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杉木</w:t>
            </w:r>
          </w:p>
        </w:tc>
        <w:tc>
          <w:tcPr>
            <w:tcW w:w="2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&gt;15</w:t>
            </w:r>
          </w:p>
        </w:tc>
        <w:tc>
          <w:tcPr>
            <w:tcW w:w="2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红松</w:t>
            </w:r>
          </w:p>
        </w:tc>
        <w:tc>
          <w:tcPr>
            <w:tcW w:w="2034"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bidi w:val="0"/>
              <w:spacing w:line="360" w:lineRule="auto"/>
              <w:ind w:left="0" w:leftChars="0" w:firstLine="480" w:firstLineChars="200"/>
              <w:jc w:val="center"/>
              <w:rPr>
                <w:rFonts w:hint="eastAsia" w:ascii="宋体" w:hAnsi="宋体" w:eastAsia="宋体" w:cs="宋体"/>
                <w:i w:val="0"/>
                <w:iCs w:val="0"/>
                <w:color w:val="000000"/>
                <w:sz w:val="24"/>
                <w:szCs w:val="24"/>
                <w:u w:val="none"/>
              </w:rPr>
            </w:pPr>
          </w:p>
        </w:tc>
        <w:tc>
          <w:tcPr>
            <w:tcW w:w="2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落叶松</w:t>
            </w:r>
          </w:p>
        </w:tc>
        <w:tc>
          <w:tcPr>
            <w:tcW w:w="2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bidi w:val="0"/>
              <w:spacing w:line="360" w:lineRule="auto"/>
              <w:ind w:left="0" w:leftChars="0" w:firstLine="480"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&gt;13</w:t>
            </w:r>
          </w:p>
        </w:tc>
        <w:tc>
          <w:tcPr>
            <w:tcW w:w="2034"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bidi w:val="0"/>
              <w:spacing w:line="360" w:lineRule="auto"/>
              <w:ind w:left="0" w:leftChars="0" w:firstLine="480" w:firstLineChars="200"/>
              <w:jc w:val="center"/>
              <w:rPr>
                <w:rFonts w:hint="eastAsia" w:ascii="宋体" w:hAnsi="宋体" w:eastAsia="宋体" w:cs="宋体"/>
                <w:i w:val="0"/>
                <w:iCs w:val="0"/>
                <w:color w:val="000000"/>
                <w:sz w:val="24"/>
                <w:szCs w:val="24"/>
                <w:u w:val="none"/>
              </w:rPr>
            </w:pPr>
          </w:p>
        </w:tc>
      </w:tr>
    </w:tbl>
    <w:p>
      <w:pPr>
        <w:pStyle w:val="9"/>
        <w:bidi w:val="0"/>
        <w:ind w:firstLine="482" w:firstLineChars="200"/>
        <w:outlineLvl w:val="3"/>
        <w:rPr>
          <w:rFonts w:hint="eastAsia" w:ascii="宋体" w:hAnsi="宋体" w:eastAsia="宋体" w:cs="宋体"/>
          <w:sz w:val="24"/>
          <w:szCs w:val="24"/>
        </w:rPr>
      </w:pPr>
      <w:bookmarkStart w:id="546" w:name="_Toc15776"/>
      <w:r>
        <w:rPr>
          <w:rFonts w:hint="eastAsia" w:ascii="宋体" w:hAnsi="宋体" w:eastAsia="宋体" w:cs="宋体"/>
          <w:sz w:val="24"/>
          <w:szCs w:val="24"/>
          <w:lang w:val="en-US" w:eastAsia="zh-CN"/>
        </w:rPr>
        <w:t xml:space="preserve">1.1.10 </w:t>
      </w:r>
      <w:r>
        <w:rPr>
          <w:rFonts w:hint="eastAsia" w:ascii="宋体" w:hAnsi="宋体" w:eastAsia="宋体" w:cs="宋体"/>
          <w:sz w:val="24"/>
          <w:szCs w:val="24"/>
        </w:rPr>
        <w:t>ODF配线架</w:t>
      </w:r>
      <w:bookmarkEnd w:id="54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288芯。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尺寸：2000×600×300；冷轧钢板；喷涂颜色：PANTONE 413C，细砂。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可安装24个12芯熔配一体化模块</w:t>
      </w:r>
    </w:p>
    <w:p>
      <w:pPr>
        <w:pStyle w:val="9"/>
        <w:bidi w:val="0"/>
        <w:ind w:firstLine="482" w:firstLineChars="200"/>
        <w:outlineLvl w:val="3"/>
        <w:rPr>
          <w:rFonts w:hint="eastAsia" w:ascii="宋体" w:hAnsi="宋体" w:eastAsia="宋体" w:cs="宋体"/>
          <w:sz w:val="24"/>
          <w:szCs w:val="24"/>
        </w:rPr>
      </w:pPr>
      <w:bookmarkStart w:id="547" w:name="_Toc17617"/>
      <w:r>
        <w:rPr>
          <w:rFonts w:hint="eastAsia" w:ascii="宋体" w:hAnsi="宋体" w:eastAsia="宋体" w:cs="宋体"/>
          <w:sz w:val="24"/>
          <w:szCs w:val="24"/>
          <w:lang w:val="en-US" w:eastAsia="zh-CN"/>
        </w:rPr>
        <w:t xml:space="preserve">1.1.11 </w:t>
      </w:r>
      <w:r>
        <w:rPr>
          <w:rFonts w:hint="eastAsia" w:ascii="宋体" w:hAnsi="宋体" w:eastAsia="宋体" w:cs="宋体"/>
          <w:sz w:val="24"/>
          <w:szCs w:val="24"/>
        </w:rPr>
        <w:t>ODF子框</w:t>
      </w:r>
      <w:bookmarkEnd w:id="54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72芯。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标准19英寸安装，可配置12芯熔配一体化单元6个，搭配子框型ODF架或600×600机柜使用。</w:t>
      </w:r>
    </w:p>
    <w:p>
      <w:pPr>
        <w:pStyle w:val="9"/>
        <w:bidi w:val="0"/>
        <w:ind w:firstLine="482" w:firstLineChars="200"/>
        <w:outlineLvl w:val="3"/>
        <w:rPr>
          <w:rFonts w:hint="eastAsia" w:ascii="宋体" w:hAnsi="宋体" w:eastAsia="宋体" w:cs="宋体"/>
          <w:sz w:val="24"/>
          <w:szCs w:val="24"/>
        </w:rPr>
      </w:pPr>
      <w:bookmarkStart w:id="548" w:name="_Toc6596"/>
      <w:r>
        <w:rPr>
          <w:rFonts w:hint="eastAsia" w:ascii="宋体" w:hAnsi="宋体" w:eastAsia="宋体" w:cs="宋体"/>
          <w:sz w:val="24"/>
          <w:szCs w:val="24"/>
          <w:lang w:val="en-US" w:eastAsia="zh-CN"/>
        </w:rPr>
        <w:t xml:space="preserve">1.1.12 </w:t>
      </w:r>
      <w:r>
        <w:rPr>
          <w:rFonts w:hint="eastAsia" w:ascii="宋体" w:hAnsi="宋体" w:eastAsia="宋体" w:cs="宋体"/>
          <w:sz w:val="24"/>
          <w:szCs w:val="24"/>
        </w:rPr>
        <w:t>软光纤</w:t>
      </w:r>
      <w:bookmarkEnd w:id="54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软光纤LC-LC 10米（双头）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LC/PC- LC/PC / 单芯跳纤/3.0mm/10米/G.652.D（双端成端）；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软光纤FC-FC  2米双头）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FC/UPC- FC/UPC /单芯跳纤/3.0mm/2米/G.652.D（双端成端）；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软光纤SC-SC 2米（双头）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SC/APC- SC/APC /单芯跳纤/2.0mm/2米/G.652.D（双端成端）。</w:t>
      </w:r>
    </w:p>
    <w:p>
      <w:pPr>
        <w:pStyle w:val="9"/>
        <w:bidi w:val="0"/>
        <w:ind w:firstLine="482" w:firstLineChars="200"/>
        <w:outlineLvl w:val="9"/>
        <w:rPr>
          <w:rFonts w:hint="eastAsia" w:ascii="宋体" w:hAnsi="宋体" w:eastAsia="宋体" w:cs="宋体"/>
          <w:sz w:val="24"/>
          <w:szCs w:val="24"/>
        </w:rPr>
      </w:pPr>
      <w:bookmarkStart w:id="549" w:name="_Toc15494"/>
      <w:r>
        <w:rPr>
          <w:rFonts w:hint="eastAsia" w:ascii="宋体" w:hAnsi="宋体" w:eastAsia="宋体" w:cs="宋体"/>
          <w:sz w:val="24"/>
          <w:szCs w:val="24"/>
          <w:lang w:val="en-US" w:eastAsia="zh-CN"/>
        </w:rPr>
        <w:t xml:space="preserve">1.1.13 </w:t>
      </w:r>
      <w:r>
        <w:rPr>
          <w:rFonts w:hint="eastAsia" w:ascii="宋体" w:hAnsi="宋体" w:eastAsia="宋体" w:cs="宋体"/>
          <w:sz w:val="24"/>
          <w:szCs w:val="24"/>
        </w:rPr>
        <w:t>光分路器（插片式）</w:t>
      </w:r>
      <w:bookmarkEnd w:id="549"/>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1：2/SC|LC型/尺寸：130×100×25；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1：4/SC|LC型/尺寸：130×100×25；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1：8/SC|LC型/尺寸：130×100×25；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1：16/SC|LC型/尺寸：130×100×50。</w:t>
      </w:r>
    </w:p>
    <w:p>
      <w:pPr>
        <w:pStyle w:val="9"/>
        <w:bidi w:val="0"/>
        <w:ind w:firstLine="482" w:firstLineChars="200"/>
        <w:outlineLvl w:val="9"/>
        <w:rPr>
          <w:rFonts w:hint="eastAsia" w:ascii="宋体" w:hAnsi="宋体" w:eastAsia="宋体" w:cs="宋体"/>
          <w:sz w:val="24"/>
          <w:szCs w:val="24"/>
        </w:rPr>
      </w:pPr>
      <w:bookmarkStart w:id="550" w:name="_Toc3036"/>
      <w:r>
        <w:rPr>
          <w:rFonts w:hint="eastAsia" w:ascii="宋体" w:hAnsi="宋体" w:eastAsia="宋体" w:cs="宋体"/>
          <w:sz w:val="24"/>
          <w:szCs w:val="24"/>
          <w:lang w:val="en-US" w:eastAsia="zh-CN"/>
        </w:rPr>
        <w:t xml:space="preserve">1.1.14 </w:t>
      </w:r>
      <w:r>
        <w:rPr>
          <w:rFonts w:hint="eastAsia" w:ascii="宋体" w:hAnsi="宋体" w:eastAsia="宋体" w:cs="宋体"/>
          <w:sz w:val="24"/>
          <w:szCs w:val="24"/>
        </w:rPr>
        <w:t>光分路箱</w:t>
      </w:r>
      <w:bookmarkEnd w:id="550"/>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16路－抱杆式（室外）：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16芯容量/旋转结构/插片式分路器/挂杆式或壁挂式，箱体材质：SMC/金属；</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32路－壁挂式（室内）：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32芯容量/旋转结构/插片式分路器/挂杆式或壁挂式，箱体材质：SMC/金属。</w:t>
      </w:r>
    </w:p>
    <w:p>
      <w:pPr>
        <w:pStyle w:val="9"/>
        <w:bidi w:val="0"/>
        <w:ind w:firstLine="482" w:firstLineChars="200"/>
        <w:outlineLvl w:val="9"/>
        <w:rPr>
          <w:rFonts w:hint="eastAsia" w:ascii="宋体" w:hAnsi="宋体" w:eastAsia="宋体" w:cs="宋体"/>
          <w:sz w:val="24"/>
          <w:szCs w:val="24"/>
        </w:rPr>
      </w:pPr>
      <w:bookmarkStart w:id="551" w:name="_Toc25016"/>
      <w:r>
        <w:rPr>
          <w:rFonts w:hint="eastAsia" w:ascii="宋体" w:hAnsi="宋体" w:eastAsia="宋体" w:cs="宋体"/>
          <w:sz w:val="24"/>
          <w:szCs w:val="24"/>
          <w:lang w:val="en-US" w:eastAsia="zh-CN"/>
        </w:rPr>
        <w:t xml:space="preserve">1.1.15 </w:t>
      </w:r>
      <w:r>
        <w:rPr>
          <w:rFonts w:hint="eastAsia" w:ascii="宋体" w:hAnsi="宋体" w:eastAsia="宋体" w:cs="宋体"/>
          <w:sz w:val="24"/>
          <w:szCs w:val="24"/>
        </w:rPr>
        <w:t>光缆交接箱箱体</w:t>
      </w:r>
      <w:bookmarkEnd w:id="55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GPX32D-144（含适配器）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尺寸：1035×560×310，SMC材质，可安装13块熔配一体化托盘，单面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GPX32D-288（含适配器）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尺寸：1460×760×320，SMC材质，可安装26块熔配一体化托盘，单面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GPX32D-576（含适配器）</w:t>
      </w:r>
    </w:p>
    <w:p>
      <w:pPr>
        <w:widowControl/>
        <w:spacing w:line="360" w:lineRule="auto"/>
        <w:ind w:firstLine="480" w:firstLineChars="200"/>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尺寸：1460×760×540，SMC材质，可安装52块熔配一体化托盘，双面</w:t>
      </w:r>
    </w:p>
    <w:p>
      <w:pPr>
        <w:pStyle w:val="9"/>
        <w:ind w:firstLineChars="200"/>
        <w:rPr>
          <w:rFonts w:hint="eastAsia" w:ascii="宋体" w:hAnsi="宋体" w:eastAsia="宋体" w:cs="宋体"/>
          <w:sz w:val="24"/>
          <w:szCs w:val="24"/>
        </w:rPr>
      </w:pPr>
      <w:bookmarkStart w:id="552" w:name="_Toc5240"/>
      <w:r>
        <w:rPr>
          <w:rFonts w:hint="eastAsia" w:ascii="宋体" w:hAnsi="宋体" w:eastAsia="宋体" w:cs="宋体"/>
          <w:sz w:val="24"/>
          <w:szCs w:val="24"/>
          <w:lang w:val="en-US" w:eastAsia="zh-CN"/>
        </w:rPr>
        <w:t xml:space="preserve">1.1.16 </w:t>
      </w:r>
      <w:r>
        <w:rPr>
          <w:rFonts w:hint="eastAsia" w:ascii="宋体" w:hAnsi="宋体" w:eastAsia="宋体" w:cs="宋体"/>
          <w:sz w:val="24"/>
          <w:szCs w:val="24"/>
        </w:rPr>
        <w:t>光缆接头盒</w:t>
      </w:r>
      <w:bookmarkEnd w:id="55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12芯、24芯接头盒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束状24芯 \12芯/盘×2或24芯/盘×1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48芯接头盒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尺寸：束状48芯 \12芯/盘×4或24芯/盘×2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72芯接头盒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尺寸：束状96芯 \24芯/盘×3 </w:t>
      </w:r>
    </w:p>
    <w:p>
      <w:pPr>
        <w:pStyle w:val="9"/>
        <w:bidi w:val="0"/>
        <w:ind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1.1.2 光缆网络建设清单</w:t>
      </w:r>
    </w:p>
    <w:tbl>
      <w:tblPr>
        <w:tblStyle w:val="37"/>
        <w:tblW w:w="4859" w:type="pct"/>
        <w:tblInd w:w="118" w:type="dxa"/>
        <w:tblLayout w:type="fixed"/>
        <w:tblCellMar>
          <w:top w:w="0" w:type="dxa"/>
          <w:left w:w="108" w:type="dxa"/>
          <w:bottom w:w="0" w:type="dxa"/>
          <w:right w:w="108" w:type="dxa"/>
        </w:tblCellMar>
      </w:tblPr>
      <w:tblGrid>
        <w:gridCol w:w="767"/>
        <w:gridCol w:w="6374"/>
        <w:gridCol w:w="1443"/>
        <w:gridCol w:w="1422"/>
      </w:tblGrid>
      <w:tr>
        <w:tblPrEx>
          <w:tblCellMar>
            <w:top w:w="0" w:type="dxa"/>
            <w:left w:w="108" w:type="dxa"/>
            <w:bottom w:w="0" w:type="dxa"/>
            <w:right w:w="108" w:type="dxa"/>
          </w:tblCellMar>
        </w:tblPrEx>
        <w:trPr>
          <w:trHeight w:val="340" w:hRule="atLeast"/>
          <w:tblHeader/>
        </w:trPr>
        <w:tc>
          <w:tcPr>
            <w:tcW w:w="3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序号</w:t>
            </w:r>
          </w:p>
        </w:tc>
        <w:tc>
          <w:tcPr>
            <w:tcW w:w="31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项目名称</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单位</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数量</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安装光分配架 子架</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个</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27.000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安装光网络单元(ONU) 集成式设备</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台</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1379.000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光(电)缆工程施工测量 直埋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百米</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rPr>
            </w:pPr>
            <w:r>
              <w:rPr>
                <w:rFonts w:hint="eastAsia" w:ascii="楷体" w:hAnsi="楷体" w:cs="楷体"/>
                <w:color w:val="FF0000"/>
                <w:kern w:val="0"/>
                <w:sz w:val="24"/>
                <w:szCs w:val="24"/>
                <w:highlight w:val="none"/>
                <w:lang w:val="en-US" w:eastAsia="zh-CN"/>
              </w:rPr>
              <w:t>3.14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光(电)缆工程施工测量 架空</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百米</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rPr>
            </w:pPr>
            <w:r>
              <w:rPr>
                <w:rFonts w:hint="eastAsia" w:ascii="楷体" w:hAnsi="楷体" w:cs="楷体"/>
                <w:color w:val="FF0000"/>
                <w:kern w:val="0"/>
                <w:sz w:val="24"/>
                <w:szCs w:val="24"/>
                <w:highlight w:val="none"/>
                <w:lang w:val="en-US" w:eastAsia="zh-CN"/>
              </w:rPr>
              <w:t>1700.77</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光(电)缆工程施工测量 管道</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百米</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rPr>
            </w:pPr>
            <w:r>
              <w:rPr>
                <w:rFonts w:hint="eastAsia" w:ascii="楷体" w:hAnsi="楷体" w:cs="楷体"/>
                <w:color w:val="FF0000"/>
                <w:kern w:val="0"/>
                <w:sz w:val="24"/>
                <w:szCs w:val="24"/>
                <w:highlight w:val="none"/>
                <w:lang w:val="en-US" w:eastAsia="zh-CN"/>
              </w:rPr>
              <w:t>138.34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6</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单盘检验 光缆</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芯盘</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rPr>
            </w:pPr>
            <w:r>
              <w:rPr>
                <w:rFonts w:hint="eastAsia" w:ascii="楷体" w:hAnsi="楷体" w:cs="楷体"/>
                <w:color w:val="FF0000"/>
                <w:kern w:val="0"/>
                <w:sz w:val="24"/>
                <w:szCs w:val="24"/>
                <w:highlight w:val="none"/>
                <w:lang w:val="en-US" w:eastAsia="zh-CN"/>
              </w:rPr>
              <w:t>1920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7</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挖、夯填光(电)缆沟及接头坑 普通土</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百立方米</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0.850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8</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平原地区敷设埋式光缆 GYTS-12芯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rPr>
            </w:pPr>
            <w:r>
              <w:rPr>
                <w:rFonts w:hint="eastAsia" w:ascii="楷体" w:hAnsi="楷体" w:eastAsia="楷体" w:cs="楷体"/>
                <w:color w:val="FF0000"/>
                <w:kern w:val="0"/>
                <w:sz w:val="24"/>
                <w:szCs w:val="24"/>
                <w:highlight w:val="none"/>
                <w:lang w:val="en-US" w:eastAsia="zh-CN"/>
              </w:rPr>
              <w:t>0.3</w:t>
            </w:r>
            <w:r>
              <w:rPr>
                <w:rFonts w:hint="eastAsia" w:ascii="楷体" w:hAnsi="楷体" w:cs="楷体"/>
                <w:color w:val="FF0000"/>
                <w:kern w:val="0"/>
                <w:sz w:val="24"/>
                <w:szCs w:val="24"/>
                <w:highlight w:val="none"/>
                <w:lang w:val="en-US" w:eastAsia="zh-CN"/>
              </w:rPr>
              <w:t>14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9</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平原地区敷设埋式光缆 GYTS-24芯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rPr>
            </w:pPr>
            <w:r>
              <w:rPr>
                <w:rFonts w:hint="eastAsia" w:ascii="楷体" w:hAnsi="楷体" w:eastAsia="楷体" w:cs="楷体"/>
                <w:color w:val="FF0000"/>
                <w:kern w:val="0"/>
                <w:sz w:val="24"/>
                <w:szCs w:val="24"/>
                <w:highlight w:val="none"/>
                <w:lang w:val="en-US" w:eastAsia="zh-CN"/>
              </w:rPr>
              <w:t>0.4</w:t>
            </w:r>
            <w:r>
              <w:rPr>
                <w:rFonts w:hint="eastAsia" w:ascii="楷体" w:hAnsi="楷体" w:cs="楷体"/>
                <w:color w:val="FF0000"/>
                <w:kern w:val="0"/>
                <w:sz w:val="24"/>
                <w:szCs w:val="24"/>
                <w:highlight w:val="none"/>
                <w:lang w:val="en-US" w:eastAsia="zh-CN"/>
              </w:rPr>
              <w:t>39</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10</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平原地区敷设埋式光缆 GYTS-48芯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rPr>
            </w:pPr>
            <w:r>
              <w:rPr>
                <w:rFonts w:hint="eastAsia" w:ascii="楷体" w:hAnsi="楷体" w:eastAsia="楷体" w:cs="楷体"/>
                <w:color w:val="FF0000"/>
                <w:kern w:val="0"/>
                <w:sz w:val="24"/>
                <w:szCs w:val="24"/>
                <w:highlight w:val="none"/>
                <w:lang w:val="en-US" w:eastAsia="zh-CN"/>
              </w:rPr>
              <w:t>0.0</w:t>
            </w:r>
            <w:r>
              <w:rPr>
                <w:rFonts w:hint="eastAsia" w:ascii="楷体" w:hAnsi="楷体" w:cs="楷体"/>
                <w:color w:val="FF0000"/>
                <w:kern w:val="0"/>
                <w:sz w:val="24"/>
                <w:szCs w:val="24"/>
                <w:highlight w:val="none"/>
                <w:lang w:val="en-US" w:eastAsia="zh-CN"/>
              </w:rPr>
              <w:t>43</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11</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铺管保护 塑料管</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m</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823</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12</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立8.5米以下木电杆 综合土</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根</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3396</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13</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立10米以下木电杆 综合土</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根</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28</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14</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立15米以下品接杆 综合土</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座</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4.000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15</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装木撑杆 综合土</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根</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42</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16</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木杆另缠法装7/2.6单股拉线 综合土</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1025</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17</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安装拉线隔电子</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处</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1025</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18</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安装拉线警示保护管</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处</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1025</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19</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电杆地线 直埋式</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536</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20</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安装预留缆架</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架</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1244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21</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安装吊线保护装置</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m</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480.000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22</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木电杆架设7/2.2吊线 平原</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166.725</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23</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架设自承式蝶形光缆</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百米条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1318.1</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24</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挂钩法架设架空光缆 平原 GYTS 12芯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61.119</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25</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挂钩法架设架空光缆 平原 GYTS 24芯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110.49</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26</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挂钩法架设架空光缆 平原 GYTS 48芯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65.227</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27</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敷设管道光缆 12芯以下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1.592</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28</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敷设管道光缆 24芯以下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9.604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29</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敷设管道光缆 48芯以下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千米条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6.613</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30</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安装引上钢管(φ50以上) 杆上</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根</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eastAsia="楷体" w:cs="楷体"/>
                <w:color w:val="FF0000"/>
                <w:kern w:val="0"/>
                <w:sz w:val="24"/>
                <w:szCs w:val="24"/>
                <w:highlight w:val="none"/>
                <w:lang w:val="en-US" w:eastAsia="zh-CN"/>
              </w:rPr>
              <w:t>4</w:t>
            </w:r>
            <w:r>
              <w:rPr>
                <w:rFonts w:hint="eastAsia" w:ascii="楷体" w:hAnsi="楷体" w:cs="楷体"/>
                <w:color w:val="FF0000"/>
                <w:kern w:val="0"/>
                <w:sz w:val="24"/>
                <w:szCs w:val="24"/>
                <w:highlight w:val="none"/>
                <w:lang w:val="en-US" w:eastAsia="zh-CN"/>
              </w:rPr>
              <w:t>3</w:t>
            </w:r>
            <w:r>
              <w:rPr>
                <w:rFonts w:hint="eastAsia" w:ascii="楷体" w:hAnsi="楷体" w:eastAsia="楷体" w:cs="楷体"/>
                <w:color w:val="FF0000"/>
                <w:kern w:val="0"/>
                <w:sz w:val="24"/>
                <w:szCs w:val="24"/>
                <w:highlight w:val="none"/>
                <w:lang w:val="en-US" w:eastAsia="zh-CN"/>
              </w:rPr>
              <w:t>.000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31</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安装引上钢管(φ50以上) 墙上</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根</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5.000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32</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穿放引上光缆</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185</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33</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架设吊线式墙壁光缆 GYTS 12芯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百米条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11.53</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34</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架设吊线式墙壁光缆 GYTS 24芯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百米条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4.200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35</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架设吊线式墙壁光缆 GYTS 48芯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百米条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36</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布放钉固式墙壁光缆 GYTS 12芯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百米条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29.84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37</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布放钉固式墙壁光缆 GYTS 24芯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百米条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9.68</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38</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布放钉固式墙壁光缆 GYTS 48芯</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百米条</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3.17</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39</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光缆成端接头 束状</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芯</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6168</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40</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光缆接续 12芯以下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头</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12</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41</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光缆接续 24芯以下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头</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54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42</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光缆接续 48芯以下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头</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23</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43</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40千米以下中继段光缆测试 24芯以下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中继段</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6</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44</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40千米以下中继段光缆测试 48芯以下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中继段</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3</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45</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用户光缆测试 6芯以下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段</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400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46</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用户光缆测试 24芯以下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段</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68</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47</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用户光缆测试 48芯以下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段</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8</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48</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安装光分纤箱、光分路箱 架空式</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套</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346</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49</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安装光分纤箱、光分路箱 墙壁式</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套</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40.000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50</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机架(箱)内安装光分路器 安装高度1.5m以下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台</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000000"/>
                <w:kern w:val="0"/>
                <w:sz w:val="24"/>
                <w:szCs w:val="24"/>
                <w:highlight w:val="yellow"/>
                <w:lang w:val="en-US" w:eastAsia="zh-CN" w:bidi="ar-SA"/>
              </w:rPr>
            </w:pPr>
            <w:r>
              <w:rPr>
                <w:rFonts w:hint="eastAsia" w:ascii="楷体" w:hAnsi="楷体" w:cs="楷体"/>
                <w:color w:val="FF0000"/>
                <w:kern w:val="0"/>
                <w:sz w:val="24"/>
                <w:szCs w:val="24"/>
                <w:highlight w:val="none"/>
                <w:lang w:val="en-US" w:eastAsia="zh-CN"/>
              </w:rPr>
              <w:t>504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51</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光分路器本机测试 1:2</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套</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17.000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52</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光分路器本机测试 1:4</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套</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101</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53</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光分路器本机测试 1:8</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套</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355</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54</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光分路器本机测试 1:16</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套</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31.000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55</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浇筑交接箱基座</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m³</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default"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14</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56</w:t>
            </w:r>
          </w:p>
        </w:tc>
        <w:tc>
          <w:tcPr>
            <w:tcW w:w="3185" w:type="pct"/>
            <w:tcBorders>
              <w:top w:val="single" w:color="000000" w:sz="4" w:space="0"/>
              <w:left w:val="single" w:color="000000" w:sz="4" w:space="0"/>
              <w:bottom w:val="single" w:color="000000" w:sz="4" w:space="0"/>
              <w:right w:val="nil"/>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安装落地式光缆交接箱 288芯以下</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rPr>
              <w:t>个</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FF0000"/>
                <w:kern w:val="0"/>
                <w:sz w:val="24"/>
                <w:szCs w:val="24"/>
                <w:highlight w:val="none"/>
                <w:lang w:val="en-US" w:eastAsia="zh-CN" w:bidi="ar-SA"/>
              </w:rPr>
            </w:pPr>
            <w:r>
              <w:rPr>
                <w:rFonts w:hint="eastAsia" w:ascii="楷体" w:hAnsi="楷体" w:cs="楷体"/>
                <w:color w:val="FF0000"/>
                <w:kern w:val="0"/>
                <w:sz w:val="24"/>
                <w:szCs w:val="24"/>
                <w:highlight w:val="none"/>
                <w:lang w:val="en-US" w:eastAsia="zh-CN"/>
              </w:rPr>
              <w:t>35</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57</w:t>
            </w:r>
          </w:p>
        </w:tc>
        <w:tc>
          <w:tcPr>
            <w:tcW w:w="3185" w:type="pct"/>
            <w:tcBorders>
              <w:top w:val="single" w:color="000000" w:sz="4" w:space="0"/>
              <w:left w:val="single" w:color="000000" w:sz="4" w:space="0"/>
              <w:bottom w:val="single" w:color="000000" w:sz="4" w:space="0"/>
              <w:right w:val="nil"/>
            </w:tcBorders>
            <w:noWrap/>
            <w:vAlign w:val="center"/>
          </w:tcPr>
          <w:p>
            <w:pPr>
              <w:widowControl/>
              <w:jc w:val="center"/>
              <w:rPr>
                <w:rFonts w:hint="eastAsia" w:ascii="楷体" w:hAnsi="楷体" w:eastAsia="楷体" w:cs="楷体"/>
                <w:kern w:val="0"/>
                <w:sz w:val="24"/>
                <w:szCs w:val="24"/>
                <w:lang w:val="en-US" w:eastAsia="zh-CN" w:bidi="ar-SA"/>
              </w:rPr>
            </w:pPr>
            <w:r>
              <w:rPr>
                <w:rFonts w:hint="eastAsia" w:ascii="楷体" w:hAnsi="楷体" w:eastAsia="楷体" w:cs="楷体"/>
                <w:kern w:val="0"/>
                <w:sz w:val="24"/>
                <w:szCs w:val="24"/>
              </w:rPr>
              <w:t>安装机顶盒设备</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楷体" w:hAnsi="楷体" w:eastAsia="楷体" w:cs="楷体"/>
                <w:kern w:val="0"/>
                <w:sz w:val="24"/>
                <w:szCs w:val="24"/>
                <w:lang w:val="en-US" w:eastAsia="zh-CN" w:bidi="ar-SA"/>
              </w:rPr>
            </w:pPr>
            <w:r>
              <w:rPr>
                <w:rFonts w:hint="eastAsia" w:ascii="楷体" w:hAnsi="楷体" w:eastAsia="楷体" w:cs="楷体"/>
                <w:kern w:val="0"/>
                <w:sz w:val="24"/>
                <w:szCs w:val="24"/>
              </w:rPr>
              <w:t>台</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楷体" w:hAnsi="楷体" w:eastAsia="楷体" w:cs="楷体"/>
                <w:kern w:val="0"/>
                <w:sz w:val="24"/>
                <w:szCs w:val="24"/>
                <w:lang w:val="en-US" w:eastAsia="zh-CN" w:bidi="ar-SA"/>
              </w:rPr>
            </w:pPr>
            <w:r>
              <w:rPr>
                <w:rFonts w:hint="eastAsia" w:ascii="楷体" w:hAnsi="楷体" w:eastAsia="楷体" w:cs="楷体"/>
                <w:kern w:val="0"/>
                <w:sz w:val="24"/>
                <w:szCs w:val="24"/>
              </w:rPr>
              <w:t>13</w:t>
            </w:r>
            <w:r>
              <w:rPr>
                <w:rFonts w:hint="eastAsia" w:ascii="楷体" w:hAnsi="楷体" w:cs="楷体"/>
                <w:kern w:val="0"/>
                <w:sz w:val="24"/>
                <w:szCs w:val="24"/>
                <w:lang w:val="en-US" w:eastAsia="zh-CN"/>
              </w:rPr>
              <w:t>79</w:t>
            </w:r>
            <w:r>
              <w:rPr>
                <w:rFonts w:hint="eastAsia" w:ascii="楷体" w:hAnsi="楷体" w:eastAsia="楷体" w:cs="楷体"/>
                <w:kern w:val="0"/>
                <w:sz w:val="24"/>
                <w:szCs w:val="24"/>
              </w:rPr>
              <w:t>.000</w:t>
            </w:r>
          </w:p>
        </w:tc>
      </w:tr>
      <w:tr>
        <w:tblPrEx>
          <w:tblCellMar>
            <w:top w:w="0" w:type="dxa"/>
            <w:left w:w="108" w:type="dxa"/>
            <w:bottom w:w="0" w:type="dxa"/>
            <w:right w:w="108" w:type="dxa"/>
          </w:tblCellMar>
        </w:tblPrEx>
        <w:trPr>
          <w:trHeight w:val="342" w:hRule="atLeast"/>
        </w:trPr>
        <w:tc>
          <w:tcPr>
            <w:tcW w:w="3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58</w:t>
            </w:r>
          </w:p>
        </w:tc>
        <w:tc>
          <w:tcPr>
            <w:tcW w:w="3185" w:type="pct"/>
            <w:tcBorders>
              <w:top w:val="single" w:color="000000" w:sz="4" w:space="0"/>
              <w:left w:val="single" w:color="000000" w:sz="4" w:space="0"/>
              <w:bottom w:val="single" w:color="000000" w:sz="4" w:space="0"/>
              <w:right w:val="nil"/>
            </w:tcBorders>
            <w:noWrap/>
            <w:vAlign w:val="center"/>
          </w:tcPr>
          <w:p>
            <w:pPr>
              <w:widowControl/>
              <w:jc w:val="center"/>
              <w:rPr>
                <w:rFonts w:hint="eastAsia" w:ascii="楷体" w:hAnsi="楷体" w:eastAsia="楷体" w:cs="楷体"/>
                <w:kern w:val="0"/>
                <w:sz w:val="24"/>
                <w:szCs w:val="24"/>
                <w:lang w:val="en-US" w:eastAsia="zh-CN" w:bidi="ar-SA"/>
              </w:rPr>
            </w:pPr>
            <w:r>
              <w:rPr>
                <w:rFonts w:hint="eastAsia" w:ascii="楷体" w:hAnsi="楷体" w:eastAsia="楷体" w:cs="楷体"/>
                <w:kern w:val="0"/>
                <w:sz w:val="24"/>
                <w:szCs w:val="24"/>
              </w:rPr>
              <w:t>安装新一代卫星机顶盒设备</w:t>
            </w:r>
          </w:p>
        </w:tc>
        <w:tc>
          <w:tcPr>
            <w:tcW w:w="72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楷体" w:hAnsi="楷体" w:eastAsia="楷体" w:cs="楷体"/>
                <w:kern w:val="0"/>
                <w:sz w:val="24"/>
                <w:szCs w:val="24"/>
                <w:lang w:val="en-US" w:eastAsia="zh-CN" w:bidi="ar-SA"/>
              </w:rPr>
            </w:pPr>
            <w:r>
              <w:rPr>
                <w:rFonts w:hint="eastAsia" w:ascii="楷体" w:hAnsi="楷体" w:eastAsia="楷体" w:cs="楷体"/>
                <w:kern w:val="0"/>
                <w:sz w:val="24"/>
                <w:szCs w:val="24"/>
              </w:rPr>
              <w:t>台</w:t>
            </w:r>
          </w:p>
        </w:tc>
        <w:tc>
          <w:tcPr>
            <w:tcW w:w="710"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楷体" w:hAnsi="楷体" w:eastAsia="楷体" w:cs="楷体"/>
                <w:kern w:val="0"/>
                <w:sz w:val="24"/>
                <w:szCs w:val="24"/>
                <w:lang w:val="en-US" w:eastAsia="zh-CN" w:bidi="ar-SA"/>
              </w:rPr>
            </w:pPr>
            <w:r>
              <w:rPr>
                <w:rFonts w:hint="eastAsia" w:ascii="楷体" w:hAnsi="楷体" w:cs="楷体"/>
                <w:kern w:val="0"/>
                <w:sz w:val="24"/>
                <w:szCs w:val="24"/>
                <w:lang w:val="en-US" w:eastAsia="zh-CN"/>
              </w:rPr>
              <w:t>222</w:t>
            </w:r>
          </w:p>
        </w:tc>
      </w:tr>
    </w:tbl>
    <w:p>
      <w:pPr>
        <w:pStyle w:val="8"/>
        <w:bidi w:val="0"/>
        <w:ind w:left="0" w:leftChars="0"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1.2广播电视网络设备技术要求</w:t>
      </w:r>
      <w:bookmarkStart w:id="553" w:name="_Hlk138511550"/>
    </w:p>
    <w:bookmarkEnd w:id="553"/>
    <w:p>
      <w:pPr>
        <w:pStyle w:val="9"/>
        <w:bidi w:val="0"/>
        <w:ind w:firstLine="482" w:firstLineChars="200"/>
        <w:rPr>
          <w:rFonts w:hint="eastAsia" w:ascii="宋体" w:hAnsi="宋体" w:eastAsia="宋体" w:cs="宋体"/>
          <w:sz w:val="24"/>
          <w:szCs w:val="24"/>
        </w:rPr>
      </w:pPr>
      <w:bookmarkStart w:id="554" w:name="_Toc29619"/>
      <w:r>
        <w:rPr>
          <w:rFonts w:hint="eastAsia" w:ascii="宋体" w:hAnsi="宋体" w:eastAsia="宋体" w:cs="宋体"/>
          <w:sz w:val="24"/>
          <w:szCs w:val="24"/>
          <w:lang w:val="en-US" w:eastAsia="zh-CN"/>
        </w:rPr>
        <w:t>1.2.1网络设备</w:t>
      </w:r>
      <w:r>
        <w:rPr>
          <w:rFonts w:hint="eastAsia" w:ascii="宋体" w:hAnsi="宋体" w:eastAsia="宋体" w:cs="宋体"/>
          <w:sz w:val="24"/>
          <w:szCs w:val="24"/>
        </w:rPr>
        <w:t>技术概述</w:t>
      </w:r>
      <w:bookmarkEnd w:id="554"/>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1.1、本部分是招标方对此次招标标的总技术要求，也是作为招标方提供设备报价及技术建议书的依据。</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1.2、投标方要对本文件提出技术要求作逐条答复并作为合同组成部分，亦可根据自己的产品技术性能具体情况，在建议书中提出建议，并附有详细资料和说明。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1.3、本技术文件应视为保证网络运行所需的最低要求，如有遗漏投标方应予以补充，否则招标方将认为投标方认同遗漏部分并免费提供相应内容。本文件中提及的项目，如投标方在其所提供技术建议书中未提出异议的，招标方</w:t>
      </w:r>
      <w:r>
        <w:rPr>
          <w:rFonts w:hint="eastAsia" w:ascii="宋体" w:hAnsi="宋体" w:eastAsia="宋体" w:cs="宋体"/>
          <w:sz w:val="24"/>
          <w:szCs w:val="24"/>
          <w:lang w:eastAsia="zh-CN" w:bidi="ar"/>
        </w:rPr>
        <w:t>即</w:t>
      </w:r>
      <w:r>
        <w:rPr>
          <w:rFonts w:hint="eastAsia" w:ascii="宋体" w:hAnsi="宋体" w:eastAsia="宋体" w:cs="宋体"/>
          <w:sz w:val="24"/>
          <w:szCs w:val="24"/>
          <w:lang w:bidi="ar"/>
        </w:rPr>
        <w:t>认为投标方可以满足。</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1.4、投标方提供设备官方产品的详细技术性能、功能和指标、功耗、尺寸和重量等，参数说明以厂家官方网站和正式产品手册为准。</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1.5、本部分在技术指标等内容上如有不当，投标方可以在技术建议书中指出，经双方确认后，可对不当内容进行修改。</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1.6、投标方提供的设备在发货前应在进行严格和完善的测试检验。如设备抵达之后检查并经双方确认发现有缺陷或设备使用后经检测发现故障，或性能指标达不到本文件所规定的要求时，投标方应在合同规定的要求期限内予以免费更换。</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1.7、设备的安装调试由投标方完成，并派遣熟悉设备经验丰富的技术人员全程进行项目实施。</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1.8、投标方对所提供的设备实行包修，在</w:t>
      </w:r>
      <w:r>
        <w:rPr>
          <w:rFonts w:hint="eastAsia" w:ascii="宋体" w:hAnsi="宋体" w:eastAsia="宋体" w:cs="宋体"/>
          <w:sz w:val="24"/>
          <w:szCs w:val="24"/>
          <w:lang w:eastAsia="zh-CN" w:bidi="ar"/>
        </w:rPr>
        <w:t>保修期内</w:t>
      </w:r>
      <w:r>
        <w:rPr>
          <w:rFonts w:hint="eastAsia" w:ascii="宋体" w:hAnsi="宋体" w:eastAsia="宋体" w:cs="宋体"/>
          <w:sz w:val="24"/>
          <w:szCs w:val="24"/>
          <w:lang w:bidi="ar"/>
        </w:rPr>
        <w:t>发现由于设备本身的原因造成的故障或损伤，投标方应免费修复或更换，同时产生的经济损失由投标方向招标方赔偿，同时</w:t>
      </w:r>
      <w:r>
        <w:rPr>
          <w:rFonts w:hint="eastAsia" w:ascii="宋体" w:hAnsi="宋体" w:eastAsia="宋体" w:cs="宋体"/>
          <w:sz w:val="24"/>
          <w:szCs w:val="24"/>
          <w:lang w:eastAsia="zh-CN" w:bidi="ar"/>
        </w:rPr>
        <w:t>保修期</w:t>
      </w:r>
      <w:r>
        <w:rPr>
          <w:rFonts w:hint="eastAsia" w:ascii="宋体" w:hAnsi="宋体" w:eastAsia="宋体" w:cs="宋体"/>
          <w:sz w:val="24"/>
          <w:szCs w:val="24"/>
          <w:lang w:bidi="ar"/>
        </w:rPr>
        <w:t>顺延。</w:t>
      </w:r>
      <w:r>
        <w:rPr>
          <w:rFonts w:hint="eastAsia" w:ascii="宋体" w:hAnsi="宋体" w:eastAsia="宋体" w:cs="宋体"/>
          <w:sz w:val="24"/>
          <w:szCs w:val="24"/>
          <w:lang w:eastAsia="zh-CN" w:bidi="ar"/>
        </w:rPr>
        <w:t>保修期内</w:t>
      </w:r>
      <w:r>
        <w:rPr>
          <w:rFonts w:hint="eastAsia" w:ascii="宋体" w:hAnsi="宋体" w:eastAsia="宋体" w:cs="宋体"/>
          <w:sz w:val="24"/>
          <w:szCs w:val="24"/>
          <w:lang w:bidi="ar"/>
        </w:rPr>
        <w:t>修复或更换设备所用的运费由投标方承担。</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1.9、各县网络设备带宽需求，县级始端传输设备</w:t>
      </w:r>
      <w:r>
        <w:rPr>
          <w:rFonts w:hint="eastAsia" w:ascii="宋体" w:hAnsi="宋体" w:eastAsia="宋体" w:cs="宋体"/>
          <w:sz w:val="24"/>
          <w:szCs w:val="24"/>
          <w:lang w:eastAsia="zh-CN" w:bidi="ar"/>
        </w:rPr>
        <w:t>到末端</w:t>
      </w:r>
      <w:r>
        <w:rPr>
          <w:rFonts w:hint="eastAsia" w:ascii="宋体" w:hAnsi="宋体" w:eastAsia="宋体" w:cs="宋体"/>
          <w:sz w:val="24"/>
          <w:szCs w:val="24"/>
          <w:lang w:bidi="ar"/>
        </w:rPr>
        <w:t>传输设备之间开1个10G通道用于汇聚下挂OLT全部业务，县级始端传输设备上连地州传输设备开1个10G通道用于汇聚全县各业务，各接入OLT设备上联1个10G接口到传输或网络设备。</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1.10、投标方根据技术部分第五项内容各县网络拓扑结构配置合理的硬件设备，包括投标设备使用所必需的光模块。如果投标方没有理解设计等原因致使设备配置不适，不能满足网络组网和技术要求时，投标方应予免费增配或更换。</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1.11、投标方传输、网络和OLT设备提供中华人民共和国工业和信息化部颁发的电信设备入网许可证，并提供入网检测报告。</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lang w:bidi="ar"/>
        </w:rPr>
        <w:t>1.12、投标方需免费提供传输网管和OLT网管，传输网管支持不少于100个网元的管理，OLT网管支持不少于1000个网元的管理。投标方提供配套满足网管所需硬件设备。</w:t>
      </w:r>
    </w:p>
    <w:p>
      <w:pPr>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1.13、投标方提供本技术规范书逐项答复，投标方根据自身产品情况以满足、不满足、优于等表述回答，同时根据技术部门第四项设备参数表注明实际配置及性能参数，同时提供该参数的官方材料和相应产品说明书等证明材料，同时加盖公章。对于本文件未规定的其他有关设备、系统等的功能、性能指标，投标方应提出建议，并陈述其理由。</w:t>
      </w:r>
    </w:p>
    <w:p>
      <w:pPr>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1.14、拓扑图</w:t>
      </w:r>
    </w:p>
    <w:p>
      <w:pPr>
        <w:pStyle w:val="15"/>
        <w:ind w:firstLine="480" w:firstLineChars="200"/>
        <w:rPr>
          <w:rFonts w:hint="eastAsia" w:ascii="楷体" w:hAnsi="楷体" w:eastAsia="楷体" w:cs="楷体"/>
          <w:lang w:val="en-US" w:eastAsia="zh-CN"/>
        </w:rPr>
      </w:pPr>
      <w:r>
        <w:drawing>
          <wp:inline distT="0" distB="0" distL="114300" distR="114300">
            <wp:extent cx="5543550" cy="24288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5543550" cy="2428875"/>
                    </a:xfrm>
                    <a:prstGeom prst="rect">
                      <a:avLst/>
                    </a:prstGeom>
                    <a:noFill/>
                    <a:ln>
                      <a:noFill/>
                    </a:ln>
                  </pic:spPr>
                </pic:pic>
              </a:graphicData>
            </a:graphic>
          </wp:inline>
        </w:drawing>
      </w:r>
    </w:p>
    <w:p>
      <w:pPr>
        <w:pStyle w:val="9"/>
        <w:bidi w:val="0"/>
        <w:ind w:firstLine="482" w:firstLineChars="200"/>
        <w:rPr>
          <w:rFonts w:hint="eastAsia" w:ascii="宋体" w:hAnsi="宋体" w:eastAsia="宋体" w:cs="宋体"/>
          <w:sz w:val="24"/>
          <w:szCs w:val="24"/>
        </w:rPr>
      </w:pPr>
      <w:bookmarkStart w:id="555" w:name="_Toc10475"/>
      <w:r>
        <w:rPr>
          <w:rFonts w:hint="eastAsia" w:ascii="宋体" w:hAnsi="宋体" w:eastAsia="宋体" w:cs="宋体"/>
          <w:sz w:val="24"/>
          <w:szCs w:val="24"/>
          <w:lang w:val="en-US" w:eastAsia="zh-CN"/>
        </w:rPr>
        <w:t>1.2.2</w:t>
      </w:r>
      <w:r>
        <w:rPr>
          <w:rFonts w:hint="eastAsia" w:ascii="宋体" w:hAnsi="宋体" w:eastAsia="宋体" w:cs="宋体"/>
          <w:sz w:val="24"/>
          <w:szCs w:val="24"/>
        </w:rPr>
        <w:t>技术要求</w:t>
      </w:r>
      <w:bookmarkEnd w:id="555"/>
    </w:p>
    <w:p>
      <w:pPr>
        <w:pStyle w:val="10"/>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.1、传输设备</w:t>
      </w:r>
    </w:p>
    <w:p>
      <w:pPr>
        <w:pStyle w:val="116"/>
        <w:widowControl/>
        <w:numPr>
          <w:ilvl w:val="0"/>
          <w:numId w:val="20"/>
        </w:numPr>
        <w:ind w:firstLine="480" w:firstLineChars="200"/>
        <w:rPr>
          <w:rFonts w:hint="eastAsia" w:ascii="宋体" w:hAnsi="宋体" w:eastAsia="宋体" w:cs="宋体"/>
          <w:sz w:val="24"/>
          <w:szCs w:val="24"/>
        </w:rPr>
      </w:pPr>
      <w:r>
        <w:rPr>
          <w:rFonts w:hint="eastAsia" w:ascii="宋体" w:hAnsi="宋体" w:eastAsia="宋体" w:cs="宋体"/>
          <w:kern w:val="0"/>
          <w:sz w:val="24"/>
          <w:szCs w:val="24"/>
        </w:rPr>
        <w:t>站点应采用光电子架分离方式配置，</w:t>
      </w:r>
      <w:r>
        <w:rPr>
          <w:rFonts w:hint="eastAsia" w:ascii="宋体" w:hAnsi="宋体" w:eastAsia="宋体" w:cs="宋体"/>
          <w:kern w:val="0"/>
          <w:sz w:val="24"/>
          <w:szCs w:val="24"/>
          <w:lang w:val="zh-CN"/>
        </w:rPr>
        <w:t>要求设备统一采用</w:t>
      </w:r>
      <w:r>
        <w:rPr>
          <w:rFonts w:hint="eastAsia" w:ascii="宋体" w:hAnsi="宋体" w:eastAsia="宋体" w:cs="宋体"/>
          <w:kern w:val="0"/>
          <w:sz w:val="24"/>
          <w:szCs w:val="24"/>
        </w:rPr>
        <w:t>-48v供电，光层</w:t>
      </w:r>
      <w:r>
        <w:rPr>
          <w:rFonts w:hint="eastAsia" w:ascii="宋体" w:hAnsi="宋体" w:eastAsia="宋体" w:cs="宋体"/>
          <w:kern w:val="0"/>
          <w:sz w:val="24"/>
          <w:szCs w:val="24"/>
          <w:lang w:val="zh-CN"/>
        </w:rPr>
        <w:t>子架</w:t>
      </w:r>
      <w:r>
        <w:rPr>
          <w:rFonts w:hint="eastAsia" w:ascii="宋体" w:hAnsi="宋体" w:eastAsia="宋体" w:cs="宋体"/>
          <w:kern w:val="0"/>
          <w:sz w:val="24"/>
          <w:szCs w:val="24"/>
        </w:rPr>
        <w:t>要求不少于7业务槽位（支持分布式交叉能力），电层子架要求不少于15个业务槽位，（</w:t>
      </w:r>
      <w:r>
        <w:rPr>
          <w:rFonts w:hint="eastAsia" w:ascii="宋体" w:hAnsi="宋体" w:eastAsia="宋体" w:cs="宋体"/>
          <w:sz w:val="24"/>
          <w:szCs w:val="24"/>
        </w:rPr>
        <w:t>支持</w:t>
      </w:r>
      <w:r>
        <w:rPr>
          <w:rFonts w:hint="eastAsia" w:ascii="宋体" w:hAnsi="宋体" w:eastAsia="宋体" w:cs="宋体"/>
          <w:kern w:val="0"/>
          <w:sz w:val="24"/>
          <w:szCs w:val="24"/>
        </w:rPr>
        <w:t>Packet</w:t>
      </w:r>
      <w:r>
        <w:rPr>
          <w:rFonts w:hint="eastAsia" w:ascii="宋体" w:hAnsi="宋体" w:eastAsia="宋体" w:cs="宋体"/>
          <w:kern w:val="0"/>
          <w:sz w:val="24"/>
          <w:szCs w:val="24"/>
          <w:lang w:val="zh-CN"/>
        </w:rPr>
        <w:t>/ODUk/VC颗粒交叉，线路侧业务100G/10G，客户侧业务</w:t>
      </w:r>
      <w:r>
        <w:rPr>
          <w:rFonts w:hint="eastAsia" w:ascii="宋体" w:hAnsi="宋体" w:eastAsia="宋体" w:cs="宋体"/>
          <w:kern w:val="0"/>
          <w:sz w:val="24"/>
          <w:szCs w:val="24"/>
        </w:rPr>
        <w:t>2</w:t>
      </w:r>
      <w:r>
        <w:rPr>
          <w:rFonts w:hint="eastAsia" w:ascii="宋体" w:hAnsi="宋体" w:eastAsia="宋体" w:cs="宋体"/>
          <w:kern w:val="0"/>
          <w:sz w:val="24"/>
          <w:szCs w:val="24"/>
          <w:lang w:val="zh-CN"/>
        </w:rPr>
        <w:t>M-100G Any）。</w:t>
      </w:r>
      <w:r>
        <w:rPr>
          <w:rFonts w:hint="eastAsia" w:ascii="宋体" w:hAnsi="宋体" w:eastAsia="宋体" w:cs="宋体"/>
          <w:kern w:val="0"/>
          <w:sz w:val="24"/>
          <w:szCs w:val="24"/>
        </w:rPr>
        <w:t>设备</w:t>
      </w:r>
      <w:r>
        <w:rPr>
          <w:rFonts w:hint="eastAsia" w:ascii="宋体" w:hAnsi="宋体" w:eastAsia="宋体" w:cs="宋体"/>
          <w:kern w:val="0"/>
          <w:sz w:val="24"/>
          <w:szCs w:val="24"/>
          <w:lang w:val="zh-CN"/>
        </w:rPr>
        <w:t>需支持平滑升级为80波系统能力，满足未来</w:t>
      </w:r>
      <w:r>
        <w:rPr>
          <w:rFonts w:hint="eastAsia" w:ascii="宋体" w:hAnsi="宋体" w:eastAsia="宋体" w:cs="宋体"/>
          <w:kern w:val="0"/>
          <w:sz w:val="24"/>
          <w:szCs w:val="24"/>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5年的业务需要。</w:t>
      </w:r>
    </w:p>
    <w:p>
      <w:pPr>
        <w:pStyle w:val="116"/>
        <w:widowControl/>
        <w:numPr>
          <w:ilvl w:val="0"/>
          <w:numId w:val="20"/>
        </w:numPr>
        <w:ind w:firstLine="480" w:firstLineChars="200"/>
        <w:rPr>
          <w:rFonts w:hint="eastAsia" w:ascii="宋体" w:hAnsi="宋体" w:eastAsia="宋体" w:cs="宋体"/>
          <w:sz w:val="24"/>
          <w:szCs w:val="24"/>
        </w:rPr>
      </w:pPr>
      <w:r>
        <w:rPr>
          <w:rFonts w:hint="eastAsia" w:ascii="宋体" w:hAnsi="宋体" w:eastAsia="宋体" w:cs="宋体"/>
          <w:sz w:val="24"/>
          <w:szCs w:val="24"/>
        </w:rPr>
        <w:t>参数要求：</w:t>
      </w:r>
    </w:p>
    <w:tbl>
      <w:tblPr>
        <w:tblStyle w:val="37"/>
        <w:tblW w:w="5170" w:type="pct"/>
        <w:tblInd w:w="0" w:type="dxa"/>
        <w:tblLayout w:type="autofit"/>
        <w:tblCellMar>
          <w:top w:w="0" w:type="dxa"/>
          <w:left w:w="0" w:type="dxa"/>
          <w:bottom w:w="0" w:type="dxa"/>
          <w:right w:w="0" w:type="dxa"/>
        </w:tblCellMar>
      </w:tblPr>
      <w:tblGrid>
        <w:gridCol w:w="1296"/>
        <w:gridCol w:w="1807"/>
        <w:gridCol w:w="2277"/>
        <w:gridCol w:w="2742"/>
        <w:gridCol w:w="2332"/>
      </w:tblGrid>
      <w:tr>
        <w:tblPrEx>
          <w:tblCellMar>
            <w:top w:w="0" w:type="dxa"/>
            <w:left w:w="0" w:type="dxa"/>
            <w:bottom w:w="0" w:type="dxa"/>
            <w:right w:w="0" w:type="dxa"/>
          </w:tblCellMar>
        </w:tblPrEx>
        <w:trPr>
          <w:trHeight w:val="270" w:hRule="atLeast"/>
        </w:trPr>
        <w:tc>
          <w:tcPr>
            <w:tcW w:w="257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指标及要求</w:t>
            </w:r>
          </w:p>
        </w:tc>
        <w:tc>
          <w:tcPr>
            <w:tcW w:w="13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lang w:bidi="ar"/>
              </w:rPr>
              <w:t>电层子架</w:t>
            </w:r>
          </w:p>
        </w:tc>
        <w:tc>
          <w:tcPr>
            <w:tcW w:w="11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lang w:bidi="ar"/>
              </w:rPr>
              <w:t>光层子架</w:t>
            </w:r>
          </w:p>
        </w:tc>
      </w:tr>
      <w:tr>
        <w:tblPrEx>
          <w:tblCellMar>
            <w:top w:w="0" w:type="dxa"/>
            <w:left w:w="0" w:type="dxa"/>
            <w:bottom w:w="0" w:type="dxa"/>
            <w:right w:w="0" w:type="dxa"/>
          </w:tblCellMar>
        </w:tblPrEx>
        <w:trPr>
          <w:trHeight w:val="270" w:hRule="atLeast"/>
        </w:trPr>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性能参数</w:t>
            </w:r>
          </w:p>
        </w:tc>
        <w:tc>
          <w:tcPr>
            <w:tcW w:w="864"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子架参数</w:t>
            </w: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业务槽位数量</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15</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7</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kern w:val="0"/>
              </w:rPr>
            </w:pPr>
            <w:r>
              <w:rPr>
                <w:rFonts w:hint="eastAsia" w:ascii="楷体" w:hAnsi="楷体" w:eastAsia="楷体" w:cs="楷体"/>
                <w:color w:val="000000"/>
                <w:kern w:val="0"/>
                <w:lang w:bidi="ar"/>
              </w:rPr>
              <w:t>波道配置要求</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kern w:val="0"/>
              </w:rPr>
            </w:pPr>
            <w:r>
              <w:rPr>
                <w:rFonts w:hint="eastAsia" w:ascii="楷体" w:hAnsi="楷体" w:eastAsia="楷体" w:cs="楷体"/>
                <w:color w:val="000000"/>
                <w:kern w:val="0"/>
                <w:lang w:bidi="ar"/>
              </w:rPr>
              <w:t>40波</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kern w:val="0"/>
              </w:rPr>
            </w:pPr>
            <w:r>
              <w:rPr>
                <w:rFonts w:hint="eastAsia" w:ascii="楷体" w:hAnsi="楷体" w:eastAsia="楷体" w:cs="楷体"/>
                <w:color w:val="000000"/>
                <w:kern w:val="0"/>
                <w:lang w:bidi="ar"/>
              </w:rPr>
              <w:t>40波</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kern w:val="0"/>
              </w:rPr>
            </w:pPr>
            <w:r>
              <w:rPr>
                <w:rFonts w:hint="eastAsia" w:ascii="楷体" w:hAnsi="楷体" w:eastAsia="楷体" w:cs="楷体"/>
                <w:color w:val="000000"/>
                <w:kern w:val="0"/>
                <w:lang w:bidi="ar"/>
              </w:rPr>
              <w:t>单子架高度</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kern w:val="0"/>
              </w:rPr>
            </w:pPr>
            <w:r>
              <w:rPr>
                <w:rFonts w:hint="eastAsia" w:ascii="楷体" w:hAnsi="楷体" w:eastAsia="楷体" w:cs="楷体"/>
                <w:color w:val="000000"/>
                <w:kern w:val="0"/>
                <w:lang w:bidi="ar"/>
              </w:rPr>
              <w:t>不大于6U</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kern w:val="0"/>
              </w:rPr>
            </w:pPr>
            <w:r>
              <w:rPr>
                <w:rFonts w:hint="eastAsia" w:ascii="楷体" w:hAnsi="楷体" w:eastAsia="楷体" w:cs="楷体"/>
                <w:color w:val="000000"/>
                <w:kern w:val="0"/>
                <w:lang w:bidi="ar"/>
              </w:rPr>
              <w:t>不大于3U</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电交叉</w:t>
            </w: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ODUK交叉容量</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lang w:bidi="ar"/>
              </w:rPr>
              <w:t>不少于700G</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PKT交叉容量</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lang w:bidi="ar"/>
              </w:rPr>
              <w:t>不少于640G</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VC交叉容量</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280G/VC4，20G/VC12</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shd w:val="clear" w:color="auto" w:fill="FFFFFF"/>
                <w:lang w:bidi="ar"/>
              </w:rPr>
              <w:t>单通道最大速率</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100G</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交叉板/主控/电源1+1保护方式</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光电一体化</w:t>
            </w: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ROADM系统</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OMD40分合波器件</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OTDR功能</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OPM光性能检测板件</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r>
      <w:tr>
        <w:tblPrEx>
          <w:tblCellMar>
            <w:top w:w="0" w:type="dxa"/>
            <w:left w:w="0" w:type="dxa"/>
            <w:bottom w:w="0" w:type="dxa"/>
            <w:right w:w="0" w:type="dxa"/>
          </w:tblCellMar>
        </w:tblPrEx>
        <w:trPr>
          <w:trHeight w:val="270" w:hRule="atLeast"/>
        </w:trPr>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板卡集成度</w:t>
            </w:r>
          </w:p>
        </w:tc>
        <w:tc>
          <w:tcPr>
            <w:tcW w:w="864"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支线路合一卡</w:t>
            </w: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100G支线路合一</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双槽位1路</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双槽位1路</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10G支线路合一</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单槽位2路</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单槽位2路</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客户侧板卡</w:t>
            </w: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100G客户侧板卡</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单板卡1路</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10G客户侧板卡</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单槽位4路</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ANY客户侧板卡</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单槽位8路</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客户侧VC卡</w:t>
            </w: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TDM客户侧板卡</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lang w:bidi="ar"/>
              </w:rPr>
              <w:t>STM-1/4/16/64业务</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EOS客户侧板卡</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支持</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PDH客户侧板卡</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lang w:bidi="ar"/>
              </w:rPr>
              <w:t>单槽位32路E1</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r>
        <w:tblPrEx>
          <w:tblCellMar>
            <w:top w:w="0" w:type="dxa"/>
            <w:left w:w="0" w:type="dxa"/>
            <w:bottom w:w="0" w:type="dxa"/>
            <w:right w:w="0" w:type="dxa"/>
          </w:tblCellMar>
        </w:tblPrEx>
        <w:trPr>
          <w:trHeight w:val="27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rPr>
                <w:rFonts w:hint="eastAsia" w:ascii="楷体" w:hAnsi="楷体" w:eastAsia="楷体" w:cs="楷体"/>
              </w:rPr>
            </w:pP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线路侧混合线卡</w:t>
            </w:r>
          </w:p>
        </w:tc>
        <w:tc>
          <w:tcPr>
            <w:tcW w:w="108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left"/>
              <w:textAlignment w:val="center"/>
              <w:rPr>
                <w:rFonts w:hint="eastAsia" w:ascii="楷体" w:hAnsi="楷体" w:eastAsia="楷体" w:cs="楷体"/>
                <w:color w:val="000000"/>
              </w:rPr>
            </w:pPr>
            <w:r>
              <w:rPr>
                <w:rFonts w:hint="eastAsia" w:ascii="楷体" w:hAnsi="楷体" w:eastAsia="楷体" w:cs="楷体"/>
                <w:color w:val="000000"/>
                <w:kern w:val="0"/>
                <w:lang w:bidi="ar"/>
              </w:rPr>
              <w:t>100G混合线卡</w:t>
            </w:r>
          </w:p>
        </w:tc>
        <w:tc>
          <w:tcPr>
            <w:tcW w:w="131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单板卡1路</w:t>
            </w:r>
          </w:p>
        </w:tc>
        <w:tc>
          <w:tcPr>
            <w:tcW w:w="11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80" w:lineRule="exact"/>
              <w:jc w:val="center"/>
              <w:textAlignment w:val="center"/>
              <w:rPr>
                <w:rFonts w:hint="eastAsia" w:ascii="楷体" w:hAnsi="楷体" w:eastAsia="楷体" w:cs="楷体"/>
                <w:color w:val="000000"/>
              </w:rPr>
            </w:pPr>
            <w:r>
              <w:rPr>
                <w:rFonts w:hint="eastAsia" w:ascii="楷体" w:hAnsi="楷体" w:eastAsia="楷体" w:cs="楷体"/>
                <w:color w:val="000000"/>
                <w:kern w:val="0"/>
                <w:lang w:bidi="ar"/>
              </w:rPr>
              <w:t>/</w:t>
            </w:r>
          </w:p>
        </w:tc>
      </w:tr>
    </w:tbl>
    <w:p>
      <w:pPr>
        <w:tabs>
          <w:tab w:val="left" w:pos="1247"/>
        </w:tabs>
        <w:autoSpaceDE w:val="0"/>
        <w:autoSpaceDN w:val="0"/>
        <w:adjustRightInd w:val="0"/>
        <w:spacing w:before="120"/>
        <w:ind w:firstLine="480" w:firstLineChars="200"/>
        <w:rPr>
          <w:rFonts w:hint="eastAsia" w:ascii="宋体" w:hAnsi="宋体" w:eastAsia="宋体" w:cs="宋体"/>
          <w:kern w:val="0"/>
        </w:rPr>
      </w:pPr>
      <w:r>
        <w:rPr>
          <w:rFonts w:hint="eastAsia" w:ascii="宋体" w:hAnsi="宋体" w:eastAsia="宋体" w:cs="宋体"/>
          <w:kern w:val="0"/>
          <w:lang w:bidi="ar"/>
        </w:rPr>
        <w:t>注：/表示不要求支持。</w:t>
      </w:r>
    </w:p>
    <w:p>
      <w:pPr>
        <w:pStyle w:val="116"/>
        <w:widowControl/>
        <w:numPr>
          <w:ilvl w:val="0"/>
          <w:numId w:val="20"/>
        </w:numPr>
        <w:tabs>
          <w:tab w:val="left" w:pos="851"/>
        </w:tabs>
        <w:autoSpaceDE w:val="0"/>
        <w:autoSpaceDN w:val="0"/>
        <w:adjustRightInd w:val="0"/>
        <w:spacing w:before="120" w:line="240" w:lineRule="auto"/>
        <w:ind w:firstLine="480" w:firstLineChars="200"/>
        <w:rPr>
          <w:rFonts w:hint="eastAsia" w:ascii="宋体" w:hAnsi="宋体" w:eastAsia="宋体" w:cs="宋体"/>
          <w:kern w:val="0"/>
          <w:szCs w:val="24"/>
          <w:lang w:val="zh-CN"/>
        </w:rPr>
      </w:pPr>
      <w:r>
        <w:rPr>
          <w:rFonts w:hint="eastAsia" w:ascii="宋体" w:hAnsi="宋体" w:eastAsia="宋体" w:cs="宋体"/>
          <w:kern w:val="0"/>
          <w:szCs w:val="24"/>
        </w:rPr>
        <w:t>传输容量：OTN系统需</w:t>
      </w:r>
      <w:r>
        <w:rPr>
          <w:rFonts w:hint="eastAsia" w:ascii="宋体" w:hAnsi="宋体" w:eastAsia="宋体" w:cs="宋体"/>
          <w:kern w:val="0"/>
          <w:szCs w:val="24"/>
          <w:lang w:val="zh-CN"/>
        </w:rPr>
        <w:t>支持</w:t>
      </w:r>
      <w:r>
        <w:rPr>
          <w:rFonts w:hint="eastAsia" w:ascii="宋体" w:hAnsi="宋体" w:eastAsia="宋体" w:cs="宋体"/>
          <w:kern w:val="0"/>
          <w:szCs w:val="24"/>
        </w:rPr>
        <w:t>4</w:t>
      </w:r>
      <w:r>
        <w:rPr>
          <w:rFonts w:hint="eastAsia" w:ascii="宋体" w:hAnsi="宋体" w:eastAsia="宋体" w:cs="宋体"/>
          <w:kern w:val="0"/>
          <w:szCs w:val="24"/>
          <w:lang w:val="zh-CN"/>
        </w:rPr>
        <w:t>0×10G/100G系统，支持模块化平滑升级。</w:t>
      </w:r>
    </w:p>
    <w:p>
      <w:pPr>
        <w:pStyle w:val="116"/>
        <w:widowControl/>
        <w:numPr>
          <w:ilvl w:val="0"/>
          <w:numId w:val="20"/>
        </w:numPr>
        <w:tabs>
          <w:tab w:val="left" w:pos="851"/>
        </w:tabs>
        <w:autoSpaceDE w:val="0"/>
        <w:autoSpaceDN w:val="0"/>
        <w:adjustRightInd w:val="0"/>
        <w:spacing w:before="120" w:line="240" w:lineRule="auto"/>
        <w:ind w:firstLine="480" w:firstLineChars="200"/>
        <w:rPr>
          <w:rFonts w:hint="eastAsia" w:ascii="宋体" w:hAnsi="宋体" w:eastAsia="宋体" w:cs="宋体"/>
          <w:kern w:val="0"/>
          <w:szCs w:val="24"/>
          <w:lang w:val="zh-CN"/>
        </w:rPr>
      </w:pPr>
      <w:r>
        <w:rPr>
          <w:rFonts w:hint="eastAsia" w:ascii="宋体" w:hAnsi="宋体" w:eastAsia="宋体" w:cs="宋体"/>
          <w:szCs w:val="24"/>
        </w:rPr>
        <w:t>长距传输能力</w:t>
      </w:r>
    </w:p>
    <w:p>
      <w:pPr>
        <w:tabs>
          <w:tab w:val="left" w:pos="1712"/>
        </w:tabs>
        <w:autoSpaceDE w:val="0"/>
        <w:autoSpaceDN w:val="0"/>
        <w:adjustRightInd w:val="0"/>
        <w:spacing w:before="120"/>
        <w:ind w:firstLine="480" w:firstLineChars="200"/>
        <w:rPr>
          <w:rFonts w:hint="eastAsia" w:ascii="宋体" w:hAnsi="宋体" w:eastAsia="宋体" w:cs="宋体"/>
          <w:kern w:val="0"/>
        </w:rPr>
      </w:pPr>
      <w:r>
        <w:rPr>
          <w:rFonts w:hint="eastAsia" w:ascii="宋体" w:hAnsi="宋体" w:eastAsia="宋体" w:cs="宋体"/>
          <w:kern w:val="0"/>
          <w:lang w:bidi="ar"/>
        </w:rPr>
        <w:t>DWDM</w:t>
      </w:r>
      <w:r>
        <w:rPr>
          <w:rFonts w:hint="eastAsia" w:ascii="宋体" w:hAnsi="宋体" w:eastAsia="宋体" w:cs="宋体"/>
          <w:kern w:val="0"/>
          <w:lang w:val="zh-CN" w:bidi="ar"/>
        </w:rPr>
        <w:t>系</w:t>
      </w:r>
      <w:r>
        <w:rPr>
          <w:rFonts w:hint="eastAsia" w:ascii="宋体" w:hAnsi="宋体" w:eastAsia="宋体" w:cs="宋体"/>
          <w:kern w:val="0"/>
          <w:lang w:bidi="ar"/>
        </w:rPr>
        <w:t>统10G速率：</w:t>
      </w:r>
    </w:p>
    <w:p>
      <w:pPr>
        <w:tabs>
          <w:tab w:val="left" w:pos="1247"/>
        </w:tabs>
        <w:autoSpaceDE w:val="0"/>
        <w:autoSpaceDN w:val="0"/>
        <w:adjustRightInd w:val="0"/>
        <w:spacing w:before="120"/>
        <w:ind w:firstLine="480" w:firstLineChars="200"/>
        <w:rPr>
          <w:rFonts w:hint="eastAsia" w:ascii="宋体" w:hAnsi="宋体" w:eastAsia="宋体" w:cs="宋体"/>
          <w:kern w:val="0"/>
        </w:rPr>
      </w:pPr>
      <w:r>
        <w:rPr>
          <w:rFonts w:hint="eastAsia" w:ascii="宋体" w:hAnsi="宋体" w:eastAsia="宋体" w:cs="宋体"/>
          <w:kern w:val="0"/>
          <w:lang w:val="zh-CN" w:bidi="ar"/>
        </w:rPr>
        <w:t>单跨段：最大</w:t>
      </w:r>
      <w:r>
        <w:rPr>
          <w:rFonts w:hint="eastAsia" w:ascii="宋体" w:hAnsi="宋体" w:eastAsia="宋体" w:cs="宋体"/>
          <w:kern w:val="0"/>
          <w:lang w:bidi="ar"/>
        </w:rPr>
        <w:t>45dB</w:t>
      </w:r>
      <w:r>
        <w:rPr>
          <w:rFonts w:hint="eastAsia" w:ascii="宋体" w:hAnsi="宋体" w:eastAsia="宋体" w:cs="宋体"/>
          <w:kern w:val="0"/>
          <w:lang w:val="zh-CN" w:bidi="ar"/>
        </w:rPr>
        <w:t>的单跨段无电中继传输。</w:t>
      </w:r>
    </w:p>
    <w:p>
      <w:pPr>
        <w:tabs>
          <w:tab w:val="left" w:pos="1247"/>
        </w:tabs>
        <w:autoSpaceDE w:val="0"/>
        <w:autoSpaceDN w:val="0"/>
        <w:adjustRightInd w:val="0"/>
        <w:spacing w:before="120"/>
        <w:ind w:firstLine="480" w:firstLineChars="200"/>
        <w:rPr>
          <w:rFonts w:hint="eastAsia" w:ascii="宋体" w:hAnsi="宋体" w:eastAsia="宋体" w:cs="宋体"/>
          <w:kern w:val="0"/>
        </w:rPr>
      </w:pPr>
      <w:r>
        <w:rPr>
          <w:rFonts w:hint="eastAsia" w:ascii="宋体" w:hAnsi="宋体" w:eastAsia="宋体" w:cs="宋体"/>
          <w:kern w:val="0"/>
          <w:lang w:val="zh-CN" w:bidi="ar"/>
        </w:rPr>
        <w:t>多跨段：</w:t>
      </w:r>
      <w:r>
        <w:rPr>
          <w:rFonts w:hint="eastAsia" w:ascii="宋体" w:hAnsi="宋体" w:eastAsia="宋体" w:cs="宋体"/>
          <w:kern w:val="0"/>
          <w:lang w:bidi="ar"/>
        </w:rPr>
        <w:t>18×22 dB</w:t>
      </w:r>
      <w:r>
        <w:rPr>
          <w:rFonts w:hint="eastAsia" w:ascii="宋体" w:hAnsi="宋体" w:eastAsia="宋体" w:cs="宋体"/>
          <w:kern w:val="0"/>
          <w:lang w:val="zh-CN" w:bidi="ar"/>
        </w:rPr>
        <w:t>、</w:t>
      </w:r>
      <w:r>
        <w:rPr>
          <w:rFonts w:hint="eastAsia" w:ascii="宋体" w:hAnsi="宋体" w:eastAsia="宋体" w:cs="宋体"/>
          <w:kern w:val="0"/>
          <w:lang w:bidi="ar"/>
        </w:rPr>
        <w:t>7×30 dB、1×45dB</w:t>
      </w:r>
      <w:r>
        <w:rPr>
          <w:rFonts w:hint="eastAsia" w:ascii="宋体" w:hAnsi="宋体" w:eastAsia="宋体" w:cs="宋体"/>
          <w:kern w:val="0"/>
          <w:lang w:val="zh-CN" w:bidi="ar"/>
        </w:rPr>
        <w:t>等代码的多跨段无电中继传输。</w:t>
      </w:r>
    </w:p>
    <w:p>
      <w:pPr>
        <w:tabs>
          <w:tab w:val="left" w:pos="1712"/>
        </w:tabs>
        <w:autoSpaceDE w:val="0"/>
        <w:autoSpaceDN w:val="0"/>
        <w:adjustRightInd w:val="0"/>
        <w:spacing w:before="120"/>
        <w:ind w:firstLine="480" w:firstLineChars="200"/>
        <w:rPr>
          <w:rFonts w:hint="eastAsia" w:ascii="宋体" w:hAnsi="宋体" w:eastAsia="宋体" w:cs="宋体"/>
          <w:kern w:val="0"/>
        </w:rPr>
      </w:pPr>
      <w:r>
        <w:rPr>
          <w:rFonts w:hint="eastAsia" w:ascii="宋体" w:hAnsi="宋体" w:eastAsia="宋体" w:cs="宋体"/>
          <w:kern w:val="0"/>
          <w:lang w:bidi="ar"/>
        </w:rPr>
        <w:t>DWDM</w:t>
      </w:r>
      <w:r>
        <w:rPr>
          <w:rFonts w:hint="eastAsia" w:ascii="宋体" w:hAnsi="宋体" w:eastAsia="宋体" w:cs="宋体"/>
          <w:kern w:val="0"/>
          <w:lang w:val="zh-CN" w:bidi="ar"/>
        </w:rPr>
        <w:t>系统1</w:t>
      </w:r>
      <w:r>
        <w:rPr>
          <w:rFonts w:hint="eastAsia" w:ascii="宋体" w:hAnsi="宋体" w:eastAsia="宋体" w:cs="宋体"/>
          <w:kern w:val="0"/>
          <w:lang w:bidi="ar"/>
        </w:rPr>
        <w:t>00G速率：</w:t>
      </w:r>
    </w:p>
    <w:p>
      <w:pPr>
        <w:tabs>
          <w:tab w:val="left" w:pos="1247"/>
        </w:tabs>
        <w:autoSpaceDE w:val="0"/>
        <w:autoSpaceDN w:val="0"/>
        <w:adjustRightInd w:val="0"/>
        <w:spacing w:before="120"/>
        <w:ind w:firstLine="480" w:firstLineChars="200"/>
        <w:rPr>
          <w:rFonts w:hint="eastAsia" w:ascii="宋体" w:hAnsi="宋体" w:eastAsia="宋体" w:cs="宋体"/>
          <w:kern w:val="0"/>
          <w:lang w:val="zh-CN"/>
        </w:rPr>
      </w:pPr>
      <w:r>
        <w:rPr>
          <w:rFonts w:hint="eastAsia" w:ascii="宋体" w:hAnsi="宋体" w:eastAsia="宋体" w:cs="宋体"/>
          <w:kern w:val="0"/>
          <w:lang w:bidi="ar"/>
        </w:rPr>
        <w:t>具备支持100G</w:t>
      </w:r>
      <w:r>
        <w:rPr>
          <w:rFonts w:hint="eastAsia" w:ascii="宋体" w:hAnsi="宋体" w:eastAsia="宋体" w:cs="宋体"/>
          <w:kern w:val="0"/>
          <w:lang w:val="zh-CN" w:bidi="ar"/>
        </w:rPr>
        <w:t>系统下传输能力与模块编码类型相关。</w:t>
      </w:r>
    </w:p>
    <w:p>
      <w:pPr>
        <w:pStyle w:val="116"/>
        <w:widowControl/>
        <w:numPr>
          <w:ilvl w:val="0"/>
          <w:numId w:val="20"/>
        </w:numPr>
        <w:ind w:firstLine="480" w:firstLineChars="200"/>
        <w:rPr>
          <w:rFonts w:hint="eastAsia" w:ascii="宋体" w:hAnsi="宋体" w:eastAsia="宋体" w:cs="宋体"/>
          <w:szCs w:val="24"/>
        </w:rPr>
      </w:pPr>
      <w:r>
        <w:rPr>
          <w:rFonts w:hint="eastAsia" w:ascii="宋体" w:hAnsi="宋体" w:eastAsia="宋体" w:cs="宋体"/>
          <w:szCs w:val="24"/>
        </w:rPr>
        <w:t>支持接入业务类型</w:t>
      </w:r>
    </w:p>
    <w:tbl>
      <w:tblPr>
        <w:tblStyle w:val="37"/>
        <w:tblW w:w="863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2"/>
        <w:gridCol w:w="4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3982"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rPr>
                <w:rFonts w:hint="eastAsia" w:ascii="楷体" w:hAnsi="楷体" w:eastAsia="楷体" w:cs="楷体"/>
                <w:sz w:val="24"/>
                <w:szCs w:val="24"/>
              </w:rPr>
            </w:pPr>
            <w:r>
              <w:rPr>
                <w:rFonts w:hint="eastAsia" w:ascii="楷体" w:hAnsi="楷体" w:eastAsia="楷体" w:cs="楷体"/>
                <w:sz w:val="24"/>
                <w:szCs w:val="24"/>
              </w:rPr>
              <w:t>业务</w:t>
            </w:r>
          </w:p>
        </w:tc>
        <w:tc>
          <w:tcPr>
            <w:tcW w:w="465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80" w:lineRule="exact"/>
              <w:jc w:val="center"/>
              <w:rPr>
                <w:rFonts w:hint="eastAsia" w:ascii="楷体" w:hAnsi="楷体" w:eastAsia="楷体" w:cs="楷体"/>
                <w:b/>
                <w:bCs/>
                <w:kern w:val="44"/>
              </w:rPr>
            </w:pPr>
            <w:r>
              <w:rPr>
                <w:rFonts w:hint="eastAsia" w:ascii="楷体" w:hAnsi="楷体" w:eastAsia="楷体" w:cs="楷体"/>
                <w:b/>
                <w:bCs/>
                <w:kern w:val="44"/>
                <w:lang w:bidi="ar"/>
              </w:rPr>
              <w:t>业务类型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982"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SDH</w:t>
            </w:r>
          </w:p>
        </w:tc>
        <w:tc>
          <w:tcPr>
            <w:tcW w:w="4656"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STM-1, STM-4, STM-16, STM-64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2"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SONET</w:t>
            </w:r>
          </w:p>
        </w:tc>
        <w:tc>
          <w:tcPr>
            <w:tcW w:w="4656"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OC-3, OC-12, OC-48, OC-192, OC-768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2"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Ethernet</w:t>
            </w:r>
          </w:p>
        </w:tc>
        <w:tc>
          <w:tcPr>
            <w:tcW w:w="4656"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FE, GE, 10GE WAN, 10GE LAN,100GE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2" w:type="dxa"/>
            <w:vMerge w:val="restart"/>
            <w:tcBorders>
              <w:top w:val="single" w:color="auto" w:sz="4" w:space="0"/>
              <w:left w:val="single" w:color="auto" w:sz="4" w:space="0"/>
              <w:bottom w:val="single" w:color="auto" w:sz="4" w:space="0"/>
              <w:right w:val="single" w:color="auto" w:sz="4" w:space="0"/>
            </w:tcBorders>
            <w:noWrap w:val="0"/>
            <w:vAlign w:val="center"/>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SAN storage</w:t>
            </w:r>
          </w:p>
        </w:tc>
        <w:tc>
          <w:tcPr>
            <w:tcW w:w="4656"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FC100, FC200, FC400, FC800, FC1200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楷体" w:hAnsi="楷体" w:eastAsia="楷体" w:cs="楷体"/>
              </w:rPr>
            </w:pPr>
          </w:p>
        </w:tc>
        <w:tc>
          <w:tcPr>
            <w:tcW w:w="4656"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ESCON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2"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OTN</w:t>
            </w:r>
          </w:p>
        </w:tc>
        <w:tc>
          <w:tcPr>
            <w:tcW w:w="4656"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OTU1, OTU2, OTU2e,OTU4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2"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Video and other services</w:t>
            </w:r>
          </w:p>
        </w:tc>
        <w:tc>
          <w:tcPr>
            <w:tcW w:w="4656"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DVB-ASI, SD-SDI,HD-SDI,3G-SDI, FDDI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2"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Common Public Radio Interface</w:t>
            </w:r>
          </w:p>
        </w:tc>
        <w:tc>
          <w:tcPr>
            <w:tcW w:w="4656" w:type="dxa"/>
            <w:tcBorders>
              <w:top w:val="single" w:color="auto" w:sz="4" w:space="0"/>
              <w:left w:val="single" w:color="auto" w:sz="4" w:space="0"/>
              <w:bottom w:val="single" w:color="auto" w:sz="4" w:space="0"/>
              <w:right w:val="single" w:color="auto" w:sz="4" w:space="0"/>
            </w:tcBorders>
            <w:noWrap w:val="0"/>
            <w:vAlign w:val="top"/>
          </w:tcPr>
          <w:p>
            <w:pPr>
              <w:pStyle w:val="117"/>
              <w:spacing w:line="480" w:lineRule="exact"/>
              <w:jc w:val="left"/>
              <w:rPr>
                <w:rFonts w:hint="eastAsia" w:ascii="楷体" w:hAnsi="楷体" w:eastAsia="楷体" w:cs="楷体"/>
                <w:b w:val="0"/>
                <w:sz w:val="24"/>
                <w:szCs w:val="24"/>
              </w:rPr>
            </w:pPr>
            <w:r>
              <w:rPr>
                <w:rFonts w:hint="eastAsia" w:ascii="楷体" w:hAnsi="楷体" w:eastAsia="楷体" w:cs="楷体"/>
                <w:b w:val="0"/>
                <w:sz w:val="24"/>
                <w:szCs w:val="24"/>
              </w:rPr>
              <w:t xml:space="preserve">支持CPRI </w:t>
            </w:r>
          </w:p>
        </w:tc>
      </w:tr>
    </w:tbl>
    <w:p>
      <w:pPr>
        <w:pStyle w:val="116"/>
        <w:widowControl/>
        <w:numPr>
          <w:ilvl w:val="0"/>
          <w:numId w:val="20"/>
        </w:numPr>
        <w:ind w:firstLine="480" w:firstLineChars="200"/>
        <w:rPr>
          <w:rFonts w:hint="eastAsia" w:ascii="宋体" w:hAnsi="宋体" w:eastAsia="宋体" w:cs="宋体"/>
          <w:sz w:val="24"/>
          <w:szCs w:val="24"/>
        </w:rPr>
      </w:pPr>
      <w:r>
        <w:rPr>
          <w:rFonts w:hint="eastAsia" w:ascii="宋体" w:hAnsi="宋体" w:eastAsia="宋体" w:cs="宋体"/>
          <w:sz w:val="24"/>
          <w:szCs w:val="24"/>
        </w:rPr>
        <w:t>100G传输能力：</w:t>
      </w:r>
      <w:r>
        <w:rPr>
          <w:rFonts w:hint="eastAsia" w:ascii="宋体" w:hAnsi="宋体" w:eastAsia="宋体" w:cs="宋体"/>
          <w:kern w:val="0"/>
          <w:sz w:val="24"/>
          <w:szCs w:val="24"/>
        </w:rPr>
        <w:t>设备需支持100Gbit/s传输系统，需有如下特点：支持80×100G传输，能够为系统提供良好的OSNR容限性能，也</w:t>
      </w:r>
      <w:r>
        <w:rPr>
          <w:rFonts w:hint="eastAsia" w:ascii="宋体" w:hAnsi="宋体" w:eastAsia="宋体" w:cs="宋体"/>
          <w:kern w:val="0"/>
          <w:sz w:val="24"/>
          <w:szCs w:val="24"/>
          <w:lang w:eastAsia="zh-CN"/>
        </w:rPr>
        <w:t>能很好地</w:t>
      </w:r>
      <w:r>
        <w:rPr>
          <w:rFonts w:hint="eastAsia" w:ascii="宋体" w:hAnsi="宋体" w:eastAsia="宋体" w:cs="宋体"/>
          <w:kern w:val="0"/>
          <w:sz w:val="24"/>
          <w:szCs w:val="24"/>
        </w:rPr>
        <w:t>抑制非线性效应。PMD容限能达到30ps、CD容限能达到</w:t>
      </w:r>
      <w:r>
        <w:rPr>
          <w:rFonts w:hint="eastAsia" w:ascii="宋体" w:hAnsi="宋体" w:eastAsia="宋体" w:cs="宋体"/>
          <w:sz w:val="24"/>
          <w:szCs w:val="24"/>
        </w:rPr>
        <w:t>+/-70000ps/nm。</w:t>
      </w:r>
    </w:p>
    <w:p>
      <w:pPr>
        <w:pStyle w:val="116"/>
        <w:widowControl/>
        <w:numPr>
          <w:ilvl w:val="0"/>
          <w:numId w:val="20"/>
        </w:numPr>
        <w:autoSpaceDE w:val="0"/>
        <w:autoSpaceDN w:val="0"/>
        <w:adjustRightInd w:val="0"/>
        <w:spacing w:before="120"/>
        <w:ind w:firstLine="480" w:firstLineChars="200"/>
        <w:rPr>
          <w:rFonts w:hint="eastAsia" w:ascii="宋体" w:hAnsi="宋体" w:eastAsia="宋体" w:cs="宋体"/>
          <w:kern w:val="0"/>
          <w:sz w:val="24"/>
          <w:szCs w:val="24"/>
        </w:rPr>
      </w:pPr>
      <w:r>
        <w:rPr>
          <w:rFonts w:hint="eastAsia" w:ascii="宋体" w:hAnsi="宋体" w:eastAsia="宋体" w:cs="宋体"/>
          <w:color w:val="000000"/>
          <w:kern w:val="0"/>
          <w:sz w:val="24"/>
          <w:szCs w:val="24"/>
        </w:rPr>
        <w:t>保护方式：</w:t>
      </w:r>
      <w:r>
        <w:rPr>
          <w:rFonts w:hint="eastAsia" w:ascii="宋体" w:hAnsi="宋体" w:eastAsia="宋体" w:cs="宋体"/>
          <w:kern w:val="0"/>
          <w:sz w:val="24"/>
          <w:szCs w:val="24"/>
          <w:lang w:val="zh-CN"/>
        </w:rPr>
        <w:t>支持主控板、时钟板、交叉板和电源板</w:t>
      </w:r>
      <w:r>
        <w:rPr>
          <w:rFonts w:hint="eastAsia" w:ascii="宋体" w:hAnsi="宋体" w:eastAsia="宋体" w:cs="宋体"/>
          <w:kern w:val="0"/>
          <w:sz w:val="24"/>
          <w:szCs w:val="24"/>
        </w:rPr>
        <w:t>1+1</w:t>
      </w:r>
      <w:r>
        <w:rPr>
          <w:rFonts w:hint="eastAsia" w:ascii="宋体" w:hAnsi="宋体" w:eastAsia="宋体" w:cs="宋体"/>
          <w:kern w:val="0"/>
          <w:sz w:val="24"/>
          <w:szCs w:val="24"/>
          <w:lang w:val="zh-CN"/>
        </w:rPr>
        <w:t>保护。支持光复用段</w:t>
      </w:r>
      <w:r>
        <w:rPr>
          <w:rFonts w:hint="eastAsia" w:ascii="宋体" w:hAnsi="宋体" w:eastAsia="宋体" w:cs="宋体"/>
          <w:kern w:val="0"/>
          <w:sz w:val="24"/>
          <w:szCs w:val="24"/>
        </w:rPr>
        <w:t>1+1</w:t>
      </w:r>
      <w:r>
        <w:rPr>
          <w:rFonts w:hint="eastAsia" w:ascii="宋体" w:hAnsi="宋体" w:eastAsia="宋体" w:cs="宋体"/>
          <w:kern w:val="0"/>
          <w:sz w:val="24"/>
          <w:szCs w:val="24"/>
          <w:lang w:val="zh-CN"/>
        </w:rPr>
        <w:t>保护、光通道</w:t>
      </w:r>
      <w:r>
        <w:rPr>
          <w:rFonts w:hint="eastAsia" w:ascii="宋体" w:hAnsi="宋体" w:eastAsia="宋体" w:cs="宋体"/>
          <w:kern w:val="0"/>
          <w:sz w:val="24"/>
          <w:szCs w:val="24"/>
        </w:rPr>
        <w:t>1+1</w:t>
      </w:r>
      <w:r>
        <w:rPr>
          <w:rFonts w:hint="eastAsia" w:ascii="宋体" w:hAnsi="宋体" w:eastAsia="宋体" w:cs="宋体"/>
          <w:kern w:val="0"/>
          <w:sz w:val="24"/>
          <w:szCs w:val="24"/>
          <w:lang w:val="zh-CN"/>
        </w:rPr>
        <w:t>保护、子波长</w:t>
      </w:r>
      <w:r>
        <w:rPr>
          <w:rFonts w:hint="eastAsia" w:ascii="宋体" w:hAnsi="宋体" w:eastAsia="宋体" w:cs="宋体"/>
          <w:kern w:val="0"/>
          <w:sz w:val="24"/>
          <w:szCs w:val="24"/>
        </w:rPr>
        <w:t>1+1</w:t>
      </w:r>
      <w:r>
        <w:rPr>
          <w:rFonts w:hint="eastAsia" w:ascii="宋体" w:hAnsi="宋体" w:eastAsia="宋体" w:cs="宋体"/>
          <w:kern w:val="0"/>
          <w:sz w:val="24"/>
          <w:szCs w:val="24"/>
          <w:lang w:val="zh-CN"/>
        </w:rPr>
        <w:t>保护、</w:t>
      </w:r>
      <w:r>
        <w:rPr>
          <w:rFonts w:hint="eastAsia" w:ascii="宋体" w:hAnsi="宋体" w:eastAsia="宋体" w:cs="宋体"/>
          <w:kern w:val="0"/>
          <w:sz w:val="24"/>
          <w:szCs w:val="24"/>
        </w:rPr>
        <w:t>VC1+1</w:t>
      </w:r>
      <w:r>
        <w:rPr>
          <w:rFonts w:hint="eastAsia" w:ascii="宋体" w:hAnsi="宋体" w:eastAsia="宋体" w:cs="宋体"/>
          <w:kern w:val="0"/>
          <w:sz w:val="24"/>
          <w:szCs w:val="24"/>
          <w:lang w:val="zh-CN"/>
        </w:rPr>
        <w:t>。所有保护倒换时间均满足小于</w:t>
      </w:r>
      <w:r>
        <w:rPr>
          <w:rFonts w:hint="eastAsia" w:ascii="宋体" w:hAnsi="宋体" w:eastAsia="宋体" w:cs="宋体"/>
          <w:kern w:val="0"/>
          <w:sz w:val="24"/>
          <w:szCs w:val="24"/>
        </w:rPr>
        <w:t>50ms</w:t>
      </w:r>
      <w:r>
        <w:rPr>
          <w:rFonts w:hint="eastAsia" w:ascii="宋体" w:hAnsi="宋体" w:eastAsia="宋体" w:cs="宋体"/>
          <w:kern w:val="0"/>
          <w:sz w:val="24"/>
          <w:szCs w:val="24"/>
          <w:lang w:val="zh-CN"/>
        </w:rPr>
        <w:t>的要求。</w:t>
      </w:r>
    </w:p>
    <w:p>
      <w:pPr>
        <w:pStyle w:val="116"/>
        <w:widowControl/>
        <w:numPr>
          <w:ilvl w:val="0"/>
          <w:numId w:val="20"/>
        </w:numPr>
        <w:autoSpaceDE w:val="0"/>
        <w:autoSpaceDN w:val="0"/>
        <w:adjustRightInd w:val="0"/>
        <w:spacing w:before="120"/>
        <w:ind w:firstLine="480" w:firstLineChars="200"/>
        <w:rPr>
          <w:rFonts w:hint="eastAsia" w:ascii="宋体" w:hAnsi="宋体" w:eastAsia="宋体" w:cs="宋体"/>
          <w:kern w:val="0"/>
          <w:sz w:val="24"/>
          <w:szCs w:val="24"/>
        </w:rPr>
      </w:pPr>
      <w:r>
        <w:rPr>
          <w:rFonts w:hint="eastAsia" w:ascii="宋体" w:hAnsi="宋体" w:eastAsia="宋体" w:cs="宋体"/>
          <w:sz w:val="24"/>
          <w:szCs w:val="24"/>
        </w:rPr>
        <w:t>配置满足传输设备之间互连根据网络拓扑方案中光缆距离长度配置合适的光模块型号和数量。</w:t>
      </w:r>
    </w:p>
    <w:p>
      <w:pPr>
        <w:pStyle w:val="10"/>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.2、传输</w:t>
      </w:r>
      <w:r>
        <w:rPr>
          <w:rFonts w:hint="eastAsia" w:ascii="宋体" w:hAnsi="宋体" w:eastAsia="宋体" w:cs="宋体"/>
          <w:sz w:val="24"/>
          <w:szCs w:val="24"/>
          <w:lang w:eastAsia="zh-CN"/>
        </w:rPr>
        <w:t>末端设备</w:t>
      </w:r>
    </w:p>
    <w:p>
      <w:pPr>
        <w:pStyle w:val="116"/>
        <w:widowControl/>
        <w:numPr>
          <w:ilvl w:val="0"/>
          <w:numId w:val="21"/>
        </w:numPr>
        <w:ind w:firstLine="480" w:firstLineChars="200"/>
        <w:rPr>
          <w:rFonts w:hint="eastAsia" w:ascii="宋体" w:hAnsi="宋体" w:eastAsia="宋体" w:cs="宋体"/>
          <w:sz w:val="24"/>
          <w:szCs w:val="24"/>
        </w:rPr>
      </w:pPr>
      <w:r>
        <w:rPr>
          <w:rFonts w:hint="eastAsia" w:ascii="宋体" w:hAnsi="宋体" w:eastAsia="宋体" w:cs="宋体"/>
          <w:sz w:val="24"/>
          <w:szCs w:val="24"/>
        </w:rPr>
        <w:t>光电一体化设备≥2U；</w:t>
      </w:r>
    </w:p>
    <w:p>
      <w:pPr>
        <w:pStyle w:val="116"/>
        <w:widowControl/>
        <w:numPr>
          <w:ilvl w:val="0"/>
          <w:numId w:val="21"/>
        </w:numPr>
        <w:ind w:firstLine="480" w:firstLineChars="200"/>
        <w:rPr>
          <w:rFonts w:hint="eastAsia" w:ascii="宋体" w:hAnsi="宋体" w:eastAsia="宋体" w:cs="宋体"/>
          <w:sz w:val="24"/>
          <w:szCs w:val="24"/>
        </w:rPr>
      </w:pPr>
      <w:r>
        <w:rPr>
          <w:rFonts w:hint="eastAsia" w:ascii="宋体" w:hAnsi="宋体" w:eastAsia="宋体" w:cs="宋体"/>
          <w:sz w:val="24"/>
          <w:szCs w:val="24"/>
        </w:rPr>
        <w:t>支持不少于8个业务槽位；</w:t>
      </w:r>
    </w:p>
    <w:p>
      <w:pPr>
        <w:pStyle w:val="116"/>
        <w:widowControl/>
        <w:numPr>
          <w:ilvl w:val="0"/>
          <w:numId w:val="21"/>
        </w:numPr>
        <w:ind w:firstLine="480" w:firstLineChars="200"/>
        <w:rPr>
          <w:rFonts w:hint="eastAsia" w:ascii="宋体" w:hAnsi="宋体" w:eastAsia="宋体" w:cs="宋体"/>
          <w:sz w:val="24"/>
          <w:szCs w:val="24"/>
        </w:rPr>
      </w:pPr>
      <w:r>
        <w:rPr>
          <w:rFonts w:hint="eastAsia" w:ascii="宋体" w:hAnsi="宋体" w:eastAsia="宋体" w:cs="宋体"/>
          <w:sz w:val="24"/>
          <w:szCs w:val="24"/>
        </w:rPr>
        <w:t>参数按2.1.1内容；</w:t>
      </w:r>
    </w:p>
    <w:p>
      <w:pPr>
        <w:pStyle w:val="116"/>
        <w:widowControl/>
        <w:numPr>
          <w:ilvl w:val="0"/>
          <w:numId w:val="21"/>
        </w:numPr>
        <w:ind w:firstLine="480" w:firstLineChars="200"/>
        <w:rPr>
          <w:rFonts w:hint="eastAsia" w:ascii="宋体" w:hAnsi="宋体" w:eastAsia="宋体" w:cs="宋体"/>
          <w:sz w:val="24"/>
          <w:szCs w:val="24"/>
        </w:rPr>
      </w:pPr>
      <w:r>
        <w:rPr>
          <w:rFonts w:hint="eastAsia" w:ascii="宋体" w:hAnsi="宋体" w:eastAsia="宋体" w:cs="宋体"/>
          <w:sz w:val="24"/>
          <w:szCs w:val="24"/>
        </w:rPr>
        <w:t>配置满足传输设备互连根据网络拓扑方案中光缆距离长度配置合适的光模块型号和数量。</w:t>
      </w:r>
    </w:p>
    <w:p>
      <w:pPr>
        <w:pStyle w:val="10"/>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.3、其它要求</w:t>
      </w:r>
    </w:p>
    <w:p>
      <w:pPr>
        <w:pStyle w:val="116"/>
        <w:widowControl/>
        <w:numPr>
          <w:ilvl w:val="0"/>
          <w:numId w:val="22"/>
        </w:numPr>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投标方提供传输设备及配置方案必须能够与新疆广电本地区已有省干传输设备实现网络对接和业务互通。</w:t>
      </w:r>
    </w:p>
    <w:p>
      <w:pPr>
        <w:pStyle w:val="116"/>
        <w:widowControl/>
        <w:numPr>
          <w:ilvl w:val="0"/>
          <w:numId w:val="22"/>
        </w:numPr>
        <w:ind w:firstLine="480" w:firstLineChars="200"/>
        <w:rPr>
          <w:rFonts w:hint="eastAsia" w:ascii="宋体" w:hAnsi="宋体" w:eastAsia="宋体" w:cs="宋体"/>
          <w:sz w:val="24"/>
          <w:szCs w:val="24"/>
        </w:rPr>
      </w:pPr>
      <w:r>
        <w:rPr>
          <w:rFonts w:hint="eastAsia" w:ascii="宋体" w:hAnsi="宋体" w:eastAsia="宋体" w:cs="宋体"/>
          <w:kern w:val="0"/>
          <w:sz w:val="24"/>
          <w:szCs w:val="24"/>
        </w:rPr>
        <w:t>投标方免费提供传输网管和OLT网管，传输网管支持不少于100个网元的管理。</w:t>
      </w:r>
    </w:p>
    <w:p>
      <w:pPr>
        <w:pStyle w:val="9"/>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1.2.3</w:t>
      </w:r>
      <w:r>
        <w:rPr>
          <w:rFonts w:hint="eastAsia" w:ascii="宋体" w:hAnsi="宋体" w:eastAsia="宋体" w:cs="宋体"/>
          <w:sz w:val="24"/>
          <w:szCs w:val="24"/>
        </w:rPr>
        <w:t>、网络设备</w:t>
      </w:r>
    </w:p>
    <w:p>
      <w:pPr>
        <w:pStyle w:val="10"/>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1.2.3.1</w:t>
      </w:r>
      <w:r>
        <w:rPr>
          <w:rFonts w:hint="eastAsia" w:ascii="宋体" w:hAnsi="宋体" w:eastAsia="宋体" w:cs="宋体"/>
          <w:sz w:val="24"/>
          <w:szCs w:val="24"/>
        </w:rPr>
        <w:t>、汇聚交换机</w:t>
      </w:r>
    </w:p>
    <w:p>
      <w:pPr>
        <w:pStyle w:val="116"/>
        <w:widowControl/>
        <w:numPr>
          <w:ilvl w:val="0"/>
          <w:numId w:val="23"/>
        </w:numPr>
        <w:ind w:firstLine="480" w:firstLineChars="200"/>
        <w:rPr>
          <w:rFonts w:hint="eastAsia" w:ascii="宋体" w:hAnsi="宋体" w:eastAsia="宋体" w:cs="宋体"/>
          <w:sz w:val="24"/>
          <w:szCs w:val="24"/>
        </w:rPr>
      </w:pPr>
      <w:r>
        <w:rPr>
          <w:rFonts w:hint="eastAsia" w:ascii="宋体" w:hAnsi="宋体" w:eastAsia="宋体" w:cs="宋体"/>
          <w:sz w:val="24"/>
          <w:szCs w:val="24"/>
        </w:rPr>
        <w:t>汇聚交换机要求配置冗余引擎、交换网、电源、设备不低于8个业务槽位；</w:t>
      </w:r>
    </w:p>
    <w:p>
      <w:pPr>
        <w:pStyle w:val="116"/>
        <w:widowControl/>
        <w:numPr>
          <w:ilvl w:val="0"/>
          <w:numId w:val="23"/>
        </w:numPr>
        <w:ind w:firstLine="480" w:firstLineChars="200"/>
        <w:rPr>
          <w:rFonts w:hint="eastAsia" w:ascii="宋体" w:hAnsi="宋体" w:eastAsia="宋体" w:cs="宋体"/>
          <w:sz w:val="24"/>
          <w:szCs w:val="24"/>
        </w:rPr>
      </w:pPr>
      <w:r>
        <w:rPr>
          <w:rFonts w:hint="eastAsia" w:ascii="宋体" w:hAnsi="宋体" w:eastAsia="宋体" w:cs="宋体"/>
          <w:sz w:val="24"/>
          <w:szCs w:val="24"/>
        </w:rPr>
        <w:t>整机交换容量≥77.46Tbps，转发性能≥19200Mpps；</w:t>
      </w:r>
    </w:p>
    <w:p>
      <w:pPr>
        <w:pStyle w:val="116"/>
        <w:widowControl/>
        <w:numPr>
          <w:ilvl w:val="0"/>
          <w:numId w:val="23"/>
        </w:numPr>
        <w:ind w:firstLine="480" w:firstLineChars="200"/>
        <w:rPr>
          <w:rFonts w:hint="eastAsia" w:ascii="宋体" w:hAnsi="宋体" w:eastAsia="宋体" w:cs="宋体"/>
          <w:sz w:val="24"/>
          <w:szCs w:val="24"/>
        </w:rPr>
      </w:pPr>
      <w:r>
        <w:rPr>
          <w:rFonts w:hint="eastAsia" w:ascii="宋体" w:hAnsi="宋体" w:eastAsia="宋体" w:cs="宋体"/>
          <w:sz w:val="24"/>
          <w:szCs w:val="24"/>
        </w:rPr>
        <w:t>业务板卡线速转发，全部电源/引擎/板卡支持热插拔；</w:t>
      </w:r>
    </w:p>
    <w:p>
      <w:pPr>
        <w:pStyle w:val="116"/>
        <w:widowControl/>
        <w:numPr>
          <w:ilvl w:val="0"/>
          <w:numId w:val="23"/>
        </w:numPr>
        <w:ind w:firstLine="480" w:firstLineChars="200"/>
        <w:rPr>
          <w:rFonts w:hint="eastAsia" w:ascii="宋体" w:hAnsi="宋体" w:eastAsia="宋体" w:cs="宋体"/>
          <w:sz w:val="24"/>
          <w:szCs w:val="24"/>
        </w:rPr>
      </w:pPr>
      <w:r>
        <w:rPr>
          <w:rFonts w:hint="eastAsia" w:ascii="宋体" w:hAnsi="宋体" w:eastAsia="宋体" w:cs="宋体"/>
          <w:sz w:val="24"/>
          <w:szCs w:val="24"/>
        </w:rPr>
        <w:t>设备支持RIP/OSPF/BGP4等动态路由协议、完整组播协议、IPV6、端口汇聚；</w:t>
      </w:r>
    </w:p>
    <w:p>
      <w:pPr>
        <w:pStyle w:val="116"/>
        <w:widowControl/>
        <w:numPr>
          <w:ilvl w:val="0"/>
          <w:numId w:val="23"/>
        </w:numPr>
        <w:ind w:firstLine="480" w:firstLineChars="200"/>
        <w:rPr>
          <w:rFonts w:hint="eastAsia" w:ascii="宋体" w:hAnsi="宋体" w:eastAsia="宋体" w:cs="宋体"/>
          <w:sz w:val="24"/>
          <w:szCs w:val="24"/>
        </w:rPr>
      </w:pPr>
      <w:r>
        <w:rPr>
          <w:rFonts w:hint="eastAsia" w:ascii="宋体" w:hAnsi="宋体" w:eastAsia="宋体" w:cs="宋体"/>
          <w:sz w:val="24"/>
          <w:szCs w:val="24"/>
        </w:rPr>
        <w:t>配置不少于24个GE/10GE自适应业务接口；</w:t>
      </w:r>
    </w:p>
    <w:p>
      <w:pPr>
        <w:pStyle w:val="10"/>
        <w:bidi w:val="0"/>
        <w:ind w:firstLine="482" w:firstLineChars="200"/>
        <w:outlineLvl w:val="0"/>
        <w:rPr>
          <w:rFonts w:hint="eastAsia" w:ascii="宋体" w:hAnsi="宋体" w:eastAsia="宋体" w:cs="宋体"/>
          <w:sz w:val="24"/>
          <w:szCs w:val="24"/>
        </w:rPr>
      </w:pPr>
      <w:bookmarkStart w:id="556" w:name="_Toc23420"/>
      <w:r>
        <w:rPr>
          <w:rFonts w:hint="eastAsia" w:ascii="宋体" w:hAnsi="宋体" w:eastAsia="宋体" w:cs="宋体"/>
          <w:sz w:val="24"/>
          <w:szCs w:val="24"/>
          <w:lang w:val="en-US" w:eastAsia="zh-CN"/>
        </w:rPr>
        <w:t>1.</w:t>
      </w: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.2、10G光模块</w:t>
      </w:r>
      <w:bookmarkEnd w:id="556"/>
    </w:p>
    <w:p>
      <w:pPr>
        <w:numPr>
          <w:ilvl w:val="0"/>
          <w:numId w:val="24"/>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网络设备所需10G SFP光模块数量根据网络拓扑方案及设备参数及数量清单配置（详见附表）。</w:t>
      </w:r>
    </w:p>
    <w:p>
      <w:pPr>
        <w:pStyle w:val="10"/>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1.2.3</w:t>
      </w:r>
      <w:r>
        <w:rPr>
          <w:rFonts w:hint="eastAsia" w:ascii="宋体" w:hAnsi="宋体" w:eastAsia="宋体" w:cs="宋体"/>
          <w:sz w:val="24"/>
          <w:szCs w:val="24"/>
        </w:rPr>
        <w:t>.3、接入OLT设备</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核心部件如GPON业务板、主控板、上联板、业务板必须支持冗余保护和备份，可以支持用户端口的冗余保护和备份功能。支持主控板的保护倒换，并提供双路电源输入以提供电源的冗余保护。</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支持GPON/10G EPON/XG(S) PON业务的混合接入，共硬件平台；</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设备支持用户业务板的热插拔，拔插业务板对其他板卡的业务应无影响。拔出配置有业务的业务板卡，插上另一块同样型号和软件版本的业务板卡，网管下发业务配置命令，业务应能够自动恢复。</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支持ONU之间的二层隔离，基于源和目的MAC地址的以太网数据帧过滤，生成树协议，动态带宽分配以及上联端口支持端口汇聚。</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OLT支持同一个PON口下不同ONU端口以及不同PON口下不同ONU 端口之间的环路检测功能。OLT检测到环路后应将ONU的端口关闭并进行告警上报。</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上联接口板同时具有10GE、GE接口，配置不少于2*10GE、2*GE上联接口。</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配置16端口GPON板卡，满配GPON光模块。</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OLT和ONU之间最大传输距离不小于20km，支持最大分路比至少为1:64；</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支持各类型组播协议、IPV6。</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GPON系统支持Type B</w:t>
      </w:r>
      <w:r>
        <w:rPr>
          <w:rFonts w:hint="eastAsia" w:ascii="宋体" w:hAnsi="宋体" w:eastAsia="宋体" w:cs="宋体"/>
          <w:sz w:val="24"/>
          <w:szCs w:val="24"/>
          <w:lang w:eastAsia="zh-CN"/>
        </w:rPr>
        <w:t>.</w:t>
      </w:r>
      <w:r>
        <w:rPr>
          <w:rFonts w:hint="eastAsia" w:ascii="宋体" w:hAnsi="宋体" w:eastAsia="宋体" w:cs="宋体"/>
          <w:sz w:val="24"/>
          <w:szCs w:val="24"/>
        </w:rPr>
        <w:t>Type C保护。</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OLT产品分为大中小规格满足不同场景需求，GPON板卡支持在不同规格OLT设备上使用。</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大型OLT整机业务槽位数15个，最大支持240个PON口；中型OLT整机业务槽位数7个，最大支持112个PON口；小型OLT整机业务槽位数2个，最大支持32个PON口。</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设备不支持交流输入需配置交直流转换电源。</w:t>
      </w:r>
    </w:p>
    <w:p>
      <w:pPr>
        <w:pStyle w:val="116"/>
        <w:widowControl/>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▲厂家免费提供设备网管，网管支持不少于1000个网元管理。同时网管系统需要实现与新疆广电现有BOSS和FTTH网管业务对接，完成用户业务的自动开通下发。</w:t>
      </w:r>
      <w:r>
        <w:rPr>
          <w:rFonts w:hint="eastAsia" w:ascii="宋体" w:hAnsi="宋体" w:eastAsia="宋体" w:cs="宋体"/>
          <w:color w:val="000000"/>
          <w:sz w:val="24"/>
          <w:szCs w:val="24"/>
        </w:rPr>
        <w:t>投标方需要在合同签订后2周内完成新疆广电现有BOSS和FTTH网管业务对接，</w:t>
      </w:r>
      <w:r>
        <w:rPr>
          <w:rFonts w:hint="eastAsia" w:ascii="宋体" w:hAnsi="宋体" w:eastAsia="宋体" w:cs="宋体"/>
          <w:sz w:val="24"/>
          <w:szCs w:val="24"/>
        </w:rPr>
        <w:t>相关对接费用由投标方承担。</w:t>
      </w:r>
    </w:p>
    <w:p>
      <w:pPr>
        <w:numPr>
          <w:ilvl w:val="0"/>
          <w:numId w:val="25"/>
        </w:numPr>
        <w:ind w:firstLine="480" w:firstLineChars="200"/>
        <w:rPr>
          <w:rFonts w:hint="eastAsia" w:ascii="宋体" w:hAnsi="宋体" w:eastAsia="宋体" w:cs="宋体"/>
          <w:sz w:val="24"/>
          <w:szCs w:val="24"/>
        </w:rPr>
      </w:pPr>
      <w:r>
        <w:rPr>
          <w:rFonts w:hint="eastAsia" w:ascii="宋体" w:hAnsi="宋体" w:eastAsia="宋体" w:cs="宋体"/>
          <w:sz w:val="24"/>
          <w:szCs w:val="24"/>
        </w:rPr>
        <w:t>OLT上联10G光模块</w:t>
      </w:r>
      <w:r>
        <w:rPr>
          <w:rFonts w:hint="eastAsia" w:ascii="宋体" w:hAnsi="宋体" w:eastAsia="宋体" w:cs="宋体"/>
          <w:sz w:val="24"/>
          <w:szCs w:val="24"/>
          <w:lang w:bidi="ar"/>
        </w:rPr>
        <w:t>数量根据网络拓扑方案及设备参数及数量清单配置（详见附表）。</w:t>
      </w:r>
    </w:p>
    <w:p>
      <w:pPr>
        <w:pStyle w:val="9"/>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4、其它附材</w:t>
      </w:r>
    </w:p>
    <w:p>
      <w:pPr>
        <w:pStyle w:val="10"/>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1.2.4.1</w:t>
      </w:r>
      <w:r>
        <w:rPr>
          <w:rFonts w:hint="eastAsia" w:ascii="宋体" w:hAnsi="宋体" w:eastAsia="宋体" w:cs="宋体"/>
          <w:sz w:val="24"/>
          <w:szCs w:val="24"/>
        </w:rPr>
        <w:t>、直流开关电源</w:t>
      </w:r>
    </w:p>
    <w:p>
      <w:pPr>
        <w:widowControl/>
        <w:numPr>
          <w:ilvl w:val="0"/>
          <w:numId w:val="26"/>
        </w:numPr>
        <w:adjustRightInd w:val="0"/>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bidi="ar"/>
        </w:rPr>
        <w:t>开关电源设备为机架式；</w:t>
      </w:r>
    </w:p>
    <w:p>
      <w:pPr>
        <w:widowControl/>
        <w:numPr>
          <w:ilvl w:val="0"/>
          <w:numId w:val="26"/>
        </w:numPr>
        <w:adjustRightInd w:val="0"/>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bidi="ar"/>
        </w:rPr>
        <w:t>提供额定输出电压为-48V的整流模块；</w:t>
      </w:r>
    </w:p>
    <w:p>
      <w:pPr>
        <w:pStyle w:val="34"/>
        <w:numPr>
          <w:ilvl w:val="0"/>
          <w:numId w:val="26"/>
        </w:numPr>
        <w:spacing w:before="0" w:beforeAutospacing="0" w:after="0" w:afterAutospacing="0"/>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lang w:bidi="ar"/>
        </w:rPr>
        <w:t>提供额定输出电流不小于30A的3个整流模块；</w:t>
      </w:r>
    </w:p>
    <w:p>
      <w:pPr>
        <w:pStyle w:val="34"/>
        <w:numPr>
          <w:ilvl w:val="0"/>
          <w:numId w:val="26"/>
        </w:numPr>
        <w:spacing w:before="0" w:beforeAutospacing="0" w:after="0" w:afterAutospacing="0"/>
        <w:ind w:firstLine="480" w:firstLineChars="200"/>
        <w:jc w:val="both"/>
        <w:rPr>
          <w:rFonts w:hint="eastAsia" w:ascii="宋体" w:hAnsi="宋体" w:eastAsia="宋体" w:cs="宋体"/>
          <w:sz w:val="24"/>
          <w:szCs w:val="24"/>
        </w:rPr>
      </w:pPr>
      <w:r>
        <w:rPr>
          <w:rFonts w:hint="eastAsia" w:ascii="宋体" w:hAnsi="宋体" w:eastAsia="宋体" w:cs="宋体"/>
          <w:kern w:val="2"/>
          <w:sz w:val="24"/>
          <w:szCs w:val="24"/>
          <w:lang w:val="zh-CN" w:bidi="ar"/>
        </w:rPr>
        <w:t>输出额定功率</w:t>
      </w:r>
      <w:r>
        <w:rPr>
          <w:rFonts w:hint="eastAsia" w:ascii="宋体" w:hAnsi="宋体" w:eastAsia="宋体" w:cs="宋体"/>
          <w:bCs/>
          <w:kern w:val="2"/>
          <w:sz w:val="24"/>
          <w:szCs w:val="24"/>
          <w:lang w:val="zh-CN" w:bidi="ar"/>
        </w:rPr>
        <w:t>≥</w:t>
      </w:r>
      <w:r>
        <w:rPr>
          <w:rFonts w:hint="eastAsia" w:ascii="宋体" w:hAnsi="宋体" w:eastAsia="宋体" w:cs="宋体"/>
          <w:kern w:val="2"/>
          <w:sz w:val="24"/>
          <w:szCs w:val="24"/>
          <w:lang w:bidi="ar"/>
        </w:rPr>
        <w:t>7500</w:t>
      </w:r>
      <w:r>
        <w:rPr>
          <w:rFonts w:hint="eastAsia" w:ascii="宋体" w:hAnsi="宋体" w:eastAsia="宋体" w:cs="宋体"/>
          <w:kern w:val="2"/>
          <w:sz w:val="24"/>
          <w:szCs w:val="24"/>
          <w:lang w:val="zh-CN" w:bidi="ar"/>
        </w:rPr>
        <w:t>VA；</w:t>
      </w:r>
    </w:p>
    <w:p>
      <w:pPr>
        <w:pStyle w:val="34"/>
        <w:numPr>
          <w:ilvl w:val="0"/>
          <w:numId w:val="26"/>
        </w:numPr>
        <w:spacing w:before="0" w:beforeAutospacing="0" w:after="0" w:afterAutospacing="0"/>
        <w:ind w:firstLine="480" w:firstLineChars="200"/>
        <w:jc w:val="both"/>
        <w:rPr>
          <w:rFonts w:hint="eastAsia" w:ascii="宋体" w:hAnsi="宋体" w:eastAsia="宋体" w:cs="宋体"/>
          <w:sz w:val="24"/>
          <w:szCs w:val="24"/>
        </w:rPr>
      </w:pPr>
      <w:r>
        <w:rPr>
          <w:rFonts w:hint="eastAsia" w:ascii="宋体" w:hAnsi="宋体" w:eastAsia="宋体" w:cs="宋体"/>
          <w:kern w:val="2"/>
          <w:sz w:val="24"/>
          <w:szCs w:val="24"/>
          <w:lang w:bidi="ar"/>
        </w:rPr>
        <w:t>提供至少1路220V输入接口、至少4路-48V输出接口，提供2组电池接口；</w:t>
      </w:r>
    </w:p>
    <w:p>
      <w:pPr>
        <w:pStyle w:val="34"/>
        <w:numPr>
          <w:ilvl w:val="0"/>
          <w:numId w:val="26"/>
        </w:numPr>
        <w:spacing w:before="0" w:beforeAutospacing="0" w:after="0" w:afterAutospacing="0"/>
        <w:ind w:firstLine="480" w:firstLineChars="200"/>
        <w:jc w:val="both"/>
        <w:rPr>
          <w:rFonts w:hint="eastAsia" w:ascii="宋体" w:hAnsi="宋体" w:eastAsia="宋体" w:cs="宋体"/>
          <w:sz w:val="24"/>
          <w:szCs w:val="24"/>
        </w:rPr>
      </w:pPr>
      <w:r>
        <w:rPr>
          <w:rFonts w:hint="eastAsia" w:ascii="宋体" w:hAnsi="宋体" w:eastAsia="宋体" w:cs="宋体"/>
          <w:kern w:val="2"/>
          <w:sz w:val="24"/>
          <w:szCs w:val="24"/>
          <w:lang w:bidi="ar"/>
        </w:rPr>
        <w:t>提供2V/200AH蓄电池组，提供断电后至少4小时后备时间；</w:t>
      </w:r>
    </w:p>
    <w:p>
      <w:pPr>
        <w:numPr>
          <w:ilvl w:val="0"/>
          <w:numId w:val="26"/>
        </w:num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bidi="ar"/>
        </w:rPr>
        <w:t>系统应具有过压、过流、欠压、短路、过温自动保护功能，部分状态具有自动恢复功能（过压、过流、欠压、过温）；</w:t>
      </w:r>
    </w:p>
    <w:p>
      <w:pPr>
        <w:pStyle w:val="34"/>
        <w:numPr>
          <w:ilvl w:val="0"/>
          <w:numId w:val="26"/>
        </w:numPr>
        <w:spacing w:before="0" w:beforeAutospacing="0" w:after="0" w:afterAutospacing="0"/>
        <w:ind w:firstLine="480" w:firstLineChars="200"/>
        <w:jc w:val="both"/>
        <w:rPr>
          <w:rFonts w:hint="eastAsia" w:ascii="宋体" w:hAnsi="宋体" w:eastAsia="宋体" w:cs="宋体"/>
          <w:sz w:val="24"/>
          <w:szCs w:val="24"/>
        </w:rPr>
      </w:pPr>
      <w:r>
        <w:rPr>
          <w:rFonts w:hint="eastAsia" w:ascii="宋体" w:hAnsi="宋体" w:eastAsia="宋体" w:cs="宋体"/>
          <w:kern w:val="2"/>
          <w:sz w:val="24"/>
          <w:szCs w:val="24"/>
          <w:lang w:bidi="ar"/>
        </w:rPr>
        <w:t>设备自身带监控显示；</w:t>
      </w:r>
    </w:p>
    <w:p>
      <w:pPr>
        <w:pStyle w:val="34"/>
        <w:numPr>
          <w:ilvl w:val="0"/>
          <w:numId w:val="26"/>
        </w:numPr>
        <w:spacing w:before="0" w:beforeAutospacing="0" w:after="0" w:afterAutospacing="0"/>
        <w:ind w:firstLine="480" w:firstLineChars="200"/>
        <w:jc w:val="both"/>
        <w:rPr>
          <w:rFonts w:hint="eastAsia" w:ascii="宋体" w:hAnsi="宋体" w:eastAsia="宋体" w:cs="宋体"/>
          <w:sz w:val="24"/>
          <w:szCs w:val="24"/>
        </w:rPr>
      </w:pPr>
      <w:r>
        <w:rPr>
          <w:rFonts w:hint="eastAsia" w:ascii="宋体" w:hAnsi="宋体" w:eastAsia="宋体" w:cs="宋体"/>
          <w:kern w:val="2"/>
          <w:sz w:val="24"/>
          <w:szCs w:val="24"/>
          <w:lang w:bidi="ar"/>
        </w:rPr>
        <w:t>通过第三方单位认证：泰尔认证；</w:t>
      </w:r>
    </w:p>
    <w:p>
      <w:pPr>
        <w:pStyle w:val="34"/>
        <w:numPr>
          <w:ilvl w:val="0"/>
          <w:numId w:val="26"/>
        </w:numPr>
        <w:spacing w:before="0" w:beforeAutospacing="0" w:after="0" w:afterAutospacing="0"/>
        <w:ind w:firstLine="480" w:firstLineChars="200"/>
        <w:jc w:val="both"/>
        <w:rPr>
          <w:rFonts w:hint="eastAsia" w:ascii="宋体" w:hAnsi="宋体" w:eastAsia="宋体" w:cs="宋体"/>
          <w:sz w:val="24"/>
          <w:szCs w:val="24"/>
        </w:rPr>
      </w:pPr>
      <w:r>
        <w:rPr>
          <w:rFonts w:hint="eastAsia" w:ascii="宋体" w:hAnsi="宋体" w:eastAsia="宋体" w:cs="宋体"/>
          <w:sz w:val="24"/>
          <w:szCs w:val="24"/>
          <w:lang w:bidi="ar"/>
        </w:rPr>
        <w:t>提供电池柜、电线电缆、接线辅材，机架直流PDU等配套材料实现开关电源正常使用；</w:t>
      </w:r>
    </w:p>
    <w:p>
      <w:pPr>
        <w:pStyle w:val="10"/>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1.2.4.2</w:t>
      </w:r>
      <w:r>
        <w:rPr>
          <w:rFonts w:hint="eastAsia" w:ascii="宋体" w:hAnsi="宋体" w:eastAsia="宋体" w:cs="宋体"/>
          <w:sz w:val="24"/>
          <w:szCs w:val="24"/>
        </w:rPr>
        <w:t>、设备机柜</w:t>
      </w:r>
    </w:p>
    <w:p>
      <w:pPr>
        <w:numPr>
          <w:ilvl w:val="0"/>
          <w:numId w:val="27"/>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19英寸标准机柜，采用优质冷轧钢板制作，表面静电喷塑，耐酸碱、防锈蚀、防静电，达到BS6497国际标准。</w:t>
      </w:r>
    </w:p>
    <w:p>
      <w:pPr>
        <w:numPr>
          <w:ilvl w:val="0"/>
          <w:numId w:val="27"/>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上下都有进线孔，可选择上走线或下走线。</w:t>
      </w:r>
    </w:p>
    <w:p>
      <w:pPr>
        <w:numPr>
          <w:ilvl w:val="0"/>
          <w:numId w:val="27"/>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机柜的前面和后面有走线区域，方便机柜内部走线和安装PDU设备。</w:t>
      </w:r>
    </w:p>
    <w:p>
      <w:pPr>
        <w:numPr>
          <w:ilvl w:val="0"/>
          <w:numId w:val="27"/>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左右侧门和前后门可方便拆卸，前后门可开启180°。</w:t>
      </w:r>
    </w:p>
    <w:p>
      <w:pPr>
        <w:numPr>
          <w:ilvl w:val="0"/>
          <w:numId w:val="27"/>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主体框架、托架、托板的钢板厚度不小于2.0mm，前后门、侧板、顶盖、底板等其他材料厚度不小于1.5mm，主体框架采用焊接工艺，结构坚固，最大静载达1000KG，移动承载350KG。</w:t>
      </w:r>
    </w:p>
    <w:p>
      <w:pPr>
        <w:numPr>
          <w:ilvl w:val="0"/>
          <w:numId w:val="27"/>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配置有接地端子，机柜内设备安装立柱与接地点连成一体。</w:t>
      </w:r>
    </w:p>
    <w:p>
      <w:pPr>
        <w:numPr>
          <w:ilvl w:val="0"/>
          <w:numId w:val="27"/>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符合ANSI/EIA RS-310-D、IEC297-2、DIN41491 PART1及PART7、 GB/T3047.2- 92标准；兼容国际标准、公制标准和ETSI标准。</w:t>
      </w:r>
    </w:p>
    <w:p>
      <w:pPr>
        <w:numPr>
          <w:ilvl w:val="0"/>
          <w:numId w:val="27"/>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综合机柜尺寸：600mm*600mm*2000mm。</w:t>
      </w:r>
    </w:p>
    <w:p>
      <w:pPr>
        <w:numPr>
          <w:ilvl w:val="0"/>
          <w:numId w:val="27"/>
        </w:numPr>
        <w:ind w:firstLine="480" w:firstLineChars="200"/>
        <w:rPr>
          <w:rFonts w:hint="eastAsia" w:ascii="宋体" w:hAnsi="宋体" w:eastAsia="宋体" w:cs="宋体"/>
          <w:sz w:val="24"/>
          <w:szCs w:val="24"/>
        </w:rPr>
      </w:pPr>
      <w:r>
        <w:rPr>
          <w:rFonts w:hint="eastAsia" w:ascii="宋体" w:hAnsi="宋体" w:eastAsia="宋体" w:cs="宋体"/>
          <w:sz w:val="24"/>
          <w:szCs w:val="24"/>
          <w:lang w:bidi="ar"/>
        </w:rPr>
        <w:t>服务器机柜尺寸：600mm*1000mm*2000mm。</w:t>
      </w:r>
    </w:p>
    <w:p>
      <w:pPr>
        <w:pStyle w:val="10"/>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1.2.4.</w:t>
      </w:r>
      <w:r>
        <w:rPr>
          <w:rFonts w:hint="eastAsia" w:ascii="宋体" w:hAnsi="宋体" w:eastAsia="宋体" w:cs="宋体"/>
          <w:sz w:val="24"/>
          <w:szCs w:val="24"/>
        </w:rPr>
        <w:t>3、设备参数及数量清单</w:t>
      </w:r>
    </w:p>
    <w:tbl>
      <w:tblPr>
        <w:tblStyle w:val="37"/>
        <w:tblW w:w="9877" w:type="dxa"/>
        <w:tblInd w:w="265" w:type="dxa"/>
        <w:tblLayout w:type="fixed"/>
        <w:tblCellMar>
          <w:top w:w="0" w:type="dxa"/>
          <w:left w:w="108" w:type="dxa"/>
          <w:bottom w:w="0" w:type="dxa"/>
          <w:right w:w="108" w:type="dxa"/>
        </w:tblCellMar>
      </w:tblPr>
      <w:tblGrid>
        <w:gridCol w:w="969"/>
        <w:gridCol w:w="2054"/>
        <w:gridCol w:w="5746"/>
        <w:gridCol w:w="1108"/>
      </w:tblGrid>
      <w:tr>
        <w:tblPrEx>
          <w:tblCellMar>
            <w:top w:w="0" w:type="dxa"/>
            <w:left w:w="108" w:type="dxa"/>
            <w:bottom w:w="0" w:type="dxa"/>
            <w:right w:w="108" w:type="dxa"/>
          </w:tblCellMar>
        </w:tblPrEx>
        <w:trPr>
          <w:trHeight w:val="274" w:hRule="atLeast"/>
        </w:trPr>
        <w:tc>
          <w:tcPr>
            <w:tcW w:w="9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序号</w:t>
            </w:r>
          </w:p>
        </w:tc>
        <w:tc>
          <w:tcPr>
            <w:tcW w:w="2054" w:type="dxa"/>
            <w:tcBorders>
              <w:top w:val="single" w:color="auto" w:sz="4" w:space="0"/>
              <w:left w:val="nil"/>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内容</w:t>
            </w:r>
          </w:p>
        </w:tc>
        <w:tc>
          <w:tcPr>
            <w:tcW w:w="5746" w:type="dxa"/>
            <w:tcBorders>
              <w:top w:val="single" w:color="auto" w:sz="4" w:space="0"/>
              <w:left w:val="nil"/>
              <w:bottom w:val="single" w:color="auto" w:sz="4" w:space="0"/>
              <w:right w:val="single" w:color="auto" w:sz="4" w:space="0"/>
            </w:tcBorders>
            <w:noWrap w:val="0"/>
            <w:vAlign w:val="top"/>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设备参数</w:t>
            </w: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数量</w:t>
            </w:r>
          </w:p>
        </w:tc>
      </w:tr>
      <w:tr>
        <w:tblPrEx>
          <w:tblCellMar>
            <w:top w:w="0" w:type="dxa"/>
            <w:left w:w="108" w:type="dxa"/>
            <w:bottom w:w="0" w:type="dxa"/>
            <w:right w:w="108" w:type="dxa"/>
          </w:tblCellMar>
        </w:tblPrEx>
        <w:trPr>
          <w:trHeight w:val="285" w:hRule="atLeast"/>
        </w:trPr>
        <w:tc>
          <w:tcPr>
            <w:tcW w:w="9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1</w:t>
            </w:r>
          </w:p>
        </w:tc>
        <w:tc>
          <w:tcPr>
            <w:tcW w:w="205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综合机柜</w:t>
            </w:r>
          </w:p>
        </w:tc>
        <w:tc>
          <w:tcPr>
            <w:tcW w:w="57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szCs w:val="24"/>
              </w:rPr>
            </w:pPr>
            <w:r>
              <w:rPr>
                <w:rFonts w:hint="eastAsia" w:ascii="楷体" w:hAnsi="楷体" w:eastAsia="楷体" w:cs="楷体"/>
                <w:sz w:val="24"/>
                <w:szCs w:val="24"/>
              </w:rPr>
              <w:t>600mm*600mm*2000mm</w:t>
            </w: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11</w:t>
            </w:r>
          </w:p>
        </w:tc>
      </w:tr>
      <w:tr>
        <w:tblPrEx>
          <w:tblCellMar>
            <w:top w:w="0" w:type="dxa"/>
            <w:left w:w="108" w:type="dxa"/>
            <w:bottom w:w="0" w:type="dxa"/>
            <w:right w:w="108" w:type="dxa"/>
          </w:tblCellMar>
        </w:tblPrEx>
        <w:trPr>
          <w:trHeight w:val="300" w:hRule="atLeast"/>
        </w:trPr>
        <w:tc>
          <w:tcPr>
            <w:tcW w:w="9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2</w:t>
            </w:r>
          </w:p>
        </w:tc>
        <w:tc>
          <w:tcPr>
            <w:tcW w:w="2054" w:type="dxa"/>
            <w:tcBorders>
              <w:top w:val="single" w:color="auto" w:sz="4" w:space="0"/>
              <w:left w:val="nil"/>
              <w:bottom w:val="single" w:color="auto" w:sz="4" w:space="0"/>
              <w:right w:val="single" w:color="auto" w:sz="4" w:space="0"/>
            </w:tcBorders>
            <w:noWrap/>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服务器机柜</w:t>
            </w:r>
          </w:p>
        </w:tc>
        <w:tc>
          <w:tcPr>
            <w:tcW w:w="57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000000"/>
                <w:kern w:val="0"/>
                <w:sz w:val="24"/>
                <w:szCs w:val="24"/>
              </w:rPr>
            </w:pPr>
            <w:r>
              <w:rPr>
                <w:rFonts w:hint="eastAsia" w:ascii="楷体" w:hAnsi="楷体" w:eastAsia="楷体" w:cs="楷体"/>
                <w:sz w:val="24"/>
                <w:szCs w:val="24"/>
              </w:rPr>
              <w:t>600mm*1000mm*2000mm</w:t>
            </w: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2</w:t>
            </w:r>
          </w:p>
        </w:tc>
      </w:tr>
      <w:tr>
        <w:tblPrEx>
          <w:tblCellMar>
            <w:top w:w="0" w:type="dxa"/>
            <w:left w:w="108" w:type="dxa"/>
            <w:bottom w:w="0" w:type="dxa"/>
            <w:right w:w="108" w:type="dxa"/>
          </w:tblCellMar>
        </w:tblPrEx>
        <w:trPr>
          <w:trHeight w:val="300" w:hRule="atLeast"/>
        </w:trPr>
        <w:tc>
          <w:tcPr>
            <w:tcW w:w="9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3</w:t>
            </w:r>
          </w:p>
        </w:tc>
        <w:tc>
          <w:tcPr>
            <w:tcW w:w="2054" w:type="dxa"/>
            <w:tcBorders>
              <w:top w:val="single" w:color="auto" w:sz="4" w:space="0"/>
              <w:left w:val="nil"/>
              <w:bottom w:val="single" w:color="auto" w:sz="4" w:space="0"/>
              <w:right w:val="single" w:color="auto" w:sz="4" w:space="0"/>
            </w:tcBorders>
            <w:noWrap/>
            <w:vAlign w:val="center"/>
          </w:tcPr>
          <w:p>
            <w:pPr>
              <w:widowControl/>
              <w:jc w:val="left"/>
              <w:rPr>
                <w:rFonts w:hint="eastAsia" w:ascii="楷体" w:hAnsi="楷体" w:eastAsia="楷体" w:cs="楷体"/>
                <w:color w:val="FF0000"/>
                <w:kern w:val="0"/>
                <w:sz w:val="24"/>
                <w:szCs w:val="24"/>
              </w:rPr>
            </w:pPr>
            <w:r>
              <w:rPr>
                <w:rFonts w:hint="eastAsia" w:ascii="楷体" w:hAnsi="楷体" w:eastAsia="楷体" w:cs="楷体"/>
                <w:color w:val="FF0000"/>
                <w:kern w:val="0"/>
                <w:sz w:val="24"/>
                <w:szCs w:val="24"/>
                <w:lang w:val="en-US" w:eastAsia="zh-CN"/>
              </w:rPr>
              <w:t>OTN末端</w:t>
            </w:r>
          </w:p>
        </w:tc>
        <w:tc>
          <w:tcPr>
            <w:tcW w:w="57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color w:val="FF0000"/>
                <w:kern w:val="0"/>
                <w:sz w:val="24"/>
                <w:szCs w:val="24"/>
              </w:rPr>
            </w:pPr>
            <w:r>
              <w:rPr>
                <w:rFonts w:hint="eastAsia" w:ascii="楷体" w:hAnsi="楷体" w:eastAsia="楷体" w:cs="楷体"/>
                <w:color w:val="FF0000"/>
                <w:kern w:val="0"/>
                <w:sz w:val="24"/>
                <w:szCs w:val="24"/>
                <w:lang w:val="en-US" w:eastAsia="zh-CN"/>
              </w:rPr>
              <w:t>光电一体化设备≥2U；支持不少于8个业务槽位；</w:t>
            </w: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lang w:val="en-US" w:eastAsia="zh-CN"/>
              </w:rPr>
            </w:pPr>
            <w:r>
              <w:rPr>
                <w:rFonts w:hint="eastAsia" w:ascii="楷体" w:hAnsi="楷体" w:eastAsia="楷体" w:cs="楷体"/>
                <w:color w:val="FF0000"/>
                <w:kern w:val="0"/>
                <w:sz w:val="24"/>
                <w:szCs w:val="24"/>
                <w:lang w:val="en-US" w:eastAsia="zh-CN"/>
              </w:rPr>
              <w:t>1</w:t>
            </w:r>
          </w:p>
        </w:tc>
      </w:tr>
      <w:tr>
        <w:tblPrEx>
          <w:tblCellMar>
            <w:top w:w="0" w:type="dxa"/>
            <w:left w:w="108" w:type="dxa"/>
            <w:bottom w:w="0" w:type="dxa"/>
            <w:right w:w="108" w:type="dxa"/>
          </w:tblCellMar>
        </w:tblPrEx>
        <w:trPr>
          <w:trHeight w:val="526" w:hRule="atLeast"/>
        </w:trPr>
        <w:tc>
          <w:tcPr>
            <w:tcW w:w="969" w:type="dxa"/>
            <w:tcBorders>
              <w:top w:val="nil"/>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val="en-US" w:eastAsia="zh-CN"/>
              </w:rPr>
              <w:t>4</w:t>
            </w:r>
          </w:p>
        </w:tc>
        <w:tc>
          <w:tcPr>
            <w:tcW w:w="2054" w:type="dxa"/>
            <w:tcBorders>
              <w:top w:val="nil"/>
              <w:left w:val="nil"/>
              <w:bottom w:val="single" w:color="auto" w:sz="4" w:space="0"/>
              <w:right w:val="single" w:color="auto" w:sz="4" w:space="0"/>
            </w:tcBorders>
            <w:noWrap w:val="0"/>
            <w:vAlign w:val="center"/>
          </w:tcPr>
          <w:p>
            <w:pPr>
              <w:widowControl/>
              <w:jc w:val="left"/>
              <w:rPr>
                <w:rFonts w:hint="eastAsia" w:ascii="楷体" w:hAnsi="楷体" w:eastAsia="楷体" w:cs="楷体"/>
                <w:kern w:val="0"/>
                <w:sz w:val="24"/>
                <w:szCs w:val="24"/>
              </w:rPr>
            </w:pPr>
            <w:r>
              <w:rPr>
                <w:rFonts w:hint="eastAsia" w:ascii="楷体" w:hAnsi="楷体" w:eastAsia="楷体" w:cs="楷体"/>
                <w:color w:val="FF0000"/>
                <w:kern w:val="0"/>
                <w:sz w:val="24"/>
                <w:szCs w:val="24"/>
              </w:rPr>
              <w:t>汇聚交换机</w:t>
            </w:r>
          </w:p>
        </w:tc>
        <w:tc>
          <w:tcPr>
            <w:tcW w:w="5746" w:type="dxa"/>
            <w:tcBorders>
              <w:top w:val="nil"/>
              <w:left w:val="single" w:color="auto" w:sz="4" w:space="0"/>
              <w:bottom w:val="single" w:color="auto" w:sz="4" w:space="0"/>
              <w:right w:val="single" w:color="auto" w:sz="4" w:space="0"/>
            </w:tcBorders>
            <w:noWrap w:val="0"/>
            <w:vAlign w:val="top"/>
          </w:tcPr>
          <w:p>
            <w:pPr>
              <w:widowControl/>
              <w:jc w:val="left"/>
              <w:rPr>
                <w:rFonts w:hint="eastAsia" w:ascii="楷体" w:hAnsi="楷体" w:eastAsia="楷体" w:cs="楷体"/>
                <w:color w:val="000000"/>
                <w:kern w:val="0"/>
                <w:sz w:val="24"/>
                <w:szCs w:val="24"/>
              </w:rPr>
            </w:pPr>
            <w:r>
              <w:rPr>
                <w:rFonts w:hint="eastAsia" w:ascii="楷体" w:hAnsi="楷体" w:eastAsia="楷体" w:cs="楷体"/>
                <w:kern w:val="0"/>
                <w:sz w:val="24"/>
                <w:szCs w:val="24"/>
              </w:rPr>
              <w:t>配置冗余引擎、交换网、电源、设备不低于8个业务槽位；整机交换容量≥77.46Tbps，转发性能≥19200Mpps；配置不少于24个GE/10GE自适应业务接口。</w:t>
            </w:r>
          </w:p>
        </w:tc>
        <w:tc>
          <w:tcPr>
            <w:tcW w:w="1108" w:type="dxa"/>
            <w:tcBorders>
              <w:top w:val="nil"/>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val="en-US" w:eastAsia="zh-CN"/>
              </w:rPr>
              <w:t>4</w:t>
            </w:r>
          </w:p>
        </w:tc>
      </w:tr>
      <w:tr>
        <w:tblPrEx>
          <w:tblCellMar>
            <w:top w:w="0" w:type="dxa"/>
            <w:left w:w="108" w:type="dxa"/>
            <w:bottom w:w="0" w:type="dxa"/>
            <w:right w:w="108" w:type="dxa"/>
          </w:tblCellMar>
        </w:tblPrEx>
        <w:trPr>
          <w:trHeight w:val="120" w:hRule="atLeast"/>
        </w:trPr>
        <w:tc>
          <w:tcPr>
            <w:tcW w:w="9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val="en-US" w:eastAsia="zh-CN"/>
              </w:rPr>
              <w:t>5</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OLT中型</w:t>
            </w:r>
          </w:p>
        </w:tc>
        <w:tc>
          <w:tcPr>
            <w:tcW w:w="574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楷体" w:hAnsi="楷体" w:eastAsia="楷体" w:cs="楷体"/>
                <w:color w:val="000000"/>
                <w:kern w:val="0"/>
                <w:sz w:val="24"/>
                <w:szCs w:val="24"/>
              </w:rPr>
            </w:pPr>
            <w:r>
              <w:rPr>
                <w:rFonts w:hint="eastAsia" w:ascii="楷体" w:hAnsi="楷体" w:eastAsia="楷体" w:cs="楷体"/>
                <w:kern w:val="0"/>
                <w:sz w:val="24"/>
                <w:szCs w:val="24"/>
              </w:rPr>
              <w:t>整机业务槽位数7个，最大支持112个PON口；支持双电源、双主控、双上联盘冗余保护；支持GPON/10G EPON/XG(S) PON业务的混合接入，共硬件平台</w:t>
            </w: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11</w:t>
            </w:r>
          </w:p>
        </w:tc>
      </w:tr>
      <w:tr>
        <w:tblPrEx>
          <w:tblCellMar>
            <w:top w:w="0" w:type="dxa"/>
            <w:left w:w="108" w:type="dxa"/>
            <w:bottom w:w="0" w:type="dxa"/>
            <w:right w:w="108" w:type="dxa"/>
          </w:tblCellMar>
        </w:tblPrEx>
        <w:trPr>
          <w:trHeight w:val="285" w:hRule="atLeast"/>
        </w:trPr>
        <w:tc>
          <w:tcPr>
            <w:tcW w:w="9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val="en-US" w:eastAsia="zh-CN"/>
              </w:rPr>
              <w:t>6</w:t>
            </w:r>
          </w:p>
        </w:tc>
        <w:tc>
          <w:tcPr>
            <w:tcW w:w="205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GPON板卡</w:t>
            </w:r>
          </w:p>
        </w:tc>
        <w:tc>
          <w:tcPr>
            <w:tcW w:w="574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楷体" w:hAnsi="楷体" w:eastAsia="楷体" w:cs="楷体"/>
                <w:color w:val="000000"/>
                <w:kern w:val="0"/>
                <w:sz w:val="24"/>
                <w:szCs w:val="24"/>
              </w:rPr>
            </w:pPr>
            <w:r>
              <w:rPr>
                <w:rFonts w:hint="eastAsia" w:ascii="楷体" w:hAnsi="楷体" w:eastAsia="楷体" w:cs="楷体"/>
                <w:kern w:val="0"/>
                <w:sz w:val="24"/>
                <w:szCs w:val="24"/>
              </w:rPr>
              <w:t>16端口GPON业务板，含模块</w:t>
            </w: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13</w:t>
            </w:r>
          </w:p>
        </w:tc>
      </w:tr>
      <w:tr>
        <w:tblPrEx>
          <w:tblCellMar>
            <w:top w:w="0" w:type="dxa"/>
            <w:left w:w="108" w:type="dxa"/>
            <w:bottom w:w="0" w:type="dxa"/>
            <w:right w:w="108" w:type="dxa"/>
          </w:tblCellMar>
        </w:tblPrEx>
        <w:trPr>
          <w:trHeight w:val="204" w:hRule="atLeast"/>
        </w:trPr>
        <w:tc>
          <w:tcPr>
            <w:tcW w:w="969" w:type="dxa"/>
            <w:tcBorders>
              <w:top w:val="nil"/>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val="en-US" w:eastAsia="zh-CN"/>
              </w:rPr>
              <w:t>7</w:t>
            </w:r>
          </w:p>
        </w:tc>
        <w:tc>
          <w:tcPr>
            <w:tcW w:w="2054"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kern w:val="0"/>
                <w:sz w:val="24"/>
                <w:szCs w:val="24"/>
              </w:rPr>
            </w:pPr>
            <w:r>
              <w:rPr>
                <w:rFonts w:hint="eastAsia" w:ascii="楷体" w:hAnsi="楷体" w:eastAsia="楷体" w:cs="楷体"/>
                <w:color w:val="FF0000"/>
                <w:kern w:val="0"/>
                <w:sz w:val="24"/>
                <w:szCs w:val="24"/>
              </w:rPr>
              <w:t>10G光模块</w:t>
            </w:r>
          </w:p>
        </w:tc>
        <w:tc>
          <w:tcPr>
            <w:tcW w:w="5746" w:type="dxa"/>
            <w:tcBorders>
              <w:top w:val="nil"/>
              <w:left w:val="single" w:color="auto" w:sz="4" w:space="0"/>
              <w:bottom w:val="single" w:color="auto" w:sz="4" w:space="0"/>
              <w:right w:val="single" w:color="auto" w:sz="4" w:space="0"/>
            </w:tcBorders>
            <w:noWrap w:val="0"/>
            <w:vAlign w:val="top"/>
          </w:tcPr>
          <w:p>
            <w:pPr>
              <w:widowControl/>
              <w:jc w:val="left"/>
              <w:rPr>
                <w:rFonts w:hint="eastAsia" w:ascii="楷体" w:hAnsi="楷体" w:eastAsia="楷体" w:cs="楷体"/>
                <w:color w:val="000000"/>
                <w:kern w:val="0"/>
                <w:sz w:val="24"/>
                <w:szCs w:val="24"/>
              </w:rPr>
            </w:pPr>
            <w:r>
              <w:rPr>
                <w:rFonts w:hint="eastAsia" w:ascii="楷体" w:hAnsi="楷体" w:eastAsia="楷体" w:cs="楷体"/>
                <w:kern w:val="0"/>
                <w:sz w:val="24"/>
                <w:szCs w:val="24"/>
              </w:rPr>
              <w:t>10KM</w:t>
            </w:r>
          </w:p>
        </w:tc>
        <w:tc>
          <w:tcPr>
            <w:tcW w:w="1108" w:type="dxa"/>
            <w:tcBorders>
              <w:top w:val="nil"/>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highlight w:val="none"/>
                <w:lang w:eastAsia="zh-CN"/>
              </w:rPr>
            </w:pPr>
            <w:r>
              <w:rPr>
                <w:rFonts w:hint="eastAsia" w:ascii="楷体" w:hAnsi="楷体" w:eastAsia="楷体" w:cs="楷体"/>
                <w:color w:val="FF0000"/>
                <w:kern w:val="0"/>
                <w:sz w:val="24"/>
                <w:szCs w:val="24"/>
                <w:highlight w:val="none"/>
              </w:rPr>
              <w:t>1</w:t>
            </w:r>
            <w:r>
              <w:rPr>
                <w:rFonts w:hint="eastAsia" w:ascii="楷体" w:hAnsi="楷体" w:eastAsia="楷体" w:cs="楷体"/>
                <w:color w:val="FF0000"/>
                <w:kern w:val="0"/>
                <w:sz w:val="24"/>
                <w:szCs w:val="24"/>
                <w:highlight w:val="none"/>
                <w:lang w:val="en-US" w:eastAsia="zh-CN"/>
              </w:rPr>
              <w:t>6</w:t>
            </w:r>
          </w:p>
        </w:tc>
      </w:tr>
      <w:tr>
        <w:tblPrEx>
          <w:tblCellMar>
            <w:top w:w="0" w:type="dxa"/>
            <w:left w:w="108" w:type="dxa"/>
            <w:bottom w:w="0" w:type="dxa"/>
            <w:right w:w="108" w:type="dxa"/>
          </w:tblCellMar>
        </w:tblPrEx>
        <w:trPr>
          <w:trHeight w:val="285" w:hRule="atLeast"/>
        </w:trPr>
        <w:tc>
          <w:tcPr>
            <w:tcW w:w="969" w:type="dxa"/>
            <w:tcBorders>
              <w:top w:val="nil"/>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val="en-US" w:eastAsia="zh-CN"/>
              </w:rPr>
              <w:t>8</w:t>
            </w:r>
          </w:p>
        </w:tc>
        <w:tc>
          <w:tcPr>
            <w:tcW w:w="2054"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10G光模块</w:t>
            </w:r>
          </w:p>
        </w:tc>
        <w:tc>
          <w:tcPr>
            <w:tcW w:w="5746" w:type="dxa"/>
            <w:tcBorders>
              <w:top w:val="nil"/>
              <w:left w:val="single" w:color="auto" w:sz="4" w:space="0"/>
              <w:bottom w:val="single" w:color="auto" w:sz="4" w:space="0"/>
              <w:right w:val="single" w:color="auto" w:sz="4" w:space="0"/>
            </w:tcBorders>
            <w:noWrap w:val="0"/>
            <w:vAlign w:val="top"/>
          </w:tcPr>
          <w:p>
            <w:pPr>
              <w:widowControl/>
              <w:jc w:val="left"/>
              <w:rPr>
                <w:rFonts w:hint="eastAsia" w:ascii="楷体" w:hAnsi="楷体" w:eastAsia="楷体" w:cs="楷体"/>
                <w:color w:val="000000"/>
                <w:kern w:val="0"/>
                <w:sz w:val="24"/>
                <w:szCs w:val="24"/>
              </w:rPr>
            </w:pPr>
            <w:r>
              <w:rPr>
                <w:rFonts w:hint="eastAsia" w:ascii="楷体" w:hAnsi="楷体" w:eastAsia="楷体" w:cs="楷体"/>
                <w:kern w:val="0"/>
                <w:sz w:val="24"/>
                <w:szCs w:val="24"/>
              </w:rPr>
              <w:t>40KM</w:t>
            </w:r>
          </w:p>
        </w:tc>
        <w:tc>
          <w:tcPr>
            <w:tcW w:w="1108" w:type="dxa"/>
            <w:tcBorders>
              <w:top w:val="nil"/>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10</w:t>
            </w:r>
          </w:p>
        </w:tc>
      </w:tr>
      <w:tr>
        <w:tblPrEx>
          <w:tblCellMar>
            <w:top w:w="0" w:type="dxa"/>
            <w:left w:w="108" w:type="dxa"/>
            <w:bottom w:w="0" w:type="dxa"/>
            <w:right w:w="108" w:type="dxa"/>
          </w:tblCellMar>
        </w:tblPrEx>
        <w:trPr>
          <w:trHeight w:val="285" w:hRule="atLeast"/>
        </w:trPr>
        <w:tc>
          <w:tcPr>
            <w:tcW w:w="969" w:type="dxa"/>
            <w:tcBorders>
              <w:top w:val="nil"/>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val="en-US" w:eastAsia="zh-CN"/>
              </w:rPr>
              <w:t>9</w:t>
            </w:r>
          </w:p>
        </w:tc>
        <w:tc>
          <w:tcPr>
            <w:tcW w:w="2054" w:type="dxa"/>
            <w:tcBorders>
              <w:top w:val="nil"/>
              <w:left w:val="nil"/>
              <w:bottom w:val="single" w:color="auto" w:sz="4" w:space="0"/>
              <w:right w:val="single" w:color="auto" w:sz="4" w:space="0"/>
            </w:tcBorders>
            <w:noWrap/>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10G光模块</w:t>
            </w:r>
          </w:p>
        </w:tc>
        <w:tc>
          <w:tcPr>
            <w:tcW w:w="5746" w:type="dxa"/>
            <w:tcBorders>
              <w:top w:val="nil"/>
              <w:left w:val="single" w:color="auto" w:sz="4" w:space="0"/>
              <w:bottom w:val="single" w:color="auto" w:sz="4" w:space="0"/>
              <w:right w:val="single" w:color="auto" w:sz="4" w:space="0"/>
            </w:tcBorders>
            <w:noWrap w:val="0"/>
            <w:vAlign w:val="top"/>
          </w:tcPr>
          <w:p>
            <w:pPr>
              <w:widowControl/>
              <w:jc w:val="left"/>
              <w:rPr>
                <w:rFonts w:hint="eastAsia" w:ascii="楷体" w:hAnsi="楷体" w:eastAsia="楷体" w:cs="楷体"/>
                <w:color w:val="000000"/>
                <w:kern w:val="0"/>
                <w:sz w:val="24"/>
                <w:szCs w:val="24"/>
              </w:rPr>
            </w:pPr>
            <w:r>
              <w:rPr>
                <w:rFonts w:hint="eastAsia" w:ascii="楷体" w:hAnsi="楷体" w:eastAsia="楷体" w:cs="楷体"/>
                <w:kern w:val="0"/>
                <w:sz w:val="24"/>
                <w:szCs w:val="24"/>
              </w:rPr>
              <w:t>80KM</w:t>
            </w:r>
          </w:p>
        </w:tc>
        <w:tc>
          <w:tcPr>
            <w:tcW w:w="1108" w:type="dxa"/>
            <w:tcBorders>
              <w:top w:val="nil"/>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highlight w:val="none"/>
              </w:rPr>
            </w:pPr>
            <w:r>
              <w:rPr>
                <w:rFonts w:hint="eastAsia" w:ascii="楷体" w:hAnsi="楷体" w:eastAsia="楷体" w:cs="楷体"/>
                <w:color w:val="000000"/>
                <w:kern w:val="0"/>
                <w:sz w:val="24"/>
                <w:szCs w:val="24"/>
                <w:highlight w:val="none"/>
              </w:rPr>
              <w:t>8</w:t>
            </w:r>
          </w:p>
        </w:tc>
      </w:tr>
      <w:tr>
        <w:tblPrEx>
          <w:tblCellMar>
            <w:top w:w="0" w:type="dxa"/>
            <w:left w:w="108" w:type="dxa"/>
            <w:bottom w:w="0" w:type="dxa"/>
            <w:right w:w="108" w:type="dxa"/>
          </w:tblCellMar>
        </w:tblPrEx>
        <w:trPr>
          <w:trHeight w:val="285" w:hRule="atLeast"/>
        </w:trPr>
        <w:tc>
          <w:tcPr>
            <w:tcW w:w="9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楷体" w:hAnsi="楷体" w:eastAsia="楷体" w:cs="楷体"/>
                <w:color w:val="000000"/>
                <w:kern w:val="0"/>
                <w:sz w:val="24"/>
                <w:szCs w:val="24"/>
                <w:lang w:val="en-US" w:eastAsia="zh-CN"/>
              </w:rPr>
            </w:pPr>
            <w:r>
              <w:rPr>
                <w:rFonts w:hint="eastAsia" w:ascii="楷体" w:hAnsi="楷体" w:eastAsia="楷体" w:cs="楷体"/>
                <w:color w:val="000000"/>
                <w:kern w:val="0"/>
                <w:sz w:val="24"/>
                <w:szCs w:val="24"/>
                <w:lang w:val="en-US" w:eastAsia="zh-CN"/>
              </w:rPr>
              <w:t>10</w:t>
            </w:r>
          </w:p>
        </w:tc>
        <w:tc>
          <w:tcPr>
            <w:tcW w:w="205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ODF架</w:t>
            </w:r>
          </w:p>
        </w:tc>
        <w:tc>
          <w:tcPr>
            <w:tcW w:w="574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楷体" w:hAnsi="楷体" w:eastAsia="楷体" w:cs="楷体"/>
                <w:kern w:val="0"/>
                <w:sz w:val="24"/>
                <w:szCs w:val="24"/>
              </w:rPr>
            </w:pPr>
            <w:r>
              <w:rPr>
                <w:rFonts w:hint="eastAsia" w:ascii="楷体" w:hAnsi="楷体" w:eastAsia="楷体" w:cs="楷体"/>
                <w:color w:val="000000"/>
                <w:kern w:val="0"/>
                <w:sz w:val="24"/>
                <w:szCs w:val="24"/>
              </w:rPr>
              <w:t>288芯</w:t>
            </w: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1</w:t>
            </w:r>
          </w:p>
        </w:tc>
      </w:tr>
      <w:tr>
        <w:tblPrEx>
          <w:tblCellMar>
            <w:top w:w="0" w:type="dxa"/>
            <w:left w:w="108" w:type="dxa"/>
            <w:bottom w:w="0" w:type="dxa"/>
            <w:right w:w="108" w:type="dxa"/>
          </w:tblCellMar>
        </w:tblPrEx>
        <w:trPr>
          <w:trHeight w:val="285" w:hRule="atLeast"/>
        </w:trPr>
        <w:tc>
          <w:tcPr>
            <w:tcW w:w="9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rPr>
              <w:t>1</w:t>
            </w:r>
            <w:r>
              <w:rPr>
                <w:rFonts w:hint="eastAsia" w:ascii="楷体" w:hAnsi="楷体" w:eastAsia="楷体" w:cs="楷体"/>
                <w:color w:val="000000"/>
                <w:kern w:val="0"/>
                <w:sz w:val="24"/>
                <w:szCs w:val="24"/>
                <w:lang w:val="en-US" w:eastAsia="zh-CN"/>
              </w:rPr>
              <w:t>1</w:t>
            </w:r>
          </w:p>
        </w:tc>
        <w:tc>
          <w:tcPr>
            <w:tcW w:w="2054" w:type="dxa"/>
            <w:tcBorders>
              <w:top w:val="single" w:color="auto" w:sz="4" w:space="0"/>
              <w:left w:val="nil"/>
              <w:bottom w:val="single" w:color="auto" w:sz="4" w:space="0"/>
              <w:right w:val="single" w:color="auto" w:sz="4" w:space="0"/>
            </w:tcBorders>
            <w:noWrap/>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其它辅材</w:t>
            </w:r>
          </w:p>
        </w:tc>
        <w:tc>
          <w:tcPr>
            <w:tcW w:w="574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楷体" w:hAnsi="楷体" w:eastAsia="楷体" w:cs="楷体"/>
                <w:color w:val="000000"/>
                <w:kern w:val="0"/>
                <w:sz w:val="24"/>
                <w:szCs w:val="24"/>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1</w:t>
            </w:r>
          </w:p>
        </w:tc>
      </w:tr>
    </w:tbl>
    <w:p>
      <w:pPr>
        <w:pStyle w:val="5"/>
        <w:bidi w:val="0"/>
        <w:ind w:firstLine="482" w:firstLineChars="200"/>
        <w:jc w:val="left"/>
        <w:rPr>
          <w:rFonts w:hint="eastAsia" w:ascii="宋体" w:hAnsi="宋体" w:eastAsia="宋体" w:cs="宋体"/>
          <w:b/>
          <w:color w:val="000000"/>
          <w:sz w:val="24"/>
          <w:szCs w:val="24"/>
        </w:rPr>
      </w:pPr>
      <w:r>
        <w:rPr>
          <w:rFonts w:hint="eastAsia" w:ascii="宋体" w:hAnsi="宋体" w:eastAsia="宋体" w:cs="宋体"/>
          <w:sz w:val="24"/>
          <w:szCs w:val="24"/>
          <w:lang w:val="en-US" w:eastAsia="zh-CN"/>
        </w:rPr>
        <w:t>2.广播电视两平台技术要求</w:t>
      </w:r>
      <w:bookmarkStart w:id="557" w:name="第二部分第六章"/>
    </w:p>
    <w:bookmarkEnd w:id="557"/>
    <w:p>
      <w:pPr>
        <w:pStyle w:val="7"/>
        <w:bidi w:val="0"/>
        <w:ind w:firstLine="482" w:firstLineChars="200"/>
        <w:rPr>
          <w:rFonts w:hint="eastAsia" w:ascii="宋体" w:hAnsi="宋体" w:eastAsia="宋体" w:cs="宋体"/>
          <w:b/>
          <w:color w:val="000000"/>
          <w:sz w:val="24"/>
          <w:szCs w:val="24"/>
        </w:rPr>
      </w:pPr>
      <w:bookmarkStart w:id="558" w:name="_Toc25721"/>
      <w:r>
        <w:rPr>
          <w:rFonts w:hint="eastAsia" w:ascii="宋体" w:hAnsi="宋体" w:eastAsia="宋体" w:cs="宋体"/>
          <w:sz w:val="24"/>
          <w:szCs w:val="24"/>
          <w:lang w:val="en-US" w:eastAsia="zh-CN"/>
        </w:rPr>
        <w:t>2.1.</w:t>
      </w:r>
      <w:r>
        <w:rPr>
          <w:rFonts w:hint="eastAsia" w:ascii="宋体" w:hAnsi="宋体" w:eastAsia="宋体" w:cs="宋体"/>
          <w:sz w:val="24"/>
          <w:szCs w:val="24"/>
        </w:rPr>
        <w:t>智慧广电公共服务管理平台</w:t>
      </w:r>
      <w:bookmarkEnd w:id="558"/>
      <w:r>
        <w:rPr>
          <w:rFonts w:hint="eastAsia" w:ascii="宋体" w:hAnsi="宋体" w:eastAsia="宋体" w:cs="宋体"/>
          <w:sz w:val="24"/>
          <w:szCs w:val="24"/>
          <w:lang w:val="en-US" w:eastAsia="zh-CN"/>
        </w:rPr>
        <w:t>建设技术要求</w:t>
      </w:r>
    </w:p>
    <w:p>
      <w:pPr>
        <w:pStyle w:val="8"/>
        <w:bidi w:val="0"/>
        <w:ind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2.1.1.</w:t>
      </w:r>
      <w:r>
        <w:rPr>
          <w:rFonts w:hint="eastAsia" w:ascii="宋体" w:hAnsi="宋体" w:eastAsia="宋体" w:cs="宋体"/>
          <w:sz w:val="24"/>
          <w:szCs w:val="24"/>
        </w:rPr>
        <w:t>智慧广电公共服务管理平台</w:t>
      </w:r>
      <w:r>
        <w:rPr>
          <w:rFonts w:hint="eastAsia" w:ascii="宋体" w:hAnsi="宋体" w:eastAsia="宋体" w:cs="宋体"/>
          <w:sz w:val="24"/>
          <w:szCs w:val="24"/>
          <w:lang w:val="en-US" w:eastAsia="zh-CN"/>
        </w:rPr>
        <w:t>建设技术要求</w:t>
      </w:r>
    </w:p>
    <w:p>
      <w:pPr>
        <w:bidi w:val="0"/>
        <w:ind w:firstLine="480" w:firstLineChars="200"/>
        <w:rPr>
          <w:rFonts w:hint="eastAsia" w:ascii="宋体" w:hAnsi="宋体" w:eastAsia="宋体" w:cs="宋体"/>
          <w:sz w:val="24"/>
          <w:szCs w:val="24"/>
        </w:rPr>
      </w:pPr>
      <w:r>
        <w:rPr>
          <w:rFonts w:hint="eastAsia" w:ascii="宋体" w:hAnsi="宋体" w:eastAsia="宋体" w:cs="宋体"/>
          <w:sz w:val="24"/>
          <w:szCs w:val="24"/>
        </w:rPr>
        <w:t>按照“云网融合、统筹资源、以人为本”的建设理念，利用中央预算内投资，建设</w:t>
      </w:r>
      <w:r>
        <w:rPr>
          <w:rFonts w:hint="eastAsia" w:ascii="宋体" w:hAnsi="宋体" w:eastAsia="宋体" w:cs="宋体"/>
          <w:sz w:val="24"/>
          <w:szCs w:val="24"/>
          <w:lang w:eastAsia="zh-CN"/>
        </w:rPr>
        <w:t>察布查尔县</w:t>
      </w:r>
      <w:r>
        <w:rPr>
          <w:rFonts w:hint="eastAsia" w:ascii="宋体" w:hAnsi="宋体" w:eastAsia="宋体" w:cs="宋体"/>
          <w:sz w:val="24"/>
          <w:szCs w:val="24"/>
        </w:rPr>
        <w:t>智慧广电公共服务管理平台，同时依托</w:t>
      </w:r>
      <w:r>
        <w:rPr>
          <w:rFonts w:hint="eastAsia" w:ascii="宋体" w:hAnsi="宋体" w:eastAsia="宋体" w:cs="宋体"/>
          <w:sz w:val="24"/>
          <w:szCs w:val="24"/>
          <w:lang w:val="en-US" w:eastAsia="zh-CN"/>
        </w:rPr>
        <w:t>中国广电新疆网络中心云</w:t>
      </w:r>
      <w:r>
        <w:rPr>
          <w:rFonts w:hint="eastAsia" w:ascii="宋体" w:hAnsi="宋体" w:eastAsia="宋体" w:cs="宋体"/>
          <w:sz w:val="24"/>
          <w:szCs w:val="24"/>
        </w:rPr>
        <w:t>平台的内容与业务，为</w:t>
      </w:r>
      <w:r>
        <w:rPr>
          <w:rFonts w:hint="eastAsia" w:ascii="宋体" w:hAnsi="宋体" w:eastAsia="宋体" w:cs="宋体"/>
          <w:sz w:val="24"/>
          <w:szCs w:val="24"/>
          <w:lang w:eastAsia="zh-CN"/>
        </w:rPr>
        <w:t>察布查尔县</w:t>
      </w:r>
      <w:r>
        <w:rPr>
          <w:rFonts w:hint="eastAsia" w:ascii="宋体" w:hAnsi="宋体" w:eastAsia="宋体" w:cs="宋体"/>
          <w:sz w:val="24"/>
          <w:szCs w:val="24"/>
        </w:rPr>
        <w:t>智慧广电固边工程公共服务管理平台提供基础业务资源和能力，</w:t>
      </w:r>
      <w:r>
        <w:rPr>
          <w:rFonts w:hint="eastAsia" w:ascii="宋体" w:hAnsi="宋体" w:eastAsia="宋体" w:cs="宋体"/>
          <w:sz w:val="24"/>
          <w:szCs w:val="24"/>
          <w:lang w:eastAsia="zh-CN"/>
        </w:rPr>
        <w:t>察布查尔县</w:t>
      </w:r>
      <w:r>
        <w:rPr>
          <w:rFonts w:hint="eastAsia" w:ascii="宋体" w:hAnsi="宋体" w:eastAsia="宋体" w:cs="宋体"/>
          <w:sz w:val="24"/>
          <w:szCs w:val="24"/>
        </w:rPr>
        <w:t>智慧广电固边工程公共服务管理平台作为边缘</w:t>
      </w:r>
      <w:r>
        <w:rPr>
          <w:rFonts w:hint="eastAsia" w:ascii="宋体" w:hAnsi="宋体" w:eastAsia="宋体" w:cs="宋体"/>
          <w:sz w:val="24"/>
          <w:szCs w:val="24"/>
          <w:lang w:val="en-US" w:eastAsia="zh-CN"/>
        </w:rPr>
        <w:t>节点</w:t>
      </w:r>
      <w:r>
        <w:rPr>
          <w:rFonts w:hint="eastAsia" w:ascii="宋体" w:hAnsi="宋体" w:eastAsia="宋体" w:cs="宋体"/>
          <w:sz w:val="24"/>
          <w:szCs w:val="24"/>
        </w:rPr>
        <w:t>与</w:t>
      </w:r>
      <w:r>
        <w:rPr>
          <w:rFonts w:hint="eastAsia" w:ascii="宋体" w:hAnsi="宋体" w:eastAsia="宋体" w:cs="宋体"/>
          <w:sz w:val="24"/>
          <w:szCs w:val="24"/>
          <w:lang w:val="en-US" w:eastAsia="zh-CN"/>
        </w:rPr>
        <w:t>中国广电新疆网络中心云</w:t>
      </w:r>
      <w:r>
        <w:rPr>
          <w:rFonts w:hint="eastAsia" w:ascii="宋体" w:hAnsi="宋体" w:eastAsia="宋体" w:cs="宋体"/>
          <w:sz w:val="24"/>
          <w:szCs w:val="24"/>
        </w:rPr>
        <w:t>平台对接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实现“云、网、边、端”计算资源的集约建设、融合共享和动态扩展；实现应用系统的快速部署和基础资源的集中管控；实现IT资源使用、维护和管理的流程化、规范化、一体化；实现基础平台安全和业务系统安全的体系化建设、集中化管控、资源池化动态调整和整体安全能力</w:t>
      </w:r>
      <w:r>
        <w:rPr>
          <w:rFonts w:hint="eastAsia" w:ascii="宋体" w:hAnsi="宋体" w:eastAsia="宋体" w:cs="宋体"/>
          <w:sz w:val="24"/>
          <w:szCs w:val="24"/>
          <w:lang w:val="en-GB"/>
        </w:rPr>
        <w:t>。</w:t>
      </w:r>
    </w:p>
    <w:p>
      <w:pPr>
        <w:bidi w:val="0"/>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察布查尔县</w:t>
      </w:r>
      <w:r>
        <w:rPr>
          <w:rFonts w:hint="eastAsia" w:ascii="宋体" w:hAnsi="宋体" w:eastAsia="宋体" w:cs="宋体"/>
          <w:sz w:val="24"/>
          <w:szCs w:val="24"/>
        </w:rPr>
        <w:t>智慧广电公共服务管理平台的规划与设计符合《广播电视台融合媒体云平台总体架构》（GY/T 354-2021）《广播电视台融合媒体云平台 接口协议》（GY/T 355-2021）《县级融媒体中心省级技术平台规范要求》（GY/T 321-2019）《电视台融合媒体云平台建设技术白皮书（2015）》与《广播电视台融合媒体互动技术平台白皮书（2017）》的相关技术要求。</w:t>
      </w:r>
    </w:p>
    <w:p>
      <w:pPr>
        <w:bidi w:val="0"/>
        <w:ind w:firstLine="480" w:firstLineChars="200"/>
        <w:rPr>
          <w:rFonts w:hint="eastAsia" w:ascii="宋体" w:hAnsi="宋体" w:eastAsia="宋体" w:cs="宋体"/>
          <w:sz w:val="24"/>
          <w:szCs w:val="24"/>
        </w:rPr>
      </w:pPr>
      <w:r>
        <w:rPr>
          <w:rFonts w:hint="eastAsia" w:ascii="宋体" w:hAnsi="宋体" w:eastAsia="宋体" w:cs="宋体"/>
          <w:sz w:val="24"/>
          <w:szCs w:val="24"/>
        </w:rPr>
        <w:t>在广播电视服务建设方面，面向全媒体业务的发展，开展新型融合广播电视服务，提升广播电视节目内容的覆盖范围和服务质量，增强高清和超高清节目内容传输能力。在公共服务建设方面，利用广播电视网络和接入终端，采用多种媒体形式提供服务，如党史学习教育、爱国主义和民族团结宣传教育、公共信息发布等，提升公共文化数字化水平。在融合服务建设方面，基于</w:t>
      </w:r>
      <w:r>
        <w:rPr>
          <w:rFonts w:hint="eastAsia" w:ascii="宋体" w:hAnsi="宋体" w:eastAsia="宋体" w:cs="宋体"/>
          <w:sz w:val="24"/>
          <w:szCs w:val="24"/>
          <w:lang w:eastAsia="zh-CN"/>
        </w:rPr>
        <w:t>察布查尔县</w:t>
      </w:r>
      <w:r>
        <w:rPr>
          <w:rFonts w:hint="eastAsia" w:ascii="宋体" w:hAnsi="宋体" w:eastAsia="宋体" w:cs="宋体"/>
          <w:sz w:val="24"/>
          <w:szCs w:val="24"/>
        </w:rPr>
        <w:t>广电网络的覆盖能力，通过公共服务管理平台整合云计算能力、公共信息资源能力，为</w:t>
      </w:r>
      <w:r>
        <w:rPr>
          <w:rFonts w:hint="eastAsia" w:ascii="宋体" w:hAnsi="宋体" w:eastAsia="宋体" w:cs="宋体"/>
          <w:sz w:val="24"/>
          <w:szCs w:val="24"/>
          <w:lang w:eastAsia="zh-CN"/>
        </w:rPr>
        <w:t>察布查尔县</w:t>
      </w:r>
      <w:r>
        <w:rPr>
          <w:rFonts w:hint="eastAsia" w:ascii="宋体" w:hAnsi="宋体" w:eastAsia="宋体" w:cs="宋体"/>
          <w:sz w:val="24"/>
          <w:szCs w:val="24"/>
        </w:rPr>
        <w:t>政府及居民等各类用户提供智慧融合服务支撑，如智慧政务、乡村振兴等。</w:t>
      </w:r>
    </w:p>
    <w:p>
      <w:pPr>
        <w:bidi w:val="0"/>
        <w:ind w:firstLine="480" w:firstLineChars="200"/>
        <w:rPr>
          <w:rFonts w:hint="eastAsia" w:ascii="宋体" w:hAnsi="宋体" w:eastAsia="宋体" w:cs="宋体"/>
          <w:sz w:val="24"/>
          <w:szCs w:val="24"/>
        </w:rPr>
      </w:pPr>
      <w:r>
        <w:rPr>
          <w:rFonts w:hint="eastAsia" w:ascii="宋体" w:hAnsi="宋体" w:eastAsia="宋体" w:cs="宋体"/>
          <w:sz w:val="24"/>
          <w:szCs w:val="24"/>
        </w:rPr>
        <w:t>同时，智慧广电公共服务管理平台利用外部接口方式</w:t>
      </w:r>
      <w:r>
        <w:rPr>
          <w:rFonts w:hint="eastAsia" w:ascii="宋体" w:hAnsi="宋体" w:eastAsia="宋体" w:cs="宋体"/>
          <w:sz w:val="24"/>
          <w:szCs w:val="24"/>
          <w:lang w:val="en-US" w:eastAsia="zh-CN"/>
        </w:rPr>
        <w:t>上传</w:t>
      </w:r>
      <w:r>
        <w:rPr>
          <w:rFonts w:hint="eastAsia" w:ascii="宋体" w:hAnsi="宋体" w:eastAsia="宋体" w:cs="宋体"/>
          <w:sz w:val="24"/>
          <w:szCs w:val="24"/>
        </w:rPr>
        <w:t>与县级融媒体</w:t>
      </w:r>
      <w:r>
        <w:rPr>
          <w:rFonts w:hint="eastAsia" w:ascii="宋体" w:hAnsi="宋体" w:eastAsia="宋体" w:cs="宋体"/>
          <w:sz w:val="24"/>
          <w:szCs w:val="24"/>
          <w:lang w:val="en-US" w:eastAsia="zh-CN"/>
        </w:rPr>
        <w:t>宣传内容</w:t>
      </w:r>
      <w:r>
        <w:rPr>
          <w:rFonts w:hint="eastAsia" w:ascii="宋体" w:hAnsi="宋体" w:eastAsia="宋体" w:cs="宋体"/>
          <w:sz w:val="24"/>
          <w:szCs w:val="24"/>
        </w:rPr>
        <w:t>、</w:t>
      </w:r>
      <w:r>
        <w:rPr>
          <w:rFonts w:hint="eastAsia" w:ascii="宋体" w:hAnsi="宋体" w:eastAsia="宋体" w:cs="宋体"/>
          <w:sz w:val="24"/>
          <w:szCs w:val="24"/>
          <w:lang w:val="en-US" w:eastAsia="zh-CN"/>
        </w:rPr>
        <w:t>对接</w:t>
      </w:r>
      <w:r>
        <w:rPr>
          <w:rFonts w:hint="eastAsia" w:ascii="宋体" w:hAnsi="宋体" w:eastAsia="宋体" w:cs="宋体"/>
          <w:sz w:val="24"/>
          <w:szCs w:val="24"/>
        </w:rPr>
        <w:t>应急广播平台以及其他平台，从而实现资源共享，提升资源利用效率，满足</w:t>
      </w:r>
      <w:r>
        <w:rPr>
          <w:rFonts w:hint="eastAsia" w:ascii="宋体" w:hAnsi="宋体" w:eastAsia="宋体" w:cs="宋体"/>
          <w:sz w:val="24"/>
          <w:szCs w:val="24"/>
          <w:lang w:eastAsia="zh-CN"/>
        </w:rPr>
        <w:t>BJ</w:t>
      </w:r>
      <w:r>
        <w:rPr>
          <w:rFonts w:hint="eastAsia" w:ascii="宋体" w:hAnsi="宋体" w:eastAsia="宋体" w:cs="宋体"/>
          <w:sz w:val="24"/>
          <w:szCs w:val="24"/>
        </w:rPr>
        <w:t>居民丰富多彩的文化需求。</w:t>
      </w:r>
    </w:p>
    <w:p>
      <w:pPr>
        <w:pStyle w:val="9"/>
        <w:bidi w:val="0"/>
        <w:ind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平台架构</w:t>
      </w:r>
      <w:r>
        <w:rPr>
          <w:rFonts w:hint="eastAsia" w:ascii="宋体" w:hAnsi="宋体" w:eastAsia="宋体" w:cs="宋体"/>
          <w:sz w:val="24"/>
          <w:szCs w:val="24"/>
          <w:lang w:val="en-US" w:eastAsia="zh-CN"/>
        </w:rPr>
        <w:t>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智慧广电公共服务管理平台架构见下图：</w:t>
      </w:r>
    </w:p>
    <w:p>
      <w:pPr>
        <w:ind w:left="0" w:leftChars="0" w:firstLine="480" w:firstLineChars="200"/>
        <w:rPr>
          <w:rFonts w:hint="eastAsia" w:ascii="楷体" w:hAnsi="楷体" w:eastAsia="楷体" w:cs="楷体"/>
        </w:rPr>
      </w:pPr>
      <w:r>
        <w:rPr>
          <w:rFonts w:hint="eastAsia" w:ascii="楷体" w:hAnsi="楷体" w:eastAsia="楷体" w:cs="楷体"/>
          <w:lang w:eastAsia="zh-CN"/>
        </w:rPr>
        <w:drawing>
          <wp:inline distT="0" distB="0" distL="114300" distR="114300">
            <wp:extent cx="5271770" cy="2720340"/>
            <wp:effectExtent l="0" t="0" r="5080" b="3810"/>
            <wp:docPr id="6" name="图片 6" descr="212056c7e784e06f717e00f9f939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12056c7e784e06f717e00f9f93903b"/>
                    <pic:cNvPicPr>
                      <a:picLocks noChangeAspect="1"/>
                    </pic:cNvPicPr>
                  </pic:nvPicPr>
                  <pic:blipFill>
                    <a:blip r:embed="rId16"/>
                    <a:stretch>
                      <a:fillRect/>
                    </a:stretch>
                  </pic:blipFill>
                  <pic:spPr>
                    <a:xfrm>
                      <a:off x="0" y="0"/>
                      <a:ext cx="5271770" cy="2720340"/>
                    </a:xfrm>
                    <a:prstGeom prst="rect">
                      <a:avLst/>
                    </a:prstGeom>
                    <a:noFill/>
                    <a:ln>
                      <a:noFill/>
                    </a:ln>
                  </pic:spPr>
                </pic:pic>
              </a:graphicData>
            </a:graphic>
          </wp:inline>
        </w:drawing>
      </w:r>
    </w:p>
    <w:p>
      <w:pPr>
        <w:ind w:firstLine="480" w:firstLineChars="200"/>
        <w:rPr>
          <w:rFonts w:hint="eastAsia" w:ascii="宋体" w:hAnsi="宋体" w:eastAsia="宋体" w:cs="宋体"/>
          <w:sz w:val="24"/>
          <w:szCs w:val="24"/>
        </w:rPr>
      </w:pPr>
      <w:r>
        <w:rPr>
          <w:rFonts w:hint="eastAsia" w:ascii="宋体" w:hAnsi="宋体" w:eastAsia="宋体" w:cs="宋体"/>
          <w:sz w:val="24"/>
          <w:szCs w:val="24"/>
          <w:highlight w:val="none"/>
          <w:lang w:eastAsia="zh-CN"/>
        </w:rPr>
        <w:t>▲察布查尔县</w:t>
      </w:r>
      <w:r>
        <w:rPr>
          <w:rFonts w:hint="eastAsia" w:ascii="宋体" w:hAnsi="宋体" w:eastAsia="宋体" w:cs="宋体"/>
          <w:sz w:val="24"/>
          <w:szCs w:val="24"/>
          <w:highlight w:val="none"/>
        </w:rPr>
        <w:t>智慧广电公共服务管理平台是基于广播电视有线传输网络的开放式业务</w:t>
      </w:r>
      <w:r>
        <w:rPr>
          <w:rFonts w:hint="eastAsia" w:ascii="宋体" w:hAnsi="宋体" w:eastAsia="宋体" w:cs="宋体"/>
          <w:sz w:val="24"/>
          <w:szCs w:val="24"/>
          <w:highlight w:val="none"/>
          <w:lang w:val="en-US" w:eastAsia="zh-CN"/>
        </w:rPr>
        <w:t>中国广电新疆网络中心云</w:t>
      </w:r>
      <w:r>
        <w:rPr>
          <w:rFonts w:hint="eastAsia" w:ascii="宋体" w:hAnsi="宋体" w:eastAsia="宋体" w:cs="宋体"/>
          <w:sz w:val="24"/>
          <w:szCs w:val="24"/>
          <w:highlight w:val="none"/>
        </w:rPr>
        <w:t>平台，</w:t>
      </w:r>
      <w:r>
        <w:rPr>
          <w:rFonts w:hint="eastAsia" w:ascii="宋体" w:hAnsi="宋体" w:eastAsia="宋体" w:cs="宋体"/>
          <w:sz w:val="24"/>
          <w:szCs w:val="24"/>
          <w:highlight w:val="none"/>
          <w:lang w:val="en-US" w:eastAsia="zh-CN"/>
        </w:rPr>
        <w:t>中心</w:t>
      </w:r>
      <w:r>
        <w:rPr>
          <w:rFonts w:hint="eastAsia" w:ascii="宋体" w:hAnsi="宋体" w:eastAsia="宋体" w:cs="宋体"/>
          <w:sz w:val="24"/>
          <w:szCs w:val="24"/>
          <w:highlight w:val="none"/>
        </w:rPr>
        <w:t>平台基于云计算三层架构,由基础设施层（IaaS 层）、平台层（PaaS 层）和业务层（SaaS 层）构成。</w:t>
      </w:r>
      <w:r>
        <w:rPr>
          <w:rFonts w:hint="eastAsia" w:ascii="宋体" w:hAnsi="宋体" w:eastAsia="宋体" w:cs="宋体"/>
          <w:sz w:val="24"/>
          <w:szCs w:val="24"/>
        </w:rPr>
        <w:t>符合 GY/T 352-2021《广播电视网络安全等级保护基本要求》和 GY/T 337-2020《广播电视网络安全等级保护定级指南》等标准规定的二级</w:t>
      </w:r>
      <w:r>
        <w:rPr>
          <w:rFonts w:hint="eastAsia" w:ascii="宋体" w:hAnsi="宋体" w:eastAsia="宋体" w:cs="宋体"/>
          <w:sz w:val="24"/>
          <w:szCs w:val="24"/>
          <w:lang w:val="en-US" w:eastAsia="zh-CN"/>
        </w:rPr>
        <w:t>以上</w:t>
      </w:r>
      <w:r>
        <w:rPr>
          <w:rFonts w:hint="eastAsia" w:ascii="宋体" w:hAnsi="宋体" w:eastAsia="宋体" w:cs="宋体"/>
          <w:sz w:val="24"/>
          <w:szCs w:val="24"/>
        </w:rPr>
        <w:t>等保要求。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次项目按照中国广电新疆网络中心云集中部署安全保护等级三级及本地部署边界防火墙的方式进行建设，全面构建网络、系统、平台的安全防护能力，建立主动高效的网络基础设施防护体系，提升重要数据资源和个人信息安全保护能力，在数据采集加工、交易分发、传输存储及数据治理等环节，加强文化数据安全保障。跟踪网络、系统的变化，及时调整安全措施，强化网络、系统的抗攻击能力，提升异常流量监控和快速处置能力。</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本项目安全系统建设总体目标是建立“可信、可控、可管”的等保三级合规安全防护体系，构建安全技术体系，确保通信网络、区域边界、计算环境安全，并构建安全管理体系和安全运维体系，确保各类业务服务能够在统一的安全管控下运行，确保所有业务接口与平台对接在体系可管可控的范围内进行，确保</w:t>
      </w:r>
      <w:r>
        <w:rPr>
          <w:rFonts w:hint="eastAsia" w:ascii="宋体" w:hAnsi="宋体" w:eastAsia="宋体" w:cs="宋体"/>
          <w:sz w:val="24"/>
          <w:szCs w:val="24"/>
          <w:lang w:val="en-US" w:eastAsia="zh-CN"/>
        </w:rPr>
        <w:t>察布查尔县县</w:t>
      </w:r>
      <w:r>
        <w:rPr>
          <w:rFonts w:hint="eastAsia" w:ascii="宋体" w:hAnsi="宋体" w:eastAsia="宋体" w:cs="宋体"/>
          <w:sz w:val="24"/>
          <w:szCs w:val="24"/>
        </w:rPr>
        <w:t>智慧广电固边工程平台、系统、网络、终端整体的安全可靠。</w:t>
      </w:r>
      <w:r>
        <w:rPr>
          <w:rFonts w:hint="eastAsia" w:ascii="宋体" w:hAnsi="宋体" w:eastAsia="宋体" w:cs="宋体"/>
          <w:sz w:val="24"/>
          <w:szCs w:val="24"/>
          <w:lang w:val="en-US" w:eastAsia="zh-CN"/>
        </w:rPr>
        <w:t xml:space="preserve"> </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广播电视安全播出应符合《广播电视安全播出管理规定》（国家广播电视总局令第 62 号）及其实施细则，密码应用应符合《中华人民共和国密码法》有关要求。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支撑广播电视服务、公共服务和融合服务三大业务场景。</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广播电视服务能够实现高清/超高清节目直播、地域性定制节目直播，实现节目点播、节目推荐、分类搜索、节目指南、热播排行、节目搜索、节目收藏、播放记录等功能，支持 H.264（H.265）/AAC 编码格式，支持不同种类终端，支持不少于 7*24 小时节目回看，支持暂停、快进快退、进度栏拖动、续播等功能，支持实现多终端之间的基于内容的跨屏互动、跨屏控制、跨屏续播、多屏协同观看等体验极佳的互动功能，支持视听新业态服务，支持网络视听新媒体节目播出。</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公共服务业务主要包括爱国主义和民族团结宣传教育、应急广播、党建新闻、公共信息发布和户外大屏宣传等，通过公共服务业务进一步加强</w:t>
      </w:r>
      <w:r>
        <w:rPr>
          <w:rFonts w:hint="eastAsia" w:ascii="宋体" w:hAnsi="宋体" w:eastAsia="宋体" w:cs="宋体"/>
          <w:sz w:val="24"/>
          <w:szCs w:val="24"/>
          <w:lang w:eastAsia="zh-CN"/>
        </w:rPr>
        <w:t>BJ</w:t>
      </w:r>
      <w:r>
        <w:rPr>
          <w:rFonts w:hint="eastAsia" w:ascii="宋体" w:hAnsi="宋体" w:eastAsia="宋体" w:cs="宋体"/>
          <w:sz w:val="24"/>
          <w:szCs w:val="24"/>
        </w:rPr>
        <w:t>地区公共文化服务体系建设，强化</w:t>
      </w:r>
      <w:r>
        <w:rPr>
          <w:rFonts w:hint="eastAsia" w:ascii="宋体" w:hAnsi="宋体" w:eastAsia="宋体" w:cs="宋体"/>
          <w:sz w:val="24"/>
          <w:szCs w:val="24"/>
          <w:lang w:eastAsia="zh-CN"/>
        </w:rPr>
        <w:t>BJ</w:t>
      </w:r>
      <w:r>
        <w:rPr>
          <w:rFonts w:hint="eastAsia" w:ascii="宋体" w:hAnsi="宋体" w:eastAsia="宋体" w:cs="宋体"/>
          <w:sz w:val="24"/>
          <w:szCs w:val="24"/>
        </w:rPr>
        <w:t>地区宣传文化阵地建设与管控</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融合服务业务主要包括智慧政务、乡村振兴等，通过融合服务业务基于广电网络的覆盖能力、云计算能力、公共信息资源整合能力，为政府、企业及居民等各类用户提供智慧融合服务支撑等。</w:t>
      </w:r>
    </w:p>
    <w:p>
      <w:pPr>
        <w:pStyle w:val="9"/>
        <w:numPr>
          <w:ilvl w:val="4"/>
          <w:numId w:val="0"/>
        </w:numPr>
        <w:ind w:left="1008" w:leftChars="0"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1.1.1</w:t>
      </w:r>
      <w:r>
        <w:rPr>
          <w:rFonts w:hint="eastAsia" w:ascii="宋体" w:hAnsi="宋体" w:eastAsia="宋体" w:cs="宋体"/>
          <w:sz w:val="24"/>
          <w:szCs w:val="24"/>
        </w:rPr>
        <w:t>云服务功能</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（1）云服务系统架构</w:t>
      </w:r>
    </w:p>
    <w:p>
      <w:pPr>
        <w:ind w:firstLine="480" w:firstLineChars="200"/>
        <w:jc w:val="center"/>
        <w:rPr>
          <w:rFonts w:hint="eastAsia" w:ascii="楷体" w:hAnsi="楷体" w:eastAsia="楷体" w:cs="楷体"/>
        </w:rPr>
      </w:pPr>
      <w:r>
        <w:rPr>
          <w:rFonts w:hint="eastAsia" w:ascii="宋体" w:hAnsi="宋体" w:eastAsia="宋体" w:cs="宋体"/>
          <w:sz w:val="24"/>
          <w:szCs w:val="24"/>
        </w:rPr>
        <w:t>采用云计算虚拟化技术来构建本县的智慧广电公共服务管理平台 ，云服务系统架构采用双融合架构，后期可根据信创相关要求进行演进，云服务系统通过对服务器、存储、交换机等资源进行整合，实现计算、存储、网络的虚拟化管理</w:t>
      </w:r>
      <w:r>
        <w:rPr>
          <w:rFonts w:hint="eastAsia" w:ascii="宋体" w:hAnsi="宋体" w:eastAsia="宋体" w:cs="宋体"/>
          <w:sz w:val="24"/>
          <w:szCs w:val="24"/>
          <w:lang w:eastAsia="zh-CN"/>
        </w:rPr>
        <w:t>。</w:t>
      </w:r>
      <w:r>
        <w:rPr>
          <w:rFonts w:hint="eastAsia" w:ascii="楷体" w:hAnsi="楷体" w:eastAsia="楷体" w:cs="楷体"/>
          <w:sz w:val="24"/>
          <w:szCs w:val="24"/>
        </w:rPr>
        <w:drawing>
          <wp:inline distT="0" distB="0" distL="114300" distR="114300">
            <wp:extent cx="5273040" cy="4188460"/>
            <wp:effectExtent l="0" t="0" r="381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5273040" cy="4188460"/>
                    </a:xfrm>
                    <a:prstGeom prst="rect">
                      <a:avLst/>
                    </a:prstGeom>
                    <a:noFill/>
                    <a:ln>
                      <a:noFill/>
                    </a:ln>
                  </pic:spPr>
                </pic:pic>
              </a:graphicData>
            </a:graphic>
          </wp:inline>
        </w:drawing>
      </w:r>
    </w:p>
    <w:p>
      <w:pPr>
        <w:pStyle w:val="9"/>
        <w:numPr>
          <w:ilvl w:val="4"/>
          <w:numId w:val="0"/>
        </w:numPr>
        <w:ind w:left="1008" w:leftChars="0"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1.1.2</w:t>
      </w:r>
      <w:r>
        <w:rPr>
          <w:rFonts w:hint="eastAsia" w:ascii="宋体" w:hAnsi="宋体" w:eastAsia="宋体" w:cs="宋体"/>
          <w:sz w:val="24"/>
          <w:szCs w:val="24"/>
        </w:rPr>
        <w:t>运维管理</w:t>
      </w:r>
      <w:r>
        <w:rPr>
          <w:rFonts w:hint="eastAsia" w:ascii="宋体" w:hAnsi="宋体" w:eastAsia="宋体" w:cs="宋体"/>
          <w:sz w:val="24"/>
          <w:szCs w:val="24"/>
          <w:lang w:val="en-US" w:eastAsia="zh-CN"/>
        </w:rPr>
        <w:t>功能</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运维管理系统依托</w:t>
      </w:r>
      <w:r>
        <w:rPr>
          <w:rFonts w:hint="eastAsia" w:ascii="宋体" w:hAnsi="宋体" w:eastAsia="宋体" w:cs="宋体"/>
          <w:sz w:val="24"/>
          <w:szCs w:val="24"/>
          <w:lang w:val="en-US" w:eastAsia="zh-CN"/>
        </w:rPr>
        <w:t>中国广电新疆网络中心云</w:t>
      </w:r>
      <w:r>
        <w:rPr>
          <w:rFonts w:hint="eastAsia" w:ascii="宋体" w:hAnsi="宋体" w:eastAsia="宋体" w:cs="宋体"/>
          <w:sz w:val="24"/>
          <w:szCs w:val="24"/>
        </w:rPr>
        <w:t>平台以及云服务系统的运维基础服务，基于全面、精细的数据采集能力，实现本平台资源全面的监控，通过自动化数据采集能力，进行统一的 IT 基础信息配置管理。运维管理对象包括服务器、存储、网络、数据库、中间件、应用、业务系统等</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系统通过数据采集、记录、统计分析、图形化展示实现预先主动维护和报警，通过自动任务执行自我修复，达到智能运维的要求。</w:t>
      </w:r>
    </w:p>
    <w:p>
      <w:pPr>
        <w:ind w:firstLine="512" w:firstLineChars="200"/>
        <w:rPr>
          <w:rFonts w:hint="eastAsia" w:ascii="宋体" w:hAnsi="宋体" w:eastAsia="宋体" w:cs="宋体"/>
          <w:sz w:val="24"/>
          <w:szCs w:val="24"/>
        </w:rPr>
      </w:pPr>
      <w:r>
        <w:rPr>
          <w:rFonts w:hint="eastAsia" w:ascii="宋体" w:hAnsi="宋体" w:eastAsia="宋体" w:cs="宋体"/>
          <w:spacing w:val="8"/>
          <w:sz w:val="24"/>
          <w:szCs w:val="24"/>
        </w:rPr>
        <w:t>运维管理系统包含管理服务器和采集监测服务器，可通过云服务系统虚拟来实现，按照最小量部署原则，共需4台虚拟机，单台虚拟机配置要求(8vCPU 32GB内存1TB存储）。</w:t>
      </w:r>
    </w:p>
    <w:p>
      <w:pPr>
        <w:pStyle w:val="8"/>
        <w:numPr>
          <w:ilvl w:val="3"/>
          <w:numId w:val="0"/>
        </w:numPr>
        <w:tabs>
          <w:tab w:val="left" w:pos="1134"/>
          <w:tab w:val="clear" w:pos="1575"/>
        </w:tabs>
        <w:ind w:left="864" w:leftChars="0"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eastAsia" w:ascii="宋体" w:hAnsi="宋体" w:eastAsia="宋体" w:cs="宋体"/>
          <w:sz w:val="24"/>
          <w:szCs w:val="24"/>
        </w:rPr>
        <w:t>业务</w:t>
      </w:r>
      <w:r>
        <w:rPr>
          <w:rFonts w:hint="eastAsia" w:ascii="宋体" w:hAnsi="宋体" w:eastAsia="宋体" w:cs="宋体"/>
          <w:sz w:val="24"/>
          <w:szCs w:val="24"/>
          <w:lang w:val="en-US" w:eastAsia="zh-CN"/>
        </w:rPr>
        <w:t>应用要求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智慧广电公共服务管理平台，强化高清/超高清等视频内容平台和分发渠道建设，实现高清、互动节目播出，实现广播电视业务的提质升级，并构建县级高清/超高清节目传输系统和互动业务系统，实现双重能力支撑；利用现有业务、应用能力，在县级构建业务运营管理能力、统一门户展现能力以及监测监管能力，加强</w:t>
      </w:r>
      <w:r>
        <w:rPr>
          <w:rFonts w:hint="eastAsia" w:ascii="宋体" w:hAnsi="宋体" w:eastAsia="宋体" w:cs="宋体"/>
          <w:sz w:val="24"/>
          <w:szCs w:val="24"/>
          <w:lang w:eastAsia="zh-CN"/>
        </w:rPr>
        <w:t>察布查尔县</w:t>
      </w:r>
      <w:r>
        <w:rPr>
          <w:rFonts w:hint="eastAsia" w:ascii="宋体" w:hAnsi="宋体" w:eastAsia="宋体" w:cs="宋体"/>
          <w:sz w:val="24"/>
          <w:szCs w:val="24"/>
        </w:rPr>
        <w:t>广播电视公共服务和融合业务的供给，支撑实现融合类服务和公共服务类服务在</w:t>
      </w:r>
      <w:r>
        <w:rPr>
          <w:rFonts w:hint="eastAsia" w:ascii="宋体" w:hAnsi="宋体" w:eastAsia="宋体" w:cs="宋体"/>
          <w:sz w:val="24"/>
          <w:szCs w:val="24"/>
          <w:lang w:eastAsia="zh-CN"/>
        </w:rPr>
        <w:t>BJ</w:t>
      </w:r>
      <w:r>
        <w:rPr>
          <w:rFonts w:hint="eastAsia" w:ascii="宋体" w:hAnsi="宋体" w:eastAsia="宋体" w:cs="宋体"/>
          <w:sz w:val="24"/>
          <w:szCs w:val="24"/>
        </w:rPr>
        <w:t>地区大范围推广部署。</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业务系统方案的规划与设计符合《高效音视频编码 第1部分：视频》（GY/T 299.1-2016）《高清晰度电视节目制作和交换用图像参数值》（GY/T 307-2017）《高动态范围电视节目制作和交换图像参数值》（GY/T 315-2018）《用于节目制作的先进声音系统》（GY/T 316-2018）《4K 超高清电视端到端技术应用实施指南（2018）》《4K 超高清电视节目制作技术实施指南（2020 版）》《广播电视人工智能应用白皮书（2018）》《广播电视行业应用大数据技术白皮书（2018）》的相关技术要求。</w:t>
      </w:r>
    </w:p>
    <w:p>
      <w:pPr>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此次建设的公共服务管理平台需提供以下业务</w:t>
      </w:r>
      <w:r>
        <w:rPr>
          <w:rFonts w:hint="eastAsia" w:ascii="宋体" w:hAnsi="宋体" w:eastAsia="宋体" w:cs="宋体"/>
          <w:sz w:val="24"/>
          <w:szCs w:val="24"/>
          <w:highlight w:val="none"/>
        </w:rPr>
        <w:t>：</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60"/>
        <w:gridCol w:w="2976"/>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21"/>
              </w:rPr>
            </w:pPr>
            <w:r>
              <w:rPr>
                <w:rFonts w:hint="eastAsia" w:ascii="楷体" w:hAnsi="楷体" w:eastAsia="楷体" w:cs="楷体"/>
                <w:b/>
                <w:bCs/>
                <w:sz w:val="21"/>
              </w:rPr>
              <w:t>序号</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21"/>
              </w:rPr>
            </w:pPr>
            <w:r>
              <w:rPr>
                <w:rFonts w:hint="eastAsia" w:ascii="楷体" w:hAnsi="楷体" w:eastAsia="楷体" w:cs="楷体"/>
                <w:b/>
                <w:bCs/>
                <w:sz w:val="21"/>
              </w:rPr>
              <w:t>业务属性</w:t>
            </w: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21"/>
              </w:rPr>
            </w:pPr>
            <w:r>
              <w:rPr>
                <w:rFonts w:hint="eastAsia" w:ascii="楷体" w:hAnsi="楷体" w:eastAsia="楷体" w:cs="楷体"/>
                <w:b/>
                <w:bCs/>
                <w:sz w:val="21"/>
              </w:rPr>
              <w:t>业务类别</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21"/>
              </w:rPr>
            </w:pPr>
            <w:r>
              <w:rPr>
                <w:rFonts w:hint="eastAsia" w:ascii="楷体" w:hAnsi="楷体" w:eastAsia="楷体" w:cs="楷体"/>
                <w:b/>
                <w:bCs/>
                <w:sz w:val="21"/>
              </w:rPr>
              <w:t>业务名称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1</w:t>
            </w:r>
          </w:p>
        </w:tc>
        <w:tc>
          <w:tcPr>
            <w:tcW w:w="1560" w:type="dxa"/>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统一业务</w:t>
            </w: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广播电视服务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高清/超清直播业务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2</w:t>
            </w: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公共服务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应急信息发布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3</w:t>
            </w: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融合服务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智慧社区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4</w:t>
            </w:r>
          </w:p>
        </w:tc>
        <w:tc>
          <w:tcPr>
            <w:tcW w:w="1560" w:type="dxa"/>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特色业务</w:t>
            </w: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广播电视服务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天山云TV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5</w:t>
            </w: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eastAsia="楷体" w:cs="楷体"/>
                <w:sz w:val="21"/>
              </w:rPr>
            </w:pP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广播电视服务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highlight w:val="none"/>
              </w:rPr>
              <w:t>Eynek 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7</w:t>
            </w: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eastAsia="楷体" w:cs="楷体"/>
                <w:sz w:val="21"/>
              </w:rPr>
            </w:pP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广播电视服务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highlight w:val="none"/>
                <w:lang w:val="en-US" w:eastAsia="zh-CN"/>
              </w:rPr>
            </w:pPr>
            <w:r>
              <w:rPr>
                <w:rFonts w:hint="eastAsia" w:ascii="楷体" w:hAnsi="楷体" w:eastAsia="楷体" w:cs="楷体"/>
                <w:sz w:val="21"/>
                <w:highlight w:val="none"/>
                <w:lang w:val="en-US" w:eastAsia="zh-CN"/>
              </w:rPr>
              <w:t>强国TV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8</w:t>
            </w: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eastAsia="楷体" w:cs="楷体"/>
                <w:sz w:val="21"/>
              </w:rPr>
            </w:pP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公共服务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 w:hAnsi="楷体" w:eastAsia="楷体" w:cs="楷体"/>
                <w:sz w:val="21"/>
                <w:lang w:val="en-US" w:eastAsia="zh-CN"/>
              </w:rPr>
            </w:pPr>
            <w:r>
              <w:rPr>
                <w:rFonts w:hint="eastAsia" w:ascii="楷体" w:hAnsi="楷体" w:cs="楷体"/>
                <w:sz w:val="21"/>
                <w:lang w:val="en-US" w:eastAsia="zh-CN"/>
              </w:rPr>
              <w:t>“二十大”专区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9</w:t>
            </w: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eastAsia="楷体" w:cs="楷体"/>
                <w:sz w:val="21"/>
              </w:rPr>
            </w:pP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公共服务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lang w:val="en-US" w:eastAsia="zh-CN"/>
              </w:rPr>
            </w:pPr>
            <w:r>
              <w:rPr>
                <w:rFonts w:hint="eastAsia" w:ascii="楷体" w:hAnsi="楷体" w:eastAsia="楷体" w:cs="楷体"/>
                <w:sz w:val="21"/>
                <w:lang w:val="en-US" w:eastAsia="zh-CN"/>
              </w:rPr>
              <w:t>雪亮工程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10</w:t>
            </w: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eastAsia="楷体" w:cs="楷体"/>
                <w:sz w:val="21"/>
              </w:rPr>
            </w:pP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公共服务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highlight w:val="none"/>
                <w:lang w:val="en-US" w:eastAsia="zh-CN"/>
              </w:rPr>
            </w:pPr>
            <w:r>
              <w:rPr>
                <w:rFonts w:hint="eastAsia" w:ascii="楷体" w:hAnsi="楷体" w:eastAsia="楷体" w:cs="楷体"/>
                <w:sz w:val="21"/>
                <w:highlight w:val="none"/>
                <w:lang w:val="en-US" w:eastAsia="zh-CN"/>
              </w:rPr>
              <w:t>科普馆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1"/>
              </w:rPr>
            </w:pPr>
            <w:r>
              <w:rPr>
                <w:rFonts w:hint="eastAsia" w:ascii="楷体" w:hAnsi="楷体" w:eastAsia="楷体" w:cs="楷体"/>
                <w:sz w:val="21"/>
              </w:rPr>
              <w:t>11</w:t>
            </w:r>
          </w:p>
        </w:tc>
        <w:tc>
          <w:tcPr>
            <w:tcW w:w="1560"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楷体" w:hAnsi="楷体" w:eastAsia="楷体" w:cs="楷体"/>
                <w:sz w:val="21"/>
              </w:rPr>
            </w:pPr>
          </w:p>
        </w:tc>
        <w:tc>
          <w:tcPr>
            <w:tcW w:w="297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kern w:val="2"/>
                <w:sz w:val="21"/>
                <w:szCs w:val="21"/>
                <w:lang w:val="en-US" w:eastAsia="zh-CN" w:bidi="ar-SA"/>
              </w:rPr>
            </w:pPr>
            <w:r>
              <w:rPr>
                <w:rFonts w:hint="eastAsia" w:ascii="楷体" w:hAnsi="楷体" w:eastAsia="楷体" w:cs="楷体"/>
                <w:sz w:val="21"/>
              </w:rPr>
              <w:t>融合服务</w:t>
            </w:r>
          </w:p>
        </w:tc>
        <w:tc>
          <w:tcPr>
            <w:tcW w:w="407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kern w:val="2"/>
                <w:sz w:val="21"/>
                <w:szCs w:val="21"/>
                <w:highlight w:val="none"/>
                <w:lang w:val="en-US" w:eastAsia="zh-CN" w:bidi="ar-SA"/>
              </w:rPr>
            </w:pPr>
            <w:r>
              <w:rPr>
                <w:rFonts w:hint="eastAsia" w:ascii="楷体" w:hAnsi="楷体" w:eastAsia="楷体" w:cs="楷体"/>
                <w:sz w:val="21"/>
                <w:highlight w:val="none"/>
                <w:lang w:val="en-US" w:eastAsia="zh-CN"/>
              </w:rPr>
              <w:t>电视院线</w:t>
            </w:r>
          </w:p>
        </w:tc>
      </w:tr>
    </w:tbl>
    <w:p>
      <w:pPr>
        <w:pStyle w:val="9"/>
        <w:numPr>
          <w:ilvl w:val="4"/>
          <w:numId w:val="0"/>
        </w:numPr>
        <w:spacing w:before="240" w:beforeLines="100"/>
        <w:ind w:firstLine="482" w:firstLineChars="200"/>
        <w:rPr>
          <w:rFonts w:hint="eastAsia" w:ascii="宋体" w:hAnsi="宋体" w:eastAsia="宋体" w:cs="宋体"/>
          <w:sz w:val="24"/>
          <w:szCs w:val="24"/>
        </w:rPr>
      </w:pPr>
      <w:r>
        <w:rPr>
          <w:rFonts w:hint="eastAsia" w:ascii="宋体" w:hAnsi="宋体" w:eastAsia="宋体" w:cs="宋体"/>
          <w:sz w:val="24"/>
          <w:szCs w:val="24"/>
        </w:rPr>
        <w:t>广播电视服务</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智慧广电公共服务管理平台通过高清/超高清节目的落地与传播分发来满足</w:t>
      </w:r>
      <w:r>
        <w:rPr>
          <w:rFonts w:hint="eastAsia" w:ascii="宋体" w:hAnsi="宋体" w:eastAsia="宋体" w:cs="宋体"/>
          <w:sz w:val="24"/>
          <w:szCs w:val="24"/>
          <w:lang w:eastAsia="zh-CN"/>
        </w:rPr>
        <w:t>察布查尔县</w:t>
      </w:r>
      <w:r>
        <w:rPr>
          <w:rFonts w:hint="eastAsia" w:ascii="宋体" w:hAnsi="宋体" w:eastAsia="宋体" w:cs="宋体"/>
          <w:sz w:val="24"/>
          <w:szCs w:val="24"/>
        </w:rPr>
        <w:t>用户收看直播节目的需求，本平台支持节目点播、节目推荐、分类搜索、多屏互动以及时移回看等功能。同时本平台还具备支持视听新业态服务以及网络视听新媒体节目播出运营等能力</w:t>
      </w:r>
      <w:r>
        <w:rPr>
          <w:rFonts w:hint="eastAsia" w:ascii="宋体" w:hAnsi="宋体" w:eastAsia="宋体" w:cs="宋体"/>
          <w:sz w:val="24"/>
          <w:szCs w:val="24"/>
          <w:lang w:eastAsia="zh-CN"/>
        </w:rPr>
        <w:t>，</w:t>
      </w:r>
      <w:r>
        <w:rPr>
          <w:rFonts w:hint="eastAsia" w:ascii="宋体" w:hAnsi="宋体" w:eastAsia="宋体" w:cs="宋体"/>
          <w:sz w:val="24"/>
          <w:szCs w:val="24"/>
          <w:highlight w:val="none"/>
          <w:lang w:val="en-US" w:eastAsia="zh-CN"/>
        </w:rPr>
        <w:t>提供本地广播电视节目的收看</w:t>
      </w:r>
      <w:r>
        <w:rPr>
          <w:rFonts w:hint="eastAsia" w:ascii="宋体" w:hAnsi="宋体" w:eastAsia="宋体" w:cs="宋体"/>
          <w:sz w:val="24"/>
          <w:szCs w:val="24"/>
        </w:rPr>
        <w:t>。</w:t>
      </w:r>
    </w:p>
    <w:p>
      <w:pPr>
        <w:numPr>
          <w:ilvl w:val="0"/>
          <w:numId w:val="28"/>
        </w:numPr>
        <w:tabs>
          <w:tab w:val="left" w:pos="851"/>
        </w:tabs>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高清/超高清直播业务</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依托中国广电新疆公司提供的直播平台，通过</w:t>
      </w:r>
      <w:r>
        <w:rPr>
          <w:rFonts w:hint="eastAsia" w:ascii="宋体" w:hAnsi="宋体" w:eastAsia="宋体" w:cs="宋体"/>
          <w:sz w:val="24"/>
          <w:szCs w:val="24"/>
          <w:lang w:eastAsia="zh-CN"/>
        </w:rPr>
        <w:t>察布查尔县</w:t>
      </w:r>
      <w:r>
        <w:rPr>
          <w:rFonts w:hint="eastAsia" w:ascii="宋体" w:hAnsi="宋体" w:eastAsia="宋体" w:cs="宋体"/>
          <w:sz w:val="24"/>
          <w:szCs w:val="24"/>
        </w:rPr>
        <w:t>智慧广电公共服务管理平台实现业务落地与转发，涵盖215个电视频道，包括122路标清、91路高清、2路4K超高清以及18路广播节目，从而为</w:t>
      </w:r>
      <w:r>
        <w:rPr>
          <w:rFonts w:hint="eastAsia" w:ascii="宋体" w:hAnsi="宋体" w:eastAsia="宋体" w:cs="宋体"/>
          <w:sz w:val="24"/>
          <w:szCs w:val="24"/>
          <w:lang w:eastAsia="zh-CN"/>
        </w:rPr>
        <w:t>BJ</w:t>
      </w:r>
      <w:r>
        <w:rPr>
          <w:rFonts w:hint="eastAsia" w:ascii="宋体" w:hAnsi="宋体" w:eastAsia="宋体" w:cs="宋体"/>
          <w:sz w:val="24"/>
          <w:szCs w:val="24"/>
        </w:rPr>
        <w:t>用户带来更高端、更优质、更便捷的视听服务。</w:t>
      </w:r>
    </w:p>
    <w:p>
      <w:pPr>
        <w:numPr>
          <w:ilvl w:val="0"/>
          <w:numId w:val="28"/>
        </w:numPr>
        <w:tabs>
          <w:tab w:val="left" w:pos="851"/>
        </w:tabs>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天山云TV</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对接省网天山云TV，提供海量视频点播资源，本平台目前在线168707.8小时底量内容，汉语140969小时、民语27738.8小时(维+哈），同时为了更加丰富平台点播资源，满足用户对电视剧、电影、综艺、纪录、游戏、教育、体育等多元化需求，上线各种类型共计650余个热点专题、20个热点专栏。</w:t>
      </w:r>
    </w:p>
    <w:p>
      <w:pPr>
        <w:numPr>
          <w:ilvl w:val="0"/>
          <w:numId w:val="28"/>
        </w:numPr>
        <w:tabs>
          <w:tab w:val="left" w:pos="851"/>
        </w:tabs>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Eynek TV</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Eynek TV整合了海量维吾尔语内容资源，</w:t>
      </w:r>
      <w:r>
        <w:rPr>
          <w:rFonts w:hint="eastAsia" w:ascii="宋体" w:hAnsi="宋体" w:eastAsia="宋体" w:cs="宋体"/>
          <w:sz w:val="24"/>
          <w:szCs w:val="24"/>
          <w:lang w:eastAsia="zh-CN"/>
        </w:rPr>
        <w:t>包含</w:t>
      </w:r>
      <w:r>
        <w:rPr>
          <w:rFonts w:hint="eastAsia" w:ascii="宋体" w:hAnsi="宋体" w:eastAsia="宋体" w:cs="宋体"/>
          <w:sz w:val="24"/>
          <w:szCs w:val="24"/>
        </w:rPr>
        <w:t>电影、电视剧、综艺、动漫、新闻、学国家通用语言、纪录片、科普在内的25000小时点播内容。具体包括，电影子栏目模块、电视剧子栏目模块、少儿子栏目模块、电视院线子栏目模块、新闻子栏目模块、维语看吧模块、科普新疆子栏目模块等。</w:t>
      </w:r>
    </w:p>
    <w:p>
      <w:pPr>
        <w:numPr>
          <w:ilvl w:val="0"/>
          <w:numId w:val="28"/>
        </w:numPr>
        <w:tabs>
          <w:tab w:val="left" w:pos="851"/>
        </w:tabs>
        <w:ind w:left="0"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BawarsakTV：</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作为全疆唯一的哈萨克语电视端产品，为用户提供优秀的哈萨克语资源，包含近5000小时的内容量。具体包括如下模块：哈语看吧、电视院线、电影、电视剧、少儿、新闻、Balbala(亲多多民语品牌）等。</w:t>
      </w:r>
    </w:p>
    <w:p>
      <w:pPr>
        <w:pStyle w:val="9"/>
        <w:numPr>
          <w:ilvl w:val="4"/>
          <w:numId w:val="0"/>
        </w:numPr>
        <w:ind w:firstLine="482" w:firstLineChars="200"/>
        <w:rPr>
          <w:rFonts w:hint="eastAsia" w:ascii="宋体" w:hAnsi="宋体" w:eastAsia="宋体" w:cs="宋体"/>
          <w:sz w:val="24"/>
          <w:szCs w:val="24"/>
        </w:rPr>
      </w:pPr>
      <w:r>
        <w:rPr>
          <w:rFonts w:hint="eastAsia" w:ascii="宋体" w:hAnsi="宋体" w:eastAsia="宋体" w:cs="宋体"/>
          <w:sz w:val="24"/>
          <w:szCs w:val="24"/>
        </w:rPr>
        <w:t>公共服务</w:t>
      </w:r>
    </w:p>
    <w:p>
      <w:pPr>
        <w:ind w:firstLine="504" w:firstLineChars="200"/>
        <w:rPr>
          <w:rFonts w:hint="eastAsia" w:ascii="宋体" w:hAnsi="宋体" w:eastAsia="宋体" w:cs="宋体"/>
          <w:sz w:val="24"/>
          <w:szCs w:val="24"/>
          <w:lang w:eastAsia="zh-CN"/>
        </w:rPr>
      </w:pPr>
      <w:r>
        <w:rPr>
          <w:rFonts w:hint="eastAsia" w:ascii="宋体" w:hAnsi="宋体" w:eastAsia="宋体" w:cs="宋体"/>
          <w:spacing w:val="6"/>
          <w:sz w:val="24"/>
          <w:szCs w:val="24"/>
        </w:rPr>
        <w:t>强化宣传文化阵地建设与管控，树立正确的国家观</w:t>
      </w:r>
      <w:r>
        <w:rPr>
          <w:rFonts w:hint="eastAsia" w:ascii="宋体" w:hAnsi="宋体" w:eastAsia="宋体" w:cs="宋体"/>
          <w:spacing w:val="1"/>
          <w:sz w:val="24"/>
          <w:szCs w:val="24"/>
        </w:rPr>
        <w:t>、</w:t>
      </w:r>
      <w:r>
        <w:rPr>
          <w:rFonts w:hint="eastAsia" w:ascii="宋体" w:hAnsi="宋体" w:eastAsia="宋体" w:cs="宋体"/>
          <w:spacing w:val="8"/>
          <w:sz w:val="24"/>
          <w:szCs w:val="24"/>
        </w:rPr>
        <w:t>民族观</w:t>
      </w:r>
      <w:r>
        <w:rPr>
          <w:rFonts w:hint="eastAsia" w:ascii="宋体" w:hAnsi="宋体" w:eastAsia="宋体" w:cs="宋体"/>
          <w:spacing w:val="5"/>
          <w:sz w:val="24"/>
          <w:szCs w:val="24"/>
        </w:rPr>
        <w:t>、</w:t>
      </w:r>
      <w:r>
        <w:rPr>
          <w:rFonts w:hint="eastAsia" w:ascii="宋体" w:hAnsi="宋体" w:eastAsia="宋体" w:cs="宋体"/>
          <w:spacing w:val="4"/>
          <w:sz w:val="24"/>
          <w:szCs w:val="24"/>
        </w:rPr>
        <w:t>宗教观、历史观、文化观，加强面向困难群体的公共数字</w:t>
      </w:r>
      <w:r>
        <w:rPr>
          <w:rFonts w:hint="eastAsia" w:ascii="宋体" w:hAnsi="宋体" w:eastAsia="宋体" w:cs="宋体"/>
          <w:spacing w:val="-4"/>
          <w:sz w:val="24"/>
          <w:szCs w:val="24"/>
        </w:rPr>
        <w:t>文化服务水平</w:t>
      </w:r>
      <w:r>
        <w:rPr>
          <w:rFonts w:hint="eastAsia" w:ascii="宋体" w:hAnsi="宋体" w:eastAsia="宋体" w:cs="宋体"/>
          <w:spacing w:val="-4"/>
          <w:sz w:val="24"/>
          <w:szCs w:val="24"/>
          <w:lang w:eastAsia="zh-CN"/>
        </w:rPr>
        <w:t>。</w:t>
      </w:r>
    </w:p>
    <w:p>
      <w:pPr>
        <w:pStyle w:val="108"/>
        <w:numPr>
          <w:ilvl w:val="0"/>
          <w:numId w:val="29"/>
        </w:numPr>
        <w:tabs>
          <w:tab w:val="left" w:pos="851"/>
        </w:tabs>
        <w:adjustRightInd/>
        <w:spacing w:line="360" w:lineRule="auto"/>
        <w:ind w:left="0" w:firstLine="384" w:firstLineChars="200"/>
        <w:rPr>
          <w:rFonts w:hint="eastAsia" w:ascii="宋体" w:hAnsi="宋体" w:eastAsia="宋体" w:cs="宋体"/>
          <w:sz w:val="24"/>
          <w:szCs w:val="24"/>
        </w:rPr>
      </w:pPr>
      <w:r>
        <w:rPr>
          <w:rFonts w:hint="eastAsia" w:ascii="宋体" w:hAnsi="宋体" w:eastAsia="宋体" w:cs="宋体"/>
          <w:sz w:val="24"/>
          <w:szCs w:val="24"/>
        </w:rPr>
        <w:t>应急信息发布</w:t>
      </w:r>
    </w:p>
    <w:p>
      <w:pPr>
        <w:ind w:firstLine="504" w:firstLineChars="200"/>
        <w:rPr>
          <w:rFonts w:hint="eastAsia" w:ascii="宋体" w:hAnsi="宋体" w:eastAsia="宋体" w:cs="宋体"/>
          <w:sz w:val="24"/>
          <w:szCs w:val="24"/>
        </w:rPr>
      </w:pPr>
      <w:r>
        <w:rPr>
          <w:rFonts w:hint="eastAsia" w:ascii="宋体" w:hAnsi="宋体" w:eastAsia="宋体" w:cs="宋体"/>
          <w:spacing w:val="6"/>
          <w:sz w:val="24"/>
          <w:szCs w:val="24"/>
        </w:rPr>
        <w:t>应急广播是指当发生重大自然灾害、突发事件、公共卫生与社会安全等突发公共危机时，提供一种迅速快捷的讯息传输通道。本平台与应急广播云平台进行对接，通过本平台可以提供符合当地要求的应急信息发布服务，其中包括，通过电子地图展示区域内的应急广播分布情况以及统计区域内应急广播使用次数等。</w:t>
      </w:r>
    </w:p>
    <w:p>
      <w:pPr>
        <w:pStyle w:val="108"/>
        <w:numPr>
          <w:ilvl w:val="0"/>
          <w:numId w:val="29"/>
        </w:numPr>
        <w:tabs>
          <w:tab w:val="left" w:pos="851"/>
        </w:tabs>
        <w:adjustRightInd/>
        <w:spacing w:line="360" w:lineRule="auto"/>
        <w:ind w:firstLine="384" w:firstLineChars="200"/>
        <w:rPr>
          <w:rFonts w:hint="eastAsia" w:ascii="宋体" w:hAnsi="宋体" w:eastAsia="宋体" w:cs="宋体"/>
          <w:sz w:val="24"/>
          <w:szCs w:val="24"/>
        </w:rPr>
      </w:pPr>
      <w:r>
        <w:rPr>
          <w:rFonts w:hint="eastAsia" w:ascii="宋体" w:hAnsi="宋体" w:eastAsia="宋体" w:cs="宋体"/>
          <w:sz w:val="24"/>
          <w:szCs w:val="24"/>
        </w:rPr>
        <w:t>科普新疆</w:t>
      </w:r>
    </w:p>
    <w:p>
      <w:pPr>
        <w:ind w:firstLine="504" w:firstLineChars="200"/>
        <w:rPr>
          <w:rFonts w:hint="eastAsia" w:ascii="宋体" w:hAnsi="宋体" w:eastAsia="宋体" w:cs="宋体"/>
          <w:sz w:val="24"/>
          <w:szCs w:val="24"/>
        </w:rPr>
      </w:pPr>
      <w:r>
        <w:rPr>
          <w:rFonts w:hint="eastAsia" w:ascii="宋体" w:hAnsi="宋体" w:eastAsia="宋体" w:cs="宋体"/>
          <w:spacing w:val="6"/>
          <w:sz w:val="24"/>
          <w:szCs w:val="24"/>
        </w:rPr>
        <w:t>本业务通过平台为用户提供科普节目，服务新疆科学普及，提升科普知识的传播力，满足大众对科普视频内容的需求，有效提升“科普中国”的示范性和影响力。具体包括生命健康、身边科普、科技前沿、农业技术、科学辟谣和应急避险六个板块内容。</w:t>
      </w:r>
    </w:p>
    <w:p>
      <w:pPr>
        <w:pStyle w:val="108"/>
        <w:numPr>
          <w:ilvl w:val="0"/>
          <w:numId w:val="29"/>
        </w:numPr>
        <w:tabs>
          <w:tab w:val="left" w:pos="851"/>
        </w:tabs>
        <w:adjustRightInd/>
        <w:spacing w:line="360" w:lineRule="auto"/>
        <w:ind w:left="0" w:firstLine="384" w:firstLineChars="200"/>
        <w:rPr>
          <w:rFonts w:hint="eastAsia" w:ascii="宋体" w:hAnsi="宋体" w:eastAsia="宋体" w:cs="宋体"/>
          <w:sz w:val="24"/>
          <w:szCs w:val="24"/>
        </w:rPr>
      </w:pPr>
      <w:r>
        <w:rPr>
          <w:rFonts w:hint="eastAsia" w:ascii="宋体" w:hAnsi="宋体" w:eastAsia="宋体" w:cs="宋体"/>
          <w:sz w:val="24"/>
          <w:szCs w:val="24"/>
        </w:rPr>
        <w:t>新疆图书馆</w:t>
      </w:r>
    </w:p>
    <w:p>
      <w:pPr>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业务与自治区图书馆深入合作，在平台引入“新疆图书馆”专区的内容。专区分为汉语、维吾尔语以及哈萨克语，具体包含：人与城、新疆味道、传承篇、访惠聚、生态篇、丝路传奇、梦想篇、口述历史、党史和脱贫攻坚故事十大板块。</w:t>
      </w:r>
    </w:p>
    <w:p>
      <w:pPr>
        <w:pStyle w:val="108"/>
        <w:numPr>
          <w:ilvl w:val="0"/>
          <w:numId w:val="29"/>
        </w:numPr>
        <w:tabs>
          <w:tab w:val="left" w:pos="851"/>
        </w:tabs>
        <w:adjustRightInd/>
        <w:spacing w:line="360" w:lineRule="auto"/>
        <w:ind w:firstLine="384" w:firstLineChars="200"/>
        <w:rPr>
          <w:rFonts w:hint="eastAsia" w:ascii="宋体" w:hAnsi="宋体" w:eastAsia="宋体" w:cs="宋体"/>
          <w:sz w:val="24"/>
          <w:szCs w:val="24"/>
        </w:rPr>
      </w:pPr>
      <w:r>
        <w:rPr>
          <w:rFonts w:hint="eastAsia" w:ascii="宋体" w:hAnsi="宋体" w:eastAsia="宋体" w:cs="宋体"/>
          <w:sz w:val="24"/>
          <w:szCs w:val="24"/>
        </w:rPr>
        <w:t>学国家通用语言</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业务为推广普及国家通用语言文字，促进各民族交往交流交融而建设，内容涵盖国家通用语言教学视频，适合于各阶段学习国家通用语言文字的用户，通过生词、课文、语法等方面的教学，快速提升学习者国家通用语言能力。</w:t>
      </w:r>
    </w:p>
    <w:p>
      <w:pPr>
        <w:pStyle w:val="9"/>
        <w:numPr>
          <w:ilvl w:val="4"/>
          <w:numId w:val="0"/>
        </w:numPr>
        <w:ind w:left="1008" w:leftChars="0" w:firstLine="482" w:firstLineChars="200"/>
        <w:rPr>
          <w:rFonts w:hint="eastAsia" w:ascii="宋体" w:hAnsi="宋体" w:eastAsia="宋体" w:cs="宋体"/>
          <w:sz w:val="24"/>
          <w:szCs w:val="24"/>
        </w:rPr>
      </w:pPr>
      <w:r>
        <w:rPr>
          <w:rFonts w:hint="eastAsia" w:ascii="宋体" w:hAnsi="宋体" w:eastAsia="宋体" w:cs="宋体"/>
          <w:sz w:val="24"/>
          <w:szCs w:val="24"/>
        </w:rPr>
        <w:t>融合服务</w:t>
      </w:r>
    </w:p>
    <w:p>
      <w:pPr>
        <w:ind w:firstLine="504" w:firstLineChars="200"/>
        <w:rPr>
          <w:rFonts w:hint="eastAsia" w:ascii="宋体" w:hAnsi="宋体" w:eastAsia="宋体" w:cs="宋体"/>
          <w:sz w:val="24"/>
          <w:szCs w:val="24"/>
        </w:rPr>
      </w:pPr>
      <w:r>
        <w:rPr>
          <w:rFonts w:hint="eastAsia" w:ascii="宋体" w:hAnsi="宋体" w:eastAsia="宋体" w:cs="宋体"/>
          <w:spacing w:val="6"/>
          <w:sz w:val="24"/>
          <w:szCs w:val="24"/>
        </w:rPr>
        <w:t>基于</w:t>
      </w:r>
      <w:r>
        <w:rPr>
          <w:rFonts w:hint="eastAsia" w:ascii="宋体" w:hAnsi="宋体" w:eastAsia="宋体" w:cs="宋体"/>
          <w:spacing w:val="6"/>
          <w:sz w:val="24"/>
          <w:szCs w:val="24"/>
          <w:lang w:eastAsia="zh-CN"/>
        </w:rPr>
        <w:t>察布查尔县</w:t>
      </w:r>
      <w:r>
        <w:rPr>
          <w:rFonts w:hint="eastAsia" w:ascii="宋体" w:hAnsi="宋体" w:eastAsia="宋体" w:cs="宋体"/>
          <w:spacing w:val="6"/>
          <w:sz w:val="24"/>
          <w:szCs w:val="24"/>
        </w:rPr>
        <w:t>广电网络的覆盖能力、云计算能力、公共信息资源整合能力，为政府、企业及居民等各类用户提供智慧融合服务支撑，如智慧社区、文广学堂、梨园行、幸福健身团等。</w:t>
      </w:r>
    </w:p>
    <w:p>
      <w:pPr>
        <w:pStyle w:val="108"/>
        <w:numPr>
          <w:ilvl w:val="0"/>
          <w:numId w:val="30"/>
        </w:numPr>
        <w:tabs>
          <w:tab w:val="left" w:pos="851"/>
        </w:tabs>
        <w:adjustRightInd/>
        <w:spacing w:line="360" w:lineRule="auto"/>
        <w:ind w:left="0" w:firstLine="384" w:firstLineChars="200"/>
        <w:rPr>
          <w:rFonts w:hint="eastAsia" w:ascii="宋体" w:hAnsi="宋体" w:eastAsia="宋体" w:cs="宋体"/>
          <w:sz w:val="24"/>
          <w:szCs w:val="24"/>
        </w:rPr>
      </w:pPr>
      <w:r>
        <w:rPr>
          <w:rFonts w:hint="eastAsia" w:ascii="宋体" w:hAnsi="宋体" w:eastAsia="宋体" w:cs="宋体"/>
          <w:sz w:val="24"/>
          <w:szCs w:val="24"/>
        </w:rPr>
        <w:t>智慧社区</w:t>
      </w:r>
    </w:p>
    <w:p>
      <w:pPr>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依托有线电视网络，提供社区基础体系建设，根据社区实际工作制定一系列公众服务体系，实现辖区居民足不出户即可了解最新社区通知与相关动态，同时可视化数据系统，可实时监控辖区居民、商户变动情况，等相关数据的可视化管理，进一步提高社区工作效率。</w:t>
      </w:r>
    </w:p>
    <w:p>
      <w:pPr>
        <w:pStyle w:val="108"/>
        <w:numPr>
          <w:ilvl w:val="0"/>
          <w:numId w:val="30"/>
        </w:numPr>
        <w:tabs>
          <w:tab w:val="left" w:pos="851"/>
        </w:tabs>
        <w:adjustRightInd/>
        <w:spacing w:line="360" w:lineRule="auto"/>
        <w:ind w:firstLine="384" w:firstLineChars="200"/>
        <w:rPr>
          <w:rFonts w:hint="eastAsia" w:ascii="宋体" w:hAnsi="宋体" w:eastAsia="宋体" w:cs="宋体"/>
          <w:sz w:val="24"/>
          <w:szCs w:val="24"/>
        </w:rPr>
      </w:pPr>
      <w:r>
        <w:rPr>
          <w:rFonts w:hint="eastAsia" w:ascii="宋体" w:hAnsi="宋体" w:eastAsia="宋体" w:cs="宋体"/>
          <w:sz w:val="24"/>
          <w:szCs w:val="24"/>
        </w:rPr>
        <w:t>梨园行</w:t>
      </w:r>
    </w:p>
    <w:p>
      <w:pPr>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业务以老年人用户特性为设计原则，结合戏曲资源的属性，致力于让传统戏曲文化与大屏媒介深度融合，打造中国最大的戏曲平台。业务平台涵盖中原地方戏曲(豫剧、河南琴书、河南坠子等京剧、黄梅戏、越调、越剧等等国内流行戏曲剧种，产品栏目包含:大戏台，推荐，豫剧，京剧，黄梅戏，越剧，粤剧，戏曲大全，名家大腕。</w:t>
      </w:r>
    </w:p>
    <w:p>
      <w:pPr>
        <w:pStyle w:val="108"/>
        <w:numPr>
          <w:ilvl w:val="0"/>
          <w:numId w:val="30"/>
        </w:numPr>
        <w:tabs>
          <w:tab w:val="left" w:pos="851"/>
        </w:tabs>
        <w:adjustRightInd/>
        <w:spacing w:line="360" w:lineRule="auto"/>
        <w:ind w:left="0" w:firstLine="384" w:firstLineChars="200"/>
        <w:rPr>
          <w:rFonts w:hint="eastAsia" w:ascii="宋体" w:hAnsi="宋体" w:eastAsia="宋体" w:cs="宋体"/>
          <w:sz w:val="24"/>
          <w:szCs w:val="24"/>
        </w:rPr>
      </w:pPr>
      <w:r>
        <w:rPr>
          <w:rFonts w:hint="eastAsia" w:ascii="宋体" w:hAnsi="宋体" w:eastAsia="宋体" w:cs="宋体"/>
          <w:sz w:val="24"/>
          <w:szCs w:val="24"/>
        </w:rPr>
        <w:t>幸福健身团</w:t>
      </w:r>
    </w:p>
    <w:p>
      <w:pPr>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业务是以运动为主线，为大众提供减肥、塑身、养生、广场舞、美食等海量热播健康类视频内容，同时还提供的定制化健身服务，通过卡路里消耗实时提醒和积分排名激励用户坚持运动，以引领家庭成员幸福健康生活，其中包括，推荐，瑜伽，健身，广场舞等。</w:t>
      </w:r>
    </w:p>
    <w:p>
      <w:pPr>
        <w:pStyle w:val="108"/>
        <w:numPr>
          <w:ilvl w:val="0"/>
          <w:numId w:val="30"/>
        </w:numPr>
        <w:tabs>
          <w:tab w:val="left" w:pos="851"/>
        </w:tabs>
        <w:adjustRightInd/>
        <w:spacing w:line="360" w:lineRule="auto"/>
        <w:ind w:left="0" w:firstLine="384" w:firstLineChars="200"/>
        <w:rPr>
          <w:rFonts w:hint="eastAsia" w:ascii="宋体" w:hAnsi="宋体" w:eastAsia="宋体" w:cs="宋体"/>
          <w:sz w:val="24"/>
          <w:szCs w:val="24"/>
        </w:rPr>
      </w:pPr>
      <w:r>
        <w:rPr>
          <w:rFonts w:hint="eastAsia" w:ascii="宋体" w:hAnsi="宋体" w:eastAsia="宋体" w:cs="宋体"/>
          <w:sz w:val="24"/>
          <w:szCs w:val="24"/>
        </w:rPr>
        <w:t>乡村振兴</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充分发挥广播电视网络视听行业优势，加强乡村振兴宣传、聚焦乡村振兴题材作品传播，服务察县乡村振兴发展，推动信息技术与教育、医疗、文旅、农牧业、乡村治理等相关行业深度融合。</w:t>
      </w:r>
    </w:p>
    <w:p>
      <w:pPr>
        <w:pStyle w:val="18"/>
        <w:numPr>
          <w:ilvl w:val="0"/>
          <w:numId w:val="31"/>
        </w:numPr>
        <w:ind w:leftChars="0"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主题宣传</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宣传习近平总书记关于实施乡村振兴战略的重要论述，传达解读党中央、国务院关于乡村振兴战略决策部署，做好巩固拓展脱贫攻坚成果和全面实施乡村振兴战略宣传。</w:t>
      </w:r>
    </w:p>
    <w:p>
      <w:pPr>
        <w:pStyle w:val="18"/>
        <w:numPr>
          <w:ilvl w:val="0"/>
          <w:numId w:val="31"/>
        </w:numPr>
        <w:ind w:leftChars="0"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乡村思想文化阵地</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宣传</w:t>
      </w:r>
      <w:r>
        <w:rPr>
          <w:rFonts w:hint="eastAsia" w:ascii="宋体" w:hAnsi="宋体" w:eastAsia="宋体" w:cs="宋体"/>
          <w:sz w:val="24"/>
          <w:szCs w:val="24"/>
          <w:highlight w:val="none"/>
        </w:rPr>
        <w:t>科学健康的生活方式，普及科学知识，推进移风易俗，破除陈规陋习，提倡传统美德，促进男女平等。多形式、多层次、多维度展示农民精神新风貌，展现乡村文明新气象，守卫农村思想文化阵地，守护群众精神家园</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推进新时代文明实践建设。</w:t>
      </w:r>
    </w:p>
    <w:p>
      <w:pPr>
        <w:pStyle w:val="18"/>
        <w:numPr>
          <w:ilvl w:val="0"/>
          <w:numId w:val="31"/>
        </w:numPr>
        <w:ind w:leftChars="0"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乡村振兴故事</w:t>
      </w:r>
    </w:p>
    <w:p>
      <w:pPr>
        <w:ind w:firstLine="480" w:firstLineChars="200"/>
        <w:rPr>
          <w:rFonts w:hint="eastAsia" w:ascii="宋体" w:hAnsi="宋体" w:eastAsia="宋体" w:cs="宋体"/>
          <w:spacing w:val="6"/>
          <w:sz w:val="24"/>
          <w:szCs w:val="24"/>
          <w:highlight w:val="none"/>
        </w:rPr>
      </w:pPr>
      <w:r>
        <w:rPr>
          <w:rFonts w:hint="eastAsia" w:ascii="宋体" w:hAnsi="宋体" w:eastAsia="宋体" w:cs="宋体"/>
          <w:sz w:val="24"/>
          <w:szCs w:val="24"/>
          <w:highlight w:val="none"/>
        </w:rPr>
        <w:t>广泛宣传中国脱贫攻坚和全面建成小康社会取得的伟大历史性成就，广泛宣传中国为人类减贫事业作出的历史性贡献，广泛</w:t>
      </w:r>
      <w:r>
        <w:rPr>
          <w:rFonts w:hint="eastAsia" w:ascii="宋体" w:hAnsi="宋体" w:eastAsia="宋体" w:cs="宋体"/>
          <w:sz w:val="24"/>
          <w:szCs w:val="24"/>
          <w:highlight w:val="none"/>
          <w:lang w:val="en-US" w:eastAsia="zh-CN"/>
        </w:rPr>
        <w:t>宣传</w:t>
      </w:r>
      <w:r>
        <w:rPr>
          <w:rFonts w:hint="eastAsia" w:ascii="宋体" w:hAnsi="宋体" w:eastAsia="宋体" w:cs="宋体"/>
          <w:sz w:val="24"/>
          <w:szCs w:val="24"/>
          <w:highlight w:val="none"/>
        </w:rPr>
        <w:t>中国乡村振兴战略和广阔愿景，推动察县乡村振兴对外宣传工作</w:t>
      </w:r>
      <w:r>
        <w:rPr>
          <w:rFonts w:hint="eastAsia" w:ascii="宋体" w:hAnsi="宋体" w:eastAsia="宋体" w:cs="宋体"/>
          <w:spacing w:val="6"/>
          <w:sz w:val="24"/>
          <w:szCs w:val="24"/>
          <w:highlight w:val="none"/>
        </w:rPr>
        <w:t>。</w:t>
      </w:r>
    </w:p>
    <w:p>
      <w:pPr>
        <w:pStyle w:val="9"/>
        <w:numPr>
          <w:ilvl w:val="4"/>
          <w:numId w:val="0"/>
        </w:numPr>
        <w:ind w:left="1008" w:leftChars="0" w:firstLine="482" w:firstLineChars="200"/>
        <w:rPr>
          <w:rFonts w:hint="eastAsia" w:ascii="宋体" w:hAnsi="宋体" w:eastAsia="宋体" w:cs="宋体"/>
          <w:sz w:val="24"/>
          <w:szCs w:val="24"/>
        </w:rPr>
      </w:pPr>
      <w:r>
        <w:rPr>
          <w:rFonts w:hint="eastAsia" w:ascii="宋体" w:hAnsi="宋体" w:eastAsia="宋体" w:cs="宋体"/>
          <w:sz w:val="24"/>
          <w:szCs w:val="24"/>
        </w:rPr>
        <w:t>全媒体功能</w:t>
      </w:r>
    </w:p>
    <w:p>
      <w:pPr>
        <w:ind w:firstLine="480" w:firstLineChars="200"/>
        <w:rPr>
          <w:rFonts w:hint="eastAsia" w:ascii="宋体" w:hAnsi="宋体" w:eastAsia="宋体" w:cs="宋体"/>
          <w:color w:val="FF0000"/>
          <w:sz w:val="24"/>
          <w:szCs w:val="24"/>
          <w:lang w:eastAsia="zh-CN"/>
        </w:rPr>
      </w:pPr>
      <w:r>
        <w:rPr>
          <w:rFonts w:hint="eastAsia" w:ascii="宋体" w:hAnsi="宋体" w:eastAsia="宋体" w:cs="宋体"/>
          <w:sz w:val="24"/>
          <w:szCs w:val="24"/>
        </w:rPr>
        <w:t>全媒体系统提供基础的媒体内容管理功能，支持直播、点播、时移、回看等多种业务类型。媒体内容管理能力包括直播频道分类管理、直播频道信息管理、EPG 信息管理、频道投放管理、频道排序管理、节目搜索、节目推荐、历史观看记录、点播媒资库管理、点播节目包管理、点播栏目管理、栏目数据发布等能力</w:t>
      </w:r>
      <w:r>
        <w:rPr>
          <w:rFonts w:hint="eastAsia" w:ascii="宋体" w:hAnsi="宋体" w:eastAsia="宋体" w:cs="宋体"/>
          <w:sz w:val="24"/>
          <w:szCs w:val="24"/>
          <w:lang w:eastAsia="zh-CN"/>
        </w:rPr>
        <w:t>。</w:t>
      </w:r>
    </w:p>
    <w:p>
      <w:pPr>
        <w:ind w:firstLine="512" w:firstLineChars="200"/>
        <w:rPr>
          <w:rFonts w:hint="eastAsia" w:ascii="宋体" w:hAnsi="宋体" w:eastAsia="宋体" w:cs="宋体"/>
          <w:sz w:val="24"/>
          <w:szCs w:val="24"/>
        </w:rPr>
      </w:pPr>
      <w:r>
        <w:rPr>
          <w:rFonts w:hint="eastAsia" w:ascii="宋体" w:hAnsi="宋体" w:eastAsia="宋体" w:cs="宋体"/>
          <w:spacing w:val="8"/>
          <w:sz w:val="24"/>
          <w:szCs w:val="24"/>
        </w:rPr>
        <w:t>全媒体系统包含后台媒体服务器和数据库服务器，可通过云服务系统虚拟实现。按照最小量部署原则，共需4台虚拟机，单台虚拟机配置要求(8vCPU 32GB内存2TB存储）。</w:t>
      </w:r>
    </w:p>
    <w:p>
      <w:pPr>
        <w:pStyle w:val="9"/>
        <w:numPr>
          <w:ilvl w:val="4"/>
          <w:numId w:val="0"/>
        </w:numPr>
        <w:ind w:left="1008" w:leftChars="0"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rPr>
        <w:t>业务运营管理</w:t>
      </w:r>
      <w:r>
        <w:rPr>
          <w:rFonts w:hint="eastAsia" w:ascii="宋体" w:hAnsi="宋体" w:eastAsia="宋体" w:cs="宋体"/>
          <w:sz w:val="24"/>
          <w:szCs w:val="24"/>
          <w:lang w:val="en-US" w:eastAsia="zh-CN"/>
        </w:rPr>
        <w:t>功能</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业务运营管理系统提供业务的新建、上线、下线、删除等全生命周期管理，通过业务和内容的分类标识支撑业务，以及提供面向各类用户、合作伙伴的管理功能，包括用户管理、产品管理等功能。</w:t>
      </w:r>
    </w:p>
    <w:p>
      <w:pPr>
        <w:ind w:firstLine="512" w:firstLineChars="200"/>
        <w:rPr>
          <w:rFonts w:hint="eastAsia" w:ascii="宋体" w:hAnsi="宋体" w:eastAsia="宋体" w:cs="宋体"/>
          <w:spacing w:val="8"/>
          <w:sz w:val="24"/>
          <w:szCs w:val="24"/>
        </w:rPr>
      </w:pPr>
      <w:r>
        <w:rPr>
          <w:rFonts w:hint="eastAsia" w:ascii="宋体" w:hAnsi="宋体" w:eastAsia="宋体" w:cs="宋体"/>
          <w:spacing w:val="8"/>
          <w:sz w:val="24"/>
          <w:szCs w:val="24"/>
        </w:rPr>
        <w:t>业务运营管理系统包含后台业务服务器和数据库服务器，可通过云服务系统虚拟实现，数据库服务器可复用全媒体系统的服务器，按照最小量部署原则，共需2台虚拟机，单台虚拟机配置要求(8vCPU 32GB内存2TB存储）。</w:t>
      </w:r>
    </w:p>
    <w:p>
      <w:pPr>
        <w:pStyle w:val="9"/>
        <w:numPr>
          <w:ilvl w:val="4"/>
          <w:numId w:val="0"/>
        </w:numPr>
        <w:ind w:firstLine="482" w:firstLineChars="200"/>
        <w:rPr>
          <w:rFonts w:hint="eastAsia" w:ascii="宋体" w:hAnsi="宋体" w:eastAsia="宋体" w:cs="宋体"/>
          <w:sz w:val="24"/>
          <w:szCs w:val="24"/>
        </w:rPr>
      </w:pPr>
      <w:r>
        <w:rPr>
          <w:rFonts w:hint="eastAsia" w:ascii="宋体" w:hAnsi="宋体" w:eastAsia="宋体" w:cs="宋体"/>
          <w:sz w:val="24"/>
          <w:szCs w:val="24"/>
        </w:rPr>
        <w:t>统一门户展现功能</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统一门户展现系统具备面向机顶盒、个人电脑、智能终端、移动终端等各类终端，提供统一门户服务及业务定制化展现。统一门户不仅可以面向不同终端设备提供媒体业务导航、资讯信息获取、业务交互操作等基本服务能力，还能够满足统一接入的需求，具备页面灵活定制、多屏融合展示等创新融合服务能力</w:t>
      </w:r>
      <w:r>
        <w:rPr>
          <w:rFonts w:hint="eastAsia" w:ascii="宋体" w:hAnsi="宋体" w:eastAsia="宋体" w:cs="宋体"/>
          <w:sz w:val="24"/>
          <w:szCs w:val="24"/>
          <w:lang w:eastAsia="zh-CN"/>
        </w:rPr>
        <w:t>。</w:t>
      </w:r>
    </w:p>
    <w:p>
      <w:pPr>
        <w:ind w:firstLine="512" w:firstLineChars="200"/>
        <w:rPr>
          <w:rFonts w:hint="eastAsia" w:ascii="宋体" w:hAnsi="宋体" w:eastAsia="宋体" w:cs="宋体"/>
          <w:spacing w:val="8"/>
          <w:sz w:val="24"/>
          <w:szCs w:val="24"/>
        </w:rPr>
      </w:pPr>
      <w:r>
        <w:rPr>
          <w:rFonts w:hint="eastAsia" w:ascii="宋体" w:hAnsi="宋体" w:eastAsia="宋体" w:cs="宋体"/>
          <w:spacing w:val="8"/>
          <w:sz w:val="24"/>
          <w:szCs w:val="24"/>
        </w:rPr>
        <w:t>统一门户展现系统包含后台WEB服务器和数据库服务器，可通过云服务系统虚拟来实现，按照最小量部署原则，共需4台虚拟机，单台虚拟机配置要求(8vCPU 32GB内存2TB存储）。</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可以实现可视化管理、一县一策、一校一屏。</w:t>
      </w:r>
    </w:p>
    <w:p>
      <w:pPr>
        <w:pStyle w:val="9"/>
        <w:numPr>
          <w:ilvl w:val="4"/>
          <w:numId w:val="0"/>
        </w:numPr>
        <w:ind w:left="1008" w:leftChars="0" w:firstLine="482" w:firstLineChars="200"/>
        <w:rPr>
          <w:rFonts w:hint="eastAsia" w:ascii="宋体" w:hAnsi="宋体" w:eastAsia="宋体" w:cs="宋体"/>
          <w:sz w:val="24"/>
          <w:szCs w:val="24"/>
        </w:rPr>
      </w:pPr>
      <w:r>
        <w:rPr>
          <w:rFonts w:hint="eastAsia" w:ascii="宋体" w:hAnsi="宋体" w:eastAsia="宋体" w:cs="宋体"/>
          <w:sz w:val="24"/>
          <w:szCs w:val="24"/>
        </w:rPr>
        <w:t>内容汇聚分发功能</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内容汇聚分发系统提供对平台内容的全生命周期管理功能，包括内容汇聚、内容管理和内容分发等服务。平台通过海量云存储实现新媒体、传统媒体、自媒体、互联网媒体等媒体汇聚，实现高新视频、移动短视频、直播电视等内容汇聚；平台实现对视音频内容的编目、存储和管理，对元数据进行统一管理，支持对元数据进行审核、修改、删除、分类等后续操作，具备对各终端、网站展示的内容进行导航设置和编排的能力；平台实现智能媒体内容聚合与适配能力，通过系统配置为不同网络传输要求构造业务路径，可以支持有线、无线、卫星的不同网络分发，通过使用编解码、转码、封装等多种适配手段与媒体版本、媒体格式的匹配，实现融合媒体内容跨网、跨终端的分发。内容汇聚分发系统要求主要包含直播节目的录制，直播录制节目和点播节目的存储及网络接入等</w:t>
      </w:r>
      <w:r>
        <w:rPr>
          <w:rFonts w:hint="eastAsia" w:ascii="宋体" w:hAnsi="宋体" w:eastAsia="宋体" w:cs="宋体"/>
          <w:sz w:val="24"/>
          <w:szCs w:val="24"/>
          <w:lang w:eastAsia="zh-CN"/>
        </w:rPr>
        <w:t>。</w:t>
      </w:r>
    </w:p>
    <w:p>
      <w:pPr>
        <w:ind w:firstLine="512" w:firstLineChars="200"/>
        <w:rPr>
          <w:rFonts w:hint="eastAsia" w:ascii="宋体" w:hAnsi="宋体" w:eastAsia="宋体" w:cs="宋体"/>
          <w:spacing w:val="8"/>
          <w:sz w:val="24"/>
          <w:szCs w:val="24"/>
        </w:rPr>
      </w:pPr>
      <w:r>
        <w:rPr>
          <w:rFonts w:hint="eastAsia" w:ascii="宋体" w:hAnsi="宋体" w:eastAsia="宋体" w:cs="宋体"/>
          <w:spacing w:val="8"/>
          <w:sz w:val="24"/>
          <w:szCs w:val="24"/>
        </w:rPr>
        <w:t>内容汇聚分发系统，可通过云服务系统虚拟实现，按照最小量部署原则，共需6台虚拟机，单台虚拟机配置要求(16vCPU 32GB内存5TB存储）。</w:t>
      </w:r>
    </w:p>
    <w:p>
      <w:pPr>
        <w:pStyle w:val="9"/>
        <w:numPr>
          <w:ilvl w:val="4"/>
          <w:numId w:val="0"/>
        </w:numPr>
        <w:ind w:left="1008" w:leftChars="0" w:firstLine="482" w:firstLineChars="200"/>
        <w:rPr>
          <w:rFonts w:hint="eastAsia" w:ascii="宋体" w:hAnsi="宋体" w:eastAsia="宋体" w:cs="宋体"/>
          <w:sz w:val="24"/>
          <w:szCs w:val="24"/>
        </w:rPr>
      </w:pPr>
      <w:r>
        <w:rPr>
          <w:rFonts w:hint="eastAsia" w:ascii="宋体" w:hAnsi="宋体" w:eastAsia="宋体" w:cs="宋体"/>
          <w:sz w:val="24"/>
          <w:szCs w:val="24"/>
        </w:rPr>
        <w:t>监测监管功能</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察布查尔县</w:t>
      </w:r>
      <w:r>
        <w:rPr>
          <w:rFonts w:hint="eastAsia" w:ascii="宋体" w:hAnsi="宋体" w:eastAsia="宋体" w:cs="宋体"/>
          <w:sz w:val="24"/>
          <w:szCs w:val="24"/>
        </w:rPr>
        <w:t>智慧广电公共服务管理平台监测监管系统主要是作为县级监测点，对接总监测监管平台，对调频广播、中波广播、地面数字电视以及有线数字电视，进行技术指标监测、节目播出质量监测和安全播出情况监测等，所有监测数据在本系统完成采集、异态报警和存储等处理。本系统采用 CPCI 架构模块化进行设计，可与总监测监管平台进行无缝对接，可以对采集数据实时显示、审核和处理，通过项目建设，有助于加强节目传输安全性一体化监管，确保辖区内广播电视节目的播出质量、效果，实时掌握技术异态的监测信息</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监测监管系统包含监测监管业务处理设备和监测监管采集设备其中监测监管业务处理设备可通过云服务系统虚拟来实现，按照最小量部署原则，共需 2 台虚拟机，单台虚拟机配置要求 (16VCPU64GB 内存 2TB 存储) : 监测管理后台服务器，具体要求: 机架式设备，嵌入式架构，同时支持多种信号采集，带宽:不低于 1000M，硬盘:不少于 40T。</w:t>
      </w:r>
    </w:p>
    <w:p>
      <w:pPr>
        <w:pStyle w:val="7"/>
        <w:numPr>
          <w:ilvl w:val="2"/>
          <w:numId w:val="0"/>
        </w:numPr>
        <w:ind w:left="720" w:leftChars="0" w:firstLine="482" w:firstLineChars="200"/>
        <w:rPr>
          <w:rFonts w:hint="eastAsia" w:ascii="宋体" w:hAnsi="宋体" w:eastAsia="宋体" w:cs="宋体"/>
          <w:sz w:val="24"/>
          <w:szCs w:val="24"/>
          <w:lang w:val="en-US" w:eastAsia="zh-CN"/>
        </w:rPr>
      </w:pPr>
      <w:bookmarkStart w:id="559" w:name="_Toc10343"/>
      <w:r>
        <w:rPr>
          <w:rFonts w:hint="eastAsia" w:ascii="宋体" w:hAnsi="宋体" w:eastAsia="宋体" w:cs="宋体"/>
          <w:sz w:val="24"/>
          <w:szCs w:val="24"/>
          <w:lang w:val="en-US" w:eastAsia="zh-CN"/>
        </w:rPr>
        <w:t>2.</w:t>
      </w:r>
      <w:r>
        <w:rPr>
          <w:rFonts w:hint="eastAsia" w:ascii="宋体" w:hAnsi="宋体" w:eastAsia="宋体" w:cs="宋体"/>
          <w:sz w:val="24"/>
          <w:szCs w:val="24"/>
        </w:rPr>
        <w:t>专用文化信息服务平台建设</w:t>
      </w:r>
      <w:bookmarkEnd w:id="559"/>
      <w:r>
        <w:rPr>
          <w:rFonts w:hint="eastAsia" w:ascii="宋体" w:hAnsi="宋体" w:eastAsia="宋体" w:cs="宋体"/>
          <w:sz w:val="24"/>
          <w:szCs w:val="24"/>
          <w:lang w:val="en-US" w:eastAsia="zh-CN"/>
        </w:rPr>
        <w:t>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察布查尔县</w:t>
      </w:r>
      <w:r>
        <w:rPr>
          <w:rFonts w:hint="eastAsia" w:ascii="宋体" w:hAnsi="宋体" w:eastAsia="宋体" w:cs="宋体"/>
          <w:sz w:val="24"/>
          <w:szCs w:val="24"/>
        </w:rPr>
        <w:t>专用文化信息服务平台，充分共享利用公共服务管理平台能力，作为边缘</w:t>
      </w:r>
      <w:r>
        <w:rPr>
          <w:rFonts w:hint="eastAsia" w:ascii="宋体" w:hAnsi="宋体" w:eastAsia="宋体" w:cs="宋体"/>
          <w:sz w:val="24"/>
          <w:szCs w:val="24"/>
          <w:lang w:val="en-US" w:eastAsia="zh-CN"/>
        </w:rPr>
        <w:t>节点</w:t>
      </w:r>
      <w:r>
        <w:rPr>
          <w:rFonts w:hint="eastAsia" w:ascii="宋体" w:hAnsi="宋体" w:eastAsia="宋体" w:cs="宋体"/>
          <w:sz w:val="24"/>
          <w:szCs w:val="24"/>
        </w:rPr>
        <w:t>与</w:t>
      </w:r>
      <w:r>
        <w:rPr>
          <w:rFonts w:hint="eastAsia" w:ascii="宋体" w:hAnsi="宋体" w:eastAsia="宋体" w:cs="宋体"/>
          <w:sz w:val="24"/>
          <w:szCs w:val="24"/>
          <w:lang w:val="en-US" w:eastAsia="zh-CN"/>
        </w:rPr>
        <w:t>中国广电新疆网络中心</w:t>
      </w:r>
      <w:r>
        <w:rPr>
          <w:rFonts w:hint="eastAsia" w:ascii="宋体" w:hAnsi="宋体" w:eastAsia="宋体" w:cs="宋体"/>
          <w:sz w:val="24"/>
          <w:szCs w:val="24"/>
        </w:rPr>
        <w:t>云平台的对接。同时本平台利用外部接口方式实现与</w:t>
      </w:r>
      <w:r>
        <w:rPr>
          <w:rFonts w:hint="eastAsia" w:ascii="宋体" w:hAnsi="宋体" w:eastAsia="宋体" w:cs="宋体"/>
          <w:sz w:val="24"/>
          <w:szCs w:val="24"/>
          <w:lang w:eastAsia="zh-CN"/>
        </w:rPr>
        <w:t>DZJJ</w:t>
      </w:r>
      <w:r>
        <w:rPr>
          <w:rFonts w:hint="eastAsia" w:ascii="宋体" w:hAnsi="宋体" w:eastAsia="宋体" w:cs="宋体"/>
          <w:sz w:val="24"/>
          <w:szCs w:val="24"/>
        </w:rPr>
        <w:t>平台、县级融媒体平台、应急广播平台、监测监管系统平台以及其他平台对接，面向</w:t>
      </w:r>
      <w:r>
        <w:rPr>
          <w:rFonts w:hint="eastAsia" w:ascii="宋体" w:hAnsi="宋体" w:eastAsia="宋体" w:cs="宋体"/>
          <w:sz w:val="24"/>
          <w:szCs w:val="24"/>
          <w:lang w:eastAsia="zh-CN"/>
        </w:rPr>
        <w:t>DZJJ</w:t>
      </w:r>
      <w:r>
        <w:rPr>
          <w:rFonts w:hint="eastAsia" w:ascii="宋体" w:hAnsi="宋体" w:eastAsia="宋体" w:cs="宋体"/>
          <w:sz w:val="24"/>
          <w:szCs w:val="24"/>
        </w:rPr>
        <w:t>提供平台化服务和网络传输服务，实现数据汇聚、交换等功能，协助各部门维护</w:t>
      </w:r>
      <w:r>
        <w:rPr>
          <w:rFonts w:hint="eastAsia" w:ascii="宋体" w:hAnsi="宋体" w:eastAsia="宋体" w:cs="宋体"/>
          <w:sz w:val="24"/>
          <w:szCs w:val="24"/>
          <w:lang w:val="en-US" w:eastAsia="zh-CN"/>
        </w:rPr>
        <w:t>BJ</w:t>
      </w:r>
      <w:r>
        <w:rPr>
          <w:rFonts w:hint="eastAsia" w:ascii="宋体" w:hAnsi="宋体" w:eastAsia="宋体" w:cs="宋体"/>
          <w:sz w:val="24"/>
          <w:szCs w:val="24"/>
        </w:rPr>
        <w:t>地区安全</w:t>
      </w:r>
      <w:r>
        <w:rPr>
          <w:rFonts w:hint="eastAsia" w:ascii="宋体" w:hAnsi="宋体" w:eastAsia="宋体" w:cs="宋体"/>
          <w:sz w:val="24"/>
          <w:szCs w:val="24"/>
          <w:lang w:val="en-US" w:eastAsia="zh-CN"/>
        </w:rPr>
        <w:t>wen</w:t>
      </w:r>
      <w:r>
        <w:rPr>
          <w:rFonts w:hint="eastAsia" w:ascii="宋体" w:hAnsi="宋体" w:eastAsia="宋体" w:cs="宋体"/>
          <w:sz w:val="24"/>
          <w:szCs w:val="24"/>
        </w:rPr>
        <w:t>定。</w:t>
      </w:r>
    </w:p>
    <w:p>
      <w:pPr>
        <w:pStyle w:val="8"/>
        <w:numPr>
          <w:ilvl w:val="3"/>
          <w:numId w:val="0"/>
        </w:numPr>
        <w:tabs>
          <w:tab w:val="left" w:pos="1134"/>
          <w:tab w:val="clear" w:pos="1575"/>
        </w:tabs>
        <w:ind w:left="864" w:leftChars="0"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r>
        <w:rPr>
          <w:rFonts w:hint="eastAsia" w:ascii="宋体" w:hAnsi="宋体" w:eastAsia="宋体" w:cs="宋体"/>
          <w:sz w:val="24"/>
          <w:szCs w:val="24"/>
        </w:rPr>
        <w:t>业务</w:t>
      </w:r>
      <w:r>
        <w:rPr>
          <w:rFonts w:hint="eastAsia" w:ascii="宋体" w:hAnsi="宋体" w:eastAsia="宋体" w:cs="宋体"/>
          <w:sz w:val="24"/>
          <w:szCs w:val="24"/>
          <w:lang w:val="en-US" w:eastAsia="zh-CN"/>
        </w:rPr>
        <w:t>应用要求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充分发挥</w:t>
      </w:r>
      <w:r>
        <w:rPr>
          <w:rFonts w:hint="eastAsia" w:ascii="宋体" w:hAnsi="宋体" w:eastAsia="宋体" w:cs="宋体"/>
          <w:sz w:val="24"/>
          <w:szCs w:val="24"/>
          <w:lang w:eastAsia="zh-CN"/>
        </w:rPr>
        <w:t>察布查尔县</w:t>
      </w:r>
      <w:r>
        <w:rPr>
          <w:rFonts w:hint="eastAsia" w:ascii="宋体" w:hAnsi="宋体" w:eastAsia="宋体" w:cs="宋体"/>
          <w:sz w:val="24"/>
          <w:szCs w:val="24"/>
        </w:rPr>
        <w:t>广播电视云平台和网络“可管可控、绿色安全”的优势，面向</w:t>
      </w:r>
      <w:r>
        <w:rPr>
          <w:rFonts w:hint="eastAsia" w:ascii="宋体" w:hAnsi="宋体" w:eastAsia="宋体" w:cs="宋体"/>
          <w:sz w:val="24"/>
          <w:szCs w:val="24"/>
          <w:lang w:eastAsia="zh-CN"/>
        </w:rPr>
        <w:t>察布查尔县</w:t>
      </w:r>
      <w:r>
        <w:rPr>
          <w:rFonts w:hint="eastAsia" w:ascii="宋体" w:hAnsi="宋体" w:eastAsia="宋体" w:cs="宋体"/>
          <w:sz w:val="24"/>
          <w:szCs w:val="24"/>
          <w:lang w:val="en-US" w:eastAsia="zh-CN"/>
        </w:rPr>
        <w:t>DZJJM</w:t>
      </w:r>
      <w:r>
        <w:rPr>
          <w:rFonts w:hint="eastAsia" w:ascii="宋体" w:hAnsi="宋体" w:eastAsia="宋体" w:cs="宋体"/>
          <w:sz w:val="24"/>
          <w:szCs w:val="24"/>
        </w:rPr>
        <w:t>等提供多样化综合服务，满足</w:t>
      </w:r>
      <w:r>
        <w:rPr>
          <w:rFonts w:hint="eastAsia" w:ascii="宋体" w:hAnsi="宋体" w:eastAsia="宋体" w:cs="宋体"/>
          <w:sz w:val="24"/>
          <w:szCs w:val="24"/>
          <w:lang w:eastAsia="zh-CN"/>
        </w:rPr>
        <w:t>察布查尔县JM</w:t>
      </w:r>
      <w:r>
        <w:rPr>
          <w:rFonts w:hint="eastAsia" w:ascii="宋体" w:hAnsi="宋体" w:eastAsia="宋体" w:cs="宋体"/>
          <w:sz w:val="24"/>
          <w:szCs w:val="24"/>
        </w:rPr>
        <w:t>的文化生活和专用信息需求，重点支撑部署以下几类业务：</w:t>
      </w:r>
    </w:p>
    <w:p>
      <w:pPr>
        <w:pStyle w:val="9"/>
        <w:numPr>
          <w:ilvl w:val="4"/>
          <w:numId w:val="0"/>
        </w:numPr>
        <w:ind w:left="1008" w:leftChars="0"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rPr>
        <w:t>广播电视</w:t>
      </w:r>
      <w:r>
        <w:rPr>
          <w:rFonts w:hint="eastAsia" w:ascii="宋体" w:hAnsi="宋体" w:eastAsia="宋体" w:cs="宋体"/>
          <w:sz w:val="24"/>
          <w:szCs w:val="24"/>
          <w:lang w:val="en-US" w:eastAsia="zh-CN"/>
        </w:rPr>
        <w:t>服务</w:t>
      </w:r>
    </w:p>
    <w:p>
      <w:pPr>
        <w:pStyle w:val="111"/>
        <w:ind w:firstLine="480" w:firstLineChars="200"/>
        <w:jc w:val="left"/>
        <w:rPr>
          <w:rFonts w:hint="eastAsia" w:ascii="宋体" w:hAnsi="宋体" w:eastAsia="宋体" w:cs="宋体"/>
          <w:sz w:val="24"/>
          <w:szCs w:val="24"/>
        </w:rPr>
      </w:pPr>
      <w:r>
        <w:rPr>
          <w:rFonts w:hint="eastAsia" w:ascii="宋体" w:hAnsi="宋体" w:eastAsia="宋体" w:cs="宋体"/>
          <w:sz w:val="24"/>
          <w:szCs w:val="24"/>
        </w:rPr>
        <w:t>面向</w:t>
      </w:r>
      <w:r>
        <w:rPr>
          <w:rFonts w:hint="eastAsia" w:ascii="宋体" w:hAnsi="宋体" w:cs="宋体"/>
          <w:sz w:val="24"/>
          <w:szCs w:val="24"/>
          <w:lang w:val="en-US" w:eastAsia="zh-CN"/>
        </w:rPr>
        <w:t>DZJ</w:t>
      </w:r>
      <w:r>
        <w:rPr>
          <w:rFonts w:hint="eastAsia" w:ascii="宋体" w:hAnsi="宋体" w:eastAsia="宋体" w:cs="宋体"/>
          <w:sz w:val="24"/>
          <w:szCs w:val="24"/>
        </w:rPr>
        <w:t>提供直播、点播、时移、回看、节目指南、热播排行、节目推荐、节目搜索、节目收藏、播放记录等一系列基础收视服务，进行统一的呈现、统一的管理，可适用于不同的终端。</w:t>
      </w:r>
    </w:p>
    <w:p>
      <w:pPr>
        <w:pStyle w:val="9"/>
        <w:numPr>
          <w:ilvl w:val="4"/>
          <w:numId w:val="0"/>
        </w:numPr>
        <w:ind w:left="1008" w:leftChars="0" w:firstLine="482" w:firstLineChars="200"/>
        <w:rPr>
          <w:rFonts w:hint="eastAsia" w:ascii="宋体" w:hAnsi="宋体" w:eastAsia="宋体" w:cs="宋体"/>
          <w:sz w:val="24"/>
          <w:szCs w:val="24"/>
          <w:lang w:eastAsia="zh-CN"/>
        </w:rPr>
      </w:pPr>
      <w:r>
        <w:rPr>
          <w:rFonts w:hint="eastAsia" w:ascii="宋体" w:hAnsi="宋体" w:eastAsia="宋体" w:cs="宋体"/>
          <w:sz w:val="24"/>
          <w:szCs w:val="24"/>
        </w:rPr>
        <w:t>党建新闻</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察布查尔县</w:t>
      </w:r>
      <w:r>
        <w:rPr>
          <w:rFonts w:hint="eastAsia" w:ascii="宋体" w:hAnsi="宋体" w:eastAsia="宋体" w:cs="宋体"/>
          <w:sz w:val="24"/>
          <w:szCs w:val="24"/>
        </w:rPr>
        <w:t>专用文化信息服务平台</w:t>
      </w:r>
      <w:r>
        <w:rPr>
          <w:rFonts w:hint="eastAsia" w:ascii="宋体" w:hAnsi="宋体" w:eastAsia="宋体" w:cs="宋体"/>
          <w:sz w:val="24"/>
          <w:szCs w:val="24"/>
          <w:lang w:val="en-US" w:eastAsia="zh-CN"/>
        </w:rPr>
        <w:t>提供服务器端口，具备</w:t>
      </w:r>
      <w:r>
        <w:rPr>
          <w:rFonts w:hint="eastAsia" w:ascii="宋体" w:hAnsi="宋体" w:eastAsia="宋体" w:cs="宋体"/>
          <w:sz w:val="24"/>
          <w:szCs w:val="24"/>
        </w:rPr>
        <w:t>与当地组织部党建平台进行对接</w:t>
      </w:r>
      <w:r>
        <w:rPr>
          <w:rFonts w:hint="eastAsia" w:ascii="宋体" w:hAnsi="宋体" w:eastAsia="宋体" w:cs="宋体"/>
          <w:sz w:val="24"/>
          <w:szCs w:val="24"/>
          <w:lang w:val="en-US" w:eastAsia="zh-CN"/>
        </w:rPr>
        <w:t>的能力</w:t>
      </w:r>
      <w:r>
        <w:rPr>
          <w:rFonts w:hint="eastAsia" w:ascii="宋体" w:hAnsi="宋体" w:eastAsia="宋体" w:cs="宋体"/>
          <w:sz w:val="24"/>
          <w:szCs w:val="24"/>
        </w:rPr>
        <w:t>，可建设党建新闻在线平台，融合党员学习教育、监督管理、党务政务公开、党建管理、基层党组织建设、为民便民服务等功能模块，为各级组织部门加强基层党建工作，提供了更加直接、有效的途径。党建新闻平台提供信息发布及宣传服务，以文字、 图片、音频、视频等形式展现党建新闻，传播党的声音，密切党群关系，推动党的工作，展现党的形象。</w:t>
      </w:r>
    </w:p>
    <w:p>
      <w:pPr>
        <w:pStyle w:val="9"/>
        <w:numPr>
          <w:ilvl w:val="4"/>
          <w:numId w:val="0"/>
        </w:numPr>
        <w:ind w:left="1008" w:leftChars="0" w:firstLine="482" w:firstLineChars="200"/>
        <w:rPr>
          <w:rFonts w:hint="eastAsia" w:ascii="宋体" w:hAnsi="宋体" w:eastAsia="宋体" w:cs="宋体"/>
          <w:sz w:val="24"/>
          <w:szCs w:val="24"/>
        </w:rPr>
      </w:pPr>
      <w:r>
        <w:rPr>
          <w:rFonts w:hint="eastAsia" w:ascii="宋体" w:hAnsi="宋体" w:eastAsia="宋体" w:cs="宋体"/>
          <w:sz w:val="24"/>
          <w:szCs w:val="24"/>
        </w:rPr>
        <w:t>政务服务</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提供服务器端口，具备</w:t>
      </w:r>
      <w:r>
        <w:rPr>
          <w:rFonts w:hint="eastAsia" w:ascii="宋体" w:hAnsi="宋体" w:eastAsia="宋体" w:cs="宋体"/>
          <w:sz w:val="24"/>
          <w:szCs w:val="24"/>
        </w:rPr>
        <w:t>与</w:t>
      </w:r>
      <w:r>
        <w:rPr>
          <w:rFonts w:hint="eastAsia" w:ascii="宋体" w:hAnsi="宋体" w:eastAsia="宋体" w:cs="宋体"/>
          <w:sz w:val="24"/>
          <w:szCs w:val="24"/>
          <w:lang w:eastAsia="zh-CN"/>
        </w:rPr>
        <w:t>察布查尔县</w:t>
      </w:r>
      <w:r>
        <w:rPr>
          <w:rFonts w:hint="eastAsia" w:ascii="宋体" w:hAnsi="宋体" w:eastAsia="宋体" w:cs="宋体"/>
          <w:sz w:val="24"/>
          <w:szCs w:val="24"/>
        </w:rPr>
        <w:t>政务系统平台对接</w:t>
      </w:r>
      <w:r>
        <w:rPr>
          <w:rFonts w:hint="eastAsia" w:ascii="宋体" w:hAnsi="宋体" w:eastAsia="宋体" w:cs="宋体"/>
          <w:sz w:val="24"/>
          <w:szCs w:val="24"/>
          <w:lang w:val="en-US" w:eastAsia="zh-CN"/>
        </w:rPr>
        <w:t>能力</w:t>
      </w:r>
      <w:r>
        <w:rPr>
          <w:rFonts w:hint="eastAsia" w:ascii="宋体" w:hAnsi="宋体" w:eastAsia="宋体" w:cs="宋体"/>
          <w:sz w:val="24"/>
          <w:szCs w:val="24"/>
        </w:rPr>
        <w:t>，协助</w:t>
      </w:r>
      <w:r>
        <w:rPr>
          <w:rFonts w:hint="eastAsia" w:ascii="宋体" w:hAnsi="宋体" w:eastAsia="宋体" w:cs="宋体"/>
          <w:sz w:val="24"/>
          <w:szCs w:val="24"/>
          <w:lang w:eastAsia="zh-CN"/>
        </w:rPr>
        <w:t>察布查尔县</w:t>
      </w:r>
      <w:r>
        <w:rPr>
          <w:rFonts w:hint="eastAsia" w:ascii="宋体" w:hAnsi="宋体" w:eastAsia="宋体" w:cs="宋体"/>
          <w:sz w:val="24"/>
          <w:szCs w:val="24"/>
        </w:rPr>
        <w:t>政府各部门进行数据、资源共享，支撑实现政务信息发布、政务办理、数字治理等功能，解决县政务事项的办理需求。</w:t>
      </w:r>
    </w:p>
    <w:p>
      <w:pPr>
        <w:pStyle w:val="9"/>
        <w:numPr>
          <w:ilvl w:val="4"/>
          <w:numId w:val="0"/>
        </w:numPr>
        <w:ind w:left="1008" w:leftChars="0"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JD</w:t>
      </w:r>
      <w:r>
        <w:rPr>
          <w:rFonts w:hint="eastAsia" w:ascii="宋体" w:hAnsi="宋体" w:eastAsia="宋体" w:cs="宋体"/>
          <w:sz w:val="24"/>
          <w:szCs w:val="24"/>
        </w:rPr>
        <w:t>服务</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平台为</w:t>
      </w:r>
      <w:r>
        <w:rPr>
          <w:rFonts w:hint="eastAsia" w:ascii="宋体" w:hAnsi="宋体" w:eastAsia="宋体" w:cs="宋体"/>
          <w:sz w:val="24"/>
          <w:szCs w:val="24"/>
          <w:lang w:val="en-US" w:eastAsia="zh-CN"/>
        </w:rPr>
        <w:t>BJ</w:t>
      </w:r>
      <w:r>
        <w:rPr>
          <w:rFonts w:hint="eastAsia" w:ascii="宋体" w:hAnsi="宋体" w:eastAsia="宋体" w:cs="宋体"/>
          <w:sz w:val="24"/>
          <w:szCs w:val="24"/>
        </w:rPr>
        <w:t>地区官兵提供高质量广播电视、文化生活和信息发布等各类非涉密业务，为维护</w:t>
      </w:r>
      <w:r>
        <w:rPr>
          <w:rFonts w:hint="eastAsia" w:ascii="宋体" w:hAnsi="宋体" w:eastAsia="宋体" w:cs="宋体"/>
          <w:sz w:val="24"/>
          <w:szCs w:val="24"/>
          <w:lang w:val="en-US" w:eastAsia="zh-CN"/>
        </w:rPr>
        <w:t>BJ</w:t>
      </w:r>
      <w:r>
        <w:rPr>
          <w:rFonts w:hint="eastAsia" w:ascii="宋体" w:hAnsi="宋体" w:eastAsia="宋体" w:cs="宋体"/>
          <w:sz w:val="24"/>
          <w:szCs w:val="24"/>
        </w:rPr>
        <w:t>地区安全</w:t>
      </w:r>
      <w:r>
        <w:rPr>
          <w:rFonts w:hint="eastAsia" w:ascii="宋体" w:hAnsi="宋体" w:eastAsia="宋体" w:cs="宋体"/>
          <w:sz w:val="24"/>
          <w:szCs w:val="24"/>
          <w:lang w:val="en-US" w:eastAsia="zh-CN"/>
        </w:rPr>
        <w:t>wen</w:t>
      </w:r>
      <w:r>
        <w:rPr>
          <w:rFonts w:hint="eastAsia" w:ascii="宋体" w:hAnsi="宋体" w:eastAsia="宋体" w:cs="宋体"/>
          <w:sz w:val="24"/>
          <w:szCs w:val="24"/>
        </w:rPr>
        <w:t>定提供平台支撑。</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依托广电光纤双向网络，建设以红色直播频道、</w:t>
      </w:r>
      <w:r>
        <w:rPr>
          <w:rFonts w:hint="eastAsia" w:ascii="宋体" w:hAnsi="宋体" w:eastAsia="宋体" w:cs="宋体"/>
          <w:sz w:val="24"/>
          <w:szCs w:val="24"/>
          <w:lang w:val="en-US" w:eastAsia="zh-CN"/>
        </w:rPr>
        <w:t>JL</w:t>
      </w:r>
      <w:r>
        <w:rPr>
          <w:rFonts w:hint="eastAsia" w:ascii="宋体" w:hAnsi="宋体" w:eastAsia="宋体" w:cs="宋体"/>
          <w:sz w:val="24"/>
          <w:szCs w:val="24"/>
        </w:rPr>
        <w:t>生活点播专区、</w:t>
      </w:r>
      <w:r>
        <w:rPr>
          <w:rFonts w:hint="eastAsia" w:ascii="宋体" w:hAnsi="宋体" w:eastAsia="宋体" w:cs="宋体"/>
          <w:sz w:val="24"/>
          <w:szCs w:val="24"/>
          <w:lang w:eastAsia="zh-CN"/>
        </w:rPr>
        <w:t>JM</w:t>
      </w:r>
      <w:r>
        <w:rPr>
          <w:rFonts w:hint="eastAsia" w:ascii="宋体" w:hAnsi="宋体" w:eastAsia="宋体" w:cs="宋体"/>
          <w:sz w:val="24"/>
          <w:szCs w:val="24"/>
        </w:rPr>
        <w:t>活动点播专区等为核心的</w:t>
      </w:r>
      <w:r>
        <w:rPr>
          <w:rFonts w:hint="eastAsia" w:ascii="宋体" w:hAnsi="宋体" w:eastAsia="宋体" w:cs="宋体"/>
          <w:sz w:val="24"/>
          <w:szCs w:val="24"/>
          <w:lang w:val="en-US" w:eastAsia="zh-CN"/>
        </w:rPr>
        <w:t>JL</w:t>
      </w:r>
      <w:r>
        <w:rPr>
          <w:rFonts w:hint="eastAsia" w:ascii="宋体" w:hAnsi="宋体" w:eastAsia="宋体" w:cs="宋体"/>
          <w:sz w:val="24"/>
          <w:szCs w:val="24"/>
        </w:rPr>
        <w:t>生活展示系统。通过此系统，</w:t>
      </w:r>
      <w:r>
        <w:rPr>
          <w:rFonts w:hint="eastAsia" w:ascii="宋体" w:hAnsi="宋体" w:eastAsia="宋体" w:cs="宋体"/>
          <w:sz w:val="24"/>
          <w:szCs w:val="24"/>
          <w:lang w:eastAsia="zh-CN"/>
        </w:rPr>
        <w:t>JM</w:t>
      </w:r>
      <w:r>
        <w:rPr>
          <w:rFonts w:hint="eastAsia" w:ascii="宋体" w:hAnsi="宋体" w:eastAsia="宋体" w:cs="宋体"/>
          <w:sz w:val="24"/>
          <w:szCs w:val="24"/>
        </w:rPr>
        <w:t>可以在电视、电脑点播形式看到生活片段、</w:t>
      </w:r>
      <w:r>
        <w:rPr>
          <w:rFonts w:hint="eastAsia" w:ascii="宋体" w:hAnsi="宋体" w:eastAsia="宋体" w:cs="宋体"/>
          <w:sz w:val="24"/>
          <w:szCs w:val="24"/>
          <w:lang w:eastAsia="zh-CN"/>
        </w:rPr>
        <w:t>JM</w:t>
      </w:r>
      <w:r>
        <w:rPr>
          <w:rFonts w:hint="eastAsia" w:ascii="宋体" w:hAnsi="宋体" w:eastAsia="宋体" w:cs="宋体"/>
          <w:sz w:val="24"/>
          <w:szCs w:val="24"/>
        </w:rPr>
        <w:t>活动片段，打造</w:t>
      </w:r>
      <w:r>
        <w:rPr>
          <w:rFonts w:hint="eastAsia" w:ascii="宋体" w:hAnsi="宋体" w:eastAsia="宋体" w:cs="宋体"/>
          <w:sz w:val="24"/>
          <w:szCs w:val="24"/>
          <w:lang w:eastAsia="zh-CN"/>
        </w:rPr>
        <w:t>JY</w:t>
      </w:r>
      <w:r>
        <w:rPr>
          <w:rFonts w:hint="eastAsia" w:ascii="宋体" w:hAnsi="宋体" w:eastAsia="宋体" w:cs="宋体"/>
          <w:sz w:val="24"/>
          <w:szCs w:val="24"/>
        </w:rPr>
        <w:t>文化、提高</w:t>
      </w:r>
      <w:r>
        <w:rPr>
          <w:rFonts w:hint="eastAsia" w:ascii="宋体" w:hAnsi="宋体" w:eastAsia="宋体" w:cs="宋体"/>
          <w:sz w:val="24"/>
          <w:szCs w:val="24"/>
          <w:lang w:eastAsia="zh-CN"/>
        </w:rPr>
        <w:t>JM</w:t>
      </w:r>
      <w:r>
        <w:rPr>
          <w:rFonts w:hint="eastAsia" w:ascii="宋体" w:hAnsi="宋体" w:eastAsia="宋体" w:cs="宋体"/>
          <w:sz w:val="24"/>
          <w:szCs w:val="24"/>
        </w:rPr>
        <w:t>凝聚力。</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通过信息化手段整合相关内容资源，在云平台上打造智慧融媒体</w:t>
      </w:r>
      <w:r>
        <w:rPr>
          <w:rFonts w:hint="eastAsia" w:ascii="宋体" w:hAnsi="宋体" w:eastAsia="宋体" w:cs="宋体"/>
          <w:sz w:val="24"/>
          <w:szCs w:val="24"/>
          <w:lang w:val="en-US" w:eastAsia="zh-CN"/>
        </w:rPr>
        <w:t>BF</w:t>
      </w:r>
      <w:r>
        <w:rPr>
          <w:rFonts w:hint="eastAsia" w:ascii="宋体" w:hAnsi="宋体" w:eastAsia="宋体" w:cs="宋体"/>
          <w:sz w:val="24"/>
          <w:szCs w:val="24"/>
        </w:rPr>
        <w:t>文化服务专区，为</w:t>
      </w:r>
      <w:r>
        <w:rPr>
          <w:rFonts w:hint="eastAsia" w:ascii="宋体" w:hAnsi="宋体" w:eastAsia="宋体" w:cs="宋体"/>
          <w:sz w:val="24"/>
          <w:szCs w:val="24"/>
          <w:lang w:val="en-US" w:eastAsia="zh-CN"/>
        </w:rPr>
        <w:t>BFBD</w:t>
      </w:r>
      <w:r>
        <w:rPr>
          <w:rFonts w:hint="eastAsia" w:ascii="宋体" w:hAnsi="宋体" w:eastAsia="宋体" w:cs="宋体"/>
          <w:sz w:val="24"/>
          <w:szCs w:val="24"/>
        </w:rPr>
        <w:t>提供地方涉</w:t>
      </w:r>
      <w:r>
        <w:rPr>
          <w:rFonts w:hint="eastAsia" w:ascii="宋体" w:hAnsi="宋体" w:eastAsia="宋体" w:cs="宋体"/>
          <w:sz w:val="24"/>
          <w:szCs w:val="24"/>
          <w:lang w:val="en-US" w:eastAsia="zh-CN"/>
        </w:rPr>
        <w:t>J</w:t>
      </w:r>
      <w:r>
        <w:rPr>
          <w:rFonts w:hint="eastAsia" w:ascii="宋体" w:hAnsi="宋体" w:eastAsia="宋体" w:cs="宋体"/>
          <w:sz w:val="24"/>
          <w:szCs w:val="24"/>
        </w:rPr>
        <w:t>政策、</w:t>
      </w:r>
      <w:r>
        <w:rPr>
          <w:rFonts w:hint="eastAsia" w:ascii="宋体" w:hAnsi="宋体" w:eastAsia="宋体" w:cs="宋体"/>
          <w:sz w:val="24"/>
          <w:szCs w:val="24"/>
          <w:lang w:val="en-US" w:eastAsia="zh-CN"/>
        </w:rPr>
        <w:t>J</w:t>
      </w:r>
      <w:r>
        <w:rPr>
          <w:rFonts w:hint="eastAsia" w:ascii="宋体" w:hAnsi="宋体" w:eastAsia="宋体" w:cs="宋体"/>
          <w:sz w:val="24"/>
          <w:szCs w:val="24"/>
        </w:rPr>
        <w:t>民拥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J</w:t>
      </w:r>
      <w:r>
        <w:rPr>
          <w:rFonts w:hint="eastAsia" w:ascii="宋体" w:hAnsi="宋体" w:eastAsia="宋体" w:cs="宋体"/>
          <w:sz w:val="24"/>
          <w:szCs w:val="24"/>
        </w:rPr>
        <w:t>动态等各类专栏内容。</w:t>
      </w:r>
    </w:p>
    <w:p>
      <w:pPr>
        <w:pStyle w:val="9"/>
        <w:numPr>
          <w:ilvl w:val="4"/>
          <w:numId w:val="0"/>
        </w:numPr>
        <w:ind w:left="1008" w:leftChars="0" w:firstLine="482" w:firstLineChars="200"/>
        <w:rPr>
          <w:rFonts w:hint="eastAsia" w:ascii="宋体" w:hAnsi="宋体" w:eastAsia="宋体" w:cs="宋体"/>
          <w:sz w:val="24"/>
          <w:szCs w:val="24"/>
        </w:rPr>
      </w:pPr>
      <w:r>
        <w:rPr>
          <w:rFonts w:hint="eastAsia" w:ascii="宋体" w:hAnsi="宋体" w:eastAsia="宋体" w:cs="宋体"/>
          <w:sz w:val="24"/>
          <w:szCs w:val="24"/>
        </w:rPr>
        <w:t>业务应用系统</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业务应用系统提供业务的新建、上线、下线、删除等管理，通过业务和内容的分类标识支撑业务，提供面向</w:t>
      </w:r>
      <w:r>
        <w:rPr>
          <w:rFonts w:hint="eastAsia" w:ascii="宋体" w:hAnsi="宋体" w:eastAsia="宋体" w:cs="宋体"/>
          <w:sz w:val="24"/>
          <w:szCs w:val="24"/>
          <w:lang w:eastAsia="zh-CN"/>
        </w:rPr>
        <w:t>DZJJ</w:t>
      </w:r>
      <w:r>
        <w:rPr>
          <w:rFonts w:hint="eastAsia" w:ascii="宋体" w:hAnsi="宋体" w:eastAsia="宋体" w:cs="宋体"/>
          <w:sz w:val="24"/>
          <w:szCs w:val="24"/>
        </w:rPr>
        <w:t>用户的管理功能，包括产品管理和用户管理功能。</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业务应用系统包含后台业务服务器和数据库服务器，可通过云服务系统虚拟实现，按照最小量部署原则，共需1台虚拟机，单台虚拟机配置要求(16vCPU64GB内存2TB存储）</w:t>
      </w:r>
      <w:r>
        <w:rPr>
          <w:rFonts w:hint="eastAsia" w:ascii="宋体" w:hAnsi="宋体" w:eastAsia="宋体" w:cs="宋体"/>
          <w:sz w:val="24"/>
          <w:szCs w:val="24"/>
          <w:lang w:eastAsia="zh-CN"/>
        </w:rPr>
        <w:t>。</w:t>
      </w:r>
    </w:p>
    <w:p>
      <w:pPr>
        <w:pStyle w:val="9"/>
        <w:numPr>
          <w:ilvl w:val="4"/>
          <w:numId w:val="0"/>
        </w:numPr>
        <w:ind w:left="1008" w:leftChars="0" w:firstLine="482" w:firstLineChars="200"/>
        <w:rPr>
          <w:rFonts w:hint="eastAsia" w:ascii="宋体" w:hAnsi="宋体" w:eastAsia="宋体" w:cs="宋体"/>
          <w:sz w:val="24"/>
          <w:szCs w:val="24"/>
        </w:rPr>
      </w:pPr>
      <w:r>
        <w:rPr>
          <w:rFonts w:hint="eastAsia" w:ascii="宋体" w:hAnsi="宋体" w:eastAsia="宋体" w:cs="宋体"/>
          <w:sz w:val="24"/>
          <w:szCs w:val="24"/>
        </w:rPr>
        <w:t>门户服务系统</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门户服务系统具备面向机顶盒、个人电脑、智能终端、移动终端等各类终端，提供门户服务及业务定制化呈现。门户服务系统通过模板管理和门户展现管理实现对终端的呈现管理，通过门户展现模块、终端展现模块和数据服务模块实现面向不同终端设备的统一呈现，支持页面灵活定制、多屏融合展示。</w:t>
      </w:r>
    </w:p>
    <w:p>
      <w:pPr>
        <w:ind w:firstLine="480" w:firstLineChars="200"/>
        <w:rPr>
          <w:rFonts w:hint="eastAsia" w:ascii="宋体" w:hAnsi="宋体" w:eastAsia="宋体" w:cs="宋体"/>
          <w:sz w:val="24"/>
          <w:szCs w:val="24"/>
        </w:rPr>
      </w:pPr>
      <w:r>
        <w:rPr>
          <w:rFonts w:hint="eastAsia" w:ascii="宋体" w:hAnsi="宋体" w:eastAsia="宋体" w:cs="宋体"/>
          <w:kern w:val="0"/>
          <w:sz w:val="24"/>
          <w:szCs w:val="24"/>
        </w:rPr>
        <w:t>门户服务系统包含后台WEB服务器和数据库服务器，可通过云服务系统虚拟来实现，共需2台虚拟机，单台虚拟机配置要求(16vCPU 64GB内存2TB存储）。</w:t>
      </w:r>
    </w:p>
    <w:p>
      <w:pPr>
        <w:pStyle w:val="5"/>
        <w:bidi w:val="0"/>
        <w:ind w:firstLine="482" w:firstLineChars="200"/>
        <w:rPr>
          <w:rFonts w:hint="eastAsia" w:ascii="宋体" w:hAnsi="宋体" w:eastAsia="宋体" w:cs="宋体"/>
          <w:sz w:val="24"/>
          <w:szCs w:val="24"/>
        </w:rPr>
      </w:pPr>
      <w:r>
        <w:rPr>
          <w:rFonts w:hint="eastAsia" w:ascii="宋体" w:hAnsi="宋体" w:eastAsia="宋体" w:cs="宋体"/>
          <w:sz w:val="24"/>
          <w:szCs w:val="24"/>
          <w:lang w:val="en-US" w:eastAsia="zh-CN"/>
        </w:rPr>
        <w:t>3.智慧广电两平台设备</w:t>
      </w:r>
      <w:r>
        <w:rPr>
          <w:rFonts w:hint="eastAsia" w:ascii="宋体" w:hAnsi="宋体" w:eastAsia="宋体" w:cs="宋体"/>
          <w:sz w:val="24"/>
          <w:szCs w:val="24"/>
        </w:rPr>
        <w:t>清单</w:t>
      </w:r>
    </w:p>
    <w:tbl>
      <w:tblPr>
        <w:tblStyle w:val="3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5"/>
        <w:gridCol w:w="920"/>
        <w:gridCol w:w="1388"/>
        <w:gridCol w:w="5498"/>
        <w:gridCol w:w="820"/>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blHeader/>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lang w:val="en-US" w:eastAsia="zh-CN" w:bidi="ar"/>
              </w:rPr>
              <w:t>序号</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lang w:val="en-US" w:eastAsia="zh-CN" w:bidi="ar"/>
              </w:rPr>
              <w:t>名称</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lang w:val="en-US" w:eastAsia="zh-CN" w:bidi="ar"/>
              </w:rPr>
              <w:t>主要参数</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lang w:val="en-US" w:eastAsia="zh-CN" w:bidi="ar"/>
              </w:rPr>
              <w:t>单位</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381" w:type="pct"/>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c>
          <w:tcPr>
            <w:tcW w:w="447" w:type="pct"/>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云服务系统</w:t>
            </w:r>
          </w:p>
        </w:tc>
        <w:tc>
          <w:tcPr>
            <w:tcW w:w="6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计算虚拟化节点</w:t>
            </w:r>
          </w:p>
        </w:tc>
        <w:tc>
          <w:tcPr>
            <w:tcW w:w="2670"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2U机架式服务器：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CPU：2颗处理器,单颗处理器主频2.6GHz，32核</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内存：512GB内存，配置16根DDR4RDIMM内存-32GB</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硬盘：1200GB-SAS-10K硬盘，固态硬盘-3200GB-NVMePCIe，96000GB-SATA-7.2K硬盘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RAID卡：1块RAID卡-RAID0，1，10。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网口：4*GE+4*10GE(满配多模光模块)，优先采用国产化设备。</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台</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8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z w:val="24"/>
                <w:szCs w:val="24"/>
                <w:u w:val="none"/>
              </w:rPr>
            </w:pPr>
          </w:p>
        </w:tc>
        <w:tc>
          <w:tcPr>
            <w:tcW w:w="447"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z w:val="24"/>
                <w:szCs w:val="24"/>
                <w:u w:val="none"/>
              </w:rPr>
            </w:pPr>
          </w:p>
        </w:tc>
        <w:tc>
          <w:tcPr>
            <w:tcW w:w="6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分布式存储资源池</w:t>
            </w:r>
          </w:p>
        </w:tc>
        <w:tc>
          <w:tcPr>
            <w:tcW w:w="2670"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2U机架式服务器：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CPU：2颗处理器，单颗处理器主频2.6GHz，32核</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内存：512GB内存，配置16根DDR4RDIMM内存-32GB</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硬盘：1200GB-SAS-10K硬盘，固态硬盘-3200GB-NVMePCIe，96000GB-SATA-7.2K硬盘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RAID卡：1块RAID卡-RAIDO，1，10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sz w:val="24"/>
                <w:szCs w:val="24"/>
              </w:rPr>
            </w:pPr>
            <w:r>
              <w:rPr>
                <w:rFonts w:hint="eastAsia" w:ascii="楷体" w:hAnsi="楷体" w:eastAsia="楷体" w:cs="楷体"/>
                <w:i w:val="0"/>
                <w:iCs w:val="0"/>
                <w:color w:val="000000"/>
                <w:kern w:val="0"/>
                <w:sz w:val="24"/>
                <w:szCs w:val="24"/>
                <w:u w:val="none"/>
                <w:lang w:val="en-US" w:eastAsia="zh-CN" w:bidi="ar"/>
              </w:rPr>
              <w:t>网口：4*GE+4*10GE(满配多模光模块)，优先采用国产化设备。</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台</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8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z w:val="24"/>
                <w:szCs w:val="24"/>
                <w:u w:val="none"/>
              </w:rPr>
            </w:pPr>
          </w:p>
        </w:tc>
        <w:tc>
          <w:tcPr>
            <w:tcW w:w="447"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z w:val="24"/>
                <w:szCs w:val="24"/>
                <w:u w:val="none"/>
              </w:rPr>
            </w:pPr>
          </w:p>
        </w:tc>
        <w:tc>
          <w:tcPr>
            <w:tcW w:w="6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业务存储网络节点</w:t>
            </w:r>
          </w:p>
        </w:tc>
        <w:tc>
          <w:tcPr>
            <w:tcW w:w="267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万兆SFP+接口≥48个，100GEQSFP28接口≥6个，万兆堆叠线缆≥1，万兆多模光模块≥48，双交流电源。交换容量≥4.8TbPs，包转发率≥2000MPPs。</w:t>
            </w:r>
          </w:p>
        </w:tc>
        <w:tc>
          <w:tcPr>
            <w:tcW w:w="398"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台</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9" w:hRule="atLeast"/>
        </w:trPr>
        <w:tc>
          <w:tcPr>
            <w:tcW w:w="38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z w:val="24"/>
                <w:szCs w:val="24"/>
                <w:u w:val="none"/>
              </w:rPr>
            </w:pPr>
          </w:p>
        </w:tc>
        <w:tc>
          <w:tcPr>
            <w:tcW w:w="447"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z w:val="24"/>
                <w:szCs w:val="24"/>
                <w:u w:val="none"/>
              </w:rPr>
            </w:pPr>
          </w:p>
        </w:tc>
        <w:tc>
          <w:tcPr>
            <w:tcW w:w="67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BMC管理网络节点</w:t>
            </w:r>
          </w:p>
        </w:tc>
        <w:tc>
          <w:tcPr>
            <w:tcW w:w="2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支持≥24个10/100/1000Base-T以太网端口，4个万兆SFP+，配置4个万兆单模光模块；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交换容量≥500GbPs，包转发率≥140MPPs。</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优先采用国产化设备。</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台</w:t>
            </w:r>
          </w:p>
        </w:tc>
        <w:tc>
          <w:tcPr>
            <w:tcW w:w="42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z w:val="24"/>
                <w:szCs w:val="24"/>
                <w:u w:val="none"/>
              </w:rPr>
            </w:pPr>
          </w:p>
        </w:tc>
        <w:tc>
          <w:tcPr>
            <w:tcW w:w="447" w:type="pct"/>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z w:val="24"/>
                <w:szCs w:val="24"/>
                <w:u w:val="none"/>
              </w:rPr>
            </w:pPr>
          </w:p>
        </w:tc>
        <w:tc>
          <w:tcPr>
            <w:tcW w:w="674"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云平台系统</w:t>
            </w:r>
          </w:p>
        </w:tc>
        <w:tc>
          <w:tcPr>
            <w:tcW w:w="2670" w:type="pct"/>
            <w:tcBorders>
              <w:top w:val="single" w:color="auto"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云平台软件许可≥6 CPU，包括计算虚拟化、存储虚拟化、网络虚拟化、虚拟化管理运维等平台。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sz w:val="24"/>
                <w:szCs w:val="24"/>
                <w:u w:val="none"/>
                <w:lang w:val="en-US"/>
              </w:rPr>
            </w:pPr>
            <w:r>
              <w:rPr>
                <w:rFonts w:hint="eastAsia" w:ascii="楷体" w:hAnsi="楷体" w:eastAsia="楷体" w:cs="楷体"/>
                <w:i w:val="0"/>
                <w:iCs w:val="0"/>
                <w:color w:val="000000"/>
                <w:kern w:val="0"/>
                <w:sz w:val="24"/>
                <w:szCs w:val="24"/>
                <w:u w:val="none"/>
                <w:lang w:val="en-US" w:eastAsia="zh-CN" w:bidi="ar"/>
              </w:rPr>
              <w:t>优先采用国产化软件。</w:t>
            </w:r>
          </w:p>
        </w:tc>
        <w:tc>
          <w:tcPr>
            <w:tcW w:w="398" w:type="pct"/>
            <w:tcBorders>
              <w:top w:val="single" w:color="auto"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套</w:t>
            </w:r>
          </w:p>
        </w:tc>
        <w:tc>
          <w:tcPr>
            <w:tcW w:w="427"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全媒体系统</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提供基础的媒体内容处理功能，支持直播、点播、时移、回看等多种业务类型。媒体处理能力包括频道列表信息导入、节目信息导入、节目搜索、节目推荐、节目信息发现、节目观看记录、会话资源管理、节目编码、节目封装、即时打包、录制节目数据管理、录制管理、录制数据存储等能力。</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业务运营管理系统</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提供身份管理、会话管理、授权管理等功能，包括身份授权、会话认证、用户身份管理、位置标识、授权管理等，提供终端认证、业务鉴权、消费记账服务。</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4</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运维管理系统</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支持设备级、业务级的精细化管理，实现各个环节业务指标的智能监测。系统通过数据采集、记录、统计分析、图形化展示实现预先主动维护和报警，并通过自动任务执行进行自我修复。</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5</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统一门户呈现系统</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为终端用户收视、互动、个性化等功能提供门户支撑服务。</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6</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内容汇聚分发系统</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提供对平台内容的全生命周期管理功能，包括内容汇聚、内容管理和内容分发等服务。为媒体类业务提供内容分发服务，通过传播渠道与媒体版本、媒体格式的匹配，实现融合媒体内容跨云、跨网、跨终端的分发。</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7</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监测监管系统</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1）最高可支持20套调频节目的采集监测；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2）最高可支持10套中波节目的采集监测；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3）最高可支持40套地面数字电视节目的采集监测；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4）最高可支持250套有线数字电视节目的采集监测；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5）最高可支持20套调频节目、10套中波节目、40套地面数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字电视节目的转码和视音频实时监测；可支持40套有线数字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电视节目转码和视音频实时监测，可支持8套节目按照轮巡方式监测；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6）最高可支持20套调频节目、10套中波节目、40套地面数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字电视节目、40套有线数字电视节目及8套轮巡监测的有线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数字节目的录制存储；支持实时录制30天，触发录制180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天；支持报表等系统数据存储365天。</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8</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边界防火墙</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1U机型,128GSSD系统盘（可扩展），配置千兆电口数量≥4个；千兆光口数量≥4个；冗余电源；网络吞吐量不少于10Gbps，最大并发连接数不少于80万，每秒最大新建连接数不少于1.3万， 标配功能：防病毒（AV）、入侵防御（IPS）、应用识别、上网行为管理、策略路由、审计中心、上网认证与SSO第三方认证、流量控制、基础防火墙等模块；设备含三年维保服务+全库特征库授权。优先采用国产化设备。</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台</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9</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出口防火墙</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2U标准机架式，双电源（1+1），128GSSD系统盘（可扩展），板载≥6个千兆电口，≥4个万光口，2个扩展槽；业务能力：网络层吞吐量10G，并发连接数330万，新建连接数10万；标配功能：防病毒（AV）、入侵防御（IPS）、应用识别、上网行为管理、策略路由、审计中心、上网认证与SSO第三方认证、流量控制、基础防火墙等模块，设备含三年维保服务+全库特征库授权。</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台</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10</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云主机安全防护</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云主机安全管理系统，授权数500点，含三年软件升级和维保服务。</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11</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Web防火墙</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配套雷池系统，含交流冗余电源模块,2*USB接口,1*RJ45串口,1*GE管理口,1*HA口,128G SSD。2个网卡接口扩展槽位,含2T企业级硬盘，千兆电口*4(2路bypass)，万兆光口*2(无bypass)，含三年软件升级和维保服务。</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12</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漏洞扫描</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双电源，2*USB接口,1*RJ45串口，2*GE管理口，千兆电口*6（业务口），含2T企业级硬盘，1个网卡接口扩展槽位。包含主机服务扫描和web扫描、基线合规检查。IP、域名扫描数量无限制。含三年软件升级和维保服务。</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13</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互联网控制网关（上网行为管理及网络审计）</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标配6个千兆电口+4个千兆SFP光口（含2组Bypass千兆电口），2扩展槽，8GB内存，2T硬盘，2U标准机架，标配单电源，可选冗余电源，网络吞吐率10Gbps，七层吞吐4G,可支持20000并发终端用户，设备包含三年标准维保服务；服务时间：7*24h（本地时间）。服务内容：1.产品故障维修，因产品本身问题导致产品无法正常使用，为客户提供现场保修和技术支持服务；2.产品版本及引擎升级，提供产品升级服务，并承担升级期间的技术支持工作；3.远程技术支持服务，针对产品使用、升级、故障、技术咨询等问题，提供400电话、邮箱、即时通讯工具等远程技术支持服务。</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14</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运维审计与管理平台（堡垒机)</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标配6个千兆电口，1个Console口，1个网卡扩展插槽，标准2U机架，单电源，可选配扩展冗余电源。含1000个审计节点数，含三年软件升级和维保服务。</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套</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i w:val="0"/>
                <w:iCs w:val="0"/>
                <w:color w:val="000000"/>
                <w:kern w:val="0"/>
                <w:sz w:val="24"/>
                <w:szCs w:val="24"/>
                <w:u w:val="none"/>
                <w:lang w:val="en-US" w:eastAsia="zh-CN" w:bidi="ar"/>
              </w:rPr>
              <w:t>15</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日志审计平台(日志审计)</w:t>
            </w:r>
          </w:p>
        </w:tc>
        <w:tc>
          <w:tcPr>
            <w:tcW w:w="33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标配6个千兆电口，1个Console口，1个网卡扩展插槽，16G内存，4TB硬盘，标准1U机架，单电源，可选配扩展冗余电源。含100个授权许可（可扩展），含三年标准维保服务，事件处理能力≥6000 EPS。优先采用国产化设备。</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台</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楷体" w:hAnsi="楷体" w:eastAsia="楷体" w:cs="楷体"/>
                <w:i w:val="0"/>
                <w:iCs w:val="0"/>
                <w:color w:val="auto"/>
                <w:kern w:val="0"/>
                <w:sz w:val="24"/>
                <w:szCs w:val="24"/>
                <w:highlight w:val="none"/>
                <w:u w:val="none"/>
                <w:lang w:val="en-US" w:eastAsia="zh-CN" w:bidi="ar"/>
              </w:rPr>
            </w:pPr>
            <w:r>
              <w:rPr>
                <w:rFonts w:hint="eastAsia" w:ascii="楷体" w:hAnsi="楷体" w:eastAsia="楷体" w:cs="楷体"/>
                <w:i w:val="0"/>
                <w:iCs w:val="0"/>
                <w:color w:val="auto"/>
                <w:kern w:val="0"/>
                <w:sz w:val="24"/>
                <w:szCs w:val="24"/>
                <w:highlight w:val="none"/>
                <w:u w:val="none"/>
                <w:lang w:val="en-US" w:eastAsia="zh-CN" w:bidi="ar"/>
              </w:rPr>
              <w:t>1</w:t>
            </w:r>
          </w:p>
        </w:tc>
      </w:tr>
    </w:tbl>
    <w:p>
      <w:pPr>
        <w:pStyle w:val="111"/>
        <w:jc w:val="both"/>
        <w:rPr>
          <w:rFonts w:hint="eastAsia" w:ascii="楷体" w:hAnsi="楷体" w:eastAsia="楷体" w:cs="楷体"/>
          <w:b w:val="0"/>
          <w:bCs w:val="0"/>
          <w:color w:val="FF0000"/>
        </w:rPr>
      </w:pPr>
    </w:p>
    <w:p>
      <w:pPr>
        <w:pStyle w:val="5"/>
        <w:numPr>
          <w:ilvl w:val="0"/>
          <w:numId w:val="32"/>
        </w:numPr>
        <w:bidi w:val="0"/>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项目实施及售后服务</w:t>
      </w:r>
    </w:p>
    <w:p>
      <w:pPr>
        <w:pStyle w:val="7"/>
        <w:bidi w:val="0"/>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3.1.</w:t>
      </w:r>
      <w:r>
        <w:rPr>
          <w:rFonts w:hint="eastAsia" w:ascii="宋体" w:hAnsi="宋体" w:eastAsia="宋体" w:cs="宋体"/>
          <w:b w:val="0"/>
          <w:bCs/>
          <w:sz w:val="24"/>
          <w:szCs w:val="24"/>
        </w:rPr>
        <w:t>安装和调测</w:t>
      </w:r>
    </w:p>
    <w:p>
      <w:pPr>
        <w:pStyle w:val="8"/>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3.1.1.投标方需在在 2024</w:t>
      </w:r>
      <w:r>
        <w:rPr>
          <w:rFonts w:hint="eastAsia" w:eastAsia="宋体" w:cs="宋体"/>
          <w:b w:val="0"/>
          <w:bCs/>
          <w:sz w:val="24"/>
          <w:szCs w:val="24"/>
          <w:lang w:val="en-US" w:eastAsia="zh-CN"/>
        </w:rPr>
        <w:t>年</w:t>
      </w:r>
      <w:r>
        <w:rPr>
          <w:rFonts w:hint="eastAsia" w:ascii="宋体" w:hAnsi="宋体" w:eastAsia="宋体" w:cs="宋体"/>
          <w:b w:val="0"/>
          <w:bCs/>
          <w:sz w:val="24"/>
          <w:szCs w:val="24"/>
          <w:lang w:val="en-US" w:eastAsia="zh-CN"/>
        </w:rPr>
        <w:t>12月1日前完成项目建设，需提供详细的实施计划方案。</w:t>
      </w:r>
    </w:p>
    <w:p>
      <w:pPr>
        <w:pStyle w:val="8"/>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3.1.2投标方负责整个一网络两平台的建设，包含设备的现场安装、调测、割接和项目功能实现开通。</w:t>
      </w:r>
    </w:p>
    <w:p>
      <w:pPr>
        <w:pStyle w:val="8"/>
        <w:bidi w:val="0"/>
        <w:ind w:left="0" w:leftChars="0" w:firstLine="480" w:firstLineChars="200"/>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3.1.3投标方需配合招标方完成与其他网络设备之间的业务互通。</w:t>
      </w:r>
    </w:p>
    <w:p>
      <w:pPr>
        <w:pStyle w:val="8"/>
        <w:bidi w:val="0"/>
        <w:ind w:left="0" w:leftChars="0" w:firstLine="480" w:firstLineChars="200"/>
        <w:rPr>
          <w:rFonts w:hint="eastAsia" w:ascii="宋体" w:hAnsi="宋体" w:eastAsia="宋体" w:cs="宋体"/>
          <w:b w:val="0"/>
          <w:bCs/>
          <w:i w:val="0"/>
          <w:iCs w:val="0"/>
          <w:caps w:val="0"/>
          <w:color w:val="000000"/>
          <w:spacing w:val="0"/>
          <w:sz w:val="24"/>
          <w:szCs w:val="24"/>
        </w:rPr>
      </w:pPr>
      <w:r>
        <w:rPr>
          <w:rFonts w:hint="eastAsia" w:ascii="宋体" w:hAnsi="宋体" w:eastAsia="宋体" w:cs="宋体"/>
          <w:b w:val="0"/>
          <w:bCs/>
          <w:sz w:val="24"/>
          <w:szCs w:val="24"/>
          <w:lang w:val="en-US"/>
        </w:rPr>
        <w:t>3</w:t>
      </w:r>
      <w:r>
        <w:rPr>
          <w:rFonts w:hint="eastAsia" w:ascii="宋体" w:hAnsi="宋体" w:eastAsia="宋体" w:cs="宋体"/>
          <w:b w:val="0"/>
          <w:bCs/>
          <w:sz w:val="24"/>
          <w:szCs w:val="24"/>
          <w:lang w:val="en-US" w:eastAsia="zh-CN"/>
        </w:rPr>
        <w:t>.1.4</w:t>
      </w:r>
      <w:r>
        <w:rPr>
          <w:rFonts w:hint="eastAsia" w:ascii="宋体" w:hAnsi="宋体" w:eastAsia="宋体" w:cs="宋体"/>
          <w:b w:val="0"/>
          <w:bCs/>
          <w:sz w:val="24"/>
          <w:szCs w:val="24"/>
        </w:rPr>
        <w:t>投标方</w:t>
      </w:r>
      <w:r>
        <w:rPr>
          <w:rFonts w:hint="eastAsia" w:ascii="宋体" w:hAnsi="宋体" w:eastAsia="宋体" w:cs="宋体"/>
          <w:b w:val="0"/>
          <w:bCs/>
          <w:sz w:val="24"/>
          <w:szCs w:val="24"/>
          <w:lang w:val="en-US" w:eastAsia="zh-CN"/>
        </w:rPr>
        <w:t>主要</w:t>
      </w:r>
      <w:r>
        <w:rPr>
          <w:rFonts w:hint="eastAsia" w:ascii="宋体" w:hAnsi="宋体" w:eastAsia="宋体" w:cs="宋体"/>
          <w:b w:val="0"/>
          <w:bCs/>
          <w:sz w:val="24"/>
          <w:szCs w:val="24"/>
        </w:rPr>
        <w:t>设备到货周期为合同签订后</w:t>
      </w:r>
      <w:r>
        <w:rPr>
          <w:rFonts w:hint="eastAsia" w:ascii="宋体" w:hAnsi="宋体" w:eastAsia="宋体" w:cs="宋体"/>
          <w:b w:val="0"/>
          <w:bCs/>
          <w:sz w:val="24"/>
          <w:szCs w:val="24"/>
          <w:lang w:val="en-US" w:eastAsia="zh-CN"/>
        </w:rPr>
        <w:t>30个自然日</w:t>
      </w:r>
      <w:r>
        <w:rPr>
          <w:rFonts w:hint="eastAsia" w:ascii="宋体" w:hAnsi="宋体" w:eastAsia="宋体" w:cs="宋体"/>
          <w:b w:val="0"/>
          <w:bCs/>
          <w:sz w:val="24"/>
          <w:szCs w:val="24"/>
        </w:rPr>
        <w:t>到达招标方指</w:t>
      </w:r>
      <w:r>
        <w:rPr>
          <w:rFonts w:hint="eastAsia" w:ascii="宋体" w:hAnsi="宋体" w:eastAsia="宋体" w:cs="宋体"/>
          <w:b w:val="0"/>
          <w:bCs/>
          <w:i w:val="0"/>
          <w:iCs w:val="0"/>
          <w:caps w:val="0"/>
          <w:color w:val="000000"/>
          <w:spacing w:val="0"/>
          <w:sz w:val="24"/>
          <w:szCs w:val="24"/>
          <w:shd w:val="clear" w:color="auto" w:fill="FFFFFF"/>
        </w:rPr>
        <w:t>定位置。</w:t>
      </w:r>
    </w:p>
    <w:p>
      <w:pPr>
        <w:pStyle w:val="7"/>
        <w:bidi w:val="0"/>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3.2.项目</w:t>
      </w:r>
      <w:r>
        <w:rPr>
          <w:rFonts w:hint="eastAsia" w:ascii="宋体" w:hAnsi="宋体" w:eastAsia="宋体" w:cs="宋体"/>
          <w:b w:val="0"/>
          <w:bCs/>
          <w:sz w:val="24"/>
          <w:szCs w:val="24"/>
        </w:rPr>
        <w:t>验收</w:t>
      </w:r>
    </w:p>
    <w:p>
      <w:pPr>
        <w:pStyle w:val="8"/>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3.2.1投标方书面提出验收申请，招标方按合同规定的期限内完成验收。招标方对投标方提供的测试记录进行抽查测试，如果测试结果满足合同标准，则认为合格；若测试结果不满足合同标准，验收不通过。验收通过后，双方及最终用户共同签署验收证书。</w:t>
      </w:r>
    </w:p>
    <w:p>
      <w:pPr>
        <w:pStyle w:val="7"/>
        <w:bidi w:val="0"/>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3.3</w:t>
      </w:r>
      <w:r>
        <w:rPr>
          <w:rFonts w:hint="eastAsia" w:ascii="宋体" w:hAnsi="宋体" w:eastAsia="宋体" w:cs="宋体"/>
          <w:b w:val="0"/>
          <w:bCs/>
          <w:sz w:val="24"/>
          <w:szCs w:val="24"/>
        </w:rPr>
        <w:t>售后服务</w:t>
      </w:r>
    </w:p>
    <w:p>
      <w:pPr>
        <w:pStyle w:val="8"/>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3.3.1投标方对所建设一网络两平台提供不少于1年的售后服务，售后服务期从验收合格后开始。</w:t>
      </w:r>
    </w:p>
    <w:p>
      <w:pPr>
        <w:pStyle w:val="8"/>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3.3.2投标方所投设备的软硬件在保修期内需有本地专业售后技术服务人员，保证24小时电话畅通。所投设备在保修期内发生软件或硬件故障导致网络中断，投标方给出按照故障等级不同的故障修复时间。</w:t>
      </w:r>
    </w:p>
    <w:tbl>
      <w:tblPr>
        <w:tblStyle w:val="37"/>
        <w:tblpPr w:vertAnchor="text"/>
        <w:tblW w:w="841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60"/>
        <w:gridCol w:w="1460"/>
        <w:gridCol w:w="1804"/>
        <w:gridCol w:w="1890"/>
        <w:gridCol w:w="18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4" w:hRule="atLeast"/>
        </w:trPr>
        <w:tc>
          <w:tcPr>
            <w:tcW w:w="867" w:type="pct"/>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故障级别</w:t>
            </w:r>
          </w:p>
        </w:tc>
        <w:tc>
          <w:tcPr>
            <w:tcW w:w="867" w:type="pct"/>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P1级故障</w:t>
            </w:r>
          </w:p>
        </w:tc>
        <w:tc>
          <w:tcPr>
            <w:tcW w:w="1071" w:type="pct"/>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P2级故障</w:t>
            </w:r>
          </w:p>
        </w:tc>
        <w:tc>
          <w:tcPr>
            <w:tcW w:w="1122" w:type="pct"/>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P3级故障</w:t>
            </w:r>
          </w:p>
        </w:tc>
        <w:tc>
          <w:tcPr>
            <w:tcW w:w="1071" w:type="pct"/>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P4级故障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8" w:hRule="atLeast"/>
        </w:trPr>
        <w:tc>
          <w:tcPr>
            <w:tcW w:w="867" w:type="pc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故障级别定义</w:t>
            </w:r>
          </w:p>
        </w:tc>
        <w:tc>
          <w:tcPr>
            <w:tcW w:w="867"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重大故障，系统瘫痪，业务丢失</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系统部分功能故障，影响和限制了部分业务运营</w:t>
            </w:r>
          </w:p>
        </w:tc>
        <w:tc>
          <w:tcPr>
            <w:tcW w:w="1122"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一般性技术故障，发现系统和设备的技术问题，但系统仍可正常运行</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在产品功能，安装或配置方面需要信息或支援，但对用户的业务几乎无影响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4" w:hRule="atLeast"/>
        </w:trPr>
        <w:tc>
          <w:tcPr>
            <w:tcW w:w="867" w:type="pc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电话响应</w:t>
            </w:r>
          </w:p>
        </w:tc>
        <w:tc>
          <w:tcPr>
            <w:tcW w:w="867"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立即</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立即</w:t>
            </w:r>
          </w:p>
        </w:tc>
        <w:tc>
          <w:tcPr>
            <w:tcW w:w="1122"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１小时</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8小时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4" w:hRule="atLeast"/>
        </w:trPr>
        <w:tc>
          <w:tcPr>
            <w:tcW w:w="867" w:type="pc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远程响应</w:t>
            </w:r>
          </w:p>
        </w:tc>
        <w:tc>
          <w:tcPr>
            <w:tcW w:w="867"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立即</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立即</w:t>
            </w:r>
          </w:p>
        </w:tc>
        <w:tc>
          <w:tcPr>
            <w:tcW w:w="1122"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１小时</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8小时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4" w:hRule="atLeast"/>
        </w:trPr>
        <w:tc>
          <w:tcPr>
            <w:tcW w:w="867" w:type="pc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抵达现场时间</w:t>
            </w:r>
          </w:p>
        </w:tc>
        <w:tc>
          <w:tcPr>
            <w:tcW w:w="867"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2小时内</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2小时内</w:t>
            </w:r>
          </w:p>
        </w:tc>
        <w:tc>
          <w:tcPr>
            <w:tcW w:w="1122"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4小时内</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无需前往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867" w:type="pc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排除故障时间</w:t>
            </w:r>
          </w:p>
        </w:tc>
        <w:tc>
          <w:tcPr>
            <w:tcW w:w="867"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4小时内</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4小时内</w:t>
            </w:r>
          </w:p>
        </w:tc>
        <w:tc>
          <w:tcPr>
            <w:tcW w:w="1122"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8小时内</w:t>
            </w:r>
          </w:p>
        </w:tc>
        <w:tc>
          <w:tcPr>
            <w:tcW w:w="1071" w:type="pct"/>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无故障</w:t>
            </w:r>
          </w:p>
        </w:tc>
      </w:tr>
    </w:tbl>
    <w:p>
      <w:pPr>
        <w:keepNext w:val="0"/>
        <w:keepLines w:val="0"/>
        <w:widowControl/>
        <w:suppressLineNumbers w:val="0"/>
        <w:shd w:val="clear" w:color="auto" w:fill="FFFFFF"/>
        <w:spacing w:before="0" w:beforeAutospacing="0" w:after="0" w:afterAutospacing="0" w:line="500" w:lineRule="atLeast"/>
        <w:ind w:right="0" w:firstLine="480" w:firstLineChars="20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color="auto" w:fill="FFFFFF"/>
          <w:lang w:val="en-US" w:eastAsia="zh-CN" w:bidi="ar"/>
        </w:rPr>
        <w:t>3.4.3、为了保证设备的正常运行，在设备保修期内投标方每年至少组织一次巡检，提供设备巡检服务，对设备进行全面的检查，排除存在的隐患，并提交详细的巡检报告。</w:t>
      </w:r>
    </w:p>
    <w:p>
      <w:pPr>
        <w:keepNext w:val="0"/>
        <w:keepLines w:val="0"/>
        <w:widowControl/>
        <w:suppressLineNumbers w:val="0"/>
        <w:shd w:val="clear" w:color="auto" w:fill="FFFFFF"/>
        <w:spacing w:before="0" w:beforeAutospacing="0" w:after="0" w:afterAutospacing="0" w:line="500" w:lineRule="atLeast"/>
        <w:ind w:left="0" w:right="0" w:firstLine="480" w:firstLineChars="20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color="auto" w:fill="FFFFFF"/>
          <w:lang w:val="en-US" w:eastAsia="zh-CN" w:bidi="ar"/>
        </w:rPr>
        <w:t>3.4.4、保修期内投标方所投设备有改进功能或功能扩充时，应免费向招标方提供所需新功能的软件版本。</w:t>
      </w:r>
    </w:p>
    <w:p>
      <w:pPr>
        <w:keepNext w:val="0"/>
        <w:keepLines w:val="0"/>
        <w:widowControl/>
        <w:suppressLineNumbers w:val="0"/>
        <w:shd w:val="clear" w:color="auto" w:fill="FFFFFF"/>
        <w:spacing w:before="0" w:beforeAutospacing="0" w:after="0" w:afterAutospacing="0" w:line="500" w:lineRule="atLeast"/>
        <w:ind w:left="0" w:right="0" w:firstLine="480" w:firstLineChars="20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color="auto" w:fill="FFFFFF"/>
          <w:lang w:val="en-US" w:eastAsia="zh-CN" w:bidi="ar"/>
        </w:rPr>
        <w:t>3.4.5、投标方需在当地储备必要的备品备件。在保修期内坏损板件进行免费维修。</w:t>
      </w:r>
    </w:p>
    <w:p>
      <w:pPr>
        <w:pStyle w:val="4"/>
        <w:spacing w:before="0" w:after="0" w:line="240" w:lineRule="atLeast"/>
        <w:ind w:firstLine="482" w:firstLineChars="200"/>
        <w:jc w:val="center"/>
        <w:outlineLvl w:val="1"/>
        <w:rPr>
          <w:rFonts w:hint="eastAsia" w:ascii="楷体" w:hAnsi="楷体" w:eastAsia="楷体" w:cs="楷体"/>
        </w:rPr>
      </w:pPr>
      <w:r>
        <w:rPr>
          <w:rFonts w:hint="eastAsia" w:ascii="宋体" w:hAnsi="宋体" w:eastAsia="宋体" w:cs="宋体"/>
          <w:sz w:val="24"/>
          <w:szCs w:val="24"/>
          <w:lang w:val="en-US"/>
        </w:rPr>
        <w:t>本项目具体建设内容主要包括</w:t>
      </w:r>
      <w:r>
        <w:rPr>
          <w:rFonts w:hint="eastAsia" w:ascii="宋体" w:hAnsi="宋体" w:eastAsia="宋体" w:cs="宋体"/>
          <w:sz w:val="24"/>
          <w:szCs w:val="24"/>
          <w:lang w:val="en-US" w:eastAsia="zh-CN"/>
        </w:rPr>
        <w:t>：</w:t>
      </w:r>
      <w:r>
        <w:rPr>
          <w:rFonts w:hint="eastAsia" w:ascii="宋体" w:hAnsi="宋体" w:eastAsia="宋体" w:cs="宋体"/>
          <w:sz w:val="24"/>
          <w:szCs w:val="24"/>
          <w:lang w:val="en-US"/>
        </w:rPr>
        <w:t>在</w:t>
      </w:r>
      <w:r>
        <w:rPr>
          <w:rFonts w:hint="eastAsia" w:ascii="宋体" w:hAnsi="宋体" w:eastAsia="宋体" w:cs="宋体"/>
          <w:sz w:val="24"/>
          <w:szCs w:val="24"/>
          <w:lang w:val="en-US" w:eastAsia="zh-CN"/>
        </w:rPr>
        <w:t>察布查尔县</w:t>
      </w:r>
      <w:r>
        <w:rPr>
          <w:rFonts w:hint="eastAsia" w:ascii="宋体" w:hAnsi="宋体" w:eastAsia="宋体" w:cs="宋体"/>
          <w:sz w:val="24"/>
          <w:szCs w:val="24"/>
          <w:lang w:val="en-US"/>
        </w:rPr>
        <w:t>进行广播电视传输网络建设、智慧广电公共服务管理平台建设和专用文化信息服务平台建设三大任务</w:t>
      </w:r>
      <w:r>
        <w:rPr>
          <w:rFonts w:hint="eastAsia" w:ascii="宋体" w:hAnsi="宋体" w:eastAsia="宋体" w:cs="宋体"/>
          <w:sz w:val="24"/>
          <w:szCs w:val="24"/>
          <w:lang w:val="en-US" w:eastAsia="zh-CN"/>
        </w:rPr>
        <w:t>（</w:t>
      </w:r>
      <w:r>
        <w:rPr>
          <w:rFonts w:hint="eastAsia" w:ascii="宋体" w:hAnsi="宋体" w:eastAsia="宋体" w:cs="宋体"/>
          <w:sz w:val="24"/>
          <w:szCs w:val="24"/>
          <w:lang w:val="en-US"/>
        </w:rPr>
        <w:t>以下简称“一网两平台”</w:t>
      </w:r>
      <w:r>
        <w:rPr>
          <w:rFonts w:hint="eastAsia" w:ascii="宋体" w:hAnsi="宋体" w:eastAsia="宋体" w:cs="宋体"/>
          <w:sz w:val="24"/>
          <w:szCs w:val="24"/>
          <w:lang w:val="en-US" w:eastAsia="zh-CN"/>
        </w:rPr>
        <w:t>）</w:t>
      </w:r>
      <w:bookmarkEnd w:id="493"/>
      <w:bookmarkEnd w:id="494"/>
      <w:bookmarkEnd w:id="495"/>
      <w:bookmarkEnd w:id="496"/>
      <w:bookmarkEnd w:id="497"/>
      <w:bookmarkEnd w:id="498"/>
      <w:bookmarkEnd w:id="499"/>
      <w:bookmarkEnd w:id="500"/>
      <w:bookmarkEnd w:id="501"/>
      <w:r>
        <w:rPr>
          <w:rFonts w:hint="eastAsia" w:ascii="楷体" w:hAnsi="楷体" w:eastAsia="楷体" w:cs="楷体"/>
        </w:rPr>
        <w:br w:type="page"/>
      </w:r>
      <w:bookmarkStart w:id="560" w:name="_Toc2945"/>
      <w:bookmarkStart w:id="561" w:name="_Toc23086"/>
      <w:bookmarkStart w:id="562" w:name="_Toc9942"/>
      <w:bookmarkStart w:id="563" w:name="_Toc1265"/>
      <w:bookmarkStart w:id="564" w:name="_Toc13558"/>
      <w:r>
        <w:rPr>
          <w:rFonts w:hint="eastAsia" w:ascii="宋体" w:hAnsi="宋体" w:eastAsia="宋体" w:cs="宋体"/>
        </w:rPr>
        <w:t>第</w:t>
      </w:r>
      <w:r>
        <w:rPr>
          <w:rFonts w:hint="eastAsia" w:ascii="宋体" w:hAnsi="宋体" w:eastAsia="宋体" w:cs="宋体"/>
          <w:lang w:val="en-US" w:eastAsia="zh-CN"/>
        </w:rPr>
        <w:t>七</w:t>
      </w:r>
      <w:r>
        <w:rPr>
          <w:rFonts w:hint="eastAsia" w:ascii="宋体" w:hAnsi="宋体" w:eastAsia="宋体" w:cs="宋体"/>
        </w:rPr>
        <w:t>章    评标方法和标准</w:t>
      </w:r>
      <w:bookmarkEnd w:id="560"/>
      <w:bookmarkEnd w:id="561"/>
      <w:bookmarkEnd w:id="562"/>
      <w:bookmarkEnd w:id="563"/>
      <w:bookmarkEnd w:id="564"/>
    </w:p>
    <w:p>
      <w:pPr>
        <w:pStyle w:val="5"/>
        <w:ind w:firstLine="602" w:firstLineChars="200"/>
        <w:jc w:val="center"/>
      </w:pPr>
      <w:r>
        <w:rPr>
          <w:rFonts w:hint="eastAsia" w:ascii="宋体" w:hAnsi="宋体" w:eastAsia="宋体"/>
        </w:rPr>
        <w:t>评标办法前附表</w:t>
      </w:r>
    </w:p>
    <w:tbl>
      <w:tblPr>
        <w:tblStyle w:val="37"/>
        <w:tblpPr w:leftFromText="180" w:rightFromText="180" w:vertAnchor="text" w:horzAnchor="page" w:tblpX="1320" w:tblpY="196"/>
        <w:tblOverlap w:val="never"/>
        <w:tblW w:w="9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843"/>
        <w:gridCol w:w="1215"/>
        <w:gridCol w:w="1651"/>
        <w:gridCol w:w="4253"/>
        <w:gridCol w:w="1051"/>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81" w:hRule="atLeast"/>
        </w:trPr>
        <w:tc>
          <w:tcPr>
            <w:tcW w:w="2058" w:type="dxa"/>
            <w:gridSpan w:val="2"/>
            <w:vMerge w:val="restart"/>
            <w:noWrap w:val="0"/>
            <w:vAlign w:val="center"/>
          </w:tcPr>
          <w:p>
            <w:pPr>
              <w:pStyle w:val="126"/>
              <w:jc w:val="center"/>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评分因素</w:t>
            </w:r>
          </w:p>
        </w:tc>
        <w:tc>
          <w:tcPr>
            <w:tcW w:w="1651" w:type="dxa"/>
            <w:vMerge w:val="restart"/>
            <w:noWrap w:val="0"/>
            <w:vAlign w:val="center"/>
          </w:tcPr>
          <w:p>
            <w:pPr>
              <w:pStyle w:val="126"/>
              <w:jc w:val="center"/>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评分点</w:t>
            </w:r>
          </w:p>
        </w:tc>
        <w:tc>
          <w:tcPr>
            <w:tcW w:w="4253" w:type="dxa"/>
            <w:vMerge w:val="restart"/>
            <w:noWrap w:val="0"/>
            <w:vAlign w:val="center"/>
          </w:tcPr>
          <w:p>
            <w:pPr>
              <w:pStyle w:val="126"/>
              <w:jc w:val="center"/>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评分标准</w:t>
            </w:r>
          </w:p>
        </w:tc>
        <w:tc>
          <w:tcPr>
            <w:tcW w:w="2027" w:type="dxa"/>
            <w:gridSpan w:val="2"/>
            <w:noWrap w:val="0"/>
            <w:vAlign w:val="center"/>
          </w:tcPr>
          <w:p>
            <w:pPr>
              <w:pStyle w:val="126"/>
              <w:jc w:val="center"/>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81" w:hRule="atLeast"/>
        </w:trPr>
        <w:tc>
          <w:tcPr>
            <w:tcW w:w="2058" w:type="dxa"/>
            <w:gridSpan w:val="2"/>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4253"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051" w:type="dxa"/>
            <w:noWrap w:val="0"/>
            <w:vAlign w:val="center"/>
          </w:tcPr>
          <w:p>
            <w:pPr>
              <w:pStyle w:val="126"/>
              <w:jc w:val="center"/>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是</w:t>
            </w:r>
          </w:p>
        </w:tc>
        <w:tc>
          <w:tcPr>
            <w:tcW w:w="976" w:type="dxa"/>
            <w:noWrap w:val="0"/>
            <w:vAlign w:val="center"/>
          </w:tcPr>
          <w:p>
            <w:pPr>
              <w:pStyle w:val="126"/>
              <w:jc w:val="center"/>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0" w:hRule="atLeast"/>
        </w:trPr>
        <w:tc>
          <w:tcPr>
            <w:tcW w:w="843" w:type="dxa"/>
            <w:vMerge w:val="restart"/>
            <w:noWrap w:val="0"/>
            <w:vAlign w:val="center"/>
          </w:tcPr>
          <w:p>
            <w:pPr>
              <w:pStyle w:val="126"/>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初步评审</w:t>
            </w:r>
          </w:p>
        </w:tc>
        <w:tc>
          <w:tcPr>
            <w:tcW w:w="1215" w:type="dxa"/>
            <w:vMerge w:val="restart"/>
            <w:noWrap w:val="0"/>
            <w:vAlign w:val="center"/>
          </w:tcPr>
          <w:p>
            <w:pPr>
              <w:pStyle w:val="126"/>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资格</w:t>
            </w:r>
            <w:r>
              <w:rPr>
                <w:rFonts w:hint="eastAsia" w:ascii="宋体" w:hAnsi="宋体" w:eastAsia="宋体" w:cs="宋体"/>
                <w:color w:val="000000"/>
                <w:sz w:val="21"/>
                <w:szCs w:val="21"/>
                <w:highlight w:val="none"/>
                <w:lang w:val="en-US" w:eastAsia="zh-CN"/>
              </w:rPr>
              <w:t>性</w:t>
            </w:r>
            <w:r>
              <w:rPr>
                <w:rFonts w:hint="eastAsia" w:ascii="宋体" w:hAnsi="宋体" w:eastAsia="宋体" w:cs="宋体"/>
                <w:color w:val="000000"/>
                <w:sz w:val="21"/>
                <w:szCs w:val="21"/>
                <w:highlight w:val="none"/>
              </w:rPr>
              <w:t>检查</w:t>
            </w:r>
          </w:p>
        </w:tc>
        <w:tc>
          <w:tcPr>
            <w:tcW w:w="165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法人或者非法人组织的营业执照等证明文件或自然人的身份证明</w:t>
            </w:r>
          </w:p>
        </w:tc>
        <w:tc>
          <w:tcPr>
            <w:tcW w:w="4253" w:type="dxa"/>
            <w:noWrap w:val="0"/>
            <w:vAlign w:val="center"/>
          </w:tcPr>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投标人须</w:t>
            </w:r>
            <w:r>
              <w:rPr>
                <w:rFonts w:hint="eastAsia" w:ascii="宋体" w:hAnsi="宋体" w:eastAsia="宋体" w:cs="宋体"/>
                <w:color w:val="000000"/>
                <w:sz w:val="21"/>
                <w:szCs w:val="21"/>
                <w:highlight w:val="none"/>
              </w:rPr>
              <w:t>提供有效的营业执照等证明文件复印件</w:t>
            </w:r>
            <w:r>
              <w:rPr>
                <w:rFonts w:hint="eastAsia" w:ascii="宋体" w:hAnsi="宋体" w:eastAsia="宋体" w:cs="宋体"/>
                <w:color w:val="000000"/>
                <w:sz w:val="21"/>
                <w:szCs w:val="21"/>
                <w:highlight w:val="none"/>
                <w:lang w:val="en-US" w:eastAsia="zh-CN"/>
              </w:rPr>
              <w:t>并</w:t>
            </w:r>
            <w:r>
              <w:rPr>
                <w:rFonts w:hint="eastAsia" w:ascii="宋体" w:hAnsi="宋体" w:eastAsia="宋体" w:cs="宋体"/>
                <w:color w:val="000000"/>
                <w:sz w:val="21"/>
                <w:szCs w:val="21"/>
                <w:highlight w:val="none"/>
              </w:rPr>
              <w:t>加盖本单位公章。</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投标人为自然人的，应提供身份证明的复印件。</w:t>
            </w:r>
          </w:p>
          <w:p>
            <w:pPr>
              <w:jc w:val="left"/>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联合体投标应提供联合体各方满足以上要求的证明文件。</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682"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rPr>
                <w:rFonts w:hint="eastAsia" w:ascii="宋体" w:hAnsi="宋体" w:eastAsia="宋体" w:cs="宋体"/>
                <w:color w:val="000000"/>
                <w:sz w:val="21"/>
                <w:szCs w:val="21"/>
                <w:highlight w:val="none"/>
              </w:rPr>
            </w:pPr>
          </w:p>
        </w:tc>
        <w:tc>
          <w:tcPr>
            <w:tcW w:w="1651" w:type="dxa"/>
            <w:noWrap w:val="0"/>
            <w:vAlign w:val="center"/>
          </w:tcPr>
          <w:p>
            <w:pPr>
              <w:pStyle w:val="127"/>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b w:val="0"/>
                <w:color w:val="000000"/>
                <w:kern w:val="2"/>
                <w:sz w:val="21"/>
                <w:szCs w:val="21"/>
                <w:highlight w:val="none"/>
                <w:lang w:val="en-US" w:eastAsia="zh-CN"/>
              </w:rPr>
              <w:t>投标人具有良好的商业信誉和健全的财务会计制度的证明文件</w:t>
            </w:r>
          </w:p>
        </w:tc>
        <w:tc>
          <w:tcPr>
            <w:tcW w:w="4253" w:type="dxa"/>
            <w:noWrap w:val="0"/>
            <w:vAlign w:val="center"/>
          </w:tcPr>
          <w:p>
            <w:pPr>
              <w:jc w:val="lef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1、投标人须提供本单位2021年度或2022年度经会计师事务所出具的审计报告复印件并加盖本单位公章。</w:t>
            </w:r>
          </w:p>
          <w:p>
            <w:pPr>
              <w:jc w:val="lef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如投标人无法提供2021年度或2022年度审计报告，则须提供银行在投标截止时间前三个月内开具证明文件的原件或复印件（银行出具的证明文件应能说明该投标人与银行之间业务往来正常，企业信誉良好等）。若提供的是复印件，采购单位保留审核原件的权利。</w:t>
            </w:r>
          </w:p>
          <w:p>
            <w:pPr>
              <w:jc w:val="lef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3、成立时间距离投标截止时间不足三个月的投标人可出具具有良好的商业信誉和健全的财务会计制度承诺函并</w:t>
            </w:r>
            <w:r>
              <w:rPr>
                <w:rFonts w:hint="eastAsia" w:ascii="宋体" w:hAnsi="宋体" w:eastAsia="宋体" w:cs="宋体"/>
                <w:b w:val="0"/>
                <w:color w:val="000000"/>
                <w:kern w:val="2"/>
                <w:sz w:val="21"/>
                <w:szCs w:val="21"/>
                <w:highlight w:val="none"/>
                <w:lang w:val="en-US" w:eastAsia="zh-CN"/>
              </w:rPr>
              <w:t>加盖本单位公章</w:t>
            </w:r>
            <w:r>
              <w:rPr>
                <w:rFonts w:hint="eastAsia" w:ascii="宋体" w:hAnsi="宋体" w:eastAsia="宋体" w:cs="宋体"/>
                <w:color w:val="000000"/>
                <w:sz w:val="21"/>
                <w:szCs w:val="21"/>
                <w:highlight w:val="none"/>
                <w:lang w:val="en-US" w:eastAsia="zh-CN"/>
              </w:rPr>
              <w:t>（格式自拟）。</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4、如果是联合体投标，联合体各方均须提供上述证明。</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2433"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rPr>
                <w:rFonts w:hint="eastAsia" w:ascii="宋体" w:hAnsi="宋体" w:eastAsia="宋体" w:cs="宋体"/>
                <w:color w:val="000000"/>
                <w:sz w:val="21"/>
                <w:szCs w:val="21"/>
                <w:highlight w:val="none"/>
              </w:rPr>
            </w:pPr>
          </w:p>
        </w:tc>
        <w:tc>
          <w:tcPr>
            <w:tcW w:w="1651" w:type="dxa"/>
            <w:noWrap w:val="0"/>
            <w:vAlign w:val="center"/>
          </w:tcPr>
          <w:p>
            <w:pPr>
              <w:pStyle w:val="127"/>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b w:val="0"/>
                <w:color w:val="000000"/>
                <w:kern w:val="2"/>
                <w:sz w:val="21"/>
                <w:szCs w:val="21"/>
                <w:highlight w:val="none"/>
                <w:lang w:val="en-US" w:eastAsia="zh-CN"/>
              </w:rPr>
              <w:t>投标保证金缴纳凭证复印件或投标担保函</w:t>
            </w:r>
          </w:p>
        </w:tc>
        <w:tc>
          <w:tcPr>
            <w:tcW w:w="4253" w:type="dxa"/>
            <w:noWrap w:val="0"/>
            <w:vAlign w:val="center"/>
          </w:tcPr>
          <w:p>
            <w:pPr>
              <w:pStyle w:val="127"/>
              <w:numPr>
                <w:ilvl w:val="0"/>
                <w:numId w:val="33"/>
              </w:numPr>
              <w:spacing w:line="360" w:lineRule="auto"/>
              <w:rPr>
                <w:rFonts w:hint="eastAsia" w:ascii="宋体" w:hAnsi="宋体" w:eastAsia="宋体" w:cs="宋体"/>
                <w:b w:val="0"/>
                <w:color w:val="000000"/>
                <w:sz w:val="21"/>
                <w:szCs w:val="21"/>
                <w:highlight w:val="none"/>
                <w:lang w:val="en-US" w:eastAsia="zh-CN" w:bidi="ar-SA"/>
              </w:rPr>
            </w:pPr>
            <w:r>
              <w:rPr>
                <w:rFonts w:hint="eastAsia" w:ascii="宋体" w:hAnsi="宋体" w:eastAsia="宋体" w:cs="宋体"/>
                <w:b w:val="0"/>
                <w:color w:val="000000"/>
                <w:sz w:val="21"/>
                <w:szCs w:val="21"/>
                <w:highlight w:val="none"/>
                <w:lang w:val="en-US" w:eastAsia="zh-CN" w:bidi="ar-SA"/>
              </w:rPr>
              <w:t>投标人须提供投标保证金支付的汇款凭证、支票、汇票或保证金收据（如有）的复印件并加盖本单位公章；</w:t>
            </w:r>
          </w:p>
          <w:p>
            <w:pPr>
              <w:pStyle w:val="127"/>
              <w:numPr>
                <w:ilvl w:val="0"/>
                <w:numId w:val="0"/>
              </w:numPr>
              <w:spacing w:line="360" w:lineRule="auto"/>
              <w:rPr>
                <w:rFonts w:hint="eastAsia" w:ascii="宋体" w:hAnsi="宋体" w:eastAsia="宋体" w:cs="宋体"/>
                <w:color w:val="000000"/>
                <w:sz w:val="21"/>
                <w:szCs w:val="21"/>
                <w:highlight w:val="none"/>
              </w:rPr>
            </w:pPr>
            <w:r>
              <w:rPr>
                <w:rFonts w:hint="eastAsia" w:ascii="宋体" w:hAnsi="宋体" w:eastAsia="宋体" w:cs="宋体"/>
                <w:b w:val="0"/>
                <w:color w:val="000000"/>
                <w:sz w:val="21"/>
                <w:szCs w:val="21"/>
                <w:highlight w:val="none"/>
                <w:lang w:val="en-US" w:eastAsia="zh-CN" w:bidi="ar-SA"/>
              </w:rPr>
              <w:t>2、若投标人使用银行保函等其他投标担保函提交投标保证金的，须提供担保函正本的扫描件；如采用政府采购信用担保形式的，应使用（投标文件格式一），提供原件的扫描件。</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2488"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rPr>
                <w:rFonts w:hint="eastAsia" w:ascii="宋体" w:hAnsi="宋体" w:eastAsia="宋体" w:cs="宋体"/>
                <w:color w:val="000000"/>
                <w:sz w:val="21"/>
                <w:szCs w:val="21"/>
                <w:highlight w:val="none"/>
              </w:rPr>
            </w:pPr>
          </w:p>
        </w:tc>
        <w:tc>
          <w:tcPr>
            <w:tcW w:w="1651" w:type="dxa"/>
            <w:noWrap w:val="0"/>
            <w:vAlign w:val="center"/>
          </w:tcPr>
          <w:p>
            <w:pPr>
              <w:pStyle w:val="127"/>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b w:val="0"/>
                <w:color w:val="000000"/>
                <w:kern w:val="2"/>
                <w:sz w:val="21"/>
                <w:szCs w:val="21"/>
                <w:highlight w:val="none"/>
                <w:lang w:val="en-US" w:eastAsia="zh-CN"/>
              </w:rPr>
              <w:t>符合要求的依法缴纳税收和社会保障资金记录</w:t>
            </w:r>
          </w:p>
        </w:tc>
        <w:tc>
          <w:tcPr>
            <w:tcW w:w="4253" w:type="dxa"/>
            <w:noWrap w:val="0"/>
            <w:vAlign w:val="center"/>
          </w:tcPr>
          <w:p>
            <w:pPr>
              <w:pStyle w:val="127"/>
              <w:spacing w:line="360" w:lineRule="auto"/>
              <w:rPr>
                <w:rFonts w:hint="eastAsia" w:ascii="宋体" w:hAnsi="宋体" w:eastAsia="宋体" w:cs="宋体"/>
                <w:b w:val="0"/>
                <w:color w:val="000000"/>
                <w:kern w:val="2"/>
                <w:sz w:val="21"/>
                <w:szCs w:val="21"/>
                <w:highlight w:val="none"/>
                <w:lang w:val="en-US" w:eastAsia="zh-CN"/>
              </w:rPr>
            </w:pPr>
            <w:r>
              <w:rPr>
                <w:rFonts w:hint="eastAsia" w:ascii="宋体" w:hAnsi="宋体" w:eastAsia="宋体" w:cs="宋体"/>
                <w:b w:val="0"/>
                <w:color w:val="000000"/>
                <w:kern w:val="2"/>
                <w:sz w:val="21"/>
                <w:szCs w:val="21"/>
                <w:highlight w:val="none"/>
                <w:lang w:val="en-US" w:eastAsia="zh-CN"/>
              </w:rPr>
              <w:t>1、投标人须提供最近3个月任意一个月的纳税和社保缴纳记录复印件并加盖本单位公章；</w:t>
            </w:r>
          </w:p>
          <w:p>
            <w:pPr>
              <w:pStyle w:val="127"/>
              <w:spacing w:line="360" w:lineRule="auto"/>
              <w:rPr>
                <w:rFonts w:hint="eastAsia" w:ascii="宋体" w:hAnsi="宋体" w:eastAsia="宋体" w:cs="宋体"/>
                <w:b w:val="0"/>
                <w:color w:val="000000"/>
                <w:kern w:val="2"/>
                <w:sz w:val="21"/>
                <w:szCs w:val="21"/>
                <w:highlight w:val="none"/>
                <w:lang w:val="en-US" w:eastAsia="zh-CN"/>
              </w:rPr>
            </w:pPr>
            <w:r>
              <w:rPr>
                <w:rFonts w:hint="eastAsia" w:ascii="宋体" w:hAnsi="宋体" w:eastAsia="宋体" w:cs="宋体"/>
                <w:b w:val="0"/>
                <w:color w:val="000000"/>
                <w:kern w:val="2"/>
                <w:sz w:val="21"/>
                <w:szCs w:val="21"/>
                <w:highlight w:val="none"/>
                <w:lang w:val="en-US" w:eastAsia="zh-CN"/>
              </w:rPr>
              <w:t>2、成立不满3个月的企业，须提供依法缴纳税收和社保承诺书并加盖本单位公章（格式自拟）。</w:t>
            </w:r>
          </w:p>
          <w:p>
            <w:pPr>
              <w:pStyle w:val="127"/>
              <w:spacing w:line="360" w:lineRule="auto"/>
              <w:rPr>
                <w:rFonts w:hint="eastAsia" w:ascii="宋体" w:hAnsi="宋体" w:eastAsia="宋体" w:cs="宋体"/>
                <w:color w:val="000000"/>
                <w:sz w:val="21"/>
                <w:szCs w:val="21"/>
                <w:highlight w:val="none"/>
              </w:rPr>
            </w:pPr>
            <w:r>
              <w:rPr>
                <w:rFonts w:hint="eastAsia" w:ascii="宋体" w:hAnsi="宋体" w:eastAsia="宋体" w:cs="宋体"/>
                <w:b w:val="0"/>
                <w:color w:val="000000"/>
                <w:kern w:val="2"/>
                <w:sz w:val="21"/>
                <w:szCs w:val="21"/>
                <w:highlight w:val="none"/>
                <w:lang w:val="en-US" w:eastAsia="zh-CN"/>
              </w:rPr>
              <w:t>3、如果是联合体投标，联合体各方均须提供上述证明。</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982"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rPr>
                <w:rFonts w:hint="eastAsia" w:ascii="宋体" w:hAnsi="宋体" w:eastAsia="宋体" w:cs="宋体"/>
                <w:color w:val="000000"/>
                <w:sz w:val="21"/>
                <w:szCs w:val="21"/>
                <w:highlight w:val="none"/>
              </w:rPr>
            </w:pPr>
          </w:p>
        </w:tc>
        <w:tc>
          <w:tcPr>
            <w:tcW w:w="1651" w:type="dxa"/>
            <w:noWrap w:val="0"/>
            <w:vAlign w:val="center"/>
          </w:tcPr>
          <w:p>
            <w:pPr>
              <w:pStyle w:val="127"/>
              <w:spacing w:line="360" w:lineRule="auto"/>
              <w:rPr>
                <w:rFonts w:hint="eastAsia" w:ascii="宋体" w:hAnsi="宋体" w:eastAsia="宋体" w:cs="宋体"/>
                <w:b w:val="0"/>
                <w:color w:val="000000"/>
                <w:kern w:val="2"/>
                <w:sz w:val="21"/>
                <w:szCs w:val="21"/>
                <w:highlight w:val="none"/>
                <w:lang w:val="en-US" w:eastAsia="zh-CN"/>
              </w:rPr>
            </w:pPr>
            <w:r>
              <w:rPr>
                <w:rFonts w:hint="eastAsia" w:ascii="宋体" w:hAnsi="宋体" w:eastAsia="宋体" w:cs="宋体"/>
                <w:b w:val="0"/>
                <w:color w:val="000000"/>
                <w:kern w:val="2"/>
                <w:sz w:val="21"/>
                <w:szCs w:val="21"/>
                <w:highlight w:val="none"/>
                <w:lang w:val="en-US" w:eastAsia="zh-CN"/>
              </w:rPr>
              <w:t>参加政府采购活动前3年内在经营活动中没有重大违法记录的书面声明</w:t>
            </w:r>
          </w:p>
        </w:tc>
        <w:tc>
          <w:tcPr>
            <w:tcW w:w="4253" w:type="dxa"/>
            <w:noWrap w:val="0"/>
            <w:vAlign w:val="center"/>
          </w:tcPr>
          <w:p>
            <w:pPr>
              <w:pStyle w:val="127"/>
              <w:spacing w:line="360" w:lineRule="auto"/>
              <w:rPr>
                <w:rFonts w:hint="eastAsia" w:ascii="宋体" w:hAnsi="宋体" w:eastAsia="宋体" w:cs="宋体"/>
                <w:b w:val="0"/>
                <w:color w:val="000000"/>
                <w:kern w:val="2"/>
                <w:sz w:val="21"/>
                <w:szCs w:val="21"/>
                <w:highlight w:val="none"/>
                <w:lang w:val="en-US" w:eastAsia="zh-CN"/>
              </w:rPr>
            </w:pPr>
            <w:r>
              <w:rPr>
                <w:rFonts w:hint="eastAsia" w:ascii="宋体" w:hAnsi="宋体" w:eastAsia="宋体" w:cs="宋体"/>
                <w:b w:val="0"/>
                <w:color w:val="000000"/>
                <w:kern w:val="2"/>
                <w:sz w:val="21"/>
                <w:szCs w:val="21"/>
                <w:highlight w:val="none"/>
                <w:lang w:val="en-US" w:eastAsia="zh-CN"/>
              </w:rPr>
              <w:t>1、投标人应按照相关法规规定如实作出声明并加盖本单位公章。</w:t>
            </w:r>
          </w:p>
          <w:p>
            <w:pPr>
              <w:pStyle w:val="127"/>
              <w:spacing w:line="360" w:lineRule="auto"/>
              <w:rPr>
                <w:rFonts w:hint="eastAsia" w:ascii="宋体" w:hAnsi="宋体" w:eastAsia="宋体" w:cs="宋体"/>
                <w:b w:val="0"/>
                <w:color w:val="000000"/>
                <w:kern w:val="2"/>
                <w:sz w:val="21"/>
                <w:szCs w:val="21"/>
                <w:highlight w:val="none"/>
                <w:lang w:val="en-US" w:eastAsia="zh-CN"/>
              </w:rPr>
            </w:pPr>
            <w:r>
              <w:rPr>
                <w:rFonts w:hint="eastAsia" w:ascii="宋体" w:hAnsi="宋体" w:eastAsia="宋体" w:cs="宋体"/>
                <w:b w:val="0"/>
                <w:color w:val="000000"/>
                <w:kern w:val="2"/>
                <w:sz w:val="21"/>
                <w:szCs w:val="21"/>
                <w:highlight w:val="none"/>
                <w:lang w:val="en-US" w:eastAsia="zh-CN"/>
              </w:rPr>
              <w:t>2、如果是联合体投标，联合体各方均须提供上述证明。</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591"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rPr>
                <w:rFonts w:hint="eastAsia" w:ascii="宋体" w:hAnsi="宋体" w:eastAsia="宋体" w:cs="宋体"/>
                <w:color w:val="000000"/>
                <w:sz w:val="21"/>
                <w:szCs w:val="21"/>
                <w:highlight w:val="none"/>
              </w:rPr>
            </w:pPr>
          </w:p>
        </w:tc>
        <w:tc>
          <w:tcPr>
            <w:tcW w:w="1651" w:type="dxa"/>
            <w:noWrap w:val="0"/>
            <w:vAlign w:val="center"/>
          </w:tcPr>
          <w:p>
            <w:pPr>
              <w:pStyle w:val="127"/>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b w:val="0"/>
                <w:color w:val="000000"/>
                <w:kern w:val="2"/>
                <w:sz w:val="21"/>
                <w:szCs w:val="21"/>
                <w:highlight w:val="none"/>
                <w:lang w:val="en-US" w:eastAsia="zh-CN"/>
              </w:rPr>
              <w:t>投标人须具备国家广播电视总局令第12号要求的《广播电视节目传送业务经营许可证》</w:t>
            </w:r>
          </w:p>
        </w:tc>
        <w:tc>
          <w:tcPr>
            <w:tcW w:w="4253" w:type="dxa"/>
            <w:noWrap w:val="0"/>
            <w:vAlign w:val="center"/>
          </w:tcPr>
          <w:p>
            <w:pPr>
              <w:pStyle w:val="127"/>
              <w:spacing w:line="360" w:lineRule="auto"/>
              <w:rPr>
                <w:rFonts w:hint="eastAsia" w:ascii="宋体" w:hAnsi="宋体" w:eastAsia="宋体" w:cs="宋体"/>
                <w:color w:val="000000"/>
                <w:sz w:val="21"/>
                <w:szCs w:val="21"/>
                <w:highlight w:val="none"/>
              </w:rPr>
            </w:pPr>
            <w:r>
              <w:rPr>
                <w:rFonts w:hint="eastAsia" w:ascii="宋体" w:hAnsi="宋体" w:eastAsia="宋体" w:cs="宋体"/>
                <w:b w:val="0"/>
                <w:color w:val="000000"/>
                <w:kern w:val="2"/>
                <w:sz w:val="21"/>
                <w:szCs w:val="21"/>
                <w:highlight w:val="none"/>
                <w:lang w:val="en-US" w:eastAsia="zh-CN"/>
              </w:rPr>
              <w:t>投标人须具备国家广播电视总局令第12号要求的《广播电视节目传送业务经营许可证》；</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81"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restart"/>
            <w:noWrap w:val="0"/>
            <w:vAlign w:val="center"/>
          </w:tcPr>
          <w:p>
            <w:pPr>
              <w:pStyle w:val="126"/>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符合性检查</w:t>
            </w:r>
          </w:p>
        </w:tc>
        <w:tc>
          <w:tcPr>
            <w:tcW w:w="165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投标人</w:t>
            </w:r>
            <w:r>
              <w:rPr>
                <w:rFonts w:hint="eastAsia" w:ascii="宋体" w:hAnsi="宋体" w:eastAsia="宋体" w:cs="宋体"/>
                <w:color w:val="000000"/>
                <w:sz w:val="21"/>
                <w:szCs w:val="21"/>
                <w:highlight w:val="none"/>
              </w:rPr>
              <w:t>名称</w:t>
            </w:r>
          </w:p>
        </w:tc>
        <w:tc>
          <w:tcPr>
            <w:tcW w:w="4253" w:type="dxa"/>
            <w:noWrap w:val="0"/>
            <w:vAlign w:val="center"/>
          </w:tcPr>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是否与营业执照、资质证书一致</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188"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noWrap w:val="0"/>
            <w:vAlign w:val="center"/>
          </w:tcPr>
          <w:p>
            <w:pPr>
              <w:pStyle w:val="126"/>
              <w:jc w:val="center"/>
              <w:rPr>
                <w:rFonts w:hint="eastAsia" w:ascii="宋体" w:hAnsi="宋体" w:eastAsia="宋体" w:cs="宋体"/>
                <w:color w:val="000000"/>
                <w:sz w:val="21"/>
                <w:szCs w:val="21"/>
                <w:highlight w:val="none"/>
                <w:lang w:val="en-US" w:eastAsia="zh-CN"/>
              </w:rPr>
            </w:pPr>
            <w:r>
              <w:rPr>
                <w:rFonts w:hint="eastAsia" w:ascii="宋体" w:hAnsi="宋体" w:eastAsia="宋体" w:cs="宋体"/>
                <w:b w:val="0"/>
                <w:color w:val="000000"/>
                <w:kern w:val="2"/>
                <w:sz w:val="21"/>
                <w:szCs w:val="21"/>
                <w:highlight w:val="none"/>
                <w:lang w:val="en-US" w:eastAsia="zh-CN"/>
              </w:rPr>
              <w:t>法人和授权代表资格</w:t>
            </w:r>
          </w:p>
        </w:tc>
        <w:tc>
          <w:tcPr>
            <w:tcW w:w="4253" w:type="dxa"/>
            <w:noWrap w:val="0"/>
            <w:vAlign w:val="center"/>
          </w:tcPr>
          <w:p>
            <w:pPr>
              <w:pStyle w:val="126"/>
              <w:rPr>
                <w:rFonts w:hint="eastAsia" w:ascii="宋体" w:hAnsi="宋体" w:eastAsia="宋体" w:cs="宋体"/>
                <w:color w:val="000000"/>
                <w:sz w:val="21"/>
                <w:szCs w:val="21"/>
                <w:highlight w:val="none"/>
              </w:rPr>
            </w:pPr>
            <w:r>
              <w:rPr>
                <w:rFonts w:hint="eastAsia" w:ascii="宋体" w:hAnsi="宋体" w:eastAsia="宋体" w:cs="宋体"/>
                <w:b w:val="0"/>
                <w:color w:val="000000"/>
                <w:kern w:val="2"/>
                <w:sz w:val="21"/>
                <w:szCs w:val="21"/>
                <w:highlight w:val="none"/>
                <w:lang w:val="en-US" w:eastAsia="zh-CN"/>
              </w:rPr>
              <w:t>是否具备有效的法定代表人身份证明文件及法定代表人授权委托书（法人组织提供授权委托书、其他组织提供负责人授权书、自然人提供身份证明文件）</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69"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noWrap w:val="0"/>
            <w:vAlign w:val="center"/>
          </w:tcPr>
          <w:p>
            <w:pPr>
              <w:pStyle w:val="126"/>
              <w:jc w:val="center"/>
              <w:rPr>
                <w:rFonts w:hint="eastAsia" w:ascii="宋体" w:hAnsi="宋体" w:eastAsia="宋体" w:cs="宋体"/>
                <w:b w:val="0"/>
                <w:color w:val="000000"/>
                <w:kern w:val="2"/>
                <w:sz w:val="21"/>
                <w:szCs w:val="21"/>
                <w:highlight w:val="none"/>
                <w:lang w:val="en-US" w:eastAsia="zh-CN"/>
              </w:rPr>
            </w:pPr>
            <w:r>
              <w:rPr>
                <w:rFonts w:hint="eastAsia" w:ascii="宋体" w:hAnsi="宋体" w:eastAsia="宋体" w:cs="宋体"/>
                <w:b w:val="0"/>
                <w:color w:val="000000"/>
                <w:kern w:val="2"/>
                <w:sz w:val="21"/>
                <w:szCs w:val="21"/>
                <w:highlight w:val="none"/>
                <w:lang w:val="en-US" w:eastAsia="zh-CN"/>
              </w:rPr>
              <w:t>未提供进口产品（不允许采购进口产品时适用）</w:t>
            </w:r>
          </w:p>
        </w:tc>
        <w:tc>
          <w:tcPr>
            <w:tcW w:w="4253" w:type="dxa"/>
            <w:noWrap w:val="0"/>
            <w:vAlign w:val="center"/>
          </w:tcPr>
          <w:p>
            <w:pPr>
              <w:pStyle w:val="126"/>
              <w:rPr>
                <w:rFonts w:hint="default" w:ascii="宋体" w:hAnsi="宋体" w:eastAsia="宋体" w:cs="宋体"/>
                <w:b w:val="0"/>
                <w:color w:val="000000"/>
                <w:kern w:val="2"/>
                <w:sz w:val="21"/>
                <w:szCs w:val="21"/>
                <w:highlight w:val="none"/>
                <w:lang w:val="en-US" w:eastAsia="zh-CN"/>
              </w:rPr>
            </w:pPr>
            <w:r>
              <w:rPr>
                <w:rFonts w:hint="eastAsia" w:ascii="宋体" w:hAnsi="宋体" w:eastAsia="宋体" w:cs="宋体"/>
                <w:b w:val="0"/>
                <w:color w:val="000000"/>
                <w:kern w:val="2"/>
                <w:sz w:val="21"/>
                <w:szCs w:val="21"/>
                <w:highlight w:val="none"/>
                <w:lang w:val="en-US" w:eastAsia="zh-CN"/>
              </w:rPr>
              <w:t>投标人未提供进口产品</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60"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投标有效期</w:t>
            </w:r>
          </w:p>
        </w:tc>
        <w:tc>
          <w:tcPr>
            <w:tcW w:w="4253" w:type="dxa"/>
            <w:noWrap w:val="0"/>
            <w:vAlign w:val="center"/>
          </w:tcPr>
          <w:p>
            <w:pPr>
              <w:jc w:val="lef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投标文件承诺投标有效期满足招标文件要求</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96"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报价</w:t>
            </w:r>
            <w:r>
              <w:rPr>
                <w:rFonts w:hint="eastAsia" w:ascii="宋体" w:hAnsi="宋体" w:eastAsia="宋体" w:cs="宋体"/>
                <w:color w:val="000000"/>
                <w:sz w:val="21"/>
                <w:szCs w:val="21"/>
                <w:highlight w:val="none"/>
                <w:lang w:val="en-US" w:eastAsia="zh-CN"/>
              </w:rPr>
              <w:t>唯一</w:t>
            </w:r>
          </w:p>
        </w:tc>
        <w:tc>
          <w:tcPr>
            <w:tcW w:w="4253" w:type="dxa"/>
            <w:noWrap w:val="0"/>
            <w:vAlign w:val="center"/>
          </w:tcPr>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只有一个有效报价且未超过预算金额及最高限价</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75"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noWrap w:val="0"/>
            <w:vAlign w:val="center"/>
          </w:tcPr>
          <w:p>
            <w:pPr>
              <w:pStyle w:val="128"/>
              <w:jc w:val="center"/>
              <w:rPr>
                <w:rFonts w:hint="eastAsia" w:ascii="宋体" w:hAnsi="宋体" w:eastAsia="宋体" w:cs="宋体"/>
                <w:b w:val="0"/>
                <w:color w:val="000000"/>
                <w:kern w:val="2"/>
                <w:sz w:val="21"/>
                <w:szCs w:val="21"/>
                <w:highlight w:val="none"/>
                <w:lang w:val="en-US" w:eastAsia="zh-CN" w:bidi="ar-SA"/>
              </w:rPr>
            </w:pPr>
            <w:r>
              <w:rPr>
                <w:rFonts w:hint="eastAsia" w:ascii="宋体" w:hAnsi="宋体" w:eastAsia="宋体" w:cs="宋体"/>
                <w:b w:val="0"/>
                <w:color w:val="000000"/>
                <w:kern w:val="2"/>
                <w:sz w:val="21"/>
                <w:szCs w:val="21"/>
                <w:highlight w:val="none"/>
                <w:lang w:val="en-US" w:eastAsia="zh-CN" w:bidi="ar-SA"/>
              </w:rPr>
              <w:t>合同履约期限</w:t>
            </w:r>
          </w:p>
        </w:tc>
        <w:tc>
          <w:tcPr>
            <w:tcW w:w="4253" w:type="dxa"/>
            <w:noWrap w:val="0"/>
            <w:vAlign w:val="center"/>
          </w:tcPr>
          <w:p>
            <w:pPr>
              <w:pStyle w:val="128"/>
              <w:rPr>
                <w:rFonts w:hint="eastAsia" w:ascii="宋体" w:hAnsi="宋体" w:eastAsia="宋体" w:cs="宋体"/>
                <w:b w:val="0"/>
                <w:color w:val="000000"/>
                <w:kern w:val="2"/>
                <w:sz w:val="21"/>
                <w:szCs w:val="21"/>
                <w:highlight w:val="none"/>
                <w:lang w:val="en-US" w:eastAsia="zh-CN" w:bidi="ar-SA"/>
              </w:rPr>
            </w:pPr>
            <w:r>
              <w:rPr>
                <w:rFonts w:hint="eastAsia" w:ascii="宋体" w:hAnsi="宋体" w:eastAsia="宋体" w:cs="宋体"/>
                <w:b w:val="0"/>
                <w:color w:val="000000"/>
                <w:kern w:val="2"/>
                <w:sz w:val="21"/>
                <w:szCs w:val="21"/>
                <w:highlight w:val="none"/>
                <w:lang w:val="en-US" w:eastAsia="zh-CN" w:bidi="ar-SA"/>
              </w:rPr>
              <w:t>投标文件承诺合同履约期限满足招标文件要求</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670"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noWrap w:val="0"/>
            <w:vAlign w:val="center"/>
          </w:tcPr>
          <w:p>
            <w:pPr>
              <w:spacing w:line="240" w:lineRule="auto"/>
              <w:jc w:val="center"/>
              <w:rPr>
                <w:rFonts w:hint="eastAsia" w:ascii="宋体" w:hAnsi="宋体" w:eastAsia="宋体" w:cs="宋体"/>
                <w:b w:val="0"/>
                <w:color w:val="000000"/>
                <w:kern w:val="2"/>
                <w:sz w:val="21"/>
                <w:szCs w:val="21"/>
                <w:highlight w:val="none"/>
                <w:lang w:val="en-US" w:eastAsia="zh-CN" w:bidi="ar-SA"/>
              </w:rPr>
            </w:pPr>
            <w:r>
              <w:rPr>
                <w:rFonts w:hint="eastAsia" w:ascii="宋体" w:hAnsi="宋体" w:eastAsia="宋体" w:cs="宋体"/>
                <w:b w:val="0"/>
                <w:color w:val="000000"/>
                <w:kern w:val="2"/>
                <w:sz w:val="21"/>
                <w:szCs w:val="21"/>
                <w:highlight w:val="none"/>
                <w:lang w:val="en-US" w:eastAsia="zh-CN" w:bidi="ar-SA"/>
              </w:rPr>
              <w:t>投标文件内容</w:t>
            </w:r>
          </w:p>
        </w:tc>
        <w:tc>
          <w:tcPr>
            <w:tcW w:w="4253" w:type="dxa"/>
            <w:noWrap w:val="0"/>
            <w:vAlign w:val="center"/>
          </w:tcPr>
          <w:p>
            <w:pPr>
              <w:spacing w:line="240" w:lineRule="auto"/>
              <w:rPr>
                <w:rFonts w:hint="eastAsia" w:ascii="宋体" w:hAnsi="宋体" w:eastAsia="宋体" w:cs="宋体"/>
                <w:b w:val="0"/>
                <w:color w:val="000000"/>
                <w:kern w:val="2"/>
                <w:sz w:val="21"/>
                <w:szCs w:val="21"/>
                <w:highlight w:val="none"/>
                <w:lang w:val="en-US" w:eastAsia="zh-CN" w:bidi="ar-SA"/>
              </w:rPr>
            </w:pPr>
            <w:r>
              <w:rPr>
                <w:rFonts w:hint="eastAsia" w:ascii="宋体" w:hAnsi="宋体" w:eastAsia="宋体" w:cs="宋体"/>
                <w:b w:val="0"/>
                <w:color w:val="000000"/>
                <w:kern w:val="2"/>
                <w:sz w:val="21"/>
                <w:szCs w:val="21"/>
                <w:highlight w:val="none"/>
                <w:lang w:val="en-US" w:eastAsia="zh-CN" w:bidi="ar-SA"/>
              </w:rPr>
              <w:t>投标文件按照招标文件规定的内容、格式填写，清晰可辨</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680"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noWrap w:val="0"/>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投标</w:t>
            </w:r>
            <w:r>
              <w:rPr>
                <w:rFonts w:hint="eastAsia" w:ascii="宋体" w:hAnsi="宋体" w:eastAsia="宋体" w:cs="宋体"/>
                <w:color w:val="000000"/>
                <w:sz w:val="21"/>
                <w:szCs w:val="21"/>
                <w:highlight w:val="none"/>
              </w:rPr>
              <w:t>文件签署</w:t>
            </w:r>
          </w:p>
        </w:tc>
        <w:tc>
          <w:tcPr>
            <w:tcW w:w="4253" w:type="dxa"/>
            <w:noWrap w:val="0"/>
            <w:vAlign w:val="center"/>
          </w:tcPr>
          <w:p>
            <w:pPr>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投标</w:t>
            </w:r>
            <w:r>
              <w:rPr>
                <w:rFonts w:hint="eastAsia" w:ascii="宋体" w:hAnsi="宋体" w:eastAsia="宋体" w:cs="宋体"/>
                <w:color w:val="000000"/>
                <w:sz w:val="21"/>
                <w:szCs w:val="21"/>
                <w:highlight w:val="none"/>
              </w:rPr>
              <w:t>文件上法定代表人或其授权代理人的签</w:t>
            </w:r>
            <w:r>
              <w:rPr>
                <w:rFonts w:hint="eastAsia" w:ascii="宋体" w:hAnsi="宋体" w:eastAsia="宋体" w:cs="宋体"/>
                <w:color w:val="000000"/>
                <w:sz w:val="21"/>
                <w:szCs w:val="21"/>
                <w:highlight w:val="none"/>
                <w:lang w:eastAsia="zh-CN"/>
              </w:rPr>
              <w:t>章</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投标人</w:t>
            </w:r>
            <w:r>
              <w:rPr>
                <w:rFonts w:hint="eastAsia" w:ascii="宋体" w:hAnsi="宋体" w:eastAsia="宋体" w:cs="宋体"/>
                <w:color w:val="000000"/>
                <w:sz w:val="21"/>
                <w:szCs w:val="21"/>
                <w:highlight w:val="none"/>
              </w:rPr>
              <w:t>的单位章齐全符合</w:t>
            </w:r>
            <w:r>
              <w:rPr>
                <w:rFonts w:hint="eastAsia" w:ascii="宋体" w:hAnsi="宋体" w:eastAsia="宋体" w:cs="宋体"/>
                <w:color w:val="000000"/>
                <w:sz w:val="21"/>
                <w:szCs w:val="21"/>
                <w:highlight w:val="none"/>
                <w:lang w:val="en-US" w:eastAsia="zh-CN"/>
              </w:rPr>
              <w:t>招标</w:t>
            </w:r>
            <w:r>
              <w:rPr>
                <w:rFonts w:hint="eastAsia" w:ascii="宋体" w:hAnsi="宋体" w:eastAsia="宋体" w:cs="宋体"/>
                <w:color w:val="000000"/>
                <w:sz w:val="21"/>
                <w:szCs w:val="21"/>
                <w:highlight w:val="none"/>
              </w:rPr>
              <w:t>文件规定</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680"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noWrap w:val="0"/>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未发现串通投标</w:t>
            </w:r>
          </w:p>
        </w:tc>
        <w:tc>
          <w:tcPr>
            <w:tcW w:w="4253" w:type="dxa"/>
            <w:noWrap w:val="0"/>
            <w:vAlign w:val="center"/>
          </w:tcPr>
          <w:p>
            <w:pPr>
              <w:jc w:val="left"/>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投标人不存在串通投标行为</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751" w:hRule="atLeast"/>
        </w:trPr>
        <w:tc>
          <w:tcPr>
            <w:tcW w:w="843" w:type="dxa"/>
            <w:vMerge w:val="continue"/>
            <w:noWrap w:val="0"/>
            <w:vAlign w:val="center"/>
          </w:tcPr>
          <w:p>
            <w:pPr>
              <w:pStyle w:val="126"/>
              <w:rPr>
                <w:rFonts w:hint="eastAsia" w:ascii="宋体" w:hAnsi="宋体" w:eastAsia="宋体" w:cs="宋体"/>
                <w:color w:val="000000"/>
                <w:sz w:val="21"/>
                <w:szCs w:val="21"/>
                <w:highlight w:val="none"/>
              </w:rPr>
            </w:pPr>
          </w:p>
        </w:tc>
        <w:tc>
          <w:tcPr>
            <w:tcW w:w="1215" w:type="dxa"/>
            <w:vMerge w:val="continue"/>
            <w:noWrap w:val="0"/>
            <w:vAlign w:val="center"/>
          </w:tcPr>
          <w:p>
            <w:pPr>
              <w:pStyle w:val="126"/>
              <w:jc w:val="center"/>
              <w:rPr>
                <w:rFonts w:hint="eastAsia" w:ascii="宋体" w:hAnsi="宋体" w:eastAsia="宋体" w:cs="宋体"/>
                <w:color w:val="000000"/>
                <w:sz w:val="21"/>
                <w:szCs w:val="21"/>
                <w:highlight w:val="none"/>
              </w:rPr>
            </w:pPr>
          </w:p>
        </w:tc>
        <w:tc>
          <w:tcPr>
            <w:tcW w:w="1651" w:type="dxa"/>
            <w:noWrap w:val="0"/>
            <w:vAlign w:val="center"/>
          </w:tcPr>
          <w:p>
            <w:pPr>
              <w:pStyle w:val="126"/>
              <w:jc w:val="center"/>
              <w:rPr>
                <w:rFonts w:hint="eastAsia" w:ascii="宋体" w:hAnsi="宋体" w:eastAsia="宋体" w:cs="宋体"/>
                <w:b/>
                <w:color w:val="000000"/>
                <w:sz w:val="21"/>
                <w:szCs w:val="21"/>
                <w:highlight w:val="none"/>
                <w:lang w:val="en-US" w:eastAsia="zh-CN" w:bidi="ar-SA"/>
              </w:rPr>
            </w:pPr>
            <w:r>
              <w:rPr>
                <w:rFonts w:hint="eastAsia" w:ascii="宋体" w:hAnsi="宋体" w:eastAsia="宋体" w:cs="宋体"/>
                <w:b w:val="0"/>
                <w:color w:val="000000"/>
                <w:kern w:val="2"/>
                <w:sz w:val="21"/>
                <w:szCs w:val="21"/>
                <w:highlight w:val="none"/>
                <w:lang w:val="en-US" w:eastAsia="zh-CN"/>
              </w:rPr>
              <w:t>其他要求</w:t>
            </w:r>
          </w:p>
        </w:tc>
        <w:tc>
          <w:tcPr>
            <w:tcW w:w="4253" w:type="dxa"/>
            <w:noWrap w:val="0"/>
            <w:vAlign w:val="center"/>
          </w:tcPr>
          <w:p>
            <w:pPr>
              <w:pStyle w:val="127"/>
              <w:spacing w:line="360" w:lineRule="auto"/>
              <w:rPr>
                <w:rFonts w:hint="eastAsia" w:ascii="宋体" w:hAnsi="宋体" w:eastAsia="宋体" w:cs="宋体"/>
                <w:b w:val="0"/>
                <w:color w:val="000000"/>
                <w:kern w:val="2"/>
                <w:sz w:val="21"/>
                <w:szCs w:val="21"/>
                <w:highlight w:val="none"/>
                <w:lang w:val="en-US" w:eastAsia="zh-CN"/>
              </w:rPr>
            </w:pPr>
            <w:r>
              <w:rPr>
                <w:rFonts w:hint="eastAsia" w:ascii="宋体" w:hAnsi="宋体" w:eastAsia="宋体" w:cs="宋体"/>
                <w:b w:val="0"/>
                <w:color w:val="000000"/>
                <w:kern w:val="2"/>
                <w:sz w:val="21"/>
                <w:szCs w:val="21"/>
                <w:highlight w:val="none"/>
                <w:lang w:val="en-US" w:eastAsia="zh-CN"/>
              </w:rPr>
              <w:t>1、投标文件未附有采购人不能接受的条件或不符合招标文件的其他要求</w:t>
            </w:r>
          </w:p>
          <w:p>
            <w:pPr>
              <w:pStyle w:val="127"/>
              <w:spacing w:line="360" w:lineRule="auto"/>
              <w:rPr>
                <w:rFonts w:hint="eastAsia" w:ascii="宋体" w:hAnsi="宋体" w:eastAsia="宋体" w:cs="宋体"/>
                <w:b/>
                <w:color w:val="000000"/>
                <w:sz w:val="21"/>
                <w:szCs w:val="21"/>
                <w:highlight w:val="none"/>
                <w:lang w:val="en-US" w:eastAsia="zh-CN" w:bidi="ar-SA"/>
              </w:rPr>
            </w:pPr>
            <w:r>
              <w:rPr>
                <w:rFonts w:hint="eastAsia" w:ascii="宋体" w:hAnsi="宋体" w:eastAsia="宋体" w:cs="宋体"/>
                <w:b w:val="0"/>
                <w:color w:val="000000"/>
                <w:kern w:val="2"/>
                <w:sz w:val="21"/>
                <w:szCs w:val="21"/>
                <w:highlight w:val="none"/>
                <w:lang w:val="en-US" w:eastAsia="zh-CN"/>
              </w:rPr>
              <w:t>2、不属于法律、法规、规章规定无效投标的其他情形。</w:t>
            </w:r>
          </w:p>
        </w:tc>
        <w:tc>
          <w:tcPr>
            <w:tcW w:w="1051" w:type="dxa"/>
            <w:noWrap w:val="0"/>
            <w:vAlign w:val="center"/>
          </w:tcPr>
          <w:p>
            <w:pPr>
              <w:pStyle w:val="126"/>
              <w:rPr>
                <w:rFonts w:hint="eastAsia" w:ascii="宋体" w:hAnsi="宋体" w:eastAsia="宋体" w:cs="宋体"/>
                <w:color w:val="000000"/>
                <w:sz w:val="21"/>
                <w:szCs w:val="21"/>
                <w:highlight w:val="none"/>
              </w:rPr>
            </w:pPr>
          </w:p>
        </w:tc>
        <w:tc>
          <w:tcPr>
            <w:tcW w:w="976" w:type="dxa"/>
            <w:noWrap w:val="0"/>
            <w:vAlign w:val="center"/>
          </w:tcPr>
          <w:p>
            <w:pPr>
              <w:pStyle w:val="126"/>
              <w:rPr>
                <w:rFonts w:hint="eastAsia" w:ascii="宋体" w:hAnsi="宋体" w:eastAsia="宋体" w:cs="宋体"/>
                <w:color w:val="000000"/>
                <w:sz w:val="21"/>
                <w:szCs w:val="21"/>
                <w:highlight w:val="none"/>
              </w:rPr>
            </w:pPr>
          </w:p>
        </w:tc>
      </w:tr>
    </w:tbl>
    <w:p>
      <w:pPr>
        <w:spacing w:line="200" w:lineRule="exact"/>
        <w:ind w:firstLine="400" w:firstLineChars="200"/>
        <w:rPr>
          <w:rFonts w:ascii="宋体" w:hAnsi="宋体"/>
          <w:sz w:val="20"/>
          <w:szCs w:val="20"/>
        </w:rPr>
      </w:pPr>
    </w:p>
    <w:p>
      <w:pPr>
        <w:ind w:firstLine="420" w:firstLineChars="200"/>
        <w:rPr>
          <w:rFonts w:ascii="宋体" w:hAnsi="宋体"/>
          <w:sz w:val="21"/>
          <w:szCs w:val="21"/>
        </w:rPr>
      </w:pPr>
    </w:p>
    <w:p>
      <w:pPr>
        <w:pStyle w:val="18"/>
        <w:sectPr>
          <w:footerReference r:id="rId7" w:type="default"/>
          <w:pgSz w:w="12240" w:h="15840"/>
          <w:pgMar w:top="1440" w:right="1080" w:bottom="1440" w:left="1140" w:header="850" w:footer="850" w:gutter="0"/>
          <w:cols w:equalWidth="0" w:num="1">
            <w:col w:w="10080"/>
          </w:cols>
        </w:sectPr>
      </w:pPr>
    </w:p>
    <w:p>
      <w:pPr>
        <w:spacing w:line="90" w:lineRule="exact"/>
        <w:ind w:firstLine="420" w:firstLineChars="200"/>
        <w:rPr>
          <w:rFonts w:hint="default" w:ascii="宋体" w:hAnsi="宋体" w:eastAsia="宋体" w:cs="宋体"/>
          <w:kern w:val="2"/>
          <w:sz w:val="21"/>
          <w:szCs w:val="21"/>
          <w:lang w:val="en-US" w:eastAsia="zh-CN" w:bidi="ar-SA"/>
        </w:rPr>
      </w:pPr>
    </w:p>
    <w:p>
      <w:pPr>
        <w:pStyle w:val="7"/>
        <w:rPr>
          <w:rFonts w:hint="default"/>
          <w:b/>
          <w:bCs/>
          <w:sz w:val="28"/>
          <w:szCs w:val="28"/>
          <w:u w:val="none"/>
          <w:lang w:val="en-US" w:eastAsia="zh-CN"/>
        </w:rPr>
      </w:pPr>
      <w:r>
        <w:rPr>
          <w:rFonts w:hint="eastAsia" w:ascii="宋体" w:hAnsi="宋体" w:eastAsia="宋体" w:cs="宋体"/>
          <w:b/>
          <w:bCs/>
          <w:kern w:val="2"/>
          <w:sz w:val="28"/>
          <w:szCs w:val="28"/>
          <w:u w:val="none"/>
          <w:lang w:val="en-US" w:eastAsia="zh-CN" w:bidi="ar-SA"/>
        </w:rPr>
        <w:t>具体评分细则如下：</w:t>
      </w:r>
    </w:p>
    <w:tbl>
      <w:tblPr>
        <w:tblStyle w:val="37"/>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36"/>
        <w:gridCol w:w="2493"/>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036" w:type="dxa"/>
            <w:vAlign w:val="center"/>
          </w:tcPr>
          <w:p>
            <w:pPr>
              <w:pStyle w:val="129"/>
              <w:jc w:val="center"/>
              <w:rPr>
                <w:rFonts w:hint="eastAsia" w:ascii="宋体" w:hAnsi="宋体" w:eastAsia="宋体" w:cs="宋体"/>
                <w:b/>
                <w:bCs/>
                <w:kern w:val="2"/>
                <w:sz w:val="21"/>
                <w:szCs w:val="21"/>
              </w:rPr>
            </w:pPr>
            <w:r>
              <w:rPr>
                <w:rFonts w:hint="eastAsia" w:ascii="宋体" w:hAnsi="宋体" w:eastAsia="宋体" w:cs="宋体"/>
                <w:b/>
                <w:bCs/>
                <w:kern w:val="2"/>
                <w:sz w:val="21"/>
                <w:szCs w:val="21"/>
              </w:rPr>
              <w:t>条款号</w:t>
            </w:r>
          </w:p>
        </w:tc>
        <w:tc>
          <w:tcPr>
            <w:tcW w:w="2493" w:type="dxa"/>
            <w:vAlign w:val="center"/>
          </w:tcPr>
          <w:p>
            <w:pPr>
              <w:pStyle w:val="129"/>
              <w:jc w:val="center"/>
              <w:rPr>
                <w:rFonts w:hint="eastAsia" w:ascii="宋体" w:hAnsi="宋体" w:eastAsia="宋体" w:cs="宋体"/>
                <w:b/>
                <w:bCs/>
                <w:kern w:val="2"/>
                <w:sz w:val="21"/>
                <w:szCs w:val="21"/>
              </w:rPr>
            </w:pPr>
            <w:r>
              <w:rPr>
                <w:rFonts w:hint="eastAsia" w:ascii="宋体" w:hAnsi="宋体" w:eastAsia="宋体" w:cs="宋体"/>
                <w:b/>
                <w:bCs/>
                <w:kern w:val="2"/>
                <w:sz w:val="21"/>
                <w:szCs w:val="21"/>
              </w:rPr>
              <w:t>条款内容</w:t>
            </w:r>
          </w:p>
        </w:tc>
        <w:tc>
          <w:tcPr>
            <w:tcW w:w="4711" w:type="dxa"/>
            <w:vAlign w:val="center"/>
          </w:tcPr>
          <w:p>
            <w:pPr>
              <w:pStyle w:val="129"/>
              <w:jc w:val="center"/>
              <w:rPr>
                <w:rFonts w:hint="eastAsia" w:ascii="宋体" w:hAnsi="宋体" w:eastAsia="宋体" w:cs="宋体"/>
                <w:b/>
                <w:bCs/>
                <w:kern w:val="2"/>
                <w:sz w:val="21"/>
                <w:szCs w:val="21"/>
              </w:rPr>
            </w:pPr>
            <w:r>
              <w:rPr>
                <w:rFonts w:hint="eastAsia" w:ascii="宋体" w:hAnsi="宋体" w:eastAsia="宋体" w:cs="宋体"/>
                <w:b/>
                <w:bCs/>
                <w:kern w:val="2"/>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exact"/>
          <w:jc w:val="center"/>
        </w:trPr>
        <w:tc>
          <w:tcPr>
            <w:tcW w:w="2036"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2.2.1</w:t>
            </w:r>
          </w:p>
        </w:tc>
        <w:tc>
          <w:tcPr>
            <w:tcW w:w="2493"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分值构成</w:t>
            </w:r>
          </w:p>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(总分100分)</w:t>
            </w:r>
          </w:p>
        </w:tc>
        <w:tc>
          <w:tcPr>
            <w:tcW w:w="4711" w:type="dxa"/>
            <w:vAlign w:val="center"/>
          </w:tcPr>
          <w:p>
            <w:pPr>
              <w:pStyle w:val="129"/>
              <w:tabs>
                <w:tab w:val="left" w:pos="1888"/>
              </w:tabs>
              <w:ind w:left="120" w:leftChars="50"/>
              <w:rPr>
                <w:rFonts w:hint="eastAsia" w:ascii="宋体" w:hAnsi="宋体" w:eastAsia="宋体" w:cs="宋体"/>
                <w:kern w:val="2"/>
                <w:sz w:val="21"/>
                <w:szCs w:val="21"/>
              </w:rPr>
            </w:pPr>
            <w:r>
              <w:rPr>
                <w:rFonts w:hint="eastAsia" w:ascii="宋体" w:hAnsi="宋体" w:eastAsia="宋体" w:cs="宋体"/>
                <w:kern w:val="2"/>
                <w:sz w:val="21"/>
                <w:szCs w:val="21"/>
              </w:rPr>
              <w:t>商务部分：</w:t>
            </w:r>
            <w:r>
              <w:rPr>
                <w:rFonts w:hint="eastAsia" w:ascii="宋体" w:hAnsi="宋体" w:eastAsia="宋体" w:cs="宋体"/>
                <w:kern w:val="2"/>
                <w:sz w:val="21"/>
                <w:szCs w:val="21"/>
                <w:lang w:val="en-US" w:eastAsia="zh-CN"/>
              </w:rPr>
              <w:t>20</w:t>
            </w:r>
            <w:r>
              <w:rPr>
                <w:rFonts w:hint="eastAsia" w:ascii="宋体" w:hAnsi="宋体" w:eastAsia="宋体" w:cs="宋体"/>
                <w:kern w:val="2"/>
                <w:sz w:val="21"/>
                <w:szCs w:val="21"/>
              </w:rPr>
              <w:t>分</w:t>
            </w:r>
          </w:p>
          <w:p>
            <w:pPr>
              <w:pStyle w:val="129"/>
              <w:tabs>
                <w:tab w:val="left" w:pos="1888"/>
              </w:tabs>
              <w:ind w:left="120" w:leftChars="50"/>
              <w:rPr>
                <w:rFonts w:hint="eastAsia" w:ascii="宋体" w:hAnsi="宋体" w:eastAsia="宋体" w:cs="宋体"/>
                <w:kern w:val="2"/>
                <w:sz w:val="21"/>
                <w:szCs w:val="21"/>
              </w:rPr>
            </w:pPr>
            <w:r>
              <w:rPr>
                <w:rFonts w:hint="eastAsia" w:ascii="宋体" w:hAnsi="宋体" w:eastAsia="宋体" w:cs="宋体"/>
                <w:kern w:val="2"/>
                <w:sz w:val="21"/>
                <w:szCs w:val="21"/>
              </w:rPr>
              <w:t>技术部分：</w:t>
            </w:r>
            <w:r>
              <w:rPr>
                <w:rFonts w:hint="eastAsia" w:ascii="宋体" w:hAnsi="宋体" w:eastAsia="宋体" w:cs="宋体"/>
                <w:kern w:val="2"/>
                <w:sz w:val="21"/>
                <w:szCs w:val="21"/>
                <w:lang w:val="en-US" w:eastAsia="zh-CN"/>
              </w:rPr>
              <w:t>50</w:t>
            </w:r>
            <w:r>
              <w:rPr>
                <w:rFonts w:hint="eastAsia" w:ascii="宋体" w:hAnsi="宋体" w:eastAsia="宋体" w:cs="宋体"/>
                <w:kern w:val="2"/>
                <w:sz w:val="21"/>
                <w:szCs w:val="21"/>
              </w:rPr>
              <w:t>分</w:t>
            </w:r>
          </w:p>
          <w:p>
            <w:pPr>
              <w:pStyle w:val="129"/>
              <w:tabs>
                <w:tab w:val="left" w:pos="1888"/>
              </w:tabs>
              <w:ind w:left="120" w:leftChars="50"/>
              <w:rPr>
                <w:rFonts w:hint="eastAsia" w:ascii="宋体" w:hAnsi="宋体" w:eastAsia="宋体" w:cs="宋体"/>
                <w:kern w:val="2"/>
                <w:sz w:val="21"/>
                <w:szCs w:val="21"/>
              </w:rPr>
            </w:pPr>
            <w:r>
              <w:rPr>
                <w:rFonts w:hint="eastAsia" w:ascii="宋体" w:hAnsi="宋体" w:eastAsia="宋体" w:cs="宋体"/>
                <w:kern w:val="2"/>
                <w:sz w:val="21"/>
                <w:szCs w:val="21"/>
              </w:rPr>
              <w:t>投标报价：</w:t>
            </w:r>
            <w:r>
              <w:rPr>
                <w:rFonts w:hint="eastAsia" w:ascii="宋体" w:hAnsi="宋体" w:eastAsia="宋体" w:cs="宋体"/>
                <w:kern w:val="2"/>
                <w:sz w:val="21"/>
                <w:szCs w:val="21"/>
                <w:lang w:val="en-US" w:eastAsia="zh-CN"/>
              </w:rPr>
              <w:t>30</w:t>
            </w:r>
            <w:r>
              <w:rPr>
                <w:rFonts w:hint="eastAsia" w:ascii="宋体" w:hAnsi="宋体" w:eastAsia="宋体" w:cs="宋体"/>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4" w:hRule="exact"/>
          <w:jc w:val="center"/>
        </w:trPr>
        <w:tc>
          <w:tcPr>
            <w:tcW w:w="2036"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2.2.2</w:t>
            </w:r>
          </w:p>
        </w:tc>
        <w:tc>
          <w:tcPr>
            <w:tcW w:w="2493"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评标基准价计算方法</w:t>
            </w:r>
          </w:p>
        </w:tc>
        <w:tc>
          <w:tcPr>
            <w:tcW w:w="4711" w:type="dxa"/>
            <w:vAlign w:val="center"/>
          </w:tcPr>
          <w:p>
            <w:pPr>
              <w:pStyle w:val="129"/>
              <w:tabs>
                <w:tab w:val="left" w:pos="1888"/>
              </w:tabs>
              <w:rPr>
                <w:rFonts w:hint="eastAsia" w:ascii="宋体" w:hAnsi="宋体" w:eastAsia="宋体" w:cs="宋体"/>
                <w:kern w:val="2"/>
                <w:sz w:val="21"/>
                <w:szCs w:val="21"/>
              </w:rPr>
            </w:pPr>
            <w:r>
              <w:rPr>
                <w:rFonts w:hint="eastAsia" w:ascii="宋体" w:hAnsi="宋体" w:eastAsia="宋体" w:cs="宋体"/>
                <w:kern w:val="2"/>
                <w:sz w:val="21"/>
                <w:szCs w:val="21"/>
              </w:rPr>
              <w:t>满足招标文件要求且投标价格最低的投标报价为评标基准价，其价格分为满分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exact"/>
          <w:jc w:val="center"/>
        </w:trPr>
        <w:tc>
          <w:tcPr>
            <w:tcW w:w="2036"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2.2.3</w:t>
            </w:r>
          </w:p>
        </w:tc>
        <w:tc>
          <w:tcPr>
            <w:tcW w:w="2493"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投标报价得分计算公式</w:t>
            </w:r>
          </w:p>
        </w:tc>
        <w:tc>
          <w:tcPr>
            <w:tcW w:w="4711" w:type="dxa"/>
            <w:vAlign w:val="center"/>
          </w:tcPr>
          <w:p>
            <w:pPr>
              <w:pStyle w:val="129"/>
              <w:tabs>
                <w:tab w:val="left" w:pos="1888"/>
              </w:tabs>
              <w:rPr>
                <w:rFonts w:hint="default" w:ascii="宋体" w:hAnsi="宋体" w:eastAsia="宋体" w:cs="宋体"/>
                <w:kern w:val="2"/>
                <w:sz w:val="21"/>
                <w:szCs w:val="21"/>
                <w:lang w:val="en-US" w:eastAsia="zh-CN"/>
              </w:rPr>
            </w:pPr>
            <w:r>
              <w:rPr>
                <w:rFonts w:hint="eastAsia" w:ascii="宋体" w:hAnsi="宋体" w:eastAsia="宋体" w:cs="宋体"/>
                <w:kern w:val="2"/>
                <w:sz w:val="21"/>
                <w:szCs w:val="21"/>
              </w:rPr>
              <w:t>(评标基准价/投标报价)*</w:t>
            </w:r>
            <w:r>
              <w:rPr>
                <w:rFonts w:hint="eastAsia" w:ascii="宋体" w:hAnsi="宋体" w:eastAsia="宋体" w:cs="宋体"/>
                <w:kern w:val="2"/>
                <w:sz w:val="21"/>
                <w:szCs w:val="21"/>
                <w:lang w:val="en-US" w:eastAsia="zh-CN"/>
              </w:rPr>
              <w:t>30</w:t>
            </w:r>
          </w:p>
        </w:tc>
      </w:tr>
    </w:tbl>
    <w:p>
      <w:pPr>
        <w:ind w:firstLine="480" w:firstLineChars="200"/>
        <w:rPr>
          <w:rFonts w:ascii="宋体" w:hAnsi="宋体"/>
        </w:rPr>
        <w:sectPr>
          <w:pgSz w:w="12240" w:h="15840"/>
          <w:pgMar w:top="1440" w:right="1080" w:bottom="1440" w:left="1080" w:header="850" w:footer="850" w:gutter="0"/>
          <w:cols w:equalWidth="0" w:num="1">
            <w:col w:w="10080"/>
          </w:cols>
        </w:sectPr>
      </w:pPr>
    </w:p>
    <w:tbl>
      <w:tblPr>
        <w:tblStyle w:val="37"/>
        <w:tblpPr w:leftFromText="180" w:rightFromText="180" w:vertAnchor="text" w:horzAnchor="page" w:tblpX="1375" w:tblpY="80"/>
        <w:tblOverlap w:val="never"/>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1"/>
        <w:gridCol w:w="879"/>
        <w:gridCol w:w="2162"/>
        <w:gridCol w:w="5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exact"/>
        </w:trPr>
        <w:tc>
          <w:tcPr>
            <w:tcW w:w="1700" w:type="dxa"/>
            <w:gridSpan w:val="2"/>
            <w:vAlign w:val="center"/>
          </w:tcPr>
          <w:p>
            <w:pPr>
              <w:pStyle w:val="129"/>
              <w:ind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rPr>
              <w:t>条款号</w:t>
            </w:r>
          </w:p>
        </w:tc>
        <w:tc>
          <w:tcPr>
            <w:tcW w:w="2162" w:type="dxa"/>
            <w:vAlign w:val="center"/>
          </w:tcPr>
          <w:p>
            <w:pPr>
              <w:pStyle w:val="129"/>
              <w:ind w:firstLine="420" w:firstLineChars="200"/>
              <w:jc w:val="center"/>
              <w:rPr>
                <w:rFonts w:hint="eastAsia" w:ascii="宋体" w:hAnsi="宋体" w:eastAsia="宋体" w:cs="宋体"/>
                <w:kern w:val="2"/>
                <w:sz w:val="21"/>
                <w:szCs w:val="21"/>
              </w:rPr>
            </w:pPr>
            <w:r>
              <w:rPr>
                <w:rFonts w:hint="eastAsia" w:ascii="宋体" w:hAnsi="宋体" w:eastAsia="宋体" w:cs="宋体"/>
                <w:kern w:val="2"/>
                <w:sz w:val="21"/>
                <w:szCs w:val="21"/>
              </w:rPr>
              <w:t>评分因素</w:t>
            </w:r>
          </w:p>
        </w:tc>
        <w:tc>
          <w:tcPr>
            <w:tcW w:w="5591" w:type="dxa"/>
            <w:vAlign w:val="center"/>
          </w:tcPr>
          <w:p>
            <w:pPr>
              <w:pStyle w:val="129"/>
              <w:ind w:firstLine="420" w:firstLineChars="200"/>
              <w:jc w:val="center"/>
              <w:rPr>
                <w:rFonts w:hint="eastAsia" w:ascii="宋体" w:hAnsi="宋体" w:eastAsia="宋体" w:cs="宋体"/>
                <w:kern w:val="2"/>
                <w:sz w:val="21"/>
                <w:szCs w:val="21"/>
              </w:rPr>
            </w:pPr>
            <w:r>
              <w:rPr>
                <w:rFonts w:hint="eastAsia" w:ascii="宋体" w:hAnsi="宋体" w:eastAsia="宋体" w:cs="宋体"/>
                <w:kern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2" w:hRule="exact"/>
        </w:trPr>
        <w:tc>
          <w:tcPr>
            <w:tcW w:w="821" w:type="dxa"/>
            <w:vMerge w:val="restart"/>
            <w:vAlign w:val="center"/>
          </w:tcPr>
          <w:p>
            <w:pPr>
              <w:pStyle w:val="129"/>
              <w:ind w:firstLine="420" w:firstLineChars="200"/>
              <w:jc w:val="center"/>
              <w:rPr>
                <w:rFonts w:hint="eastAsia" w:ascii="宋体" w:hAnsi="宋体" w:eastAsia="宋体" w:cs="宋体"/>
                <w:kern w:val="2"/>
                <w:sz w:val="21"/>
                <w:szCs w:val="21"/>
              </w:rPr>
            </w:pPr>
          </w:p>
          <w:p>
            <w:pPr>
              <w:pStyle w:val="129"/>
              <w:ind w:firstLine="420" w:firstLineChars="200"/>
              <w:jc w:val="center"/>
              <w:rPr>
                <w:rFonts w:hint="eastAsia" w:ascii="宋体" w:hAnsi="宋体" w:eastAsia="宋体" w:cs="宋体"/>
                <w:kern w:val="2"/>
                <w:sz w:val="21"/>
                <w:szCs w:val="21"/>
              </w:rPr>
            </w:pPr>
          </w:p>
          <w:p>
            <w:pPr>
              <w:pStyle w:val="129"/>
              <w:ind w:firstLine="420" w:firstLineChars="200"/>
              <w:jc w:val="center"/>
              <w:rPr>
                <w:rFonts w:hint="eastAsia" w:ascii="宋体" w:hAnsi="宋体" w:eastAsia="宋体" w:cs="宋体"/>
                <w:kern w:val="2"/>
                <w:sz w:val="21"/>
                <w:szCs w:val="21"/>
              </w:rPr>
            </w:pPr>
          </w:p>
          <w:p>
            <w:pPr>
              <w:pStyle w:val="129"/>
              <w:ind w:firstLine="420" w:firstLineChars="200"/>
              <w:jc w:val="center"/>
              <w:rPr>
                <w:rFonts w:hint="eastAsia" w:ascii="宋体" w:hAnsi="宋体" w:eastAsia="宋体" w:cs="宋体"/>
                <w:kern w:val="2"/>
                <w:sz w:val="21"/>
                <w:szCs w:val="21"/>
              </w:rPr>
            </w:pPr>
          </w:p>
          <w:p>
            <w:pPr>
              <w:pStyle w:val="129"/>
              <w:ind w:firstLine="420" w:firstLineChars="200"/>
              <w:jc w:val="center"/>
              <w:rPr>
                <w:rFonts w:hint="eastAsia" w:ascii="宋体" w:hAnsi="宋体" w:eastAsia="宋体" w:cs="宋体"/>
                <w:kern w:val="2"/>
                <w:sz w:val="21"/>
                <w:szCs w:val="21"/>
              </w:rPr>
            </w:pPr>
          </w:p>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2.2.4</w:t>
            </w:r>
          </w:p>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879" w:type="dxa"/>
            <w:vMerge w:val="restart"/>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商务评分 标准</w:t>
            </w:r>
          </w:p>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20</w:t>
            </w:r>
            <w:r>
              <w:rPr>
                <w:rFonts w:hint="eastAsia" w:ascii="宋体" w:hAnsi="宋体" w:eastAsia="宋体" w:cs="宋体"/>
                <w:kern w:val="2"/>
                <w:sz w:val="21"/>
                <w:szCs w:val="21"/>
              </w:rPr>
              <w:t>分</w:t>
            </w:r>
          </w:p>
        </w:tc>
        <w:tc>
          <w:tcPr>
            <w:tcW w:w="2162"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投标人类似业绩</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分）</w:t>
            </w:r>
          </w:p>
        </w:tc>
        <w:tc>
          <w:tcPr>
            <w:tcW w:w="5591" w:type="dxa"/>
            <w:vAlign w:val="center"/>
          </w:tcPr>
          <w:p>
            <w:pPr>
              <w:pStyle w:val="129"/>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2020年1月1日至投标截止时间的期间内投标人具有类似业绩（项目功能类似）。以提供的销售合同复印件（须包含合同首末页、金额页、签字盖章页等关键页，加盖公章）为准，未盖章或盖章不清晰、总金额或数量不清晰的合同无效。每提供1个业绩证明得2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6" w:hRule="exact"/>
        </w:trPr>
        <w:tc>
          <w:tcPr>
            <w:tcW w:w="821" w:type="dxa"/>
            <w:vMerge w:val="continue"/>
            <w:vAlign w:val="center"/>
          </w:tcPr>
          <w:p>
            <w:pPr>
              <w:ind w:firstLine="420" w:firstLineChars="200"/>
              <w:jc w:val="center"/>
              <w:rPr>
                <w:rFonts w:hint="eastAsia" w:ascii="宋体" w:hAnsi="宋体" w:eastAsia="宋体" w:cs="宋体"/>
                <w:kern w:val="2"/>
                <w:sz w:val="21"/>
                <w:szCs w:val="21"/>
              </w:rPr>
            </w:pPr>
          </w:p>
        </w:tc>
        <w:tc>
          <w:tcPr>
            <w:tcW w:w="879" w:type="dxa"/>
            <w:vMerge w:val="continue"/>
            <w:vAlign w:val="center"/>
          </w:tcPr>
          <w:p>
            <w:pPr>
              <w:ind w:firstLine="420" w:firstLineChars="200"/>
              <w:jc w:val="center"/>
              <w:rPr>
                <w:rFonts w:hint="eastAsia" w:ascii="宋体" w:hAnsi="宋体" w:eastAsia="宋体" w:cs="宋体"/>
                <w:kern w:val="2"/>
                <w:sz w:val="21"/>
                <w:szCs w:val="21"/>
              </w:rPr>
            </w:pPr>
          </w:p>
        </w:tc>
        <w:tc>
          <w:tcPr>
            <w:tcW w:w="2162"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投标人项目管理服务能力</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15</w:t>
            </w:r>
            <w:r>
              <w:rPr>
                <w:rFonts w:hint="eastAsia" w:ascii="宋体" w:hAnsi="宋体" w:eastAsia="宋体" w:cs="宋体"/>
                <w:kern w:val="2"/>
                <w:sz w:val="21"/>
                <w:szCs w:val="21"/>
              </w:rPr>
              <w:t>分）</w:t>
            </w:r>
          </w:p>
        </w:tc>
        <w:tc>
          <w:tcPr>
            <w:tcW w:w="5591" w:type="dxa"/>
            <w:vAlign w:val="center"/>
          </w:tcPr>
          <w:p>
            <w:pPr>
              <w:pStyle w:val="129"/>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考察投标人项目管理服务能力，投标人拥有：</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1、ISO9001质量管理体系认证证书；</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2、ISO45001职业健康安全管理体系认证证书；</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3、ISO27001信息安全管理体系认证证书</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4、ISO20000信息技术服务管理体系认证证书</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5、有线广播电视施工总承包服务（二级及以上）；</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6、卫星电视广播地面接收设施安装服务许可；</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7、增值电信业务许可证（互联网接入服务）。</w:t>
            </w:r>
          </w:p>
          <w:p>
            <w:pPr>
              <w:pStyle w:val="129"/>
              <w:jc w:val="left"/>
              <w:rPr>
                <w:rFonts w:hint="eastAsia" w:ascii="宋体" w:hAnsi="宋体" w:eastAsia="宋体" w:cs="宋体"/>
                <w:kern w:val="2"/>
                <w:sz w:val="21"/>
                <w:szCs w:val="21"/>
                <w:lang w:val="en-US" w:eastAsia="zh-CN"/>
              </w:rPr>
            </w:pPr>
            <w:r>
              <w:rPr>
                <w:rFonts w:hint="eastAsia" w:ascii="宋体" w:hAnsi="宋体" w:eastAsia="宋体" w:cs="宋体"/>
                <w:sz w:val="21"/>
                <w:szCs w:val="21"/>
                <w:lang w:val="en-US" w:eastAsia="zh-CN"/>
              </w:rPr>
              <w:t>以上全有的得15分，第5、6项，缺少一项扣5分。其他每少一项扣2分。扣完为止。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9" w:hRule="exact"/>
        </w:trPr>
        <w:tc>
          <w:tcPr>
            <w:tcW w:w="821" w:type="dxa"/>
            <w:vMerge w:val="restart"/>
            <w:vAlign w:val="center"/>
          </w:tcPr>
          <w:p>
            <w:pPr>
              <w:pStyle w:val="129"/>
              <w:ind w:firstLine="420" w:firstLineChars="200"/>
              <w:jc w:val="center"/>
              <w:rPr>
                <w:rFonts w:hint="eastAsia" w:ascii="宋体" w:hAnsi="宋体" w:eastAsia="宋体" w:cs="宋体"/>
                <w:kern w:val="2"/>
                <w:sz w:val="21"/>
                <w:szCs w:val="21"/>
              </w:rPr>
            </w:pPr>
          </w:p>
          <w:p>
            <w:pPr>
              <w:pStyle w:val="129"/>
              <w:ind w:firstLine="420" w:firstLineChars="200"/>
              <w:jc w:val="center"/>
              <w:rPr>
                <w:rFonts w:hint="eastAsia" w:ascii="宋体" w:hAnsi="宋体" w:eastAsia="宋体" w:cs="宋体"/>
                <w:kern w:val="2"/>
                <w:sz w:val="21"/>
                <w:szCs w:val="21"/>
              </w:rPr>
            </w:pPr>
          </w:p>
          <w:p>
            <w:pPr>
              <w:pStyle w:val="129"/>
              <w:ind w:firstLine="420" w:firstLineChars="200"/>
              <w:jc w:val="center"/>
              <w:rPr>
                <w:rFonts w:hint="eastAsia" w:ascii="宋体" w:hAnsi="宋体" w:eastAsia="宋体" w:cs="宋体"/>
                <w:kern w:val="2"/>
                <w:sz w:val="21"/>
                <w:szCs w:val="21"/>
              </w:rPr>
            </w:pPr>
          </w:p>
          <w:p>
            <w:pPr>
              <w:pStyle w:val="129"/>
              <w:ind w:firstLine="420" w:firstLineChars="200"/>
              <w:jc w:val="center"/>
              <w:rPr>
                <w:rFonts w:hint="eastAsia" w:ascii="宋体" w:hAnsi="宋体" w:eastAsia="宋体" w:cs="宋体"/>
                <w:kern w:val="2"/>
                <w:sz w:val="21"/>
                <w:szCs w:val="21"/>
              </w:rPr>
            </w:pPr>
          </w:p>
          <w:p>
            <w:pPr>
              <w:pStyle w:val="129"/>
              <w:ind w:firstLine="420" w:firstLineChars="200"/>
              <w:jc w:val="center"/>
              <w:rPr>
                <w:rFonts w:hint="eastAsia" w:ascii="宋体" w:hAnsi="宋体" w:eastAsia="宋体" w:cs="宋体"/>
                <w:kern w:val="2"/>
                <w:sz w:val="21"/>
                <w:szCs w:val="21"/>
              </w:rPr>
            </w:pPr>
          </w:p>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2.2.4</w:t>
            </w:r>
          </w:p>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879" w:type="dxa"/>
            <w:vMerge w:val="restart"/>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技术评分 标准</w:t>
            </w:r>
          </w:p>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50</w:t>
            </w:r>
            <w:r>
              <w:rPr>
                <w:rFonts w:hint="eastAsia" w:ascii="宋体" w:hAnsi="宋体" w:eastAsia="宋体" w:cs="宋体"/>
                <w:kern w:val="2"/>
                <w:sz w:val="21"/>
                <w:szCs w:val="21"/>
              </w:rPr>
              <w:t>分</w:t>
            </w:r>
          </w:p>
        </w:tc>
        <w:tc>
          <w:tcPr>
            <w:tcW w:w="2162" w:type="dxa"/>
            <w:vAlign w:val="center"/>
          </w:tcPr>
          <w:p>
            <w:pPr>
              <w:pStyle w:val="129"/>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技术参数响应程度（10分）</w:t>
            </w:r>
          </w:p>
        </w:tc>
        <w:tc>
          <w:tcPr>
            <w:tcW w:w="5591" w:type="dxa"/>
            <w:vAlign w:val="center"/>
          </w:tcPr>
          <w:p>
            <w:pPr>
              <w:pStyle w:val="129"/>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投标人完全符合招标文件技术参数要求没有负偏离的得10分； </w:t>
            </w:r>
          </w:p>
          <w:p>
            <w:pPr>
              <w:pStyle w:val="129"/>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1、投标人针对“▲”条款的响应，每有1项负偏离，扣2分，扣完为止。</w:t>
            </w:r>
          </w:p>
          <w:p>
            <w:pPr>
              <w:pStyle w:val="129"/>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2、投标人针对一般条款的响应，每有1项负偏离，扣1分，扣完为止。</w:t>
            </w:r>
          </w:p>
          <w:p>
            <w:pPr>
              <w:pStyle w:val="129"/>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w:t>
            </w:r>
          </w:p>
          <w:p>
            <w:pPr>
              <w:pStyle w:val="129"/>
              <w:jc w:val="left"/>
              <w:rPr>
                <w:rFonts w:hint="eastAsia" w:ascii="宋体" w:hAnsi="宋体" w:eastAsia="宋体" w:cs="宋体"/>
                <w:kern w:val="2"/>
                <w:sz w:val="21"/>
                <w:szCs w:val="21"/>
                <w:lang w:val="en-US" w:eastAsia="zh-CN"/>
              </w:rPr>
            </w:pPr>
            <w:r>
              <w:rPr>
                <w:rFonts w:hint="eastAsia" w:ascii="宋体" w:hAnsi="宋体" w:eastAsia="宋体" w:cs="宋体"/>
                <w:b/>
                <w:bCs/>
                <w:sz w:val="21"/>
                <w:szCs w:val="21"/>
                <w:lang w:val="en-US" w:eastAsia="zh-CN"/>
              </w:rPr>
              <w:t>投标人应在投标文件中提供相应证明材料（加盖投标人公章）予以证明，否则该条款不予得分。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0" w:hRule="exact"/>
        </w:trPr>
        <w:tc>
          <w:tcPr>
            <w:tcW w:w="821" w:type="dxa"/>
            <w:vMerge w:val="continue"/>
            <w:vAlign w:val="center"/>
          </w:tcPr>
          <w:p>
            <w:pPr>
              <w:pStyle w:val="129"/>
              <w:jc w:val="center"/>
              <w:rPr>
                <w:rFonts w:hint="eastAsia" w:ascii="宋体" w:hAnsi="宋体" w:eastAsia="宋体" w:cs="宋体"/>
                <w:kern w:val="2"/>
                <w:sz w:val="21"/>
                <w:szCs w:val="21"/>
              </w:rPr>
            </w:pPr>
          </w:p>
        </w:tc>
        <w:tc>
          <w:tcPr>
            <w:tcW w:w="879" w:type="dxa"/>
            <w:vMerge w:val="continue"/>
            <w:vAlign w:val="center"/>
          </w:tcPr>
          <w:p>
            <w:pPr>
              <w:pStyle w:val="129"/>
              <w:jc w:val="center"/>
              <w:rPr>
                <w:rFonts w:hint="eastAsia" w:ascii="宋体" w:hAnsi="宋体" w:eastAsia="宋体" w:cs="宋体"/>
                <w:kern w:val="2"/>
                <w:sz w:val="21"/>
                <w:szCs w:val="21"/>
              </w:rPr>
            </w:pPr>
          </w:p>
        </w:tc>
        <w:tc>
          <w:tcPr>
            <w:tcW w:w="2162" w:type="dxa"/>
            <w:vAlign w:val="center"/>
          </w:tcPr>
          <w:p>
            <w:pPr>
              <w:pStyle w:val="129"/>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系统方案合理性（20分）</w:t>
            </w:r>
          </w:p>
        </w:tc>
        <w:tc>
          <w:tcPr>
            <w:tcW w:w="5591" w:type="dxa"/>
            <w:vAlign w:val="center"/>
          </w:tcPr>
          <w:p>
            <w:pPr>
              <w:pStyle w:val="129"/>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1、根据项目具体情况编制详细技术方案，包括网络规划、平台建设方案等，</w:t>
            </w:r>
            <w:r>
              <w:rPr>
                <w:rFonts w:hint="eastAsia" w:ascii="宋体" w:hAnsi="宋体" w:eastAsia="宋体" w:cs="宋体"/>
                <w:color w:val="auto"/>
                <w:kern w:val="2"/>
                <w:sz w:val="21"/>
                <w:szCs w:val="21"/>
                <w:highlight w:val="none"/>
                <w:lang w:val="en-US" w:eastAsia="zh-CN"/>
              </w:rPr>
              <w:t>项目建设的平台必须能够与新疆广电网络公司的天山云 2.0 全媒体业务平台对接，并提供详细的对接方案的得5分（不提供证明文件或不具有合理</w:t>
            </w:r>
            <w:r>
              <w:rPr>
                <w:rFonts w:hint="eastAsia" w:ascii="宋体" w:hAnsi="宋体" w:eastAsia="宋体" w:cs="宋体"/>
                <w:kern w:val="2"/>
                <w:sz w:val="21"/>
                <w:szCs w:val="21"/>
                <w:highlight w:val="none"/>
                <w:lang w:val="en-US" w:eastAsia="zh-CN"/>
              </w:rPr>
              <w:t>性不得分）；平台建设按照中心云+边缘节点解决方案的得5分（不提供证明文件或不具有合理性不得分）；在项目方案中对于网络无法覆盖的区域采用直播卫星方式解决收看电视问题，对于应标方案中能够提供5G+直播卫星的融合解决方案并提供相应的证明文件的得2分（不提供证明文件或不具有合理性不得分）。（12分）</w:t>
            </w:r>
          </w:p>
          <w:p>
            <w:pPr>
              <w:pStyle w:val="129"/>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2、根据项目具体情况编制详细的项目实施方案，内容包括项目实施与管理要点分析、项目实施管理方法论、项目实施成功保障措施、项目组织与机构、进度和质量管理计划等，以上五项内容：</w:t>
            </w:r>
          </w:p>
          <w:p>
            <w:pPr>
              <w:pStyle w:val="129"/>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（1）施工组织方案内容详细，完善可实施的得6分；</w:t>
            </w:r>
          </w:p>
          <w:p>
            <w:pPr>
              <w:pStyle w:val="129"/>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（2）施工组织方案内容完整，欠完善实施性差的得3分；</w:t>
            </w:r>
          </w:p>
          <w:p>
            <w:pPr>
              <w:pStyle w:val="129"/>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（3）施工组织方案欠完整，欠完善得难以实施的得1分。</w:t>
            </w:r>
          </w:p>
          <w:p>
            <w:pPr>
              <w:pStyle w:val="129"/>
              <w:jc w:val="left"/>
              <w:rPr>
                <w:rFonts w:hint="eastAsia" w:ascii="宋体" w:hAnsi="宋体" w:eastAsia="宋体" w:cs="宋体"/>
                <w:kern w:val="2"/>
                <w:sz w:val="21"/>
                <w:szCs w:val="21"/>
                <w:lang w:val="en-US" w:eastAsia="zh-CN"/>
              </w:rPr>
            </w:pPr>
            <w:r>
              <w:rPr>
                <w:rFonts w:hint="eastAsia" w:ascii="宋体" w:hAnsi="宋体" w:eastAsia="宋体" w:cs="宋体"/>
                <w:kern w:val="2"/>
                <w:sz w:val="21"/>
                <w:szCs w:val="21"/>
                <w:highlight w:val="none"/>
                <w:lang w:val="en-US" w:eastAsia="zh-CN"/>
              </w:rPr>
              <w:t>3、工程项目进度合理，能够按照工期要求完工的得2分，不能够按期完成的不得分。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4" w:hRule="exact"/>
        </w:trPr>
        <w:tc>
          <w:tcPr>
            <w:tcW w:w="821" w:type="dxa"/>
            <w:vMerge w:val="continue"/>
            <w:vAlign w:val="center"/>
          </w:tcPr>
          <w:p>
            <w:pPr>
              <w:pStyle w:val="129"/>
              <w:jc w:val="center"/>
              <w:rPr>
                <w:rFonts w:hint="eastAsia" w:ascii="宋体" w:hAnsi="宋体" w:eastAsia="宋体" w:cs="宋体"/>
                <w:kern w:val="2"/>
                <w:sz w:val="21"/>
                <w:szCs w:val="21"/>
              </w:rPr>
            </w:pPr>
          </w:p>
        </w:tc>
        <w:tc>
          <w:tcPr>
            <w:tcW w:w="879" w:type="dxa"/>
            <w:vMerge w:val="continue"/>
            <w:vAlign w:val="center"/>
          </w:tcPr>
          <w:p>
            <w:pPr>
              <w:pStyle w:val="129"/>
              <w:jc w:val="center"/>
              <w:rPr>
                <w:rFonts w:hint="eastAsia" w:ascii="宋体" w:hAnsi="宋体" w:eastAsia="宋体" w:cs="宋体"/>
                <w:kern w:val="2"/>
                <w:sz w:val="21"/>
                <w:szCs w:val="21"/>
              </w:rPr>
            </w:pPr>
          </w:p>
        </w:tc>
        <w:tc>
          <w:tcPr>
            <w:tcW w:w="2162" w:type="dxa"/>
            <w:vAlign w:val="center"/>
          </w:tcPr>
          <w:p>
            <w:pPr>
              <w:pStyle w:val="129"/>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项目实施团队及人员配备（4分）</w:t>
            </w:r>
          </w:p>
        </w:tc>
        <w:tc>
          <w:tcPr>
            <w:tcW w:w="5591" w:type="dxa"/>
            <w:vAlign w:val="center"/>
          </w:tcPr>
          <w:p>
            <w:pPr>
              <w:pStyle w:val="129"/>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项目实施团队：投标人拟投入本项目的实施团队不少于10人，满足得得1分，否则不得分；</w:t>
            </w:r>
          </w:p>
          <w:p>
            <w:pPr>
              <w:pStyle w:val="129"/>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项目实施团队人员中具备高级工程师（专业类别须为通信工程或机械电子工程）及以上职称证书的每有一人得 1分，最高得3分。</w:t>
            </w:r>
          </w:p>
          <w:p>
            <w:pPr>
              <w:pStyle w:val="129"/>
              <w:jc w:val="left"/>
              <w:rPr>
                <w:rFonts w:hint="eastAsia" w:ascii="宋体" w:hAnsi="宋体" w:eastAsia="宋体" w:cs="宋体"/>
                <w:b/>
                <w:bCs/>
                <w:kern w:val="2"/>
                <w:sz w:val="21"/>
                <w:szCs w:val="21"/>
                <w:highlight w:val="none"/>
                <w:lang w:val="en-US" w:eastAsia="zh-CN"/>
              </w:rPr>
            </w:pPr>
            <w:r>
              <w:rPr>
                <w:rFonts w:hint="eastAsia" w:ascii="宋体" w:hAnsi="宋体" w:eastAsia="宋体" w:cs="宋体"/>
                <w:b/>
                <w:bCs/>
                <w:kern w:val="2"/>
                <w:sz w:val="21"/>
                <w:szCs w:val="21"/>
                <w:highlight w:val="none"/>
                <w:lang w:val="en-US" w:eastAsia="zh-CN"/>
              </w:rPr>
              <w:t>注：1、以上人员须是投标人聘用的正式员工，须提供人员名单等其他证明材料。</w:t>
            </w:r>
          </w:p>
          <w:p>
            <w:pPr>
              <w:pStyle w:val="129"/>
              <w:jc w:val="left"/>
              <w:rPr>
                <w:rFonts w:hint="eastAsia" w:ascii="宋体" w:hAnsi="宋体" w:eastAsia="宋体" w:cs="宋体"/>
                <w:kern w:val="2"/>
                <w:sz w:val="21"/>
                <w:szCs w:val="21"/>
                <w:highlight w:val="none"/>
                <w:lang w:val="en-US" w:eastAsia="zh-CN"/>
              </w:rPr>
            </w:pPr>
            <w:r>
              <w:rPr>
                <w:rFonts w:hint="eastAsia" w:ascii="宋体" w:hAnsi="宋体" w:eastAsia="宋体" w:cs="宋体"/>
                <w:b/>
                <w:bCs/>
                <w:kern w:val="2"/>
                <w:sz w:val="21"/>
                <w:szCs w:val="21"/>
                <w:highlight w:val="none"/>
                <w:lang w:val="en-US" w:eastAsia="zh-CN"/>
              </w:rPr>
              <w:t>2、证明材料须提供本项目相关专业职称证书的复印件并盖章，不提供证明材料或证明材料不齐全者不得分。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4" w:hRule="exact"/>
        </w:trPr>
        <w:tc>
          <w:tcPr>
            <w:tcW w:w="821" w:type="dxa"/>
            <w:vMerge w:val="continue"/>
            <w:vAlign w:val="center"/>
          </w:tcPr>
          <w:p>
            <w:pPr>
              <w:pStyle w:val="129"/>
              <w:jc w:val="center"/>
              <w:rPr>
                <w:rFonts w:hint="eastAsia" w:ascii="宋体" w:hAnsi="宋体" w:eastAsia="宋体" w:cs="宋体"/>
                <w:kern w:val="2"/>
                <w:sz w:val="21"/>
                <w:szCs w:val="21"/>
              </w:rPr>
            </w:pPr>
          </w:p>
        </w:tc>
        <w:tc>
          <w:tcPr>
            <w:tcW w:w="879" w:type="dxa"/>
            <w:vMerge w:val="continue"/>
            <w:vAlign w:val="center"/>
          </w:tcPr>
          <w:p>
            <w:pPr>
              <w:pStyle w:val="129"/>
              <w:jc w:val="center"/>
              <w:rPr>
                <w:rFonts w:hint="eastAsia" w:ascii="宋体" w:hAnsi="宋体" w:eastAsia="宋体" w:cs="宋体"/>
                <w:kern w:val="2"/>
                <w:sz w:val="21"/>
                <w:szCs w:val="21"/>
              </w:rPr>
            </w:pPr>
          </w:p>
        </w:tc>
        <w:tc>
          <w:tcPr>
            <w:tcW w:w="2162" w:type="dxa"/>
            <w:vAlign w:val="center"/>
          </w:tcPr>
          <w:p>
            <w:pPr>
              <w:pStyle w:val="34"/>
              <w:snapToGrid w:val="0"/>
              <w:jc w:val="center"/>
              <w:rPr>
                <w:rFonts w:hint="eastAsia" w:ascii="宋体" w:hAnsi="宋体" w:eastAsia="宋体" w:cs="宋体"/>
                <w:kern w:val="2"/>
                <w:sz w:val="21"/>
                <w:szCs w:val="21"/>
                <w:highlight w:val="none"/>
                <w:lang w:val="en-US" w:eastAsia="zh-CN"/>
              </w:rPr>
            </w:pPr>
            <w:r>
              <w:rPr>
                <w:rFonts w:hint="eastAsia" w:ascii="宋体" w:hAnsi="宋体" w:eastAsia="宋体" w:cs="宋体"/>
                <w:color w:val="auto"/>
                <w:sz w:val="21"/>
                <w:szCs w:val="21"/>
                <w:highlight w:val="none"/>
              </w:rPr>
              <w:t>平台安全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2分）</w:t>
            </w:r>
          </w:p>
        </w:tc>
        <w:tc>
          <w:tcPr>
            <w:tcW w:w="5591" w:type="dxa"/>
            <w:vAlign w:val="center"/>
          </w:tcPr>
          <w:p>
            <w:pPr>
              <w:pStyle w:val="78"/>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1、为保证数据传输安全，拟定安排网络安全工程师两名，网络安全工程师须是注册信息安全专业人员（CISP），提供证书的得2分，不提供或不合格</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不得分。</w:t>
            </w:r>
          </w:p>
          <w:p>
            <w:pPr>
              <w:pStyle w:val="78"/>
              <w:ind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rPr>
              <w:t>注：网络安全工程师须是投标人聘用的正式员工，须提供证书等证明材料，未提供或不齐全不得分</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6" w:hRule="exact"/>
        </w:trPr>
        <w:tc>
          <w:tcPr>
            <w:tcW w:w="821" w:type="dxa"/>
            <w:vMerge w:val="continue"/>
            <w:vAlign w:val="center"/>
          </w:tcPr>
          <w:p>
            <w:pPr>
              <w:pStyle w:val="129"/>
              <w:jc w:val="center"/>
              <w:rPr>
                <w:rFonts w:hint="eastAsia" w:ascii="宋体" w:hAnsi="宋体" w:eastAsia="宋体" w:cs="宋体"/>
                <w:kern w:val="2"/>
                <w:sz w:val="21"/>
                <w:szCs w:val="21"/>
              </w:rPr>
            </w:pPr>
          </w:p>
        </w:tc>
        <w:tc>
          <w:tcPr>
            <w:tcW w:w="879" w:type="dxa"/>
            <w:vMerge w:val="continue"/>
            <w:vAlign w:val="center"/>
          </w:tcPr>
          <w:p>
            <w:pPr>
              <w:pStyle w:val="129"/>
              <w:jc w:val="center"/>
              <w:rPr>
                <w:rFonts w:hint="eastAsia" w:ascii="宋体" w:hAnsi="宋体" w:eastAsia="宋体" w:cs="宋体"/>
                <w:kern w:val="2"/>
                <w:sz w:val="21"/>
                <w:szCs w:val="21"/>
              </w:rPr>
            </w:pPr>
          </w:p>
        </w:tc>
        <w:tc>
          <w:tcPr>
            <w:tcW w:w="2162" w:type="dxa"/>
            <w:vAlign w:val="center"/>
          </w:tcPr>
          <w:p>
            <w:pPr>
              <w:pStyle w:val="34"/>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售后服务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14分）</w:t>
            </w:r>
          </w:p>
        </w:tc>
        <w:tc>
          <w:tcPr>
            <w:tcW w:w="5591" w:type="dxa"/>
            <w:vAlign w:val="center"/>
          </w:tcPr>
          <w:p>
            <w:pPr>
              <w:pStyle w:val="78"/>
              <w:ind w:firstLine="0" w:firstLineChars="0"/>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1、基于本项目的复杂性和后期运维保障需求，投标人可提供项目所在地区本地化售后服务能力的维护车辆、光缆熔接机、OTDR等维护工具、本地区具备库房，储备光缆、OLT、ONU的备品、备件全部具备</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得4分，每少一个扣1分，扣完为止。</w:t>
            </w: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rPr>
              <w:t>提供提供车辆行驶证、设备照片等证明材料并加盖公章，证明材料不齐全不得分；</w:t>
            </w:r>
          </w:p>
          <w:p>
            <w:pPr>
              <w:pStyle w:val="78"/>
              <w:ind w:firstLine="0" w:firstLineChars="0"/>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2、运维及保障</w:t>
            </w:r>
          </w:p>
          <w:p>
            <w:pPr>
              <w:pStyle w:val="78"/>
              <w:ind w:firstLine="0" w:firstLineChars="0"/>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（1）该项满分2分，满足招标文件规定且提供完整的系统运行维护方案，包括线路、设备、平台等，满足招标文件规定的维护服务</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得2分，不满足</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不得分。</w:t>
            </w:r>
          </w:p>
          <w:p>
            <w:pPr>
              <w:pStyle w:val="78"/>
              <w:ind w:firstLine="0" w:firstLineChars="0"/>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（2）承诺验收后免费1年运维的得1分，每增加1年得1分，最高得4分。</w:t>
            </w:r>
            <w:r>
              <w:rPr>
                <w:rFonts w:hint="eastAsia" w:ascii="宋体" w:hAnsi="宋体" w:eastAsia="宋体" w:cs="宋体"/>
                <w:b/>
                <w:bCs/>
                <w:color w:val="auto"/>
                <w:sz w:val="21"/>
                <w:szCs w:val="21"/>
                <w:highlight w:val="none"/>
              </w:rPr>
              <w:t>（提供承诺函，不提供不得分）</w:t>
            </w:r>
          </w:p>
          <w:p>
            <w:pPr>
              <w:pStyle w:val="78"/>
              <w:ind w:firstLine="0" w:firstLineChars="0"/>
              <w:jc w:val="both"/>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（3）投标人承诺提供在日常及重大节假日7*24小时全天候</w:t>
            </w:r>
            <w:r>
              <w:rPr>
                <w:rFonts w:hint="eastAsia" w:ascii="宋体" w:hAnsi="宋体" w:eastAsia="宋体" w:cs="宋体"/>
                <w:b w:val="0"/>
                <w:bCs w:val="0"/>
                <w:color w:val="auto"/>
                <w:sz w:val="21"/>
                <w:szCs w:val="21"/>
                <w:highlight w:val="none"/>
                <w:lang w:val="en-US" w:eastAsia="zh-CN"/>
              </w:rPr>
              <w:t>针对</w:t>
            </w:r>
            <w:r>
              <w:rPr>
                <w:rFonts w:hint="eastAsia" w:ascii="宋体" w:hAnsi="宋体" w:eastAsia="宋体" w:cs="宋体"/>
                <w:b w:val="0"/>
                <w:bCs w:val="0"/>
                <w:color w:val="auto"/>
                <w:sz w:val="21"/>
                <w:szCs w:val="21"/>
                <w:highlight w:val="none"/>
              </w:rPr>
              <w:t>遇系统故障、影响正常系统运转</w:t>
            </w:r>
            <w:r>
              <w:rPr>
                <w:rFonts w:hint="eastAsia" w:ascii="宋体" w:hAnsi="宋体" w:eastAsia="宋体" w:cs="宋体"/>
                <w:b w:val="0"/>
                <w:bCs w:val="0"/>
                <w:color w:val="auto"/>
                <w:sz w:val="21"/>
                <w:szCs w:val="21"/>
                <w:highlight w:val="none"/>
                <w:lang w:val="en-US" w:eastAsia="zh-CN"/>
              </w:rPr>
              <w:t>等</w:t>
            </w:r>
            <w:r>
              <w:rPr>
                <w:rFonts w:hint="eastAsia" w:ascii="宋体" w:hAnsi="宋体" w:eastAsia="宋体" w:cs="宋体"/>
                <w:b w:val="0"/>
                <w:bCs w:val="0"/>
                <w:color w:val="auto"/>
                <w:sz w:val="21"/>
                <w:szCs w:val="21"/>
                <w:highlight w:val="none"/>
              </w:rPr>
              <w:t>可进行技术服务</w:t>
            </w:r>
            <w:r>
              <w:rPr>
                <w:rFonts w:hint="eastAsia" w:ascii="宋体" w:hAnsi="宋体" w:eastAsia="宋体" w:cs="宋体"/>
                <w:b w:val="0"/>
                <w:bCs w:val="0"/>
                <w:color w:val="auto"/>
                <w:sz w:val="21"/>
                <w:szCs w:val="21"/>
                <w:highlight w:val="none"/>
                <w:lang w:val="en-US" w:eastAsia="zh-CN"/>
              </w:rPr>
              <w:t>的得2分</w:t>
            </w:r>
            <w:r>
              <w:rPr>
                <w:rFonts w:hint="eastAsia" w:ascii="宋体" w:hAnsi="宋体" w:eastAsia="宋体" w:cs="宋体"/>
                <w:b w:val="0"/>
                <w:bCs w:val="0"/>
                <w:color w:val="auto"/>
                <w:sz w:val="21"/>
                <w:szCs w:val="21"/>
                <w:highlight w:val="none"/>
              </w:rPr>
              <w:t>，未承诺</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不得分</w:t>
            </w:r>
            <w:r>
              <w:rPr>
                <w:rFonts w:hint="eastAsia" w:ascii="宋体" w:hAnsi="宋体" w:eastAsia="宋体" w:cs="宋体"/>
                <w:b w:val="0"/>
                <w:bCs w:val="0"/>
                <w:color w:val="auto"/>
                <w:sz w:val="21"/>
                <w:szCs w:val="21"/>
                <w:highlight w:val="none"/>
                <w:lang w:eastAsia="zh-CN"/>
              </w:rPr>
              <w:t>。</w:t>
            </w:r>
          </w:p>
          <w:p>
            <w:pPr>
              <w:pStyle w:val="78"/>
              <w:ind w:firstLine="0" w:firstLineChars="0"/>
              <w:jc w:val="both"/>
              <w:rPr>
                <w:rFonts w:hint="eastAsia" w:ascii="宋体" w:hAnsi="宋体" w:eastAsia="宋体" w:cs="宋体"/>
                <w:b/>
                <w:bCs/>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投标人提供满足国家广电总局62号令的安全播出应急预案，安全播出应急预案完整全面</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分，不</w:t>
            </w:r>
            <w:r>
              <w:rPr>
                <w:rFonts w:hint="eastAsia" w:ascii="宋体" w:hAnsi="宋体" w:eastAsia="宋体" w:cs="宋体"/>
                <w:b w:val="0"/>
                <w:bCs w:val="0"/>
                <w:color w:val="auto"/>
                <w:sz w:val="21"/>
                <w:szCs w:val="21"/>
                <w:highlight w:val="none"/>
                <w:lang w:val="en-US" w:eastAsia="zh-CN"/>
              </w:rPr>
              <w:t>够</w:t>
            </w:r>
            <w:r>
              <w:rPr>
                <w:rFonts w:hint="eastAsia" w:ascii="宋体" w:hAnsi="宋体" w:eastAsia="宋体" w:cs="宋体"/>
                <w:b w:val="0"/>
                <w:bCs w:val="0"/>
                <w:color w:val="auto"/>
                <w:sz w:val="21"/>
                <w:szCs w:val="21"/>
                <w:highlight w:val="none"/>
              </w:rPr>
              <w:t>完整</w:t>
            </w:r>
            <w:r>
              <w:rPr>
                <w:rFonts w:hint="eastAsia" w:ascii="宋体" w:hAnsi="宋体" w:eastAsia="宋体" w:cs="宋体"/>
                <w:b w:val="0"/>
                <w:bCs w:val="0"/>
                <w:color w:val="auto"/>
                <w:sz w:val="21"/>
                <w:szCs w:val="21"/>
                <w:highlight w:val="none"/>
                <w:lang w:val="en-US" w:eastAsia="zh-CN"/>
              </w:rPr>
              <w:t>全面</w:t>
            </w:r>
            <w:r>
              <w:rPr>
                <w:rFonts w:hint="eastAsia" w:ascii="宋体" w:hAnsi="宋体" w:eastAsia="宋体" w:cs="宋体"/>
                <w:b w:val="0"/>
                <w:bCs w:val="0"/>
                <w:color w:val="auto"/>
                <w:sz w:val="21"/>
                <w:szCs w:val="21"/>
                <w:highlight w:val="none"/>
              </w:rPr>
              <w:t>的得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val="en-US" w:eastAsia="zh-CN"/>
              </w:rPr>
              <w:t>未提供的不得分</w:t>
            </w:r>
            <w:r>
              <w:rPr>
                <w:rFonts w:hint="eastAsia" w:ascii="宋体" w:hAnsi="宋体" w:eastAsia="宋体" w:cs="宋体"/>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8" w:hRule="exact"/>
        </w:trPr>
        <w:tc>
          <w:tcPr>
            <w:tcW w:w="821" w:type="dxa"/>
            <w:vMerge w:val="restart"/>
            <w:vAlign w:val="center"/>
          </w:tcPr>
          <w:p>
            <w:pPr>
              <w:pStyle w:val="129"/>
              <w:ind w:firstLine="420" w:firstLineChars="200"/>
              <w:jc w:val="center"/>
              <w:rPr>
                <w:rFonts w:hint="eastAsia" w:ascii="宋体" w:hAnsi="宋体" w:eastAsia="宋体" w:cs="宋体"/>
                <w:kern w:val="2"/>
                <w:sz w:val="21"/>
                <w:szCs w:val="21"/>
              </w:rPr>
            </w:pPr>
          </w:p>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2.2.4</w:t>
            </w:r>
          </w:p>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879" w:type="dxa"/>
            <w:vMerge w:val="restart"/>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投标报价 评分标准</w:t>
            </w:r>
          </w:p>
        </w:tc>
        <w:tc>
          <w:tcPr>
            <w:tcW w:w="2162"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评标基准价计算方法</w:t>
            </w:r>
          </w:p>
        </w:tc>
        <w:tc>
          <w:tcPr>
            <w:tcW w:w="5591" w:type="dxa"/>
            <w:vAlign w:val="center"/>
          </w:tcPr>
          <w:p>
            <w:pPr>
              <w:pStyle w:val="129"/>
              <w:ind w:left="120" w:leftChars="50" w:right="91" w:rightChars="38"/>
              <w:jc w:val="both"/>
              <w:rPr>
                <w:rFonts w:hint="eastAsia" w:ascii="宋体" w:hAnsi="宋体" w:eastAsia="宋体" w:cs="宋体"/>
                <w:kern w:val="2"/>
                <w:sz w:val="21"/>
                <w:szCs w:val="21"/>
              </w:rPr>
            </w:pPr>
            <w:r>
              <w:rPr>
                <w:rFonts w:hint="eastAsia" w:ascii="宋体" w:hAnsi="宋体" w:eastAsia="宋体" w:cs="宋体"/>
                <w:kern w:val="2"/>
                <w:sz w:val="21"/>
                <w:szCs w:val="21"/>
              </w:rPr>
              <w:t>满足招标文件要求且投标价格最低的投标报价为评标基准价，其价格分为满分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exact"/>
        </w:trPr>
        <w:tc>
          <w:tcPr>
            <w:tcW w:w="821" w:type="dxa"/>
            <w:vMerge w:val="continue"/>
            <w:vAlign w:val="center"/>
          </w:tcPr>
          <w:p>
            <w:pPr>
              <w:ind w:firstLine="420" w:firstLineChars="200"/>
              <w:jc w:val="center"/>
              <w:rPr>
                <w:rFonts w:hint="eastAsia" w:ascii="宋体" w:hAnsi="宋体" w:eastAsia="宋体" w:cs="宋体"/>
                <w:kern w:val="2"/>
                <w:sz w:val="21"/>
                <w:szCs w:val="21"/>
              </w:rPr>
            </w:pPr>
          </w:p>
        </w:tc>
        <w:tc>
          <w:tcPr>
            <w:tcW w:w="879" w:type="dxa"/>
            <w:vMerge w:val="continue"/>
            <w:vAlign w:val="center"/>
          </w:tcPr>
          <w:p>
            <w:pPr>
              <w:ind w:firstLine="420" w:firstLineChars="200"/>
              <w:jc w:val="center"/>
              <w:rPr>
                <w:rFonts w:hint="eastAsia" w:ascii="宋体" w:hAnsi="宋体" w:eastAsia="宋体" w:cs="宋体"/>
                <w:kern w:val="2"/>
                <w:sz w:val="21"/>
                <w:szCs w:val="21"/>
              </w:rPr>
            </w:pPr>
          </w:p>
        </w:tc>
        <w:tc>
          <w:tcPr>
            <w:tcW w:w="2162" w:type="dxa"/>
            <w:vAlign w:val="center"/>
          </w:tcPr>
          <w:p>
            <w:pPr>
              <w:pStyle w:val="129"/>
              <w:jc w:val="center"/>
              <w:rPr>
                <w:rFonts w:hint="eastAsia" w:ascii="宋体" w:hAnsi="宋体" w:eastAsia="宋体" w:cs="宋体"/>
                <w:kern w:val="2"/>
                <w:sz w:val="21"/>
                <w:szCs w:val="21"/>
              </w:rPr>
            </w:pPr>
            <w:r>
              <w:rPr>
                <w:rFonts w:hint="eastAsia" w:ascii="宋体" w:hAnsi="宋体" w:eastAsia="宋体" w:cs="宋体"/>
                <w:kern w:val="2"/>
                <w:sz w:val="21"/>
                <w:szCs w:val="21"/>
              </w:rPr>
              <w:t>投标报价得分计算公式</w:t>
            </w:r>
          </w:p>
        </w:tc>
        <w:tc>
          <w:tcPr>
            <w:tcW w:w="5591" w:type="dxa"/>
            <w:vAlign w:val="center"/>
          </w:tcPr>
          <w:p>
            <w:pPr>
              <w:ind w:left="120" w:leftChars="50" w:right="91" w:rightChars="38"/>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rPr>
              <w:t>(评标基准价/投标报价)*</w:t>
            </w:r>
            <w:r>
              <w:rPr>
                <w:rFonts w:hint="eastAsia" w:ascii="宋体" w:hAnsi="宋体" w:eastAsia="宋体" w:cs="宋体"/>
                <w:kern w:val="2"/>
                <w:sz w:val="21"/>
                <w:szCs w:val="21"/>
                <w:lang w:val="en-US" w:eastAsia="zh-CN"/>
              </w:rPr>
              <w:t>30</w:t>
            </w:r>
          </w:p>
        </w:tc>
      </w:tr>
    </w:tbl>
    <w:p>
      <w:pPr>
        <w:spacing w:line="90" w:lineRule="exact"/>
        <w:ind w:firstLine="180" w:firstLineChars="200"/>
        <w:rPr>
          <w:rFonts w:ascii="宋体" w:hAnsi="宋体"/>
          <w:sz w:val="9"/>
          <w:szCs w:val="9"/>
        </w:rPr>
      </w:pPr>
    </w:p>
    <w:p>
      <w:pPr>
        <w:widowControl w:val="0"/>
        <w:spacing w:line="440" w:lineRule="exact"/>
        <w:ind w:firstLine="422" w:firstLineChars="200"/>
        <w:jc w:val="both"/>
        <w:rPr>
          <w:rFonts w:hint="eastAsia" w:ascii="宋体" w:hAnsi="宋体" w:eastAsia="宋体" w:cs="宋体"/>
          <w:b/>
          <w:bCs/>
          <w:sz w:val="21"/>
          <w:szCs w:val="21"/>
        </w:rPr>
      </w:pPr>
      <w:r>
        <w:rPr>
          <w:rFonts w:hint="eastAsia" w:ascii="宋体" w:hAnsi="宋体" w:eastAsia="宋体" w:cs="宋体"/>
          <w:b/>
          <w:bCs/>
          <w:sz w:val="21"/>
          <w:szCs w:val="21"/>
        </w:rPr>
        <w:t xml:space="preserve">注1：根据《政府采购促进中小企业发展管理办法》（财库﹝2020﹞46 号）和《财政部 </w:t>
      </w:r>
      <w:r>
        <w:rPr>
          <w:rFonts w:hint="eastAsia" w:ascii="宋体" w:hAnsi="宋体" w:eastAsia="宋体" w:cs="宋体"/>
          <w:b/>
          <w:bCs/>
          <w:sz w:val="21"/>
          <w:szCs w:val="21"/>
          <w:lang w:eastAsia="zh-CN"/>
        </w:rPr>
        <w:t>sifa</w:t>
      </w:r>
      <w:r>
        <w:rPr>
          <w:rFonts w:hint="eastAsia" w:ascii="宋体" w:hAnsi="宋体" w:eastAsia="宋体" w:cs="宋体"/>
          <w:b/>
          <w:bCs/>
          <w:sz w:val="21"/>
          <w:szCs w:val="21"/>
        </w:rPr>
        <w:t>部关于政府采购支持</w:t>
      </w:r>
      <w:r>
        <w:rPr>
          <w:rFonts w:hint="eastAsia" w:ascii="宋体" w:hAnsi="宋体" w:eastAsia="宋体" w:cs="宋体"/>
          <w:b/>
          <w:bCs/>
          <w:sz w:val="21"/>
          <w:szCs w:val="21"/>
          <w:lang w:eastAsia="zh-CN"/>
        </w:rPr>
        <w:t>jianyu</w:t>
      </w:r>
      <w:r>
        <w:rPr>
          <w:rFonts w:hint="eastAsia" w:ascii="宋体" w:hAnsi="宋体" w:eastAsia="宋体" w:cs="宋体"/>
          <w:b/>
          <w:bCs/>
          <w:sz w:val="21"/>
          <w:szCs w:val="21"/>
        </w:rPr>
        <w:t>企业发展有关问题的通知》（财库〔2014〕68号）的规定，对满足价格扣除条件且在响应文件中提交了《中小企业声明函》或省级以上</w:t>
      </w:r>
      <w:r>
        <w:rPr>
          <w:rFonts w:hint="eastAsia" w:ascii="宋体" w:hAnsi="宋体" w:eastAsia="宋体" w:cs="宋体"/>
          <w:b/>
          <w:bCs/>
          <w:sz w:val="21"/>
          <w:szCs w:val="21"/>
          <w:lang w:eastAsia="zh-CN"/>
        </w:rPr>
        <w:t>jianyu</w:t>
      </w:r>
      <w:r>
        <w:rPr>
          <w:rFonts w:hint="eastAsia" w:ascii="宋体" w:hAnsi="宋体" w:eastAsia="宋体" w:cs="宋体"/>
          <w:b/>
          <w:bCs/>
          <w:sz w:val="21"/>
          <w:szCs w:val="21"/>
        </w:rPr>
        <w:t>管理局、戒毒管理局（含新疆生产建设兵团）出具的属于</w:t>
      </w:r>
      <w:r>
        <w:rPr>
          <w:rFonts w:hint="eastAsia" w:ascii="宋体" w:hAnsi="宋体" w:eastAsia="宋体" w:cs="宋体"/>
          <w:b/>
          <w:bCs/>
          <w:sz w:val="21"/>
          <w:szCs w:val="21"/>
          <w:lang w:eastAsia="zh-CN"/>
        </w:rPr>
        <w:t>jianyu</w:t>
      </w:r>
      <w:r>
        <w:rPr>
          <w:rFonts w:hint="eastAsia" w:ascii="宋体" w:hAnsi="宋体" w:eastAsia="宋体" w:cs="宋体"/>
          <w:b/>
          <w:bCs/>
          <w:sz w:val="21"/>
          <w:szCs w:val="21"/>
        </w:rPr>
        <w:t>企业的证明文件</w:t>
      </w:r>
      <w:r>
        <w:rPr>
          <w:rFonts w:hint="eastAsia" w:ascii="宋体" w:hAnsi="宋体" w:eastAsia="宋体" w:cs="宋体"/>
          <w:b/>
          <w:bCs/>
          <w:sz w:val="21"/>
          <w:szCs w:val="21"/>
          <w:lang w:val="en-US" w:eastAsia="zh-CN"/>
        </w:rPr>
        <w:t>或残疾人福利性单位声明函</w:t>
      </w:r>
      <w:r>
        <w:rPr>
          <w:rFonts w:hint="eastAsia" w:ascii="宋体" w:hAnsi="宋体" w:eastAsia="宋体" w:cs="宋体"/>
          <w:b/>
          <w:bCs/>
          <w:sz w:val="21"/>
          <w:szCs w:val="21"/>
        </w:rPr>
        <w:t>的</w:t>
      </w:r>
      <w:r>
        <w:rPr>
          <w:rFonts w:hint="eastAsia" w:ascii="宋体" w:hAnsi="宋体" w:eastAsia="宋体" w:cs="宋体"/>
          <w:b/>
          <w:bCs/>
          <w:sz w:val="21"/>
          <w:szCs w:val="21"/>
          <w:lang w:val="en-US" w:eastAsia="zh-CN"/>
        </w:rPr>
        <w:t>投标人</w:t>
      </w:r>
      <w:r>
        <w:rPr>
          <w:rFonts w:hint="eastAsia" w:ascii="宋体" w:hAnsi="宋体" w:eastAsia="宋体" w:cs="宋体"/>
          <w:b/>
          <w:bCs/>
          <w:sz w:val="21"/>
          <w:szCs w:val="21"/>
        </w:rPr>
        <w:t>，其投标报价扣除</w:t>
      </w:r>
      <w:r>
        <w:rPr>
          <w:rFonts w:hint="eastAsia" w:ascii="宋体" w:hAnsi="宋体" w:eastAsia="宋体" w:cs="宋体"/>
          <w:b/>
          <w:bCs/>
          <w:sz w:val="21"/>
          <w:szCs w:val="21"/>
          <w:lang w:val="en-US" w:eastAsia="zh-CN"/>
        </w:rPr>
        <w:t>10%</w:t>
      </w:r>
      <w:r>
        <w:rPr>
          <w:rFonts w:hint="eastAsia" w:ascii="宋体" w:hAnsi="宋体" w:eastAsia="宋体" w:cs="宋体"/>
          <w:b/>
          <w:bCs/>
          <w:sz w:val="21"/>
          <w:szCs w:val="21"/>
        </w:rPr>
        <w:t>后参与评审。</w:t>
      </w:r>
    </w:p>
    <w:p>
      <w:pPr>
        <w:widowControl w:val="0"/>
        <w:spacing w:line="440" w:lineRule="exact"/>
        <w:ind w:firstLine="422" w:firstLineChars="200"/>
        <w:jc w:val="both"/>
        <w:rPr>
          <w:rFonts w:hint="eastAsia" w:ascii="宋体" w:hAnsi="宋体" w:eastAsia="宋体" w:cs="宋体"/>
          <w:b/>
          <w:bCs/>
          <w:sz w:val="21"/>
          <w:szCs w:val="21"/>
        </w:rPr>
      </w:pPr>
      <w:r>
        <w:rPr>
          <w:rFonts w:hint="eastAsia" w:ascii="宋体" w:hAnsi="宋体" w:eastAsia="宋体" w:cs="宋体"/>
          <w:b/>
          <w:bCs/>
          <w:sz w:val="21"/>
          <w:szCs w:val="21"/>
        </w:rPr>
        <w:t>注</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：联合协议中约定，小型、微型企业和</w:t>
      </w:r>
      <w:r>
        <w:rPr>
          <w:rFonts w:hint="eastAsia" w:ascii="宋体" w:hAnsi="宋体" w:eastAsia="宋体" w:cs="宋体"/>
          <w:b/>
          <w:bCs/>
          <w:sz w:val="21"/>
          <w:szCs w:val="21"/>
          <w:lang w:eastAsia="zh-CN"/>
        </w:rPr>
        <w:t>jianyu</w:t>
      </w:r>
      <w:r>
        <w:rPr>
          <w:rFonts w:hint="eastAsia" w:ascii="宋体" w:hAnsi="宋体" w:eastAsia="宋体" w:cs="宋体"/>
          <w:b/>
          <w:bCs/>
          <w:sz w:val="21"/>
          <w:szCs w:val="21"/>
        </w:rPr>
        <w:t>企业的协议合同金额占到联合体协议合同总金额30%以上的，联合体</w:t>
      </w:r>
      <w:r>
        <w:rPr>
          <w:rFonts w:hint="eastAsia" w:ascii="宋体" w:hAnsi="宋体" w:eastAsia="宋体" w:cs="宋体"/>
          <w:b/>
          <w:bCs/>
          <w:sz w:val="21"/>
          <w:szCs w:val="21"/>
          <w:lang w:val="en-US" w:eastAsia="zh-CN"/>
        </w:rPr>
        <w:t>投标报价扣除4%后参与评审</w:t>
      </w:r>
      <w:r>
        <w:rPr>
          <w:rFonts w:hint="eastAsia" w:ascii="宋体" w:hAnsi="宋体" w:eastAsia="宋体" w:cs="宋体"/>
          <w:b/>
          <w:bCs/>
          <w:sz w:val="21"/>
          <w:szCs w:val="21"/>
        </w:rPr>
        <w:t>。</w:t>
      </w:r>
    </w:p>
    <w:p>
      <w:pPr>
        <w:widowControl w:val="0"/>
        <w:spacing w:line="440" w:lineRule="exact"/>
        <w:ind w:firstLine="422" w:firstLineChars="200"/>
        <w:jc w:val="both"/>
        <w:rPr>
          <w:rFonts w:hint="eastAsia" w:ascii="宋体" w:hAnsi="宋体" w:eastAsia="宋体" w:cs="宋体"/>
          <w:b/>
          <w:bCs/>
          <w:sz w:val="21"/>
          <w:szCs w:val="21"/>
        </w:rPr>
      </w:pPr>
      <w:r>
        <w:rPr>
          <w:rFonts w:hint="eastAsia" w:ascii="宋体" w:hAnsi="宋体" w:eastAsia="宋体" w:cs="宋体"/>
          <w:b/>
          <w:bCs/>
          <w:sz w:val="21"/>
          <w:szCs w:val="21"/>
        </w:rPr>
        <w:t>联合体各方均为小型、微型企业和</w:t>
      </w:r>
      <w:r>
        <w:rPr>
          <w:rFonts w:hint="eastAsia" w:ascii="宋体" w:hAnsi="宋体" w:eastAsia="宋体" w:cs="宋体"/>
          <w:b/>
          <w:bCs/>
          <w:sz w:val="21"/>
          <w:szCs w:val="21"/>
          <w:lang w:eastAsia="zh-CN"/>
        </w:rPr>
        <w:t>jianyu</w:t>
      </w:r>
      <w:r>
        <w:rPr>
          <w:rFonts w:hint="eastAsia" w:ascii="宋体" w:hAnsi="宋体" w:eastAsia="宋体" w:cs="宋体"/>
          <w:b/>
          <w:bCs/>
          <w:sz w:val="21"/>
          <w:szCs w:val="21"/>
        </w:rPr>
        <w:t>企业的，联合体视同为小型、微型企业和</w:t>
      </w:r>
      <w:r>
        <w:rPr>
          <w:rFonts w:hint="eastAsia" w:ascii="宋体" w:hAnsi="宋体" w:eastAsia="宋体" w:cs="宋体"/>
          <w:b/>
          <w:bCs/>
          <w:sz w:val="21"/>
          <w:szCs w:val="21"/>
          <w:lang w:eastAsia="zh-CN"/>
        </w:rPr>
        <w:t>jianyu</w:t>
      </w:r>
      <w:r>
        <w:rPr>
          <w:rFonts w:hint="eastAsia" w:ascii="宋体" w:hAnsi="宋体" w:eastAsia="宋体" w:cs="宋体"/>
          <w:b/>
          <w:bCs/>
          <w:sz w:val="21"/>
          <w:szCs w:val="21"/>
        </w:rPr>
        <w:t>企业。</w:t>
      </w:r>
    </w:p>
    <w:p>
      <w:pPr>
        <w:widowControl w:val="0"/>
        <w:spacing w:line="440" w:lineRule="exact"/>
        <w:ind w:firstLine="422" w:firstLineChars="200"/>
        <w:jc w:val="both"/>
        <w:rPr>
          <w:rFonts w:hint="eastAsia" w:ascii="宋体" w:hAnsi="宋体"/>
          <w:sz w:val="21"/>
          <w:szCs w:val="21"/>
        </w:rPr>
      </w:pPr>
      <w:r>
        <w:rPr>
          <w:rFonts w:hint="eastAsia" w:ascii="宋体" w:hAnsi="宋体" w:eastAsia="宋体" w:cs="宋体"/>
          <w:b/>
          <w:bCs/>
          <w:sz w:val="21"/>
          <w:szCs w:val="21"/>
        </w:rPr>
        <w:t>注</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：供应商所投产品如被列入财政部与国家主管部门颁发的节能产品目录或环境标志产品目录或无线局域网产品目录，应提供相关证明，在评标时予以优先采购。</w:t>
      </w:r>
    </w:p>
    <w:p>
      <w:pPr>
        <w:spacing w:line="460" w:lineRule="exact"/>
        <w:ind w:right="118" w:firstLine="210" w:firstLineChars="100"/>
        <w:outlineLvl w:val="1"/>
        <w:rPr>
          <w:rFonts w:hint="eastAsia" w:ascii="宋体" w:hAnsi="宋体" w:eastAsia="宋体" w:cs="宋体"/>
          <w:b w:val="0"/>
          <w:bCs/>
          <w:sz w:val="21"/>
          <w:szCs w:val="21"/>
        </w:rPr>
      </w:pPr>
      <w:r>
        <w:rPr>
          <w:rFonts w:hint="eastAsia" w:ascii="宋体" w:hAnsi="宋体" w:eastAsia="宋体" w:cs="宋体"/>
          <w:b w:val="0"/>
          <w:bCs/>
          <w:sz w:val="21"/>
          <w:szCs w:val="21"/>
        </w:rPr>
        <w:t>1.评标方法</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本次评标采用综合评分法。评标委员会对满足招标文件实质性要求的投标文件，按照本章第 2.2 款规定的评分标准进行打分，并按得分由高到低顺序推荐中标候选人，或根据采购人授权直接确定中标人，但投标报价低于其成本的除外。综合评分相等时，以投标报价低的优先； 投标报价也相等的，以技术得分高的优先；如果技术得分也相等，按照评标办法前附表的规定确定中标候选人顺序。</w:t>
      </w:r>
    </w:p>
    <w:p>
      <w:pPr>
        <w:spacing w:line="460" w:lineRule="exact"/>
        <w:ind w:right="118" w:firstLine="420" w:firstLineChars="200"/>
        <w:outlineLvl w:val="1"/>
        <w:rPr>
          <w:rFonts w:hint="eastAsia" w:ascii="宋体" w:hAnsi="宋体" w:eastAsia="宋体" w:cs="宋体"/>
          <w:b w:val="0"/>
          <w:bCs/>
          <w:sz w:val="21"/>
          <w:szCs w:val="21"/>
        </w:rPr>
      </w:pPr>
      <w:r>
        <w:rPr>
          <w:rFonts w:hint="eastAsia" w:ascii="宋体" w:hAnsi="宋体" w:eastAsia="宋体" w:cs="宋体"/>
          <w:b w:val="0"/>
          <w:bCs/>
          <w:sz w:val="21"/>
          <w:szCs w:val="21"/>
        </w:rPr>
        <w:t>2.评审标准</w:t>
      </w:r>
    </w:p>
    <w:p>
      <w:pPr>
        <w:spacing w:line="460" w:lineRule="exact"/>
        <w:ind w:right="118" w:firstLine="420" w:firstLineChars="200"/>
        <w:outlineLvl w:val="2"/>
        <w:rPr>
          <w:rFonts w:hint="eastAsia" w:ascii="宋体" w:hAnsi="宋体" w:eastAsia="宋体" w:cs="宋体"/>
          <w:b w:val="0"/>
          <w:bCs/>
          <w:sz w:val="21"/>
          <w:szCs w:val="21"/>
        </w:rPr>
      </w:pPr>
      <w:r>
        <w:rPr>
          <w:rFonts w:hint="eastAsia" w:ascii="宋体" w:hAnsi="宋体" w:eastAsia="宋体" w:cs="宋体"/>
          <w:b w:val="0"/>
          <w:bCs/>
          <w:sz w:val="21"/>
          <w:szCs w:val="21"/>
        </w:rPr>
        <w:t>2.1 初步评审标准</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 xml:space="preserve">2.1.1 </w:t>
      </w:r>
      <w:r>
        <w:rPr>
          <w:rFonts w:hint="eastAsia" w:ascii="宋体" w:hAnsi="宋体" w:eastAsia="宋体" w:cs="宋体"/>
          <w:b w:val="0"/>
          <w:bCs/>
          <w:sz w:val="21"/>
          <w:szCs w:val="21"/>
          <w:lang w:val="en-US" w:eastAsia="zh-CN"/>
        </w:rPr>
        <w:t>资格性检查</w:t>
      </w:r>
      <w:r>
        <w:rPr>
          <w:rFonts w:hint="eastAsia" w:ascii="宋体" w:hAnsi="宋体" w:eastAsia="宋体" w:cs="宋体"/>
          <w:b w:val="0"/>
          <w:bCs/>
          <w:sz w:val="21"/>
          <w:szCs w:val="21"/>
        </w:rPr>
        <w:t>：见评标办法前附表。</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 xml:space="preserve">2.1.2 </w:t>
      </w:r>
      <w:r>
        <w:rPr>
          <w:rFonts w:hint="eastAsia" w:ascii="宋体" w:hAnsi="宋体" w:eastAsia="宋体" w:cs="宋体"/>
          <w:b w:val="0"/>
          <w:bCs/>
          <w:sz w:val="21"/>
          <w:szCs w:val="21"/>
          <w:lang w:val="en-US" w:eastAsia="zh-CN"/>
        </w:rPr>
        <w:t>符合性检查</w:t>
      </w:r>
      <w:r>
        <w:rPr>
          <w:rFonts w:hint="eastAsia" w:ascii="宋体" w:hAnsi="宋体" w:eastAsia="宋体" w:cs="宋体"/>
          <w:b w:val="0"/>
          <w:bCs/>
          <w:sz w:val="21"/>
          <w:szCs w:val="21"/>
        </w:rPr>
        <w:t>：见评标办法前附表。</w:t>
      </w:r>
    </w:p>
    <w:p>
      <w:pPr>
        <w:spacing w:line="460" w:lineRule="exact"/>
        <w:ind w:right="118" w:firstLine="420" w:firstLineChars="200"/>
        <w:outlineLvl w:val="2"/>
        <w:rPr>
          <w:rFonts w:hint="eastAsia" w:ascii="宋体" w:hAnsi="宋体" w:eastAsia="宋体" w:cs="宋体"/>
          <w:b w:val="0"/>
          <w:bCs/>
          <w:sz w:val="21"/>
          <w:szCs w:val="21"/>
        </w:rPr>
      </w:pPr>
      <w:r>
        <w:rPr>
          <w:rFonts w:hint="eastAsia" w:ascii="宋体" w:hAnsi="宋体" w:eastAsia="宋体" w:cs="宋体"/>
          <w:b w:val="0"/>
          <w:bCs/>
          <w:sz w:val="21"/>
          <w:szCs w:val="21"/>
        </w:rPr>
        <w:t>2.2 分值构成与评分标准</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2.2.1 分值构成</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（1）商务部分：见评标办法前附表；</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（2）技术部分：见评标办法前附表；</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（3）投标报价：见评标办法前附表；</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（4）其他评分因素：见评标办法前附表。</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2.2.2 评标基准价计算评标基准价计算方法：见评标办法前附表。</w:t>
      </w:r>
    </w:p>
    <w:p>
      <w:pPr>
        <w:spacing w:line="460" w:lineRule="exact"/>
        <w:ind w:right="118"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 xml:space="preserve">2.2.3 </w:t>
      </w:r>
      <w:r>
        <w:rPr>
          <w:rFonts w:hint="eastAsia" w:ascii="宋体" w:hAnsi="宋体" w:eastAsia="宋体" w:cs="宋体"/>
          <w:b w:val="0"/>
          <w:bCs/>
          <w:sz w:val="21"/>
          <w:szCs w:val="21"/>
          <w:lang w:val="en-US" w:eastAsia="zh-CN" w:bidi="ar-SA"/>
        </w:rPr>
        <w:t>投标报价的偏差率计算</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投标报价的偏差率计算公式：见评标办法前附表。</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2.2.4 评分标准</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（1）商务评分标准：见评标办法前附表；</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（2）技术评分标准：见评标办法前附表；</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（3）投标报价评分标准：见评标办法前附表；</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（4）其他因素评分标准：见评标办法前附表。</w:t>
      </w:r>
    </w:p>
    <w:p>
      <w:pPr>
        <w:spacing w:line="460" w:lineRule="exact"/>
        <w:ind w:right="7071" w:firstLine="420" w:firstLineChars="200"/>
        <w:jc w:val="both"/>
        <w:outlineLvl w:val="1"/>
        <w:rPr>
          <w:rFonts w:hint="eastAsia" w:ascii="宋体" w:hAnsi="宋体" w:eastAsia="宋体" w:cs="宋体"/>
          <w:b w:val="0"/>
          <w:bCs/>
          <w:sz w:val="21"/>
          <w:szCs w:val="21"/>
        </w:rPr>
      </w:pPr>
      <w:r>
        <w:rPr>
          <w:rFonts w:hint="eastAsia" w:ascii="宋体" w:hAnsi="宋体" w:eastAsia="宋体" w:cs="宋体"/>
          <w:b w:val="0"/>
          <w:bCs/>
          <w:sz w:val="21"/>
          <w:szCs w:val="21"/>
        </w:rPr>
        <w:t>3. 评标程序</w:t>
      </w:r>
    </w:p>
    <w:p>
      <w:pPr>
        <w:spacing w:line="460" w:lineRule="exact"/>
        <w:ind w:right="7071" w:firstLine="420" w:firstLineChars="200"/>
        <w:jc w:val="both"/>
        <w:outlineLvl w:val="2"/>
        <w:rPr>
          <w:rFonts w:hint="eastAsia" w:ascii="宋体" w:hAnsi="宋体" w:eastAsia="宋体" w:cs="宋体"/>
          <w:b w:val="0"/>
          <w:bCs/>
          <w:sz w:val="21"/>
          <w:szCs w:val="21"/>
        </w:rPr>
      </w:pPr>
      <w:r>
        <w:rPr>
          <w:rFonts w:hint="eastAsia" w:ascii="宋体" w:hAnsi="宋体" w:eastAsia="宋体" w:cs="宋体"/>
          <w:b w:val="0"/>
          <w:bCs/>
          <w:sz w:val="21"/>
          <w:szCs w:val="21"/>
        </w:rPr>
        <w:t>3.1 初步评审</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3.1.1 评标委员会依据本章规定的标准对投标文件进行初步评审。有一项不符合评审标准的，评标委员会应当否决其投标。</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3.1.2 投标人有以下情形之一的，评标委员会应当否决其投标：</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（1）投标文件没有对招标文件的实质性要求和条件作出响应；</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（2）有串通投标、弄虚作假、行贿等违法行为。</w:t>
      </w:r>
    </w:p>
    <w:p>
      <w:pPr>
        <w:pStyle w:val="34"/>
        <w:spacing w:before="0" w:beforeAutospacing="0" w:after="0" w:afterAutospacing="0" w:line="460" w:lineRule="exact"/>
        <w:ind w:right="213"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3.1.3 投标报价有算术错误及其他错误的，评标委员会按以下原则要求投标人对投标报价进行修正，并要求投标人书面澄清确认。投标人拒不澄清确认的，评标委员会应当否决其投标：</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（1）投标文件中的大写金额与小写金额不一致的，以大写金额为准；</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（2）总价金额与单价金额不一致的，以单价金额为准，但单价金额小数点有明显错误的除外；</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（3）投标报价为各分项报价金额之和，投标报价与分项报价的合价不一致的，应以各分项合价累计数为准，修正投标报价；</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（4）如果分项报价中存在缺漏项，则视为缺漏项价格已包含在其他分项报价之中。</w:t>
      </w:r>
    </w:p>
    <w:p>
      <w:pPr>
        <w:pStyle w:val="34"/>
        <w:spacing w:before="0" w:beforeAutospacing="0" w:after="0" w:afterAutospacing="0" w:line="460" w:lineRule="exact"/>
        <w:ind w:firstLine="420" w:firstLineChars="200"/>
        <w:outlineLvl w:val="2"/>
        <w:rPr>
          <w:rFonts w:hint="eastAsia" w:ascii="宋体" w:hAnsi="宋体" w:eastAsia="宋体" w:cs="宋体"/>
          <w:b w:val="0"/>
          <w:bCs/>
          <w:sz w:val="21"/>
          <w:szCs w:val="21"/>
        </w:rPr>
      </w:pPr>
      <w:r>
        <w:rPr>
          <w:rFonts w:hint="eastAsia" w:ascii="宋体" w:hAnsi="宋体" w:eastAsia="宋体" w:cs="宋体"/>
          <w:b w:val="0"/>
          <w:bCs/>
          <w:sz w:val="21"/>
          <w:szCs w:val="21"/>
        </w:rPr>
        <w:t>3.2 详细评审</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3.2.1 评标委员会应按照招标文件中规定的评标方法、标准和评标因素，对资格性检查合格的投标文件进行详细</w:t>
      </w:r>
      <w:r>
        <w:rPr>
          <w:rFonts w:hint="eastAsia" w:ascii="宋体" w:hAnsi="宋体" w:eastAsia="宋体" w:cs="宋体"/>
          <w:b w:val="0"/>
          <w:bCs/>
          <w:sz w:val="21"/>
          <w:szCs w:val="21"/>
          <w:lang w:val="en-US" w:eastAsia="zh-CN"/>
        </w:rPr>
        <w:t>独立</w:t>
      </w:r>
      <w:r>
        <w:rPr>
          <w:rFonts w:hint="eastAsia" w:ascii="宋体" w:hAnsi="宋体" w:eastAsia="宋体" w:cs="宋体"/>
          <w:b w:val="0"/>
          <w:bCs/>
          <w:sz w:val="21"/>
          <w:szCs w:val="21"/>
        </w:rPr>
        <w:t>评审</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并计算出综合评估得分。</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（1）按本章第 2.2.4（1）目规定的评审因素和分值对商务部分计算出得分 A；</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（2）按本章第 2.2.4（2）目规定的评审因素和分值对技术部分计算出得分 B；</w:t>
      </w:r>
    </w:p>
    <w:p>
      <w:pPr>
        <w:pStyle w:val="34"/>
        <w:spacing w:before="0" w:beforeAutospacing="0" w:after="0" w:afterAutospacing="0" w:line="460" w:lineRule="exact"/>
        <w:ind w:right="904"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 xml:space="preserve">（3）按本章第 2.2.4（3）目规定的评审因素和分值对投标报价计算出得分 C。 </w:t>
      </w:r>
    </w:p>
    <w:p>
      <w:pPr>
        <w:pStyle w:val="34"/>
        <w:spacing w:before="0" w:beforeAutospacing="0" w:after="0" w:afterAutospacing="0" w:line="460" w:lineRule="exact"/>
        <w:ind w:right="904"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3.2.2 评分分值计算保留小数点后两位，小数点后第三位“四舍五入”。</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3.2.3 投标人得分=A+B+C。</w:t>
      </w:r>
    </w:p>
    <w:p>
      <w:pPr>
        <w:pStyle w:val="34"/>
        <w:spacing w:before="0" w:beforeAutospacing="0" w:after="0" w:afterAutospacing="0" w:line="46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34"/>
        <w:spacing w:before="0" w:beforeAutospacing="0" w:after="0" w:afterAutospacing="0" w:line="460" w:lineRule="exact"/>
        <w:ind w:firstLine="420" w:firstLineChars="20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3.3 投标文件的澄清</w:t>
      </w:r>
    </w:p>
    <w:p>
      <w:pPr>
        <w:pStyle w:val="34"/>
        <w:spacing w:before="0" w:beforeAutospacing="0" w:after="0" w:afterAutospacing="0" w:line="460" w:lineRule="exact"/>
        <w:ind w:firstLine="420" w:firstLineChars="20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3.3.1 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pPr>
        <w:pStyle w:val="34"/>
        <w:spacing w:before="0" w:beforeAutospacing="0" w:after="0" w:afterAutospacing="0" w:line="460" w:lineRule="exact"/>
        <w:ind w:firstLine="420" w:firstLineChars="20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3.3.2 澄清、说明或补正不得超出投标文件的范围且不得改变投标文件的实质性内容，并构成投标文件的组成部分。</w:t>
      </w:r>
    </w:p>
    <w:p>
      <w:pPr>
        <w:pStyle w:val="34"/>
        <w:spacing w:before="0" w:beforeAutospacing="0" w:after="0" w:afterAutospacing="0" w:line="460" w:lineRule="exact"/>
        <w:ind w:firstLine="420" w:firstLineChars="20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3.3.3 评标委员会对投标人提交的澄清、说明或补正有疑问的，可以要求投标人进一步澄清、 说明或补正，直至满足评标委员会的要求。</w:t>
      </w:r>
    </w:p>
    <w:p>
      <w:pPr>
        <w:pStyle w:val="34"/>
        <w:spacing w:before="0" w:beforeAutospacing="0" w:after="0" w:afterAutospacing="0" w:line="460" w:lineRule="exact"/>
        <w:ind w:firstLine="420" w:firstLineChars="20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3.4 评标结果</w:t>
      </w:r>
    </w:p>
    <w:p>
      <w:pPr>
        <w:pStyle w:val="34"/>
        <w:spacing w:before="0" w:beforeAutospacing="0" w:after="0" w:afterAutospacing="0" w:line="460" w:lineRule="exact"/>
        <w:ind w:firstLine="420" w:firstLineChars="20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3.4.1 除第二章“投标人须知”前附表授权直接确定中标人外，评标委员会按照得分由高到低的顺序推荐中标候选人，并标明排序。</w:t>
      </w:r>
    </w:p>
    <w:p>
      <w:pPr>
        <w:pStyle w:val="34"/>
        <w:spacing w:before="0" w:beforeAutospacing="0" w:after="0" w:afterAutospacing="0" w:line="460" w:lineRule="exact"/>
        <w:ind w:firstLine="420" w:firstLineChars="200"/>
        <w:rPr>
          <w:rFonts w:hint="eastAsia" w:ascii="宋体" w:hAnsi="宋体" w:eastAsia="宋体" w:cs="宋体"/>
          <w:b w:val="0"/>
          <w:bCs/>
          <w:sz w:val="21"/>
          <w:szCs w:val="21"/>
          <w:lang w:val="en-US" w:eastAsia="zh-CN"/>
        </w:rPr>
        <w:sectPr>
          <w:footerReference r:id="rId8" w:type="default"/>
          <w:pgSz w:w="12240" w:h="15840"/>
          <w:pgMar w:top="1440" w:right="1080" w:bottom="1440" w:left="1080" w:header="850" w:footer="850" w:gutter="0"/>
          <w:cols w:equalWidth="0" w:num="1">
            <w:col w:w="10080"/>
          </w:cols>
        </w:sectPr>
      </w:pPr>
      <w:r>
        <w:rPr>
          <w:rFonts w:hint="eastAsia" w:ascii="宋体" w:hAnsi="宋体" w:eastAsia="宋体" w:cs="宋体"/>
          <w:b w:val="0"/>
          <w:bCs/>
          <w:sz w:val="21"/>
          <w:szCs w:val="21"/>
          <w:lang w:val="en-US" w:eastAsia="zh-CN"/>
        </w:rPr>
        <w:t>3.4.2 评标委员会完成评标后，应当向采购人提交书面评标报告和中标候选人名单。</w:t>
      </w:r>
      <w:bookmarkStart w:id="565" w:name="_bookmark92"/>
      <w:bookmarkEnd w:id="565"/>
    </w:p>
    <w:p>
      <w:pPr>
        <w:pStyle w:val="2"/>
        <w:tabs>
          <w:tab w:val="clear" w:pos="567"/>
        </w:tabs>
        <w:spacing w:before="0" w:line="360" w:lineRule="auto"/>
        <w:rPr>
          <w:rFonts w:hint="eastAsia" w:ascii="宋体" w:hAnsi="宋体" w:eastAsia="宋体" w:cs="宋体"/>
          <w:sz w:val="21"/>
          <w:szCs w:val="21"/>
        </w:rPr>
      </w:pPr>
      <w:r>
        <w:rPr>
          <w:rFonts w:hint="eastAsia" w:ascii="宋体" w:hAnsi="宋体" w:eastAsia="宋体" w:cs="宋体"/>
          <w:sz w:val="21"/>
          <w:szCs w:val="21"/>
        </w:rPr>
        <w:t>评审标准中应考虑下列因素：</w:t>
      </w:r>
    </w:p>
    <w:p>
      <w:pPr>
        <w:widowControl/>
        <w:numPr>
          <w:ilvl w:val="0"/>
          <w:numId w:val="34"/>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对于同时属于小微企业、</w:t>
      </w:r>
      <w:r>
        <w:rPr>
          <w:rFonts w:hint="eastAsia" w:ascii="宋体" w:hAnsi="宋体" w:eastAsia="宋体" w:cs="宋体"/>
          <w:sz w:val="21"/>
          <w:szCs w:val="21"/>
          <w:lang w:eastAsia="zh-CN"/>
        </w:rPr>
        <w:t>jianyu</w:t>
      </w:r>
      <w:r>
        <w:rPr>
          <w:rFonts w:hint="eastAsia" w:ascii="宋体" w:hAnsi="宋体" w:eastAsia="宋体" w:cs="宋体"/>
          <w:sz w:val="21"/>
          <w:szCs w:val="21"/>
        </w:rPr>
        <w:t>企业</w:t>
      </w:r>
      <w:r>
        <w:rPr>
          <w:rFonts w:hint="eastAsia" w:ascii="宋体" w:hAnsi="宋体" w:eastAsia="宋体" w:cs="宋体"/>
          <w:sz w:val="21"/>
          <w:szCs w:val="21"/>
          <w:lang w:eastAsia="zh-CN"/>
        </w:rPr>
        <w:t>、</w:t>
      </w:r>
      <w:r>
        <w:rPr>
          <w:rFonts w:hint="eastAsia" w:ascii="宋体" w:hAnsi="宋体" w:eastAsia="宋体" w:cs="宋体"/>
          <w:sz w:val="21"/>
          <w:szCs w:val="21"/>
        </w:rPr>
        <w:t>残疾人福利性单位的，不重复进行投标报价扣除。</w:t>
      </w:r>
    </w:p>
    <w:p>
      <w:pPr>
        <w:widowControl/>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.组成联合体或者接受分包的小微企业与联合体内其他企业、分包企业之间存在直接控股、管理关系的，不享受价格扣除优惠政策。联合体各方均为小微企业</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jianyu</w:t>
      </w:r>
      <w:r>
        <w:rPr>
          <w:rFonts w:hint="eastAsia" w:ascii="宋体" w:hAnsi="宋体" w:eastAsia="宋体" w:cs="宋体"/>
          <w:sz w:val="21"/>
          <w:szCs w:val="21"/>
        </w:rPr>
        <w:t>企业</w:t>
      </w:r>
      <w:r>
        <w:rPr>
          <w:rFonts w:hint="eastAsia" w:ascii="宋体" w:hAnsi="宋体" w:eastAsia="宋体" w:cs="宋体"/>
          <w:sz w:val="21"/>
          <w:szCs w:val="21"/>
          <w:lang w:val="en-US" w:eastAsia="zh-CN"/>
        </w:rPr>
        <w:t>、残疾人福利性单位</w:t>
      </w:r>
      <w:r>
        <w:rPr>
          <w:rFonts w:hint="eastAsia" w:ascii="宋体" w:hAnsi="宋体" w:eastAsia="宋体" w:cs="宋体"/>
          <w:sz w:val="21"/>
          <w:szCs w:val="21"/>
        </w:rPr>
        <w:t>的，联合体视同为小微企业。</w:t>
      </w:r>
    </w:p>
    <w:p>
      <w:pPr>
        <w:pStyle w:val="2"/>
        <w:tabs>
          <w:tab w:val="clear" w:pos="567"/>
        </w:tabs>
        <w:spacing w:before="0" w:line="360" w:lineRule="auto"/>
        <w:ind w:left="-70" w:leftChars="-29" w:firstLine="420" w:firstLineChars="200"/>
        <w:rPr>
          <w:rFonts w:hint="eastAsia" w:ascii="宋体" w:hAnsi="宋体" w:eastAsia="宋体" w:cs="宋体"/>
          <w:sz w:val="21"/>
          <w:szCs w:val="21"/>
          <w:u w:val="single"/>
        </w:rPr>
      </w:pPr>
      <w:r>
        <w:rPr>
          <w:rFonts w:hint="eastAsia" w:ascii="宋体" w:hAnsi="宋体" w:eastAsia="宋体" w:cs="宋体"/>
          <w:sz w:val="21"/>
          <w:szCs w:val="21"/>
        </w:rPr>
        <w:t>3.投标人所投产品如被列入财政部与国家主管部门颁发的节能产品目录或环境标志产品目录或无线局域网产品目录，应提供相关证明，在评标时予以优先采购，具体优惠措施为：在技术部分打分项中加</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rPr>
        <w:t>分。</w:t>
      </w:r>
    </w:p>
    <w:p>
      <w:pPr>
        <w:pStyle w:val="2"/>
        <w:tabs>
          <w:tab w:val="clear" w:pos="567"/>
        </w:tabs>
        <w:spacing w:before="0" w:line="360" w:lineRule="auto"/>
        <w:ind w:left="-206" w:leftChars="-86" w:firstLine="420" w:firstLineChars="200"/>
        <w:rPr>
          <w:rFonts w:hint="eastAsia" w:ascii="宋体" w:hAnsi="宋体" w:eastAsia="宋体" w:cs="宋体"/>
          <w:sz w:val="21"/>
          <w:szCs w:val="21"/>
        </w:rPr>
      </w:pPr>
      <w:r>
        <w:rPr>
          <w:rFonts w:hint="eastAsia" w:ascii="宋体" w:hAnsi="宋体" w:eastAsia="宋体" w:cs="宋体"/>
          <w:sz w:val="21"/>
          <w:szCs w:val="21"/>
        </w:rPr>
        <w:t>4.如采购人所采购产品为政府强制采购的节能产品，投标人所投产品的品牌及型号必须为清单中有效期内产品并提供证明文件，否则其投标将作为无效投标被拒绝。</w:t>
      </w:r>
    </w:p>
    <w:p>
      <w:pPr>
        <w:pStyle w:val="2"/>
        <w:tabs>
          <w:tab w:val="clear" w:pos="567"/>
        </w:tabs>
        <w:spacing w:before="0" w:line="360" w:lineRule="auto"/>
        <w:ind w:left="-206" w:leftChars="-86" w:firstLine="422" w:firstLineChars="200"/>
        <w:rPr>
          <w:rFonts w:hint="eastAsia" w:ascii="宋体" w:hAnsi="宋体" w:eastAsia="宋体" w:cs="宋体"/>
          <w:b/>
          <w:bCs/>
          <w:sz w:val="21"/>
          <w:szCs w:val="21"/>
        </w:rPr>
      </w:pPr>
      <w:r>
        <w:rPr>
          <w:rFonts w:hint="eastAsia" w:ascii="宋体" w:hAnsi="宋体" w:eastAsia="宋体" w:cs="宋体"/>
          <w:b/>
          <w:bCs/>
          <w:sz w:val="21"/>
          <w:szCs w:val="21"/>
        </w:rPr>
        <w:t>5.同品牌处理办法：</w:t>
      </w:r>
    </w:p>
    <w:p>
      <w:pPr>
        <w:pStyle w:val="2"/>
        <w:tabs>
          <w:tab w:val="clear" w:pos="567"/>
        </w:tabs>
        <w:spacing w:before="0" w:line="360" w:lineRule="auto"/>
        <w:ind w:left="-206" w:leftChars="-86"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rPr>
        <w:t>采用综合评标法，按《政府采购货物和服务招标投标管理办法》第</w:t>
      </w:r>
      <w:r>
        <w:rPr>
          <w:rFonts w:hint="eastAsia" w:ascii="宋体" w:hAnsi="宋体" w:eastAsia="宋体" w:cs="宋体"/>
          <w:b/>
          <w:bCs/>
          <w:sz w:val="21"/>
          <w:szCs w:val="21"/>
          <w:lang w:val="en-US" w:eastAsia="zh-CN"/>
        </w:rPr>
        <w:t>三十一</w:t>
      </w:r>
      <w:r>
        <w:rPr>
          <w:rFonts w:hint="eastAsia" w:ascii="宋体" w:hAnsi="宋体" w:eastAsia="宋体" w:cs="宋体"/>
          <w:b/>
          <w:bCs/>
          <w:sz w:val="21"/>
          <w:szCs w:val="21"/>
        </w:rPr>
        <w:t>条执行</w:t>
      </w:r>
      <w:r>
        <w:rPr>
          <w:rFonts w:hint="eastAsia" w:ascii="宋体" w:hAnsi="宋体" w:eastAsia="宋体" w:cs="宋体"/>
          <w:b/>
          <w:bCs/>
          <w:sz w:val="21"/>
          <w:szCs w:val="21"/>
          <w:lang w:val="en-US" w:eastAsia="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
        <w:tabs>
          <w:tab w:val="clear" w:pos="567"/>
        </w:tabs>
        <w:spacing w:before="0" w:line="360" w:lineRule="auto"/>
        <w:ind w:left="-206" w:leftChars="-86"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非单一产品采购项目，采购人应当根据采购项目技术构成、产品价格比重等合理确定核心产品，并在招标文件中载明。多家投标人提供的核心产品品牌相同的，按前两款规定处理。</w:t>
      </w:r>
    </w:p>
    <w:p>
      <w:pPr>
        <w:pStyle w:val="2"/>
        <w:tabs>
          <w:tab w:val="clear" w:pos="567"/>
        </w:tabs>
        <w:spacing w:before="0" w:line="360" w:lineRule="auto"/>
        <w:ind w:left="-206" w:leftChars="-86" w:firstLine="420" w:firstLineChars="200"/>
        <w:outlineLvl w:val="3"/>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.中标候选人并列式时的处理方式：   </w:t>
      </w:r>
    </w:p>
    <w:p>
      <w:pPr>
        <w:pStyle w:val="2"/>
        <w:tabs>
          <w:tab w:val="clear" w:pos="567"/>
        </w:tabs>
        <w:spacing w:before="0" w:line="360" w:lineRule="auto"/>
        <w:ind w:left="-206" w:leftChars="-86" w:firstLine="420" w:firstLineChars="200"/>
        <w:rPr>
          <w:rFonts w:hint="eastAsia" w:ascii="楷体" w:hAnsi="楷体" w:eastAsia="楷体" w:cs="楷体"/>
          <w:lang w:val="zh-CN"/>
        </w:rPr>
      </w:pPr>
      <w:r>
        <w:rPr>
          <w:rFonts w:hint="eastAsia" w:ascii="宋体" w:hAnsi="宋体" w:eastAsia="宋体" w:cs="宋体"/>
          <w:sz w:val="21"/>
          <w:szCs w:val="21"/>
        </w:rPr>
        <w:t>采用综合评标法，按《政府采购货物和服务招标投标管理办法》第五十七条执行，若仍并列则：按照企业实力排序；若企业实力得分并列时，按照同类型业绩排序；若同类型业绩并列时，按投标报价由低到高排序。（以上排序，按得分多少排序）</w:t>
      </w:r>
      <w:r>
        <w:rPr>
          <w:rFonts w:hint="eastAsia" w:eastAsia="宋体" w:cs="宋体"/>
          <w:sz w:val="21"/>
          <w:szCs w:val="21"/>
          <w:lang w:eastAsia="zh-CN"/>
        </w:rPr>
        <w:t>。</w:t>
      </w:r>
    </w:p>
    <w:sectPr>
      <w:headerReference r:id="rId9" w:type="default"/>
      <w:footerReference r:id="rId10"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长城仿宋">
    <w:altName w:val="仿宋"/>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1"/>
      </w:rPr>
    </w:pPr>
    <w:r>
      <w:fldChar w:fldCharType="begin"/>
    </w:r>
    <w:r>
      <w:rPr>
        <w:rStyle w:val="41"/>
      </w:rPr>
      <w:instrText xml:space="preserve">PAGE  </w:instrText>
    </w:r>
    <w:r>
      <w:fldChar w:fldCharType="end"/>
    </w:r>
  </w:p>
  <w:p>
    <w:pPr>
      <w:pStyle w:val="2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1"/>
      </w:rPr>
    </w:pPr>
  </w:p>
  <w:p>
    <w:pPr>
      <w:pStyle w:val="26"/>
      <w:ind w:right="360"/>
      <w:jc w:val="righ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6"/>
                          </w:pPr>
                          <w:r>
                            <w:fldChar w:fldCharType="begin"/>
                          </w:r>
                          <w:r>
                            <w:instrText xml:space="preserve"> PAGE  \* MERGEFORMAT </w:instrText>
                          </w:r>
                          <w:r>
                            <w:fldChar w:fldCharType="separate"/>
                          </w:r>
                          <w:r>
                            <w:t>32</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xORpx9IBAACrAwAADgAAAAAAAAABACAAAAAfAQAA&#10;ZHJzL2Uyb0RvYy54bWxQSwUGAAAAAAYABgBZAQAAYwU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32</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14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6"/>
                          </w:pPr>
                          <w:r>
                            <w:fldChar w:fldCharType="begin"/>
                          </w:r>
                          <w:r>
                            <w:instrText xml:space="preserve"> PAGE  \* MERGEFORMAT </w:instrText>
                          </w:r>
                          <w:r>
                            <w:fldChar w:fldCharType="separate"/>
                          </w:r>
                          <w:r>
                            <w:t>38</w:t>
                          </w:r>
                          <w:r>
                            <w:fldChar w:fldCharType="end"/>
                          </w:r>
                        </w:p>
                      </w:txbxContent>
                    </wps:txbx>
                    <wps:bodyPr vert="horz" wrap="none" lIns="0" tIns="0" rIns="0" bIns="0" anchor="t">
                      <a:spAutoFit/>
                    </wps:bodyPr>
                  </wps:wsp>
                </a:graphicData>
              </a:graphic>
            </wp:anchor>
          </w:drawing>
        </mc:Choice>
        <mc:Fallback>
          <w:pict>
            <v:rect id="文本框 14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5dblS0AAAAAUBAAAPAAAAAAAAAAEAIAAAACIAAABk&#10;cnMvZG93bnJldi54bWxQSwECFAAUAAAACACHTuJAa0whi9UBAACtAwAADgAAAAAAAAABACAAAAAf&#10;AQAAZHJzL2Uyb0RvYy54bWxQSwUGAAAAAAYABgBZAQAAZgU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38</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3BB78"/>
    <w:multiLevelType w:val="multilevel"/>
    <w:tmpl w:val="8143BB78"/>
    <w:lvl w:ilvl="0" w:tentative="0">
      <w:start w:val="1"/>
      <w:numFmt w:val="decimal"/>
      <w:lvlText w:val="(%1)"/>
      <w:lvlJc w:val="left"/>
      <w:pPr>
        <w:tabs>
          <w:tab w:val="left" w:pos="600"/>
        </w:tabs>
        <w:ind w:left="600" w:hanging="420"/>
      </w:pPr>
      <w:rPr>
        <w:rFonts w:hint="default"/>
        <w:u w:val="none" w:color="auto"/>
      </w:rPr>
    </w:lvl>
    <w:lvl w:ilvl="1" w:tentative="0">
      <w:start w:val="1"/>
      <w:numFmt w:val="decimal"/>
      <w:lvlText w:val="%2."/>
      <w:lvlJc w:val="left"/>
      <w:pPr>
        <w:ind w:left="851" w:hanging="425"/>
      </w:pPr>
      <w:rPr>
        <w:rFonts w:hint="default"/>
        <w:u w:val="none" w:color="auto"/>
      </w:rPr>
    </w:lvl>
    <w:lvl w:ilvl="2" w:tentative="0">
      <w:start w:val="1"/>
      <w:numFmt w:val="none"/>
      <w:suff w:val="nothing"/>
      <w:lvlText w:val=""/>
      <w:lvlJc w:val="left"/>
      <w:pPr>
        <w:ind w:left="851" w:hanging="425"/>
      </w:pPr>
      <w:rPr>
        <w:rFonts w:hint="default"/>
        <w:u w:val="none" w:color="auto"/>
      </w:rPr>
    </w:lvl>
    <w:lvl w:ilvl="3" w:tentative="0">
      <w:start w:val="1"/>
      <w:numFmt w:val="lowerLetter"/>
      <w:lvlText w:val="%4)"/>
      <w:lvlJc w:val="left"/>
      <w:pPr>
        <w:ind w:left="1700" w:hanging="425"/>
      </w:pPr>
      <w:rPr>
        <w:rFonts w:hint="default"/>
        <w:u w:val="none" w:color="auto"/>
      </w:rPr>
    </w:lvl>
    <w:lvl w:ilvl="4" w:tentative="0">
      <w:start w:val="1"/>
      <w:numFmt w:val="decimal"/>
      <w:lvlText w:val="(%5)"/>
      <w:lvlJc w:val="left"/>
      <w:pPr>
        <w:ind w:left="2125" w:hanging="425"/>
      </w:pPr>
      <w:rPr>
        <w:rFonts w:hint="default"/>
        <w:u w:val="none" w:color="auto"/>
      </w:rPr>
    </w:lvl>
    <w:lvl w:ilvl="5" w:tentative="0">
      <w:start w:val="1"/>
      <w:numFmt w:val="lowerLetter"/>
      <w:lvlText w:val="(%6)"/>
      <w:lvlJc w:val="left"/>
      <w:pPr>
        <w:ind w:left="2550" w:hanging="425"/>
      </w:pPr>
      <w:rPr>
        <w:rFonts w:hint="default"/>
        <w:u w:val="none" w:color="auto"/>
      </w:rPr>
    </w:lvl>
    <w:lvl w:ilvl="6" w:tentative="0">
      <w:start w:val="1"/>
      <w:numFmt w:val="lowerRoman"/>
      <w:lvlText w:val="(%7)"/>
      <w:lvlJc w:val="left"/>
      <w:pPr>
        <w:ind w:left="2975" w:hanging="425"/>
      </w:pPr>
      <w:rPr>
        <w:rFonts w:hint="default"/>
        <w:u w:val="none" w:color="auto"/>
      </w:rPr>
    </w:lvl>
    <w:lvl w:ilvl="7" w:tentative="0">
      <w:start w:val="1"/>
      <w:numFmt w:val="lowerLetter"/>
      <w:lvlText w:val="(%8)"/>
      <w:lvlJc w:val="left"/>
      <w:pPr>
        <w:ind w:left="3400" w:hanging="425"/>
      </w:pPr>
      <w:rPr>
        <w:rFonts w:hint="default"/>
        <w:u w:val="none" w:color="auto"/>
      </w:rPr>
    </w:lvl>
    <w:lvl w:ilvl="8" w:tentative="0">
      <w:start w:val="1"/>
      <w:numFmt w:val="lowerRoman"/>
      <w:lvlText w:val="(%9)"/>
      <w:lvlJc w:val="left"/>
      <w:pPr>
        <w:ind w:left="3825" w:hanging="425"/>
      </w:pPr>
      <w:rPr>
        <w:rFonts w:hint="default"/>
        <w:u w:val="none" w:color="auto"/>
      </w:rPr>
    </w:lvl>
  </w:abstractNum>
  <w:abstractNum w:abstractNumId="1">
    <w:nsid w:val="8A266505"/>
    <w:multiLevelType w:val="singleLevel"/>
    <w:tmpl w:val="8A266505"/>
    <w:lvl w:ilvl="0" w:tentative="0">
      <w:start w:val="1"/>
      <w:numFmt w:val="decimal"/>
      <w:pStyle w:val="13"/>
      <w:lvlText w:val="%1."/>
      <w:lvlJc w:val="left"/>
      <w:pPr>
        <w:tabs>
          <w:tab w:val="left" w:pos="360"/>
        </w:tabs>
        <w:ind w:left="360" w:hanging="360"/>
      </w:pPr>
    </w:lvl>
  </w:abstractNum>
  <w:abstractNum w:abstractNumId="2">
    <w:nsid w:val="97E85A41"/>
    <w:multiLevelType w:val="singleLevel"/>
    <w:tmpl w:val="97E85A41"/>
    <w:lvl w:ilvl="0" w:tentative="0">
      <w:start w:val="1"/>
      <w:numFmt w:val="decimal"/>
      <w:suff w:val="nothing"/>
      <w:lvlText w:val="%1、"/>
      <w:lvlJc w:val="left"/>
    </w:lvl>
  </w:abstractNum>
  <w:abstractNum w:abstractNumId="3">
    <w:nsid w:val="982674A8"/>
    <w:multiLevelType w:val="singleLevel"/>
    <w:tmpl w:val="982674A8"/>
    <w:lvl w:ilvl="0" w:tentative="0">
      <w:start w:val="1"/>
      <w:numFmt w:val="decimal"/>
      <w:suff w:val="nothing"/>
      <w:lvlText w:val="（%1）"/>
      <w:lvlJc w:val="left"/>
    </w:lvl>
  </w:abstractNum>
  <w:abstractNum w:abstractNumId="4">
    <w:nsid w:val="A37D36CB"/>
    <w:multiLevelType w:val="multilevel"/>
    <w:tmpl w:val="A37D36CB"/>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5">
    <w:nsid w:val="AEA32A8B"/>
    <w:multiLevelType w:val="multilevel"/>
    <w:tmpl w:val="AEA32A8B"/>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D0BDF2B8"/>
    <w:multiLevelType w:val="singleLevel"/>
    <w:tmpl w:val="D0BDF2B8"/>
    <w:lvl w:ilvl="0" w:tentative="0">
      <w:start w:val="1"/>
      <w:numFmt w:val="decimal"/>
      <w:lvlText w:val="%1."/>
      <w:lvlJc w:val="left"/>
      <w:pPr>
        <w:tabs>
          <w:tab w:val="left" w:pos="312"/>
        </w:tabs>
      </w:pPr>
    </w:lvl>
  </w:abstractNum>
  <w:abstractNum w:abstractNumId="7">
    <w:nsid w:val="D1AE00C5"/>
    <w:multiLevelType w:val="multilevel"/>
    <w:tmpl w:val="D1AE00C5"/>
    <w:lvl w:ilvl="0" w:tentative="0">
      <w:start w:val="1"/>
      <w:numFmt w:val="decimal"/>
      <w:lvlText w:val="(%1)"/>
      <w:lvlJc w:val="left"/>
      <w:pPr>
        <w:tabs>
          <w:tab w:val="left" w:pos="600"/>
        </w:tabs>
        <w:ind w:left="600" w:hanging="420"/>
      </w:pPr>
      <w:rPr>
        <w:rFonts w:hint="eastAsia"/>
      </w:rPr>
    </w:lvl>
    <w:lvl w:ilvl="1" w:tentative="0">
      <w:start w:val="1"/>
      <w:numFmt w:val="decimal"/>
      <w:lvlText w:val="%2."/>
      <w:lvlJc w:val="left"/>
      <w:pPr>
        <w:ind w:left="851" w:hanging="425"/>
      </w:pPr>
    </w:lvl>
    <w:lvl w:ilvl="2" w:tentative="0">
      <w:start w:val="1"/>
      <w:numFmt w:val="none"/>
      <w:suff w:val="nothing"/>
      <w:lvlText w:val=""/>
      <w:lvlJc w:val="left"/>
      <w:pPr>
        <w:ind w:left="851" w:hanging="425"/>
      </w:pPr>
    </w:lvl>
    <w:lvl w:ilvl="3" w:tentative="0">
      <w:start w:val="1"/>
      <w:numFmt w:val="lowerLetter"/>
      <w:lvlText w:val="%4)"/>
      <w:lvlJc w:val="left"/>
      <w:pPr>
        <w:ind w:left="1700" w:hanging="425"/>
      </w:pPr>
    </w:lvl>
    <w:lvl w:ilvl="4" w:tentative="0">
      <w:start w:val="1"/>
      <w:numFmt w:val="decimal"/>
      <w:lvlText w:val="(%5)"/>
      <w:lvlJc w:val="left"/>
      <w:pPr>
        <w:ind w:left="2125" w:hanging="425"/>
      </w:pPr>
    </w:lvl>
    <w:lvl w:ilvl="5" w:tentative="0">
      <w:start w:val="1"/>
      <w:numFmt w:val="lowerLetter"/>
      <w:lvlText w:val="(%6)"/>
      <w:lvlJc w:val="left"/>
      <w:pPr>
        <w:ind w:left="2550" w:hanging="425"/>
      </w:pPr>
    </w:lvl>
    <w:lvl w:ilvl="6" w:tentative="0">
      <w:start w:val="1"/>
      <w:numFmt w:val="lowerRoman"/>
      <w:lvlText w:val="(%7)"/>
      <w:lvlJc w:val="left"/>
      <w:pPr>
        <w:ind w:left="2975" w:hanging="425"/>
      </w:pPr>
    </w:lvl>
    <w:lvl w:ilvl="7" w:tentative="0">
      <w:start w:val="1"/>
      <w:numFmt w:val="lowerLetter"/>
      <w:lvlText w:val="(%8)"/>
      <w:lvlJc w:val="left"/>
      <w:pPr>
        <w:ind w:left="3400" w:hanging="425"/>
      </w:pPr>
    </w:lvl>
    <w:lvl w:ilvl="8" w:tentative="0">
      <w:start w:val="1"/>
      <w:numFmt w:val="lowerRoman"/>
      <w:lvlText w:val="(%9)"/>
      <w:lvlJc w:val="left"/>
      <w:pPr>
        <w:ind w:left="3825" w:hanging="425"/>
      </w:pPr>
    </w:lvl>
  </w:abstractNum>
  <w:abstractNum w:abstractNumId="8">
    <w:nsid w:val="D5BE7270"/>
    <w:multiLevelType w:val="multilevel"/>
    <w:tmpl w:val="D5BE7270"/>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9">
    <w:nsid w:val="EA101A30"/>
    <w:multiLevelType w:val="multilevel"/>
    <w:tmpl w:val="EA101A30"/>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EF7C5A94"/>
    <w:multiLevelType w:val="multilevel"/>
    <w:tmpl w:val="EF7C5A94"/>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11">
    <w:nsid w:val="F6EE3379"/>
    <w:multiLevelType w:val="multilevel"/>
    <w:tmpl w:val="F6EE3379"/>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12">
    <w:nsid w:val="F76DBAE6"/>
    <w:multiLevelType w:val="singleLevel"/>
    <w:tmpl w:val="F76DBAE6"/>
    <w:lvl w:ilvl="0" w:tentative="0">
      <w:start w:val="1"/>
      <w:numFmt w:val="decimal"/>
      <w:lvlText w:val="%1)"/>
      <w:lvlJc w:val="left"/>
      <w:pPr>
        <w:ind w:left="425" w:hanging="425"/>
      </w:pPr>
      <w:rPr>
        <w:rFonts w:hint="default"/>
      </w:rPr>
    </w:lvl>
  </w:abstractNum>
  <w:abstractNum w:abstractNumId="13">
    <w:nsid w:val="FDFEAD1F"/>
    <w:multiLevelType w:val="multilevel"/>
    <w:tmpl w:val="FDFEAD1F"/>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14">
    <w:nsid w:val="FE703F89"/>
    <w:multiLevelType w:val="multilevel"/>
    <w:tmpl w:val="FE703F89"/>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15">
    <w:nsid w:val="00000008"/>
    <w:multiLevelType w:val="multilevel"/>
    <w:tmpl w:val="00000008"/>
    <w:lvl w:ilvl="0" w:tentative="0">
      <w:start w:val="1"/>
      <w:numFmt w:val="decimalEnclosedCircle"/>
      <w:lvlText w:val="%1"/>
      <w:lvlJc w:val="left"/>
      <w:pPr>
        <w:tabs>
          <w:tab w:val="left" w:pos="1080"/>
        </w:tabs>
        <w:ind w:left="1080" w:hanging="360"/>
      </w:pPr>
      <w:rPr>
        <w:rFonts w:hint="default"/>
        <w:u w:val="none" w:color="auto"/>
      </w:rPr>
    </w:lvl>
    <w:lvl w:ilvl="1" w:tentative="0">
      <w:start w:val="1"/>
      <w:numFmt w:val="lowerLetter"/>
      <w:lvlText w:val="%2)"/>
      <w:lvlJc w:val="left"/>
      <w:pPr>
        <w:tabs>
          <w:tab w:val="left" w:pos="1560"/>
        </w:tabs>
        <w:ind w:left="1560" w:hanging="420"/>
      </w:pPr>
      <w:rPr>
        <w:rFonts w:hint="default"/>
        <w:u w:val="none" w:color="auto"/>
      </w:rPr>
    </w:lvl>
    <w:lvl w:ilvl="2" w:tentative="0">
      <w:start w:val="1"/>
      <w:numFmt w:val="lowerRoman"/>
      <w:lvlText w:val="%3."/>
      <w:lvlJc w:val="right"/>
      <w:pPr>
        <w:tabs>
          <w:tab w:val="left" w:pos="1980"/>
        </w:tabs>
        <w:ind w:left="1980" w:hanging="420"/>
      </w:pPr>
      <w:rPr>
        <w:rFonts w:hint="default"/>
        <w:u w:val="none" w:color="auto"/>
      </w:rPr>
    </w:lvl>
    <w:lvl w:ilvl="3" w:tentative="0">
      <w:start w:val="1"/>
      <w:numFmt w:val="decimal"/>
      <w:lvlText w:val="%4."/>
      <w:lvlJc w:val="left"/>
      <w:pPr>
        <w:tabs>
          <w:tab w:val="left" w:pos="2400"/>
        </w:tabs>
        <w:ind w:left="2400" w:hanging="420"/>
      </w:pPr>
      <w:rPr>
        <w:rFonts w:hint="default"/>
        <w:u w:val="none" w:color="auto"/>
      </w:rPr>
    </w:lvl>
    <w:lvl w:ilvl="4" w:tentative="0">
      <w:start w:val="1"/>
      <w:numFmt w:val="lowerLetter"/>
      <w:lvlText w:val="%5)"/>
      <w:lvlJc w:val="left"/>
      <w:pPr>
        <w:tabs>
          <w:tab w:val="left" w:pos="2820"/>
        </w:tabs>
        <w:ind w:left="2820" w:hanging="420"/>
      </w:pPr>
      <w:rPr>
        <w:rFonts w:hint="default"/>
        <w:u w:val="none" w:color="auto"/>
      </w:rPr>
    </w:lvl>
    <w:lvl w:ilvl="5" w:tentative="0">
      <w:start w:val="1"/>
      <w:numFmt w:val="lowerRoman"/>
      <w:lvlText w:val="%6."/>
      <w:lvlJc w:val="right"/>
      <w:pPr>
        <w:tabs>
          <w:tab w:val="left" w:pos="3240"/>
        </w:tabs>
        <w:ind w:left="3240" w:hanging="420"/>
      </w:pPr>
      <w:rPr>
        <w:rFonts w:hint="default"/>
        <w:u w:val="none" w:color="auto"/>
      </w:rPr>
    </w:lvl>
    <w:lvl w:ilvl="6" w:tentative="0">
      <w:start w:val="1"/>
      <w:numFmt w:val="decimal"/>
      <w:lvlText w:val="%7."/>
      <w:lvlJc w:val="left"/>
      <w:pPr>
        <w:tabs>
          <w:tab w:val="left" w:pos="3660"/>
        </w:tabs>
        <w:ind w:left="3660" w:hanging="420"/>
      </w:pPr>
      <w:rPr>
        <w:rFonts w:hint="default"/>
        <w:u w:val="none" w:color="auto"/>
      </w:rPr>
    </w:lvl>
    <w:lvl w:ilvl="7" w:tentative="0">
      <w:start w:val="1"/>
      <w:numFmt w:val="lowerLetter"/>
      <w:lvlText w:val="%8)"/>
      <w:lvlJc w:val="left"/>
      <w:pPr>
        <w:tabs>
          <w:tab w:val="left" w:pos="4080"/>
        </w:tabs>
        <w:ind w:left="4080" w:hanging="420"/>
      </w:pPr>
      <w:rPr>
        <w:rFonts w:hint="default"/>
        <w:u w:val="none" w:color="auto"/>
      </w:rPr>
    </w:lvl>
    <w:lvl w:ilvl="8" w:tentative="0">
      <w:start w:val="1"/>
      <w:numFmt w:val="lowerRoman"/>
      <w:lvlText w:val="%9."/>
      <w:lvlJc w:val="right"/>
      <w:pPr>
        <w:tabs>
          <w:tab w:val="left" w:pos="4500"/>
        </w:tabs>
        <w:ind w:left="4500" w:hanging="420"/>
      </w:pPr>
      <w:rPr>
        <w:rFonts w:hint="default"/>
        <w:u w:val="none" w:color="auto"/>
      </w:rPr>
    </w:lvl>
  </w:abstractNum>
  <w:abstractNum w:abstractNumId="16">
    <w:nsid w:val="00000009"/>
    <w:multiLevelType w:val="multilevel"/>
    <w:tmpl w:val="00000009"/>
    <w:lvl w:ilvl="0" w:tentative="0">
      <w:start w:val="1"/>
      <w:numFmt w:val="decimalEnclosedCircle"/>
      <w:lvlText w:val="%1"/>
      <w:lvlJc w:val="left"/>
      <w:pPr>
        <w:tabs>
          <w:tab w:val="left" w:pos="644"/>
        </w:tabs>
        <w:ind w:left="644" w:hanging="360"/>
      </w:pPr>
      <w:rPr>
        <w:rFonts w:hint="default"/>
        <w:u w:val="none" w:color="auto"/>
      </w:rPr>
    </w:lvl>
    <w:lvl w:ilvl="1" w:tentative="0">
      <w:start w:val="1"/>
      <w:numFmt w:val="lowerLetter"/>
      <w:lvlText w:val="%2)"/>
      <w:lvlJc w:val="left"/>
      <w:pPr>
        <w:tabs>
          <w:tab w:val="left" w:pos="1124"/>
        </w:tabs>
        <w:ind w:left="1124" w:hanging="420"/>
      </w:pPr>
      <w:rPr>
        <w:rFonts w:hint="default"/>
        <w:u w:val="none" w:color="auto"/>
      </w:rPr>
    </w:lvl>
    <w:lvl w:ilvl="2" w:tentative="0">
      <w:start w:val="1"/>
      <w:numFmt w:val="lowerRoman"/>
      <w:lvlText w:val="%3."/>
      <w:lvlJc w:val="right"/>
      <w:pPr>
        <w:tabs>
          <w:tab w:val="left" w:pos="1544"/>
        </w:tabs>
        <w:ind w:left="1544" w:hanging="420"/>
      </w:pPr>
      <w:rPr>
        <w:rFonts w:hint="default"/>
        <w:u w:val="none" w:color="auto"/>
      </w:rPr>
    </w:lvl>
    <w:lvl w:ilvl="3" w:tentative="0">
      <w:start w:val="1"/>
      <w:numFmt w:val="decimal"/>
      <w:lvlText w:val="%4."/>
      <w:lvlJc w:val="left"/>
      <w:pPr>
        <w:tabs>
          <w:tab w:val="left" w:pos="1964"/>
        </w:tabs>
        <w:ind w:left="1964" w:hanging="420"/>
      </w:pPr>
      <w:rPr>
        <w:rFonts w:hint="default"/>
        <w:u w:val="none" w:color="auto"/>
      </w:rPr>
    </w:lvl>
    <w:lvl w:ilvl="4" w:tentative="0">
      <w:start w:val="1"/>
      <w:numFmt w:val="lowerLetter"/>
      <w:lvlText w:val="%5)"/>
      <w:lvlJc w:val="left"/>
      <w:pPr>
        <w:tabs>
          <w:tab w:val="left" w:pos="2384"/>
        </w:tabs>
        <w:ind w:left="2384" w:hanging="420"/>
      </w:pPr>
      <w:rPr>
        <w:rFonts w:hint="default"/>
        <w:u w:val="none" w:color="auto"/>
      </w:rPr>
    </w:lvl>
    <w:lvl w:ilvl="5" w:tentative="0">
      <w:start w:val="1"/>
      <w:numFmt w:val="lowerRoman"/>
      <w:lvlText w:val="%6."/>
      <w:lvlJc w:val="right"/>
      <w:pPr>
        <w:tabs>
          <w:tab w:val="left" w:pos="2804"/>
        </w:tabs>
        <w:ind w:left="2804" w:hanging="420"/>
      </w:pPr>
      <w:rPr>
        <w:rFonts w:hint="default"/>
        <w:u w:val="none" w:color="auto"/>
      </w:rPr>
    </w:lvl>
    <w:lvl w:ilvl="6" w:tentative="0">
      <w:start w:val="1"/>
      <w:numFmt w:val="decimal"/>
      <w:lvlText w:val="%7."/>
      <w:lvlJc w:val="left"/>
      <w:pPr>
        <w:tabs>
          <w:tab w:val="left" w:pos="3224"/>
        </w:tabs>
        <w:ind w:left="3224" w:hanging="420"/>
      </w:pPr>
      <w:rPr>
        <w:rFonts w:hint="default"/>
        <w:u w:val="none" w:color="auto"/>
      </w:rPr>
    </w:lvl>
    <w:lvl w:ilvl="7" w:tentative="0">
      <w:start w:val="1"/>
      <w:numFmt w:val="lowerLetter"/>
      <w:lvlText w:val="%8)"/>
      <w:lvlJc w:val="left"/>
      <w:pPr>
        <w:tabs>
          <w:tab w:val="left" w:pos="3644"/>
        </w:tabs>
        <w:ind w:left="3644" w:hanging="420"/>
      </w:pPr>
      <w:rPr>
        <w:rFonts w:hint="default"/>
        <w:u w:val="none" w:color="auto"/>
      </w:rPr>
    </w:lvl>
    <w:lvl w:ilvl="8" w:tentative="0">
      <w:start w:val="1"/>
      <w:numFmt w:val="lowerRoman"/>
      <w:lvlText w:val="%9."/>
      <w:lvlJc w:val="right"/>
      <w:pPr>
        <w:tabs>
          <w:tab w:val="left" w:pos="4064"/>
        </w:tabs>
        <w:ind w:left="4064" w:hanging="420"/>
      </w:pPr>
      <w:rPr>
        <w:rFonts w:hint="default"/>
        <w:u w:val="none" w:color="auto"/>
      </w:rPr>
    </w:lvl>
  </w:abstractNum>
  <w:abstractNum w:abstractNumId="17">
    <w:nsid w:val="00000016"/>
    <w:multiLevelType w:val="multilevel"/>
    <w:tmpl w:val="00000016"/>
    <w:lvl w:ilvl="0" w:tentative="0">
      <w:start w:val="1"/>
      <w:numFmt w:val="decimal"/>
      <w:lvlText w:val="(%1)"/>
      <w:lvlJc w:val="left"/>
      <w:pPr>
        <w:tabs>
          <w:tab w:val="left" w:pos="720"/>
        </w:tabs>
        <w:ind w:left="720" w:hanging="720"/>
      </w:pPr>
      <w:rPr>
        <w:rFonts w:hint="default" w:ascii="宋体" w:hAnsi="Wingdings" w:eastAsia="宋体"/>
        <w:sz w:val="24"/>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8">
    <w:nsid w:val="0B7C36EB"/>
    <w:multiLevelType w:val="singleLevel"/>
    <w:tmpl w:val="0B7C36EB"/>
    <w:lvl w:ilvl="0" w:tentative="0">
      <w:start w:val="5"/>
      <w:numFmt w:val="chineseCounting"/>
      <w:suff w:val="space"/>
      <w:lvlText w:val="第%1章"/>
      <w:lvlJc w:val="left"/>
      <w:rPr>
        <w:rFonts w:hint="eastAsia"/>
      </w:rPr>
    </w:lvl>
  </w:abstractNum>
  <w:abstractNum w:abstractNumId="19">
    <w:nsid w:val="0C61E803"/>
    <w:multiLevelType w:val="singleLevel"/>
    <w:tmpl w:val="0C61E803"/>
    <w:lvl w:ilvl="0" w:tentative="0">
      <w:start w:val="1"/>
      <w:numFmt w:val="lowerLetter"/>
      <w:lvlText w:val="%1."/>
      <w:lvlJc w:val="left"/>
      <w:pPr>
        <w:ind w:left="425" w:hanging="425"/>
      </w:pPr>
      <w:rPr>
        <w:rFonts w:hint="default"/>
      </w:rPr>
    </w:lvl>
  </w:abstractNum>
  <w:abstractNum w:abstractNumId="20">
    <w:nsid w:val="0EB4F00D"/>
    <w:multiLevelType w:val="multilevel"/>
    <w:tmpl w:val="0EB4F00D"/>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1">
    <w:nsid w:val="0FFEE9A5"/>
    <w:multiLevelType w:val="multilevel"/>
    <w:tmpl w:val="0FFEE9A5"/>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22">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23">
    <w:nsid w:val="17220930"/>
    <w:multiLevelType w:val="multilevel"/>
    <w:tmpl w:val="17220930"/>
    <w:lvl w:ilvl="0" w:tentative="0">
      <w:start w:val="1"/>
      <w:numFmt w:val="decimal"/>
      <w:lvlText w:val="(%1)"/>
      <w:lvlJc w:val="left"/>
      <w:pPr>
        <w:tabs>
          <w:tab w:val="left" w:pos="720"/>
        </w:tabs>
        <w:ind w:left="720" w:hanging="720"/>
      </w:pPr>
      <w:rPr>
        <w:rFonts w:hint="eastAsia" w:eastAsia="宋体"/>
        <w:b w:val="0"/>
        <w:i w:val="0"/>
        <w:sz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4">
    <w:nsid w:val="1A8454DA"/>
    <w:multiLevelType w:val="multilevel"/>
    <w:tmpl w:val="1A8454DA"/>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5">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2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7">
    <w:nsid w:val="50C13282"/>
    <w:multiLevelType w:val="multilevel"/>
    <w:tmpl w:val="50C13282"/>
    <w:lvl w:ilvl="0" w:tentative="0">
      <w:start w:val="1"/>
      <w:numFmt w:val="decimalEnclosedCircleChinese"/>
      <w:suff w:val="nothing"/>
      <w:lvlText w:val="%1　"/>
      <w:lvlJc w:val="left"/>
      <w:pPr>
        <w:ind w:left="0" w:firstLine="40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5FD692CC"/>
    <w:multiLevelType w:val="multilevel"/>
    <w:tmpl w:val="5FD692CC"/>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29">
    <w:nsid w:val="66E4770E"/>
    <w:multiLevelType w:val="multilevel"/>
    <w:tmpl w:val="66E4770E"/>
    <w:lvl w:ilvl="0" w:tentative="0">
      <w:start w:val="1"/>
      <w:numFmt w:val="japaneseCounting"/>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0">
    <w:nsid w:val="68460DDD"/>
    <w:multiLevelType w:val="multilevel"/>
    <w:tmpl w:val="68460DDD"/>
    <w:lvl w:ilvl="0" w:tentative="0">
      <w:start w:val="1"/>
      <w:numFmt w:val="decimal"/>
      <w:lvlText w:val="(%1)"/>
      <w:lvlJc w:val="left"/>
      <w:pPr>
        <w:tabs>
          <w:tab w:val="left" w:pos="600"/>
        </w:tabs>
        <w:ind w:left="600" w:hanging="420"/>
      </w:pPr>
      <w:rPr>
        <w:rFonts w:hint="eastAsia"/>
      </w:rPr>
    </w:lvl>
    <w:lvl w:ilvl="1" w:tentative="0">
      <w:start w:val="1"/>
      <w:numFmt w:val="decimal"/>
      <w:lvlText w:val="%2."/>
      <w:lvlJc w:val="left"/>
      <w:pPr>
        <w:ind w:left="851" w:hanging="425"/>
      </w:pPr>
    </w:lvl>
    <w:lvl w:ilvl="2" w:tentative="0">
      <w:start w:val="1"/>
      <w:numFmt w:val="none"/>
      <w:suff w:val="nothing"/>
      <w:lvlText w:val=""/>
      <w:lvlJc w:val="left"/>
      <w:pPr>
        <w:ind w:left="851" w:hanging="425"/>
      </w:pPr>
    </w:lvl>
    <w:lvl w:ilvl="3" w:tentative="0">
      <w:start w:val="1"/>
      <w:numFmt w:val="lowerLetter"/>
      <w:lvlText w:val="%4)"/>
      <w:lvlJc w:val="left"/>
      <w:pPr>
        <w:ind w:left="1700" w:hanging="425"/>
      </w:pPr>
    </w:lvl>
    <w:lvl w:ilvl="4" w:tentative="0">
      <w:start w:val="1"/>
      <w:numFmt w:val="decimal"/>
      <w:lvlText w:val="(%5)"/>
      <w:lvlJc w:val="left"/>
      <w:pPr>
        <w:ind w:left="2125" w:hanging="425"/>
      </w:pPr>
    </w:lvl>
    <w:lvl w:ilvl="5" w:tentative="0">
      <w:start w:val="1"/>
      <w:numFmt w:val="lowerLetter"/>
      <w:lvlText w:val="(%6)"/>
      <w:lvlJc w:val="left"/>
      <w:pPr>
        <w:ind w:left="2550" w:hanging="425"/>
      </w:pPr>
    </w:lvl>
    <w:lvl w:ilvl="6" w:tentative="0">
      <w:start w:val="1"/>
      <w:numFmt w:val="lowerRoman"/>
      <w:lvlText w:val="(%7)"/>
      <w:lvlJc w:val="left"/>
      <w:pPr>
        <w:ind w:left="2975" w:hanging="425"/>
      </w:pPr>
    </w:lvl>
    <w:lvl w:ilvl="7" w:tentative="0">
      <w:start w:val="1"/>
      <w:numFmt w:val="lowerLetter"/>
      <w:lvlText w:val="(%8)"/>
      <w:lvlJc w:val="left"/>
      <w:pPr>
        <w:ind w:left="3400" w:hanging="425"/>
      </w:pPr>
    </w:lvl>
    <w:lvl w:ilvl="8" w:tentative="0">
      <w:start w:val="1"/>
      <w:numFmt w:val="lowerRoman"/>
      <w:lvlText w:val="(%9)"/>
      <w:lvlJc w:val="left"/>
      <w:pPr>
        <w:ind w:left="3825" w:hanging="425"/>
      </w:pPr>
    </w:lvl>
  </w:abstractNum>
  <w:abstractNum w:abstractNumId="31">
    <w:nsid w:val="6EB0AEEE"/>
    <w:multiLevelType w:val="singleLevel"/>
    <w:tmpl w:val="6EB0AEEE"/>
    <w:lvl w:ilvl="0" w:tentative="0">
      <w:start w:val="4"/>
      <w:numFmt w:val="chineseCounting"/>
      <w:suff w:val="nothing"/>
      <w:lvlText w:val="%1、"/>
      <w:lvlJc w:val="left"/>
      <w:rPr>
        <w:rFonts w:hint="eastAsia"/>
      </w:rPr>
    </w:lvl>
  </w:abstractNum>
  <w:abstractNum w:abstractNumId="32">
    <w:nsid w:val="738FE392"/>
    <w:multiLevelType w:val="singleLevel"/>
    <w:tmpl w:val="738FE392"/>
    <w:lvl w:ilvl="0" w:tentative="0">
      <w:start w:val="3"/>
      <w:numFmt w:val="chineseCounting"/>
      <w:suff w:val="nothing"/>
      <w:lvlText w:val="%1、"/>
      <w:lvlJc w:val="left"/>
      <w:rPr>
        <w:rFonts w:hint="eastAsia"/>
      </w:rPr>
    </w:lvl>
  </w:abstractNum>
  <w:abstractNum w:abstractNumId="33">
    <w:nsid w:val="7ABC0D3A"/>
    <w:multiLevelType w:val="multilevel"/>
    <w:tmpl w:val="7ABC0D3A"/>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26"/>
  </w:num>
  <w:num w:numId="3">
    <w:abstractNumId w:val="31"/>
  </w:num>
  <w:num w:numId="4">
    <w:abstractNumId w:val="25"/>
  </w:num>
  <w:num w:numId="5">
    <w:abstractNumId w:val="29"/>
  </w:num>
  <w:num w:numId="6">
    <w:abstractNumId w:val="22"/>
  </w:num>
  <w:num w:numId="7">
    <w:abstractNumId w:val="3"/>
  </w:num>
  <w:num w:numId="8">
    <w:abstractNumId w:val="18"/>
  </w:num>
  <w:num w:numId="9">
    <w:abstractNumId w:val="0"/>
  </w:num>
  <w:num w:numId="10">
    <w:abstractNumId w:val="15"/>
  </w:num>
  <w:num w:numId="11">
    <w:abstractNumId w:val="16"/>
  </w:num>
  <w:num w:numId="12">
    <w:abstractNumId w:val="17"/>
  </w:num>
  <w:num w:numId="13">
    <w:abstractNumId w:val="24"/>
  </w:num>
  <w:num w:numId="14">
    <w:abstractNumId w:val="5"/>
  </w:num>
  <w:num w:numId="15">
    <w:abstractNumId w:val="33"/>
  </w:num>
  <w:num w:numId="16">
    <w:abstractNumId w:val="12"/>
  </w:num>
  <w:num w:numId="17">
    <w:abstractNumId w:val="20"/>
  </w:num>
  <w:num w:numId="18">
    <w:abstractNumId w:val="9"/>
  </w:num>
  <w:num w:numId="19">
    <w:abstractNumId w:val="19"/>
  </w:num>
  <w:num w:numId="20">
    <w:abstractNumId w:val="11"/>
  </w:num>
  <w:num w:numId="21">
    <w:abstractNumId w:val="8"/>
  </w:num>
  <w:num w:numId="22">
    <w:abstractNumId w:val="4"/>
  </w:num>
  <w:num w:numId="23">
    <w:abstractNumId w:val="21"/>
  </w:num>
  <w:num w:numId="24">
    <w:abstractNumId w:val="10"/>
  </w:num>
  <w:num w:numId="25">
    <w:abstractNumId w:val="28"/>
  </w:num>
  <w:num w:numId="26">
    <w:abstractNumId w:val="14"/>
  </w:num>
  <w:num w:numId="27">
    <w:abstractNumId w:val="13"/>
  </w:num>
  <w:num w:numId="28">
    <w:abstractNumId w:val="23"/>
  </w:num>
  <w:num w:numId="29">
    <w:abstractNumId w:val="30"/>
  </w:num>
  <w:num w:numId="30">
    <w:abstractNumId w:val="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commondata" w:val="eyJoZGlkIjoiOTBiNDg2YWYwYzFiM2JlOTVlZGU4MTllOWEwMDViMTkifQ=="/>
    <w:docVar w:name="KSO_WPS_MARK_KEY" w:val="b2b7805d-2902-4377-b71a-8953fd0e6e9c"/>
    <w:docVar w:name="VTCASE" w:val="4"/>
    <w:docVar w:name="VTCommandPending" w:val="NONE"/>
  </w:docVars>
  <w:rsids>
    <w:rsidRoot w:val="00887D93"/>
    <w:rsid w:val="000004CD"/>
    <w:rsid w:val="00001783"/>
    <w:rsid w:val="00001797"/>
    <w:rsid w:val="0000273B"/>
    <w:rsid w:val="0000335D"/>
    <w:rsid w:val="000041A8"/>
    <w:rsid w:val="000055D7"/>
    <w:rsid w:val="00006E05"/>
    <w:rsid w:val="000109F0"/>
    <w:rsid w:val="000157E2"/>
    <w:rsid w:val="0001697A"/>
    <w:rsid w:val="000169E1"/>
    <w:rsid w:val="00020D78"/>
    <w:rsid w:val="00021486"/>
    <w:rsid w:val="00021AE8"/>
    <w:rsid w:val="00022E94"/>
    <w:rsid w:val="000313B5"/>
    <w:rsid w:val="00031DA1"/>
    <w:rsid w:val="00032B95"/>
    <w:rsid w:val="000333A8"/>
    <w:rsid w:val="000434F9"/>
    <w:rsid w:val="00043533"/>
    <w:rsid w:val="00043D7B"/>
    <w:rsid w:val="00045D67"/>
    <w:rsid w:val="000538CC"/>
    <w:rsid w:val="000541C7"/>
    <w:rsid w:val="00054A8E"/>
    <w:rsid w:val="00056583"/>
    <w:rsid w:val="00056932"/>
    <w:rsid w:val="00057BB2"/>
    <w:rsid w:val="00060376"/>
    <w:rsid w:val="000612B3"/>
    <w:rsid w:val="00061B68"/>
    <w:rsid w:val="00063750"/>
    <w:rsid w:val="000651B7"/>
    <w:rsid w:val="00065379"/>
    <w:rsid w:val="000673C5"/>
    <w:rsid w:val="00070907"/>
    <w:rsid w:val="000719AB"/>
    <w:rsid w:val="00073852"/>
    <w:rsid w:val="00076670"/>
    <w:rsid w:val="00080B56"/>
    <w:rsid w:val="00080FC7"/>
    <w:rsid w:val="00081D11"/>
    <w:rsid w:val="00083115"/>
    <w:rsid w:val="00092CAE"/>
    <w:rsid w:val="00093645"/>
    <w:rsid w:val="00096150"/>
    <w:rsid w:val="0009670A"/>
    <w:rsid w:val="00096F54"/>
    <w:rsid w:val="000A31C4"/>
    <w:rsid w:val="000A3727"/>
    <w:rsid w:val="000A49C1"/>
    <w:rsid w:val="000A799B"/>
    <w:rsid w:val="000B2935"/>
    <w:rsid w:val="000B3392"/>
    <w:rsid w:val="000B362F"/>
    <w:rsid w:val="000B366A"/>
    <w:rsid w:val="000B6C50"/>
    <w:rsid w:val="000C0354"/>
    <w:rsid w:val="000C0645"/>
    <w:rsid w:val="000C0FDF"/>
    <w:rsid w:val="000C3524"/>
    <w:rsid w:val="000C5071"/>
    <w:rsid w:val="000C55ED"/>
    <w:rsid w:val="000C6F86"/>
    <w:rsid w:val="000D1613"/>
    <w:rsid w:val="000D1776"/>
    <w:rsid w:val="000D19C1"/>
    <w:rsid w:val="000D4E69"/>
    <w:rsid w:val="000D5125"/>
    <w:rsid w:val="000E1288"/>
    <w:rsid w:val="000E3784"/>
    <w:rsid w:val="000E37E0"/>
    <w:rsid w:val="000E47A0"/>
    <w:rsid w:val="000E597F"/>
    <w:rsid w:val="000E5BFC"/>
    <w:rsid w:val="000E699D"/>
    <w:rsid w:val="000E7158"/>
    <w:rsid w:val="000F2D05"/>
    <w:rsid w:val="000F2EEE"/>
    <w:rsid w:val="000F4234"/>
    <w:rsid w:val="000F6215"/>
    <w:rsid w:val="000F63C8"/>
    <w:rsid w:val="000F6581"/>
    <w:rsid w:val="00102417"/>
    <w:rsid w:val="001032CC"/>
    <w:rsid w:val="00105B0B"/>
    <w:rsid w:val="00105FDE"/>
    <w:rsid w:val="0010731B"/>
    <w:rsid w:val="00110199"/>
    <w:rsid w:val="00111983"/>
    <w:rsid w:val="00114579"/>
    <w:rsid w:val="00115BF1"/>
    <w:rsid w:val="00117EC1"/>
    <w:rsid w:val="0012032C"/>
    <w:rsid w:val="0012244B"/>
    <w:rsid w:val="001224B5"/>
    <w:rsid w:val="00122643"/>
    <w:rsid w:val="0012425B"/>
    <w:rsid w:val="001244F8"/>
    <w:rsid w:val="001247F0"/>
    <w:rsid w:val="00124BF1"/>
    <w:rsid w:val="001252D8"/>
    <w:rsid w:val="001257D4"/>
    <w:rsid w:val="00131E0D"/>
    <w:rsid w:val="001334E1"/>
    <w:rsid w:val="0013359E"/>
    <w:rsid w:val="00134F57"/>
    <w:rsid w:val="00137694"/>
    <w:rsid w:val="00141EAC"/>
    <w:rsid w:val="00143652"/>
    <w:rsid w:val="0014627C"/>
    <w:rsid w:val="00152D4B"/>
    <w:rsid w:val="00157C74"/>
    <w:rsid w:val="00161678"/>
    <w:rsid w:val="00162805"/>
    <w:rsid w:val="00165014"/>
    <w:rsid w:val="00166230"/>
    <w:rsid w:val="0017180F"/>
    <w:rsid w:val="00173BFF"/>
    <w:rsid w:val="00174749"/>
    <w:rsid w:val="00174FCA"/>
    <w:rsid w:val="00175AFB"/>
    <w:rsid w:val="00176F12"/>
    <w:rsid w:val="001770BE"/>
    <w:rsid w:val="00177A3E"/>
    <w:rsid w:val="00184A28"/>
    <w:rsid w:val="00185EB9"/>
    <w:rsid w:val="00187B13"/>
    <w:rsid w:val="00187EB4"/>
    <w:rsid w:val="00196268"/>
    <w:rsid w:val="00196FA0"/>
    <w:rsid w:val="001A3B44"/>
    <w:rsid w:val="001A5EEB"/>
    <w:rsid w:val="001B4216"/>
    <w:rsid w:val="001B49A4"/>
    <w:rsid w:val="001B521B"/>
    <w:rsid w:val="001B5CC8"/>
    <w:rsid w:val="001B6587"/>
    <w:rsid w:val="001C0582"/>
    <w:rsid w:val="001C058D"/>
    <w:rsid w:val="001C54C3"/>
    <w:rsid w:val="001C577E"/>
    <w:rsid w:val="001C69EA"/>
    <w:rsid w:val="001D015F"/>
    <w:rsid w:val="001D027D"/>
    <w:rsid w:val="001D3D44"/>
    <w:rsid w:val="001D4A1E"/>
    <w:rsid w:val="001D70E9"/>
    <w:rsid w:val="001E181E"/>
    <w:rsid w:val="001E44EF"/>
    <w:rsid w:val="001E6C1A"/>
    <w:rsid w:val="001E7629"/>
    <w:rsid w:val="001E7E8B"/>
    <w:rsid w:val="001F1370"/>
    <w:rsid w:val="001F2929"/>
    <w:rsid w:val="001F2F0B"/>
    <w:rsid w:val="001F5903"/>
    <w:rsid w:val="001F7292"/>
    <w:rsid w:val="002001DC"/>
    <w:rsid w:val="00200CF3"/>
    <w:rsid w:val="00203778"/>
    <w:rsid w:val="0020407A"/>
    <w:rsid w:val="00206D84"/>
    <w:rsid w:val="00210AE7"/>
    <w:rsid w:val="002123C7"/>
    <w:rsid w:val="00213411"/>
    <w:rsid w:val="00214436"/>
    <w:rsid w:val="00216D4F"/>
    <w:rsid w:val="00216E43"/>
    <w:rsid w:val="00220866"/>
    <w:rsid w:val="00223245"/>
    <w:rsid w:val="00224447"/>
    <w:rsid w:val="00224A77"/>
    <w:rsid w:val="00225FA1"/>
    <w:rsid w:val="0022671D"/>
    <w:rsid w:val="0023090E"/>
    <w:rsid w:val="00231C64"/>
    <w:rsid w:val="0023318A"/>
    <w:rsid w:val="00236A9B"/>
    <w:rsid w:val="0023715B"/>
    <w:rsid w:val="00237592"/>
    <w:rsid w:val="00244A0E"/>
    <w:rsid w:val="00244BEC"/>
    <w:rsid w:val="00244F73"/>
    <w:rsid w:val="002509CA"/>
    <w:rsid w:val="00250BC6"/>
    <w:rsid w:val="00251A29"/>
    <w:rsid w:val="00251B89"/>
    <w:rsid w:val="00253615"/>
    <w:rsid w:val="00253950"/>
    <w:rsid w:val="00254F7E"/>
    <w:rsid w:val="0025569E"/>
    <w:rsid w:val="002564FE"/>
    <w:rsid w:val="002603EB"/>
    <w:rsid w:val="00264327"/>
    <w:rsid w:val="002650F1"/>
    <w:rsid w:val="00266403"/>
    <w:rsid w:val="00266406"/>
    <w:rsid w:val="002679CA"/>
    <w:rsid w:val="00272722"/>
    <w:rsid w:val="002745E7"/>
    <w:rsid w:val="00277935"/>
    <w:rsid w:val="00277E8E"/>
    <w:rsid w:val="00280DD6"/>
    <w:rsid w:val="00282496"/>
    <w:rsid w:val="00283033"/>
    <w:rsid w:val="002854DC"/>
    <w:rsid w:val="0028616B"/>
    <w:rsid w:val="00290CDE"/>
    <w:rsid w:val="00290DE2"/>
    <w:rsid w:val="00291678"/>
    <w:rsid w:val="002A2315"/>
    <w:rsid w:val="002A3153"/>
    <w:rsid w:val="002A3E19"/>
    <w:rsid w:val="002A6C9C"/>
    <w:rsid w:val="002C10AC"/>
    <w:rsid w:val="002C2AE8"/>
    <w:rsid w:val="002C2FF3"/>
    <w:rsid w:val="002C3A5A"/>
    <w:rsid w:val="002C4ABE"/>
    <w:rsid w:val="002C71EC"/>
    <w:rsid w:val="002C7548"/>
    <w:rsid w:val="002C780B"/>
    <w:rsid w:val="002C78E3"/>
    <w:rsid w:val="002C7E47"/>
    <w:rsid w:val="002D2C13"/>
    <w:rsid w:val="002D2FFB"/>
    <w:rsid w:val="002D4E16"/>
    <w:rsid w:val="002D505C"/>
    <w:rsid w:val="002D5DF8"/>
    <w:rsid w:val="002E234E"/>
    <w:rsid w:val="002E334D"/>
    <w:rsid w:val="002E486A"/>
    <w:rsid w:val="002E53C0"/>
    <w:rsid w:val="002E766C"/>
    <w:rsid w:val="002E78EC"/>
    <w:rsid w:val="002F02C8"/>
    <w:rsid w:val="002F09C9"/>
    <w:rsid w:val="002F25A7"/>
    <w:rsid w:val="002F46DC"/>
    <w:rsid w:val="002F5145"/>
    <w:rsid w:val="002F5CB9"/>
    <w:rsid w:val="002F683C"/>
    <w:rsid w:val="002F6E5B"/>
    <w:rsid w:val="003012B9"/>
    <w:rsid w:val="003031B5"/>
    <w:rsid w:val="0031140B"/>
    <w:rsid w:val="00317120"/>
    <w:rsid w:val="0032100C"/>
    <w:rsid w:val="003212C2"/>
    <w:rsid w:val="00321921"/>
    <w:rsid w:val="00321926"/>
    <w:rsid w:val="0033060D"/>
    <w:rsid w:val="003318F3"/>
    <w:rsid w:val="00331ECA"/>
    <w:rsid w:val="00332E76"/>
    <w:rsid w:val="00333919"/>
    <w:rsid w:val="00334DD0"/>
    <w:rsid w:val="00334F3E"/>
    <w:rsid w:val="003379AF"/>
    <w:rsid w:val="00337C5C"/>
    <w:rsid w:val="00341812"/>
    <w:rsid w:val="00343E4C"/>
    <w:rsid w:val="00352BC8"/>
    <w:rsid w:val="003534D2"/>
    <w:rsid w:val="00355D82"/>
    <w:rsid w:val="00356CAF"/>
    <w:rsid w:val="00367712"/>
    <w:rsid w:val="00367C88"/>
    <w:rsid w:val="00367DB2"/>
    <w:rsid w:val="00370B19"/>
    <w:rsid w:val="00371C8C"/>
    <w:rsid w:val="00373408"/>
    <w:rsid w:val="003748EB"/>
    <w:rsid w:val="00375DCD"/>
    <w:rsid w:val="00376F36"/>
    <w:rsid w:val="003800A6"/>
    <w:rsid w:val="0038151E"/>
    <w:rsid w:val="00382FFA"/>
    <w:rsid w:val="00383B0A"/>
    <w:rsid w:val="0038491D"/>
    <w:rsid w:val="00387606"/>
    <w:rsid w:val="00391DD2"/>
    <w:rsid w:val="003925E1"/>
    <w:rsid w:val="00393D74"/>
    <w:rsid w:val="003943A7"/>
    <w:rsid w:val="00396A66"/>
    <w:rsid w:val="003A1A69"/>
    <w:rsid w:val="003A37B8"/>
    <w:rsid w:val="003A582F"/>
    <w:rsid w:val="003A6B72"/>
    <w:rsid w:val="003B0C31"/>
    <w:rsid w:val="003B3917"/>
    <w:rsid w:val="003B41D9"/>
    <w:rsid w:val="003B7293"/>
    <w:rsid w:val="003C1BD4"/>
    <w:rsid w:val="003C53B2"/>
    <w:rsid w:val="003C6422"/>
    <w:rsid w:val="003C6C9A"/>
    <w:rsid w:val="003D6961"/>
    <w:rsid w:val="003E129C"/>
    <w:rsid w:val="003E2C77"/>
    <w:rsid w:val="003E2C89"/>
    <w:rsid w:val="003E382E"/>
    <w:rsid w:val="003E3C14"/>
    <w:rsid w:val="003E5828"/>
    <w:rsid w:val="003E6516"/>
    <w:rsid w:val="003E747A"/>
    <w:rsid w:val="003F0149"/>
    <w:rsid w:val="003F11BD"/>
    <w:rsid w:val="003F4748"/>
    <w:rsid w:val="003F61AC"/>
    <w:rsid w:val="003F7F89"/>
    <w:rsid w:val="00401163"/>
    <w:rsid w:val="00401267"/>
    <w:rsid w:val="00401B70"/>
    <w:rsid w:val="00402836"/>
    <w:rsid w:val="0040367C"/>
    <w:rsid w:val="00404B23"/>
    <w:rsid w:val="00405154"/>
    <w:rsid w:val="0041238C"/>
    <w:rsid w:val="00412829"/>
    <w:rsid w:val="0041314E"/>
    <w:rsid w:val="00413D7A"/>
    <w:rsid w:val="00414EDB"/>
    <w:rsid w:val="004164DF"/>
    <w:rsid w:val="0042306E"/>
    <w:rsid w:val="00424449"/>
    <w:rsid w:val="00425FB2"/>
    <w:rsid w:val="004261AF"/>
    <w:rsid w:val="00426BB0"/>
    <w:rsid w:val="00433EEA"/>
    <w:rsid w:val="004408B0"/>
    <w:rsid w:val="00441C7F"/>
    <w:rsid w:val="00441E5E"/>
    <w:rsid w:val="0044524F"/>
    <w:rsid w:val="0044654E"/>
    <w:rsid w:val="004504F2"/>
    <w:rsid w:val="00450C1F"/>
    <w:rsid w:val="00455240"/>
    <w:rsid w:val="0045705D"/>
    <w:rsid w:val="00457AEF"/>
    <w:rsid w:val="0046046C"/>
    <w:rsid w:val="00464AF7"/>
    <w:rsid w:val="004663F3"/>
    <w:rsid w:val="00467553"/>
    <w:rsid w:val="00471F78"/>
    <w:rsid w:val="00473B94"/>
    <w:rsid w:val="00473DC2"/>
    <w:rsid w:val="0047556E"/>
    <w:rsid w:val="00475991"/>
    <w:rsid w:val="00475B13"/>
    <w:rsid w:val="00480D8D"/>
    <w:rsid w:val="004814E5"/>
    <w:rsid w:val="00484641"/>
    <w:rsid w:val="004846F8"/>
    <w:rsid w:val="004878B7"/>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22B1"/>
    <w:rsid w:val="004B46E5"/>
    <w:rsid w:val="004B6542"/>
    <w:rsid w:val="004B72A3"/>
    <w:rsid w:val="004C1E33"/>
    <w:rsid w:val="004C2785"/>
    <w:rsid w:val="004C6870"/>
    <w:rsid w:val="004D29A3"/>
    <w:rsid w:val="004D3462"/>
    <w:rsid w:val="004D4D48"/>
    <w:rsid w:val="004D5250"/>
    <w:rsid w:val="004D6AD9"/>
    <w:rsid w:val="004E0517"/>
    <w:rsid w:val="004E0C12"/>
    <w:rsid w:val="004E127C"/>
    <w:rsid w:val="004E13F0"/>
    <w:rsid w:val="004E4854"/>
    <w:rsid w:val="004E5626"/>
    <w:rsid w:val="004F036B"/>
    <w:rsid w:val="004F0E54"/>
    <w:rsid w:val="004F1E02"/>
    <w:rsid w:val="004F7B7E"/>
    <w:rsid w:val="00501785"/>
    <w:rsid w:val="00503724"/>
    <w:rsid w:val="00504E3C"/>
    <w:rsid w:val="005107A5"/>
    <w:rsid w:val="00513F7C"/>
    <w:rsid w:val="005149B8"/>
    <w:rsid w:val="005175C0"/>
    <w:rsid w:val="00520001"/>
    <w:rsid w:val="00520CAA"/>
    <w:rsid w:val="0052391C"/>
    <w:rsid w:val="0052393A"/>
    <w:rsid w:val="00530C3F"/>
    <w:rsid w:val="00532B1D"/>
    <w:rsid w:val="00534347"/>
    <w:rsid w:val="005357A3"/>
    <w:rsid w:val="00540C55"/>
    <w:rsid w:val="0054100A"/>
    <w:rsid w:val="00542227"/>
    <w:rsid w:val="005422EB"/>
    <w:rsid w:val="0054426F"/>
    <w:rsid w:val="0054508F"/>
    <w:rsid w:val="00546F3A"/>
    <w:rsid w:val="005475C6"/>
    <w:rsid w:val="00547BC4"/>
    <w:rsid w:val="00550C61"/>
    <w:rsid w:val="00552FBA"/>
    <w:rsid w:val="00554D9D"/>
    <w:rsid w:val="00555A82"/>
    <w:rsid w:val="00556C52"/>
    <w:rsid w:val="0056008C"/>
    <w:rsid w:val="005616BF"/>
    <w:rsid w:val="00570A8A"/>
    <w:rsid w:val="00571BE1"/>
    <w:rsid w:val="0057268E"/>
    <w:rsid w:val="005806C7"/>
    <w:rsid w:val="00580749"/>
    <w:rsid w:val="005822B1"/>
    <w:rsid w:val="00582CA5"/>
    <w:rsid w:val="005852AF"/>
    <w:rsid w:val="00587753"/>
    <w:rsid w:val="0059106A"/>
    <w:rsid w:val="00593243"/>
    <w:rsid w:val="005A090D"/>
    <w:rsid w:val="005A1737"/>
    <w:rsid w:val="005A1914"/>
    <w:rsid w:val="005A1D6F"/>
    <w:rsid w:val="005A3804"/>
    <w:rsid w:val="005A40B3"/>
    <w:rsid w:val="005A4C42"/>
    <w:rsid w:val="005B1361"/>
    <w:rsid w:val="005B177D"/>
    <w:rsid w:val="005B3B4A"/>
    <w:rsid w:val="005B4C4C"/>
    <w:rsid w:val="005B7966"/>
    <w:rsid w:val="005C0341"/>
    <w:rsid w:val="005C10CF"/>
    <w:rsid w:val="005C3CDD"/>
    <w:rsid w:val="005D2B33"/>
    <w:rsid w:val="005D2BF2"/>
    <w:rsid w:val="005D4B36"/>
    <w:rsid w:val="005D502E"/>
    <w:rsid w:val="005D5B37"/>
    <w:rsid w:val="005D5C14"/>
    <w:rsid w:val="005D6D35"/>
    <w:rsid w:val="005E1062"/>
    <w:rsid w:val="005E12BD"/>
    <w:rsid w:val="005E305E"/>
    <w:rsid w:val="005E53A4"/>
    <w:rsid w:val="005F1F63"/>
    <w:rsid w:val="005F324D"/>
    <w:rsid w:val="005F4C0F"/>
    <w:rsid w:val="006011F9"/>
    <w:rsid w:val="006016B0"/>
    <w:rsid w:val="00602247"/>
    <w:rsid w:val="00605130"/>
    <w:rsid w:val="006054AE"/>
    <w:rsid w:val="00606661"/>
    <w:rsid w:val="00612A91"/>
    <w:rsid w:val="00615BD4"/>
    <w:rsid w:val="006176D9"/>
    <w:rsid w:val="0062063C"/>
    <w:rsid w:val="0062170C"/>
    <w:rsid w:val="00621EEA"/>
    <w:rsid w:val="00622049"/>
    <w:rsid w:val="00622D39"/>
    <w:rsid w:val="006267AC"/>
    <w:rsid w:val="00630C8F"/>
    <w:rsid w:val="0063126C"/>
    <w:rsid w:val="006321D9"/>
    <w:rsid w:val="0063308A"/>
    <w:rsid w:val="006350D1"/>
    <w:rsid w:val="00635530"/>
    <w:rsid w:val="0063595C"/>
    <w:rsid w:val="00635ACD"/>
    <w:rsid w:val="006404C3"/>
    <w:rsid w:val="00645F9B"/>
    <w:rsid w:val="006462F4"/>
    <w:rsid w:val="00653603"/>
    <w:rsid w:val="00653EEF"/>
    <w:rsid w:val="00656DB1"/>
    <w:rsid w:val="0065706C"/>
    <w:rsid w:val="006570F3"/>
    <w:rsid w:val="006574CA"/>
    <w:rsid w:val="00663087"/>
    <w:rsid w:val="00667926"/>
    <w:rsid w:val="00672A07"/>
    <w:rsid w:val="00672A3D"/>
    <w:rsid w:val="00673C56"/>
    <w:rsid w:val="006749AD"/>
    <w:rsid w:val="006775AC"/>
    <w:rsid w:val="006813E6"/>
    <w:rsid w:val="00684218"/>
    <w:rsid w:val="0068548A"/>
    <w:rsid w:val="00686ACA"/>
    <w:rsid w:val="006904AF"/>
    <w:rsid w:val="00692C79"/>
    <w:rsid w:val="00695821"/>
    <w:rsid w:val="0069607D"/>
    <w:rsid w:val="006960C5"/>
    <w:rsid w:val="006A05F8"/>
    <w:rsid w:val="006A0897"/>
    <w:rsid w:val="006A41C4"/>
    <w:rsid w:val="006A4246"/>
    <w:rsid w:val="006A483A"/>
    <w:rsid w:val="006A56B9"/>
    <w:rsid w:val="006A64EB"/>
    <w:rsid w:val="006A7FD4"/>
    <w:rsid w:val="006B0E91"/>
    <w:rsid w:val="006B1891"/>
    <w:rsid w:val="006B37AE"/>
    <w:rsid w:val="006B3C07"/>
    <w:rsid w:val="006B73B9"/>
    <w:rsid w:val="006C4B81"/>
    <w:rsid w:val="006C517C"/>
    <w:rsid w:val="006C5CAA"/>
    <w:rsid w:val="006C7BF2"/>
    <w:rsid w:val="006C7F43"/>
    <w:rsid w:val="006D0C7D"/>
    <w:rsid w:val="006D16F3"/>
    <w:rsid w:val="006D49E3"/>
    <w:rsid w:val="006D4C2C"/>
    <w:rsid w:val="006E019F"/>
    <w:rsid w:val="006E3E50"/>
    <w:rsid w:val="006E525F"/>
    <w:rsid w:val="006E74F5"/>
    <w:rsid w:val="006E7DCA"/>
    <w:rsid w:val="006E7FE3"/>
    <w:rsid w:val="006F0249"/>
    <w:rsid w:val="006F2035"/>
    <w:rsid w:val="006F28EE"/>
    <w:rsid w:val="006F42C2"/>
    <w:rsid w:val="006F602A"/>
    <w:rsid w:val="006F7412"/>
    <w:rsid w:val="00704E65"/>
    <w:rsid w:val="0071025E"/>
    <w:rsid w:val="007105A5"/>
    <w:rsid w:val="00710B8D"/>
    <w:rsid w:val="00713024"/>
    <w:rsid w:val="00715D6B"/>
    <w:rsid w:val="007212F0"/>
    <w:rsid w:val="00722EC6"/>
    <w:rsid w:val="00723FF6"/>
    <w:rsid w:val="0072460B"/>
    <w:rsid w:val="007269B1"/>
    <w:rsid w:val="007331F6"/>
    <w:rsid w:val="0073362F"/>
    <w:rsid w:val="00733A3E"/>
    <w:rsid w:val="0073464A"/>
    <w:rsid w:val="00740605"/>
    <w:rsid w:val="00747B97"/>
    <w:rsid w:val="00747DD4"/>
    <w:rsid w:val="00751820"/>
    <w:rsid w:val="00751B7E"/>
    <w:rsid w:val="00752AB2"/>
    <w:rsid w:val="00752BE0"/>
    <w:rsid w:val="00754193"/>
    <w:rsid w:val="007556C8"/>
    <w:rsid w:val="00756FA1"/>
    <w:rsid w:val="0076040D"/>
    <w:rsid w:val="00763FD6"/>
    <w:rsid w:val="0076431D"/>
    <w:rsid w:val="00766DE9"/>
    <w:rsid w:val="007678A5"/>
    <w:rsid w:val="00770841"/>
    <w:rsid w:val="00771F67"/>
    <w:rsid w:val="0077418F"/>
    <w:rsid w:val="00774C01"/>
    <w:rsid w:val="00775DC4"/>
    <w:rsid w:val="0078216B"/>
    <w:rsid w:val="007823C9"/>
    <w:rsid w:val="007835B7"/>
    <w:rsid w:val="007863E1"/>
    <w:rsid w:val="007904F0"/>
    <w:rsid w:val="007909CB"/>
    <w:rsid w:val="007910D3"/>
    <w:rsid w:val="007923D5"/>
    <w:rsid w:val="0079336E"/>
    <w:rsid w:val="00797A51"/>
    <w:rsid w:val="007A0670"/>
    <w:rsid w:val="007A5BD0"/>
    <w:rsid w:val="007B3132"/>
    <w:rsid w:val="007B4B46"/>
    <w:rsid w:val="007B5E5F"/>
    <w:rsid w:val="007B6CA0"/>
    <w:rsid w:val="007B6F71"/>
    <w:rsid w:val="007C06F8"/>
    <w:rsid w:val="007C27E5"/>
    <w:rsid w:val="007C2E24"/>
    <w:rsid w:val="007C3F78"/>
    <w:rsid w:val="007C4B09"/>
    <w:rsid w:val="007C6167"/>
    <w:rsid w:val="007C6E9D"/>
    <w:rsid w:val="007C6EB8"/>
    <w:rsid w:val="007C7809"/>
    <w:rsid w:val="007D0FCB"/>
    <w:rsid w:val="007D13B9"/>
    <w:rsid w:val="007D4803"/>
    <w:rsid w:val="007D71F7"/>
    <w:rsid w:val="007E160E"/>
    <w:rsid w:val="007E1BDD"/>
    <w:rsid w:val="007E5C3E"/>
    <w:rsid w:val="007E700C"/>
    <w:rsid w:val="007E7388"/>
    <w:rsid w:val="007F1BAF"/>
    <w:rsid w:val="007F1F1C"/>
    <w:rsid w:val="007F2277"/>
    <w:rsid w:val="007F2D02"/>
    <w:rsid w:val="007F433C"/>
    <w:rsid w:val="008004B0"/>
    <w:rsid w:val="008045D9"/>
    <w:rsid w:val="00804C34"/>
    <w:rsid w:val="00805354"/>
    <w:rsid w:val="0080702C"/>
    <w:rsid w:val="00812094"/>
    <w:rsid w:val="0081333B"/>
    <w:rsid w:val="008155DD"/>
    <w:rsid w:val="00821044"/>
    <w:rsid w:val="00821DF6"/>
    <w:rsid w:val="00823CCC"/>
    <w:rsid w:val="00827179"/>
    <w:rsid w:val="00827FA4"/>
    <w:rsid w:val="0083029A"/>
    <w:rsid w:val="00830426"/>
    <w:rsid w:val="00830E02"/>
    <w:rsid w:val="00831C83"/>
    <w:rsid w:val="00831E0A"/>
    <w:rsid w:val="008343C4"/>
    <w:rsid w:val="00835847"/>
    <w:rsid w:val="00835C6F"/>
    <w:rsid w:val="0083628E"/>
    <w:rsid w:val="00837429"/>
    <w:rsid w:val="0083745B"/>
    <w:rsid w:val="00840252"/>
    <w:rsid w:val="00840420"/>
    <w:rsid w:val="00842DE3"/>
    <w:rsid w:val="008443DB"/>
    <w:rsid w:val="00844F5E"/>
    <w:rsid w:val="0084631B"/>
    <w:rsid w:val="00846701"/>
    <w:rsid w:val="0085232F"/>
    <w:rsid w:val="00854E2A"/>
    <w:rsid w:val="008550CD"/>
    <w:rsid w:val="0085610C"/>
    <w:rsid w:val="00857E3A"/>
    <w:rsid w:val="00861135"/>
    <w:rsid w:val="0086440D"/>
    <w:rsid w:val="00864495"/>
    <w:rsid w:val="00865C91"/>
    <w:rsid w:val="00867059"/>
    <w:rsid w:val="00867A5A"/>
    <w:rsid w:val="008711B1"/>
    <w:rsid w:val="00871FBA"/>
    <w:rsid w:val="00872119"/>
    <w:rsid w:val="008722FB"/>
    <w:rsid w:val="00874C44"/>
    <w:rsid w:val="00877EA2"/>
    <w:rsid w:val="008808CA"/>
    <w:rsid w:val="0088187C"/>
    <w:rsid w:val="0088430A"/>
    <w:rsid w:val="008874C1"/>
    <w:rsid w:val="00887D93"/>
    <w:rsid w:val="00890D7D"/>
    <w:rsid w:val="008933C7"/>
    <w:rsid w:val="00894153"/>
    <w:rsid w:val="00894216"/>
    <w:rsid w:val="008959F9"/>
    <w:rsid w:val="00896786"/>
    <w:rsid w:val="00897413"/>
    <w:rsid w:val="00897F47"/>
    <w:rsid w:val="008A0442"/>
    <w:rsid w:val="008A118C"/>
    <w:rsid w:val="008A46DC"/>
    <w:rsid w:val="008A4BF4"/>
    <w:rsid w:val="008A510D"/>
    <w:rsid w:val="008A5EDE"/>
    <w:rsid w:val="008A7A4E"/>
    <w:rsid w:val="008B04BA"/>
    <w:rsid w:val="008B2FA8"/>
    <w:rsid w:val="008B3253"/>
    <w:rsid w:val="008C020E"/>
    <w:rsid w:val="008C0E5B"/>
    <w:rsid w:val="008C2F9E"/>
    <w:rsid w:val="008C376D"/>
    <w:rsid w:val="008C3D0E"/>
    <w:rsid w:val="008D03EA"/>
    <w:rsid w:val="008D16BD"/>
    <w:rsid w:val="008D2E91"/>
    <w:rsid w:val="008D58E2"/>
    <w:rsid w:val="008D6283"/>
    <w:rsid w:val="008D7FB0"/>
    <w:rsid w:val="008E050B"/>
    <w:rsid w:val="008E1010"/>
    <w:rsid w:val="008E2C2E"/>
    <w:rsid w:val="008E72A8"/>
    <w:rsid w:val="008F0627"/>
    <w:rsid w:val="008F2498"/>
    <w:rsid w:val="008F41FB"/>
    <w:rsid w:val="008F4B49"/>
    <w:rsid w:val="008F5C9B"/>
    <w:rsid w:val="009039C8"/>
    <w:rsid w:val="00905B77"/>
    <w:rsid w:val="00906FD6"/>
    <w:rsid w:val="00914466"/>
    <w:rsid w:val="00915D8A"/>
    <w:rsid w:val="00917746"/>
    <w:rsid w:val="009209A5"/>
    <w:rsid w:val="00920A55"/>
    <w:rsid w:val="00920F98"/>
    <w:rsid w:val="00922448"/>
    <w:rsid w:val="00922FDA"/>
    <w:rsid w:val="009244DF"/>
    <w:rsid w:val="00924D20"/>
    <w:rsid w:val="00927EF6"/>
    <w:rsid w:val="00930D45"/>
    <w:rsid w:val="00933885"/>
    <w:rsid w:val="00936E93"/>
    <w:rsid w:val="00937FDA"/>
    <w:rsid w:val="00947632"/>
    <w:rsid w:val="0094786C"/>
    <w:rsid w:val="00947B9F"/>
    <w:rsid w:val="00947FB4"/>
    <w:rsid w:val="00952D2F"/>
    <w:rsid w:val="00952D60"/>
    <w:rsid w:val="00952E44"/>
    <w:rsid w:val="00955447"/>
    <w:rsid w:val="00955A17"/>
    <w:rsid w:val="00957C50"/>
    <w:rsid w:val="00960E12"/>
    <w:rsid w:val="0096331F"/>
    <w:rsid w:val="00963914"/>
    <w:rsid w:val="00963A90"/>
    <w:rsid w:val="009660B6"/>
    <w:rsid w:val="009729D8"/>
    <w:rsid w:val="0097453F"/>
    <w:rsid w:val="00974577"/>
    <w:rsid w:val="00974EFA"/>
    <w:rsid w:val="00975045"/>
    <w:rsid w:val="00976670"/>
    <w:rsid w:val="00976BC3"/>
    <w:rsid w:val="00976E64"/>
    <w:rsid w:val="00977929"/>
    <w:rsid w:val="0098426D"/>
    <w:rsid w:val="00984676"/>
    <w:rsid w:val="0099383E"/>
    <w:rsid w:val="00993B1F"/>
    <w:rsid w:val="0099428D"/>
    <w:rsid w:val="0099438E"/>
    <w:rsid w:val="00995932"/>
    <w:rsid w:val="00996D49"/>
    <w:rsid w:val="009A076C"/>
    <w:rsid w:val="009A0DA8"/>
    <w:rsid w:val="009A1C77"/>
    <w:rsid w:val="009A51E6"/>
    <w:rsid w:val="009A5BC5"/>
    <w:rsid w:val="009A61AA"/>
    <w:rsid w:val="009A6AAE"/>
    <w:rsid w:val="009A747C"/>
    <w:rsid w:val="009A7DAC"/>
    <w:rsid w:val="009B2B6E"/>
    <w:rsid w:val="009B7D7E"/>
    <w:rsid w:val="009C10F7"/>
    <w:rsid w:val="009C11B1"/>
    <w:rsid w:val="009C1722"/>
    <w:rsid w:val="009C6235"/>
    <w:rsid w:val="009C6E76"/>
    <w:rsid w:val="009D3521"/>
    <w:rsid w:val="009D3E42"/>
    <w:rsid w:val="009D42EC"/>
    <w:rsid w:val="009D682E"/>
    <w:rsid w:val="009E1425"/>
    <w:rsid w:val="009E31B7"/>
    <w:rsid w:val="009E3F10"/>
    <w:rsid w:val="009E5844"/>
    <w:rsid w:val="009E78F3"/>
    <w:rsid w:val="009E7A14"/>
    <w:rsid w:val="009F4C6D"/>
    <w:rsid w:val="00A01D25"/>
    <w:rsid w:val="00A0382A"/>
    <w:rsid w:val="00A0624A"/>
    <w:rsid w:val="00A06830"/>
    <w:rsid w:val="00A07170"/>
    <w:rsid w:val="00A12892"/>
    <w:rsid w:val="00A149DF"/>
    <w:rsid w:val="00A1634D"/>
    <w:rsid w:val="00A1707B"/>
    <w:rsid w:val="00A32694"/>
    <w:rsid w:val="00A33A18"/>
    <w:rsid w:val="00A350BE"/>
    <w:rsid w:val="00A35C8A"/>
    <w:rsid w:val="00A4149B"/>
    <w:rsid w:val="00A51ECF"/>
    <w:rsid w:val="00A5335D"/>
    <w:rsid w:val="00A56524"/>
    <w:rsid w:val="00A610B8"/>
    <w:rsid w:val="00A61208"/>
    <w:rsid w:val="00A62660"/>
    <w:rsid w:val="00A634DF"/>
    <w:rsid w:val="00A64D6A"/>
    <w:rsid w:val="00A66A0F"/>
    <w:rsid w:val="00A67FB0"/>
    <w:rsid w:val="00A700BE"/>
    <w:rsid w:val="00A7038D"/>
    <w:rsid w:val="00A73440"/>
    <w:rsid w:val="00A75D01"/>
    <w:rsid w:val="00A76B01"/>
    <w:rsid w:val="00A813D7"/>
    <w:rsid w:val="00A830B5"/>
    <w:rsid w:val="00A83BB1"/>
    <w:rsid w:val="00A83F29"/>
    <w:rsid w:val="00A87807"/>
    <w:rsid w:val="00A90332"/>
    <w:rsid w:val="00A94426"/>
    <w:rsid w:val="00A95B2B"/>
    <w:rsid w:val="00A9734B"/>
    <w:rsid w:val="00A97D26"/>
    <w:rsid w:val="00AA06C5"/>
    <w:rsid w:val="00AA225A"/>
    <w:rsid w:val="00AA3A8E"/>
    <w:rsid w:val="00AA5BB8"/>
    <w:rsid w:val="00AA5D50"/>
    <w:rsid w:val="00AA6487"/>
    <w:rsid w:val="00AB001E"/>
    <w:rsid w:val="00AB2D04"/>
    <w:rsid w:val="00AB318B"/>
    <w:rsid w:val="00AB582A"/>
    <w:rsid w:val="00AB7D6A"/>
    <w:rsid w:val="00AC19C2"/>
    <w:rsid w:val="00AC3A3F"/>
    <w:rsid w:val="00AD190D"/>
    <w:rsid w:val="00AD2DAB"/>
    <w:rsid w:val="00AE0826"/>
    <w:rsid w:val="00AE2E43"/>
    <w:rsid w:val="00AE2F4C"/>
    <w:rsid w:val="00AE3B4A"/>
    <w:rsid w:val="00AE4A87"/>
    <w:rsid w:val="00AE73BE"/>
    <w:rsid w:val="00AE749B"/>
    <w:rsid w:val="00AF0629"/>
    <w:rsid w:val="00AF1BF1"/>
    <w:rsid w:val="00AF32B8"/>
    <w:rsid w:val="00AF3CB3"/>
    <w:rsid w:val="00AF5337"/>
    <w:rsid w:val="00AF53C2"/>
    <w:rsid w:val="00AF7C60"/>
    <w:rsid w:val="00B005C5"/>
    <w:rsid w:val="00B02305"/>
    <w:rsid w:val="00B02E23"/>
    <w:rsid w:val="00B03951"/>
    <w:rsid w:val="00B03B40"/>
    <w:rsid w:val="00B1175D"/>
    <w:rsid w:val="00B12731"/>
    <w:rsid w:val="00B12AA5"/>
    <w:rsid w:val="00B14DF1"/>
    <w:rsid w:val="00B153B3"/>
    <w:rsid w:val="00B17CBB"/>
    <w:rsid w:val="00B20BBF"/>
    <w:rsid w:val="00B217CC"/>
    <w:rsid w:val="00B25447"/>
    <w:rsid w:val="00B271C9"/>
    <w:rsid w:val="00B32F09"/>
    <w:rsid w:val="00B3367D"/>
    <w:rsid w:val="00B3391A"/>
    <w:rsid w:val="00B33D96"/>
    <w:rsid w:val="00B33E36"/>
    <w:rsid w:val="00B34F0E"/>
    <w:rsid w:val="00B35F5F"/>
    <w:rsid w:val="00B36F78"/>
    <w:rsid w:val="00B3755E"/>
    <w:rsid w:val="00B40055"/>
    <w:rsid w:val="00B404A6"/>
    <w:rsid w:val="00B40A63"/>
    <w:rsid w:val="00B44C17"/>
    <w:rsid w:val="00B45C45"/>
    <w:rsid w:val="00B56FB7"/>
    <w:rsid w:val="00B575E9"/>
    <w:rsid w:val="00B577A6"/>
    <w:rsid w:val="00B61E09"/>
    <w:rsid w:val="00B6274D"/>
    <w:rsid w:val="00B62B63"/>
    <w:rsid w:val="00B64D41"/>
    <w:rsid w:val="00B66CB3"/>
    <w:rsid w:val="00B66D6E"/>
    <w:rsid w:val="00B706C6"/>
    <w:rsid w:val="00B739CF"/>
    <w:rsid w:val="00B73D44"/>
    <w:rsid w:val="00B7475F"/>
    <w:rsid w:val="00B75FB1"/>
    <w:rsid w:val="00B76329"/>
    <w:rsid w:val="00B80B07"/>
    <w:rsid w:val="00B8178C"/>
    <w:rsid w:val="00B81BF0"/>
    <w:rsid w:val="00B82E33"/>
    <w:rsid w:val="00B82ECB"/>
    <w:rsid w:val="00B8310B"/>
    <w:rsid w:val="00B83C8B"/>
    <w:rsid w:val="00B85BAF"/>
    <w:rsid w:val="00B90874"/>
    <w:rsid w:val="00B90BFA"/>
    <w:rsid w:val="00B93044"/>
    <w:rsid w:val="00B931B0"/>
    <w:rsid w:val="00B949FA"/>
    <w:rsid w:val="00B94E25"/>
    <w:rsid w:val="00B95E2C"/>
    <w:rsid w:val="00BA1E1D"/>
    <w:rsid w:val="00BA2C17"/>
    <w:rsid w:val="00BA33FC"/>
    <w:rsid w:val="00BA40F3"/>
    <w:rsid w:val="00BA5F6B"/>
    <w:rsid w:val="00BA6BD0"/>
    <w:rsid w:val="00BB0589"/>
    <w:rsid w:val="00BB1AF8"/>
    <w:rsid w:val="00BB2E2A"/>
    <w:rsid w:val="00BB5970"/>
    <w:rsid w:val="00BC3515"/>
    <w:rsid w:val="00BC59C2"/>
    <w:rsid w:val="00BC6C9E"/>
    <w:rsid w:val="00BD02CC"/>
    <w:rsid w:val="00BD22C7"/>
    <w:rsid w:val="00BD277B"/>
    <w:rsid w:val="00BD530D"/>
    <w:rsid w:val="00BE1401"/>
    <w:rsid w:val="00BE205B"/>
    <w:rsid w:val="00BE205D"/>
    <w:rsid w:val="00BE264E"/>
    <w:rsid w:val="00BE4E80"/>
    <w:rsid w:val="00BE544E"/>
    <w:rsid w:val="00BE68B4"/>
    <w:rsid w:val="00BF5BDA"/>
    <w:rsid w:val="00BF68DA"/>
    <w:rsid w:val="00C0013E"/>
    <w:rsid w:val="00C029B6"/>
    <w:rsid w:val="00C03B0F"/>
    <w:rsid w:val="00C03E68"/>
    <w:rsid w:val="00C124B7"/>
    <w:rsid w:val="00C151B9"/>
    <w:rsid w:val="00C16AB3"/>
    <w:rsid w:val="00C17224"/>
    <w:rsid w:val="00C17685"/>
    <w:rsid w:val="00C20CBD"/>
    <w:rsid w:val="00C23A93"/>
    <w:rsid w:val="00C23BCF"/>
    <w:rsid w:val="00C2648A"/>
    <w:rsid w:val="00C2711D"/>
    <w:rsid w:val="00C275B4"/>
    <w:rsid w:val="00C310A0"/>
    <w:rsid w:val="00C31976"/>
    <w:rsid w:val="00C34D73"/>
    <w:rsid w:val="00C351DB"/>
    <w:rsid w:val="00C36A88"/>
    <w:rsid w:val="00C4188F"/>
    <w:rsid w:val="00C44141"/>
    <w:rsid w:val="00C53EEF"/>
    <w:rsid w:val="00C55A01"/>
    <w:rsid w:val="00C56A39"/>
    <w:rsid w:val="00C57DD6"/>
    <w:rsid w:val="00C62A8F"/>
    <w:rsid w:val="00C634E0"/>
    <w:rsid w:val="00C671BC"/>
    <w:rsid w:val="00C70202"/>
    <w:rsid w:val="00C70919"/>
    <w:rsid w:val="00C71AF2"/>
    <w:rsid w:val="00C759E4"/>
    <w:rsid w:val="00C75BEC"/>
    <w:rsid w:val="00C77099"/>
    <w:rsid w:val="00C80D96"/>
    <w:rsid w:val="00C80F6B"/>
    <w:rsid w:val="00C83560"/>
    <w:rsid w:val="00C836E3"/>
    <w:rsid w:val="00C83A19"/>
    <w:rsid w:val="00C8527E"/>
    <w:rsid w:val="00C855D2"/>
    <w:rsid w:val="00C85E96"/>
    <w:rsid w:val="00C86FBD"/>
    <w:rsid w:val="00C9128F"/>
    <w:rsid w:val="00C91666"/>
    <w:rsid w:val="00C9219D"/>
    <w:rsid w:val="00C923D5"/>
    <w:rsid w:val="00C94E84"/>
    <w:rsid w:val="00CA18FB"/>
    <w:rsid w:val="00CA1BD1"/>
    <w:rsid w:val="00CA1CEF"/>
    <w:rsid w:val="00CB030A"/>
    <w:rsid w:val="00CB125C"/>
    <w:rsid w:val="00CB3726"/>
    <w:rsid w:val="00CB455B"/>
    <w:rsid w:val="00CB4D87"/>
    <w:rsid w:val="00CB6CC8"/>
    <w:rsid w:val="00CC33FC"/>
    <w:rsid w:val="00CC4E6E"/>
    <w:rsid w:val="00CC6E0A"/>
    <w:rsid w:val="00CC7617"/>
    <w:rsid w:val="00CC7935"/>
    <w:rsid w:val="00CC7C77"/>
    <w:rsid w:val="00CD17D1"/>
    <w:rsid w:val="00CD33BF"/>
    <w:rsid w:val="00CD66FB"/>
    <w:rsid w:val="00CD67D5"/>
    <w:rsid w:val="00CE6D2A"/>
    <w:rsid w:val="00CE70E4"/>
    <w:rsid w:val="00CF2156"/>
    <w:rsid w:val="00CF41C5"/>
    <w:rsid w:val="00CF4D7B"/>
    <w:rsid w:val="00CF7F30"/>
    <w:rsid w:val="00D003AF"/>
    <w:rsid w:val="00D02234"/>
    <w:rsid w:val="00D0393F"/>
    <w:rsid w:val="00D049C3"/>
    <w:rsid w:val="00D07715"/>
    <w:rsid w:val="00D106FE"/>
    <w:rsid w:val="00D117B2"/>
    <w:rsid w:val="00D125E8"/>
    <w:rsid w:val="00D12D3B"/>
    <w:rsid w:val="00D15FDA"/>
    <w:rsid w:val="00D161B7"/>
    <w:rsid w:val="00D21ED8"/>
    <w:rsid w:val="00D22A32"/>
    <w:rsid w:val="00D23012"/>
    <w:rsid w:val="00D2528D"/>
    <w:rsid w:val="00D26EC1"/>
    <w:rsid w:val="00D2709A"/>
    <w:rsid w:val="00D30569"/>
    <w:rsid w:val="00D31F30"/>
    <w:rsid w:val="00D31F45"/>
    <w:rsid w:val="00D335BB"/>
    <w:rsid w:val="00D34A45"/>
    <w:rsid w:val="00D34B05"/>
    <w:rsid w:val="00D37504"/>
    <w:rsid w:val="00D37996"/>
    <w:rsid w:val="00D4625B"/>
    <w:rsid w:val="00D4725F"/>
    <w:rsid w:val="00D51EAE"/>
    <w:rsid w:val="00D54091"/>
    <w:rsid w:val="00D54B9A"/>
    <w:rsid w:val="00D54F2F"/>
    <w:rsid w:val="00D557F5"/>
    <w:rsid w:val="00D61100"/>
    <w:rsid w:val="00D61C45"/>
    <w:rsid w:val="00D62AEF"/>
    <w:rsid w:val="00D62CE1"/>
    <w:rsid w:val="00D64DD6"/>
    <w:rsid w:val="00D6587C"/>
    <w:rsid w:val="00D71E40"/>
    <w:rsid w:val="00D72C4E"/>
    <w:rsid w:val="00D756CA"/>
    <w:rsid w:val="00D75E20"/>
    <w:rsid w:val="00D76053"/>
    <w:rsid w:val="00D77713"/>
    <w:rsid w:val="00D7798A"/>
    <w:rsid w:val="00D81E4C"/>
    <w:rsid w:val="00D8307B"/>
    <w:rsid w:val="00D836F7"/>
    <w:rsid w:val="00D84645"/>
    <w:rsid w:val="00D864F8"/>
    <w:rsid w:val="00D879A3"/>
    <w:rsid w:val="00D91950"/>
    <w:rsid w:val="00D93123"/>
    <w:rsid w:val="00DA5B6B"/>
    <w:rsid w:val="00DA64EC"/>
    <w:rsid w:val="00DA700C"/>
    <w:rsid w:val="00DB2EF0"/>
    <w:rsid w:val="00DB4640"/>
    <w:rsid w:val="00DB72D0"/>
    <w:rsid w:val="00DB7DAA"/>
    <w:rsid w:val="00DC20A1"/>
    <w:rsid w:val="00DC2D54"/>
    <w:rsid w:val="00DD027E"/>
    <w:rsid w:val="00DD0447"/>
    <w:rsid w:val="00DE09F4"/>
    <w:rsid w:val="00DE2783"/>
    <w:rsid w:val="00DE27B8"/>
    <w:rsid w:val="00DE3D55"/>
    <w:rsid w:val="00DE48D1"/>
    <w:rsid w:val="00DE70C6"/>
    <w:rsid w:val="00DF0DB1"/>
    <w:rsid w:val="00DF1FBB"/>
    <w:rsid w:val="00DF21A8"/>
    <w:rsid w:val="00DF3A84"/>
    <w:rsid w:val="00DF548C"/>
    <w:rsid w:val="00E01663"/>
    <w:rsid w:val="00E03E59"/>
    <w:rsid w:val="00E07A39"/>
    <w:rsid w:val="00E104EF"/>
    <w:rsid w:val="00E125CB"/>
    <w:rsid w:val="00E13EDF"/>
    <w:rsid w:val="00E146EE"/>
    <w:rsid w:val="00E165C9"/>
    <w:rsid w:val="00E17165"/>
    <w:rsid w:val="00E202E6"/>
    <w:rsid w:val="00E21B3E"/>
    <w:rsid w:val="00E21F7E"/>
    <w:rsid w:val="00E224C3"/>
    <w:rsid w:val="00E25D87"/>
    <w:rsid w:val="00E300EC"/>
    <w:rsid w:val="00E31E46"/>
    <w:rsid w:val="00E34AE2"/>
    <w:rsid w:val="00E34F1F"/>
    <w:rsid w:val="00E37601"/>
    <w:rsid w:val="00E42235"/>
    <w:rsid w:val="00E43B3E"/>
    <w:rsid w:val="00E443BA"/>
    <w:rsid w:val="00E45FB7"/>
    <w:rsid w:val="00E470CE"/>
    <w:rsid w:val="00E50F94"/>
    <w:rsid w:val="00E528C9"/>
    <w:rsid w:val="00E5462E"/>
    <w:rsid w:val="00E57F27"/>
    <w:rsid w:val="00E65605"/>
    <w:rsid w:val="00E65AFF"/>
    <w:rsid w:val="00E6767D"/>
    <w:rsid w:val="00E67732"/>
    <w:rsid w:val="00E7411A"/>
    <w:rsid w:val="00E767E1"/>
    <w:rsid w:val="00E77A83"/>
    <w:rsid w:val="00E82E77"/>
    <w:rsid w:val="00E85972"/>
    <w:rsid w:val="00E90CE5"/>
    <w:rsid w:val="00E90E9C"/>
    <w:rsid w:val="00E9512C"/>
    <w:rsid w:val="00E957D0"/>
    <w:rsid w:val="00EA0E38"/>
    <w:rsid w:val="00EA1872"/>
    <w:rsid w:val="00EA3FD0"/>
    <w:rsid w:val="00EA604E"/>
    <w:rsid w:val="00EA6536"/>
    <w:rsid w:val="00EA7167"/>
    <w:rsid w:val="00EB39F8"/>
    <w:rsid w:val="00EB3AE8"/>
    <w:rsid w:val="00EB6196"/>
    <w:rsid w:val="00EB67F0"/>
    <w:rsid w:val="00EB6B0C"/>
    <w:rsid w:val="00EB6F46"/>
    <w:rsid w:val="00EC058C"/>
    <w:rsid w:val="00EC1BDE"/>
    <w:rsid w:val="00EC1F4B"/>
    <w:rsid w:val="00EC3B1A"/>
    <w:rsid w:val="00ED1663"/>
    <w:rsid w:val="00ED4D53"/>
    <w:rsid w:val="00ED50F5"/>
    <w:rsid w:val="00ED6BE1"/>
    <w:rsid w:val="00ED7757"/>
    <w:rsid w:val="00EE31DF"/>
    <w:rsid w:val="00EE4E76"/>
    <w:rsid w:val="00EE7916"/>
    <w:rsid w:val="00EF1C6E"/>
    <w:rsid w:val="00EF4D3B"/>
    <w:rsid w:val="00EF6A34"/>
    <w:rsid w:val="00EF7579"/>
    <w:rsid w:val="00F00BE0"/>
    <w:rsid w:val="00F016BD"/>
    <w:rsid w:val="00F0680A"/>
    <w:rsid w:val="00F06ED0"/>
    <w:rsid w:val="00F12013"/>
    <w:rsid w:val="00F12999"/>
    <w:rsid w:val="00F13822"/>
    <w:rsid w:val="00F14565"/>
    <w:rsid w:val="00F14A70"/>
    <w:rsid w:val="00F15EE6"/>
    <w:rsid w:val="00F175A5"/>
    <w:rsid w:val="00F230F1"/>
    <w:rsid w:val="00F276EC"/>
    <w:rsid w:val="00F27B8D"/>
    <w:rsid w:val="00F304FB"/>
    <w:rsid w:val="00F313F8"/>
    <w:rsid w:val="00F315AB"/>
    <w:rsid w:val="00F35871"/>
    <w:rsid w:val="00F35D52"/>
    <w:rsid w:val="00F373E1"/>
    <w:rsid w:val="00F42574"/>
    <w:rsid w:val="00F45257"/>
    <w:rsid w:val="00F45CA2"/>
    <w:rsid w:val="00F45D78"/>
    <w:rsid w:val="00F46154"/>
    <w:rsid w:val="00F46AD5"/>
    <w:rsid w:val="00F47DCD"/>
    <w:rsid w:val="00F50CA4"/>
    <w:rsid w:val="00F50CE7"/>
    <w:rsid w:val="00F549E7"/>
    <w:rsid w:val="00F5550D"/>
    <w:rsid w:val="00F618BB"/>
    <w:rsid w:val="00F6207A"/>
    <w:rsid w:val="00F6302F"/>
    <w:rsid w:val="00F67625"/>
    <w:rsid w:val="00F714EE"/>
    <w:rsid w:val="00F76B14"/>
    <w:rsid w:val="00F85F21"/>
    <w:rsid w:val="00F90CF5"/>
    <w:rsid w:val="00F91AD8"/>
    <w:rsid w:val="00F91D12"/>
    <w:rsid w:val="00F922B1"/>
    <w:rsid w:val="00F93F5C"/>
    <w:rsid w:val="00FA163C"/>
    <w:rsid w:val="00FA1CBD"/>
    <w:rsid w:val="00FA56EF"/>
    <w:rsid w:val="00FA5D99"/>
    <w:rsid w:val="00FA72F6"/>
    <w:rsid w:val="00FB10A3"/>
    <w:rsid w:val="00FB36D4"/>
    <w:rsid w:val="00FB3B0F"/>
    <w:rsid w:val="00FB510B"/>
    <w:rsid w:val="00FB5D1B"/>
    <w:rsid w:val="00FC1C97"/>
    <w:rsid w:val="00FC26BF"/>
    <w:rsid w:val="00FC423E"/>
    <w:rsid w:val="00FC46EB"/>
    <w:rsid w:val="00FC523E"/>
    <w:rsid w:val="00FC6CE0"/>
    <w:rsid w:val="00FC7232"/>
    <w:rsid w:val="00FC7525"/>
    <w:rsid w:val="00FD418F"/>
    <w:rsid w:val="00FD4365"/>
    <w:rsid w:val="00FD4D39"/>
    <w:rsid w:val="00FD4F52"/>
    <w:rsid w:val="00FE1EF3"/>
    <w:rsid w:val="00FE245E"/>
    <w:rsid w:val="00FE3182"/>
    <w:rsid w:val="00FE41E1"/>
    <w:rsid w:val="00FE55F1"/>
    <w:rsid w:val="00FF085C"/>
    <w:rsid w:val="00FF213C"/>
    <w:rsid w:val="00FF3DCF"/>
    <w:rsid w:val="00FF4D81"/>
    <w:rsid w:val="00FF70AF"/>
    <w:rsid w:val="00FF75F5"/>
    <w:rsid w:val="015E6E21"/>
    <w:rsid w:val="019731D6"/>
    <w:rsid w:val="02222383"/>
    <w:rsid w:val="03822C68"/>
    <w:rsid w:val="03873AAC"/>
    <w:rsid w:val="03D279D1"/>
    <w:rsid w:val="045F4DED"/>
    <w:rsid w:val="04636861"/>
    <w:rsid w:val="04934A97"/>
    <w:rsid w:val="04C33F0D"/>
    <w:rsid w:val="05377B18"/>
    <w:rsid w:val="053F2F79"/>
    <w:rsid w:val="05902604"/>
    <w:rsid w:val="06296DCC"/>
    <w:rsid w:val="062C5F5F"/>
    <w:rsid w:val="068943A3"/>
    <w:rsid w:val="069D39AB"/>
    <w:rsid w:val="071B14A8"/>
    <w:rsid w:val="074C35FF"/>
    <w:rsid w:val="07525656"/>
    <w:rsid w:val="07552FDE"/>
    <w:rsid w:val="0757624F"/>
    <w:rsid w:val="07627CEF"/>
    <w:rsid w:val="07816680"/>
    <w:rsid w:val="07A760A3"/>
    <w:rsid w:val="07BB421C"/>
    <w:rsid w:val="07CA2E9E"/>
    <w:rsid w:val="0831709A"/>
    <w:rsid w:val="088612BA"/>
    <w:rsid w:val="09062422"/>
    <w:rsid w:val="09265ED9"/>
    <w:rsid w:val="0956339F"/>
    <w:rsid w:val="09AC4B61"/>
    <w:rsid w:val="09FF1ADC"/>
    <w:rsid w:val="0A0B7554"/>
    <w:rsid w:val="0A4F27D8"/>
    <w:rsid w:val="0A6D7B49"/>
    <w:rsid w:val="0A792DBF"/>
    <w:rsid w:val="0A9B6559"/>
    <w:rsid w:val="0A9F1A80"/>
    <w:rsid w:val="0AAF4E06"/>
    <w:rsid w:val="0ABA50BC"/>
    <w:rsid w:val="0ABC2B9B"/>
    <w:rsid w:val="0B1873A5"/>
    <w:rsid w:val="0B2F468A"/>
    <w:rsid w:val="0B5807E8"/>
    <w:rsid w:val="0B822670"/>
    <w:rsid w:val="0B971913"/>
    <w:rsid w:val="0BB91287"/>
    <w:rsid w:val="0BC4601B"/>
    <w:rsid w:val="0C825B1D"/>
    <w:rsid w:val="0C836CD5"/>
    <w:rsid w:val="0CAE1288"/>
    <w:rsid w:val="0D0F083F"/>
    <w:rsid w:val="0D361229"/>
    <w:rsid w:val="0D39747E"/>
    <w:rsid w:val="0DB63EF3"/>
    <w:rsid w:val="0E0E3B0A"/>
    <w:rsid w:val="0E0F47D6"/>
    <w:rsid w:val="0E1E6537"/>
    <w:rsid w:val="0E617989"/>
    <w:rsid w:val="0EFB7D75"/>
    <w:rsid w:val="0EFF19C8"/>
    <w:rsid w:val="0F22492E"/>
    <w:rsid w:val="0F451A9E"/>
    <w:rsid w:val="0FB20154"/>
    <w:rsid w:val="0FC17CF5"/>
    <w:rsid w:val="0FC854D4"/>
    <w:rsid w:val="0FFF317E"/>
    <w:rsid w:val="10DB3A4D"/>
    <w:rsid w:val="1109638D"/>
    <w:rsid w:val="11395D53"/>
    <w:rsid w:val="118848CF"/>
    <w:rsid w:val="12233AB0"/>
    <w:rsid w:val="128A572B"/>
    <w:rsid w:val="12BB30AA"/>
    <w:rsid w:val="12C01C00"/>
    <w:rsid w:val="12C6691D"/>
    <w:rsid w:val="12CB052E"/>
    <w:rsid w:val="136715C8"/>
    <w:rsid w:val="13D273E5"/>
    <w:rsid w:val="13DF73A6"/>
    <w:rsid w:val="13EA1F14"/>
    <w:rsid w:val="140C64C2"/>
    <w:rsid w:val="141810C3"/>
    <w:rsid w:val="142B52DF"/>
    <w:rsid w:val="147246C9"/>
    <w:rsid w:val="14C46447"/>
    <w:rsid w:val="14FE5191"/>
    <w:rsid w:val="1573694A"/>
    <w:rsid w:val="16257FF8"/>
    <w:rsid w:val="167D6E17"/>
    <w:rsid w:val="16A71410"/>
    <w:rsid w:val="17184319"/>
    <w:rsid w:val="17392217"/>
    <w:rsid w:val="17457B3D"/>
    <w:rsid w:val="17591737"/>
    <w:rsid w:val="177D03DA"/>
    <w:rsid w:val="185F616E"/>
    <w:rsid w:val="18D85545"/>
    <w:rsid w:val="190A3122"/>
    <w:rsid w:val="190D1810"/>
    <w:rsid w:val="19812785"/>
    <w:rsid w:val="19D338CF"/>
    <w:rsid w:val="19E213E7"/>
    <w:rsid w:val="1A4C3D72"/>
    <w:rsid w:val="1A8F07CD"/>
    <w:rsid w:val="1ABA2925"/>
    <w:rsid w:val="1ADA623C"/>
    <w:rsid w:val="1AF6583C"/>
    <w:rsid w:val="1B710A40"/>
    <w:rsid w:val="1B7C333B"/>
    <w:rsid w:val="1BFE7ED5"/>
    <w:rsid w:val="1C0B0929"/>
    <w:rsid w:val="1C4614AC"/>
    <w:rsid w:val="1C763D45"/>
    <w:rsid w:val="1C7873CF"/>
    <w:rsid w:val="1C7A05BE"/>
    <w:rsid w:val="1CD31A7D"/>
    <w:rsid w:val="1D9C4799"/>
    <w:rsid w:val="1DF75037"/>
    <w:rsid w:val="1E162569"/>
    <w:rsid w:val="1E671850"/>
    <w:rsid w:val="1E986026"/>
    <w:rsid w:val="1E9D23E4"/>
    <w:rsid w:val="1EC91F7E"/>
    <w:rsid w:val="1EE44415"/>
    <w:rsid w:val="1EFF2F05"/>
    <w:rsid w:val="1F340F2B"/>
    <w:rsid w:val="1F8A0377"/>
    <w:rsid w:val="1FAF238F"/>
    <w:rsid w:val="1FC026DB"/>
    <w:rsid w:val="2019695E"/>
    <w:rsid w:val="202F5622"/>
    <w:rsid w:val="20805C87"/>
    <w:rsid w:val="210E6FBF"/>
    <w:rsid w:val="21132D8F"/>
    <w:rsid w:val="215E52F4"/>
    <w:rsid w:val="217226AB"/>
    <w:rsid w:val="21F87616"/>
    <w:rsid w:val="224506C3"/>
    <w:rsid w:val="224A27A5"/>
    <w:rsid w:val="22A26001"/>
    <w:rsid w:val="22C461D6"/>
    <w:rsid w:val="22F93F8C"/>
    <w:rsid w:val="2325502B"/>
    <w:rsid w:val="23385E1A"/>
    <w:rsid w:val="233D297A"/>
    <w:rsid w:val="236C5638"/>
    <w:rsid w:val="2371573B"/>
    <w:rsid w:val="23902475"/>
    <w:rsid w:val="241D0851"/>
    <w:rsid w:val="243E0123"/>
    <w:rsid w:val="24601885"/>
    <w:rsid w:val="248547B8"/>
    <w:rsid w:val="24D7300E"/>
    <w:rsid w:val="24DE3BBA"/>
    <w:rsid w:val="2522529C"/>
    <w:rsid w:val="25263D2A"/>
    <w:rsid w:val="2561056D"/>
    <w:rsid w:val="25971BC8"/>
    <w:rsid w:val="262A0EEA"/>
    <w:rsid w:val="26507E28"/>
    <w:rsid w:val="265400EC"/>
    <w:rsid w:val="27187F1E"/>
    <w:rsid w:val="2729070A"/>
    <w:rsid w:val="272C5244"/>
    <w:rsid w:val="275170E3"/>
    <w:rsid w:val="276C4FA7"/>
    <w:rsid w:val="286E4F31"/>
    <w:rsid w:val="28753B9D"/>
    <w:rsid w:val="287F1147"/>
    <w:rsid w:val="28833273"/>
    <w:rsid w:val="28855A7D"/>
    <w:rsid w:val="28C84345"/>
    <w:rsid w:val="28CD7CC8"/>
    <w:rsid w:val="28D8669F"/>
    <w:rsid w:val="2907390B"/>
    <w:rsid w:val="29712D49"/>
    <w:rsid w:val="29931F1D"/>
    <w:rsid w:val="29995DFC"/>
    <w:rsid w:val="29E4176D"/>
    <w:rsid w:val="29F6591D"/>
    <w:rsid w:val="2A472991"/>
    <w:rsid w:val="2A8A2314"/>
    <w:rsid w:val="2AC47A10"/>
    <w:rsid w:val="2B3554E7"/>
    <w:rsid w:val="2B4624FA"/>
    <w:rsid w:val="2B644AF0"/>
    <w:rsid w:val="2B8F3AF8"/>
    <w:rsid w:val="2BE95450"/>
    <w:rsid w:val="2C5865F5"/>
    <w:rsid w:val="2C734195"/>
    <w:rsid w:val="2C8243A8"/>
    <w:rsid w:val="2CF9552F"/>
    <w:rsid w:val="2D1F2054"/>
    <w:rsid w:val="2D897604"/>
    <w:rsid w:val="2DEA11E2"/>
    <w:rsid w:val="2E001F10"/>
    <w:rsid w:val="2E187C37"/>
    <w:rsid w:val="2E28499C"/>
    <w:rsid w:val="2E4335FC"/>
    <w:rsid w:val="2E4E38D1"/>
    <w:rsid w:val="2EBE48D6"/>
    <w:rsid w:val="2F4F0508"/>
    <w:rsid w:val="2F964FFC"/>
    <w:rsid w:val="2FCD7927"/>
    <w:rsid w:val="30134B5A"/>
    <w:rsid w:val="30196D0F"/>
    <w:rsid w:val="3075311F"/>
    <w:rsid w:val="30755C62"/>
    <w:rsid w:val="30B31A44"/>
    <w:rsid w:val="31322DBE"/>
    <w:rsid w:val="3160266F"/>
    <w:rsid w:val="3163566D"/>
    <w:rsid w:val="317C6549"/>
    <w:rsid w:val="31831F40"/>
    <w:rsid w:val="32213901"/>
    <w:rsid w:val="324E5FF7"/>
    <w:rsid w:val="32AC094E"/>
    <w:rsid w:val="32E063E9"/>
    <w:rsid w:val="32F747FD"/>
    <w:rsid w:val="33224F6A"/>
    <w:rsid w:val="334E50BD"/>
    <w:rsid w:val="3351311A"/>
    <w:rsid w:val="335E5E2E"/>
    <w:rsid w:val="337437E7"/>
    <w:rsid w:val="33B236C6"/>
    <w:rsid w:val="34053222"/>
    <w:rsid w:val="34256CD1"/>
    <w:rsid w:val="342A71FD"/>
    <w:rsid w:val="34EE4304"/>
    <w:rsid w:val="35213875"/>
    <w:rsid w:val="35B6520A"/>
    <w:rsid w:val="35BB2C43"/>
    <w:rsid w:val="35D17CAE"/>
    <w:rsid w:val="35D92AE4"/>
    <w:rsid w:val="36554123"/>
    <w:rsid w:val="367F2283"/>
    <w:rsid w:val="3680580C"/>
    <w:rsid w:val="368D0DB2"/>
    <w:rsid w:val="36A77C9D"/>
    <w:rsid w:val="36DE5FAD"/>
    <w:rsid w:val="36FA35E1"/>
    <w:rsid w:val="371413CD"/>
    <w:rsid w:val="378860F4"/>
    <w:rsid w:val="37B207B5"/>
    <w:rsid w:val="384352EB"/>
    <w:rsid w:val="391A1A53"/>
    <w:rsid w:val="397C4FC9"/>
    <w:rsid w:val="399C0FC7"/>
    <w:rsid w:val="3A1308AA"/>
    <w:rsid w:val="3A247484"/>
    <w:rsid w:val="3AA6070B"/>
    <w:rsid w:val="3B3857B2"/>
    <w:rsid w:val="3B491843"/>
    <w:rsid w:val="3BC31C7B"/>
    <w:rsid w:val="3C1C2AF2"/>
    <w:rsid w:val="3C5E1E76"/>
    <w:rsid w:val="3C606366"/>
    <w:rsid w:val="3C6D73A0"/>
    <w:rsid w:val="3CA81550"/>
    <w:rsid w:val="3CD65561"/>
    <w:rsid w:val="3D1E59FF"/>
    <w:rsid w:val="3D622C7D"/>
    <w:rsid w:val="3E0C1C41"/>
    <w:rsid w:val="3E2E3B79"/>
    <w:rsid w:val="3E43177B"/>
    <w:rsid w:val="3E6316EA"/>
    <w:rsid w:val="3E6E5232"/>
    <w:rsid w:val="3E990920"/>
    <w:rsid w:val="3E9D0C2A"/>
    <w:rsid w:val="3EFEC617"/>
    <w:rsid w:val="3F073ADC"/>
    <w:rsid w:val="3F166280"/>
    <w:rsid w:val="3F1A4485"/>
    <w:rsid w:val="3F6C51C7"/>
    <w:rsid w:val="3F7A5A01"/>
    <w:rsid w:val="3FB528EC"/>
    <w:rsid w:val="3FB66E06"/>
    <w:rsid w:val="3FC85822"/>
    <w:rsid w:val="3FD54B6A"/>
    <w:rsid w:val="400C3985"/>
    <w:rsid w:val="40435571"/>
    <w:rsid w:val="40437BEC"/>
    <w:rsid w:val="406B69E3"/>
    <w:rsid w:val="409678D4"/>
    <w:rsid w:val="40CB2DF7"/>
    <w:rsid w:val="40E364C1"/>
    <w:rsid w:val="40FE6A8B"/>
    <w:rsid w:val="411A33B9"/>
    <w:rsid w:val="416D0AE7"/>
    <w:rsid w:val="416D5C9A"/>
    <w:rsid w:val="42010DA9"/>
    <w:rsid w:val="42577F7F"/>
    <w:rsid w:val="427F1BDB"/>
    <w:rsid w:val="432602A9"/>
    <w:rsid w:val="43331F1E"/>
    <w:rsid w:val="438533F1"/>
    <w:rsid w:val="43A37CB7"/>
    <w:rsid w:val="43DB3E30"/>
    <w:rsid w:val="43E42AD6"/>
    <w:rsid w:val="43F55E45"/>
    <w:rsid w:val="440C3942"/>
    <w:rsid w:val="44661DBA"/>
    <w:rsid w:val="448473F1"/>
    <w:rsid w:val="44EF1B82"/>
    <w:rsid w:val="44FB25C0"/>
    <w:rsid w:val="44FE461C"/>
    <w:rsid w:val="451744CD"/>
    <w:rsid w:val="45340ABF"/>
    <w:rsid w:val="456C1618"/>
    <w:rsid w:val="457624DB"/>
    <w:rsid w:val="4604339A"/>
    <w:rsid w:val="461B2714"/>
    <w:rsid w:val="461F1B63"/>
    <w:rsid w:val="465178BE"/>
    <w:rsid w:val="469B6EDE"/>
    <w:rsid w:val="473D2DF8"/>
    <w:rsid w:val="47B1614D"/>
    <w:rsid w:val="47B24801"/>
    <w:rsid w:val="47B553A6"/>
    <w:rsid w:val="47CF265E"/>
    <w:rsid w:val="48322E71"/>
    <w:rsid w:val="48815313"/>
    <w:rsid w:val="488B0904"/>
    <w:rsid w:val="48E46547"/>
    <w:rsid w:val="492B43C3"/>
    <w:rsid w:val="4A32550C"/>
    <w:rsid w:val="4A6B50A6"/>
    <w:rsid w:val="4AF55E91"/>
    <w:rsid w:val="4AF72B60"/>
    <w:rsid w:val="4B221C97"/>
    <w:rsid w:val="4B72481B"/>
    <w:rsid w:val="4BB26D8E"/>
    <w:rsid w:val="4C172A12"/>
    <w:rsid w:val="4CDB2A01"/>
    <w:rsid w:val="4CEB6A3B"/>
    <w:rsid w:val="4CFB488E"/>
    <w:rsid w:val="4D0166E7"/>
    <w:rsid w:val="4D054CFF"/>
    <w:rsid w:val="4D4E3117"/>
    <w:rsid w:val="4D8E6FAD"/>
    <w:rsid w:val="4DC26D49"/>
    <w:rsid w:val="4DDD3884"/>
    <w:rsid w:val="4DEF01AE"/>
    <w:rsid w:val="4DFE1624"/>
    <w:rsid w:val="4E1B74D9"/>
    <w:rsid w:val="4E5B69E0"/>
    <w:rsid w:val="4E5E123E"/>
    <w:rsid w:val="4E6B1676"/>
    <w:rsid w:val="4EF9023F"/>
    <w:rsid w:val="4F6E54B1"/>
    <w:rsid w:val="502110EB"/>
    <w:rsid w:val="508175BB"/>
    <w:rsid w:val="509F09A5"/>
    <w:rsid w:val="50B7270F"/>
    <w:rsid w:val="512A402D"/>
    <w:rsid w:val="51515D49"/>
    <w:rsid w:val="517A0E4E"/>
    <w:rsid w:val="51BF131F"/>
    <w:rsid w:val="51E06C78"/>
    <w:rsid w:val="51E92C55"/>
    <w:rsid w:val="521A36CE"/>
    <w:rsid w:val="522B5887"/>
    <w:rsid w:val="52546EB6"/>
    <w:rsid w:val="52D32AFD"/>
    <w:rsid w:val="53042B26"/>
    <w:rsid w:val="5317387F"/>
    <w:rsid w:val="53176BAE"/>
    <w:rsid w:val="53485534"/>
    <w:rsid w:val="53752412"/>
    <w:rsid w:val="53922398"/>
    <w:rsid w:val="5404338B"/>
    <w:rsid w:val="5431158D"/>
    <w:rsid w:val="546B568E"/>
    <w:rsid w:val="55123E4D"/>
    <w:rsid w:val="55172147"/>
    <w:rsid w:val="559B274A"/>
    <w:rsid w:val="55D41DE6"/>
    <w:rsid w:val="55FA1C1C"/>
    <w:rsid w:val="56255FA5"/>
    <w:rsid w:val="56732FE6"/>
    <w:rsid w:val="56B02B72"/>
    <w:rsid w:val="56C56B10"/>
    <w:rsid w:val="56D1050E"/>
    <w:rsid w:val="57002A8A"/>
    <w:rsid w:val="574014E1"/>
    <w:rsid w:val="57776493"/>
    <w:rsid w:val="579F27B9"/>
    <w:rsid w:val="5818245E"/>
    <w:rsid w:val="581D5BCD"/>
    <w:rsid w:val="582C0BE6"/>
    <w:rsid w:val="583831D2"/>
    <w:rsid w:val="585510F5"/>
    <w:rsid w:val="58A61818"/>
    <w:rsid w:val="592F7A5F"/>
    <w:rsid w:val="594577CA"/>
    <w:rsid w:val="59784482"/>
    <w:rsid w:val="5A4A44A7"/>
    <w:rsid w:val="5A8825C6"/>
    <w:rsid w:val="5A951E50"/>
    <w:rsid w:val="5A9A35FE"/>
    <w:rsid w:val="5AD1464F"/>
    <w:rsid w:val="5ADD6FE0"/>
    <w:rsid w:val="5B2F3CB6"/>
    <w:rsid w:val="5B3E0E34"/>
    <w:rsid w:val="5B772750"/>
    <w:rsid w:val="5C1015E3"/>
    <w:rsid w:val="5C1473E0"/>
    <w:rsid w:val="5C212863"/>
    <w:rsid w:val="5C3745BF"/>
    <w:rsid w:val="5C8B273D"/>
    <w:rsid w:val="5CD758C6"/>
    <w:rsid w:val="5CEB6393"/>
    <w:rsid w:val="5D1A69B5"/>
    <w:rsid w:val="5D3D1206"/>
    <w:rsid w:val="5E1A40F0"/>
    <w:rsid w:val="5E681B47"/>
    <w:rsid w:val="5EC42D73"/>
    <w:rsid w:val="5F9C5723"/>
    <w:rsid w:val="5FBB28CD"/>
    <w:rsid w:val="5FCEED5C"/>
    <w:rsid w:val="5FDB15E5"/>
    <w:rsid w:val="5FEF4C9C"/>
    <w:rsid w:val="5FF3336D"/>
    <w:rsid w:val="60435A25"/>
    <w:rsid w:val="61AD71FE"/>
    <w:rsid w:val="61F701E5"/>
    <w:rsid w:val="62021AB5"/>
    <w:rsid w:val="620C6491"/>
    <w:rsid w:val="629338AB"/>
    <w:rsid w:val="62945280"/>
    <w:rsid w:val="62EA2CF5"/>
    <w:rsid w:val="642762DE"/>
    <w:rsid w:val="64E35BA2"/>
    <w:rsid w:val="651B7A14"/>
    <w:rsid w:val="651F307E"/>
    <w:rsid w:val="65576F5D"/>
    <w:rsid w:val="655D3BA6"/>
    <w:rsid w:val="65B9345B"/>
    <w:rsid w:val="65CC2152"/>
    <w:rsid w:val="65FF5478"/>
    <w:rsid w:val="66212E26"/>
    <w:rsid w:val="66C6766B"/>
    <w:rsid w:val="66D83229"/>
    <w:rsid w:val="66E01069"/>
    <w:rsid w:val="6727516E"/>
    <w:rsid w:val="67715849"/>
    <w:rsid w:val="678C24BD"/>
    <w:rsid w:val="67A61BB0"/>
    <w:rsid w:val="67AF573D"/>
    <w:rsid w:val="67CE4D14"/>
    <w:rsid w:val="67D71173"/>
    <w:rsid w:val="68567FD9"/>
    <w:rsid w:val="68650D92"/>
    <w:rsid w:val="68800290"/>
    <w:rsid w:val="68BF514E"/>
    <w:rsid w:val="68EA1687"/>
    <w:rsid w:val="6946248E"/>
    <w:rsid w:val="699365DF"/>
    <w:rsid w:val="69BC690D"/>
    <w:rsid w:val="6A037033"/>
    <w:rsid w:val="6A275311"/>
    <w:rsid w:val="6A394E8D"/>
    <w:rsid w:val="6A5F2462"/>
    <w:rsid w:val="6A7C062B"/>
    <w:rsid w:val="6B2D778A"/>
    <w:rsid w:val="6B4E35A5"/>
    <w:rsid w:val="6B855714"/>
    <w:rsid w:val="6B91125C"/>
    <w:rsid w:val="6B9A7217"/>
    <w:rsid w:val="6BC512CC"/>
    <w:rsid w:val="6C577035"/>
    <w:rsid w:val="6C6300AD"/>
    <w:rsid w:val="6CB76984"/>
    <w:rsid w:val="6CD33A32"/>
    <w:rsid w:val="6CFBFFCE"/>
    <w:rsid w:val="6D043991"/>
    <w:rsid w:val="6D45007F"/>
    <w:rsid w:val="6DB00ADB"/>
    <w:rsid w:val="6DD81D0E"/>
    <w:rsid w:val="6DDD64DD"/>
    <w:rsid w:val="6E253AB6"/>
    <w:rsid w:val="6EA16987"/>
    <w:rsid w:val="6EB760D5"/>
    <w:rsid w:val="6F586C2D"/>
    <w:rsid w:val="6F8561D3"/>
    <w:rsid w:val="6F8D5C1A"/>
    <w:rsid w:val="6F8F4E01"/>
    <w:rsid w:val="6FD27139"/>
    <w:rsid w:val="6FF60325"/>
    <w:rsid w:val="705556D5"/>
    <w:rsid w:val="70580BC4"/>
    <w:rsid w:val="705F4ADB"/>
    <w:rsid w:val="70CA7E83"/>
    <w:rsid w:val="70DC62C7"/>
    <w:rsid w:val="70E00108"/>
    <w:rsid w:val="710B40C8"/>
    <w:rsid w:val="711406B5"/>
    <w:rsid w:val="711F11FC"/>
    <w:rsid w:val="715A4B45"/>
    <w:rsid w:val="721F2B51"/>
    <w:rsid w:val="730563A9"/>
    <w:rsid w:val="7327134F"/>
    <w:rsid w:val="737C4078"/>
    <w:rsid w:val="73A3311F"/>
    <w:rsid w:val="73CE3D49"/>
    <w:rsid w:val="73D1571B"/>
    <w:rsid w:val="73EDFB10"/>
    <w:rsid w:val="74097106"/>
    <w:rsid w:val="75A16170"/>
    <w:rsid w:val="75AA5833"/>
    <w:rsid w:val="75DF4D47"/>
    <w:rsid w:val="76122BFF"/>
    <w:rsid w:val="7633751A"/>
    <w:rsid w:val="7651035C"/>
    <w:rsid w:val="76A611D8"/>
    <w:rsid w:val="76CE0460"/>
    <w:rsid w:val="770465D7"/>
    <w:rsid w:val="77767417"/>
    <w:rsid w:val="77F20DB3"/>
    <w:rsid w:val="78040CD3"/>
    <w:rsid w:val="780852F7"/>
    <w:rsid w:val="782D11B6"/>
    <w:rsid w:val="796926C2"/>
    <w:rsid w:val="79FB08CE"/>
    <w:rsid w:val="7A601336"/>
    <w:rsid w:val="7A824E26"/>
    <w:rsid w:val="7B610F8D"/>
    <w:rsid w:val="7BE91D68"/>
    <w:rsid w:val="7BEB2C46"/>
    <w:rsid w:val="7C165FEB"/>
    <w:rsid w:val="7C1F175E"/>
    <w:rsid w:val="7C917E67"/>
    <w:rsid w:val="7CAC2223"/>
    <w:rsid w:val="7D393C95"/>
    <w:rsid w:val="7D6D0B31"/>
    <w:rsid w:val="7D7358BD"/>
    <w:rsid w:val="7DB639FC"/>
    <w:rsid w:val="7DDEDE29"/>
    <w:rsid w:val="7DEDEAD3"/>
    <w:rsid w:val="7DF73AEC"/>
    <w:rsid w:val="7E305EDA"/>
    <w:rsid w:val="7E3F6BFC"/>
    <w:rsid w:val="7E6B7674"/>
    <w:rsid w:val="7E6E42D6"/>
    <w:rsid w:val="7EAE0143"/>
    <w:rsid w:val="7ED96E96"/>
    <w:rsid w:val="7F417021"/>
    <w:rsid w:val="7F4A08A0"/>
    <w:rsid w:val="7F5792E3"/>
    <w:rsid w:val="7F8A5140"/>
    <w:rsid w:val="7F9E63F6"/>
    <w:rsid w:val="7FAF0FAE"/>
    <w:rsid w:val="7FDD097B"/>
    <w:rsid w:val="7FFF5040"/>
    <w:rsid w:val="8F844490"/>
    <w:rsid w:val="9BB713C9"/>
    <w:rsid w:val="AD938B4A"/>
    <w:rsid w:val="B3BE567C"/>
    <w:rsid w:val="B5DB0C59"/>
    <w:rsid w:val="BBF3A13A"/>
    <w:rsid w:val="BFDD518B"/>
    <w:rsid w:val="D6FD1F62"/>
    <w:rsid w:val="DE3F7A80"/>
    <w:rsid w:val="DE6370A9"/>
    <w:rsid w:val="DFDD0227"/>
    <w:rsid w:val="E4FFF79A"/>
    <w:rsid w:val="ED9FCB8A"/>
    <w:rsid w:val="F6BB90CE"/>
    <w:rsid w:val="F9FFCB41"/>
    <w:rsid w:val="FB3D7AF3"/>
    <w:rsid w:val="FD5D5986"/>
    <w:rsid w:val="FEDF590C"/>
    <w:rsid w:val="FFC4AA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 w:cs="Times New Roman"/>
      <w:kern w:val="2"/>
      <w:sz w:val="24"/>
      <w:szCs w:val="24"/>
      <w:lang w:val="en-US" w:eastAsia="zh-CN" w:bidi="ar-SA"/>
    </w:rPr>
  </w:style>
  <w:style w:type="paragraph" w:styleId="4">
    <w:name w:val="heading 1"/>
    <w:basedOn w:val="1"/>
    <w:next w:val="1"/>
    <w:link w:val="50"/>
    <w:qFormat/>
    <w:uiPriority w:val="0"/>
    <w:pPr>
      <w:keepNext/>
      <w:keepLines/>
      <w:autoSpaceDE w:val="0"/>
      <w:autoSpaceDN w:val="0"/>
      <w:adjustRightInd w:val="0"/>
      <w:spacing w:before="240" w:after="120" w:line="300" w:lineRule="auto"/>
      <w:jc w:val="center"/>
      <w:outlineLvl w:val="0"/>
    </w:pPr>
    <w:rPr>
      <w:rFonts w:ascii="宋体" w:hAnsi="宋体" w:eastAsia="楷体"/>
      <w:b/>
      <w:kern w:val="44"/>
      <w:sz w:val="32"/>
      <w:szCs w:val="20"/>
    </w:rPr>
  </w:style>
  <w:style w:type="paragraph" w:styleId="5">
    <w:name w:val="heading 2"/>
    <w:basedOn w:val="1"/>
    <w:next w:val="6"/>
    <w:link w:val="51"/>
    <w:qFormat/>
    <w:uiPriority w:val="0"/>
    <w:pPr>
      <w:keepNext/>
      <w:keepLines/>
      <w:autoSpaceDE w:val="0"/>
      <w:autoSpaceDN w:val="0"/>
      <w:adjustRightInd w:val="0"/>
      <w:spacing w:before="120" w:line="300" w:lineRule="auto"/>
      <w:jc w:val="center"/>
      <w:outlineLvl w:val="1"/>
    </w:pPr>
    <w:rPr>
      <w:rFonts w:ascii="Arial" w:hAnsi="Arial" w:eastAsia="楷体"/>
      <w:b/>
      <w:kern w:val="0"/>
      <w:sz w:val="30"/>
      <w:szCs w:val="20"/>
    </w:rPr>
  </w:style>
  <w:style w:type="paragraph" w:styleId="7">
    <w:name w:val="heading 3"/>
    <w:basedOn w:val="1"/>
    <w:next w:val="1"/>
    <w:link w:val="52"/>
    <w:qFormat/>
    <w:uiPriority w:val="0"/>
    <w:pPr>
      <w:keepNext/>
      <w:keepLines/>
      <w:autoSpaceDE w:val="0"/>
      <w:autoSpaceDN w:val="0"/>
      <w:adjustRightInd w:val="0"/>
      <w:spacing w:before="360" w:after="120"/>
      <w:jc w:val="left"/>
      <w:outlineLvl w:val="2"/>
    </w:pPr>
    <w:rPr>
      <w:rFonts w:ascii="宋体" w:hAnsi="宋体" w:eastAsia="楷体"/>
      <w:b/>
      <w:kern w:val="0"/>
      <w:sz w:val="28"/>
      <w:szCs w:val="20"/>
      <w:u w:val="single"/>
    </w:rPr>
  </w:style>
  <w:style w:type="paragraph" w:styleId="8">
    <w:name w:val="heading 4"/>
    <w:basedOn w:val="1"/>
    <w:next w:val="1"/>
    <w:link w:val="53"/>
    <w:qFormat/>
    <w:uiPriority w:val="0"/>
    <w:pPr>
      <w:keepNext/>
      <w:widowControl/>
      <w:tabs>
        <w:tab w:val="left" w:pos="1575"/>
      </w:tabs>
      <w:ind w:left="1575" w:hanging="420"/>
      <w:jc w:val="left"/>
      <w:outlineLvl w:val="3"/>
    </w:pPr>
    <w:rPr>
      <w:rFonts w:ascii="宋体" w:hAnsi="宋体" w:eastAsia="楷体"/>
      <w:b/>
      <w:bCs/>
      <w:color w:val="000000"/>
      <w:kern w:val="0"/>
      <w:sz w:val="28"/>
    </w:rPr>
  </w:style>
  <w:style w:type="paragraph" w:styleId="9">
    <w:name w:val="heading 5"/>
    <w:basedOn w:val="1"/>
    <w:next w:val="1"/>
    <w:qFormat/>
    <w:uiPriority w:val="0"/>
    <w:pPr>
      <w:keepNext/>
      <w:keepLines/>
      <w:adjustRightInd w:val="0"/>
      <w:spacing w:before="280" w:after="290" w:line="376" w:lineRule="atLeast"/>
      <w:jc w:val="left"/>
      <w:textAlignment w:val="baseline"/>
      <w:outlineLvl w:val="4"/>
    </w:pPr>
    <w:rPr>
      <w:rFonts w:ascii="Times New Roman" w:hAnsi="Times New Roman" w:eastAsia="楷体"/>
      <w:b/>
      <w:bCs/>
      <w:kern w:val="0"/>
      <w:sz w:val="28"/>
      <w:szCs w:val="28"/>
    </w:rPr>
  </w:style>
  <w:style w:type="paragraph" w:styleId="10">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1">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character" w:default="1" w:styleId="39">
    <w:name w:val="Default Paragraph Font"/>
    <w:semiHidden/>
    <w:qFormat/>
    <w:uiPriority w:val="0"/>
  </w:style>
  <w:style w:type="table" w:default="1" w:styleId="3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567"/>
      </w:tabs>
      <w:spacing w:before="120" w:line="22" w:lineRule="atLeast"/>
    </w:pPr>
    <w:rPr>
      <w:rFonts w:ascii="宋体" w:hAnsi="宋体" w:eastAsia="楷体"/>
      <w:sz w:val="24"/>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qFormat/>
    <w:uiPriority w:val="0"/>
    <w:pPr>
      <w:autoSpaceDE w:val="0"/>
      <w:autoSpaceDN w:val="0"/>
      <w:adjustRightInd w:val="0"/>
      <w:ind w:firstLine="420"/>
      <w:jc w:val="left"/>
    </w:pPr>
    <w:rPr>
      <w:rFonts w:ascii="宋体"/>
      <w:kern w:val="0"/>
      <w:sz w:val="24"/>
      <w:szCs w:val="20"/>
    </w:rPr>
  </w:style>
  <w:style w:type="paragraph" w:styleId="12">
    <w:name w:val="toc 7"/>
    <w:basedOn w:val="1"/>
    <w:next w:val="1"/>
    <w:qFormat/>
    <w:uiPriority w:val="39"/>
    <w:pPr>
      <w:ind w:left="2520" w:leftChars="1200"/>
    </w:pPr>
  </w:style>
  <w:style w:type="paragraph" w:styleId="13">
    <w:name w:val="List Number"/>
    <w:basedOn w:val="1"/>
    <w:qFormat/>
    <w:uiPriority w:val="0"/>
    <w:pPr>
      <w:numPr>
        <w:ilvl w:val="0"/>
        <w:numId w:val="1"/>
      </w:numPr>
    </w:pPr>
  </w:style>
  <w:style w:type="paragraph" w:styleId="14">
    <w:name w:val="caption"/>
    <w:basedOn w:val="1"/>
    <w:next w:val="1"/>
    <w:unhideWhenUsed/>
    <w:qFormat/>
    <w:uiPriority w:val="0"/>
    <w:rPr>
      <w:rFonts w:ascii="Calibri Light" w:hAnsi="Calibri Light" w:eastAsia="黑体" w:cs="Times New Roman"/>
      <w:sz w:val="21"/>
      <w:szCs w:val="20"/>
    </w:rPr>
  </w:style>
  <w:style w:type="paragraph" w:styleId="15">
    <w:name w:val="toa heading"/>
    <w:basedOn w:val="1"/>
    <w:next w:val="1"/>
    <w:qFormat/>
    <w:uiPriority w:val="99"/>
    <w:pPr>
      <w:spacing w:before="120"/>
    </w:pPr>
    <w:rPr>
      <w:rFonts w:ascii="Cambria" w:hAnsi="Cambria"/>
      <w:sz w:val="24"/>
      <w:szCs w:val="20"/>
    </w:rPr>
  </w:style>
  <w:style w:type="paragraph" w:styleId="16">
    <w:name w:val="annotation text"/>
    <w:basedOn w:val="1"/>
    <w:link w:val="54"/>
    <w:qFormat/>
    <w:uiPriority w:val="0"/>
    <w:pPr>
      <w:jc w:val="left"/>
    </w:pPr>
  </w:style>
  <w:style w:type="paragraph" w:styleId="17">
    <w:name w:val="Body Text Indent"/>
    <w:basedOn w:val="1"/>
    <w:next w:val="18"/>
    <w:qFormat/>
    <w:uiPriority w:val="0"/>
    <w:pPr>
      <w:spacing w:line="360" w:lineRule="auto"/>
      <w:ind w:firstLine="570"/>
    </w:pPr>
    <w:rPr>
      <w:sz w:val="24"/>
    </w:rPr>
  </w:style>
  <w:style w:type="paragraph" w:styleId="18">
    <w:name w:val="Body Text First Indent 2"/>
    <w:basedOn w:val="17"/>
    <w:next w:val="1"/>
    <w:qFormat/>
    <w:uiPriority w:val="0"/>
    <w:pPr>
      <w:topLinePunct/>
      <w:ind w:left="0" w:leftChars="0" w:firstLine="420"/>
    </w:pPr>
  </w:style>
  <w:style w:type="paragraph" w:styleId="19">
    <w:name w:val="toc 5"/>
    <w:basedOn w:val="1"/>
    <w:next w:val="1"/>
    <w:qFormat/>
    <w:uiPriority w:val="39"/>
    <w:pPr>
      <w:ind w:left="1680" w:leftChars="800"/>
    </w:pPr>
  </w:style>
  <w:style w:type="paragraph" w:styleId="20">
    <w:name w:val="toc 3"/>
    <w:basedOn w:val="1"/>
    <w:next w:val="1"/>
    <w:qFormat/>
    <w:uiPriority w:val="39"/>
    <w:pPr>
      <w:tabs>
        <w:tab w:val="left" w:pos="1260"/>
        <w:tab w:val="right" w:leader="dot" w:pos="8630"/>
      </w:tabs>
      <w:ind w:left="840" w:leftChars="400"/>
    </w:pPr>
  </w:style>
  <w:style w:type="paragraph" w:styleId="21">
    <w:name w:val="Plain Text"/>
    <w:basedOn w:val="1"/>
    <w:qFormat/>
    <w:uiPriority w:val="0"/>
    <w:rPr>
      <w:rFonts w:ascii="宋体" w:hAnsi="Courier New"/>
      <w:szCs w:val="20"/>
    </w:rPr>
  </w:style>
  <w:style w:type="paragraph" w:styleId="22">
    <w:name w:val="toc 8"/>
    <w:basedOn w:val="1"/>
    <w:next w:val="1"/>
    <w:qFormat/>
    <w:uiPriority w:val="39"/>
    <w:pPr>
      <w:ind w:left="2940" w:leftChars="1400"/>
    </w:pPr>
  </w:style>
  <w:style w:type="paragraph" w:styleId="23">
    <w:name w:val="Date"/>
    <w:basedOn w:val="1"/>
    <w:next w:val="1"/>
    <w:qFormat/>
    <w:uiPriority w:val="0"/>
    <w:pPr>
      <w:ind w:left="100" w:leftChars="2500"/>
    </w:pPr>
    <w:rPr>
      <w:rFonts w:ascii="仿宋_GB2312" w:hAnsi="宋体" w:eastAsia="仿宋_GB2312"/>
      <w:color w:val="000000"/>
      <w:sz w:val="24"/>
    </w:rPr>
  </w:style>
  <w:style w:type="paragraph" w:styleId="24">
    <w:name w:val="Body Text Indent 2"/>
    <w:basedOn w:val="1"/>
    <w:qFormat/>
    <w:uiPriority w:val="0"/>
    <w:pPr>
      <w:ind w:firstLine="480" w:firstLineChars="200"/>
    </w:pPr>
    <w:rPr>
      <w:rFonts w:ascii="仿宋_GB2312" w:eastAsia="仿宋_GB2312"/>
      <w:sz w:val="24"/>
    </w:rPr>
  </w:style>
  <w:style w:type="paragraph" w:styleId="25">
    <w:name w:val="Balloon Text"/>
    <w:basedOn w:val="1"/>
    <w:link w:val="55"/>
    <w:qFormat/>
    <w:uiPriority w:val="0"/>
    <w:rPr>
      <w:sz w:val="18"/>
      <w:szCs w:val="18"/>
    </w:rPr>
  </w:style>
  <w:style w:type="paragraph" w:styleId="26">
    <w:name w:val="footer"/>
    <w:basedOn w:val="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27">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style>
  <w:style w:type="paragraph" w:styleId="29">
    <w:name w:val="toc 4"/>
    <w:basedOn w:val="1"/>
    <w:next w:val="1"/>
    <w:qFormat/>
    <w:uiPriority w:val="39"/>
    <w:pPr>
      <w:ind w:left="1260" w:leftChars="600"/>
    </w:pPr>
  </w:style>
  <w:style w:type="paragraph" w:styleId="30">
    <w:name w:val="toc 6"/>
    <w:basedOn w:val="1"/>
    <w:next w:val="1"/>
    <w:qFormat/>
    <w:uiPriority w:val="39"/>
    <w:pPr>
      <w:ind w:left="2100" w:leftChars="1000"/>
    </w:pPr>
  </w:style>
  <w:style w:type="paragraph" w:styleId="31">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2">
    <w:name w:val="toc 2"/>
    <w:basedOn w:val="1"/>
    <w:next w:val="1"/>
    <w:qFormat/>
    <w:uiPriority w:val="39"/>
    <w:pPr>
      <w:ind w:left="420" w:leftChars="200"/>
    </w:pPr>
  </w:style>
  <w:style w:type="paragraph" w:styleId="33">
    <w:name w:val="toc 9"/>
    <w:basedOn w:val="1"/>
    <w:next w:val="1"/>
    <w:qFormat/>
    <w:uiPriority w:val="39"/>
    <w:pPr>
      <w:ind w:left="3360" w:leftChars="1600"/>
    </w:pPr>
  </w:style>
  <w:style w:type="paragraph" w:styleId="3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35">
    <w:name w:val="index 1"/>
    <w:basedOn w:val="1"/>
    <w:next w:val="1"/>
    <w:semiHidden/>
    <w:qFormat/>
    <w:uiPriority w:val="0"/>
    <w:rPr>
      <w:szCs w:val="20"/>
    </w:rPr>
  </w:style>
  <w:style w:type="paragraph" w:styleId="36">
    <w:name w:val="annotation subject"/>
    <w:basedOn w:val="16"/>
    <w:next w:val="16"/>
    <w:link w:val="57"/>
    <w:qFormat/>
    <w:uiPriority w:val="0"/>
    <w:rPr>
      <w:b/>
      <w:bCs/>
    </w:rPr>
  </w:style>
  <w:style w:type="table" w:styleId="38">
    <w:name w:val="Table Grid"/>
    <w:basedOn w:val="3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0"/>
    <w:rPr>
      <w:b/>
    </w:rPr>
  </w:style>
  <w:style w:type="character" w:styleId="41">
    <w:name w:val="page number"/>
    <w:basedOn w:val="39"/>
    <w:qFormat/>
    <w:uiPriority w:val="0"/>
  </w:style>
  <w:style w:type="character" w:styleId="42">
    <w:name w:val="FollowedHyperlink"/>
    <w:basedOn w:val="39"/>
    <w:qFormat/>
    <w:uiPriority w:val="0"/>
    <w:rPr>
      <w:color w:val="337AB7"/>
      <w:u w:val="none"/>
    </w:rPr>
  </w:style>
  <w:style w:type="character" w:styleId="43">
    <w:name w:val="HTML Definition"/>
    <w:basedOn w:val="39"/>
    <w:qFormat/>
    <w:uiPriority w:val="0"/>
    <w:rPr>
      <w:i/>
    </w:rPr>
  </w:style>
  <w:style w:type="character" w:styleId="44">
    <w:name w:val="Hyperlink"/>
    <w:basedOn w:val="39"/>
    <w:qFormat/>
    <w:uiPriority w:val="99"/>
    <w:rPr>
      <w:color w:val="337AB7"/>
      <w:u w:val="none"/>
    </w:rPr>
  </w:style>
  <w:style w:type="character" w:styleId="45">
    <w:name w:val="HTML Code"/>
    <w:basedOn w:val="39"/>
    <w:qFormat/>
    <w:uiPriority w:val="0"/>
    <w:rPr>
      <w:rFonts w:ascii="Consolas" w:hAnsi="Consolas" w:eastAsia="Consolas" w:cs="Consolas"/>
      <w:color w:val="C7254E"/>
      <w:sz w:val="21"/>
      <w:szCs w:val="21"/>
      <w:shd w:val="clear" w:color="auto" w:fill="F9F2F4"/>
    </w:rPr>
  </w:style>
  <w:style w:type="character" w:styleId="46">
    <w:name w:val="annotation reference"/>
    <w:qFormat/>
    <w:uiPriority w:val="0"/>
    <w:rPr>
      <w:sz w:val="21"/>
      <w:szCs w:val="21"/>
    </w:rPr>
  </w:style>
  <w:style w:type="character" w:styleId="47">
    <w:name w:val="HTML Keyboard"/>
    <w:basedOn w:val="39"/>
    <w:qFormat/>
    <w:uiPriority w:val="0"/>
    <w:rPr>
      <w:rFonts w:hint="default" w:ascii="Consolas" w:hAnsi="Consolas" w:eastAsia="Consolas" w:cs="Consolas"/>
      <w:color w:val="FFFFFF"/>
      <w:sz w:val="21"/>
      <w:szCs w:val="21"/>
      <w:shd w:val="clear" w:color="auto" w:fill="333333"/>
    </w:rPr>
  </w:style>
  <w:style w:type="character" w:styleId="48">
    <w:name w:val="HTML Sample"/>
    <w:basedOn w:val="39"/>
    <w:qFormat/>
    <w:uiPriority w:val="0"/>
    <w:rPr>
      <w:rFonts w:hint="default" w:ascii="Consolas" w:hAnsi="Consolas" w:eastAsia="Consolas" w:cs="Consolas"/>
      <w:sz w:val="21"/>
      <w:szCs w:val="21"/>
    </w:rPr>
  </w:style>
  <w:style w:type="paragraph" w:customStyle="1" w:styleId="49">
    <w:name w:val="_Style 3"/>
    <w:next w:val="1"/>
    <w:qFormat/>
    <w:uiPriority w:val="0"/>
    <w:pPr>
      <w:wordWrap w:val="0"/>
    </w:pPr>
    <w:rPr>
      <w:rFonts w:ascii="Times New Roman" w:hAnsi="Times New Roman" w:eastAsia="宋体" w:cs="Times New Roman"/>
      <w:sz w:val="32"/>
      <w:lang w:val="en-US" w:eastAsia="zh-CN" w:bidi="ar-SA"/>
    </w:rPr>
  </w:style>
  <w:style w:type="character" w:customStyle="1" w:styleId="50">
    <w:name w:val="标题 1 Char"/>
    <w:link w:val="4"/>
    <w:qFormat/>
    <w:uiPriority w:val="0"/>
    <w:rPr>
      <w:rFonts w:ascii="宋体" w:hAnsi="宋体" w:eastAsia="楷体"/>
      <w:b/>
      <w:kern w:val="44"/>
      <w:sz w:val="32"/>
      <w:szCs w:val="20"/>
    </w:rPr>
  </w:style>
  <w:style w:type="character" w:customStyle="1" w:styleId="51">
    <w:name w:val="标题 2 字符"/>
    <w:link w:val="5"/>
    <w:qFormat/>
    <w:uiPriority w:val="0"/>
    <w:rPr>
      <w:rFonts w:ascii="Arial" w:hAnsi="Arial" w:eastAsia="楷体"/>
      <w:b/>
      <w:kern w:val="0"/>
      <w:sz w:val="30"/>
      <w:szCs w:val="20"/>
    </w:rPr>
  </w:style>
  <w:style w:type="character" w:customStyle="1" w:styleId="52">
    <w:name w:val="标题 3 Char"/>
    <w:link w:val="7"/>
    <w:qFormat/>
    <w:uiPriority w:val="0"/>
    <w:rPr>
      <w:rFonts w:ascii="宋体" w:hAnsi="宋体" w:eastAsia="楷体"/>
      <w:b/>
      <w:kern w:val="0"/>
      <w:sz w:val="28"/>
      <w:szCs w:val="20"/>
      <w:u w:val="single"/>
    </w:rPr>
  </w:style>
  <w:style w:type="character" w:customStyle="1" w:styleId="53">
    <w:name w:val="标题 4 Char"/>
    <w:link w:val="8"/>
    <w:qFormat/>
    <w:uiPriority w:val="0"/>
    <w:rPr>
      <w:rFonts w:ascii="宋体" w:hAnsi="宋体" w:eastAsia="楷体"/>
      <w:b/>
      <w:bCs/>
      <w:color w:val="000000"/>
      <w:kern w:val="0"/>
      <w:sz w:val="28"/>
    </w:rPr>
  </w:style>
  <w:style w:type="character" w:customStyle="1" w:styleId="54">
    <w:name w:val="批注文字 字符"/>
    <w:link w:val="16"/>
    <w:qFormat/>
    <w:uiPriority w:val="0"/>
    <w:rPr>
      <w:kern w:val="2"/>
      <w:sz w:val="21"/>
      <w:szCs w:val="24"/>
    </w:rPr>
  </w:style>
  <w:style w:type="character" w:customStyle="1" w:styleId="55">
    <w:name w:val="批注框文本 字符"/>
    <w:link w:val="25"/>
    <w:qFormat/>
    <w:uiPriority w:val="0"/>
    <w:rPr>
      <w:kern w:val="2"/>
      <w:sz w:val="18"/>
      <w:szCs w:val="18"/>
    </w:rPr>
  </w:style>
  <w:style w:type="character" w:customStyle="1" w:styleId="56">
    <w:name w:val="页眉 字符"/>
    <w:link w:val="27"/>
    <w:qFormat/>
    <w:uiPriority w:val="0"/>
    <w:rPr>
      <w:kern w:val="2"/>
      <w:sz w:val="18"/>
      <w:szCs w:val="18"/>
    </w:rPr>
  </w:style>
  <w:style w:type="character" w:customStyle="1" w:styleId="57">
    <w:name w:val="批注主题 字符"/>
    <w:link w:val="36"/>
    <w:qFormat/>
    <w:uiPriority w:val="0"/>
    <w:rPr>
      <w:b/>
      <w:bCs/>
      <w:kern w:val="2"/>
      <w:sz w:val="21"/>
      <w:szCs w:val="24"/>
    </w:rPr>
  </w:style>
  <w:style w:type="paragraph" w:customStyle="1" w:styleId="58">
    <w:name w:val="正文缩进1"/>
    <w:basedOn w:val="1"/>
    <w:qFormat/>
    <w:uiPriority w:val="0"/>
    <w:pPr>
      <w:ind w:firstLine="420" w:firstLineChars="200"/>
    </w:pPr>
  </w:style>
  <w:style w:type="character" w:customStyle="1" w:styleId="59">
    <w:name w:val="hover13"/>
    <w:basedOn w:val="39"/>
    <w:qFormat/>
    <w:uiPriority w:val="0"/>
    <w:rPr>
      <w:color w:val="FFFFFF"/>
      <w:shd w:val="clear" w:color="auto" w:fill="00C1B3"/>
    </w:rPr>
  </w:style>
  <w:style w:type="character" w:customStyle="1" w:styleId="60">
    <w:name w:val="current"/>
    <w:basedOn w:val="39"/>
    <w:qFormat/>
    <w:uiPriority w:val="0"/>
    <w:rPr>
      <w:color w:val="FFFFFF"/>
      <w:sz w:val="27"/>
      <w:szCs w:val="27"/>
      <w:u w:val="none"/>
      <w:bdr w:val="single" w:color="C0C0C0" w:sz="2" w:space="0"/>
      <w:shd w:val="clear" w:color="auto" w:fill="809FFF"/>
    </w:rPr>
  </w:style>
  <w:style w:type="character" w:customStyle="1" w:styleId="61">
    <w:name w:val="t-tree-icon"/>
    <w:basedOn w:val="39"/>
    <w:qFormat/>
    <w:uiPriority w:val="0"/>
  </w:style>
  <w:style w:type="character" w:customStyle="1" w:styleId="62">
    <w:name w:val="hover11"/>
    <w:basedOn w:val="39"/>
    <w:qFormat/>
    <w:uiPriority w:val="0"/>
    <w:rPr>
      <w:color w:val="FFFFFF"/>
      <w:shd w:val="clear" w:color="auto" w:fill="00C1B3"/>
    </w:rPr>
  </w:style>
  <w:style w:type="character" w:customStyle="1" w:styleId="63">
    <w:name w:val="t-tree-expanded"/>
    <w:basedOn w:val="39"/>
    <w:qFormat/>
    <w:uiPriority w:val="0"/>
  </w:style>
  <w:style w:type="character" w:customStyle="1" w:styleId="64">
    <w:name w:val="hover15"/>
    <w:basedOn w:val="39"/>
    <w:qFormat/>
    <w:uiPriority w:val="0"/>
    <w:rPr>
      <w:color w:val="FFFFFF"/>
      <w:shd w:val="clear" w:color="auto" w:fill="00C1B3"/>
    </w:rPr>
  </w:style>
  <w:style w:type="character" w:customStyle="1" w:styleId="65">
    <w:name w:val="t-exception-class-name"/>
    <w:basedOn w:val="39"/>
    <w:qFormat/>
    <w:uiPriority w:val="0"/>
    <w:rPr>
      <w:b/>
      <w:color w:val="0000FF"/>
      <w:sz w:val="24"/>
      <w:szCs w:val="24"/>
      <w:shd w:val="clear" w:color="auto" w:fill="E1E1E1"/>
    </w:rPr>
  </w:style>
  <w:style w:type="character" w:customStyle="1" w:styleId="66">
    <w:name w:val="未处理的提及"/>
    <w:unhideWhenUsed/>
    <w:qFormat/>
    <w:uiPriority w:val="99"/>
    <w:rPr>
      <w:color w:val="605E5C"/>
      <w:shd w:val="clear" w:color="auto" w:fill="E1DFDD"/>
    </w:rPr>
  </w:style>
  <w:style w:type="character" w:customStyle="1" w:styleId="67">
    <w:name w:val="bookmark-item"/>
    <w:qFormat/>
    <w:uiPriority w:val="0"/>
  </w:style>
  <w:style w:type="character" w:customStyle="1" w:styleId="68">
    <w:name w:val="t-ajax-wait"/>
    <w:basedOn w:val="39"/>
    <w:qFormat/>
    <w:uiPriority w:val="0"/>
  </w:style>
  <w:style w:type="character" w:customStyle="1" w:styleId="69">
    <w:name w:val="t-exception-stack-controls"/>
    <w:basedOn w:val="39"/>
    <w:qFormat/>
    <w:uiPriority w:val="0"/>
  </w:style>
  <w:style w:type="character" w:customStyle="1" w:styleId="70">
    <w:name w:val="hover14"/>
    <w:basedOn w:val="39"/>
    <w:qFormat/>
    <w:uiPriority w:val="0"/>
    <w:rPr>
      <w:sz w:val="10"/>
      <w:szCs w:val="10"/>
    </w:rPr>
  </w:style>
  <w:style w:type="character" w:customStyle="1" w:styleId="71">
    <w:name w:val="t-render-object-error"/>
    <w:basedOn w:val="39"/>
    <w:qFormat/>
    <w:uiPriority w:val="0"/>
    <w:rPr>
      <w:b/>
      <w:i/>
      <w:color w:val="FF0000"/>
    </w:rPr>
  </w:style>
  <w:style w:type="character" w:customStyle="1" w:styleId="72">
    <w:name w:val="hover12"/>
    <w:basedOn w:val="39"/>
    <w:qFormat/>
    <w:uiPriority w:val="0"/>
    <w:rPr>
      <w:sz w:val="10"/>
      <w:szCs w:val="10"/>
    </w:rPr>
  </w:style>
  <w:style w:type="paragraph" w:customStyle="1" w:styleId="73">
    <w:name w:val="List Paragraph1"/>
    <w:basedOn w:val="1"/>
    <w:qFormat/>
    <w:uiPriority w:val="99"/>
    <w:pPr>
      <w:ind w:firstLine="420" w:firstLineChars="200"/>
    </w:pPr>
  </w:style>
  <w:style w:type="paragraph" w:customStyle="1" w:styleId="74">
    <w:name w:val="WPSOffice手动目录 1"/>
    <w:qFormat/>
    <w:uiPriority w:val="0"/>
    <w:pPr>
      <w:ind w:leftChars="0"/>
    </w:pPr>
    <w:rPr>
      <w:rFonts w:ascii="Times New Roman" w:hAnsi="Times New Roman" w:eastAsia="宋体" w:cs="Times New Roman"/>
      <w:sz w:val="20"/>
      <w:szCs w:val="20"/>
    </w:rPr>
  </w:style>
  <w:style w:type="paragraph" w:customStyle="1" w:styleId="75">
    <w:name w:val="p0"/>
    <w:basedOn w:val="1"/>
    <w:qFormat/>
    <w:uiPriority w:val="0"/>
    <w:pPr>
      <w:widowControl/>
    </w:pPr>
    <w:rPr>
      <w:rFonts w:ascii="Times New Roman" w:hAnsi="Times New Roman" w:eastAsia="宋体" w:cs="Times New Roman"/>
      <w:kern w:val="0"/>
      <w:szCs w:val="21"/>
    </w:rPr>
  </w:style>
  <w:style w:type="paragraph" w:customStyle="1" w:styleId="76">
    <w:name w:val="Plain Text1"/>
    <w:basedOn w:val="1"/>
    <w:qFormat/>
    <w:uiPriority w:val="0"/>
    <w:rPr>
      <w:rFonts w:ascii="宋体" w:hAnsi="Courier New" w:eastAsia="宋体" w:cs="Courier New"/>
      <w:szCs w:val="21"/>
    </w:rPr>
  </w:style>
  <w:style w:type="paragraph" w:customStyle="1" w:styleId="77">
    <w:name w:val="Char"/>
    <w:basedOn w:val="1"/>
    <w:qFormat/>
    <w:uiPriority w:val="0"/>
    <w:pPr>
      <w:tabs>
        <w:tab w:val="left" w:pos="360"/>
      </w:tabs>
    </w:pPr>
    <w:rPr>
      <w:sz w:val="24"/>
    </w:rPr>
  </w:style>
  <w:style w:type="paragraph" w:styleId="78">
    <w:name w:val="List Paragraph"/>
    <w:basedOn w:val="1"/>
    <w:qFormat/>
    <w:uiPriority w:val="34"/>
    <w:pPr>
      <w:widowControl/>
      <w:ind w:firstLine="420" w:firstLineChars="200"/>
      <w:jc w:val="left"/>
    </w:pPr>
    <w:rPr>
      <w:kern w:val="0"/>
      <w:sz w:val="24"/>
    </w:rPr>
  </w:style>
  <w:style w:type="paragraph" w:customStyle="1" w:styleId="79">
    <w:name w:val="列出段落1"/>
    <w:basedOn w:val="1"/>
    <w:qFormat/>
    <w:uiPriority w:val="99"/>
    <w:pPr>
      <w:ind w:firstLine="420" w:firstLineChars="200"/>
    </w:pPr>
  </w:style>
  <w:style w:type="paragraph" w:customStyle="1" w:styleId="80">
    <w:name w:val="缺省文本"/>
    <w:qFormat/>
    <w:uiPriority w:val="0"/>
    <w:pPr>
      <w:widowControl w:val="0"/>
      <w:autoSpaceDE w:val="0"/>
      <w:autoSpaceDN w:val="0"/>
      <w:adjustRightInd w:val="0"/>
    </w:pPr>
    <w:rPr>
      <w:rFonts w:ascii="Calibri" w:hAnsi="Calibri" w:eastAsia="宋体" w:cs="Times New Roman"/>
      <w:color w:val="000000"/>
      <w:sz w:val="21"/>
      <w:szCs w:val="24"/>
      <w:lang w:val="en-US" w:eastAsia="zh-CN" w:bidi="ar-SA"/>
    </w:rPr>
  </w:style>
  <w:style w:type="paragraph" w:customStyle="1" w:styleId="81">
    <w:name w:val="彩色列表 - 强调文字颜色 11"/>
    <w:basedOn w:val="1"/>
    <w:qFormat/>
    <w:uiPriority w:val="0"/>
    <w:pPr>
      <w:widowControl/>
      <w:ind w:firstLine="420" w:firstLineChars="200"/>
      <w:jc w:val="left"/>
    </w:pPr>
    <w:rPr>
      <w:kern w:val="0"/>
      <w:sz w:val="24"/>
    </w:rPr>
  </w:style>
  <w:style w:type="character" w:customStyle="1" w:styleId="82">
    <w:name w:val="font11"/>
    <w:basedOn w:val="39"/>
    <w:qFormat/>
    <w:uiPriority w:val="0"/>
    <w:rPr>
      <w:rFonts w:hint="eastAsia" w:ascii="宋体" w:hAnsi="宋体" w:eastAsia="宋体" w:cs="宋体"/>
      <w:color w:val="000000"/>
      <w:sz w:val="20"/>
      <w:szCs w:val="20"/>
      <w:u w:val="none"/>
    </w:rPr>
  </w:style>
  <w:style w:type="character" w:customStyle="1" w:styleId="83">
    <w:name w:val="font21"/>
    <w:basedOn w:val="39"/>
    <w:qFormat/>
    <w:uiPriority w:val="0"/>
    <w:rPr>
      <w:rFonts w:ascii="Calibri" w:hAnsi="Calibri" w:cs="Calibri"/>
      <w:color w:val="000000"/>
      <w:sz w:val="20"/>
      <w:szCs w:val="20"/>
      <w:u w:val="none"/>
    </w:rPr>
  </w:style>
  <w:style w:type="character" w:customStyle="1" w:styleId="84">
    <w:name w:val="font31"/>
    <w:basedOn w:val="39"/>
    <w:qFormat/>
    <w:uiPriority w:val="0"/>
    <w:rPr>
      <w:rFonts w:hint="eastAsia" w:ascii="宋体" w:hAnsi="宋体" w:eastAsia="宋体" w:cs="宋体"/>
      <w:b/>
      <w:bCs/>
      <w:color w:val="000000"/>
      <w:sz w:val="20"/>
      <w:szCs w:val="20"/>
      <w:u w:val="none"/>
    </w:rPr>
  </w:style>
  <w:style w:type="character" w:customStyle="1" w:styleId="85">
    <w:name w:val="font81"/>
    <w:basedOn w:val="39"/>
    <w:qFormat/>
    <w:uiPriority w:val="0"/>
    <w:rPr>
      <w:rFonts w:hint="eastAsia" w:ascii="宋体" w:hAnsi="宋体" w:eastAsia="宋体" w:cs="宋体"/>
      <w:b/>
      <w:bCs/>
      <w:color w:val="FF0000"/>
      <w:sz w:val="20"/>
      <w:szCs w:val="20"/>
      <w:u w:val="none"/>
    </w:rPr>
  </w:style>
  <w:style w:type="character" w:customStyle="1" w:styleId="86">
    <w:name w:val="font51"/>
    <w:basedOn w:val="39"/>
    <w:qFormat/>
    <w:uiPriority w:val="0"/>
    <w:rPr>
      <w:rFonts w:ascii="Calibri" w:hAnsi="Calibri" w:cs="Calibri"/>
      <w:color w:val="000000"/>
      <w:sz w:val="20"/>
      <w:szCs w:val="20"/>
      <w:u w:val="none"/>
    </w:rPr>
  </w:style>
  <w:style w:type="character" w:customStyle="1" w:styleId="87">
    <w:name w:val="font01"/>
    <w:basedOn w:val="39"/>
    <w:qFormat/>
    <w:uiPriority w:val="0"/>
    <w:rPr>
      <w:rFonts w:hint="eastAsia" w:ascii="宋体" w:hAnsi="宋体" w:eastAsia="宋体" w:cs="宋体"/>
      <w:color w:val="000000"/>
      <w:sz w:val="22"/>
      <w:szCs w:val="22"/>
      <w:u w:val="none"/>
    </w:rPr>
  </w:style>
  <w:style w:type="character" w:customStyle="1" w:styleId="88">
    <w:name w:val="font191"/>
    <w:basedOn w:val="39"/>
    <w:qFormat/>
    <w:uiPriority w:val="0"/>
    <w:rPr>
      <w:rFonts w:hint="eastAsia" w:ascii="宋体" w:hAnsi="宋体" w:eastAsia="宋体" w:cs="宋体"/>
      <w:color w:val="000000"/>
      <w:sz w:val="32"/>
      <w:szCs w:val="32"/>
      <w:u w:val="none"/>
    </w:rPr>
  </w:style>
  <w:style w:type="character" w:customStyle="1" w:styleId="89">
    <w:name w:val="font161"/>
    <w:basedOn w:val="39"/>
    <w:qFormat/>
    <w:uiPriority w:val="0"/>
    <w:rPr>
      <w:rFonts w:hint="default" w:ascii="Times New Roman" w:hAnsi="Times New Roman" w:cs="Times New Roman"/>
      <w:color w:val="000000"/>
      <w:sz w:val="32"/>
      <w:szCs w:val="32"/>
      <w:u w:val="none"/>
    </w:rPr>
  </w:style>
  <w:style w:type="character" w:customStyle="1" w:styleId="90">
    <w:name w:val="font121"/>
    <w:basedOn w:val="39"/>
    <w:qFormat/>
    <w:uiPriority w:val="0"/>
    <w:rPr>
      <w:rFonts w:hint="default" w:ascii="仿宋_GB2312" w:eastAsia="仿宋_GB2312" w:cs="仿宋_GB2312"/>
      <w:color w:val="000000"/>
      <w:sz w:val="22"/>
      <w:szCs w:val="22"/>
      <w:u w:val="none"/>
    </w:rPr>
  </w:style>
  <w:style w:type="character" w:customStyle="1" w:styleId="91">
    <w:name w:val="font131"/>
    <w:basedOn w:val="39"/>
    <w:qFormat/>
    <w:uiPriority w:val="0"/>
    <w:rPr>
      <w:rFonts w:hint="eastAsia" w:ascii="等线" w:hAnsi="等线" w:eastAsia="等线" w:cs="等线"/>
      <w:color w:val="000000"/>
      <w:sz w:val="22"/>
      <w:szCs w:val="22"/>
      <w:u w:val="none"/>
    </w:rPr>
  </w:style>
  <w:style w:type="character" w:customStyle="1" w:styleId="92">
    <w:name w:val="font201"/>
    <w:basedOn w:val="39"/>
    <w:qFormat/>
    <w:uiPriority w:val="0"/>
    <w:rPr>
      <w:rFonts w:hint="eastAsia" w:ascii="等线" w:hAnsi="等线" w:eastAsia="等线" w:cs="等线"/>
      <w:color w:val="000000"/>
      <w:sz w:val="22"/>
      <w:szCs w:val="22"/>
      <w:u w:val="none"/>
      <w:vertAlign w:val="subscript"/>
    </w:rPr>
  </w:style>
  <w:style w:type="character" w:customStyle="1" w:styleId="93">
    <w:name w:val="font141"/>
    <w:basedOn w:val="39"/>
    <w:qFormat/>
    <w:uiPriority w:val="0"/>
    <w:rPr>
      <w:rFonts w:hint="eastAsia" w:ascii="等线" w:hAnsi="等线" w:eastAsia="等线" w:cs="等线"/>
      <w:color w:val="000000"/>
      <w:sz w:val="20"/>
      <w:szCs w:val="20"/>
      <w:u w:val="none"/>
      <w:vertAlign w:val="subscript"/>
    </w:rPr>
  </w:style>
  <w:style w:type="character" w:customStyle="1" w:styleId="94">
    <w:name w:val="font211"/>
    <w:basedOn w:val="39"/>
    <w:qFormat/>
    <w:uiPriority w:val="0"/>
    <w:rPr>
      <w:rFonts w:hint="eastAsia" w:ascii="等线" w:hAnsi="等线" w:eastAsia="等线" w:cs="等线"/>
      <w:color w:val="000000"/>
      <w:sz w:val="20"/>
      <w:szCs w:val="20"/>
      <w:u w:val="none"/>
    </w:rPr>
  </w:style>
  <w:style w:type="character" w:customStyle="1" w:styleId="95">
    <w:name w:val="font151"/>
    <w:basedOn w:val="39"/>
    <w:qFormat/>
    <w:uiPriority w:val="0"/>
    <w:rPr>
      <w:rFonts w:hint="default" w:ascii="Times New Roman" w:hAnsi="Times New Roman" w:cs="Times New Roman"/>
      <w:color w:val="000000"/>
      <w:sz w:val="24"/>
      <w:szCs w:val="24"/>
      <w:u w:val="none"/>
    </w:rPr>
  </w:style>
  <w:style w:type="character" w:customStyle="1" w:styleId="96">
    <w:name w:val="font61"/>
    <w:basedOn w:val="39"/>
    <w:qFormat/>
    <w:uiPriority w:val="0"/>
    <w:rPr>
      <w:rFonts w:hint="eastAsia" w:ascii="宋体" w:hAnsi="宋体" w:eastAsia="宋体" w:cs="宋体"/>
      <w:color w:val="000000"/>
      <w:sz w:val="24"/>
      <w:szCs w:val="24"/>
      <w:u w:val="none"/>
    </w:rPr>
  </w:style>
  <w:style w:type="character" w:customStyle="1" w:styleId="97">
    <w:name w:val="font41"/>
    <w:basedOn w:val="39"/>
    <w:qFormat/>
    <w:uiPriority w:val="0"/>
    <w:rPr>
      <w:rFonts w:hint="eastAsia" w:ascii="宋体" w:hAnsi="宋体" w:eastAsia="宋体" w:cs="宋体"/>
      <w:color w:val="000000"/>
      <w:sz w:val="20"/>
      <w:szCs w:val="20"/>
      <w:u w:val="none"/>
    </w:rPr>
  </w:style>
  <w:style w:type="character" w:customStyle="1" w:styleId="98">
    <w:name w:val="font222"/>
    <w:basedOn w:val="39"/>
    <w:qFormat/>
    <w:uiPriority w:val="0"/>
    <w:rPr>
      <w:rFonts w:hint="eastAsia" w:ascii="宋体" w:hAnsi="宋体" w:eastAsia="宋体" w:cs="宋体"/>
      <w:color w:val="000000"/>
      <w:sz w:val="20"/>
      <w:szCs w:val="20"/>
      <w:u w:val="none"/>
      <w:vertAlign w:val="subscript"/>
    </w:rPr>
  </w:style>
  <w:style w:type="character" w:customStyle="1" w:styleId="99">
    <w:name w:val="font112"/>
    <w:basedOn w:val="39"/>
    <w:qFormat/>
    <w:uiPriority w:val="0"/>
    <w:rPr>
      <w:rFonts w:hint="default" w:ascii="Times New Roman" w:hAnsi="Times New Roman" w:cs="Times New Roman"/>
      <w:color w:val="000000"/>
      <w:sz w:val="20"/>
      <w:szCs w:val="20"/>
      <w:u w:val="none"/>
    </w:rPr>
  </w:style>
  <w:style w:type="character" w:customStyle="1" w:styleId="100">
    <w:name w:val="font231"/>
    <w:basedOn w:val="39"/>
    <w:qFormat/>
    <w:uiPriority w:val="0"/>
    <w:rPr>
      <w:rFonts w:hint="eastAsia" w:ascii="宋体" w:hAnsi="宋体" w:eastAsia="宋体" w:cs="宋体"/>
      <w:color w:val="000000"/>
      <w:sz w:val="24"/>
      <w:szCs w:val="24"/>
      <w:u w:val="none"/>
      <w:vertAlign w:val="subscript"/>
    </w:rPr>
  </w:style>
  <w:style w:type="character" w:customStyle="1" w:styleId="101">
    <w:name w:val="font241"/>
    <w:basedOn w:val="39"/>
    <w:qFormat/>
    <w:uiPriority w:val="0"/>
    <w:rPr>
      <w:rFonts w:hint="eastAsia" w:ascii="宋体" w:hAnsi="宋体" w:eastAsia="宋体" w:cs="宋体"/>
      <w:color w:val="000000"/>
      <w:sz w:val="32"/>
      <w:szCs w:val="32"/>
      <w:u w:val="none"/>
    </w:rPr>
  </w:style>
  <w:style w:type="character" w:customStyle="1" w:styleId="102">
    <w:name w:val="font171"/>
    <w:basedOn w:val="39"/>
    <w:qFormat/>
    <w:uiPriority w:val="0"/>
    <w:rPr>
      <w:rFonts w:hint="default" w:ascii="Times New Roman" w:hAnsi="Times New Roman" w:cs="Times New Roman"/>
      <w:color w:val="000000"/>
      <w:sz w:val="20"/>
      <w:szCs w:val="20"/>
      <w:u w:val="none"/>
      <w:vertAlign w:val="superscript"/>
    </w:rPr>
  </w:style>
  <w:style w:type="character" w:customStyle="1" w:styleId="103">
    <w:name w:val="font181"/>
    <w:basedOn w:val="39"/>
    <w:qFormat/>
    <w:uiPriority w:val="0"/>
    <w:rPr>
      <w:rFonts w:hint="eastAsia" w:ascii="宋体" w:hAnsi="宋体" w:eastAsia="宋体" w:cs="宋体"/>
      <w:color w:val="000000"/>
      <w:sz w:val="20"/>
      <w:szCs w:val="20"/>
      <w:u w:val="none"/>
      <w:vertAlign w:val="superscript"/>
    </w:rPr>
  </w:style>
  <w:style w:type="character" w:customStyle="1" w:styleId="104">
    <w:name w:val="font101"/>
    <w:basedOn w:val="39"/>
    <w:qFormat/>
    <w:uiPriority w:val="0"/>
    <w:rPr>
      <w:rFonts w:hint="eastAsia" w:ascii="宋体" w:hAnsi="宋体" w:eastAsia="宋体" w:cs="宋体"/>
      <w:color w:val="000000"/>
      <w:sz w:val="32"/>
      <w:szCs w:val="32"/>
      <w:u w:val="none"/>
    </w:rPr>
  </w:style>
  <w:style w:type="paragraph" w:styleId="105">
    <w:name w:val="No Spacing"/>
    <w:qFormat/>
    <w:uiPriority w:val="1"/>
    <w:pPr>
      <w:widowControl w:val="0"/>
      <w:jc w:val="both"/>
    </w:pPr>
    <w:rPr>
      <w:rFonts w:ascii="宋体" w:hAnsi="宋体" w:eastAsia="仿宋" w:cs="宋体"/>
      <w:kern w:val="2"/>
      <w:sz w:val="28"/>
      <w:szCs w:val="24"/>
      <w:lang w:val="en-US" w:eastAsia="zh-CN" w:bidi="ar-SA"/>
    </w:rPr>
  </w:style>
  <w:style w:type="paragraph" w:customStyle="1" w:styleId="106">
    <w:name w:val="正文内容"/>
    <w:basedOn w:val="1"/>
    <w:qFormat/>
    <w:uiPriority w:val="5"/>
    <w:pPr>
      <w:adjustRightInd w:val="0"/>
      <w:spacing w:line="360" w:lineRule="auto"/>
      <w:ind w:firstLine="200" w:firstLineChars="200"/>
    </w:pPr>
    <w:rPr>
      <w:rFonts w:ascii="Times New Roman" w:hAnsi="Times New Roman" w:eastAsia="宋体" w:cs="Times New Roman"/>
      <w:sz w:val="24"/>
      <w:szCs w:val="24"/>
      <w:lang w:val="zh-CN"/>
    </w:rPr>
  </w:style>
  <w:style w:type="paragraph" w:customStyle="1" w:styleId="107">
    <w:name w:val="_Style 2"/>
    <w:basedOn w:val="1"/>
    <w:qFormat/>
    <w:uiPriority w:val="0"/>
  </w:style>
  <w:style w:type="paragraph" w:customStyle="1" w:styleId="108">
    <w:name w:val="文档正文"/>
    <w:basedOn w:val="109"/>
    <w:qFormat/>
    <w:uiPriority w:val="0"/>
    <w:pPr>
      <w:suppressAutoHyphens/>
      <w:spacing w:line="312" w:lineRule="atLeast"/>
      <w:ind w:firstLine="567"/>
      <w:jc w:val="left"/>
      <w:textAlignment w:val="baseline"/>
    </w:pPr>
    <w:rPr>
      <w:rFonts w:ascii="长城仿宋" w:hAnsi="长城仿宋" w:eastAsia="楷体" w:cs="Tahoma"/>
      <w:w w:val="80"/>
      <w:kern w:val="1"/>
      <w:sz w:val="28"/>
      <w:szCs w:val="20"/>
    </w:rPr>
  </w:style>
  <w:style w:type="paragraph" w:customStyle="1" w:styleId="109">
    <w:name w:val="正文缩进(ALT+Z)"/>
    <w:basedOn w:val="1"/>
    <w:qFormat/>
    <w:uiPriority w:val="0"/>
    <w:pPr>
      <w:spacing w:after="0"/>
      <w:ind w:firstLine="480" w:firstLineChars="200"/>
    </w:pPr>
    <w:rPr>
      <w:color w:val="000000"/>
      <w:kern w:val="2"/>
      <w:szCs w:val="24"/>
      <w:lang w:val="en-US"/>
    </w:rPr>
  </w:style>
  <w:style w:type="paragraph" w:customStyle="1" w:styleId="110">
    <w:name w:val="图片"/>
    <w:qFormat/>
    <w:uiPriority w:val="0"/>
    <w:pPr>
      <w:keepNext/>
      <w:jc w:val="center"/>
    </w:pPr>
    <w:rPr>
      <w:rFonts w:ascii="Times New Roman" w:hAnsi="Times New Roman" w:eastAsia="宋体" w:cs="Times New Roman"/>
      <w:kern w:val="2"/>
      <w:sz w:val="21"/>
      <w:szCs w:val="24"/>
      <w:lang w:val="en-US" w:eastAsia="zh-CN" w:bidi="ar-SA"/>
    </w:rPr>
  </w:style>
  <w:style w:type="paragraph" w:customStyle="1" w:styleId="111">
    <w:name w:val="图表题注"/>
    <w:basedOn w:val="14"/>
    <w:qFormat/>
    <w:uiPriority w:val="0"/>
    <w:pPr>
      <w:keepNext/>
      <w:widowControl/>
      <w:spacing w:before="120"/>
      <w:ind w:firstLine="0" w:firstLineChars="0"/>
      <w:jc w:val="center"/>
    </w:pPr>
    <w:rPr>
      <w:rFonts w:ascii="Times New Roman" w:hAnsi="Times New Roman" w:eastAsia="宋体"/>
      <w:kern w:val="0"/>
      <w:sz w:val="21"/>
    </w:rPr>
  </w:style>
  <w:style w:type="character" w:customStyle="1" w:styleId="112">
    <w:name w:val="font71"/>
    <w:basedOn w:val="39"/>
    <w:qFormat/>
    <w:uiPriority w:val="0"/>
    <w:rPr>
      <w:rFonts w:ascii="新宋体" w:hAnsi="新宋体" w:eastAsia="新宋体" w:cs="新宋体"/>
      <w:b/>
      <w:bCs/>
      <w:color w:val="000000"/>
      <w:sz w:val="20"/>
      <w:szCs w:val="20"/>
      <w:u w:val="none"/>
    </w:rPr>
  </w:style>
  <w:style w:type="character" w:customStyle="1" w:styleId="113">
    <w:name w:val="font91"/>
    <w:basedOn w:val="39"/>
    <w:qFormat/>
    <w:uiPriority w:val="0"/>
    <w:rPr>
      <w:rFonts w:hint="eastAsia" w:ascii="宋体" w:hAnsi="宋体" w:eastAsia="宋体" w:cs="宋体"/>
      <w:color w:val="000000"/>
      <w:sz w:val="18"/>
      <w:szCs w:val="18"/>
      <w:u w:val="none"/>
    </w:rPr>
  </w:style>
  <w:style w:type="paragraph" w:customStyle="1" w:styleId="114">
    <w:name w:val="表格正文"/>
    <w:basedOn w:val="1"/>
    <w:qFormat/>
    <w:uiPriority w:val="0"/>
    <w:pPr>
      <w:adjustRightInd w:val="0"/>
      <w:snapToGrid w:val="0"/>
      <w:spacing w:before="60" w:after="60"/>
      <w:jc w:val="center"/>
      <w:textAlignment w:val="baseline"/>
    </w:pPr>
    <w:rPr>
      <w:kern w:val="0"/>
      <w:sz w:val="24"/>
      <w:szCs w:val="20"/>
    </w:rPr>
  </w:style>
  <w:style w:type="paragraph" w:customStyle="1" w:styleId="115">
    <w:name w:val="图"/>
    <w:basedOn w:val="1"/>
    <w:next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16">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4"/>
      <w:szCs w:val="20"/>
      <w:lang w:val="en-US" w:eastAsia="zh-CN" w:bidi="ar"/>
    </w:rPr>
  </w:style>
  <w:style w:type="paragraph" w:customStyle="1" w:styleId="117">
    <w:name w:val="TableHeader"/>
    <w:basedOn w:val="1"/>
    <w:qFormat/>
    <w:uiPriority w:val="0"/>
    <w:pPr>
      <w:keepNext w:val="0"/>
      <w:keepLines w:val="0"/>
      <w:widowControl/>
      <w:suppressLineNumbers w:val="0"/>
      <w:spacing w:before="40" w:beforeAutospacing="0" w:after="40" w:afterAutospacing="0"/>
      <w:ind w:left="0" w:right="0"/>
      <w:jc w:val="center"/>
    </w:pPr>
    <w:rPr>
      <w:rFonts w:hint="default" w:ascii="Arial" w:hAnsi="Arial" w:eastAsia="宋体" w:cs="Times New Roman"/>
      <w:b/>
      <w:bCs/>
      <w:kern w:val="44"/>
      <w:sz w:val="18"/>
      <w:szCs w:val="44"/>
      <w:lang w:val="en-US" w:eastAsia="zh-CN" w:bidi="ar"/>
    </w:rPr>
  </w:style>
  <w:style w:type="paragraph" w:customStyle="1" w:styleId="118">
    <w:name w:val="正文_2"/>
    <w:basedOn w:val="1"/>
    <w:next w:val="1"/>
    <w:qFormat/>
    <w:uiPriority w:val="0"/>
    <w:rPr>
      <w:rFonts w:cs="宋体"/>
      <w:szCs w:val="21"/>
    </w:rPr>
  </w:style>
  <w:style w:type="paragraph" w:customStyle="1" w:styleId="119">
    <w:name w:val="标题 5（有编号）（绿盟科技）"/>
    <w:basedOn w:val="1"/>
    <w:next w:val="1"/>
    <w:qFormat/>
    <w:uiPriority w:val="0"/>
    <w:pPr>
      <w:keepNext/>
      <w:keepLines/>
      <w:widowControl/>
      <w:numPr>
        <w:ilvl w:val="4"/>
        <w:numId w:val="2"/>
      </w:numPr>
      <w:tabs>
        <w:tab w:val="left" w:pos="0"/>
      </w:tabs>
      <w:spacing w:before="280" w:after="156" w:line="377" w:lineRule="auto"/>
      <w:jc w:val="left"/>
      <w:outlineLvl w:val="4"/>
    </w:pPr>
    <w:rPr>
      <w:rFonts w:ascii="Arial" w:hAnsi="Arial" w:eastAsia="黑体" w:cs="黑体"/>
      <w:b/>
      <w:kern w:val="0"/>
      <w:szCs w:val="28"/>
    </w:rPr>
  </w:style>
  <w:style w:type="paragraph" w:customStyle="1" w:styleId="120">
    <w:name w:val="表格4"/>
    <w:qFormat/>
    <w:uiPriority w:val="0"/>
    <w:rPr>
      <w:rFonts w:ascii="宋体" w:hAnsi="宋体" w:eastAsia="宋体" w:cs="Times New Roman"/>
      <w:kern w:val="2"/>
      <w:sz w:val="21"/>
      <w:szCs w:val="21"/>
      <w:lang w:val="en-US" w:eastAsia="zh-CN" w:bidi="ar-SA"/>
    </w:rPr>
  </w:style>
  <w:style w:type="paragraph" w:customStyle="1" w:styleId="12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22">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23">
    <w:name w:val="p18_1_2"/>
    <w:basedOn w:val="1"/>
    <w:qFormat/>
    <w:uiPriority w:val="0"/>
    <w:pPr>
      <w:widowControl/>
    </w:pPr>
    <w:rPr>
      <w:kern w:val="0"/>
      <w:szCs w:val="21"/>
    </w:rPr>
  </w:style>
  <w:style w:type="paragraph" w:customStyle="1" w:styleId="124">
    <w:name w:val="GP正文(首行缩进)"/>
    <w:basedOn w:val="1"/>
    <w:qFormat/>
    <w:uiPriority w:val="0"/>
    <w:pPr>
      <w:widowControl/>
      <w:ind w:firstLine="200"/>
    </w:pPr>
    <w:rPr>
      <w:szCs w:val="21"/>
    </w:rPr>
  </w:style>
  <w:style w:type="paragraph" w:customStyle="1" w:styleId="12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
    <w:name w:val="Normal_1"/>
    <w:qFormat/>
    <w:uiPriority w:val="0"/>
    <w:rPr>
      <w:rFonts w:ascii="黑体" w:hAnsi="黑体" w:eastAsia="黑体" w:cs="Times New Roman"/>
      <w:b/>
      <w:sz w:val="32"/>
      <w:szCs w:val="24"/>
      <w:lang w:bidi="ar-SA"/>
    </w:rPr>
  </w:style>
  <w:style w:type="paragraph" w:customStyle="1" w:styleId="127">
    <w:name w:val="Normal_0"/>
    <w:qFormat/>
    <w:uiPriority w:val="0"/>
    <w:rPr>
      <w:rFonts w:ascii="黑体" w:hAnsi="黑体" w:eastAsia="黑体" w:cs="Times New Roman"/>
      <w:b/>
      <w:sz w:val="32"/>
      <w:szCs w:val="24"/>
      <w:lang w:bidi="ar-SA"/>
    </w:rPr>
  </w:style>
  <w:style w:type="paragraph" w:customStyle="1" w:styleId="128">
    <w:name w:val="Normal_3"/>
    <w:qFormat/>
    <w:uiPriority w:val="0"/>
    <w:rPr>
      <w:rFonts w:ascii="黑体" w:hAnsi="黑体" w:eastAsia="黑体" w:cs="Times New Roman"/>
      <w:b/>
      <w:sz w:val="32"/>
      <w:szCs w:val="24"/>
      <w:lang w:bidi="ar-SA"/>
    </w:rPr>
  </w:style>
  <w:style w:type="paragraph" w:customStyle="1" w:styleId="12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109</Pages>
  <Words>53896</Words>
  <Characters>59585</Characters>
  <Lines>360</Lines>
  <Paragraphs>101</Paragraphs>
  <TotalTime>1</TotalTime>
  <ScaleCrop>false</ScaleCrop>
  <LinksUpToDate>false</LinksUpToDate>
  <CharactersWithSpaces>62964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2021-01-08T02:52:00Z</dcterms:created>
  <dc:creator>dell</dc:creator>
  <cp:lastModifiedBy>双子朵</cp:lastModifiedBy>
  <cp:lastPrinted>2021-07-20T12:19:00Z</cp:lastPrinted>
  <dcterms:modified xsi:type="dcterms:W3CDTF">2023-08-21T04:57:22Z</dcterms:modified>
  <dc:title>02年杜范本稿</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B5FA6C9F3E5040A480C622AEB8E64B67_13</vt:lpwstr>
  </property>
</Properties>
</file>