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11.odttf" ContentType="application/vnd.openxmlformats-officedocument.obfuscatedFont"/>
  <Override PartName="/word/fonts/font12.odttf" ContentType="application/vnd.openxmlformats-officedocument.obfuscatedFont"/>
  <Override PartName="/word/fonts/font13.odttf" ContentType="application/vnd.openxmlformats-officedocument.obfuscatedFont"/>
  <Override PartName="/word/fonts/font14.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37A52B">
      <w:pPr>
        <w:rPr>
          <w:rFonts w:hint="eastAsia" w:ascii="黑体" w:hAnsi="黑体" w:eastAsia="黑体"/>
          <w:i w:val="0"/>
          <w:iCs w:val="0"/>
          <w:color w:val="auto"/>
          <w:sz w:val="32"/>
          <w:szCs w:val="32"/>
          <w:highlight w:val="none"/>
          <w:lang w:eastAsia="zh-CN"/>
        </w:rPr>
      </w:pPr>
    </w:p>
    <w:p w14:paraId="06C72DAE">
      <w:pPr>
        <w:jc w:val="center"/>
        <w:rPr>
          <w:rFonts w:hint="eastAsia" w:ascii="黑体" w:hAnsi="黑体" w:eastAsia="黑体"/>
          <w:i w:val="0"/>
          <w:iCs w:val="0"/>
          <w:color w:val="auto"/>
          <w:spacing w:val="5760"/>
          <w:w w:val="100"/>
          <w:kern w:val="0"/>
          <w:sz w:val="36"/>
          <w:szCs w:val="36"/>
          <w:highlight w:val="none"/>
          <w:fitText w:val="6120" w:id="-1002138880"/>
          <w:lang w:val="en-US" w:eastAsia="zh-CN"/>
        </w:rPr>
      </w:pPr>
    </w:p>
    <w:p w14:paraId="7E773705">
      <w:pPr>
        <w:jc w:val="center"/>
        <w:rPr>
          <w:rFonts w:hint="eastAsia" w:ascii="宋体" w:hAnsi="宋体" w:eastAsia="宋体" w:cs="宋体"/>
          <w:b/>
          <w:bCs/>
          <w:i w:val="0"/>
          <w:iCs w:val="0"/>
          <w:color w:val="auto"/>
          <w:kern w:val="0"/>
          <w:sz w:val="60"/>
          <w:szCs w:val="60"/>
          <w:highlight w:val="none"/>
          <w:lang w:val="en-US" w:eastAsia="zh-CN"/>
        </w:rPr>
      </w:pPr>
    </w:p>
    <w:p w14:paraId="1B00BC94">
      <w:pPr>
        <w:jc w:val="center"/>
        <w:rPr>
          <w:rFonts w:hint="eastAsia" w:ascii="宋体" w:hAnsi="宋体" w:eastAsia="宋体" w:cs="宋体"/>
          <w:b/>
          <w:bCs/>
          <w:i w:val="0"/>
          <w:iCs w:val="0"/>
          <w:color w:val="auto"/>
          <w:kern w:val="0"/>
          <w:sz w:val="60"/>
          <w:szCs w:val="60"/>
          <w:highlight w:val="none"/>
          <w:lang w:val="en-US" w:eastAsia="zh-CN"/>
        </w:rPr>
      </w:pPr>
      <w:r>
        <w:rPr>
          <w:rFonts w:hint="eastAsia" w:ascii="宋体" w:hAnsi="宋体" w:eastAsia="宋体" w:cs="宋体"/>
          <w:b/>
          <w:bCs/>
          <w:i w:val="0"/>
          <w:iCs w:val="0"/>
          <w:color w:val="auto"/>
          <w:kern w:val="0"/>
          <w:sz w:val="60"/>
          <w:szCs w:val="60"/>
          <w:highlight w:val="none"/>
          <w:lang w:val="en-US" w:eastAsia="zh-CN"/>
        </w:rPr>
        <w:t>竞争性磋商文件</w:t>
      </w:r>
    </w:p>
    <w:p w14:paraId="4E1FA335">
      <w:pPr>
        <w:jc w:val="center"/>
        <w:rPr>
          <w:rFonts w:hint="eastAsia" w:ascii="宋体" w:hAnsi="宋体" w:eastAsia="宋体" w:cs="宋体"/>
          <w:b/>
          <w:bCs/>
          <w:i w:val="0"/>
          <w:iCs w:val="0"/>
          <w:color w:val="auto"/>
          <w:kern w:val="0"/>
          <w:sz w:val="60"/>
          <w:szCs w:val="60"/>
          <w:highlight w:val="none"/>
          <w:lang w:val="en-US" w:eastAsia="zh-CN"/>
        </w:rPr>
      </w:pPr>
      <w:r>
        <w:rPr>
          <w:rFonts w:hint="eastAsia" w:ascii="宋体" w:hAnsi="宋体" w:eastAsia="宋体" w:cs="宋体"/>
          <w:b/>
          <w:bCs/>
          <w:i w:val="0"/>
          <w:iCs w:val="0"/>
          <w:color w:val="auto"/>
          <w:kern w:val="0"/>
          <w:sz w:val="60"/>
          <w:szCs w:val="60"/>
          <w:highlight w:val="none"/>
          <w:lang w:val="en-US" w:eastAsia="zh-CN"/>
        </w:rPr>
        <w:t>（服务）</w:t>
      </w:r>
    </w:p>
    <w:p w14:paraId="08B3A613">
      <w:pPr>
        <w:jc w:val="center"/>
        <w:rPr>
          <w:rFonts w:hint="eastAsia" w:ascii="宋体" w:hAnsi="宋体" w:eastAsia="宋体" w:cs="宋体"/>
          <w:b/>
          <w:bCs/>
          <w:i w:val="0"/>
          <w:iCs w:val="0"/>
          <w:color w:val="auto"/>
          <w:kern w:val="0"/>
          <w:sz w:val="60"/>
          <w:szCs w:val="60"/>
          <w:highlight w:val="none"/>
          <w:lang w:val="en-US" w:eastAsia="zh-CN"/>
        </w:rPr>
      </w:pPr>
    </w:p>
    <w:p w14:paraId="6C8C8A47">
      <w:pPr>
        <w:jc w:val="center"/>
        <w:rPr>
          <w:rFonts w:ascii="黑体" w:hAnsi="黑体" w:eastAsia="黑体"/>
          <w:i w:val="0"/>
          <w:iCs w:val="0"/>
          <w:color w:val="auto"/>
          <w:sz w:val="72"/>
          <w:szCs w:val="72"/>
          <w:highlight w:val="none"/>
        </w:rPr>
      </w:pPr>
    </w:p>
    <w:p w14:paraId="281ECC9C">
      <w:pPr>
        <w:jc w:val="center"/>
        <w:rPr>
          <w:rFonts w:ascii="黑体" w:hAnsi="黑体" w:eastAsia="黑体"/>
          <w:i w:val="0"/>
          <w:iCs w:val="0"/>
          <w:color w:val="auto"/>
          <w:sz w:val="72"/>
          <w:szCs w:val="72"/>
          <w:highlight w:val="none"/>
        </w:rPr>
      </w:pPr>
    </w:p>
    <w:p w14:paraId="4D4560B2">
      <w:pPr>
        <w:jc w:val="left"/>
        <w:rPr>
          <w:rFonts w:hint="eastAsia" w:ascii="黑体" w:hAnsi="黑体" w:eastAsia="黑体"/>
          <w:sz w:val="32"/>
          <w:szCs w:val="32"/>
        </w:rPr>
      </w:pPr>
      <w:r>
        <w:rPr>
          <w:rFonts w:hint="eastAsia" w:ascii="黑体" w:hAnsi="黑体" w:eastAsia="黑体"/>
          <w:sz w:val="32"/>
          <w:szCs w:val="32"/>
        </w:rPr>
        <w:t>项目编号：</w:t>
      </w:r>
      <w:r>
        <w:rPr>
          <w:rFonts w:hint="eastAsia" w:ascii="黑体" w:hAnsi="黑体" w:eastAsia="黑体"/>
          <w:sz w:val="32"/>
          <w:szCs w:val="32"/>
          <w:lang w:eastAsia="zh-CN"/>
        </w:rPr>
        <w:t>HTSZFCGZBDL-2025-045</w:t>
      </w:r>
      <w:r>
        <w:rPr>
          <w:rFonts w:hint="eastAsia" w:ascii="黑体" w:hAnsi="黑体" w:eastAsia="黑体"/>
          <w:sz w:val="32"/>
          <w:szCs w:val="32"/>
          <w:lang w:val="en-US" w:eastAsia="zh-CN"/>
        </w:rPr>
        <w:t xml:space="preserve">      </w:t>
      </w:r>
    </w:p>
    <w:p w14:paraId="42BC3FDC">
      <w:pPr>
        <w:jc w:val="left"/>
        <w:rPr>
          <w:rFonts w:hint="eastAsia" w:ascii="黑体" w:hAnsi="黑体" w:eastAsia="黑体"/>
          <w:sz w:val="32"/>
          <w:szCs w:val="32"/>
        </w:rPr>
      </w:pPr>
      <w:r>
        <w:rPr>
          <w:rFonts w:hint="eastAsia" w:ascii="黑体" w:hAnsi="黑体" w:eastAsia="黑体"/>
          <w:sz w:val="32"/>
          <w:szCs w:val="32"/>
        </w:rPr>
        <w:t>项目名称：</w:t>
      </w:r>
      <w:r>
        <w:rPr>
          <w:rFonts w:hint="eastAsia" w:ascii="黑体" w:hAnsi="黑体" w:eastAsia="黑体"/>
          <w:sz w:val="32"/>
          <w:szCs w:val="32"/>
          <w:lang w:eastAsia="zh-CN"/>
        </w:rPr>
        <w:t>2025年和田市维医药产业集群建设项目（</w:t>
      </w:r>
      <w:r>
        <w:rPr>
          <w:rFonts w:hint="eastAsia" w:ascii="黑体" w:hAnsi="黑体" w:eastAsia="黑体"/>
          <w:sz w:val="32"/>
          <w:szCs w:val="32"/>
          <w:lang w:val="en-US" w:eastAsia="zh-CN"/>
        </w:rPr>
        <w:t xml:space="preserve">包二） </w:t>
      </w:r>
      <w:r>
        <w:rPr>
          <w:rFonts w:hint="eastAsia" w:ascii="黑体" w:hAnsi="黑体" w:eastAsia="黑体"/>
          <w:sz w:val="32"/>
          <w:szCs w:val="32"/>
        </w:rPr>
        <w:t xml:space="preserve"> </w:t>
      </w:r>
    </w:p>
    <w:p w14:paraId="504E0C23">
      <w:pPr>
        <w:jc w:val="left"/>
        <w:rPr>
          <w:rFonts w:hint="eastAsia" w:ascii="黑体" w:hAnsi="黑体" w:eastAsia="黑体"/>
          <w:sz w:val="32"/>
          <w:szCs w:val="32"/>
        </w:rPr>
      </w:pPr>
    </w:p>
    <w:p w14:paraId="07A4B50A">
      <w:pPr>
        <w:jc w:val="left"/>
        <w:rPr>
          <w:rFonts w:hint="eastAsia" w:ascii="黑体" w:hAnsi="黑体" w:eastAsia="黑体"/>
          <w:sz w:val="32"/>
          <w:szCs w:val="32"/>
        </w:rPr>
      </w:pPr>
    </w:p>
    <w:p w14:paraId="1B938DA8">
      <w:pPr>
        <w:jc w:val="left"/>
        <w:rPr>
          <w:rFonts w:hint="eastAsia" w:ascii="黑体" w:hAnsi="黑体" w:eastAsia="黑体"/>
          <w:sz w:val="32"/>
          <w:szCs w:val="32"/>
        </w:rPr>
      </w:pPr>
    </w:p>
    <w:p w14:paraId="617D5BD2">
      <w:pPr>
        <w:jc w:val="left"/>
        <w:rPr>
          <w:rFonts w:hint="eastAsia" w:ascii="黑体" w:hAnsi="黑体" w:eastAsia="黑体"/>
          <w:sz w:val="32"/>
          <w:szCs w:val="32"/>
          <w:lang w:eastAsia="zh-CN"/>
        </w:rPr>
      </w:pPr>
      <w:r>
        <w:rPr>
          <w:rFonts w:hint="eastAsia" w:ascii="黑体" w:hAnsi="黑体" w:eastAsia="黑体"/>
          <w:sz w:val="32"/>
          <w:szCs w:val="32"/>
        </w:rPr>
        <w:t>采</w:t>
      </w:r>
      <w:r>
        <w:rPr>
          <w:rFonts w:hint="eastAsia" w:ascii="黑体" w:hAnsi="黑体" w:eastAsia="黑体"/>
          <w:sz w:val="32"/>
          <w:szCs w:val="32"/>
          <w:lang w:val="en-US" w:eastAsia="zh-CN"/>
        </w:rPr>
        <w:t xml:space="preserve"> </w:t>
      </w:r>
      <w:r>
        <w:rPr>
          <w:rFonts w:hint="eastAsia" w:ascii="黑体" w:hAnsi="黑体" w:eastAsia="黑体"/>
          <w:sz w:val="32"/>
          <w:szCs w:val="32"/>
        </w:rPr>
        <w:t>购</w:t>
      </w:r>
      <w:r>
        <w:rPr>
          <w:rFonts w:hint="eastAsia" w:ascii="黑体" w:hAnsi="黑体" w:eastAsia="黑体"/>
          <w:sz w:val="32"/>
          <w:szCs w:val="32"/>
          <w:lang w:val="en-US" w:eastAsia="zh-CN"/>
        </w:rPr>
        <w:t xml:space="preserve"> </w:t>
      </w:r>
      <w:r>
        <w:rPr>
          <w:rFonts w:hint="eastAsia" w:ascii="黑体" w:hAnsi="黑体" w:eastAsia="黑体"/>
          <w:sz w:val="32"/>
          <w:szCs w:val="32"/>
        </w:rPr>
        <w:t>人：</w:t>
      </w:r>
      <w:r>
        <w:rPr>
          <w:rFonts w:hint="eastAsia" w:ascii="黑体" w:hAnsi="黑体" w:eastAsia="黑体"/>
          <w:sz w:val="32"/>
          <w:szCs w:val="32"/>
          <w:lang w:eastAsia="zh-CN"/>
        </w:rPr>
        <w:t>和田市卫生健康委员会</w:t>
      </w:r>
    </w:p>
    <w:p w14:paraId="11494878">
      <w:pPr>
        <w:jc w:val="left"/>
        <w:rPr>
          <w:rFonts w:hint="eastAsia" w:ascii="黑体" w:hAnsi="黑体" w:eastAsia="黑体"/>
          <w:sz w:val="32"/>
          <w:szCs w:val="32"/>
        </w:rPr>
      </w:pPr>
      <w:r>
        <w:rPr>
          <w:rFonts w:hint="eastAsia" w:ascii="黑体" w:hAnsi="黑体" w:eastAsia="黑体"/>
          <w:sz w:val="32"/>
          <w:szCs w:val="32"/>
        </w:rPr>
        <w:t>联 系 人：姜晓钰</w:t>
      </w:r>
      <w:r>
        <w:rPr>
          <w:rFonts w:hint="eastAsia" w:ascii="黑体" w:hAnsi="黑体" w:eastAsia="黑体"/>
          <w:sz w:val="32"/>
          <w:szCs w:val="32"/>
          <w:lang w:val="en-US" w:eastAsia="zh-CN"/>
        </w:rPr>
        <w:t xml:space="preserve">   联系</w:t>
      </w:r>
      <w:r>
        <w:rPr>
          <w:rFonts w:hint="eastAsia" w:ascii="黑体" w:hAnsi="黑体" w:eastAsia="黑体"/>
          <w:sz w:val="32"/>
          <w:szCs w:val="32"/>
        </w:rPr>
        <w:t>电话：0903-7864654</w:t>
      </w:r>
      <w:r>
        <w:rPr>
          <w:rFonts w:hint="eastAsia" w:ascii="黑体" w:hAnsi="黑体" w:eastAsia="黑体"/>
          <w:sz w:val="32"/>
          <w:szCs w:val="32"/>
          <w:lang w:val="en-US" w:eastAsia="zh-CN"/>
        </w:rPr>
        <w:t xml:space="preserve">     </w:t>
      </w:r>
      <w:r>
        <w:rPr>
          <w:rFonts w:hint="eastAsia" w:ascii="黑体" w:hAnsi="黑体" w:eastAsia="黑体"/>
          <w:sz w:val="32"/>
          <w:szCs w:val="32"/>
        </w:rPr>
        <w:t xml:space="preserve">     </w:t>
      </w:r>
      <w:r>
        <w:rPr>
          <w:rFonts w:hint="eastAsia" w:ascii="黑体" w:hAnsi="黑体" w:eastAsia="黑体"/>
          <w:sz w:val="32"/>
          <w:szCs w:val="32"/>
          <w:lang w:val="en-US" w:eastAsia="zh-CN"/>
        </w:rPr>
        <w:t xml:space="preserve">   </w:t>
      </w:r>
      <w:r>
        <w:rPr>
          <w:rFonts w:hint="eastAsia" w:ascii="黑体" w:hAnsi="黑体" w:eastAsia="黑体"/>
          <w:sz w:val="32"/>
          <w:szCs w:val="32"/>
        </w:rPr>
        <w:t xml:space="preserve">  </w:t>
      </w:r>
    </w:p>
    <w:p w14:paraId="2FD38A4D">
      <w:pPr>
        <w:jc w:val="left"/>
        <w:rPr>
          <w:rFonts w:hint="eastAsia" w:ascii="黑体" w:hAnsi="黑体" w:eastAsia="黑体"/>
          <w:sz w:val="32"/>
          <w:szCs w:val="32"/>
        </w:rPr>
      </w:pPr>
      <w:r>
        <w:rPr>
          <w:rFonts w:hint="eastAsia" w:ascii="黑体" w:hAnsi="黑体" w:eastAsia="黑体"/>
          <w:sz w:val="32"/>
          <w:szCs w:val="32"/>
        </w:rPr>
        <w:t>采购代理机构：</w:t>
      </w:r>
      <w:r>
        <w:rPr>
          <w:rFonts w:hint="eastAsia" w:ascii="黑体" w:hAnsi="黑体" w:eastAsia="黑体"/>
          <w:sz w:val="32"/>
          <w:szCs w:val="32"/>
          <w:lang w:eastAsia="zh-CN"/>
        </w:rPr>
        <w:t>新疆和晟源项目管理有限公司</w:t>
      </w:r>
      <w:r>
        <w:rPr>
          <w:rFonts w:hint="eastAsia" w:ascii="黑体" w:hAnsi="黑体" w:eastAsia="黑体"/>
          <w:sz w:val="32"/>
          <w:szCs w:val="32"/>
          <w:lang w:val="en-US" w:eastAsia="zh-CN"/>
        </w:rPr>
        <w:t xml:space="preserve">      </w:t>
      </w:r>
    </w:p>
    <w:p w14:paraId="4928370D">
      <w:pPr>
        <w:jc w:val="left"/>
        <w:rPr>
          <w:rFonts w:hint="eastAsia" w:ascii="黑体" w:hAnsi="黑体" w:eastAsia="黑体"/>
          <w:sz w:val="32"/>
          <w:szCs w:val="32"/>
        </w:rPr>
      </w:pPr>
      <w:r>
        <w:rPr>
          <w:rFonts w:hint="eastAsia" w:ascii="黑体" w:hAnsi="黑体" w:eastAsia="黑体"/>
          <w:sz w:val="32"/>
          <w:szCs w:val="32"/>
        </w:rPr>
        <w:t>联</w:t>
      </w:r>
      <w:r>
        <w:rPr>
          <w:rFonts w:hint="eastAsia" w:ascii="黑体" w:hAnsi="黑体" w:eastAsia="黑体"/>
          <w:sz w:val="32"/>
          <w:szCs w:val="32"/>
          <w:lang w:val="en-US" w:eastAsia="zh-CN"/>
        </w:rPr>
        <w:t xml:space="preserve"> </w:t>
      </w:r>
      <w:r>
        <w:rPr>
          <w:rFonts w:hint="eastAsia" w:ascii="黑体" w:hAnsi="黑体" w:eastAsia="黑体"/>
          <w:sz w:val="32"/>
          <w:szCs w:val="32"/>
        </w:rPr>
        <w:t>系</w:t>
      </w:r>
      <w:r>
        <w:rPr>
          <w:rFonts w:hint="eastAsia" w:ascii="黑体" w:hAnsi="黑体" w:eastAsia="黑体"/>
          <w:sz w:val="32"/>
          <w:szCs w:val="32"/>
          <w:lang w:val="en-US" w:eastAsia="zh-CN"/>
        </w:rPr>
        <w:t xml:space="preserve"> </w:t>
      </w:r>
      <w:r>
        <w:rPr>
          <w:rFonts w:hint="eastAsia" w:ascii="黑体" w:hAnsi="黑体" w:eastAsia="黑体"/>
          <w:sz w:val="32"/>
          <w:szCs w:val="32"/>
        </w:rPr>
        <w:t xml:space="preserve">人：周军    </w:t>
      </w:r>
      <w:r>
        <w:rPr>
          <w:rFonts w:hint="eastAsia" w:ascii="黑体" w:hAnsi="黑体" w:eastAsia="黑体"/>
          <w:sz w:val="32"/>
          <w:szCs w:val="32"/>
          <w:lang w:val="en-US" w:eastAsia="zh-CN"/>
        </w:rPr>
        <w:t xml:space="preserve"> </w:t>
      </w:r>
      <w:r>
        <w:rPr>
          <w:rFonts w:hint="eastAsia" w:ascii="黑体" w:hAnsi="黑体" w:eastAsia="黑体"/>
          <w:sz w:val="32"/>
          <w:szCs w:val="32"/>
        </w:rPr>
        <w:t>联系电话</w:t>
      </w:r>
      <w:r>
        <w:rPr>
          <w:rFonts w:hint="eastAsia" w:ascii="黑体" w:hAnsi="黑体" w:eastAsia="黑体"/>
          <w:sz w:val="32"/>
          <w:szCs w:val="32"/>
          <w:lang w:eastAsia="zh-CN"/>
        </w:rPr>
        <w:t>：</w:t>
      </w:r>
      <w:r>
        <w:rPr>
          <w:rFonts w:hint="eastAsia" w:ascii="黑体" w:hAnsi="黑体" w:eastAsia="黑体"/>
          <w:sz w:val="32"/>
          <w:szCs w:val="32"/>
        </w:rPr>
        <w:t>0903-2067512</w:t>
      </w:r>
    </w:p>
    <w:p w14:paraId="0E896F7A">
      <w:pPr>
        <w:rPr>
          <w:rFonts w:ascii="黑体" w:hAnsi="黑体" w:eastAsia="黑体"/>
          <w:i w:val="0"/>
          <w:iCs w:val="0"/>
          <w:color w:val="auto"/>
          <w:highlight w:val="none"/>
        </w:rPr>
      </w:pPr>
    </w:p>
    <w:p w14:paraId="48AF3E86">
      <w:pPr>
        <w:rPr>
          <w:rFonts w:ascii="黑体" w:hAnsi="黑体" w:eastAsia="黑体"/>
          <w:i w:val="0"/>
          <w:iCs w:val="0"/>
          <w:color w:val="auto"/>
          <w:highlight w:val="none"/>
        </w:rPr>
      </w:pPr>
    </w:p>
    <w:p w14:paraId="7CE6B156">
      <w:pPr>
        <w:rPr>
          <w:rFonts w:ascii="黑体" w:hAnsi="黑体" w:eastAsia="黑体"/>
          <w:i w:val="0"/>
          <w:iCs w:val="0"/>
          <w:color w:val="auto"/>
          <w:highlight w:val="none"/>
        </w:rPr>
      </w:pPr>
    </w:p>
    <w:p w14:paraId="63BF5185">
      <w:pPr>
        <w:jc w:val="center"/>
        <w:rPr>
          <w:rFonts w:hint="eastAsia" w:ascii="宋体" w:hAnsi="宋体" w:eastAsia="宋体" w:cs="宋体"/>
          <w:b/>
          <w:bCs/>
          <w:i w:val="0"/>
          <w:iCs w:val="0"/>
          <w:color w:val="auto"/>
          <w:sz w:val="36"/>
          <w:szCs w:val="36"/>
          <w:highlight w:val="none"/>
        </w:rPr>
      </w:pPr>
      <w:r>
        <w:rPr>
          <w:rFonts w:hint="eastAsia" w:ascii="宋体" w:hAnsi="宋体" w:eastAsia="宋体" w:cs="宋体"/>
          <w:b/>
          <w:bCs/>
          <w:i w:val="0"/>
          <w:iCs w:val="0"/>
          <w:color w:val="auto"/>
          <w:sz w:val="36"/>
          <w:szCs w:val="36"/>
          <w:highlight w:val="none"/>
        </w:rPr>
        <w:t>目 录</w:t>
      </w:r>
    </w:p>
    <w:p w14:paraId="27FDC88F">
      <w:pPr>
        <w:pStyle w:val="19"/>
        <w:keepNext w:val="0"/>
        <w:keepLines w:val="0"/>
        <w:pageBreakBefore w:val="0"/>
        <w:widowControl w:val="0"/>
        <w:tabs>
          <w:tab w:val="left" w:pos="960"/>
          <w:tab w:val="right" w:leader="dot" w:pos="8296"/>
        </w:tabs>
        <w:kinsoku/>
        <w:wordWrap/>
        <w:overflowPunct/>
        <w:topLinePunct w:val="0"/>
        <w:autoSpaceDE/>
        <w:autoSpaceDN/>
        <w:bidi w:val="0"/>
        <w:adjustRightInd/>
        <w:snapToGrid/>
        <w:spacing w:line="360" w:lineRule="exact"/>
        <w:textAlignment w:val="auto"/>
        <w:rPr>
          <w:i w:val="0"/>
          <w:iCs w:val="0"/>
          <w:color w:val="auto"/>
          <w:highlight w:val="none"/>
        </w:rPr>
      </w:pPr>
    </w:p>
    <w:p w14:paraId="17608394">
      <w:pPr>
        <w:pStyle w:val="19"/>
        <w:tabs>
          <w:tab w:val="right" w:leader="dot" w:pos="8306"/>
        </w:tabs>
        <w:rPr>
          <w:rFonts w:hint="eastAsia" w:ascii="新宋体" w:hAnsi="新宋体" w:eastAsia="新宋体" w:cs="新宋体"/>
          <w:b/>
          <w:bCs/>
          <w:sz w:val="28"/>
          <w:szCs w:val="28"/>
        </w:rPr>
      </w:pPr>
      <w:r>
        <w:rPr>
          <w:rFonts w:hint="eastAsia" w:ascii="新宋体" w:hAnsi="新宋体" w:eastAsia="新宋体" w:cs="新宋体"/>
          <w:i w:val="0"/>
          <w:iCs w:val="0"/>
          <w:color w:val="auto"/>
          <w:sz w:val="28"/>
          <w:szCs w:val="28"/>
          <w:highlight w:val="none"/>
        </w:rPr>
        <w:fldChar w:fldCharType="begin"/>
      </w:r>
      <w:r>
        <w:rPr>
          <w:rFonts w:hint="eastAsia" w:ascii="新宋体" w:hAnsi="新宋体" w:eastAsia="新宋体" w:cs="新宋体"/>
          <w:i w:val="0"/>
          <w:iCs w:val="0"/>
          <w:color w:val="auto"/>
          <w:sz w:val="28"/>
          <w:szCs w:val="28"/>
          <w:highlight w:val="none"/>
        </w:rPr>
        <w:instrText xml:space="preserve"> TOC \o "1-3" \h \z \u </w:instrText>
      </w:r>
      <w:r>
        <w:rPr>
          <w:rFonts w:hint="eastAsia" w:ascii="新宋体" w:hAnsi="新宋体" w:eastAsia="新宋体" w:cs="新宋体"/>
          <w:i w:val="0"/>
          <w:iCs w:val="0"/>
          <w:color w:val="auto"/>
          <w:sz w:val="28"/>
          <w:szCs w:val="28"/>
          <w:highlight w:val="none"/>
        </w:rPr>
        <w:fldChar w:fldCharType="separate"/>
      </w:r>
      <w:r>
        <w:rPr>
          <w:rFonts w:hint="eastAsia" w:ascii="新宋体" w:hAnsi="新宋体" w:eastAsia="新宋体" w:cs="新宋体"/>
          <w:b/>
          <w:bCs/>
          <w:i w:val="0"/>
          <w:iCs w:val="0"/>
          <w:color w:val="auto"/>
          <w:sz w:val="28"/>
          <w:szCs w:val="28"/>
          <w:highlight w:val="none"/>
        </w:rPr>
        <w:fldChar w:fldCharType="begin"/>
      </w:r>
      <w:r>
        <w:rPr>
          <w:rFonts w:hint="eastAsia" w:ascii="新宋体" w:hAnsi="新宋体" w:eastAsia="新宋体" w:cs="新宋体"/>
          <w:b/>
          <w:bCs/>
          <w:i w:val="0"/>
          <w:iCs w:val="0"/>
          <w:sz w:val="28"/>
          <w:szCs w:val="28"/>
          <w:highlight w:val="none"/>
        </w:rPr>
        <w:instrText xml:space="preserve"> HYPERLINK \l _Toc13340 </w:instrText>
      </w:r>
      <w:r>
        <w:rPr>
          <w:rFonts w:hint="eastAsia" w:ascii="新宋体" w:hAnsi="新宋体" w:eastAsia="新宋体" w:cs="新宋体"/>
          <w:b/>
          <w:bCs/>
          <w:i w:val="0"/>
          <w:iCs w:val="0"/>
          <w:sz w:val="28"/>
          <w:szCs w:val="28"/>
          <w:highlight w:val="none"/>
        </w:rPr>
        <w:fldChar w:fldCharType="separate"/>
      </w:r>
      <w:r>
        <w:rPr>
          <w:rFonts w:hint="eastAsia" w:ascii="新宋体" w:hAnsi="新宋体" w:eastAsia="新宋体" w:cs="新宋体"/>
          <w:b/>
          <w:bCs/>
          <w:i w:val="0"/>
          <w:iCs w:val="0"/>
          <w:kern w:val="44"/>
          <w:sz w:val="28"/>
          <w:szCs w:val="28"/>
          <w:highlight w:val="none"/>
          <w:lang w:val="en-US" w:eastAsia="zh-CN" w:bidi="ar-SA"/>
        </w:rPr>
        <w:t>第一章 竞争性磋商公告</w:t>
      </w:r>
      <w:r>
        <w:rPr>
          <w:rFonts w:hint="eastAsia" w:ascii="新宋体" w:hAnsi="新宋体" w:eastAsia="新宋体" w:cs="新宋体"/>
          <w:b/>
          <w:bCs/>
          <w:sz w:val="28"/>
          <w:szCs w:val="28"/>
        </w:rPr>
        <w:tab/>
      </w:r>
      <w:r>
        <w:rPr>
          <w:rFonts w:hint="eastAsia" w:ascii="新宋体" w:hAnsi="新宋体" w:eastAsia="新宋体" w:cs="新宋体"/>
          <w:b/>
          <w:bCs/>
          <w:sz w:val="28"/>
          <w:szCs w:val="28"/>
        </w:rPr>
        <w:fldChar w:fldCharType="begin"/>
      </w:r>
      <w:r>
        <w:rPr>
          <w:rFonts w:hint="eastAsia" w:ascii="新宋体" w:hAnsi="新宋体" w:eastAsia="新宋体" w:cs="新宋体"/>
          <w:b/>
          <w:bCs/>
          <w:sz w:val="28"/>
          <w:szCs w:val="28"/>
        </w:rPr>
        <w:instrText xml:space="preserve"> PAGEREF _Toc13340 \h </w:instrText>
      </w:r>
      <w:r>
        <w:rPr>
          <w:rFonts w:hint="eastAsia" w:ascii="新宋体" w:hAnsi="新宋体" w:eastAsia="新宋体" w:cs="新宋体"/>
          <w:b/>
          <w:bCs/>
          <w:sz w:val="28"/>
          <w:szCs w:val="28"/>
        </w:rPr>
        <w:fldChar w:fldCharType="separate"/>
      </w:r>
      <w:r>
        <w:rPr>
          <w:rFonts w:hint="eastAsia" w:ascii="新宋体" w:hAnsi="新宋体" w:eastAsia="新宋体" w:cs="新宋体"/>
          <w:b/>
          <w:bCs/>
          <w:sz w:val="28"/>
          <w:szCs w:val="28"/>
        </w:rPr>
        <w:t>- 1 -</w:t>
      </w:r>
      <w:r>
        <w:rPr>
          <w:rFonts w:hint="eastAsia" w:ascii="新宋体" w:hAnsi="新宋体" w:eastAsia="新宋体" w:cs="新宋体"/>
          <w:b/>
          <w:bCs/>
          <w:sz w:val="28"/>
          <w:szCs w:val="28"/>
        </w:rPr>
        <w:fldChar w:fldCharType="end"/>
      </w:r>
      <w:r>
        <w:rPr>
          <w:rFonts w:hint="eastAsia" w:ascii="新宋体" w:hAnsi="新宋体" w:eastAsia="新宋体" w:cs="新宋体"/>
          <w:b/>
          <w:bCs/>
          <w:i w:val="0"/>
          <w:iCs w:val="0"/>
          <w:color w:val="auto"/>
          <w:sz w:val="28"/>
          <w:szCs w:val="28"/>
          <w:highlight w:val="none"/>
        </w:rPr>
        <w:fldChar w:fldCharType="end"/>
      </w:r>
    </w:p>
    <w:p w14:paraId="410E334F">
      <w:pPr>
        <w:pStyle w:val="19"/>
        <w:tabs>
          <w:tab w:val="right" w:leader="dot" w:pos="8306"/>
        </w:tabs>
        <w:rPr>
          <w:rFonts w:hint="eastAsia" w:ascii="新宋体" w:hAnsi="新宋体" w:eastAsia="新宋体" w:cs="新宋体"/>
          <w:b/>
          <w:bCs/>
          <w:sz w:val="28"/>
          <w:szCs w:val="28"/>
        </w:rPr>
      </w:pPr>
      <w:r>
        <w:rPr>
          <w:rFonts w:hint="eastAsia" w:ascii="新宋体" w:hAnsi="新宋体" w:eastAsia="新宋体" w:cs="新宋体"/>
          <w:b/>
          <w:bCs/>
          <w:i w:val="0"/>
          <w:iCs w:val="0"/>
          <w:color w:val="auto"/>
          <w:sz w:val="28"/>
          <w:szCs w:val="28"/>
          <w:highlight w:val="none"/>
        </w:rPr>
        <w:fldChar w:fldCharType="begin"/>
      </w:r>
      <w:r>
        <w:rPr>
          <w:rFonts w:hint="eastAsia" w:ascii="新宋体" w:hAnsi="新宋体" w:eastAsia="新宋体" w:cs="新宋体"/>
          <w:b/>
          <w:bCs/>
          <w:i w:val="0"/>
          <w:iCs w:val="0"/>
          <w:sz w:val="28"/>
          <w:szCs w:val="28"/>
          <w:highlight w:val="none"/>
        </w:rPr>
        <w:instrText xml:space="preserve"> HYPERLINK \l _Toc31212 </w:instrText>
      </w:r>
      <w:r>
        <w:rPr>
          <w:rFonts w:hint="eastAsia" w:ascii="新宋体" w:hAnsi="新宋体" w:eastAsia="新宋体" w:cs="新宋体"/>
          <w:b/>
          <w:bCs/>
          <w:i w:val="0"/>
          <w:iCs w:val="0"/>
          <w:sz w:val="28"/>
          <w:szCs w:val="28"/>
          <w:highlight w:val="none"/>
        </w:rPr>
        <w:fldChar w:fldCharType="separate"/>
      </w:r>
      <w:r>
        <w:rPr>
          <w:rFonts w:hint="eastAsia" w:ascii="新宋体" w:hAnsi="新宋体" w:eastAsia="新宋体" w:cs="新宋体"/>
          <w:b/>
          <w:bCs/>
          <w:i w:val="0"/>
          <w:iCs w:val="0"/>
          <w:kern w:val="44"/>
          <w:sz w:val="28"/>
          <w:szCs w:val="28"/>
          <w:highlight w:val="none"/>
          <w:lang w:val="en-US" w:eastAsia="zh-CN" w:bidi="ar-SA"/>
        </w:rPr>
        <w:t>第二章 供应商须知</w:t>
      </w:r>
      <w:r>
        <w:rPr>
          <w:rFonts w:hint="eastAsia" w:ascii="新宋体" w:hAnsi="新宋体" w:eastAsia="新宋体" w:cs="新宋体"/>
          <w:b/>
          <w:bCs/>
          <w:sz w:val="28"/>
          <w:szCs w:val="28"/>
        </w:rPr>
        <w:tab/>
      </w:r>
      <w:r>
        <w:rPr>
          <w:rFonts w:hint="eastAsia" w:ascii="新宋体" w:hAnsi="新宋体" w:eastAsia="新宋体" w:cs="新宋体"/>
          <w:b/>
          <w:bCs/>
          <w:sz w:val="28"/>
          <w:szCs w:val="28"/>
        </w:rPr>
        <w:fldChar w:fldCharType="begin"/>
      </w:r>
      <w:r>
        <w:rPr>
          <w:rFonts w:hint="eastAsia" w:ascii="新宋体" w:hAnsi="新宋体" w:eastAsia="新宋体" w:cs="新宋体"/>
          <w:b/>
          <w:bCs/>
          <w:sz w:val="28"/>
          <w:szCs w:val="28"/>
        </w:rPr>
        <w:instrText xml:space="preserve"> PAGEREF _Toc31212 \h </w:instrText>
      </w:r>
      <w:r>
        <w:rPr>
          <w:rFonts w:hint="eastAsia" w:ascii="新宋体" w:hAnsi="新宋体" w:eastAsia="新宋体" w:cs="新宋体"/>
          <w:b/>
          <w:bCs/>
          <w:sz w:val="28"/>
          <w:szCs w:val="28"/>
        </w:rPr>
        <w:fldChar w:fldCharType="separate"/>
      </w:r>
      <w:r>
        <w:rPr>
          <w:rFonts w:hint="eastAsia" w:ascii="新宋体" w:hAnsi="新宋体" w:eastAsia="新宋体" w:cs="新宋体"/>
          <w:b/>
          <w:bCs/>
          <w:sz w:val="28"/>
          <w:szCs w:val="28"/>
        </w:rPr>
        <w:t>- 4 -</w:t>
      </w:r>
      <w:r>
        <w:rPr>
          <w:rFonts w:hint="eastAsia" w:ascii="新宋体" w:hAnsi="新宋体" w:eastAsia="新宋体" w:cs="新宋体"/>
          <w:b/>
          <w:bCs/>
          <w:sz w:val="28"/>
          <w:szCs w:val="28"/>
        </w:rPr>
        <w:fldChar w:fldCharType="end"/>
      </w:r>
      <w:r>
        <w:rPr>
          <w:rFonts w:hint="eastAsia" w:ascii="新宋体" w:hAnsi="新宋体" w:eastAsia="新宋体" w:cs="新宋体"/>
          <w:b/>
          <w:bCs/>
          <w:i w:val="0"/>
          <w:iCs w:val="0"/>
          <w:color w:val="auto"/>
          <w:sz w:val="28"/>
          <w:szCs w:val="28"/>
          <w:highlight w:val="none"/>
        </w:rPr>
        <w:fldChar w:fldCharType="end"/>
      </w:r>
    </w:p>
    <w:p w14:paraId="58EBC6AB">
      <w:pPr>
        <w:pStyle w:val="19"/>
        <w:tabs>
          <w:tab w:val="right" w:leader="dot" w:pos="8306"/>
        </w:tabs>
        <w:rPr>
          <w:rFonts w:hint="eastAsia" w:ascii="新宋体" w:hAnsi="新宋体" w:eastAsia="新宋体" w:cs="新宋体"/>
          <w:b/>
          <w:bCs/>
          <w:sz w:val="28"/>
          <w:szCs w:val="28"/>
        </w:rPr>
      </w:pPr>
      <w:r>
        <w:rPr>
          <w:rFonts w:hint="eastAsia" w:ascii="新宋体" w:hAnsi="新宋体" w:eastAsia="新宋体" w:cs="新宋体"/>
          <w:b/>
          <w:bCs/>
          <w:i w:val="0"/>
          <w:iCs w:val="0"/>
          <w:color w:val="auto"/>
          <w:sz w:val="28"/>
          <w:szCs w:val="28"/>
          <w:highlight w:val="none"/>
        </w:rPr>
        <w:fldChar w:fldCharType="begin"/>
      </w:r>
      <w:r>
        <w:rPr>
          <w:rFonts w:hint="eastAsia" w:ascii="新宋体" w:hAnsi="新宋体" w:eastAsia="新宋体" w:cs="新宋体"/>
          <w:b/>
          <w:bCs/>
          <w:i w:val="0"/>
          <w:iCs w:val="0"/>
          <w:sz w:val="28"/>
          <w:szCs w:val="28"/>
          <w:highlight w:val="none"/>
        </w:rPr>
        <w:instrText xml:space="preserve"> HYPERLINK \l _Toc11370 </w:instrText>
      </w:r>
      <w:r>
        <w:rPr>
          <w:rFonts w:hint="eastAsia" w:ascii="新宋体" w:hAnsi="新宋体" w:eastAsia="新宋体" w:cs="新宋体"/>
          <w:b/>
          <w:bCs/>
          <w:i w:val="0"/>
          <w:iCs w:val="0"/>
          <w:sz w:val="28"/>
          <w:szCs w:val="28"/>
          <w:highlight w:val="none"/>
        </w:rPr>
        <w:fldChar w:fldCharType="separate"/>
      </w:r>
      <w:r>
        <w:rPr>
          <w:rFonts w:hint="eastAsia" w:ascii="新宋体" w:hAnsi="新宋体" w:eastAsia="新宋体" w:cs="新宋体"/>
          <w:b/>
          <w:bCs/>
          <w:kern w:val="2"/>
          <w:sz w:val="28"/>
          <w:szCs w:val="28"/>
          <w:lang w:val="en-US" w:eastAsia="zh-CN" w:bidi="ar-SA"/>
        </w:rPr>
        <w:t xml:space="preserve">第三章 </w:t>
      </w:r>
      <w:r>
        <w:rPr>
          <w:rFonts w:hint="eastAsia" w:ascii="新宋体" w:hAnsi="新宋体" w:eastAsia="新宋体" w:cs="新宋体"/>
          <w:b/>
          <w:bCs/>
          <w:i w:val="0"/>
          <w:iCs w:val="0"/>
          <w:kern w:val="44"/>
          <w:sz w:val="28"/>
          <w:szCs w:val="28"/>
          <w:highlight w:val="none"/>
          <w:lang w:val="en-US" w:eastAsia="zh-CN" w:bidi="ar-SA"/>
        </w:rPr>
        <w:t>项目采购需求</w:t>
      </w:r>
      <w:r>
        <w:rPr>
          <w:rFonts w:hint="eastAsia" w:ascii="新宋体" w:hAnsi="新宋体" w:eastAsia="新宋体" w:cs="新宋体"/>
          <w:b/>
          <w:bCs/>
          <w:sz w:val="28"/>
          <w:szCs w:val="28"/>
        </w:rPr>
        <w:tab/>
      </w:r>
      <w:r>
        <w:rPr>
          <w:rFonts w:hint="eastAsia" w:ascii="新宋体" w:hAnsi="新宋体" w:eastAsia="新宋体" w:cs="新宋体"/>
          <w:b/>
          <w:bCs/>
          <w:sz w:val="28"/>
          <w:szCs w:val="28"/>
        </w:rPr>
        <w:fldChar w:fldCharType="begin"/>
      </w:r>
      <w:r>
        <w:rPr>
          <w:rFonts w:hint="eastAsia" w:ascii="新宋体" w:hAnsi="新宋体" w:eastAsia="新宋体" w:cs="新宋体"/>
          <w:b/>
          <w:bCs/>
          <w:sz w:val="28"/>
          <w:szCs w:val="28"/>
        </w:rPr>
        <w:instrText xml:space="preserve"> PAGEREF _Toc11370 \h </w:instrText>
      </w:r>
      <w:r>
        <w:rPr>
          <w:rFonts w:hint="eastAsia" w:ascii="新宋体" w:hAnsi="新宋体" w:eastAsia="新宋体" w:cs="新宋体"/>
          <w:b/>
          <w:bCs/>
          <w:sz w:val="28"/>
          <w:szCs w:val="28"/>
        </w:rPr>
        <w:fldChar w:fldCharType="separate"/>
      </w:r>
      <w:r>
        <w:rPr>
          <w:rFonts w:hint="eastAsia" w:ascii="新宋体" w:hAnsi="新宋体" w:eastAsia="新宋体" w:cs="新宋体"/>
          <w:b/>
          <w:bCs/>
          <w:sz w:val="28"/>
          <w:szCs w:val="28"/>
        </w:rPr>
        <w:t>- 34 -</w:t>
      </w:r>
      <w:r>
        <w:rPr>
          <w:rFonts w:hint="eastAsia" w:ascii="新宋体" w:hAnsi="新宋体" w:eastAsia="新宋体" w:cs="新宋体"/>
          <w:b/>
          <w:bCs/>
          <w:sz w:val="28"/>
          <w:szCs w:val="28"/>
        </w:rPr>
        <w:fldChar w:fldCharType="end"/>
      </w:r>
      <w:r>
        <w:rPr>
          <w:rFonts w:hint="eastAsia" w:ascii="新宋体" w:hAnsi="新宋体" w:eastAsia="新宋体" w:cs="新宋体"/>
          <w:b/>
          <w:bCs/>
          <w:i w:val="0"/>
          <w:iCs w:val="0"/>
          <w:color w:val="auto"/>
          <w:sz w:val="28"/>
          <w:szCs w:val="28"/>
          <w:highlight w:val="none"/>
        </w:rPr>
        <w:fldChar w:fldCharType="end"/>
      </w:r>
    </w:p>
    <w:p w14:paraId="6E249902">
      <w:pPr>
        <w:pStyle w:val="19"/>
        <w:tabs>
          <w:tab w:val="right" w:leader="dot" w:pos="8306"/>
        </w:tabs>
        <w:rPr>
          <w:rFonts w:hint="eastAsia" w:ascii="新宋体" w:hAnsi="新宋体" w:eastAsia="新宋体" w:cs="新宋体"/>
          <w:b/>
          <w:bCs/>
          <w:sz w:val="28"/>
          <w:szCs w:val="28"/>
        </w:rPr>
      </w:pPr>
      <w:r>
        <w:rPr>
          <w:rFonts w:hint="eastAsia" w:ascii="新宋体" w:hAnsi="新宋体" w:eastAsia="新宋体" w:cs="新宋体"/>
          <w:b/>
          <w:bCs/>
          <w:i w:val="0"/>
          <w:iCs w:val="0"/>
          <w:color w:val="auto"/>
          <w:sz w:val="28"/>
          <w:szCs w:val="28"/>
          <w:highlight w:val="none"/>
        </w:rPr>
        <w:fldChar w:fldCharType="begin"/>
      </w:r>
      <w:r>
        <w:rPr>
          <w:rFonts w:hint="eastAsia" w:ascii="新宋体" w:hAnsi="新宋体" w:eastAsia="新宋体" w:cs="新宋体"/>
          <w:b/>
          <w:bCs/>
          <w:i w:val="0"/>
          <w:iCs w:val="0"/>
          <w:sz w:val="28"/>
          <w:szCs w:val="28"/>
          <w:highlight w:val="none"/>
        </w:rPr>
        <w:instrText xml:space="preserve"> HYPERLINK \l _Toc5884 </w:instrText>
      </w:r>
      <w:r>
        <w:rPr>
          <w:rFonts w:hint="eastAsia" w:ascii="新宋体" w:hAnsi="新宋体" w:eastAsia="新宋体" w:cs="新宋体"/>
          <w:b/>
          <w:bCs/>
          <w:i w:val="0"/>
          <w:iCs w:val="0"/>
          <w:sz w:val="28"/>
          <w:szCs w:val="28"/>
          <w:highlight w:val="none"/>
        </w:rPr>
        <w:fldChar w:fldCharType="separate"/>
      </w:r>
      <w:r>
        <w:rPr>
          <w:rFonts w:hint="eastAsia" w:ascii="新宋体" w:hAnsi="新宋体" w:eastAsia="新宋体" w:cs="新宋体"/>
          <w:b/>
          <w:bCs/>
          <w:i w:val="0"/>
          <w:iCs w:val="0"/>
          <w:kern w:val="44"/>
          <w:sz w:val="28"/>
          <w:szCs w:val="28"/>
          <w:highlight w:val="none"/>
          <w:lang w:val="en-US" w:eastAsia="zh-CN" w:bidi="ar-SA"/>
        </w:rPr>
        <w:t>第四章 评审方法及标准</w:t>
      </w:r>
      <w:r>
        <w:rPr>
          <w:rFonts w:hint="eastAsia" w:ascii="新宋体" w:hAnsi="新宋体" w:eastAsia="新宋体" w:cs="新宋体"/>
          <w:b/>
          <w:bCs/>
          <w:sz w:val="28"/>
          <w:szCs w:val="28"/>
        </w:rPr>
        <w:tab/>
      </w:r>
      <w:r>
        <w:rPr>
          <w:rFonts w:hint="eastAsia" w:ascii="新宋体" w:hAnsi="新宋体" w:eastAsia="新宋体" w:cs="新宋体"/>
          <w:b/>
          <w:bCs/>
          <w:sz w:val="28"/>
          <w:szCs w:val="28"/>
        </w:rPr>
        <w:fldChar w:fldCharType="begin"/>
      </w:r>
      <w:r>
        <w:rPr>
          <w:rFonts w:hint="eastAsia" w:ascii="新宋体" w:hAnsi="新宋体" w:eastAsia="新宋体" w:cs="新宋体"/>
          <w:b/>
          <w:bCs/>
          <w:sz w:val="28"/>
          <w:szCs w:val="28"/>
        </w:rPr>
        <w:instrText xml:space="preserve"> PAGEREF _Toc5884 \h </w:instrText>
      </w:r>
      <w:r>
        <w:rPr>
          <w:rFonts w:hint="eastAsia" w:ascii="新宋体" w:hAnsi="新宋体" w:eastAsia="新宋体" w:cs="新宋体"/>
          <w:b/>
          <w:bCs/>
          <w:sz w:val="28"/>
          <w:szCs w:val="28"/>
        </w:rPr>
        <w:fldChar w:fldCharType="separate"/>
      </w:r>
      <w:r>
        <w:rPr>
          <w:rFonts w:hint="eastAsia" w:ascii="新宋体" w:hAnsi="新宋体" w:eastAsia="新宋体" w:cs="新宋体"/>
          <w:b/>
          <w:bCs/>
          <w:sz w:val="28"/>
          <w:szCs w:val="28"/>
        </w:rPr>
        <w:t>- 36 -</w:t>
      </w:r>
      <w:r>
        <w:rPr>
          <w:rFonts w:hint="eastAsia" w:ascii="新宋体" w:hAnsi="新宋体" w:eastAsia="新宋体" w:cs="新宋体"/>
          <w:b/>
          <w:bCs/>
          <w:sz w:val="28"/>
          <w:szCs w:val="28"/>
        </w:rPr>
        <w:fldChar w:fldCharType="end"/>
      </w:r>
      <w:r>
        <w:rPr>
          <w:rFonts w:hint="eastAsia" w:ascii="新宋体" w:hAnsi="新宋体" w:eastAsia="新宋体" w:cs="新宋体"/>
          <w:b/>
          <w:bCs/>
          <w:i w:val="0"/>
          <w:iCs w:val="0"/>
          <w:color w:val="auto"/>
          <w:sz w:val="28"/>
          <w:szCs w:val="28"/>
          <w:highlight w:val="none"/>
        </w:rPr>
        <w:fldChar w:fldCharType="end"/>
      </w:r>
    </w:p>
    <w:p w14:paraId="5D18BF8E">
      <w:pPr>
        <w:pStyle w:val="19"/>
        <w:tabs>
          <w:tab w:val="right" w:leader="dot" w:pos="8306"/>
        </w:tabs>
        <w:rPr>
          <w:rFonts w:hint="eastAsia" w:ascii="新宋体" w:hAnsi="新宋体" w:eastAsia="新宋体" w:cs="新宋体"/>
          <w:b/>
          <w:bCs/>
          <w:sz w:val="28"/>
          <w:szCs w:val="28"/>
        </w:rPr>
      </w:pPr>
      <w:r>
        <w:rPr>
          <w:rFonts w:hint="eastAsia" w:ascii="新宋体" w:hAnsi="新宋体" w:eastAsia="新宋体" w:cs="新宋体"/>
          <w:b/>
          <w:bCs/>
          <w:i w:val="0"/>
          <w:iCs w:val="0"/>
          <w:color w:val="auto"/>
          <w:sz w:val="28"/>
          <w:szCs w:val="28"/>
          <w:highlight w:val="none"/>
        </w:rPr>
        <w:fldChar w:fldCharType="begin"/>
      </w:r>
      <w:r>
        <w:rPr>
          <w:rFonts w:hint="eastAsia" w:ascii="新宋体" w:hAnsi="新宋体" w:eastAsia="新宋体" w:cs="新宋体"/>
          <w:b/>
          <w:bCs/>
          <w:i w:val="0"/>
          <w:iCs w:val="0"/>
          <w:sz w:val="28"/>
          <w:szCs w:val="28"/>
          <w:highlight w:val="none"/>
        </w:rPr>
        <w:instrText xml:space="preserve"> HYPERLINK \l _Toc1529 </w:instrText>
      </w:r>
      <w:r>
        <w:rPr>
          <w:rFonts w:hint="eastAsia" w:ascii="新宋体" w:hAnsi="新宋体" w:eastAsia="新宋体" w:cs="新宋体"/>
          <w:b/>
          <w:bCs/>
          <w:i w:val="0"/>
          <w:iCs w:val="0"/>
          <w:sz w:val="28"/>
          <w:szCs w:val="28"/>
          <w:highlight w:val="none"/>
        </w:rPr>
        <w:fldChar w:fldCharType="separate"/>
      </w:r>
      <w:r>
        <w:rPr>
          <w:rFonts w:hint="eastAsia" w:ascii="新宋体" w:hAnsi="新宋体" w:eastAsia="新宋体" w:cs="新宋体"/>
          <w:b/>
          <w:bCs/>
          <w:i w:val="0"/>
          <w:iCs w:val="0"/>
          <w:kern w:val="44"/>
          <w:sz w:val="28"/>
          <w:szCs w:val="28"/>
          <w:highlight w:val="none"/>
          <w:lang w:val="en-US" w:eastAsia="zh-CN" w:bidi="ar-SA"/>
        </w:rPr>
        <w:t xml:space="preserve">第五章 </w:t>
      </w:r>
      <w:r>
        <w:rPr>
          <w:rFonts w:hint="eastAsia" w:ascii="新宋体" w:hAnsi="新宋体" w:eastAsia="新宋体" w:cs="新宋体"/>
          <w:b/>
          <w:bCs/>
          <w:i w:val="0"/>
          <w:iCs w:val="0"/>
          <w:kern w:val="44"/>
          <w:sz w:val="28"/>
          <w:szCs w:val="28"/>
          <w:highlight w:val="none"/>
          <w:lang w:val="zh-CN" w:eastAsia="zh-CN" w:bidi="ar-SA"/>
        </w:rPr>
        <w:t>合同</w:t>
      </w:r>
      <w:r>
        <w:rPr>
          <w:rFonts w:hint="eastAsia" w:ascii="新宋体" w:hAnsi="新宋体" w:eastAsia="新宋体" w:cs="新宋体"/>
          <w:b/>
          <w:bCs/>
          <w:sz w:val="28"/>
          <w:szCs w:val="28"/>
        </w:rPr>
        <w:tab/>
      </w:r>
      <w:r>
        <w:rPr>
          <w:rFonts w:hint="eastAsia" w:ascii="新宋体" w:hAnsi="新宋体" w:eastAsia="新宋体" w:cs="新宋体"/>
          <w:b/>
          <w:bCs/>
          <w:sz w:val="28"/>
          <w:szCs w:val="28"/>
        </w:rPr>
        <w:fldChar w:fldCharType="begin"/>
      </w:r>
      <w:r>
        <w:rPr>
          <w:rFonts w:hint="eastAsia" w:ascii="新宋体" w:hAnsi="新宋体" w:eastAsia="新宋体" w:cs="新宋体"/>
          <w:b/>
          <w:bCs/>
          <w:sz w:val="28"/>
          <w:szCs w:val="28"/>
        </w:rPr>
        <w:instrText xml:space="preserve"> PAGEREF _Toc1529 \h </w:instrText>
      </w:r>
      <w:r>
        <w:rPr>
          <w:rFonts w:hint="eastAsia" w:ascii="新宋体" w:hAnsi="新宋体" w:eastAsia="新宋体" w:cs="新宋体"/>
          <w:b/>
          <w:bCs/>
          <w:sz w:val="28"/>
          <w:szCs w:val="28"/>
        </w:rPr>
        <w:fldChar w:fldCharType="separate"/>
      </w:r>
      <w:r>
        <w:rPr>
          <w:rFonts w:hint="eastAsia" w:ascii="新宋体" w:hAnsi="新宋体" w:eastAsia="新宋体" w:cs="新宋体"/>
          <w:b/>
          <w:bCs/>
          <w:sz w:val="28"/>
          <w:szCs w:val="28"/>
        </w:rPr>
        <w:t>- 47 -</w:t>
      </w:r>
      <w:r>
        <w:rPr>
          <w:rFonts w:hint="eastAsia" w:ascii="新宋体" w:hAnsi="新宋体" w:eastAsia="新宋体" w:cs="新宋体"/>
          <w:b/>
          <w:bCs/>
          <w:sz w:val="28"/>
          <w:szCs w:val="28"/>
        </w:rPr>
        <w:fldChar w:fldCharType="end"/>
      </w:r>
      <w:r>
        <w:rPr>
          <w:rFonts w:hint="eastAsia" w:ascii="新宋体" w:hAnsi="新宋体" w:eastAsia="新宋体" w:cs="新宋体"/>
          <w:b/>
          <w:bCs/>
          <w:i w:val="0"/>
          <w:iCs w:val="0"/>
          <w:color w:val="auto"/>
          <w:sz w:val="28"/>
          <w:szCs w:val="28"/>
          <w:highlight w:val="none"/>
        </w:rPr>
        <w:fldChar w:fldCharType="end"/>
      </w:r>
    </w:p>
    <w:p w14:paraId="21D3E595">
      <w:pPr>
        <w:pStyle w:val="19"/>
        <w:tabs>
          <w:tab w:val="right" w:leader="dot" w:pos="8306"/>
        </w:tabs>
        <w:rPr>
          <w:rFonts w:hint="eastAsia" w:ascii="新宋体" w:hAnsi="新宋体" w:eastAsia="新宋体" w:cs="新宋体"/>
          <w:sz w:val="28"/>
          <w:szCs w:val="28"/>
        </w:rPr>
      </w:pPr>
      <w:r>
        <w:rPr>
          <w:rFonts w:hint="eastAsia" w:ascii="新宋体" w:hAnsi="新宋体" w:eastAsia="新宋体" w:cs="新宋体"/>
          <w:b/>
          <w:bCs/>
          <w:i w:val="0"/>
          <w:iCs w:val="0"/>
          <w:color w:val="auto"/>
          <w:sz w:val="28"/>
          <w:szCs w:val="28"/>
          <w:highlight w:val="none"/>
        </w:rPr>
        <w:fldChar w:fldCharType="begin"/>
      </w:r>
      <w:r>
        <w:rPr>
          <w:rFonts w:hint="eastAsia" w:ascii="新宋体" w:hAnsi="新宋体" w:eastAsia="新宋体" w:cs="新宋体"/>
          <w:b/>
          <w:bCs/>
          <w:i w:val="0"/>
          <w:iCs w:val="0"/>
          <w:sz w:val="28"/>
          <w:szCs w:val="28"/>
          <w:highlight w:val="none"/>
        </w:rPr>
        <w:instrText xml:space="preserve"> HYPERLINK \l _Toc20156 </w:instrText>
      </w:r>
      <w:r>
        <w:rPr>
          <w:rFonts w:hint="eastAsia" w:ascii="新宋体" w:hAnsi="新宋体" w:eastAsia="新宋体" w:cs="新宋体"/>
          <w:b/>
          <w:bCs/>
          <w:i w:val="0"/>
          <w:iCs w:val="0"/>
          <w:sz w:val="28"/>
          <w:szCs w:val="28"/>
          <w:highlight w:val="none"/>
        </w:rPr>
        <w:fldChar w:fldCharType="separate"/>
      </w:r>
      <w:r>
        <w:rPr>
          <w:rFonts w:hint="eastAsia" w:ascii="新宋体" w:hAnsi="新宋体" w:eastAsia="新宋体" w:cs="新宋体"/>
          <w:b/>
          <w:bCs/>
          <w:i w:val="0"/>
          <w:iCs w:val="0"/>
          <w:kern w:val="44"/>
          <w:sz w:val="28"/>
          <w:szCs w:val="28"/>
          <w:highlight w:val="none"/>
          <w:lang w:val="en-US" w:eastAsia="zh-CN" w:bidi="ar-SA"/>
        </w:rPr>
        <w:t xml:space="preserve">第六章 </w:t>
      </w:r>
      <w:r>
        <w:rPr>
          <w:rFonts w:hint="eastAsia" w:ascii="新宋体" w:hAnsi="新宋体" w:eastAsia="新宋体" w:cs="新宋体"/>
          <w:b/>
          <w:bCs/>
          <w:i w:val="0"/>
          <w:iCs w:val="0"/>
          <w:sz w:val="28"/>
          <w:szCs w:val="28"/>
          <w:highlight w:val="none"/>
        </w:rPr>
        <w:t>响应文件的格式</w:t>
      </w:r>
      <w:r>
        <w:rPr>
          <w:rFonts w:hint="eastAsia" w:ascii="新宋体" w:hAnsi="新宋体" w:eastAsia="新宋体" w:cs="新宋体"/>
          <w:b/>
          <w:bCs/>
          <w:sz w:val="28"/>
          <w:szCs w:val="28"/>
        </w:rPr>
        <w:tab/>
      </w:r>
      <w:r>
        <w:rPr>
          <w:rFonts w:hint="eastAsia" w:ascii="新宋体" w:hAnsi="新宋体" w:eastAsia="新宋体" w:cs="新宋体"/>
          <w:b/>
          <w:bCs/>
          <w:sz w:val="28"/>
          <w:szCs w:val="28"/>
        </w:rPr>
        <w:fldChar w:fldCharType="begin"/>
      </w:r>
      <w:r>
        <w:rPr>
          <w:rFonts w:hint="eastAsia" w:ascii="新宋体" w:hAnsi="新宋体" w:eastAsia="新宋体" w:cs="新宋体"/>
          <w:b/>
          <w:bCs/>
          <w:sz w:val="28"/>
          <w:szCs w:val="28"/>
        </w:rPr>
        <w:instrText xml:space="preserve"> PAGEREF _Toc20156 \h </w:instrText>
      </w:r>
      <w:r>
        <w:rPr>
          <w:rFonts w:hint="eastAsia" w:ascii="新宋体" w:hAnsi="新宋体" w:eastAsia="新宋体" w:cs="新宋体"/>
          <w:b/>
          <w:bCs/>
          <w:sz w:val="28"/>
          <w:szCs w:val="28"/>
        </w:rPr>
        <w:fldChar w:fldCharType="separate"/>
      </w:r>
      <w:r>
        <w:rPr>
          <w:rFonts w:hint="eastAsia" w:ascii="新宋体" w:hAnsi="新宋体" w:eastAsia="新宋体" w:cs="新宋体"/>
          <w:b/>
          <w:bCs/>
          <w:sz w:val="28"/>
          <w:szCs w:val="28"/>
        </w:rPr>
        <w:t>- 52 -</w:t>
      </w:r>
      <w:r>
        <w:rPr>
          <w:rFonts w:hint="eastAsia" w:ascii="新宋体" w:hAnsi="新宋体" w:eastAsia="新宋体" w:cs="新宋体"/>
          <w:b/>
          <w:bCs/>
          <w:sz w:val="28"/>
          <w:szCs w:val="28"/>
        </w:rPr>
        <w:fldChar w:fldCharType="end"/>
      </w:r>
      <w:r>
        <w:rPr>
          <w:rFonts w:hint="eastAsia" w:ascii="新宋体" w:hAnsi="新宋体" w:eastAsia="新宋体" w:cs="新宋体"/>
          <w:b/>
          <w:bCs/>
          <w:i w:val="0"/>
          <w:iCs w:val="0"/>
          <w:color w:val="auto"/>
          <w:sz w:val="28"/>
          <w:szCs w:val="28"/>
          <w:highlight w:val="none"/>
        </w:rPr>
        <w:fldChar w:fldCharType="end"/>
      </w:r>
    </w:p>
    <w:p w14:paraId="4D90D7D4">
      <w:pPr>
        <w:rPr>
          <w:rFonts w:ascii="黑体" w:hAnsi="黑体" w:eastAsia="黑体"/>
          <w:i w:val="0"/>
          <w:iCs w:val="0"/>
          <w:color w:val="auto"/>
          <w:sz w:val="32"/>
          <w:szCs w:val="32"/>
          <w:highlight w:val="none"/>
        </w:rPr>
      </w:pPr>
      <w:r>
        <w:rPr>
          <w:rFonts w:hint="eastAsia" w:ascii="新宋体" w:hAnsi="新宋体" w:eastAsia="新宋体" w:cs="新宋体"/>
          <w:i w:val="0"/>
          <w:iCs w:val="0"/>
          <w:color w:val="auto"/>
          <w:sz w:val="28"/>
          <w:szCs w:val="28"/>
          <w:highlight w:val="none"/>
        </w:rPr>
        <w:fldChar w:fldCharType="end"/>
      </w:r>
    </w:p>
    <w:p w14:paraId="2455F597">
      <w:pPr>
        <w:jc w:val="center"/>
        <w:rPr>
          <w:rFonts w:ascii="黑体" w:hAnsi="黑体" w:eastAsia="黑体"/>
          <w:i w:val="0"/>
          <w:iCs w:val="0"/>
          <w:color w:val="auto"/>
          <w:sz w:val="32"/>
          <w:szCs w:val="32"/>
          <w:highlight w:val="none"/>
        </w:rPr>
        <w:sectPr>
          <w:headerReference r:id="rId5" w:type="default"/>
          <w:pgSz w:w="11906" w:h="16838"/>
          <w:pgMar w:top="1440" w:right="1800" w:bottom="1440" w:left="1800" w:header="851" w:footer="992" w:gutter="0"/>
          <w:cols w:space="425" w:num="1"/>
          <w:docGrid w:type="lines" w:linePitch="312" w:charSpace="0"/>
        </w:sectPr>
      </w:pPr>
    </w:p>
    <w:p w14:paraId="3761C0BE">
      <w:pPr>
        <w:pStyle w:val="2"/>
        <w:spacing w:before="220" w:after="220" w:line="480" w:lineRule="auto"/>
        <w:ind w:left="420" w:hanging="420"/>
        <w:rPr>
          <w:rFonts w:eastAsia="宋体" w:cs="宋体"/>
          <w:sz w:val="36"/>
          <w:szCs w:val="36"/>
        </w:rPr>
      </w:pPr>
      <w:bookmarkStart w:id="0" w:name="_Toc13340"/>
      <w:r>
        <w:rPr>
          <w:rFonts w:hint="eastAsia" w:ascii="宋体" w:hAnsi="宋体" w:eastAsia="宋体" w:cs="宋体"/>
          <w:b/>
          <w:bCs/>
          <w:i w:val="0"/>
          <w:iCs w:val="0"/>
          <w:color w:val="auto"/>
          <w:kern w:val="44"/>
          <w:sz w:val="36"/>
          <w:szCs w:val="36"/>
          <w:highlight w:val="none"/>
          <w:lang w:val="en-US" w:eastAsia="zh-CN" w:bidi="ar-SA"/>
        </w:rPr>
        <w:t>第一章</w:t>
      </w:r>
      <w:r>
        <w:rPr>
          <w:rFonts w:hint="eastAsia" w:eastAsia="宋体" w:cs="宋体"/>
          <w:sz w:val="36"/>
          <w:szCs w:val="36"/>
        </w:rPr>
        <w:t>竞争性磋商公告</w:t>
      </w:r>
    </w:p>
    <w:p w14:paraId="3C2BFA96"/>
    <w:tbl>
      <w:tblPr>
        <w:tblStyle w:val="29"/>
        <w:tblW w:w="10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00"/>
      </w:tblGrid>
      <w:tr w14:paraId="2D57C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9" w:hRule="atLeast"/>
          <w:jc w:val="center"/>
        </w:trPr>
        <w:tc>
          <w:tcPr>
            <w:tcW w:w="10000" w:type="dxa"/>
          </w:tcPr>
          <w:p w14:paraId="7E3923DB">
            <w:pPr>
              <w:pStyle w:val="25"/>
              <w:widowControl w:val="0"/>
              <w:spacing w:before="68" w:beforeAutospacing="0" w:after="136" w:afterAutospacing="0" w:line="360" w:lineRule="auto"/>
            </w:pPr>
            <w:r>
              <w:rPr>
                <w:rFonts w:hint="eastAsia"/>
              </w:rPr>
              <w:t>项目概况  </w:t>
            </w:r>
          </w:p>
          <w:p w14:paraId="712180D1">
            <w:pPr>
              <w:pStyle w:val="25"/>
              <w:widowControl w:val="0"/>
              <w:adjustRightInd w:val="0"/>
              <w:snapToGrid w:val="0"/>
              <w:spacing w:line="360" w:lineRule="auto"/>
              <w:ind w:firstLine="480" w:firstLineChars="200"/>
              <w:jc w:val="both"/>
              <w:rPr>
                <w:b/>
                <w:bCs/>
                <w:sz w:val="30"/>
                <w:szCs w:val="30"/>
                <w:lang w:bidi="ar"/>
              </w:rPr>
            </w:pPr>
            <w:r>
              <w:rPr>
                <w:rStyle w:val="66"/>
                <w:rFonts w:hint="eastAsia"/>
                <w:lang w:val="en-US" w:eastAsia="zh-CN"/>
              </w:rPr>
              <w:t>关于</w:t>
            </w:r>
            <w:r>
              <w:rPr>
                <w:rStyle w:val="66"/>
                <w:rFonts w:hint="eastAsia"/>
                <w:u w:val="single"/>
                <w:lang w:val="en-US" w:eastAsia="zh-CN"/>
              </w:rPr>
              <w:t xml:space="preserve"> </w:t>
            </w:r>
            <w:r>
              <w:rPr>
                <w:rStyle w:val="66"/>
                <w:rFonts w:hint="eastAsia"/>
                <w:u w:val="single"/>
                <w:lang w:val="hr-HR" w:eastAsia="zh-CN"/>
              </w:rPr>
              <w:t xml:space="preserve">2025年和田市维医药产业集群建设项目 </w:t>
            </w:r>
            <w:r>
              <w:rPr>
                <w:rStyle w:val="66"/>
                <w:rFonts w:hint="eastAsia"/>
                <w:lang w:val="en-US" w:eastAsia="zh-CN"/>
              </w:rPr>
              <w:t>采购项目的潜在供应商应在新疆政府采购云平台https://www.zcygov.cn/获取采购文件，并于 2025年07月21日11时00分（北京时间）前提交响应文件。</w:t>
            </w:r>
          </w:p>
        </w:tc>
      </w:tr>
    </w:tbl>
    <w:p w14:paraId="1A78EC84">
      <w:pPr>
        <w:textAlignment w:val="baseline"/>
        <w:rPr>
          <w:rFonts w:cs="宋体"/>
          <w:b/>
          <w:bCs/>
        </w:rPr>
      </w:pPr>
      <w:r>
        <w:rPr>
          <w:rFonts w:hint="eastAsia" w:cs="宋体"/>
          <w:b/>
          <w:bCs/>
        </w:rPr>
        <w:t>一、项目基本情况</w:t>
      </w:r>
    </w:p>
    <w:p w14:paraId="2C1653AE">
      <w:pPr>
        <w:textAlignment w:val="baseline"/>
        <w:rPr>
          <w:rFonts w:hint="eastAsia" w:eastAsia="宋体" w:cs="宋体"/>
          <w:lang w:eastAsia="zh-CN"/>
        </w:rPr>
      </w:pPr>
      <w:r>
        <w:rPr>
          <w:rFonts w:hint="eastAsia" w:cs="宋体"/>
        </w:rPr>
        <w:t>项目编号：</w:t>
      </w:r>
      <w:r>
        <w:rPr>
          <w:rFonts w:hint="eastAsia" w:cs="宋体"/>
          <w:lang w:eastAsia="zh-CN"/>
        </w:rPr>
        <w:t>HTSZFCGZBDL-2025-045</w:t>
      </w:r>
    </w:p>
    <w:p w14:paraId="6F94F7E0">
      <w:pPr>
        <w:textAlignment w:val="baseline"/>
        <w:rPr>
          <w:rFonts w:cs="宋体"/>
        </w:rPr>
      </w:pPr>
      <w:r>
        <w:rPr>
          <w:rFonts w:hint="eastAsia" w:cs="宋体"/>
        </w:rPr>
        <w:t>项目名称：</w:t>
      </w:r>
      <w:r>
        <w:rPr>
          <w:rFonts w:hint="eastAsia" w:cs="宋体"/>
          <w:lang w:val="en-US" w:eastAsia="zh-CN"/>
        </w:rPr>
        <w:t xml:space="preserve"> </w:t>
      </w:r>
      <w:r>
        <w:rPr>
          <w:rFonts w:hint="eastAsia" w:cs="宋体"/>
          <w:lang w:val="hr-HR" w:eastAsia="zh-CN"/>
        </w:rPr>
        <w:t>2025年和田市维医药产业集群建设项目</w:t>
      </w:r>
      <w:r>
        <w:rPr>
          <w:rFonts w:hint="eastAsia" w:cs="宋体"/>
        </w:rPr>
        <w:br w:type="textWrapping"/>
      </w:r>
      <w:r>
        <w:rPr>
          <w:rFonts w:hint="eastAsia" w:cs="宋体"/>
        </w:rPr>
        <w:t>采购方式：竞争性磋商</w:t>
      </w:r>
    </w:p>
    <w:p w14:paraId="40F63905">
      <w:pPr>
        <w:pStyle w:val="25"/>
        <w:spacing w:before="75" w:beforeAutospacing="0" w:after="75" w:afterAutospacing="0" w:line="360" w:lineRule="auto"/>
        <w:rPr>
          <w:szCs w:val="24"/>
        </w:rPr>
      </w:pPr>
      <w:r>
        <w:rPr>
          <w:rFonts w:hint="eastAsia"/>
          <w:szCs w:val="24"/>
        </w:rPr>
        <w:t>预算金额：</w:t>
      </w:r>
      <w:r>
        <w:rPr>
          <w:rFonts w:hint="eastAsia"/>
          <w:szCs w:val="24"/>
          <w:lang w:val="en-US" w:eastAsia="zh-CN"/>
        </w:rPr>
        <w:t>1970000</w:t>
      </w:r>
      <w:r>
        <w:rPr>
          <w:rFonts w:hint="eastAsia"/>
          <w:szCs w:val="24"/>
        </w:rPr>
        <w:t>元；</w:t>
      </w:r>
    </w:p>
    <w:p w14:paraId="29BA1280">
      <w:pPr>
        <w:pStyle w:val="25"/>
        <w:spacing w:before="75" w:beforeAutospacing="0" w:after="75" w:afterAutospacing="0" w:line="360" w:lineRule="auto"/>
        <w:outlineLvl w:val="0"/>
        <w:rPr>
          <w:rFonts w:hint="eastAsia"/>
          <w:szCs w:val="24"/>
          <w:lang w:val="en-US"/>
        </w:rPr>
      </w:pPr>
      <w:bookmarkStart w:id="1" w:name="_Toc15068"/>
      <w:r>
        <w:rPr>
          <w:rFonts w:hint="eastAsia"/>
          <w:szCs w:val="24"/>
        </w:rPr>
        <w:t>最高限价</w:t>
      </w:r>
      <w:r>
        <w:rPr>
          <w:rFonts w:hint="eastAsia"/>
          <w:szCs w:val="24"/>
          <w:lang w:val="hr-HR"/>
        </w:rPr>
        <w:t>：</w:t>
      </w:r>
      <w:r>
        <w:rPr>
          <w:rFonts w:hint="eastAsia"/>
          <w:szCs w:val="24"/>
          <w:lang w:val="en-US" w:eastAsia="zh-CN"/>
        </w:rPr>
        <w:t>包二：1470000元；</w:t>
      </w:r>
    </w:p>
    <w:p w14:paraId="4667BB5B">
      <w:pPr>
        <w:pStyle w:val="25"/>
        <w:spacing w:before="75" w:beforeAutospacing="0" w:after="75" w:afterAutospacing="0" w:line="360" w:lineRule="auto"/>
        <w:outlineLvl w:val="0"/>
        <w:rPr>
          <w:rFonts w:hint="default" w:ascii="宋体" w:hAnsi="宋体" w:eastAsia="宋体" w:cs="宋体"/>
          <w:kern w:val="2"/>
          <w:sz w:val="24"/>
          <w:szCs w:val="22"/>
          <w:lang w:val="en-US" w:eastAsia="zh-CN" w:bidi="ar-SA"/>
        </w:rPr>
      </w:pPr>
      <w:r>
        <w:rPr>
          <w:rFonts w:hint="eastAsia"/>
          <w:szCs w:val="24"/>
        </w:rPr>
        <w:t>资金来源：</w:t>
      </w:r>
      <w:bookmarkEnd w:id="1"/>
      <w:r>
        <w:rPr>
          <w:rFonts w:hint="eastAsia"/>
          <w:szCs w:val="24"/>
          <w:lang w:val="en-US" w:eastAsia="zh-CN"/>
        </w:rPr>
        <w:t>北京援疆资金。</w:t>
      </w:r>
    </w:p>
    <w:p w14:paraId="148B695A">
      <w:pPr>
        <w:rPr>
          <w:rFonts w:cs="宋体"/>
          <w:szCs w:val="24"/>
        </w:rPr>
      </w:pPr>
      <w:r>
        <w:rPr>
          <w:rFonts w:hint="eastAsia" w:cs="宋体"/>
          <w:szCs w:val="24"/>
        </w:rPr>
        <w:t>采购需求：</w:t>
      </w:r>
      <w:r>
        <w:rPr>
          <w:rFonts w:hint="eastAsia" w:cs="宋体"/>
          <w:szCs w:val="24"/>
          <w:lang w:val="en-US" w:eastAsia="zh-CN"/>
        </w:rPr>
        <w:t>详见招标文件</w:t>
      </w:r>
      <w:r>
        <w:rPr>
          <w:rFonts w:hint="eastAsia" w:cs="宋体"/>
          <w:szCs w:val="24"/>
        </w:rPr>
        <w:t>“第三章项目采购需求”。</w:t>
      </w:r>
    </w:p>
    <w:p w14:paraId="2B4748A2">
      <w:pPr>
        <w:rPr>
          <w:rFonts w:cs="宋体"/>
          <w:szCs w:val="24"/>
        </w:rPr>
      </w:pPr>
      <w:r>
        <w:rPr>
          <w:rFonts w:hint="eastAsia" w:cs="宋体"/>
          <w:szCs w:val="24"/>
        </w:rPr>
        <w:t>标项</w:t>
      </w:r>
      <w:r>
        <w:rPr>
          <w:rFonts w:hint="eastAsia" w:cs="宋体"/>
          <w:szCs w:val="24"/>
          <w:lang w:val="en-US" w:eastAsia="zh-CN"/>
        </w:rPr>
        <w:t>二</w:t>
      </w:r>
      <w:r>
        <w:rPr>
          <w:rFonts w:hint="eastAsia" w:cs="宋体"/>
          <w:szCs w:val="24"/>
        </w:rPr>
        <w:t>：</w:t>
      </w:r>
    </w:p>
    <w:p w14:paraId="58B13F75">
      <w:pPr>
        <w:rPr>
          <w:rFonts w:cs="宋体"/>
        </w:rPr>
      </w:pPr>
      <w:r>
        <w:rPr>
          <w:rFonts w:hint="eastAsia" w:cs="宋体"/>
          <w:szCs w:val="24"/>
        </w:rPr>
        <w:t>标项名称：</w:t>
      </w:r>
      <w:r>
        <w:rPr>
          <w:rFonts w:hint="eastAsia" w:cs="宋体"/>
          <w:szCs w:val="24"/>
          <w:lang w:val="hr-HR" w:eastAsia="zh-CN"/>
        </w:rPr>
        <w:t>2025年和田市维医药产业集群建设项目（</w:t>
      </w:r>
      <w:r>
        <w:rPr>
          <w:rFonts w:hint="eastAsia" w:cs="宋体"/>
          <w:szCs w:val="24"/>
          <w:lang w:val="en-US" w:eastAsia="zh-CN"/>
        </w:rPr>
        <w:t>包二</w:t>
      </w:r>
      <w:r>
        <w:rPr>
          <w:rFonts w:hint="eastAsia" w:cs="宋体"/>
          <w:szCs w:val="24"/>
          <w:lang w:val="hr-HR" w:eastAsia="zh-CN"/>
        </w:rPr>
        <w:t>）</w:t>
      </w:r>
    </w:p>
    <w:p w14:paraId="6F23B834">
      <w:pPr>
        <w:rPr>
          <w:rFonts w:cs="宋体"/>
          <w:szCs w:val="24"/>
        </w:rPr>
      </w:pPr>
      <w:r>
        <w:rPr>
          <w:rFonts w:hint="eastAsia" w:cs="宋体"/>
          <w:szCs w:val="24"/>
        </w:rPr>
        <w:t>数量：1项</w:t>
      </w:r>
    </w:p>
    <w:p w14:paraId="03D2D7CD">
      <w:pPr>
        <w:rPr>
          <w:rFonts w:hint="eastAsia" w:eastAsia="宋体" w:cs="宋体"/>
          <w:szCs w:val="24"/>
          <w:lang w:val="en-US" w:eastAsia="zh-CN"/>
        </w:rPr>
      </w:pPr>
      <w:r>
        <w:rPr>
          <w:rFonts w:hint="eastAsia" w:cs="宋体"/>
          <w:szCs w:val="24"/>
        </w:rPr>
        <w:t>采购预算最高限价（元）：</w:t>
      </w:r>
      <w:r>
        <w:rPr>
          <w:rFonts w:hint="eastAsia" w:cs="宋体"/>
          <w:szCs w:val="24"/>
          <w:lang w:val="en-US" w:eastAsia="zh-CN"/>
        </w:rPr>
        <w:t>1470000元</w:t>
      </w:r>
    </w:p>
    <w:p w14:paraId="0D19BB37">
      <w:pPr>
        <w:rPr>
          <w:rFonts w:hint="eastAsia" w:cs="宋体"/>
          <w:szCs w:val="24"/>
        </w:rPr>
      </w:pPr>
      <w:r>
        <w:rPr>
          <w:rFonts w:hint="eastAsia" w:cs="宋体"/>
          <w:szCs w:val="24"/>
        </w:rPr>
        <w:t>采购需求：</w:t>
      </w:r>
      <w:r>
        <w:rPr>
          <w:rFonts w:hint="eastAsia" w:cs="宋体"/>
          <w:szCs w:val="24"/>
          <w:lang w:val="en-US" w:eastAsia="zh-CN"/>
        </w:rPr>
        <w:t>详见招标文件</w:t>
      </w:r>
      <w:r>
        <w:rPr>
          <w:rFonts w:hint="eastAsia" w:cs="宋体"/>
          <w:szCs w:val="24"/>
        </w:rPr>
        <w:t>“第三章项目采购需求”。</w:t>
      </w:r>
    </w:p>
    <w:p w14:paraId="2DE33FB9">
      <w:pPr>
        <w:rPr>
          <w:rFonts w:hint="eastAsia" w:cs="宋体"/>
          <w:szCs w:val="24"/>
        </w:rPr>
      </w:pPr>
      <w:r>
        <w:rPr>
          <w:rFonts w:hint="eastAsia" w:cs="宋体"/>
          <w:szCs w:val="24"/>
        </w:rPr>
        <w:t>合同履约期限：</w:t>
      </w:r>
      <w:r>
        <w:rPr>
          <w:rFonts w:hint="eastAsia" w:cs="宋体"/>
          <w:szCs w:val="24"/>
          <w:lang w:val="en-US" w:eastAsia="zh-CN"/>
        </w:rPr>
        <w:t>详见磋商文件</w:t>
      </w:r>
      <w:r>
        <w:rPr>
          <w:rFonts w:hint="eastAsia" w:cs="宋体"/>
          <w:szCs w:val="24"/>
        </w:rPr>
        <w:t>。 (具体</w:t>
      </w:r>
      <w:r>
        <w:rPr>
          <w:rFonts w:hint="eastAsia" w:cs="宋体"/>
          <w:szCs w:val="24"/>
          <w:lang w:val="en-US" w:eastAsia="zh-CN"/>
        </w:rPr>
        <w:t>与业主签订合同为准</w:t>
      </w:r>
      <w:r>
        <w:rPr>
          <w:rFonts w:hint="eastAsia" w:cs="宋体"/>
          <w:szCs w:val="24"/>
        </w:rPr>
        <w:t>)</w:t>
      </w:r>
    </w:p>
    <w:p w14:paraId="4EDD73C7">
      <w:pPr>
        <w:rPr>
          <w:rFonts w:cs="宋体"/>
          <w:kern w:val="0"/>
          <w:szCs w:val="24"/>
        </w:rPr>
      </w:pPr>
      <w:r>
        <w:rPr>
          <w:rFonts w:hint="eastAsia" w:cs="宋体"/>
          <w:kern w:val="0"/>
          <w:szCs w:val="24"/>
        </w:rPr>
        <w:t>本项目（否）接受联合体。</w:t>
      </w:r>
    </w:p>
    <w:p w14:paraId="20AF7B3A">
      <w:pPr>
        <w:textAlignment w:val="baseline"/>
        <w:rPr>
          <w:rFonts w:cs="宋体"/>
          <w:b/>
          <w:bCs/>
        </w:rPr>
      </w:pPr>
      <w:r>
        <w:rPr>
          <w:rFonts w:hint="eastAsia" w:cs="宋体"/>
          <w:b/>
          <w:bCs/>
        </w:rPr>
        <w:t>二、申请人的资格要求：</w:t>
      </w:r>
    </w:p>
    <w:p w14:paraId="0717230F">
      <w:pPr>
        <w:textAlignment w:val="baseline"/>
        <w:rPr>
          <w:rFonts w:cs="宋体"/>
        </w:rPr>
      </w:pPr>
      <w:r>
        <w:rPr>
          <w:rFonts w:hint="eastAsia" w:cs="宋体"/>
        </w:rPr>
        <w:t>1.满足《政府采购法》第二十二条规定；</w:t>
      </w:r>
    </w:p>
    <w:p w14:paraId="09F0A1D6">
      <w:pPr>
        <w:spacing w:before="155" w:line="338" w:lineRule="auto"/>
        <w:rPr>
          <w:rFonts w:hint="eastAsia" w:cs="宋体"/>
          <w:b/>
          <w:bCs/>
          <w:color w:val="FF0000"/>
        </w:rPr>
      </w:pPr>
      <w:r>
        <w:rPr>
          <w:rFonts w:hint="eastAsia" w:cs="宋体"/>
          <w:b/>
          <w:bCs/>
        </w:rPr>
        <w:t>2.落实政府采购政策需满足的资格</w:t>
      </w:r>
      <w:r>
        <w:rPr>
          <w:rFonts w:hint="eastAsia" w:cs="宋体"/>
          <w:b/>
          <w:bCs/>
          <w:color w:val="auto"/>
        </w:rPr>
        <w:t>要求：本项目不专门面向中小企业；</w:t>
      </w:r>
    </w:p>
    <w:p w14:paraId="0306DBAC">
      <w:pPr>
        <w:spacing w:before="155" w:line="338" w:lineRule="auto"/>
        <w:rPr>
          <w:rFonts w:ascii="宋体" w:hAnsi="宋体" w:cs="宋体"/>
          <w:sz w:val="24"/>
        </w:rPr>
      </w:pPr>
      <w:r>
        <w:rPr>
          <w:rFonts w:ascii="宋体" w:hAnsi="宋体" w:cs="宋体"/>
          <w:sz w:val="24"/>
        </w:rPr>
        <w:t>（1）具有独立承担民事责任的能力：在中华人民共和国境内注册的法人或其他组织或自然人，投标（响应）时提交有效的营业执照（或事业法人登记证或身份证等相关证明）；</w:t>
      </w:r>
    </w:p>
    <w:p w14:paraId="5BECED4F">
      <w:pPr>
        <w:pStyle w:val="11"/>
        <w:widowControl/>
        <w:spacing w:line="460" w:lineRule="exact"/>
        <w:rPr>
          <w:rFonts w:ascii="宋体" w:hAnsi="宋体" w:cs="宋体"/>
          <w:sz w:val="24"/>
        </w:rPr>
      </w:pPr>
      <w:r>
        <w:rPr>
          <w:rFonts w:ascii="宋体" w:hAnsi="宋体" w:cs="宋体"/>
          <w:sz w:val="24"/>
        </w:rPr>
        <w:t>（2）</w:t>
      </w:r>
      <w:r>
        <w:rPr>
          <w:rFonts w:hint="eastAsia" w:ascii="宋体" w:hAnsi="宋体" w:cs="宋体"/>
          <w:sz w:val="24"/>
        </w:rPr>
        <w:t>投标人提供202</w:t>
      </w:r>
      <w:r>
        <w:rPr>
          <w:rFonts w:hint="eastAsia" w:ascii="宋体" w:hAnsi="宋体" w:cs="宋体"/>
          <w:sz w:val="24"/>
          <w:lang w:val="en-US" w:eastAsia="zh-CN"/>
        </w:rPr>
        <w:t>4</w:t>
      </w:r>
      <w:r>
        <w:rPr>
          <w:rFonts w:hint="eastAsia" w:ascii="宋体" w:hAnsi="宋体" w:cs="宋体"/>
          <w:sz w:val="24"/>
        </w:rPr>
        <w:t>年度的财务审计报告</w:t>
      </w:r>
      <w:r>
        <w:rPr>
          <w:rFonts w:hint="eastAsia" w:ascii="宋体" w:hAnsi="宋体" w:cs="宋体"/>
          <w:sz w:val="24"/>
          <w:lang w:eastAsia="zh-CN"/>
        </w:rPr>
        <w:t>（</w:t>
      </w:r>
      <w:r>
        <w:rPr>
          <w:rFonts w:hint="eastAsia" w:ascii="宋体" w:hAnsi="宋体" w:cs="宋体"/>
          <w:sz w:val="24"/>
        </w:rPr>
        <w:t>2025年1月后成立的公司可不提供但需提供银行出具的公司成立至今的的资信证明）</w:t>
      </w:r>
      <w:r>
        <w:rPr>
          <w:rFonts w:ascii="宋体" w:hAnsi="宋体" w:cs="宋体"/>
          <w:sz w:val="24"/>
        </w:rPr>
        <w:t>；</w:t>
      </w:r>
    </w:p>
    <w:p w14:paraId="6A277B3A">
      <w:pPr>
        <w:pStyle w:val="11"/>
        <w:widowControl/>
        <w:spacing w:line="460" w:lineRule="exact"/>
        <w:rPr>
          <w:rFonts w:ascii="宋体" w:hAnsi="宋体" w:cs="宋体"/>
          <w:sz w:val="24"/>
        </w:rPr>
      </w:pPr>
      <w:r>
        <w:rPr>
          <w:rFonts w:ascii="宋体" w:hAnsi="宋体" w:cs="宋体"/>
          <w:sz w:val="24"/>
        </w:rPr>
        <w:t>（3）提供税务机关出具</w:t>
      </w:r>
      <w:r>
        <w:rPr>
          <w:rFonts w:hint="eastAsia" w:ascii="宋体" w:hAnsi="宋体" w:cs="宋体"/>
          <w:sz w:val="24"/>
        </w:rPr>
        <w:t>近半年内任意一</w:t>
      </w:r>
      <w:r>
        <w:rPr>
          <w:rFonts w:ascii="宋体" w:hAnsi="宋体" w:cs="宋体"/>
          <w:sz w:val="24"/>
        </w:rPr>
        <w:t>个月的完税证明（如依法免税的，应提供相应文件证明，代扣缴税的完税证明不作为税务缴费凭证，如社保缴税等）；（4）法人投标应提供《法定代表人身份证明书》，委托代理人投标应提供《法定代表人授权委托书》；</w:t>
      </w:r>
    </w:p>
    <w:p w14:paraId="67A2C79A">
      <w:pPr>
        <w:pStyle w:val="11"/>
        <w:widowControl/>
        <w:spacing w:line="460" w:lineRule="exact"/>
        <w:rPr>
          <w:rFonts w:ascii="宋体" w:hAnsi="宋体" w:cs="宋体"/>
          <w:sz w:val="24"/>
        </w:rPr>
      </w:pPr>
      <w:r>
        <w:rPr>
          <w:rFonts w:ascii="宋体" w:hAnsi="宋体" w:cs="宋体"/>
          <w:sz w:val="24"/>
        </w:rPr>
        <w:t>（5）</w:t>
      </w:r>
      <w:r>
        <w:rPr>
          <w:rFonts w:hint="eastAsia" w:ascii="宋体" w:hAnsi="宋体" w:cs="宋体"/>
          <w:sz w:val="24"/>
        </w:rPr>
        <w:t>提供本单位近半年内任意一个月的社保缴纳证明（单位社保缴费凭证，2025年2月份后成立的公司按实际发生提供），如依法不需要缴纳社会保障资金的，应提供相应文件证明）</w:t>
      </w:r>
      <w:r>
        <w:rPr>
          <w:rFonts w:ascii="宋体" w:hAnsi="宋体" w:cs="宋体"/>
          <w:sz w:val="24"/>
        </w:rPr>
        <w:t>；</w:t>
      </w:r>
    </w:p>
    <w:p w14:paraId="41FA0249">
      <w:pPr>
        <w:pStyle w:val="11"/>
        <w:widowControl/>
        <w:spacing w:line="460" w:lineRule="exact"/>
        <w:rPr>
          <w:rFonts w:ascii="宋体" w:hAnsi="宋体" w:cs="宋体"/>
          <w:sz w:val="24"/>
        </w:rPr>
      </w:pPr>
      <w:r>
        <w:rPr>
          <w:rFonts w:ascii="宋体" w:hAnsi="宋体" w:cs="宋体"/>
          <w:sz w:val="24"/>
        </w:rPr>
        <w:t>（6）履行合同所必需的设备和专业技术能力：提供《声明函》；</w:t>
      </w:r>
    </w:p>
    <w:p w14:paraId="5419DA68">
      <w:pPr>
        <w:pStyle w:val="11"/>
        <w:widowControl/>
        <w:spacing w:line="460" w:lineRule="exact"/>
        <w:rPr>
          <w:rFonts w:ascii="宋体" w:hAnsi="宋体" w:cs="宋体"/>
          <w:sz w:val="24"/>
        </w:rPr>
      </w:pPr>
      <w:r>
        <w:rPr>
          <w:rFonts w:ascii="宋体" w:hAnsi="宋体" w:cs="宋体"/>
          <w:sz w:val="24"/>
        </w:rPr>
        <w:t>（7）参加采购活动前三年内，在经营活动中没有重大违法记录：提供《无重大违法记录声明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14:paraId="2EC9AA0B">
      <w:pPr>
        <w:pStyle w:val="11"/>
        <w:widowControl/>
        <w:spacing w:line="460" w:lineRule="exact"/>
        <w:rPr>
          <w:rFonts w:ascii="宋体" w:hAnsi="宋体" w:cs="宋体"/>
          <w:sz w:val="24"/>
        </w:rPr>
      </w:pPr>
      <w:r>
        <w:rPr>
          <w:rFonts w:ascii="宋体" w:hAnsi="宋体" w:cs="宋体"/>
          <w:sz w:val="24"/>
        </w:rPr>
        <w:t>（8）</w:t>
      </w:r>
      <w:r>
        <w:rPr>
          <w:rFonts w:hint="eastAsia" w:ascii="宋体" w:hAnsi="宋体" w:cs="宋体"/>
          <w:sz w:val="24"/>
        </w:rPr>
        <w:t>近三年拟参加本次招标项目的投标人在“信用中国（www.creditchina.gov.cn）”被列入失信被执行人、企业经营异常名录、重大税收违法案件当事人名单、政府采购严重违法失信名单（尚在处罚期内的）；在“中国政府采购网（www.ccgp.gov.cn）”被列入政府采购严重违法失信行为记录名单的（尚在处罚期内的）</w:t>
      </w:r>
      <w:r>
        <w:rPr>
          <w:rFonts w:hint="eastAsia" w:ascii="宋体" w:hAnsi="宋体" w:cs="宋体"/>
          <w:sz w:val="24"/>
          <w:lang w:eastAsia="zh-CN"/>
        </w:rPr>
        <w:t>，</w:t>
      </w:r>
      <w:r>
        <w:rPr>
          <w:rFonts w:hint="eastAsia" w:ascii="宋体" w:hAnsi="宋体" w:cs="宋体"/>
          <w:sz w:val="24"/>
        </w:rPr>
        <w:t>经营异常名录的取消投标资格</w:t>
      </w:r>
      <w:r>
        <w:rPr>
          <w:rFonts w:ascii="宋体" w:hAnsi="宋体" w:cs="宋体"/>
          <w:sz w:val="24"/>
        </w:rPr>
        <w:t>。</w:t>
      </w:r>
    </w:p>
    <w:p w14:paraId="28B194D8">
      <w:pPr>
        <w:pStyle w:val="11"/>
        <w:widowControl/>
        <w:spacing w:line="460" w:lineRule="exact"/>
        <w:rPr>
          <w:rFonts w:hint="eastAsia" w:ascii="宋体" w:hAnsi="宋体" w:cs="宋体"/>
          <w:sz w:val="24"/>
          <w:lang w:val="en-US" w:eastAsia="zh-CN"/>
        </w:rPr>
      </w:pPr>
      <w:r>
        <w:rPr>
          <w:rFonts w:hint="eastAsia" w:ascii="宋体" w:hAnsi="宋体" w:cs="宋体"/>
          <w:sz w:val="24"/>
          <w:lang w:val="en-US" w:eastAsia="zh-CN"/>
        </w:rPr>
        <w:t>（9）企业负责人为同一人或者存在直接控股、管理关系的不同投标人，不得参加同一合同项下的政府采购活动（提供声明函），否则，皆取消投标资格；凡拟参加本次招标项目的投标人还须提供“参加政府采购活动前3年内在经营活动中没有重大违法记录的书面声明函。</w:t>
      </w:r>
    </w:p>
    <w:p w14:paraId="1DC7B5E1">
      <w:pPr>
        <w:pStyle w:val="11"/>
        <w:widowControl/>
        <w:spacing w:line="460" w:lineRule="exact"/>
        <w:rPr>
          <w:rFonts w:ascii="宋体" w:hAnsi="宋体" w:cs="宋体"/>
          <w:b/>
          <w:bCs/>
          <w:sz w:val="24"/>
        </w:rPr>
      </w:pPr>
      <w:r>
        <w:rPr>
          <w:rFonts w:hint="eastAsia" w:ascii="宋体" w:hAnsi="宋体" w:cs="宋体"/>
          <w:sz w:val="24"/>
          <w:lang w:val="en-US" w:eastAsia="zh-CN"/>
        </w:rPr>
        <w:t>（10）本项目不接受联合体投标。</w:t>
      </w:r>
    </w:p>
    <w:p w14:paraId="57FED74E">
      <w:pPr>
        <w:textAlignment w:val="baseline"/>
        <w:rPr>
          <w:rFonts w:cs="宋体"/>
          <w:b/>
          <w:bCs/>
        </w:rPr>
      </w:pPr>
      <w:r>
        <w:rPr>
          <w:rFonts w:hint="eastAsia" w:cs="宋体"/>
          <w:b/>
          <w:bCs/>
        </w:rPr>
        <w:t>3.本项目的特定资格要求：无</w:t>
      </w:r>
    </w:p>
    <w:p w14:paraId="6696BD73">
      <w:pPr>
        <w:spacing w:line="460" w:lineRule="exact"/>
        <w:textAlignment w:val="baseline"/>
        <w:rPr>
          <w:rFonts w:cs="宋体"/>
        </w:rPr>
      </w:pPr>
      <w:r>
        <w:rPr>
          <w:rFonts w:hint="eastAsia" w:cs="宋体"/>
          <w:b/>
          <w:bCs/>
        </w:rPr>
        <w:t>三、获取采购文件</w:t>
      </w:r>
    </w:p>
    <w:p w14:paraId="77E2C41B">
      <w:pPr>
        <w:spacing w:line="360" w:lineRule="auto"/>
        <w:ind w:firstLine="240" w:firstLineChars="100"/>
        <w:rPr>
          <w:rFonts w:hint="eastAsia" w:ascii="宋体" w:hAnsi="宋体" w:eastAsia="宋体" w:cs="宋体"/>
          <w:i w:val="0"/>
          <w:iCs w:val="0"/>
          <w:color w:val="auto"/>
          <w:sz w:val="24"/>
          <w:szCs w:val="24"/>
          <w:highlight w:val="none"/>
          <w:u w:val="none"/>
          <w:lang w:val="hr-HR" w:eastAsia="zh-CN"/>
        </w:rPr>
      </w:pPr>
      <w:r>
        <w:rPr>
          <w:rFonts w:hint="eastAsia" w:ascii="宋体" w:hAnsi="宋体" w:eastAsia="宋体" w:cs="宋体"/>
          <w:i w:val="0"/>
          <w:iCs w:val="0"/>
          <w:color w:val="auto"/>
          <w:sz w:val="24"/>
          <w:szCs w:val="24"/>
          <w:highlight w:val="none"/>
          <w:u w:val="none"/>
          <w:lang w:val="hr-HR"/>
        </w:rPr>
        <w:t>时间：</w:t>
      </w:r>
      <w:r>
        <w:rPr>
          <w:rFonts w:hint="eastAsia" w:cs="宋体"/>
          <w:i w:val="0"/>
          <w:iCs w:val="0"/>
          <w:color w:val="auto"/>
          <w:sz w:val="24"/>
          <w:szCs w:val="24"/>
          <w:highlight w:val="none"/>
          <w:u w:val="none"/>
          <w:lang w:val="en-US" w:eastAsia="zh-CN"/>
        </w:rPr>
        <w:t>2025年07月11日至2025年07月18日</w:t>
      </w:r>
      <w:r>
        <w:rPr>
          <w:rFonts w:hint="eastAsia" w:ascii="宋体" w:hAnsi="宋体" w:eastAsia="宋体" w:cs="宋体"/>
          <w:i w:val="0"/>
          <w:iCs w:val="0"/>
          <w:color w:val="auto"/>
          <w:sz w:val="24"/>
          <w:szCs w:val="24"/>
          <w:highlight w:val="none"/>
          <w:u w:val="none"/>
        </w:rPr>
        <w:t>，</w:t>
      </w:r>
      <w:r>
        <w:rPr>
          <w:rFonts w:hint="eastAsia" w:ascii="宋体" w:hAnsi="宋体" w:eastAsia="宋体" w:cs="宋体"/>
          <w:color w:val="auto"/>
          <w:sz w:val="24"/>
          <w:szCs w:val="24"/>
          <w:highlight w:val="none"/>
        </w:rPr>
        <w:t>每天上午</w:t>
      </w:r>
      <w:r>
        <w:rPr>
          <w:rFonts w:hint="eastAsia" w:ascii="宋体" w:hAnsi="宋体" w:eastAsia="宋体" w:cs="宋体"/>
          <w:color w:val="auto"/>
          <w:sz w:val="24"/>
          <w:szCs w:val="24"/>
          <w:highlight w:val="none"/>
          <w:u w:val="single"/>
          <w:lang w:val="en-US" w:eastAsia="zh-CN"/>
        </w:rPr>
        <w:t>00</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00</w:t>
      </w:r>
      <w:r>
        <w:rPr>
          <w:rFonts w:hint="eastAsia" w:ascii="宋体" w:hAnsi="宋体" w:eastAsia="宋体" w:cs="宋体"/>
          <w:color w:val="auto"/>
          <w:sz w:val="24"/>
          <w:szCs w:val="24"/>
          <w:highlight w:val="none"/>
          <w:u w:val="single"/>
        </w:rPr>
        <w:t>至</w:t>
      </w:r>
      <w:r>
        <w:rPr>
          <w:rFonts w:hint="eastAsia" w:ascii="宋体" w:hAnsi="宋体" w:eastAsia="宋体" w:cs="宋体"/>
          <w:color w:val="auto"/>
          <w:sz w:val="24"/>
          <w:szCs w:val="24"/>
          <w:highlight w:val="none"/>
          <w:u w:val="single"/>
          <w:lang w:val="en-US" w:eastAsia="zh-CN"/>
        </w:rPr>
        <w:t>12</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00</w:t>
      </w:r>
      <w:r>
        <w:rPr>
          <w:rFonts w:hint="eastAsia" w:ascii="宋体" w:hAnsi="宋体" w:eastAsia="宋体" w:cs="宋体"/>
          <w:color w:val="auto"/>
          <w:sz w:val="24"/>
          <w:szCs w:val="24"/>
          <w:highlight w:val="none"/>
        </w:rPr>
        <w:t>，下午</w:t>
      </w:r>
      <w:r>
        <w:rPr>
          <w:rFonts w:hint="eastAsia" w:ascii="宋体" w:hAnsi="宋体" w:eastAsia="宋体" w:cs="宋体"/>
          <w:color w:val="auto"/>
          <w:sz w:val="24"/>
          <w:szCs w:val="24"/>
          <w:highlight w:val="none"/>
          <w:u w:val="single"/>
          <w:lang w:val="en-US" w:eastAsia="zh-CN"/>
        </w:rPr>
        <w:t>12</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0</w:t>
      </w:r>
      <w:r>
        <w:rPr>
          <w:rFonts w:hint="eastAsia" w:ascii="宋体" w:hAnsi="宋体" w:eastAsia="宋体" w:cs="宋体"/>
          <w:color w:val="auto"/>
          <w:sz w:val="24"/>
          <w:szCs w:val="24"/>
          <w:highlight w:val="none"/>
          <w:u w:val="single"/>
        </w:rPr>
        <w:t>0至</w:t>
      </w:r>
      <w:r>
        <w:rPr>
          <w:rFonts w:hint="eastAsia" w:ascii="宋体" w:hAnsi="宋体" w:eastAsia="宋体" w:cs="宋体"/>
          <w:color w:val="auto"/>
          <w:sz w:val="24"/>
          <w:szCs w:val="24"/>
          <w:highlight w:val="none"/>
          <w:u w:val="single"/>
          <w:lang w:val="en-US" w:eastAsia="zh-CN"/>
        </w:rPr>
        <w:t>23</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59</w:t>
      </w:r>
      <w:r>
        <w:rPr>
          <w:rFonts w:hint="eastAsia" w:ascii="宋体" w:hAnsi="宋体" w:eastAsia="宋体" w:cs="宋体"/>
          <w:i w:val="0"/>
          <w:iCs w:val="0"/>
          <w:color w:val="auto"/>
          <w:sz w:val="24"/>
          <w:szCs w:val="24"/>
          <w:highlight w:val="none"/>
          <w:u w:val="none"/>
        </w:rPr>
        <w:t>（北京时间，法定节假日除外）</w:t>
      </w:r>
      <w:r>
        <w:rPr>
          <w:rFonts w:hint="eastAsia" w:ascii="宋体" w:hAnsi="宋体" w:eastAsia="宋体" w:cs="宋体"/>
          <w:i w:val="0"/>
          <w:iCs w:val="0"/>
          <w:color w:val="auto"/>
          <w:sz w:val="24"/>
          <w:szCs w:val="24"/>
          <w:highlight w:val="none"/>
          <w:u w:val="none"/>
          <w:lang w:eastAsia="zh-CN"/>
        </w:rPr>
        <w:t>。</w:t>
      </w:r>
    </w:p>
    <w:p w14:paraId="596CD6EA">
      <w:pPr>
        <w:pStyle w:val="35"/>
        <w:ind w:left="0" w:leftChars="0" w:firstLine="240" w:firstLineChars="100"/>
        <w:rPr>
          <w:rFonts w:hint="eastAsia" w:ascii="宋体" w:hAnsi="宋体" w:eastAsia="宋体" w:cs="宋体"/>
          <w:i w:val="0"/>
          <w:iCs w:val="0"/>
          <w:color w:val="auto"/>
          <w:sz w:val="24"/>
          <w:szCs w:val="24"/>
          <w:highlight w:val="none"/>
          <w:u w:val="none"/>
          <w:lang w:val="hr-HR"/>
        </w:rPr>
      </w:pPr>
      <w:r>
        <w:rPr>
          <w:rFonts w:hint="eastAsia" w:ascii="宋体" w:hAnsi="宋体" w:eastAsia="宋体" w:cs="宋体"/>
          <w:i w:val="0"/>
          <w:iCs w:val="0"/>
          <w:color w:val="auto"/>
          <w:sz w:val="24"/>
          <w:szCs w:val="24"/>
          <w:highlight w:val="none"/>
          <w:u w:val="none"/>
        </w:rPr>
        <w:t>地点</w:t>
      </w:r>
      <w:r>
        <w:rPr>
          <w:rFonts w:hint="eastAsia" w:ascii="宋体" w:hAnsi="宋体" w:eastAsia="宋体" w:cs="宋体"/>
          <w:i w:val="0"/>
          <w:iCs w:val="0"/>
          <w:color w:val="auto"/>
          <w:sz w:val="24"/>
          <w:szCs w:val="24"/>
          <w:highlight w:val="none"/>
          <w:u w:val="none"/>
          <w:lang w:val="hr-HR"/>
        </w:rPr>
        <w:t>：政采云平台https://www.zcygov.cn/</w:t>
      </w:r>
      <w:r>
        <w:rPr>
          <w:rFonts w:hint="eastAsia" w:ascii="宋体" w:hAnsi="宋体" w:eastAsia="宋体" w:cs="宋体"/>
          <w:i w:val="0"/>
          <w:iCs w:val="0"/>
          <w:color w:val="auto"/>
          <w:sz w:val="24"/>
          <w:szCs w:val="24"/>
          <w:highlight w:val="none"/>
          <w:u w:val="none"/>
        </w:rPr>
        <w:t>。</w:t>
      </w:r>
    </w:p>
    <w:p w14:paraId="0FF00393">
      <w:pPr>
        <w:pStyle w:val="35"/>
        <w:ind w:left="0" w:leftChars="0" w:firstLine="240" w:firstLineChars="100"/>
        <w:rPr>
          <w:rFonts w:hint="eastAsia" w:ascii="宋体" w:hAnsi="宋体" w:eastAsia="宋体" w:cs="宋体"/>
          <w:i w:val="0"/>
          <w:iCs w:val="0"/>
          <w:color w:val="auto"/>
          <w:sz w:val="24"/>
          <w:szCs w:val="24"/>
          <w:highlight w:val="none"/>
          <w:u w:val="none"/>
          <w:lang w:val="hr-HR"/>
        </w:rPr>
      </w:pPr>
      <w:r>
        <w:rPr>
          <w:rFonts w:hint="eastAsia" w:ascii="宋体" w:hAnsi="宋体" w:eastAsia="宋体" w:cs="宋体"/>
          <w:i w:val="0"/>
          <w:iCs w:val="0"/>
          <w:color w:val="auto"/>
          <w:sz w:val="24"/>
          <w:szCs w:val="24"/>
          <w:highlight w:val="none"/>
          <w:u w:val="none"/>
        </w:rPr>
        <w:t>方式</w:t>
      </w:r>
      <w:r>
        <w:rPr>
          <w:rFonts w:hint="eastAsia" w:ascii="宋体" w:hAnsi="宋体" w:eastAsia="宋体" w:cs="宋体"/>
          <w:i w:val="0"/>
          <w:iCs w:val="0"/>
          <w:color w:val="auto"/>
          <w:sz w:val="24"/>
          <w:szCs w:val="24"/>
          <w:highlight w:val="none"/>
          <w:u w:val="none"/>
          <w:lang w:val="hr-HR"/>
        </w:rPr>
        <w:t>：供应商登录新疆政府采购云平台https://www.zcygov.cn/在线申请获取采购文件（进入“项目采购”应用，在获取采购文件菜单中选择项目，申请获取采购文件）</w:t>
      </w:r>
    </w:p>
    <w:p w14:paraId="7DC8B99F">
      <w:pPr>
        <w:pStyle w:val="35"/>
        <w:rPr>
          <w:rFonts w:hint="eastAsia" w:ascii="宋体" w:hAnsi="宋体" w:eastAsia="宋体" w:cs="宋体"/>
          <w:i w:val="0"/>
          <w:iCs w:val="0"/>
          <w:color w:val="auto"/>
          <w:sz w:val="24"/>
          <w:szCs w:val="24"/>
          <w:highlight w:val="none"/>
          <w:u w:val="none"/>
          <w:lang w:val="hr-HR"/>
        </w:rPr>
      </w:pPr>
      <w:r>
        <w:rPr>
          <w:rFonts w:hint="eastAsia" w:ascii="宋体" w:hAnsi="宋体" w:eastAsia="宋体" w:cs="宋体"/>
          <w:i w:val="0"/>
          <w:iCs w:val="0"/>
          <w:color w:val="auto"/>
          <w:sz w:val="24"/>
          <w:szCs w:val="24"/>
          <w:highlight w:val="none"/>
          <w:u w:val="none"/>
          <w:lang w:val="en-US"/>
        </w:rPr>
        <w:t>售价：</w:t>
      </w:r>
      <w:r>
        <w:rPr>
          <w:rFonts w:hint="eastAsia" w:ascii="宋体" w:hAnsi="宋体" w:eastAsia="宋体" w:cs="宋体"/>
          <w:i w:val="0"/>
          <w:iCs w:val="0"/>
          <w:color w:val="auto"/>
          <w:sz w:val="24"/>
          <w:szCs w:val="24"/>
          <w:highlight w:val="none"/>
          <w:u w:val="none"/>
          <w:lang w:val="en-US" w:eastAsia="zh-CN"/>
        </w:rPr>
        <w:t>0元。</w:t>
      </w:r>
    </w:p>
    <w:p w14:paraId="4B22996D">
      <w:pPr>
        <w:spacing w:line="460" w:lineRule="exact"/>
        <w:textAlignment w:val="baseline"/>
        <w:rPr>
          <w:rFonts w:cs="宋体"/>
          <w:b/>
          <w:bCs/>
        </w:rPr>
      </w:pPr>
      <w:r>
        <w:rPr>
          <w:rFonts w:hint="eastAsia" w:cs="宋体"/>
          <w:b/>
          <w:bCs/>
        </w:rPr>
        <w:t>四、响应文件递交</w:t>
      </w:r>
    </w:p>
    <w:p w14:paraId="0964CB8F">
      <w:pPr>
        <w:spacing w:line="460" w:lineRule="exact"/>
        <w:textAlignment w:val="baseline"/>
        <w:rPr>
          <w:rFonts w:cs="宋体"/>
        </w:rPr>
      </w:pPr>
      <w:r>
        <w:rPr>
          <w:rFonts w:hint="eastAsia" w:cs="宋体"/>
        </w:rPr>
        <w:t>递交响应文件截止时间：</w:t>
      </w:r>
      <w:r>
        <w:rPr>
          <w:rFonts w:hint="eastAsia" w:cs="宋体"/>
          <w:lang w:eastAsia="zh-CN"/>
        </w:rPr>
        <w:t>2025年</w:t>
      </w:r>
      <w:r>
        <w:rPr>
          <w:rFonts w:hint="eastAsia" w:cs="宋体"/>
          <w:lang w:val="en-US" w:eastAsia="zh-CN"/>
        </w:rPr>
        <w:t>07月21日</w:t>
      </w:r>
      <w:r>
        <w:rPr>
          <w:rFonts w:hint="eastAsia" w:cs="宋体"/>
        </w:rPr>
        <w:t>11:00（北京时间）</w:t>
      </w:r>
    </w:p>
    <w:p w14:paraId="7AE1E212">
      <w:pPr>
        <w:spacing w:line="460" w:lineRule="exact"/>
        <w:textAlignment w:val="baseline"/>
        <w:rPr>
          <w:rFonts w:cs="宋体"/>
        </w:rPr>
      </w:pPr>
      <w:r>
        <w:rPr>
          <w:rFonts w:hint="eastAsia" w:cs="宋体"/>
        </w:rPr>
        <w:t>投标地点：新疆政府采购网政采云平台（www.zcygov.cn），请登录政采云投标客户端投标 </w:t>
      </w:r>
    </w:p>
    <w:p w14:paraId="46AAC46D">
      <w:pPr>
        <w:spacing w:line="460" w:lineRule="exact"/>
        <w:textAlignment w:val="baseline"/>
        <w:rPr>
          <w:rFonts w:cs="宋体"/>
          <w:b/>
          <w:bCs/>
        </w:rPr>
      </w:pPr>
      <w:r>
        <w:rPr>
          <w:rFonts w:hint="eastAsia" w:cs="宋体"/>
          <w:b/>
          <w:bCs/>
        </w:rPr>
        <w:t>五、磋商时间及地点</w:t>
      </w:r>
    </w:p>
    <w:p w14:paraId="203E550D">
      <w:pPr>
        <w:spacing w:line="460" w:lineRule="exact"/>
        <w:textAlignment w:val="baseline"/>
        <w:rPr>
          <w:rFonts w:cs="宋体"/>
        </w:rPr>
      </w:pPr>
      <w:r>
        <w:rPr>
          <w:rFonts w:hint="eastAsia" w:cs="宋体"/>
        </w:rPr>
        <w:t>磋商</w:t>
      </w:r>
      <w:r>
        <w:rPr>
          <w:rFonts w:hint="eastAsia" w:cs="宋体"/>
          <w:color w:val="auto"/>
          <w:highlight w:val="none"/>
        </w:rPr>
        <w:t>时间：</w:t>
      </w:r>
      <w:r>
        <w:rPr>
          <w:rFonts w:hint="eastAsia" w:cs="宋体"/>
          <w:color w:val="auto"/>
          <w:highlight w:val="none"/>
          <w:lang w:eastAsia="zh-CN"/>
        </w:rPr>
        <w:t>2025年</w:t>
      </w:r>
      <w:r>
        <w:rPr>
          <w:rFonts w:hint="eastAsia" w:cs="宋体"/>
          <w:color w:val="auto"/>
          <w:highlight w:val="none"/>
          <w:lang w:val="en-US" w:eastAsia="zh-CN"/>
        </w:rPr>
        <w:t>07月21日</w:t>
      </w:r>
      <w:r>
        <w:rPr>
          <w:rFonts w:hint="eastAsia" w:cs="宋体"/>
          <w:color w:val="auto"/>
          <w:highlight w:val="none"/>
        </w:rPr>
        <w:t>11:00（北京时间）</w:t>
      </w:r>
    </w:p>
    <w:p w14:paraId="1251AA31">
      <w:pPr>
        <w:spacing w:line="460" w:lineRule="exact"/>
        <w:textAlignment w:val="baseline"/>
        <w:rPr>
          <w:rFonts w:cs="宋体"/>
        </w:rPr>
      </w:pPr>
      <w:r>
        <w:rPr>
          <w:rFonts w:hint="eastAsia" w:cs="宋体"/>
        </w:rPr>
        <w:t>磋商地点：投标人登录政采云平台https://www.zcygov.cn/，进入“项目采购-开标评标-右边选择对应项目点击“进入项目”进入开标大厅。</w:t>
      </w:r>
    </w:p>
    <w:p w14:paraId="61FAE4CD">
      <w:pPr>
        <w:spacing w:line="460" w:lineRule="exact"/>
        <w:textAlignment w:val="baseline"/>
        <w:rPr>
          <w:rFonts w:cs="宋体"/>
        </w:rPr>
      </w:pPr>
      <w:r>
        <w:rPr>
          <w:rFonts w:hint="eastAsia" w:cs="宋体"/>
          <w:b/>
          <w:bCs/>
        </w:rPr>
        <w:t>六、公告期限</w:t>
      </w:r>
    </w:p>
    <w:p w14:paraId="712885DB">
      <w:pPr>
        <w:spacing w:line="460" w:lineRule="exact"/>
        <w:textAlignment w:val="baseline"/>
        <w:rPr>
          <w:rFonts w:cs="宋体"/>
        </w:rPr>
      </w:pPr>
      <w:r>
        <w:rPr>
          <w:rFonts w:hint="eastAsia" w:cs="宋体"/>
        </w:rPr>
        <w:t> 自本公告发布之日起5个工作日。</w:t>
      </w:r>
    </w:p>
    <w:p w14:paraId="24B6E8E0">
      <w:pPr>
        <w:spacing w:line="460" w:lineRule="exact"/>
        <w:textAlignment w:val="baseline"/>
        <w:rPr>
          <w:rFonts w:cs="宋体"/>
          <w:b/>
          <w:bCs/>
        </w:rPr>
      </w:pPr>
      <w:r>
        <w:rPr>
          <w:rFonts w:hint="eastAsia" w:cs="宋体"/>
          <w:b/>
          <w:bCs/>
        </w:rPr>
        <w:t>七、其他补充事宜</w:t>
      </w:r>
    </w:p>
    <w:p w14:paraId="2EC04637">
      <w:pPr>
        <w:spacing w:line="440" w:lineRule="exact"/>
        <w:textAlignment w:val="baseline"/>
        <w:rPr>
          <w:rStyle w:val="31"/>
          <w:rFonts w:hint="eastAsia" w:cs="宋体"/>
          <w:b w:val="0"/>
          <w:szCs w:val="24"/>
        </w:rPr>
      </w:pPr>
      <w:r>
        <w:rPr>
          <w:rStyle w:val="31"/>
          <w:rFonts w:hint="eastAsia" w:cs="宋体"/>
          <w:b w:val="0"/>
          <w:szCs w:val="24"/>
        </w:rPr>
        <w:t>1、本项目实行网上投标，采用电子投标文件。 2、各供应商应在开标前确保成为正式注册入库供应商，并完成CA数字证书(符合国密标准)申领。因未注册入库、未办理CA数字证书等原因造成无法投标或投标失败等后果由供应商自行承担。如需咨询，请联系新疆CA服务热线4000921999；翔晟CA服务热线025-66085508。 3、供应商将政采云电子交易客户端下载、安装完成后，可通过账号密码或CA登录客户端进行投标文件的制作。在使用政采云投标客户端时，建议使用WIN7及以上操作系统。4、其他事项：①本项目实行网上投标，采用电子投标文件。若供应商参与投标，自行承担投标一切费用。 ②各供应商应在开标前应确保成为新疆维吾尔自治区政府采购网正式注册入库供应商，并完成CA数字证书申领。因未注册入库、未办理CA数字证书等原因造成无法投标或投标失败等后果由供应商自行承担。③供应商将政采云电子交易客户端下载、安装完成后，可通过账号密码或CA登录客户端进行投标文件制作。在使用政采云投标客户端时，建议使用WIN7及以上操作系统。客户端请至新疆政府采购网（http://www.ccgp-xinjiang.gov.cn/）下载专区查看，如有问题可拨打政采云客户服务热线95763进行咨询。 ④有意向参与新疆区域电子开评标的供应商，可访问新疆数字证书认证中心官方网站（https://www.xjca.com.cn/）或下载“新疆政务通”APP自行进行申领。如需咨询，请联系新疆CA服务热线0991-2819290 ⑤根据财政部、工业和信息化部关于印发《政府采购促进中小企业发展管理办法》的通知(财库[2020]46号)，投标人及其所投产品的制造商均属于《工业和信息化部、国家统计局、国家发展和改革委员会、财政部关于印发中小企业划型标准规定的通知》(工信部联企业[2011]450号)中规定的小型、微型企业标准的，按错文件格式提供《中小企业声明函》等政府采购政策。《财政部发展改革委 生态环境部市场监管总局关于调整优化节能产品、环境标志产品政府采购执行机制的通知》（财库〔2019〕9号）。 ⑥本项目中小企业划分标准为：其他未列明行业。</w:t>
      </w:r>
    </w:p>
    <w:p w14:paraId="25456AA3">
      <w:pPr>
        <w:spacing w:line="440" w:lineRule="exact"/>
        <w:textAlignment w:val="baseline"/>
        <w:rPr>
          <w:rFonts w:cs="宋体"/>
        </w:rPr>
      </w:pPr>
      <w:r>
        <w:rPr>
          <w:rFonts w:hint="eastAsia" w:cs="宋体"/>
          <w:b/>
          <w:bCs/>
        </w:rPr>
        <w:t>八、对本次采购提出询问，请按以下方式联系</w:t>
      </w:r>
      <w:r>
        <w:rPr>
          <w:rFonts w:hint="eastAsia" w:cs="宋体"/>
        </w:rPr>
        <w:t>　　　　　　　　　　　　</w:t>
      </w:r>
    </w:p>
    <w:p w14:paraId="753DE0A5">
      <w:pPr>
        <w:spacing w:line="440" w:lineRule="exact"/>
        <w:textAlignment w:val="baseline"/>
        <w:rPr>
          <w:rFonts w:cs="宋体"/>
        </w:rPr>
      </w:pPr>
      <w:r>
        <w:rPr>
          <w:rFonts w:hint="eastAsia" w:cs="宋体"/>
        </w:rPr>
        <w:t>1.采购人信息</w:t>
      </w:r>
    </w:p>
    <w:p w14:paraId="29A0C4E1">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名称：</w:t>
      </w:r>
      <w:r>
        <w:rPr>
          <w:rFonts w:hint="eastAsia" w:cs="宋体"/>
          <w:sz w:val="24"/>
          <w:szCs w:val="24"/>
          <w:highlight w:val="none"/>
          <w:lang w:eastAsia="zh-CN"/>
        </w:rPr>
        <w:t>和田市卫生健康委员会</w:t>
      </w:r>
    </w:p>
    <w:p w14:paraId="650904E7">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联系人：姜晓钰</w:t>
      </w:r>
    </w:p>
    <w:p w14:paraId="6703BFAB">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联系方式：0903-7864654</w:t>
      </w:r>
    </w:p>
    <w:p w14:paraId="5DB99A57">
      <w:pPr>
        <w:spacing w:line="360" w:lineRule="auto"/>
        <w:textAlignment w:val="baseline"/>
        <w:rPr>
          <w:rFonts w:cs="宋体"/>
        </w:rPr>
      </w:pPr>
      <w:r>
        <w:rPr>
          <w:rFonts w:hint="eastAsia" w:cs="宋体"/>
        </w:rPr>
        <w:t>2.采购代理机构信息</w:t>
      </w:r>
    </w:p>
    <w:p w14:paraId="2BF3E7CF">
      <w:pPr>
        <w:pStyle w:val="7"/>
        <w:adjustRightInd w:val="0"/>
        <w:snapToGrid w:val="0"/>
        <w:spacing w:line="360" w:lineRule="auto"/>
        <w:ind w:firstLine="0" w:firstLineChars="0"/>
        <w:jc w:val="both"/>
        <w:outlineLvl w:val="0"/>
        <w:rPr>
          <w:rFonts w:ascii="宋体" w:hAnsi="宋体" w:cs="宋体"/>
        </w:rPr>
      </w:pPr>
      <w:r>
        <w:rPr>
          <w:rFonts w:hint="eastAsia" w:ascii="宋体" w:hAnsi="宋体" w:cs="宋体"/>
        </w:rPr>
        <w:t>名 称：新疆和晟源项目管理有限公司</w:t>
      </w:r>
    </w:p>
    <w:p w14:paraId="28FE2186">
      <w:pPr>
        <w:pStyle w:val="7"/>
        <w:adjustRightInd w:val="0"/>
        <w:snapToGrid w:val="0"/>
        <w:spacing w:line="360" w:lineRule="auto"/>
        <w:ind w:firstLine="0" w:firstLineChars="0"/>
        <w:jc w:val="both"/>
        <w:outlineLvl w:val="0"/>
        <w:rPr>
          <w:rFonts w:ascii="宋体" w:hAnsi="宋体" w:cs="宋体"/>
        </w:rPr>
      </w:pPr>
      <w:r>
        <w:rPr>
          <w:rFonts w:hint="eastAsia" w:ascii="宋体" w:hAnsi="宋体" w:cs="宋体"/>
        </w:rPr>
        <w:t>地 址：和田市古江巴格街道古江南路19号</w:t>
      </w:r>
    </w:p>
    <w:p w14:paraId="15F53C6C">
      <w:pPr>
        <w:pStyle w:val="7"/>
        <w:adjustRightInd w:val="0"/>
        <w:snapToGrid w:val="0"/>
        <w:spacing w:line="360" w:lineRule="auto"/>
        <w:ind w:firstLine="0" w:firstLineChars="0"/>
        <w:jc w:val="both"/>
        <w:outlineLvl w:val="0"/>
        <w:rPr>
          <w:rFonts w:hint="eastAsia" w:ascii="宋体" w:hAnsi="宋体" w:cs="宋体"/>
        </w:rPr>
      </w:pPr>
      <w:r>
        <w:rPr>
          <w:rFonts w:hint="eastAsia" w:ascii="宋体" w:hAnsi="宋体" w:cs="宋体"/>
        </w:rPr>
        <w:t>联系方式：0903-2067512</w:t>
      </w:r>
    </w:p>
    <w:p w14:paraId="7DBBCBCD">
      <w:pPr>
        <w:pStyle w:val="7"/>
        <w:adjustRightInd w:val="0"/>
        <w:snapToGrid w:val="0"/>
        <w:spacing w:line="360" w:lineRule="auto"/>
        <w:ind w:firstLine="0" w:firstLineChars="0"/>
        <w:jc w:val="both"/>
        <w:outlineLvl w:val="0"/>
        <w:rPr>
          <w:rFonts w:hint="eastAsia" w:ascii="宋体" w:hAnsi="宋体" w:eastAsia="宋体" w:cs="宋体"/>
          <w:sz w:val="24"/>
          <w:szCs w:val="24"/>
          <w:highlight w:val="none"/>
        </w:rPr>
      </w:pPr>
      <w:r>
        <w:rPr>
          <w:rFonts w:hint="eastAsia" w:ascii="宋体" w:hAnsi="宋体" w:eastAsia="宋体" w:cs="宋体"/>
          <w:sz w:val="24"/>
          <w:szCs w:val="24"/>
          <w:highlight w:val="none"/>
        </w:rPr>
        <w:t>3.</w:t>
      </w:r>
      <w:r>
        <w:rPr>
          <w:rFonts w:hint="eastAsia" w:ascii="宋体" w:hAnsi="宋体" w:eastAsia="宋体" w:cs="宋体"/>
          <w:sz w:val="24"/>
          <w:szCs w:val="24"/>
          <w:highlight w:val="none"/>
          <w:lang w:val="en-US" w:eastAsia="zh-CN"/>
        </w:rPr>
        <w:t xml:space="preserve">同级政府采购监督管理部门 </w:t>
      </w:r>
    </w:p>
    <w:p w14:paraId="5875DAED">
      <w:pPr>
        <w:pStyle w:val="7"/>
        <w:adjustRightInd w:val="0"/>
        <w:snapToGrid w:val="0"/>
        <w:spacing w:line="360" w:lineRule="auto"/>
        <w:ind w:firstLine="0" w:firstLineChars="0"/>
        <w:jc w:val="both"/>
        <w:outlineLvl w:val="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名 称：和田市政府采购管理办公室</w:t>
      </w:r>
    </w:p>
    <w:p w14:paraId="4869F419">
      <w:pPr>
        <w:pStyle w:val="7"/>
        <w:adjustRightInd w:val="0"/>
        <w:snapToGrid w:val="0"/>
        <w:spacing w:line="360" w:lineRule="auto"/>
        <w:ind w:firstLine="0" w:firstLineChars="0"/>
        <w:jc w:val="both"/>
        <w:outlineLvl w:val="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 xml:space="preserve">联系人：罗女士 </w:t>
      </w:r>
    </w:p>
    <w:p w14:paraId="540ACDA8">
      <w:pPr>
        <w:pStyle w:val="7"/>
        <w:adjustRightInd w:val="0"/>
        <w:snapToGrid w:val="0"/>
        <w:spacing w:line="360" w:lineRule="auto"/>
        <w:ind w:firstLine="0" w:firstLineChars="0"/>
        <w:jc w:val="both"/>
        <w:outlineLvl w:val="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监督投诉电话：0903-2512012</w:t>
      </w:r>
    </w:p>
    <w:p w14:paraId="481E97D7">
      <w:pPr>
        <w:rPr>
          <w:rStyle w:val="67"/>
          <w:rFonts w:hint="eastAsia" w:ascii="宋体" w:hAnsi="宋体" w:cs="仿宋"/>
          <w:b/>
          <w:sz w:val="28"/>
          <w:szCs w:val="22"/>
        </w:rPr>
      </w:pPr>
      <w:r>
        <w:rPr>
          <w:rStyle w:val="67"/>
          <w:rFonts w:hint="eastAsia" w:ascii="宋体" w:hAnsi="宋体" w:cs="仿宋"/>
          <w:b/>
          <w:sz w:val="28"/>
          <w:szCs w:val="22"/>
        </w:rPr>
        <w:br w:type="page"/>
      </w:r>
    </w:p>
    <w:p w14:paraId="42F69313">
      <w:pPr>
        <w:pStyle w:val="7"/>
        <w:adjustRightInd w:val="0"/>
        <w:snapToGrid w:val="0"/>
        <w:ind w:firstLine="0" w:firstLineChars="0"/>
        <w:jc w:val="both"/>
        <w:outlineLvl w:val="0"/>
        <w:rPr>
          <w:rStyle w:val="67"/>
          <w:rFonts w:ascii="宋体" w:hAnsi="宋体" w:cs="仿宋"/>
          <w:b/>
          <w:sz w:val="28"/>
          <w:szCs w:val="22"/>
        </w:rPr>
      </w:pPr>
      <w:r>
        <w:rPr>
          <w:rStyle w:val="67"/>
          <w:rFonts w:hint="eastAsia" w:ascii="宋体" w:hAnsi="宋体" w:cs="仿宋"/>
          <w:b/>
          <w:sz w:val="28"/>
          <w:szCs w:val="22"/>
        </w:rPr>
        <w:t>特别提醒：</w:t>
      </w:r>
    </w:p>
    <w:p w14:paraId="08751B8B">
      <w:pPr>
        <w:pStyle w:val="7"/>
        <w:adjustRightInd w:val="0"/>
        <w:snapToGrid w:val="0"/>
        <w:ind w:firstLine="562"/>
        <w:outlineLvl w:val="0"/>
        <w:rPr>
          <w:rStyle w:val="67"/>
          <w:rFonts w:ascii="宋体" w:hAnsi="宋体" w:cs="仿宋"/>
          <w:b/>
          <w:sz w:val="28"/>
          <w:szCs w:val="22"/>
        </w:rPr>
      </w:pPr>
      <w:r>
        <w:rPr>
          <w:rStyle w:val="67"/>
          <w:rFonts w:hint="eastAsia" w:ascii="宋体" w:hAnsi="宋体" w:cs="仿宋"/>
          <w:b/>
          <w:sz w:val="28"/>
          <w:szCs w:val="22"/>
        </w:rPr>
        <w:t>1、投标企业采用银行转账或电汇的方式的，投标保证金由投标人基本账户汇出（投标保证金需一笔汇出，分笔汇出银行系统将不予统计），且不得以分公司的名义转账，投标保证金需在</w:t>
      </w:r>
      <w:r>
        <w:rPr>
          <w:rStyle w:val="67"/>
          <w:rFonts w:hint="eastAsia" w:hAnsi="宋体" w:cs="仿宋"/>
          <w:b/>
          <w:color w:val="FF0000"/>
          <w:sz w:val="28"/>
          <w:szCs w:val="22"/>
          <w:highlight w:val="green"/>
        </w:rPr>
        <w:t>2025年</w:t>
      </w:r>
      <w:r>
        <w:rPr>
          <w:rStyle w:val="67"/>
          <w:rFonts w:hint="eastAsia" w:hAnsi="宋体" w:cs="仿宋"/>
          <w:b/>
          <w:color w:val="FF0000"/>
          <w:sz w:val="28"/>
          <w:szCs w:val="22"/>
          <w:highlight w:val="green"/>
          <w:lang w:val="en-US"/>
        </w:rPr>
        <w:t>07月21日</w:t>
      </w:r>
      <w:r>
        <w:rPr>
          <w:rStyle w:val="67"/>
          <w:rFonts w:hint="eastAsia" w:hAnsi="宋体" w:cs="仿宋"/>
          <w:b/>
          <w:color w:val="FF0000"/>
          <w:sz w:val="28"/>
          <w:szCs w:val="22"/>
          <w:highlight w:val="green"/>
        </w:rPr>
        <w:t>11:00</w:t>
      </w:r>
      <w:r>
        <w:rPr>
          <w:rStyle w:val="67"/>
          <w:rFonts w:hint="eastAsia" w:ascii="宋体" w:hAnsi="宋体" w:cs="仿宋"/>
          <w:b/>
          <w:color w:val="FF0000"/>
          <w:sz w:val="28"/>
          <w:szCs w:val="22"/>
        </w:rPr>
        <w:t>（北京时间）</w:t>
      </w:r>
      <w:r>
        <w:rPr>
          <w:rStyle w:val="67"/>
          <w:rFonts w:hint="eastAsia" w:ascii="宋体" w:hAnsi="宋体" w:cs="仿宋"/>
          <w:b/>
          <w:sz w:val="28"/>
          <w:szCs w:val="22"/>
        </w:rPr>
        <w:t>前到账，超过时间则不予认可。投标单位须在汇款单备注栏标明：XXX项目XXX包段（标段）或采购项目编号。该项目不换取保证金收据，由银行出具投标企业保证金缴纳情况。晚于规定时间缴纳保证金的企业一切责任将由贵公司自行承担。</w:t>
      </w:r>
    </w:p>
    <w:p w14:paraId="0FAE5C98">
      <w:pPr>
        <w:pStyle w:val="7"/>
        <w:adjustRightInd w:val="0"/>
        <w:snapToGrid w:val="0"/>
        <w:ind w:firstLine="562"/>
        <w:outlineLvl w:val="0"/>
        <w:rPr>
          <w:rStyle w:val="67"/>
          <w:rFonts w:ascii="宋体" w:hAnsi="宋体" w:cs="仿宋"/>
          <w:b/>
          <w:sz w:val="28"/>
          <w:szCs w:val="22"/>
        </w:rPr>
      </w:pPr>
      <w:r>
        <w:rPr>
          <w:rStyle w:val="67"/>
          <w:rFonts w:hint="eastAsia" w:ascii="宋体" w:hAnsi="宋体" w:cs="仿宋"/>
          <w:b/>
          <w:sz w:val="28"/>
          <w:szCs w:val="22"/>
        </w:rPr>
        <w:t>2、投标企业下载招标文件后请仔细阅读，如对招标文件内容有质疑，</w:t>
      </w:r>
      <w:r>
        <w:rPr>
          <w:rStyle w:val="67"/>
          <w:rFonts w:hint="eastAsia" w:ascii="宋体" w:hAnsi="宋体" w:cs="仿宋"/>
          <w:b/>
          <w:color w:val="FF0000"/>
          <w:sz w:val="28"/>
          <w:szCs w:val="22"/>
        </w:rPr>
        <w:t>投标人应在投标截止7日前按招标文件中载明的邮箱：472006962@qq.com地址，</w:t>
      </w:r>
      <w:r>
        <w:rPr>
          <w:rStyle w:val="67"/>
          <w:rFonts w:hint="eastAsia" w:ascii="宋体" w:hAnsi="宋体" w:cs="仿宋"/>
          <w:b/>
          <w:sz w:val="28"/>
          <w:szCs w:val="22"/>
        </w:rPr>
        <w:t>以书面形式通知招标人。招标人认为必要时，将（澄清）修改后的公告发布在新疆政府采购网，敬请投标企业及时关注。在规定期限内投标企业未提出质疑的视为投标企业默认招标文件不存在质疑的相关问题。超过招标文件质疑时间将不再接受投标企业所提出的质疑。</w:t>
      </w:r>
    </w:p>
    <w:p w14:paraId="2F22F66E">
      <w:pPr>
        <w:pStyle w:val="7"/>
        <w:adjustRightInd w:val="0"/>
        <w:snapToGrid w:val="0"/>
        <w:ind w:firstLine="562"/>
        <w:outlineLvl w:val="0"/>
        <w:rPr>
          <w:rStyle w:val="67"/>
          <w:rFonts w:ascii="宋体" w:hAnsi="宋体" w:cs="仿宋"/>
          <w:b/>
          <w:sz w:val="28"/>
          <w:szCs w:val="22"/>
        </w:rPr>
      </w:pPr>
      <w:r>
        <w:rPr>
          <w:rStyle w:val="67"/>
          <w:rFonts w:hint="eastAsia" w:ascii="宋体" w:hAnsi="宋体" w:cs="仿宋"/>
          <w:b/>
          <w:sz w:val="28"/>
          <w:szCs w:val="22"/>
        </w:rPr>
        <w:t>3、注：废标项目投保证金在后续项目再次招标时银行系统不做统计，请投标企业及时办理退款，中标企业签订政府采购合同后，携带合同原件一份及以上资料办理退投标保证金事宜。</w:t>
      </w:r>
    </w:p>
    <w:p w14:paraId="6B54B12D">
      <w:pPr>
        <w:pStyle w:val="7"/>
        <w:adjustRightInd w:val="0"/>
        <w:snapToGrid w:val="0"/>
        <w:ind w:firstLine="562"/>
        <w:outlineLvl w:val="0"/>
        <w:rPr>
          <w:rFonts w:hAnsi="宋体" w:cs="宋体"/>
        </w:rPr>
      </w:pPr>
      <w:r>
        <w:rPr>
          <w:rStyle w:val="67"/>
          <w:rFonts w:hint="eastAsia" w:ascii="宋体" w:hAnsi="宋体" w:cs="仿宋"/>
          <w:b/>
          <w:sz w:val="28"/>
          <w:szCs w:val="22"/>
        </w:rPr>
        <w:t>4.电子保函使用方法：登录新疆自治区政府采购网，首页点击“电子保函”直接进入新疆政府采购电子保函申请页，点击【立即申请】依次完善页面显示的投保人信息（供应商信息），确认您要投保的项目信息，在投标项目选择页面选择您需要投保的项目（可根据项目名称或项目保函进行搜索），选择投保项目后填写被保险人信息及投保内容。服务热线:400-9039583</w:t>
      </w:r>
    </w:p>
    <w:bookmarkEnd w:id="0"/>
    <w:p w14:paraId="4544B48E">
      <w:pPr>
        <w:rPr>
          <w:i w:val="0"/>
          <w:iCs w:val="0"/>
          <w:color w:val="auto"/>
          <w:highlight w:val="none"/>
          <w:u w:val="none"/>
        </w:rPr>
        <w:sectPr>
          <w:footerReference r:id="rId6" w:type="default"/>
          <w:pgSz w:w="11906" w:h="16838"/>
          <w:pgMar w:top="1440" w:right="1800" w:bottom="1440" w:left="1800" w:header="851" w:footer="992" w:gutter="0"/>
          <w:pgBorders>
            <w:top w:val="none" w:sz="0" w:space="0"/>
            <w:left w:val="none" w:sz="0" w:space="0"/>
            <w:bottom w:val="none" w:sz="0" w:space="0"/>
            <w:right w:val="none" w:sz="0" w:space="0"/>
          </w:pgBorders>
          <w:pgNumType w:fmt="numberInDash" w:start="1"/>
          <w:cols w:space="425" w:num="1"/>
          <w:docGrid w:type="lines" w:linePitch="312" w:charSpace="0"/>
        </w:sectPr>
      </w:pPr>
    </w:p>
    <w:p w14:paraId="2A24C3B9">
      <w:pPr>
        <w:pStyle w:val="2"/>
        <w:keepNext/>
        <w:keepLines/>
        <w:pageBreakBefore w:val="0"/>
        <w:widowControl w:val="0"/>
        <w:numPr>
          <w:ilvl w:val="0"/>
          <w:numId w:val="1"/>
        </w:numPr>
        <w:kinsoku/>
        <w:wordWrap/>
        <w:overflowPunct/>
        <w:topLinePunct w:val="0"/>
        <w:autoSpaceDE/>
        <w:autoSpaceDN/>
        <w:bidi w:val="0"/>
        <w:adjustRightInd/>
        <w:snapToGrid/>
        <w:spacing w:before="220" w:after="220" w:line="480" w:lineRule="auto"/>
        <w:ind w:left="420" w:leftChars="0" w:hanging="420" w:firstLineChars="0"/>
        <w:textAlignment w:val="auto"/>
        <w:rPr>
          <w:rFonts w:hint="eastAsia" w:ascii="宋体" w:hAnsi="宋体" w:eastAsia="宋体" w:cs="宋体"/>
          <w:b/>
          <w:bCs/>
          <w:i w:val="0"/>
          <w:iCs w:val="0"/>
          <w:color w:val="auto"/>
          <w:kern w:val="44"/>
          <w:sz w:val="36"/>
          <w:szCs w:val="36"/>
          <w:highlight w:val="none"/>
          <w:lang w:val="en-US" w:eastAsia="zh-CN" w:bidi="ar-SA"/>
        </w:rPr>
      </w:pPr>
      <w:bookmarkStart w:id="2" w:name="_Toc31212"/>
      <w:r>
        <w:rPr>
          <w:rFonts w:hint="eastAsia" w:ascii="宋体" w:hAnsi="宋体" w:eastAsia="宋体" w:cs="宋体"/>
          <w:b/>
          <w:bCs/>
          <w:i w:val="0"/>
          <w:iCs w:val="0"/>
          <w:color w:val="auto"/>
          <w:kern w:val="44"/>
          <w:sz w:val="36"/>
          <w:szCs w:val="36"/>
          <w:highlight w:val="none"/>
          <w:lang w:val="en-US" w:eastAsia="zh-CN" w:bidi="ar-SA"/>
        </w:rPr>
        <w:t>供应商须知</w:t>
      </w:r>
      <w:bookmarkEnd w:id="2"/>
      <w:bookmarkStart w:id="3" w:name="_Toc18617"/>
      <w:bookmarkStart w:id="4" w:name="_Toc13827"/>
    </w:p>
    <w:p w14:paraId="71ED4B06">
      <w:pPr>
        <w:pStyle w:val="2"/>
        <w:keepNext/>
        <w:keepLines/>
        <w:pageBreakBefore w:val="0"/>
        <w:widowControl w:val="0"/>
        <w:numPr>
          <w:ilvl w:val="0"/>
          <w:numId w:val="0"/>
        </w:numPr>
        <w:kinsoku/>
        <w:wordWrap/>
        <w:overflowPunct/>
        <w:topLinePunct w:val="0"/>
        <w:autoSpaceDE/>
        <w:autoSpaceDN/>
        <w:bidi w:val="0"/>
        <w:adjustRightInd/>
        <w:snapToGrid/>
        <w:spacing w:before="220" w:after="220" w:line="480" w:lineRule="auto"/>
        <w:ind w:leftChars="0"/>
        <w:jc w:val="center"/>
        <w:textAlignment w:val="auto"/>
        <w:rPr>
          <w:rFonts w:hint="eastAsia" w:eastAsia="宋体" w:asciiTheme="majorHAnsi" w:hAnsiTheme="majorHAnsi" w:cstheme="majorBidi"/>
          <w:b/>
          <w:bCs/>
          <w:i w:val="0"/>
          <w:iCs w:val="0"/>
          <w:color w:val="auto"/>
          <w:kern w:val="2"/>
          <w:sz w:val="28"/>
          <w:szCs w:val="28"/>
          <w:highlight w:val="none"/>
          <w:lang w:val="en-US" w:eastAsia="zh-CN" w:bidi="ar-SA"/>
        </w:rPr>
      </w:pPr>
      <w:r>
        <w:rPr>
          <w:rFonts w:hint="eastAsia" w:eastAsia="宋体" w:asciiTheme="majorHAnsi" w:hAnsiTheme="majorHAnsi" w:cstheme="majorBidi"/>
          <w:b/>
          <w:bCs/>
          <w:i w:val="0"/>
          <w:iCs w:val="0"/>
          <w:color w:val="auto"/>
          <w:kern w:val="2"/>
          <w:sz w:val="28"/>
          <w:szCs w:val="28"/>
          <w:highlight w:val="none"/>
          <w:lang w:val="en-US" w:eastAsia="zh-CN" w:bidi="ar-SA"/>
        </w:rPr>
        <w:t>供应商须知前附表</w:t>
      </w:r>
      <w:bookmarkEnd w:id="3"/>
      <w:bookmarkEnd w:id="4"/>
    </w:p>
    <w:p w14:paraId="7927510E">
      <w:pPr>
        <w:pStyle w:val="35"/>
        <w:ind w:firstLine="480"/>
        <w:rPr>
          <w:rFonts w:hint="eastAsia" w:eastAsia="宋体" w:asciiTheme="majorHAnsi" w:hAnsiTheme="majorHAnsi" w:cstheme="majorBidi"/>
          <w:b/>
          <w:bCs/>
          <w:i w:val="0"/>
          <w:iCs w:val="0"/>
          <w:color w:val="auto"/>
          <w:kern w:val="2"/>
          <w:sz w:val="28"/>
          <w:szCs w:val="28"/>
          <w:highlight w:val="none"/>
          <w:lang w:val="en-US" w:eastAsia="zh-CN" w:bidi="ar-SA"/>
        </w:rPr>
      </w:pPr>
      <w:r>
        <w:rPr>
          <w:rFonts w:hint="eastAsia"/>
        </w:rPr>
        <w:t>磋商供应商应仔细阅读本磋商文件的第二章“供应商须知”，下面所列资料是对“供应商须知”的具体补充和说明。如有矛盾，应以本表为准。标记“☑”的选项意为适用于本项目，标记“□”的选项意为不适用于本项目。</w:t>
      </w:r>
    </w:p>
    <w:tbl>
      <w:tblPr>
        <w:tblStyle w:val="28"/>
        <w:tblW w:w="8282"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57" w:type="dxa"/>
          <w:left w:w="108" w:type="dxa"/>
          <w:bottom w:w="57" w:type="dxa"/>
          <w:right w:w="108" w:type="dxa"/>
        </w:tblCellMar>
      </w:tblPr>
      <w:tblGrid>
        <w:gridCol w:w="970"/>
        <w:gridCol w:w="1850"/>
        <w:gridCol w:w="5462"/>
      </w:tblGrid>
      <w:tr w14:paraId="5EEA9AB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563" w:hRule="atLeast"/>
          <w:tblHeader/>
          <w:jc w:val="center"/>
        </w:trPr>
        <w:tc>
          <w:tcPr>
            <w:tcW w:w="970" w:type="dxa"/>
            <w:tcBorders>
              <w:top w:val="single" w:color="auto" w:sz="4" w:space="0"/>
              <w:left w:val="single" w:color="auto" w:sz="4" w:space="0"/>
              <w:bottom w:val="single" w:color="auto" w:sz="4" w:space="0"/>
              <w:right w:val="single" w:color="auto" w:sz="4" w:space="0"/>
            </w:tcBorders>
            <w:shd w:val="clear" w:color="auto" w:fill="9FD3A4" w:themeFill="background1" w:themeFillShade="D9"/>
            <w:vAlign w:val="center"/>
          </w:tcPr>
          <w:p w14:paraId="55EA5529">
            <w:pPr>
              <w:pStyle w:val="46"/>
              <w:keepNext w:val="0"/>
              <w:keepLines w:val="0"/>
              <w:pageBreakBefore w:val="0"/>
              <w:kinsoku/>
              <w:wordWrap/>
              <w:overflowPunct/>
              <w:topLinePunct w:val="0"/>
              <w:bidi w:val="0"/>
              <w:snapToGrid/>
              <w:spacing w:line="320" w:lineRule="exact"/>
              <w:ind w:left="0"/>
              <w:jc w:val="center"/>
              <w:textAlignment w:val="auto"/>
              <w:rPr>
                <w:rFonts w:hint="eastAsia" w:ascii="宋体" w:hAnsi="宋体" w:eastAsia="宋体" w:cs="宋体"/>
                <w:b/>
                <w:bCs/>
                <w:i w:val="0"/>
                <w:iCs w:val="0"/>
                <w:color w:val="auto"/>
                <w:sz w:val="24"/>
                <w:szCs w:val="24"/>
                <w:highlight w:val="none"/>
              </w:rPr>
            </w:pPr>
            <w:bookmarkStart w:id="5" w:name="_Hlk161703381"/>
            <w:r>
              <w:rPr>
                <w:rFonts w:hint="eastAsia" w:ascii="宋体" w:hAnsi="宋体" w:eastAsia="宋体" w:cs="宋体"/>
                <w:b/>
                <w:bCs/>
                <w:i w:val="0"/>
                <w:iCs w:val="0"/>
                <w:color w:val="auto"/>
                <w:sz w:val="24"/>
                <w:szCs w:val="24"/>
                <w:highlight w:val="none"/>
              </w:rPr>
              <w:t>条款号</w:t>
            </w:r>
          </w:p>
        </w:tc>
        <w:tc>
          <w:tcPr>
            <w:tcW w:w="1850" w:type="dxa"/>
            <w:tcBorders>
              <w:top w:val="single" w:color="auto" w:sz="4" w:space="0"/>
              <w:left w:val="single" w:color="auto" w:sz="4" w:space="0"/>
              <w:bottom w:val="single" w:color="auto" w:sz="4" w:space="0"/>
              <w:right w:val="single" w:color="auto" w:sz="4" w:space="0"/>
            </w:tcBorders>
            <w:shd w:val="clear" w:color="auto" w:fill="9FD3A4" w:themeFill="background1" w:themeFillShade="D9"/>
            <w:vAlign w:val="center"/>
          </w:tcPr>
          <w:p w14:paraId="560503F1">
            <w:pPr>
              <w:pStyle w:val="46"/>
              <w:keepNext w:val="0"/>
              <w:keepLines w:val="0"/>
              <w:pageBreakBefore w:val="0"/>
              <w:kinsoku/>
              <w:wordWrap/>
              <w:overflowPunct/>
              <w:topLinePunct w:val="0"/>
              <w:bidi w:val="0"/>
              <w:snapToGrid/>
              <w:spacing w:line="320" w:lineRule="exact"/>
              <w:ind w:left="0"/>
              <w:jc w:val="center"/>
              <w:textAlignment w:val="auto"/>
              <w:rPr>
                <w:rFonts w:hint="eastAsia" w:ascii="宋体" w:hAnsi="宋体" w:eastAsia="宋体" w:cs="宋体"/>
                <w:b/>
                <w:bCs/>
                <w:i w:val="0"/>
                <w:iCs w:val="0"/>
                <w:color w:val="auto"/>
                <w:sz w:val="24"/>
                <w:szCs w:val="24"/>
                <w:highlight w:val="none"/>
              </w:rPr>
            </w:pPr>
            <w:r>
              <w:rPr>
                <w:rFonts w:hint="eastAsia" w:ascii="宋体" w:hAnsi="宋体" w:eastAsia="宋体" w:cs="宋体"/>
                <w:b/>
                <w:bCs/>
                <w:i w:val="0"/>
                <w:iCs w:val="0"/>
                <w:color w:val="auto"/>
                <w:sz w:val="24"/>
                <w:szCs w:val="24"/>
                <w:highlight w:val="none"/>
              </w:rPr>
              <w:t>条款名称</w:t>
            </w:r>
          </w:p>
        </w:tc>
        <w:tc>
          <w:tcPr>
            <w:tcW w:w="5462" w:type="dxa"/>
            <w:tcBorders>
              <w:top w:val="single" w:color="auto" w:sz="4" w:space="0"/>
              <w:left w:val="single" w:color="auto" w:sz="4" w:space="0"/>
              <w:bottom w:val="single" w:color="auto" w:sz="4" w:space="0"/>
              <w:right w:val="single" w:color="auto" w:sz="4" w:space="0"/>
            </w:tcBorders>
            <w:shd w:val="clear" w:color="auto" w:fill="9FD3A4" w:themeFill="background1" w:themeFillShade="D9"/>
            <w:vAlign w:val="center"/>
          </w:tcPr>
          <w:p w14:paraId="6777820C">
            <w:pPr>
              <w:pStyle w:val="46"/>
              <w:keepNext w:val="0"/>
              <w:keepLines w:val="0"/>
              <w:pageBreakBefore w:val="0"/>
              <w:kinsoku/>
              <w:wordWrap/>
              <w:overflowPunct/>
              <w:topLinePunct w:val="0"/>
              <w:bidi w:val="0"/>
              <w:snapToGrid/>
              <w:spacing w:line="320" w:lineRule="exact"/>
              <w:ind w:left="0"/>
              <w:jc w:val="center"/>
              <w:textAlignment w:val="auto"/>
              <w:rPr>
                <w:rFonts w:hint="eastAsia" w:ascii="宋体" w:hAnsi="宋体" w:eastAsia="宋体" w:cs="宋体"/>
                <w:b/>
                <w:bCs/>
                <w:i w:val="0"/>
                <w:iCs w:val="0"/>
                <w:color w:val="auto"/>
                <w:sz w:val="24"/>
                <w:szCs w:val="24"/>
                <w:highlight w:val="none"/>
              </w:rPr>
            </w:pPr>
            <w:r>
              <w:rPr>
                <w:rFonts w:hint="eastAsia" w:ascii="宋体" w:hAnsi="宋体" w:eastAsia="宋体" w:cs="宋体"/>
                <w:b/>
                <w:bCs/>
                <w:i w:val="0"/>
                <w:iCs w:val="0"/>
                <w:color w:val="auto"/>
                <w:sz w:val="24"/>
                <w:szCs w:val="24"/>
                <w:highlight w:val="none"/>
              </w:rPr>
              <w:t>内  容</w:t>
            </w:r>
          </w:p>
        </w:tc>
      </w:tr>
      <w:tr w14:paraId="00CDAA8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65" w:hRule="atLeast"/>
          <w:jc w:val="center"/>
        </w:trPr>
        <w:tc>
          <w:tcPr>
            <w:tcW w:w="970" w:type="dxa"/>
            <w:tcBorders>
              <w:top w:val="single" w:color="auto" w:sz="2" w:space="0"/>
              <w:left w:val="single" w:color="auto" w:sz="2" w:space="0"/>
              <w:bottom w:val="single" w:color="auto" w:sz="2" w:space="0"/>
              <w:right w:val="single" w:color="auto" w:sz="2" w:space="0"/>
            </w:tcBorders>
            <w:vAlign w:val="center"/>
          </w:tcPr>
          <w:p w14:paraId="66D2FF53">
            <w:pPr>
              <w:pStyle w:val="46"/>
              <w:keepNext w:val="0"/>
              <w:keepLines w:val="0"/>
              <w:pageBreakBefore w:val="0"/>
              <w:kinsoku/>
              <w:wordWrap/>
              <w:overflowPunct/>
              <w:topLinePunct w:val="0"/>
              <w:bidi w:val="0"/>
              <w:snapToGrid/>
              <w:spacing w:line="320" w:lineRule="exact"/>
              <w:ind w:left="0"/>
              <w:jc w:val="center"/>
              <w:textAlignment w:val="auto"/>
              <w:rPr>
                <w:rFonts w:hint="default" w:ascii="宋体" w:hAnsi="宋体" w:eastAsia="宋体" w:cs="宋体"/>
                <w:i w:val="0"/>
                <w:iCs w:val="0"/>
                <w:color w:val="auto"/>
                <w:sz w:val="24"/>
                <w:szCs w:val="24"/>
                <w:highlight w:val="none"/>
                <w:lang w:val="en-US" w:eastAsia="zh-CN"/>
              </w:rPr>
            </w:pPr>
            <w:r>
              <w:rPr>
                <w:rFonts w:hint="eastAsia" w:cs="宋体"/>
                <w:i w:val="0"/>
                <w:iCs w:val="0"/>
                <w:color w:val="auto"/>
                <w:sz w:val="24"/>
                <w:szCs w:val="24"/>
                <w:highlight w:val="none"/>
                <w:lang w:val="en-US" w:eastAsia="zh-CN"/>
              </w:rPr>
              <w:t>1.1</w:t>
            </w:r>
          </w:p>
        </w:tc>
        <w:tc>
          <w:tcPr>
            <w:tcW w:w="1850" w:type="dxa"/>
            <w:tcBorders>
              <w:top w:val="single" w:color="auto" w:sz="2" w:space="0"/>
              <w:left w:val="single" w:color="auto" w:sz="2" w:space="0"/>
              <w:bottom w:val="single" w:color="auto" w:sz="2" w:space="0"/>
              <w:right w:val="single" w:color="auto" w:sz="2" w:space="0"/>
            </w:tcBorders>
            <w:shd w:val="clear" w:color="auto" w:fill="auto"/>
            <w:vAlign w:val="center"/>
          </w:tcPr>
          <w:p w14:paraId="7ACDA765">
            <w:pPr>
              <w:pStyle w:val="64"/>
              <w:keepNext w:val="0"/>
              <w:keepLines w:val="0"/>
              <w:pageBreakBefore w:val="0"/>
              <w:kinsoku/>
              <w:wordWrap/>
              <w:overflowPunct/>
              <w:topLinePunct w:val="0"/>
              <w:bidi w:val="0"/>
              <w:snapToGrid/>
              <w:spacing w:line="320" w:lineRule="exact"/>
              <w:ind w:left="0" w:leftChars="0"/>
              <w:textAlignment w:val="auto"/>
              <w:rPr>
                <w:rFonts w:hint="eastAsia" w:ascii="宋体" w:hAnsi="宋体" w:eastAsia="宋体" w:cs="宋体"/>
                <w:snapToGrid w:val="0"/>
                <w:color w:val="auto"/>
                <w:kern w:val="0"/>
                <w:sz w:val="24"/>
                <w:szCs w:val="24"/>
                <w:highlight w:val="none"/>
                <w:lang w:val="en-US" w:eastAsia="zh-CN" w:bidi="ar-SA"/>
              </w:rPr>
            </w:pPr>
            <w:r>
              <w:rPr>
                <w:rFonts w:hint="eastAsia" w:ascii="宋体" w:hAnsi="宋体" w:eastAsia="宋体" w:cs="宋体"/>
                <w:snapToGrid w:val="0"/>
                <w:color w:val="auto"/>
                <w:kern w:val="0"/>
                <w:sz w:val="24"/>
                <w:szCs w:val="24"/>
                <w:highlight w:val="none"/>
                <w:lang w:val="en-US" w:eastAsia="zh-CN" w:bidi="ar-SA"/>
              </w:rPr>
              <w:t>项目名称</w:t>
            </w:r>
          </w:p>
        </w:tc>
        <w:tc>
          <w:tcPr>
            <w:tcW w:w="5462" w:type="dxa"/>
            <w:tcBorders>
              <w:top w:val="single" w:color="auto" w:sz="2" w:space="0"/>
              <w:left w:val="single" w:color="auto" w:sz="2" w:space="0"/>
              <w:bottom w:val="single" w:color="auto" w:sz="2" w:space="0"/>
              <w:right w:val="single" w:color="auto" w:sz="2" w:space="0"/>
            </w:tcBorders>
            <w:vAlign w:val="center"/>
          </w:tcPr>
          <w:p w14:paraId="090866C0">
            <w:pPr>
              <w:pStyle w:val="46"/>
              <w:keepNext w:val="0"/>
              <w:keepLines w:val="0"/>
              <w:pageBreakBefore w:val="0"/>
              <w:widowControl w:val="0"/>
              <w:kinsoku/>
              <w:wordWrap/>
              <w:overflowPunct/>
              <w:topLinePunct w:val="0"/>
              <w:autoSpaceDE/>
              <w:autoSpaceDN/>
              <w:bidi w:val="0"/>
              <w:adjustRightInd/>
              <w:snapToGrid/>
              <w:spacing w:line="320" w:lineRule="exact"/>
              <w:ind w:left="0"/>
              <w:jc w:val="both"/>
              <w:textAlignment w:val="auto"/>
              <w:rPr>
                <w:rFonts w:hint="eastAsia" w:ascii="宋体" w:hAnsi="宋体" w:eastAsia="宋体" w:cs="宋体"/>
                <w:i w:val="0"/>
                <w:iCs w:val="0"/>
                <w:color w:val="auto"/>
                <w:sz w:val="24"/>
                <w:szCs w:val="24"/>
                <w:highlight w:val="none"/>
                <w:u w:val="single"/>
                <w:lang w:val="en-US" w:eastAsia="zh-CN"/>
              </w:rPr>
            </w:pPr>
            <w:r>
              <w:rPr>
                <w:rFonts w:hint="eastAsia" w:cs="宋体"/>
                <w:i w:val="0"/>
                <w:iCs w:val="0"/>
                <w:color w:val="auto"/>
                <w:sz w:val="24"/>
                <w:szCs w:val="24"/>
                <w:highlight w:val="none"/>
                <w:lang w:val="hr-HR" w:eastAsia="zh-CN"/>
              </w:rPr>
              <w:t>2025年和田市维医药产业集群建设项目</w:t>
            </w:r>
          </w:p>
        </w:tc>
      </w:tr>
      <w:tr w14:paraId="1A2C345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1" w:hRule="atLeast"/>
          <w:jc w:val="center"/>
        </w:trPr>
        <w:tc>
          <w:tcPr>
            <w:tcW w:w="970" w:type="dxa"/>
            <w:tcBorders>
              <w:top w:val="single" w:color="auto" w:sz="2" w:space="0"/>
              <w:left w:val="single" w:color="auto" w:sz="2" w:space="0"/>
              <w:bottom w:val="single" w:color="auto" w:sz="2" w:space="0"/>
              <w:right w:val="single" w:color="auto" w:sz="2" w:space="0"/>
            </w:tcBorders>
            <w:vAlign w:val="center"/>
          </w:tcPr>
          <w:p w14:paraId="51B4D3BA">
            <w:pPr>
              <w:pStyle w:val="46"/>
              <w:keepNext w:val="0"/>
              <w:keepLines w:val="0"/>
              <w:pageBreakBefore w:val="0"/>
              <w:kinsoku/>
              <w:wordWrap/>
              <w:overflowPunct/>
              <w:topLinePunct w:val="0"/>
              <w:bidi w:val="0"/>
              <w:snapToGrid/>
              <w:spacing w:line="320" w:lineRule="exact"/>
              <w:ind w:left="0"/>
              <w:jc w:val="center"/>
              <w:textAlignment w:val="auto"/>
              <w:rPr>
                <w:rFonts w:hint="eastAsia" w:ascii="宋体" w:hAnsi="宋体" w:eastAsia="宋体" w:cs="宋体"/>
                <w:i w:val="0"/>
                <w:iCs w:val="0"/>
                <w:color w:val="auto"/>
                <w:sz w:val="24"/>
                <w:szCs w:val="24"/>
                <w:highlight w:val="none"/>
                <w:lang w:val="en-US" w:eastAsia="zh-CN"/>
              </w:rPr>
            </w:pPr>
            <w:r>
              <w:rPr>
                <w:rFonts w:hint="eastAsia" w:cs="宋体"/>
                <w:i w:val="0"/>
                <w:iCs w:val="0"/>
                <w:color w:val="auto"/>
                <w:sz w:val="24"/>
                <w:szCs w:val="24"/>
                <w:highlight w:val="none"/>
                <w:lang w:val="en-US" w:eastAsia="zh-CN"/>
              </w:rPr>
              <w:t>1.2</w:t>
            </w:r>
          </w:p>
        </w:tc>
        <w:tc>
          <w:tcPr>
            <w:tcW w:w="1850" w:type="dxa"/>
            <w:tcBorders>
              <w:top w:val="single" w:color="auto" w:sz="2" w:space="0"/>
              <w:left w:val="single" w:color="auto" w:sz="2" w:space="0"/>
              <w:bottom w:val="single" w:color="auto" w:sz="2" w:space="0"/>
              <w:right w:val="single" w:color="auto" w:sz="2" w:space="0"/>
            </w:tcBorders>
            <w:shd w:val="clear" w:color="auto" w:fill="auto"/>
            <w:vAlign w:val="center"/>
          </w:tcPr>
          <w:p w14:paraId="3752C0DF">
            <w:pPr>
              <w:pStyle w:val="64"/>
              <w:keepNext w:val="0"/>
              <w:keepLines w:val="0"/>
              <w:pageBreakBefore w:val="0"/>
              <w:kinsoku/>
              <w:wordWrap/>
              <w:overflowPunct/>
              <w:topLinePunct w:val="0"/>
              <w:bidi w:val="0"/>
              <w:snapToGrid/>
              <w:spacing w:line="320" w:lineRule="exact"/>
              <w:ind w:left="0" w:leftChars="0"/>
              <w:textAlignment w:val="auto"/>
              <w:rPr>
                <w:rFonts w:hint="eastAsia" w:ascii="宋体" w:hAnsi="宋体" w:eastAsia="宋体" w:cs="宋体"/>
                <w:snapToGrid w:val="0"/>
                <w:color w:val="auto"/>
                <w:kern w:val="0"/>
                <w:sz w:val="24"/>
                <w:szCs w:val="24"/>
                <w:highlight w:val="none"/>
                <w:lang w:val="en-US" w:eastAsia="zh-CN" w:bidi="ar-SA"/>
              </w:rPr>
            </w:pPr>
            <w:r>
              <w:rPr>
                <w:rFonts w:hint="eastAsia" w:ascii="宋体" w:hAnsi="宋体" w:eastAsia="宋体" w:cs="宋体"/>
                <w:snapToGrid w:val="0"/>
                <w:color w:val="auto"/>
                <w:kern w:val="0"/>
                <w:sz w:val="24"/>
                <w:szCs w:val="24"/>
                <w:highlight w:val="none"/>
                <w:lang w:val="en-US" w:eastAsia="zh-CN" w:bidi="ar-SA"/>
              </w:rPr>
              <w:t>采购人</w:t>
            </w:r>
          </w:p>
        </w:tc>
        <w:tc>
          <w:tcPr>
            <w:tcW w:w="5462" w:type="dxa"/>
            <w:tcBorders>
              <w:top w:val="single" w:color="auto" w:sz="2" w:space="0"/>
              <w:left w:val="single" w:color="auto" w:sz="2" w:space="0"/>
              <w:bottom w:val="single" w:color="auto" w:sz="2" w:space="0"/>
              <w:right w:val="single" w:color="auto" w:sz="2" w:space="0"/>
            </w:tcBorders>
            <w:vAlign w:val="center"/>
          </w:tcPr>
          <w:p w14:paraId="25E18BF9">
            <w:pPr>
              <w:pStyle w:val="46"/>
              <w:keepNext w:val="0"/>
              <w:keepLines w:val="0"/>
              <w:pageBreakBefore w:val="0"/>
              <w:widowControl w:val="0"/>
              <w:kinsoku/>
              <w:wordWrap/>
              <w:overflowPunct/>
              <w:topLinePunct w:val="0"/>
              <w:autoSpaceDE/>
              <w:autoSpaceDN/>
              <w:bidi w:val="0"/>
              <w:adjustRightInd/>
              <w:snapToGrid/>
              <w:spacing w:line="320" w:lineRule="exact"/>
              <w:ind w:left="0"/>
              <w:jc w:val="both"/>
              <w:textAlignment w:val="auto"/>
              <w:rPr>
                <w:rFonts w:hint="eastAsia" w:ascii="宋体" w:hAnsi="宋体" w:eastAsia="宋体" w:cs="宋体"/>
                <w:i w:val="0"/>
                <w:iCs w:val="0"/>
                <w:color w:val="auto"/>
                <w:sz w:val="24"/>
                <w:szCs w:val="24"/>
                <w:highlight w:val="none"/>
                <w:u w:val="single"/>
                <w:lang w:val="en-US" w:eastAsia="zh-CN"/>
              </w:rPr>
            </w:pPr>
            <w:r>
              <w:rPr>
                <w:rFonts w:hint="eastAsia" w:cs="宋体"/>
                <w:i w:val="0"/>
                <w:iCs w:val="0"/>
                <w:color w:val="auto"/>
                <w:sz w:val="24"/>
                <w:szCs w:val="24"/>
                <w:highlight w:val="none"/>
                <w:u w:val="none"/>
                <w:lang w:val="en-US" w:eastAsia="zh-CN"/>
              </w:rPr>
              <w:t>和田市卫生健康委员会</w:t>
            </w:r>
          </w:p>
        </w:tc>
      </w:tr>
      <w:tr w14:paraId="4245B5A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90" w:hRule="atLeast"/>
          <w:jc w:val="center"/>
        </w:trPr>
        <w:tc>
          <w:tcPr>
            <w:tcW w:w="970" w:type="dxa"/>
            <w:tcBorders>
              <w:top w:val="single" w:color="auto" w:sz="2" w:space="0"/>
              <w:left w:val="single" w:color="auto" w:sz="2" w:space="0"/>
              <w:bottom w:val="single" w:color="auto" w:sz="2" w:space="0"/>
              <w:right w:val="single" w:color="auto" w:sz="2" w:space="0"/>
            </w:tcBorders>
            <w:shd w:val="clear" w:color="auto" w:fill="auto"/>
            <w:vAlign w:val="center"/>
          </w:tcPr>
          <w:p w14:paraId="2812D225">
            <w:pPr>
              <w:pStyle w:val="46"/>
              <w:keepNext w:val="0"/>
              <w:keepLines w:val="0"/>
              <w:pageBreakBefore w:val="0"/>
              <w:kinsoku/>
              <w:wordWrap/>
              <w:overflowPunct/>
              <w:topLinePunct w:val="0"/>
              <w:bidi w:val="0"/>
              <w:snapToGrid/>
              <w:spacing w:line="320" w:lineRule="exact"/>
              <w:ind w:left="0"/>
              <w:jc w:val="center"/>
              <w:textAlignment w:val="auto"/>
              <w:rPr>
                <w:rFonts w:hint="eastAsia" w:ascii="宋体" w:hAnsi="宋体" w:eastAsia="宋体" w:cs="宋体"/>
                <w:i w:val="0"/>
                <w:iCs w:val="0"/>
                <w:color w:val="auto"/>
                <w:kern w:val="2"/>
                <w:sz w:val="24"/>
                <w:szCs w:val="24"/>
                <w:highlight w:val="none"/>
                <w:lang w:val="en-US" w:eastAsia="zh-CN" w:bidi="ar-SA"/>
              </w:rPr>
            </w:pPr>
            <w:r>
              <w:rPr>
                <w:rFonts w:hint="eastAsia" w:cs="宋体"/>
                <w:i w:val="0"/>
                <w:iCs w:val="0"/>
                <w:color w:val="auto"/>
                <w:sz w:val="24"/>
                <w:szCs w:val="24"/>
                <w:highlight w:val="none"/>
                <w:lang w:val="en-US" w:eastAsia="zh-CN"/>
              </w:rPr>
              <w:t>1.3</w:t>
            </w:r>
          </w:p>
        </w:tc>
        <w:tc>
          <w:tcPr>
            <w:tcW w:w="1850" w:type="dxa"/>
            <w:tcBorders>
              <w:top w:val="single" w:color="auto" w:sz="2" w:space="0"/>
              <w:left w:val="single" w:color="auto" w:sz="2" w:space="0"/>
              <w:bottom w:val="single" w:color="auto" w:sz="2" w:space="0"/>
              <w:right w:val="single" w:color="auto" w:sz="2" w:space="0"/>
            </w:tcBorders>
            <w:shd w:val="clear" w:color="auto" w:fill="auto"/>
            <w:vAlign w:val="center"/>
          </w:tcPr>
          <w:p w14:paraId="36AE1C4C">
            <w:pPr>
              <w:pStyle w:val="64"/>
              <w:keepNext w:val="0"/>
              <w:keepLines w:val="0"/>
              <w:pageBreakBefore w:val="0"/>
              <w:kinsoku/>
              <w:wordWrap/>
              <w:overflowPunct/>
              <w:topLinePunct w:val="0"/>
              <w:bidi w:val="0"/>
              <w:snapToGrid/>
              <w:spacing w:line="320" w:lineRule="exact"/>
              <w:ind w:left="0" w:leftChars="0"/>
              <w:textAlignment w:val="auto"/>
              <w:rPr>
                <w:rFonts w:hint="eastAsia" w:ascii="宋体" w:hAnsi="宋体" w:eastAsia="宋体" w:cs="宋体"/>
                <w:snapToGrid w:val="0"/>
                <w:color w:val="auto"/>
                <w:kern w:val="0"/>
                <w:sz w:val="24"/>
                <w:szCs w:val="24"/>
                <w:highlight w:val="none"/>
                <w:u w:val="none"/>
                <w:lang w:val="en-US" w:eastAsia="zh-CN" w:bidi="ar-SA"/>
              </w:rPr>
            </w:pPr>
            <w:r>
              <w:rPr>
                <w:rFonts w:hint="eastAsia" w:ascii="宋体" w:hAnsi="宋体" w:eastAsia="宋体" w:cs="宋体"/>
                <w:snapToGrid w:val="0"/>
                <w:color w:val="auto"/>
                <w:kern w:val="0"/>
                <w:sz w:val="24"/>
                <w:szCs w:val="24"/>
                <w:highlight w:val="none"/>
                <w:u w:val="none"/>
                <w:lang w:val="en-US" w:eastAsia="zh-CN" w:bidi="ar-SA"/>
              </w:rPr>
              <w:t>采购代理人</w:t>
            </w:r>
          </w:p>
        </w:tc>
        <w:tc>
          <w:tcPr>
            <w:tcW w:w="5462" w:type="dxa"/>
            <w:tcBorders>
              <w:top w:val="single" w:color="auto" w:sz="2" w:space="0"/>
              <w:left w:val="single" w:color="auto" w:sz="2" w:space="0"/>
              <w:bottom w:val="single" w:color="auto" w:sz="2" w:space="0"/>
              <w:right w:val="single" w:color="auto" w:sz="2" w:space="0"/>
            </w:tcBorders>
            <w:shd w:val="clear" w:color="auto" w:fill="auto"/>
            <w:vAlign w:val="center"/>
          </w:tcPr>
          <w:p w14:paraId="684EB5A4">
            <w:pPr>
              <w:pStyle w:val="46"/>
              <w:keepNext w:val="0"/>
              <w:keepLines w:val="0"/>
              <w:pageBreakBefore w:val="0"/>
              <w:widowControl w:val="0"/>
              <w:kinsoku/>
              <w:wordWrap/>
              <w:overflowPunct/>
              <w:topLinePunct w:val="0"/>
              <w:autoSpaceDE/>
              <w:autoSpaceDN/>
              <w:bidi w:val="0"/>
              <w:adjustRightInd/>
              <w:snapToGrid/>
              <w:spacing w:line="320" w:lineRule="exact"/>
              <w:ind w:left="0"/>
              <w:jc w:val="both"/>
              <w:textAlignment w:val="auto"/>
              <w:rPr>
                <w:rFonts w:hint="eastAsia" w:ascii="宋体" w:hAnsi="宋体" w:eastAsia="宋体" w:cs="宋体"/>
                <w:i w:val="0"/>
                <w:iCs w:val="0"/>
                <w:color w:val="auto"/>
                <w:kern w:val="2"/>
                <w:sz w:val="24"/>
                <w:szCs w:val="24"/>
                <w:highlight w:val="none"/>
                <w:u w:val="none"/>
                <w:lang w:val="en-US" w:eastAsia="zh-CN" w:bidi="ar-SA"/>
              </w:rPr>
            </w:pPr>
            <w:r>
              <w:rPr>
                <w:rFonts w:hint="eastAsia" w:cs="宋体"/>
                <w:i w:val="0"/>
                <w:iCs w:val="0"/>
                <w:color w:val="auto"/>
                <w:kern w:val="2"/>
                <w:sz w:val="24"/>
                <w:szCs w:val="24"/>
                <w:highlight w:val="none"/>
                <w:u w:val="none"/>
                <w:lang w:val="en-US" w:eastAsia="zh-CN" w:bidi="ar-SA"/>
              </w:rPr>
              <w:t>新疆和晟源项目管理有限公司</w:t>
            </w:r>
          </w:p>
        </w:tc>
      </w:tr>
      <w:tr w14:paraId="4EE8047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652" w:hRule="atLeast"/>
          <w:jc w:val="center"/>
        </w:trPr>
        <w:tc>
          <w:tcPr>
            <w:tcW w:w="970" w:type="dxa"/>
            <w:tcBorders>
              <w:top w:val="single" w:color="auto" w:sz="2" w:space="0"/>
              <w:left w:val="single" w:color="auto" w:sz="2" w:space="0"/>
              <w:bottom w:val="single" w:color="auto" w:sz="2" w:space="0"/>
              <w:right w:val="single" w:color="auto" w:sz="2" w:space="0"/>
            </w:tcBorders>
            <w:shd w:val="clear" w:color="auto" w:fill="auto"/>
            <w:vAlign w:val="center"/>
          </w:tcPr>
          <w:p w14:paraId="44C28C40">
            <w:pPr>
              <w:pStyle w:val="46"/>
              <w:keepNext w:val="0"/>
              <w:keepLines w:val="0"/>
              <w:pageBreakBefore w:val="0"/>
              <w:kinsoku/>
              <w:wordWrap/>
              <w:overflowPunct/>
              <w:topLinePunct w:val="0"/>
              <w:bidi w:val="0"/>
              <w:snapToGrid/>
              <w:spacing w:line="320" w:lineRule="exact"/>
              <w:ind w:left="0"/>
              <w:jc w:val="center"/>
              <w:textAlignment w:val="auto"/>
              <w:rPr>
                <w:rFonts w:hint="eastAsia" w:ascii="宋体" w:hAnsi="宋体" w:eastAsia="宋体" w:cs="宋体"/>
                <w:i w:val="0"/>
                <w:iCs w:val="0"/>
                <w:color w:val="auto"/>
                <w:kern w:val="2"/>
                <w:sz w:val="24"/>
                <w:szCs w:val="24"/>
                <w:highlight w:val="none"/>
                <w:lang w:val="en-US" w:eastAsia="zh-CN" w:bidi="ar-SA"/>
              </w:rPr>
            </w:pPr>
            <w:r>
              <w:rPr>
                <w:rFonts w:hint="eastAsia" w:cs="宋体"/>
                <w:i w:val="0"/>
                <w:iCs w:val="0"/>
                <w:color w:val="auto"/>
                <w:sz w:val="24"/>
                <w:szCs w:val="24"/>
                <w:highlight w:val="none"/>
                <w:lang w:val="en-US" w:eastAsia="zh-CN"/>
              </w:rPr>
              <w:t>1.4</w:t>
            </w:r>
          </w:p>
        </w:tc>
        <w:tc>
          <w:tcPr>
            <w:tcW w:w="1850" w:type="dxa"/>
            <w:tcBorders>
              <w:top w:val="single" w:color="auto" w:sz="2" w:space="0"/>
              <w:left w:val="single" w:color="auto" w:sz="2" w:space="0"/>
              <w:bottom w:val="single" w:color="auto" w:sz="2" w:space="0"/>
              <w:right w:val="single" w:color="auto" w:sz="2" w:space="0"/>
            </w:tcBorders>
            <w:shd w:val="clear" w:color="auto" w:fill="auto"/>
            <w:vAlign w:val="center"/>
          </w:tcPr>
          <w:p w14:paraId="78FC9224">
            <w:pPr>
              <w:pStyle w:val="64"/>
              <w:keepNext w:val="0"/>
              <w:keepLines w:val="0"/>
              <w:pageBreakBefore w:val="0"/>
              <w:kinsoku/>
              <w:wordWrap/>
              <w:overflowPunct/>
              <w:topLinePunct w:val="0"/>
              <w:bidi w:val="0"/>
              <w:snapToGrid/>
              <w:spacing w:line="320" w:lineRule="exact"/>
              <w:ind w:left="0" w:leftChars="0"/>
              <w:textAlignment w:val="auto"/>
              <w:rPr>
                <w:rFonts w:hint="eastAsia" w:ascii="宋体" w:hAnsi="宋体" w:eastAsia="宋体" w:cs="宋体"/>
                <w:snapToGrid w:val="0"/>
                <w:color w:val="auto"/>
                <w:kern w:val="0"/>
                <w:sz w:val="24"/>
                <w:szCs w:val="24"/>
                <w:highlight w:val="none"/>
                <w:u w:val="none"/>
                <w:lang w:val="en-US" w:eastAsia="zh-CN" w:bidi="ar-SA"/>
              </w:rPr>
            </w:pPr>
            <w:r>
              <w:rPr>
                <w:rFonts w:hint="eastAsia" w:ascii="宋体" w:hAnsi="宋体" w:eastAsia="宋体" w:cs="宋体"/>
                <w:snapToGrid w:val="0"/>
                <w:color w:val="auto"/>
                <w:kern w:val="0"/>
                <w:sz w:val="24"/>
                <w:szCs w:val="24"/>
                <w:highlight w:val="none"/>
                <w:u w:val="none"/>
                <w:lang w:val="en-US" w:eastAsia="zh-CN" w:bidi="ar-SA"/>
              </w:rPr>
              <w:t>招标范围</w:t>
            </w:r>
          </w:p>
        </w:tc>
        <w:tc>
          <w:tcPr>
            <w:tcW w:w="5462" w:type="dxa"/>
            <w:tcBorders>
              <w:top w:val="single" w:color="auto" w:sz="2" w:space="0"/>
              <w:left w:val="single" w:color="auto" w:sz="2" w:space="0"/>
              <w:bottom w:val="single" w:color="auto" w:sz="2" w:space="0"/>
              <w:right w:val="single" w:color="auto" w:sz="2" w:space="0"/>
            </w:tcBorders>
            <w:shd w:val="clear" w:color="auto" w:fill="auto"/>
            <w:vAlign w:val="center"/>
          </w:tcPr>
          <w:p w14:paraId="7588CE58">
            <w:pPr>
              <w:pStyle w:val="46"/>
              <w:keepNext w:val="0"/>
              <w:keepLines w:val="0"/>
              <w:pageBreakBefore w:val="0"/>
              <w:widowControl w:val="0"/>
              <w:kinsoku/>
              <w:wordWrap/>
              <w:overflowPunct/>
              <w:topLinePunct w:val="0"/>
              <w:autoSpaceDE/>
              <w:autoSpaceDN/>
              <w:bidi w:val="0"/>
              <w:adjustRightInd/>
              <w:snapToGrid/>
              <w:spacing w:line="320" w:lineRule="exact"/>
              <w:ind w:left="0"/>
              <w:jc w:val="both"/>
              <w:textAlignment w:val="auto"/>
              <w:rPr>
                <w:rFonts w:hint="eastAsia" w:cs="宋体"/>
                <w:i w:val="0"/>
                <w:iCs w:val="0"/>
                <w:color w:val="auto"/>
                <w:sz w:val="24"/>
                <w:szCs w:val="24"/>
                <w:highlight w:val="none"/>
                <w:lang w:val="hr-HR" w:eastAsia="zh-CN"/>
              </w:rPr>
            </w:pPr>
            <w:r>
              <w:rPr>
                <w:rFonts w:hint="eastAsia" w:cs="宋体"/>
                <w:i w:val="0"/>
                <w:iCs w:val="0"/>
                <w:color w:val="auto"/>
                <w:sz w:val="24"/>
                <w:szCs w:val="24"/>
                <w:highlight w:val="none"/>
                <w:lang w:val="hr-HR" w:eastAsia="zh-CN"/>
              </w:rPr>
              <w:t>2025年和田市维医药产业集群建设项目</w:t>
            </w:r>
          </w:p>
          <w:p w14:paraId="50B58B06">
            <w:pPr>
              <w:pStyle w:val="46"/>
              <w:keepNext w:val="0"/>
              <w:keepLines w:val="0"/>
              <w:pageBreakBefore w:val="0"/>
              <w:widowControl w:val="0"/>
              <w:kinsoku/>
              <w:wordWrap/>
              <w:overflowPunct/>
              <w:topLinePunct w:val="0"/>
              <w:autoSpaceDE/>
              <w:autoSpaceDN/>
              <w:bidi w:val="0"/>
              <w:adjustRightInd/>
              <w:snapToGrid/>
              <w:spacing w:line="320" w:lineRule="exact"/>
              <w:ind w:left="0"/>
              <w:jc w:val="both"/>
              <w:textAlignment w:val="auto"/>
              <w:rPr>
                <w:rFonts w:hint="default" w:ascii="宋体" w:hAnsi="宋体" w:eastAsia="宋体" w:cs="宋体"/>
                <w:i w:val="0"/>
                <w:iCs w:val="0"/>
                <w:color w:val="auto"/>
                <w:kern w:val="2"/>
                <w:sz w:val="24"/>
                <w:szCs w:val="24"/>
                <w:highlight w:val="none"/>
                <w:u w:val="none"/>
                <w:lang w:val="en-US" w:eastAsia="zh-CN" w:bidi="ar-SA"/>
              </w:rPr>
            </w:pPr>
            <w:r>
              <w:rPr>
                <w:rFonts w:hint="eastAsia" w:cs="宋体"/>
                <w:i w:val="0"/>
                <w:iCs w:val="0"/>
                <w:color w:val="auto"/>
                <w:sz w:val="24"/>
                <w:szCs w:val="24"/>
                <w:highlight w:val="none"/>
                <w:lang w:val="en-US" w:eastAsia="zh-CN"/>
              </w:rPr>
              <w:t>包二：品牌塑造</w:t>
            </w:r>
          </w:p>
        </w:tc>
      </w:tr>
      <w:tr w14:paraId="5366B91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512" w:hRule="atLeast"/>
          <w:jc w:val="center"/>
        </w:trPr>
        <w:tc>
          <w:tcPr>
            <w:tcW w:w="970" w:type="dxa"/>
            <w:tcBorders>
              <w:top w:val="single" w:color="auto" w:sz="2" w:space="0"/>
              <w:left w:val="single" w:color="auto" w:sz="2" w:space="0"/>
              <w:bottom w:val="single" w:color="auto" w:sz="2" w:space="0"/>
              <w:right w:val="single" w:color="auto" w:sz="2" w:space="0"/>
            </w:tcBorders>
            <w:shd w:val="clear" w:color="auto" w:fill="auto"/>
            <w:vAlign w:val="center"/>
          </w:tcPr>
          <w:p w14:paraId="12D45AFC">
            <w:pPr>
              <w:keepNext w:val="0"/>
              <w:keepLines w:val="0"/>
              <w:pageBreakBefore w:val="0"/>
              <w:kinsoku/>
              <w:wordWrap/>
              <w:overflowPunct/>
              <w:topLinePunct w:val="0"/>
              <w:bidi w:val="0"/>
              <w:snapToGrid/>
              <w:spacing w:line="320" w:lineRule="exact"/>
              <w:ind w:left="0"/>
              <w:jc w:val="center"/>
              <w:textAlignment w:val="auto"/>
              <w:rPr>
                <w:rFonts w:hint="default" w:ascii="宋体" w:hAnsi="宋体" w:eastAsia="宋体" w:cs="宋体"/>
                <w:i w:val="0"/>
                <w:iCs w:val="0"/>
                <w:color w:val="auto"/>
                <w:kern w:val="2"/>
                <w:sz w:val="24"/>
                <w:szCs w:val="24"/>
                <w:highlight w:val="none"/>
                <w:lang w:val="en-US" w:eastAsia="zh-CN" w:bidi="ar-SA"/>
              </w:rPr>
            </w:pPr>
            <w:r>
              <w:rPr>
                <w:rFonts w:hint="eastAsia" w:cs="宋体"/>
                <w:i w:val="0"/>
                <w:iCs w:val="0"/>
                <w:color w:val="auto"/>
                <w:sz w:val="24"/>
                <w:szCs w:val="24"/>
                <w:highlight w:val="none"/>
                <w:lang w:val="en-US" w:eastAsia="zh-CN"/>
              </w:rPr>
              <w:t>1.5</w:t>
            </w:r>
          </w:p>
        </w:tc>
        <w:tc>
          <w:tcPr>
            <w:tcW w:w="1850" w:type="dxa"/>
            <w:tcBorders>
              <w:top w:val="single" w:color="auto" w:sz="2" w:space="0"/>
              <w:left w:val="single" w:color="auto" w:sz="2" w:space="0"/>
              <w:bottom w:val="single" w:color="auto" w:sz="2" w:space="0"/>
              <w:right w:val="single" w:color="auto" w:sz="2" w:space="0"/>
            </w:tcBorders>
            <w:shd w:val="clear" w:color="auto" w:fill="auto"/>
            <w:vAlign w:val="center"/>
          </w:tcPr>
          <w:p w14:paraId="07DA6C56">
            <w:pPr>
              <w:pStyle w:val="64"/>
              <w:keepNext w:val="0"/>
              <w:keepLines w:val="0"/>
              <w:pageBreakBefore w:val="0"/>
              <w:kinsoku/>
              <w:wordWrap/>
              <w:overflowPunct/>
              <w:topLinePunct w:val="0"/>
              <w:bidi w:val="0"/>
              <w:snapToGrid/>
              <w:spacing w:line="320" w:lineRule="exact"/>
              <w:ind w:left="0" w:leftChars="0"/>
              <w:textAlignment w:val="auto"/>
              <w:rPr>
                <w:rFonts w:hint="eastAsia" w:ascii="宋体" w:hAnsi="宋体" w:eastAsia="宋体" w:cs="宋体"/>
                <w:snapToGrid w:val="0"/>
                <w:color w:val="auto"/>
                <w:kern w:val="0"/>
                <w:sz w:val="24"/>
                <w:szCs w:val="24"/>
                <w:highlight w:val="none"/>
                <w:lang w:val="en-US" w:eastAsia="zh-CN" w:bidi="ar-SA"/>
              </w:rPr>
            </w:pPr>
            <w:r>
              <w:rPr>
                <w:rFonts w:hint="eastAsia" w:ascii="宋体" w:hAnsi="宋体" w:eastAsia="宋体" w:cs="宋体"/>
                <w:snapToGrid w:val="0"/>
                <w:color w:val="auto"/>
                <w:kern w:val="0"/>
                <w:sz w:val="24"/>
                <w:szCs w:val="24"/>
                <w:highlight w:val="none"/>
                <w:lang w:val="en-US" w:eastAsia="zh-CN" w:bidi="ar-SA"/>
              </w:rPr>
              <w:t>项目编号</w:t>
            </w:r>
          </w:p>
        </w:tc>
        <w:tc>
          <w:tcPr>
            <w:tcW w:w="5462" w:type="dxa"/>
            <w:tcBorders>
              <w:top w:val="single" w:color="auto" w:sz="2" w:space="0"/>
              <w:left w:val="single" w:color="auto" w:sz="2" w:space="0"/>
              <w:bottom w:val="single" w:color="auto" w:sz="2" w:space="0"/>
              <w:right w:val="single" w:color="auto" w:sz="2" w:space="0"/>
            </w:tcBorders>
            <w:shd w:val="clear" w:color="auto" w:fill="auto"/>
            <w:vAlign w:val="center"/>
          </w:tcPr>
          <w:p w14:paraId="23BC1A39">
            <w:pPr>
              <w:pStyle w:val="46"/>
              <w:keepNext w:val="0"/>
              <w:keepLines w:val="0"/>
              <w:pageBreakBefore w:val="0"/>
              <w:widowControl w:val="0"/>
              <w:kinsoku/>
              <w:wordWrap/>
              <w:overflowPunct/>
              <w:topLinePunct w:val="0"/>
              <w:autoSpaceDE/>
              <w:autoSpaceDN/>
              <w:bidi w:val="0"/>
              <w:adjustRightInd/>
              <w:snapToGrid/>
              <w:spacing w:line="320" w:lineRule="exact"/>
              <w:ind w:left="0"/>
              <w:jc w:val="both"/>
              <w:textAlignment w:val="auto"/>
              <w:rPr>
                <w:rFonts w:hint="eastAsia" w:ascii="宋体" w:hAnsi="宋体" w:eastAsia="宋体" w:cs="宋体"/>
                <w:i w:val="0"/>
                <w:iCs w:val="0"/>
                <w:color w:val="auto"/>
                <w:kern w:val="2"/>
                <w:sz w:val="24"/>
                <w:szCs w:val="24"/>
                <w:highlight w:val="none"/>
                <w:u w:val="single"/>
                <w:lang w:val="en-US" w:eastAsia="zh-CN" w:bidi="ar-SA"/>
              </w:rPr>
            </w:pPr>
            <w:r>
              <w:rPr>
                <w:rFonts w:hint="eastAsia" w:cs="宋体"/>
                <w:i w:val="0"/>
                <w:iCs w:val="0"/>
                <w:color w:val="auto"/>
                <w:kern w:val="2"/>
                <w:sz w:val="24"/>
                <w:szCs w:val="24"/>
                <w:highlight w:val="none"/>
                <w:u w:val="none"/>
                <w:lang w:val="en-US" w:eastAsia="zh-CN" w:bidi="ar-SA"/>
              </w:rPr>
              <w:t>HTSZFCGZBDL-2025-045</w:t>
            </w:r>
          </w:p>
        </w:tc>
      </w:tr>
      <w:tr w14:paraId="18D98ED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575" w:hRule="atLeast"/>
          <w:jc w:val="center"/>
        </w:trPr>
        <w:tc>
          <w:tcPr>
            <w:tcW w:w="970" w:type="dxa"/>
            <w:tcBorders>
              <w:top w:val="single" w:color="auto" w:sz="2" w:space="0"/>
              <w:left w:val="single" w:color="auto" w:sz="2" w:space="0"/>
              <w:bottom w:val="single" w:color="auto" w:sz="2" w:space="0"/>
              <w:right w:val="single" w:color="auto" w:sz="2" w:space="0"/>
            </w:tcBorders>
            <w:shd w:val="clear" w:color="auto" w:fill="auto"/>
            <w:vAlign w:val="center"/>
          </w:tcPr>
          <w:p w14:paraId="39F725DA">
            <w:pPr>
              <w:keepNext w:val="0"/>
              <w:keepLines w:val="0"/>
              <w:pageBreakBefore w:val="0"/>
              <w:kinsoku/>
              <w:wordWrap/>
              <w:overflowPunct/>
              <w:topLinePunct w:val="0"/>
              <w:bidi w:val="0"/>
              <w:snapToGrid/>
              <w:spacing w:line="320" w:lineRule="exact"/>
              <w:ind w:left="0"/>
              <w:jc w:val="center"/>
              <w:textAlignment w:val="auto"/>
              <w:rPr>
                <w:rFonts w:hint="default" w:cs="宋体"/>
                <w:i w:val="0"/>
                <w:iCs w:val="0"/>
                <w:color w:val="auto"/>
                <w:sz w:val="24"/>
                <w:szCs w:val="24"/>
                <w:highlight w:val="none"/>
                <w:lang w:val="en-US" w:eastAsia="zh-CN"/>
              </w:rPr>
            </w:pPr>
            <w:r>
              <w:rPr>
                <w:rFonts w:hint="eastAsia" w:cs="宋体"/>
                <w:i w:val="0"/>
                <w:iCs w:val="0"/>
                <w:color w:val="auto"/>
                <w:sz w:val="24"/>
                <w:szCs w:val="24"/>
                <w:highlight w:val="none"/>
                <w:lang w:val="en-US" w:eastAsia="zh-CN"/>
              </w:rPr>
              <w:t>1.6</w:t>
            </w:r>
          </w:p>
        </w:tc>
        <w:tc>
          <w:tcPr>
            <w:tcW w:w="1850" w:type="dxa"/>
            <w:tcBorders>
              <w:top w:val="single" w:color="auto" w:sz="2" w:space="0"/>
              <w:left w:val="single" w:color="auto" w:sz="2" w:space="0"/>
              <w:bottom w:val="single" w:color="auto" w:sz="2" w:space="0"/>
              <w:right w:val="single" w:color="auto" w:sz="2" w:space="0"/>
            </w:tcBorders>
            <w:shd w:val="clear" w:color="auto" w:fill="auto"/>
            <w:vAlign w:val="center"/>
          </w:tcPr>
          <w:p w14:paraId="439635DA">
            <w:pPr>
              <w:pStyle w:val="64"/>
              <w:keepNext w:val="0"/>
              <w:keepLines w:val="0"/>
              <w:pageBreakBefore w:val="0"/>
              <w:kinsoku/>
              <w:wordWrap/>
              <w:overflowPunct/>
              <w:topLinePunct w:val="0"/>
              <w:bidi w:val="0"/>
              <w:snapToGrid/>
              <w:spacing w:line="320" w:lineRule="exact"/>
              <w:ind w:left="0" w:leftChars="0"/>
              <w:textAlignment w:val="auto"/>
              <w:rPr>
                <w:rFonts w:hint="default" w:ascii="宋体" w:hAnsi="宋体" w:eastAsia="宋体" w:cs="宋体"/>
                <w:snapToGrid w:val="0"/>
                <w:color w:val="auto"/>
                <w:kern w:val="0"/>
                <w:sz w:val="24"/>
                <w:szCs w:val="24"/>
                <w:highlight w:val="none"/>
                <w:lang w:val="en-US" w:eastAsia="zh-CN" w:bidi="ar-SA"/>
              </w:rPr>
            </w:pPr>
            <w:r>
              <w:rPr>
                <w:rFonts w:hint="eastAsia" w:cs="宋体"/>
                <w:snapToGrid w:val="0"/>
                <w:color w:val="auto"/>
                <w:kern w:val="0"/>
                <w:sz w:val="24"/>
                <w:szCs w:val="24"/>
                <w:highlight w:val="none"/>
                <w:lang w:val="en-US" w:eastAsia="zh-CN" w:bidi="ar-SA"/>
              </w:rPr>
              <w:t>采购预算金额</w:t>
            </w:r>
          </w:p>
        </w:tc>
        <w:tc>
          <w:tcPr>
            <w:tcW w:w="5462" w:type="dxa"/>
            <w:tcBorders>
              <w:top w:val="single" w:color="auto" w:sz="2" w:space="0"/>
              <w:left w:val="single" w:color="auto" w:sz="2" w:space="0"/>
              <w:bottom w:val="single" w:color="auto" w:sz="2" w:space="0"/>
              <w:right w:val="single" w:color="auto" w:sz="2" w:space="0"/>
            </w:tcBorders>
            <w:shd w:val="clear" w:color="auto" w:fill="auto"/>
            <w:vAlign w:val="center"/>
          </w:tcPr>
          <w:p w14:paraId="67B4A3C1">
            <w:pPr>
              <w:pStyle w:val="46"/>
              <w:keepNext w:val="0"/>
              <w:keepLines w:val="0"/>
              <w:pageBreakBefore w:val="0"/>
              <w:widowControl w:val="0"/>
              <w:kinsoku/>
              <w:wordWrap/>
              <w:overflowPunct/>
              <w:topLinePunct w:val="0"/>
              <w:autoSpaceDE/>
              <w:autoSpaceDN/>
              <w:bidi w:val="0"/>
              <w:adjustRightInd/>
              <w:snapToGrid/>
              <w:spacing w:line="320" w:lineRule="exact"/>
              <w:ind w:left="0"/>
              <w:jc w:val="both"/>
              <w:textAlignment w:val="auto"/>
              <w:rPr>
                <w:rFonts w:hint="default" w:ascii="宋体" w:hAnsi="宋体" w:eastAsia="宋体" w:cs="宋体"/>
                <w:i w:val="0"/>
                <w:iCs w:val="0"/>
                <w:color w:val="auto"/>
                <w:kern w:val="2"/>
                <w:sz w:val="24"/>
                <w:szCs w:val="24"/>
                <w:highlight w:val="none"/>
                <w:u w:val="none"/>
                <w:lang w:val="en-US" w:eastAsia="zh-CN" w:bidi="ar-SA"/>
              </w:rPr>
            </w:pPr>
            <w:r>
              <w:rPr>
                <w:rFonts w:hint="eastAsia" w:cs="宋体"/>
                <w:i w:val="0"/>
                <w:iCs w:val="0"/>
                <w:color w:val="auto"/>
                <w:sz w:val="24"/>
                <w:szCs w:val="24"/>
                <w:highlight w:val="none"/>
                <w:u w:val="none"/>
                <w:lang w:val="en-US" w:eastAsia="zh-CN"/>
              </w:rPr>
              <w:t>包二：1470000元</w:t>
            </w:r>
          </w:p>
        </w:tc>
      </w:tr>
      <w:tr w14:paraId="4EDC9A2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578" w:hRule="atLeast"/>
          <w:jc w:val="center"/>
        </w:trPr>
        <w:tc>
          <w:tcPr>
            <w:tcW w:w="970" w:type="dxa"/>
            <w:tcBorders>
              <w:top w:val="single" w:color="auto" w:sz="2" w:space="0"/>
              <w:left w:val="single" w:color="auto" w:sz="2" w:space="0"/>
              <w:bottom w:val="single" w:color="auto" w:sz="2" w:space="0"/>
              <w:right w:val="single" w:color="auto" w:sz="2" w:space="0"/>
            </w:tcBorders>
            <w:vAlign w:val="center"/>
          </w:tcPr>
          <w:p w14:paraId="0F8A4ECF">
            <w:pPr>
              <w:keepNext w:val="0"/>
              <w:keepLines w:val="0"/>
              <w:pageBreakBefore w:val="0"/>
              <w:kinsoku/>
              <w:wordWrap/>
              <w:overflowPunct/>
              <w:topLinePunct w:val="0"/>
              <w:bidi w:val="0"/>
              <w:snapToGrid/>
              <w:spacing w:line="320" w:lineRule="exact"/>
              <w:ind w:left="0"/>
              <w:jc w:val="center"/>
              <w:textAlignment w:val="auto"/>
              <w:rPr>
                <w:rFonts w:hint="default" w:ascii="宋体" w:hAnsi="宋体" w:eastAsia="宋体" w:cs="宋体"/>
                <w:i w:val="0"/>
                <w:iCs w:val="0"/>
                <w:color w:val="auto"/>
                <w:sz w:val="24"/>
                <w:szCs w:val="24"/>
                <w:highlight w:val="none"/>
                <w:lang w:val="en-US" w:eastAsia="zh-CN"/>
              </w:rPr>
            </w:pPr>
            <w:r>
              <w:rPr>
                <w:rFonts w:hint="eastAsia" w:cs="宋体"/>
                <w:i w:val="0"/>
                <w:iCs w:val="0"/>
                <w:color w:val="auto"/>
                <w:sz w:val="24"/>
                <w:szCs w:val="24"/>
                <w:highlight w:val="none"/>
                <w:lang w:val="en-US" w:eastAsia="zh-CN"/>
              </w:rPr>
              <w:t>1.7</w:t>
            </w:r>
          </w:p>
        </w:tc>
        <w:tc>
          <w:tcPr>
            <w:tcW w:w="1850" w:type="dxa"/>
            <w:tcBorders>
              <w:top w:val="single" w:color="auto" w:sz="2" w:space="0"/>
              <w:left w:val="single" w:color="auto" w:sz="2" w:space="0"/>
              <w:bottom w:val="single" w:color="auto" w:sz="2" w:space="0"/>
              <w:right w:val="single" w:color="auto" w:sz="2" w:space="0"/>
            </w:tcBorders>
            <w:shd w:val="clear" w:color="auto" w:fill="auto"/>
            <w:vAlign w:val="center"/>
          </w:tcPr>
          <w:p w14:paraId="12C61B26">
            <w:pPr>
              <w:pStyle w:val="64"/>
              <w:keepNext w:val="0"/>
              <w:keepLines w:val="0"/>
              <w:pageBreakBefore w:val="0"/>
              <w:kinsoku/>
              <w:wordWrap/>
              <w:overflowPunct/>
              <w:topLinePunct w:val="0"/>
              <w:bidi w:val="0"/>
              <w:snapToGrid/>
              <w:spacing w:line="320" w:lineRule="exact"/>
              <w:ind w:left="0" w:leftChars="0"/>
              <w:textAlignment w:val="auto"/>
              <w:rPr>
                <w:rFonts w:hint="eastAsia" w:ascii="宋体" w:hAnsi="宋体" w:eastAsia="宋体" w:cs="宋体"/>
                <w:snapToGrid w:val="0"/>
                <w:color w:val="auto"/>
                <w:kern w:val="0"/>
                <w:sz w:val="24"/>
                <w:szCs w:val="24"/>
                <w:highlight w:val="none"/>
                <w:lang w:val="en-US" w:eastAsia="zh-CN" w:bidi="ar-SA"/>
              </w:rPr>
            </w:pPr>
            <w:r>
              <w:rPr>
                <w:rFonts w:hint="eastAsia" w:cs="宋体"/>
                <w:snapToGrid w:val="0"/>
                <w:color w:val="auto"/>
                <w:kern w:val="0"/>
                <w:sz w:val="24"/>
                <w:szCs w:val="24"/>
                <w:highlight w:val="none"/>
                <w:lang w:val="en-US" w:eastAsia="zh-CN" w:bidi="ar-SA"/>
              </w:rPr>
              <w:t>合同履约期限</w:t>
            </w:r>
          </w:p>
        </w:tc>
        <w:tc>
          <w:tcPr>
            <w:tcW w:w="5462" w:type="dxa"/>
            <w:tcBorders>
              <w:top w:val="single" w:color="auto" w:sz="2" w:space="0"/>
              <w:left w:val="single" w:color="auto" w:sz="2" w:space="0"/>
              <w:bottom w:val="single" w:color="auto" w:sz="2" w:space="0"/>
              <w:right w:val="single" w:color="auto" w:sz="2" w:space="0"/>
            </w:tcBorders>
            <w:vAlign w:val="center"/>
          </w:tcPr>
          <w:p w14:paraId="73F677CC">
            <w:pPr>
              <w:pStyle w:val="46"/>
              <w:keepNext w:val="0"/>
              <w:keepLines w:val="0"/>
              <w:pageBreakBefore w:val="0"/>
              <w:widowControl w:val="0"/>
              <w:kinsoku/>
              <w:wordWrap/>
              <w:overflowPunct/>
              <w:topLinePunct w:val="0"/>
              <w:autoSpaceDE/>
              <w:autoSpaceDN/>
              <w:bidi w:val="0"/>
              <w:adjustRightInd/>
              <w:snapToGrid/>
              <w:spacing w:line="320" w:lineRule="exact"/>
              <w:ind w:left="0"/>
              <w:jc w:val="both"/>
              <w:textAlignment w:val="auto"/>
              <w:rPr>
                <w:rFonts w:hint="default" w:ascii="宋体" w:hAnsi="宋体" w:eastAsia="宋体" w:cs="宋体"/>
                <w:i w:val="0"/>
                <w:iCs w:val="0"/>
                <w:color w:val="auto"/>
                <w:sz w:val="24"/>
                <w:szCs w:val="24"/>
                <w:highlight w:val="none"/>
                <w:u w:val="single"/>
                <w:lang w:val="en-US" w:eastAsia="zh-CN"/>
              </w:rPr>
            </w:pPr>
            <w:r>
              <w:rPr>
                <w:rFonts w:hint="eastAsia" w:cs="宋体"/>
                <w:i w:val="0"/>
                <w:iCs w:val="0"/>
                <w:color w:val="auto"/>
                <w:sz w:val="24"/>
                <w:szCs w:val="24"/>
                <w:highlight w:val="none"/>
                <w:u w:val="single"/>
                <w:lang w:val="en-US" w:eastAsia="zh-CN"/>
              </w:rPr>
              <w:t>合同签订之日起1年。</w:t>
            </w:r>
          </w:p>
        </w:tc>
      </w:tr>
      <w:tr w14:paraId="567D483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61" w:hRule="atLeast"/>
          <w:jc w:val="center"/>
        </w:trPr>
        <w:tc>
          <w:tcPr>
            <w:tcW w:w="970" w:type="dxa"/>
            <w:tcBorders>
              <w:top w:val="single" w:color="auto" w:sz="2" w:space="0"/>
              <w:left w:val="single" w:color="auto" w:sz="2" w:space="0"/>
              <w:bottom w:val="single" w:color="auto" w:sz="2" w:space="0"/>
              <w:right w:val="single" w:color="auto" w:sz="2" w:space="0"/>
            </w:tcBorders>
            <w:vAlign w:val="center"/>
          </w:tcPr>
          <w:p w14:paraId="037301A6">
            <w:pPr>
              <w:keepNext w:val="0"/>
              <w:keepLines w:val="0"/>
              <w:pageBreakBefore w:val="0"/>
              <w:kinsoku/>
              <w:wordWrap/>
              <w:overflowPunct/>
              <w:topLinePunct w:val="0"/>
              <w:bidi w:val="0"/>
              <w:snapToGrid/>
              <w:spacing w:line="320" w:lineRule="exact"/>
              <w:ind w:left="0"/>
              <w:jc w:val="center"/>
              <w:textAlignment w:val="auto"/>
              <w:rPr>
                <w:rFonts w:hint="default" w:cs="宋体"/>
                <w:i w:val="0"/>
                <w:iCs w:val="0"/>
                <w:color w:val="auto"/>
                <w:sz w:val="24"/>
                <w:szCs w:val="24"/>
                <w:highlight w:val="none"/>
                <w:lang w:val="en-US" w:eastAsia="zh-CN"/>
              </w:rPr>
            </w:pPr>
            <w:r>
              <w:rPr>
                <w:rFonts w:hint="eastAsia" w:cs="宋体"/>
                <w:i w:val="0"/>
                <w:iCs w:val="0"/>
                <w:color w:val="auto"/>
                <w:sz w:val="24"/>
                <w:szCs w:val="24"/>
                <w:highlight w:val="none"/>
                <w:lang w:val="en-US" w:eastAsia="zh-CN"/>
              </w:rPr>
              <w:t>1.8</w:t>
            </w:r>
          </w:p>
        </w:tc>
        <w:tc>
          <w:tcPr>
            <w:tcW w:w="1850" w:type="dxa"/>
            <w:tcBorders>
              <w:top w:val="single" w:color="auto" w:sz="2" w:space="0"/>
              <w:left w:val="single" w:color="auto" w:sz="2" w:space="0"/>
              <w:bottom w:val="single" w:color="auto" w:sz="2" w:space="0"/>
              <w:right w:val="single" w:color="auto" w:sz="2" w:space="0"/>
            </w:tcBorders>
            <w:shd w:val="clear" w:color="auto" w:fill="auto"/>
            <w:vAlign w:val="center"/>
          </w:tcPr>
          <w:p w14:paraId="5A611DDE">
            <w:pPr>
              <w:pStyle w:val="64"/>
              <w:keepNext w:val="0"/>
              <w:keepLines w:val="0"/>
              <w:pageBreakBefore w:val="0"/>
              <w:kinsoku/>
              <w:wordWrap/>
              <w:overflowPunct/>
              <w:topLinePunct w:val="0"/>
              <w:bidi w:val="0"/>
              <w:snapToGrid/>
              <w:spacing w:line="320" w:lineRule="exact"/>
              <w:ind w:left="0" w:leftChars="0"/>
              <w:textAlignment w:val="auto"/>
              <w:rPr>
                <w:rFonts w:hint="default" w:ascii="宋体" w:hAnsi="宋体" w:eastAsia="宋体" w:cs="宋体"/>
                <w:snapToGrid w:val="0"/>
                <w:color w:val="auto"/>
                <w:kern w:val="0"/>
                <w:sz w:val="24"/>
                <w:szCs w:val="24"/>
                <w:highlight w:val="none"/>
                <w:u w:val="none"/>
                <w:lang w:val="en-US" w:eastAsia="zh-CN" w:bidi="ar-SA"/>
              </w:rPr>
            </w:pPr>
            <w:r>
              <w:rPr>
                <w:rFonts w:hint="eastAsia" w:cs="宋体"/>
                <w:snapToGrid w:val="0"/>
                <w:color w:val="auto"/>
                <w:kern w:val="0"/>
                <w:sz w:val="24"/>
                <w:szCs w:val="24"/>
                <w:highlight w:val="none"/>
                <w:u w:val="none"/>
                <w:lang w:val="en-US" w:eastAsia="zh-CN" w:bidi="ar-SA"/>
              </w:rPr>
              <w:t>资格要求</w:t>
            </w:r>
          </w:p>
        </w:tc>
        <w:tc>
          <w:tcPr>
            <w:tcW w:w="5462" w:type="dxa"/>
            <w:tcBorders>
              <w:top w:val="single" w:color="auto" w:sz="2" w:space="0"/>
              <w:left w:val="single" w:color="auto" w:sz="2" w:space="0"/>
              <w:bottom w:val="single" w:color="auto" w:sz="2" w:space="0"/>
              <w:right w:val="single" w:color="auto" w:sz="2" w:space="0"/>
            </w:tcBorders>
            <w:vAlign w:val="center"/>
          </w:tcPr>
          <w:p w14:paraId="013727C2">
            <w:pPr>
              <w:pStyle w:val="46"/>
              <w:keepNext w:val="0"/>
              <w:keepLines w:val="0"/>
              <w:pageBreakBefore w:val="0"/>
              <w:widowControl w:val="0"/>
              <w:kinsoku/>
              <w:wordWrap/>
              <w:overflowPunct/>
              <w:topLinePunct w:val="0"/>
              <w:autoSpaceDE/>
              <w:autoSpaceDN/>
              <w:bidi w:val="0"/>
              <w:adjustRightInd/>
              <w:snapToGrid/>
              <w:spacing w:line="320" w:lineRule="exact"/>
              <w:ind w:left="0"/>
              <w:jc w:val="both"/>
              <w:textAlignment w:val="auto"/>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1.满足《中华人民共和国政府采购法》第二十二条规定；</w:t>
            </w:r>
          </w:p>
          <w:p w14:paraId="40CAB7FC">
            <w:pPr>
              <w:pStyle w:val="11"/>
              <w:keepNext w:val="0"/>
              <w:keepLines w:val="0"/>
              <w:pageBreakBefore w:val="0"/>
              <w:widowControl/>
              <w:kinsoku/>
              <w:wordWrap/>
              <w:overflowPunct/>
              <w:topLinePunct w:val="0"/>
              <w:bidi w:val="0"/>
              <w:snapToGrid/>
              <w:spacing w:after="0" w:line="320" w:lineRule="exact"/>
              <w:textAlignment w:val="auto"/>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2.落实政府采购政策需满足的资格要求：</w:t>
            </w:r>
            <w:r>
              <w:rPr>
                <w:rFonts w:hint="eastAsia" w:ascii="宋体" w:hAnsi="宋体" w:cs="宋体"/>
                <w:i w:val="0"/>
                <w:iCs w:val="0"/>
                <w:color w:val="auto"/>
                <w:sz w:val="24"/>
                <w:szCs w:val="24"/>
                <w:highlight w:val="none"/>
                <w:u w:val="none"/>
                <w:lang w:val="en-US" w:eastAsia="zh-CN"/>
              </w:rPr>
              <w:t>标项2</w:t>
            </w:r>
            <w:r>
              <w:rPr>
                <w:rFonts w:hint="eastAsia" w:ascii="宋体" w:hAnsi="宋体" w:eastAsia="宋体" w:cs="宋体"/>
                <w:i w:val="0"/>
                <w:iCs w:val="0"/>
                <w:color w:val="auto"/>
                <w:sz w:val="24"/>
                <w:szCs w:val="24"/>
                <w:highlight w:val="none"/>
                <w:u w:val="none"/>
                <w:lang w:val="en-US" w:eastAsia="zh-CN"/>
              </w:rPr>
              <w:t>：本项目</w:t>
            </w:r>
            <w:r>
              <w:rPr>
                <w:rFonts w:hint="eastAsia" w:cs="宋体"/>
                <w:i w:val="0"/>
                <w:iCs w:val="0"/>
                <w:color w:val="auto"/>
                <w:sz w:val="24"/>
                <w:szCs w:val="24"/>
                <w:highlight w:val="none"/>
                <w:u w:val="none"/>
                <w:lang w:val="en-US" w:eastAsia="zh-CN"/>
              </w:rPr>
              <w:t>不</w:t>
            </w:r>
            <w:r>
              <w:rPr>
                <w:rFonts w:hint="eastAsia" w:ascii="宋体" w:hAnsi="宋体" w:eastAsia="宋体" w:cs="宋体"/>
                <w:i w:val="0"/>
                <w:iCs w:val="0"/>
                <w:color w:val="auto"/>
                <w:sz w:val="24"/>
                <w:szCs w:val="24"/>
                <w:highlight w:val="none"/>
                <w:u w:val="none"/>
                <w:lang w:val="en-US" w:eastAsia="zh-CN"/>
              </w:rPr>
              <w:t>专门面向中小企业。（投标单位</w:t>
            </w:r>
            <w:r>
              <w:rPr>
                <w:rFonts w:hint="eastAsia" w:ascii="宋体" w:hAnsi="宋体" w:cs="宋体"/>
                <w:i w:val="0"/>
                <w:iCs w:val="0"/>
                <w:color w:val="auto"/>
                <w:sz w:val="24"/>
                <w:szCs w:val="24"/>
                <w:highlight w:val="none"/>
                <w:u w:val="none"/>
                <w:lang w:val="en-US" w:eastAsia="zh-CN"/>
              </w:rPr>
              <w:t>如</w:t>
            </w:r>
            <w:r>
              <w:rPr>
                <w:rFonts w:hint="eastAsia" w:ascii="宋体" w:hAnsi="宋体" w:eastAsia="宋体" w:cs="宋体"/>
                <w:i w:val="0"/>
                <w:iCs w:val="0"/>
                <w:color w:val="auto"/>
                <w:sz w:val="24"/>
                <w:szCs w:val="24"/>
                <w:highlight w:val="none"/>
                <w:u w:val="none"/>
                <w:lang w:val="en-US" w:eastAsia="zh-CN"/>
              </w:rPr>
              <w:t>为中小企业，提供《中小企业声明函》）</w:t>
            </w:r>
          </w:p>
          <w:p w14:paraId="5C6799C1">
            <w:pPr>
              <w:pStyle w:val="11"/>
              <w:keepNext w:val="0"/>
              <w:keepLines w:val="0"/>
              <w:pageBreakBefore w:val="0"/>
              <w:widowControl/>
              <w:kinsoku/>
              <w:wordWrap/>
              <w:overflowPunct/>
              <w:topLinePunct w:val="0"/>
              <w:bidi w:val="0"/>
              <w:snapToGrid/>
              <w:spacing w:after="0" w:line="320" w:lineRule="exact"/>
              <w:textAlignment w:val="auto"/>
              <w:rPr>
                <w:rFonts w:ascii="宋体" w:hAnsi="宋体" w:cs="宋体"/>
                <w:sz w:val="24"/>
              </w:rPr>
            </w:pPr>
            <w:r>
              <w:rPr>
                <w:rFonts w:ascii="宋体" w:hAnsi="宋体" w:cs="宋体"/>
                <w:sz w:val="24"/>
              </w:rPr>
              <w:t>（1）具有独立承担民事责任的能力：在中华人民共和国境内注册的法人或其他组织或自然人，投标（响应）时提交有效的营业执照（或事业法人登记证或身份证等相关证明）；</w:t>
            </w:r>
          </w:p>
          <w:p w14:paraId="61DEC5A9">
            <w:pPr>
              <w:pStyle w:val="11"/>
              <w:keepNext w:val="0"/>
              <w:keepLines w:val="0"/>
              <w:pageBreakBefore w:val="0"/>
              <w:widowControl/>
              <w:kinsoku/>
              <w:wordWrap/>
              <w:overflowPunct/>
              <w:topLinePunct w:val="0"/>
              <w:bidi w:val="0"/>
              <w:snapToGrid/>
              <w:spacing w:after="0" w:line="320" w:lineRule="exact"/>
              <w:textAlignment w:val="auto"/>
              <w:rPr>
                <w:rFonts w:ascii="宋体" w:hAnsi="宋体" w:cs="宋体"/>
                <w:sz w:val="24"/>
              </w:rPr>
            </w:pPr>
            <w:r>
              <w:rPr>
                <w:rFonts w:ascii="宋体" w:hAnsi="宋体" w:cs="宋体"/>
                <w:sz w:val="24"/>
              </w:rPr>
              <w:t>（2）</w:t>
            </w:r>
            <w:r>
              <w:rPr>
                <w:rFonts w:hint="eastAsia" w:ascii="宋体" w:hAnsi="宋体" w:cs="宋体"/>
                <w:sz w:val="24"/>
              </w:rPr>
              <w:t>投标人提供202</w:t>
            </w:r>
            <w:r>
              <w:rPr>
                <w:rFonts w:hint="eastAsia" w:ascii="宋体" w:hAnsi="宋体" w:cs="宋体"/>
                <w:sz w:val="24"/>
                <w:lang w:val="en-US" w:eastAsia="zh-CN"/>
              </w:rPr>
              <w:t>4</w:t>
            </w:r>
            <w:r>
              <w:rPr>
                <w:rFonts w:hint="eastAsia" w:ascii="宋体" w:hAnsi="宋体" w:cs="宋体"/>
                <w:sz w:val="24"/>
              </w:rPr>
              <w:t>年度的财务审计报告</w:t>
            </w:r>
            <w:r>
              <w:rPr>
                <w:rFonts w:hint="eastAsia" w:ascii="宋体" w:hAnsi="宋体" w:cs="宋体"/>
                <w:sz w:val="24"/>
                <w:lang w:eastAsia="zh-CN"/>
              </w:rPr>
              <w:t>（</w:t>
            </w:r>
            <w:r>
              <w:rPr>
                <w:rFonts w:hint="eastAsia" w:ascii="宋体" w:hAnsi="宋体" w:cs="宋体"/>
                <w:sz w:val="24"/>
              </w:rPr>
              <w:t>2025年1月后成立的公司可不提供但需提供银行出具的公司成立至今的的资信证明）</w:t>
            </w:r>
            <w:r>
              <w:rPr>
                <w:rFonts w:ascii="宋体" w:hAnsi="宋体" w:cs="宋体"/>
                <w:sz w:val="24"/>
              </w:rPr>
              <w:t>；</w:t>
            </w:r>
          </w:p>
          <w:p w14:paraId="4B713C3C">
            <w:pPr>
              <w:pStyle w:val="11"/>
              <w:keepNext w:val="0"/>
              <w:keepLines w:val="0"/>
              <w:pageBreakBefore w:val="0"/>
              <w:widowControl/>
              <w:kinsoku/>
              <w:wordWrap/>
              <w:overflowPunct/>
              <w:topLinePunct w:val="0"/>
              <w:bidi w:val="0"/>
              <w:snapToGrid/>
              <w:spacing w:after="0" w:line="320" w:lineRule="exact"/>
              <w:textAlignment w:val="auto"/>
              <w:rPr>
                <w:rFonts w:ascii="宋体" w:hAnsi="宋体" w:cs="宋体"/>
                <w:sz w:val="24"/>
              </w:rPr>
            </w:pPr>
            <w:r>
              <w:rPr>
                <w:rFonts w:ascii="宋体" w:hAnsi="宋体" w:cs="宋体"/>
                <w:sz w:val="24"/>
              </w:rPr>
              <w:t>（3）提供税务机关出具</w:t>
            </w:r>
            <w:r>
              <w:rPr>
                <w:rFonts w:hint="eastAsia" w:ascii="宋体" w:hAnsi="宋体" w:cs="宋体"/>
                <w:sz w:val="24"/>
              </w:rPr>
              <w:t>近半年内任意一</w:t>
            </w:r>
            <w:r>
              <w:rPr>
                <w:rFonts w:ascii="宋体" w:hAnsi="宋体" w:cs="宋体"/>
                <w:sz w:val="24"/>
              </w:rPr>
              <w:t>个月的完税证明（如依法免税的，应提供相应文件证明，代扣缴税的完税证明不作为税务缴费凭证，如社保缴税等）；</w:t>
            </w:r>
          </w:p>
          <w:p w14:paraId="1BA3F1D1">
            <w:pPr>
              <w:pStyle w:val="11"/>
              <w:keepNext w:val="0"/>
              <w:keepLines w:val="0"/>
              <w:pageBreakBefore w:val="0"/>
              <w:widowControl/>
              <w:kinsoku/>
              <w:wordWrap/>
              <w:overflowPunct/>
              <w:topLinePunct w:val="0"/>
              <w:bidi w:val="0"/>
              <w:snapToGrid/>
              <w:spacing w:after="0" w:line="320" w:lineRule="exact"/>
              <w:textAlignment w:val="auto"/>
              <w:rPr>
                <w:rFonts w:ascii="宋体" w:hAnsi="宋体" w:cs="宋体"/>
                <w:sz w:val="24"/>
              </w:rPr>
            </w:pPr>
            <w:r>
              <w:rPr>
                <w:rFonts w:ascii="宋体" w:hAnsi="宋体" w:cs="宋体"/>
                <w:sz w:val="24"/>
              </w:rPr>
              <w:t>（4）法人投标应提供《法定代表人身份证明书》，委托代理人投标应提供《法定代表人授权委托书》；</w:t>
            </w:r>
          </w:p>
          <w:p w14:paraId="04D74DE0">
            <w:pPr>
              <w:pStyle w:val="11"/>
              <w:keepNext w:val="0"/>
              <w:keepLines w:val="0"/>
              <w:pageBreakBefore w:val="0"/>
              <w:widowControl/>
              <w:kinsoku/>
              <w:wordWrap/>
              <w:overflowPunct/>
              <w:topLinePunct w:val="0"/>
              <w:bidi w:val="0"/>
              <w:snapToGrid/>
              <w:spacing w:after="0" w:line="320" w:lineRule="exact"/>
              <w:textAlignment w:val="auto"/>
              <w:rPr>
                <w:rFonts w:ascii="宋体" w:hAnsi="宋体" w:cs="宋体"/>
                <w:sz w:val="24"/>
              </w:rPr>
            </w:pPr>
            <w:r>
              <w:rPr>
                <w:rFonts w:ascii="宋体" w:hAnsi="宋体" w:cs="宋体"/>
                <w:sz w:val="24"/>
              </w:rPr>
              <w:t>（5）</w:t>
            </w:r>
            <w:r>
              <w:rPr>
                <w:rFonts w:hint="eastAsia" w:ascii="宋体" w:hAnsi="宋体" w:cs="宋体"/>
                <w:sz w:val="24"/>
              </w:rPr>
              <w:t>提供本单位近半年内任意一个月的社保缴纳证明（单位社保缴费凭证，2025年2月份后成立的公司按实际发生提供），如依法不需要缴纳社会保障资金的，应提供相应文件证明）</w:t>
            </w:r>
            <w:r>
              <w:rPr>
                <w:rFonts w:ascii="宋体" w:hAnsi="宋体" w:cs="宋体"/>
                <w:sz w:val="24"/>
              </w:rPr>
              <w:t>；</w:t>
            </w:r>
          </w:p>
          <w:p w14:paraId="5E4C133E">
            <w:pPr>
              <w:pStyle w:val="11"/>
              <w:keepNext w:val="0"/>
              <w:keepLines w:val="0"/>
              <w:pageBreakBefore w:val="0"/>
              <w:widowControl/>
              <w:kinsoku/>
              <w:wordWrap/>
              <w:overflowPunct/>
              <w:topLinePunct w:val="0"/>
              <w:bidi w:val="0"/>
              <w:snapToGrid/>
              <w:spacing w:after="0" w:line="320" w:lineRule="exact"/>
              <w:textAlignment w:val="auto"/>
              <w:rPr>
                <w:rFonts w:ascii="宋体" w:hAnsi="宋体" w:cs="宋体"/>
                <w:sz w:val="24"/>
              </w:rPr>
            </w:pPr>
            <w:r>
              <w:rPr>
                <w:rFonts w:ascii="宋体" w:hAnsi="宋体" w:cs="宋体"/>
                <w:sz w:val="24"/>
              </w:rPr>
              <w:t>（6）履行合同所必需的设备和专业技术能力：提供《声明函》；</w:t>
            </w:r>
          </w:p>
          <w:p w14:paraId="6DBDF39B">
            <w:pPr>
              <w:pStyle w:val="11"/>
              <w:keepNext w:val="0"/>
              <w:keepLines w:val="0"/>
              <w:pageBreakBefore w:val="0"/>
              <w:widowControl/>
              <w:kinsoku/>
              <w:wordWrap/>
              <w:overflowPunct/>
              <w:topLinePunct w:val="0"/>
              <w:bidi w:val="0"/>
              <w:snapToGrid/>
              <w:spacing w:after="0" w:line="320" w:lineRule="exact"/>
              <w:textAlignment w:val="auto"/>
              <w:rPr>
                <w:rFonts w:ascii="宋体" w:hAnsi="宋体" w:cs="宋体"/>
                <w:sz w:val="24"/>
              </w:rPr>
            </w:pPr>
            <w:r>
              <w:rPr>
                <w:rFonts w:ascii="宋体" w:hAnsi="宋体" w:cs="宋体"/>
                <w:sz w:val="24"/>
              </w:rPr>
              <w:t>（7）参加采购活动前三年内，在经营活动中没有重大违法记录：提供《无重大违法记录声明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14:paraId="11FCB742">
            <w:pPr>
              <w:pStyle w:val="11"/>
              <w:keepNext w:val="0"/>
              <w:keepLines w:val="0"/>
              <w:pageBreakBefore w:val="0"/>
              <w:widowControl/>
              <w:kinsoku/>
              <w:wordWrap/>
              <w:overflowPunct/>
              <w:topLinePunct w:val="0"/>
              <w:bidi w:val="0"/>
              <w:snapToGrid/>
              <w:spacing w:after="0" w:line="320" w:lineRule="exact"/>
              <w:textAlignment w:val="auto"/>
              <w:rPr>
                <w:rFonts w:ascii="宋体" w:hAnsi="宋体" w:cs="宋体"/>
                <w:sz w:val="24"/>
              </w:rPr>
            </w:pPr>
            <w:r>
              <w:rPr>
                <w:rFonts w:ascii="宋体" w:hAnsi="宋体" w:cs="宋体"/>
                <w:sz w:val="24"/>
              </w:rPr>
              <w:t>（8）</w:t>
            </w:r>
            <w:r>
              <w:rPr>
                <w:rFonts w:hint="eastAsia" w:ascii="宋体" w:hAnsi="宋体" w:cs="宋体"/>
                <w:sz w:val="24"/>
              </w:rPr>
              <w:t>近三年拟参加本次招标项目的投标人在“信用中国（www.creditchina.gov.cn）”被列入失信被执行人、企业经营异常名录、重大税收违法案件当事人名单、政府采购严重违法失信名单（尚在处罚期内的）；在“中国政府采购网（www.ccgp.gov.cn）”被列入政府采购严重违法失信行为记录名单的（尚在处罚期内的）</w:t>
            </w:r>
            <w:r>
              <w:rPr>
                <w:rFonts w:hint="eastAsia" w:ascii="宋体" w:hAnsi="宋体" w:cs="宋体"/>
                <w:sz w:val="24"/>
                <w:lang w:eastAsia="zh-CN"/>
              </w:rPr>
              <w:t>，</w:t>
            </w:r>
            <w:r>
              <w:rPr>
                <w:rFonts w:hint="eastAsia" w:ascii="宋体" w:hAnsi="宋体" w:cs="宋体"/>
                <w:sz w:val="24"/>
              </w:rPr>
              <w:t>经营异常名录的取消投标资格</w:t>
            </w:r>
            <w:r>
              <w:rPr>
                <w:rFonts w:ascii="宋体" w:hAnsi="宋体" w:cs="宋体"/>
                <w:sz w:val="24"/>
              </w:rPr>
              <w:t>。</w:t>
            </w:r>
          </w:p>
          <w:p w14:paraId="688AA994">
            <w:pPr>
              <w:pStyle w:val="11"/>
              <w:keepNext w:val="0"/>
              <w:keepLines w:val="0"/>
              <w:pageBreakBefore w:val="0"/>
              <w:widowControl/>
              <w:kinsoku/>
              <w:wordWrap/>
              <w:overflowPunct/>
              <w:topLinePunct w:val="0"/>
              <w:bidi w:val="0"/>
              <w:snapToGrid/>
              <w:spacing w:after="0" w:line="320" w:lineRule="exact"/>
              <w:textAlignment w:val="auto"/>
              <w:rPr>
                <w:rFonts w:hint="eastAsia" w:ascii="宋体" w:hAnsi="宋体" w:cs="宋体"/>
                <w:sz w:val="24"/>
                <w:lang w:val="en-US" w:eastAsia="zh-CN"/>
              </w:rPr>
            </w:pPr>
            <w:r>
              <w:rPr>
                <w:rFonts w:hint="eastAsia" w:ascii="宋体" w:hAnsi="宋体" w:cs="宋体"/>
                <w:sz w:val="24"/>
                <w:lang w:val="en-US" w:eastAsia="zh-CN"/>
              </w:rPr>
              <w:t>（9）企业负责人为同一人或者存在直接控股、管理关系的不同投标人，不得参加同一合同项下的政府采购活动（提供声明函），否则，皆取消投标资格；凡拟参加本次招标项目的投标人还须提供“参加政府采购活动前3年内在经营活动中没有重大违法记录的书面声明函。</w:t>
            </w:r>
          </w:p>
          <w:p w14:paraId="7D3DF272">
            <w:pPr>
              <w:pStyle w:val="11"/>
              <w:keepNext w:val="0"/>
              <w:keepLines w:val="0"/>
              <w:pageBreakBefore w:val="0"/>
              <w:widowControl/>
              <w:kinsoku/>
              <w:wordWrap/>
              <w:overflowPunct/>
              <w:topLinePunct w:val="0"/>
              <w:bidi w:val="0"/>
              <w:snapToGrid/>
              <w:spacing w:after="0" w:line="320" w:lineRule="exact"/>
              <w:textAlignment w:val="auto"/>
              <w:rPr>
                <w:rFonts w:hint="eastAsia" w:ascii="宋体" w:hAnsi="宋体" w:eastAsia="宋体" w:cs="宋体"/>
                <w:i w:val="0"/>
                <w:iCs w:val="0"/>
                <w:color w:val="auto"/>
                <w:sz w:val="24"/>
                <w:szCs w:val="24"/>
                <w:highlight w:val="none"/>
                <w:u w:val="none"/>
                <w:lang w:val="en-US" w:eastAsia="zh-CN"/>
              </w:rPr>
            </w:pPr>
            <w:r>
              <w:rPr>
                <w:rFonts w:hint="eastAsia" w:ascii="宋体" w:hAnsi="宋体" w:cs="宋体"/>
                <w:sz w:val="24"/>
                <w:lang w:val="en-US" w:eastAsia="zh-CN"/>
              </w:rPr>
              <w:t>（10）本项目不接受联合体投标。</w:t>
            </w:r>
          </w:p>
          <w:p w14:paraId="54E25C6E">
            <w:pPr>
              <w:pStyle w:val="46"/>
              <w:keepNext w:val="0"/>
              <w:keepLines w:val="0"/>
              <w:pageBreakBefore w:val="0"/>
              <w:widowControl w:val="0"/>
              <w:kinsoku/>
              <w:wordWrap/>
              <w:overflowPunct/>
              <w:topLinePunct w:val="0"/>
              <w:autoSpaceDE/>
              <w:autoSpaceDN/>
              <w:bidi w:val="0"/>
              <w:adjustRightInd/>
              <w:snapToGrid/>
              <w:spacing w:line="320" w:lineRule="exact"/>
              <w:ind w:left="0"/>
              <w:jc w:val="both"/>
              <w:textAlignment w:val="auto"/>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3.本项目的特定资格要求：无</w:t>
            </w:r>
          </w:p>
        </w:tc>
      </w:tr>
      <w:tr w14:paraId="3B0818E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88" w:hRule="atLeast"/>
          <w:jc w:val="center"/>
        </w:trPr>
        <w:tc>
          <w:tcPr>
            <w:tcW w:w="970" w:type="dxa"/>
            <w:tcBorders>
              <w:top w:val="single" w:color="auto" w:sz="2" w:space="0"/>
              <w:left w:val="single" w:color="auto" w:sz="2" w:space="0"/>
              <w:bottom w:val="single" w:color="auto" w:sz="2" w:space="0"/>
              <w:right w:val="single" w:color="auto" w:sz="2" w:space="0"/>
            </w:tcBorders>
            <w:vAlign w:val="center"/>
          </w:tcPr>
          <w:p w14:paraId="6E121D29">
            <w:pPr>
              <w:keepNext w:val="0"/>
              <w:keepLines w:val="0"/>
              <w:pageBreakBefore w:val="0"/>
              <w:kinsoku/>
              <w:wordWrap/>
              <w:overflowPunct/>
              <w:topLinePunct w:val="0"/>
              <w:bidi w:val="0"/>
              <w:snapToGrid/>
              <w:spacing w:line="320" w:lineRule="exact"/>
              <w:ind w:left="0"/>
              <w:jc w:val="center"/>
              <w:textAlignment w:val="auto"/>
              <w:rPr>
                <w:rFonts w:hint="default" w:cs="宋体"/>
                <w:i w:val="0"/>
                <w:iCs w:val="0"/>
                <w:color w:val="auto"/>
                <w:sz w:val="24"/>
                <w:szCs w:val="24"/>
                <w:highlight w:val="none"/>
                <w:lang w:val="en-US" w:eastAsia="zh-CN"/>
              </w:rPr>
            </w:pPr>
            <w:r>
              <w:rPr>
                <w:rFonts w:hint="eastAsia" w:cs="宋体"/>
                <w:i w:val="0"/>
                <w:iCs w:val="0"/>
                <w:color w:val="auto"/>
                <w:sz w:val="24"/>
                <w:szCs w:val="24"/>
                <w:highlight w:val="none"/>
                <w:lang w:val="en-US" w:eastAsia="zh-CN"/>
              </w:rPr>
              <w:t>1.9</w:t>
            </w:r>
          </w:p>
        </w:tc>
        <w:tc>
          <w:tcPr>
            <w:tcW w:w="1850" w:type="dxa"/>
            <w:tcBorders>
              <w:top w:val="single" w:color="auto" w:sz="2" w:space="0"/>
              <w:left w:val="single" w:color="auto" w:sz="2" w:space="0"/>
              <w:bottom w:val="single" w:color="auto" w:sz="2" w:space="0"/>
              <w:right w:val="single" w:color="auto" w:sz="2" w:space="0"/>
            </w:tcBorders>
            <w:shd w:val="clear" w:color="auto" w:fill="auto"/>
            <w:vAlign w:val="center"/>
          </w:tcPr>
          <w:p w14:paraId="65213734">
            <w:pPr>
              <w:pStyle w:val="64"/>
              <w:keepNext w:val="0"/>
              <w:keepLines w:val="0"/>
              <w:pageBreakBefore w:val="0"/>
              <w:kinsoku/>
              <w:wordWrap/>
              <w:overflowPunct/>
              <w:topLinePunct w:val="0"/>
              <w:bidi w:val="0"/>
              <w:snapToGrid/>
              <w:spacing w:line="320" w:lineRule="exact"/>
              <w:ind w:left="0" w:leftChars="0"/>
              <w:textAlignment w:val="auto"/>
              <w:rPr>
                <w:rFonts w:hint="default" w:cs="宋体"/>
                <w:snapToGrid w:val="0"/>
                <w:color w:val="auto"/>
                <w:kern w:val="0"/>
                <w:sz w:val="24"/>
                <w:szCs w:val="24"/>
                <w:highlight w:val="none"/>
                <w:lang w:val="en-US" w:eastAsia="zh-CN" w:bidi="ar-SA"/>
              </w:rPr>
            </w:pPr>
            <w:r>
              <w:rPr>
                <w:rFonts w:hint="eastAsia" w:cs="宋体"/>
                <w:snapToGrid w:val="0"/>
                <w:color w:val="auto"/>
                <w:kern w:val="0"/>
                <w:sz w:val="24"/>
                <w:szCs w:val="24"/>
                <w:highlight w:val="none"/>
                <w:lang w:val="en-US" w:eastAsia="zh-CN" w:bidi="ar-SA"/>
              </w:rPr>
              <w:t>投标报价</w:t>
            </w:r>
          </w:p>
        </w:tc>
        <w:tc>
          <w:tcPr>
            <w:tcW w:w="5462" w:type="dxa"/>
            <w:tcBorders>
              <w:top w:val="single" w:color="auto" w:sz="2" w:space="0"/>
              <w:left w:val="single" w:color="auto" w:sz="2" w:space="0"/>
              <w:bottom w:val="single" w:color="auto" w:sz="2" w:space="0"/>
              <w:right w:val="single" w:color="auto" w:sz="2" w:space="0"/>
            </w:tcBorders>
            <w:vAlign w:val="center"/>
          </w:tcPr>
          <w:p w14:paraId="521E8F2E">
            <w:pPr>
              <w:pStyle w:val="46"/>
              <w:keepNext w:val="0"/>
              <w:keepLines w:val="0"/>
              <w:pageBreakBefore w:val="0"/>
              <w:widowControl w:val="0"/>
              <w:kinsoku/>
              <w:wordWrap/>
              <w:overflowPunct/>
              <w:topLinePunct w:val="0"/>
              <w:autoSpaceDE/>
              <w:autoSpaceDN/>
              <w:bidi w:val="0"/>
              <w:adjustRightInd/>
              <w:snapToGrid/>
              <w:spacing w:line="320" w:lineRule="exact"/>
              <w:ind w:left="0"/>
              <w:jc w:val="both"/>
              <w:textAlignment w:val="auto"/>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1、允许二次报价，代理机构开启第二轮报价环节后，各供应商应尽快在政采云系统提交各自的二轮报价，超过30分钟（自代理机构开启第二轮报价环节起计算）未提交二轮报价的视为放弃。整个开标环节需要供应商在系统确认的报价等信息最长时限均为30分钟。</w:t>
            </w:r>
          </w:p>
          <w:p w14:paraId="6333F8A3">
            <w:pPr>
              <w:pStyle w:val="46"/>
              <w:keepNext w:val="0"/>
              <w:keepLines w:val="0"/>
              <w:pageBreakBefore w:val="0"/>
              <w:widowControl w:val="0"/>
              <w:kinsoku/>
              <w:wordWrap/>
              <w:overflowPunct/>
              <w:topLinePunct w:val="0"/>
              <w:autoSpaceDE/>
              <w:autoSpaceDN/>
              <w:bidi w:val="0"/>
              <w:adjustRightInd/>
              <w:snapToGrid/>
              <w:spacing w:line="320" w:lineRule="exact"/>
              <w:ind w:left="0"/>
              <w:jc w:val="both"/>
              <w:textAlignment w:val="auto"/>
              <w:rPr>
                <w:rFonts w:hint="eastAsia" w:ascii="宋体" w:hAnsi="宋体" w:eastAsia="宋体" w:cs="宋体"/>
                <w:i w:val="0"/>
                <w:iCs w:val="0"/>
                <w:color w:val="auto"/>
                <w:sz w:val="24"/>
                <w:szCs w:val="24"/>
                <w:highlight w:val="none"/>
                <w:u w:val="single"/>
                <w:lang w:val="en-US" w:eastAsia="zh-CN"/>
              </w:rPr>
            </w:pPr>
            <w:r>
              <w:rPr>
                <w:rFonts w:hint="eastAsia" w:ascii="宋体" w:hAnsi="宋体" w:eastAsia="宋体" w:cs="宋体"/>
                <w:i w:val="0"/>
                <w:iCs w:val="0"/>
                <w:color w:val="auto"/>
                <w:sz w:val="24"/>
                <w:szCs w:val="24"/>
                <w:highlight w:val="none"/>
                <w:u w:val="none"/>
                <w:lang w:val="en-US" w:eastAsia="zh-CN"/>
              </w:rPr>
              <w:t>2、最终报价应包含磋商文件中要求的成果文件及相关部门评审过程中产生的费用、人员的差旅费等直至交付业主正常使用前的一切费用，业主后期不再支付中标价之外的任何费用。计算评审总价时，以供应商完成成果文件采购人通过验收为依据。</w:t>
            </w:r>
          </w:p>
        </w:tc>
      </w:tr>
      <w:tr w14:paraId="1607499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1320" w:hRule="atLeast"/>
          <w:jc w:val="center"/>
        </w:trPr>
        <w:tc>
          <w:tcPr>
            <w:tcW w:w="970" w:type="dxa"/>
            <w:tcBorders>
              <w:top w:val="single" w:color="auto" w:sz="2" w:space="0"/>
              <w:left w:val="single" w:color="auto" w:sz="2" w:space="0"/>
              <w:bottom w:val="single" w:color="auto" w:sz="2" w:space="0"/>
              <w:right w:val="single" w:color="auto" w:sz="2" w:space="0"/>
            </w:tcBorders>
            <w:vAlign w:val="center"/>
          </w:tcPr>
          <w:p w14:paraId="6F292A20">
            <w:pPr>
              <w:keepNext w:val="0"/>
              <w:keepLines w:val="0"/>
              <w:pageBreakBefore w:val="0"/>
              <w:kinsoku/>
              <w:wordWrap/>
              <w:overflowPunct/>
              <w:topLinePunct w:val="0"/>
              <w:bidi w:val="0"/>
              <w:snapToGrid/>
              <w:spacing w:line="320" w:lineRule="exact"/>
              <w:ind w:left="0"/>
              <w:jc w:val="center"/>
              <w:textAlignment w:val="auto"/>
              <w:rPr>
                <w:rFonts w:hint="default" w:cs="宋体"/>
                <w:i w:val="0"/>
                <w:iCs w:val="0"/>
                <w:color w:val="auto"/>
                <w:sz w:val="24"/>
                <w:szCs w:val="24"/>
                <w:highlight w:val="none"/>
                <w:lang w:val="en-US" w:eastAsia="zh-CN"/>
              </w:rPr>
            </w:pPr>
            <w:r>
              <w:rPr>
                <w:rFonts w:hint="eastAsia" w:cs="宋体"/>
                <w:i w:val="0"/>
                <w:iCs w:val="0"/>
                <w:color w:val="auto"/>
                <w:sz w:val="24"/>
                <w:szCs w:val="24"/>
                <w:highlight w:val="none"/>
                <w:lang w:val="en-US" w:eastAsia="zh-CN"/>
              </w:rPr>
              <w:t>1.10</w:t>
            </w:r>
          </w:p>
        </w:tc>
        <w:tc>
          <w:tcPr>
            <w:tcW w:w="1850" w:type="dxa"/>
            <w:tcBorders>
              <w:top w:val="single" w:color="auto" w:sz="2" w:space="0"/>
              <w:left w:val="single" w:color="auto" w:sz="2" w:space="0"/>
              <w:bottom w:val="single" w:color="auto" w:sz="2" w:space="0"/>
              <w:right w:val="single" w:color="auto" w:sz="2" w:space="0"/>
            </w:tcBorders>
            <w:shd w:val="clear" w:color="auto" w:fill="auto"/>
            <w:vAlign w:val="center"/>
          </w:tcPr>
          <w:p w14:paraId="490854B8">
            <w:pPr>
              <w:pStyle w:val="64"/>
              <w:keepNext w:val="0"/>
              <w:keepLines w:val="0"/>
              <w:pageBreakBefore w:val="0"/>
              <w:kinsoku/>
              <w:wordWrap/>
              <w:overflowPunct/>
              <w:topLinePunct w:val="0"/>
              <w:bidi w:val="0"/>
              <w:snapToGrid/>
              <w:spacing w:line="320" w:lineRule="exact"/>
              <w:ind w:left="0" w:leftChars="0"/>
              <w:textAlignment w:val="auto"/>
              <w:rPr>
                <w:rFonts w:hint="default" w:cs="宋体"/>
                <w:snapToGrid w:val="0"/>
                <w:color w:val="auto"/>
                <w:kern w:val="0"/>
                <w:sz w:val="24"/>
                <w:szCs w:val="24"/>
                <w:highlight w:val="none"/>
                <w:lang w:val="en-US" w:eastAsia="zh-CN" w:bidi="ar-SA"/>
              </w:rPr>
            </w:pPr>
            <w:r>
              <w:rPr>
                <w:rFonts w:hint="eastAsia" w:ascii="宋体" w:hAnsi="宋体" w:eastAsia="宋体" w:cs="宋体"/>
                <w:snapToGrid w:val="0"/>
                <w:color w:val="auto"/>
                <w:kern w:val="0"/>
                <w:sz w:val="24"/>
                <w:szCs w:val="24"/>
                <w:highlight w:val="none"/>
                <w:lang w:val="en-US" w:eastAsia="zh-CN" w:bidi="ar-SA"/>
              </w:rPr>
              <w:t>响应文件递交</w:t>
            </w:r>
          </w:p>
        </w:tc>
        <w:tc>
          <w:tcPr>
            <w:tcW w:w="5462" w:type="dxa"/>
            <w:tcBorders>
              <w:top w:val="single" w:color="auto" w:sz="2" w:space="0"/>
              <w:left w:val="single" w:color="auto" w:sz="2" w:space="0"/>
              <w:bottom w:val="single" w:color="auto" w:sz="2" w:space="0"/>
              <w:right w:val="single" w:color="auto" w:sz="2" w:space="0"/>
            </w:tcBorders>
            <w:vAlign w:val="center"/>
          </w:tcPr>
          <w:p w14:paraId="7F677693">
            <w:pPr>
              <w:pStyle w:val="25"/>
              <w:keepNext w:val="0"/>
              <w:keepLines w:val="0"/>
              <w:pageBreakBefore w:val="0"/>
              <w:kinsoku/>
              <w:wordWrap/>
              <w:overflowPunct/>
              <w:topLinePunct w:val="0"/>
              <w:bidi w:val="0"/>
              <w:snapToGrid/>
              <w:spacing w:before="0" w:beforeAutospacing="0" w:after="0" w:afterAutospacing="0" w:line="320" w:lineRule="exact"/>
              <w:ind w:left="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投标截止时间（开标时间）：</w:t>
            </w:r>
            <w:r>
              <w:rPr>
                <w:rFonts w:hint="eastAsia" w:cs="宋体"/>
                <w:color w:val="auto"/>
                <w:sz w:val="24"/>
                <w:szCs w:val="24"/>
                <w:highlight w:val="none"/>
                <w:lang w:val="en-US" w:eastAsia="zh-CN"/>
              </w:rPr>
              <w:t>2025年07月21日11时00分</w:t>
            </w:r>
            <w:r>
              <w:rPr>
                <w:rFonts w:hint="eastAsia" w:ascii="宋体" w:hAnsi="宋体" w:eastAsia="宋体" w:cs="宋体"/>
                <w:color w:val="auto"/>
                <w:sz w:val="24"/>
                <w:szCs w:val="24"/>
                <w:highlight w:val="none"/>
                <w:lang w:val="en-US" w:eastAsia="zh-CN"/>
              </w:rPr>
              <w:t>（北京时间）。</w:t>
            </w:r>
          </w:p>
          <w:p w14:paraId="5D3488DF">
            <w:pPr>
              <w:pStyle w:val="25"/>
              <w:keepNext w:val="0"/>
              <w:keepLines w:val="0"/>
              <w:pageBreakBefore w:val="0"/>
              <w:kinsoku/>
              <w:wordWrap/>
              <w:overflowPunct/>
              <w:topLinePunct w:val="0"/>
              <w:bidi w:val="0"/>
              <w:snapToGrid/>
              <w:spacing w:before="0" w:beforeAutospacing="0" w:after="0" w:afterAutospacing="0" w:line="320" w:lineRule="exact"/>
              <w:ind w:left="0"/>
              <w:textAlignment w:val="auto"/>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color w:val="auto"/>
                <w:sz w:val="24"/>
                <w:szCs w:val="24"/>
                <w:highlight w:val="none"/>
                <w:lang w:val="en-US" w:eastAsia="zh-CN"/>
              </w:rPr>
              <w:t>响应文件递交地址：政采云平台http://www.zcygov.cn政采云网上不见面开标系统</w:t>
            </w:r>
          </w:p>
        </w:tc>
      </w:tr>
      <w:tr w14:paraId="0FBCE2F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521" w:hRule="atLeast"/>
          <w:jc w:val="center"/>
        </w:trPr>
        <w:tc>
          <w:tcPr>
            <w:tcW w:w="970" w:type="dxa"/>
            <w:tcBorders>
              <w:top w:val="single" w:color="auto" w:sz="2" w:space="0"/>
              <w:left w:val="single" w:color="auto" w:sz="2" w:space="0"/>
              <w:bottom w:val="single" w:color="auto" w:sz="2" w:space="0"/>
              <w:right w:val="single" w:color="auto" w:sz="2" w:space="0"/>
            </w:tcBorders>
            <w:vAlign w:val="center"/>
          </w:tcPr>
          <w:p w14:paraId="6E0A18D3">
            <w:pPr>
              <w:keepNext w:val="0"/>
              <w:keepLines w:val="0"/>
              <w:pageBreakBefore w:val="0"/>
              <w:kinsoku/>
              <w:wordWrap/>
              <w:overflowPunct/>
              <w:topLinePunct w:val="0"/>
              <w:bidi w:val="0"/>
              <w:snapToGrid/>
              <w:spacing w:line="320" w:lineRule="exact"/>
              <w:ind w:left="0"/>
              <w:jc w:val="center"/>
              <w:textAlignment w:val="auto"/>
              <w:rPr>
                <w:rFonts w:hint="default" w:cs="宋体"/>
                <w:i w:val="0"/>
                <w:iCs w:val="0"/>
                <w:color w:val="auto"/>
                <w:sz w:val="24"/>
                <w:szCs w:val="24"/>
                <w:highlight w:val="none"/>
                <w:lang w:val="en-US" w:eastAsia="zh-CN"/>
              </w:rPr>
            </w:pPr>
            <w:r>
              <w:rPr>
                <w:rFonts w:hint="eastAsia" w:cs="宋体"/>
                <w:i w:val="0"/>
                <w:iCs w:val="0"/>
                <w:color w:val="auto"/>
                <w:sz w:val="24"/>
                <w:szCs w:val="24"/>
                <w:highlight w:val="none"/>
                <w:lang w:val="en-US" w:eastAsia="zh-CN"/>
              </w:rPr>
              <w:t>1.11</w:t>
            </w:r>
          </w:p>
        </w:tc>
        <w:tc>
          <w:tcPr>
            <w:tcW w:w="1850" w:type="dxa"/>
            <w:tcBorders>
              <w:top w:val="single" w:color="auto" w:sz="2" w:space="0"/>
              <w:left w:val="single" w:color="auto" w:sz="2" w:space="0"/>
              <w:bottom w:val="single" w:color="auto" w:sz="2" w:space="0"/>
              <w:right w:val="single" w:color="auto" w:sz="2" w:space="0"/>
            </w:tcBorders>
            <w:shd w:val="clear" w:color="auto" w:fill="auto"/>
            <w:vAlign w:val="center"/>
          </w:tcPr>
          <w:p w14:paraId="74A77AC5">
            <w:pPr>
              <w:pStyle w:val="64"/>
              <w:keepNext w:val="0"/>
              <w:keepLines w:val="0"/>
              <w:pageBreakBefore w:val="0"/>
              <w:kinsoku/>
              <w:wordWrap/>
              <w:overflowPunct/>
              <w:topLinePunct w:val="0"/>
              <w:bidi w:val="0"/>
              <w:snapToGrid/>
              <w:spacing w:line="320" w:lineRule="exact"/>
              <w:ind w:left="0" w:leftChars="0"/>
              <w:textAlignment w:val="auto"/>
              <w:rPr>
                <w:rFonts w:hint="default" w:ascii="宋体" w:hAnsi="宋体" w:eastAsia="宋体" w:cs="宋体"/>
                <w:snapToGrid w:val="0"/>
                <w:color w:val="auto"/>
                <w:kern w:val="0"/>
                <w:sz w:val="24"/>
                <w:szCs w:val="24"/>
                <w:highlight w:val="none"/>
                <w:lang w:val="en-US" w:eastAsia="zh-CN" w:bidi="ar-SA"/>
              </w:rPr>
            </w:pPr>
            <w:r>
              <w:rPr>
                <w:rFonts w:hint="eastAsia" w:cs="宋体"/>
                <w:snapToGrid w:val="0"/>
                <w:color w:val="auto"/>
                <w:kern w:val="0"/>
                <w:sz w:val="24"/>
                <w:szCs w:val="24"/>
                <w:highlight w:val="none"/>
                <w:lang w:val="en-US" w:eastAsia="zh-CN" w:bidi="ar-SA"/>
              </w:rPr>
              <w:t>投标有效期</w:t>
            </w:r>
          </w:p>
        </w:tc>
        <w:tc>
          <w:tcPr>
            <w:tcW w:w="5462" w:type="dxa"/>
            <w:tcBorders>
              <w:top w:val="single" w:color="auto" w:sz="2" w:space="0"/>
              <w:left w:val="single" w:color="auto" w:sz="2" w:space="0"/>
              <w:bottom w:val="single" w:color="auto" w:sz="2" w:space="0"/>
              <w:right w:val="single" w:color="auto" w:sz="2" w:space="0"/>
            </w:tcBorders>
            <w:vAlign w:val="center"/>
          </w:tcPr>
          <w:p w14:paraId="00E3FC87">
            <w:pPr>
              <w:pStyle w:val="25"/>
              <w:keepNext w:val="0"/>
              <w:keepLines w:val="0"/>
              <w:pageBreakBefore w:val="0"/>
              <w:kinsoku/>
              <w:wordWrap/>
              <w:overflowPunct/>
              <w:topLinePunct w:val="0"/>
              <w:bidi w:val="0"/>
              <w:snapToGrid/>
              <w:spacing w:before="0" w:beforeAutospacing="0" w:after="0" w:afterAutospacing="0" w:line="320" w:lineRule="exact"/>
              <w:ind w:left="0"/>
              <w:textAlignment w:val="auto"/>
              <w:rPr>
                <w:rFonts w:hint="default" w:ascii="宋体" w:hAnsi="宋体" w:eastAsia="宋体" w:cs="宋体"/>
                <w:color w:val="auto"/>
                <w:sz w:val="24"/>
                <w:szCs w:val="24"/>
                <w:highlight w:val="none"/>
                <w:lang w:val="en-US" w:eastAsia="zh-CN"/>
              </w:rPr>
            </w:pPr>
            <w:r>
              <w:rPr>
                <w:rFonts w:hint="eastAsia" w:cs="宋体"/>
                <w:color w:val="auto"/>
                <w:sz w:val="24"/>
                <w:szCs w:val="24"/>
                <w:highlight w:val="none"/>
                <w:lang w:val="en-US" w:eastAsia="zh-CN"/>
              </w:rPr>
              <w:t>90日历日</w:t>
            </w:r>
          </w:p>
        </w:tc>
      </w:tr>
      <w:tr w14:paraId="22109FF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359" w:hRule="atLeast"/>
          <w:jc w:val="center"/>
        </w:trPr>
        <w:tc>
          <w:tcPr>
            <w:tcW w:w="970" w:type="dxa"/>
            <w:tcBorders>
              <w:top w:val="single" w:color="auto" w:sz="2" w:space="0"/>
              <w:left w:val="single" w:color="auto" w:sz="2" w:space="0"/>
              <w:bottom w:val="single" w:color="auto" w:sz="2" w:space="0"/>
              <w:right w:val="single" w:color="auto" w:sz="2" w:space="0"/>
            </w:tcBorders>
            <w:vAlign w:val="center"/>
          </w:tcPr>
          <w:p w14:paraId="5BB00722">
            <w:pPr>
              <w:pStyle w:val="46"/>
              <w:keepNext w:val="0"/>
              <w:keepLines w:val="0"/>
              <w:pageBreakBefore w:val="0"/>
              <w:kinsoku/>
              <w:wordWrap/>
              <w:overflowPunct/>
              <w:topLinePunct w:val="0"/>
              <w:bidi w:val="0"/>
              <w:snapToGrid/>
              <w:spacing w:line="320" w:lineRule="exact"/>
              <w:ind w:left="0"/>
              <w:jc w:val="center"/>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2.5</w:t>
            </w:r>
          </w:p>
        </w:tc>
        <w:tc>
          <w:tcPr>
            <w:tcW w:w="1850" w:type="dxa"/>
            <w:tcBorders>
              <w:top w:val="single" w:color="auto" w:sz="2" w:space="0"/>
              <w:left w:val="single" w:color="auto" w:sz="2" w:space="0"/>
              <w:bottom w:val="single" w:color="auto" w:sz="2" w:space="0"/>
              <w:right w:val="single" w:color="auto" w:sz="2" w:space="0"/>
            </w:tcBorders>
            <w:vAlign w:val="center"/>
          </w:tcPr>
          <w:p w14:paraId="2E202268">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服务内容</w:t>
            </w:r>
          </w:p>
        </w:tc>
        <w:tc>
          <w:tcPr>
            <w:tcW w:w="5462" w:type="dxa"/>
            <w:tcBorders>
              <w:top w:val="single" w:color="auto" w:sz="2" w:space="0"/>
              <w:left w:val="single" w:color="auto" w:sz="2" w:space="0"/>
              <w:bottom w:val="single" w:color="auto" w:sz="2" w:space="0"/>
              <w:right w:val="single" w:color="auto" w:sz="2" w:space="0"/>
            </w:tcBorders>
            <w:vAlign w:val="center"/>
          </w:tcPr>
          <w:p w14:paraId="66DFBB5F">
            <w:pPr>
              <w:pStyle w:val="46"/>
              <w:keepNext w:val="0"/>
              <w:keepLines w:val="0"/>
              <w:pageBreakBefore w:val="0"/>
              <w:widowControl w:val="0"/>
              <w:kinsoku/>
              <w:wordWrap/>
              <w:overflowPunct/>
              <w:topLinePunct w:val="0"/>
              <w:autoSpaceDE/>
              <w:autoSpaceDN/>
              <w:bidi w:val="0"/>
              <w:adjustRightInd/>
              <w:snapToGrid/>
              <w:spacing w:line="320" w:lineRule="exact"/>
              <w:ind w:left="0"/>
              <w:jc w:val="both"/>
              <w:textAlignment w:val="auto"/>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 xml:space="preserve"> 详见“第三章 项目采购需求”</w:t>
            </w:r>
          </w:p>
        </w:tc>
      </w:tr>
      <w:tr w14:paraId="7054717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jc w:val="center"/>
        </w:trPr>
        <w:tc>
          <w:tcPr>
            <w:tcW w:w="970" w:type="dxa"/>
            <w:tcBorders>
              <w:top w:val="single" w:color="auto" w:sz="2" w:space="0"/>
              <w:left w:val="single" w:color="auto" w:sz="2" w:space="0"/>
              <w:bottom w:val="single" w:color="auto" w:sz="2" w:space="0"/>
              <w:right w:val="single" w:color="auto" w:sz="2" w:space="0"/>
            </w:tcBorders>
            <w:vAlign w:val="center"/>
          </w:tcPr>
          <w:p w14:paraId="2AEE4073">
            <w:pPr>
              <w:pStyle w:val="46"/>
              <w:keepNext w:val="0"/>
              <w:keepLines w:val="0"/>
              <w:pageBreakBefore w:val="0"/>
              <w:kinsoku/>
              <w:wordWrap/>
              <w:overflowPunct/>
              <w:topLinePunct w:val="0"/>
              <w:bidi w:val="0"/>
              <w:snapToGrid/>
              <w:spacing w:line="320" w:lineRule="exact"/>
              <w:ind w:left="0"/>
              <w:jc w:val="center"/>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9</w:t>
            </w:r>
            <w:r>
              <w:rPr>
                <w:rFonts w:hint="eastAsia" w:ascii="宋体" w:hAnsi="宋体" w:eastAsia="宋体" w:cs="宋体"/>
                <w:i w:val="0"/>
                <w:iCs w:val="0"/>
                <w:color w:val="auto"/>
                <w:sz w:val="24"/>
                <w:szCs w:val="24"/>
                <w:highlight w:val="none"/>
                <w:lang w:val="en-US" w:eastAsia="zh-CN"/>
              </w:rPr>
              <w:t>.1</w:t>
            </w:r>
          </w:p>
        </w:tc>
        <w:tc>
          <w:tcPr>
            <w:tcW w:w="1850" w:type="dxa"/>
            <w:tcBorders>
              <w:top w:val="single" w:color="auto" w:sz="2" w:space="0"/>
              <w:left w:val="single" w:color="auto" w:sz="2" w:space="0"/>
              <w:bottom w:val="single" w:color="auto" w:sz="2" w:space="0"/>
              <w:right w:val="single" w:color="auto" w:sz="2" w:space="0"/>
            </w:tcBorders>
            <w:vAlign w:val="center"/>
          </w:tcPr>
          <w:p w14:paraId="71CF8DC6">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sz w:val="24"/>
                <w:szCs w:val="24"/>
                <w:highlight w:val="none"/>
              </w:rPr>
            </w:pPr>
            <w:bookmarkStart w:id="6" w:name="_Hlk143529175"/>
            <w:r>
              <w:rPr>
                <w:rFonts w:hint="eastAsia" w:ascii="宋体" w:hAnsi="宋体" w:eastAsia="宋体" w:cs="宋体"/>
                <w:i w:val="0"/>
                <w:iCs w:val="0"/>
                <w:color w:val="auto"/>
                <w:sz w:val="24"/>
                <w:szCs w:val="24"/>
                <w:highlight w:val="none"/>
              </w:rPr>
              <w:t>现场考察</w:t>
            </w:r>
            <w:bookmarkEnd w:id="6"/>
          </w:p>
        </w:tc>
        <w:tc>
          <w:tcPr>
            <w:tcW w:w="5462" w:type="dxa"/>
            <w:tcBorders>
              <w:top w:val="single" w:color="auto" w:sz="2" w:space="0"/>
              <w:left w:val="single" w:color="auto" w:sz="2" w:space="0"/>
              <w:bottom w:val="single" w:color="auto" w:sz="2" w:space="0"/>
              <w:right w:val="single" w:color="auto" w:sz="2" w:space="0"/>
            </w:tcBorders>
            <w:vAlign w:val="center"/>
          </w:tcPr>
          <w:p w14:paraId="5E2B3EE4">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sym w:font="Wingdings" w:char="00FE"/>
            </w:r>
            <w:r>
              <w:rPr>
                <w:rFonts w:hint="eastAsia" w:ascii="宋体" w:hAnsi="宋体" w:eastAsia="宋体" w:cs="宋体"/>
                <w:i w:val="0"/>
                <w:iCs w:val="0"/>
                <w:color w:val="auto"/>
                <w:sz w:val="24"/>
                <w:szCs w:val="24"/>
                <w:highlight w:val="none"/>
              </w:rPr>
              <w:t>不组织，供应商自行前往</w:t>
            </w:r>
          </w:p>
          <w:p w14:paraId="2238EF6A">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sym w:font="Wingdings" w:char="F0A8"/>
            </w:r>
            <w:r>
              <w:rPr>
                <w:rFonts w:hint="eastAsia" w:ascii="宋体" w:hAnsi="宋体" w:eastAsia="宋体" w:cs="宋体"/>
                <w:i w:val="0"/>
                <w:iCs w:val="0"/>
                <w:color w:val="auto"/>
                <w:sz w:val="24"/>
                <w:szCs w:val="24"/>
                <w:highlight w:val="none"/>
              </w:rPr>
              <w:t>组织</w:t>
            </w:r>
          </w:p>
          <w:p w14:paraId="047A7004">
            <w:pPr>
              <w:pStyle w:val="46"/>
              <w:keepNext w:val="0"/>
              <w:keepLines w:val="0"/>
              <w:pageBreakBefore w:val="0"/>
              <w:kinsoku/>
              <w:wordWrap/>
              <w:overflowPunct/>
              <w:topLinePunct w:val="0"/>
              <w:bidi w:val="0"/>
              <w:snapToGrid/>
              <w:spacing w:line="320" w:lineRule="exact"/>
              <w:ind w:left="0" w:firstLine="240" w:firstLineChars="1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时间：</w:t>
            </w:r>
            <w:r>
              <w:rPr>
                <w:rFonts w:hint="eastAsia" w:ascii="宋体" w:hAnsi="宋体" w:eastAsia="宋体" w:cs="宋体"/>
                <w:i w:val="0"/>
                <w:iCs w:val="0"/>
                <w:color w:val="auto"/>
                <w:sz w:val="24"/>
                <w:szCs w:val="24"/>
                <w:highlight w:val="none"/>
                <w:u w:val="single"/>
              </w:rPr>
              <w:t xml:space="preserve">  </w:t>
            </w:r>
            <w:r>
              <w:rPr>
                <w:rFonts w:hint="eastAsia" w:cs="宋体"/>
                <w:i w:val="0"/>
                <w:iCs w:val="0"/>
                <w:color w:val="auto"/>
                <w:sz w:val="24"/>
                <w:szCs w:val="24"/>
                <w:highlight w:val="none"/>
                <w:u w:val="single"/>
                <w:lang w:val="en-US" w:eastAsia="zh-CN"/>
              </w:rPr>
              <w:t>/</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p>
          <w:p w14:paraId="1520FC15">
            <w:pPr>
              <w:pStyle w:val="46"/>
              <w:keepNext w:val="0"/>
              <w:keepLines w:val="0"/>
              <w:pageBreakBefore w:val="0"/>
              <w:kinsoku/>
              <w:wordWrap/>
              <w:overflowPunct/>
              <w:topLinePunct w:val="0"/>
              <w:bidi w:val="0"/>
              <w:snapToGrid/>
              <w:spacing w:line="320" w:lineRule="exact"/>
              <w:ind w:left="0" w:firstLine="240" w:firstLineChars="1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地点：</w:t>
            </w:r>
            <w:r>
              <w:rPr>
                <w:rFonts w:hint="eastAsia" w:ascii="宋体" w:hAnsi="宋体" w:eastAsia="宋体" w:cs="宋体"/>
                <w:i w:val="0"/>
                <w:iCs w:val="0"/>
                <w:color w:val="auto"/>
                <w:sz w:val="24"/>
                <w:szCs w:val="24"/>
                <w:highlight w:val="none"/>
                <w:u w:val="single"/>
              </w:rPr>
              <w:t xml:space="preserve">  </w:t>
            </w:r>
            <w:r>
              <w:rPr>
                <w:rFonts w:hint="eastAsia" w:cs="宋体"/>
                <w:i w:val="0"/>
                <w:iCs w:val="0"/>
                <w:color w:val="auto"/>
                <w:sz w:val="24"/>
                <w:szCs w:val="24"/>
                <w:highlight w:val="none"/>
                <w:u w:val="single"/>
                <w:lang w:val="en-US" w:eastAsia="zh-CN"/>
              </w:rPr>
              <w:t>/</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p>
        </w:tc>
      </w:tr>
      <w:tr w14:paraId="263D18D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jc w:val="center"/>
        </w:trPr>
        <w:tc>
          <w:tcPr>
            <w:tcW w:w="970" w:type="dxa"/>
            <w:tcBorders>
              <w:top w:val="single" w:color="auto" w:sz="2" w:space="0"/>
              <w:left w:val="single" w:color="auto" w:sz="2" w:space="0"/>
              <w:bottom w:val="single" w:color="auto" w:sz="2" w:space="0"/>
              <w:right w:val="single" w:color="auto" w:sz="2" w:space="0"/>
            </w:tcBorders>
            <w:shd w:val="clear" w:color="auto" w:fill="auto"/>
            <w:vAlign w:val="center"/>
          </w:tcPr>
          <w:p w14:paraId="6DD5B89A">
            <w:pPr>
              <w:pStyle w:val="46"/>
              <w:keepNext w:val="0"/>
              <w:keepLines w:val="0"/>
              <w:pageBreakBefore w:val="0"/>
              <w:kinsoku/>
              <w:wordWrap/>
              <w:overflowPunct/>
              <w:topLinePunct w:val="0"/>
              <w:bidi w:val="0"/>
              <w:snapToGrid/>
              <w:spacing w:line="320" w:lineRule="exact"/>
              <w:ind w:left="0"/>
              <w:jc w:val="center"/>
              <w:textAlignment w:val="auto"/>
              <w:rPr>
                <w:rFonts w:hint="eastAsia" w:ascii="宋体" w:hAnsi="宋体" w:eastAsia="宋体" w:cs="宋体"/>
                <w:i w:val="0"/>
                <w:iCs w:val="0"/>
                <w:color w:val="auto"/>
                <w:kern w:val="2"/>
                <w:sz w:val="24"/>
                <w:szCs w:val="24"/>
                <w:highlight w:val="none"/>
                <w:lang w:val="en-US" w:eastAsia="zh-CN" w:bidi="ar-SA"/>
              </w:rPr>
            </w:pPr>
            <w:r>
              <w:rPr>
                <w:rFonts w:hint="eastAsia" w:ascii="宋体" w:hAnsi="宋体" w:eastAsia="宋体" w:cs="宋体"/>
                <w:i w:val="0"/>
                <w:iCs w:val="0"/>
                <w:color w:val="auto"/>
                <w:sz w:val="24"/>
                <w:szCs w:val="24"/>
                <w:highlight w:val="none"/>
                <w:lang w:val="en-US" w:eastAsia="zh-CN"/>
              </w:rPr>
              <w:t>9.5</w:t>
            </w:r>
          </w:p>
        </w:tc>
        <w:tc>
          <w:tcPr>
            <w:tcW w:w="1850" w:type="dxa"/>
            <w:tcBorders>
              <w:top w:val="single" w:color="auto" w:sz="2" w:space="0"/>
              <w:left w:val="single" w:color="auto" w:sz="2" w:space="0"/>
              <w:bottom w:val="single" w:color="auto" w:sz="2" w:space="0"/>
              <w:right w:val="single" w:color="auto" w:sz="2" w:space="0"/>
            </w:tcBorders>
            <w:shd w:val="clear" w:color="auto" w:fill="auto"/>
            <w:vAlign w:val="center"/>
          </w:tcPr>
          <w:p w14:paraId="4D60B551">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kern w:val="2"/>
                <w:sz w:val="24"/>
                <w:szCs w:val="24"/>
                <w:highlight w:val="none"/>
                <w:lang w:val="en-US" w:eastAsia="zh-CN" w:bidi="ar-SA"/>
              </w:rPr>
            </w:pPr>
            <w:r>
              <w:rPr>
                <w:rFonts w:hint="eastAsia" w:ascii="宋体" w:hAnsi="宋体" w:eastAsia="宋体" w:cs="宋体"/>
                <w:i w:val="0"/>
                <w:iCs w:val="0"/>
                <w:color w:val="auto"/>
                <w:sz w:val="24"/>
                <w:szCs w:val="24"/>
                <w:highlight w:val="none"/>
              </w:rPr>
              <w:t>答疑会</w:t>
            </w:r>
          </w:p>
        </w:tc>
        <w:tc>
          <w:tcPr>
            <w:tcW w:w="5462" w:type="dxa"/>
            <w:tcBorders>
              <w:top w:val="single" w:color="auto" w:sz="2" w:space="0"/>
              <w:left w:val="single" w:color="auto" w:sz="2" w:space="0"/>
              <w:bottom w:val="single" w:color="auto" w:sz="2" w:space="0"/>
              <w:right w:val="single" w:color="auto" w:sz="2" w:space="0"/>
            </w:tcBorders>
            <w:shd w:val="clear" w:color="auto" w:fill="auto"/>
            <w:vAlign w:val="center"/>
          </w:tcPr>
          <w:p w14:paraId="251DA069">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rPr>
              <w:sym w:font="Wingdings" w:char="00FE"/>
            </w:r>
            <w:r>
              <w:rPr>
                <w:rFonts w:hint="eastAsia" w:ascii="宋体" w:hAnsi="宋体" w:eastAsia="宋体" w:cs="宋体"/>
                <w:i w:val="0"/>
                <w:iCs w:val="0"/>
                <w:color w:val="auto"/>
                <w:sz w:val="24"/>
                <w:szCs w:val="24"/>
                <w:highlight w:val="none"/>
              </w:rPr>
              <w:t>不组织</w:t>
            </w:r>
          </w:p>
          <w:p w14:paraId="6CDDB2BC">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sym w:font="Wingdings" w:char="00A8"/>
            </w:r>
            <w:r>
              <w:rPr>
                <w:rFonts w:hint="eastAsia" w:ascii="宋体" w:hAnsi="宋体" w:eastAsia="宋体" w:cs="宋体"/>
                <w:i w:val="0"/>
                <w:iCs w:val="0"/>
                <w:color w:val="auto"/>
                <w:sz w:val="24"/>
                <w:szCs w:val="24"/>
                <w:highlight w:val="none"/>
              </w:rPr>
              <w:t>组织</w:t>
            </w:r>
          </w:p>
          <w:p w14:paraId="22E645A0">
            <w:pPr>
              <w:pStyle w:val="46"/>
              <w:keepNext w:val="0"/>
              <w:keepLines w:val="0"/>
              <w:pageBreakBefore w:val="0"/>
              <w:kinsoku/>
              <w:wordWrap/>
              <w:overflowPunct/>
              <w:topLinePunct w:val="0"/>
              <w:bidi w:val="0"/>
              <w:snapToGrid/>
              <w:spacing w:line="320" w:lineRule="exact"/>
              <w:ind w:left="0" w:firstLine="240" w:firstLineChars="1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时间：</w:t>
            </w:r>
            <w:r>
              <w:rPr>
                <w:rFonts w:hint="eastAsia" w:ascii="宋体" w:hAnsi="宋体" w:eastAsia="宋体" w:cs="宋体"/>
                <w:i w:val="0"/>
                <w:iCs w:val="0"/>
                <w:color w:val="auto"/>
                <w:sz w:val="24"/>
                <w:szCs w:val="24"/>
                <w:highlight w:val="none"/>
                <w:u w:val="single"/>
              </w:rPr>
              <w:t xml:space="preserve">  </w:t>
            </w:r>
            <w:r>
              <w:rPr>
                <w:rFonts w:hint="eastAsia" w:cs="宋体"/>
                <w:i w:val="0"/>
                <w:iCs w:val="0"/>
                <w:color w:val="auto"/>
                <w:sz w:val="24"/>
                <w:szCs w:val="24"/>
                <w:highlight w:val="none"/>
                <w:u w:val="single"/>
                <w:lang w:val="en-US" w:eastAsia="zh-CN"/>
              </w:rPr>
              <w:t>/</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p>
          <w:p w14:paraId="5421787D">
            <w:pPr>
              <w:pStyle w:val="46"/>
              <w:keepNext w:val="0"/>
              <w:keepLines w:val="0"/>
              <w:pageBreakBefore w:val="0"/>
              <w:kinsoku/>
              <w:wordWrap/>
              <w:overflowPunct/>
              <w:topLinePunct w:val="0"/>
              <w:bidi w:val="0"/>
              <w:snapToGrid/>
              <w:spacing w:line="320" w:lineRule="exact"/>
              <w:ind w:left="0" w:firstLine="240" w:firstLineChars="100"/>
              <w:textAlignment w:val="auto"/>
              <w:rPr>
                <w:rFonts w:hint="eastAsia" w:ascii="宋体" w:hAnsi="宋体" w:eastAsia="宋体" w:cs="宋体"/>
                <w:i w:val="0"/>
                <w:iCs w:val="0"/>
                <w:color w:val="auto"/>
                <w:kern w:val="2"/>
                <w:sz w:val="24"/>
                <w:szCs w:val="24"/>
                <w:highlight w:val="none"/>
                <w:lang w:val="en-US" w:eastAsia="zh-CN" w:bidi="ar-SA"/>
              </w:rPr>
            </w:pPr>
            <w:r>
              <w:rPr>
                <w:rFonts w:hint="eastAsia" w:ascii="宋体" w:hAnsi="宋体" w:eastAsia="宋体" w:cs="宋体"/>
                <w:i w:val="0"/>
                <w:iCs w:val="0"/>
                <w:color w:val="auto"/>
                <w:sz w:val="24"/>
                <w:szCs w:val="24"/>
                <w:highlight w:val="none"/>
              </w:rPr>
              <w:t>地点：</w:t>
            </w:r>
            <w:r>
              <w:rPr>
                <w:rFonts w:hint="eastAsia" w:ascii="宋体" w:hAnsi="宋体" w:eastAsia="宋体" w:cs="宋体"/>
                <w:i w:val="0"/>
                <w:iCs w:val="0"/>
                <w:color w:val="auto"/>
                <w:sz w:val="24"/>
                <w:szCs w:val="24"/>
                <w:highlight w:val="none"/>
                <w:u w:val="single"/>
              </w:rPr>
              <w:t xml:space="preserve">  </w:t>
            </w:r>
            <w:r>
              <w:rPr>
                <w:rFonts w:hint="eastAsia" w:cs="宋体"/>
                <w:i w:val="0"/>
                <w:iCs w:val="0"/>
                <w:color w:val="auto"/>
                <w:sz w:val="24"/>
                <w:szCs w:val="24"/>
                <w:highlight w:val="none"/>
                <w:u w:val="single"/>
                <w:lang w:val="en-US" w:eastAsia="zh-CN"/>
              </w:rPr>
              <w:t>/</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p>
        </w:tc>
      </w:tr>
      <w:tr w14:paraId="50FF560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jc w:val="center"/>
        </w:trPr>
        <w:tc>
          <w:tcPr>
            <w:tcW w:w="970" w:type="dxa"/>
            <w:tcBorders>
              <w:top w:val="single" w:color="auto" w:sz="2" w:space="0"/>
              <w:left w:val="single" w:color="auto" w:sz="2" w:space="0"/>
              <w:bottom w:val="single" w:color="auto" w:sz="2" w:space="0"/>
              <w:right w:val="single" w:color="auto" w:sz="2" w:space="0"/>
            </w:tcBorders>
            <w:vAlign w:val="center"/>
          </w:tcPr>
          <w:p w14:paraId="6CBF1A30">
            <w:pPr>
              <w:pStyle w:val="46"/>
              <w:keepNext w:val="0"/>
              <w:keepLines w:val="0"/>
              <w:pageBreakBefore w:val="0"/>
              <w:kinsoku/>
              <w:wordWrap/>
              <w:overflowPunct/>
              <w:topLinePunct w:val="0"/>
              <w:bidi w:val="0"/>
              <w:snapToGrid/>
              <w:spacing w:line="320" w:lineRule="exact"/>
              <w:ind w:left="0"/>
              <w:jc w:val="center"/>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w:t>
            </w:r>
            <w:r>
              <w:rPr>
                <w:rFonts w:hint="eastAsia" w:ascii="宋体" w:hAnsi="宋体" w:eastAsia="宋体" w:cs="宋体"/>
                <w:i w:val="0"/>
                <w:iCs w:val="0"/>
                <w:color w:val="auto"/>
                <w:sz w:val="24"/>
                <w:szCs w:val="24"/>
                <w:highlight w:val="none"/>
                <w:lang w:val="en-US" w:eastAsia="zh-CN"/>
              </w:rPr>
              <w:t>2</w:t>
            </w:r>
            <w:r>
              <w:rPr>
                <w:rFonts w:hint="eastAsia" w:ascii="宋体" w:hAnsi="宋体" w:eastAsia="宋体" w:cs="宋体"/>
                <w:i w:val="0"/>
                <w:iCs w:val="0"/>
                <w:color w:val="auto"/>
                <w:sz w:val="24"/>
                <w:szCs w:val="24"/>
                <w:highlight w:val="none"/>
              </w:rPr>
              <w:t>.1</w:t>
            </w:r>
          </w:p>
        </w:tc>
        <w:tc>
          <w:tcPr>
            <w:tcW w:w="1850" w:type="dxa"/>
            <w:tcBorders>
              <w:top w:val="single" w:color="auto" w:sz="2" w:space="0"/>
              <w:left w:val="single" w:color="auto" w:sz="2" w:space="0"/>
              <w:bottom w:val="single" w:color="auto" w:sz="2" w:space="0"/>
              <w:right w:val="single" w:color="auto" w:sz="2" w:space="0"/>
            </w:tcBorders>
            <w:vAlign w:val="center"/>
          </w:tcPr>
          <w:p w14:paraId="4A7BE250">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询问</w:t>
            </w:r>
          </w:p>
        </w:tc>
        <w:tc>
          <w:tcPr>
            <w:tcW w:w="5462" w:type="dxa"/>
            <w:tcBorders>
              <w:top w:val="single" w:color="auto" w:sz="2" w:space="0"/>
              <w:left w:val="single" w:color="auto" w:sz="2" w:space="0"/>
              <w:bottom w:val="single" w:color="auto" w:sz="2" w:space="0"/>
              <w:right w:val="single" w:color="auto" w:sz="2" w:space="0"/>
            </w:tcBorders>
            <w:vAlign w:val="center"/>
          </w:tcPr>
          <w:p w14:paraId="35CDAC39">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lang w:val="en-US" w:eastAsia="zh-CN"/>
              </w:rPr>
              <w:t>1.</w:t>
            </w:r>
            <w:r>
              <w:rPr>
                <w:rFonts w:hint="eastAsia" w:ascii="宋体" w:hAnsi="宋体" w:eastAsia="宋体" w:cs="宋体"/>
                <w:i w:val="0"/>
                <w:iCs w:val="0"/>
                <w:color w:val="auto"/>
                <w:sz w:val="24"/>
                <w:szCs w:val="24"/>
                <w:highlight w:val="none"/>
              </w:rPr>
              <w:t>方式：</w:t>
            </w:r>
          </w:p>
          <w:p w14:paraId="7419497D">
            <w:pPr>
              <w:pStyle w:val="46"/>
              <w:keepNext w:val="0"/>
              <w:keepLines w:val="0"/>
              <w:pageBreakBefore w:val="0"/>
              <w:kinsoku/>
              <w:wordWrap/>
              <w:overflowPunct/>
              <w:topLinePunct w:val="0"/>
              <w:bidi w:val="0"/>
              <w:snapToGrid/>
              <w:spacing w:line="320" w:lineRule="exact"/>
              <w:ind w:left="0" w:firstLine="240" w:firstLineChars="1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在供应商客户端中按照格式填写询问函，并在生成询问函后加盖电子印章提交</w:t>
            </w:r>
            <w:r>
              <w:rPr>
                <w:rFonts w:hint="eastAsia" w:ascii="宋体" w:hAnsi="宋体" w:eastAsia="宋体" w:cs="宋体"/>
                <w:i w:val="0"/>
                <w:iCs w:val="0"/>
                <w:color w:val="auto"/>
                <w:sz w:val="24"/>
                <w:szCs w:val="24"/>
                <w:highlight w:val="none"/>
                <w:lang w:val="en-US" w:eastAsia="zh-CN"/>
              </w:rPr>
              <w:t>；</w:t>
            </w:r>
            <w:r>
              <w:rPr>
                <w:rFonts w:hint="eastAsia" w:ascii="宋体" w:hAnsi="宋体" w:eastAsia="宋体" w:cs="宋体"/>
                <w:i w:val="0"/>
                <w:iCs w:val="0"/>
                <w:color w:val="auto"/>
                <w:sz w:val="24"/>
                <w:szCs w:val="24"/>
                <w:highlight w:val="none"/>
              </w:rPr>
              <w:t>其他询问方式：</w:t>
            </w:r>
            <w:r>
              <w:rPr>
                <w:rFonts w:hint="eastAsia" w:ascii="宋体" w:hAnsi="宋体" w:eastAsia="宋体" w:cs="宋体"/>
                <w:i w:val="0"/>
                <w:iCs w:val="0"/>
                <w:color w:val="auto"/>
                <w:sz w:val="24"/>
                <w:szCs w:val="24"/>
                <w:highlight w:val="none"/>
                <w:u w:val="single"/>
              </w:rPr>
              <w:t xml:space="preserve">    </w:t>
            </w:r>
            <w:r>
              <w:rPr>
                <w:rFonts w:hint="eastAsia" w:cs="宋体"/>
                <w:i w:val="0"/>
                <w:iCs w:val="0"/>
                <w:color w:val="auto"/>
                <w:sz w:val="24"/>
                <w:szCs w:val="24"/>
                <w:highlight w:val="none"/>
                <w:u w:val="single"/>
                <w:lang w:val="en-US" w:eastAsia="zh-CN"/>
              </w:rPr>
              <w:t>/</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p>
          <w:p w14:paraId="631C46F9">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lang w:val="en-US" w:eastAsia="zh-CN"/>
              </w:rPr>
              <w:t>2.</w:t>
            </w:r>
            <w:r>
              <w:rPr>
                <w:rFonts w:hint="eastAsia" w:ascii="宋体" w:hAnsi="宋体" w:eastAsia="宋体" w:cs="宋体"/>
                <w:i w:val="0"/>
                <w:iCs w:val="0"/>
                <w:color w:val="auto"/>
                <w:sz w:val="24"/>
                <w:szCs w:val="24"/>
                <w:highlight w:val="none"/>
              </w:rPr>
              <w:t>时间</w:t>
            </w:r>
            <w:r>
              <w:rPr>
                <w:rFonts w:hint="eastAsia" w:ascii="宋体" w:hAnsi="宋体" w:eastAsia="宋体" w:cs="宋体"/>
                <w:i w:val="0"/>
                <w:iCs w:val="0"/>
                <w:color w:val="auto"/>
                <w:sz w:val="24"/>
                <w:szCs w:val="24"/>
                <w:highlight w:val="none"/>
                <w:lang w:val="en-US" w:eastAsia="zh-CN"/>
              </w:rPr>
              <w:t>要求</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u w:val="single"/>
              </w:rPr>
              <w:t xml:space="preserve"> </w:t>
            </w:r>
            <w:r>
              <w:rPr>
                <w:rFonts w:hint="eastAsia" w:cs="宋体"/>
                <w:i w:val="0"/>
                <w:iCs w:val="0"/>
                <w:color w:val="auto"/>
                <w:sz w:val="24"/>
                <w:szCs w:val="24"/>
                <w:highlight w:val="none"/>
                <w:u w:val="single"/>
                <w:lang w:val="en-US" w:eastAsia="zh-CN"/>
              </w:rPr>
              <w:t>具体时间根据开标现场待定</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p>
        </w:tc>
      </w:tr>
      <w:tr w14:paraId="4571B91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67" w:hRule="atLeast"/>
          <w:jc w:val="center"/>
        </w:trPr>
        <w:tc>
          <w:tcPr>
            <w:tcW w:w="970" w:type="dxa"/>
            <w:tcBorders>
              <w:top w:val="single" w:color="auto" w:sz="2" w:space="0"/>
              <w:left w:val="single" w:color="auto" w:sz="2" w:space="0"/>
              <w:bottom w:val="single" w:color="auto" w:sz="2" w:space="0"/>
              <w:right w:val="single" w:color="auto" w:sz="2" w:space="0"/>
            </w:tcBorders>
            <w:vAlign w:val="center"/>
          </w:tcPr>
          <w:p w14:paraId="697CBDA8">
            <w:pPr>
              <w:pStyle w:val="46"/>
              <w:keepNext w:val="0"/>
              <w:keepLines w:val="0"/>
              <w:pageBreakBefore w:val="0"/>
              <w:kinsoku/>
              <w:wordWrap/>
              <w:overflowPunct/>
              <w:topLinePunct w:val="0"/>
              <w:bidi w:val="0"/>
              <w:snapToGrid/>
              <w:spacing w:line="320" w:lineRule="exact"/>
              <w:ind w:left="0"/>
              <w:jc w:val="center"/>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w:t>
            </w:r>
            <w:r>
              <w:rPr>
                <w:rFonts w:hint="eastAsia" w:ascii="宋体" w:hAnsi="宋体" w:eastAsia="宋体" w:cs="宋体"/>
                <w:i w:val="0"/>
                <w:iCs w:val="0"/>
                <w:color w:val="auto"/>
                <w:sz w:val="24"/>
                <w:szCs w:val="24"/>
                <w:highlight w:val="none"/>
                <w:lang w:val="en-US" w:eastAsia="zh-CN"/>
              </w:rPr>
              <w:t>5</w:t>
            </w:r>
            <w:r>
              <w:rPr>
                <w:rFonts w:hint="eastAsia" w:ascii="宋体" w:hAnsi="宋体" w:eastAsia="宋体" w:cs="宋体"/>
                <w:i w:val="0"/>
                <w:iCs w:val="0"/>
                <w:color w:val="auto"/>
                <w:sz w:val="24"/>
                <w:szCs w:val="24"/>
                <w:highlight w:val="none"/>
              </w:rPr>
              <w:t>.1</w:t>
            </w:r>
          </w:p>
        </w:tc>
        <w:tc>
          <w:tcPr>
            <w:tcW w:w="1850" w:type="dxa"/>
            <w:tcBorders>
              <w:top w:val="single" w:color="auto" w:sz="2" w:space="0"/>
              <w:left w:val="single" w:color="auto" w:sz="2" w:space="0"/>
              <w:bottom w:val="single" w:color="auto" w:sz="2" w:space="0"/>
              <w:right w:val="single" w:color="auto" w:sz="2" w:space="0"/>
            </w:tcBorders>
            <w:vAlign w:val="center"/>
          </w:tcPr>
          <w:p w14:paraId="56E4A3E9">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lang w:eastAsia="zh-CN"/>
              </w:rPr>
              <w:t>响应文件有效期</w:t>
            </w:r>
          </w:p>
        </w:tc>
        <w:tc>
          <w:tcPr>
            <w:tcW w:w="5462" w:type="dxa"/>
            <w:tcBorders>
              <w:top w:val="single" w:color="auto" w:sz="2" w:space="0"/>
              <w:left w:val="single" w:color="auto" w:sz="2" w:space="0"/>
              <w:bottom w:val="single" w:color="auto" w:sz="2" w:space="0"/>
              <w:right w:val="single" w:color="auto" w:sz="2" w:space="0"/>
            </w:tcBorders>
            <w:vAlign w:val="center"/>
          </w:tcPr>
          <w:p w14:paraId="7A8404D2">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响应文件递交截止日期后</w:t>
            </w:r>
            <w:r>
              <w:rPr>
                <w:rFonts w:hint="eastAsia" w:ascii="宋体" w:hAnsi="宋体" w:eastAsia="宋体" w:cs="宋体"/>
                <w:i w:val="0"/>
                <w:iCs w:val="0"/>
                <w:color w:val="auto"/>
                <w:sz w:val="24"/>
                <w:szCs w:val="24"/>
                <w:highlight w:val="none"/>
                <w:u w:val="single"/>
              </w:rPr>
              <w:t>90</w:t>
            </w:r>
            <w:r>
              <w:rPr>
                <w:rFonts w:hint="eastAsia" w:ascii="宋体" w:hAnsi="宋体" w:eastAsia="宋体" w:cs="宋体"/>
                <w:i w:val="0"/>
                <w:iCs w:val="0"/>
                <w:color w:val="auto"/>
                <w:sz w:val="24"/>
                <w:szCs w:val="24"/>
                <w:highlight w:val="none"/>
              </w:rPr>
              <w:t>日历日。</w:t>
            </w:r>
          </w:p>
        </w:tc>
      </w:tr>
      <w:tr w14:paraId="49C77E5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791" w:hRule="atLeast"/>
          <w:jc w:val="center"/>
        </w:trPr>
        <w:tc>
          <w:tcPr>
            <w:tcW w:w="970" w:type="dxa"/>
            <w:tcBorders>
              <w:top w:val="single" w:color="auto" w:sz="2" w:space="0"/>
              <w:left w:val="single" w:color="auto" w:sz="2" w:space="0"/>
              <w:bottom w:val="single" w:color="auto" w:sz="2" w:space="0"/>
              <w:right w:val="single" w:color="auto" w:sz="2" w:space="0"/>
            </w:tcBorders>
            <w:vAlign w:val="center"/>
          </w:tcPr>
          <w:p w14:paraId="26C48057">
            <w:pPr>
              <w:pStyle w:val="46"/>
              <w:keepNext w:val="0"/>
              <w:keepLines w:val="0"/>
              <w:pageBreakBefore w:val="0"/>
              <w:kinsoku/>
              <w:wordWrap/>
              <w:overflowPunct/>
              <w:topLinePunct w:val="0"/>
              <w:bidi w:val="0"/>
              <w:snapToGrid/>
              <w:spacing w:line="320" w:lineRule="exact"/>
              <w:ind w:left="0"/>
              <w:jc w:val="center"/>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17.1</w:t>
            </w:r>
          </w:p>
        </w:tc>
        <w:tc>
          <w:tcPr>
            <w:tcW w:w="1850" w:type="dxa"/>
            <w:tcBorders>
              <w:top w:val="single" w:color="auto" w:sz="2" w:space="0"/>
              <w:left w:val="single" w:color="auto" w:sz="2" w:space="0"/>
              <w:bottom w:val="single" w:color="auto" w:sz="2" w:space="0"/>
              <w:right w:val="single" w:color="auto" w:sz="2" w:space="0"/>
            </w:tcBorders>
            <w:vAlign w:val="center"/>
          </w:tcPr>
          <w:p w14:paraId="60D2F551">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lang w:val="en-US" w:eastAsia="zh-CN"/>
              </w:rPr>
              <w:t>磋商保证金</w:t>
            </w:r>
          </w:p>
        </w:tc>
        <w:tc>
          <w:tcPr>
            <w:tcW w:w="5462" w:type="dxa"/>
            <w:tcBorders>
              <w:top w:val="single" w:color="auto" w:sz="2" w:space="0"/>
              <w:left w:val="single" w:color="auto" w:sz="2" w:space="0"/>
              <w:bottom w:val="single" w:color="auto" w:sz="2" w:space="0"/>
              <w:right w:val="single" w:color="auto" w:sz="2" w:space="0"/>
            </w:tcBorders>
            <w:vAlign w:val="center"/>
          </w:tcPr>
          <w:p w14:paraId="15B63AAB">
            <w:pPr>
              <w:pStyle w:val="5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1.磋商保证金金额：</w:t>
            </w:r>
          </w:p>
          <w:p w14:paraId="0AF56A52">
            <w:pPr>
              <w:pStyle w:val="56"/>
              <w:keepNext w:val="0"/>
              <w:keepLines w:val="0"/>
              <w:pageBreakBefore w:val="0"/>
              <w:kinsoku/>
              <w:wordWrap/>
              <w:overflowPunct/>
              <w:topLinePunct w:val="0"/>
              <w:bidi w:val="0"/>
              <w:snapToGrid/>
              <w:spacing w:line="320" w:lineRule="exact"/>
              <w:ind w:left="0" w:firstLine="240" w:firstLineChars="1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□免收</w:t>
            </w:r>
          </w:p>
          <w:p w14:paraId="0AAE8F8B">
            <w:pPr>
              <w:pStyle w:val="56"/>
              <w:keepNext w:val="0"/>
              <w:keepLines w:val="0"/>
              <w:pageBreakBefore w:val="0"/>
              <w:kinsoku/>
              <w:wordWrap/>
              <w:overflowPunct/>
              <w:topLinePunct w:val="0"/>
              <w:bidi w:val="0"/>
              <w:snapToGrid/>
              <w:spacing w:line="320" w:lineRule="exact"/>
              <w:ind w:left="0" w:firstLine="241" w:firstLineChars="100"/>
              <w:textAlignment w:val="auto"/>
              <w:rPr>
                <w:rFonts w:hint="eastAsia" w:ascii="宋体" w:hAnsi="宋体" w:eastAsia="宋体" w:cs="宋体"/>
                <w:b/>
                <w:bCs/>
                <w:i w:val="0"/>
                <w:iCs w:val="0"/>
                <w:color w:val="auto"/>
                <w:sz w:val="24"/>
                <w:szCs w:val="24"/>
                <w:highlight w:val="none"/>
              </w:rPr>
            </w:pPr>
            <w:r>
              <w:rPr>
                <w:rFonts w:hint="eastAsia" w:ascii="宋体" w:hAnsi="宋体" w:eastAsia="宋体" w:cs="宋体"/>
                <w:b/>
                <w:bCs/>
                <w:i w:val="0"/>
                <w:iCs w:val="0"/>
                <w:color w:val="auto"/>
                <w:sz w:val="24"/>
                <w:szCs w:val="24"/>
                <w:highlight w:val="none"/>
              </w:rPr>
              <w:t>☑定额收取：</w:t>
            </w:r>
          </w:p>
          <w:p w14:paraId="09FE561E">
            <w:pPr>
              <w:pStyle w:val="56"/>
              <w:keepNext w:val="0"/>
              <w:keepLines w:val="0"/>
              <w:pageBreakBefore w:val="0"/>
              <w:kinsoku/>
              <w:wordWrap/>
              <w:overflowPunct/>
              <w:topLinePunct w:val="0"/>
              <w:bidi w:val="0"/>
              <w:snapToGrid/>
              <w:spacing w:line="320" w:lineRule="exact"/>
              <w:ind w:left="0" w:firstLine="241" w:firstLineChars="100"/>
              <w:textAlignment w:val="auto"/>
              <w:rPr>
                <w:rFonts w:hint="eastAsia" w:ascii="宋体" w:hAnsi="宋体" w:eastAsia="宋体" w:cs="宋体"/>
                <w:i w:val="0"/>
                <w:iCs w:val="0"/>
                <w:color w:val="auto"/>
                <w:sz w:val="24"/>
                <w:szCs w:val="24"/>
                <w:highlight w:val="none"/>
              </w:rPr>
            </w:pPr>
            <w:r>
              <w:rPr>
                <w:rFonts w:hint="eastAsia" w:ascii="宋体" w:hAnsi="宋体" w:cs="宋体"/>
                <w:b/>
                <w:bCs/>
                <w:i w:val="0"/>
                <w:iCs w:val="0"/>
                <w:color w:val="auto"/>
                <w:sz w:val="24"/>
                <w:szCs w:val="24"/>
                <w:highlight w:val="none"/>
                <w:lang w:val="en-US" w:eastAsia="zh-CN"/>
              </w:rPr>
              <w:t>包二：1</w:t>
            </w:r>
            <w:r>
              <w:rPr>
                <w:rFonts w:hint="eastAsia" w:ascii="宋体" w:hAnsi="宋体" w:eastAsia="宋体" w:cs="宋体"/>
                <w:b/>
                <w:bCs/>
                <w:i w:val="0"/>
                <w:iCs w:val="0"/>
                <w:color w:val="auto"/>
                <w:sz w:val="24"/>
                <w:szCs w:val="24"/>
                <w:highlight w:val="none"/>
                <w:lang w:val="en-US" w:eastAsia="zh-CN"/>
              </w:rPr>
              <w:t>0000</w:t>
            </w:r>
            <w:r>
              <w:rPr>
                <w:rFonts w:hint="eastAsia" w:ascii="宋体" w:hAnsi="宋体" w:eastAsia="宋体" w:cs="宋体"/>
                <w:b/>
                <w:bCs/>
                <w:i w:val="0"/>
                <w:iCs w:val="0"/>
                <w:color w:val="auto"/>
                <w:sz w:val="24"/>
                <w:szCs w:val="24"/>
                <w:highlight w:val="none"/>
              </w:rPr>
              <w:t>元（</w:t>
            </w:r>
            <w:r>
              <w:rPr>
                <w:rFonts w:hint="eastAsia" w:ascii="宋体" w:hAnsi="宋体" w:cs="宋体"/>
                <w:b/>
                <w:bCs/>
                <w:i w:val="0"/>
                <w:iCs w:val="0"/>
                <w:color w:val="auto"/>
                <w:sz w:val="24"/>
                <w:szCs w:val="24"/>
                <w:highlight w:val="none"/>
                <w:lang w:val="en-US" w:eastAsia="zh-CN"/>
              </w:rPr>
              <w:t>大写：壹</w:t>
            </w:r>
            <w:r>
              <w:rPr>
                <w:rFonts w:hint="eastAsia" w:ascii="宋体" w:hAnsi="宋体" w:eastAsia="宋体" w:cs="宋体"/>
                <w:b/>
                <w:bCs/>
                <w:i w:val="0"/>
                <w:iCs w:val="0"/>
                <w:color w:val="auto"/>
                <w:sz w:val="24"/>
                <w:szCs w:val="24"/>
                <w:highlight w:val="none"/>
              </w:rPr>
              <w:t>万元整）</w:t>
            </w:r>
            <w:r>
              <w:rPr>
                <w:rFonts w:hint="eastAsia" w:ascii="宋体" w:hAnsi="宋体" w:eastAsia="宋体" w:cs="宋体"/>
                <w:i w:val="0"/>
                <w:iCs w:val="0"/>
                <w:color w:val="auto"/>
                <w:sz w:val="24"/>
                <w:szCs w:val="24"/>
                <w:highlight w:val="none"/>
              </w:rPr>
              <w:t>。</w:t>
            </w:r>
          </w:p>
          <w:p w14:paraId="7D3A7C5C">
            <w:pPr>
              <w:pStyle w:val="5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2.支付方式：</w:t>
            </w:r>
          </w:p>
          <w:p w14:paraId="47C1CFDB">
            <w:pPr>
              <w:pStyle w:val="56"/>
              <w:keepNext w:val="0"/>
              <w:keepLines w:val="0"/>
              <w:pageBreakBefore w:val="0"/>
              <w:kinsoku/>
              <w:wordWrap/>
              <w:overflowPunct/>
              <w:topLinePunct w:val="0"/>
              <w:bidi w:val="0"/>
              <w:snapToGrid/>
              <w:spacing w:line="320" w:lineRule="exact"/>
              <w:ind w:left="0" w:firstLine="240" w:firstLineChars="1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供应商可自主选择以基本户转账、保函等非现金形式缴纳或提交保证金。</w:t>
            </w:r>
          </w:p>
          <w:p w14:paraId="714FD6E7">
            <w:pPr>
              <w:pStyle w:val="56"/>
              <w:keepNext w:val="0"/>
              <w:keepLines w:val="0"/>
              <w:pageBreakBefore w:val="0"/>
              <w:kinsoku/>
              <w:wordWrap/>
              <w:overflowPunct/>
              <w:topLinePunct w:val="0"/>
              <w:bidi w:val="0"/>
              <w:snapToGrid/>
              <w:spacing w:line="320" w:lineRule="exact"/>
              <w:ind w:left="0" w:firstLine="240" w:firstLineChars="1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磋商保证金缴纳方式：磋商保证金必须从供应商基本账户支出，可以自主选择以电汇、保函或网银转账方式缴纳。</w:t>
            </w:r>
          </w:p>
          <w:p w14:paraId="1EF44DA9">
            <w:pPr>
              <w:pStyle w:val="56"/>
              <w:keepNext w:val="0"/>
              <w:keepLines w:val="0"/>
              <w:pageBreakBefore w:val="0"/>
              <w:kinsoku/>
              <w:wordWrap/>
              <w:overflowPunct/>
              <w:topLinePunct w:val="0"/>
              <w:bidi w:val="0"/>
              <w:snapToGrid/>
              <w:spacing w:line="320" w:lineRule="exact"/>
              <w:ind w:left="0" w:firstLine="240" w:firstLineChars="1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磋商保证金缴纳账户：</w:t>
            </w:r>
          </w:p>
          <w:p w14:paraId="1D541C0C">
            <w:pPr>
              <w:pStyle w:val="56"/>
              <w:keepNext w:val="0"/>
              <w:keepLines w:val="0"/>
              <w:pageBreakBefore w:val="0"/>
              <w:kinsoku/>
              <w:wordWrap/>
              <w:overflowPunct/>
              <w:topLinePunct w:val="0"/>
              <w:bidi w:val="0"/>
              <w:snapToGrid/>
              <w:spacing w:line="320" w:lineRule="exact"/>
              <w:ind w:left="0" w:firstLine="240" w:firstLineChars="1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开户银行：新疆和田农村商业银行股份有限公司和田市支行</w:t>
            </w:r>
          </w:p>
          <w:p w14:paraId="3EC4AF0F">
            <w:pPr>
              <w:pStyle w:val="56"/>
              <w:keepNext w:val="0"/>
              <w:keepLines w:val="0"/>
              <w:pageBreakBefore w:val="0"/>
              <w:kinsoku/>
              <w:wordWrap/>
              <w:overflowPunct/>
              <w:topLinePunct w:val="0"/>
              <w:bidi w:val="0"/>
              <w:snapToGrid/>
              <w:spacing w:line="320" w:lineRule="exact"/>
              <w:ind w:left="0" w:firstLine="240" w:firstLineChars="1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户名：新疆和晟源项目管理有限公司</w:t>
            </w:r>
          </w:p>
          <w:p w14:paraId="1A7C9CDB">
            <w:pPr>
              <w:pStyle w:val="56"/>
              <w:keepNext w:val="0"/>
              <w:keepLines w:val="0"/>
              <w:pageBreakBefore w:val="0"/>
              <w:kinsoku/>
              <w:wordWrap/>
              <w:overflowPunct/>
              <w:topLinePunct w:val="0"/>
              <w:bidi w:val="0"/>
              <w:snapToGrid/>
              <w:spacing w:line="320" w:lineRule="exact"/>
              <w:ind w:left="0" w:firstLine="240" w:firstLineChars="100"/>
              <w:textAlignment w:val="auto"/>
              <w:rPr>
                <w:rFonts w:hint="eastAsia" w:ascii="宋体" w:hAnsi="宋体" w:eastAsia="宋体" w:cs="宋体"/>
                <w:i w:val="0"/>
                <w:iCs w:val="0"/>
                <w:color w:val="auto"/>
                <w:sz w:val="24"/>
                <w:szCs w:val="24"/>
                <w:highlight w:val="none"/>
              </w:rPr>
            </w:pPr>
            <w:r>
              <w:rPr>
                <w:rFonts w:hint="eastAsia" w:ascii="宋体" w:hAnsi="宋体" w:cs="宋体"/>
                <w:i w:val="0"/>
                <w:iCs w:val="0"/>
                <w:color w:val="auto"/>
                <w:sz w:val="24"/>
                <w:szCs w:val="24"/>
                <w:highlight w:val="none"/>
                <w:lang w:eastAsia="zh-CN"/>
              </w:rPr>
              <w:t>银行账号</w:t>
            </w:r>
            <w:r>
              <w:rPr>
                <w:rFonts w:hint="eastAsia" w:ascii="宋体" w:hAnsi="宋体" w:eastAsia="宋体" w:cs="宋体"/>
                <w:i w:val="0"/>
                <w:iCs w:val="0"/>
                <w:color w:val="auto"/>
                <w:sz w:val="24"/>
                <w:szCs w:val="24"/>
                <w:highlight w:val="none"/>
              </w:rPr>
              <w:t>：876010012010153607412</w:t>
            </w:r>
          </w:p>
          <w:p w14:paraId="399A3F32">
            <w:pPr>
              <w:pStyle w:val="56"/>
              <w:keepNext w:val="0"/>
              <w:keepLines w:val="0"/>
              <w:pageBreakBefore w:val="0"/>
              <w:kinsoku/>
              <w:wordWrap/>
              <w:overflowPunct/>
              <w:topLinePunct w:val="0"/>
              <w:bidi w:val="0"/>
              <w:snapToGrid/>
              <w:spacing w:line="320" w:lineRule="exact"/>
              <w:ind w:left="0" w:firstLine="240" w:firstLineChars="1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地址：新疆和田地区和田市古江巴格街道米斯开尔阔恰社区古江南路19号国资国企综合楼101室</w:t>
            </w:r>
          </w:p>
          <w:p w14:paraId="6D773F7F">
            <w:pPr>
              <w:pStyle w:val="56"/>
              <w:keepNext w:val="0"/>
              <w:keepLines w:val="0"/>
              <w:pageBreakBefore w:val="0"/>
              <w:kinsoku/>
              <w:wordWrap/>
              <w:overflowPunct/>
              <w:topLinePunct w:val="0"/>
              <w:bidi w:val="0"/>
              <w:snapToGrid/>
              <w:spacing w:line="320" w:lineRule="exact"/>
              <w:ind w:left="0" w:firstLine="240" w:firstLineChars="1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电话：0903-2067512</w:t>
            </w:r>
          </w:p>
          <w:p w14:paraId="12CBDF47">
            <w:pPr>
              <w:pStyle w:val="56"/>
              <w:keepNext w:val="0"/>
              <w:keepLines w:val="0"/>
              <w:pageBreakBefore w:val="0"/>
              <w:kinsoku/>
              <w:wordWrap/>
              <w:overflowPunct/>
              <w:topLinePunct w:val="0"/>
              <w:bidi w:val="0"/>
              <w:snapToGrid/>
              <w:spacing w:line="320" w:lineRule="exact"/>
              <w:ind w:left="0" w:firstLine="240" w:firstLineChars="1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银行行号：402896000013</w:t>
            </w:r>
          </w:p>
          <w:p w14:paraId="32416F40">
            <w:pPr>
              <w:pStyle w:val="56"/>
              <w:keepNext w:val="0"/>
              <w:keepLines w:val="0"/>
              <w:pageBreakBefore w:val="0"/>
              <w:kinsoku/>
              <w:wordWrap/>
              <w:overflowPunct/>
              <w:topLinePunct w:val="0"/>
              <w:bidi w:val="0"/>
              <w:snapToGrid/>
              <w:spacing w:line="320" w:lineRule="exact"/>
              <w:ind w:left="0" w:firstLine="240" w:firstLineChars="1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注：（1）磋商保证金请于</w:t>
            </w:r>
            <w:r>
              <w:rPr>
                <w:rFonts w:hint="eastAsia" w:ascii="宋体" w:hAnsi="宋体" w:eastAsia="宋体" w:cs="宋体"/>
                <w:i w:val="0"/>
                <w:iCs w:val="0"/>
                <w:color w:val="auto"/>
                <w:sz w:val="24"/>
                <w:szCs w:val="24"/>
                <w:highlight w:val="none"/>
                <w:lang w:eastAsia="zh-CN"/>
              </w:rPr>
              <w:t>2025年</w:t>
            </w:r>
            <w:r>
              <w:rPr>
                <w:rFonts w:hint="eastAsia" w:ascii="宋体" w:hAnsi="宋体" w:cs="宋体"/>
                <w:i w:val="0"/>
                <w:iCs w:val="0"/>
                <w:color w:val="auto"/>
                <w:sz w:val="24"/>
                <w:szCs w:val="24"/>
                <w:highlight w:val="none"/>
                <w:lang w:eastAsia="zh-CN"/>
              </w:rPr>
              <w:t>07月21日</w:t>
            </w:r>
            <w:r>
              <w:rPr>
                <w:rFonts w:hint="eastAsia" w:ascii="宋体" w:hAnsi="宋体" w:eastAsia="宋体" w:cs="宋体"/>
                <w:i w:val="0"/>
                <w:iCs w:val="0"/>
                <w:color w:val="auto"/>
                <w:sz w:val="24"/>
                <w:szCs w:val="24"/>
                <w:highlight w:val="none"/>
              </w:rPr>
              <w:t>11:00时之前（北京时间）缴入指定账户，各供应商保证金缴纳只接受企业</w:t>
            </w:r>
            <w:r>
              <w:rPr>
                <w:rFonts w:hint="eastAsia" w:ascii="宋体" w:hAnsi="宋体" w:cs="宋体"/>
                <w:i w:val="0"/>
                <w:iCs w:val="0"/>
                <w:color w:val="auto"/>
                <w:sz w:val="24"/>
                <w:szCs w:val="24"/>
                <w:highlight w:val="none"/>
                <w:lang w:eastAsia="zh-CN"/>
              </w:rPr>
              <w:t>基本账户</w:t>
            </w:r>
            <w:r>
              <w:rPr>
                <w:rFonts w:hint="eastAsia" w:ascii="宋体" w:hAnsi="宋体" w:eastAsia="宋体" w:cs="宋体"/>
                <w:i w:val="0"/>
                <w:iCs w:val="0"/>
                <w:color w:val="auto"/>
                <w:sz w:val="24"/>
                <w:szCs w:val="24"/>
                <w:highlight w:val="none"/>
              </w:rPr>
              <w:t>足额对公</w:t>
            </w:r>
            <w:r>
              <w:rPr>
                <w:rFonts w:hint="eastAsia" w:ascii="宋体" w:hAnsi="宋体" w:cs="宋体"/>
                <w:i w:val="0"/>
                <w:iCs w:val="0"/>
                <w:color w:val="auto"/>
                <w:sz w:val="24"/>
                <w:szCs w:val="24"/>
                <w:highlight w:val="none"/>
                <w:lang w:eastAsia="zh-CN"/>
              </w:rPr>
              <w:t>转账</w:t>
            </w:r>
            <w:r>
              <w:rPr>
                <w:rFonts w:hint="eastAsia" w:ascii="宋体" w:hAnsi="宋体" w:eastAsia="宋体" w:cs="宋体"/>
                <w:i w:val="0"/>
                <w:iCs w:val="0"/>
                <w:color w:val="auto"/>
                <w:sz w:val="24"/>
                <w:szCs w:val="24"/>
                <w:highlight w:val="none"/>
              </w:rPr>
              <w:t>，其他以私人名义或现金缴纳等存入、汇款方式均视为无效磋商保证金，未按规定时间交保证金的供应商不得参加本次磋商（以到账时间为准）。（2）供应商以保函形式缴纳磋商保证金的，向保证人购买电子投标保函所支付的费用应从供应商的企业账户汇出(个体工商户除外)，保函办理成功后将保函以及基本账户转账支付凭证放入响应文件中。未按规定时间缴纳保证金的供应商不得参加本次磋商。（3）供应商须在汇款单备注栏标明：项目名称及项目编号。</w:t>
            </w:r>
          </w:p>
          <w:p w14:paraId="0F01487C">
            <w:pPr>
              <w:pStyle w:val="56"/>
              <w:keepNext w:val="0"/>
              <w:keepLines w:val="0"/>
              <w:pageBreakBefore w:val="0"/>
              <w:kinsoku/>
              <w:wordWrap/>
              <w:overflowPunct/>
              <w:topLinePunct w:val="0"/>
              <w:bidi w:val="0"/>
              <w:snapToGrid/>
              <w:spacing w:line="320" w:lineRule="exact"/>
              <w:ind w:left="0" w:firstLine="240" w:firstLineChars="1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政采云电子保函使用方法：登录新疆政府采购网，首页点击“电子保函”直接进入新疆政府采购电子保函申请页，点击【立即申请】依次完善页面显示的投保人信息（供应商信息），确认您要投保的项目信息，在投标项目选择页面选择您需要投保的项目（可根据项目名称或项目保函进行搜索），选择投保项目后填写被保险人信息及投保内容。</w:t>
            </w:r>
          </w:p>
          <w:p w14:paraId="507E2B50">
            <w:pPr>
              <w:pStyle w:val="56"/>
              <w:keepNext w:val="0"/>
              <w:keepLines w:val="0"/>
              <w:pageBreakBefore w:val="0"/>
              <w:kinsoku/>
              <w:wordWrap/>
              <w:overflowPunct/>
              <w:topLinePunct w:val="0"/>
              <w:bidi w:val="0"/>
              <w:snapToGrid/>
              <w:spacing w:line="320" w:lineRule="exact"/>
              <w:ind w:left="0" w:firstLine="241" w:firstLineChars="100"/>
              <w:textAlignment w:val="auto"/>
              <w:rPr>
                <w:rFonts w:hint="eastAsia" w:ascii="宋体" w:hAnsi="宋体" w:eastAsia="宋体" w:cs="宋体"/>
                <w:b/>
                <w:bCs/>
                <w:i w:val="0"/>
                <w:iCs w:val="0"/>
                <w:color w:val="auto"/>
                <w:sz w:val="24"/>
                <w:szCs w:val="24"/>
                <w:highlight w:val="none"/>
              </w:rPr>
            </w:pPr>
            <w:r>
              <w:rPr>
                <w:rFonts w:hint="eastAsia" w:ascii="宋体" w:hAnsi="宋体" w:eastAsia="宋体" w:cs="宋体"/>
                <w:b/>
                <w:bCs/>
                <w:i w:val="0"/>
                <w:iCs w:val="0"/>
                <w:color w:val="auto"/>
                <w:sz w:val="24"/>
                <w:szCs w:val="24"/>
                <w:highlight w:val="none"/>
              </w:rPr>
              <w:t>保函投保金额(元)：</w:t>
            </w:r>
          </w:p>
          <w:p w14:paraId="238D1DF3">
            <w:pPr>
              <w:pStyle w:val="56"/>
              <w:keepNext w:val="0"/>
              <w:keepLines w:val="0"/>
              <w:pageBreakBefore w:val="0"/>
              <w:kinsoku/>
              <w:wordWrap/>
              <w:overflowPunct/>
              <w:topLinePunct w:val="0"/>
              <w:bidi w:val="0"/>
              <w:snapToGrid/>
              <w:spacing w:line="320" w:lineRule="exact"/>
              <w:ind w:left="0" w:firstLine="241" w:firstLineChars="100"/>
              <w:textAlignment w:val="auto"/>
              <w:rPr>
                <w:rFonts w:hint="eastAsia" w:ascii="宋体" w:hAnsi="宋体" w:eastAsia="宋体" w:cs="宋体"/>
                <w:b/>
                <w:bCs/>
                <w:i w:val="0"/>
                <w:iCs w:val="0"/>
                <w:color w:val="auto"/>
                <w:sz w:val="24"/>
                <w:szCs w:val="24"/>
                <w:highlight w:val="none"/>
              </w:rPr>
            </w:pPr>
            <w:r>
              <w:rPr>
                <w:rFonts w:hint="eastAsia" w:ascii="宋体" w:hAnsi="宋体" w:eastAsia="宋体" w:cs="宋体"/>
                <w:b/>
                <w:bCs/>
                <w:i w:val="0"/>
                <w:iCs w:val="0"/>
                <w:color w:val="auto"/>
                <w:sz w:val="24"/>
                <w:szCs w:val="24"/>
                <w:highlight w:val="none"/>
                <w:lang w:val="en-US" w:eastAsia="zh-CN"/>
              </w:rPr>
              <w:t>包二：10000元（大写：</w:t>
            </w:r>
            <w:r>
              <w:rPr>
                <w:rFonts w:hint="eastAsia" w:ascii="宋体" w:hAnsi="宋体" w:cs="宋体"/>
                <w:b/>
                <w:bCs/>
                <w:i w:val="0"/>
                <w:iCs w:val="0"/>
                <w:color w:val="auto"/>
                <w:sz w:val="24"/>
                <w:szCs w:val="24"/>
                <w:highlight w:val="none"/>
                <w:lang w:val="en-US" w:eastAsia="zh-CN"/>
              </w:rPr>
              <w:t>壹</w:t>
            </w:r>
            <w:r>
              <w:rPr>
                <w:rFonts w:hint="eastAsia" w:ascii="宋体" w:hAnsi="宋体" w:eastAsia="宋体" w:cs="宋体"/>
                <w:b/>
                <w:bCs/>
                <w:i w:val="0"/>
                <w:iCs w:val="0"/>
                <w:color w:val="auto"/>
                <w:sz w:val="24"/>
                <w:szCs w:val="24"/>
                <w:highlight w:val="none"/>
                <w:lang w:val="en-US" w:eastAsia="zh-CN"/>
              </w:rPr>
              <w:t>万元整）。</w:t>
            </w:r>
          </w:p>
          <w:p w14:paraId="1355B688">
            <w:pPr>
              <w:pStyle w:val="5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保函承保期限：</w:t>
            </w:r>
            <w:r>
              <w:rPr>
                <w:rFonts w:hint="eastAsia" w:ascii="宋体" w:hAnsi="宋体" w:eastAsia="宋体" w:cs="宋体"/>
                <w:i w:val="0"/>
                <w:iCs w:val="0"/>
                <w:color w:val="auto"/>
                <w:sz w:val="24"/>
                <w:szCs w:val="24"/>
                <w:highlight w:val="none"/>
                <w:lang w:eastAsia="zh-CN"/>
              </w:rPr>
              <w:t>2025年</w:t>
            </w:r>
            <w:r>
              <w:rPr>
                <w:rFonts w:hint="eastAsia" w:ascii="宋体" w:hAnsi="宋体" w:cs="宋体"/>
                <w:i w:val="0"/>
                <w:iCs w:val="0"/>
                <w:color w:val="auto"/>
                <w:sz w:val="24"/>
                <w:szCs w:val="24"/>
                <w:highlight w:val="none"/>
                <w:lang w:eastAsia="zh-CN"/>
              </w:rPr>
              <w:t>07月21日</w:t>
            </w:r>
            <w:r>
              <w:rPr>
                <w:rFonts w:hint="eastAsia" w:ascii="宋体" w:hAnsi="宋体" w:eastAsia="宋体" w:cs="宋体"/>
                <w:i w:val="0"/>
                <w:iCs w:val="0"/>
                <w:color w:val="auto"/>
                <w:sz w:val="24"/>
                <w:szCs w:val="24"/>
                <w:highlight w:val="none"/>
              </w:rPr>
              <w:t>-2025年0</w:t>
            </w:r>
            <w:r>
              <w:rPr>
                <w:rFonts w:hint="eastAsia" w:ascii="宋体" w:hAnsi="宋体" w:eastAsia="宋体" w:cs="宋体"/>
                <w:i w:val="0"/>
                <w:iCs w:val="0"/>
                <w:color w:val="auto"/>
                <w:sz w:val="24"/>
                <w:szCs w:val="24"/>
                <w:highlight w:val="none"/>
                <w:lang w:val="en-US" w:eastAsia="zh-CN"/>
              </w:rPr>
              <w:t>9</w:t>
            </w:r>
            <w:r>
              <w:rPr>
                <w:rFonts w:hint="eastAsia" w:ascii="宋体" w:hAnsi="宋体" w:eastAsia="宋体" w:cs="宋体"/>
                <w:i w:val="0"/>
                <w:iCs w:val="0"/>
                <w:color w:val="auto"/>
                <w:sz w:val="24"/>
                <w:szCs w:val="24"/>
                <w:highlight w:val="none"/>
              </w:rPr>
              <w:t>月</w:t>
            </w:r>
            <w:r>
              <w:rPr>
                <w:rFonts w:hint="eastAsia" w:ascii="宋体" w:hAnsi="宋体" w:cs="宋体"/>
                <w:i w:val="0"/>
                <w:iCs w:val="0"/>
                <w:color w:val="auto"/>
                <w:sz w:val="24"/>
                <w:szCs w:val="24"/>
                <w:highlight w:val="none"/>
                <w:lang w:val="en-US" w:eastAsia="zh-CN"/>
              </w:rPr>
              <w:t>2</w:t>
            </w:r>
            <w:r>
              <w:rPr>
                <w:rFonts w:hint="eastAsia" w:ascii="宋体" w:hAnsi="宋体" w:eastAsia="宋体" w:cs="宋体"/>
                <w:i w:val="0"/>
                <w:iCs w:val="0"/>
                <w:color w:val="auto"/>
                <w:sz w:val="24"/>
                <w:szCs w:val="24"/>
                <w:highlight w:val="none"/>
                <w:lang w:val="en-US" w:eastAsia="zh-CN"/>
              </w:rPr>
              <w:t>1</w:t>
            </w:r>
            <w:r>
              <w:rPr>
                <w:rFonts w:hint="eastAsia" w:ascii="宋体" w:hAnsi="宋体" w:eastAsia="宋体" w:cs="宋体"/>
                <w:i w:val="0"/>
                <w:iCs w:val="0"/>
                <w:color w:val="auto"/>
                <w:sz w:val="24"/>
                <w:szCs w:val="24"/>
                <w:highlight w:val="none"/>
              </w:rPr>
              <w:t>日</w:t>
            </w:r>
          </w:p>
          <w:p w14:paraId="5A482F6F">
            <w:pPr>
              <w:pStyle w:val="5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注意事项：</w:t>
            </w:r>
          </w:p>
          <w:p w14:paraId="1E509FBA">
            <w:pPr>
              <w:pStyle w:val="56"/>
              <w:keepNext w:val="0"/>
              <w:keepLines w:val="0"/>
              <w:pageBreakBefore w:val="0"/>
              <w:kinsoku/>
              <w:wordWrap/>
              <w:overflowPunct/>
              <w:topLinePunct w:val="0"/>
              <w:bidi w:val="0"/>
              <w:snapToGrid/>
              <w:spacing w:line="320" w:lineRule="exact"/>
              <w:ind w:left="0" w:firstLine="240" w:firstLineChars="1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1.以上各类机构出具的以担保函、保证保险承担责任的方式均须满足无条件见索即付条件。</w:t>
            </w:r>
          </w:p>
          <w:p w14:paraId="0EE7F1AD">
            <w:pPr>
              <w:pStyle w:val="56"/>
              <w:keepNext w:val="0"/>
              <w:keepLines w:val="0"/>
              <w:pageBreakBefore w:val="0"/>
              <w:kinsoku/>
              <w:wordWrap/>
              <w:overflowPunct/>
              <w:topLinePunct w:val="0"/>
              <w:bidi w:val="0"/>
              <w:snapToGrid/>
              <w:spacing w:line="320" w:lineRule="exact"/>
              <w:ind w:left="0" w:firstLine="240" w:firstLineChars="1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2.以担保函、保证保险形式缴纳磋商保证金的，受益人和收取单位须为采购人。</w:t>
            </w:r>
          </w:p>
        </w:tc>
      </w:tr>
      <w:tr w14:paraId="7111AC9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152" w:hRule="atLeast"/>
          <w:jc w:val="center"/>
        </w:trPr>
        <w:tc>
          <w:tcPr>
            <w:tcW w:w="970" w:type="dxa"/>
            <w:tcBorders>
              <w:top w:val="single" w:color="auto" w:sz="2" w:space="0"/>
              <w:left w:val="single" w:color="auto" w:sz="2" w:space="0"/>
              <w:bottom w:val="single" w:color="auto" w:sz="2" w:space="0"/>
              <w:right w:val="single" w:color="auto" w:sz="2" w:space="0"/>
            </w:tcBorders>
            <w:vAlign w:val="center"/>
          </w:tcPr>
          <w:p w14:paraId="61BD2EB4">
            <w:pPr>
              <w:pStyle w:val="46"/>
              <w:keepNext w:val="0"/>
              <w:keepLines w:val="0"/>
              <w:pageBreakBefore w:val="0"/>
              <w:kinsoku/>
              <w:wordWrap/>
              <w:overflowPunct/>
              <w:topLinePunct w:val="0"/>
              <w:bidi w:val="0"/>
              <w:snapToGrid/>
              <w:spacing w:line="320" w:lineRule="exact"/>
              <w:ind w:left="0"/>
              <w:jc w:val="center"/>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22.1</w:t>
            </w:r>
          </w:p>
        </w:tc>
        <w:tc>
          <w:tcPr>
            <w:tcW w:w="1850" w:type="dxa"/>
            <w:tcBorders>
              <w:top w:val="single" w:color="auto" w:sz="2" w:space="0"/>
              <w:left w:val="single" w:color="auto" w:sz="2" w:space="0"/>
              <w:bottom w:val="single" w:color="auto" w:sz="2" w:space="0"/>
              <w:right w:val="single" w:color="auto" w:sz="2" w:space="0"/>
            </w:tcBorders>
            <w:vAlign w:val="center"/>
          </w:tcPr>
          <w:p w14:paraId="5DF09144">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实物样品</w:t>
            </w:r>
          </w:p>
        </w:tc>
        <w:tc>
          <w:tcPr>
            <w:tcW w:w="5462" w:type="dxa"/>
            <w:tcBorders>
              <w:top w:val="single" w:color="auto" w:sz="2" w:space="0"/>
              <w:left w:val="single" w:color="auto" w:sz="2" w:space="0"/>
              <w:bottom w:val="single" w:color="auto" w:sz="2" w:space="0"/>
              <w:right w:val="single" w:color="auto" w:sz="2" w:space="0"/>
            </w:tcBorders>
            <w:vAlign w:val="center"/>
          </w:tcPr>
          <w:p w14:paraId="71E15602">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lang w:val="en-US" w:eastAsia="zh-CN"/>
              </w:rPr>
              <w:t xml:space="preserve">磋商样品递交： </w:t>
            </w:r>
          </w:p>
          <w:p w14:paraId="4CAFCF88">
            <w:pPr>
              <w:pStyle w:val="46"/>
              <w:keepNext w:val="0"/>
              <w:keepLines w:val="0"/>
              <w:pageBreakBefore w:val="0"/>
              <w:kinsoku/>
              <w:wordWrap/>
              <w:overflowPunct/>
              <w:topLinePunct w:val="0"/>
              <w:bidi w:val="0"/>
              <w:snapToGrid/>
              <w:spacing w:line="320" w:lineRule="exact"/>
              <w:ind w:left="0" w:firstLine="240" w:firstLineChars="100"/>
              <w:textAlignment w:val="auto"/>
              <w:rPr>
                <w:rFonts w:hint="eastAsia" w:ascii="宋体" w:hAnsi="宋体" w:eastAsia="宋体" w:cs="宋体"/>
                <w:i w:val="0"/>
                <w:iCs w:val="0"/>
                <w:color w:val="auto"/>
                <w:sz w:val="24"/>
                <w:szCs w:val="24"/>
                <w:highlight w:val="none"/>
              </w:rPr>
            </w:pPr>
            <w:r>
              <w:rPr>
                <w:rFonts w:hint="eastAsia" w:cs="宋体"/>
                <w:i w:val="0"/>
                <w:iCs w:val="0"/>
                <w:color w:val="auto"/>
                <w:sz w:val="24"/>
                <w:szCs w:val="24"/>
                <w:highlight w:val="none"/>
                <w:lang w:val="en-US" w:eastAsia="zh-CN"/>
              </w:rPr>
              <w:t>☑</w:t>
            </w:r>
            <w:r>
              <w:rPr>
                <w:rFonts w:hint="eastAsia" w:ascii="宋体" w:hAnsi="宋体" w:eastAsia="宋体" w:cs="宋体"/>
                <w:i w:val="0"/>
                <w:iCs w:val="0"/>
                <w:color w:val="auto"/>
                <w:sz w:val="24"/>
                <w:szCs w:val="24"/>
                <w:highlight w:val="none"/>
                <w:lang w:val="en-US" w:eastAsia="zh-CN"/>
              </w:rPr>
              <w:t xml:space="preserve">不需要 </w:t>
            </w:r>
          </w:p>
          <w:p w14:paraId="7F574AF9">
            <w:pPr>
              <w:pStyle w:val="46"/>
              <w:keepNext w:val="0"/>
              <w:keepLines w:val="0"/>
              <w:pageBreakBefore w:val="0"/>
              <w:kinsoku/>
              <w:wordWrap/>
              <w:overflowPunct/>
              <w:topLinePunct w:val="0"/>
              <w:bidi w:val="0"/>
              <w:snapToGrid/>
              <w:spacing w:line="320" w:lineRule="exact"/>
              <w:ind w:left="0" w:firstLine="240" w:firstLineChars="1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lang w:val="en-US" w:eastAsia="zh-CN"/>
              </w:rPr>
              <w:t xml:space="preserve">□需要，具体要求如下： </w:t>
            </w:r>
          </w:p>
          <w:p w14:paraId="0F4017F6">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lang w:val="en-US" w:eastAsia="zh-CN"/>
              </w:rPr>
              <w:t>1.样品制作的标准和要求：_</w:t>
            </w:r>
            <w:r>
              <w:rPr>
                <w:rFonts w:hint="eastAsia" w:cs="宋体"/>
                <w:i w:val="0"/>
                <w:iCs w:val="0"/>
                <w:color w:val="auto"/>
                <w:sz w:val="24"/>
                <w:szCs w:val="24"/>
                <w:highlight w:val="none"/>
                <w:lang w:val="en-US" w:eastAsia="zh-CN"/>
              </w:rPr>
              <w:t>/</w:t>
            </w:r>
            <w:r>
              <w:rPr>
                <w:rFonts w:hint="eastAsia" w:ascii="宋体" w:hAnsi="宋体" w:eastAsia="宋体" w:cs="宋体"/>
                <w:i w:val="0"/>
                <w:iCs w:val="0"/>
                <w:color w:val="auto"/>
                <w:sz w:val="24"/>
                <w:szCs w:val="24"/>
                <w:highlight w:val="none"/>
                <w:lang w:val="en-US" w:eastAsia="zh-CN"/>
              </w:rPr>
              <w:t xml:space="preserve">__； </w:t>
            </w:r>
          </w:p>
          <w:p w14:paraId="47AA8C8D">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lang w:val="en-US" w:eastAsia="zh-CN"/>
              </w:rPr>
              <w:t xml:space="preserve">2.是否需要随样品提交相关检测报告： </w:t>
            </w:r>
          </w:p>
          <w:p w14:paraId="78BACEC2">
            <w:pPr>
              <w:pStyle w:val="46"/>
              <w:keepNext w:val="0"/>
              <w:keepLines w:val="0"/>
              <w:pageBreakBefore w:val="0"/>
              <w:kinsoku/>
              <w:wordWrap/>
              <w:overflowPunct/>
              <w:topLinePunct w:val="0"/>
              <w:bidi w:val="0"/>
              <w:snapToGrid/>
              <w:spacing w:line="320" w:lineRule="exact"/>
              <w:ind w:left="0" w:firstLine="240" w:firstLineChars="100"/>
              <w:textAlignment w:val="auto"/>
              <w:rPr>
                <w:rFonts w:hint="eastAsia" w:ascii="宋体" w:hAnsi="宋体" w:eastAsia="宋体" w:cs="宋体"/>
                <w:i w:val="0"/>
                <w:iCs w:val="0"/>
                <w:color w:val="auto"/>
                <w:sz w:val="24"/>
                <w:szCs w:val="24"/>
                <w:highlight w:val="none"/>
              </w:rPr>
            </w:pPr>
            <w:r>
              <w:rPr>
                <w:rFonts w:hint="eastAsia" w:cs="宋体"/>
                <w:i w:val="0"/>
                <w:iCs w:val="0"/>
                <w:color w:val="auto"/>
                <w:sz w:val="24"/>
                <w:szCs w:val="24"/>
                <w:highlight w:val="none"/>
                <w:lang w:val="en-US" w:eastAsia="zh-CN"/>
              </w:rPr>
              <w:t>☑</w:t>
            </w:r>
            <w:r>
              <w:rPr>
                <w:rFonts w:hint="eastAsia" w:ascii="宋体" w:hAnsi="宋体" w:eastAsia="宋体" w:cs="宋体"/>
                <w:i w:val="0"/>
                <w:iCs w:val="0"/>
                <w:color w:val="auto"/>
                <w:sz w:val="24"/>
                <w:szCs w:val="24"/>
                <w:highlight w:val="none"/>
                <w:lang w:val="en-US" w:eastAsia="zh-CN"/>
              </w:rPr>
              <w:t xml:space="preserve">不需要 </w:t>
            </w:r>
          </w:p>
          <w:p w14:paraId="49DF4476">
            <w:pPr>
              <w:pStyle w:val="46"/>
              <w:keepNext w:val="0"/>
              <w:keepLines w:val="0"/>
              <w:pageBreakBefore w:val="0"/>
              <w:kinsoku/>
              <w:wordWrap/>
              <w:overflowPunct/>
              <w:topLinePunct w:val="0"/>
              <w:bidi w:val="0"/>
              <w:snapToGrid/>
              <w:spacing w:line="320" w:lineRule="exact"/>
              <w:ind w:left="0" w:firstLine="240" w:firstLineChars="1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lang w:val="en-US" w:eastAsia="zh-CN"/>
              </w:rPr>
              <w:t xml:space="preserve">□需要 </w:t>
            </w:r>
          </w:p>
          <w:p w14:paraId="3ABCB7B6">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3.样品递交要求：</w:t>
            </w:r>
          </w:p>
          <w:p w14:paraId="7A9B4B4C">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lang w:val="en-US" w:eastAsia="zh-CN"/>
              </w:rPr>
              <w:t>递交时间：</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 xml:space="preserve">  </w:t>
            </w:r>
            <w:r>
              <w:rPr>
                <w:rFonts w:hint="eastAsia"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lang w:val="en-US" w:eastAsia="zh-CN"/>
              </w:rPr>
              <w:t xml:space="preserve"> </w:t>
            </w:r>
            <w:r>
              <w:rPr>
                <w:rFonts w:hint="eastAsia" w:ascii="宋体" w:hAnsi="宋体" w:eastAsia="宋体" w:cs="宋体"/>
                <w:i w:val="0"/>
                <w:iCs w:val="0"/>
                <w:color w:val="auto"/>
                <w:sz w:val="24"/>
                <w:szCs w:val="24"/>
                <w:highlight w:val="none"/>
              </w:rPr>
              <w:t>，</w:t>
            </w:r>
          </w:p>
          <w:p w14:paraId="5D7E607E">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lang w:val="en-US" w:eastAsia="zh-CN"/>
              </w:rPr>
              <w:t>递交</w:t>
            </w:r>
            <w:r>
              <w:rPr>
                <w:rFonts w:hint="eastAsia" w:ascii="宋体" w:hAnsi="宋体" w:eastAsia="宋体" w:cs="宋体"/>
                <w:i w:val="0"/>
                <w:iCs w:val="0"/>
                <w:color w:val="auto"/>
                <w:sz w:val="24"/>
                <w:szCs w:val="24"/>
                <w:highlight w:val="none"/>
              </w:rPr>
              <w:t>地点：</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 xml:space="preserve">  </w:t>
            </w:r>
            <w:r>
              <w:rPr>
                <w:rFonts w:hint="eastAsia"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rPr>
              <w:t>，逾期提供的样品将不予接受。</w:t>
            </w:r>
            <w:r>
              <w:rPr>
                <w:rFonts w:hint="eastAsia" w:ascii="宋体" w:hAnsi="宋体" w:eastAsia="宋体" w:cs="宋体"/>
                <w:i w:val="0"/>
                <w:iCs w:val="0"/>
                <w:color w:val="auto"/>
                <w:sz w:val="24"/>
                <w:szCs w:val="24"/>
                <w:highlight w:val="none"/>
                <w:lang w:val="en-US" w:eastAsia="zh-CN"/>
              </w:rPr>
              <w:t xml:space="preserve"> </w:t>
            </w:r>
          </w:p>
          <w:p w14:paraId="65899C83">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lang w:val="en-US" w:eastAsia="zh-CN"/>
              </w:rPr>
              <w:t>4.未中标人样品退还：</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 xml:space="preserve">  </w:t>
            </w:r>
            <w:r>
              <w:rPr>
                <w:rFonts w:hint="eastAsia"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lang w:val="en-US" w:eastAsia="zh-CN"/>
              </w:rPr>
              <w:t xml:space="preserve">； </w:t>
            </w:r>
          </w:p>
          <w:p w14:paraId="7CAFECEC">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lang w:val="en-US" w:eastAsia="zh-CN"/>
              </w:rPr>
              <w:t>5.中标人样品保管、封存及退还：</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 xml:space="preserve">  </w:t>
            </w:r>
            <w:r>
              <w:rPr>
                <w:rFonts w:hint="eastAsia"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lang w:val="en-US" w:eastAsia="zh-CN"/>
              </w:rPr>
              <w:t xml:space="preserve">； </w:t>
            </w:r>
          </w:p>
          <w:p w14:paraId="3483D19E">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lang w:val="en-US" w:eastAsia="zh-CN"/>
              </w:rPr>
              <w:t>6.其他要求（如有）：</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 xml:space="preserve">  </w:t>
            </w:r>
            <w:r>
              <w:rPr>
                <w:rFonts w:hint="eastAsia"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lang w:val="en-US" w:eastAsia="zh-CN"/>
              </w:rPr>
              <w:t>。</w:t>
            </w:r>
          </w:p>
        </w:tc>
      </w:tr>
      <w:tr w14:paraId="0492E45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2995" w:hRule="atLeast"/>
          <w:jc w:val="center"/>
        </w:trPr>
        <w:tc>
          <w:tcPr>
            <w:tcW w:w="970" w:type="dxa"/>
            <w:tcBorders>
              <w:top w:val="single" w:color="auto" w:sz="2" w:space="0"/>
              <w:left w:val="single" w:color="auto" w:sz="2" w:space="0"/>
              <w:bottom w:val="single" w:color="auto" w:sz="2" w:space="0"/>
              <w:right w:val="single" w:color="auto" w:sz="2" w:space="0"/>
            </w:tcBorders>
            <w:vAlign w:val="center"/>
          </w:tcPr>
          <w:p w14:paraId="733F5245">
            <w:pPr>
              <w:pStyle w:val="46"/>
              <w:keepNext w:val="0"/>
              <w:keepLines w:val="0"/>
              <w:pageBreakBefore w:val="0"/>
              <w:kinsoku/>
              <w:wordWrap/>
              <w:overflowPunct/>
              <w:topLinePunct w:val="0"/>
              <w:bidi w:val="0"/>
              <w:snapToGrid/>
              <w:spacing w:line="320" w:lineRule="exact"/>
              <w:ind w:left="0"/>
              <w:jc w:val="center"/>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23.1</w:t>
            </w:r>
          </w:p>
        </w:tc>
        <w:tc>
          <w:tcPr>
            <w:tcW w:w="1850" w:type="dxa"/>
            <w:tcBorders>
              <w:top w:val="single" w:color="auto" w:sz="2" w:space="0"/>
              <w:left w:val="single" w:color="auto" w:sz="2" w:space="0"/>
              <w:bottom w:val="single" w:color="auto" w:sz="2" w:space="0"/>
              <w:right w:val="single" w:color="auto" w:sz="2" w:space="0"/>
            </w:tcBorders>
            <w:vAlign w:val="center"/>
          </w:tcPr>
          <w:p w14:paraId="4ABD3E07">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演示</w:t>
            </w:r>
          </w:p>
        </w:tc>
        <w:tc>
          <w:tcPr>
            <w:tcW w:w="5462" w:type="dxa"/>
            <w:tcBorders>
              <w:top w:val="single" w:color="auto" w:sz="2" w:space="0"/>
              <w:left w:val="single" w:color="auto" w:sz="2" w:space="0"/>
              <w:bottom w:val="single" w:color="auto" w:sz="2" w:space="0"/>
              <w:right w:val="single" w:color="auto" w:sz="2" w:space="0"/>
            </w:tcBorders>
            <w:vAlign w:val="center"/>
          </w:tcPr>
          <w:p w14:paraId="2794EEA6">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sym w:font="Wingdings" w:char="00FE"/>
            </w:r>
            <w:r>
              <w:rPr>
                <w:rFonts w:hint="eastAsia" w:ascii="宋体" w:hAnsi="宋体" w:eastAsia="宋体" w:cs="宋体"/>
                <w:i w:val="0"/>
                <w:iCs w:val="0"/>
                <w:color w:val="auto"/>
                <w:sz w:val="24"/>
                <w:szCs w:val="24"/>
                <w:highlight w:val="none"/>
              </w:rPr>
              <w:t>不进行</w:t>
            </w:r>
          </w:p>
          <w:p w14:paraId="1B031671">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sym w:font="Wingdings" w:char="00A8"/>
            </w:r>
            <w:r>
              <w:rPr>
                <w:rFonts w:hint="eastAsia" w:ascii="宋体" w:hAnsi="宋体" w:eastAsia="宋体" w:cs="宋体"/>
                <w:i w:val="0"/>
                <w:iCs w:val="0"/>
                <w:color w:val="auto"/>
                <w:sz w:val="24"/>
                <w:szCs w:val="24"/>
                <w:highlight w:val="none"/>
              </w:rPr>
              <w:t>进行，远程线上演示/现场演示</w:t>
            </w:r>
          </w:p>
          <w:p w14:paraId="0D779AAC">
            <w:pPr>
              <w:pStyle w:val="46"/>
              <w:keepNext w:val="0"/>
              <w:keepLines w:val="0"/>
              <w:pageBreakBefore w:val="0"/>
              <w:kinsoku/>
              <w:wordWrap/>
              <w:overflowPunct/>
              <w:topLinePunct w:val="0"/>
              <w:bidi w:val="0"/>
              <w:snapToGrid/>
              <w:spacing w:line="320" w:lineRule="exact"/>
              <w:ind w:left="0" w:firstLine="240" w:firstLineChars="1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1.演示时间不得超过</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 xml:space="preserve">  </w:t>
            </w:r>
            <w:r>
              <w:rPr>
                <w:rFonts w:hint="eastAsia"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rPr>
              <w:t>分钟。</w:t>
            </w:r>
          </w:p>
          <w:p w14:paraId="7D605738">
            <w:pPr>
              <w:pStyle w:val="46"/>
              <w:keepNext w:val="0"/>
              <w:keepLines w:val="0"/>
              <w:pageBreakBefore w:val="0"/>
              <w:kinsoku/>
              <w:wordWrap/>
              <w:overflowPunct/>
              <w:topLinePunct w:val="0"/>
              <w:bidi w:val="0"/>
              <w:snapToGrid/>
              <w:spacing w:line="320" w:lineRule="exact"/>
              <w:ind w:left="0" w:firstLine="240" w:firstLineChars="1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2.进行远程线上演示的，供应商应提前自行准备好演示的软硬配置环境和网络环境，做好演示的各项准备工作。因供应商自身原因无法演示或者演示效果不理想的，导致的后果由供应商自行承担。</w:t>
            </w:r>
          </w:p>
          <w:p w14:paraId="18545CBA">
            <w:pPr>
              <w:pStyle w:val="46"/>
              <w:keepNext w:val="0"/>
              <w:keepLines w:val="0"/>
              <w:pageBreakBefore w:val="0"/>
              <w:kinsoku/>
              <w:wordWrap/>
              <w:overflowPunct/>
              <w:topLinePunct w:val="0"/>
              <w:bidi w:val="0"/>
              <w:snapToGrid/>
              <w:spacing w:line="320" w:lineRule="exact"/>
              <w:ind w:left="0" w:firstLine="240" w:firstLineChars="1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3.进行现场演示的，演示人员不得超过</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 xml:space="preserve">  </w:t>
            </w:r>
            <w:r>
              <w:rPr>
                <w:rFonts w:hint="eastAsia"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rPr>
              <w:t>人，演示现场提供</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 xml:space="preserve">  </w:t>
            </w:r>
            <w:r>
              <w:rPr>
                <w:rFonts w:hint="eastAsia"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rPr>
              <w:t>。</w:t>
            </w:r>
          </w:p>
        </w:tc>
      </w:tr>
      <w:tr w14:paraId="4181FFF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90" w:hRule="atLeast"/>
          <w:jc w:val="center"/>
        </w:trPr>
        <w:tc>
          <w:tcPr>
            <w:tcW w:w="970" w:type="dxa"/>
            <w:tcBorders>
              <w:top w:val="single" w:color="auto" w:sz="2" w:space="0"/>
              <w:left w:val="single" w:color="auto" w:sz="2" w:space="0"/>
              <w:bottom w:val="single" w:color="auto" w:sz="2" w:space="0"/>
              <w:right w:val="single" w:color="auto" w:sz="2" w:space="0"/>
            </w:tcBorders>
            <w:vAlign w:val="center"/>
          </w:tcPr>
          <w:p w14:paraId="75DCCD86">
            <w:pPr>
              <w:pStyle w:val="46"/>
              <w:keepNext w:val="0"/>
              <w:keepLines w:val="0"/>
              <w:pageBreakBefore w:val="0"/>
              <w:kinsoku/>
              <w:wordWrap/>
              <w:overflowPunct/>
              <w:topLinePunct w:val="0"/>
              <w:bidi w:val="0"/>
              <w:snapToGrid/>
              <w:spacing w:line="320" w:lineRule="exact"/>
              <w:ind w:left="0"/>
              <w:jc w:val="center"/>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25.2</w:t>
            </w:r>
          </w:p>
        </w:tc>
        <w:tc>
          <w:tcPr>
            <w:tcW w:w="1850" w:type="dxa"/>
            <w:tcBorders>
              <w:top w:val="single" w:color="auto" w:sz="2" w:space="0"/>
              <w:left w:val="single" w:color="auto" w:sz="2" w:space="0"/>
              <w:bottom w:val="single" w:color="auto" w:sz="2" w:space="0"/>
              <w:right w:val="single" w:color="auto" w:sz="2" w:space="0"/>
            </w:tcBorders>
            <w:vAlign w:val="center"/>
          </w:tcPr>
          <w:p w14:paraId="747E8F82">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解密响应文件的时限</w:t>
            </w:r>
          </w:p>
        </w:tc>
        <w:tc>
          <w:tcPr>
            <w:tcW w:w="5462" w:type="dxa"/>
            <w:tcBorders>
              <w:top w:val="single" w:color="auto" w:sz="2" w:space="0"/>
              <w:left w:val="single" w:color="auto" w:sz="2" w:space="0"/>
              <w:bottom w:val="single" w:color="auto" w:sz="2" w:space="0"/>
              <w:right w:val="single" w:color="auto" w:sz="2" w:space="0"/>
            </w:tcBorders>
            <w:vAlign w:val="center"/>
          </w:tcPr>
          <w:p w14:paraId="308957CA">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不见面开标默认解密时长：</w:t>
            </w:r>
            <w:r>
              <w:rPr>
                <w:rFonts w:hint="eastAsia" w:ascii="宋体" w:hAnsi="宋体" w:eastAsia="宋体" w:cs="宋体"/>
                <w:i w:val="0"/>
                <w:iCs w:val="0"/>
                <w:color w:val="auto"/>
                <w:sz w:val="24"/>
                <w:szCs w:val="24"/>
                <w:highlight w:val="none"/>
                <w:u w:val="single"/>
              </w:rPr>
              <w:t xml:space="preserve"> </w:t>
            </w:r>
            <w:r>
              <w:rPr>
                <w:rFonts w:hint="eastAsia" w:cs="宋体"/>
                <w:i w:val="0"/>
                <w:iCs w:val="0"/>
                <w:color w:val="auto"/>
                <w:sz w:val="24"/>
                <w:szCs w:val="24"/>
                <w:highlight w:val="none"/>
                <w:u w:val="single"/>
                <w:lang w:val="en-US" w:eastAsia="zh-CN"/>
              </w:rPr>
              <w:t>30</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分钟</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 xml:space="preserve"> </w:t>
            </w:r>
          </w:p>
          <w:p w14:paraId="590AA3C2">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lang w:eastAsia="zh-CN"/>
              </w:rPr>
              <w:t>注：</w:t>
            </w:r>
            <w:r>
              <w:rPr>
                <w:rFonts w:hint="eastAsia" w:ascii="宋体" w:hAnsi="宋体" w:eastAsia="宋体" w:cs="宋体"/>
                <w:i w:val="0"/>
                <w:iCs w:val="0"/>
                <w:color w:val="auto"/>
                <w:sz w:val="24"/>
                <w:szCs w:val="24"/>
                <w:highlight w:val="none"/>
              </w:rPr>
              <w:t>除因交易平台发生故障导致响应文件无法按时解密外，</w:t>
            </w:r>
            <w:bookmarkStart w:id="512" w:name="_GoBack"/>
            <w:bookmarkEnd w:id="512"/>
            <w:r>
              <w:rPr>
                <w:rFonts w:hint="eastAsia" w:ascii="宋体" w:hAnsi="宋体" w:eastAsia="宋体" w:cs="宋体"/>
                <w:i w:val="0"/>
                <w:iCs w:val="0"/>
                <w:color w:val="auto"/>
                <w:sz w:val="24"/>
                <w:szCs w:val="24"/>
                <w:highlight w:val="none"/>
              </w:rPr>
              <w:t>响应文件未按时解密的，视为未按规定提交响应文件</w:t>
            </w:r>
            <w:r>
              <w:rPr>
                <w:rFonts w:hint="eastAsia" w:ascii="宋体" w:hAnsi="宋体" w:eastAsia="宋体" w:cs="宋体"/>
                <w:i w:val="0"/>
                <w:iCs w:val="0"/>
                <w:color w:val="auto"/>
                <w:sz w:val="24"/>
                <w:szCs w:val="24"/>
                <w:highlight w:val="none"/>
                <w:lang w:eastAsia="zh-CN"/>
              </w:rPr>
              <w:t>，响应无效。</w:t>
            </w:r>
          </w:p>
        </w:tc>
      </w:tr>
      <w:tr w14:paraId="7A218C8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90" w:hRule="atLeast"/>
          <w:jc w:val="center"/>
        </w:trPr>
        <w:tc>
          <w:tcPr>
            <w:tcW w:w="970" w:type="dxa"/>
            <w:tcBorders>
              <w:top w:val="single" w:color="auto" w:sz="2" w:space="0"/>
              <w:left w:val="single" w:color="auto" w:sz="2" w:space="0"/>
              <w:bottom w:val="single" w:color="auto" w:sz="2" w:space="0"/>
              <w:right w:val="single" w:color="auto" w:sz="2" w:space="0"/>
            </w:tcBorders>
            <w:shd w:val="clear" w:color="auto" w:fill="auto"/>
            <w:vAlign w:val="center"/>
          </w:tcPr>
          <w:p w14:paraId="0A185164">
            <w:pPr>
              <w:pStyle w:val="46"/>
              <w:keepNext w:val="0"/>
              <w:keepLines w:val="0"/>
              <w:pageBreakBefore w:val="0"/>
              <w:kinsoku/>
              <w:wordWrap/>
              <w:overflowPunct/>
              <w:topLinePunct w:val="0"/>
              <w:bidi w:val="0"/>
              <w:snapToGrid/>
              <w:spacing w:line="320" w:lineRule="exact"/>
              <w:jc w:val="center"/>
              <w:textAlignment w:val="auto"/>
              <w:rPr>
                <w:rFonts w:hint="eastAsia" w:ascii="宋体" w:hAnsi="宋体" w:eastAsia="宋体" w:cs="宋体"/>
                <w:i w:val="0"/>
                <w:iCs w:val="0"/>
                <w:color w:val="auto"/>
                <w:sz w:val="24"/>
                <w:szCs w:val="24"/>
                <w:highlight w:val="none"/>
              </w:rPr>
            </w:pPr>
            <w:r>
              <w:rPr>
                <w:rFonts w:hint="eastAsia" w:cs="宋体"/>
                <w:color w:val="auto"/>
                <w:sz w:val="24"/>
                <w:szCs w:val="24"/>
                <w:highlight w:val="none"/>
              </w:rPr>
              <w:t>28</w:t>
            </w:r>
          </w:p>
        </w:tc>
        <w:tc>
          <w:tcPr>
            <w:tcW w:w="1850" w:type="dxa"/>
            <w:tcBorders>
              <w:top w:val="single" w:color="auto" w:sz="2" w:space="0"/>
              <w:left w:val="single" w:color="auto" w:sz="2" w:space="0"/>
              <w:bottom w:val="single" w:color="auto" w:sz="2" w:space="0"/>
              <w:right w:val="single" w:color="auto" w:sz="2" w:space="0"/>
            </w:tcBorders>
            <w:shd w:val="clear" w:color="auto" w:fill="auto"/>
            <w:vAlign w:val="center"/>
          </w:tcPr>
          <w:p w14:paraId="2B55BCA7">
            <w:pPr>
              <w:pStyle w:val="46"/>
              <w:keepNext w:val="0"/>
              <w:keepLines w:val="0"/>
              <w:pageBreakBefore w:val="0"/>
              <w:kinsoku/>
              <w:wordWrap/>
              <w:overflowPunct/>
              <w:topLinePunct w:val="0"/>
              <w:bidi w:val="0"/>
              <w:snapToGrid/>
              <w:spacing w:line="320" w:lineRule="exact"/>
              <w:textAlignment w:val="auto"/>
              <w:rPr>
                <w:rFonts w:hint="eastAsia" w:ascii="宋体" w:hAnsi="宋体" w:eastAsia="宋体" w:cs="宋体"/>
                <w:i w:val="0"/>
                <w:iCs w:val="0"/>
                <w:color w:val="auto"/>
                <w:sz w:val="24"/>
                <w:szCs w:val="24"/>
                <w:highlight w:val="none"/>
              </w:rPr>
            </w:pPr>
            <w:r>
              <w:rPr>
                <w:rFonts w:hint="eastAsia" w:cs="宋体"/>
                <w:color w:val="auto"/>
                <w:sz w:val="24"/>
                <w:szCs w:val="24"/>
                <w:highlight w:val="none"/>
              </w:rPr>
              <w:t>磋商小组组建</w:t>
            </w:r>
          </w:p>
        </w:tc>
        <w:tc>
          <w:tcPr>
            <w:tcW w:w="5462" w:type="dxa"/>
            <w:tcBorders>
              <w:top w:val="single" w:color="auto" w:sz="2" w:space="0"/>
              <w:left w:val="single" w:color="auto" w:sz="2" w:space="0"/>
              <w:bottom w:val="single" w:color="auto" w:sz="2" w:space="0"/>
              <w:right w:val="single" w:color="auto" w:sz="2" w:space="0"/>
            </w:tcBorders>
            <w:shd w:val="clear" w:color="auto" w:fill="auto"/>
            <w:vAlign w:val="center"/>
          </w:tcPr>
          <w:p w14:paraId="02CDA02C">
            <w:pPr>
              <w:pStyle w:val="46"/>
              <w:keepNext w:val="0"/>
              <w:keepLines w:val="0"/>
              <w:pageBreakBefore w:val="0"/>
              <w:kinsoku/>
              <w:wordWrap/>
              <w:overflowPunct/>
              <w:topLinePunct w:val="0"/>
              <w:bidi w:val="0"/>
              <w:snapToGrid/>
              <w:spacing w:line="320" w:lineRule="exact"/>
              <w:textAlignment w:val="auto"/>
              <w:rPr>
                <w:rFonts w:hint="eastAsia" w:ascii="宋体" w:hAnsi="宋体" w:eastAsia="宋体" w:cs="宋体"/>
                <w:i w:val="0"/>
                <w:iCs w:val="0"/>
                <w:color w:val="auto"/>
                <w:sz w:val="24"/>
                <w:szCs w:val="24"/>
                <w:highlight w:val="none"/>
                <w:lang w:eastAsia="zh-CN"/>
              </w:rPr>
            </w:pPr>
            <w:r>
              <w:rPr>
                <w:rFonts w:hint="eastAsia" w:cs="宋体"/>
                <w:color w:val="auto"/>
                <w:sz w:val="24"/>
                <w:szCs w:val="24"/>
                <w:highlight w:val="none"/>
              </w:rPr>
              <w:t>磋商小组构成：3人，其中业主代表1人，专家2人。评标专家确定方式：由采购代理机构在磋商前24小时内在政采云专家中随机抽取此次评标专家。</w:t>
            </w:r>
          </w:p>
        </w:tc>
      </w:tr>
      <w:tr w14:paraId="55F302E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538" w:hRule="atLeast"/>
          <w:jc w:val="center"/>
        </w:trPr>
        <w:tc>
          <w:tcPr>
            <w:tcW w:w="970" w:type="dxa"/>
            <w:tcBorders>
              <w:top w:val="single" w:color="auto" w:sz="2" w:space="0"/>
              <w:left w:val="single" w:color="auto" w:sz="2" w:space="0"/>
              <w:bottom w:val="single" w:color="auto" w:sz="2" w:space="0"/>
              <w:right w:val="single" w:color="auto" w:sz="2" w:space="0"/>
            </w:tcBorders>
            <w:vAlign w:val="center"/>
          </w:tcPr>
          <w:p w14:paraId="0A512A01">
            <w:pPr>
              <w:pStyle w:val="46"/>
              <w:keepNext w:val="0"/>
              <w:keepLines w:val="0"/>
              <w:pageBreakBefore w:val="0"/>
              <w:kinsoku/>
              <w:wordWrap/>
              <w:overflowPunct/>
              <w:topLinePunct w:val="0"/>
              <w:bidi w:val="0"/>
              <w:snapToGrid/>
              <w:spacing w:line="320" w:lineRule="exact"/>
              <w:ind w:left="0"/>
              <w:jc w:val="center"/>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29.2</w:t>
            </w:r>
          </w:p>
        </w:tc>
        <w:tc>
          <w:tcPr>
            <w:tcW w:w="1850" w:type="dxa"/>
            <w:tcBorders>
              <w:top w:val="single" w:color="auto" w:sz="2" w:space="0"/>
              <w:left w:val="single" w:color="auto" w:sz="2" w:space="0"/>
              <w:bottom w:val="single" w:color="auto" w:sz="2" w:space="0"/>
              <w:right w:val="single" w:color="auto" w:sz="2" w:space="0"/>
            </w:tcBorders>
            <w:vAlign w:val="center"/>
          </w:tcPr>
          <w:p w14:paraId="3B1D8DC9">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推荐成交候选供应商</w:t>
            </w:r>
          </w:p>
        </w:tc>
        <w:tc>
          <w:tcPr>
            <w:tcW w:w="5462" w:type="dxa"/>
            <w:tcBorders>
              <w:top w:val="single" w:color="auto" w:sz="2" w:space="0"/>
              <w:left w:val="single" w:color="auto" w:sz="2" w:space="0"/>
              <w:bottom w:val="single" w:color="auto" w:sz="2" w:space="0"/>
              <w:right w:val="single" w:color="auto" w:sz="2" w:space="0"/>
            </w:tcBorders>
            <w:vAlign w:val="center"/>
          </w:tcPr>
          <w:p w14:paraId="67201373">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lang w:val="en-US" w:eastAsia="zh-CN"/>
              </w:rPr>
              <w:t>成交候选供应商数量</w:t>
            </w:r>
            <w:r>
              <w:rPr>
                <w:rFonts w:hint="eastAsia" w:ascii="宋体" w:hAnsi="宋体" w:eastAsia="宋体" w:cs="宋体"/>
                <w:i w:val="0"/>
                <w:iCs w:val="0"/>
                <w:color w:val="auto"/>
                <w:sz w:val="24"/>
                <w:szCs w:val="24"/>
                <w:highlight w:val="none"/>
                <w:u w:val="single"/>
                <w:lang w:val="en-US" w:eastAsia="zh-CN"/>
              </w:rPr>
              <w:t xml:space="preserve"> </w:t>
            </w:r>
            <w:r>
              <w:rPr>
                <w:rFonts w:hint="eastAsia" w:cs="宋体"/>
                <w:i w:val="0"/>
                <w:iCs w:val="0"/>
                <w:color w:val="auto"/>
                <w:sz w:val="24"/>
                <w:szCs w:val="24"/>
                <w:highlight w:val="none"/>
                <w:u w:val="single"/>
                <w:lang w:val="en-US" w:eastAsia="zh-CN"/>
              </w:rPr>
              <w:t>3</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none"/>
                <w:lang w:val="en-US" w:eastAsia="zh-CN"/>
              </w:rPr>
              <w:t>家</w:t>
            </w:r>
          </w:p>
        </w:tc>
      </w:tr>
      <w:tr w14:paraId="15B571E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1061" w:hRule="atLeast"/>
          <w:jc w:val="center"/>
        </w:trPr>
        <w:tc>
          <w:tcPr>
            <w:tcW w:w="970" w:type="dxa"/>
            <w:tcBorders>
              <w:top w:val="single" w:color="auto" w:sz="2" w:space="0"/>
              <w:left w:val="single" w:color="auto" w:sz="2" w:space="0"/>
              <w:bottom w:val="single" w:color="auto" w:sz="2" w:space="0"/>
              <w:right w:val="single" w:color="auto" w:sz="2" w:space="0"/>
            </w:tcBorders>
            <w:vAlign w:val="center"/>
          </w:tcPr>
          <w:p w14:paraId="37AC9C03">
            <w:pPr>
              <w:pStyle w:val="46"/>
              <w:keepNext w:val="0"/>
              <w:keepLines w:val="0"/>
              <w:pageBreakBefore w:val="0"/>
              <w:kinsoku/>
              <w:wordWrap/>
              <w:overflowPunct/>
              <w:topLinePunct w:val="0"/>
              <w:bidi w:val="0"/>
              <w:snapToGrid/>
              <w:spacing w:line="320" w:lineRule="exact"/>
              <w:ind w:left="0"/>
              <w:jc w:val="center"/>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lang w:val="en-US" w:eastAsia="zh-CN"/>
              </w:rPr>
              <w:t>30</w:t>
            </w:r>
            <w:r>
              <w:rPr>
                <w:rFonts w:hint="eastAsia" w:ascii="宋体" w:hAnsi="宋体" w:eastAsia="宋体" w:cs="宋体"/>
                <w:i w:val="0"/>
                <w:iCs w:val="0"/>
                <w:color w:val="auto"/>
                <w:sz w:val="24"/>
                <w:szCs w:val="24"/>
                <w:highlight w:val="none"/>
              </w:rPr>
              <w:t>.1</w:t>
            </w:r>
          </w:p>
        </w:tc>
        <w:tc>
          <w:tcPr>
            <w:tcW w:w="1850" w:type="dxa"/>
            <w:tcBorders>
              <w:top w:val="single" w:color="auto" w:sz="2" w:space="0"/>
              <w:left w:val="single" w:color="auto" w:sz="2" w:space="0"/>
              <w:bottom w:val="single" w:color="auto" w:sz="2" w:space="0"/>
              <w:right w:val="single" w:color="auto" w:sz="2" w:space="0"/>
            </w:tcBorders>
            <w:vAlign w:val="center"/>
          </w:tcPr>
          <w:p w14:paraId="7F769072">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确定成交供应商</w:t>
            </w:r>
          </w:p>
        </w:tc>
        <w:tc>
          <w:tcPr>
            <w:tcW w:w="5462" w:type="dxa"/>
            <w:tcBorders>
              <w:top w:val="single" w:color="auto" w:sz="2" w:space="0"/>
              <w:left w:val="single" w:color="auto" w:sz="2" w:space="0"/>
              <w:bottom w:val="single" w:color="auto" w:sz="2" w:space="0"/>
              <w:right w:val="single" w:color="auto" w:sz="2" w:space="0"/>
            </w:tcBorders>
            <w:vAlign w:val="center"/>
          </w:tcPr>
          <w:p w14:paraId="59D1D95D">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sym w:font="Wingdings" w:char="00FE"/>
            </w:r>
            <w:r>
              <w:rPr>
                <w:rFonts w:hint="eastAsia" w:ascii="宋体" w:hAnsi="宋体" w:eastAsia="宋体" w:cs="宋体"/>
                <w:i w:val="0"/>
                <w:iCs w:val="0"/>
                <w:color w:val="auto"/>
                <w:sz w:val="24"/>
                <w:szCs w:val="24"/>
                <w:highlight w:val="none"/>
              </w:rPr>
              <w:t>采购人</w:t>
            </w:r>
            <w:r>
              <w:rPr>
                <w:rFonts w:hint="eastAsia" w:ascii="宋体" w:hAnsi="宋体" w:eastAsia="宋体" w:cs="宋体"/>
                <w:i w:val="0"/>
                <w:iCs w:val="0"/>
                <w:color w:val="auto"/>
                <w:sz w:val="24"/>
                <w:szCs w:val="24"/>
                <w:highlight w:val="none"/>
                <w:lang w:eastAsia="zh-CN"/>
              </w:rPr>
              <w:t>在</w:t>
            </w:r>
            <w:r>
              <w:rPr>
                <w:rFonts w:hint="eastAsia" w:ascii="宋体" w:hAnsi="宋体" w:eastAsia="宋体" w:cs="宋体"/>
                <w:i w:val="0"/>
                <w:iCs w:val="0"/>
                <w:color w:val="auto"/>
                <w:sz w:val="24"/>
                <w:szCs w:val="24"/>
                <w:highlight w:val="none"/>
              </w:rPr>
              <w:t>收到评审报告后5个工作日内，按评审报告中推荐的成交候选人排序确定成交供应商。</w:t>
            </w:r>
          </w:p>
          <w:p w14:paraId="481AA3BC">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sym w:font="Wingdings" w:char="00A8"/>
            </w:r>
            <w:r>
              <w:rPr>
                <w:rFonts w:hint="eastAsia" w:ascii="宋体" w:hAnsi="宋体" w:eastAsia="宋体" w:cs="宋体"/>
                <w:i w:val="0"/>
                <w:iCs w:val="0"/>
                <w:color w:val="auto"/>
                <w:sz w:val="24"/>
                <w:szCs w:val="24"/>
                <w:highlight w:val="none"/>
              </w:rPr>
              <w:t>采购人委托磋商小组直接确定成交供应商。</w:t>
            </w:r>
          </w:p>
        </w:tc>
      </w:tr>
      <w:tr w14:paraId="024268E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3745" w:hRule="atLeast"/>
          <w:jc w:val="center"/>
        </w:trPr>
        <w:tc>
          <w:tcPr>
            <w:tcW w:w="970" w:type="dxa"/>
            <w:tcBorders>
              <w:top w:val="single" w:color="auto" w:sz="2" w:space="0"/>
              <w:left w:val="single" w:color="auto" w:sz="2" w:space="0"/>
              <w:bottom w:val="single" w:color="auto" w:sz="2" w:space="0"/>
              <w:right w:val="single" w:color="auto" w:sz="2" w:space="0"/>
            </w:tcBorders>
            <w:vAlign w:val="center"/>
          </w:tcPr>
          <w:p w14:paraId="027ED33D">
            <w:pPr>
              <w:pStyle w:val="46"/>
              <w:keepNext w:val="0"/>
              <w:keepLines w:val="0"/>
              <w:pageBreakBefore w:val="0"/>
              <w:kinsoku/>
              <w:wordWrap/>
              <w:overflowPunct/>
              <w:topLinePunct w:val="0"/>
              <w:bidi w:val="0"/>
              <w:snapToGrid/>
              <w:spacing w:line="320" w:lineRule="exact"/>
              <w:ind w:left="0"/>
              <w:jc w:val="center"/>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3</w:t>
            </w:r>
            <w:r>
              <w:rPr>
                <w:rFonts w:hint="eastAsia" w:ascii="宋体" w:hAnsi="宋体" w:eastAsia="宋体" w:cs="宋体"/>
                <w:i w:val="0"/>
                <w:iCs w:val="0"/>
                <w:color w:val="auto"/>
                <w:sz w:val="24"/>
                <w:szCs w:val="24"/>
                <w:highlight w:val="none"/>
                <w:lang w:val="en-US" w:eastAsia="zh-CN"/>
              </w:rPr>
              <w:t>3</w:t>
            </w:r>
            <w:r>
              <w:rPr>
                <w:rFonts w:hint="eastAsia" w:ascii="宋体" w:hAnsi="宋体" w:eastAsia="宋体" w:cs="宋体"/>
                <w:i w:val="0"/>
                <w:iCs w:val="0"/>
                <w:color w:val="auto"/>
                <w:sz w:val="24"/>
                <w:szCs w:val="24"/>
                <w:highlight w:val="none"/>
              </w:rPr>
              <w:t>.1</w:t>
            </w:r>
          </w:p>
        </w:tc>
        <w:tc>
          <w:tcPr>
            <w:tcW w:w="1850" w:type="dxa"/>
            <w:tcBorders>
              <w:top w:val="single" w:color="auto" w:sz="2" w:space="0"/>
              <w:left w:val="single" w:color="auto" w:sz="2" w:space="0"/>
              <w:bottom w:val="single" w:color="auto" w:sz="2" w:space="0"/>
              <w:right w:val="single" w:color="auto" w:sz="2" w:space="0"/>
            </w:tcBorders>
            <w:vAlign w:val="center"/>
          </w:tcPr>
          <w:p w14:paraId="6AB44AED">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履约保证金</w:t>
            </w:r>
          </w:p>
        </w:tc>
        <w:tc>
          <w:tcPr>
            <w:tcW w:w="5462" w:type="dxa"/>
            <w:tcBorders>
              <w:top w:val="single" w:color="auto" w:sz="2" w:space="0"/>
              <w:left w:val="single" w:color="auto" w:sz="2" w:space="0"/>
              <w:bottom w:val="single" w:color="auto" w:sz="2" w:space="0"/>
              <w:right w:val="single" w:color="auto" w:sz="2" w:space="0"/>
            </w:tcBorders>
            <w:vAlign w:val="center"/>
          </w:tcPr>
          <w:p w14:paraId="08247B4B">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w:t>
            </w:r>
            <w:r>
              <w:rPr>
                <w:rFonts w:hint="eastAsia" w:ascii="宋体" w:hAnsi="宋体" w:eastAsia="宋体" w:cs="宋体"/>
                <w:i w:val="0"/>
                <w:iCs w:val="0"/>
                <w:color w:val="auto"/>
                <w:sz w:val="24"/>
                <w:szCs w:val="24"/>
                <w:highlight w:val="none"/>
                <w:lang w:val="en-US" w:eastAsia="zh-CN"/>
              </w:rPr>
              <w:t>.</w:t>
            </w:r>
            <w:r>
              <w:rPr>
                <w:rFonts w:hint="eastAsia" w:ascii="宋体" w:hAnsi="宋体" w:eastAsia="宋体" w:cs="宋体"/>
                <w:i w:val="0"/>
                <w:iCs w:val="0"/>
                <w:color w:val="auto"/>
                <w:sz w:val="24"/>
                <w:szCs w:val="24"/>
                <w:highlight w:val="none"/>
              </w:rPr>
              <w:t>金额：</w:t>
            </w:r>
          </w:p>
          <w:p w14:paraId="18E8C640">
            <w:pPr>
              <w:pStyle w:val="46"/>
              <w:keepNext w:val="0"/>
              <w:keepLines w:val="0"/>
              <w:pageBreakBefore w:val="0"/>
              <w:kinsoku/>
              <w:wordWrap/>
              <w:overflowPunct/>
              <w:topLinePunct w:val="0"/>
              <w:bidi w:val="0"/>
              <w:snapToGrid/>
              <w:spacing w:line="320" w:lineRule="exact"/>
              <w:ind w:left="0" w:firstLine="240" w:firstLineChars="100"/>
              <w:textAlignment w:val="auto"/>
              <w:rPr>
                <w:rFonts w:hint="eastAsia" w:ascii="宋体" w:hAnsi="宋体" w:eastAsia="宋体" w:cs="宋体"/>
                <w:i w:val="0"/>
                <w:iCs w:val="0"/>
                <w:color w:val="auto"/>
                <w:sz w:val="24"/>
                <w:szCs w:val="24"/>
                <w:highlight w:val="none"/>
              </w:rPr>
            </w:pPr>
            <w:r>
              <w:rPr>
                <w:rFonts w:hint="eastAsia"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免收</w:t>
            </w:r>
          </w:p>
          <w:p w14:paraId="45051CB9">
            <w:pPr>
              <w:pStyle w:val="46"/>
              <w:keepNext w:val="0"/>
              <w:keepLines w:val="0"/>
              <w:pageBreakBefore w:val="0"/>
              <w:kinsoku/>
              <w:wordWrap/>
              <w:overflowPunct/>
              <w:topLinePunct w:val="0"/>
              <w:bidi w:val="0"/>
              <w:snapToGrid/>
              <w:spacing w:line="320" w:lineRule="exact"/>
              <w:ind w:left="0" w:firstLine="240" w:firstLineChars="100"/>
              <w:textAlignment w:val="auto"/>
              <w:rPr>
                <w:rFonts w:hint="eastAsia" w:ascii="宋体" w:hAnsi="宋体" w:eastAsia="宋体" w:cs="宋体"/>
                <w:i w:val="0"/>
                <w:iCs w:val="0"/>
                <w:color w:val="auto"/>
                <w:sz w:val="24"/>
                <w:szCs w:val="24"/>
                <w:highlight w:val="none"/>
              </w:rPr>
            </w:pPr>
            <w:r>
              <w:rPr>
                <w:rFonts w:hint="eastAsia"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合同价的</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 xml:space="preserve">  </w:t>
            </w:r>
            <w:r>
              <w:rPr>
                <w:rFonts w:hint="eastAsia" w:cs="宋体"/>
                <w:i w:val="0"/>
                <w:iCs w:val="0"/>
                <w:color w:val="auto"/>
                <w:sz w:val="24"/>
                <w:szCs w:val="24"/>
                <w:highlight w:val="none"/>
                <w:u w:val="single"/>
                <w:lang w:val="en-US" w:eastAsia="zh-CN"/>
              </w:rPr>
              <w:t>10</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single"/>
              </w:rPr>
              <w:t xml:space="preserve"> %</w:t>
            </w:r>
          </w:p>
          <w:p w14:paraId="77DCE896">
            <w:pPr>
              <w:pStyle w:val="46"/>
              <w:keepNext w:val="0"/>
              <w:keepLines w:val="0"/>
              <w:pageBreakBefore w:val="0"/>
              <w:kinsoku/>
              <w:wordWrap/>
              <w:overflowPunct/>
              <w:topLinePunct w:val="0"/>
              <w:bidi w:val="0"/>
              <w:snapToGrid/>
              <w:spacing w:line="320" w:lineRule="exact"/>
              <w:ind w:left="0" w:firstLine="240" w:firstLineChars="1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□定额收取：</w:t>
            </w:r>
            <w:r>
              <w:rPr>
                <w:rFonts w:hint="eastAsia" w:ascii="宋体" w:hAnsi="宋体" w:eastAsia="宋体" w:cs="宋体"/>
                <w:i w:val="0"/>
                <w:iCs w:val="0"/>
                <w:color w:val="auto"/>
                <w:sz w:val="24"/>
                <w:szCs w:val="24"/>
                <w:highlight w:val="none"/>
                <w:u w:val="single"/>
              </w:rPr>
              <w:t>人民币 元</w:t>
            </w:r>
          </w:p>
          <w:p w14:paraId="601DBCCC">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2</w:t>
            </w:r>
            <w:r>
              <w:rPr>
                <w:rFonts w:hint="eastAsia" w:ascii="宋体" w:hAnsi="宋体" w:eastAsia="宋体" w:cs="宋体"/>
                <w:i w:val="0"/>
                <w:iCs w:val="0"/>
                <w:color w:val="auto"/>
                <w:sz w:val="24"/>
                <w:szCs w:val="24"/>
                <w:highlight w:val="none"/>
                <w:lang w:val="en-US" w:eastAsia="zh-CN"/>
              </w:rPr>
              <w:t>.</w:t>
            </w:r>
            <w:r>
              <w:rPr>
                <w:rFonts w:hint="eastAsia" w:ascii="宋体" w:hAnsi="宋体" w:eastAsia="宋体" w:cs="宋体"/>
                <w:i w:val="0"/>
                <w:iCs w:val="0"/>
                <w:color w:val="auto"/>
                <w:sz w:val="24"/>
                <w:szCs w:val="24"/>
                <w:highlight w:val="none"/>
              </w:rPr>
              <w:t>支付方式：</w:t>
            </w:r>
          </w:p>
          <w:p w14:paraId="012A090E">
            <w:pPr>
              <w:pStyle w:val="56"/>
              <w:keepNext w:val="0"/>
              <w:keepLines w:val="0"/>
              <w:pageBreakBefore w:val="0"/>
              <w:widowControl w:val="0"/>
              <w:shd w:val="clear" w:color="auto" w:fill="auto"/>
              <w:kinsoku/>
              <w:wordWrap/>
              <w:overflowPunct/>
              <w:topLinePunct w:val="0"/>
              <w:autoSpaceDE/>
              <w:autoSpaceDN/>
              <w:bidi w:val="0"/>
              <w:adjustRightInd/>
              <w:snapToGrid/>
              <w:spacing w:line="320" w:lineRule="exact"/>
              <w:ind w:left="0" w:firstLine="240" w:firstLineChars="1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lang w:val="en-US" w:eastAsia="zh-CN"/>
              </w:rPr>
              <w:t>供应商可自主选择以支票、汇票、本票、电汇、转账、网银、保函等非现金形式缴纳或提交保证金。</w:t>
            </w:r>
            <w:r>
              <w:rPr>
                <w:rFonts w:hint="eastAsia" w:ascii="宋体" w:hAnsi="宋体" w:eastAsia="宋体" w:cs="宋体"/>
                <w:i w:val="0"/>
                <w:iCs w:val="0"/>
                <w:color w:val="auto"/>
                <w:sz w:val="24"/>
                <w:szCs w:val="24"/>
                <w:highlight w:val="none"/>
              </w:rPr>
              <w:t xml:space="preserve">            </w:t>
            </w:r>
          </w:p>
          <w:p w14:paraId="669D6D76">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b/>
                <w:bCs/>
                <w:i w:val="0"/>
                <w:iCs w:val="0"/>
                <w:color w:val="auto"/>
                <w:sz w:val="24"/>
                <w:szCs w:val="24"/>
                <w:highlight w:val="none"/>
              </w:rPr>
            </w:pPr>
            <w:r>
              <w:rPr>
                <w:rFonts w:hint="eastAsia" w:ascii="宋体" w:hAnsi="宋体" w:eastAsia="宋体" w:cs="宋体"/>
                <w:b/>
                <w:bCs/>
                <w:i w:val="0"/>
                <w:iCs w:val="0"/>
                <w:color w:val="auto"/>
                <w:sz w:val="24"/>
                <w:szCs w:val="24"/>
                <w:highlight w:val="none"/>
              </w:rPr>
              <w:t>注意事项：</w:t>
            </w:r>
          </w:p>
          <w:p w14:paraId="2E2158BA">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lang w:val="en-US" w:eastAsia="zh-CN"/>
              </w:rPr>
              <w:t xml:space="preserve">  </w:t>
            </w:r>
            <w:r>
              <w:rPr>
                <w:rFonts w:hint="eastAsia" w:ascii="宋体" w:hAnsi="宋体" w:eastAsia="宋体" w:cs="宋体"/>
                <w:i w:val="0"/>
                <w:iCs w:val="0"/>
                <w:color w:val="auto"/>
                <w:sz w:val="24"/>
                <w:szCs w:val="24"/>
                <w:highlight w:val="none"/>
              </w:rPr>
              <w:t>1</w:t>
            </w:r>
            <w:r>
              <w:rPr>
                <w:rFonts w:hint="eastAsia" w:ascii="宋体" w:hAnsi="宋体" w:eastAsia="宋体" w:cs="宋体"/>
                <w:i w:val="0"/>
                <w:iCs w:val="0"/>
                <w:color w:val="auto"/>
                <w:sz w:val="24"/>
                <w:szCs w:val="24"/>
                <w:highlight w:val="none"/>
                <w:lang w:val="en-US" w:eastAsia="zh-CN"/>
              </w:rPr>
              <w:t>.</w:t>
            </w:r>
            <w:r>
              <w:rPr>
                <w:rFonts w:hint="eastAsia" w:ascii="宋体" w:hAnsi="宋体" w:eastAsia="宋体" w:cs="宋体"/>
                <w:i w:val="0"/>
                <w:iCs w:val="0"/>
                <w:color w:val="auto"/>
                <w:sz w:val="24"/>
                <w:szCs w:val="24"/>
                <w:highlight w:val="none"/>
              </w:rPr>
              <w:t>以上各类机构出具的以担保函、保证保险承担责任的方式均须满足无条件见索即付条件。</w:t>
            </w:r>
          </w:p>
          <w:p w14:paraId="158E6C8E">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lang w:val="en-US" w:eastAsia="zh-CN"/>
              </w:rPr>
              <w:t xml:space="preserve">  </w:t>
            </w:r>
            <w:r>
              <w:rPr>
                <w:rFonts w:hint="eastAsia" w:ascii="宋体" w:hAnsi="宋体" w:eastAsia="宋体" w:cs="宋体"/>
                <w:i w:val="0"/>
                <w:iCs w:val="0"/>
                <w:color w:val="auto"/>
                <w:sz w:val="24"/>
                <w:szCs w:val="24"/>
                <w:highlight w:val="none"/>
              </w:rPr>
              <w:t>2</w:t>
            </w:r>
            <w:r>
              <w:rPr>
                <w:rFonts w:hint="eastAsia" w:ascii="宋体" w:hAnsi="宋体" w:eastAsia="宋体" w:cs="宋体"/>
                <w:i w:val="0"/>
                <w:iCs w:val="0"/>
                <w:color w:val="auto"/>
                <w:sz w:val="24"/>
                <w:szCs w:val="24"/>
                <w:highlight w:val="none"/>
                <w:lang w:val="en-US" w:eastAsia="zh-CN"/>
              </w:rPr>
              <w:t>.</w:t>
            </w:r>
            <w:r>
              <w:rPr>
                <w:rFonts w:hint="eastAsia" w:ascii="宋体" w:hAnsi="宋体" w:eastAsia="宋体" w:cs="宋体"/>
                <w:i w:val="0"/>
                <w:iCs w:val="0"/>
                <w:color w:val="auto"/>
                <w:sz w:val="24"/>
                <w:szCs w:val="24"/>
                <w:highlight w:val="none"/>
              </w:rPr>
              <w:t>以担保函、保证保险形式缴纳履约保证金的，受益人和收取单位须为采购人。</w:t>
            </w:r>
          </w:p>
        </w:tc>
      </w:tr>
      <w:tr w14:paraId="64B5E43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1901" w:hRule="atLeast"/>
          <w:jc w:val="center"/>
        </w:trPr>
        <w:tc>
          <w:tcPr>
            <w:tcW w:w="970" w:type="dxa"/>
            <w:tcBorders>
              <w:top w:val="single" w:color="auto" w:sz="2" w:space="0"/>
              <w:left w:val="single" w:color="auto" w:sz="2" w:space="0"/>
              <w:bottom w:val="single" w:color="auto" w:sz="2" w:space="0"/>
              <w:right w:val="single" w:color="auto" w:sz="2" w:space="0"/>
            </w:tcBorders>
            <w:vAlign w:val="center"/>
          </w:tcPr>
          <w:p w14:paraId="0861755C">
            <w:pPr>
              <w:pStyle w:val="46"/>
              <w:keepNext w:val="0"/>
              <w:keepLines w:val="0"/>
              <w:pageBreakBefore w:val="0"/>
              <w:kinsoku/>
              <w:wordWrap/>
              <w:overflowPunct/>
              <w:topLinePunct w:val="0"/>
              <w:bidi w:val="0"/>
              <w:snapToGrid/>
              <w:spacing w:line="320" w:lineRule="exact"/>
              <w:ind w:left="0"/>
              <w:jc w:val="center"/>
              <w:textAlignment w:val="auto"/>
              <w:rPr>
                <w:rFonts w:hint="eastAsia" w:ascii="宋体" w:hAnsi="宋体" w:eastAsia="宋体" w:cs="宋体"/>
                <w:i w:val="0"/>
                <w:iCs w:val="0"/>
                <w:color w:val="auto"/>
                <w:kern w:val="2"/>
                <w:sz w:val="24"/>
                <w:szCs w:val="24"/>
                <w:highlight w:val="none"/>
                <w:lang w:val="en-US" w:eastAsia="zh-CN" w:bidi="ar-SA"/>
              </w:rPr>
            </w:pPr>
            <w:r>
              <w:rPr>
                <w:rFonts w:hint="eastAsia" w:ascii="宋体" w:hAnsi="宋体" w:eastAsia="宋体" w:cs="宋体"/>
                <w:i w:val="0"/>
                <w:iCs w:val="0"/>
                <w:color w:val="auto"/>
                <w:sz w:val="24"/>
                <w:szCs w:val="24"/>
                <w:highlight w:val="none"/>
                <w:lang w:val="en-US" w:eastAsia="zh-CN"/>
              </w:rPr>
              <w:t>34.5</w:t>
            </w:r>
          </w:p>
        </w:tc>
        <w:tc>
          <w:tcPr>
            <w:tcW w:w="1850" w:type="dxa"/>
            <w:tcBorders>
              <w:top w:val="single" w:color="auto" w:sz="2" w:space="0"/>
              <w:left w:val="single" w:color="auto" w:sz="2" w:space="0"/>
              <w:bottom w:val="single" w:color="auto" w:sz="2" w:space="0"/>
              <w:right w:val="single" w:color="auto" w:sz="2" w:space="0"/>
            </w:tcBorders>
            <w:vAlign w:val="center"/>
          </w:tcPr>
          <w:p w14:paraId="04D9510B">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kern w:val="2"/>
                <w:sz w:val="24"/>
                <w:szCs w:val="24"/>
                <w:highlight w:val="none"/>
                <w:lang w:val="en-US" w:eastAsia="zh-CN" w:bidi="ar-SA"/>
              </w:rPr>
            </w:pPr>
            <w:r>
              <w:rPr>
                <w:rFonts w:hint="eastAsia" w:ascii="宋体" w:hAnsi="宋体" w:eastAsia="宋体" w:cs="宋体"/>
                <w:i w:val="0"/>
                <w:iCs w:val="0"/>
                <w:color w:val="auto"/>
                <w:sz w:val="24"/>
                <w:szCs w:val="24"/>
                <w:highlight w:val="none"/>
              </w:rPr>
              <w:t>合同分包</w:t>
            </w:r>
          </w:p>
        </w:tc>
        <w:tc>
          <w:tcPr>
            <w:tcW w:w="5462" w:type="dxa"/>
            <w:tcBorders>
              <w:top w:val="single" w:color="auto" w:sz="2" w:space="0"/>
              <w:left w:val="single" w:color="auto" w:sz="2" w:space="0"/>
              <w:bottom w:val="single" w:color="auto" w:sz="2" w:space="0"/>
              <w:right w:val="single" w:color="auto" w:sz="2" w:space="0"/>
            </w:tcBorders>
            <w:vAlign w:val="center"/>
          </w:tcPr>
          <w:p w14:paraId="4344EC45">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kern w:val="2"/>
                <w:sz w:val="24"/>
                <w:szCs w:val="24"/>
                <w:highlight w:val="none"/>
                <w:lang w:val="en-US" w:eastAsia="zh-CN" w:bidi="ar-SA"/>
              </w:rPr>
            </w:pPr>
            <w:r>
              <w:rPr>
                <w:rFonts w:hint="eastAsia" w:ascii="宋体" w:hAnsi="宋体" w:eastAsia="宋体" w:cs="宋体"/>
                <w:i w:val="0"/>
                <w:iCs w:val="0"/>
                <w:color w:val="auto"/>
                <w:kern w:val="2"/>
                <w:sz w:val="24"/>
                <w:szCs w:val="24"/>
                <w:highlight w:val="none"/>
                <w:lang w:val="en-US" w:eastAsia="zh-CN" w:bidi="ar-SA"/>
              </w:rPr>
              <w:t xml:space="preserve">本项目的非主体、非关键性工作是否允许分包： </w:t>
            </w:r>
          </w:p>
          <w:p w14:paraId="3D901FC0">
            <w:pPr>
              <w:pStyle w:val="46"/>
              <w:keepNext w:val="0"/>
              <w:keepLines w:val="0"/>
              <w:pageBreakBefore w:val="0"/>
              <w:kinsoku/>
              <w:wordWrap/>
              <w:overflowPunct/>
              <w:topLinePunct w:val="0"/>
              <w:bidi w:val="0"/>
              <w:snapToGrid/>
              <w:spacing w:line="320" w:lineRule="exact"/>
              <w:ind w:left="0" w:firstLine="480" w:firstLineChars="200"/>
              <w:textAlignment w:val="auto"/>
              <w:rPr>
                <w:rFonts w:hint="eastAsia" w:ascii="宋体" w:hAnsi="宋体" w:eastAsia="宋体" w:cs="宋体"/>
                <w:i w:val="0"/>
                <w:iCs w:val="0"/>
                <w:color w:val="auto"/>
                <w:kern w:val="2"/>
                <w:sz w:val="24"/>
                <w:szCs w:val="24"/>
                <w:highlight w:val="none"/>
                <w:lang w:val="en-US" w:eastAsia="zh-CN" w:bidi="ar-SA"/>
              </w:rPr>
            </w:pPr>
            <w:r>
              <w:rPr>
                <w:rFonts w:hint="eastAsia" w:cs="宋体"/>
                <w:i w:val="0"/>
                <w:iCs w:val="0"/>
                <w:color w:val="auto"/>
                <w:kern w:val="2"/>
                <w:sz w:val="24"/>
                <w:szCs w:val="24"/>
                <w:highlight w:val="none"/>
                <w:lang w:val="en-US" w:eastAsia="zh-CN" w:bidi="ar-SA"/>
              </w:rPr>
              <w:t>☑</w:t>
            </w:r>
            <w:r>
              <w:rPr>
                <w:rFonts w:hint="eastAsia" w:ascii="宋体" w:hAnsi="宋体" w:eastAsia="宋体" w:cs="宋体"/>
                <w:i w:val="0"/>
                <w:iCs w:val="0"/>
                <w:color w:val="auto"/>
                <w:kern w:val="2"/>
                <w:sz w:val="24"/>
                <w:szCs w:val="24"/>
                <w:highlight w:val="none"/>
                <w:lang w:val="en-US" w:eastAsia="zh-CN" w:bidi="ar-SA"/>
              </w:rPr>
              <w:t xml:space="preserve">不允许 </w:t>
            </w:r>
          </w:p>
          <w:p w14:paraId="56DFA0F7">
            <w:pPr>
              <w:pStyle w:val="46"/>
              <w:keepNext w:val="0"/>
              <w:keepLines w:val="0"/>
              <w:pageBreakBefore w:val="0"/>
              <w:kinsoku/>
              <w:wordWrap/>
              <w:overflowPunct/>
              <w:topLinePunct w:val="0"/>
              <w:bidi w:val="0"/>
              <w:snapToGrid/>
              <w:spacing w:line="320" w:lineRule="exact"/>
              <w:ind w:left="0" w:firstLine="480" w:firstLineChars="200"/>
              <w:textAlignment w:val="auto"/>
              <w:rPr>
                <w:rFonts w:hint="eastAsia" w:ascii="宋体" w:hAnsi="宋体" w:eastAsia="宋体" w:cs="宋体"/>
                <w:i w:val="0"/>
                <w:iCs w:val="0"/>
                <w:color w:val="auto"/>
                <w:kern w:val="2"/>
                <w:sz w:val="24"/>
                <w:szCs w:val="24"/>
                <w:highlight w:val="none"/>
                <w:lang w:val="en-US" w:eastAsia="zh-CN" w:bidi="ar-SA"/>
              </w:rPr>
            </w:pPr>
            <w:r>
              <w:rPr>
                <w:rFonts w:hint="eastAsia" w:ascii="宋体" w:hAnsi="宋体" w:eastAsia="宋体" w:cs="宋体"/>
                <w:i w:val="0"/>
                <w:iCs w:val="0"/>
                <w:color w:val="auto"/>
                <w:kern w:val="2"/>
                <w:sz w:val="24"/>
                <w:szCs w:val="24"/>
                <w:highlight w:val="none"/>
                <w:lang w:val="en-US" w:eastAsia="zh-CN" w:bidi="ar-SA"/>
              </w:rPr>
              <w:t xml:space="preserve">□允许，具体要求： </w:t>
            </w:r>
          </w:p>
          <w:p w14:paraId="6C445FF2">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kern w:val="2"/>
                <w:sz w:val="24"/>
                <w:szCs w:val="24"/>
                <w:highlight w:val="none"/>
                <w:lang w:val="en-US" w:eastAsia="zh-CN" w:bidi="ar-SA"/>
              </w:rPr>
            </w:pPr>
            <w:r>
              <w:rPr>
                <w:rFonts w:hint="eastAsia" w:ascii="宋体" w:hAnsi="宋体" w:eastAsia="宋体" w:cs="宋体"/>
                <w:i w:val="0"/>
                <w:iCs w:val="0"/>
                <w:color w:val="auto"/>
                <w:kern w:val="2"/>
                <w:sz w:val="24"/>
                <w:szCs w:val="24"/>
                <w:highlight w:val="none"/>
                <w:lang w:val="en-US" w:eastAsia="zh-CN" w:bidi="ar-SA"/>
              </w:rPr>
              <w:t xml:space="preserve">     1.可以分包履行的具体内容：</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 xml:space="preserve">  </w:t>
            </w:r>
            <w:r>
              <w:rPr>
                <w:rFonts w:hint="eastAsia"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kern w:val="2"/>
                <w:sz w:val="24"/>
                <w:szCs w:val="24"/>
                <w:highlight w:val="none"/>
                <w:lang w:val="en-US" w:eastAsia="zh-CN" w:bidi="ar-SA"/>
              </w:rPr>
              <w:t xml:space="preserve">； </w:t>
            </w:r>
          </w:p>
          <w:p w14:paraId="71BE067E">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kern w:val="2"/>
                <w:sz w:val="24"/>
                <w:szCs w:val="24"/>
                <w:highlight w:val="none"/>
                <w:lang w:val="en-US" w:eastAsia="zh-CN" w:bidi="ar-SA"/>
              </w:rPr>
            </w:pPr>
            <w:r>
              <w:rPr>
                <w:rFonts w:hint="eastAsia" w:ascii="宋体" w:hAnsi="宋体" w:eastAsia="宋体" w:cs="宋体"/>
                <w:i w:val="0"/>
                <w:iCs w:val="0"/>
                <w:color w:val="auto"/>
                <w:kern w:val="2"/>
                <w:sz w:val="24"/>
                <w:szCs w:val="24"/>
                <w:highlight w:val="none"/>
                <w:lang w:val="en-US" w:eastAsia="zh-CN" w:bidi="ar-SA"/>
              </w:rPr>
              <w:t xml:space="preserve">     2.允许分包的金额或者比例：</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 xml:space="preserve">  </w:t>
            </w:r>
            <w:r>
              <w:rPr>
                <w:rFonts w:hint="eastAsia"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kern w:val="2"/>
                <w:sz w:val="24"/>
                <w:szCs w:val="24"/>
                <w:highlight w:val="none"/>
                <w:lang w:val="en-US" w:eastAsia="zh-CN" w:bidi="ar-SA"/>
              </w:rPr>
              <w:t xml:space="preserve">； </w:t>
            </w:r>
          </w:p>
          <w:p w14:paraId="3628979B">
            <w:pPr>
              <w:pStyle w:val="46"/>
              <w:keepNext w:val="0"/>
              <w:keepLines w:val="0"/>
              <w:pageBreakBefore w:val="0"/>
              <w:kinsoku/>
              <w:wordWrap/>
              <w:overflowPunct/>
              <w:topLinePunct w:val="0"/>
              <w:bidi w:val="0"/>
              <w:snapToGrid/>
              <w:spacing w:line="320" w:lineRule="exact"/>
              <w:ind w:left="0" w:firstLine="480" w:firstLineChars="200"/>
              <w:textAlignment w:val="auto"/>
              <w:rPr>
                <w:rFonts w:hint="eastAsia" w:ascii="宋体" w:hAnsi="宋体" w:eastAsia="宋体" w:cs="宋体"/>
                <w:i w:val="0"/>
                <w:iCs w:val="0"/>
                <w:color w:val="auto"/>
                <w:kern w:val="2"/>
                <w:sz w:val="24"/>
                <w:szCs w:val="24"/>
                <w:highlight w:val="none"/>
                <w:lang w:val="en-US" w:eastAsia="zh-CN" w:bidi="ar-SA"/>
              </w:rPr>
            </w:pPr>
            <w:r>
              <w:rPr>
                <w:rFonts w:hint="eastAsia" w:ascii="宋体" w:hAnsi="宋体" w:eastAsia="宋体" w:cs="宋体"/>
                <w:i w:val="0"/>
                <w:iCs w:val="0"/>
                <w:color w:val="auto"/>
                <w:kern w:val="2"/>
                <w:sz w:val="24"/>
                <w:szCs w:val="24"/>
                <w:highlight w:val="none"/>
                <w:lang w:val="en-US" w:eastAsia="zh-CN" w:bidi="ar-SA"/>
              </w:rPr>
              <w:t xml:space="preserve"> 3.其他要求：</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 xml:space="preserve">  </w:t>
            </w:r>
            <w:r>
              <w:rPr>
                <w:rFonts w:hint="eastAsia"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kern w:val="2"/>
                <w:sz w:val="24"/>
                <w:szCs w:val="24"/>
                <w:highlight w:val="none"/>
                <w:lang w:val="en-US" w:eastAsia="zh-CN" w:bidi="ar-SA"/>
              </w:rPr>
              <w:t>。</w:t>
            </w:r>
          </w:p>
        </w:tc>
      </w:tr>
      <w:tr w14:paraId="749FBCF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5230" w:hRule="atLeast"/>
          <w:jc w:val="center"/>
        </w:trPr>
        <w:tc>
          <w:tcPr>
            <w:tcW w:w="970" w:type="dxa"/>
            <w:tcBorders>
              <w:top w:val="single" w:color="auto" w:sz="2" w:space="0"/>
              <w:left w:val="single" w:color="auto" w:sz="2" w:space="0"/>
              <w:bottom w:val="single" w:color="auto" w:sz="2" w:space="0"/>
              <w:right w:val="single" w:color="auto" w:sz="2" w:space="0"/>
            </w:tcBorders>
            <w:vAlign w:val="center"/>
          </w:tcPr>
          <w:p w14:paraId="1F3EF9C4">
            <w:pPr>
              <w:pStyle w:val="46"/>
              <w:keepNext w:val="0"/>
              <w:keepLines w:val="0"/>
              <w:pageBreakBefore w:val="0"/>
              <w:kinsoku/>
              <w:wordWrap/>
              <w:overflowPunct/>
              <w:topLinePunct w:val="0"/>
              <w:bidi w:val="0"/>
              <w:snapToGrid/>
              <w:spacing w:line="320" w:lineRule="exact"/>
              <w:ind w:left="0"/>
              <w:jc w:val="center"/>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35.1</w:t>
            </w:r>
          </w:p>
        </w:tc>
        <w:tc>
          <w:tcPr>
            <w:tcW w:w="1850" w:type="dxa"/>
            <w:tcBorders>
              <w:top w:val="single" w:color="auto" w:sz="2" w:space="0"/>
              <w:left w:val="single" w:color="auto" w:sz="2" w:space="0"/>
              <w:bottom w:val="single" w:color="auto" w:sz="2" w:space="0"/>
              <w:right w:val="single" w:color="auto" w:sz="2" w:space="0"/>
            </w:tcBorders>
            <w:vAlign w:val="center"/>
          </w:tcPr>
          <w:p w14:paraId="66EBB004">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kern w:val="2"/>
                <w:sz w:val="24"/>
                <w:szCs w:val="24"/>
                <w:highlight w:val="none"/>
                <w:lang w:val="en-US" w:eastAsia="zh-CN" w:bidi="ar-SA"/>
              </w:rPr>
            </w:pPr>
            <w:r>
              <w:rPr>
                <w:rFonts w:hint="eastAsia" w:ascii="宋体" w:hAnsi="宋体" w:eastAsia="宋体" w:cs="宋体"/>
                <w:i w:val="0"/>
                <w:iCs w:val="0"/>
                <w:color w:val="auto"/>
                <w:sz w:val="24"/>
                <w:szCs w:val="24"/>
                <w:highlight w:val="none"/>
                <w:lang w:val="en-US" w:eastAsia="zh-CN"/>
              </w:rPr>
              <w:t>质疑</w:t>
            </w:r>
          </w:p>
        </w:tc>
        <w:tc>
          <w:tcPr>
            <w:tcW w:w="5462" w:type="dxa"/>
            <w:tcBorders>
              <w:top w:val="single" w:color="auto" w:sz="2" w:space="0"/>
              <w:left w:val="single" w:color="auto" w:sz="2" w:space="0"/>
              <w:bottom w:val="single" w:color="auto" w:sz="2" w:space="0"/>
              <w:right w:val="single" w:color="auto" w:sz="2" w:space="0"/>
            </w:tcBorders>
            <w:vAlign w:val="center"/>
          </w:tcPr>
          <w:p w14:paraId="3A66F4FA">
            <w:pPr>
              <w:pStyle w:val="54"/>
              <w:keepNext w:val="0"/>
              <w:keepLines w:val="0"/>
              <w:pageBreakBefore w:val="0"/>
              <w:widowControl w:val="0"/>
              <w:kinsoku/>
              <w:wordWrap/>
              <w:overflowPunct/>
              <w:topLinePunct w:val="0"/>
              <w:autoSpaceDE w:val="0"/>
              <w:autoSpaceDN w:val="0"/>
              <w:bidi w:val="0"/>
              <w:adjustRightInd w:val="0"/>
              <w:snapToGrid/>
              <w:spacing w:line="320" w:lineRule="exact"/>
              <w:ind w:left="0"/>
              <w:textAlignment w:val="auto"/>
              <w:rPr>
                <w:rFonts w:hint="eastAsia" w:ascii="宋体" w:hAnsi="宋体" w:eastAsia="宋体" w:cs="宋体"/>
                <w:i w:val="0"/>
                <w:iCs w:val="0"/>
                <w:color w:val="auto"/>
                <w:kern w:val="2"/>
                <w:sz w:val="24"/>
                <w:szCs w:val="24"/>
                <w:highlight w:val="none"/>
                <w:lang w:val="zh-CN" w:eastAsia="zh-CN" w:bidi="ar-SA"/>
              </w:rPr>
            </w:pPr>
            <w:r>
              <w:rPr>
                <w:rFonts w:hint="eastAsia" w:ascii="宋体" w:hAnsi="宋体" w:eastAsia="宋体" w:cs="宋体"/>
                <w:i w:val="0"/>
                <w:iCs w:val="0"/>
                <w:color w:val="auto"/>
                <w:kern w:val="2"/>
                <w:sz w:val="24"/>
                <w:szCs w:val="24"/>
                <w:highlight w:val="none"/>
                <w:lang w:val="zh-CN" w:eastAsia="zh-CN" w:bidi="ar-SA"/>
              </w:rPr>
              <w:t>供应商若对采购文件内容质疑，须按以下要求提出：</w:t>
            </w:r>
          </w:p>
          <w:p w14:paraId="1AD0F928">
            <w:pPr>
              <w:pStyle w:val="54"/>
              <w:keepNext w:val="0"/>
              <w:keepLines w:val="0"/>
              <w:pageBreakBefore w:val="0"/>
              <w:widowControl w:val="0"/>
              <w:kinsoku/>
              <w:wordWrap/>
              <w:overflowPunct/>
              <w:topLinePunct w:val="0"/>
              <w:autoSpaceDE w:val="0"/>
              <w:autoSpaceDN w:val="0"/>
              <w:bidi w:val="0"/>
              <w:adjustRightInd w:val="0"/>
              <w:snapToGrid/>
              <w:spacing w:line="320" w:lineRule="exact"/>
              <w:ind w:left="0" w:firstLine="240" w:firstLineChars="100"/>
              <w:textAlignment w:val="auto"/>
              <w:rPr>
                <w:rFonts w:hint="eastAsia" w:ascii="宋体" w:hAnsi="宋体" w:eastAsia="宋体" w:cs="宋体"/>
                <w:i w:val="0"/>
                <w:iCs w:val="0"/>
                <w:color w:val="auto"/>
                <w:kern w:val="2"/>
                <w:sz w:val="24"/>
                <w:szCs w:val="24"/>
                <w:highlight w:val="none"/>
                <w:lang w:val="zh-CN" w:eastAsia="zh-CN" w:bidi="ar-SA"/>
              </w:rPr>
            </w:pPr>
            <w:r>
              <w:rPr>
                <w:rFonts w:hint="eastAsia" w:ascii="宋体" w:hAnsi="宋体" w:eastAsia="宋体" w:cs="宋体"/>
                <w:i w:val="0"/>
                <w:iCs w:val="0"/>
                <w:color w:val="auto"/>
                <w:kern w:val="2"/>
                <w:sz w:val="24"/>
                <w:szCs w:val="24"/>
                <w:highlight w:val="none"/>
                <w:lang w:val="zh-CN" w:eastAsia="zh-CN" w:bidi="ar-SA"/>
              </w:rPr>
              <w:t>对采购过程提出质疑时间：为各采购程序环节结束之日起七个工作日内。</w:t>
            </w:r>
          </w:p>
          <w:p w14:paraId="13DD316E">
            <w:pPr>
              <w:pStyle w:val="54"/>
              <w:keepNext w:val="0"/>
              <w:keepLines w:val="0"/>
              <w:pageBreakBefore w:val="0"/>
              <w:widowControl w:val="0"/>
              <w:kinsoku/>
              <w:wordWrap/>
              <w:overflowPunct/>
              <w:topLinePunct w:val="0"/>
              <w:autoSpaceDE w:val="0"/>
              <w:autoSpaceDN w:val="0"/>
              <w:bidi w:val="0"/>
              <w:adjustRightInd w:val="0"/>
              <w:snapToGrid/>
              <w:spacing w:line="320" w:lineRule="exact"/>
              <w:ind w:left="0" w:firstLine="240" w:firstLineChars="100"/>
              <w:textAlignment w:val="auto"/>
              <w:rPr>
                <w:rFonts w:hint="eastAsia" w:ascii="宋体" w:hAnsi="宋体" w:eastAsia="宋体" w:cs="宋体"/>
                <w:i w:val="0"/>
                <w:iCs w:val="0"/>
                <w:color w:val="auto"/>
                <w:kern w:val="2"/>
                <w:sz w:val="24"/>
                <w:szCs w:val="24"/>
                <w:highlight w:val="none"/>
                <w:lang w:val="zh-CN" w:eastAsia="zh-CN" w:bidi="ar-SA"/>
              </w:rPr>
            </w:pPr>
            <w:r>
              <w:rPr>
                <w:rFonts w:hint="eastAsia" w:ascii="宋体" w:hAnsi="宋体" w:eastAsia="宋体" w:cs="宋体"/>
                <w:i w:val="0"/>
                <w:iCs w:val="0"/>
                <w:color w:val="auto"/>
                <w:kern w:val="2"/>
                <w:sz w:val="24"/>
                <w:szCs w:val="24"/>
                <w:highlight w:val="none"/>
                <w:lang w:val="zh-CN" w:eastAsia="zh-CN" w:bidi="ar-SA"/>
              </w:rPr>
              <w:t>对采购结果提出质疑时间：为中标结果公告发布次日后七个工作日内。</w:t>
            </w:r>
          </w:p>
          <w:p w14:paraId="25DE6D27">
            <w:pPr>
              <w:pStyle w:val="54"/>
              <w:keepNext w:val="0"/>
              <w:keepLines w:val="0"/>
              <w:pageBreakBefore w:val="0"/>
              <w:widowControl w:val="0"/>
              <w:kinsoku/>
              <w:wordWrap/>
              <w:overflowPunct/>
              <w:topLinePunct w:val="0"/>
              <w:autoSpaceDE w:val="0"/>
              <w:autoSpaceDN w:val="0"/>
              <w:bidi w:val="0"/>
              <w:adjustRightInd w:val="0"/>
              <w:snapToGrid/>
              <w:spacing w:line="320" w:lineRule="exact"/>
              <w:ind w:left="0"/>
              <w:textAlignment w:val="auto"/>
              <w:rPr>
                <w:rFonts w:hint="default" w:ascii="宋体" w:hAnsi="宋体" w:eastAsia="宋体" w:cs="宋体"/>
                <w:i w:val="0"/>
                <w:iCs w:val="0"/>
                <w:color w:val="auto"/>
                <w:kern w:val="2"/>
                <w:sz w:val="24"/>
                <w:szCs w:val="24"/>
                <w:highlight w:val="none"/>
                <w:lang w:val="en-US" w:eastAsia="zh-CN" w:bidi="ar-SA"/>
              </w:rPr>
            </w:pPr>
            <w:r>
              <w:rPr>
                <w:rFonts w:hint="eastAsia" w:ascii="宋体" w:hAnsi="宋体" w:cs="宋体"/>
                <w:i w:val="0"/>
                <w:iCs w:val="0"/>
                <w:color w:val="auto"/>
                <w:kern w:val="2"/>
                <w:sz w:val="24"/>
                <w:szCs w:val="24"/>
                <w:highlight w:val="none"/>
                <w:lang w:val="en-US" w:eastAsia="zh-CN" w:bidi="ar-SA"/>
              </w:rPr>
              <w:t>接收单位：新疆和晟源项目管理有限公司</w:t>
            </w:r>
          </w:p>
          <w:p w14:paraId="581D3C01">
            <w:pPr>
              <w:pStyle w:val="54"/>
              <w:keepNext w:val="0"/>
              <w:keepLines w:val="0"/>
              <w:pageBreakBefore w:val="0"/>
              <w:widowControl w:val="0"/>
              <w:kinsoku/>
              <w:wordWrap/>
              <w:overflowPunct/>
              <w:topLinePunct w:val="0"/>
              <w:autoSpaceDE w:val="0"/>
              <w:autoSpaceDN w:val="0"/>
              <w:bidi w:val="0"/>
              <w:adjustRightInd w:val="0"/>
              <w:snapToGrid/>
              <w:spacing w:line="320" w:lineRule="exact"/>
              <w:ind w:left="0"/>
              <w:textAlignment w:val="auto"/>
              <w:rPr>
                <w:rFonts w:hint="eastAsia" w:ascii="宋体" w:hAnsi="宋体" w:eastAsia="宋体" w:cs="宋体"/>
                <w:i w:val="0"/>
                <w:iCs w:val="0"/>
                <w:color w:val="auto"/>
                <w:kern w:val="2"/>
                <w:sz w:val="24"/>
                <w:szCs w:val="24"/>
                <w:highlight w:val="none"/>
                <w:lang w:val="zh-CN" w:eastAsia="zh-CN" w:bidi="ar-SA"/>
              </w:rPr>
            </w:pPr>
            <w:r>
              <w:rPr>
                <w:rFonts w:hint="eastAsia" w:ascii="宋体" w:hAnsi="宋体" w:eastAsia="宋体" w:cs="宋体"/>
                <w:i w:val="0"/>
                <w:iCs w:val="0"/>
                <w:color w:val="auto"/>
                <w:kern w:val="2"/>
                <w:sz w:val="24"/>
                <w:szCs w:val="24"/>
                <w:highlight w:val="none"/>
                <w:lang w:val="zh-CN" w:eastAsia="zh-CN" w:bidi="ar-SA"/>
              </w:rPr>
              <w:t>联系人：周军</w:t>
            </w:r>
          </w:p>
          <w:p w14:paraId="7493D710">
            <w:pPr>
              <w:pStyle w:val="54"/>
              <w:keepNext w:val="0"/>
              <w:keepLines w:val="0"/>
              <w:pageBreakBefore w:val="0"/>
              <w:widowControl w:val="0"/>
              <w:kinsoku/>
              <w:wordWrap/>
              <w:overflowPunct/>
              <w:topLinePunct w:val="0"/>
              <w:autoSpaceDE w:val="0"/>
              <w:autoSpaceDN w:val="0"/>
              <w:bidi w:val="0"/>
              <w:adjustRightInd w:val="0"/>
              <w:snapToGrid/>
              <w:spacing w:line="320" w:lineRule="exact"/>
              <w:ind w:left="0"/>
              <w:textAlignment w:val="auto"/>
              <w:rPr>
                <w:rFonts w:hint="eastAsia" w:ascii="宋体" w:hAnsi="宋体" w:eastAsia="宋体" w:cs="宋体"/>
                <w:i w:val="0"/>
                <w:iCs w:val="0"/>
                <w:color w:val="auto"/>
                <w:kern w:val="2"/>
                <w:sz w:val="24"/>
                <w:szCs w:val="24"/>
                <w:highlight w:val="none"/>
                <w:lang w:val="zh-CN" w:eastAsia="zh-CN" w:bidi="ar-SA"/>
              </w:rPr>
            </w:pPr>
            <w:r>
              <w:rPr>
                <w:rFonts w:hint="eastAsia" w:ascii="宋体" w:hAnsi="宋体" w:eastAsia="宋体" w:cs="宋体"/>
                <w:i w:val="0"/>
                <w:iCs w:val="0"/>
                <w:color w:val="auto"/>
                <w:kern w:val="2"/>
                <w:sz w:val="24"/>
                <w:szCs w:val="24"/>
                <w:highlight w:val="none"/>
                <w:lang w:val="zh-CN" w:eastAsia="zh-CN" w:bidi="ar-SA"/>
              </w:rPr>
              <w:t>联系电话：0903-2067512</w:t>
            </w:r>
          </w:p>
          <w:p w14:paraId="66AE85CF">
            <w:pPr>
              <w:pStyle w:val="54"/>
              <w:keepNext w:val="0"/>
              <w:keepLines w:val="0"/>
              <w:pageBreakBefore w:val="0"/>
              <w:widowControl w:val="0"/>
              <w:kinsoku/>
              <w:wordWrap/>
              <w:overflowPunct/>
              <w:topLinePunct w:val="0"/>
              <w:autoSpaceDE w:val="0"/>
              <w:autoSpaceDN w:val="0"/>
              <w:bidi w:val="0"/>
              <w:adjustRightInd w:val="0"/>
              <w:snapToGrid/>
              <w:spacing w:line="320" w:lineRule="exact"/>
              <w:ind w:left="0" w:firstLine="240" w:firstLineChars="100"/>
              <w:textAlignment w:val="auto"/>
              <w:rPr>
                <w:rFonts w:hint="eastAsia" w:ascii="宋体" w:hAnsi="宋体" w:eastAsia="宋体" w:cs="宋体"/>
                <w:i w:val="0"/>
                <w:iCs w:val="0"/>
                <w:color w:val="auto"/>
                <w:kern w:val="2"/>
                <w:sz w:val="24"/>
                <w:szCs w:val="24"/>
                <w:highlight w:val="none"/>
                <w:lang w:val="zh-CN" w:eastAsia="zh-CN" w:bidi="ar-SA"/>
              </w:rPr>
            </w:pPr>
            <w:r>
              <w:rPr>
                <w:rFonts w:hint="eastAsia" w:ascii="宋体" w:hAnsi="宋体" w:eastAsia="宋体" w:cs="宋体"/>
                <w:i w:val="0"/>
                <w:iCs w:val="0"/>
                <w:color w:val="auto"/>
                <w:kern w:val="2"/>
                <w:sz w:val="24"/>
                <w:szCs w:val="24"/>
                <w:highlight w:val="none"/>
                <w:lang w:val="zh-CN" w:eastAsia="zh-CN" w:bidi="ar-SA"/>
              </w:rPr>
              <w:t>竞争性磋商文件的质疑提交方式：纸质版盖章询问函递交至采购代理公司。注：①澄清、修改文件发出后，供应商必须使用最新的澄清文件制作电子响应文件。</w:t>
            </w:r>
          </w:p>
          <w:p w14:paraId="50503FEC">
            <w:pPr>
              <w:pStyle w:val="54"/>
              <w:keepNext w:val="0"/>
              <w:keepLines w:val="0"/>
              <w:pageBreakBefore w:val="0"/>
              <w:widowControl w:val="0"/>
              <w:kinsoku/>
              <w:wordWrap/>
              <w:overflowPunct/>
              <w:topLinePunct w:val="0"/>
              <w:autoSpaceDE w:val="0"/>
              <w:autoSpaceDN w:val="0"/>
              <w:bidi w:val="0"/>
              <w:adjustRightInd w:val="0"/>
              <w:snapToGrid/>
              <w:spacing w:line="320" w:lineRule="exact"/>
              <w:ind w:left="0"/>
              <w:textAlignment w:val="auto"/>
              <w:rPr>
                <w:rFonts w:hint="eastAsia" w:ascii="宋体" w:hAnsi="宋体" w:eastAsia="宋体" w:cs="宋体"/>
                <w:i w:val="0"/>
                <w:iCs w:val="0"/>
                <w:color w:val="auto"/>
                <w:kern w:val="2"/>
                <w:sz w:val="24"/>
                <w:szCs w:val="24"/>
                <w:highlight w:val="none"/>
                <w:lang w:val="zh-CN" w:eastAsia="zh-CN" w:bidi="ar-SA"/>
              </w:rPr>
            </w:pPr>
            <w:r>
              <w:rPr>
                <w:rFonts w:hint="eastAsia" w:ascii="宋体" w:hAnsi="宋体" w:eastAsia="宋体" w:cs="宋体"/>
                <w:i w:val="0"/>
                <w:iCs w:val="0"/>
                <w:color w:val="auto"/>
                <w:kern w:val="2"/>
                <w:sz w:val="24"/>
                <w:szCs w:val="24"/>
                <w:highlight w:val="none"/>
                <w:lang w:val="zh-CN" w:eastAsia="zh-CN" w:bidi="ar-SA"/>
              </w:rPr>
              <w:t>②采购单位无正当理由不按照依法推荐的中标候选供应商顺序确定中标供应商，或者在磋商小组依法推荐的中标候选供应商以外确定中标供应商的质疑由采购单位受理。</w:t>
            </w:r>
          </w:p>
          <w:p w14:paraId="6C71E447">
            <w:pPr>
              <w:pStyle w:val="54"/>
              <w:keepNext w:val="0"/>
              <w:keepLines w:val="0"/>
              <w:pageBreakBefore w:val="0"/>
              <w:widowControl w:val="0"/>
              <w:kinsoku/>
              <w:wordWrap/>
              <w:overflowPunct/>
              <w:topLinePunct w:val="0"/>
              <w:autoSpaceDE w:val="0"/>
              <w:autoSpaceDN w:val="0"/>
              <w:bidi w:val="0"/>
              <w:adjustRightInd w:val="0"/>
              <w:snapToGrid/>
              <w:spacing w:line="320" w:lineRule="exact"/>
              <w:ind w:left="0"/>
              <w:textAlignment w:val="auto"/>
              <w:rPr>
                <w:rFonts w:hint="eastAsia" w:ascii="宋体" w:hAnsi="宋体" w:eastAsia="宋体" w:cs="宋体"/>
                <w:i w:val="0"/>
                <w:iCs w:val="0"/>
                <w:color w:val="auto"/>
                <w:kern w:val="2"/>
                <w:sz w:val="24"/>
                <w:szCs w:val="24"/>
                <w:highlight w:val="none"/>
                <w:lang w:val="zh-CN" w:eastAsia="zh-CN" w:bidi="ar-SA"/>
              </w:rPr>
            </w:pPr>
            <w:r>
              <w:rPr>
                <w:rFonts w:hint="eastAsia" w:ascii="宋体" w:hAnsi="宋体" w:eastAsia="宋体" w:cs="宋体"/>
                <w:i w:val="0"/>
                <w:iCs w:val="0"/>
                <w:color w:val="auto"/>
                <w:kern w:val="2"/>
                <w:sz w:val="24"/>
                <w:szCs w:val="24"/>
                <w:highlight w:val="none"/>
                <w:lang w:val="zh-CN" w:eastAsia="zh-CN" w:bidi="ar-SA"/>
              </w:rPr>
              <w:t>③供应商应当在法定质疑期内一次性提出针对统一采购程序环节的质疑递交方式。</w:t>
            </w:r>
            <w:r>
              <w:rPr>
                <w:rFonts w:hint="eastAsia" w:ascii="宋体" w:hAnsi="宋体" w:eastAsia="宋体" w:cs="宋体"/>
                <w:b w:val="0"/>
                <w:bCs w:val="0"/>
                <w:i w:val="0"/>
                <w:iCs w:val="0"/>
                <w:color w:val="auto"/>
                <w:sz w:val="24"/>
                <w:szCs w:val="24"/>
                <w:highlight w:val="none"/>
                <w:u w:val="none"/>
              </w:rPr>
              <w:t xml:space="preserve">           </w:t>
            </w:r>
            <w:r>
              <w:rPr>
                <w:rFonts w:hint="eastAsia" w:ascii="宋体" w:hAnsi="宋体" w:eastAsia="宋体" w:cs="宋体"/>
                <w:i w:val="0"/>
                <w:iCs w:val="0"/>
                <w:color w:val="auto"/>
                <w:kern w:val="2"/>
                <w:sz w:val="24"/>
                <w:szCs w:val="24"/>
                <w:highlight w:val="none"/>
                <w:lang w:val="zh-CN" w:eastAsia="zh-CN" w:bidi="ar-SA"/>
              </w:rPr>
              <w:t xml:space="preserve"> </w:t>
            </w:r>
          </w:p>
        </w:tc>
      </w:tr>
      <w:tr w14:paraId="33386A9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jc w:val="center"/>
        </w:trPr>
        <w:tc>
          <w:tcPr>
            <w:tcW w:w="970" w:type="dxa"/>
            <w:tcBorders>
              <w:top w:val="single" w:color="auto" w:sz="2" w:space="0"/>
              <w:left w:val="single" w:color="auto" w:sz="2" w:space="0"/>
              <w:bottom w:val="single" w:color="auto" w:sz="2" w:space="0"/>
              <w:right w:val="single" w:color="auto" w:sz="2" w:space="0"/>
            </w:tcBorders>
            <w:vAlign w:val="center"/>
          </w:tcPr>
          <w:p w14:paraId="0B4B8253">
            <w:pPr>
              <w:pStyle w:val="46"/>
              <w:keepNext w:val="0"/>
              <w:keepLines w:val="0"/>
              <w:pageBreakBefore w:val="0"/>
              <w:kinsoku/>
              <w:wordWrap/>
              <w:overflowPunct/>
              <w:topLinePunct w:val="0"/>
              <w:bidi w:val="0"/>
              <w:snapToGrid/>
              <w:spacing w:line="320" w:lineRule="exact"/>
              <w:ind w:left="0"/>
              <w:jc w:val="center"/>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3</w:t>
            </w:r>
            <w:r>
              <w:rPr>
                <w:rFonts w:hint="eastAsia" w:ascii="宋体" w:hAnsi="宋体" w:eastAsia="宋体" w:cs="宋体"/>
                <w:i w:val="0"/>
                <w:iCs w:val="0"/>
                <w:color w:val="auto"/>
                <w:sz w:val="24"/>
                <w:szCs w:val="24"/>
                <w:highlight w:val="none"/>
                <w:lang w:val="en-US" w:eastAsia="zh-CN"/>
              </w:rPr>
              <w:t>8</w:t>
            </w:r>
            <w:r>
              <w:rPr>
                <w:rFonts w:hint="eastAsia" w:ascii="宋体" w:hAnsi="宋体" w:eastAsia="宋体" w:cs="宋体"/>
                <w:i w:val="0"/>
                <w:iCs w:val="0"/>
                <w:color w:val="auto"/>
                <w:sz w:val="24"/>
                <w:szCs w:val="24"/>
                <w:highlight w:val="none"/>
              </w:rPr>
              <w:t>.1</w:t>
            </w:r>
          </w:p>
        </w:tc>
        <w:tc>
          <w:tcPr>
            <w:tcW w:w="1850" w:type="dxa"/>
            <w:tcBorders>
              <w:top w:val="single" w:color="auto" w:sz="2" w:space="0"/>
              <w:left w:val="single" w:color="auto" w:sz="2" w:space="0"/>
              <w:bottom w:val="single" w:color="auto" w:sz="2" w:space="0"/>
              <w:right w:val="single" w:color="auto" w:sz="2" w:space="0"/>
            </w:tcBorders>
            <w:vAlign w:val="center"/>
          </w:tcPr>
          <w:p w14:paraId="620FF725">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采购代理服务费收取方式和标准</w:t>
            </w:r>
          </w:p>
        </w:tc>
        <w:tc>
          <w:tcPr>
            <w:tcW w:w="5462" w:type="dxa"/>
            <w:tcBorders>
              <w:top w:val="single" w:color="auto" w:sz="2" w:space="0"/>
              <w:left w:val="single" w:color="auto" w:sz="2" w:space="0"/>
              <w:bottom w:val="single" w:color="auto" w:sz="2" w:space="0"/>
              <w:right w:val="single" w:color="auto" w:sz="2" w:space="0"/>
            </w:tcBorders>
            <w:vAlign w:val="center"/>
          </w:tcPr>
          <w:p w14:paraId="50481589">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w:t>
            </w:r>
            <w:r>
              <w:rPr>
                <w:rFonts w:hint="eastAsia" w:ascii="宋体" w:hAnsi="宋体" w:eastAsia="宋体" w:cs="宋体"/>
                <w:i w:val="0"/>
                <w:iCs w:val="0"/>
                <w:color w:val="auto"/>
                <w:sz w:val="24"/>
                <w:szCs w:val="24"/>
                <w:highlight w:val="none"/>
                <w:lang w:val="en-US" w:eastAsia="zh-CN"/>
              </w:rPr>
              <w:t>收</w:t>
            </w:r>
            <w:r>
              <w:rPr>
                <w:rFonts w:hint="eastAsia" w:ascii="宋体" w:hAnsi="宋体" w:eastAsia="宋体" w:cs="宋体"/>
                <w:i w:val="0"/>
                <w:iCs w:val="0"/>
                <w:color w:val="auto"/>
                <w:sz w:val="24"/>
                <w:szCs w:val="24"/>
                <w:highlight w:val="none"/>
              </w:rPr>
              <w:t>费</w:t>
            </w:r>
            <w:r>
              <w:rPr>
                <w:rFonts w:hint="eastAsia" w:ascii="宋体" w:hAnsi="宋体" w:eastAsia="宋体" w:cs="宋体"/>
                <w:i w:val="0"/>
                <w:iCs w:val="0"/>
                <w:color w:val="auto"/>
                <w:sz w:val="24"/>
                <w:szCs w:val="24"/>
                <w:highlight w:val="none"/>
                <w:lang w:val="en-US" w:eastAsia="zh-CN"/>
              </w:rPr>
              <w:t>对象</w:t>
            </w: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rPr>
              <w:sym w:font="Wingdings" w:char="00A8"/>
            </w:r>
            <w:r>
              <w:rPr>
                <w:rFonts w:hint="eastAsia" w:ascii="宋体" w:hAnsi="宋体" w:eastAsia="宋体" w:cs="宋体"/>
                <w:i w:val="0"/>
                <w:iCs w:val="0"/>
                <w:color w:val="auto"/>
                <w:sz w:val="24"/>
                <w:szCs w:val="24"/>
                <w:highlight w:val="none"/>
              </w:rPr>
              <w:t xml:space="preserve">采购人支付 </w:t>
            </w:r>
            <w:r>
              <w:rPr>
                <w:rFonts w:hint="eastAsia" w:ascii="宋体" w:hAnsi="宋体" w:eastAsia="宋体" w:cs="宋体"/>
                <w:i w:val="0"/>
                <w:iCs w:val="0"/>
                <w:color w:val="auto"/>
                <w:sz w:val="24"/>
                <w:szCs w:val="24"/>
                <w:highlight w:val="none"/>
              </w:rPr>
              <w:sym w:font="Wingdings" w:char="00FE"/>
            </w:r>
            <w:r>
              <w:rPr>
                <w:rFonts w:hint="eastAsia" w:ascii="宋体" w:hAnsi="宋体" w:eastAsia="宋体" w:cs="宋体"/>
                <w:i w:val="0"/>
                <w:iCs w:val="0"/>
                <w:color w:val="auto"/>
                <w:sz w:val="24"/>
                <w:szCs w:val="24"/>
                <w:highlight w:val="none"/>
                <w:lang w:val="en-US" w:eastAsia="zh-CN"/>
              </w:rPr>
              <w:t>成交</w:t>
            </w:r>
            <w:r>
              <w:rPr>
                <w:rFonts w:hint="eastAsia" w:ascii="宋体" w:hAnsi="宋体" w:eastAsia="宋体" w:cs="宋体"/>
                <w:i w:val="0"/>
                <w:iCs w:val="0"/>
                <w:color w:val="auto"/>
                <w:sz w:val="24"/>
                <w:szCs w:val="24"/>
                <w:highlight w:val="none"/>
              </w:rPr>
              <w:t xml:space="preserve">人支付 </w:t>
            </w:r>
          </w:p>
          <w:p w14:paraId="1BC2CD1C">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2.</w:t>
            </w:r>
            <w:r>
              <w:rPr>
                <w:rFonts w:hint="eastAsia" w:ascii="宋体" w:hAnsi="宋体" w:eastAsia="宋体" w:cs="宋体"/>
                <w:i w:val="0"/>
                <w:iCs w:val="0"/>
                <w:color w:val="auto"/>
                <w:sz w:val="24"/>
                <w:szCs w:val="24"/>
                <w:highlight w:val="none"/>
                <w:lang w:val="en-US" w:eastAsia="zh-CN"/>
              </w:rPr>
              <w:t>收费</w:t>
            </w:r>
            <w:r>
              <w:rPr>
                <w:rFonts w:hint="eastAsia" w:ascii="宋体" w:hAnsi="宋体" w:eastAsia="宋体" w:cs="宋体"/>
                <w:i w:val="0"/>
                <w:iCs w:val="0"/>
                <w:color w:val="auto"/>
                <w:sz w:val="24"/>
                <w:szCs w:val="24"/>
                <w:highlight w:val="none"/>
              </w:rPr>
              <w:t>标准：</w:t>
            </w:r>
            <w:r>
              <w:rPr>
                <w:rFonts w:hint="eastAsia" w:ascii="宋体" w:hAnsi="宋体" w:eastAsia="宋体" w:cs="宋体"/>
                <w:i w:val="0"/>
                <w:iCs w:val="0"/>
                <w:color w:val="auto"/>
                <w:sz w:val="24"/>
                <w:szCs w:val="24"/>
                <w:highlight w:val="none"/>
                <w:lang w:val="en-US" w:eastAsia="zh-CN"/>
              </w:rPr>
              <w:t>以中标金额为基数按发改价格(2015)299号执行，参考《招标代理服务收费管理暂行办法》(计价格(2002)1980号)按差额累积法计算收取。本次招标代理费由中标人领取中标通知书前一次性足额向采购代理机构支付。</w:t>
            </w:r>
          </w:p>
          <w:p w14:paraId="7984F9E6">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3.</w:t>
            </w:r>
            <w:r>
              <w:rPr>
                <w:rFonts w:hint="eastAsia" w:ascii="宋体" w:hAnsi="宋体" w:eastAsia="宋体" w:cs="宋体"/>
                <w:i w:val="0"/>
                <w:iCs w:val="0"/>
                <w:color w:val="auto"/>
                <w:sz w:val="24"/>
                <w:szCs w:val="24"/>
                <w:highlight w:val="none"/>
                <w:lang w:val="en-US" w:eastAsia="zh-CN"/>
              </w:rPr>
              <w:t>收取</w:t>
            </w:r>
            <w:r>
              <w:rPr>
                <w:rFonts w:hint="eastAsia" w:ascii="宋体" w:hAnsi="宋体" w:eastAsia="宋体" w:cs="宋体"/>
                <w:i w:val="0"/>
                <w:iCs w:val="0"/>
                <w:color w:val="auto"/>
                <w:sz w:val="24"/>
                <w:szCs w:val="24"/>
                <w:highlight w:val="none"/>
              </w:rPr>
              <w:t>时间：</w:t>
            </w:r>
            <w:r>
              <w:rPr>
                <w:rFonts w:hint="eastAsia" w:cs="宋体"/>
                <w:i w:val="0"/>
                <w:iCs w:val="0"/>
                <w:color w:val="auto"/>
                <w:sz w:val="24"/>
                <w:szCs w:val="24"/>
                <w:highlight w:val="none"/>
                <w:lang w:val="en-US" w:eastAsia="zh-CN"/>
              </w:rPr>
              <w:t>中标结果</w:t>
            </w:r>
          </w:p>
          <w:p w14:paraId="624D4904">
            <w:pPr>
              <w:pStyle w:val="46"/>
              <w:keepNext w:val="0"/>
              <w:keepLines w:val="0"/>
              <w:pageBreakBefore w:val="0"/>
              <w:kinsoku/>
              <w:wordWrap/>
              <w:overflowPunct/>
              <w:topLinePunct w:val="0"/>
              <w:bidi w:val="0"/>
              <w:snapToGrid/>
              <w:spacing w:line="320" w:lineRule="exact"/>
              <w:ind w:left="0"/>
              <w:textAlignment w:val="auto"/>
              <w:rPr>
                <w:rFonts w:hint="default"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4.</w:t>
            </w:r>
            <w:r>
              <w:rPr>
                <w:rFonts w:hint="eastAsia" w:ascii="宋体" w:hAnsi="宋体" w:eastAsia="宋体" w:cs="宋体"/>
                <w:i w:val="0"/>
                <w:iCs w:val="0"/>
                <w:color w:val="auto"/>
                <w:sz w:val="24"/>
                <w:szCs w:val="24"/>
                <w:highlight w:val="none"/>
                <w:lang w:val="en-US" w:eastAsia="zh-CN"/>
              </w:rPr>
              <w:t>收取</w:t>
            </w:r>
            <w:r>
              <w:rPr>
                <w:rFonts w:hint="eastAsia" w:ascii="宋体" w:hAnsi="宋体" w:eastAsia="宋体" w:cs="宋体"/>
                <w:i w:val="0"/>
                <w:iCs w:val="0"/>
                <w:color w:val="auto"/>
                <w:sz w:val="24"/>
                <w:szCs w:val="24"/>
                <w:highlight w:val="none"/>
              </w:rPr>
              <w:t>方式：</w:t>
            </w:r>
            <w:r>
              <w:rPr>
                <w:rFonts w:hint="eastAsia" w:cs="宋体"/>
                <w:i w:val="0"/>
                <w:iCs w:val="0"/>
                <w:color w:val="auto"/>
                <w:sz w:val="24"/>
                <w:szCs w:val="24"/>
                <w:highlight w:val="none"/>
                <w:lang w:val="en-US" w:eastAsia="zh-CN"/>
              </w:rPr>
              <w:t>现金或转账</w:t>
            </w:r>
          </w:p>
        </w:tc>
      </w:tr>
      <w:tr w14:paraId="399E08F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jc w:val="center"/>
        </w:trPr>
        <w:tc>
          <w:tcPr>
            <w:tcW w:w="970" w:type="dxa"/>
            <w:tcBorders>
              <w:top w:val="single" w:color="auto" w:sz="2" w:space="0"/>
              <w:left w:val="single" w:color="auto" w:sz="2" w:space="0"/>
              <w:bottom w:val="single" w:color="auto" w:sz="2" w:space="0"/>
              <w:right w:val="single" w:color="auto" w:sz="2" w:space="0"/>
            </w:tcBorders>
            <w:vAlign w:val="center"/>
          </w:tcPr>
          <w:p w14:paraId="0A071A53">
            <w:pPr>
              <w:pStyle w:val="46"/>
              <w:keepNext w:val="0"/>
              <w:keepLines w:val="0"/>
              <w:pageBreakBefore w:val="0"/>
              <w:kinsoku/>
              <w:wordWrap/>
              <w:overflowPunct/>
              <w:topLinePunct w:val="0"/>
              <w:bidi w:val="0"/>
              <w:snapToGrid/>
              <w:spacing w:line="320" w:lineRule="exact"/>
              <w:ind w:left="0"/>
              <w:jc w:val="center"/>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lang w:val="en-US" w:eastAsia="zh-CN"/>
              </w:rPr>
              <w:t>41</w:t>
            </w:r>
            <w:r>
              <w:rPr>
                <w:rFonts w:hint="eastAsia" w:ascii="宋体" w:hAnsi="宋体" w:eastAsia="宋体" w:cs="宋体"/>
                <w:i w:val="0"/>
                <w:iCs w:val="0"/>
                <w:color w:val="auto"/>
                <w:sz w:val="24"/>
                <w:szCs w:val="24"/>
                <w:highlight w:val="none"/>
              </w:rPr>
              <w:t>.1</w:t>
            </w:r>
          </w:p>
        </w:tc>
        <w:tc>
          <w:tcPr>
            <w:tcW w:w="1850" w:type="dxa"/>
            <w:tcBorders>
              <w:top w:val="single" w:color="auto" w:sz="2" w:space="0"/>
              <w:left w:val="single" w:color="auto" w:sz="2" w:space="0"/>
              <w:bottom w:val="single" w:color="auto" w:sz="2" w:space="0"/>
              <w:right w:val="single" w:color="auto" w:sz="2" w:space="0"/>
            </w:tcBorders>
            <w:vAlign w:val="center"/>
          </w:tcPr>
          <w:p w14:paraId="1785FF1B">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lang w:val="zh-CN"/>
              </w:rPr>
              <w:t>是否接受进口产品</w:t>
            </w:r>
          </w:p>
        </w:tc>
        <w:tc>
          <w:tcPr>
            <w:tcW w:w="5462" w:type="dxa"/>
            <w:tcBorders>
              <w:top w:val="single" w:color="auto" w:sz="2" w:space="0"/>
              <w:left w:val="single" w:color="auto" w:sz="2" w:space="0"/>
              <w:bottom w:val="single" w:color="auto" w:sz="2" w:space="0"/>
              <w:right w:val="single" w:color="auto" w:sz="2" w:space="0"/>
            </w:tcBorders>
            <w:vAlign w:val="center"/>
          </w:tcPr>
          <w:p w14:paraId="3B4D5E17">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sym w:font="Wingdings" w:char="00FE"/>
            </w:r>
            <w:r>
              <w:rPr>
                <w:rFonts w:hint="eastAsia" w:ascii="宋体" w:hAnsi="宋体" w:eastAsia="宋体" w:cs="宋体"/>
                <w:i w:val="0"/>
                <w:iCs w:val="0"/>
                <w:color w:val="auto"/>
                <w:sz w:val="24"/>
                <w:szCs w:val="24"/>
                <w:highlight w:val="none"/>
              </w:rPr>
              <w:t>不接受</w:t>
            </w:r>
          </w:p>
          <w:p w14:paraId="77F5BFD2">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sym w:font="Wingdings" w:char="F0A8"/>
            </w:r>
            <w:r>
              <w:rPr>
                <w:rFonts w:hint="eastAsia" w:ascii="宋体" w:hAnsi="宋体" w:eastAsia="宋体" w:cs="宋体"/>
                <w:i w:val="0"/>
                <w:iCs w:val="0"/>
                <w:color w:val="auto"/>
                <w:sz w:val="24"/>
                <w:szCs w:val="24"/>
                <w:highlight w:val="none"/>
                <w:lang w:val="zh-CN"/>
              </w:rPr>
              <w:t>接受</w:t>
            </w:r>
          </w:p>
        </w:tc>
      </w:tr>
      <w:tr w14:paraId="6F7014D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jc w:val="center"/>
        </w:trPr>
        <w:tc>
          <w:tcPr>
            <w:tcW w:w="970" w:type="dxa"/>
            <w:tcBorders>
              <w:top w:val="single" w:color="auto" w:sz="2" w:space="0"/>
              <w:left w:val="single" w:color="auto" w:sz="2" w:space="0"/>
              <w:bottom w:val="single" w:color="auto" w:sz="2" w:space="0"/>
              <w:right w:val="single" w:color="auto" w:sz="2" w:space="0"/>
            </w:tcBorders>
            <w:vAlign w:val="center"/>
          </w:tcPr>
          <w:p w14:paraId="15EB639A">
            <w:pPr>
              <w:pStyle w:val="46"/>
              <w:keepNext w:val="0"/>
              <w:keepLines w:val="0"/>
              <w:pageBreakBefore w:val="0"/>
              <w:kinsoku/>
              <w:wordWrap/>
              <w:overflowPunct/>
              <w:topLinePunct w:val="0"/>
              <w:bidi w:val="0"/>
              <w:snapToGrid/>
              <w:spacing w:line="320" w:lineRule="exact"/>
              <w:ind w:left="0"/>
              <w:jc w:val="center"/>
              <w:textAlignment w:val="auto"/>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lang w:val="en-US" w:eastAsia="zh-CN"/>
              </w:rPr>
              <w:t>42</w:t>
            </w: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val="en-US" w:eastAsia="zh-CN"/>
              </w:rPr>
              <w:t>2</w:t>
            </w:r>
          </w:p>
        </w:tc>
        <w:tc>
          <w:tcPr>
            <w:tcW w:w="1850" w:type="dxa"/>
            <w:tcBorders>
              <w:top w:val="single" w:color="auto" w:sz="2" w:space="0"/>
              <w:left w:val="single" w:color="auto" w:sz="2" w:space="0"/>
              <w:bottom w:val="single" w:color="auto" w:sz="2" w:space="0"/>
              <w:right w:val="single" w:color="auto" w:sz="2" w:space="0"/>
            </w:tcBorders>
            <w:vAlign w:val="center"/>
          </w:tcPr>
          <w:p w14:paraId="623E81DC">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支持中小企业政策</w:t>
            </w:r>
            <w:r>
              <w:rPr>
                <w:rStyle w:val="31"/>
                <w:rFonts w:hint="eastAsia" w:ascii="宋体" w:hAnsi="宋体" w:eastAsia="宋体" w:cs="宋体"/>
                <w:b w:val="0"/>
                <w:i w:val="0"/>
                <w:iCs w:val="0"/>
                <w:color w:val="auto"/>
                <w:sz w:val="24"/>
                <w:szCs w:val="24"/>
                <w:highlight w:val="none"/>
                <w:lang w:val="en-US" w:eastAsia="zh-CN"/>
              </w:rPr>
              <w:t>（非专门面向中小企业采购项目适用）</w:t>
            </w:r>
          </w:p>
        </w:tc>
        <w:tc>
          <w:tcPr>
            <w:tcW w:w="5462" w:type="dxa"/>
            <w:tcBorders>
              <w:top w:val="single" w:color="auto" w:sz="2" w:space="0"/>
              <w:left w:val="single" w:color="auto" w:sz="2" w:space="0"/>
              <w:bottom w:val="single" w:color="auto" w:sz="2" w:space="0"/>
              <w:right w:val="single" w:color="auto" w:sz="2" w:space="0"/>
            </w:tcBorders>
            <w:vAlign w:val="center"/>
          </w:tcPr>
          <w:p w14:paraId="494A9BAF">
            <w:pPr>
              <w:pStyle w:val="59"/>
              <w:keepNext w:val="0"/>
              <w:keepLines w:val="0"/>
              <w:pageBreakBefore w:val="0"/>
              <w:widowControl w:val="0"/>
              <w:kinsoku/>
              <w:wordWrap/>
              <w:overflowPunct/>
              <w:topLinePunct w:val="0"/>
              <w:bidi w:val="0"/>
              <w:snapToGrid/>
              <w:spacing w:before="0" w:beforeAutospacing="0" w:after="0" w:afterAutospacing="0" w:line="320" w:lineRule="exact"/>
              <w:ind w:left="0"/>
              <w:jc w:val="both"/>
              <w:textAlignment w:val="auto"/>
              <w:rPr>
                <w:rFonts w:hint="eastAsia" w:ascii="宋体" w:hAnsi="宋体" w:eastAsia="宋体" w:cs="宋体"/>
                <w:b w:val="0"/>
                <w:i w:val="0"/>
                <w:iCs w:val="0"/>
                <w:color w:val="auto"/>
                <w:sz w:val="24"/>
                <w:szCs w:val="24"/>
                <w:highlight w:val="none"/>
              </w:rPr>
            </w:pPr>
            <w:r>
              <w:rPr>
                <w:rFonts w:hint="eastAsia" w:ascii="宋体" w:hAnsi="宋体" w:eastAsia="宋体" w:cs="宋体"/>
                <w:b w:val="0"/>
                <w:i w:val="0"/>
                <w:iCs w:val="0"/>
                <w:color w:val="auto"/>
                <w:sz w:val="24"/>
                <w:szCs w:val="24"/>
                <w:highlight w:val="none"/>
                <w:lang w:val="en-US" w:eastAsia="zh-CN"/>
              </w:rPr>
              <w:t xml:space="preserve"> </w:t>
            </w:r>
            <w:r>
              <w:rPr>
                <w:rFonts w:hint="eastAsia" w:ascii="宋体" w:hAnsi="宋体" w:eastAsia="宋体" w:cs="宋体"/>
                <w:b w:val="0"/>
                <w:i w:val="0"/>
                <w:iCs w:val="0"/>
                <w:color w:val="auto"/>
                <w:sz w:val="24"/>
                <w:szCs w:val="24"/>
                <w:highlight w:val="none"/>
              </w:rPr>
              <w:t>1</w:t>
            </w:r>
            <w:r>
              <w:rPr>
                <w:rFonts w:hint="eastAsia" w:ascii="宋体" w:hAnsi="宋体" w:eastAsia="宋体" w:cs="宋体"/>
                <w:b w:val="0"/>
                <w:i w:val="0"/>
                <w:iCs w:val="0"/>
                <w:color w:val="auto"/>
                <w:sz w:val="24"/>
                <w:szCs w:val="24"/>
                <w:highlight w:val="none"/>
                <w:lang w:val="en-US" w:eastAsia="zh-CN"/>
              </w:rPr>
              <w:t>.</w:t>
            </w:r>
            <w:r>
              <w:rPr>
                <w:rFonts w:hint="eastAsia" w:ascii="宋体" w:hAnsi="宋体" w:eastAsia="宋体" w:cs="宋体"/>
                <w:b w:val="0"/>
                <w:i w:val="0"/>
                <w:iCs w:val="0"/>
                <w:color w:val="auto"/>
                <w:sz w:val="24"/>
                <w:szCs w:val="24"/>
                <w:highlight w:val="none"/>
              </w:rPr>
              <w:t>小型和微型企业价格扣除：</w:t>
            </w:r>
            <w:r>
              <w:rPr>
                <w:rFonts w:hint="eastAsia" w:ascii="宋体" w:hAnsi="宋体" w:eastAsia="宋体" w:cs="宋体"/>
                <w:b w:val="0"/>
                <w:i w:val="0"/>
                <w:iCs w:val="0"/>
                <w:color w:val="auto"/>
                <w:sz w:val="24"/>
                <w:szCs w:val="24"/>
                <w:highlight w:val="none"/>
                <w:u w:val="single"/>
                <w:lang w:val="en-US" w:eastAsia="zh-CN"/>
              </w:rPr>
              <w:t xml:space="preserve">  </w:t>
            </w:r>
            <w:r>
              <w:rPr>
                <w:rFonts w:hint="eastAsia" w:cs="宋体"/>
                <w:b w:val="0"/>
                <w:i w:val="0"/>
                <w:iCs w:val="0"/>
                <w:color w:val="auto"/>
                <w:sz w:val="24"/>
                <w:szCs w:val="24"/>
                <w:highlight w:val="none"/>
                <w:u w:val="single"/>
                <w:lang w:val="en-US" w:eastAsia="zh-CN"/>
              </w:rPr>
              <w:t>10%</w:t>
            </w:r>
            <w:r>
              <w:rPr>
                <w:rFonts w:hint="eastAsia" w:ascii="宋体" w:hAnsi="宋体" w:eastAsia="宋体" w:cs="宋体"/>
                <w:b w:val="0"/>
                <w:i w:val="0"/>
                <w:iCs w:val="0"/>
                <w:color w:val="auto"/>
                <w:sz w:val="24"/>
                <w:szCs w:val="24"/>
                <w:highlight w:val="none"/>
                <w:u w:val="single"/>
                <w:lang w:val="en-US" w:eastAsia="zh-CN"/>
              </w:rPr>
              <w:t xml:space="preserve">  </w:t>
            </w:r>
            <w:r>
              <w:rPr>
                <w:rFonts w:hint="eastAsia" w:ascii="宋体" w:hAnsi="宋体" w:eastAsia="宋体" w:cs="宋体"/>
                <w:b w:val="0"/>
                <w:i w:val="0"/>
                <w:iCs w:val="0"/>
                <w:color w:val="auto"/>
                <w:sz w:val="24"/>
                <w:szCs w:val="24"/>
                <w:highlight w:val="none"/>
              </w:rPr>
              <w:t>。</w:t>
            </w:r>
          </w:p>
          <w:p w14:paraId="1EC73829">
            <w:pPr>
              <w:pStyle w:val="59"/>
              <w:keepNext w:val="0"/>
              <w:keepLines w:val="0"/>
              <w:pageBreakBefore w:val="0"/>
              <w:widowControl w:val="0"/>
              <w:kinsoku/>
              <w:wordWrap/>
              <w:overflowPunct/>
              <w:topLinePunct w:val="0"/>
              <w:bidi w:val="0"/>
              <w:snapToGrid/>
              <w:spacing w:before="0" w:beforeAutospacing="0" w:after="0" w:afterAutospacing="0" w:line="320" w:lineRule="exact"/>
              <w:ind w:left="0"/>
              <w:jc w:val="both"/>
              <w:textAlignment w:val="auto"/>
              <w:rPr>
                <w:rFonts w:hint="eastAsia" w:ascii="宋体" w:hAnsi="宋体" w:eastAsia="宋体" w:cs="宋体"/>
                <w:b w:val="0"/>
                <w:i w:val="0"/>
                <w:iCs w:val="0"/>
                <w:color w:val="auto"/>
                <w:sz w:val="24"/>
                <w:szCs w:val="24"/>
                <w:highlight w:val="none"/>
              </w:rPr>
            </w:pPr>
            <w:r>
              <w:rPr>
                <w:rFonts w:hint="eastAsia" w:ascii="宋体" w:hAnsi="宋体" w:eastAsia="宋体" w:cs="宋体"/>
                <w:b w:val="0"/>
                <w:i w:val="0"/>
                <w:iCs w:val="0"/>
                <w:color w:val="auto"/>
                <w:sz w:val="24"/>
                <w:szCs w:val="24"/>
                <w:highlight w:val="none"/>
                <w:lang w:val="en-US" w:eastAsia="zh-CN"/>
              </w:rPr>
              <w:t xml:space="preserve"> </w:t>
            </w:r>
            <w:r>
              <w:rPr>
                <w:rFonts w:hint="eastAsia" w:ascii="宋体" w:hAnsi="宋体" w:eastAsia="宋体" w:cs="宋体"/>
                <w:b w:val="0"/>
                <w:i w:val="0"/>
                <w:iCs w:val="0"/>
                <w:color w:val="auto"/>
                <w:sz w:val="24"/>
                <w:szCs w:val="24"/>
                <w:highlight w:val="none"/>
              </w:rPr>
              <w:t>2</w:t>
            </w:r>
            <w:r>
              <w:rPr>
                <w:rFonts w:hint="eastAsia" w:ascii="宋体" w:hAnsi="宋体" w:eastAsia="宋体" w:cs="宋体"/>
                <w:b w:val="0"/>
                <w:i w:val="0"/>
                <w:iCs w:val="0"/>
                <w:color w:val="auto"/>
                <w:sz w:val="24"/>
                <w:szCs w:val="24"/>
                <w:highlight w:val="none"/>
                <w:lang w:val="en-US" w:eastAsia="zh-CN"/>
              </w:rPr>
              <w:t>.</w:t>
            </w:r>
            <w:r>
              <w:rPr>
                <w:rFonts w:hint="eastAsia" w:ascii="宋体" w:hAnsi="宋体" w:eastAsia="宋体" w:cs="宋体"/>
                <w:b w:val="0"/>
                <w:i w:val="0"/>
                <w:iCs w:val="0"/>
                <w:color w:val="auto"/>
                <w:sz w:val="24"/>
                <w:szCs w:val="24"/>
                <w:highlight w:val="none"/>
              </w:rPr>
              <w:t>监狱企业价格扣除：</w:t>
            </w:r>
            <w:r>
              <w:rPr>
                <w:rFonts w:hint="eastAsia" w:ascii="宋体" w:hAnsi="宋体" w:eastAsia="宋体" w:cs="宋体"/>
                <w:b w:val="0"/>
                <w:i w:val="0"/>
                <w:iCs w:val="0"/>
                <w:color w:val="auto"/>
                <w:sz w:val="24"/>
                <w:szCs w:val="24"/>
                <w:highlight w:val="none"/>
                <w:u w:val="none"/>
              </w:rPr>
              <w:t>同小型和微型企业</w:t>
            </w:r>
            <w:r>
              <w:rPr>
                <w:rFonts w:hint="eastAsia" w:ascii="宋体" w:hAnsi="宋体" w:eastAsia="宋体" w:cs="宋体"/>
                <w:b w:val="0"/>
                <w:i w:val="0"/>
                <w:iCs w:val="0"/>
                <w:color w:val="auto"/>
                <w:sz w:val="24"/>
                <w:szCs w:val="24"/>
                <w:highlight w:val="none"/>
              </w:rPr>
              <w:t>。</w:t>
            </w:r>
          </w:p>
          <w:p w14:paraId="498559E5">
            <w:pPr>
              <w:pStyle w:val="59"/>
              <w:keepNext w:val="0"/>
              <w:keepLines w:val="0"/>
              <w:pageBreakBefore w:val="0"/>
              <w:widowControl w:val="0"/>
              <w:kinsoku/>
              <w:wordWrap/>
              <w:overflowPunct/>
              <w:topLinePunct w:val="0"/>
              <w:bidi w:val="0"/>
              <w:snapToGrid/>
              <w:spacing w:before="0" w:beforeAutospacing="0" w:after="0" w:afterAutospacing="0" w:line="320" w:lineRule="exact"/>
              <w:ind w:left="0"/>
              <w:jc w:val="both"/>
              <w:textAlignment w:val="auto"/>
              <w:rPr>
                <w:rFonts w:hint="eastAsia" w:ascii="宋体" w:hAnsi="宋体" w:eastAsia="宋体" w:cs="宋体"/>
                <w:b w:val="0"/>
                <w:i w:val="0"/>
                <w:iCs w:val="0"/>
                <w:color w:val="auto"/>
                <w:sz w:val="24"/>
                <w:szCs w:val="24"/>
                <w:highlight w:val="none"/>
              </w:rPr>
            </w:pPr>
            <w:r>
              <w:rPr>
                <w:rFonts w:hint="eastAsia" w:ascii="宋体" w:hAnsi="宋体" w:eastAsia="宋体" w:cs="宋体"/>
                <w:b w:val="0"/>
                <w:i w:val="0"/>
                <w:iCs w:val="0"/>
                <w:color w:val="auto"/>
                <w:sz w:val="24"/>
                <w:szCs w:val="24"/>
                <w:highlight w:val="none"/>
                <w:lang w:val="en-US" w:eastAsia="zh-CN"/>
              </w:rPr>
              <w:t xml:space="preserve"> </w:t>
            </w:r>
            <w:r>
              <w:rPr>
                <w:rFonts w:hint="eastAsia" w:ascii="宋体" w:hAnsi="宋体" w:eastAsia="宋体" w:cs="宋体"/>
                <w:b w:val="0"/>
                <w:i w:val="0"/>
                <w:iCs w:val="0"/>
                <w:color w:val="auto"/>
                <w:sz w:val="24"/>
                <w:szCs w:val="24"/>
                <w:highlight w:val="none"/>
              </w:rPr>
              <w:t>3</w:t>
            </w:r>
            <w:r>
              <w:rPr>
                <w:rFonts w:hint="eastAsia" w:ascii="宋体" w:hAnsi="宋体" w:eastAsia="宋体" w:cs="宋体"/>
                <w:b w:val="0"/>
                <w:i w:val="0"/>
                <w:iCs w:val="0"/>
                <w:color w:val="auto"/>
                <w:sz w:val="24"/>
                <w:szCs w:val="24"/>
                <w:highlight w:val="none"/>
                <w:lang w:val="en-US" w:eastAsia="zh-CN"/>
              </w:rPr>
              <w:t>.</w:t>
            </w:r>
            <w:r>
              <w:rPr>
                <w:rFonts w:hint="eastAsia" w:ascii="宋体" w:hAnsi="宋体" w:eastAsia="宋体" w:cs="宋体"/>
                <w:b w:val="0"/>
                <w:i w:val="0"/>
                <w:iCs w:val="0"/>
                <w:color w:val="auto"/>
                <w:sz w:val="24"/>
                <w:szCs w:val="24"/>
                <w:highlight w:val="none"/>
              </w:rPr>
              <w:t>残疾人福利性单位价格扣除：</w:t>
            </w:r>
            <w:r>
              <w:rPr>
                <w:rFonts w:hint="eastAsia" w:ascii="宋体" w:hAnsi="宋体" w:eastAsia="宋体" w:cs="宋体"/>
                <w:b w:val="0"/>
                <w:i w:val="0"/>
                <w:iCs w:val="0"/>
                <w:color w:val="auto"/>
                <w:sz w:val="24"/>
                <w:szCs w:val="24"/>
                <w:highlight w:val="none"/>
                <w:u w:val="none"/>
              </w:rPr>
              <w:t>同小型和微型企业</w:t>
            </w:r>
            <w:r>
              <w:rPr>
                <w:rFonts w:hint="eastAsia" w:ascii="宋体" w:hAnsi="宋体" w:eastAsia="宋体" w:cs="宋体"/>
                <w:b w:val="0"/>
                <w:i w:val="0"/>
                <w:iCs w:val="0"/>
                <w:color w:val="auto"/>
                <w:sz w:val="24"/>
                <w:szCs w:val="24"/>
                <w:highlight w:val="none"/>
              </w:rPr>
              <w:t>。</w:t>
            </w:r>
          </w:p>
          <w:p w14:paraId="56AB8547">
            <w:pPr>
              <w:pStyle w:val="59"/>
              <w:keepNext w:val="0"/>
              <w:keepLines w:val="0"/>
              <w:pageBreakBefore w:val="0"/>
              <w:widowControl w:val="0"/>
              <w:kinsoku/>
              <w:wordWrap/>
              <w:overflowPunct/>
              <w:topLinePunct w:val="0"/>
              <w:bidi w:val="0"/>
              <w:snapToGrid/>
              <w:spacing w:before="0" w:beforeAutospacing="0" w:after="0" w:afterAutospacing="0" w:line="320" w:lineRule="exact"/>
              <w:ind w:left="0"/>
              <w:jc w:val="both"/>
              <w:textAlignment w:val="auto"/>
              <w:rPr>
                <w:rFonts w:hint="eastAsia" w:ascii="宋体" w:hAnsi="宋体" w:eastAsia="宋体" w:cs="宋体"/>
                <w:b w:val="0"/>
                <w:i w:val="0"/>
                <w:iCs w:val="0"/>
                <w:color w:val="auto"/>
                <w:sz w:val="24"/>
                <w:szCs w:val="24"/>
                <w:highlight w:val="none"/>
              </w:rPr>
            </w:pPr>
            <w:r>
              <w:rPr>
                <w:rFonts w:hint="eastAsia" w:ascii="宋体" w:hAnsi="宋体" w:eastAsia="宋体" w:cs="宋体"/>
                <w:b w:val="0"/>
                <w:i w:val="0"/>
                <w:iCs w:val="0"/>
                <w:color w:val="auto"/>
                <w:sz w:val="24"/>
                <w:szCs w:val="24"/>
                <w:highlight w:val="none"/>
                <w:lang w:val="en-US" w:eastAsia="zh-CN"/>
              </w:rPr>
              <w:t xml:space="preserve"> </w:t>
            </w:r>
            <w:r>
              <w:rPr>
                <w:rFonts w:hint="eastAsia" w:ascii="宋体" w:hAnsi="宋体" w:eastAsia="宋体" w:cs="宋体"/>
                <w:b w:val="0"/>
                <w:i w:val="0"/>
                <w:iCs w:val="0"/>
                <w:color w:val="auto"/>
                <w:sz w:val="24"/>
                <w:szCs w:val="24"/>
                <w:highlight w:val="none"/>
              </w:rPr>
              <w:t>4</w:t>
            </w:r>
            <w:r>
              <w:rPr>
                <w:rFonts w:hint="eastAsia" w:ascii="宋体" w:hAnsi="宋体" w:eastAsia="宋体" w:cs="宋体"/>
                <w:b w:val="0"/>
                <w:i w:val="0"/>
                <w:iCs w:val="0"/>
                <w:color w:val="auto"/>
                <w:sz w:val="24"/>
                <w:szCs w:val="24"/>
                <w:highlight w:val="none"/>
                <w:lang w:val="en-US" w:eastAsia="zh-CN"/>
              </w:rPr>
              <w:t>.</w:t>
            </w:r>
            <w:r>
              <w:rPr>
                <w:rFonts w:hint="eastAsia" w:ascii="宋体" w:hAnsi="宋体" w:eastAsia="宋体" w:cs="宋体"/>
                <w:b w:val="0"/>
                <w:i w:val="0"/>
                <w:iCs w:val="0"/>
                <w:color w:val="auto"/>
                <w:sz w:val="24"/>
                <w:szCs w:val="24"/>
                <w:highlight w:val="none"/>
              </w:rPr>
              <w:t>符合条件的联合体价格扣除：</w:t>
            </w:r>
            <w:r>
              <w:rPr>
                <w:rFonts w:hint="eastAsia" w:ascii="宋体" w:hAnsi="宋体" w:eastAsia="宋体" w:cs="宋体"/>
                <w:b w:val="0"/>
                <w:i w:val="0"/>
                <w:iCs w:val="0"/>
                <w:color w:val="auto"/>
                <w:sz w:val="24"/>
                <w:szCs w:val="24"/>
                <w:highlight w:val="none"/>
                <w:u w:val="single"/>
              </w:rPr>
              <w:t xml:space="preserve">   /  </w:t>
            </w:r>
            <w:r>
              <w:rPr>
                <w:rFonts w:hint="eastAsia" w:ascii="宋体" w:hAnsi="宋体" w:eastAsia="宋体" w:cs="宋体"/>
                <w:b w:val="0"/>
                <w:i w:val="0"/>
                <w:iCs w:val="0"/>
                <w:color w:val="auto"/>
                <w:sz w:val="24"/>
                <w:szCs w:val="24"/>
                <w:highlight w:val="none"/>
              </w:rPr>
              <w:t>。</w:t>
            </w:r>
          </w:p>
          <w:p w14:paraId="083F702C">
            <w:pPr>
              <w:pStyle w:val="59"/>
              <w:keepNext w:val="0"/>
              <w:keepLines w:val="0"/>
              <w:pageBreakBefore w:val="0"/>
              <w:widowControl w:val="0"/>
              <w:kinsoku/>
              <w:wordWrap/>
              <w:overflowPunct/>
              <w:topLinePunct w:val="0"/>
              <w:bidi w:val="0"/>
              <w:snapToGrid/>
              <w:spacing w:before="0" w:beforeAutospacing="0" w:after="0" w:afterAutospacing="0" w:line="320" w:lineRule="exact"/>
              <w:ind w:left="0"/>
              <w:jc w:val="both"/>
              <w:textAlignment w:val="auto"/>
              <w:rPr>
                <w:rFonts w:hint="eastAsia" w:ascii="宋体" w:hAnsi="宋体" w:eastAsia="宋体" w:cs="宋体"/>
                <w:i w:val="0"/>
                <w:iCs w:val="0"/>
                <w:color w:val="auto"/>
                <w:sz w:val="24"/>
                <w:szCs w:val="24"/>
                <w:highlight w:val="none"/>
              </w:rPr>
            </w:pPr>
            <w:r>
              <w:rPr>
                <w:rFonts w:hint="eastAsia" w:ascii="宋体" w:hAnsi="宋体" w:eastAsia="宋体" w:cs="宋体"/>
                <w:b w:val="0"/>
                <w:i w:val="0"/>
                <w:iCs w:val="0"/>
                <w:color w:val="auto"/>
                <w:sz w:val="24"/>
                <w:szCs w:val="24"/>
                <w:highlight w:val="none"/>
                <w:lang w:val="en-US" w:eastAsia="zh-CN"/>
              </w:rPr>
              <w:t xml:space="preserve"> </w:t>
            </w:r>
            <w:r>
              <w:rPr>
                <w:rFonts w:hint="eastAsia" w:ascii="宋体" w:hAnsi="宋体" w:eastAsia="宋体" w:cs="宋体"/>
                <w:b w:val="0"/>
                <w:i w:val="0"/>
                <w:iCs w:val="0"/>
                <w:color w:val="auto"/>
                <w:sz w:val="24"/>
                <w:szCs w:val="24"/>
                <w:highlight w:val="none"/>
              </w:rPr>
              <w:t>5</w:t>
            </w:r>
            <w:r>
              <w:rPr>
                <w:rFonts w:hint="eastAsia" w:ascii="宋体" w:hAnsi="宋体" w:eastAsia="宋体" w:cs="宋体"/>
                <w:b w:val="0"/>
                <w:i w:val="0"/>
                <w:iCs w:val="0"/>
                <w:color w:val="auto"/>
                <w:sz w:val="24"/>
                <w:szCs w:val="24"/>
                <w:highlight w:val="none"/>
                <w:lang w:val="en-US" w:eastAsia="zh-CN"/>
              </w:rPr>
              <w:t>.</w:t>
            </w:r>
            <w:r>
              <w:rPr>
                <w:rFonts w:hint="eastAsia" w:ascii="宋体" w:hAnsi="宋体" w:eastAsia="宋体" w:cs="宋体"/>
                <w:b w:val="0"/>
                <w:i w:val="0"/>
                <w:iCs w:val="0"/>
                <w:color w:val="auto"/>
                <w:sz w:val="24"/>
                <w:szCs w:val="24"/>
                <w:highlight w:val="none"/>
              </w:rPr>
              <w:t xml:space="preserve">符合条件的向小微企业分包的大中型企业价格扣除：   </w:t>
            </w:r>
            <w:r>
              <w:rPr>
                <w:rFonts w:hint="eastAsia" w:ascii="宋体" w:hAnsi="宋体" w:eastAsia="宋体" w:cs="宋体"/>
                <w:b w:val="0"/>
                <w:i w:val="0"/>
                <w:iCs w:val="0"/>
                <w:color w:val="auto"/>
                <w:sz w:val="24"/>
                <w:szCs w:val="24"/>
                <w:highlight w:val="none"/>
                <w:u w:val="single"/>
              </w:rPr>
              <w:t xml:space="preserve">/  </w:t>
            </w:r>
            <w:r>
              <w:rPr>
                <w:rFonts w:hint="eastAsia" w:ascii="宋体" w:hAnsi="宋体" w:eastAsia="宋体" w:cs="宋体"/>
                <w:b w:val="0"/>
                <w:i w:val="0"/>
                <w:iCs w:val="0"/>
                <w:color w:val="auto"/>
                <w:sz w:val="24"/>
                <w:szCs w:val="24"/>
                <w:highlight w:val="none"/>
              </w:rPr>
              <w:t>。（允许大中型企业向小微企业分包的项目适用）</w:t>
            </w:r>
          </w:p>
        </w:tc>
      </w:tr>
      <w:tr w14:paraId="0160515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570" w:hRule="atLeast"/>
          <w:jc w:val="center"/>
        </w:trPr>
        <w:tc>
          <w:tcPr>
            <w:tcW w:w="970" w:type="dxa"/>
            <w:tcBorders>
              <w:top w:val="single" w:color="auto" w:sz="2" w:space="0"/>
              <w:left w:val="single" w:color="auto" w:sz="2" w:space="0"/>
              <w:bottom w:val="single" w:color="auto" w:sz="2" w:space="0"/>
              <w:right w:val="single" w:color="auto" w:sz="2" w:space="0"/>
            </w:tcBorders>
            <w:vAlign w:val="center"/>
          </w:tcPr>
          <w:p w14:paraId="790F1479">
            <w:pPr>
              <w:pStyle w:val="46"/>
              <w:keepNext w:val="0"/>
              <w:keepLines w:val="0"/>
              <w:pageBreakBefore w:val="0"/>
              <w:kinsoku/>
              <w:wordWrap/>
              <w:overflowPunct/>
              <w:topLinePunct w:val="0"/>
              <w:bidi w:val="0"/>
              <w:snapToGrid/>
              <w:spacing w:line="320" w:lineRule="exact"/>
              <w:ind w:left="0"/>
              <w:jc w:val="center"/>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42.9</w:t>
            </w:r>
          </w:p>
        </w:tc>
        <w:tc>
          <w:tcPr>
            <w:tcW w:w="1850" w:type="dxa"/>
            <w:tcBorders>
              <w:top w:val="single" w:color="auto" w:sz="2" w:space="0"/>
              <w:left w:val="single" w:color="auto" w:sz="2" w:space="0"/>
              <w:bottom w:val="single" w:color="auto" w:sz="2" w:space="0"/>
              <w:right w:val="single" w:color="auto" w:sz="2" w:space="0"/>
            </w:tcBorders>
            <w:vAlign w:val="center"/>
          </w:tcPr>
          <w:p w14:paraId="2A0D024C">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lang w:val="en-US" w:eastAsia="zh-CN"/>
              </w:rPr>
              <w:t>标的所属行业</w:t>
            </w:r>
            <w:r>
              <w:rPr>
                <w:rStyle w:val="31"/>
                <w:rFonts w:hint="eastAsia" w:ascii="宋体" w:hAnsi="宋体" w:eastAsia="宋体" w:cs="宋体"/>
                <w:b w:val="0"/>
                <w:i w:val="0"/>
                <w:iCs w:val="0"/>
                <w:color w:val="auto"/>
                <w:sz w:val="24"/>
                <w:szCs w:val="24"/>
                <w:highlight w:val="none"/>
                <w:lang w:val="en-US" w:eastAsia="zh-CN"/>
              </w:rPr>
              <w:t>（参照后附</w:t>
            </w:r>
            <w:r>
              <w:rPr>
                <w:rStyle w:val="31"/>
                <w:rFonts w:hint="eastAsia" w:ascii="宋体" w:hAnsi="宋体" w:eastAsia="宋体" w:cs="宋体"/>
                <w:b w:val="0"/>
                <w:i w:val="0"/>
                <w:iCs w:val="0"/>
                <w:color w:val="auto"/>
                <w:sz w:val="24"/>
                <w:szCs w:val="24"/>
                <w:highlight w:val="none"/>
                <w:lang w:eastAsia="zh-CN"/>
              </w:rPr>
              <w:t>《</w:t>
            </w:r>
            <w:r>
              <w:rPr>
                <w:rStyle w:val="31"/>
                <w:rFonts w:hint="eastAsia" w:ascii="宋体" w:hAnsi="宋体" w:eastAsia="宋体" w:cs="宋体"/>
                <w:b w:val="0"/>
                <w:i w:val="0"/>
                <w:iCs w:val="0"/>
                <w:color w:val="auto"/>
                <w:sz w:val="24"/>
                <w:szCs w:val="24"/>
                <w:highlight w:val="none"/>
              </w:rPr>
              <w:t>工信部联企业〔2011〕300号</w:t>
            </w:r>
            <w:r>
              <w:rPr>
                <w:rStyle w:val="31"/>
                <w:rFonts w:hint="eastAsia" w:ascii="宋体" w:hAnsi="宋体" w:eastAsia="宋体" w:cs="宋体"/>
                <w:b w:val="0"/>
                <w:i w:val="0"/>
                <w:iCs w:val="0"/>
                <w:color w:val="auto"/>
                <w:sz w:val="24"/>
                <w:szCs w:val="24"/>
                <w:highlight w:val="none"/>
                <w:lang w:eastAsia="zh-CN"/>
              </w:rPr>
              <w:t>》）</w:t>
            </w:r>
          </w:p>
        </w:tc>
        <w:tc>
          <w:tcPr>
            <w:tcW w:w="5462" w:type="dxa"/>
            <w:tcBorders>
              <w:top w:val="single" w:color="auto" w:sz="2" w:space="0"/>
              <w:left w:val="single" w:color="auto" w:sz="2" w:space="0"/>
              <w:bottom w:val="single" w:color="auto" w:sz="2" w:space="0"/>
              <w:right w:val="single" w:color="auto" w:sz="2" w:space="0"/>
            </w:tcBorders>
            <w:vAlign w:val="center"/>
          </w:tcPr>
          <w:p w14:paraId="4176FC14">
            <w:pPr>
              <w:keepNext w:val="0"/>
              <w:keepLines w:val="0"/>
              <w:pageBreakBefore w:val="0"/>
              <w:widowControl/>
              <w:suppressLineNumbers w:val="0"/>
              <w:kinsoku/>
              <w:wordWrap/>
              <w:overflowPunct/>
              <w:topLinePunct w:val="0"/>
              <w:bidi w:val="0"/>
              <w:snapToGrid/>
              <w:spacing w:line="320" w:lineRule="exact"/>
              <w:ind w:left="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kern w:val="0"/>
                <w:sz w:val="24"/>
                <w:szCs w:val="24"/>
                <w:highlight w:val="none"/>
                <w:lang w:val="en-US" w:eastAsia="zh-CN" w:bidi="ar"/>
              </w:rPr>
              <w:t>本项目采购标的对应的中小企业划分标准所属行业：其他未列明行业</w:t>
            </w:r>
            <w:r>
              <w:rPr>
                <w:rFonts w:hint="eastAsia" w:cs="宋体"/>
                <w:i w:val="0"/>
                <w:iCs w:val="0"/>
                <w:color w:val="auto"/>
                <w:kern w:val="0"/>
                <w:sz w:val="24"/>
                <w:szCs w:val="24"/>
                <w:highlight w:val="none"/>
                <w:lang w:val="en-US" w:eastAsia="zh-CN" w:bidi="ar"/>
              </w:rPr>
              <w:t>。</w:t>
            </w:r>
          </w:p>
        </w:tc>
      </w:tr>
      <w:tr w14:paraId="54F8D04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1911" w:hRule="atLeast"/>
          <w:jc w:val="center"/>
        </w:trPr>
        <w:tc>
          <w:tcPr>
            <w:tcW w:w="970" w:type="dxa"/>
            <w:tcBorders>
              <w:top w:val="single" w:color="auto" w:sz="2" w:space="0"/>
              <w:left w:val="single" w:color="auto" w:sz="2" w:space="0"/>
              <w:bottom w:val="single" w:color="auto" w:sz="2" w:space="0"/>
              <w:right w:val="single" w:color="auto" w:sz="4" w:space="0"/>
            </w:tcBorders>
            <w:vAlign w:val="center"/>
          </w:tcPr>
          <w:p w14:paraId="342D37A4">
            <w:pPr>
              <w:pStyle w:val="46"/>
              <w:keepNext w:val="0"/>
              <w:keepLines w:val="0"/>
              <w:pageBreakBefore w:val="0"/>
              <w:kinsoku/>
              <w:wordWrap/>
              <w:overflowPunct/>
              <w:topLinePunct w:val="0"/>
              <w:bidi w:val="0"/>
              <w:snapToGrid/>
              <w:spacing w:line="320" w:lineRule="exact"/>
              <w:ind w:left="0"/>
              <w:jc w:val="center"/>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4</w:t>
            </w:r>
            <w:r>
              <w:rPr>
                <w:rFonts w:hint="eastAsia" w:ascii="宋体" w:hAnsi="宋体" w:eastAsia="宋体" w:cs="宋体"/>
                <w:i w:val="0"/>
                <w:iCs w:val="0"/>
                <w:color w:val="auto"/>
                <w:sz w:val="24"/>
                <w:szCs w:val="24"/>
                <w:highlight w:val="none"/>
                <w:lang w:val="en-US" w:eastAsia="zh-CN"/>
              </w:rPr>
              <w:t>8</w:t>
            </w:r>
            <w:r>
              <w:rPr>
                <w:rFonts w:hint="eastAsia" w:ascii="宋体" w:hAnsi="宋体" w:eastAsia="宋体" w:cs="宋体"/>
                <w:i w:val="0"/>
                <w:iCs w:val="0"/>
                <w:color w:val="auto"/>
                <w:sz w:val="24"/>
                <w:szCs w:val="24"/>
                <w:highlight w:val="none"/>
              </w:rPr>
              <w:t>.1</w:t>
            </w:r>
          </w:p>
        </w:tc>
        <w:tc>
          <w:tcPr>
            <w:tcW w:w="1850" w:type="dxa"/>
            <w:tcBorders>
              <w:top w:val="single" w:color="auto" w:sz="2" w:space="0"/>
              <w:left w:val="single" w:color="auto" w:sz="2" w:space="0"/>
              <w:bottom w:val="single" w:color="auto" w:sz="2" w:space="0"/>
              <w:right w:val="single" w:color="auto" w:sz="4" w:space="0"/>
            </w:tcBorders>
            <w:vAlign w:val="center"/>
          </w:tcPr>
          <w:p w14:paraId="57A459C3">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需要补充的其他内容</w:t>
            </w:r>
          </w:p>
        </w:tc>
        <w:tc>
          <w:tcPr>
            <w:tcW w:w="5462" w:type="dxa"/>
            <w:tcBorders>
              <w:top w:val="single" w:color="auto" w:sz="2" w:space="0"/>
              <w:left w:val="single" w:color="auto" w:sz="4" w:space="0"/>
              <w:bottom w:val="single" w:color="auto" w:sz="2" w:space="0"/>
              <w:right w:val="single" w:color="auto" w:sz="2" w:space="0"/>
            </w:tcBorders>
            <w:vAlign w:val="center"/>
          </w:tcPr>
          <w:p w14:paraId="7FE676CE">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☆1、所有供应商的报价高于最高限价视为无效报价（即作无效响应处理）供应商的报价应包含服务于本项目的编制费、人工费、差旅费、会议费、食宿费、专家咨询评审费等可能发生的一切应有费用及税金。</w:t>
            </w:r>
          </w:p>
          <w:p w14:paraId="4768BF23">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2、在评标过程中，磋商小组认为供应商的报价明显低于其他通过符合性审查供应商的报价，有可能影响服务质量或者不能诚信履约的，应当要求其在合理的时间内提供说明，必要时提交相关证明材料；供应商不能证明其报价合理性的，磋商小组应当将其作为无效响应处理。</w:t>
            </w:r>
          </w:p>
          <w:p w14:paraId="187976C3">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3、为保证本项目服务质量，最低报价不作为成交的唯一依据。</w:t>
            </w:r>
          </w:p>
          <w:p w14:paraId="06CDD08A">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4、更正补充公告请自行登录新疆政府采购网查看下载。</w:t>
            </w:r>
          </w:p>
          <w:p w14:paraId="20C5EC5E">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5、磋商文件中部分加“*”、“☆”、加粗、加下划线、废标、无效标、响应被拒绝字样的条款，为磋商的实质性要求和条件，着重提醒各供应商注意，并认真查看采购文件中的每一个条款及要求，因误读采购文件而造成的后果，采购人概不负责。</w:t>
            </w:r>
          </w:p>
          <w:p w14:paraId="64098865">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6、响应文件中有弄虚作假的内容，其响应文件作废（如假证书、假业绩、隐瞒不良行为记录、夸大荣誉、使用非本单位在职员工的相关证件及不符合招标文件规定的条款等）；在签订合同之前，采购人如发现供应商的响应文件有弄虚作假内容，采购人可拒绝与其签订合同。并将其列入政府采购黑名单库。</w:t>
            </w:r>
          </w:p>
          <w:p w14:paraId="5CC27803">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7、供应商制作响应文件的CA锁必须和开标解密的CA锁为同一把锁，在解密过程中因为CA锁不同而导致解密失败的，由供应商自行承担。</w:t>
            </w:r>
          </w:p>
          <w:p w14:paraId="2B82E574">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8、成交供应商应在中标公告公示期结束后2个工作日内将纸质版响应文件邮寄至代理机构备案，纸质版投标文件包括“响应书”及资格证明文件”和“商务及技术文件”两部分，两部分合订成一册递交备案，纸质版投标文件须与上传至政采云平台的投标文件一致。</w:t>
            </w:r>
          </w:p>
          <w:p w14:paraId="57A96F3A">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b/>
                <w:bCs/>
                <w:i w:val="0"/>
                <w:iCs w:val="0"/>
                <w:color w:val="auto"/>
                <w:sz w:val="24"/>
                <w:szCs w:val="24"/>
                <w:highlight w:val="none"/>
              </w:rPr>
            </w:pPr>
            <w:r>
              <w:rPr>
                <w:rFonts w:hint="eastAsia" w:ascii="宋体" w:hAnsi="宋体" w:eastAsia="宋体" w:cs="宋体"/>
                <w:b/>
                <w:bCs/>
                <w:i w:val="0"/>
                <w:iCs w:val="0"/>
                <w:color w:val="auto"/>
                <w:sz w:val="24"/>
                <w:szCs w:val="24"/>
                <w:highlight w:val="none"/>
              </w:rPr>
              <w:t>递交数量：正本：壹份、副本：贰份；电子文档（加盖公章的PDF版扫描件）1份（以正本为准，副本为正本的原件扫描件）</w:t>
            </w:r>
          </w:p>
          <w:p w14:paraId="08772915">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9、依据财政部第87号令第60条：评审小组发现投标人的报价明显低于其他通过符合性审查投标人的报价，有可能影响产品质量或者不能诚信履约的，应当要求该投标人在评标现场合理时间内作出书面说明并提供相应的证明材料。投标人不能合理说明或者不能提供相应证明材料的，由评审小组认定该投标人以低于成本报价竞标，其投标文件将被否决。</w:t>
            </w:r>
          </w:p>
        </w:tc>
      </w:tr>
      <w:tr w14:paraId="0253189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1911" w:hRule="atLeast"/>
          <w:jc w:val="center"/>
        </w:trPr>
        <w:tc>
          <w:tcPr>
            <w:tcW w:w="8282" w:type="dxa"/>
            <w:gridSpan w:val="3"/>
            <w:tcBorders>
              <w:top w:val="single" w:color="auto" w:sz="2" w:space="0"/>
              <w:left w:val="single" w:color="auto" w:sz="2" w:space="0"/>
              <w:bottom w:val="single" w:color="auto" w:sz="2" w:space="0"/>
              <w:right w:val="single" w:color="auto" w:sz="2" w:space="0"/>
            </w:tcBorders>
            <w:shd w:val="clear" w:color="auto" w:fill="auto"/>
            <w:vAlign w:val="center"/>
          </w:tcPr>
          <w:p w14:paraId="48E82B04">
            <w:pPr>
              <w:pStyle w:val="46"/>
              <w:keepNext w:val="0"/>
              <w:keepLines w:val="0"/>
              <w:pageBreakBefore w:val="0"/>
              <w:kinsoku/>
              <w:wordWrap/>
              <w:overflowPunct/>
              <w:topLinePunct w:val="0"/>
              <w:bidi w:val="0"/>
              <w:snapToGrid/>
              <w:spacing w:line="320" w:lineRule="exact"/>
              <w:textAlignment w:val="auto"/>
              <w:rPr>
                <w:rFonts w:cs="宋体"/>
                <w:sz w:val="24"/>
                <w:szCs w:val="24"/>
              </w:rPr>
            </w:pPr>
            <w:r>
              <w:rPr>
                <w:rFonts w:hint="eastAsia" w:cs="宋体"/>
                <w:sz w:val="24"/>
                <w:szCs w:val="24"/>
              </w:rPr>
              <w:t>1.除本竞争性磋商文件另有规定外，竞争性磋商文件中出现的类似于“近三年”或“前三年”、“近五年”或“前五年”均指递交响应文件时间以前三年或前五年，以此类推。如：递交响应文件时间为年月日，则“近三年”是指年月日至年月日。</w:t>
            </w:r>
          </w:p>
          <w:p w14:paraId="18C60E34">
            <w:pPr>
              <w:pStyle w:val="46"/>
              <w:keepNext w:val="0"/>
              <w:keepLines w:val="0"/>
              <w:pageBreakBefore w:val="0"/>
              <w:kinsoku/>
              <w:wordWrap/>
              <w:overflowPunct/>
              <w:topLinePunct w:val="0"/>
              <w:bidi w:val="0"/>
              <w:snapToGrid/>
              <w:spacing w:line="320" w:lineRule="exact"/>
              <w:textAlignment w:val="auto"/>
              <w:rPr>
                <w:rFonts w:hint="eastAsia" w:ascii="宋体" w:hAnsi="宋体" w:eastAsia="宋体" w:cs="宋体"/>
                <w:kern w:val="2"/>
                <w:sz w:val="24"/>
                <w:szCs w:val="24"/>
                <w:lang w:val="en-US" w:eastAsia="zh-CN" w:bidi="ar-SA"/>
              </w:rPr>
            </w:pPr>
            <w:r>
              <w:rPr>
                <w:rFonts w:hint="eastAsia" w:cs="宋体"/>
                <w:sz w:val="24"/>
                <w:szCs w:val="24"/>
              </w:rPr>
              <w:t>2.本竞争性磋商文件所称的“以上”、“以下”、“内”、“以内”，包括本数；所称的“不足”，不包括本数。</w:t>
            </w:r>
          </w:p>
        </w:tc>
      </w:tr>
      <w:bookmarkEnd w:id="5"/>
      <w:tr w14:paraId="1E1A1BE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715" w:hRule="atLeast"/>
          <w:jc w:val="center"/>
        </w:trPr>
        <w:tc>
          <w:tcPr>
            <w:tcW w:w="0" w:type="auto"/>
            <w:gridSpan w:val="3"/>
            <w:shd w:val="clear" w:color="auto" w:fill="auto"/>
            <w:vAlign w:val="center"/>
          </w:tcPr>
          <w:p w14:paraId="1BB15D6A">
            <w:pPr>
              <w:pStyle w:val="46"/>
              <w:keepNext w:val="0"/>
              <w:keepLines w:val="0"/>
              <w:pageBreakBefore w:val="0"/>
              <w:kinsoku/>
              <w:wordWrap/>
              <w:overflowPunct/>
              <w:topLinePunct w:val="0"/>
              <w:bidi w:val="0"/>
              <w:snapToGrid/>
              <w:spacing w:line="320" w:lineRule="exact"/>
              <w:textAlignment w:val="auto"/>
              <w:rPr>
                <w:rFonts w:hint="eastAsia" w:ascii="宋体" w:hAnsi="宋体" w:eastAsia="宋体" w:cs="宋体"/>
                <w:kern w:val="2"/>
                <w:sz w:val="24"/>
                <w:szCs w:val="24"/>
                <w:lang w:val="en-US" w:eastAsia="zh-CN" w:bidi="ar-SA"/>
              </w:rPr>
            </w:pPr>
            <w:r>
              <w:rPr>
                <w:rFonts w:hint="eastAsia" w:cs="宋体"/>
                <w:sz w:val="24"/>
                <w:szCs w:val="24"/>
              </w:rPr>
              <w:t>招标公告、采购文件与投标人须知前附表不一致之处以投标人须知前附表为准。</w:t>
            </w:r>
          </w:p>
        </w:tc>
      </w:tr>
    </w:tbl>
    <w:p w14:paraId="483C1940">
      <w:pPr>
        <w:rPr>
          <w:i w:val="0"/>
          <w:iCs w:val="0"/>
          <w:color w:val="auto"/>
          <w:highlight w:val="none"/>
        </w:rPr>
      </w:pPr>
    </w:p>
    <w:p w14:paraId="01483B1D">
      <w:pPr>
        <w:pStyle w:val="35"/>
        <w:ind w:firstLine="480"/>
        <w:rPr>
          <w:i w:val="0"/>
          <w:iCs w:val="0"/>
          <w:color w:val="auto"/>
          <w:highlight w:val="none"/>
        </w:rPr>
      </w:pPr>
    </w:p>
    <w:p w14:paraId="1A22499F">
      <w:pPr>
        <w:rPr>
          <w:i w:val="0"/>
          <w:iCs w:val="0"/>
          <w:color w:val="auto"/>
          <w:highlight w:val="none"/>
        </w:rPr>
        <w:sectPr>
          <w:footerReference r:id="rId7" w:type="default"/>
          <w:pgSz w:w="11906" w:h="16838"/>
          <w:pgMar w:top="1440" w:right="1800" w:bottom="1440" w:left="1800" w:header="851" w:footer="652" w:gutter="0"/>
          <w:pgNumType w:fmt="numberInDash"/>
          <w:cols w:space="0" w:num="1"/>
          <w:rtlGutter w:val="0"/>
          <w:docGrid w:type="lines" w:linePitch="312" w:charSpace="0"/>
        </w:sectPr>
      </w:pPr>
    </w:p>
    <w:p w14:paraId="1CF0D4F4">
      <w:pPr>
        <w:pStyle w:val="3"/>
        <w:keepNext/>
        <w:keepLines/>
        <w:pageBreakBefore w:val="0"/>
        <w:widowControl w:val="0"/>
        <w:numPr>
          <w:ilvl w:val="0"/>
          <w:numId w:val="0"/>
        </w:numPr>
        <w:kinsoku/>
        <w:wordWrap/>
        <w:overflowPunct/>
        <w:topLinePunct w:val="0"/>
        <w:autoSpaceDE/>
        <w:autoSpaceDN/>
        <w:bidi w:val="0"/>
        <w:adjustRightInd/>
        <w:snapToGrid/>
        <w:spacing w:before="80" w:after="80" w:line="360" w:lineRule="auto"/>
        <w:ind w:left="420" w:leftChars="0" w:hanging="420" w:firstLineChars="0"/>
        <w:jc w:val="center"/>
        <w:textAlignment w:val="auto"/>
        <w:rPr>
          <w:rFonts w:hint="eastAsia" w:eastAsia="宋体" w:asciiTheme="majorHAnsi" w:hAnsiTheme="majorHAnsi" w:cstheme="majorBidi"/>
          <w:b/>
          <w:bCs/>
          <w:i w:val="0"/>
          <w:iCs w:val="0"/>
          <w:color w:val="auto"/>
          <w:kern w:val="2"/>
          <w:sz w:val="28"/>
          <w:szCs w:val="28"/>
          <w:highlight w:val="none"/>
          <w:lang w:val="en-US" w:eastAsia="zh-CN" w:bidi="ar-SA"/>
        </w:rPr>
      </w:pPr>
      <w:bookmarkStart w:id="7" w:name="_Toc27111"/>
      <w:bookmarkStart w:id="8" w:name="_Toc23446"/>
      <w:r>
        <w:rPr>
          <w:rFonts w:hint="eastAsia" w:eastAsia="宋体" w:asciiTheme="majorHAnsi" w:hAnsiTheme="majorHAnsi" w:cstheme="majorBidi"/>
          <w:b/>
          <w:bCs/>
          <w:i w:val="0"/>
          <w:iCs w:val="0"/>
          <w:color w:val="auto"/>
          <w:kern w:val="2"/>
          <w:sz w:val="28"/>
          <w:szCs w:val="28"/>
          <w:highlight w:val="none"/>
          <w:lang w:val="en-US" w:eastAsia="zh-CN" w:bidi="ar-SA"/>
        </w:rPr>
        <w:t>供应商须知</w:t>
      </w:r>
      <w:bookmarkEnd w:id="7"/>
      <w:bookmarkEnd w:id="8"/>
    </w:p>
    <w:p w14:paraId="04978FCD">
      <w:pPr>
        <w:pStyle w:val="4"/>
        <w:keepNext w:val="0"/>
        <w:keepLines w:val="0"/>
        <w:pageBreakBefore w:val="0"/>
        <w:widowControl w:val="0"/>
        <w:numPr>
          <w:ilvl w:val="0"/>
          <w:numId w:val="0"/>
        </w:numPr>
        <w:kinsoku/>
        <w:wordWrap/>
        <w:overflowPunct/>
        <w:topLinePunct w:val="0"/>
        <w:autoSpaceDE/>
        <w:autoSpaceDN/>
        <w:bidi w:val="0"/>
        <w:adjustRightInd/>
        <w:snapToGrid/>
        <w:spacing w:before="140" w:after="140" w:line="240" w:lineRule="auto"/>
        <w:ind w:left="420" w:leftChars="0" w:hanging="420" w:firstLineChars="0"/>
        <w:textAlignment w:val="auto"/>
        <w:rPr>
          <w:rFonts w:hint="eastAsia" w:ascii="宋体" w:hAnsi="宋体" w:eastAsia="宋体" w:cs="宋体"/>
          <w:b/>
          <w:bCs/>
          <w:i w:val="0"/>
          <w:iCs w:val="0"/>
          <w:color w:val="auto"/>
          <w:kern w:val="2"/>
          <w:sz w:val="24"/>
          <w:szCs w:val="24"/>
          <w:highlight w:val="none"/>
          <w:lang w:val="en-US" w:eastAsia="zh-CN" w:bidi="ar-SA"/>
        </w:rPr>
      </w:pPr>
      <w:bookmarkStart w:id="9" w:name="_Toc22919"/>
      <w:bookmarkStart w:id="10" w:name="_Toc109897433"/>
      <w:bookmarkStart w:id="11" w:name="_Toc21767"/>
      <w:bookmarkStart w:id="12" w:name="_Toc163493611"/>
      <w:bookmarkStart w:id="13" w:name="_Toc109899951"/>
      <w:bookmarkStart w:id="14" w:name="_Toc46771638"/>
      <w:bookmarkStart w:id="15" w:name="_Toc109900370"/>
      <w:bookmarkStart w:id="16" w:name="_Toc9681"/>
      <w:bookmarkStart w:id="17" w:name="_Toc109899532"/>
      <w:bookmarkStart w:id="18" w:name="_Toc470172694"/>
      <w:r>
        <w:rPr>
          <w:rFonts w:hint="eastAsia" w:ascii="宋体" w:hAnsi="宋体" w:eastAsia="宋体" w:cs="宋体"/>
          <w:b/>
          <w:bCs/>
          <w:i w:val="0"/>
          <w:iCs w:val="0"/>
          <w:color w:val="auto"/>
          <w:kern w:val="2"/>
          <w:sz w:val="24"/>
          <w:szCs w:val="24"/>
          <w:highlight w:val="none"/>
          <w:lang w:val="en-US" w:eastAsia="zh-CN" w:bidi="ar-SA"/>
        </w:rPr>
        <w:t>（一）总则</w:t>
      </w:r>
      <w:bookmarkEnd w:id="9"/>
      <w:bookmarkEnd w:id="10"/>
      <w:bookmarkEnd w:id="11"/>
      <w:bookmarkEnd w:id="12"/>
      <w:bookmarkEnd w:id="13"/>
      <w:bookmarkEnd w:id="14"/>
      <w:bookmarkEnd w:id="15"/>
      <w:bookmarkEnd w:id="16"/>
      <w:bookmarkEnd w:id="17"/>
    </w:p>
    <w:p w14:paraId="18977FAF">
      <w:pPr>
        <w:pStyle w:val="5"/>
        <w:keepNext w:val="0"/>
        <w:keepLines w:val="0"/>
        <w:pageBreakBefore w:val="0"/>
        <w:widowControl w:val="0"/>
        <w:numPr>
          <w:ilvl w:val="0"/>
          <w:numId w:val="0"/>
        </w:numPr>
        <w:kinsoku/>
        <w:wordWrap/>
        <w:overflowPunct/>
        <w:topLinePunct w:val="0"/>
        <w:autoSpaceDE/>
        <w:autoSpaceDN/>
        <w:bidi w:val="0"/>
        <w:adjustRightInd/>
        <w:snapToGrid/>
        <w:spacing w:before="80" w:after="80" w:line="240" w:lineRule="auto"/>
        <w:ind w:left="420" w:leftChars="0" w:hanging="420" w:firstLineChars="0"/>
        <w:textAlignment w:val="auto"/>
        <w:rPr>
          <w:rFonts w:hint="eastAsia" w:ascii="宋体" w:hAnsi="宋体" w:eastAsia="宋体" w:cs="宋体"/>
          <w:b/>
          <w:bCs/>
          <w:i w:val="0"/>
          <w:iCs w:val="0"/>
          <w:color w:val="auto"/>
          <w:kern w:val="2"/>
          <w:sz w:val="24"/>
          <w:szCs w:val="24"/>
          <w:highlight w:val="none"/>
          <w:lang w:val="en-US" w:eastAsia="zh-CN" w:bidi="ar-SA"/>
        </w:rPr>
      </w:pPr>
      <w:bookmarkStart w:id="19" w:name="_Toc52960552"/>
      <w:bookmarkStart w:id="20" w:name="_Toc109900371"/>
      <w:bookmarkStart w:id="21" w:name="_Toc48846108"/>
      <w:bookmarkStart w:id="22" w:name="_Toc470172664"/>
      <w:bookmarkStart w:id="23" w:name="_Toc46772240"/>
      <w:bookmarkStart w:id="24" w:name="_Toc46771639"/>
      <w:bookmarkStart w:id="25" w:name="_Toc109899952"/>
      <w:bookmarkStart w:id="26" w:name="_Toc27243"/>
      <w:bookmarkStart w:id="27" w:name="_Toc52962726"/>
      <w:bookmarkStart w:id="28" w:name="_Toc48688788"/>
      <w:bookmarkStart w:id="29" w:name="_Toc51674210"/>
      <w:bookmarkStart w:id="30" w:name="_Toc109897434"/>
      <w:bookmarkStart w:id="31" w:name="_Toc109899533"/>
      <w:r>
        <w:rPr>
          <w:rFonts w:hint="eastAsia" w:ascii="宋体" w:hAnsi="宋体" w:eastAsia="宋体" w:cs="宋体"/>
          <w:b/>
          <w:bCs/>
          <w:i w:val="0"/>
          <w:iCs w:val="0"/>
          <w:color w:val="auto"/>
          <w:kern w:val="2"/>
          <w:sz w:val="24"/>
          <w:szCs w:val="24"/>
          <w:highlight w:val="none"/>
          <w:lang w:val="en-US" w:eastAsia="zh-CN" w:bidi="ar-SA"/>
        </w:rPr>
        <w:t>1.适用范围</w:t>
      </w:r>
      <w:bookmarkEnd w:id="19"/>
      <w:bookmarkEnd w:id="20"/>
      <w:bookmarkEnd w:id="21"/>
      <w:bookmarkEnd w:id="22"/>
      <w:bookmarkEnd w:id="23"/>
      <w:bookmarkEnd w:id="24"/>
      <w:bookmarkEnd w:id="25"/>
      <w:bookmarkEnd w:id="26"/>
      <w:bookmarkEnd w:id="27"/>
      <w:bookmarkEnd w:id="28"/>
      <w:bookmarkEnd w:id="29"/>
      <w:bookmarkEnd w:id="30"/>
      <w:bookmarkEnd w:id="31"/>
    </w:p>
    <w:p w14:paraId="3FAC17DD">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snapToGrid w:val="0"/>
          <w:color w:val="auto"/>
          <w:sz w:val="24"/>
          <w:szCs w:val="24"/>
          <w:highlight w:val="none"/>
        </w:rPr>
      </w:pPr>
      <w:r>
        <w:rPr>
          <w:rFonts w:hint="eastAsia" w:ascii="宋体" w:hAnsi="宋体" w:eastAsia="宋体" w:cs="宋体"/>
          <w:i w:val="0"/>
          <w:iCs w:val="0"/>
          <w:snapToGrid w:val="0"/>
          <w:color w:val="auto"/>
          <w:sz w:val="24"/>
          <w:szCs w:val="24"/>
          <w:highlight w:val="none"/>
        </w:rPr>
        <w:t>1.1本竞争性磋商文件（也称磋商文件或采购文件）仅适用于本次竞争性磋商中所述项目的采购活动。</w:t>
      </w:r>
    </w:p>
    <w:p w14:paraId="34F08411">
      <w:pPr>
        <w:pStyle w:val="5"/>
        <w:keepNext w:val="0"/>
        <w:keepLines w:val="0"/>
        <w:pageBreakBefore w:val="0"/>
        <w:widowControl w:val="0"/>
        <w:numPr>
          <w:ilvl w:val="0"/>
          <w:numId w:val="0"/>
        </w:numPr>
        <w:kinsoku/>
        <w:wordWrap/>
        <w:overflowPunct/>
        <w:topLinePunct w:val="0"/>
        <w:autoSpaceDE/>
        <w:autoSpaceDN/>
        <w:bidi w:val="0"/>
        <w:adjustRightInd/>
        <w:snapToGrid/>
        <w:spacing w:before="80" w:after="80" w:line="240" w:lineRule="auto"/>
        <w:ind w:left="420" w:leftChars="0" w:hanging="420" w:firstLineChars="0"/>
        <w:textAlignment w:val="auto"/>
        <w:rPr>
          <w:rFonts w:hint="eastAsia" w:ascii="宋体" w:hAnsi="宋体" w:eastAsia="宋体" w:cs="宋体"/>
          <w:b/>
          <w:bCs/>
          <w:i w:val="0"/>
          <w:iCs w:val="0"/>
          <w:color w:val="auto"/>
          <w:kern w:val="2"/>
          <w:sz w:val="24"/>
          <w:szCs w:val="24"/>
          <w:highlight w:val="none"/>
          <w:lang w:val="en-US" w:eastAsia="zh-CN" w:bidi="ar-SA"/>
        </w:rPr>
      </w:pPr>
      <w:bookmarkStart w:id="32" w:name="_Toc163492824"/>
      <w:r>
        <w:rPr>
          <w:rFonts w:hint="eastAsia" w:ascii="宋体" w:hAnsi="宋体" w:eastAsia="宋体" w:cs="宋体"/>
          <w:b/>
          <w:bCs/>
          <w:i w:val="0"/>
          <w:iCs w:val="0"/>
          <w:color w:val="auto"/>
          <w:kern w:val="2"/>
          <w:sz w:val="24"/>
          <w:szCs w:val="24"/>
          <w:highlight w:val="none"/>
          <w:lang w:val="en-US" w:eastAsia="zh-CN" w:bidi="ar-SA"/>
        </w:rPr>
        <w:t>2.基本定义</w:t>
      </w:r>
      <w:bookmarkEnd w:id="32"/>
    </w:p>
    <w:p w14:paraId="768D70C2">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2.1根据《中华人民共和国政府采购法》及其实施条例等有关法律、法规和规章的规定，制定本竞争性磋商文件。</w:t>
      </w:r>
    </w:p>
    <w:p w14:paraId="342EC44E">
      <w:pPr>
        <w:keepNext w:val="0"/>
        <w:keepLines w:val="0"/>
        <w:pageBreakBefore w:val="0"/>
        <w:widowControl w:val="0"/>
        <w:suppressLineNumbers w:val="0"/>
        <w:kinsoku/>
        <w:overflowPunct/>
        <w:topLinePunct w:val="0"/>
        <w:autoSpaceDE/>
        <w:autoSpaceDN/>
        <w:bidi w:val="0"/>
        <w:adjustRightInd/>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2.2采购人：</w:t>
      </w:r>
      <w:r>
        <w:rPr>
          <w:rFonts w:hint="eastAsia" w:ascii="宋体" w:hAnsi="宋体" w:eastAsia="宋体" w:cs="宋体"/>
          <w:i w:val="0"/>
          <w:iCs w:val="0"/>
          <w:color w:val="auto"/>
          <w:kern w:val="0"/>
          <w:sz w:val="24"/>
          <w:szCs w:val="24"/>
          <w:highlight w:val="none"/>
          <w:lang w:val="en-US" w:eastAsia="zh-CN" w:bidi="ar"/>
        </w:rPr>
        <w:t>指依法进行政府采购的国家机关、事业单位、团体组织</w:t>
      </w:r>
      <w:r>
        <w:rPr>
          <w:rFonts w:hint="eastAsia" w:ascii="宋体" w:hAnsi="宋体" w:eastAsia="宋体" w:cs="宋体"/>
          <w:i w:val="0"/>
          <w:iCs w:val="0"/>
          <w:color w:val="auto"/>
          <w:sz w:val="24"/>
          <w:szCs w:val="24"/>
          <w:highlight w:val="none"/>
        </w:rPr>
        <w:t>。</w:t>
      </w:r>
    </w:p>
    <w:p w14:paraId="429A3EF6">
      <w:pPr>
        <w:keepNext w:val="0"/>
        <w:keepLines w:val="0"/>
        <w:pageBreakBefore w:val="0"/>
        <w:widowControl w:val="0"/>
        <w:suppressLineNumbers w:val="0"/>
        <w:kinsoku/>
        <w:overflowPunct/>
        <w:topLinePunct w:val="0"/>
        <w:autoSpaceDE/>
        <w:autoSpaceDN/>
        <w:bidi w:val="0"/>
        <w:adjustRightInd/>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2.3采购代理机构：</w:t>
      </w:r>
      <w:r>
        <w:rPr>
          <w:rFonts w:hint="eastAsia" w:ascii="宋体" w:hAnsi="宋体" w:eastAsia="宋体" w:cs="宋体"/>
          <w:i w:val="0"/>
          <w:iCs w:val="0"/>
          <w:color w:val="auto"/>
          <w:kern w:val="0"/>
          <w:sz w:val="24"/>
          <w:szCs w:val="24"/>
          <w:highlight w:val="none"/>
          <w:lang w:val="en-US" w:eastAsia="zh-CN" w:bidi="ar"/>
        </w:rPr>
        <w:t>指依法进行政府采购的国家机关、事业单位、团体组织</w:t>
      </w:r>
      <w:r>
        <w:rPr>
          <w:rFonts w:hint="eastAsia" w:ascii="宋体" w:hAnsi="宋体" w:eastAsia="宋体" w:cs="宋体"/>
          <w:i w:val="0"/>
          <w:iCs w:val="0"/>
          <w:color w:val="auto"/>
          <w:sz w:val="24"/>
          <w:szCs w:val="24"/>
          <w:highlight w:val="none"/>
          <w:lang w:val="en-US" w:eastAsia="zh-CN"/>
        </w:rPr>
        <w:t>委托的采购代理机构</w:t>
      </w:r>
      <w:r>
        <w:rPr>
          <w:rFonts w:hint="eastAsia" w:ascii="宋体" w:hAnsi="宋体" w:eastAsia="宋体" w:cs="宋体"/>
          <w:i w:val="0"/>
          <w:iCs w:val="0"/>
          <w:color w:val="auto"/>
          <w:sz w:val="24"/>
          <w:szCs w:val="24"/>
          <w:highlight w:val="none"/>
        </w:rPr>
        <w:t>。</w:t>
      </w:r>
    </w:p>
    <w:p w14:paraId="26D50742">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2.4政府采购监督管理部门：各级人民政府财政部门是负责政府采购监督管理的部门，依法履行对政府采购活动的监督管理职责。各级人民政府其他有关部门依法履行与政府采购活动有关的监督管理职责。</w:t>
      </w:r>
    </w:p>
    <w:p w14:paraId="18E21DAA">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2.5 服务内容见</w:t>
      </w: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val="en-US" w:eastAsia="zh-CN"/>
        </w:rPr>
        <w:t>供应商</w:t>
      </w:r>
      <w:r>
        <w:rPr>
          <w:rFonts w:hint="eastAsia" w:ascii="宋体" w:hAnsi="宋体" w:eastAsia="宋体" w:cs="宋体"/>
          <w:i w:val="0"/>
          <w:iCs w:val="0"/>
          <w:color w:val="auto"/>
          <w:sz w:val="24"/>
          <w:szCs w:val="24"/>
          <w:highlight w:val="none"/>
        </w:rPr>
        <w:t>须知前附表”</w:t>
      </w:r>
      <w:r>
        <w:rPr>
          <w:rFonts w:hint="eastAsia" w:ascii="宋体" w:hAnsi="宋体" w:eastAsia="宋体" w:cs="宋体"/>
          <w:i w:val="0"/>
          <w:iCs w:val="0"/>
          <w:color w:val="auto"/>
          <w:sz w:val="24"/>
          <w:szCs w:val="24"/>
          <w:highlight w:val="none"/>
          <w:lang w:val="en-US" w:eastAsia="zh-CN"/>
        </w:rPr>
        <w:t>。</w:t>
      </w:r>
    </w:p>
    <w:p w14:paraId="359C340E">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lang w:val="en-US" w:eastAsia="zh-CN"/>
        </w:rPr>
        <w:t>2.6供应商（也称“申请人”）：指向采购人提供货物、工程或者服务的法人、其他组织或者自然人。</w:t>
      </w:r>
      <w:r>
        <w:rPr>
          <w:rFonts w:hint="eastAsia" w:ascii="宋体" w:hAnsi="宋体" w:eastAsia="宋体" w:cs="宋体"/>
          <w:i w:val="0"/>
          <w:iCs w:val="0"/>
          <w:color w:val="auto"/>
          <w:sz w:val="24"/>
          <w:szCs w:val="24"/>
          <w:highlight w:val="none"/>
        </w:rPr>
        <w:t>分支机构不得参加政府采购活动，但银行、保险、石油石化、电力、电信等</w:t>
      </w:r>
      <w:r>
        <w:rPr>
          <w:rFonts w:hint="eastAsia" w:ascii="宋体" w:hAnsi="宋体" w:eastAsia="宋体" w:cs="宋体"/>
          <w:i w:val="0"/>
          <w:iCs w:val="0"/>
          <w:color w:val="auto"/>
          <w:sz w:val="24"/>
          <w:szCs w:val="24"/>
          <w:highlight w:val="none"/>
          <w:lang w:val="en-US" w:eastAsia="zh-CN"/>
        </w:rPr>
        <w:t>有</w:t>
      </w:r>
      <w:r>
        <w:rPr>
          <w:rFonts w:hint="eastAsia" w:ascii="宋体" w:hAnsi="宋体" w:eastAsia="宋体" w:cs="宋体"/>
          <w:i w:val="0"/>
          <w:iCs w:val="0"/>
          <w:color w:val="auto"/>
          <w:sz w:val="24"/>
          <w:szCs w:val="24"/>
          <w:highlight w:val="none"/>
        </w:rPr>
        <w:t>行业特殊</w:t>
      </w:r>
      <w:r>
        <w:rPr>
          <w:rFonts w:hint="eastAsia" w:ascii="宋体" w:hAnsi="宋体" w:eastAsia="宋体" w:cs="宋体"/>
          <w:i w:val="0"/>
          <w:iCs w:val="0"/>
          <w:color w:val="auto"/>
          <w:sz w:val="24"/>
          <w:szCs w:val="24"/>
          <w:highlight w:val="none"/>
          <w:lang w:val="en-US" w:eastAsia="zh-CN"/>
        </w:rPr>
        <w:t>情况的</w:t>
      </w:r>
      <w:r>
        <w:rPr>
          <w:rFonts w:hint="eastAsia" w:ascii="宋体" w:hAnsi="宋体" w:eastAsia="宋体" w:cs="宋体"/>
          <w:i w:val="0"/>
          <w:iCs w:val="0"/>
          <w:color w:val="auto"/>
          <w:sz w:val="24"/>
          <w:szCs w:val="24"/>
          <w:highlight w:val="none"/>
        </w:rPr>
        <w:t>除外。本项目的</w:t>
      </w:r>
      <w:r>
        <w:rPr>
          <w:rFonts w:hint="eastAsia" w:ascii="宋体" w:hAnsi="宋体" w:eastAsia="宋体" w:cs="宋体"/>
          <w:i w:val="0"/>
          <w:iCs w:val="0"/>
          <w:color w:val="auto"/>
          <w:sz w:val="24"/>
          <w:szCs w:val="24"/>
          <w:highlight w:val="none"/>
          <w:lang w:val="en-US" w:eastAsia="zh-CN"/>
        </w:rPr>
        <w:t>供应商</w:t>
      </w:r>
      <w:r>
        <w:rPr>
          <w:rFonts w:hint="eastAsia" w:ascii="宋体" w:hAnsi="宋体" w:eastAsia="宋体" w:cs="宋体"/>
          <w:i w:val="0"/>
          <w:iCs w:val="0"/>
          <w:color w:val="auto"/>
          <w:sz w:val="24"/>
          <w:szCs w:val="24"/>
          <w:highlight w:val="none"/>
        </w:rPr>
        <w:t>须满足以下条件：</w:t>
      </w:r>
    </w:p>
    <w:p w14:paraId="074A8062">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lang w:val="en-US" w:eastAsia="zh-CN"/>
        </w:rPr>
        <w:t>2</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lang w:val="en-US" w:eastAsia="zh-CN"/>
        </w:rPr>
        <w:t>6</w:t>
      </w: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val="en-US" w:eastAsia="zh-CN"/>
        </w:rPr>
        <w:t>1</w:t>
      </w:r>
      <w:r>
        <w:rPr>
          <w:rFonts w:hint="eastAsia" w:ascii="宋体" w:hAnsi="宋体" w:eastAsia="宋体" w:cs="宋体"/>
          <w:i w:val="0"/>
          <w:iCs w:val="0"/>
          <w:color w:val="auto"/>
          <w:sz w:val="24"/>
          <w:szCs w:val="24"/>
          <w:highlight w:val="none"/>
        </w:rPr>
        <w:t>具备《中华人民共和国政府采购法》第二十二条规定的</w:t>
      </w:r>
      <w:r>
        <w:rPr>
          <w:rFonts w:hint="eastAsia" w:ascii="宋体" w:hAnsi="宋体" w:eastAsia="宋体" w:cs="宋体"/>
          <w:i w:val="0"/>
          <w:iCs w:val="0"/>
          <w:color w:val="auto"/>
          <w:sz w:val="24"/>
          <w:szCs w:val="24"/>
          <w:highlight w:val="none"/>
          <w:lang w:val="en-US" w:eastAsia="zh-CN"/>
        </w:rPr>
        <w:t>条件</w:t>
      </w:r>
      <w:r>
        <w:rPr>
          <w:rFonts w:hint="eastAsia" w:ascii="宋体" w:hAnsi="宋体" w:eastAsia="宋体" w:cs="宋体"/>
          <w:i w:val="0"/>
          <w:iCs w:val="0"/>
          <w:color w:val="auto"/>
          <w:sz w:val="24"/>
          <w:szCs w:val="24"/>
          <w:highlight w:val="none"/>
        </w:rPr>
        <w:t>，遵守本项目采购人本级和上级财政部门政府采购的有关规定。</w:t>
      </w:r>
    </w:p>
    <w:p w14:paraId="323DC0B9">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lang w:val="en-US" w:eastAsia="zh-CN"/>
        </w:rPr>
        <w:t>2</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lang w:val="en-US" w:eastAsia="zh-CN"/>
        </w:rPr>
        <w:t>6</w:t>
      </w: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val="en-US" w:eastAsia="zh-CN"/>
        </w:rPr>
        <w:t>2</w:t>
      </w:r>
      <w:r>
        <w:rPr>
          <w:rFonts w:hint="eastAsia" w:ascii="宋体" w:hAnsi="宋体" w:eastAsia="宋体" w:cs="宋体"/>
          <w:i w:val="0"/>
          <w:iCs w:val="0"/>
          <w:color w:val="auto"/>
          <w:sz w:val="24"/>
          <w:szCs w:val="24"/>
          <w:highlight w:val="none"/>
        </w:rPr>
        <w:t>以</w:t>
      </w:r>
      <w:r>
        <w:rPr>
          <w:rFonts w:hint="eastAsia" w:ascii="宋体" w:hAnsi="宋体" w:eastAsia="宋体" w:cs="宋体"/>
          <w:i w:val="0"/>
          <w:iCs w:val="0"/>
          <w:color w:val="auto"/>
          <w:sz w:val="24"/>
          <w:szCs w:val="24"/>
          <w:highlight w:val="none"/>
          <w:lang w:val="en-US" w:eastAsia="zh-CN"/>
        </w:rPr>
        <w:t>竞争性磋商公告中发布</w:t>
      </w:r>
      <w:r>
        <w:rPr>
          <w:rFonts w:hint="eastAsia" w:ascii="宋体" w:hAnsi="宋体" w:eastAsia="宋体" w:cs="宋体"/>
          <w:i w:val="0"/>
          <w:iCs w:val="0"/>
          <w:color w:val="auto"/>
          <w:sz w:val="24"/>
          <w:szCs w:val="24"/>
          <w:highlight w:val="none"/>
        </w:rPr>
        <w:t>的方式</w:t>
      </w:r>
      <w:r>
        <w:rPr>
          <w:rFonts w:hint="eastAsia" w:ascii="宋体" w:hAnsi="宋体" w:eastAsia="宋体" w:cs="宋体"/>
          <w:i w:val="0"/>
          <w:iCs w:val="0"/>
          <w:color w:val="auto"/>
          <w:sz w:val="24"/>
          <w:szCs w:val="24"/>
          <w:highlight w:val="none"/>
          <w:lang w:eastAsia="zh-CN"/>
        </w:rPr>
        <w:t>依法</w:t>
      </w:r>
      <w:r>
        <w:rPr>
          <w:rFonts w:hint="eastAsia" w:ascii="宋体" w:hAnsi="宋体" w:eastAsia="宋体" w:cs="宋体"/>
          <w:i w:val="0"/>
          <w:iCs w:val="0"/>
          <w:color w:val="auto"/>
          <w:sz w:val="24"/>
          <w:szCs w:val="24"/>
          <w:highlight w:val="none"/>
        </w:rPr>
        <w:t>获得了本项目的</w:t>
      </w:r>
      <w:r>
        <w:rPr>
          <w:rFonts w:hint="eastAsia" w:ascii="宋体" w:hAnsi="宋体" w:eastAsia="宋体" w:cs="宋体"/>
          <w:i w:val="0"/>
          <w:iCs w:val="0"/>
          <w:color w:val="auto"/>
          <w:sz w:val="24"/>
          <w:szCs w:val="24"/>
          <w:highlight w:val="none"/>
          <w:lang w:val="en-US" w:eastAsia="zh-CN"/>
        </w:rPr>
        <w:t>竞争性磋商</w:t>
      </w:r>
      <w:r>
        <w:rPr>
          <w:rFonts w:hint="eastAsia" w:ascii="宋体" w:hAnsi="宋体" w:eastAsia="宋体" w:cs="宋体"/>
          <w:i w:val="0"/>
          <w:iCs w:val="0"/>
          <w:color w:val="auto"/>
          <w:sz w:val="24"/>
          <w:szCs w:val="24"/>
          <w:highlight w:val="none"/>
        </w:rPr>
        <w:t>文件。</w:t>
      </w:r>
    </w:p>
    <w:p w14:paraId="07B83632">
      <w:pPr>
        <w:ind w:firstLine="480" w:firstLineChars="200"/>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2.6.3符合本磋商文件规定并参加磋商的供应商。</w:t>
      </w:r>
    </w:p>
    <w:p w14:paraId="08F81926">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2.7</w:t>
      </w:r>
      <w:r>
        <w:rPr>
          <w:rFonts w:hint="eastAsia" w:ascii="宋体" w:hAnsi="宋体" w:eastAsia="宋体" w:cs="宋体"/>
          <w:i w:val="0"/>
          <w:iCs w:val="0"/>
          <w:color w:val="auto"/>
          <w:sz w:val="24"/>
          <w:szCs w:val="24"/>
          <w:highlight w:val="none"/>
          <w:shd w:val="clear" w:color="auto" w:fill="CCE8CF" w:themeFill="background1"/>
        </w:rPr>
        <w:t>潜在供应商</w:t>
      </w:r>
      <w:r>
        <w:rPr>
          <w:rFonts w:hint="eastAsia" w:ascii="宋体" w:hAnsi="宋体" w:eastAsia="宋体" w:cs="宋体"/>
          <w:i w:val="0"/>
          <w:iCs w:val="0"/>
          <w:color w:val="auto"/>
          <w:sz w:val="24"/>
          <w:szCs w:val="24"/>
          <w:highlight w:val="none"/>
          <w:shd w:val="clear" w:color="auto" w:fill="CCE8CF" w:themeFill="background1"/>
          <w:lang w:eastAsia="zh-CN"/>
        </w:rPr>
        <w:t>：</w:t>
      </w:r>
      <w:r>
        <w:rPr>
          <w:rFonts w:hint="eastAsia" w:ascii="宋体" w:hAnsi="宋体" w:eastAsia="宋体" w:cs="宋体"/>
          <w:i w:val="0"/>
          <w:iCs w:val="0"/>
          <w:color w:val="auto"/>
          <w:sz w:val="24"/>
          <w:szCs w:val="24"/>
          <w:highlight w:val="none"/>
          <w:shd w:val="clear" w:color="auto" w:fill="CCE8CF" w:themeFill="background1"/>
          <w:lang w:val="en-US" w:eastAsia="zh-CN"/>
        </w:rPr>
        <w:t>指</w:t>
      </w:r>
      <w:r>
        <w:rPr>
          <w:rFonts w:hint="eastAsia" w:ascii="宋体" w:hAnsi="宋体" w:eastAsia="宋体" w:cs="宋体"/>
          <w:i w:val="0"/>
          <w:iCs w:val="0"/>
          <w:color w:val="auto"/>
          <w:sz w:val="24"/>
          <w:szCs w:val="24"/>
          <w:highlight w:val="none"/>
          <w:lang w:val="en-US" w:eastAsia="zh-CN"/>
        </w:rPr>
        <w:t>符合本磋商文件规定的供应商</w:t>
      </w:r>
      <w:r>
        <w:rPr>
          <w:rFonts w:hint="eastAsia" w:ascii="宋体" w:hAnsi="宋体" w:eastAsia="宋体" w:cs="宋体"/>
          <w:i w:val="0"/>
          <w:iCs w:val="0"/>
          <w:color w:val="auto"/>
          <w:sz w:val="24"/>
          <w:szCs w:val="24"/>
          <w:highlight w:val="none"/>
        </w:rPr>
        <w:t>。</w:t>
      </w:r>
    </w:p>
    <w:p w14:paraId="4FFEB4B0">
      <w:pPr>
        <w:pStyle w:val="5"/>
        <w:keepNext w:val="0"/>
        <w:keepLines w:val="0"/>
        <w:pageBreakBefore w:val="0"/>
        <w:widowControl w:val="0"/>
        <w:numPr>
          <w:ilvl w:val="0"/>
          <w:numId w:val="0"/>
        </w:numPr>
        <w:kinsoku/>
        <w:wordWrap/>
        <w:overflowPunct/>
        <w:topLinePunct w:val="0"/>
        <w:autoSpaceDE/>
        <w:autoSpaceDN/>
        <w:bidi w:val="0"/>
        <w:adjustRightInd/>
        <w:snapToGrid/>
        <w:spacing w:before="80" w:after="80" w:line="240" w:lineRule="auto"/>
        <w:ind w:left="420" w:leftChars="0" w:hanging="420" w:firstLineChars="0"/>
        <w:textAlignment w:val="auto"/>
        <w:rPr>
          <w:rFonts w:hint="eastAsia" w:ascii="宋体" w:hAnsi="宋体" w:eastAsia="宋体" w:cs="宋体"/>
          <w:b/>
          <w:bCs/>
          <w:i w:val="0"/>
          <w:iCs w:val="0"/>
          <w:color w:val="auto"/>
          <w:kern w:val="2"/>
          <w:sz w:val="24"/>
          <w:szCs w:val="24"/>
          <w:highlight w:val="none"/>
          <w:lang w:val="en-US" w:eastAsia="zh-CN" w:bidi="ar-SA"/>
        </w:rPr>
      </w:pPr>
      <w:bookmarkStart w:id="33" w:name="_Toc109899536"/>
      <w:bookmarkStart w:id="34" w:name="_Toc470172667"/>
      <w:bookmarkStart w:id="35" w:name="_Toc46771642"/>
      <w:bookmarkStart w:id="36" w:name="_Toc109897437"/>
      <w:bookmarkStart w:id="37" w:name="_Toc109900374"/>
      <w:bookmarkStart w:id="38" w:name="_Toc51674213"/>
      <w:bookmarkStart w:id="39" w:name="_Toc46772243"/>
      <w:bookmarkStart w:id="40" w:name="_Toc48688791"/>
      <w:bookmarkStart w:id="41" w:name="_Toc109899955"/>
      <w:bookmarkStart w:id="42" w:name="_Toc52960555"/>
      <w:bookmarkStart w:id="43" w:name="_Toc48846111"/>
      <w:bookmarkStart w:id="44" w:name="_Toc9974"/>
      <w:bookmarkStart w:id="45" w:name="_Toc52962729"/>
      <w:r>
        <w:rPr>
          <w:rFonts w:hint="eastAsia" w:ascii="宋体" w:hAnsi="宋体" w:eastAsia="宋体" w:cs="宋体"/>
          <w:b/>
          <w:bCs/>
          <w:i w:val="0"/>
          <w:iCs w:val="0"/>
          <w:color w:val="auto"/>
          <w:kern w:val="2"/>
          <w:sz w:val="24"/>
          <w:szCs w:val="24"/>
          <w:highlight w:val="none"/>
          <w:lang w:val="en-US" w:eastAsia="zh-CN" w:bidi="ar-SA"/>
        </w:rPr>
        <w:t>3.资金来源</w:t>
      </w:r>
    </w:p>
    <w:p w14:paraId="7E10FE0B">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3.1资金来源：</w:t>
      </w:r>
      <w:r>
        <w:rPr>
          <w:rFonts w:hint="eastAsia" w:cs="宋体"/>
          <w:i w:val="0"/>
          <w:iCs w:val="0"/>
          <w:color w:val="auto"/>
          <w:sz w:val="24"/>
          <w:szCs w:val="24"/>
          <w:highlight w:val="none"/>
          <w:lang w:val="en-US" w:eastAsia="zh-CN"/>
        </w:rPr>
        <w:t>北京援疆资金</w:t>
      </w:r>
      <w:r>
        <w:rPr>
          <w:rFonts w:hint="eastAsia" w:ascii="宋体" w:hAnsi="宋体" w:eastAsia="宋体" w:cs="宋体"/>
          <w:i w:val="0"/>
          <w:iCs w:val="0"/>
          <w:color w:val="auto"/>
          <w:sz w:val="24"/>
          <w:szCs w:val="24"/>
          <w:highlight w:val="none"/>
          <w:lang w:eastAsia="zh-CN"/>
        </w:rPr>
        <w:t>。</w:t>
      </w:r>
    </w:p>
    <w:p w14:paraId="5B4402E6">
      <w:pPr>
        <w:pStyle w:val="5"/>
        <w:keepNext w:val="0"/>
        <w:keepLines w:val="0"/>
        <w:pageBreakBefore w:val="0"/>
        <w:widowControl w:val="0"/>
        <w:numPr>
          <w:ilvl w:val="0"/>
          <w:numId w:val="0"/>
        </w:numPr>
        <w:kinsoku/>
        <w:wordWrap/>
        <w:overflowPunct/>
        <w:topLinePunct w:val="0"/>
        <w:autoSpaceDE/>
        <w:autoSpaceDN/>
        <w:bidi w:val="0"/>
        <w:adjustRightInd/>
        <w:snapToGrid/>
        <w:spacing w:before="80" w:after="80" w:line="240" w:lineRule="auto"/>
        <w:ind w:left="420" w:leftChars="0" w:hanging="420" w:firstLineChars="0"/>
        <w:textAlignment w:val="auto"/>
        <w:rPr>
          <w:rFonts w:hint="eastAsia" w:ascii="宋体" w:hAnsi="宋体" w:eastAsia="宋体" w:cs="宋体"/>
          <w:b/>
          <w:bCs/>
          <w:i w:val="0"/>
          <w:iCs w:val="0"/>
          <w:color w:val="auto"/>
          <w:kern w:val="2"/>
          <w:sz w:val="24"/>
          <w:szCs w:val="24"/>
          <w:highlight w:val="none"/>
          <w:lang w:val="en-US" w:eastAsia="zh-CN" w:bidi="ar-SA"/>
        </w:rPr>
      </w:pPr>
      <w:r>
        <w:rPr>
          <w:rFonts w:hint="eastAsia" w:ascii="宋体" w:hAnsi="宋体" w:eastAsia="宋体" w:cs="宋体"/>
          <w:b/>
          <w:bCs/>
          <w:i w:val="0"/>
          <w:iCs w:val="0"/>
          <w:color w:val="auto"/>
          <w:kern w:val="2"/>
          <w:sz w:val="24"/>
          <w:szCs w:val="24"/>
          <w:highlight w:val="none"/>
          <w:lang w:val="en-US" w:eastAsia="zh-CN" w:bidi="ar-SA"/>
        </w:rPr>
        <w:t>4.供应商资格要求</w:t>
      </w:r>
    </w:p>
    <w:p w14:paraId="02548426">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4.1</w:t>
      </w:r>
      <w:r>
        <w:rPr>
          <w:rFonts w:hint="eastAsia" w:ascii="宋体" w:hAnsi="宋体" w:eastAsia="宋体" w:cs="宋体"/>
          <w:i w:val="0"/>
          <w:iCs w:val="0"/>
          <w:color w:val="auto"/>
          <w:sz w:val="24"/>
          <w:szCs w:val="24"/>
          <w:highlight w:val="none"/>
          <w:lang w:val="en-US" w:eastAsia="zh-CN"/>
        </w:rPr>
        <w:t>供应商</w:t>
      </w:r>
      <w:r>
        <w:rPr>
          <w:rFonts w:hint="eastAsia" w:ascii="宋体" w:hAnsi="宋体" w:eastAsia="宋体" w:cs="宋体"/>
          <w:i w:val="0"/>
          <w:iCs w:val="0"/>
          <w:color w:val="auto"/>
          <w:sz w:val="24"/>
          <w:szCs w:val="24"/>
          <w:highlight w:val="none"/>
        </w:rPr>
        <w:t>资格要求：见“</w:t>
      </w:r>
      <w:r>
        <w:rPr>
          <w:rFonts w:hint="eastAsia" w:ascii="宋体" w:hAnsi="宋体" w:eastAsia="宋体" w:cs="宋体"/>
          <w:i w:val="0"/>
          <w:iCs w:val="0"/>
          <w:color w:val="auto"/>
          <w:sz w:val="24"/>
          <w:szCs w:val="24"/>
          <w:highlight w:val="none"/>
          <w:lang w:val="en-US" w:eastAsia="zh-CN"/>
        </w:rPr>
        <w:t>第一章 竞争性磋商公告</w:t>
      </w:r>
      <w:r>
        <w:rPr>
          <w:rFonts w:hint="eastAsia" w:ascii="宋体" w:hAnsi="宋体" w:eastAsia="宋体" w:cs="宋体"/>
          <w:i w:val="0"/>
          <w:iCs w:val="0"/>
          <w:color w:val="auto"/>
          <w:sz w:val="24"/>
          <w:szCs w:val="24"/>
          <w:highlight w:val="none"/>
        </w:rPr>
        <w:t>”；</w:t>
      </w:r>
    </w:p>
    <w:p w14:paraId="0BD49E7F">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lang w:val="zh-CN" w:eastAsia="zh-CN"/>
        </w:rPr>
      </w:pPr>
      <w:r>
        <w:rPr>
          <w:rFonts w:hint="eastAsia" w:ascii="宋体" w:hAnsi="宋体" w:eastAsia="宋体" w:cs="宋体"/>
          <w:i w:val="0"/>
          <w:iCs w:val="0"/>
          <w:color w:val="auto"/>
          <w:sz w:val="24"/>
          <w:szCs w:val="24"/>
          <w:highlight w:val="none"/>
          <w:lang w:val="en-US" w:eastAsia="zh-CN"/>
        </w:rPr>
        <w:t>4</w:t>
      </w:r>
      <w:r>
        <w:rPr>
          <w:rFonts w:hint="eastAsia" w:ascii="宋体" w:hAnsi="宋体" w:eastAsia="宋体" w:cs="宋体"/>
          <w:i w:val="0"/>
          <w:iCs w:val="0"/>
          <w:color w:val="auto"/>
          <w:sz w:val="24"/>
          <w:szCs w:val="24"/>
          <w:highlight w:val="none"/>
          <w:lang w:val="zh-CN" w:eastAsia="zh-CN"/>
        </w:rPr>
        <w:t>.</w:t>
      </w:r>
      <w:r>
        <w:rPr>
          <w:rFonts w:hint="eastAsia" w:ascii="宋体" w:hAnsi="宋体" w:eastAsia="宋体" w:cs="宋体"/>
          <w:i w:val="0"/>
          <w:iCs w:val="0"/>
          <w:color w:val="auto"/>
          <w:sz w:val="24"/>
          <w:szCs w:val="24"/>
          <w:highlight w:val="none"/>
          <w:lang w:val="en-US" w:eastAsia="zh-CN"/>
        </w:rPr>
        <w:t>2</w:t>
      </w:r>
      <w:r>
        <w:rPr>
          <w:rFonts w:hint="eastAsia" w:ascii="宋体" w:hAnsi="宋体" w:eastAsia="宋体" w:cs="宋体"/>
          <w:i w:val="0"/>
          <w:iCs w:val="0"/>
          <w:color w:val="auto"/>
          <w:sz w:val="24"/>
          <w:szCs w:val="24"/>
          <w:highlight w:val="none"/>
          <w:lang w:val="zh-CN" w:eastAsia="zh-CN"/>
        </w:rPr>
        <w:t>“</w:t>
      </w:r>
      <w:r>
        <w:rPr>
          <w:rFonts w:hint="eastAsia" w:ascii="宋体" w:hAnsi="宋体" w:eastAsia="宋体" w:cs="宋体"/>
          <w:i w:val="0"/>
          <w:iCs w:val="0"/>
          <w:color w:val="auto"/>
          <w:sz w:val="24"/>
          <w:szCs w:val="24"/>
          <w:highlight w:val="none"/>
          <w:lang w:val="en-US" w:eastAsia="zh-CN"/>
        </w:rPr>
        <w:t>第一章 竞争性磋商公告</w:t>
      </w:r>
      <w:r>
        <w:rPr>
          <w:rFonts w:hint="eastAsia" w:ascii="宋体" w:hAnsi="宋体" w:eastAsia="宋体" w:cs="宋体"/>
          <w:i w:val="0"/>
          <w:iCs w:val="0"/>
          <w:color w:val="auto"/>
          <w:sz w:val="24"/>
          <w:szCs w:val="24"/>
          <w:highlight w:val="none"/>
          <w:lang w:val="zh-CN" w:eastAsia="zh-CN"/>
        </w:rPr>
        <w:t>”规定接受联合体</w:t>
      </w:r>
      <w:r>
        <w:rPr>
          <w:rFonts w:hint="eastAsia" w:ascii="宋体" w:hAnsi="宋体" w:eastAsia="宋体" w:cs="宋体"/>
          <w:i w:val="0"/>
          <w:iCs w:val="0"/>
          <w:color w:val="auto"/>
          <w:sz w:val="24"/>
          <w:szCs w:val="24"/>
          <w:highlight w:val="none"/>
          <w:lang w:val="en-US" w:eastAsia="zh-CN"/>
        </w:rPr>
        <w:t>磋商</w:t>
      </w:r>
      <w:r>
        <w:rPr>
          <w:rFonts w:hint="eastAsia" w:ascii="宋体" w:hAnsi="宋体" w:eastAsia="宋体" w:cs="宋体"/>
          <w:i w:val="0"/>
          <w:iCs w:val="0"/>
          <w:color w:val="auto"/>
          <w:sz w:val="24"/>
          <w:szCs w:val="24"/>
          <w:highlight w:val="none"/>
          <w:lang w:val="zh-CN" w:eastAsia="zh-CN"/>
        </w:rPr>
        <w:t>的，还应遵守以下规定：</w:t>
      </w:r>
    </w:p>
    <w:p w14:paraId="313C07E9">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kern w:val="2"/>
          <w:sz w:val="24"/>
          <w:szCs w:val="24"/>
          <w:highlight w:val="none"/>
          <w:shd w:val="clear" w:color="auto" w:fill="CCE8CF" w:themeFill="background1"/>
          <w:lang w:val="zh-CN" w:eastAsia="zh-CN" w:bidi="ar-SA"/>
        </w:rPr>
      </w:pPr>
      <w:r>
        <w:rPr>
          <w:rFonts w:hint="eastAsia" w:ascii="宋体" w:hAnsi="宋体" w:eastAsia="宋体" w:cs="宋体"/>
          <w:i w:val="0"/>
          <w:iCs w:val="0"/>
          <w:color w:val="auto"/>
          <w:sz w:val="24"/>
          <w:szCs w:val="24"/>
          <w:highlight w:val="none"/>
          <w:lang w:val="en-US" w:eastAsia="zh-CN"/>
        </w:rPr>
        <w:t>4</w:t>
      </w:r>
      <w:r>
        <w:rPr>
          <w:rFonts w:hint="eastAsia" w:ascii="宋体" w:hAnsi="宋体" w:eastAsia="宋体" w:cs="宋体"/>
          <w:i w:val="0"/>
          <w:iCs w:val="0"/>
          <w:color w:val="auto"/>
          <w:sz w:val="24"/>
          <w:szCs w:val="24"/>
          <w:highlight w:val="none"/>
          <w:lang w:val="zh-CN" w:eastAsia="zh-CN"/>
        </w:rPr>
        <w:t>.</w:t>
      </w:r>
      <w:r>
        <w:rPr>
          <w:rFonts w:hint="eastAsia" w:ascii="宋体" w:hAnsi="宋体" w:eastAsia="宋体" w:cs="宋体"/>
          <w:i w:val="0"/>
          <w:iCs w:val="0"/>
          <w:color w:val="auto"/>
          <w:sz w:val="24"/>
          <w:szCs w:val="24"/>
          <w:highlight w:val="none"/>
          <w:lang w:val="en-US" w:eastAsia="zh-CN"/>
        </w:rPr>
        <w:t>2.</w:t>
      </w:r>
      <w:r>
        <w:rPr>
          <w:rFonts w:hint="eastAsia" w:ascii="宋体" w:hAnsi="宋体" w:eastAsia="宋体" w:cs="宋体"/>
          <w:i w:val="0"/>
          <w:iCs w:val="0"/>
          <w:color w:val="auto"/>
          <w:sz w:val="24"/>
          <w:szCs w:val="24"/>
          <w:highlight w:val="none"/>
          <w:lang w:val="zh-CN" w:eastAsia="zh-CN"/>
        </w:rPr>
        <w:t>1两个以上的自然人、法人或者其他组织可以组成一个联合体，以一个供应商的身份共同参加政府采购。</w:t>
      </w:r>
      <w:r>
        <w:rPr>
          <w:rFonts w:hint="eastAsia" w:ascii="宋体" w:hAnsi="宋体" w:eastAsia="宋体" w:cs="宋体"/>
          <w:i w:val="0"/>
          <w:iCs w:val="0"/>
          <w:color w:val="auto"/>
          <w:kern w:val="2"/>
          <w:sz w:val="24"/>
          <w:szCs w:val="24"/>
          <w:highlight w:val="none"/>
          <w:shd w:val="clear" w:color="auto" w:fill="CCE8CF" w:themeFill="background1"/>
          <w:lang w:val="zh-CN" w:eastAsia="zh-CN" w:bidi="ar-SA"/>
        </w:rPr>
        <w:t>以联合体形式进行政府采购的，参加联合体的供应商均应当具备《</w:t>
      </w:r>
      <w:r>
        <w:rPr>
          <w:rFonts w:hint="eastAsia" w:cs="宋体"/>
          <w:i w:val="0"/>
          <w:iCs w:val="0"/>
          <w:color w:val="auto"/>
          <w:kern w:val="2"/>
          <w:sz w:val="24"/>
          <w:szCs w:val="24"/>
          <w:highlight w:val="none"/>
          <w:shd w:val="clear" w:color="auto" w:fill="CCE8CF" w:themeFill="background1"/>
          <w:lang w:val="zh-CN" w:eastAsia="zh-CN" w:bidi="ar-SA"/>
        </w:rPr>
        <w:t>中华人民共和国政府采购法</w:t>
      </w:r>
      <w:r>
        <w:rPr>
          <w:rFonts w:hint="eastAsia" w:ascii="宋体" w:hAnsi="宋体" w:eastAsia="宋体" w:cs="宋体"/>
          <w:i w:val="0"/>
          <w:iCs w:val="0"/>
          <w:color w:val="auto"/>
          <w:kern w:val="2"/>
          <w:sz w:val="24"/>
          <w:szCs w:val="24"/>
          <w:highlight w:val="none"/>
          <w:shd w:val="clear" w:color="auto" w:fill="CCE8CF" w:themeFill="background1"/>
          <w:lang w:val="zh-CN" w:eastAsia="zh-CN" w:bidi="ar-SA"/>
        </w:rPr>
        <w:t>》第二十二条规定的条件。</w:t>
      </w:r>
    </w:p>
    <w:p w14:paraId="01B629AE">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kern w:val="2"/>
          <w:sz w:val="24"/>
          <w:szCs w:val="24"/>
          <w:highlight w:val="none"/>
          <w:shd w:val="clear" w:color="auto" w:fill="CCE8CF" w:themeFill="background1"/>
          <w:lang w:val="zh-CN" w:eastAsia="zh-CN" w:bidi="ar-SA"/>
        </w:rPr>
      </w:pPr>
      <w:r>
        <w:rPr>
          <w:rFonts w:hint="eastAsia" w:ascii="宋体" w:hAnsi="宋体" w:eastAsia="宋体" w:cs="宋体"/>
          <w:i w:val="0"/>
          <w:iCs w:val="0"/>
          <w:color w:val="auto"/>
          <w:kern w:val="2"/>
          <w:sz w:val="24"/>
          <w:szCs w:val="24"/>
          <w:highlight w:val="none"/>
          <w:shd w:val="clear" w:color="auto" w:fill="CCE8CF" w:themeFill="background1"/>
          <w:lang w:val="en-US" w:eastAsia="zh-CN" w:bidi="ar-SA"/>
        </w:rPr>
        <w:t>4</w:t>
      </w:r>
      <w:r>
        <w:rPr>
          <w:rFonts w:hint="eastAsia" w:ascii="宋体" w:hAnsi="宋体" w:eastAsia="宋体" w:cs="宋体"/>
          <w:i w:val="0"/>
          <w:iCs w:val="0"/>
          <w:color w:val="auto"/>
          <w:kern w:val="2"/>
          <w:sz w:val="24"/>
          <w:szCs w:val="24"/>
          <w:highlight w:val="none"/>
          <w:shd w:val="clear" w:color="auto" w:fill="CCE8CF" w:themeFill="background1"/>
          <w:lang w:val="zh-CN" w:eastAsia="zh-CN" w:bidi="ar-SA"/>
        </w:rPr>
        <w:t>.</w:t>
      </w:r>
      <w:r>
        <w:rPr>
          <w:rFonts w:hint="eastAsia" w:ascii="宋体" w:hAnsi="宋体" w:eastAsia="宋体" w:cs="宋体"/>
          <w:i w:val="0"/>
          <w:iCs w:val="0"/>
          <w:color w:val="auto"/>
          <w:kern w:val="2"/>
          <w:sz w:val="24"/>
          <w:szCs w:val="24"/>
          <w:highlight w:val="none"/>
          <w:shd w:val="clear" w:color="auto" w:fill="CCE8CF" w:themeFill="background1"/>
          <w:lang w:val="en-US" w:eastAsia="zh-CN" w:bidi="ar-SA"/>
        </w:rPr>
        <w:t>2.2</w:t>
      </w:r>
      <w:r>
        <w:rPr>
          <w:rFonts w:hint="eastAsia" w:ascii="宋体" w:hAnsi="宋体" w:eastAsia="宋体" w:cs="宋体"/>
          <w:i w:val="0"/>
          <w:iCs w:val="0"/>
          <w:color w:val="auto"/>
          <w:kern w:val="2"/>
          <w:sz w:val="24"/>
          <w:szCs w:val="24"/>
          <w:highlight w:val="none"/>
          <w:shd w:val="clear" w:color="auto" w:fill="CCE8CF" w:themeFill="background1"/>
          <w:lang w:val="zh-CN" w:eastAsia="zh-CN" w:bidi="ar-SA"/>
        </w:rPr>
        <w:t>联合体各方应按竞争性磋商文件提供的格式签订联合</w:t>
      </w:r>
      <w:r>
        <w:rPr>
          <w:rFonts w:hint="eastAsia" w:ascii="宋体" w:hAnsi="宋体" w:eastAsia="宋体" w:cs="宋体"/>
          <w:i w:val="0"/>
          <w:iCs w:val="0"/>
          <w:color w:val="auto"/>
          <w:kern w:val="2"/>
          <w:sz w:val="24"/>
          <w:szCs w:val="24"/>
          <w:highlight w:val="none"/>
          <w:shd w:val="clear" w:color="auto" w:fill="CCE8CF" w:themeFill="background1"/>
          <w:lang w:val="en-US" w:eastAsia="zh-CN" w:bidi="ar-SA"/>
        </w:rPr>
        <w:t>体</w:t>
      </w:r>
      <w:r>
        <w:rPr>
          <w:rFonts w:hint="eastAsia" w:ascii="宋体" w:hAnsi="宋体" w:eastAsia="宋体" w:cs="宋体"/>
          <w:i w:val="0"/>
          <w:iCs w:val="0"/>
          <w:color w:val="auto"/>
          <w:kern w:val="2"/>
          <w:sz w:val="24"/>
          <w:szCs w:val="24"/>
          <w:highlight w:val="none"/>
          <w:shd w:val="clear" w:color="auto" w:fill="CCE8CF" w:themeFill="background1"/>
          <w:lang w:val="zh-CN" w:eastAsia="zh-CN" w:bidi="ar-SA"/>
        </w:rPr>
        <w:t>协议</w:t>
      </w:r>
      <w:r>
        <w:rPr>
          <w:rFonts w:hint="eastAsia" w:ascii="宋体" w:hAnsi="宋体" w:eastAsia="宋体" w:cs="宋体"/>
          <w:i w:val="0"/>
          <w:iCs w:val="0"/>
          <w:color w:val="auto"/>
          <w:kern w:val="2"/>
          <w:sz w:val="24"/>
          <w:szCs w:val="24"/>
          <w:highlight w:val="none"/>
          <w:shd w:val="clear" w:color="auto" w:fill="CCE8CF" w:themeFill="background1"/>
          <w:lang w:val="en-US" w:eastAsia="zh-CN" w:bidi="ar-SA"/>
        </w:rPr>
        <w:t>书</w:t>
      </w:r>
      <w:r>
        <w:rPr>
          <w:rFonts w:hint="eastAsia" w:ascii="宋体" w:hAnsi="宋体" w:eastAsia="宋体" w:cs="宋体"/>
          <w:i w:val="0"/>
          <w:iCs w:val="0"/>
          <w:color w:val="auto"/>
          <w:kern w:val="2"/>
          <w:sz w:val="24"/>
          <w:szCs w:val="24"/>
          <w:highlight w:val="none"/>
          <w:shd w:val="clear" w:color="auto" w:fill="CCE8CF" w:themeFill="background1"/>
          <w:lang w:val="zh-CN" w:eastAsia="zh-CN" w:bidi="ar-SA"/>
        </w:rPr>
        <w:t>，明确约定联合体各方承担的工作和相应的责任，并将联合</w:t>
      </w:r>
      <w:r>
        <w:rPr>
          <w:rFonts w:hint="eastAsia" w:ascii="宋体" w:hAnsi="宋体" w:eastAsia="宋体" w:cs="宋体"/>
          <w:i w:val="0"/>
          <w:iCs w:val="0"/>
          <w:color w:val="auto"/>
          <w:kern w:val="2"/>
          <w:sz w:val="24"/>
          <w:szCs w:val="24"/>
          <w:highlight w:val="none"/>
          <w:shd w:val="clear" w:color="auto" w:fill="CCE8CF" w:themeFill="background1"/>
          <w:lang w:val="en-US" w:eastAsia="zh-CN" w:bidi="ar-SA"/>
        </w:rPr>
        <w:t>体</w:t>
      </w:r>
      <w:r>
        <w:rPr>
          <w:rFonts w:hint="eastAsia" w:ascii="宋体" w:hAnsi="宋体" w:eastAsia="宋体" w:cs="宋体"/>
          <w:i w:val="0"/>
          <w:iCs w:val="0"/>
          <w:color w:val="auto"/>
          <w:kern w:val="2"/>
          <w:sz w:val="24"/>
          <w:szCs w:val="24"/>
          <w:highlight w:val="none"/>
          <w:shd w:val="clear" w:color="auto" w:fill="CCE8CF" w:themeFill="background1"/>
          <w:lang w:val="zh-CN" w:eastAsia="zh-CN" w:bidi="ar-SA"/>
        </w:rPr>
        <w:t>协议</w:t>
      </w:r>
      <w:r>
        <w:rPr>
          <w:rFonts w:hint="eastAsia" w:ascii="宋体" w:hAnsi="宋体" w:eastAsia="宋体" w:cs="宋体"/>
          <w:i w:val="0"/>
          <w:iCs w:val="0"/>
          <w:color w:val="auto"/>
          <w:kern w:val="2"/>
          <w:sz w:val="24"/>
          <w:szCs w:val="24"/>
          <w:highlight w:val="none"/>
          <w:shd w:val="clear" w:color="auto" w:fill="CCE8CF" w:themeFill="background1"/>
          <w:lang w:val="en-US" w:eastAsia="zh-CN" w:bidi="ar-SA"/>
        </w:rPr>
        <w:t>书</w:t>
      </w:r>
      <w:r>
        <w:rPr>
          <w:rFonts w:hint="eastAsia" w:ascii="宋体" w:hAnsi="宋体" w:eastAsia="宋体" w:cs="宋体"/>
          <w:i w:val="0"/>
          <w:iCs w:val="0"/>
          <w:color w:val="auto"/>
          <w:kern w:val="2"/>
          <w:sz w:val="24"/>
          <w:szCs w:val="24"/>
          <w:highlight w:val="none"/>
          <w:shd w:val="clear" w:color="auto" w:fill="CCE8CF" w:themeFill="background1"/>
          <w:lang w:val="zh-CN" w:eastAsia="zh-CN" w:bidi="ar-SA"/>
        </w:rPr>
        <w:t>作为</w:t>
      </w:r>
      <w:r>
        <w:rPr>
          <w:rFonts w:hint="eastAsia" w:ascii="宋体" w:hAnsi="宋体" w:eastAsia="宋体" w:cs="宋体"/>
          <w:i w:val="0"/>
          <w:iCs w:val="0"/>
          <w:color w:val="auto"/>
          <w:kern w:val="2"/>
          <w:sz w:val="24"/>
          <w:szCs w:val="24"/>
          <w:highlight w:val="none"/>
          <w:shd w:val="clear" w:color="auto" w:fill="CCE8CF" w:themeFill="background1"/>
          <w:lang w:val="en-US" w:eastAsia="zh-CN" w:bidi="ar-SA"/>
        </w:rPr>
        <w:t>响应</w:t>
      </w:r>
      <w:r>
        <w:rPr>
          <w:rFonts w:hint="eastAsia" w:ascii="宋体" w:hAnsi="宋体" w:eastAsia="宋体" w:cs="宋体"/>
          <w:i w:val="0"/>
          <w:iCs w:val="0"/>
          <w:color w:val="auto"/>
          <w:kern w:val="2"/>
          <w:sz w:val="24"/>
          <w:szCs w:val="24"/>
          <w:highlight w:val="none"/>
          <w:shd w:val="clear" w:color="auto" w:fill="CCE8CF" w:themeFill="background1"/>
          <w:lang w:val="zh-CN" w:eastAsia="zh-CN" w:bidi="ar-SA"/>
        </w:rPr>
        <w:t>文件的一部分提交，该协议书对联合</w:t>
      </w:r>
      <w:r>
        <w:rPr>
          <w:rFonts w:hint="eastAsia" w:ascii="宋体" w:hAnsi="宋体" w:eastAsia="宋体" w:cs="宋体"/>
          <w:i w:val="0"/>
          <w:iCs w:val="0"/>
          <w:color w:val="auto"/>
          <w:kern w:val="2"/>
          <w:sz w:val="24"/>
          <w:szCs w:val="24"/>
          <w:highlight w:val="none"/>
          <w:shd w:val="clear" w:color="auto" w:fill="CCE8CF" w:themeFill="background1"/>
          <w:lang w:val="en-US" w:eastAsia="zh-CN" w:bidi="ar-SA"/>
        </w:rPr>
        <w:t>体所有成员</w:t>
      </w:r>
      <w:r>
        <w:rPr>
          <w:rFonts w:hint="eastAsia" w:ascii="宋体" w:hAnsi="宋体" w:eastAsia="宋体" w:cs="宋体"/>
          <w:i w:val="0"/>
          <w:iCs w:val="0"/>
          <w:color w:val="auto"/>
          <w:kern w:val="2"/>
          <w:sz w:val="24"/>
          <w:szCs w:val="24"/>
          <w:highlight w:val="none"/>
          <w:shd w:val="clear" w:color="auto" w:fill="CCE8CF" w:themeFill="background1"/>
          <w:lang w:val="zh-CN" w:eastAsia="zh-CN" w:bidi="ar-SA"/>
        </w:rPr>
        <w:t>均具有法律约束力。</w:t>
      </w:r>
    </w:p>
    <w:p w14:paraId="7A48C239">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kern w:val="2"/>
          <w:sz w:val="24"/>
          <w:szCs w:val="24"/>
          <w:highlight w:val="none"/>
          <w:shd w:val="clear" w:color="auto" w:fill="CCE8CF" w:themeFill="background1"/>
          <w:lang w:val="zh-CN" w:eastAsia="zh-CN" w:bidi="ar-SA"/>
        </w:rPr>
      </w:pPr>
      <w:r>
        <w:rPr>
          <w:rFonts w:hint="eastAsia" w:ascii="宋体" w:hAnsi="宋体" w:eastAsia="宋体" w:cs="宋体"/>
          <w:i w:val="0"/>
          <w:iCs w:val="0"/>
          <w:color w:val="auto"/>
          <w:kern w:val="2"/>
          <w:sz w:val="24"/>
          <w:szCs w:val="24"/>
          <w:highlight w:val="none"/>
          <w:shd w:val="clear" w:color="auto" w:fill="CCE8CF" w:themeFill="background1"/>
          <w:lang w:val="en-US" w:eastAsia="zh-CN" w:bidi="ar-SA"/>
        </w:rPr>
        <w:t>4.2.3</w:t>
      </w:r>
      <w:r>
        <w:rPr>
          <w:rFonts w:hint="eastAsia" w:ascii="宋体" w:hAnsi="宋体" w:eastAsia="宋体" w:cs="宋体"/>
          <w:i w:val="0"/>
          <w:iCs w:val="0"/>
          <w:color w:val="auto"/>
          <w:kern w:val="2"/>
          <w:sz w:val="24"/>
          <w:szCs w:val="24"/>
          <w:highlight w:val="none"/>
          <w:shd w:val="clear" w:color="auto" w:fill="CCE8CF" w:themeFill="background1"/>
          <w:lang w:val="zh-CN" w:eastAsia="zh-CN" w:bidi="ar-SA"/>
        </w:rPr>
        <w:t>联合体中有同类资质的供应商按照联合体分工承担相同工作的，应当按照资质等级较低的供应商确定资质等级。</w:t>
      </w:r>
    </w:p>
    <w:p w14:paraId="6B55F833">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kern w:val="2"/>
          <w:sz w:val="24"/>
          <w:szCs w:val="24"/>
          <w:highlight w:val="none"/>
          <w:shd w:val="clear" w:color="auto" w:fill="CCE8CF" w:themeFill="background1"/>
          <w:lang w:val="zh-CN" w:eastAsia="zh-CN" w:bidi="ar-SA"/>
        </w:rPr>
      </w:pPr>
      <w:r>
        <w:rPr>
          <w:rFonts w:hint="eastAsia" w:ascii="宋体" w:hAnsi="宋体" w:eastAsia="宋体" w:cs="宋体"/>
          <w:i w:val="0"/>
          <w:iCs w:val="0"/>
          <w:color w:val="auto"/>
          <w:kern w:val="2"/>
          <w:sz w:val="24"/>
          <w:szCs w:val="24"/>
          <w:highlight w:val="none"/>
          <w:shd w:val="clear" w:color="auto" w:fill="CCE8CF" w:themeFill="background1"/>
          <w:lang w:val="en-US" w:eastAsia="zh-CN" w:bidi="ar-SA"/>
        </w:rPr>
        <w:t>4.2</w:t>
      </w:r>
      <w:r>
        <w:rPr>
          <w:rFonts w:hint="eastAsia" w:ascii="宋体" w:hAnsi="宋体" w:eastAsia="宋体" w:cs="宋体"/>
          <w:i w:val="0"/>
          <w:iCs w:val="0"/>
          <w:color w:val="auto"/>
          <w:kern w:val="2"/>
          <w:sz w:val="24"/>
          <w:szCs w:val="24"/>
          <w:highlight w:val="none"/>
          <w:shd w:val="clear" w:color="auto" w:fill="CCE8CF" w:themeFill="background1"/>
          <w:lang w:val="zh-CN" w:eastAsia="zh-CN" w:bidi="ar-SA"/>
        </w:rPr>
        <w:t>.</w:t>
      </w:r>
      <w:r>
        <w:rPr>
          <w:rFonts w:hint="eastAsia" w:ascii="宋体" w:hAnsi="宋体" w:eastAsia="宋体" w:cs="宋体"/>
          <w:i w:val="0"/>
          <w:iCs w:val="0"/>
          <w:color w:val="auto"/>
          <w:kern w:val="2"/>
          <w:sz w:val="24"/>
          <w:szCs w:val="24"/>
          <w:highlight w:val="none"/>
          <w:shd w:val="clear" w:color="auto" w:fill="CCE8CF" w:themeFill="background1"/>
          <w:lang w:val="en-US" w:eastAsia="zh-CN" w:bidi="ar-SA"/>
        </w:rPr>
        <w:t>4</w:t>
      </w:r>
      <w:r>
        <w:rPr>
          <w:rFonts w:hint="eastAsia" w:ascii="宋体" w:hAnsi="宋体" w:eastAsia="宋体" w:cs="宋体"/>
          <w:i w:val="0"/>
          <w:iCs w:val="0"/>
          <w:color w:val="auto"/>
          <w:kern w:val="2"/>
          <w:sz w:val="24"/>
          <w:szCs w:val="24"/>
          <w:highlight w:val="none"/>
          <w:shd w:val="clear" w:color="auto" w:fill="CCE8CF" w:themeFill="background1"/>
          <w:lang w:val="zh-CN" w:eastAsia="zh-CN" w:bidi="ar-SA"/>
        </w:rPr>
        <w:t>以联合体形式参加政府采购活动的，联合体各方不得再单独参加或者与其他供应商另外组成联合体参加</w:t>
      </w:r>
      <w:r>
        <w:rPr>
          <w:rFonts w:hint="eastAsia" w:ascii="宋体" w:hAnsi="宋体" w:eastAsia="宋体" w:cs="宋体"/>
          <w:i w:val="0"/>
          <w:iCs w:val="0"/>
          <w:color w:val="auto"/>
          <w:kern w:val="2"/>
          <w:sz w:val="24"/>
          <w:szCs w:val="24"/>
          <w:highlight w:val="none"/>
          <w:shd w:val="clear" w:color="auto" w:fill="CCE8CF" w:themeFill="background1"/>
          <w:lang w:val="en-US" w:eastAsia="zh-CN" w:bidi="ar-SA"/>
        </w:rPr>
        <w:t>同一合同项下的磋商</w:t>
      </w:r>
      <w:r>
        <w:rPr>
          <w:rFonts w:hint="eastAsia" w:ascii="宋体" w:hAnsi="宋体" w:eastAsia="宋体" w:cs="宋体"/>
          <w:i w:val="0"/>
          <w:iCs w:val="0"/>
          <w:color w:val="auto"/>
          <w:kern w:val="2"/>
          <w:sz w:val="24"/>
          <w:szCs w:val="24"/>
          <w:highlight w:val="none"/>
          <w:shd w:val="clear" w:color="auto" w:fill="CCE8CF" w:themeFill="background1"/>
          <w:lang w:val="zh-CN" w:eastAsia="zh-CN" w:bidi="ar-SA"/>
        </w:rPr>
        <w:t>，否则相关</w:t>
      </w:r>
      <w:r>
        <w:rPr>
          <w:rFonts w:hint="eastAsia" w:ascii="宋体" w:hAnsi="宋体" w:eastAsia="宋体" w:cs="宋体"/>
          <w:i w:val="0"/>
          <w:iCs w:val="0"/>
          <w:color w:val="auto"/>
          <w:kern w:val="2"/>
          <w:sz w:val="24"/>
          <w:szCs w:val="24"/>
          <w:highlight w:val="none"/>
          <w:shd w:val="clear" w:color="auto" w:fill="CCE8CF" w:themeFill="background1"/>
          <w:lang w:val="en-US" w:eastAsia="zh-CN" w:bidi="ar-SA"/>
        </w:rPr>
        <w:t>响应</w:t>
      </w:r>
      <w:r>
        <w:rPr>
          <w:rFonts w:hint="eastAsia" w:ascii="宋体" w:hAnsi="宋体" w:eastAsia="宋体" w:cs="宋体"/>
          <w:i w:val="0"/>
          <w:iCs w:val="0"/>
          <w:color w:val="auto"/>
          <w:kern w:val="2"/>
          <w:sz w:val="24"/>
          <w:szCs w:val="24"/>
          <w:highlight w:val="none"/>
          <w:shd w:val="clear" w:color="auto" w:fill="CCE8CF" w:themeFill="background1"/>
          <w:lang w:val="zh-CN" w:eastAsia="zh-CN" w:bidi="ar-SA"/>
        </w:rPr>
        <w:t>将被认定为</w:t>
      </w:r>
      <w:r>
        <w:rPr>
          <w:rFonts w:hint="eastAsia" w:ascii="宋体" w:hAnsi="宋体" w:eastAsia="宋体" w:cs="宋体"/>
          <w:b/>
          <w:bCs/>
          <w:i w:val="0"/>
          <w:iCs w:val="0"/>
          <w:color w:val="auto"/>
          <w:kern w:val="2"/>
          <w:sz w:val="24"/>
          <w:szCs w:val="24"/>
          <w:highlight w:val="none"/>
          <w:shd w:val="clear" w:color="auto" w:fill="CCE8CF" w:themeFill="background1"/>
          <w:lang w:val="en-US" w:eastAsia="zh-CN" w:bidi="ar-SA"/>
        </w:rPr>
        <w:t>响应</w:t>
      </w:r>
      <w:r>
        <w:rPr>
          <w:rFonts w:hint="eastAsia" w:ascii="宋体" w:hAnsi="宋体" w:eastAsia="宋体" w:cs="宋体"/>
          <w:b/>
          <w:bCs/>
          <w:i w:val="0"/>
          <w:iCs w:val="0"/>
          <w:color w:val="auto"/>
          <w:kern w:val="2"/>
          <w:sz w:val="24"/>
          <w:szCs w:val="24"/>
          <w:highlight w:val="none"/>
          <w:shd w:val="clear" w:color="auto" w:fill="CCE8CF" w:themeFill="background1"/>
          <w:lang w:val="zh-CN" w:eastAsia="zh-CN" w:bidi="ar-SA"/>
        </w:rPr>
        <w:t>无效</w:t>
      </w:r>
      <w:r>
        <w:rPr>
          <w:rFonts w:hint="eastAsia" w:ascii="宋体" w:hAnsi="宋体" w:eastAsia="宋体" w:cs="宋体"/>
          <w:i w:val="0"/>
          <w:iCs w:val="0"/>
          <w:color w:val="auto"/>
          <w:kern w:val="2"/>
          <w:sz w:val="24"/>
          <w:szCs w:val="24"/>
          <w:highlight w:val="none"/>
          <w:shd w:val="clear" w:color="auto" w:fill="CCE8CF" w:themeFill="background1"/>
          <w:lang w:val="zh-CN" w:eastAsia="zh-CN" w:bidi="ar-SA"/>
        </w:rPr>
        <w:t>。</w:t>
      </w:r>
    </w:p>
    <w:p w14:paraId="1D414EDE">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kern w:val="2"/>
          <w:sz w:val="24"/>
          <w:szCs w:val="24"/>
          <w:highlight w:val="none"/>
          <w:shd w:val="clear" w:color="auto" w:fill="CCE8CF" w:themeFill="background1"/>
          <w:lang w:val="zh-CN" w:eastAsia="zh-CN" w:bidi="ar-SA"/>
        </w:rPr>
      </w:pPr>
      <w:r>
        <w:rPr>
          <w:rFonts w:hint="eastAsia" w:ascii="宋体" w:hAnsi="宋体" w:eastAsia="宋体" w:cs="宋体"/>
          <w:i w:val="0"/>
          <w:iCs w:val="0"/>
          <w:color w:val="auto"/>
          <w:kern w:val="2"/>
          <w:sz w:val="24"/>
          <w:szCs w:val="24"/>
          <w:highlight w:val="none"/>
          <w:shd w:val="clear" w:color="auto" w:fill="CCE8CF" w:themeFill="background1"/>
          <w:lang w:val="en-US" w:eastAsia="zh-CN" w:bidi="ar-SA"/>
        </w:rPr>
        <w:t>4.2</w:t>
      </w:r>
      <w:r>
        <w:rPr>
          <w:rFonts w:hint="eastAsia" w:ascii="宋体" w:hAnsi="宋体" w:eastAsia="宋体" w:cs="宋体"/>
          <w:i w:val="0"/>
          <w:iCs w:val="0"/>
          <w:color w:val="auto"/>
          <w:kern w:val="2"/>
          <w:sz w:val="24"/>
          <w:szCs w:val="24"/>
          <w:highlight w:val="none"/>
          <w:shd w:val="clear" w:color="auto" w:fill="CCE8CF" w:themeFill="background1"/>
          <w:lang w:val="zh-CN" w:eastAsia="zh-CN" w:bidi="ar-SA"/>
        </w:rPr>
        <w:t>.5大中型企业、其他自然人、法人或者非法人组织与小型、微型企业组成联合体共同参加</w:t>
      </w:r>
      <w:r>
        <w:rPr>
          <w:rFonts w:hint="eastAsia" w:ascii="宋体" w:hAnsi="宋体" w:eastAsia="宋体" w:cs="宋体"/>
          <w:i w:val="0"/>
          <w:iCs w:val="0"/>
          <w:color w:val="auto"/>
          <w:kern w:val="2"/>
          <w:sz w:val="24"/>
          <w:szCs w:val="24"/>
          <w:highlight w:val="none"/>
          <w:shd w:val="clear" w:color="auto" w:fill="CCE8CF" w:themeFill="background1"/>
          <w:lang w:val="en-US" w:eastAsia="zh-CN" w:bidi="ar-SA"/>
        </w:rPr>
        <w:t>磋商的</w:t>
      </w:r>
      <w:r>
        <w:rPr>
          <w:rFonts w:hint="eastAsia" w:ascii="宋体" w:hAnsi="宋体" w:eastAsia="宋体" w:cs="宋体"/>
          <w:i w:val="0"/>
          <w:iCs w:val="0"/>
          <w:color w:val="auto"/>
          <w:kern w:val="2"/>
          <w:sz w:val="24"/>
          <w:szCs w:val="24"/>
          <w:highlight w:val="none"/>
          <w:shd w:val="clear" w:color="auto" w:fill="CCE8CF" w:themeFill="background1"/>
          <w:lang w:val="zh-CN" w:eastAsia="zh-CN" w:bidi="ar-SA"/>
        </w:rPr>
        <w:t>，联合</w:t>
      </w:r>
      <w:r>
        <w:rPr>
          <w:rFonts w:hint="eastAsia" w:ascii="宋体" w:hAnsi="宋体" w:eastAsia="宋体" w:cs="宋体"/>
          <w:i w:val="0"/>
          <w:iCs w:val="0"/>
          <w:color w:val="auto"/>
          <w:kern w:val="2"/>
          <w:sz w:val="24"/>
          <w:szCs w:val="24"/>
          <w:highlight w:val="none"/>
          <w:shd w:val="clear" w:color="auto" w:fill="CCE8CF" w:themeFill="background1"/>
          <w:lang w:val="en-US" w:eastAsia="zh-CN" w:bidi="ar-SA"/>
        </w:rPr>
        <w:t>体</w:t>
      </w:r>
      <w:r>
        <w:rPr>
          <w:rFonts w:hint="eastAsia" w:ascii="宋体" w:hAnsi="宋体" w:eastAsia="宋体" w:cs="宋体"/>
          <w:i w:val="0"/>
          <w:iCs w:val="0"/>
          <w:color w:val="auto"/>
          <w:kern w:val="2"/>
          <w:sz w:val="24"/>
          <w:szCs w:val="24"/>
          <w:highlight w:val="none"/>
          <w:shd w:val="clear" w:color="auto" w:fill="CCE8CF" w:themeFill="background1"/>
          <w:lang w:val="zh-CN" w:eastAsia="zh-CN" w:bidi="ar-SA"/>
        </w:rPr>
        <w:t>协议</w:t>
      </w:r>
      <w:r>
        <w:rPr>
          <w:rFonts w:hint="eastAsia" w:ascii="宋体" w:hAnsi="宋体" w:eastAsia="宋体" w:cs="宋体"/>
          <w:i w:val="0"/>
          <w:iCs w:val="0"/>
          <w:color w:val="auto"/>
          <w:kern w:val="2"/>
          <w:sz w:val="24"/>
          <w:szCs w:val="24"/>
          <w:highlight w:val="none"/>
          <w:shd w:val="clear" w:color="auto" w:fill="CCE8CF" w:themeFill="background1"/>
          <w:lang w:val="en-US" w:eastAsia="zh-CN" w:bidi="ar-SA"/>
        </w:rPr>
        <w:t>书</w:t>
      </w:r>
      <w:r>
        <w:rPr>
          <w:rFonts w:hint="eastAsia" w:ascii="宋体" w:hAnsi="宋体" w:eastAsia="宋体" w:cs="宋体"/>
          <w:i w:val="0"/>
          <w:iCs w:val="0"/>
          <w:color w:val="auto"/>
          <w:kern w:val="2"/>
          <w:sz w:val="24"/>
          <w:szCs w:val="24"/>
          <w:highlight w:val="none"/>
          <w:shd w:val="clear" w:color="auto" w:fill="CCE8CF" w:themeFill="background1"/>
          <w:lang w:val="zh-CN" w:eastAsia="zh-CN" w:bidi="ar-SA"/>
        </w:rPr>
        <w:t>中应写明小型、微型企业的合同金额</w:t>
      </w:r>
      <w:r>
        <w:rPr>
          <w:rFonts w:hint="eastAsia" w:cs="宋体"/>
          <w:i w:val="0"/>
          <w:iCs w:val="0"/>
          <w:color w:val="auto"/>
          <w:kern w:val="2"/>
          <w:sz w:val="24"/>
          <w:szCs w:val="24"/>
          <w:highlight w:val="none"/>
          <w:shd w:val="clear" w:color="auto" w:fill="CCE8CF" w:themeFill="background1"/>
          <w:lang w:val="zh-CN" w:eastAsia="zh-CN" w:bidi="ar-SA"/>
        </w:rPr>
        <w:t>占</w:t>
      </w:r>
      <w:r>
        <w:rPr>
          <w:rFonts w:hint="eastAsia" w:ascii="宋体" w:hAnsi="宋体" w:eastAsia="宋体" w:cs="宋体"/>
          <w:i w:val="0"/>
          <w:iCs w:val="0"/>
          <w:color w:val="auto"/>
          <w:kern w:val="2"/>
          <w:sz w:val="24"/>
          <w:szCs w:val="24"/>
          <w:highlight w:val="none"/>
          <w:shd w:val="clear" w:color="auto" w:fill="CCE8CF" w:themeFill="background1"/>
          <w:lang w:val="zh-CN" w:eastAsia="zh-CN" w:bidi="ar-SA"/>
        </w:rPr>
        <w:t>联合</w:t>
      </w:r>
      <w:r>
        <w:rPr>
          <w:rFonts w:hint="eastAsia" w:ascii="宋体" w:hAnsi="宋体" w:eastAsia="宋体" w:cs="宋体"/>
          <w:i w:val="0"/>
          <w:iCs w:val="0"/>
          <w:color w:val="auto"/>
          <w:kern w:val="2"/>
          <w:sz w:val="24"/>
          <w:szCs w:val="24"/>
          <w:highlight w:val="none"/>
          <w:shd w:val="clear" w:color="auto" w:fill="CCE8CF" w:themeFill="background1"/>
          <w:lang w:val="en-US" w:eastAsia="zh-CN" w:bidi="ar-SA"/>
        </w:rPr>
        <w:t>体磋商合同</w:t>
      </w:r>
      <w:r>
        <w:rPr>
          <w:rFonts w:hint="eastAsia" w:ascii="宋体" w:hAnsi="宋体" w:eastAsia="宋体" w:cs="宋体"/>
          <w:i w:val="0"/>
          <w:iCs w:val="0"/>
          <w:color w:val="auto"/>
          <w:kern w:val="2"/>
          <w:sz w:val="24"/>
          <w:szCs w:val="24"/>
          <w:highlight w:val="none"/>
          <w:shd w:val="clear" w:color="auto" w:fill="CCE8CF" w:themeFill="background1"/>
          <w:lang w:val="zh-CN" w:eastAsia="zh-CN" w:bidi="ar-SA"/>
        </w:rPr>
        <w:t>总金额的比例。</w:t>
      </w:r>
    </w:p>
    <w:p w14:paraId="60365691">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kern w:val="2"/>
          <w:sz w:val="24"/>
          <w:szCs w:val="24"/>
          <w:highlight w:val="none"/>
          <w:shd w:val="clear" w:color="auto" w:fill="CCE8CF" w:themeFill="background1"/>
          <w:lang w:val="zh-CN" w:eastAsia="zh-CN" w:bidi="ar-SA"/>
        </w:rPr>
      </w:pPr>
      <w:r>
        <w:rPr>
          <w:rFonts w:hint="eastAsia" w:ascii="宋体" w:hAnsi="宋体" w:eastAsia="宋体" w:cs="宋体"/>
          <w:i w:val="0"/>
          <w:iCs w:val="0"/>
          <w:color w:val="auto"/>
          <w:kern w:val="2"/>
          <w:sz w:val="24"/>
          <w:szCs w:val="24"/>
          <w:highlight w:val="none"/>
          <w:shd w:val="clear" w:color="auto" w:fill="CCE8CF" w:themeFill="background1"/>
          <w:lang w:val="zh-CN" w:eastAsia="zh-CN" w:bidi="ar-SA"/>
        </w:rPr>
        <w:t>4.2</w:t>
      </w:r>
      <w:r>
        <w:rPr>
          <w:rFonts w:hint="eastAsia" w:ascii="宋体" w:hAnsi="宋体" w:eastAsia="宋体" w:cs="宋体"/>
          <w:i w:val="0"/>
          <w:iCs w:val="0"/>
          <w:color w:val="auto"/>
          <w:kern w:val="2"/>
          <w:sz w:val="24"/>
          <w:szCs w:val="24"/>
          <w:highlight w:val="none"/>
          <w:shd w:val="clear" w:color="auto" w:fill="CCE8CF" w:themeFill="background1"/>
          <w:lang w:val="en-US" w:eastAsia="zh-CN" w:bidi="ar-SA"/>
        </w:rPr>
        <w:t>.6</w:t>
      </w:r>
      <w:r>
        <w:rPr>
          <w:rFonts w:hint="eastAsia" w:ascii="宋体" w:hAnsi="宋体" w:eastAsia="宋体" w:cs="宋体"/>
          <w:i w:val="0"/>
          <w:iCs w:val="0"/>
          <w:color w:val="auto"/>
          <w:kern w:val="2"/>
          <w:sz w:val="24"/>
          <w:szCs w:val="24"/>
          <w:highlight w:val="none"/>
          <w:shd w:val="clear" w:color="auto" w:fill="CCE8CF" w:themeFill="background1"/>
          <w:lang w:val="zh-CN" w:eastAsia="zh-CN" w:bidi="ar-SA"/>
        </w:rPr>
        <w:t>联合体</w:t>
      </w:r>
      <w:r>
        <w:rPr>
          <w:rFonts w:hint="eastAsia" w:ascii="宋体" w:hAnsi="宋体" w:eastAsia="宋体" w:cs="宋体"/>
          <w:i w:val="0"/>
          <w:iCs w:val="0"/>
          <w:color w:val="auto"/>
          <w:kern w:val="2"/>
          <w:sz w:val="24"/>
          <w:szCs w:val="24"/>
          <w:highlight w:val="none"/>
          <w:shd w:val="clear" w:color="auto" w:fill="CCE8CF" w:themeFill="background1"/>
          <w:lang w:val="en-US" w:eastAsia="zh-CN" w:bidi="ar-SA"/>
        </w:rPr>
        <w:t>成交</w:t>
      </w:r>
      <w:r>
        <w:rPr>
          <w:rFonts w:hint="eastAsia" w:ascii="宋体" w:hAnsi="宋体" w:eastAsia="宋体" w:cs="宋体"/>
          <w:i w:val="0"/>
          <w:iCs w:val="0"/>
          <w:color w:val="auto"/>
          <w:kern w:val="2"/>
          <w:sz w:val="24"/>
          <w:szCs w:val="24"/>
          <w:highlight w:val="none"/>
          <w:u w:val="none"/>
          <w:shd w:val="clear" w:color="auto" w:fill="CCE8CF" w:themeFill="background1"/>
          <w:lang w:val="en-US" w:eastAsia="zh-CN" w:bidi="ar-SA"/>
        </w:rPr>
        <w:t>的</w:t>
      </w:r>
      <w:r>
        <w:rPr>
          <w:rFonts w:hint="eastAsia" w:ascii="宋体" w:hAnsi="宋体" w:eastAsia="宋体" w:cs="宋体"/>
          <w:i w:val="0"/>
          <w:iCs w:val="0"/>
          <w:color w:val="auto"/>
          <w:kern w:val="2"/>
          <w:sz w:val="24"/>
          <w:szCs w:val="24"/>
          <w:highlight w:val="none"/>
          <w:shd w:val="clear" w:color="auto" w:fill="CCE8CF" w:themeFill="background1"/>
          <w:lang w:val="zh-CN" w:eastAsia="zh-CN" w:bidi="ar-SA"/>
        </w:rPr>
        <w:t>，</w:t>
      </w:r>
      <w:r>
        <w:rPr>
          <w:rFonts w:hint="eastAsia" w:ascii="宋体" w:hAnsi="宋体" w:eastAsia="宋体" w:cs="宋体"/>
          <w:i w:val="0"/>
          <w:iCs w:val="0"/>
          <w:color w:val="auto"/>
          <w:kern w:val="2"/>
          <w:sz w:val="24"/>
          <w:szCs w:val="24"/>
          <w:highlight w:val="none"/>
          <w:shd w:val="clear" w:color="auto" w:fill="CCE8CF" w:themeFill="background1"/>
          <w:lang w:val="en-US" w:eastAsia="zh-CN" w:bidi="ar-SA"/>
        </w:rPr>
        <w:t>采购</w:t>
      </w:r>
      <w:r>
        <w:rPr>
          <w:rFonts w:hint="eastAsia" w:ascii="宋体" w:hAnsi="宋体" w:eastAsia="宋体" w:cs="宋体"/>
          <w:i w:val="0"/>
          <w:iCs w:val="0"/>
          <w:color w:val="auto"/>
          <w:kern w:val="2"/>
          <w:sz w:val="24"/>
          <w:szCs w:val="24"/>
          <w:highlight w:val="none"/>
          <w:shd w:val="clear" w:color="auto" w:fill="CCE8CF" w:themeFill="background1"/>
          <w:lang w:val="zh-CN" w:eastAsia="zh-CN" w:bidi="ar-SA"/>
        </w:rPr>
        <w:t>合同应由</w:t>
      </w:r>
      <w:r>
        <w:rPr>
          <w:rFonts w:hint="eastAsia" w:ascii="宋体" w:hAnsi="宋体" w:eastAsia="宋体" w:cs="宋体"/>
          <w:i w:val="0"/>
          <w:iCs w:val="0"/>
          <w:color w:val="auto"/>
          <w:kern w:val="2"/>
          <w:sz w:val="24"/>
          <w:szCs w:val="24"/>
          <w:highlight w:val="none"/>
          <w:shd w:val="clear" w:color="auto" w:fill="CCE8CF" w:themeFill="background1"/>
          <w:lang w:val="en-US" w:eastAsia="zh-CN" w:bidi="ar-SA"/>
        </w:rPr>
        <w:t>联合体</w:t>
      </w:r>
      <w:r>
        <w:rPr>
          <w:rFonts w:hint="eastAsia" w:ascii="宋体" w:hAnsi="宋体" w:eastAsia="宋体" w:cs="宋体"/>
          <w:i w:val="0"/>
          <w:iCs w:val="0"/>
          <w:color w:val="auto"/>
          <w:kern w:val="2"/>
          <w:sz w:val="24"/>
          <w:szCs w:val="24"/>
          <w:highlight w:val="none"/>
          <w:shd w:val="clear" w:color="auto" w:fill="CCE8CF" w:themeFill="background1"/>
          <w:lang w:val="zh-CN" w:eastAsia="zh-CN" w:bidi="ar-SA"/>
        </w:rPr>
        <w:t>各成员的合法授权代表签字</w:t>
      </w:r>
      <w:r>
        <w:rPr>
          <w:rFonts w:hint="eastAsia" w:ascii="宋体" w:hAnsi="宋体" w:eastAsia="宋体" w:cs="宋体"/>
          <w:i w:val="0"/>
          <w:iCs w:val="0"/>
          <w:color w:val="auto"/>
          <w:kern w:val="2"/>
          <w:sz w:val="24"/>
          <w:szCs w:val="24"/>
          <w:highlight w:val="none"/>
          <w:shd w:val="clear" w:color="auto" w:fill="CCE8CF" w:themeFill="background1"/>
          <w:lang w:val="en-US" w:eastAsia="zh-CN" w:bidi="ar-SA"/>
        </w:rPr>
        <w:t>及</w:t>
      </w:r>
      <w:r>
        <w:rPr>
          <w:rFonts w:hint="eastAsia" w:ascii="宋体" w:hAnsi="宋体" w:eastAsia="宋体" w:cs="宋体"/>
          <w:i w:val="0"/>
          <w:iCs w:val="0"/>
          <w:color w:val="auto"/>
          <w:kern w:val="2"/>
          <w:sz w:val="24"/>
          <w:szCs w:val="24"/>
          <w:highlight w:val="none"/>
          <w:shd w:val="clear" w:color="auto" w:fill="CCE8CF" w:themeFill="background1"/>
          <w:lang w:val="zh-CN" w:eastAsia="zh-CN" w:bidi="ar-SA"/>
        </w:rPr>
        <w:t>加盖</w:t>
      </w:r>
      <w:r>
        <w:rPr>
          <w:rFonts w:hint="eastAsia" w:ascii="宋体" w:hAnsi="宋体" w:eastAsia="宋体" w:cs="宋体"/>
          <w:i w:val="0"/>
          <w:iCs w:val="0"/>
          <w:color w:val="auto"/>
          <w:kern w:val="2"/>
          <w:sz w:val="24"/>
          <w:szCs w:val="24"/>
          <w:highlight w:val="none"/>
          <w:shd w:val="clear" w:color="auto" w:fill="CCE8CF" w:themeFill="background1"/>
          <w:lang w:val="en-US" w:eastAsia="zh-CN" w:bidi="ar-SA"/>
        </w:rPr>
        <w:t>联合体</w:t>
      </w:r>
      <w:r>
        <w:rPr>
          <w:rFonts w:hint="eastAsia" w:ascii="宋体" w:hAnsi="宋体" w:eastAsia="宋体" w:cs="宋体"/>
          <w:i w:val="0"/>
          <w:iCs w:val="0"/>
          <w:color w:val="auto"/>
          <w:kern w:val="2"/>
          <w:sz w:val="24"/>
          <w:szCs w:val="24"/>
          <w:highlight w:val="none"/>
          <w:shd w:val="clear" w:color="auto" w:fill="CCE8CF" w:themeFill="background1"/>
          <w:lang w:val="zh-CN" w:eastAsia="zh-CN" w:bidi="ar-SA"/>
        </w:rPr>
        <w:t>各成员公章，</w:t>
      </w:r>
      <w:r>
        <w:rPr>
          <w:rFonts w:hint="eastAsia" w:ascii="宋体" w:hAnsi="宋体" w:eastAsia="宋体" w:cs="宋体"/>
          <w:i w:val="0"/>
          <w:iCs w:val="0"/>
          <w:color w:val="auto"/>
          <w:kern w:val="2"/>
          <w:sz w:val="24"/>
          <w:szCs w:val="24"/>
          <w:highlight w:val="none"/>
          <w:shd w:val="clear" w:color="auto" w:fill="CCE8CF" w:themeFill="background1"/>
          <w:lang w:val="en-US" w:eastAsia="zh-CN" w:bidi="ar-SA"/>
        </w:rPr>
        <w:t>并</w:t>
      </w:r>
      <w:r>
        <w:rPr>
          <w:rFonts w:hint="eastAsia" w:ascii="宋体" w:hAnsi="宋体" w:eastAsia="宋体" w:cs="宋体"/>
          <w:i w:val="0"/>
          <w:iCs w:val="0"/>
          <w:color w:val="auto"/>
          <w:kern w:val="2"/>
          <w:sz w:val="24"/>
          <w:szCs w:val="24"/>
          <w:highlight w:val="none"/>
          <w:shd w:val="clear" w:color="auto" w:fill="CCE8CF" w:themeFill="background1"/>
          <w:lang w:val="zh-CN" w:eastAsia="zh-CN" w:bidi="ar-SA"/>
        </w:rPr>
        <w:t>对联合体成员作为整体和他们各自作为独立体均具有法律约束力，但若该签字或公章不齐全或缺乏，该联合体的牵头人的签署或类似的意思表示人具有代表该联合体的签署或意思表示的法律效力，并且据此各成员为履行合同应向采购人与采购代理机构承担连带责任。</w:t>
      </w:r>
    </w:p>
    <w:p w14:paraId="75BF2FA0">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kern w:val="2"/>
          <w:sz w:val="24"/>
          <w:szCs w:val="24"/>
          <w:highlight w:val="none"/>
          <w:shd w:val="clear" w:color="auto" w:fill="CCE8CF" w:themeFill="background1"/>
          <w:lang w:val="zh-CN" w:eastAsia="zh-CN" w:bidi="ar-SA"/>
        </w:rPr>
      </w:pPr>
      <w:r>
        <w:rPr>
          <w:rFonts w:hint="eastAsia" w:ascii="宋体" w:hAnsi="宋体" w:eastAsia="宋体" w:cs="宋体"/>
          <w:i w:val="0"/>
          <w:iCs w:val="0"/>
          <w:color w:val="auto"/>
          <w:kern w:val="2"/>
          <w:sz w:val="24"/>
          <w:szCs w:val="24"/>
          <w:highlight w:val="none"/>
          <w:shd w:val="clear" w:color="auto" w:fill="CCE8CF" w:themeFill="background1"/>
          <w:lang w:val="zh-CN" w:eastAsia="zh-CN" w:bidi="ar-SA"/>
        </w:rPr>
        <w:t>4.2</w:t>
      </w:r>
      <w:r>
        <w:rPr>
          <w:rFonts w:hint="eastAsia" w:ascii="宋体" w:hAnsi="宋体" w:eastAsia="宋体" w:cs="宋体"/>
          <w:i w:val="0"/>
          <w:iCs w:val="0"/>
          <w:color w:val="auto"/>
          <w:kern w:val="2"/>
          <w:sz w:val="24"/>
          <w:szCs w:val="24"/>
          <w:highlight w:val="none"/>
          <w:shd w:val="clear" w:color="auto" w:fill="CCE8CF" w:themeFill="background1"/>
          <w:lang w:val="en-US" w:eastAsia="zh-CN" w:bidi="ar-SA"/>
        </w:rPr>
        <w:t>.7</w:t>
      </w:r>
      <w:r>
        <w:rPr>
          <w:rFonts w:hint="eastAsia" w:ascii="宋体" w:hAnsi="宋体" w:eastAsia="宋体" w:cs="宋体"/>
          <w:i w:val="0"/>
          <w:iCs w:val="0"/>
          <w:color w:val="auto"/>
          <w:kern w:val="2"/>
          <w:sz w:val="24"/>
          <w:szCs w:val="24"/>
          <w:highlight w:val="none"/>
          <w:shd w:val="clear" w:color="auto" w:fill="CCE8CF" w:themeFill="background1"/>
          <w:lang w:val="zh-CN" w:eastAsia="zh-CN" w:bidi="ar-SA"/>
        </w:rPr>
        <w:t>联合体或其成员不得将其在合同项下的权利或义务全部或部分转让给第三人，有关分包事项须事先取得采购</w:t>
      </w:r>
      <w:r>
        <w:rPr>
          <w:rFonts w:hint="eastAsia" w:ascii="宋体" w:hAnsi="宋体" w:eastAsia="宋体" w:cs="宋体"/>
          <w:i w:val="0"/>
          <w:iCs w:val="0"/>
          <w:color w:val="auto"/>
          <w:kern w:val="2"/>
          <w:sz w:val="24"/>
          <w:szCs w:val="24"/>
          <w:highlight w:val="none"/>
          <w:shd w:val="clear" w:color="auto" w:fill="CCE8CF" w:themeFill="background1"/>
          <w:lang w:val="en-US" w:eastAsia="zh-CN" w:bidi="ar-SA"/>
        </w:rPr>
        <w:t>人</w:t>
      </w:r>
      <w:r>
        <w:rPr>
          <w:rFonts w:hint="eastAsia" w:ascii="宋体" w:hAnsi="宋体" w:eastAsia="宋体" w:cs="宋体"/>
          <w:i w:val="0"/>
          <w:iCs w:val="0"/>
          <w:color w:val="auto"/>
          <w:kern w:val="2"/>
          <w:sz w:val="24"/>
          <w:szCs w:val="24"/>
          <w:highlight w:val="none"/>
          <w:shd w:val="clear" w:color="auto" w:fill="CCE8CF" w:themeFill="background1"/>
          <w:lang w:val="zh-CN" w:eastAsia="zh-CN" w:bidi="ar-SA"/>
        </w:rPr>
        <w:t>书面同意并且须遵守相关法律、法规、本次</w:t>
      </w:r>
      <w:r>
        <w:rPr>
          <w:rFonts w:hint="eastAsia" w:ascii="宋体" w:hAnsi="宋体" w:eastAsia="宋体" w:cs="宋体"/>
          <w:i w:val="0"/>
          <w:iCs w:val="0"/>
          <w:color w:val="auto"/>
          <w:kern w:val="2"/>
          <w:sz w:val="24"/>
          <w:szCs w:val="24"/>
          <w:highlight w:val="none"/>
          <w:shd w:val="clear" w:color="auto" w:fill="CCE8CF" w:themeFill="background1"/>
          <w:lang w:val="en-US" w:eastAsia="zh-CN" w:bidi="ar-SA"/>
        </w:rPr>
        <w:t>磋商</w:t>
      </w:r>
      <w:r>
        <w:rPr>
          <w:rFonts w:hint="eastAsia" w:ascii="宋体" w:hAnsi="宋体" w:eastAsia="宋体" w:cs="宋体"/>
          <w:i w:val="0"/>
          <w:iCs w:val="0"/>
          <w:color w:val="auto"/>
          <w:kern w:val="2"/>
          <w:sz w:val="24"/>
          <w:szCs w:val="24"/>
          <w:highlight w:val="none"/>
          <w:shd w:val="clear" w:color="auto" w:fill="CCE8CF" w:themeFill="background1"/>
          <w:lang w:val="zh-CN" w:eastAsia="zh-CN" w:bidi="ar-SA"/>
        </w:rPr>
        <w:t>的全部相关规定。</w:t>
      </w:r>
    </w:p>
    <w:p w14:paraId="1C0E489A">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kern w:val="2"/>
          <w:sz w:val="24"/>
          <w:szCs w:val="24"/>
          <w:highlight w:val="none"/>
          <w:shd w:val="clear" w:color="auto" w:fill="CCE8CF" w:themeFill="background1"/>
          <w:lang w:val="zh-CN" w:eastAsia="zh-CN" w:bidi="ar-SA"/>
        </w:rPr>
      </w:pPr>
      <w:r>
        <w:rPr>
          <w:rFonts w:hint="eastAsia" w:ascii="宋体" w:hAnsi="宋体" w:eastAsia="宋体" w:cs="宋体"/>
          <w:i w:val="0"/>
          <w:iCs w:val="0"/>
          <w:color w:val="auto"/>
          <w:kern w:val="2"/>
          <w:sz w:val="24"/>
          <w:szCs w:val="24"/>
          <w:highlight w:val="none"/>
          <w:shd w:val="clear" w:color="auto" w:fill="CCE8CF" w:themeFill="background1"/>
          <w:lang w:val="en-US" w:eastAsia="zh-CN" w:bidi="ar-SA"/>
        </w:rPr>
        <w:t>4.2</w:t>
      </w:r>
      <w:r>
        <w:rPr>
          <w:rFonts w:hint="eastAsia" w:ascii="宋体" w:hAnsi="宋体" w:eastAsia="宋体" w:cs="宋体"/>
          <w:i w:val="0"/>
          <w:iCs w:val="0"/>
          <w:color w:val="auto"/>
          <w:kern w:val="2"/>
          <w:sz w:val="24"/>
          <w:szCs w:val="24"/>
          <w:highlight w:val="none"/>
          <w:shd w:val="clear" w:color="auto" w:fill="CCE8CF" w:themeFill="background1"/>
          <w:lang w:val="zh-CN" w:eastAsia="zh-CN" w:bidi="ar-SA"/>
        </w:rPr>
        <w:t>.</w:t>
      </w:r>
      <w:r>
        <w:rPr>
          <w:rFonts w:hint="eastAsia" w:ascii="宋体" w:hAnsi="宋体" w:eastAsia="宋体" w:cs="宋体"/>
          <w:i w:val="0"/>
          <w:iCs w:val="0"/>
          <w:color w:val="auto"/>
          <w:kern w:val="2"/>
          <w:sz w:val="24"/>
          <w:szCs w:val="24"/>
          <w:highlight w:val="none"/>
          <w:shd w:val="clear" w:color="auto" w:fill="CCE8CF" w:themeFill="background1"/>
          <w:lang w:val="en-US" w:eastAsia="zh-CN" w:bidi="ar-SA"/>
        </w:rPr>
        <w:t>8</w:t>
      </w:r>
      <w:r>
        <w:rPr>
          <w:rFonts w:hint="eastAsia" w:ascii="宋体" w:hAnsi="宋体" w:eastAsia="宋体" w:cs="宋体"/>
          <w:i w:val="0"/>
          <w:iCs w:val="0"/>
          <w:color w:val="auto"/>
          <w:kern w:val="2"/>
          <w:sz w:val="24"/>
          <w:szCs w:val="24"/>
          <w:highlight w:val="none"/>
          <w:shd w:val="clear" w:color="auto" w:fill="CCE8CF" w:themeFill="background1"/>
          <w:lang w:val="zh-CN" w:eastAsia="zh-CN" w:bidi="ar-SA"/>
        </w:rPr>
        <w:t>对联合体</w:t>
      </w:r>
      <w:r>
        <w:rPr>
          <w:rFonts w:hint="eastAsia" w:ascii="宋体" w:hAnsi="宋体" w:eastAsia="宋体" w:cs="宋体"/>
          <w:i w:val="0"/>
          <w:iCs w:val="0"/>
          <w:color w:val="auto"/>
          <w:kern w:val="2"/>
          <w:sz w:val="24"/>
          <w:szCs w:val="24"/>
          <w:highlight w:val="none"/>
          <w:shd w:val="clear" w:color="auto" w:fill="CCE8CF" w:themeFill="background1"/>
          <w:lang w:val="en-US" w:eastAsia="zh-CN" w:bidi="ar-SA"/>
        </w:rPr>
        <w:t>磋商</w:t>
      </w:r>
      <w:r>
        <w:rPr>
          <w:rFonts w:hint="eastAsia" w:ascii="宋体" w:hAnsi="宋体" w:eastAsia="宋体" w:cs="宋体"/>
          <w:i w:val="0"/>
          <w:iCs w:val="0"/>
          <w:color w:val="auto"/>
          <w:kern w:val="2"/>
          <w:sz w:val="24"/>
          <w:szCs w:val="24"/>
          <w:highlight w:val="none"/>
          <w:shd w:val="clear" w:color="auto" w:fill="CCE8CF" w:themeFill="background1"/>
          <w:lang w:val="zh-CN" w:eastAsia="zh-CN" w:bidi="ar-SA"/>
        </w:rPr>
        <w:t>的其他资格要求见“</w:t>
      </w:r>
      <w:r>
        <w:rPr>
          <w:rFonts w:hint="eastAsia" w:ascii="宋体" w:hAnsi="宋体" w:eastAsia="宋体" w:cs="宋体"/>
          <w:i w:val="0"/>
          <w:iCs w:val="0"/>
          <w:color w:val="auto"/>
          <w:kern w:val="2"/>
          <w:sz w:val="24"/>
          <w:szCs w:val="24"/>
          <w:highlight w:val="none"/>
          <w:shd w:val="clear" w:color="auto" w:fill="CCE8CF" w:themeFill="background1"/>
          <w:lang w:val="en-US" w:eastAsia="zh-CN" w:bidi="ar-SA"/>
        </w:rPr>
        <w:t>第一章 竞争性磋商公告</w:t>
      </w:r>
      <w:r>
        <w:rPr>
          <w:rFonts w:hint="eastAsia" w:ascii="宋体" w:hAnsi="宋体" w:eastAsia="宋体" w:cs="宋体"/>
          <w:i w:val="0"/>
          <w:iCs w:val="0"/>
          <w:color w:val="auto"/>
          <w:kern w:val="2"/>
          <w:sz w:val="24"/>
          <w:szCs w:val="24"/>
          <w:highlight w:val="none"/>
          <w:shd w:val="clear" w:color="auto" w:fill="CCE8CF" w:themeFill="background1"/>
          <w:lang w:val="zh-CN" w:eastAsia="zh-CN" w:bidi="ar-SA"/>
        </w:rPr>
        <w:t>”</w:t>
      </w:r>
      <w:r>
        <w:rPr>
          <w:rFonts w:hint="eastAsia" w:ascii="宋体" w:hAnsi="宋体" w:eastAsia="宋体" w:cs="宋体"/>
          <w:i w:val="0"/>
          <w:iCs w:val="0"/>
          <w:color w:val="auto"/>
          <w:kern w:val="2"/>
          <w:sz w:val="24"/>
          <w:szCs w:val="24"/>
          <w:highlight w:val="none"/>
          <w:shd w:val="clear" w:color="auto" w:fill="CCE8CF" w:themeFill="background1"/>
          <w:lang w:val="en-US" w:eastAsia="zh-CN" w:bidi="ar-SA"/>
        </w:rPr>
        <w:t>中的“二、供应商的</w:t>
      </w:r>
      <w:r>
        <w:rPr>
          <w:rFonts w:hint="eastAsia" w:ascii="宋体" w:hAnsi="宋体" w:eastAsia="宋体" w:cs="宋体"/>
          <w:i w:val="0"/>
          <w:iCs w:val="0"/>
          <w:color w:val="auto"/>
          <w:kern w:val="2"/>
          <w:sz w:val="24"/>
          <w:szCs w:val="24"/>
          <w:highlight w:val="none"/>
          <w:shd w:val="clear" w:color="auto" w:fill="CCE8CF" w:themeFill="background1"/>
          <w:lang w:val="zh-CN" w:eastAsia="zh-CN" w:bidi="ar-SA"/>
        </w:rPr>
        <w:t>资格</w:t>
      </w:r>
      <w:r>
        <w:rPr>
          <w:rFonts w:hint="eastAsia" w:ascii="宋体" w:hAnsi="宋体" w:eastAsia="宋体" w:cs="宋体"/>
          <w:i w:val="0"/>
          <w:iCs w:val="0"/>
          <w:color w:val="auto"/>
          <w:kern w:val="2"/>
          <w:sz w:val="24"/>
          <w:szCs w:val="24"/>
          <w:highlight w:val="none"/>
          <w:shd w:val="clear" w:color="auto" w:fill="CCE8CF" w:themeFill="background1"/>
          <w:lang w:val="en-US" w:eastAsia="zh-CN" w:bidi="ar-SA"/>
        </w:rPr>
        <w:t>要求”</w:t>
      </w:r>
      <w:r>
        <w:rPr>
          <w:rFonts w:hint="eastAsia" w:ascii="宋体" w:hAnsi="宋体" w:eastAsia="宋体" w:cs="宋体"/>
          <w:i w:val="0"/>
          <w:iCs w:val="0"/>
          <w:color w:val="auto"/>
          <w:kern w:val="2"/>
          <w:sz w:val="24"/>
          <w:szCs w:val="24"/>
          <w:highlight w:val="none"/>
          <w:shd w:val="clear" w:color="auto" w:fill="CCE8CF" w:themeFill="background1"/>
          <w:lang w:val="zh-CN" w:eastAsia="zh-CN" w:bidi="ar-SA"/>
        </w:rPr>
        <w:t>。</w:t>
      </w:r>
    </w:p>
    <w:p w14:paraId="485F4964">
      <w:pPr>
        <w:pStyle w:val="5"/>
        <w:keepNext w:val="0"/>
        <w:keepLines w:val="0"/>
        <w:pageBreakBefore w:val="0"/>
        <w:widowControl w:val="0"/>
        <w:numPr>
          <w:ilvl w:val="0"/>
          <w:numId w:val="0"/>
        </w:numPr>
        <w:kinsoku/>
        <w:wordWrap/>
        <w:overflowPunct/>
        <w:topLinePunct w:val="0"/>
        <w:autoSpaceDE/>
        <w:autoSpaceDN/>
        <w:bidi w:val="0"/>
        <w:adjustRightInd/>
        <w:snapToGrid/>
        <w:spacing w:before="80" w:after="80" w:line="240" w:lineRule="auto"/>
        <w:ind w:left="420" w:leftChars="0" w:hanging="420" w:firstLineChars="0"/>
        <w:textAlignment w:val="auto"/>
        <w:rPr>
          <w:rFonts w:hint="eastAsia" w:ascii="宋体" w:hAnsi="宋体" w:eastAsia="宋体" w:cs="宋体"/>
          <w:b/>
          <w:bCs/>
          <w:i w:val="0"/>
          <w:iCs w:val="0"/>
          <w:color w:val="auto"/>
          <w:kern w:val="2"/>
          <w:sz w:val="24"/>
          <w:szCs w:val="24"/>
          <w:highlight w:val="none"/>
          <w:lang w:val="en-US" w:eastAsia="zh-CN" w:bidi="ar-SA"/>
        </w:rPr>
      </w:pPr>
      <w:r>
        <w:rPr>
          <w:rFonts w:hint="eastAsia" w:ascii="宋体" w:hAnsi="宋体" w:eastAsia="宋体" w:cs="宋体"/>
          <w:b/>
          <w:bCs/>
          <w:i w:val="0"/>
          <w:iCs w:val="0"/>
          <w:color w:val="auto"/>
          <w:kern w:val="2"/>
          <w:sz w:val="24"/>
          <w:szCs w:val="24"/>
          <w:highlight w:val="none"/>
          <w:lang w:val="en-US" w:eastAsia="zh-CN" w:bidi="ar-SA"/>
        </w:rPr>
        <w:t>5.费用</w:t>
      </w:r>
      <w:bookmarkEnd w:id="33"/>
      <w:bookmarkEnd w:id="34"/>
      <w:bookmarkEnd w:id="35"/>
      <w:bookmarkEnd w:id="36"/>
      <w:bookmarkEnd w:id="37"/>
      <w:bookmarkEnd w:id="38"/>
      <w:bookmarkEnd w:id="39"/>
      <w:bookmarkEnd w:id="40"/>
      <w:bookmarkEnd w:id="41"/>
      <w:bookmarkEnd w:id="42"/>
      <w:bookmarkEnd w:id="43"/>
      <w:bookmarkEnd w:id="44"/>
      <w:bookmarkEnd w:id="45"/>
      <w:r>
        <w:rPr>
          <w:rFonts w:hint="eastAsia" w:ascii="宋体" w:hAnsi="宋体" w:eastAsia="宋体" w:cs="宋体"/>
          <w:b/>
          <w:bCs/>
          <w:i w:val="0"/>
          <w:iCs w:val="0"/>
          <w:color w:val="auto"/>
          <w:kern w:val="2"/>
          <w:sz w:val="24"/>
          <w:szCs w:val="24"/>
          <w:highlight w:val="none"/>
          <w:lang w:val="en-US" w:eastAsia="zh-CN" w:bidi="ar-SA"/>
        </w:rPr>
        <w:t>承担</w:t>
      </w:r>
    </w:p>
    <w:p w14:paraId="3C6741ED">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snapToGrid w:val="0"/>
          <w:color w:val="auto"/>
          <w:sz w:val="24"/>
          <w:szCs w:val="24"/>
          <w:highlight w:val="none"/>
          <w:lang w:val="zh-CN"/>
        </w:rPr>
      </w:pPr>
      <w:r>
        <w:rPr>
          <w:rFonts w:hint="eastAsia" w:ascii="宋体" w:hAnsi="宋体" w:eastAsia="宋体" w:cs="宋体"/>
          <w:i w:val="0"/>
          <w:iCs w:val="0"/>
          <w:snapToGrid w:val="0"/>
          <w:color w:val="auto"/>
          <w:sz w:val="24"/>
          <w:szCs w:val="24"/>
          <w:highlight w:val="none"/>
          <w:lang w:val="zh-CN"/>
        </w:rPr>
        <w:t>5.1</w:t>
      </w:r>
      <w:r>
        <w:rPr>
          <w:rFonts w:hint="eastAsia" w:ascii="宋体" w:hAnsi="宋体" w:eastAsia="宋体" w:cs="宋体"/>
          <w:i w:val="0"/>
          <w:iCs w:val="0"/>
          <w:snapToGrid w:val="0"/>
          <w:color w:val="auto"/>
          <w:sz w:val="24"/>
          <w:szCs w:val="24"/>
          <w:highlight w:val="none"/>
          <w:lang w:val="zh-CN" w:eastAsia="zh-CN"/>
        </w:rPr>
        <w:t>不论</w:t>
      </w:r>
      <w:r>
        <w:rPr>
          <w:rFonts w:hint="eastAsia" w:ascii="宋体" w:hAnsi="宋体" w:eastAsia="宋体" w:cs="宋体"/>
          <w:i w:val="0"/>
          <w:iCs w:val="0"/>
          <w:snapToGrid w:val="0"/>
          <w:color w:val="auto"/>
          <w:sz w:val="24"/>
          <w:szCs w:val="24"/>
          <w:highlight w:val="none"/>
          <w:lang w:val="en-US" w:eastAsia="zh-CN"/>
        </w:rPr>
        <w:t>磋商</w:t>
      </w:r>
      <w:r>
        <w:rPr>
          <w:rFonts w:hint="eastAsia" w:ascii="宋体" w:hAnsi="宋体" w:eastAsia="宋体" w:cs="宋体"/>
          <w:i w:val="0"/>
          <w:iCs w:val="0"/>
          <w:snapToGrid w:val="0"/>
          <w:color w:val="auto"/>
          <w:sz w:val="24"/>
          <w:szCs w:val="24"/>
          <w:highlight w:val="none"/>
          <w:lang w:val="zh-CN" w:eastAsia="zh-CN"/>
        </w:rPr>
        <w:t>的结果如何，</w:t>
      </w:r>
      <w:r>
        <w:rPr>
          <w:rFonts w:hint="eastAsia" w:ascii="宋体" w:hAnsi="宋体" w:eastAsia="宋体" w:cs="宋体"/>
          <w:i w:val="0"/>
          <w:iCs w:val="0"/>
          <w:snapToGrid w:val="0"/>
          <w:color w:val="auto"/>
          <w:sz w:val="24"/>
          <w:szCs w:val="24"/>
          <w:highlight w:val="none"/>
          <w:lang w:val="en-US" w:eastAsia="zh-CN"/>
        </w:rPr>
        <w:t>供应商</w:t>
      </w:r>
      <w:r>
        <w:rPr>
          <w:rFonts w:hint="eastAsia" w:ascii="宋体" w:hAnsi="宋体" w:eastAsia="宋体" w:cs="宋体"/>
          <w:i w:val="0"/>
          <w:iCs w:val="0"/>
          <w:snapToGrid w:val="0"/>
          <w:color w:val="auto"/>
          <w:sz w:val="24"/>
          <w:szCs w:val="24"/>
          <w:highlight w:val="none"/>
          <w:lang w:val="zh-CN" w:eastAsia="zh-CN"/>
        </w:rPr>
        <w:t>应承担所有与准备和参加</w:t>
      </w:r>
      <w:r>
        <w:rPr>
          <w:rFonts w:hint="eastAsia" w:ascii="宋体" w:hAnsi="宋体" w:eastAsia="宋体" w:cs="宋体"/>
          <w:i w:val="0"/>
          <w:iCs w:val="0"/>
          <w:snapToGrid w:val="0"/>
          <w:color w:val="auto"/>
          <w:sz w:val="24"/>
          <w:szCs w:val="24"/>
          <w:highlight w:val="none"/>
          <w:lang w:val="en-US" w:eastAsia="zh-CN"/>
        </w:rPr>
        <w:t>磋商</w:t>
      </w:r>
      <w:r>
        <w:rPr>
          <w:rFonts w:hint="eastAsia" w:ascii="宋体" w:hAnsi="宋体" w:eastAsia="宋体" w:cs="宋体"/>
          <w:i w:val="0"/>
          <w:iCs w:val="0"/>
          <w:snapToGrid w:val="0"/>
          <w:color w:val="auto"/>
          <w:sz w:val="24"/>
          <w:szCs w:val="24"/>
          <w:highlight w:val="none"/>
          <w:lang w:val="zh-CN" w:eastAsia="zh-CN"/>
        </w:rPr>
        <w:t>有关的费用。</w:t>
      </w:r>
    </w:p>
    <w:p w14:paraId="6DDD89BA">
      <w:pPr>
        <w:pStyle w:val="5"/>
        <w:keepNext w:val="0"/>
        <w:keepLines w:val="0"/>
        <w:pageBreakBefore w:val="0"/>
        <w:widowControl w:val="0"/>
        <w:numPr>
          <w:ilvl w:val="0"/>
          <w:numId w:val="0"/>
        </w:numPr>
        <w:kinsoku/>
        <w:wordWrap/>
        <w:overflowPunct/>
        <w:topLinePunct w:val="0"/>
        <w:autoSpaceDE/>
        <w:autoSpaceDN/>
        <w:bidi w:val="0"/>
        <w:adjustRightInd/>
        <w:snapToGrid/>
        <w:spacing w:before="80" w:after="80" w:line="240" w:lineRule="auto"/>
        <w:ind w:left="420" w:leftChars="0" w:hanging="420" w:firstLineChars="0"/>
        <w:textAlignment w:val="auto"/>
        <w:rPr>
          <w:rFonts w:hint="eastAsia" w:ascii="宋体" w:hAnsi="宋体" w:eastAsia="宋体" w:cs="宋体"/>
          <w:b/>
          <w:bCs/>
          <w:i w:val="0"/>
          <w:iCs w:val="0"/>
          <w:color w:val="auto"/>
          <w:kern w:val="2"/>
          <w:sz w:val="24"/>
          <w:szCs w:val="24"/>
          <w:highlight w:val="none"/>
          <w:lang w:val="en-US" w:eastAsia="zh-CN" w:bidi="ar-SA"/>
        </w:rPr>
      </w:pPr>
      <w:bookmarkStart w:id="46" w:name="_Toc161600293"/>
      <w:bookmarkStart w:id="47" w:name="_Toc140132761"/>
      <w:r>
        <w:rPr>
          <w:rFonts w:hint="eastAsia" w:ascii="宋体" w:hAnsi="宋体" w:eastAsia="宋体" w:cs="宋体"/>
          <w:b/>
          <w:bCs/>
          <w:i w:val="0"/>
          <w:iCs w:val="0"/>
          <w:color w:val="auto"/>
          <w:kern w:val="2"/>
          <w:sz w:val="24"/>
          <w:szCs w:val="24"/>
          <w:highlight w:val="none"/>
          <w:lang w:val="en-US" w:eastAsia="zh-CN" w:bidi="ar-SA"/>
        </w:rPr>
        <w:t>6.保密</w:t>
      </w:r>
      <w:bookmarkEnd w:id="46"/>
      <w:bookmarkEnd w:id="47"/>
    </w:p>
    <w:p w14:paraId="2E376810">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6.1</w:t>
      </w:r>
      <w:r>
        <w:rPr>
          <w:rFonts w:hint="eastAsia" w:ascii="宋体" w:hAnsi="宋体" w:eastAsia="宋体" w:cs="宋体"/>
          <w:i w:val="0"/>
          <w:iCs w:val="0"/>
          <w:color w:val="auto"/>
          <w:sz w:val="24"/>
          <w:szCs w:val="24"/>
          <w:highlight w:val="none"/>
          <w:lang w:val="en-US" w:eastAsia="zh-CN"/>
        </w:rPr>
        <w:t xml:space="preserve"> </w:t>
      </w:r>
      <w:r>
        <w:rPr>
          <w:rFonts w:hint="eastAsia" w:ascii="宋体" w:hAnsi="宋体" w:eastAsia="宋体" w:cs="宋体"/>
          <w:i w:val="0"/>
          <w:iCs w:val="0"/>
          <w:color w:val="auto"/>
          <w:sz w:val="24"/>
          <w:szCs w:val="24"/>
          <w:highlight w:val="none"/>
        </w:rPr>
        <w:t>参与磋商活动的各方应对竞争</w:t>
      </w:r>
      <w:r>
        <w:rPr>
          <w:rFonts w:hint="eastAsia" w:ascii="宋体" w:hAnsi="宋体" w:eastAsia="宋体" w:cs="宋体"/>
          <w:i w:val="0"/>
          <w:iCs w:val="0"/>
          <w:color w:val="auto"/>
          <w:sz w:val="24"/>
          <w:szCs w:val="24"/>
          <w:highlight w:val="none"/>
          <w:lang w:val="en-US" w:eastAsia="zh-CN"/>
        </w:rPr>
        <w:t>性</w:t>
      </w:r>
      <w:r>
        <w:rPr>
          <w:rFonts w:hint="eastAsia" w:ascii="宋体" w:hAnsi="宋体" w:eastAsia="宋体" w:cs="宋体"/>
          <w:i w:val="0"/>
          <w:iCs w:val="0"/>
          <w:color w:val="auto"/>
          <w:sz w:val="24"/>
          <w:szCs w:val="24"/>
          <w:highlight w:val="none"/>
        </w:rPr>
        <w:t>磋商文件和响应文件中的商业和技术等秘密保密，否则应承担相应的法律责任。</w:t>
      </w:r>
    </w:p>
    <w:p w14:paraId="23555BD0">
      <w:pPr>
        <w:pStyle w:val="57"/>
        <w:keepNext w:val="0"/>
        <w:keepLines w:val="0"/>
        <w:pageBreakBefore w:val="0"/>
        <w:widowControl w:val="0"/>
        <w:shd w:val="clear" w:color="auto" w:fill="auto"/>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i w:val="0"/>
          <w:iCs w:val="0"/>
          <w:color w:val="auto"/>
          <w:kern w:val="2"/>
          <w:sz w:val="24"/>
          <w:szCs w:val="24"/>
          <w:highlight w:val="none"/>
        </w:rPr>
      </w:pPr>
      <w:r>
        <w:rPr>
          <w:rFonts w:hint="eastAsia" w:ascii="宋体" w:hAnsi="宋体" w:eastAsia="宋体" w:cs="宋体"/>
          <w:i w:val="0"/>
          <w:iCs w:val="0"/>
          <w:color w:val="auto"/>
          <w:kern w:val="2"/>
          <w:sz w:val="24"/>
          <w:szCs w:val="24"/>
          <w:highlight w:val="none"/>
          <w:lang w:val="en-US" w:eastAsia="zh-CN"/>
        </w:rPr>
        <w:t>6</w:t>
      </w:r>
      <w:r>
        <w:rPr>
          <w:rFonts w:hint="eastAsia" w:ascii="宋体" w:hAnsi="宋体" w:eastAsia="宋体" w:cs="宋体"/>
          <w:i w:val="0"/>
          <w:iCs w:val="0"/>
          <w:color w:val="auto"/>
          <w:kern w:val="2"/>
          <w:sz w:val="24"/>
          <w:szCs w:val="24"/>
          <w:highlight w:val="none"/>
        </w:rPr>
        <w:t>.</w:t>
      </w:r>
      <w:r>
        <w:rPr>
          <w:rFonts w:hint="eastAsia" w:ascii="宋体" w:hAnsi="宋体" w:eastAsia="宋体" w:cs="宋体"/>
          <w:i w:val="0"/>
          <w:iCs w:val="0"/>
          <w:color w:val="auto"/>
          <w:kern w:val="2"/>
          <w:sz w:val="24"/>
          <w:szCs w:val="24"/>
          <w:highlight w:val="none"/>
          <w:lang w:val="en-US" w:eastAsia="zh-CN"/>
        </w:rPr>
        <w:t>2 供应商</w:t>
      </w:r>
      <w:r>
        <w:rPr>
          <w:rFonts w:hint="eastAsia" w:ascii="宋体" w:hAnsi="宋体" w:eastAsia="宋体" w:cs="宋体"/>
          <w:i w:val="0"/>
          <w:iCs w:val="0"/>
          <w:color w:val="auto"/>
          <w:kern w:val="2"/>
          <w:sz w:val="24"/>
          <w:szCs w:val="24"/>
          <w:highlight w:val="none"/>
        </w:rPr>
        <w:t>自领取竞争</w:t>
      </w:r>
      <w:r>
        <w:rPr>
          <w:rFonts w:hint="eastAsia" w:ascii="宋体" w:hAnsi="宋体" w:eastAsia="宋体" w:cs="宋体"/>
          <w:i w:val="0"/>
          <w:iCs w:val="0"/>
          <w:color w:val="auto"/>
          <w:kern w:val="2"/>
          <w:sz w:val="24"/>
          <w:szCs w:val="24"/>
          <w:highlight w:val="none"/>
          <w:lang w:val="en-US" w:eastAsia="zh-CN"/>
        </w:rPr>
        <w:t>性</w:t>
      </w:r>
      <w:r>
        <w:rPr>
          <w:rFonts w:hint="eastAsia" w:ascii="宋体" w:hAnsi="宋体" w:eastAsia="宋体" w:cs="宋体"/>
          <w:i w:val="0"/>
          <w:iCs w:val="0"/>
          <w:color w:val="auto"/>
          <w:kern w:val="2"/>
          <w:sz w:val="24"/>
          <w:szCs w:val="24"/>
          <w:highlight w:val="none"/>
        </w:rPr>
        <w:t>磋商文件之日起，须承担本竞争</w:t>
      </w:r>
      <w:r>
        <w:rPr>
          <w:rFonts w:hint="eastAsia" w:ascii="宋体" w:hAnsi="宋体" w:eastAsia="宋体" w:cs="宋体"/>
          <w:i w:val="0"/>
          <w:iCs w:val="0"/>
          <w:color w:val="auto"/>
          <w:kern w:val="2"/>
          <w:sz w:val="24"/>
          <w:szCs w:val="24"/>
          <w:highlight w:val="none"/>
          <w:lang w:val="en-US" w:eastAsia="zh-CN"/>
        </w:rPr>
        <w:t>性</w:t>
      </w:r>
      <w:r>
        <w:rPr>
          <w:rFonts w:hint="eastAsia" w:ascii="宋体" w:hAnsi="宋体" w:eastAsia="宋体" w:cs="宋体"/>
          <w:i w:val="0"/>
          <w:iCs w:val="0"/>
          <w:color w:val="auto"/>
          <w:kern w:val="2"/>
          <w:sz w:val="24"/>
          <w:szCs w:val="24"/>
          <w:highlight w:val="none"/>
        </w:rPr>
        <w:t>磋商项目保密义务，不得将因本次竞争</w:t>
      </w:r>
      <w:r>
        <w:rPr>
          <w:rFonts w:hint="eastAsia" w:ascii="宋体" w:hAnsi="宋体" w:eastAsia="宋体" w:cs="宋体"/>
          <w:i w:val="0"/>
          <w:iCs w:val="0"/>
          <w:color w:val="auto"/>
          <w:kern w:val="2"/>
          <w:sz w:val="24"/>
          <w:szCs w:val="24"/>
          <w:highlight w:val="none"/>
          <w:lang w:val="en-US" w:eastAsia="zh-CN"/>
        </w:rPr>
        <w:t>性</w:t>
      </w:r>
      <w:r>
        <w:rPr>
          <w:rFonts w:hint="eastAsia" w:ascii="宋体" w:hAnsi="宋体" w:eastAsia="宋体" w:cs="宋体"/>
          <w:i w:val="0"/>
          <w:iCs w:val="0"/>
          <w:color w:val="auto"/>
          <w:kern w:val="2"/>
          <w:sz w:val="24"/>
          <w:szCs w:val="24"/>
          <w:highlight w:val="none"/>
        </w:rPr>
        <w:t>磋商获得的信息向第三人外传。由采购人向</w:t>
      </w:r>
      <w:r>
        <w:rPr>
          <w:rFonts w:hint="eastAsia" w:ascii="宋体" w:hAnsi="宋体" w:eastAsia="宋体" w:cs="宋体"/>
          <w:i w:val="0"/>
          <w:iCs w:val="0"/>
          <w:color w:val="auto"/>
          <w:kern w:val="2"/>
          <w:sz w:val="24"/>
          <w:szCs w:val="24"/>
          <w:highlight w:val="none"/>
          <w:lang w:val="en-US" w:eastAsia="zh-CN"/>
        </w:rPr>
        <w:t>供应商</w:t>
      </w:r>
      <w:r>
        <w:rPr>
          <w:rFonts w:hint="eastAsia" w:ascii="宋体" w:hAnsi="宋体" w:eastAsia="宋体" w:cs="宋体"/>
          <w:i w:val="0"/>
          <w:iCs w:val="0"/>
          <w:color w:val="auto"/>
          <w:kern w:val="2"/>
          <w:sz w:val="24"/>
          <w:szCs w:val="24"/>
          <w:highlight w:val="none"/>
        </w:rPr>
        <w:t>提供的图纸、详细资料、样品、模型、模件和所有</w:t>
      </w:r>
      <w:r>
        <w:rPr>
          <w:rFonts w:hint="eastAsia" w:ascii="宋体" w:hAnsi="宋体" w:eastAsia="宋体" w:cs="宋体"/>
          <w:i w:val="0"/>
          <w:iCs w:val="0"/>
          <w:color w:val="auto"/>
          <w:kern w:val="2"/>
          <w:sz w:val="24"/>
          <w:szCs w:val="24"/>
          <w:highlight w:val="none"/>
          <w:lang w:eastAsia="zh-CN"/>
        </w:rPr>
        <w:t>其他</w:t>
      </w:r>
      <w:r>
        <w:rPr>
          <w:rFonts w:hint="eastAsia" w:ascii="宋体" w:hAnsi="宋体" w:eastAsia="宋体" w:cs="宋体"/>
          <w:i w:val="0"/>
          <w:iCs w:val="0"/>
          <w:color w:val="auto"/>
          <w:kern w:val="2"/>
          <w:sz w:val="24"/>
          <w:szCs w:val="24"/>
          <w:highlight w:val="none"/>
        </w:rPr>
        <w:t>资料，被视为保密资料，仅被用于它所规定的用途。除非得到采购人的同意，不能向任何第三方透露。竞争</w:t>
      </w:r>
      <w:r>
        <w:rPr>
          <w:rFonts w:hint="eastAsia" w:ascii="宋体" w:hAnsi="宋体" w:eastAsia="宋体" w:cs="宋体"/>
          <w:i w:val="0"/>
          <w:iCs w:val="0"/>
          <w:color w:val="auto"/>
          <w:kern w:val="2"/>
          <w:sz w:val="24"/>
          <w:szCs w:val="24"/>
          <w:highlight w:val="none"/>
          <w:lang w:val="en-US" w:eastAsia="zh-CN"/>
        </w:rPr>
        <w:t>性</w:t>
      </w:r>
      <w:r>
        <w:rPr>
          <w:rFonts w:hint="eastAsia" w:ascii="宋体" w:hAnsi="宋体" w:eastAsia="宋体" w:cs="宋体"/>
          <w:i w:val="0"/>
          <w:iCs w:val="0"/>
          <w:color w:val="auto"/>
          <w:kern w:val="2"/>
          <w:sz w:val="24"/>
          <w:szCs w:val="24"/>
          <w:highlight w:val="none"/>
        </w:rPr>
        <w:t>磋商结束后，应采购人要求，</w:t>
      </w:r>
      <w:r>
        <w:rPr>
          <w:rFonts w:hint="eastAsia" w:ascii="宋体" w:hAnsi="宋体" w:eastAsia="宋体" w:cs="宋体"/>
          <w:i w:val="0"/>
          <w:iCs w:val="0"/>
          <w:color w:val="auto"/>
          <w:kern w:val="2"/>
          <w:sz w:val="24"/>
          <w:szCs w:val="24"/>
          <w:highlight w:val="none"/>
          <w:lang w:val="en-US" w:eastAsia="zh-CN"/>
        </w:rPr>
        <w:t>供应商</w:t>
      </w:r>
      <w:r>
        <w:rPr>
          <w:rFonts w:hint="eastAsia" w:ascii="宋体" w:hAnsi="宋体" w:eastAsia="宋体" w:cs="宋体"/>
          <w:i w:val="0"/>
          <w:iCs w:val="0"/>
          <w:color w:val="auto"/>
          <w:kern w:val="2"/>
          <w:sz w:val="24"/>
          <w:szCs w:val="24"/>
          <w:highlight w:val="none"/>
        </w:rPr>
        <w:t>应归还所有从采购人处获得的保密资料。</w:t>
      </w:r>
    </w:p>
    <w:p w14:paraId="67907078">
      <w:pPr>
        <w:pStyle w:val="57"/>
        <w:keepNext w:val="0"/>
        <w:keepLines w:val="0"/>
        <w:pageBreakBefore w:val="0"/>
        <w:widowControl w:val="0"/>
        <w:shd w:val="clear" w:color="auto" w:fill="auto"/>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i w:val="0"/>
          <w:iCs w:val="0"/>
          <w:color w:val="auto"/>
          <w:kern w:val="2"/>
          <w:sz w:val="24"/>
          <w:szCs w:val="24"/>
          <w:highlight w:val="none"/>
        </w:rPr>
      </w:pPr>
      <w:r>
        <w:rPr>
          <w:rFonts w:hint="eastAsia" w:ascii="宋体" w:hAnsi="宋体" w:eastAsia="宋体" w:cs="宋体"/>
          <w:i w:val="0"/>
          <w:iCs w:val="0"/>
          <w:color w:val="auto"/>
          <w:kern w:val="2"/>
          <w:sz w:val="24"/>
          <w:szCs w:val="24"/>
          <w:highlight w:val="none"/>
          <w:lang w:val="en-US" w:eastAsia="zh-CN"/>
        </w:rPr>
        <w:t>6</w:t>
      </w:r>
      <w:r>
        <w:rPr>
          <w:rFonts w:hint="eastAsia" w:ascii="宋体" w:hAnsi="宋体" w:eastAsia="宋体" w:cs="宋体"/>
          <w:i w:val="0"/>
          <w:iCs w:val="0"/>
          <w:color w:val="auto"/>
          <w:kern w:val="2"/>
          <w:sz w:val="24"/>
          <w:szCs w:val="24"/>
          <w:highlight w:val="none"/>
        </w:rPr>
        <w:t>.</w:t>
      </w:r>
      <w:r>
        <w:rPr>
          <w:rFonts w:hint="eastAsia" w:ascii="宋体" w:hAnsi="宋体" w:eastAsia="宋体" w:cs="宋体"/>
          <w:i w:val="0"/>
          <w:iCs w:val="0"/>
          <w:color w:val="auto"/>
          <w:kern w:val="2"/>
          <w:sz w:val="24"/>
          <w:szCs w:val="24"/>
          <w:highlight w:val="none"/>
          <w:lang w:val="en-US" w:eastAsia="zh-CN"/>
        </w:rPr>
        <w:t xml:space="preserve">3 </w:t>
      </w:r>
      <w:r>
        <w:rPr>
          <w:rFonts w:hint="eastAsia" w:ascii="宋体" w:hAnsi="宋体" w:eastAsia="宋体" w:cs="宋体"/>
          <w:i w:val="0"/>
          <w:iCs w:val="0"/>
          <w:color w:val="auto"/>
          <w:kern w:val="2"/>
          <w:sz w:val="24"/>
          <w:szCs w:val="24"/>
          <w:highlight w:val="none"/>
        </w:rPr>
        <w:t>采购代理机构有权将</w:t>
      </w:r>
      <w:r>
        <w:rPr>
          <w:rFonts w:hint="eastAsia" w:ascii="宋体" w:hAnsi="宋体" w:eastAsia="宋体" w:cs="宋体"/>
          <w:i w:val="0"/>
          <w:iCs w:val="0"/>
          <w:color w:val="auto"/>
          <w:kern w:val="2"/>
          <w:sz w:val="24"/>
          <w:szCs w:val="24"/>
          <w:highlight w:val="none"/>
          <w:lang w:val="en-US" w:eastAsia="zh-CN"/>
        </w:rPr>
        <w:t>供应商</w:t>
      </w:r>
      <w:r>
        <w:rPr>
          <w:rFonts w:hint="eastAsia" w:ascii="宋体" w:hAnsi="宋体" w:eastAsia="宋体" w:cs="宋体"/>
          <w:i w:val="0"/>
          <w:iCs w:val="0"/>
          <w:color w:val="auto"/>
          <w:kern w:val="2"/>
          <w:sz w:val="24"/>
          <w:szCs w:val="24"/>
          <w:highlight w:val="none"/>
        </w:rPr>
        <w:t>提供的所有资料向有关政府部门或竞争</w:t>
      </w:r>
      <w:r>
        <w:rPr>
          <w:rFonts w:hint="eastAsia" w:ascii="宋体" w:hAnsi="宋体" w:eastAsia="宋体" w:cs="宋体"/>
          <w:i w:val="0"/>
          <w:iCs w:val="0"/>
          <w:color w:val="auto"/>
          <w:kern w:val="2"/>
          <w:sz w:val="24"/>
          <w:szCs w:val="24"/>
          <w:highlight w:val="none"/>
          <w:lang w:val="en-US" w:eastAsia="zh-CN"/>
        </w:rPr>
        <w:t>性</w:t>
      </w:r>
      <w:r>
        <w:rPr>
          <w:rFonts w:hint="eastAsia" w:ascii="宋体" w:hAnsi="宋体" w:eastAsia="宋体" w:cs="宋体"/>
          <w:i w:val="0"/>
          <w:iCs w:val="0"/>
          <w:color w:val="auto"/>
          <w:kern w:val="2"/>
          <w:sz w:val="24"/>
          <w:szCs w:val="24"/>
          <w:highlight w:val="none"/>
        </w:rPr>
        <w:t>磋商的有关人员披露。</w:t>
      </w:r>
    </w:p>
    <w:p w14:paraId="232A1AD6">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kern w:val="2"/>
          <w:sz w:val="24"/>
          <w:szCs w:val="24"/>
          <w:highlight w:val="none"/>
          <w:lang w:val="en-US" w:eastAsia="zh-CN"/>
        </w:rPr>
        <w:t>6</w:t>
      </w:r>
      <w:r>
        <w:rPr>
          <w:rFonts w:hint="eastAsia" w:ascii="宋体" w:hAnsi="宋体" w:eastAsia="宋体" w:cs="宋体"/>
          <w:i w:val="0"/>
          <w:iCs w:val="0"/>
          <w:color w:val="auto"/>
          <w:kern w:val="2"/>
          <w:sz w:val="24"/>
          <w:szCs w:val="24"/>
          <w:highlight w:val="none"/>
        </w:rPr>
        <w:t>.</w:t>
      </w:r>
      <w:r>
        <w:rPr>
          <w:rFonts w:hint="eastAsia" w:ascii="宋体" w:hAnsi="宋体" w:eastAsia="宋体" w:cs="宋体"/>
          <w:i w:val="0"/>
          <w:iCs w:val="0"/>
          <w:color w:val="auto"/>
          <w:kern w:val="2"/>
          <w:sz w:val="24"/>
          <w:szCs w:val="24"/>
          <w:highlight w:val="none"/>
          <w:lang w:val="en-US" w:eastAsia="zh-CN"/>
        </w:rPr>
        <w:t>4 各级人民政府财政部门对政府采购活动进行监督检查，有权查阅、复制有关文件、资料，相关单位和人员应当予以配合</w:t>
      </w:r>
      <w:r>
        <w:rPr>
          <w:rFonts w:hint="eastAsia" w:ascii="宋体" w:hAnsi="宋体" w:eastAsia="宋体" w:cs="宋体"/>
          <w:i w:val="0"/>
          <w:iCs w:val="0"/>
          <w:color w:val="auto"/>
          <w:kern w:val="2"/>
          <w:sz w:val="24"/>
          <w:szCs w:val="24"/>
          <w:highlight w:val="none"/>
        </w:rPr>
        <w:t>。</w:t>
      </w:r>
      <w:r>
        <w:rPr>
          <w:rFonts w:hint="eastAsia" w:ascii="宋体" w:hAnsi="宋体" w:eastAsia="宋体" w:cs="宋体"/>
          <w:i w:val="0"/>
          <w:iCs w:val="0"/>
          <w:color w:val="auto"/>
          <w:sz w:val="24"/>
          <w:szCs w:val="24"/>
          <w:highlight w:val="none"/>
        </w:rPr>
        <w:t xml:space="preserve"> </w:t>
      </w:r>
    </w:p>
    <w:p w14:paraId="47EBAEFC">
      <w:pPr>
        <w:pStyle w:val="5"/>
        <w:keepNext w:val="0"/>
        <w:keepLines w:val="0"/>
        <w:pageBreakBefore w:val="0"/>
        <w:widowControl w:val="0"/>
        <w:numPr>
          <w:ilvl w:val="0"/>
          <w:numId w:val="0"/>
        </w:numPr>
        <w:kinsoku/>
        <w:wordWrap/>
        <w:overflowPunct/>
        <w:topLinePunct w:val="0"/>
        <w:autoSpaceDE/>
        <w:autoSpaceDN/>
        <w:bidi w:val="0"/>
        <w:adjustRightInd/>
        <w:snapToGrid/>
        <w:spacing w:before="80" w:after="80" w:line="240" w:lineRule="auto"/>
        <w:ind w:left="420" w:leftChars="0" w:hanging="420" w:firstLineChars="0"/>
        <w:textAlignment w:val="auto"/>
        <w:rPr>
          <w:rFonts w:hint="eastAsia" w:ascii="宋体" w:hAnsi="宋体" w:eastAsia="宋体" w:cs="宋体"/>
          <w:b/>
          <w:bCs/>
          <w:i w:val="0"/>
          <w:iCs w:val="0"/>
          <w:color w:val="auto"/>
          <w:kern w:val="2"/>
          <w:sz w:val="24"/>
          <w:szCs w:val="24"/>
          <w:highlight w:val="none"/>
          <w:lang w:val="en-US" w:eastAsia="zh-CN" w:bidi="ar-SA"/>
        </w:rPr>
      </w:pPr>
      <w:bookmarkStart w:id="48" w:name="_Toc140132762"/>
      <w:bookmarkStart w:id="49" w:name="_Toc161600294"/>
      <w:r>
        <w:rPr>
          <w:rFonts w:hint="eastAsia" w:ascii="宋体" w:hAnsi="宋体" w:eastAsia="宋体" w:cs="宋体"/>
          <w:b/>
          <w:bCs/>
          <w:i w:val="0"/>
          <w:iCs w:val="0"/>
          <w:color w:val="auto"/>
          <w:kern w:val="2"/>
          <w:sz w:val="24"/>
          <w:szCs w:val="24"/>
          <w:highlight w:val="none"/>
          <w:lang w:val="en-US" w:eastAsia="zh-CN" w:bidi="ar-SA"/>
        </w:rPr>
        <w:t>7.语言文字</w:t>
      </w:r>
      <w:bookmarkEnd w:id="48"/>
      <w:bookmarkEnd w:id="49"/>
    </w:p>
    <w:p w14:paraId="3121AAFC">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7.1竞争</w:t>
      </w:r>
      <w:r>
        <w:rPr>
          <w:rFonts w:hint="eastAsia" w:ascii="宋体" w:hAnsi="宋体" w:eastAsia="宋体" w:cs="宋体"/>
          <w:i w:val="0"/>
          <w:iCs w:val="0"/>
          <w:color w:val="auto"/>
          <w:sz w:val="24"/>
          <w:szCs w:val="24"/>
          <w:highlight w:val="none"/>
          <w:lang w:val="en-US" w:eastAsia="zh-CN"/>
        </w:rPr>
        <w:t>性</w:t>
      </w:r>
      <w:r>
        <w:rPr>
          <w:rFonts w:hint="eastAsia" w:ascii="宋体" w:hAnsi="宋体" w:eastAsia="宋体" w:cs="宋体"/>
          <w:i w:val="0"/>
          <w:iCs w:val="0"/>
          <w:color w:val="auto"/>
          <w:sz w:val="24"/>
          <w:szCs w:val="24"/>
          <w:highlight w:val="none"/>
        </w:rPr>
        <w:t>磋商</w:t>
      </w:r>
      <w:r>
        <w:rPr>
          <w:rFonts w:hint="eastAsia" w:ascii="宋体" w:hAnsi="宋体" w:eastAsia="宋体" w:cs="宋体"/>
          <w:i w:val="0"/>
          <w:iCs w:val="0"/>
          <w:color w:val="auto"/>
          <w:sz w:val="24"/>
          <w:szCs w:val="24"/>
          <w:highlight w:val="none"/>
          <w:lang w:val="en-US" w:eastAsia="zh-CN"/>
        </w:rPr>
        <w:t>文件及响应</w:t>
      </w:r>
      <w:r>
        <w:rPr>
          <w:rFonts w:hint="eastAsia" w:ascii="宋体" w:hAnsi="宋体" w:eastAsia="宋体" w:cs="宋体"/>
          <w:i w:val="0"/>
          <w:iCs w:val="0"/>
          <w:color w:val="auto"/>
          <w:sz w:val="24"/>
          <w:szCs w:val="24"/>
          <w:highlight w:val="none"/>
        </w:rPr>
        <w:t>文件使用的语言文字为中文。专用术语使用外文的，应附有中文注释。</w:t>
      </w:r>
      <w:r>
        <w:rPr>
          <w:rFonts w:hint="eastAsia" w:ascii="宋体" w:hAnsi="宋体" w:eastAsia="宋体" w:cs="宋体"/>
          <w:i w:val="0"/>
          <w:iCs w:val="0"/>
          <w:color w:val="auto"/>
          <w:sz w:val="24"/>
          <w:szCs w:val="24"/>
          <w:highlight w:val="none"/>
          <w:lang w:val="en-US" w:eastAsia="zh-CN"/>
        </w:rPr>
        <w:t>供应商提交的支持资料和已印制的文献可以用外文，但相应内容应附有中文翻译本，在解释响应文件时以中文翻译本为准。未附中文翻译本或翻译本中文内容明显与外文内容不一致的，其不利后果由供应商自行承担。</w:t>
      </w:r>
    </w:p>
    <w:p w14:paraId="5670762F">
      <w:pPr>
        <w:pStyle w:val="5"/>
        <w:keepNext w:val="0"/>
        <w:keepLines w:val="0"/>
        <w:pageBreakBefore w:val="0"/>
        <w:widowControl w:val="0"/>
        <w:numPr>
          <w:ilvl w:val="0"/>
          <w:numId w:val="0"/>
        </w:numPr>
        <w:kinsoku/>
        <w:wordWrap/>
        <w:overflowPunct/>
        <w:topLinePunct w:val="0"/>
        <w:autoSpaceDE/>
        <w:autoSpaceDN/>
        <w:bidi w:val="0"/>
        <w:adjustRightInd/>
        <w:snapToGrid/>
        <w:spacing w:before="80" w:after="80" w:line="240" w:lineRule="auto"/>
        <w:ind w:left="420" w:leftChars="0" w:hanging="420" w:firstLineChars="0"/>
        <w:textAlignment w:val="auto"/>
        <w:rPr>
          <w:rFonts w:hint="eastAsia" w:ascii="宋体" w:hAnsi="宋体" w:eastAsia="宋体" w:cs="宋体"/>
          <w:b/>
          <w:bCs/>
          <w:i w:val="0"/>
          <w:iCs w:val="0"/>
          <w:color w:val="auto"/>
          <w:kern w:val="2"/>
          <w:sz w:val="24"/>
          <w:szCs w:val="24"/>
          <w:highlight w:val="none"/>
          <w:lang w:val="en-US" w:eastAsia="zh-CN" w:bidi="ar-SA"/>
        </w:rPr>
      </w:pPr>
      <w:bookmarkStart w:id="50" w:name="_Toc161600295"/>
      <w:bookmarkStart w:id="51" w:name="_Toc140132763"/>
      <w:r>
        <w:rPr>
          <w:rFonts w:hint="eastAsia" w:ascii="宋体" w:hAnsi="宋体" w:eastAsia="宋体" w:cs="宋体"/>
          <w:b/>
          <w:bCs/>
          <w:i w:val="0"/>
          <w:iCs w:val="0"/>
          <w:color w:val="auto"/>
          <w:kern w:val="2"/>
          <w:sz w:val="24"/>
          <w:szCs w:val="24"/>
          <w:highlight w:val="none"/>
          <w:lang w:val="en-US" w:eastAsia="zh-CN" w:bidi="ar-SA"/>
        </w:rPr>
        <w:t>8.计量单位</w:t>
      </w:r>
      <w:bookmarkEnd w:id="50"/>
      <w:bookmarkEnd w:id="51"/>
    </w:p>
    <w:p w14:paraId="0DC441D4">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8.1所有计量均采用中华人民共和国法定计量单位。</w:t>
      </w:r>
    </w:p>
    <w:p w14:paraId="37E10A03">
      <w:pPr>
        <w:pStyle w:val="5"/>
        <w:keepNext w:val="0"/>
        <w:keepLines w:val="0"/>
        <w:pageBreakBefore w:val="0"/>
        <w:widowControl w:val="0"/>
        <w:numPr>
          <w:ilvl w:val="0"/>
          <w:numId w:val="0"/>
        </w:numPr>
        <w:kinsoku/>
        <w:wordWrap/>
        <w:overflowPunct/>
        <w:topLinePunct w:val="0"/>
        <w:autoSpaceDE/>
        <w:autoSpaceDN/>
        <w:bidi w:val="0"/>
        <w:adjustRightInd/>
        <w:snapToGrid/>
        <w:spacing w:before="80" w:after="80" w:line="240" w:lineRule="auto"/>
        <w:ind w:left="420" w:leftChars="0" w:hanging="420" w:firstLineChars="0"/>
        <w:textAlignment w:val="auto"/>
        <w:rPr>
          <w:rFonts w:hint="eastAsia" w:ascii="宋体" w:hAnsi="宋体" w:eastAsia="宋体" w:cs="宋体"/>
          <w:b/>
          <w:bCs/>
          <w:i w:val="0"/>
          <w:iCs w:val="0"/>
          <w:color w:val="auto"/>
          <w:kern w:val="2"/>
          <w:sz w:val="24"/>
          <w:szCs w:val="24"/>
          <w:highlight w:val="none"/>
          <w:lang w:val="en-US" w:eastAsia="zh-CN" w:bidi="ar-SA"/>
        </w:rPr>
      </w:pPr>
      <w:bookmarkStart w:id="52" w:name="_Toc140132764"/>
      <w:bookmarkStart w:id="53" w:name="_Toc161600296"/>
      <w:r>
        <w:rPr>
          <w:rFonts w:hint="eastAsia" w:ascii="宋体" w:hAnsi="宋体" w:eastAsia="宋体" w:cs="宋体"/>
          <w:b/>
          <w:bCs/>
          <w:i w:val="0"/>
          <w:iCs w:val="0"/>
          <w:color w:val="auto"/>
          <w:kern w:val="2"/>
          <w:sz w:val="24"/>
          <w:szCs w:val="24"/>
          <w:highlight w:val="none"/>
          <w:lang w:val="en-US" w:eastAsia="zh-CN" w:bidi="ar-SA"/>
        </w:rPr>
        <w:t>9.现场考察和答疑会</w:t>
      </w:r>
      <w:bookmarkEnd w:id="52"/>
      <w:bookmarkEnd w:id="53"/>
    </w:p>
    <w:p w14:paraId="70E7733A">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color w:val="auto"/>
          <w:sz w:val="24"/>
          <w:szCs w:val="24"/>
          <w:highlight w:val="none"/>
        </w:rPr>
      </w:pPr>
      <w:bookmarkStart w:id="54" w:name="_Hlk143529198"/>
      <w:r>
        <w:rPr>
          <w:rFonts w:hint="eastAsia" w:ascii="宋体" w:hAnsi="宋体" w:eastAsia="宋体" w:cs="宋体"/>
          <w:i w:val="0"/>
          <w:iCs w:val="0"/>
          <w:color w:val="auto"/>
          <w:sz w:val="24"/>
          <w:szCs w:val="24"/>
          <w:highlight w:val="none"/>
        </w:rPr>
        <w:t xml:space="preserve">9.1 “供应商须知前附表”规定组织现场考察的，采购代理机构按“供应商须知前附表”规定的时间、地点组织供应商项目现场考察。 </w:t>
      </w:r>
    </w:p>
    <w:p w14:paraId="473C15DA">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9.2 供应商现场考察发生的费用自理。</w:t>
      </w:r>
    </w:p>
    <w:p w14:paraId="417B1E0B">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9.3 在现场考察中，因供应商自身原因发生的人员伤亡和财产损失，由供应商自行负责。</w:t>
      </w:r>
    </w:p>
    <w:p w14:paraId="2BF7B5CD">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9.4 采购人在现场考察中介绍的项目场地和相关的周边环境情况，仅供供应商在编制响应文件时参考，采购人和采购代理机构不对供应商据此作出的判断和决策负责。</w:t>
      </w:r>
    </w:p>
    <w:p w14:paraId="521951E4">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9.5 “供应商须知前附表”规定召开答疑会的，采购代理机构按“供应商须知前附表”规定的时间和地点召开答疑会，澄清供应商提出的问题。</w:t>
      </w:r>
    </w:p>
    <w:p w14:paraId="7BC8ED9F">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9.6 由于未参加现场考察或未参加答疑会而导致对项目实际情况不了解，影响响应文件编制、磋商报价准确性、综合因素响应不全面等问题的，由供应商自行承担不利评审后果。</w:t>
      </w:r>
    </w:p>
    <w:bookmarkEnd w:id="54"/>
    <w:p w14:paraId="020D8BF4">
      <w:pPr>
        <w:pStyle w:val="5"/>
        <w:keepNext w:val="0"/>
        <w:keepLines w:val="0"/>
        <w:pageBreakBefore w:val="0"/>
        <w:widowControl w:val="0"/>
        <w:numPr>
          <w:ilvl w:val="0"/>
          <w:numId w:val="0"/>
        </w:numPr>
        <w:kinsoku/>
        <w:wordWrap/>
        <w:overflowPunct/>
        <w:topLinePunct w:val="0"/>
        <w:autoSpaceDE/>
        <w:autoSpaceDN/>
        <w:bidi w:val="0"/>
        <w:adjustRightInd/>
        <w:snapToGrid/>
        <w:spacing w:before="80" w:after="80" w:line="240" w:lineRule="auto"/>
        <w:ind w:left="420" w:leftChars="0" w:hanging="420" w:firstLineChars="0"/>
        <w:textAlignment w:val="auto"/>
        <w:rPr>
          <w:rFonts w:hint="eastAsia" w:ascii="宋体" w:hAnsi="宋体" w:eastAsia="宋体" w:cs="宋体"/>
          <w:b/>
          <w:bCs/>
          <w:i w:val="0"/>
          <w:iCs w:val="0"/>
          <w:color w:val="auto"/>
          <w:kern w:val="2"/>
          <w:sz w:val="24"/>
          <w:szCs w:val="24"/>
          <w:highlight w:val="none"/>
          <w:lang w:val="en-US" w:eastAsia="zh-CN" w:bidi="ar-SA"/>
        </w:rPr>
      </w:pPr>
      <w:bookmarkStart w:id="55" w:name="_Toc161600298"/>
      <w:bookmarkStart w:id="56" w:name="_Toc155185858"/>
      <w:r>
        <w:rPr>
          <w:rFonts w:hint="eastAsia" w:ascii="宋体" w:hAnsi="宋体" w:eastAsia="宋体" w:cs="宋体"/>
          <w:b/>
          <w:bCs/>
          <w:i w:val="0"/>
          <w:iCs w:val="0"/>
          <w:color w:val="auto"/>
          <w:kern w:val="2"/>
          <w:sz w:val="24"/>
          <w:szCs w:val="24"/>
          <w:highlight w:val="none"/>
          <w:lang w:val="en-US" w:eastAsia="zh-CN" w:bidi="ar-SA"/>
        </w:rPr>
        <w:t>10.电子标说明</w:t>
      </w:r>
      <w:bookmarkEnd w:id="55"/>
      <w:bookmarkEnd w:id="56"/>
    </w:p>
    <w:p w14:paraId="410950EB">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10.1 本次采购采用电子交易方式，电子交易平台为</w:t>
      </w:r>
      <w:r>
        <w:rPr>
          <w:rFonts w:hint="eastAsia" w:cs="宋体"/>
          <w:i w:val="0"/>
          <w:iCs w:val="0"/>
          <w:color w:val="auto"/>
          <w:sz w:val="24"/>
          <w:szCs w:val="24"/>
          <w:highlight w:val="none"/>
          <w:lang w:val="en-US" w:eastAsia="zh-CN"/>
        </w:rPr>
        <w:t>新疆政府采购</w:t>
      </w:r>
      <w:r>
        <w:rPr>
          <w:rFonts w:hint="eastAsia" w:ascii="宋体" w:hAnsi="宋体" w:eastAsia="宋体" w:cs="宋体"/>
          <w:i w:val="0"/>
          <w:iCs w:val="0"/>
          <w:color w:val="auto"/>
          <w:sz w:val="24"/>
          <w:szCs w:val="24"/>
          <w:highlight w:val="none"/>
          <w:lang w:val="en-US" w:eastAsia="zh-CN"/>
        </w:rPr>
        <w:t>电子交易云平台（网址：https://www.zcygov.cn/）。供应商参与本项目电子交易活动前，</w:t>
      </w:r>
      <w:r>
        <w:rPr>
          <w:rFonts w:hint="eastAsia" w:ascii="宋体" w:hAnsi="宋体" w:eastAsia="宋体" w:cs="宋体"/>
          <w:i w:val="0"/>
          <w:iCs w:val="0"/>
          <w:color w:val="auto"/>
          <w:sz w:val="24"/>
          <w:szCs w:val="24"/>
          <w:highlight w:val="none"/>
        </w:rPr>
        <w:t>应</w:t>
      </w:r>
      <w:r>
        <w:rPr>
          <w:rFonts w:hint="eastAsia" w:ascii="宋体" w:hAnsi="宋体" w:eastAsia="宋体" w:cs="宋体"/>
          <w:i w:val="0"/>
          <w:iCs w:val="0"/>
          <w:color w:val="auto"/>
          <w:sz w:val="24"/>
          <w:szCs w:val="24"/>
          <w:highlight w:val="none"/>
          <w:lang w:val="en-US" w:eastAsia="zh-CN"/>
        </w:rPr>
        <w:t>在</w:t>
      </w:r>
      <w:r>
        <w:rPr>
          <w:rFonts w:hint="eastAsia" w:ascii="宋体" w:hAnsi="宋体" w:eastAsia="宋体" w:cs="宋体"/>
          <w:i w:val="0"/>
          <w:iCs w:val="0"/>
          <w:color w:val="auto"/>
          <w:sz w:val="24"/>
          <w:szCs w:val="24"/>
          <w:highlight w:val="none"/>
        </w:rPr>
        <w:t>政</w:t>
      </w:r>
      <w:r>
        <w:rPr>
          <w:rFonts w:hint="eastAsia" w:ascii="宋体" w:hAnsi="宋体" w:eastAsia="宋体" w:cs="宋体"/>
          <w:i w:val="0"/>
          <w:iCs w:val="0"/>
          <w:color w:val="auto"/>
          <w:sz w:val="24"/>
          <w:szCs w:val="24"/>
          <w:highlight w:val="none"/>
          <w:lang w:val="en-US" w:eastAsia="zh-CN"/>
        </w:rPr>
        <w:t>采</w:t>
      </w:r>
      <w:r>
        <w:rPr>
          <w:rFonts w:hint="eastAsia" w:ascii="宋体" w:hAnsi="宋体" w:eastAsia="宋体" w:cs="宋体"/>
          <w:i w:val="0"/>
          <w:iCs w:val="0"/>
          <w:color w:val="auto"/>
          <w:sz w:val="24"/>
          <w:szCs w:val="24"/>
          <w:highlight w:val="none"/>
          <w:lang w:val="en-US"/>
        </w:rPr>
        <w:t>云</w:t>
      </w:r>
      <w:r>
        <w:rPr>
          <w:rFonts w:hint="eastAsia" w:ascii="宋体" w:hAnsi="宋体" w:eastAsia="宋体" w:cs="宋体"/>
          <w:i w:val="0"/>
          <w:iCs w:val="0"/>
          <w:color w:val="auto"/>
          <w:sz w:val="24"/>
          <w:szCs w:val="24"/>
          <w:highlight w:val="none"/>
        </w:rPr>
        <w:t>平台</w:t>
      </w:r>
      <w:r>
        <w:rPr>
          <w:rFonts w:hint="eastAsia" w:ascii="宋体" w:hAnsi="宋体" w:eastAsia="宋体" w:cs="宋体"/>
          <w:i w:val="0"/>
          <w:iCs w:val="0"/>
          <w:color w:val="auto"/>
          <w:sz w:val="24"/>
          <w:szCs w:val="24"/>
          <w:highlight w:val="none"/>
          <w:lang w:val="en-US" w:eastAsia="zh-CN"/>
        </w:rPr>
        <w:t>上</w:t>
      </w:r>
      <w:r>
        <w:rPr>
          <w:rFonts w:hint="eastAsia" w:ascii="宋体" w:hAnsi="宋体" w:eastAsia="宋体" w:cs="宋体"/>
          <w:i w:val="0"/>
          <w:iCs w:val="0"/>
          <w:color w:val="auto"/>
          <w:sz w:val="24"/>
          <w:szCs w:val="24"/>
          <w:highlight w:val="none"/>
        </w:rPr>
        <w:t>注册</w:t>
      </w:r>
      <w:r>
        <w:rPr>
          <w:rFonts w:hint="eastAsia" w:ascii="宋体" w:hAnsi="宋体" w:eastAsia="宋体" w:cs="宋体"/>
          <w:i w:val="0"/>
          <w:iCs w:val="0"/>
          <w:color w:val="auto"/>
          <w:sz w:val="24"/>
          <w:szCs w:val="24"/>
          <w:highlight w:val="none"/>
          <w:lang w:val="en-US" w:eastAsia="zh-CN"/>
        </w:rPr>
        <w:t>供应商账号</w:t>
      </w: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val="en-US" w:eastAsia="zh-CN"/>
        </w:rPr>
        <w:t>编制电子响应文件前还需申领CA证书并绑定</w:t>
      </w:r>
      <w:r>
        <w:rPr>
          <w:rFonts w:hint="eastAsia" w:cs="宋体"/>
          <w:i w:val="0"/>
          <w:iCs w:val="0"/>
          <w:color w:val="auto"/>
          <w:sz w:val="24"/>
          <w:szCs w:val="24"/>
          <w:highlight w:val="none"/>
          <w:lang w:val="en-US" w:eastAsia="zh-CN"/>
        </w:rPr>
        <w:t>账号</w:t>
      </w:r>
      <w:r>
        <w:rPr>
          <w:rFonts w:hint="eastAsia" w:ascii="宋体" w:hAnsi="宋体" w:eastAsia="宋体" w:cs="宋体"/>
          <w:i w:val="0"/>
          <w:iCs w:val="0"/>
          <w:color w:val="auto"/>
          <w:sz w:val="24"/>
          <w:szCs w:val="24"/>
          <w:highlight w:val="none"/>
          <w:lang w:val="en-US" w:eastAsia="zh-CN"/>
        </w:rPr>
        <w:t>。供应商应充分考虑完成平台注册、申领CA证书等所需的时间。潜在供应商领取文件须提前完成注册、CA证书和电子签章申领和绑定、下载投标客户端。因未办理CA数字证书、CA证书故障、操作不当等原因造成无法磋商或磋商失败等后果由供应商自行承担。供应商登录</w:t>
      </w:r>
      <w:r>
        <w:rPr>
          <w:rFonts w:hint="eastAsia" w:cs="宋体"/>
          <w:i w:val="0"/>
          <w:iCs w:val="0"/>
          <w:color w:val="auto"/>
          <w:sz w:val="24"/>
          <w:szCs w:val="24"/>
          <w:highlight w:val="none"/>
          <w:lang w:val="en-US" w:eastAsia="zh-CN"/>
        </w:rPr>
        <w:t>新疆政府采购</w:t>
      </w:r>
      <w:r>
        <w:rPr>
          <w:rFonts w:hint="eastAsia" w:ascii="宋体" w:hAnsi="宋体" w:eastAsia="宋体" w:cs="宋体"/>
          <w:i w:val="0"/>
          <w:iCs w:val="0"/>
          <w:color w:val="auto"/>
          <w:sz w:val="24"/>
          <w:szCs w:val="24"/>
          <w:highlight w:val="none"/>
          <w:lang w:val="en-US" w:eastAsia="zh-CN"/>
        </w:rPr>
        <w:t>网“供应商注册”—“新疆生产建设</w:t>
      </w:r>
      <w:r>
        <w:rPr>
          <w:rFonts w:hint="eastAsia" w:cs="宋体"/>
          <w:i w:val="0"/>
          <w:iCs w:val="0"/>
          <w:color w:val="auto"/>
          <w:sz w:val="24"/>
          <w:szCs w:val="24"/>
          <w:highlight w:val="none"/>
          <w:lang w:val="en-US" w:eastAsia="zh-CN"/>
        </w:rPr>
        <w:t>新疆政府采购</w:t>
      </w:r>
      <w:r>
        <w:rPr>
          <w:rFonts w:hint="eastAsia" w:ascii="宋体" w:hAnsi="宋体" w:eastAsia="宋体" w:cs="宋体"/>
          <w:i w:val="0"/>
          <w:iCs w:val="0"/>
          <w:color w:val="auto"/>
          <w:sz w:val="24"/>
          <w:szCs w:val="24"/>
          <w:highlight w:val="none"/>
          <w:lang w:val="en-US" w:eastAsia="zh-CN"/>
        </w:rPr>
        <w:t>供应商入驻登记”—“立即登记”进行自助注册绑定。</w:t>
      </w:r>
    </w:p>
    <w:p w14:paraId="15920268">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10.2 供应商将</w:t>
      </w:r>
      <w:r>
        <w:rPr>
          <w:rFonts w:hint="eastAsia" w:cs="宋体"/>
          <w:i w:val="0"/>
          <w:iCs w:val="0"/>
          <w:color w:val="auto"/>
          <w:sz w:val="24"/>
          <w:szCs w:val="24"/>
          <w:highlight w:val="none"/>
          <w:lang w:val="en-US" w:eastAsia="zh-CN"/>
        </w:rPr>
        <w:t>新疆政府采购</w:t>
      </w:r>
      <w:r>
        <w:rPr>
          <w:rFonts w:hint="eastAsia" w:ascii="宋体" w:hAnsi="宋体" w:eastAsia="宋体" w:cs="宋体"/>
          <w:i w:val="0"/>
          <w:iCs w:val="0"/>
          <w:color w:val="auto"/>
          <w:sz w:val="24"/>
          <w:szCs w:val="24"/>
          <w:highlight w:val="none"/>
          <w:lang w:val="en-US" w:eastAsia="zh-CN"/>
        </w:rPr>
        <w:t>电子交易云平台电子交易客户端下载、安装完成后，可通过账号密码或CA登录客户端进行响应文件制作。在使用政采云投标客户端时，建议使用WIN7及以上操作系统。供应商登录</w:t>
      </w:r>
      <w:r>
        <w:rPr>
          <w:rFonts w:hint="eastAsia" w:cs="宋体"/>
          <w:i w:val="0"/>
          <w:iCs w:val="0"/>
          <w:color w:val="auto"/>
          <w:sz w:val="24"/>
          <w:szCs w:val="24"/>
          <w:highlight w:val="none"/>
          <w:lang w:val="en-US" w:eastAsia="zh-CN"/>
        </w:rPr>
        <w:t>新疆政府采购</w:t>
      </w:r>
      <w:r>
        <w:rPr>
          <w:rFonts w:hint="eastAsia" w:ascii="宋体" w:hAnsi="宋体" w:eastAsia="宋体" w:cs="宋体"/>
          <w:i w:val="0"/>
          <w:iCs w:val="0"/>
          <w:color w:val="auto"/>
          <w:sz w:val="24"/>
          <w:szCs w:val="24"/>
          <w:highlight w:val="none"/>
          <w:lang w:val="en-US" w:eastAsia="zh-CN"/>
        </w:rPr>
        <w:t>网“下载专区”—“电子招投标客户端下载”下载相关客户端，如有问题可拨打政采云客户服务热线95763进行咨询。</w:t>
      </w:r>
    </w:p>
    <w:p w14:paraId="1BDAF1A8">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10.3 加密的电子响应文件应在响应文件递交截止时间前通过政采云平台上传完成。逾期上传或者未上传指定地点的响应文件，不予受理。</w:t>
      </w:r>
    </w:p>
    <w:p w14:paraId="69FF5CC2">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10.4 供应商在磋商前须提前配置好电脑及浏览器，磋商时请使用制作加密电子响应文件的CA锁进行解密及报价确认。本项目响应文件解密时间</w:t>
      </w:r>
      <w:r>
        <w:rPr>
          <w:rFonts w:hint="eastAsia" w:cs="宋体"/>
          <w:i w:val="0"/>
          <w:iCs w:val="0"/>
          <w:color w:val="auto"/>
          <w:sz w:val="24"/>
          <w:szCs w:val="24"/>
          <w:highlight w:val="none"/>
          <w:lang w:val="en-US" w:eastAsia="zh-CN"/>
        </w:rPr>
        <w:t>详见</w:t>
      </w:r>
      <w:r>
        <w:rPr>
          <w:rFonts w:hint="eastAsia" w:ascii="宋体" w:hAnsi="宋体" w:eastAsia="宋体" w:cs="宋体"/>
          <w:i w:val="0"/>
          <w:iCs w:val="0"/>
          <w:color w:val="auto"/>
          <w:sz w:val="24"/>
          <w:szCs w:val="24"/>
          <w:highlight w:val="none"/>
          <w:lang w:val="en-US" w:eastAsia="zh-CN"/>
        </w:rPr>
        <w:t>“供应商须知前附表”，如因自身原因导致无法正常解密，后果由供应商自行承担。</w:t>
      </w:r>
    </w:p>
    <w:p w14:paraId="5C559BCB">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10.5 如遇“</w:t>
      </w:r>
      <w:r>
        <w:rPr>
          <w:rFonts w:hint="eastAsia" w:cs="宋体"/>
          <w:i w:val="0"/>
          <w:iCs w:val="0"/>
          <w:color w:val="auto"/>
          <w:sz w:val="24"/>
          <w:szCs w:val="24"/>
          <w:highlight w:val="none"/>
          <w:lang w:val="en-US" w:eastAsia="zh-CN"/>
        </w:rPr>
        <w:t>新疆政府采购</w:t>
      </w:r>
      <w:r>
        <w:rPr>
          <w:rFonts w:hint="eastAsia" w:ascii="宋体" w:hAnsi="宋体" w:eastAsia="宋体" w:cs="宋体"/>
          <w:i w:val="0"/>
          <w:iCs w:val="0"/>
          <w:color w:val="auto"/>
          <w:sz w:val="24"/>
          <w:szCs w:val="24"/>
          <w:highlight w:val="none"/>
          <w:lang w:val="en-US" w:eastAsia="zh-CN"/>
        </w:rPr>
        <w:t>电子交易云平台（网址：https://www.zcygov.cn/）”电子交易规则调整，以最新要求为准。</w:t>
      </w:r>
    </w:p>
    <w:p w14:paraId="552450FD">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10.6 电子交易系统咨询：供应商应当充分考虑到电子响应可能会发生的各种问题和风险，特别是响应文件签署、提交等问题，可按照“第一章 竞争性磋商公告”的联系方式咨询相关人员。</w:t>
      </w:r>
    </w:p>
    <w:p w14:paraId="2B30589C">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lang w:val="en-US" w:eastAsia="zh-CN"/>
        </w:rPr>
        <w:t>10.7 由于本项目采用电子磋商方式，潜在供应商的名单将在递交响应文件截止时间后才会解密。因此，采购人或采购代理机构无法通过传统的传真或邮件方式，将竞争性磋商文件的澄清或修改内容逐一通知到每位已获取竞争性磋商文件的潜在供应商。为确保信息的及时性和准确性，澄清或修改的内容将仅在政采云平台以更正公告的形式发布。潜在供应商需密切关注该网站，及时查看并下载相关更正公告。若因潜在供应商未能及时查看或下载相关更正公告，而导致的一切后果，将由潜在供应商自行承担。</w:t>
      </w:r>
    </w:p>
    <w:p w14:paraId="17FBA29F">
      <w:pPr>
        <w:pStyle w:val="4"/>
        <w:keepNext w:val="0"/>
        <w:keepLines w:val="0"/>
        <w:pageBreakBefore w:val="0"/>
        <w:widowControl w:val="0"/>
        <w:numPr>
          <w:ilvl w:val="0"/>
          <w:numId w:val="0"/>
        </w:numPr>
        <w:kinsoku/>
        <w:wordWrap/>
        <w:overflowPunct/>
        <w:topLinePunct w:val="0"/>
        <w:autoSpaceDE/>
        <w:autoSpaceDN/>
        <w:bidi w:val="0"/>
        <w:adjustRightInd/>
        <w:snapToGrid/>
        <w:spacing w:before="140" w:after="140" w:line="240" w:lineRule="auto"/>
        <w:ind w:left="420" w:leftChars="0" w:hanging="420" w:firstLineChars="0"/>
        <w:textAlignment w:val="auto"/>
        <w:rPr>
          <w:rFonts w:hint="eastAsia" w:ascii="宋体" w:hAnsi="宋体" w:eastAsia="宋体" w:cs="宋体"/>
          <w:b/>
          <w:bCs/>
          <w:i w:val="0"/>
          <w:iCs w:val="0"/>
          <w:color w:val="auto"/>
          <w:kern w:val="2"/>
          <w:sz w:val="24"/>
          <w:szCs w:val="24"/>
          <w:highlight w:val="none"/>
          <w:lang w:val="en-US" w:eastAsia="zh-CN" w:bidi="ar-SA"/>
        </w:rPr>
      </w:pPr>
      <w:bookmarkStart w:id="57" w:name="_Toc109900375"/>
      <w:bookmarkStart w:id="58" w:name="_Toc25960"/>
      <w:bookmarkStart w:id="59" w:name="_Toc109899956"/>
      <w:bookmarkStart w:id="60" w:name="_Toc28430"/>
      <w:bookmarkStart w:id="61" w:name="_Toc470172668"/>
      <w:bookmarkStart w:id="62" w:name="_Toc109899537"/>
      <w:bookmarkStart w:id="63" w:name="_Toc163493612"/>
      <w:bookmarkStart w:id="64" w:name="_Toc109897438"/>
      <w:bookmarkStart w:id="65" w:name="_Toc31529"/>
      <w:bookmarkStart w:id="66" w:name="_Toc46771643"/>
      <w:r>
        <w:rPr>
          <w:rFonts w:hint="eastAsia" w:ascii="宋体" w:hAnsi="宋体" w:eastAsia="宋体" w:cs="宋体"/>
          <w:b/>
          <w:bCs/>
          <w:i w:val="0"/>
          <w:iCs w:val="0"/>
          <w:color w:val="auto"/>
          <w:kern w:val="2"/>
          <w:sz w:val="24"/>
          <w:szCs w:val="24"/>
          <w:highlight w:val="none"/>
          <w:lang w:val="en-US" w:eastAsia="zh-CN" w:bidi="ar-SA"/>
        </w:rPr>
        <w:t>（二）磋商文件</w:t>
      </w:r>
      <w:bookmarkEnd w:id="57"/>
      <w:bookmarkEnd w:id="58"/>
      <w:bookmarkEnd w:id="59"/>
      <w:bookmarkEnd w:id="60"/>
      <w:bookmarkEnd w:id="61"/>
      <w:bookmarkEnd w:id="62"/>
      <w:bookmarkEnd w:id="63"/>
      <w:bookmarkEnd w:id="64"/>
      <w:bookmarkEnd w:id="65"/>
      <w:bookmarkEnd w:id="66"/>
    </w:p>
    <w:p w14:paraId="02C74752">
      <w:pPr>
        <w:pStyle w:val="5"/>
        <w:keepNext w:val="0"/>
        <w:keepLines w:val="0"/>
        <w:pageBreakBefore w:val="0"/>
        <w:widowControl w:val="0"/>
        <w:numPr>
          <w:ilvl w:val="0"/>
          <w:numId w:val="0"/>
        </w:numPr>
        <w:kinsoku/>
        <w:wordWrap/>
        <w:overflowPunct/>
        <w:topLinePunct w:val="0"/>
        <w:autoSpaceDE/>
        <w:autoSpaceDN/>
        <w:bidi w:val="0"/>
        <w:adjustRightInd/>
        <w:snapToGrid/>
        <w:spacing w:before="80" w:after="80" w:line="240" w:lineRule="auto"/>
        <w:ind w:left="420" w:leftChars="0" w:hanging="420" w:firstLineChars="0"/>
        <w:textAlignment w:val="auto"/>
        <w:rPr>
          <w:rFonts w:hint="eastAsia" w:ascii="宋体" w:hAnsi="宋体" w:eastAsia="宋体" w:cs="宋体"/>
          <w:b/>
          <w:bCs/>
          <w:i w:val="0"/>
          <w:iCs w:val="0"/>
          <w:color w:val="auto"/>
          <w:kern w:val="2"/>
          <w:sz w:val="24"/>
          <w:szCs w:val="24"/>
          <w:highlight w:val="none"/>
          <w:lang w:val="en-US" w:eastAsia="zh-CN" w:bidi="ar-SA"/>
        </w:rPr>
      </w:pPr>
      <w:bookmarkStart w:id="67" w:name="_Toc470172669"/>
      <w:bookmarkStart w:id="68" w:name="_Toc109900376"/>
      <w:bookmarkStart w:id="69" w:name="_Toc52960557"/>
      <w:bookmarkStart w:id="70" w:name="_Toc51674215"/>
      <w:bookmarkStart w:id="71" w:name="_Toc52962731"/>
      <w:bookmarkStart w:id="72" w:name="_Toc46771644"/>
      <w:bookmarkStart w:id="73" w:name="_Toc109897439"/>
      <w:bookmarkStart w:id="74" w:name="_Toc109899957"/>
      <w:bookmarkStart w:id="75" w:name="_Toc109899538"/>
      <w:bookmarkStart w:id="76" w:name="_Toc46772245"/>
      <w:bookmarkStart w:id="77" w:name="_Toc4547"/>
      <w:bookmarkStart w:id="78" w:name="_Toc48846113"/>
      <w:bookmarkStart w:id="79" w:name="_Toc48688793"/>
      <w:r>
        <w:rPr>
          <w:rFonts w:hint="eastAsia" w:ascii="宋体" w:hAnsi="宋体" w:eastAsia="宋体" w:cs="宋体"/>
          <w:b/>
          <w:bCs/>
          <w:i w:val="0"/>
          <w:iCs w:val="0"/>
          <w:color w:val="auto"/>
          <w:kern w:val="2"/>
          <w:sz w:val="24"/>
          <w:szCs w:val="24"/>
          <w:highlight w:val="none"/>
          <w:lang w:val="en-US" w:eastAsia="zh-CN" w:bidi="ar-SA"/>
        </w:rPr>
        <w:t>11.磋商文件的构成</w:t>
      </w:r>
      <w:bookmarkEnd w:id="67"/>
      <w:bookmarkEnd w:id="68"/>
      <w:bookmarkEnd w:id="69"/>
      <w:bookmarkEnd w:id="70"/>
      <w:bookmarkEnd w:id="71"/>
      <w:bookmarkEnd w:id="72"/>
      <w:bookmarkEnd w:id="73"/>
      <w:bookmarkEnd w:id="74"/>
      <w:bookmarkEnd w:id="75"/>
      <w:bookmarkEnd w:id="76"/>
      <w:bookmarkEnd w:id="77"/>
      <w:bookmarkEnd w:id="78"/>
      <w:bookmarkEnd w:id="79"/>
    </w:p>
    <w:p w14:paraId="54909DE4">
      <w:pPr>
        <w:keepNext w:val="0"/>
        <w:keepLines w:val="0"/>
        <w:pageBreakBefore w:val="0"/>
        <w:widowControl w:val="0"/>
        <w:kinsoku/>
        <w:overflowPunct/>
        <w:topLinePunct w:val="0"/>
        <w:bidi w:val="0"/>
        <w:ind w:firstLine="480" w:firstLineChars="200"/>
        <w:textAlignment w:val="auto"/>
        <w:rPr>
          <w:rFonts w:hint="eastAsia" w:ascii="宋体" w:hAnsi="宋体" w:eastAsia="宋体" w:cs="宋体"/>
          <w:i w:val="0"/>
          <w:iCs w:val="0"/>
          <w:color w:val="auto"/>
          <w:sz w:val="24"/>
          <w:szCs w:val="24"/>
          <w:highlight w:val="none"/>
          <w:lang w:eastAsia="zh-CN"/>
        </w:rPr>
      </w:pPr>
      <w:bookmarkStart w:id="80" w:name="_Toc109900377"/>
      <w:bookmarkStart w:id="81" w:name="_Toc48688794"/>
      <w:bookmarkStart w:id="82" w:name="_Toc109899539"/>
      <w:bookmarkStart w:id="83" w:name="_Toc109897440"/>
      <w:bookmarkStart w:id="84" w:name="_Toc46772246"/>
      <w:bookmarkStart w:id="85" w:name="_Toc46771645"/>
      <w:bookmarkStart w:id="86" w:name="_Toc109899958"/>
      <w:bookmarkStart w:id="87" w:name="_Toc52962732"/>
      <w:bookmarkStart w:id="88" w:name="_Toc48846114"/>
      <w:bookmarkStart w:id="89" w:name="_Toc478415174"/>
      <w:bookmarkStart w:id="90" w:name="_Toc51674216"/>
      <w:bookmarkStart w:id="91" w:name="_Toc52960558"/>
      <w:r>
        <w:rPr>
          <w:rFonts w:hint="eastAsia" w:ascii="宋体" w:hAnsi="宋体" w:eastAsia="宋体" w:cs="宋体"/>
          <w:i w:val="0"/>
          <w:iCs w:val="0"/>
          <w:color w:val="auto"/>
          <w:sz w:val="24"/>
          <w:szCs w:val="24"/>
          <w:highlight w:val="none"/>
        </w:rPr>
        <w:t>第一章 竞争性磋商</w:t>
      </w:r>
      <w:r>
        <w:rPr>
          <w:rFonts w:hint="eastAsia" w:ascii="宋体" w:hAnsi="宋体" w:eastAsia="宋体" w:cs="宋体"/>
          <w:i w:val="0"/>
          <w:iCs w:val="0"/>
          <w:color w:val="auto"/>
          <w:sz w:val="24"/>
          <w:szCs w:val="24"/>
          <w:highlight w:val="none"/>
          <w:lang w:val="en-US" w:eastAsia="zh-CN"/>
        </w:rPr>
        <w:t>公告</w:t>
      </w:r>
    </w:p>
    <w:p w14:paraId="7147E8B4">
      <w:pPr>
        <w:keepNext w:val="0"/>
        <w:keepLines w:val="0"/>
        <w:pageBreakBefore w:val="0"/>
        <w:widowControl w:val="0"/>
        <w:kinsoku/>
        <w:overflowPunct/>
        <w:topLinePunct w:val="0"/>
        <w:bidi w:val="0"/>
        <w:ind w:firstLine="480" w:firstLineChars="2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第二章 供应商须知</w:t>
      </w:r>
    </w:p>
    <w:p w14:paraId="61D89D76">
      <w:pPr>
        <w:keepNext w:val="0"/>
        <w:keepLines w:val="0"/>
        <w:pageBreakBefore w:val="0"/>
        <w:widowControl w:val="0"/>
        <w:kinsoku/>
        <w:overflowPunct/>
        <w:topLinePunct w:val="0"/>
        <w:bidi w:val="0"/>
        <w:ind w:firstLine="480" w:firstLineChars="2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 xml:space="preserve">第三章 </w:t>
      </w:r>
      <w:r>
        <w:rPr>
          <w:rFonts w:hint="eastAsia" w:ascii="宋体" w:hAnsi="宋体" w:eastAsia="宋体" w:cs="宋体"/>
          <w:i w:val="0"/>
          <w:iCs w:val="0"/>
          <w:color w:val="auto"/>
          <w:sz w:val="24"/>
          <w:szCs w:val="24"/>
          <w:highlight w:val="none"/>
          <w:lang w:val="en-US" w:eastAsia="zh-CN"/>
        </w:rPr>
        <w:t>项目</w:t>
      </w:r>
      <w:r>
        <w:rPr>
          <w:rFonts w:hint="eastAsia" w:ascii="宋体" w:hAnsi="宋体" w:eastAsia="宋体" w:cs="宋体"/>
          <w:i w:val="0"/>
          <w:iCs w:val="0"/>
          <w:color w:val="auto"/>
          <w:sz w:val="24"/>
          <w:szCs w:val="24"/>
          <w:highlight w:val="none"/>
        </w:rPr>
        <w:t>采购需求</w:t>
      </w:r>
    </w:p>
    <w:p w14:paraId="6D7BF4EF">
      <w:pPr>
        <w:keepNext w:val="0"/>
        <w:keepLines w:val="0"/>
        <w:pageBreakBefore w:val="0"/>
        <w:widowControl w:val="0"/>
        <w:kinsoku/>
        <w:overflowPunct/>
        <w:topLinePunct w:val="0"/>
        <w:bidi w:val="0"/>
        <w:ind w:firstLine="480" w:firstLineChars="2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第四章 评审</w:t>
      </w:r>
      <w:r>
        <w:rPr>
          <w:rFonts w:hint="eastAsia" w:ascii="宋体" w:hAnsi="宋体" w:eastAsia="宋体" w:cs="宋体"/>
          <w:i w:val="0"/>
          <w:iCs w:val="0"/>
          <w:color w:val="auto"/>
          <w:sz w:val="24"/>
          <w:szCs w:val="24"/>
          <w:highlight w:val="none"/>
          <w:lang w:val="en-US" w:eastAsia="zh-CN"/>
        </w:rPr>
        <w:t>方</w:t>
      </w:r>
      <w:r>
        <w:rPr>
          <w:rFonts w:hint="eastAsia" w:ascii="宋体" w:hAnsi="宋体" w:eastAsia="宋体" w:cs="宋体"/>
          <w:i w:val="0"/>
          <w:iCs w:val="0"/>
          <w:color w:val="auto"/>
          <w:sz w:val="24"/>
          <w:szCs w:val="24"/>
          <w:highlight w:val="none"/>
        </w:rPr>
        <w:t>法及标准</w:t>
      </w:r>
    </w:p>
    <w:p w14:paraId="47AC85E7">
      <w:pPr>
        <w:keepNext w:val="0"/>
        <w:keepLines w:val="0"/>
        <w:pageBreakBefore w:val="0"/>
        <w:widowControl w:val="0"/>
        <w:kinsoku/>
        <w:overflowPunct/>
        <w:topLinePunct w:val="0"/>
        <w:bidi w:val="0"/>
        <w:ind w:firstLine="480" w:firstLineChars="2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第五章 合同草案</w:t>
      </w:r>
    </w:p>
    <w:p w14:paraId="5706B4C2">
      <w:pPr>
        <w:keepNext w:val="0"/>
        <w:keepLines w:val="0"/>
        <w:pageBreakBefore w:val="0"/>
        <w:widowControl w:val="0"/>
        <w:kinsoku/>
        <w:overflowPunct/>
        <w:topLinePunct w:val="0"/>
        <w:bidi w:val="0"/>
        <w:ind w:firstLine="480" w:firstLineChars="2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第六章 响应文件的格式</w:t>
      </w:r>
    </w:p>
    <w:p w14:paraId="2FA3C6F3">
      <w:pPr>
        <w:pStyle w:val="5"/>
        <w:keepNext w:val="0"/>
        <w:keepLines w:val="0"/>
        <w:pageBreakBefore w:val="0"/>
        <w:widowControl w:val="0"/>
        <w:numPr>
          <w:ilvl w:val="0"/>
          <w:numId w:val="0"/>
        </w:numPr>
        <w:kinsoku/>
        <w:wordWrap/>
        <w:overflowPunct/>
        <w:topLinePunct w:val="0"/>
        <w:autoSpaceDE/>
        <w:autoSpaceDN/>
        <w:bidi w:val="0"/>
        <w:adjustRightInd/>
        <w:snapToGrid/>
        <w:spacing w:before="80" w:after="80" w:line="240" w:lineRule="auto"/>
        <w:ind w:left="420" w:leftChars="0" w:hanging="420" w:firstLineChars="0"/>
        <w:textAlignment w:val="auto"/>
        <w:rPr>
          <w:rFonts w:hint="eastAsia" w:ascii="宋体" w:hAnsi="宋体" w:eastAsia="宋体" w:cs="宋体"/>
          <w:b/>
          <w:bCs/>
          <w:i w:val="0"/>
          <w:iCs w:val="0"/>
          <w:color w:val="auto"/>
          <w:kern w:val="2"/>
          <w:sz w:val="24"/>
          <w:szCs w:val="24"/>
          <w:highlight w:val="none"/>
          <w:lang w:val="en-US" w:eastAsia="zh-CN" w:bidi="ar-SA"/>
        </w:rPr>
      </w:pPr>
      <w:r>
        <w:rPr>
          <w:rFonts w:hint="eastAsia" w:ascii="宋体" w:hAnsi="宋体" w:eastAsia="宋体" w:cs="宋体"/>
          <w:b/>
          <w:bCs/>
          <w:i w:val="0"/>
          <w:iCs w:val="0"/>
          <w:color w:val="auto"/>
          <w:kern w:val="2"/>
          <w:sz w:val="24"/>
          <w:szCs w:val="24"/>
          <w:highlight w:val="none"/>
          <w:lang w:val="en-US" w:eastAsia="zh-CN" w:bidi="ar-SA"/>
        </w:rPr>
        <w:t>12.磋商文件的澄清或修改</w:t>
      </w:r>
      <w:bookmarkEnd w:id="80"/>
      <w:bookmarkEnd w:id="81"/>
      <w:bookmarkEnd w:id="82"/>
      <w:bookmarkEnd w:id="83"/>
      <w:bookmarkEnd w:id="84"/>
      <w:bookmarkEnd w:id="85"/>
      <w:bookmarkEnd w:id="86"/>
      <w:bookmarkEnd w:id="87"/>
      <w:bookmarkEnd w:id="88"/>
      <w:bookmarkEnd w:id="89"/>
      <w:bookmarkEnd w:id="90"/>
      <w:bookmarkEnd w:id="91"/>
    </w:p>
    <w:p w14:paraId="6CD54735">
      <w:pPr>
        <w:keepNext w:val="0"/>
        <w:keepLines w:val="0"/>
        <w:pageBreakBefore w:val="0"/>
        <w:widowControl w:val="0"/>
        <w:kinsoku/>
        <w:overflowPunct/>
        <w:topLinePunct w:val="0"/>
        <w:autoSpaceDE/>
        <w:autoSpaceDN/>
        <w:bidi w:val="0"/>
        <w:adjustRightInd/>
        <w:ind w:firstLine="480" w:firstLineChars="2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w:t>
      </w:r>
      <w:r>
        <w:rPr>
          <w:rFonts w:hint="eastAsia" w:ascii="宋体" w:hAnsi="宋体" w:eastAsia="宋体" w:cs="宋体"/>
          <w:i w:val="0"/>
          <w:iCs w:val="0"/>
          <w:color w:val="auto"/>
          <w:sz w:val="24"/>
          <w:szCs w:val="24"/>
          <w:highlight w:val="none"/>
          <w:lang w:val="en-US" w:eastAsia="zh-CN"/>
        </w:rPr>
        <w:t>2</w:t>
      </w:r>
      <w:r>
        <w:rPr>
          <w:rFonts w:hint="eastAsia" w:ascii="宋体" w:hAnsi="宋体" w:eastAsia="宋体" w:cs="宋体"/>
          <w:i w:val="0"/>
          <w:iCs w:val="0"/>
          <w:color w:val="auto"/>
          <w:sz w:val="24"/>
          <w:szCs w:val="24"/>
          <w:highlight w:val="none"/>
        </w:rPr>
        <w:t>.1 供应商对采购项目有疑问的，可以按照“供应商须知前附表”中的规定提出询问。提出后，请供应商及时通过交易平台“答疑文件下载”栏目查看答疑文件或澄清文件。必要时，采购代理机构将组织相关专家召开答疑会，如召开，答疑会安排另行通知。采购人或采购代理机构将在收到询问后依法予以答复。对竞争性</w:t>
      </w:r>
      <w:r>
        <w:rPr>
          <w:rFonts w:hint="eastAsia" w:ascii="宋体" w:hAnsi="宋体" w:eastAsia="宋体" w:cs="宋体"/>
          <w:i w:val="0"/>
          <w:iCs w:val="0"/>
          <w:color w:val="auto"/>
          <w:sz w:val="24"/>
          <w:szCs w:val="24"/>
          <w:highlight w:val="none"/>
          <w:lang w:val="en-US" w:eastAsia="zh-CN"/>
        </w:rPr>
        <w:t>磋商</w:t>
      </w:r>
      <w:r>
        <w:rPr>
          <w:rFonts w:hint="eastAsia" w:ascii="宋体" w:hAnsi="宋体" w:eastAsia="宋体" w:cs="宋体"/>
          <w:i w:val="0"/>
          <w:iCs w:val="0"/>
          <w:color w:val="auto"/>
          <w:sz w:val="24"/>
          <w:szCs w:val="24"/>
          <w:highlight w:val="none"/>
        </w:rPr>
        <w:t>文件询问的答复，在必要时将以澄清形式推送给每个获取竞争性</w:t>
      </w:r>
      <w:r>
        <w:rPr>
          <w:rFonts w:hint="eastAsia" w:ascii="宋体" w:hAnsi="宋体" w:eastAsia="宋体" w:cs="宋体"/>
          <w:i w:val="0"/>
          <w:iCs w:val="0"/>
          <w:color w:val="auto"/>
          <w:sz w:val="24"/>
          <w:szCs w:val="24"/>
          <w:highlight w:val="none"/>
          <w:lang w:val="en-US" w:eastAsia="zh-CN"/>
        </w:rPr>
        <w:t>磋商</w:t>
      </w:r>
      <w:r>
        <w:rPr>
          <w:rFonts w:hint="eastAsia" w:ascii="宋体" w:hAnsi="宋体" w:eastAsia="宋体" w:cs="宋体"/>
          <w:i w:val="0"/>
          <w:iCs w:val="0"/>
          <w:color w:val="auto"/>
          <w:sz w:val="24"/>
          <w:szCs w:val="24"/>
          <w:highlight w:val="none"/>
        </w:rPr>
        <w:t>文件的潜在</w:t>
      </w:r>
      <w:r>
        <w:rPr>
          <w:rFonts w:hint="eastAsia" w:ascii="宋体" w:hAnsi="宋体" w:eastAsia="宋体" w:cs="宋体"/>
          <w:i w:val="0"/>
          <w:iCs w:val="0"/>
          <w:color w:val="auto"/>
          <w:sz w:val="24"/>
          <w:szCs w:val="24"/>
          <w:highlight w:val="none"/>
          <w:lang w:val="en-US" w:eastAsia="zh-CN"/>
        </w:rPr>
        <w:t>供应商</w:t>
      </w:r>
      <w:r>
        <w:rPr>
          <w:rFonts w:hint="eastAsia" w:ascii="宋体" w:hAnsi="宋体" w:eastAsia="宋体" w:cs="宋体"/>
          <w:i w:val="0"/>
          <w:iCs w:val="0"/>
          <w:color w:val="auto"/>
          <w:sz w:val="24"/>
          <w:szCs w:val="24"/>
          <w:highlight w:val="none"/>
        </w:rPr>
        <w:t>(答复中不包括问题的来源)。</w:t>
      </w:r>
    </w:p>
    <w:p w14:paraId="16247DAC">
      <w:pPr>
        <w:keepNext w:val="0"/>
        <w:keepLines w:val="0"/>
        <w:pageBreakBefore w:val="0"/>
        <w:widowControl w:val="0"/>
        <w:kinsoku/>
        <w:overflowPunct/>
        <w:topLinePunct w:val="0"/>
        <w:autoSpaceDE/>
        <w:autoSpaceDN/>
        <w:bidi w:val="0"/>
        <w:adjustRightInd/>
        <w:ind w:firstLine="480" w:firstLineChars="2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供应商在规定的时间内未对竞争性</w:t>
      </w:r>
      <w:r>
        <w:rPr>
          <w:rFonts w:hint="eastAsia" w:ascii="宋体" w:hAnsi="宋体" w:eastAsia="宋体" w:cs="宋体"/>
          <w:i w:val="0"/>
          <w:iCs w:val="0"/>
          <w:color w:val="auto"/>
          <w:sz w:val="24"/>
          <w:szCs w:val="24"/>
          <w:highlight w:val="none"/>
          <w:lang w:val="en-US" w:eastAsia="zh-CN"/>
        </w:rPr>
        <w:t>磋商</w:t>
      </w:r>
      <w:r>
        <w:rPr>
          <w:rFonts w:hint="eastAsia" w:ascii="宋体" w:hAnsi="宋体" w:eastAsia="宋体" w:cs="宋体"/>
          <w:i w:val="0"/>
          <w:iCs w:val="0"/>
          <w:color w:val="auto"/>
          <w:sz w:val="24"/>
          <w:szCs w:val="24"/>
          <w:highlight w:val="none"/>
        </w:rPr>
        <w:t>文件提出疑问或要求澄清的，采购代理机构将视其为同意，对在“供应商须知前附表”中“</w:t>
      </w:r>
      <w:r>
        <w:rPr>
          <w:rFonts w:hint="eastAsia" w:ascii="宋体" w:hAnsi="宋体" w:eastAsia="宋体" w:cs="宋体"/>
          <w:i w:val="0"/>
          <w:iCs w:val="0"/>
          <w:color w:val="auto"/>
          <w:sz w:val="24"/>
          <w:szCs w:val="24"/>
          <w:highlight w:val="none"/>
          <w:lang w:val="en-US" w:eastAsia="zh-CN"/>
        </w:rPr>
        <w:t>提出询问的</w:t>
      </w:r>
      <w:r>
        <w:rPr>
          <w:rFonts w:hint="eastAsia" w:ascii="宋体" w:hAnsi="宋体" w:eastAsia="宋体" w:cs="宋体"/>
          <w:i w:val="0"/>
          <w:iCs w:val="0"/>
          <w:color w:val="auto"/>
          <w:sz w:val="24"/>
          <w:szCs w:val="24"/>
          <w:highlight w:val="none"/>
        </w:rPr>
        <w:t>时间</w:t>
      </w:r>
      <w:r>
        <w:rPr>
          <w:rFonts w:hint="eastAsia" w:ascii="宋体" w:hAnsi="宋体" w:eastAsia="宋体" w:cs="宋体"/>
          <w:i w:val="0"/>
          <w:iCs w:val="0"/>
          <w:color w:val="auto"/>
          <w:sz w:val="24"/>
          <w:szCs w:val="24"/>
          <w:highlight w:val="none"/>
          <w:lang w:val="en-US" w:eastAsia="zh-CN"/>
        </w:rPr>
        <w:t>要求</w:t>
      </w: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val="en-US" w:eastAsia="zh-CN"/>
        </w:rPr>
        <w:t>之</w:t>
      </w:r>
      <w:r>
        <w:rPr>
          <w:rFonts w:hint="eastAsia" w:ascii="宋体" w:hAnsi="宋体" w:eastAsia="宋体" w:cs="宋体"/>
          <w:i w:val="0"/>
          <w:iCs w:val="0"/>
          <w:color w:val="auto"/>
          <w:sz w:val="24"/>
          <w:szCs w:val="24"/>
          <w:highlight w:val="none"/>
        </w:rPr>
        <w:t>后就竞争性</w:t>
      </w:r>
      <w:r>
        <w:rPr>
          <w:rFonts w:hint="eastAsia" w:ascii="宋体" w:hAnsi="宋体" w:eastAsia="宋体" w:cs="宋体"/>
          <w:i w:val="0"/>
          <w:iCs w:val="0"/>
          <w:color w:val="auto"/>
          <w:sz w:val="24"/>
          <w:szCs w:val="24"/>
          <w:highlight w:val="none"/>
          <w:lang w:val="en-US" w:eastAsia="zh-CN"/>
        </w:rPr>
        <w:t>磋商</w:t>
      </w:r>
      <w:r>
        <w:rPr>
          <w:rFonts w:hint="eastAsia" w:ascii="宋体" w:hAnsi="宋体" w:eastAsia="宋体" w:cs="宋体"/>
          <w:i w:val="0"/>
          <w:iCs w:val="0"/>
          <w:color w:val="auto"/>
          <w:sz w:val="24"/>
          <w:szCs w:val="24"/>
          <w:highlight w:val="none"/>
        </w:rPr>
        <w:t>文件内容提出的疑问及澄清要求将不予受理。</w:t>
      </w:r>
    </w:p>
    <w:p w14:paraId="13C40F6A">
      <w:pPr>
        <w:keepNext w:val="0"/>
        <w:keepLines w:val="0"/>
        <w:pageBreakBefore w:val="0"/>
        <w:widowControl w:val="0"/>
        <w:kinsoku/>
        <w:overflowPunct/>
        <w:topLinePunct w:val="0"/>
        <w:autoSpaceDE/>
        <w:autoSpaceDN/>
        <w:bidi w:val="0"/>
        <w:adjustRightInd/>
        <w:ind w:firstLine="480" w:firstLineChars="2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w:t>
      </w:r>
      <w:r>
        <w:rPr>
          <w:rFonts w:hint="eastAsia" w:ascii="宋体" w:hAnsi="宋体" w:eastAsia="宋体" w:cs="宋体"/>
          <w:i w:val="0"/>
          <w:iCs w:val="0"/>
          <w:color w:val="auto"/>
          <w:sz w:val="24"/>
          <w:szCs w:val="24"/>
          <w:highlight w:val="none"/>
          <w:lang w:val="en-US" w:eastAsia="zh-CN"/>
        </w:rPr>
        <w:t>2</w:t>
      </w:r>
      <w:r>
        <w:rPr>
          <w:rFonts w:hint="eastAsia" w:ascii="宋体" w:hAnsi="宋体" w:eastAsia="宋体" w:cs="宋体"/>
          <w:i w:val="0"/>
          <w:iCs w:val="0"/>
          <w:color w:val="auto"/>
          <w:sz w:val="24"/>
          <w:szCs w:val="24"/>
          <w:highlight w:val="none"/>
        </w:rPr>
        <w:t>.2 采购人或者采购代理机构可以对已发出的竞争性</w:t>
      </w:r>
      <w:r>
        <w:rPr>
          <w:rFonts w:hint="eastAsia" w:ascii="宋体" w:hAnsi="宋体" w:eastAsia="宋体" w:cs="宋体"/>
          <w:i w:val="0"/>
          <w:iCs w:val="0"/>
          <w:color w:val="auto"/>
          <w:sz w:val="24"/>
          <w:szCs w:val="24"/>
          <w:highlight w:val="none"/>
          <w:lang w:val="en-US" w:eastAsia="zh-CN"/>
        </w:rPr>
        <w:t>磋商</w:t>
      </w:r>
      <w:r>
        <w:rPr>
          <w:rFonts w:hint="eastAsia" w:ascii="宋体" w:hAnsi="宋体" w:eastAsia="宋体" w:cs="宋体"/>
          <w:i w:val="0"/>
          <w:iCs w:val="0"/>
          <w:color w:val="auto"/>
          <w:sz w:val="24"/>
          <w:szCs w:val="24"/>
          <w:highlight w:val="none"/>
        </w:rPr>
        <w:t>文件进行必要的澄清或者修改。澄清或修改的内容为竞争性</w:t>
      </w:r>
      <w:r>
        <w:rPr>
          <w:rFonts w:hint="eastAsia" w:ascii="宋体" w:hAnsi="宋体" w:eastAsia="宋体" w:cs="宋体"/>
          <w:i w:val="0"/>
          <w:iCs w:val="0"/>
          <w:color w:val="auto"/>
          <w:sz w:val="24"/>
          <w:szCs w:val="24"/>
          <w:highlight w:val="none"/>
          <w:lang w:val="en-US" w:eastAsia="zh-CN"/>
        </w:rPr>
        <w:t>磋商</w:t>
      </w:r>
      <w:r>
        <w:rPr>
          <w:rFonts w:hint="eastAsia" w:ascii="宋体" w:hAnsi="宋体" w:eastAsia="宋体" w:cs="宋体"/>
          <w:i w:val="0"/>
          <w:iCs w:val="0"/>
          <w:color w:val="auto"/>
          <w:sz w:val="24"/>
          <w:szCs w:val="24"/>
          <w:highlight w:val="none"/>
        </w:rPr>
        <w:t>文件的组成部分，并对所有获取竞争性</w:t>
      </w:r>
      <w:r>
        <w:rPr>
          <w:rFonts w:hint="eastAsia" w:ascii="宋体" w:hAnsi="宋体" w:eastAsia="宋体" w:cs="宋体"/>
          <w:i w:val="0"/>
          <w:iCs w:val="0"/>
          <w:color w:val="auto"/>
          <w:sz w:val="24"/>
          <w:szCs w:val="24"/>
          <w:highlight w:val="none"/>
          <w:lang w:val="en-US" w:eastAsia="zh-CN"/>
        </w:rPr>
        <w:t>磋商</w:t>
      </w:r>
      <w:r>
        <w:rPr>
          <w:rFonts w:hint="eastAsia" w:ascii="宋体" w:hAnsi="宋体" w:eastAsia="宋体" w:cs="宋体"/>
          <w:i w:val="0"/>
          <w:iCs w:val="0"/>
          <w:color w:val="auto"/>
          <w:sz w:val="24"/>
          <w:szCs w:val="24"/>
          <w:highlight w:val="none"/>
        </w:rPr>
        <w:t>文件的潜在供应商具有约束力。</w:t>
      </w:r>
    </w:p>
    <w:p w14:paraId="254B1BD2">
      <w:pPr>
        <w:keepNext w:val="0"/>
        <w:keepLines w:val="0"/>
        <w:pageBreakBefore w:val="0"/>
        <w:widowControl w:val="0"/>
        <w:kinsoku/>
        <w:overflowPunct/>
        <w:topLinePunct w:val="0"/>
        <w:bidi w:val="0"/>
        <w:ind w:firstLine="480" w:firstLineChars="2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w:t>
      </w:r>
      <w:r>
        <w:rPr>
          <w:rFonts w:hint="eastAsia" w:ascii="宋体" w:hAnsi="宋体" w:eastAsia="宋体" w:cs="宋体"/>
          <w:i w:val="0"/>
          <w:iCs w:val="0"/>
          <w:color w:val="auto"/>
          <w:sz w:val="24"/>
          <w:szCs w:val="24"/>
          <w:highlight w:val="none"/>
          <w:lang w:val="en-US" w:eastAsia="zh-CN"/>
        </w:rPr>
        <w:t>2</w:t>
      </w:r>
      <w:r>
        <w:rPr>
          <w:rFonts w:hint="eastAsia" w:ascii="宋体" w:hAnsi="宋体" w:eastAsia="宋体" w:cs="宋体"/>
          <w:i w:val="0"/>
          <w:iCs w:val="0"/>
          <w:color w:val="auto"/>
          <w:sz w:val="24"/>
          <w:szCs w:val="24"/>
          <w:highlight w:val="none"/>
        </w:rPr>
        <w:t>.3 竞争性磋商文件的澄清或者修</w:t>
      </w:r>
      <w:r>
        <w:rPr>
          <w:rFonts w:hint="eastAsia" w:ascii="宋体" w:hAnsi="宋体" w:eastAsia="宋体" w:cs="宋体"/>
          <w:i w:val="0"/>
          <w:iCs w:val="0"/>
          <w:snapToGrid w:val="0"/>
          <w:color w:val="auto"/>
          <w:sz w:val="24"/>
          <w:szCs w:val="24"/>
          <w:highlight w:val="none"/>
          <w:lang w:val="zh-CN"/>
        </w:rPr>
        <w:t>改以当面交接、邮寄、传真或电子邮件、网站披露等其中至少一种方式，发给所有领取竞争性磋商文件的供应商，但不包括问题的来源。对磋商文件澄清或者修改的内容可能影响响应文件编制的，采购人、采购代理机构或者磋商小组应当在提交首次响应文件截止之日5日前，以书面形式通知所有接收</w:t>
      </w:r>
      <w:r>
        <w:rPr>
          <w:rFonts w:hint="eastAsia" w:ascii="宋体" w:hAnsi="宋体" w:eastAsia="宋体" w:cs="宋体"/>
          <w:i w:val="0"/>
          <w:iCs w:val="0"/>
          <w:color w:val="auto"/>
          <w:sz w:val="24"/>
          <w:szCs w:val="24"/>
          <w:highlight w:val="none"/>
        </w:rPr>
        <w:t>竞争性</w:t>
      </w:r>
      <w:r>
        <w:rPr>
          <w:rFonts w:hint="eastAsia" w:ascii="宋体" w:hAnsi="宋体" w:eastAsia="宋体" w:cs="宋体"/>
          <w:i w:val="0"/>
          <w:iCs w:val="0"/>
          <w:snapToGrid w:val="0"/>
          <w:color w:val="auto"/>
          <w:sz w:val="24"/>
          <w:szCs w:val="24"/>
          <w:highlight w:val="none"/>
          <w:lang w:val="zh-CN"/>
        </w:rPr>
        <w:t>磋商文件的供应商，不足5日的，应当顺延提交首次响应文件</w:t>
      </w:r>
      <w:r>
        <w:rPr>
          <w:rFonts w:hint="eastAsia" w:ascii="宋体" w:hAnsi="宋体" w:eastAsia="宋体" w:cs="宋体"/>
          <w:i w:val="0"/>
          <w:iCs w:val="0"/>
          <w:snapToGrid w:val="0"/>
          <w:color w:val="auto"/>
          <w:sz w:val="24"/>
          <w:szCs w:val="24"/>
          <w:highlight w:val="none"/>
          <w:lang w:val="en-US" w:eastAsia="zh-CN"/>
        </w:rPr>
        <w:t>的</w:t>
      </w:r>
      <w:r>
        <w:rPr>
          <w:rFonts w:hint="eastAsia" w:ascii="宋体" w:hAnsi="宋体" w:eastAsia="宋体" w:cs="宋体"/>
          <w:i w:val="0"/>
          <w:iCs w:val="0"/>
          <w:snapToGrid w:val="0"/>
          <w:color w:val="auto"/>
          <w:sz w:val="24"/>
          <w:szCs w:val="24"/>
          <w:highlight w:val="none"/>
          <w:lang w:val="zh-CN"/>
        </w:rPr>
        <w:t>截止时间</w:t>
      </w:r>
      <w:r>
        <w:rPr>
          <w:rFonts w:hint="eastAsia" w:ascii="宋体" w:hAnsi="宋体" w:eastAsia="宋体" w:cs="宋体"/>
          <w:i w:val="0"/>
          <w:iCs w:val="0"/>
          <w:color w:val="auto"/>
          <w:sz w:val="24"/>
          <w:szCs w:val="24"/>
          <w:highlight w:val="none"/>
        </w:rPr>
        <w:t>。</w:t>
      </w:r>
    </w:p>
    <w:p w14:paraId="58FA56D7">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w:t>
      </w:r>
      <w:r>
        <w:rPr>
          <w:rFonts w:hint="eastAsia" w:ascii="宋体" w:hAnsi="宋体" w:eastAsia="宋体" w:cs="宋体"/>
          <w:i w:val="0"/>
          <w:iCs w:val="0"/>
          <w:color w:val="auto"/>
          <w:sz w:val="24"/>
          <w:szCs w:val="24"/>
          <w:highlight w:val="none"/>
          <w:lang w:val="en-US" w:eastAsia="zh-CN"/>
        </w:rPr>
        <w:t>2</w:t>
      </w:r>
      <w:r>
        <w:rPr>
          <w:rFonts w:hint="eastAsia" w:ascii="宋体" w:hAnsi="宋体" w:eastAsia="宋体" w:cs="宋体"/>
          <w:i w:val="0"/>
          <w:iCs w:val="0"/>
          <w:color w:val="auto"/>
          <w:sz w:val="24"/>
          <w:szCs w:val="24"/>
          <w:highlight w:val="none"/>
        </w:rPr>
        <w:t xml:space="preserve">.4 </w:t>
      </w:r>
      <w:r>
        <w:rPr>
          <w:rFonts w:hint="eastAsia" w:ascii="宋体" w:hAnsi="宋体" w:eastAsia="宋体" w:cs="宋体"/>
          <w:i w:val="0"/>
          <w:iCs w:val="0"/>
          <w:color w:val="auto"/>
          <w:sz w:val="24"/>
          <w:szCs w:val="24"/>
          <w:highlight w:val="none"/>
          <w:lang w:val="en-US" w:eastAsia="zh-CN"/>
        </w:rPr>
        <w:t>“供应商</w:t>
      </w:r>
      <w:r>
        <w:rPr>
          <w:rFonts w:hint="eastAsia" w:ascii="宋体" w:hAnsi="宋体" w:eastAsia="宋体" w:cs="宋体"/>
          <w:i w:val="0"/>
          <w:iCs w:val="0"/>
          <w:color w:val="auto"/>
          <w:sz w:val="24"/>
          <w:szCs w:val="24"/>
          <w:highlight w:val="none"/>
        </w:rPr>
        <w:t>须知”所称“书面形式”包括系统消息、政府采购</w:t>
      </w:r>
      <w:r>
        <w:rPr>
          <w:rFonts w:hint="eastAsia" w:ascii="宋体" w:hAnsi="宋体" w:eastAsia="宋体" w:cs="宋体"/>
          <w:i w:val="0"/>
          <w:iCs w:val="0"/>
          <w:color w:val="auto"/>
          <w:sz w:val="24"/>
          <w:szCs w:val="24"/>
          <w:highlight w:val="none"/>
          <w:lang w:val="en-US" w:eastAsia="zh-CN"/>
        </w:rPr>
        <w:t>云平台</w:t>
      </w:r>
      <w:r>
        <w:rPr>
          <w:rFonts w:hint="eastAsia" w:ascii="宋体" w:hAnsi="宋体" w:eastAsia="宋体" w:cs="宋体"/>
          <w:i w:val="0"/>
          <w:iCs w:val="0"/>
          <w:color w:val="auto"/>
          <w:sz w:val="24"/>
          <w:szCs w:val="24"/>
          <w:highlight w:val="none"/>
        </w:rPr>
        <w:t>发布的公告。</w:t>
      </w:r>
    </w:p>
    <w:p w14:paraId="7222E92B">
      <w:pPr>
        <w:pStyle w:val="57"/>
        <w:keepNext w:val="0"/>
        <w:keepLines w:val="0"/>
        <w:pageBreakBefore w:val="0"/>
        <w:widowControl w:val="0"/>
        <w:shd w:val="clear" w:color="auto" w:fill="auto"/>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i w:val="0"/>
          <w:iCs w:val="0"/>
          <w:color w:val="auto"/>
          <w:kern w:val="2"/>
          <w:sz w:val="24"/>
          <w:szCs w:val="24"/>
          <w:highlight w:val="none"/>
        </w:rPr>
      </w:pPr>
      <w:r>
        <w:rPr>
          <w:rFonts w:hint="eastAsia" w:ascii="宋体" w:hAnsi="宋体" w:eastAsia="宋体" w:cs="宋体"/>
          <w:i w:val="0"/>
          <w:iCs w:val="0"/>
          <w:color w:val="auto"/>
          <w:kern w:val="2"/>
          <w:sz w:val="24"/>
          <w:szCs w:val="24"/>
          <w:highlight w:val="none"/>
        </w:rPr>
        <w:t>1</w:t>
      </w:r>
      <w:r>
        <w:rPr>
          <w:rFonts w:hint="eastAsia" w:ascii="宋体" w:hAnsi="宋体" w:eastAsia="宋体" w:cs="宋体"/>
          <w:i w:val="0"/>
          <w:iCs w:val="0"/>
          <w:color w:val="auto"/>
          <w:kern w:val="2"/>
          <w:sz w:val="24"/>
          <w:szCs w:val="24"/>
          <w:highlight w:val="none"/>
          <w:lang w:val="en-US" w:eastAsia="zh-CN"/>
        </w:rPr>
        <w:t>2</w:t>
      </w:r>
      <w:r>
        <w:rPr>
          <w:rFonts w:hint="eastAsia" w:ascii="宋体" w:hAnsi="宋体" w:eastAsia="宋体" w:cs="宋体"/>
          <w:i w:val="0"/>
          <w:iCs w:val="0"/>
          <w:color w:val="auto"/>
          <w:kern w:val="2"/>
          <w:sz w:val="24"/>
          <w:szCs w:val="24"/>
          <w:highlight w:val="none"/>
        </w:rPr>
        <w:t>.</w:t>
      </w:r>
      <w:r>
        <w:rPr>
          <w:rFonts w:hint="eastAsia" w:ascii="宋体" w:hAnsi="宋体" w:eastAsia="宋体" w:cs="宋体"/>
          <w:i w:val="0"/>
          <w:iCs w:val="0"/>
          <w:color w:val="auto"/>
          <w:kern w:val="2"/>
          <w:sz w:val="24"/>
          <w:szCs w:val="24"/>
          <w:highlight w:val="none"/>
          <w:lang w:val="en-US" w:eastAsia="zh-CN"/>
        </w:rPr>
        <w:t>5</w:t>
      </w:r>
      <w:r>
        <w:rPr>
          <w:rFonts w:hint="eastAsia" w:ascii="宋体" w:hAnsi="宋体" w:eastAsia="宋体" w:cs="宋体"/>
          <w:i w:val="0"/>
          <w:iCs w:val="0"/>
          <w:color w:val="auto"/>
          <w:kern w:val="2"/>
          <w:sz w:val="24"/>
          <w:szCs w:val="24"/>
          <w:highlight w:val="none"/>
        </w:rPr>
        <w:t>采购代理机构一旦对竞争性</w:t>
      </w:r>
      <w:r>
        <w:rPr>
          <w:rFonts w:hint="eastAsia" w:ascii="宋体" w:hAnsi="宋体" w:eastAsia="宋体" w:cs="宋体"/>
          <w:i w:val="0"/>
          <w:iCs w:val="0"/>
          <w:color w:val="auto"/>
          <w:kern w:val="2"/>
          <w:sz w:val="24"/>
          <w:szCs w:val="24"/>
          <w:highlight w:val="none"/>
          <w:lang w:val="zh-CN"/>
        </w:rPr>
        <w:t>磋商</w:t>
      </w:r>
      <w:r>
        <w:rPr>
          <w:rFonts w:hint="eastAsia" w:ascii="宋体" w:hAnsi="宋体" w:eastAsia="宋体" w:cs="宋体"/>
          <w:i w:val="0"/>
          <w:iCs w:val="0"/>
          <w:color w:val="auto"/>
          <w:kern w:val="2"/>
          <w:sz w:val="24"/>
          <w:szCs w:val="24"/>
          <w:highlight w:val="none"/>
        </w:rPr>
        <w:t>文件作出了澄清、修改，即刻发生效力，采购代理机构有关的澄清、修改文件，将作为竞争性</w:t>
      </w:r>
      <w:r>
        <w:rPr>
          <w:rFonts w:hint="eastAsia" w:ascii="宋体" w:hAnsi="宋体" w:eastAsia="宋体" w:cs="宋体"/>
          <w:i w:val="0"/>
          <w:iCs w:val="0"/>
          <w:color w:val="auto"/>
          <w:kern w:val="2"/>
          <w:sz w:val="24"/>
          <w:szCs w:val="24"/>
          <w:highlight w:val="none"/>
          <w:lang w:val="zh-CN"/>
        </w:rPr>
        <w:t>磋商</w:t>
      </w:r>
      <w:r>
        <w:rPr>
          <w:rFonts w:hint="eastAsia" w:ascii="宋体" w:hAnsi="宋体" w:eastAsia="宋体" w:cs="宋体"/>
          <w:i w:val="0"/>
          <w:iCs w:val="0"/>
          <w:color w:val="auto"/>
          <w:kern w:val="2"/>
          <w:sz w:val="24"/>
          <w:szCs w:val="24"/>
          <w:highlight w:val="none"/>
        </w:rPr>
        <w:t>文件的组成部分，对所有现实的或潜在的</w:t>
      </w:r>
      <w:r>
        <w:rPr>
          <w:rFonts w:hint="eastAsia" w:ascii="宋体" w:hAnsi="宋体" w:eastAsia="宋体" w:cs="宋体"/>
          <w:i w:val="0"/>
          <w:iCs w:val="0"/>
          <w:color w:val="auto"/>
          <w:kern w:val="2"/>
          <w:sz w:val="24"/>
          <w:szCs w:val="24"/>
          <w:highlight w:val="none"/>
          <w:lang w:val="en-US" w:eastAsia="zh-CN"/>
        </w:rPr>
        <w:t>供应商</w:t>
      </w:r>
      <w:r>
        <w:rPr>
          <w:rFonts w:hint="eastAsia" w:ascii="宋体" w:hAnsi="宋体" w:eastAsia="宋体" w:cs="宋体"/>
          <w:i w:val="0"/>
          <w:iCs w:val="0"/>
          <w:color w:val="auto"/>
          <w:kern w:val="2"/>
          <w:sz w:val="24"/>
          <w:szCs w:val="24"/>
          <w:highlight w:val="none"/>
        </w:rPr>
        <w:t>均具有约束力，而无论是否已经实际收到上述文件。同时，采购代理机构和</w:t>
      </w:r>
      <w:r>
        <w:rPr>
          <w:rFonts w:hint="eastAsia" w:ascii="宋体" w:hAnsi="宋体" w:eastAsia="宋体" w:cs="宋体"/>
          <w:i w:val="0"/>
          <w:iCs w:val="0"/>
          <w:color w:val="auto"/>
          <w:kern w:val="2"/>
          <w:sz w:val="24"/>
          <w:szCs w:val="24"/>
          <w:highlight w:val="none"/>
          <w:lang w:val="en-US" w:eastAsia="zh-CN"/>
        </w:rPr>
        <w:t>供应商</w:t>
      </w:r>
      <w:r>
        <w:rPr>
          <w:rFonts w:hint="eastAsia" w:ascii="宋体" w:hAnsi="宋体" w:eastAsia="宋体" w:cs="宋体"/>
          <w:i w:val="0"/>
          <w:iCs w:val="0"/>
          <w:color w:val="auto"/>
          <w:kern w:val="2"/>
          <w:sz w:val="24"/>
          <w:szCs w:val="24"/>
          <w:highlight w:val="none"/>
        </w:rPr>
        <w:t>的权利及义务将受到新的截止期的约束。</w:t>
      </w:r>
    </w:p>
    <w:p w14:paraId="6E542BA8">
      <w:pPr>
        <w:keepNext w:val="0"/>
        <w:keepLines w:val="0"/>
        <w:pageBreakBefore w:val="0"/>
        <w:widowControl w:val="0"/>
        <w:kinsoku/>
        <w:overflowPunct/>
        <w:topLinePunct w:val="0"/>
        <w:bidi w:val="0"/>
        <w:ind w:firstLine="480" w:firstLineChars="200"/>
        <w:textAlignment w:val="auto"/>
        <w:rPr>
          <w:rFonts w:hint="eastAsia" w:ascii="宋体" w:hAnsi="宋体" w:eastAsia="宋体" w:cs="宋体"/>
          <w:i w:val="0"/>
          <w:iCs w:val="0"/>
          <w:color w:val="auto"/>
          <w:kern w:val="2"/>
          <w:sz w:val="24"/>
          <w:szCs w:val="24"/>
          <w:highlight w:val="none"/>
        </w:rPr>
      </w:pPr>
      <w:r>
        <w:rPr>
          <w:rFonts w:hint="eastAsia" w:ascii="宋体" w:hAnsi="宋体" w:eastAsia="宋体" w:cs="宋体"/>
          <w:i w:val="0"/>
          <w:iCs w:val="0"/>
          <w:color w:val="auto"/>
          <w:kern w:val="2"/>
          <w:sz w:val="24"/>
          <w:szCs w:val="24"/>
          <w:highlight w:val="none"/>
        </w:rPr>
        <w:t>1</w:t>
      </w:r>
      <w:r>
        <w:rPr>
          <w:rFonts w:hint="eastAsia" w:ascii="宋体" w:hAnsi="宋体" w:eastAsia="宋体" w:cs="宋体"/>
          <w:i w:val="0"/>
          <w:iCs w:val="0"/>
          <w:color w:val="auto"/>
          <w:kern w:val="2"/>
          <w:sz w:val="24"/>
          <w:szCs w:val="24"/>
          <w:highlight w:val="none"/>
          <w:lang w:val="en-US" w:eastAsia="zh-CN"/>
        </w:rPr>
        <w:t>2</w:t>
      </w:r>
      <w:r>
        <w:rPr>
          <w:rFonts w:hint="eastAsia" w:ascii="宋体" w:hAnsi="宋体" w:eastAsia="宋体" w:cs="宋体"/>
          <w:i w:val="0"/>
          <w:iCs w:val="0"/>
          <w:color w:val="auto"/>
          <w:kern w:val="2"/>
          <w:sz w:val="24"/>
          <w:szCs w:val="24"/>
          <w:highlight w:val="none"/>
        </w:rPr>
        <w:t>.</w:t>
      </w:r>
      <w:r>
        <w:rPr>
          <w:rFonts w:hint="eastAsia" w:ascii="宋体" w:hAnsi="宋体" w:eastAsia="宋体" w:cs="宋体"/>
          <w:i w:val="0"/>
          <w:iCs w:val="0"/>
          <w:color w:val="auto"/>
          <w:kern w:val="2"/>
          <w:sz w:val="24"/>
          <w:szCs w:val="24"/>
          <w:highlight w:val="none"/>
          <w:lang w:val="en-US" w:eastAsia="zh-CN"/>
        </w:rPr>
        <w:t>6</w:t>
      </w:r>
      <w:r>
        <w:rPr>
          <w:rFonts w:hint="eastAsia" w:ascii="宋体" w:hAnsi="宋体" w:eastAsia="宋体" w:cs="宋体"/>
          <w:i w:val="0"/>
          <w:iCs w:val="0"/>
          <w:color w:val="auto"/>
          <w:kern w:val="2"/>
          <w:sz w:val="24"/>
          <w:szCs w:val="24"/>
          <w:highlight w:val="none"/>
        </w:rPr>
        <w:t>采购代理机构对竞争性</w:t>
      </w:r>
      <w:r>
        <w:rPr>
          <w:rFonts w:hint="eastAsia" w:ascii="宋体" w:hAnsi="宋体" w:eastAsia="宋体" w:cs="宋体"/>
          <w:i w:val="0"/>
          <w:iCs w:val="0"/>
          <w:color w:val="auto"/>
          <w:kern w:val="2"/>
          <w:sz w:val="24"/>
          <w:szCs w:val="24"/>
          <w:highlight w:val="none"/>
          <w:lang w:val="zh-CN"/>
        </w:rPr>
        <w:t>磋商</w:t>
      </w:r>
      <w:r>
        <w:rPr>
          <w:rFonts w:hint="eastAsia" w:ascii="宋体" w:hAnsi="宋体" w:eastAsia="宋体" w:cs="宋体"/>
          <w:i w:val="0"/>
          <w:iCs w:val="0"/>
          <w:color w:val="auto"/>
          <w:kern w:val="2"/>
          <w:sz w:val="24"/>
          <w:szCs w:val="24"/>
          <w:highlight w:val="none"/>
        </w:rPr>
        <w:t>文件作出的澄清、修改在平台内进行披露，请</w:t>
      </w:r>
      <w:r>
        <w:rPr>
          <w:rFonts w:hint="eastAsia" w:ascii="宋体" w:hAnsi="宋体" w:eastAsia="宋体" w:cs="宋体"/>
          <w:i w:val="0"/>
          <w:iCs w:val="0"/>
          <w:color w:val="auto"/>
          <w:kern w:val="2"/>
          <w:sz w:val="24"/>
          <w:szCs w:val="24"/>
          <w:highlight w:val="none"/>
          <w:lang w:val="en-US" w:eastAsia="zh-CN"/>
        </w:rPr>
        <w:t>供应商</w:t>
      </w:r>
      <w:r>
        <w:rPr>
          <w:rFonts w:hint="eastAsia" w:ascii="宋体" w:hAnsi="宋体" w:eastAsia="宋体" w:cs="宋体"/>
          <w:i w:val="0"/>
          <w:iCs w:val="0"/>
          <w:color w:val="auto"/>
          <w:kern w:val="2"/>
          <w:sz w:val="24"/>
          <w:szCs w:val="24"/>
          <w:highlight w:val="none"/>
        </w:rPr>
        <w:t>及时关注并获取相关资料。因登记有误、线路故障或</w:t>
      </w:r>
      <w:r>
        <w:rPr>
          <w:rFonts w:hint="eastAsia" w:cs="宋体"/>
          <w:i w:val="0"/>
          <w:iCs w:val="0"/>
          <w:color w:val="auto"/>
          <w:kern w:val="2"/>
          <w:sz w:val="24"/>
          <w:szCs w:val="24"/>
          <w:highlight w:val="none"/>
          <w:lang w:eastAsia="zh-CN"/>
        </w:rPr>
        <w:t>其他</w:t>
      </w:r>
      <w:r>
        <w:rPr>
          <w:rFonts w:hint="eastAsia" w:ascii="宋体" w:hAnsi="宋体" w:eastAsia="宋体" w:cs="宋体"/>
          <w:i w:val="0"/>
          <w:iCs w:val="0"/>
          <w:color w:val="auto"/>
          <w:kern w:val="2"/>
          <w:sz w:val="24"/>
          <w:szCs w:val="24"/>
          <w:highlight w:val="none"/>
        </w:rPr>
        <w:t>任何意外情形，导致</w:t>
      </w:r>
      <w:r>
        <w:rPr>
          <w:rFonts w:hint="eastAsia" w:ascii="宋体" w:hAnsi="宋体" w:eastAsia="宋体" w:cs="宋体"/>
          <w:i w:val="0"/>
          <w:iCs w:val="0"/>
          <w:color w:val="auto"/>
          <w:kern w:val="2"/>
          <w:sz w:val="24"/>
          <w:szCs w:val="24"/>
          <w:highlight w:val="none"/>
          <w:lang w:val="en-US" w:eastAsia="zh-CN"/>
        </w:rPr>
        <w:t>供应商</w:t>
      </w:r>
      <w:r>
        <w:rPr>
          <w:rFonts w:hint="eastAsia" w:ascii="宋体" w:hAnsi="宋体" w:eastAsia="宋体" w:cs="宋体"/>
          <w:i w:val="0"/>
          <w:iCs w:val="0"/>
          <w:color w:val="auto"/>
          <w:kern w:val="2"/>
          <w:sz w:val="24"/>
          <w:szCs w:val="24"/>
          <w:highlight w:val="none"/>
        </w:rPr>
        <w:t>未及时获取的，采购代理机构不因此承担任何责任，且有关的</w:t>
      </w:r>
      <w:r>
        <w:rPr>
          <w:rFonts w:hint="eastAsia" w:ascii="宋体" w:hAnsi="宋体" w:eastAsia="宋体" w:cs="宋体"/>
          <w:i w:val="0"/>
          <w:iCs w:val="0"/>
          <w:color w:val="auto"/>
          <w:kern w:val="2"/>
          <w:sz w:val="24"/>
          <w:szCs w:val="24"/>
          <w:highlight w:val="none"/>
          <w:lang w:val="en-US" w:eastAsia="zh-CN"/>
        </w:rPr>
        <w:t>磋商</w:t>
      </w:r>
      <w:r>
        <w:rPr>
          <w:rFonts w:hint="eastAsia" w:ascii="宋体" w:hAnsi="宋体" w:eastAsia="宋体" w:cs="宋体"/>
          <w:i w:val="0"/>
          <w:iCs w:val="0"/>
          <w:color w:val="auto"/>
          <w:kern w:val="2"/>
          <w:sz w:val="24"/>
          <w:szCs w:val="24"/>
          <w:highlight w:val="none"/>
        </w:rPr>
        <w:t>活动继续有效地进行。当竞争性</w:t>
      </w:r>
      <w:r>
        <w:rPr>
          <w:rFonts w:hint="eastAsia" w:ascii="宋体" w:hAnsi="宋体" w:eastAsia="宋体" w:cs="宋体"/>
          <w:i w:val="0"/>
          <w:iCs w:val="0"/>
          <w:color w:val="auto"/>
          <w:kern w:val="2"/>
          <w:sz w:val="24"/>
          <w:szCs w:val="24"/>
          <w:highlight w:val="none"/>
          <w:lang w:val="zh-CN"/>
        </w:rPr>
        <w:t>磋商</w:t>
      </w:r>
      <w:r>
        <w:rPr>
          <w:rFonts w:hint="eastAsia" w:ascii="宋体" w:hAnsi="宋体" w:eastAsia="宋体" w:cs="宋体"/>
          <w:i w:val="0"/>
          <w:iCs w:val="0"/>
          <w:color w:val="auto"/>
          <w:kern w:val="2"/>
          <w:sz w:val="24"/>
          <w:szCs w:val="24"/>
          <w:highlight w:val="none"/>
        </w:rPr>
        <w:t>文件的澄清、修改及进行其他答复等就同一内容的表述不一致时，以最后发布的内容为准。</w:t>
      </w:r>
    </w:p>
    <w:p w14:paraId="7D17D0F6">
      <w:pPr>
        <w:pStyle w:val="4"/>
        <w:keepNext w:val="0"/>
        <w:keepLines w:val="0"/>
        <w:pageBreakBefore w:val="0"/>
        <w:widowControl w:val="0"/>
        <w:numPr>
          <w:ilvl w:val="0"/>
          <w:numId w:val="0"/>
        </w:numPr>
        <w:kinsoku/>
        <w:wordWrap/>
        <w:overflowPunct/>
        <w:topLinePunct w:val="0"/>
        <w:autoSpaceDE/>
        <w:autoSpaceDN/>
        <w:bidi w:val="0"/>
        <w:adjustRightInd/>
        <w:snapToGrid/>
        <w:spacing w:before="140" w:after="140" w:line="240" w:lineRule="auto"/>
        <w:ind w:left="420" w:leftChars="0" w:hanging="420" w:firstLineChars="0"/>
        <w:textAlignment w:val="auto"/>
        <w:rPr>
          <w:rFonts w:hint="eastAsia" w:ascii="宋体" w:hAnsi="宋体" w:eastAsia="宋体" w:cs="宋体"/>
          <w:b/>
          <w:bCs/>
          <w:i w:val="0"/>
          <w:iCs w:val="0"/>
          <w:color w:val="auto"/>
          <w:kern w:val="2"/>
          <w:sz w:val="24"/>
          <w:szCs w:val="24"/>
          <w:highlight w:val="none"/>
          <w:lang w:val="en-US" w:eastAsia="zh-CN" w:bidi="ar-SA"/>
        </w:rPr>
      </w:pPr>
      <w:bookmarkStart w:id="92" w:name="_Toc13211"/>
      <w:bookmarkStart w:id="93" w:name="_Toc470172672"/>
      <w:bookmarkStart w:id="94" w:name="_Toc109899541"/>
      <w:bookmarkStart w:id="95" w:name="_Toc163493613"/>
      <w:bookmarkStart w:id="96" w:name="_Toc109899960"/>
      <w:bookmarkStart w:id="97" w:name="_Toc27020"/>
      <w:bookmarkStart w:id="98" w:name="_Toc31635"/>
      <w:bookmarkStart w:id="99" w:name="_Toc46771647"/>
      <w:bookmarkStart w:id="100" w:name="_Toc109900379"/>
      <w:bookmarkStart w:id="101" w:name="_Toc109897442"/>
      <w:r>
        <w:rPr>
          <w:rFonts w:hint="eastAsia" w:ascii="宋体" w:hAnsi="宋体" w:eastAsia="宋体" w:cs="宋体"/>
          <w:b/>
          <w:bCs/>
          <w:i w:val="0"/>
          <w:iCs w:val="0"/>
          <w:color w:val="auto"/>
          <w:kern w:val="2"/>
          <w:sz w:val="24"/>
          <w:szCs w:val="24"/>
          <w:highlight w:val="none"/>
          <w:lang w:val="en-US" w:eastAsia="zh-CN" w:bidi="ar-SA"/>
        </w:rPr>
        <w:t>（三）响应文件</w:t>
      </w:r>
      <w:bookmarkEnd w:id="92"/>
      <w:bookmarkEnd w:id="93"/>
      <w:bookmarkEnd w:id="94"/>
      <w:bookmarkEnd w:id="95"/>
      <w:bookmarkEnd w:id="96"/>
      <w:bookmarkEnd w:id="97"/>
      <w:bookmarkEnd w:id="98"/>
      <w:bookmarkEnd w:id="99"/>
      <w:bookmarkEnd w:id="100"/>
      <w:bookmarkEnd w:id="101"/>
    </w:p>
    <w:p w14:paraId="3A231C5B">
      <w:pPr>
        <w:pStyle w:val="5"/>
        <w:keepNext w:val="0"/>
        <w:keepLines w:val="0"/>
        <w:pageBreakBefore w:val="0"/>
        <w:widowControl w:val="0"/>
        <w:numPr>
          <w:ilvl w:val="0"/>
          <w:numId w:val="0"/>
        </w:numPr>
        <w:kinsoku/>
        <w:wordWrap/>
        <w:overflowPunct/>
        <w:topLinePunct w:val="0"/>
        <w:autoSpaceDE/>
        <w:autoSpaceDN/>
        <w:bidi w:val="0"/>
        <w:adjustRightInd/>
        <w:snapToGrid/>
        <w:spacing w:before="80" w:after="80" w:line="240" w:lineRule="auto"/>
        <w:ind w:left="420" w:leftChars="0" w:hanging="420" w:firstLineChars="0"/>
        <w:textAlignment w:val="auto"/>
        <w:rPr>
          <w:rFonts w:hint="eastAsia" w:ascii="宋体" w:hAnsi="宋体" w:eastAsia="宋体" w:cs="宋体"/>
          <w:b/>
          <w:bCs/>
          <w:i w:val="0"/>
          <w:iCs w:val="0"/>
          <w:color w:val="auto"/>
          <w:kern w:val="2"/>
          <w:sz w:val="24"/>
          <w:szCs w:val="24"/>
          <w:highlight w:val="none"/>
          <w:lang w:val="en-US" w:eastAsia="zh-CN" w:bidi="ar-SA"/>
        </w:rPr>
      </w:pPr>
      <w:bookmarkStart w:id="102" w:name="_Toc109899543"/>
      <w:bookmarkStart w:id="103" w:name="_Toc109899962"/>
      <w:bookmarkStart w:id="104" w:name="_Toc32272"/>
      <w:bookmarkStart w:id="105" w:name="_Toc470172674"/>
      <w:bookmarkStart w:id="106" w:name="_Toc52962736"/>
      <w:bookmarkStart w:id="107" w:name="_Toc46772250"/>
      <w:bookmarkStart w:id="108" w:name="_Toc48688798"/>
      <w:bookmarkStart w:id="109" w:name="_Toc46771649"/>
      <w:bookmarkStart w:id="110" w:name="_Toc48846118"/>
      <w:bookmarkStart w:id="111" w:name="_Toc51674220"/>
      <w:bookmarkStart w:id="112" w:name="_Toc52960562"/>
      <w:bookmarkStart w:id="113" w:name="_Toc109897444"/>
      <w:bookmarkStart w:id="114" w:name="_Toc109900381"/>
      <w:r>
        <w:rPr>
          <w:rFonts w:hint="eastAsia" w:ascii="宋体" w:hAnsi="宋体" w:eastAsia="宋体" w:cs="宋体"/>
          <w:b/>
          <w:bCs/>
          <w:i w:val="0"/>
          <w:iCs w:val="0"/>
          <w:color w:val="auto"/>
          <w:kern w:val="2"/>
          <w:sz w:val="24"/>
          <w:szCs w:val="24"/>
          <w:highlight w:val="none"/>
          <w:lang w:val="en-US" w:eastAsia="zh-CN" w:bidi="ar-SA"/>
        </w:rPr>
        <w:t>13.响应文件的</w:t>
      </w:r>
      <w:bookmarkEnd w:id="102"/>
      <w:bookmarkEnd w:id="103"/>
      <w:bookmarkEnd w:id="104"/>
      <w:bookmarkEnd w:id="105"/>
      <w:bookmarkEnd w:id="106"/>
      <w:bookmarkEnd w:id="107"/>
      <w:bookmarkEnd w:id="108"/>
      <w:bookmarkEnd w:id="109"/>
      <w:bookmarkEnd w:id="110"/>
      <w:bookmarkEnd w:id="111"/>
      <w:bookmarkEnd w:id="112"/>
      <w:bookmarkEnd w:id="113"/>
      <w:bookmarkEnd w:id="114"/>
      <w:r>
        <w:rPr>
          <w:rFonts w:hint="eastAsia" w:ascii="宋体" w:hAnsi="宋体" w:eastAsia="宋体" w:cs="宋体"/>
          <w:b/>
          <w:bCs/>
          <w:i w:val="0"/>
          <w:iCs w:val="0"/>
          <w:color w:val="auto"/>
          <w:kern w:val="2"/>
          <w:sz w:val="24"/>
          <w:szCs w:val="24"/>
          <w:highlight w:val="none"/>
          <w:lang w:val="en-US" w:eastAsia="zh-CN" w:bidi="ar-SA"/>
        </w:rPr>
        <w:t>组成</w:t>
      </w:r>
    </w:p>
    <w:p w14:paraId="174A0A3D">
      <w:pPr>
        <w:pStyle w:val="57"/>
        <w:keepNext w:val="0"/>
        <w:keepLines w:val="0"/>
        <w:pageBreakBefore w:val="0"/>
        <w:widowControl w:val="0"/>
        <w:shd w:val="clear" w:color="auto" w:fill="auto"/>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i w:val="0"/>
          <w:iCs w:val="0"/>
          <w:color w:val="auto"/>
          <w:kern w:val="2"/>
          <w:sz w:val="24"/>
          <w:szCs w:val="24"/>
          <w:highlight w:val="none"/>
        </w:rPr>
      </w:pPr>
      <w:r>
        <w:rPr>
          <w:rFonts w:hint="eastAsia" w:ascii="宋体" w:hAnsi="宋体" w:eastAsia="宋体" w:cs="宋体"/>
          <w:i w:val="0"/>
          <w:iCs w:val="0"/>
          <w:color w:val="auto"/>
          <w:kern w:val="2"/>
          <w:sz w:val="24"/>
          <w:szCs w:val="24"/>
          <w:highlight w:val="none"/>
          <w:lang w:val="en-US" w:eastAsia="zh-CN"/>
        </w:rPr>
        <w:t>13</w:t>
      </w:r>
      <w:r>
        <w:rPr>
          <w:rFonts w:hint="eastAsia" w:ascii="宋体" w:hAnsi="宋体" w:eastAsia="宋体" w:cs="宋体"/>
          <w:i w:val="0"/>
          <w:iCs w:val="0"/>
          <w:color w:val="auto"/>
          <w:kern w:val="2"/>
          <w:sz w:val="24"/>
          <w:szCs w:val="24"/>
          <w:highlight w:val="none"/>
        </w:rPr>
        <w:t>.1</w:t>
      </w:r>
      <w:r>
        <w:rPr>
          <w:rFonts w:hint="eastAsia" w:ascii="宋体" w:hAnsi="宋体" w:eastAsia="宋体" w:cs="宋体"/>
          <w:i w:val="0"/>
          <w:iCs w:val="0"/>
          <w:color w:val="auto"/>
          <w:kern w:val="2"/>
          <w:sz w:val="24"/>
          <w:szCs w:val="24"/>
          <w:highlight w:val="none"/>
          <w:lang w:val="en-US" w:eastAsia="zh-CN"/>
        </w:rPr>
        <w:t>供应商</w:t>
      </w:r>
      <w:r>
        <w:rPr>
          <w:rFonts w:hint="eastAsia" w:ascii="宋体" w:hAnsi="宋体" w:eastAsia="宋体" w:cs="宋体"/>
          <w:i w:val="0"/>
          <w:iCs w:val="0"/>
          <w:color w:val="auto"/>
          <w:kern w:val="2"/>
          <w:sz w:val="24"/>
          <w:szCs w:val="24"/>
          <w:highlight w:val="none"/>
        </w:rPr>
        <w:t>应完整地按竞争性</w:t>
      </w:r>
      <w:r>
        <w:rPr>
          <w:rFonts w:hint="eastAsia" w:ascii="宋体" w:hAnsi="宋体" w:eastAsia="宋体" w:cs="宋体"/>
          <w:i w:val="0"/>
          <w:iCs w:val="0"/>
          <w:color w:val="auto"/>
          <w:kern w:val="2"/>
          <w:sz w:val="24"/>
          <w:szCs w:val="24"/>
          <w:highlight w:val="none"/>
          <w:lang w:val="zh-CN"/>
        </w:rPr>
        <w:t>磋商</w:t>
      </w:r>
      <w:r>
        <w:rPr>
          <w:rFonts w:hint="eastAsia" w:ascii="宋体" w:hAnsi="宋体" w:eastAsia="宋体" w:cs="宋体"/>
          <w:i w:val="0"/>
          <w:iCs w:val="0"/>
          <w:color w:val="auto"/>
          <w:kern w:val="2"/>
          <w:sz w:val="24"/>
          <w:szCs w:val="24"/>
          <w:highlight w:val="none"/>
        </w:rPr>
        <w:t>文件提供的</w:t>
      </w:r>
      <w:r>
        <w:rPr>
          <w:rFonts w:hint="eastAsia" w:ascii="宋体" w:hAnsi="宋体" w:eastAsia="宋体" w:cs="宋体"/>
          <w:i w:val="0"/>
          <w:iCs w:val="0"/>
          <w:color w:val="auto"/>
          <w:kern w:val="2"/>
          <w:sz w:val="24"/>
          <w:szCs w:val="24"/>
          <w:highlight w:val="none"/>
          <w:lang w:val="en-US" w:eastAsia="zh-CN"/>
        </w:rPr>
        <w:t>响应</w:t>
      </w:r>
      <w:r>
        <w:rPr>
          <w:rFonts w:hint="eastAsia" w:ascii="宋体" w:hAnsi="宋体" w:eastAsia="宋体" w:cs="宋体"/>
          <w:i w:val="0"/>
          <w:iCs w:val="0"/>
          <w:color w:val="auto"/>
          <w:kern w:val="2"/>
          <w:sz w:val="24"/>
          <w:szCs w:val="24"/>
          <w:highlight w:val="none"/>
        </w:rPr>
        <w:t>文件格式及要求编写</w:t>
      </w:r>
      <w:r>
        <w:rPr>
          <w:rFonts w:hint="eastAsia" w:ascii="宋体" w:hAnsi="宋体" w:eastAsia="宋体" w:cs="宋体"/>
          <w:i w:val="0"/>
          <w:iCs w:val="0"/>
          <w:color w:val="auto"/>
          <w:kern w:val="2"/>
          <w:sz w:val="24"/>
          <w:szCs w:val="24"/>
          <w:highlight w:val="none"/>
          <w:lang w:val="en-US" w:eastAsia="zh-CN"/>
        </w:rPr>
        <w:t>响应</w:t>
      </w:r>
      <w:r>
        <w:rPr>
          <w:rFonts w:hint="eastAsia" w:ascii="宋体" w:hAnsi="宋体" w:eastAsia="宋体" w:cs="宋体"/>
          <w:i w:val="0"/>
          <w:iCs w:val="0"/>
          <w:color w:val="auto"/>
          <w:kern w:val="2"/>
          <w:sz w:val="24"/>
          <w:szCs w:val="24"/>
          <w:highlight w:val="none"/>
        </w:rPr>
        <w:t>文件，具体内容详见</w:t>
      </w:r>
      <w:r>
        <w:rPr>
          <w:rFonts w:hint="eastAsia" w:ascii="宋体" w:hAnsi="宋体" w:eastAsia="宋体" w:cs="宋体"/>
          <w:i w:val="0"/>
          <w:iCs w:val="0"/>
          <w:color w:val="auto"/>
          <w:kern w:val="2"/>
          <w:sz w:val="24"/>
          <w:szCs w:val="24"/>
          <w:highlight w:val="none"/>
          <w:lang w:eastAsia="zh-CN"/>
        </w:rPr>
        <w:t>“</w:t>
      </w:r>
      <w:r>
        <w:rPr>
          <w:rFonts w:hint="eastAsia" w:ascii="宋体" w:hAnsi="宋体" w:eastAsia="宋体" w:cs="宋体"/>
          <w:i w:val="0"/>
          <w:iCs w:val="0"/>
          <w:color w:val="auto"/>
          <w:kern w:val="2"/>
          <w:sz w:val="24"/>
          <w:szCs w:val="24"/>
          <w:highlight w:val="none"/>
          <w:lang w:val="en-US" w:eastAsia="zh-CN"/>
        </w:rPr>
        <w:t>第六章 响应</w:t>
      </w:r>
      <w:r>
        <w:rPr>
          <w:rFonts w:hint="eastAsia" w:ascii="宋体" w:hAnsi="宋体" w:eastAsia="宋体" w:cs="宋体"/>
          <w:i w:val="0"/>
          <w:iCs w:val="0"/>
          <w:color w:val="auto"/>
          <w:kern w:val="2"/>
          <w:sz w:val="24"/>
          <w:szCs w:val="24"/>
          <w:highlight w:val="none"/>
        </w:rPr>
        <w:t>文件</w:t>
      </w:r>
      <w:r>
        <w:rPr>
          <w:rFonts w:hint="eastAsia" w:ascii="宋体" w:hAnsi="宋体" w:eastAsia="宋体" w:cs="宋体"/>
          <w:i w:val="0"/>
          <w:iCs w:val="0"/>
          <w:color w:val="auto"/>
          <w:kern w:val="2"/>
          <w:sz w:val="24"/>
          <w:szCs w:val="24"/>
          <w:highlight w:val="none"/>
          <w:lang w:val="en-US" w:eastAsia="zh-CN"/>
        </w:rPr>
        <w:t>的</w:t>
      </w:r>
      <w:r>
        <w:rPr>
          <w:rFonts w:hint="eastAsia" w:ascii="宋体" w:hAnsi="宋体" w:eastAsia="宋体" w:cs="宋体"/>
          <w:i w:val="0"/>
          <w:iCs w:val="0"/>
          <w:color w:val="auto"/>
          <w:kern w:val="2"/>
          <w:sz w:val="24"/>
          <w:szCs w:val="24"/>
          <w:highlight w:val="none"/>
        </w:rPr>
        <w:t>格式</w:t>
      </w:r>
      <w:r>
        <w:rPr>
          <w:rFonts w:hint="eastAsia" w:ascii="宋体" w:hAnsi="宋体" w:eastAsia="宋体" w:cs="宋体"/>
          <w:i w:val="0"/>
          <w:iCs w:val="0"/>
          <w:color w:val="auto"/>
          <w:kern w:val="2"/>
          <w:sz w:val="24"/>
          <w:szCs w:val="24"/>
          <w:highlight w:val="none"/>
          <w:lang w:eastAsia="zh-CN"/>
        </w:rPr>
        <w:t>”</w:t>
      </w:r>
      <w:r>
        <w:rPr>
          <w:rFonts w:hint="eastAsia" w:ascii="宋体" w:hAnsi="宋体" w:eastAsia="宋体" w:cs="宋体"/>
          <w:i w:val="0"/>
          <w:iCs w:val="0"/>
          <w:color w:val="auto"/>
          <w:kern w:val="2"/>
          <w:sz w:val="24"/>
          <w:szCs w:val="24"/>
          <w:highlight w:val="none"/>
        </w:rPr>
        <w:t>的相关内容。</w:t>
      </w:r>
    </w:p>
    <w:p w14:paraId="3BB3A0B7">
      <w:pPr>
        <w:pStyle w:val="57"/>
        <w:keepNext w:val="0"/>
        <w:keepLines w:val="0"/>
        <w:pageBreakBefore w:val="0"/>
        <w:widowControl w:val="0"/>
        <w:shd w:val="clear" w:color="auto" w:fill="auto"/>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i w:val="0"/>
          <w:iCs w:val="0"/>
          <w:color w:val="auto"/>
          <w:kern w:val="2"/>
          <w:sz w:val="24"/>
          <w:szCs w:val="24"/>
          <w:highlight w:val="none"/>
          <w:lang w:val="en-US" w:eastAsia="zh-CN"/>
        </w:rPr>
      </w:pPr>
      <w:r>
        <w:rPr>
          <w:rFonts w:hint="eastAsia" w:ascii="宋体" w:hAnsi="宋体" w:eastAsia="宋体" w:cs="宋体"/>
          <w:i w:val="0"/>
          <w:iCs w:val="0"/>
          <w:color w:val="auto"/>
          <w:kern w:val="2"/>
          <w:sz w:val="24"/>
          <w:szCs w:val="24"/>
          <w:highlight w:val="none"/>
          <w:lang w:val="en-US" w:eastAsia="zh-CN"/>
        </w:rPr>
        <w:t>13.2供应商</w:t>
      </w:r>
      <w:r>
        <w:rPr>
          <w:rFonts w:hint="eastAsia" w:ascii="宋体" w:hAnsi="宋体" w:eastAsia="宋体" w:cs="宋体"/>
          <w:i w:val="0"/>
          <w:iCs w:val="0"/>
          <w:color w:val="auto"/>
          <w:kern w:val="2"/>
          <w:sz w:val="24"/>
          <w:szCs w:val="24"/>
          <w:highlight w:val="none"/>
        </w:rPr>
        <w:t>应提交竞争性</w:t>
      </w:r>
      <w:r>
        <w:rPr>
          <w:rFonts w:hint="eastAsia" w:ascii="宋体" w:hAnsi="宋体" w:eastAsia="宋体" w:cs="宋体"/>
          <w:i w:val="0"/>
          <w:iCs w:val="0"/>
          <w:color w:val="auto"/>
          <w:kern w:val="2"/>
          <w:sz w:val="24"/>
          <w:szCs w:val="24"/>
          <w:highlight w:val="none"/>
          <w:lang w:val="zh-CN"/>
        </w:rPr>
        <w:t>磋商</w:t>
      </w:r>
      <w:r>
        <w:rPr>
          <w:rFonts w:hint="eastAsia" w:ascii="宋体" w:hAnsi="宋体" w:eastAsia="宋体" w:cs="宋体"/>
          <w:i w:val="0"/>
          <w:iCs w:val="0"/>
          <w:color w:val="auto"/>
          <w:kern w:val="2"/>
          <w:sz w:val="24"/>
          <w:szCs w:val="24"/>
          <w:highlight w:val="none"/>
        </w:rPr>
        <w:t>文件要求的证明文件，证明其</w:t>
      </w:r>
      <w:r>
        <w:rPr>
          <w:rFonts w:hint="eastAsia" w:ascii="宋体" w:hAnsi="宋体" w:eastAsia="宋体" w:cs="宋体"/>
          <w:i w:val="0"/>
          <w:iCs w:val="0"/>
          <w:color w:val="auto"/>
          <w:kern w:val="2"/>
          <w:sz w:val="24"/>
          <w:szCs w:val="24"/>
          <w:highlight w:val="none"/>
          <w:lang w:val="en-US" w:eastAsia="zh-CN"/>
        </w:rPr>
        <w:t>响应</w:t>
      </w:r>
      <w:r>
        <w:rPr>
          <w:rFonts w:hint="eastAsia" w:ascii="宋体" w:hAnsi="宋体" w:eastAsia="宋体" w:cs="宋体"/>
          <w:i w:val="0"/>
          <w:iCs w:val="0"/>
          <w:color w:val="auto"/>
          <w:kern w:val="2"/>
          <w:sz w:val="24"/>
          <w:szCs w:val="24"/>
          <w:highlight w:val="none"/>
        </w:rPr>
        <w:t>内容符合竞争性</w:t>
      </w:r>
      <w:r>
        <w:rPr>
          <w:rFonts w:hint="eastAsia" w:ascii="宋体" w:hAnsi="宋体" w:eastAsia="宋体" w:cs="宋体"/>
          <w:i w:val="0"/>
          <w:iCs w:val="0"/>
          <w:color w:val="auto"/>
          <w:kern w:val="2"/>
          <w:sz w:val="24"/>
          <w:szCs w:val="24"/>
          <w:highlight w:val="none"/>
          <w:lang w:val="zh-CN"/>
        </w:rPr>
        <w:t>磋商</w:t>
      </w:r>
      <w:r>
        <w:rPr>
          <w:rFonts w:hint="eastAsia" w:ascii="宋体" w:hAnsi="宋体" w:eastAsia="宋体" w:cs="宋体"/>
          <w:i w:val="0"/>
          <w:iCs w:val="0"/>
          <w:color w:val="auto"/>
          <w:kern w:val="2"/>
          <w:sz w:val="24"/>
          <w:szCs w:val="24"/>
          <w:highlight w:val="none"/>
        </w:rPr>
        <w:t>文件规定</w:t>
      </w:r>
      <w:r>
        <w:rPr>
          <w:rFonts w:hint="eastAsia" w:ascii="宋体" w:hAnsi="宋体" w:eastAsia="宋体" w:cs="宋体"/>
          <w:i w:val="0"/>
          <w:iCs w:val="0"/>
          <w:color w:val="auto"/>
          <w:kern w:val="2"/>
          <w:sz w:val="24"/>
          <w:szCs w:val="24"/>
          <w:highlight w:val="none"/>
          <w:lang w:eastAsia="zh-CN"/>
        </w:rPr>
        <w:t>，</w:t>
      </w:r>
      <w:r>
        <w:rPr>
          <w:rFonts w:hint="eastAsia" w:ascii="宋体" w:hAnsi="宋体" w:eastAsia="宋体" w:cs="宋体"/>
          <w:i w:val="0"/>
          <w:iCs w:val="0"/>
          <w:color w:val="auto"/>
          <w:kern w:val="2"/>
          <w:sz w:val="24"/>
          <w:szCs w:val="24"/>
          <w:highlight w:val="none"/>
        </w:rPr>
        <w:t>该证明文件是</w:t>
      </w:r>
      <w:r>
        <w:rPr>
          <w:rFonts w:hint="eastAsia" w:ascii="宋体" w:hAnsi="宋体" w:eastAsia="宋体" w:cs="宋体"/>
          <w:i w:val="0"/>
          <w:iCs w:val="0"/>
          <w:color w:val="auto"/>
          <w:kern w:val="2"/>
          <w:sz w:val="24"/>
          <w:szCs w:val="24"/>
          <w:highlight w:val="none"/>
          <w:lang w:val="en-US" w:eastAsia="zh-CN"/>
        </w:rPr>
        <w:t>响应</w:t>
      </w:r>
      <w:r>
        <w:rPr>
          <w:rFonts w:hint="eastAsia" w:ascii="宋体" w:hAnsi="宋体" w:eastAsia="宋体" w:cs="宋体"/>
          <w:i w:val="0"/>
          <w:iCs w:val="0"/>
          <w:color w:val="auto"/>
          <w:kern w:val="2"/>
          <w:sz w:val="24"/>
          <w:szCs w:val="24"/>
          <w:highlight w:val="none"/>
        </w:rPr>
        <w:t>文件的一部分</w:t>
      </w:r>
      <w:r>
        <w:rPr>
          <w:rFonts w:hint="eastAsia" w:ascii="宋体" w:hAnsi="宋体" w:eastAsia="宋体" w:cs="宋体"/>
          <w:i w:val="0"/>
          <w:iCs w:val="0"/>
          <w:color w:val="auto"/>
          <w:kern w:val="2"/>
          <w:sz w:val="24"/>
          <w:szCs w:val="24"/>
          <w:highlight w:val="none"/>
          <w:lang w:eastAsia="zh-CN"/>
        </w:rPr>
        <w:t>。</w:t>
      </w:r>
      <w:r>
        <w:rPr>
          <w:rFonts w:hint="eastAsia" w:ascii="宋体" w:hAnsi="宋体" w:eastAsia="宋体" w:cs="宋体"/>
          <w:i w:val="0"/>
          <w:iCs w:val="0"/>
          <w:color w:val="auto"/>
          <w:kern w:val="2"/>
          <w:sz w:val="24"/>
          <w:szCs w:val="24"/>
          <w:highlight w:val="none"/>
        </w:rPr>
        <w:t>证明文件</w:t>
      </w:r>
      <w:r>
        <w:rPr>
          <w:rFonts w:hint="eastAsia" w:ascii="宋体" w:hAnsi="宋体" w:eastAsia="宋体" w:cs="宋体"/>
          <w:i w:val="0"/>
          <w:iCs w:val="0"/>
          <w:color w:val="auto"/>
          <w:kern w:val="2"/>
          <w:sz w:val="24"/>
          <w:szCs w:val="24"/>
          <w:highlight w:val="none"/>
          <w:lang w:val="en-US" w:eastAsia="zh-CN"/>
        </w:rPr>
        <w:t>形式</w:t>
      </w:r>
      <w:r>
        <w:rPr>
          <w:rFonts w:hint="eastAsia" w:ascii="宋体" w:hAnsi="宋体" w:eastAsia="宋体" w:cs="宋体"/>
          <w:i w:val="0"/>
          <w:iCs w:val="0"/>
          <w:color w:val="auto"/>
          <w:kern w:val="2"/>
          <w:sz w:val="24"/>
          <w:szCs w:val="24"/>
          <w:highlight w:val="none"/>
        </w:rPr>
        <w:t>可以是文字资料、图纸和数据</w:t>
      </w:r>
      <w:bookmarkStart w:id="115" w:name="_Hlk11703583"/>
      <w:r>
        <w:rPr>
          <w:rFonts w:hint="eastAsia" w:ascii="宋体" w:hAnsi="宋体" w:eastAsia="宋体" w:cs="宋体"/>
          <w:i w:val="0"/>
          <w:iCs w:val="0"/>
          <w:color w:val="auto"/>
          <w:kern w:val="2"/>
          <w:sz w:val="24"/>
          <w:szCs w:val="24"/>
          <w:highlight w:val="none"/>
          <w:lang w:val="en-US" w:eastAsia="zh-CN"/>
        </w:rPr>
        <w:t>等。</w:t>
      </w:r>
    </w:p>
    <w:bookmarkEnd w:id="115"/>
    <w:p w14:paraId="781BBAEB">
      <w:pPr>
        <w:pStyle w:val="57"/>
        <w:keepNext w:val="0"/>
        <w:keepLines w:val="0"/>
        <w:pageBreakBefore w:val="0"/>
        <w:widowControl w:val="0"/>
        <w:shd w:val="clear" w:color="auto" w:fill="auto"/>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i w:val="0"/>
          <w:iCs w:val="0"/>
          <w:color w:val="auto"/>
          <w:kern w:val="2"/>
          <w:sz w:val="24"/>
          <w:szCs w:val="24"/>
          <w:highlight w:val="none"/>
          <w:lang w:val="en-US" w:eastAsia="zh-CN"/>
        </w:rPr>
      </w:pPr>
      <w:r>
        <w:rPr>
          <w:rFonts w:hint="eastAsia" w:ascii="宋体" w:hAnsi="宋体" w:eastAsia="宋体" w:cs="宋体"/>
          <w:i w:val="0"/>
          <w:iCs w:val="0"/>
          <w:color w:val="auto"/>
          <w:kern w:val="2"/>
          <w:sz w:val="24"/>
          <w:szCs w:val="24"/>
          <w:highlight w:val="none"/>
          <w:lang w:val="en-US" w:eastAsia="zh-CN"/>
        </w:rPr>
        <w:t>13.3</w:t>
      </w:r>
      <w:r>
        <w:rPr>
          <w:rFonts w:hint="eastAsia" w:ascii="宋体" w:hAnsi="宋体" w:eastAsia="宋体" w:cs="宋体"/>
          <w:i w:val="0"/>
          <w:iCs w:val="0"/>
          <w:color w:val="auto"/>
          <w:kern w:val="2"/>
          <w:sz w:val="24"/>
          <w:szCs w:val="24"/>
          <w:highlight w:val="none"/>
        </w:rPr>
        <w:t>为保证公平公正，除非</w:t>
      </w:r>
      <w:r>
        <w:rPr>
          <w:rFonts w:hint="eastAsia" w:ascii="宋体" w:hAnsi="宋体" w:eastAsia="宋体" w:cs="宋体"/>
          <w:i w:val="0"/>
          <w:iCs w:val="0"/>
          <w:color w:val="auto"/>
          <w:kern w:val="2"/>
          <w:sz w:val="24"/>
          <w:szCs w:val="24"/>
          <w:highlight w:val="none"/>
          <w:lang w:val="en-US" w:eastAsia="zh-CN"/>
        </w:rPr>
        <w:t>本磋商文件</w:t>
      </w:r>
      <w:r>
        <w:rPr>
          <w:rFonts w:hint="eastAsia" w:ascii="宋体" w:hAnsi="宋体" w:eastAsia="宋体" w:cs="宋体"/>
          <w:i w:val="0"/>
          <w:iCs w:val="0"/>
          <w:color w:val="auto"/>
          <w:kern w:val="2"/>
          <w:sz w:val="24"/>
          <w:szCs w:val="24"/>
          <w:highlight w:val="none"/>
        </w:rPr>
        <w:t>另有规定或说明，</w:t>
      </w:r>
      <w:r>
        <w:rPr>
          <w:rFonts w:hint="eastAsia" w:ascii="宋体" w:hAnsi="宋体" w:eastAsia="宋体" w:cs="宋体"/>
          <w:i w:val="0"/>
          <w:iCs w:val="0"/>
          <w:color w:val="auto"/>
          <w:kern w:val="2"/>
          <w:sz w:val="24"/>
          <w:szCs w:val="24"/>
          <w:highlight w:val="none"/>
          <w:lang w:val="en-US" w:eastAsia="zh-CN"/>
        </w:rPr>
        <w:t>供应商</w:t>
      </w:r>
      <w:r>
        <w:rPr>
          <w:rFonts w:hint="eastAsia" w:ascii="宋体" w:hAnsi="宋体" w:eastAsia="宋体" w:cs="宋体"/>
          <w:i w:val="0"/>
          <w:iCs w:val="0"/>
          <w:color w:val="auto"/>
          <w:kern w:val="2"/>
          <w:sz w:val="24"/>
          <w:szCs w:val="24"/>
          <w:highlight w:val="none"/>
        </w:rPr>
        <w:t>对同一项目</w:t>
      </w:r>
      <w:r>
        <w:rPr>
          <w:rFonts w:hint="eastAsia" w:ascii="宋体" w:hAnsi="宋体" w:eastAsia="宋体" w:cs="宋体"/>
          <w:i w:val="0"/>
          <w:iCs w:val="0"/>
          <w:color w:val="auto"/>
          <w:kern w:val="2"/>
          <w:sz w:val="24"/>
          <w:szCs w:val="24"/>
          <w:highlight w:val="none"/>
          <w:lang w:val="en-US" w:eastAsia="zh-CN"/>
        </w:rPr>
        <w:t>响应</w:t>
      </w:r>
      <w:r>
        <w:rPr>
          <w:rFonts w:hint="eastAsia" w:ascii="宋体" w:hAnsi="宋体" w:eastAsia="宋体" w:cs="宋体"/>
          <w:i w:val="0"/>
          <w:iCs w:val="0"/>
          <w:color w:val="auto"/>
          <w:kern w:val="2"/>
          <w:sz w:val="24"/>
          <w:szCs w:val="24"/>
          <w:highlight w:val="none"/>
        </w:rPr>
        <w:t>时，不得同时提供备选</w:t>
      </w:r>
      <w:r>
        <w:rPr>
          <w:rFonts w:hint="eastAsia" w:ascii="宋体" w:hAnsi="宋体" w:eastAsia="宋体" w:cs="宋体"/>
          <w:i w:val="0"/>
          <w:iCs w:val="0"/>
          <w:color w:val="auto"/>
          <w:kern w:val="2"/>
          <w:sz w:val="24"/>
          <w:szCs w:val="24"/>
          <w:highlight w:val="none"/>
          <w:lang w:val="en-US" w:eastAsia="zh-CN"/>
        </w:rPr>
        <w:t>响应</w:t>
      </w:r>
      <w:r>
        <w:rPr>
          <w:rFonts w:hint="eastAsia" w:ascii="宋体" w:hAnsi="宋体" w:eastAsia="宋体" w:cs="宋体"/>
          <w:i w:val="0"/>
          <w:iCs w:val="0"/>
          <w:color w:val="auto"/>
          <w:kern w:val="2"/>
          <w:sz w:val="24"/>
          <w:szCs w:val="24"/>
          <w:highlight w:val="none"/>
        </w:rPr>
        <w:t>方案。</w:t>
      </w:r>
    </w:p>
    <w:p w14:paraId="5C8E7CA3">
      <w:pPr>
        <w:pStyle w:val="5"/>
        <w:keepNext w:val="0"/>
        <w:keepLines w:val="0"/>
        <w:pageBreakBefore w:val="0"/>
        <w:widowControl w:val="0"/>
        <w:numPr>
          <w:ilvl w:val="0"/>
          <w:numId w:val="0"/>
        </w:numPr>
        <w:kinsoku/>
        <w:wordWrap/>
        <w:overflowPunct/>
        <w:topLinePunct w:val="0"/>
        <w:autoSpaceDE/>
        <w:autoSpaceDN/>
        <w:bidi w:val="0"/>
        <w:adjustRightInd/>
        <w:snapToGrid/>
        <w:spacing w:before="80" w:after="80" w:line="240" w:lineRule="auto"/>
        <w:ind w:left="420" w:leftChars="0" w:hanging="420" w:firstLineChars="0"/>
        <w:textAlignment w:val="auto"/>
        <w:rPr>
          <w:rFonts w:hint="eastAsia" w:ascii="宋体" w:hAnsi="宋体" w:eastAsia="宋体" w:cs="宋体"/>
          <w:b/>
          <w:bCs/>
          <w:i w:val="0"/>
          <w:iCs w:val="0"/>
          <w:color w:val="auto"/>
          <w:kern w:val="2"/>
          <w:sz w:val="24"/>
          <w:szCs w:val="24"/>
          <w:highlight w:val="none"/>
          <w:lang w:val="en-US" w:eastAsia="zh-CN" w:bidi="ar-SA"/>
        </w:rPr>
      </w:pPr>
      <w:bookmarkStart w:id="116" w:name="_Toc52962738"/>
      <w:bookmarkStart w:id="117" w:name="_Toc52960564"/>
      <w:bookmarkStart w:id="118" w:name="_Toc470172676"/>
      <w:bookmarkStart w:id="119" w:name="_Toc51674222"/>
      <w:bookmarkStart w:id="120" w:name="_Toc46772252"/>
      <w:bookmarkStart w:id="121" w:name="_Toc109899545"/>
      <w:bookmarkStart w:id="122" w:name="_Toc48688800"/>
      <w:bookmarkStart w:id="123" w:name="_Toc46771651"/>
      <w:bookmarkStart w:id="124" w:name="_Toc109897446"/>
      <w:bookmarkStart w:id="125" w:name="_Toc48846120"/>
      <w:bookmarkStart w:id="126" w:name="_Toc24544"/>
      <w:bookmarkStart w:id="127" w:name="_Toc109900383"/>
      <w:bookmarkStart w:id="128" w:name="_Toc109899964"/>
      <w:bookmarkStart w:id="129" w:name="_Toc51674221"/>
      <w:bookmarkStart w:id="130" w:name="_Toc25217"/>
      <w:bookmarkStart w:id="131" w:name="_Toc48688799"/>
      <w:bookmarkStart w:id="132" w:name="_Toc109899544"/>
      <w:bookmarkStart w:id="133" w:name="_Toc470172675"/>
      <w:bookmarkStart w:id="134" w:name="_Toc52960563"/>
      <w:bookmarkStart w:id="135" w:name="_Toc52962737"/>
      <w:bookmarkStart w:id="136" w:name="_Toc48846119"/>
      <w:bookmarkStart w:id="137" w:name="_Toc46772251"/>
      <w:bookmarkStart w:id="138" w:name="_Toc109900382"/>
      <w:bookmarkStart w:id="139" w:name="_Toc109897445"/>
      <w:bookmarkStart w:id="140" w:name="_Toc109899963"/>
      <w:bookmarkStart w:id="141" w:name="_Toc46771650"/>
      <w:r>
        <w:rPr>
          <w:rFonts w:hint="eastAsia" w:ascii="宋体" w:hAnsi="宋体" w:eastAsia="宋体" w:cs="宋体"/>
          <w:b/>
          <w:bCs/>
          <w:i w:val="0"/>
          <w:iCs w:val="0"/>
          <w:color w:val="auto"/>
          <w:kern w:val="2"/>
          <w:sz w:val="24"/>
          <w:szCs w:val="24"/>
          <w:highlight w:val="none"/>
          <w:lang w:val="en-US" w:eastAsia="zh-CN" w:bidi="ar-SA"/>
        </w:rPr>
        <w:t>14.磋商报价</w:t>
      </w:r>
      <w:bookmarkEnd w:id="116"/>
      <w:bookmarkEnd w:id="117"/>
      <w:bookmarkEnd w:id="118"/>
      <w:bookmarkEnd w:id="119"/>
      <w:bookmarkEnd w:id="120"/>
      <w:bookmarkEnd w:id="121"/>
      <w:bookmarkEnd w:id="122"/>
      <w:bookmarkEnd w:id="123"/>
      <w:bookmarkEnd w:id="124"/>
      <w:bookmarkEnd w:id="125"/>
      <w:bookmarkEnd w:id="126"/>
      <w:bookmarkEnd w:id="127"/>
      <w:bookmarkEnd w:id="128"/>
    </w:p>
    <w:p w14:paraId="0640D6E7">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snapToGrid w:val="0"/>
          <w:color w:val="auto"/>
          <w:sz w:val="24"/>
          <w:szCs w:val="24"/>
          <w:highlight w:val="none"/>
          <w:lang w:val="zh-CN"/>
        </w:rPr>
      </w:pPr>
      <w:r>
        <w:rPr>
          <w:rFonts w:hint="eastAsia" w:ascii="宋体" w:hAnsi="宋体" w:eastAsia="宋体" w:cs="宋体"/>
          <w:i w:val="0"/>
          <w:iCs w:val="0"/>
          <w:snapToGrid w:val="0"/>
          <w:color w:val="auto"/>
          <w:sz w:val="24"/>
          <w:szCs w:val="24"/>
          <w:highlight w:val="none"/>
          <w:lang w:val="zh-CN"/>
        </w:rPr>
        <w:t>1</w:t>
      </w:r>
      <w:r>
        <w:rPr>
          <w:rFonts w:hint="eastAsia" w:ascii="宋体" w:hAnsi="宋体" w:eastAsia="宋体" w:cs="宋体"/>
          <w:i w:val="0"/>
          <w:iCs w:val="0"/>
          <w:snapToGrid w:val="0"/>
          <w:color w:val="auto"/>
          <w:sz w:val="24"/>
          <w:szCs w:val="24"/>
          <w:highlight w:val="none"/>
          <w:lang w:val="en-US" w:eastAsia="zh-CN"/>
        </w:rPr>
        <w:t>4</w:t>
      </w:r>
      <w:r>
        <w:rPr>
          <w:rFonts w:hint="eastAsia" w:ascii="宋体" w:hAnsi="宋体" w:eastAsia="宋体" w:cs="宋体"/>
          <w:i w:val="0"/>
          <w:iCs w:val="0"/>
          <w:snapToGrid w:val="0"/>
          <w:color w:val="auto"/>
          <w:sz w:val="24"/>
          <w:szCs w:val="24"/>
          <w:highlight w:val="none"/>
          <w:lang w:val="zh-CN"/>
        </w:rPr>
        <w:t>.1磋商供应商的报价均应以人民币报价。磋商报价包括磋商供应商在首次提交的响应文件中的报价、磋商过程中的报价和最后报价，</w:t>
      </w:r>
      <w:r>
        <w:rPr>
          <w:rFonts w:hint="eastAsia" w:ascii="宋体" w:hAnsi="宋体" w:eastAsia="宋体" w:cs="宋体"/>
          <w:i w:val="0"/>
          <w:iCs w:val="0"/>
          <w:snapToGrid w:val="0"/>
          <w:color w:val="auto"/>
          <w:sz w:val="24"/>
          <w:szCs w:val="24"/>
          <w:highlight w:val="none"/>
          <w:lang w:val="en-US" w:eastAsia="zh-CN"/>
        </w:rPr>
        <w:t>且均</w:t>
      </w:r>
      <w:r>
        <w:rPr>
          <w:rFonts w:hint="eastAsia" w:ascii="宋体" w:hAnsi="宋体" w:eastAsia="宋体" w:cs="宋体"/>
          <w:i w:val="0"/>
          <w:iCs w:val="0"/>
          <w:color w:val="auto"/>
          <w:sz w:val="24"/>
          <w:szCs w:val="24"/>
          <w:highlight w:val="none"/>
        </w:rPr>
        <w:t>不得超过</w:t>
      </w:r>
      <w:bookmarkStart w:id="142" w:name="_Hlk161703672"/>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val="en-US" w:eastAsia="zh-CN"/>
        </w:rPr>
        <w:t>第一章 竞争性磋商公告</w:t>
      </w:r>
      <w:r>
        <w:rPr>
          <w:rFonts w:hint="eastAsia" w:ascii="宋体" w:hAnsi="宋体" w:eastAsia="宋体" w:cs="宋体"/>
          <w:i w:val="0"/>
          <w:iCs w:val="0"/>
          <w:color w:val="auto"/>
          <w:sz w:val="24"/>
          <w:szCs w:val="24"/>
          <w:highlight w:val="none"/>
        </w:rPr>
        <w:t>”中规定</w:t>
      </w:r>
      <w:bookmarkEnd w:id="142"/>
      <w:r>
        <w:rPr>
          <w:rFonts w:hint="eastAsia" w:ascii="宋体" w:hAnsi="宋体" w:eastAsia="宋体" w:cs="宋体"/>
          <w:i w:val="0"/>
          <w:iCs w:val="0"/>
          <w:color w:val="auto"/>
          <w:sz w:val="24"/>
          <w:szCs w:val="24"/>
          <w:highlight w:val="none"/>
        </w:rPr>
        <w:t>的</w:t>
      </w:r>
      <w:r>
        <w:rPr>
          <w:rFonts w:hint="eastAsia" w:ascii="宋体" w:hAnsi="宋体" w:eastAsia="宋体" w:cs="宋体"/>
          <w:i w:val="0"/>
          <w:iCs w:val="0"/>
          <w:color w:val="auto"/>
          <w:sz w:val="24"/>
          <w:szCs w:val="24"/>
          <w:highlight w:val="none"/>
          <w:lang w:val="en-US" w:eastAsia="zh-CN"/>
        </w:rPr>
        <w:t>最高限价或者预算金额</w:t>
      </w: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snapToGrid w:val="0"/>
          <w:color w:val="auto"/>
          <w:sz w:val="24"/>
          <w:szCs w:val="24"/>
          <w:highlight w:val="none"/>
          <w:lang w:val="zh-CN"/>
        </w:rPr>
        <w:t>否则其响应文件将被视为</w:t>
      </w:r>
      <w:r>
        <w:rPr>
          <w:rFonts w:hint="eastAsia" w:ascii="宋体" w:hAnsi="宋体" w:eastAsia="宋体" w:cs="宋体"/>
          <w:b/>
          <w:bCs/>
          <w:i w:val="0"/>
          <w:iCs w:val="0"/>
          <w:snapToGrid w:val="0"/>
          <w:color w:val="auto"/>
          <w:sz w:val="24"/>
          <w:szCs w:val="24"/>
          <w:highlight w:val="none"/>
          <w:lang w:val="zh-CN"/>
        </w:rPr>
        <w:t>无效文件</w:t>
      </w:r>
      <w:r>
        <w:rPr>
          <w:rFonts w:hint="eastAsia" w:ascii="宋体" w:hAnsi="宋体" w:eastAsia="宋体" w:cs="宋体"/>
          <w:i w:val="0"/>
          <w:iCs w:val="0"/>
          <w:snapToGrid w:val="0"/>
          <w:color w:val="auto"/>
          <w:sz w:val="24"/>
          <w:szCs w:val="24"/>
          <w:highlight w:val="none"/>
          <w:lang w:val="zh-CN"/>
        </w:rPr>
        <w:t>。</w:t>
      </w:r>
    </w:p>
    <w:p w14:paraId="300639DC">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snapToGrid w:val="0"/>
          <w:color w:val="auto"/>
          <w:sz w:val="24"/>
          <w:szCs w:val="24"/>
          <w:highlight w:val="none"/>
          <w:lang w:val="zh-CN"/>
        </w:rPr>
      </w:pPr>
      <w:r>
        <w:rPr>
          <w:rFonts w:hint="eastAsia" w:ascii="宋体" w:hAnsi="宋体" w:eastAsia="宋体" w:cs="宋体"/>
          <w:i w:val="0"/>
          <w:iCs w:val="0"/>
          <w:snapToGrid w:val="0"/>
          <w:color w:val="auto"/>
          <w:sz w:val="24"/>
          <w:szCs w:val="24"/>
          <w:highlight w:val="none"/>
          <w:lang w:val="zh-CN"/>
        </w:rPr>
        <w:t>1</w:t>
      </w:r>
      <w:r>
        <w:rPr>
          <w:rFonts w:hint="eastAsia" w:ascii="宋体" w:hAnsi="宋体" w:eastAsia="宋体" w:cs="宋体"/>
          <w:i w:val="0"/>
          <w:iCs w:val="0"/>
          <w:snapToGrid w:val="0"/>
          <w:color w:val="auto"/>
          <w:sz w:val="24"/>
          <w:szCs w:val="24"/>
          <w:highlight w:val="none"/>
          <w:lang w:val="en-US" w:eastAsia="zh-CN"/>
        </w:rPr>
        <w:t>4</w:t>
      </w:r>
      <w:r>
        <w:rPr>
          <w:rFonts w:hint="eastAsia" w:ascii="宋体" w:hAnsi="宋体" w:eastAsia="宋体" w:cs="宋体"/>
          <w:i w:val="0"/>
          <w:iCs w:val="0"/>
          <w:snapToGrid w:val="0"/>
          <w:color w:val="auto"/>
          <w:sz w:val="24"/>
          <w:szCs w:val="24"/>
          <w:highlight w:val="none"/>
          <w:lang w:val="zh-CN"/>
        </w:rPr>
        <w:t>.2供应商应按照本磋商文件规定的采购需求及合同条款进行报价，并按磋商文件确定的格式报出。报价中不得包含磋商文件要求以外的内容，否则，在评审时不予核减。报价中也不得缺漏磋商文件所要求的内容，否则，其响应文件将被视为</w:t>
      </w:r>
      <w:r>
        <w:rPr>
          <w:rFonts w:hint="eastAsia" w:ascii="宋体" w:hAnsi="宋体" w:eastAsia="宋体" w:cs="宋体"/>
          <w:b/>
          <w:bCs/>
          <w:i w:val="0"/>
          <w:iCs w:val="0"/>
          <w:snapToGrid w:val="0"/>
          <w:color w:val="auto"/>
          <w:sz w:val="24"/>
          <w:szCs w:val="24"/>
          <w:highlight w:val="none"/>
          <w:lang w:val="zh-CN"/>
        </w:rPr>
        <w:t>无效文件</w:t>
      </w:r>
      <w:r>
        <w:rPr>
          <w:rFonts w:hint="eastAsia" w:ascii="宋体" w:hAnsi="宋体" w:eastAsia="宋体" w:cs="宋体"/>
          <w:i w:val="0"/>
          <w:iCs w:val="0"/>
          <w:snapToGrid w:val="0"/>
          <w:color w:val="auto"/>
          <w:sz w:val="24"/>
          <w:szCs w:val="24"/>
          <w:highlight w:val="none"/>
          <w:lang w:val="zh-CN"/>
        </w:rPr>
        <w:t>。</w:t>
      </w:r>
    </w:p>
    <w:p w14:paraId="487FB398">
      <w:pPr>
        <w:keepNext w:val="0"/>
        <w:keepLines w:val="0"/>
        <w:pageBreakBefore w:val="0"/>
        <w:widowControl w:val="0"/>
        <w:kinsoku/>
        <w:overflowPunct/>
        <w:topLinePunct w:val="0"/>
        <w:autoSpaceDE/>
        <w:autoSpaceDN/>
        <w:bidi w:val="0"/>
        <w:adjustRightInd/>
        <w:ind w:firstLine="480" w:firstLineChars="200"/>
        <w:textAlignment w:val="auto"/>
        <w:rPr>
          <w:rFonts w:hint="eastAsia" w:ascii="宋体" w:hAnsi="宋体" w:eastAsia="宋体" w:cs="宋体"/>
          <w:i w:val="0"/>
          <w:iCs w:val="0"/>
          <w:color w:val="auto"/>
          <w:kern w:val="2"/>
          <w:sz w:val="24"/>
          <w:szCs w:val="24"/>
          <w:highlight w:val="none"/>
        </w:rPr>
      </w:pPr>
      <w:r>
        <w:rPr>
          <w:rFonts w:hint="eastAsia" w:ascii="宋体" w:hAnsi="宋体" w:eastAsia="宋体" w:cs="宋体"/>
          <w:i w:val="0"/>
          <w:iCs w:val="0"/>
          <w:snapToGrid w:val="0"/>
          <w:color w:val="auto"/>
          <w:sz w:val="24"/>
          <w:szCs w:val="24"/>
          <w:highlight w:val="none"/>
          <w:lang w:val="en-US" w:eastAsia="zh-CN"/>
        </w:rPr>
        <w:t>14.3</w:t>
      </w:r>
      <w:r>
        <w:rPr>
          <w:rFonts w:hint="eastAsia" w:ascii="宋体" w:hAnsi="宋体" w:eastAsia="宋体" w:cs="宋体"/>
          <w:i w:val="0"/>
          <w:iCs w:val="0"/>
          <w:snapToGrid w:val="0"/>
          <w:color w:val="auto"/>
          <w:sz w:val="24"/>
          <w:szCs w:val="24"/>
          <w:highlight w:val="none"/>
          <w:lang w:val="zh-CN"/>
        </w:rPr>
        <w:t>供应商</w:t>
      </w:r>
      <w:r>
        <w:rPr>
          <w:rFonts w:hint="eastAsia" w:ascii="宋体" w:hAnsi="宋体" w:eastAsia="宋体" w:cs="宋体"/>
          <w:i w:val="0"/>
          <w:iCs w:val="0"/>
          <w:color w:val="auto"/>
          <w:kern w:val="2"/>
          <w:sz w:val="24"/>
          <w:szCs w:val="24"/>
          <w:highlight w:val="none"/>
          <w:lang w:val="en-US" w:eastAsia="zh-CN"/>
        </w:rPr>
        <w:t>的报价应包括为完成本项目所发生的一切费用和税费，采购人将不再支付报价以外的任何费用。</w:t>
      </w:r>
      <w:r>
        <w:rPr>
          <w:rFonts w:hint="eastAsia" w:ascii="宋体" w:hAnsi="宋体" w:eastAsia="宋体" w:cs="宋体"/>
          <w:i w:val="0"/>
          <w:iCs w:val="0"/>
          <w:color w:val="auto"/>
          <w:kern w:val="2"/>
          <w:sz w:val="24"/>
          <w:szCs w:val="24"/>
          <w:highlight w:val="none"/>
        </w:rPr>
        <w:t>只要投报了一个确定数额的总价，无论分项价格是否全部填报了相应的金额或免费字样，</w:t>
      </w:r>
      <w:r>
        <w:rPr>
          <w:rFonts w:hint="eastAsia" w:ascii="宋体" w:hAnsi="宋体" w:eastAsia="宋体" w:cs="宋体"/>
          <w:i w:val="0"/>
          <w:iCs w:val="0"/>
          <w:color w:val="auto"/>
          <w:kern w:val="2"/>
          <w:sz w:val="24"/>
          <w:szCs w:val="24"/>
          <w:highlight w:val="none"/>
          <w:lang w:val="en-US" w:eastAsia="zh-CN"/>
        </w:rPr>
        <w:t>报价应被视为已经包含了但并不限于本次招标全部采购需求所应提供的服务，以及伴随的货物和工程等的费用和所需缴纳的所有价格、税、费。在其他情况下，由于分项报价填报不完整、不清楚或存在其他任何失误，所导致的任何不利后果均应当由投标人自行承担</w:t>
      </w:r>
      <w:r>
        <w:rPr>
          <w:rFonts w:hint="eastAsia" w:ascii="宋体" w:hAnsi="宋体" w:eastAsia="宋体" w:cs="宋体"/>
          <w:i w:val="0"/>
          <w:iCs w:val="0"/>
          <w:color w:val="auto"/>
          <w:kern w:val="2"/>
          <w:sz w:val="24"/>
          <w:szCs w:val="24"/>
          <w:highlight w:val="none"/>
        </w:rPr>
        <w:t>。</w:t>
      </w:r>
    </w:p>
    <w:p w14:paraId="2ACD190C">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snapToGrid w:val="0"/>
          <w:color w:val="auto"/>
          <w:sz w:val="24"/>
          <w:szCs w:val="24"/>
          <w:highlight w:val="none"/>
          <w:lang w:val="zh-CN"/>
        </w:rPr>
      </w:pPr>
      <w:r>
        <w:rPr>
          <w:rFonts w:hint="eastAsia" w:ascii="宋体" w:hAnsi="宋体" w:eastAsia="宋体" w:cs="宋体"/>
          <w:i w:val="0"/>
          <w:iCs w:val="0"/>
          <w:color w:val="auto"/>
          <w:kern w:val="2"/>
          <w:sz w:val="24"/>
          <w:szCs w:val="24"/>
          <w:highlight w:val="none"/>
          <w:lang w:val="en-US" w:eastAsia="zh-CN" w:bidi="ar-SA"/>
        </w:rPr>
        <w:t>14.4供应商的报价应包括但不限于按照竞争性磋商文件要求完成本项目的全部相关费用</w:t>
      </w:r>
      <w:r>
        <w:rPr>
          <w:rFonts w:hint="eastAsia" w:ascii="宋体" w:hAnsi="宋体" w:eastAsia="宋体" w:cs="宋体"/>
          <w:i w:val="0"/>
          <w:iCs w:val="0"/>
          <w:color w:val="auto"/>
          <w:kern w:val="2"/>
          <w:sz w:val="24"/>
          <w:szCs w:val="24"/>
          <w:highlight w:val="none"/>
          <w:lang w:val="en-US" w:eastAsia="zh-CN"/>
        </w:rPr>
        <w:t>。</w:t>
      </w:r>
    </w:p>
    <w:p w14:paraId="11C9B78F">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snapToGrid w:val="0"/>
          <w:color w:val="auto"/>
          <w:sz w:val="24"/>
          <w:szCs w:val="24"/>
          <w:highlight w:val="none"/>
          <w:lang w:val="zh-CN"/>
        </w:rPr>
      </w:pPr>
      <w:r>
        <w:rPr>
          <w:rFonts w:hint="eastAsia" w:ascii="宋体" w:hAnsi="宋体" w:eastAsia="宋体" w:cs="宋体"/>
          <w:i w:val="0"/>
          <w:iCs w:val="0"/>
          <w:snapToGrid w:val="0"/>
          <w:color w:val="auto"/>
          <w:sz w:val="24"/>
          <w:szCs w:val="24"/>
          <w:highlight w:val="none"/>
          <w:lang w:val="zh-CN"/>
        </w:rPr>
        <w:t>1</w:t>
      </w:r>
      <w:r>
        <w:rPr>
          <w:rFonts w:hint="eastAsia" w:ascii="宋体" w:hAnsi="宋体" w:eastAsia="宋体" w:cs="宋体"/>
          <w:i w:val="0"/>
          <w:iCs w:val="0"/>
          <w:snapToGrid w:val="0"/>
          <w:color w:val="auto"/>
          <w:sz w:val="24"/>
          <w:szCs w:val="24"/>
          <w:highlight w:val="none"/>
          <w:lang w:val="en-US" w:eastAsia="zh-CN"/>
        </w:rPr>
        <w:t>4</w:t>
      </w:r>
      <w:r>
        <w:rPr>
          <w:rFonts w:hint="eastAsia" w:ascii="宋体" w:hAnsi="宋体" w:eastAsia="宋体" w:cs="宋体"/>
          <w:i w:val="0"/>
          <w:iCs w:val="0"/>
          <w:snapToGrid w:val="0"/>
          <w:color w:val="auto"/>
          <w:sz w:val="24"/>
          <w:szCs w:val="24"/>
          <w:highlight w:val="none"/>
          <w:lang w:val="zh-CN"/>
        </w:rPr>
        <w:t>.</w:t>
      </w:r>
      <w:r>
        <w:rPr>
          <w:rFonts w:hint="eastAsia" w:ascii="宋体" w:hAnsi="宋体" w:eastAsia="宋体" w:cs="宋体"/>
          <w:i w:val="0"/>
          <w:iCs w:val="0"/>
          <w:snapToGrid w:val="0"/>
          <w:color w:val="auto"/>
          <w:sz w:val="24"/>
          <w:szCs w:val="24"/>
          <w:highlight w:val="none"/>
          <w:lang w:val="en-US" w:eastAsia="zh-CN"/>
        </w:rPr>
        <w:t>5供应商须严格按照分项报价表规定的内容填写服务单价以及其他事项。供应商应根据本</w:t>
      </w:r>
      <w:r>
        <w:rPr>
          <w:rFonts w:hint="eastAsia" w:ascii="宋体" w:hAnsi="宋体" w:eastAsia="宋体" w:cs="宋体"/>
          <w:i w:val="0"/>
          <w:iCs w:val="0"/>
          <w:color w:val="auto"/>
          <w:kern w:val="2"/>
          <w:sz w:val="24"/>
          <w:szCs w:val="24"/>
          <w:highlight w:val="none"/>
          <w:lang w:val="en-US" w:eastAsia="zh-CN" w:bidi="ar-SA"/>
        </w:rPr>
        <w:t>竞争性磋商</w:t>
      </w:r>
      <w:r>
        <w:rPr>
          <w:rFonts w:hint="eastAsia" w:ascii="宋体" w:hAnsi="宋体" w:eastAsia="宋体" w:cs="宋体"/>
          <w:i w:val="0"/>
          <w:iCs w:val="0"/>
          <w:snapToGrid w:val="0"/>
          <w:color w:val="auto"/>
          <w:sz w:val="24"/>
          <w:szCs w:val="24"/>
          <w:highlight w:val="none"/>
          <w:lang w:val="en-US" w:eastAsia="zh-CN"/>
        </w:rPr>
        <w:t>文件的规定和要求、市场价格水平及其走势、供应商的管理水平、供应商的方案和由这些因素决定的供应商之于本项目的成本水平等提出自己的报价。报价应合理，并包含完成本</w:t>
      </w:r>
      <w:r>
        <w:rPr>
          <w:rFonts w:hint="eastAsia" w:ascii="宋体" w:hAnsi="宋体" w:eastAsia="宋体" w:cs="宋体"/>
          <w:i w:val="0"/>
          <w:iCs w:val="0"/>
          <w:color w:val="auto"/>
          <w:kern w:val="2"/>
          <w:sz w:val="24"/>
          <w:szCs w:val="24"/>
          <w:highlight w:val="none"/>
          <w:lang w:val="en-US" w:eastAsia="zh-CN" w:bidi="ar-SA"/>
        </w:rPr>
        <w:t>竞争性磋商</w:t>
      </w:r>
      <w:r>
        <w:rPr>
          <w:rFonts w:hint="eastAsia" w:ascii="宋体" w:hAnsi="宋体" w:eastAsia="宋体" w:cs="宋体"/>
          <w:i w:val="0"/>
          <w:iCs w:val="0"/>
          <w:snapToGrid w:val="0"/>
          <w:color w:val="auto"/>
          <w:sz w:val="24"/>
          <w:szCs w:val="24"/>
          <w:highlight w:val="none"/>
          <w:lang w:val="en-US" w:eastAsia="zh-CN"/>
        </w:rPr>
        <w:t>文件采购需求全部内容的所有费用，所有根据本</w:t>
      </w:r>
      <w:r>
        <w:rPr>
          <w:rFonts w:hint="eastAsia" w:ascii="宋体" w:hAnsi="宋体" w:eastAsia="宋体" w:cs="宋体"/>
          <w:i w:val="0"/>
          <w:iCs w:val="0"/>
          <w:color w:val="auto"/>
          <w:kern w:val="2"/>
          <w:sz w:val="24"/>
          <w:szCs w:val="24"/>
          <w:highlight w:val="none"/>
          <w:lang w:val="en-US" w:eastAsia="zh-CN" w:bidi="ar-SA"/>
        </w:rPr>
        <w:t>竞争性磋商</w:t>
      </w:r>
      <w:r>
        <w:rPr>
          <w:rFonts w:hint="eastAsia" w:ascii="宋体" w:hAnsi="宋体" w:eastAsia="宋体" w:cs="宋体"/>
          <w:i w:val="0"/>
          <w:iCs w:val="0"/>
          <w:snapToGrid w:val="0"/>
          <w:color w:val="auto"/>
          <w:sz w:val="24"/>
          <w:szCs w:val="24"/>
          <w:highlight w:val="none"/>
          <w:lang w:val="en-US" w:eastAsia="zh-CN"/>
        </w:rPr>
        <w:t>文件或</w:t>
      </w:r>
      <w:r>
        <w:rPr>
          <w:rFonts w:hint="eastAsia" w:cs="宋体"/>
          <w:i w:val="0"/>
          <w:iCs w:val="0"/>
          <w:snapToGrid w:val="0"/>
          <w:color w:val="auto"/>
          <w:sz w:val="24"/>
          <w:szCs w:val="24"/>
          <w:highlight w:val="none"/>
          <w:lang w:val="en-US" w:eastAsia="zh-CN"/>
        </w:rPr>
        <w:t>其他</w:t>
      </w:r>
      <w:r>
        <w:rPr>
          <w:rFonts w:hint="eastAsia" w:ascii="宋体" w:hAnsi="宋体" w:eastAsia="宋体" w:cs="宋体"/>
          <w:i w:val="0"/>
          <w:iCs w:val="0"/>
          <w:snapToGrid w:val="0"/>
          <w:color w:val="auto"/>
          <w:sz w:val="24"/>
          <w:szCs w:val="24"/>
          <w:highlight w:val="none"/>
          <w:lang w:val="en-US" w:eastAsia="zh-CN"/>
        </w:rPr>
        <w:t>原因应由供应商支付的税款和其他应</w:t>
      </w:r>
      <w:r>
        <w:rPr>
          <w:rFonts w:hint="eastAsia" w:cs="宋体"/>
          <w:i w:val="0"/>
          <w:iCs w:val="0"/>
          <w:snapToGrid w:val="0"/>
          <w:color w:val="auto"/>
          <w:sz w:val="24"/>
          <w:szCs w:val="24"/>
          <w:highlight w:val="none"/>
          <w:lang w:val="en-US" w:eastAsia="zh-CN"/>
        </w:rPr>
        <w:t>缴纳</w:t>
      </w:r>
      <w:r>
        <w:rPr>
          <w:rFonts w:hint="eastAsia" w:ascii="宋体" w:hAnsi="宋体" w:eastAsia="宋体" w:cs="宋体"/>
          <w:i w:val="0"/>
          <w:iCs w:val="0"/>
          <w:snapToGrid w:val="0"/>
          <w:color w:val="auto"/>
          <w:sz w:val="24"/>
          <w:szCs w:val="24"/>
          <w:highlight w:val="none"/>
          <w:lang w:val="en-US" w:eastAsia="zh-CN"/>
        </w:rPr>
        <w:t>的费用都应包括在供应商提交的响应报价中</w:t>
      </w:r>
      <w:r>
        <w:rPr>
          <w:rFonts w:hint="eastAsia" w:ascii="宋体" w:hAnsi="宋体" w:eastAsia="宋体" w:cs="宋体"/>
          <w:i w:val="0"/>
          <w:iCs w:val="0"/>
          <w:snapToGrid w:val="0"/>
          <w:color w:val="auto"/>
          <w:sz w:val="24"/>
          <w:szCs w:val="24"/>
          <w:highlight w:val="none"/>
          <w:lang w:val="zh-CN"/>
        </w:rPr>
        <w:t>。</w:t>
      </w:r>
    </w:p>
    <w:p w14:paraId="3DB7F190">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snapToGrid w:val="0"/>
          <w:color w:val="auto"/>
          <w:sz w:val="24"/>
          <w:szCs w:val="24"/>
          <w:highlight w:val="none"/>
          <w:lang w:val="zh-CN"/>
        </w:rPr>
      </w:pPr>
      <w:r>
        <w:rPr>
          <w:rFonts w:hint="eastAsia" w:ascii="宋体" w:hAnsi="宋体" w:eastAsia="宋体" w:cs="宋体"/>
          <w:i w:val="0"/>
          <w:iCs w:val="0"/>
          <w:snapToGrid w:val="0"/>
          <w:color w:val="auto"/>
          <w:sz w:val="24"/>
          <w:szCs w:val="24"/>
          <w:highlight w:val="none"/>
          <w:lang w:val="zh-CN"/>
        </w:rPr>
        <w:t>1</w:t>
      </w:r>
      <w:r>
        <w:rPr>
          <w:rFonts w:hint="eastAsia" w:ascii="宋体" w:hAnsi="宋体" w:eastAsia="宋体" w:cs="宋体"/>
          <w:i w:val="0"/>
          <w:iCs w:val="0"/>
          <w:snapToGrid w:val="0"/>
          <w:color w:val="auto"/>
          <w:sz w:val="24"/>
          <w:szCs w:val="24"/>
          <w:highlight w:val="none"/>
          <w:lang w:val="en-US" w:eastAsia="zh-CN"/>
        </w:rPr>
        <w:t>4</w:t>
      </w:r>
      <w:r>
        <w:rPr>
          <w:rFonts w:hint="eastAsia" w:ascii="宋体" w:hAnsi="宋体" w:eastAsia="宋体" w:cs="宋体"/>
          <w:i w:val="0"/>
          <w:iCs w:val="0"/>
          <w:snapToGrid w:val="0"/>
          <w:color w:val="auto"/>
          <w:sz w:val="24"/>
          <w:szCs w:val="24"/>
          <w:highlight w:val="none"/>
          <w:lang w:val="zh-CN"/>
        </w:rPr>
        <w:t>.</w:t>
      </w:r>
      <w:r>
        <w:rPr>
          <w:rFonts w:hint="eastAsia" w:ascii="宋体" w:hAnsi="宋体" w:eastAsia="宋体" w:cs="宋体"/>
          <w:i w:val="0"/>
          <w:iCs w:val="0"/>
          <w:snapToGrid w:val="0"/>
          <w:color w:val="auto"/>
          <w:sz w:val="24"/>
          <w:szCs w:val="24"/>
          <w:highlight w:val="none"/>
          <w:lang w:val="en-US" w:eastAsia="zh-CN"/>
        </w:rPr>
        <w:t>6</w:t>
      </w:r>
      <w:r>
        <w:rPr>
          <w:rFonts w:hint="eastAsia" w:ascii="宋体" w:hAnsi="宋体" w:eastAsia="宋体" w:cs="宋体"/>
          <w:i w:val="0"/>
          <w:iCs w:val="0"/>
          <w:snapToGrid w:val="0"/>
          <w:color w:val="auto"/>
          <w:sz w:val="24"/>
          <w:szCs w:val="24"/>
          <w:highlight w:val="none"/>
          <w:lang w:val="zh-CN"/>
        </w:rPr>
        <w:t>供应商在响应文件中注明免费的项目将视为包含在报价中。</w:t>
      </w:r>
    </w:p>
    <w:p w14:paraId="5A2E805F">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snapToGrid w:val="0"/>
          <w:color w:val="auto"/>
          <w:sz w:val="24"/>
          <w:szCs w:val="24"/>
          <w:highlight w:val="none"/>
          <w:lang w:val="zh-CN"/>
        </w:rPr>
      </w:pPr>
      <w:r>
        <w:rPr>
          <w:rFonts w:hint="eastAsia" w:ascii="宋体" w:hAnsi="宋体" w:eastAsia="宋体" w:cs="宋体"/>
          <w:i w:val="0"/>
          <w:iCs w:val="0"/>
          <w:snapToGrid w:val="0"/>
          <w:color w:val="auto"/>
          <w:sz w:val="24"/>
          <w:szCs w:val="24"/>
          <w:highlight w:val="none"/>
          <w:lang w:val="zh-CN"/>
        </w:rPr>
        <w:t>1</w:t>
      </w:r>
      <w:r>
        <w:rPr>
          <w:rFonts w:hint="eastAsia" w:ascii="宋体" w:hAnsi="宋体" w:eastAsia="宋体" w:cs="宋体"/>
          <w:i w:val="0"/>
          <w:iCs w:val="0"/>
          <w:snapToGrid w:val="0"/>
          <w:color w:val="auto"/>
          <w:sz w:val="24"/>
          <w:szCs w:val="24"/>
          <w:highlight w:val="none"/>
          <w:lang w:val="en-US" w:eastAsia="zh-CN"/>
        </w:rPr>
        <w:t>4</w:t>
      </w:r>
      <w:r>
        <w:rPr>
          <w:rFonts w:hint="eastAsia" w:ascii="宋体" w:hAnsi="宋体" w:eastAsia="宋体" w:cs="宋体"/>
          <w:i w:val="0"/>
          <w:iCs w:val="0"/>
          <w:snapToGrid w:val="0"/>
          <w:color w:val="auto"/>
          <w:sz w:val="24"/>
          <w:szCs w:val="24"/>
          <w:highlight w:val="none"/>
          <w:lang w:val="zh-CN"/>
        </w:rPr>
        <w:t>.</w:t>
      </w:r>
      <w:r>
        <w:rPr>
          <w:rFonts w:hint="eastAsia" w:ascii="宋体" w:hAnsi="宋体" w:eastAsia="宋体" w:cs="宋体"/>
          <w:i w:val="0"/>
          <w:iCs w:val="0"/>
          <w:snapToGrid w:val="0"/>
          <w:color w:val="auto"/>
          <w:sz w:val="24"/>
          <w:szCs w:val="24"/>
          <w:highlight w:val="none"/>
          <w:lang w:val="en-US" w:eastAsia="zh-CN"/>
        </w:rPr>
        <w:t>7</w:t>
      </w:r>
      <w:r>
        <w:rPr>
          <w:rFonts w:hint="eastAsia" w:ascii="宋体" w:hAnsi="宋体" w:eastAsia="宋体" w:cs="宋体"/>
          <w:i w:val="0"/>
          <w:iCs w:val="0"/>
          <w:snapToGrid w:val="0"/>
          <w:color w:val="auto"/>
          <w:sz w:val="24"/>
          <w:szCs w:val="24"/>
          <w:highlight w:val="none"/>
          <w:lang w:val="zh-CN"/>
        </w:rPr>
        <w:t>每一种采购内容只允许有一个报价，否则其响应文件将被视为</w:t>
      </w:r>
      <w:r>
        <w:rPr>
          <w:rFonts w:hint="eastAsia" w:ascii="宋体" w:hAnsi="宋体" w:eastAsia="宋体" w:cs="宋体"/>
          <w:b/>
          <w:bCs/>
          <w:i w:val="0"/>
          <w:iCs w:val="0"/>
          <w:snapToGrid w:val="0"/>
          <w:color w:val="auto"/>
          <w:sz w:val="24"/>
          <w:szCs w:val="24"/>
          <w:highlight w:val="none"/>
          <w:lang w:val="zh-CN"/>
        </w:rPr>
        <w:t>无效文件</w:t>
      </w:r>
      <w:r>
        <w:rPr>
          <w:rFonts w:hint="eastAsia" w:ascii="宋体" w:hAnsi="宋体" w:eastAsia="宋体" w:cs="宋体"/>
          <w:i w:val="0"/>
          <w:iCs w:val="0"/>
          <w:snapToGrid w:val="0"/>
          <w:color w:val="auto"/>
          <w:sz w:val="24"/>
          <w:szCs w:val="24"/>
          <w:highlight w:val="none"/>
          <w:lang w:val="zh-CN"/>
        </w:rPr>
        <w:t>。</w:t>
      </w:r>
      <w:r>
        <w:rPr>
          <w:rFonts w:hint="eastAsia" w:ascii="宋体" w:hAnsi="宋体" w:eastAsia="宋体" w:cs="宋体"/>
          <w:i w:val="0"/>
          <w:iCs w:val="0"/>
          <w:color w:val="auto"/>
          <w:kern w:val="2"/>
          <w:sz w:val="24"/>
          <w:szCs w:val="24"/>
          <w:highlight w:val="none"/>
        </w:rPr>
        <w:t>除非</w:t>
      </w:r>
      <w:r>
        <w:rPr>
          <w:rFonts w:hint="eastAsia" w:ascii="宋体" w:hAnsi="宋体" w:eastAsia="宋体" w:cs="宋体"/>
          <w:i w:val="0"/>
          <w:iCs w:val="0"/>
          <w:color w:val="auto"/>
          <w:kern w:val="2"/>
          <w:sz w:val="24"/>
          <w:szCs w:val="24"/>
          <w:highlight w:val="none"/>
          <w:lang w:val="en-US" w:eastAsia="zh-CN"/>
        </w:rPr>
        <w:t>磋商</w:t>
      </w:r>
      <w:r>
        <w:rPr>
          <w:rFonts w:hint="eastAsia" w:ascii="宋体" w:hAnsi="宋体" w:eastAsia="宋体" w:cs="宋体"/>
          <w:i w:val="0"/>
          <w:iCs w:val="0"/>
          <w:color w:val="auto"/>
          <w:kern w:val="2"/>
          <w:sz w:val="24"/>
          <w:szCs w:val="24"/>
          <w:highlight w:val="none"/>
        </w:rPr>
        <w:t>文件另有规定，不接受可选择或可调整的</w:t>
      </w:r>
      <w:r>
        <w:rPr>
          <w:rFonts w:hint="eastAsia" w:ascii="宋体" w:hAnsi="宋体" w:eastAsia="宋体" w:cs="宋体"/>
          <w:i w:val="0"/>
          <w:iCs w:val="0"/>
          <w:color w:val="auto"/>
          <w:kern w:val="2"/>
          <w:sz w:val="24"/>
          <w:szCs w:val="24"/>
          <w:highlight w:val="none"/>
          <w:lang w:val="en-US" w:eastAsia="zh-CN"/>
        </w:rPr>
        <w:t>磋商</w:t>
      </w:r>
      <w:r>
        <w:rPr>
          <w:rFonts w:hint="eastAsia" w:ascii="宋体" w:hAnsi="宋体" w:eastAsia="宋体" w:cs="宋体"/>
          <w:i w:val="0"/>
          <w:iCs w:val="0"/>
          <w:color w:val="auto"/>
          <w:kern w:val="2"/>
          <w:sz w:val="24"/>
          <w:szCs w:val="24"/>
          <w:highlight w:val="none"/>
        </w:rPr>
        <w:t>方案和报价，任何有选择的或可调整的</w:t>
      </w:r>
      <w:r>
        <w:rPr>
          <w:rFonts w:hint="eastAsia" w:ascii="宋体" w:hAnsi="宋体" w:eastAsia="宋体" w:cs="宋体"/>
          <w:i w:val="0"/>
          <w:iCs w:val="0"/>
          <w:color w:val="auto"/>
          <w:kern w:val="2"/>
          <w:sz w:val="24"/>
          <w:szCs w:val="24"/>
          <w:highlight w:val="none"/>
          <w:lang w:val="en-US" w:eastAsia="zh-CN"/>
        </w:rPr>
        <w:t>磋商</w:t>
      </w:r>
      <w:r>
        <w:rPr>
          <w:rFonts w:hint="eastAsia" w:ascii="宋体" w:hAnsi="宋体" w:eastAsia="宋体" w:cs="宋体"/>
          <w:i w:val="0"/>
          <w:iCs w:val="0"/>
          <w:color w:val="auto"/>
          <w:kern w:val="2"/>
          <w:sz w:val="24"/>
          <w:szCs w:val="24"/>
          <w:highlight w:val="none"/>
        </w:rPr>
        <w:t>方案和报价将被视为非响应性</w:t>
      </w:r>
      <w:r>
        <w:rPr>
          <w:rFonts w:hint="eastAsia" w:ascii="宋体" w:hAnsi="宋体" w:eastAsia="宋体" w:cs="宋体"/>
          <w:i w:val="0"/>
          <w:iCs w:val="0"/>
          <w:color w:val="auto"/>
          <w:kern w:val="2"/>
          <w:sz w:val="24"/>
          <w:szCs w:val="24"/>
          <w:highlight w:val="none"/>
          <w:lang w:val="en-US" w:eastAsia="zh-CN"/>
        </w:rPr>
        <w:t>磋商</w:t>
      </w:r>
      <w:r>
        <w:rPr>
          <w:rFonts w:hint="eastAsia" w:ascii="宋体" w:hAnsi="宋体" w:eastAsia="宋体" w:cs="宋体"/>
          <w:i w:val="0"/>
          <w:iCs w:val="0"/>
          <w:color w:val="auto"/>
          <w:kern w:val="2"/>
          <w:sz w:val="24"/>
          <w:szCs w:val="24"/>
          <w:highlight w:val="none"/>
        </w:rPr>
        <w:t>而被拒绝。</w:t>
      </w:r>
    </w:p>
    <w:p w14:paraId="2D8474D4">
      <w:pPr>
        <w:pStyle w:val="57"/>
        <w:keepNext w:val="0"/>
        <w:keepLines w:val="0"/>
        <w:pageBreakBefore w:val="0"/>
        <w:widowControl w:val="0"/>
        <w:shd w:val="clear" w:color="auto" w:fill="auto"/>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i w:val="0"/>
          <w:iCs w:val="0"/>
          <w:color w:val="auto"/>
          <w:kern w:val="2"/>
          <w:sz w:val="24"/>
          <w:szCs w:val="24"/>
          <w:highlight w:val="none"/>
        </w:rPr>
      </w:pPr>
      <w:r>
        <w:rPr>
          <w:rFonts w:hint="eastAsia" w:ascii="宋体" w:hAnsi="宋体" w:eastAsia="宋体" w:cs="宋体"/>
          <w:i w:val="0"/>
          <w:iCs w:val="0"/>
          <w:color w:val="auto"/>
          <w:kern w:val="2"/>
          <w:sz w:val="24"/>
          <w:szCs w:val="24"/>
          <w:highlight w:val="none"/>
        </w:rPr>
        <w:t>1</w:t>
      </w:r>
      <w:r>
        <w:rPr>
          <w:rFonts w:hint="eastAsia" w:ascii="宋体" w:hAnsi="宋体" w:eastAsia="宋体" w:cs="宋体"/>
          <w:i w:val="0"/>
          <w:iCs w:val="0"/>
          <w:color w:val="auto"/>
          <w:kern w:val="2"/>
          <w:sz w:val="24"/>
          <w:szCs w:val="24"/>
          <w:highlight w:val="none"/>
          <w:lang w:val="en-US" w:eastAsia="zh-CN"/>
        </w:rPr>
        <w:t>4</w:t>
      </w:r>
      <w:r>
        <w:rPr>
          <w:rFonts w:hint="eastAsia" w:ascii="宋体" w:hAnsi="宋体" w:eastAsia="宋体" w:cs="宋体"/>
          <w:i w:val="0"/>
          <w:iCs w:val="0"/>
          <w:color w:val="auto"/>
          <w:kern w:val="2"/>
          <w:sz w:val="24"/>
          <w:szCs w:val="24"/>
          <w:highlight w:val="none"/>
        </w:rPr>
        <w:t>.</w:t>
      </w:r>
      <w:r>
        <w:rPr>
          <w:rFonts w:hint="eastAsia" w:ascii="宋体" w:hAnsi="宋体" w:eastAsia="宋体" w:cs="宋体"/>
          <w:i w:val="0"/>
          <w:iCs w:val="0"/>
          <w:color w:val="auto"/>
          <w:kern w:val="2"/>
          <w:sz w:val="24"/>
          <w:szCs w:val="24"/>
          <w:highlight w:val="none"/>
          <w:lang w:val="en-US" w:eastAsia="zh-CN"/>
        </w:rPr>
        <w:t xml:space="preserve">8 </w:t>
      </w:r>
      <w:r>
        <w:rPr>
          <w:rFonts w:hint="eastAsia" w:ascii="宋体" w:hAnsi="宋体" w:eastAsia="宋体" w:cs="宋体"/>
          <w:i w:val="0"/>
          <w:iCs w:val="0"/>
          <w:color w:val="auto"/>
          <w:kern w:val="2"/>
          <w:sz w:val="24"/>
          <w:szCs w:val="24"/>
          <w:highlight w:val="none"/>
          <w:lang w:val="zh-CN" w:eastAsia="zh-CN"/>
        </w:rPr>
        <w:t>供应商</w:t>
      </w:r>
      <w:r>
        <w:rPr>
          <w:rFonts w:hint="eastAsia" w:ascii="宋体" w:hAnsi="宋体" w:eastAsia="宋体" w:cs="宋体"/>
          <w:i w:val="0"/>
          <w:iCs w:val="0"/>
          <w:color w:val="auto"/>
          <w:kern w:val="2"/>
          <w:sz w:val="24"/>
          <w:szCs w:val="24"/>
          <w:highlight w:val="none"/>
          <w:lang w:val="en-US" w:eastAsia="zh-CN"/>
        </w:rPr>
        <w:t>对磋商</w:t>
      </w:r>
      <w:r>
        <w:rPr>
          <w:rFonts w:hint="eastAsia" w:ascii="宋体" w:hAnsi="宋体" w:eastAsia="宋体" w:cs="宋体"/>
          <w:i w:val="0"/>
          <w:iCs w:val="0"/>
          <w:color w:val="auto"/>
          <w:kern w:val="2"/>
          <w:sz w:val="24"/>
          <w:szCs w:val="24"/>
          <w:highlight w:val="none"/>
        </w:rPr>
        <w:t>报价若有说明应在</w:t>
      </w:r>
      <w:r>
        <w:rPr>
          <w:rFonts w:hint="eastAsia" w:ascii="宋体" w:hAnsi="宋体" w:eastAsia="宋体" w:cs="宋体"/>
          <w:i w:val="0"/>
          <w:iCs w:val="0"/>
          <w:color w:val="auto"/>
          <w:kern w:val="2"/>
          <w:sz w:val="24"/>
          <w:szCs w:val="24"/>
          <w:highlight w:val="none"/>
          <w:lang w:val="en-US" w:eastAsia="zh-CN"/>
        </w:rPr>
        <w:t>响应</w:t>
      </w:r>
      <w:r>
        <w:rPr>
          <w:rFonts w:hint="eastAsia" w:ascii="宋体" w:hAnsi="宋体" w:eastAsia="宋体" w:cs="宋体"/>
          <w:i w:val="0"/>
          <w:iCs w:val="0"/>
          <w:color w:val="auto"/>
          <w:kern w:val="2"/>
          <w:sz w:val="24"/>
          <w:szCs w:val="24"/>
          <w:highlight w:val="none"/>
        </w:rPr>
        <w:t>文件中显著处注明。</w:t>
      </w:r>
    </w:p>
    <w:p w14:paraId="1719007D">
      <w:pPr>
        <w:pStyle w:val="57"/>
        <w:keepNext w:val="0"/>
        <w:keepLines w:val="0"/>
        <w:pageBreakBefore w:val="0"/>
        <w:widowControl w:val="0"/>
        <w:shd w:val="clear" w:color="auto" w:fill="auto"/>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i w:val="0"/>
          <w:iCs w:val="0"/>
          <w:color w:val="auto"/>
          <w:kern w:val="2"/>
          <w:sz w:val="24"/>
          <w:szCs w:val="24"/>
          <w:highlight w:val="none"/>
        </w:rPr>
      </w:pPr>
      <w:r>
        <w:rPr>
          <w:rFonts w:hint="eastAsia" w:ascii="宋体" w:hAnsi="宋体" w:eastAsia="宋体" w:cs="宋体"/>
          <w:i w:val="0"/>
          <w:iCs w:val="0"/>
          <w:color w:val="auto"/>
          <w:kern w:val="2"/>
          <w:sz w:val="24"/>
          <w:szCs w:val="24"/>
          <w:highlight w:val="none"/>
        </w:rPr>
        <w:t>除政策性文件规定以外，</w:t>
      </w:r>
      <w:r>
        <w:rPr>
          <w:rFonts w:hint="eastAsia" w:ascii="宋体" w:hAnsi="宋体" w:eastAsia="宋体" w:cs="宋体"/>
          <w:i w:val="0"/>
          <w:iCs w:val="0"/>
          <w:color w:val="auto"/>
          <w:kern w:val="2"/>
          <w:sz w:val="24"/>
          <w:szCs w:val="24"/>
          <w:highlight w:val="none"/>
          <w:lang w:val="zh-CN"/>
        </w:rPr>
        <w:t>供应商</w:t>
      </w:r>
      <w:r>
        <w:rPr>
          <w:rFonts w:hint="eastAsia" w:ascii="宋体" w:hAnsi="宋体" w:eastAsia="宋体" w:cs="宋体"/>
          <w:i w:val="0"/>
          <w:iCs w:val="0"/>
          <w:color w:val="auto"/>
          <w:kern w:val="2"/>
          <w:sz w:val="24"/>
          <w:szCs w:val="24"/>
          <w:highlight w:val="none"/>
        </w:rPr>
        <w:t>所报价格在合同实施期间不因市场变化因素而变动。</w:t>
      </w:r>
    </w:p>
    <w:p w14:paraId="0B64FFBB">
      <w:pPr>
        <w:pStyle w:val="57"/>
        <w:keepNext w:val="0"/>
        <w:keepLines w:val="0"/>
        <w:pageBreakBefore w:val="0"/>
        <w:widowControl w:val="0"/>
        <w:shd w:val="clear" w:color="auto" w:fill="auto"/>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i w:val="0"/>
          <w:iCs w:val="0"/>
          <w:color w:val="auto"/>
          <w:kern w:val="2"/>
          <w:sz w:val="24"/>
          <w:szCs w:val="24"/>
          <w:highlight w:val="none"/>
        </w:rPr>
      </w:pPr>
      <w:r>
        <w:rPr>
          <w:rFonts w:hint="eastAsia" w:ascii="宋体" w:hAnsi="宋体" w:eastAsia="宋体" w:cs="宋体"/>
          <w:i w:val="0"/>
          <w:iCs w:val="0"/>
          <w:color w:val="auto"/>
          <w:kern w:val="2"/>
          <w:sz w:val="24"/>
          <w:szCs w:val="24"/>
          <w:highlight w:val="none"/>
        </w:rPr>
        <w:t>1</w:t>
      </w:r>
      <w:r>
        <w:rPr>
          <w:rFonts w:hint="eastAsia" w:ascii="宋体" w:hAnsi="宋体" w:eastAsia="宋体" w:cs="宋体"/>
          <w:i w:val="0"/>
          <w:iCs w:val="0"/>
          <w:color w:val="auto"/>
          <w:kern w:val="2"/>
          <w:sz w:val="24"/>
          <w:szCs w:val="24"/>
          <w:highlight w:val="none"/>
          <w:lang w:val="en-US" w:eastAsia="zh-CN"/>
        </w:rPr>
        <w:t>4</w:t>
      </w:r>
      <w:r>
        <w:rPr>
          <w:rFonts w:hint="eastAsia" w:ascii="宋体" w:hAnsi="宋体" w:eastAsia="宋体" w:cs="宋体"/>
          <w:i w:val="0"/>
          <w:iCs w:val="0"/>
          <w:color w:val="auto"/>
          <w:kern w:val="2"/>
          <w:sz w:val="24"/>
          <w:szCs w:val="24"/>
          <w:highlight w:val="none"/>
        </w:rPr>
        <w:t>.</w:t>
      </w:r>
      <w:r>
        <w:rPr>
          <w:rFonts w:hint="eastAsia" w:ascii="宋体" w:hAnsi="宋体" w:eastAsia="宋体" w:cs="宋体"/>
          <w:i w:val="0"/>
          <w:iCs w:val="0"/>
          <w:color w:val="auto"/>
          <w:kern w:val="2"/>
          <w:sz w:val="24"/>
          <w:szCs w:val="24"/>
          <w:highlight w:val="none"/>
          <w:lang w:val="en-US" w:eastAsia="zh-CN"/>
        </w:rPr>
        <w:t xml:space="preserve">9 </w:t>
      </w:r>
      <w:r>
        <w:rPr>
          <w:rFonts w:hint="eastAsia" w:ascii="宋体" w:hAnsi="宋体" w:eastAsia="宋体" w:cs="宋体"/>
          <w:i w:val="0"/>
          <w:iCs w:val="0"/>
          <w:color w:val="auto"/>
          <w:kern w:val="2"/>
          <w:sz w:val="24"/>
          <w:szCs w:val="24"/>
          <w:highlight w:val="none"/>
        </w:rPr>
        <w:t>最低报价不能作为</w:t>
      </w:r>
      <w:r>
        <w:rPr>
          <w:rFonts w:hint="eastAsia" w:ascii="宋体" w:hAnsi="宋体" w:eastAsia="宋体" w:cs="宋体"/>
          <w:i w:val="0"/>
          <w:iCs w:val="0"/>
          <w:color w:val="auto"/>
          <w:kern w:val="2"/>
          <w:sz w:val="24"/>
          <w:szCs w:val="24"/>
          <w:highlight w:val="none"/>
          <w:lang w:val="en-US" w:eastAsia="zh-CN"/>
        </w:rPr>
        <w:t>成交</w:t>
      </w:r>
      <w:r>
        <w:rPr>
          <w:rFonts w:hint="eastAsia" w:ascii="宋体" w:hAnsi="宋体" w:eastAsia="宋体" w:cs="宋体"/>
          <w:i w:val="0"/>
          <w:iCs w:val="0"/>
          <w:color w:val="auto"/>
          <w:kern w:val="2"/>
          <w:sz w:val="24"/>
          <w:szCs w:val="24"/>
          <w:highlight w:val="none"/>
        </w:rPr>
        <w:t>的保证。</w:t>
      </w:r>
    </w:p>
    <w:p w14:paraId="2AA144BC">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color w:val="auto"/>
          <w:kern w:val="0"/>
          <w:sz w:val="24"/>
          <w:szCs w:val="24"/>
          <w:highlight w:val="none"/>
          <w:lang w:val="en-US" w:eastAsia="zh-CN" w:bidi="ar"/>
        </w:rPr>
      </w:pPr>
      <w:r>
        <w:rPr>
          <w:rFonts w:hint="eastAsia" w:ascii="宋体" w:hAnsi="宋体" w:eastAsia="宋体" w:cs="宋体"/>
          <w:i w:val="0"/>
          <w:iCs w:val="0"/>
          <w:color w:val="auto"/>
          <w:kern w:val="2"/>
          <w:sz w:val="24"/>
          <w:szCs w:val="24"/>
          <w:highlight w:val="none"/>
          <w:lang w:val="en-US" w:eastAsia="zh-CN"/>
        </w:rPr>
        <w:t>14.10</w:t>
      </w:r>
      <w:r>
        <w:rPr>
          <w:rFonts w:hint="eastAsia" w:ascii="宋体" w:hAnsi="宋体" w:eastAsia="宋体" w:cs="宋体"/>
          <w:i w:val="0"/>
          <w:iCs w:val="0"/>
          <w:color w:val="auto"/>
          <w:kern w:val="0"/>
          <w:sz w:val="24"/>
          <w:szCs w:val="24"/>
          <w:highlight w:val="none"/>
          <w:lang w:val="en-US" w:eastAsia="zh-CN" w:bidi="ar"/>
        </w:rPr>
        <w:t>采购人不得向供应商索要或者接受其给予的赠品、回扣或者与采购无关的其他商品、服务。</w:t>
      </w:r>
    </w:p>
    <w:p w14:paraId="3E3AFFE7">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color w:val="auto"/>
          <w:kern w:val="0"/>
          <w:sz w:val="24"/>
          <w:szCs w:val="24"/>
          <w:highlight w:val="none"/>
          <w:lang w:val="en-US" w:eastAsia="zh-CN" w:bidi="ar"/>
        </w:rPr>
      </w:pPr>
      <w:r>
        <w:rPr>
          <w:rFonts w:hint="eastAsia" w:ascii="宋体" w:hAnsi="宋体" w:eastAsia="宋体" w:cs="宋体"/>
          <w:i w:val="0"/>
          <w:iCs w:val="0"/>
          <w:color w:val="auto"/>
          <w:kern w:val="0"/>
          <w:sz w:val="24"/>
          <w:szCs w:val="24"/>
          <w:highlight w:val="none"/>
          <w:lang w:val="en-US" w:eastAsia="zh-CN" w:bidi="ar"/>
        </w:rPr>
        <w:t>14.11供应商不能提供任何有选择性或可调整的报价（磋商文件另有规定的除外），否则其</w:t>
      </w:r>
      <w:r>
        <w:rPr>
          <w:rFonts w:hint="eastAsia" w:ascii="宋体" w:hAnsi="宋体" w:eastAsia="宋体" w:cs="宋体"/>
          <w:b/>
          <w:bCs/>
          <w:i w:val="0"/>
          <w:iCs w:val="0"/>
          <w:color w:val="auto"/>
          <w:kern w:val="0"/>
          <w:sz w:val="24"/>
          <w:szCs w:val="24"/>
          <w:highlight w:val="none"/>
          <w:lang w:val="en-US" w:eastAsia="zh-CN" w:bidi="ar"/>
        </w:rPr>
        <w:t>响应无效</w:t>
      </w:r>
      <w:r>
        <w:rPr>
          <w:rFonts w:hint="eastAsia" w:ascii="宋体" w:hAnsi="宋体" w:eastAsia="宋体" w:cs="宋体"/>
          <w:i w:val="0"/>
          <w:iCs w:val="0"/>
          <w:color w:val="auto"/>
          <w:kern w:val="0"/>
          <w:sz w:val="24"/>
          <w:szCs w:val="24"/>
          <w:highlight w:val="none"/>
          <w:lang w:val="en-US" w:eastAsia="zh-CN" w:bidi="ar"/>
        </w:rPr>
        <w:t>。</w:t>
      </w:r>
    </w:p>
    <w:p w14:paraId="0CD8AEF2">
      <w:pPr>
        <w:pStyle w:val="5"/>
        <w:keepNext w:val="0"/>
        <w:keepLines w:val="0"/>
        <w:pageBreakBefore w:val="0"/>
        <w:widowControl w:val="0"/>
        <w:numPr>
          <w:ilvl w:val="0"/>
          <w:numId w:val="0"/>
        </w:numPr>
        <w:kinsoku/>
        <w:wordWrap/>
        <w:overflowPunct/>
        <w:topLinePunct w:val="0"/>
        <w:autoSpaceDE/>
        <w:autoSpaceDN/>
        <w:bidi w:val="0"/>
        <w:adjustRightInd/>
        <w:snapToGrid/>
        <w:spacing w:before="80" w:after="80" w:line="240" w:lineRule="auto"/>
        <w:ind w:left="420" w:leftChars="0" w:hanging="420" w:firstLineChars="0"/>
        <w:textAlignment w:val="auto"/>
        <w:rPr>
          <w:rFonts w:hint="eastAsia" w:ascii="宋体" w:hAnsi="宋体" w:eastAsia="宋体" w:cs="宋体"/>
          <w:b/>
          <w:bCs/>
          <w:i w:val="0"/>
          <w:iCs w:val="0"/>
          <w:color w:val="auto"/>
          <w:kern w:val="2"/>
          <w:sz w:val="24"/>
          <w:szCs w:val="24"/>
          <w:highlight w:val="none"/>
          <w:lang w:val="en-US" w:eastAsia="zh-CN" w:bidi="ar-SA"/>
        </w:rPr>
      </w:pPr>
      <w:bookmarkStart w:id="143" w:name="_Toc109899550"/>
      <w:bookmarkStart w:id="144" w:name="_Toc46772258"/>
      <w:bookmarkStart w:id="145" w:name="_Toc109899969"/>
      <w:bookmarkStart w:id="146" w:name="_Toc51674228"/>
      <w:bookmarkStart w:id="147" w:name="_Toc109900388"/>
      <w:bookmarkStart w:id="148" w:name="_Toc5668"/>
      <w:bookmarkStart w:id="149" w:name="_Toc48846126"/>
      <w:bookmarkStart w:id="150" w:name="_Toc52960570"/>
      <w:bookmarkStart w:id="151" w:name="_Toc109897451"/>
      <w:bookmarkStart w:id="152" w:name="_Toc52962744"/>
      <w:bookmarkStart w:id="153" w:name="_Toc470172682"/>
      <w:bookmarkStart w:id="154" w:name="_Toc46771657"/>
      <w:bookmarkStart w:id="155" w:name="_Toc48688806"/>
      <w:bookmarkStart w:id="156" w:name="_Toc52960566"/>
      <w:bookmarkStart w:id="157" w:name="_Toc109899966"/>
      <w:bookmarkStart w:id="158" w:name="_Toc109899547"/>
      <w:bookmarkStart w:id="159" w:name="_Toc46772254"/>
      <w:bookmarkStart w:id="160" w:name="_Toc48688802"/>
      <w:bookmarkStart w:id="161" w:name="_Toc52962740"/>
      <w:bookmarkStart w:id="162" w:name="_Toc470172678"/>
      <w:bookmarkStart w:id="163" w:name="_Toc46771653"/>
      <w:bookmarkStart w:id="164" w:name="_Toc3324"/>
      <w:bookmarkStart w:id="165" w:name="_Toc48846122"/>
      <w:bookmarkStart w:id="166" w:name="_Toc109897448"/>
      <w:bookmarkStart w:id="167" w:name="_Toc109900385"/>
      <w:bookmarkStart w:id="168" w:name="_Toc51674224"/>
      <w:r>
        <w:rPr>
          <w:rFonts w:hint="eastAsia" w:ascii="宋体" w:hAnsi="宋体" w:eastAsia="宋体" w:cs="宋体"/>
          <w:b/>
          <w:bCs/>
          <w:i w:val="0"/>
          <w:iCs w:val="0"/>
          <w:color w:val="auto"/>
          <w:kern w:val="2"/>
          <w:sz w:val="24"/>
          <w:szCs w:val="24"/>
          <w:highlight w:val="none"/>
          <w:lang w:val="en-US" w:eastAsia="zh-CN" w:bidi="ar-SA"/>
        </w:rPr>
        <w:t>15.响应文件有效期</w:t>
      </w:r>
      <w:bookmarkEnd w:id="143"/>
      <w:bookmarkEnd w:id="144"/>
      <w:bookmarkEnd w:id="145"/>
      <w:bookmarkEnd w:id="146"/>
      <w:bookmarkEnd w:id="147"/>
      <w:bookmarkEnd w:id="148"/>
      <w:bookmarkEnd w:id="149"/>
      <w:bookmarkEnd w:id="150"/>
      <w:bookmarkEnd w:id="151"/>
      <w:bookmarkEnd w:id="152"/>
      <w:bookmarkEnd w:id="153"/>
      <w:bookmarkEnd w:id="154"/>
      <w:bookmarkEnd w:id="155"/>
    </w:p>
    <w:p w14:paraId="6C3E470C">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snapToGrid w:val="0"/>
          <w:color w:val="auto"/>
          <w:sz w:val="24"/>
          <w:szCs w:val="24"/>
          <w:highlight w:val="none"/>
          <w:lang w:val="zh-CN"/>
        </w:rPr>
      </w:pPr>
      <w:r>
        <w:rPr>
          <w:rFonts w:hint="eastAsia" w:ascii="宋体" w:hAnsi="宋体" w:eastAsia="宋体" w:cs="宋体"/>
          <w:i w:val="0"/>
          <w:iCs w:val="0"/>
          <w:snapToGrid w:val="0"/>
          <w:color w:val="auto"/>
          <w:sz w:val="24"/>
          <w:szCs w:val="24"/>
          <w:highlight w:val="none"/>
          <w:lang w:val="zh-CN"/>
        </w:rPr>
        <w:t>1</w:t>
      </w:r>
      <w:r>
        <w:rPr>
          <w:rFonts w:hint="eastAsia" w:ascii="宋体" w:hAnsi="宋体" w:eastAsia="宋体" w:cs="宋体"/>
          <w:i w:val="0"/>
          <w:iCs w:val="0"/>
          <w:snapToGrid w:val="0"/>
          <w:color w:val="auto"/>
          <w:sz w:val="24"/>
          <w:szCs w:val="24"/>
          <w:highlight w:val="none"/>
          <w:lang w:val="en-US" w:eastAsia="zh-CN"/>
        </w:rPr>
        <w:t>5</w:t>
      </w:r>
      <w:r>
        <w:rPr>
          <w:rFonts w:hint="eastAsia" w:ascii="宋体" w:hAnsi="宋体" w:eastAsia="宋体" w:cs="宋体"/>
          <w:i w:val="0"/>
          <w:iCs w:val="0"/>
          <w:snapToGrid w:val="0"/>
          <w:color w:val="auto"/>
          <w:sz w:val="24"/>
          <w:szCs w:val="24"/>
          <w:highlight w:val="none"/>
          <w:lang w:val="zh-CN"/>
        </w:rPr>
        <w:t>.1</w:t>
      </w:r>
      <w:r>
        <w:rPr>
          <w:rFonts w:hint="eastAsia" w:ascii="宋体" w:hAnsi="宋体" w:eastAsia="宋体" w:cs="宋体"/>
          <w:i w:val="0"/>
          <w:iCs w:val="0"/>
          <w:snapToGrid w:val="0"/>
          <w:color w:val="auto"/>
          <w:sz w:val="24"/>
          <w:szCs w:val="24"/>
          <w:highlight w:val="none"/>
          <w:lang w:val="en-US" w:eastAsia="zh-CN"/>
        </w:rPr>
        <w:t>供应商提交的</w:t>
      </w:r>
      <w:r>
        <w:rPr>
          <w:rFonts w:hint="eastAsia" w:ascii="宋体" w:hAnsi="宋体" w:eastAsia="宋体" w:cs="宋体"/>
          <w:i w:val="0"/>
          <w:iCs w:val="0"/>
          <w:snapToGrid w:val="0"/>
          <w:color w:val="auto"/>
          <w:sz w:val="24"/>
          <w:szCs w:val="24"/>
          <w:highlight w:val="none"/>
          <w:lang w:val="zh-CN"/>
        </w:rPr>
        <w:t>响应文件有效期见“供应商须知前附表”，磋商供应商承诺的响应文件</w:t>
      </w:r>
      <w:r>
        <w:rPr>
          <w:rFonts w:hint="eastAsia" w:ascii="宋体" w:hAnsi="宋体" w:eastAsia="宋体" w:cs="宋体"/>
          <w:i w:val="0"/>
          <w:iCs w:val="0"/>
          <w:snapToGrid w:val="0"/>
          <w:color w:val="auto"/>
          <w:sz w:val="24"/>
          <w:szCs w:val="24"/>
          <w:highlight w:val="none"/>
          <w:lang w:val="zh-CN" w:eastAsia="zh-CN"/>
        </w:rPr>
        <w:t>有效期少于</w:t>
      </w:r>
      <w:r>
        <w:rPr>
          <w:rFonts w:hint="eastAsia" w:ascii="宋体" w:hAnsi="宋体" w:eastAsia="宋体" w:cs="宋体"/>
          <w:i w:val="0"/>
          <w:iCs w:val="0"/>
          <w:snapToGrid w:val="0"/>
          <w:color w:val="auto"/>
          <w:sz w:val="24"/>
          <w:szCs w:val="24"/>
          <w:highlight w:val="none"/>
          <w:lang w:val="en-US" w:eastAsia="zh-CN"/>
        </w:rPr>
        <w:t>磋商</w:t>
      </w:r>
      <w:r>
        <w:rPr>
          <w:rFonts w:hint="eastAsia" w:ascii="宋体" w:hAnsi="宋体" w:eastAsia="宋体" w:cs="宋体"/>
          <w:i w:val="0"/>
          <w:iCs w:val="0"/>
          <w:snapToGrid w:val="0"/>
          <w:color w:val="auto"/>
          <w:sz w:val="24"/>
          <w:szCs w:val="24"/>
          <w:highlight w:val="none"/>
          <w:lang w:val="zh-CN" w:eastAsia="zh-CN"/>
        </w:rPr>
        <w:t>文件规定期限的，其</w:t>
      </w:r>
      <w:r>
        <w:rPr>
          <w:rFonts w:hint="eastAsia" w:ascii="宋体" w:hAnsi="宋体" w:eastAsia="宋体" w:cs="宋体"/>
          <w:b/>
          <w:bCs/>
          <w:i w:val="0"/>
          <w:iCs w:val="0"/>
          <w:snapToGrid w:val="0"/>
          <w:color w:val="auto"/>
          <w:sz w:val="24"/>
          <w:szCs w:val="24"/>
          <w:highlight w:val="none"/>
          <w:lang w:val="en-US" w:eastAsia="zh-CN"/>
        </w:rPr>
        <w:t>响应</w:t>
      </w:r>
      <w:r>
        <w:rPr>
          <w:rFonts w:hint="eastAsia" w:ascii="宋体" w:hAnsi="宋体" w:eastAsia="宋体" w:cs="宋体"/>
          <w:b/>
          <w:bCs/>
          <w:i w:val="0"/>
          <w:iCs w:val="0"/>
          <w:snapToGrid w:val="0"/>
          <w:color w:val="auto"/>
          <w:sz w:val="24"/>
          <w:szCs w:val="24"/>
          <w:highlight w:val="none"/>
          <w:lang w:val="zh-CN" w:eastAsia="zh-CN"/>
        </w:rPr>
        <w:t>无效</w:t>
      </w:r>
      <w:r>
        <w:rPr>
          <w:rFonts w:hint="eastAsia" w:ascii="宋体" w:hAnsi="宋体" w:eastAsia="宋体" w:cs="宋体"/>
          <w:i w:val="0"/>
          <w:iCs w:val="0"/>
          <w:snapToGrid w:val="0"/>
          <w:color w:val="auto"/>
          <w:sz w:val="24"/>
          <w:szCs w:val="24"/>
          <w:highlight w:val="none"/>
          <w:lang w:val="zh-CN" w:eastAsia="zh-CN"/>
        </w:rPr>
        <w:t>。</w:t>
      </w:r>
    </w:p>
    <w:p w14:paraId="4DFC2505">
      <w:pPr>
        <w:keepNext w:val="0"/>
        <w:keepLines w:val="0"/>
        <w:pageBreakBefore w:val="0"/>
        <w:widowControl w:val="0"/>
        <w:kinsoku/>
        <w:overflowPunct/>
        <w:topLinePunct w:val="0"/>
        <w:autoSpaceDE/>
        <w:autoSpaceDN/>
        <w:bidi w:val="0"/>
        <w:adjustRightInd/>
        <w:ind w:firstLine="480" w:firstLineChars="200"/>
        <w:textAlignment w:val="auto"/>
        <w:rPr>
          <w:rFonts w:hint="eastAsia" w:ascii="宋体" w:hAnsi="宋体" w:eastAsia="宋体" w:cs="宋体"/>
          <w:i w:val="0"/>
          <w:iCs w:val="0"/>
          <w:snapToGrid w:val="0"/>
          <w:color w:val="auto"/>
          <w:kern w:val="2"/>
          <w:sz w:val="24"/>
          <w:szCs w:val="24"/>
          <w:highlight w:val="none"/>
          <w:lang w:val="en-US" w:eastAsia="zh-CN" w:bidi="ar-SA"/>
        </w:rPr>
      </w:pPr>
      <w:r>
        <w:rPr>
          <w:rFonts w:hint="eastAsia" w:ascii="宋体" w:hAnsi="宋体" w:eastAsia="宋体" w:cs="宋体"/>
          <w:i w:val="0"/>
          <w:iCs w:val="0"/>
          <w:snapToGrid w:val="0"/>
          <w:color w:val="auto"/>
          <w:kern w:val="2"/>
          <w:sz w:val="24"/>
          <w:szCs w:val="24"/>
          <w:highlight w:val="none"/>
          <w:lang w:val="en-US" w:eastAsia="zh-CN" w:bidi="ar-SA"/>
        </w:rPr>
        <w:t>15.2 响应文件有效期从递交响应文件的截止之日起算。响应文件中承诺的有效期应当不少于竞争性磋商文件中载明的响应文件有效期。响应文件有效期内供应商撤销响应文件的，采购人或者采购代理机构可以不退还磋商保证金。</w:t>
      </w:r>
    </w:p>
    <w:p w14:paraId="414B33F5">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snapToGrid w:val="0"/>
          <w:color w:val="auto"/>
          <w:sz w:val="24"/>
          <w:szCs w:val="24"/>
          <w:highlight w:val="none"/>
          <w:lang w:val="zh-CN"/>
        </w:rPr>
      </w:pPr>
      <w:r>
        <w:rPr>
          <w:rFonts w:hint="eastAsia" w:ascii="宋体" w:hAnsi="宋体" w:eastAsia="宋体" w:cs="宋体"/>
          <w:i w:val="0"/>
          <w:iCs w:val="0"/>
          <w:snapToGrid w:val="0"/>
          <w:color w:val="auto"/>
          <w:kern w:val="2"/>
          <w:sz w:val="24"/>
          <w:szCs w:val="24"/>
          <w:highlight w:val="none"/>
          <w:lang w:val="zh-CN" w:eastAsia="zh-CN" w:bidi="ar-SA"/>
        </w:rPr>
        <w:t>1</w:t>
      </w:r>
      <w:r>
        <w:rPr>
          <w:rFonts w:hint="eastAsia" w:ascii="宋体" w:hAnsi="宋体" w:eastAsia="宋体" w:cs="宋体"/>
          <w:i w:val="0"/>
          <w:iCs w:val="0"/>
          <w:snapToGrid w:val="0"/>
          <w:color w:val="auto"/>
          <w:kern w:val="2"/>
          <w:sz w:val="24"/>
          <w:szCs w:val="24"/>
          <w:highlight w:val="none"/>
          <w:lang w:val="en-US" w:eastAsia="zh-CN" w:bidi="ar-SA"/>
        </w:rPr>
        <w:t>5</w:t>
      </w:r>
      <w:r>
        <w:rPr>
          <w:rFonts w:hint="eastAsia" w:ascii="宋体" w:hAnsi="宋体" w:eastAsia="宋体" w:cs="宋体"/>
          <w:i w:val="0"/>
          <w:iCs w:val="0"/>
          <w:snapToGrid w:val="0"/>
          <w:color w:val="auto"/>
          <w:kern w:val="2"/>
          <w:sz w:val="24"/>
          <w:szCs w:val="24"/>
          <w:highlight w:val="none"/>
          <w:lang w:val="zh-CN" w:eastAsia="zh-CN" w:bidi="ar-SA"/>
        </w:rPr>
        <w:t>.</w:t>
      </w:r>
      <w:r>
        <w:rPr>
          <w:rFonts w:hint="eastAsia" w:ascii="宋体" w:hAnsi="宋体" w:eastAsia="宋体" w:cs="宋体"/>
          <w:i w:val="0"/>
          <w:iCs w:val="0"/>
          <w:snapToGrid w:val="0"/>
          <w:color w:val="auto"/>
          <w:kern w:val="2"/>
          <w:sz w:val="24"/>
          <w:szCs w:val="24"/>
          <w:highlight w:val="none"/>
          <w:lang w:val="en-US" w:eastAsia="zh-CN" w:bidi="ar-SA"/>
        </w:rPr>
        <w:t>3</w:t>
      </w:r>
      <w:r>
        <w:rPr>
          <w:rFonts w:hint="eastAsia" w:ascii="宋体" w:hAnsi="宋体" w:eastAsia="宋体" w:cs="宋体"/>
          <w:i w:val="0"/>
          <w:iCs w:val="0"/>
          <w:snapToGrid w:val="0"/>
          <w:color w:val="auto"/>
          <w:kern w:val="2"/>
          <w:sz w:val="24"/>
          <w:szCs w:val="24"/>
          <w:highlight w:val="none"/>
          <w:lang w:val="zh-CN" w:eastAsia="zh-CN" w:bidi="ar-SA"/>
        </w:rPr>
        <w:t>特殊情况下，在原响应文件有效期截止之前，采购代理机构或采购人</w:t>
      </w:r>
      <w:r>
        <w:rPr>
          <w:rFonts w:hint="eastAsia" w:ascii="宋体" w:hAnsi="宋体" w:eastAsia="宋体" w:cs="宋体"/>
          <w:i w:val="0"/>
          <w:iCs w:val="0"/>
          <w:snapToGrid w:val="0"/>
          <w:color w:val="auto"/>
          <w:sz w:val="24"/>
          <w:szCs w:val="24"/>
          <w:highlight w:val="none"/>
          <w:lang w:val="zh-CN"/>
        </w:rPr>
        <w:t>可要求供应商延长响应文件有效期。需要延长响应文件有效期时，采购代理机构或采购人将以书面形式通知所有磋商供应商，供应商应以书面形式答复是否同意延长响应文件有效期。</w:t>
      </w:r>
    </w:p>
    <w:p w14:paraId="3803927F">
      <w:pPr>
        <w:keepNext w:val="0"/>
        <w:keepLines w:val="0"/>
        <w:pageBreakBefore w:val="0"/>
        <w:widowControl w:val="0"/>
        <w:tabs>
          <w:tab w:val="left" w:pos="426"/>
        </w:tabs>
        <w:kinsoku/>
        <w:overflowPunct/>
        <w:topLinePunct w:val="0"/>
        <w:autoSpaceDE w:val="0"/>
        <w:autoSpaceDN w:val="0"/>
        <w:bidi w:val="0"/>
        <w:adjustRightInd w:val="0"/>
        <w:snapToGrid w:val="0"/>
        <w:ind w:firstLine="480" w:firstLineChars="200"/>
        <w:textAlignment w:val="auto"/>
        <w:rPr>
          <w:rFonts w:hint="eastAsia" w:ascii="宋体" w:hAnsi="宋体" w:eastAsia="宋体" w:cs="宋体"/>
          <w:i w:val="0"/>
          <w:iCs w:val="0"/>
          <w:snapToGrid w:val="0"/>
          <w:color w:val="auto"/>
          <w:sz w:val="24"/>
          <w:szCs w:val="24"/>
          <w:highlight w:val="none"/>
          <w:lang w:val="zh-CN"/>
        </w:rPr>
      </w:pPr>
      <w:r>
        <w:rPr>
          <w:rFonts w:hint="eastAsia" w:ascii="宋体" w:hAnsi="宋体" w:eastAsia="宋体" w:cs="宋体"/>
          <w:i w:val="0"/>
          <w:iCs w:val="0"/>
          <w:snapToGrid w:val="0"/>
          <w:color w:val="auto"/>
          <w:sz w:val="24"/>
          <w:szCs w:val="24"/>
          <w:highlight w:val="none"/>
          <w:lang w:val="zh-CN"/>
        </w:rPr>
        <w:t>1</w:t>
      </w:r>
      <w:r>
        <w:rPr>
          <w:rFonts w:hint="eastAsia" w:ascii="宋体" w:hAnsi="宋体" w:eastAsia="宋体" w:cs="宋体"/>
          <w:i w:val="0"/>
          <w:iCs w:val="0"/>
          <w:snapToGrid w:val="0"/>
          <w:color w:val="auto"/>
          <w:sz w:val="24"/>
          <w:szCs w:val="24"/>
          <w:highlight w:val="none"/>
          <w:lang w:val="en-US" w:eastAsia="zh-CN"/>
        </w:rPr>
        <w:t>5</w:t>
      </w:r>
      <w:r>
        <w:rPr>
          <w:rFonts w:hint="eastAsia" w:ascii="宋体" w:hAnsi="宋体" w:eastAsia="宋体" w:cs="宋体"/>
          <w:i w:val="0"/>
          <w:iCs w:val="0"/>
          <w:snapToGrid w:val="0"/>
          <w:color w:val="auto"/>
          <w:sz w:val="24"/>
          <w:szCs w:val="24"/>
          <w:highlight w:val="none"/>
          <w:lang w:val="zh-CN"/>
        </w:rPr>
        <w:t>.</w:t>
      </w:r>
      <w:r>
        <w:rPr>
          <w:rFonts w:hint="eastAsia" w:ascii="宋体" w:hAnsi="宋体" w:eastAsia="宋体" w:cs="宋体"/>
          <w:i w:val="0"/>
          <w:iCs w:val="0"/>
          <w:snapToGrid w:val="0"/>
          <w:color w:val="auto"/>
          <w:sz w:val="24"/>
          <w:szCs w:val="24"/>
          <w:highlight w:val="none"/>
          <w:lang w:val="en-US" w:eastAsia="zh-CN"/>
        </w:rPr>
        <w:t>4</w:t>
      </w:r>
      <w:r>
        <w:rPr>
          <w:rFonts w:hint="eastAsia" w:ascii="宋体" w:hAnsi="宋体" w:eastAsia="宋体" w:cs="宋体"/>
          <w:i w:val="0"/>
          <w:iCs w:val="0"/>
          <w:snapToGrid w:val="0"/>
          <w:color w:val="auto"/>
          <w:sz w:val="24"/>
          <w:szCs w:val="24"/>
          <w:highlight w:val="none"/>
          <w:lang w:val="zh-CN"/>
        </w:rPr>
        <w:t>供应商同意延长的，</w:t>
      </w:r>
      <w:r>
        <w:rPr>
          <w:rFonts w:hint="eastAsia" w:ascii="宋体" w:hAnsi="宋体" w:eastAsia="宋体" w:cs="宋体"/>
          <w:i w:val="0"/>
          <w:iCs w:val="0"/>
          <w:snapToGrid w:val="0"/>
          <w:color w:val="auto"/>
          <w:sz w:val="24"/>
          <w:szCs w:val="24"/>
          <w:highlight w:val="none"/>
          <w:lang w:val="en-US" w:eastAsia="zh-CN"/>
        </w:rPr>
        <w:t>其磋商</w:t>
      </w:r>
      <w:r>
        <w:rPr>
          <w:rFonts w:hint="eastAsia" w:ascii="宋体" w:hAnsi="宋体" w:eastAsia="宋体" w:cs="宋体"/>
          <w:i w:val="0"/>
          <w:iCs w:val="0"/>
          <w:snapToGrid w:val="0"/>
          <w:color w:val="auto"/>
          <w:sz w:val="24"/>
          <w:szCs w:val="24"/>
          <w:highlight w:val="none"/>
          <w:lang w:val="zh-CN"/>
        </w:rPr>
        <w:t>保证金的有效期也相应延长</w:t>
      </w:r>
      <w:r>
        <w:rPr>
          <w:rFonts w:hint="eastAsia" w:ascii="宋体" w:hAnsi="宋体" w:eastAsia="宋体" w:cs="宋体"/>
          <w:i w:val="0"/>
          <w:iCs w:val="0"/>
          <w:snapToGrid w:val="0"/>
          <w:color w:val="auto"/>
          <w:sz w:val="24"/>
          <w:szCs w:val="24"/>
          <w:highlight w:val="none"/>
          <w:lang w:val="zh-CN" w:eastAsia="zh-CN"/>
        </w:rPr>
        <w:t>，</w:t>
      </w:r>
      <w:r>
        <w:rPr>
          <w:rFonts w:hint="eastAsia" w:ascii="宋体" w:hAnsi="宋体" w:eastAsia="宋体" w:cs="宋体"/>
          <w:i w:val="0"/>
          <w:iCs w:val="0"/>
          <w:snapToGrid w:val="0"/>
          <w:color w:val="auto"/>
          <w:sz w:val="24"/>
          <w:szCs w:val="24"/>
          <w:highlight w:val="none"/>
          <w:lang w:val="zh-CN"/>
        </w:rPr>
        <w:t>不得要求或被允许修改或撤销其响应文件；供应商拒绝延长的，其响应文件在原响应文件有效期满后将不再有效</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lang w:val="en-US" w:eastAsia="zh-CN"/>
        </w:rPr>
        <w:t>但其提交的磋商保证金可予以退还</w:t>
      </w:r>
      <w:r>
        <w:rPr>
          <w:rFonts w:hint="eastAsia" w:ascii="宋体" w:hAnsi="宋体" w:eastAsia="宋体" w:cs="宋体"/>
          <w:i w:val="0"/>
          <w:iCs w:val="0"/>
          <w:snapToGrid w:val="0"/>
          <w:color w:val="auto"/>
          <w:sz w:val="24"/>
          <w:szCs w:val="24"/>
          <w:highlight w:val="none"/>
          <w:lang w:val="zh-CN"/>
        </w:rPr>
        <w:t>。</w:t>
      </w:r>
    </w:p>
    <w:bookmarkEnd w:id="156"/>
    <w:bookmarkEnd w:id="157"/>
    <w:bookmarkEnd w:id="158"/>
    <w:bookmarkEnd w:id="159"/>
    <w:bookmarkEnd w:id="160"/>
    <w:bookmarkEnd w:id="161"/>
    <w:bookmarkEnd w:id="162"/>
    <w:bookmarkEnd w:id="163"/>
    <w:bookmarkEnd w:id="164"/>
    <w:bookmarkEnd w:id="165"/>
    <w:bookmarkEnd w:id="166"/>
    <w:bookmarkEnd w:id="167"/>
    <w:bookmarkEnd w:id="168"/>
    <w:p w14:paraId="26D695E6">
      <w:pPr>
        <w:pStyle w:val="5"/>
        <w:keepNext w:val="0"/>
        <w:keepLines w:val="0"/>
        <w:pageBreakBefore w:val="0"/>
        <w:widowControl w:val="0"/>
        <w:numPr>
          <w:ilvl w:val="0"/>
          <w:numId w:val="0"/>
        </w:numPr>
        <w:kinsoku/>
        <w:wordWrap/>
        <w:overflowPunct/>
        <w:topLinePunct w:val="0"/>
        <w:autoSpaceDE/>
        <w:autoSpaceDN/>
        <w:bidi w:val="0"/>
        <w:adjustRightInd/>
        <w:snapToGrid/>
        <w:spacing w:before="80" w:after="80" w:line="240" w:lineRule="auto"/>
        <w:ind w:left="420" w:leftChars="0" w:hanging="420" w:firstLineChars="0"/>
        <w:textAlignment w:val="auto"/>
        <w:rPr>
          <w:rFonts w:hint="eastAsia" w:ascii="宋体" w:hAnsi="宋体" w:eastAsia="宋体" w:cs="宋体"/>
          <w:b/>
          <w:bCs/>
          <w:i w:val="0"/>
          <w:iCs w:val="0"/>
          <w:color w:val="auto"/>
          <w:kern w:val="2"/>
          <w:sz w:val="24"/>
          <w:szCs w:val="24"/>
          <w:highlight w:val="none"/>
          <w:lang w:val="en-US" w:eastAsia="zh-CN" w:bidi="ar-SA"/>
        </w:rPr>
      </w:pPr>
      <w:r>
        <w:rPr>
          <w:rFonts w:hint="eastAsia" w:ascii="宋体" w:hAnsi="宋体" w:eastAsia="宋体" w:cs="宋体"/>
          <w:b/>
          <w:bCs/>
          <w:i w:val="0"/>
          <w:iCs w:val="0"/>
          <w:color w:val="auto"/>
          <w:kern w:val="2"/>
          <w:sz w:val="24"/>
          <w:szCs w:val="24"/>
          <w:highlight w:val="none"/>
          <w:lang w:val="en-US" w:eastAsia="zh-CN" w:bidi="ar-SA"/>
        </w:rPr>
        <w:t>16.响应文件的编制</w:t>
      </w:r>
      <w:bookmarkEnd w:id="129"/>
      <w:bookmarkEnd w:id="130"/>
      <w:bookmarkEnd w:id="131"/>
      <w:bookmarkEnd w:id="132"/>
      <w:bookmarkEnd w:id="133"/>
      <w:bookmarkEnd w:id="134"/>
      <w:bookmarkEnd w:id="135"/>
      <w:bookmarkEnd w:id="136"/>
      <w:bookmarkEnd w:id="137"/>
      <w:bookmarkEnd w:id="138"/>
      <w:bookmarkEnd w:id="139"/>
      <w:bookmarkEnd w:id="140"/>
      <w:bookmarkEnd w:id="141"/>
    </w:p>
    <w:p w14:paraId="710ABAB7">
      <w:pPr>
        <w:keepNext w:val="0"/>
        <w:keepLines w:val="0"/>
        <w:pageBreakBefore w:val="0"/>
        <w:widowControl w:val="0"/>
        <w:kinsoku/>
        <w:overflowPunct/>
        <w:topLinePunct w:val="0"/>
        <w:autoSpaceDE/>
        <w:autoSpaceDN/>
        <w:bidi w:val="0"/>
        <w:adjustRightInd/>
        <w:ind w:firstLine="480" w:firstLineChars="2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w:t>
      </w:r>
      <w:r>
        <w:rPr>
          <w:rFonts w:hint="eastAsia" w:ascii="宋体" w:hAnsi="宋体" w:eastAsia="宋体" w:cs="宋体"/>
          <w:i w:val="0"/>
          <w:iCs w:val="0"/>
          <w:color w:val="auto"/>
          <w:sz w:val="24"/>
          <w:szCs w:val="24"/>
          <w:highlight w:val="none"/>
          <w:lang w:val="en-US" w:eastAsia="zh-CN"/>
        </w:rPr>
        <w:t>6</w:t>
      </w:r>
      <w:r>
        <w:rPr>
          <w:rFonts w:hint="eastAsia" w:ascii="宋体" w:hAnsi="宋体" w:eastAsia="宋体" w:cs="宋体"/>
          <w:i w:val="0"/>
          <w:iCs w:val="0"/>
          <w:color w:val="auto"/>
          <w:sz w:val="24"/>
          <w:szCs w:val="24"/>
          <w:highlight w:val="none"/>
        </w:rPr>
        <w:t>.1</w:t>
      </w:r>
      <w:r>
        <w:rPr>
          <w:rFonts w:hint="eastAsia" w:ascii="宋体" w:hAnsi="宋体" w:eastAsia="宋体" w:cs="宋体"/>
          <w:i w:val="0"/>
          <w:iCs w:val="0"/>
          <w:color w:val="auto"/>
          <w:sz w:val="24"/>
          <w:szCs w:val="24"/>
          <w:highlight w:val="none"/>
          <w:lang w:val="en-US" w:eastAsia="zh-CN"/>
        </w:rPr>
        <w:t>响应</w:t>
      </w:r>
      <w:r>
        <w:rPr>
          <w:rFonts w:hint="eastAsia" w:ascii="宋体" w:hAnsi="宋体" w:eastAsia="宋体" w:cs="宋体"/>
          <w:i w:val="0"/>
          <w:iCs w:val="0"/>
          <w:color w:val="auto"/>
          <w:sz w:val="24"/>
          <w:szCs w:val="24"/>
          <w:highlight w:val="none"/>
        </w:rPr>
        <w:t>文件应在供应商客户端中进行编制，在</w:t>
      </w:r>
      <w:r>
        <w:rPr>
          <w:rFonts w:hint="eastAsia" w:ascii="宋体" w:hAnsi="宋体" w:eastAsia="宋体" w:cs="宋体"/>
          <w:i w:val="0"/>
          <w:iCs w:val="0"/>
          <w:color w:val="auto"/>
          <w:sz w:val="24"/>
          <w:szCs w:val="24"/>
          <w:highlight w:val="none"/>
          <w:lang w:val="en-US" w:eastAsia="zh-CN"/>
        </w:rPr>
        <w:t>响应</w:t>
      </w:r>
      <w:r>
        <w:rPr>
          <w:rFonts w:hint="eastAsia" w:ascii="宋体" w:hAnsi="宋体" w:eastAsia="宋体" w:cs="宋体"/>
          <w:i w:val="0"/>
          <w:iCs w:val="0"/>
          <w:color w:val="auto"/>
          <w:sz w:val="24"/>
          <w:szCs w:val="24"/>
          <w:highlight w:val="none"/>
        </w:rPr>
        <w:t>文件中要求加盖印章的，除有特殊说明之外，</w:t>
      </w:r>
      <w:r>
        <w:rPr>
          <w:rFonts w:hint="eastAsia" w:ascii="宋体" w:hAnsi="宋体" w:eastAsia="宋体" w:cs="宋体"/>
          <w:i w:val="0"/>
          <w:iCs w:val="0"/>
          <w:color w:val="auto"/>
          <w:sz w:val="24"/>
          <w:szCs w:val="24"/>
          <w:highlight w:val="none"/>
          <w:lang w:val="en-US" w:eastAsia="zh-CN"/>
        </w:rPr>
        <w:t>可</w:t>
      </w:r>
      <w:r>
        <w:rPr>
          <w:rFonts w:hint="eastAsia" w:ascii="宋体" w:hAnsi="宋体" w:eastAsia="宋体" w:cs="宋体"/>
          <w:i w:val="0"/>
          <w:iCs w:val="0"/>
          <w:color w:val="auto"/>
          <w:sz w:val="24"/>
          <w:szCs w:val="24"/>
          <w:highlight w:val="none"/>
        </w:rPr>
        <w:t>使用电子签章签署。</w:t>
      </w:r>
    </w:p>
    <w:p w14:paraId="6FD5FFC6">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w:t>
      </w:r>
      <w:r>
        <w:rPr>
          <w:rFonts w:hint="eastAsia" w:ascii="宋体" w:hAnsi="宋体" w:eastAsia="宋体" w:cs="宋体"/>
          <w:i w:val="0"/>
          <w:iCs w:val="0"/>
          <w:color w:val="auto"/>
          <w:sz w:val="24"/>
          <w:szCs w:val="24"/>
          <w:highlight w:val="none"/>
          <w:lang w:val="en-US" w:eastAsia="zh-CN"/>
        </w:rPr>
        <w:t>6</w:t>
      </w:r>
      <w:r>
        <w:rPr>
          <w:rFonts w:hint="eastAsia" w:ascii="宋体" w:hAnsi="宋体" w:eastAsia="宋体" w:cs="宋体"/>
          <w:i w:val="0"/>
          <w:iCs w:val="0"/>
          <w:color w:val="auto"/>
          <w:sz w:val="24"/>
          <w:szCs w:val="24"/>
          <w:highlight w:val="none"/>
        </w:rPr>
        <w:t>.2</w:t>
      </w:r>
      <w:r>
        <w:rPr>
          <w:rFonts w:hint="eastAsia" w:ascii="宋体" w:hAnsi="宋体" w:eastAsia="宋体" w:cs="宋体"/>
          <w:i w:val="0"/>
          <w:iCs w:val="0"/>
          <w:color w:val="auto"/>
          <w:sz w:val="24"/>
          <w:szCs w:val="24"/>
          <w:highlight w:val="none"/>
          <w:lang w:val="en-US" w:eastAsia="zh-CN"/>
        </w:rPr>
        <w:t>供应商</w:t>
      </w:r>
      <w:r>
        <w:rPr>
          <w:rFonts w:hint="eastAsia" w:ascii="宋体" w:hAnsi="宋体" w:eastAsia="宋体" w:cs="宋体"/>
          <w:i w:val="0"/>
          <w:iCs w:val="0"/>
          <w:color w:val="auto"/>
          <w:sz w:val="24"/>
          <w:szCs w:val="24"/>
          <w:highlight w:val="none"/>
        </w:rPr>
        <w:t>在供应商客户端中按照供应商客户端中的格式要求填写响应内容后，生成</w:t>
      </w:r>
      <w:r>
        <w:rPr>
          <w:rFonts w:hint="eastAsia" w:ascii="宋体" w:hAnsi="宋体" w:eastAsia="宋体" w:cs="宋体"/>
          <w:i w:val="0"/>
          <w:iCs w:val="0"/>
          <w:color w:val="auto"/>
          <w:sz w:val="24"/>
          <w:szCs w:val="24"/>
          <w:highlight w:val="none"/>
          <w:lang w:val="en-US" w:eastAsia="zh-CN"/>
        </w:rPr>
        <w:t>响应</w:t>
      </w:r>
      <w:r>
        <w:rPr>
          <w:rFonts w:hint="eastAsia" w:ascii="宋体" w:hAnsi="宋体" w:eastAsia="宋体" w:cs="宋体"/>
          <w:i w:val="0"/>
          <w:iCs w:val="0"/>
          <w:color w:val="auto"/>
          <w:sz w:val="24"/>
          <w:szCs w:val="24"/>
          <w:highlight w:val="none"/>
        </w:rPr>
        <w:t>文件。</w:t>
      </w:r>
      <w:r>
        <w:rPr>
          <w:rFonts w:hint="eastAsia" w:ascii="宋体" w:hAnsi="宋体" w:eastAsia="宋体" w:cs="宋体"/>
          <w:i w:val="0"/>
          <w:iCs w:val="0"/>
          <w:color w:val="auto"/>
          <w:sz w:val="24"/>
          <w:szCs w:val="24"/>
          <w:highlight w:val="none"/>
          <w:lang w:val="en-US" w:eastAsia="zh-CN"/>
        </w:rPr>
        <w:t>供应商</w:t>
      </w:r>
      <w:r>
        <w:rPr>
          <w:rFonts w:hint="eastAsia" w:ascii="宋体" w:hAnsi="宋体" w:eastAsia="宋体" w:cs="宋体"/>
          <w:i w:val="0"/>
          <w:iCs w:val="0"/>
          <w:color w:val="auto"/>
          <w:sz w:val="24"/>
          <w:szCs w:val="24"/>
          <w:highlight w:val="none"/>
        </w:rPr>
        <w:t>须按照</w:t>
      </w:r>
      <w:r>
        <w:rPr>
          <w:rFonts w:hint="eastAsia" w:ascii="宋体" w:hAnsi="宋体" w:eastAsia="宋体" w:cs="宋体"/>
          <w:i w:val="0"/>
          <w:iCs w:val="0"/>
          <w:color w:val="auto"/>
          <w:sz w:val="24"/>
          <w:szCs w:val="24"/>
          <w:highlight w:val="none"/>
          <w:lang w:val="en-US" w:eastAsia="zh-CN"/>
        </w:rPr>
        <w:t>竞争性磋商</w:t>
      </w:r>
      <w:r>
        <w:rPr>
          <w:rFonts w:hint="eastAsia" w:ascii="宋体" w:hAnsi="宋体" w:eastAsia="宋体" w:cs="宋体"/>
          <w:i w:val="0"/>
          <w:iCs w:val="0"/>
          <w:color w:val="auto"/>
          <w:sz w:val="24"/>
          <w:szCs w:val="24"/>
          <w:highlight w:val="none"/>
        </w:rPr>
        <w:t>文件的要求使用电子签章对要求加盖印章的部分逐一进行签章。</w:t>
      </w:r>
    </w:p>
    <w:p w14:paraId="4BB98241">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w:t>
      </w:r>
      <w:r>
        <w:rPr>
          <w:rFonts w:hint="eastAsia" w:ascii="宋体" w:hAnsi="宋体" w:eastAsia="宋体" w:cs="宋体"/>
          <w:i w:val="0"/>
          <w:iCs w:val="0"/>
          <w:color w:val="auto"/>
          <w:sz w:val="24"/>
          <w:szCs w:val="24"/>
          <w:highlight w:val="none"/>
          <w:lang w:val="en-US" w:eastAsia="zh-CN"/>
        </w:rPr>
        <w:t>6</w:t>
      </w: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val="en-US" w:eastAsia="zh-CN"/>
        </w:rPr>
        <w:t>3供应商</w:t>
      </w:r>
      <w:r>
        <w:rPr>
          <w:rFonts w:hint="eastAsia" w:ascii="宋体" w:hAnsi="宋体" w:eastAsia="宋体" w:cs="宋体"/>
          <w:i w:val="0"/>
          <w:iCs w:val="0"/>
          <w:color w:val="auto"/>
          <w:sz w:val="24"/>
          <w:szCs w:val="24"/>
          <w:highlight w:val="none"/>
        </w:rPr>
        <w:t>应详细阅读</w:t>
      </w:r>
      <w:r>
        <w:rPr>
          <w:rFonts w:hint="eastAsia" w:ascii="宋体" w:hAnsi="宋体" w:eastAsia="宋体" w:cs="宋体"/>
          <w:i w:val="0"/>
          <w:iCs w:val="0"/>
          <w:color w:val="auto"/>
          <w:sz w:val="24"/>
          <w:szCs w:val="24"/>
          <w:highlight w:val="none"/>
          <w:lang w:val="en-US" w:eastAsia="zh-CN"/>
        </w:rPr>
        <w:t>竞争性磋商</w:t>
      </w:r>
      <w:r>
        <w:rPr>
          <w:rFonts w:hint="eastAsia" w:ascii="宋体" w:hAnsi="宋体" w:eastAsia="宋体" w:cs="宋体"/>
          <w:i w:val="0"/>
          <w:iCs w:val="0"/>
          <w:color w:val="auto"/>
          <w:sz w:val="24"/>
          <w:szCs w:val="24"/>
          <w:highlight w:val="none"/>
        </w:rPr>
        <w:t>文件的全部内容。</w:t>
      </w:r>
      <w:r>
        <w:rPr>
          <w:rFonts w:hint="eastAsia" w:ascii="宋体" w:hAnsi="宋体" w:eastAsia="宋体" w:cs="宋体"/>
          <w:i w:val="0"/>
          <w:iCs w:val="0"/>
          <w:color w:val="auto"/>
          <w:sz w:val="24"/>
          <w:szCs w:val="24"/>
          <w:highlight w:val="none"/>
          <w:lang w:val="en-US" w:eastAsia="zh-CN"/>
        </w:rPr>
        <w:t>响应</w:t>
      </w:r>
      <w:r>
        <w:rPr>
          <w:rFonts w:hint="eastAsia" w:ascii="宋体" w:hAnsi="宋体" w:eastAsia="宋体" w:cs="宋体"/>
          <w:i w:val="0"/>
          <w:iCs w:val="0"/>
          <w:color w:val="auto"/>
          <w:sz w:val="24"/>
          <w:szCs w:val="24"/>
          <w:highlight w:val="none"/>
        </w:rPr>
        <w:t>文件须对</w:t>
      </w:r>
      <w:r>
        <w:rPr>
          <w:rFonts w:hint="eastAsia" w:ascii="宋体" w:hAnsi="宋体" w:eastAsia="宋体" w:cs="宋体"/>
          <w:i w:val="0"/>
          <w:iCs w:val="0"/>
          <w:color w:val="auto"/>
          <w:sz w:val="24"/>
          <w:szCs w:val="24"/>
          <w:highlight w:val="none"/>
          <w:lang w:val="en-US" w:eastAsia="zh-CN"/>
        </w:rPr>
        <w:t>竞争性磋商</w:t>
      </w:r>
      <w:r>
        <w:rPr>
          <w:rFonts w:hint="eastAsia" w:ascii="宋体" w:hAnsi="宋体" w:eastAsia="宋体" w:cs="宋体"/>
          <w:i w:val="0"/>
          <w:iCs w:val="0"/>
          <w:color w:val="auto"/>
          <w:sz w:val="24"/>
          <w:szCs w:val="24"/>
          <w:highlight w:val="none"/>
        </w:rPr>
        <w:t>文件中的内容作出实质性和完整的响应，如果</w:t>
      </w:r>
      <w:r>
        <w:rPr>
          <w:rFonts w:hint="eastAsia" w:ascii="宋体" w:hAnsi="宋体" w:eastAsia="宋体" w:cs="宋体"/>
          <w:i w:val="0"/>
          <w:iCs w:val="0"/>
          <w:color w:val="auto"/>
          <w:sz w:val="24"/>
          <w:szCs w:val="24"/>
          <w:highlight w:val="none"/>
          <w:lang w:val="en-US" w:eastAsia="zh-CN"/>
        </w:rPr>
        <w:t>响应</w:t>
      </w:r>
      <w:r>
        <w:rPr>
          <w:rFonts w:hint="eastAsia" w:ascii="宋体" w:hAnsi="宋体" w:eastAsia="宋体" w:cs="宋体"/>
          <w:i w:val="0"/>
          <w:iCs w:val="0"/>
          <w:color w:val="auto"/>
          <w:sz w:val="24"/>
          <w:szCs w:val="24"/>
          <w:highlight w:val="none"/>
        </w:rPr>
        <w:t>文件填报的内容不详，或没有提供</w:t>
      </w:r>
      <w:r>
        <w:rPr>
          <w:rFonts w:hint="eastAsia" w:ascii="宋体" w:hAnsi="宋体" w:eastAsia="宋体" w:cs="宋体"/>
          <w:i w:val="0"/>
          <w:iCs w:val="0"/>
          <w:color w:val="auto"/>
          <w:sz w:val="24"/>
          <w:szCs w:val="24"/>
          <w:highlight w:val="none"/>
          <w:lang w:val="en-US" w:eastAsia="zh-CN"/>
        </w:rPr>
        <w:t>竞争性磋商</w:t>
      </w:r>
      <w:r>
        <w:rPr>
          <w:rFonts w:hint="eastAsia" w:ascii="宋体" w:hAnsi="宋体" w:eastAsia="宋体" w:cs="宋体"/>
          <w:i w:val="0"/>
          <w:iCs w:val="0"/>
          <w:color w:val="auto"/>
          <w:sz w:val="24"/>
          <w:szCs w:val="24"/>
          <w:highlight w:val="none"/>
        </w:rPr>
        <w:t>文件中所要求的全部资料及数据，将可能</w:t>
      </w:r>
      <w:r>
        <w:rPr>
          <w:rFonts w:hint="eastAsia" w:ascii="宋体" w:hAnsi="宋体" w:eastAsia="宋体" w:cs="宋体"/>
          <w:b/>
          <w:bCs/>
          <w:i w:val="0"/>
          <w:iCs w:val="0"/>
          <w:color w:val="auto"/>
          <w:sz w:val="24"/>
          <w:szCs w:val="24"/>
          <w:highlight w:val="none"/>
        </w:rPr>
        <w:t>导致</w:t>
      </w:r>
      <w:r>
        <w:rPr>
          <w:rFonts w:hint="eastAsia" w:ascii="宋体" w:hAnsi="宋体" w:eastAsia="宋体" w:cs="宋体"/>
          <w:b/>
          <w:bCs/>
          <w:i w:val="0"/>
          <w:iCs w:val="0"/>
          <w:color w:val="auto"/>
          <w:sz w:val="24"/>
          <w:szCs w:val="24"/>
          <w:highlight w:val="none"/>
          <w:lang w:val="en-US" w:eastAsia="zh-CN"/>
        </w:rPr>
        <w:t>其响应无效</w:t>
      </w:r>
      <w:r>
        <w:rPr>
          <w:rFonts w:hint="eastAsia" w:ascii="宋体" w:hAnsi="宋体" w:eastAsia="宋体" w:cs="宋体"/>
          <w:i w:val="0"/>
          <w:iCs w:val="0"/>
          <w:color w:val="auto"/>
          <w:sz w:val="24"/>
          <w:szCs w:val="24"/>
          <w:highlight w:val="none"/>
        </w:rPr>
        <w:t>。</w:t>
      </w:r>
    </w:p>
    <w:p w14:paraId="2084E86D">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w:t>
      </w:r>
      <w:r>
        <w:rPr>
          <w:rFonts w:hint="eastAsia" w:ascii="宋体" w:hAnsi="宋体" w:eastAsia="宋体" w:cs="宋体"/>
          <w:i w:val="0"/>
          <w:iCs w:val="0"/>
          <w:color w:val="auto"/>
          <w:sz w:val="24"/>
          <w:szCs w:val="24"/>
          <w:highlight w:val="none"/>
          <w:lang w:val="en-US" w:eastAsia="zh-CN"/>
        </w:rPr>
        <w:t>6</w:t>
      </w: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val="en-US" w:eastAsia="zh-CN"/>
        </w:rPr>
        <w:t>4响应</w:t>
      </w:r>
      <w:r>
        <w:rPr>
          <w:rFonts w:hint="eastAsia" w:ascii="宋体" w:hAnsi="宋体" w:eastAsia="宋体" w:cs="宋体"/>
          <w:i w:val="0"/>
          <w:iCs w:val="0"/>
          <w:color w:val="auto"/>
          <w:sz w:val="24"/>
          <w:szCs w:val="24"/>
          <w:highlight w:val="none"/>
        </w:rPr>
        <w:t>文件须严格按照</w:t>
      </w:r>
      <w:r>
        <w:rPr>
          <w:rFonts w:hint="eastAsia" w:ascii="宋体" w:hAnsi="宋体" w:eastAsia="宋体" w:cs="宋体"/>
          <w:i w:val="0"/>
          <w:iCs w:val="0"/>
          <w:color w:val="auto"/>
          <w:sz w:val="24"/>
          <w:szCs w:val="24"/>
          <w:highlight w:val="none"/>
          <w:lang w:val="en-US" w:eastAsia="zh-CN"/>
        </w:rPr>
        <w:t>本竞争性磋商</w:t>
      </w:r>
      <w:r>
        <w:rPr>
          <w:rFonts w:hint="eastAsia" w:ascii="宋体" w:hAnsi="宋体" w:eastAsia="宋体" w:cs="宋体"/>
          <w:i w:val="0"/>
          <w:iCs w:val="0"/>
          <w:color w:val="auto"/>
          <w:sz w:val="24"/>
          <w:szCs w:val="24"/>
          <w:highlight w:val="none"/>
        </w:rPr>
        <w:t>文件第</w:t>
      </w:r>
      <w:r>
        <w:rPr>
          <w:rFonts w:hint="eastAsia" w:ascii="宋体" w:hAnsi="宋体" w:eastAsia="宋体" w:cs="宋体"/>
          <w:i w:val="0"/>
          <w:iCs w:val="0"/>
          <w:color w:val="auto"/>
          <w:sz w:val="24"/>
          <w:szCs w:val="24"/>
          <w:highlight w:val="none"/>
          <w:lang w:val="en-US" w:eastAsia="zh-CN"/>
        </w:rPr>
        <w:t>六章</w:t>
      </w:r>
      <w:r>
        <w:rPr>
          <w:rFonts w:hint="eastAsia" w:ascii="宋体" w:hAnsi="宋体" w:eastAsia="宋体" w:cs="宋体"/>
          <w:i w:val="0"/>
          <w:iCs w:val="0"/>
          <w:color w:val="auto"/>
          <w:sz w:val="24"/>
          <w:szCs w:val="24"/>
          <w:highlight w:val="none"/>
        </w:rPr>
        <w:t>规定的格式提交，并按规定的统一格式逐项填写，不准有空项；无相应内容可填的项，应填写“无”、“未测试”、“没有相应指标”等明确的回答文字。由于编排混乱导致</w:t>
      </w:r>
      <w:r>
        <w:rPr>
          <w:rFonts w:hint="eastAsia" w:ascii="宋体" w:hAnsi="宋体" w:eastAsia="宋体" w:cs="宋体"/>
          <w:i w:val="0"/>
          <w:iCs w:val="0"/>
          <w:color w:val="auto"/>
          <w:sz w:val="24"/>
          <w:szCs w:val="24"/>
          <w:highlight w:val="none"/>
          <w:lang w:val="en-US" w:eastAsia="zh-CN"/>
        </w:rPr>
        <w:t>响应</w:t>
      </w:r>
      <w:r>
        <w:rPr>
          <w:rFonts w:hint="eastAsia" w:ascii="宋体" w:hAnsi="宋体" w:eastAsia="宋体" w:cs="宋体"/>
          <w:i w:val="0"/>
          <w:iCs w:val="0"/>
          <w:color w:val="auto"/>
          <w:sz w:val="24"/>
          <w:szCs w:val="24"/>
          <w:highlight w:val="none"/>
        </w:rPr>
        <w:t>文件被误读或查找不到，其责任由</w:t>
      </w:r>
      <w:r>
        <w:rPr>
          <w:rFonts w:hint="eastAsia" w:ascii="宋体" w:hAnsi="宋体" w:eastAsia="宋体" w:cs="宋体"/>
          <w:i w:val="0"/>
          <w:iCs w:val="0"/>
          <w:color w:val="auto"/>
          <w:sz w:val="24"/>
          <w:szCs w:val="24"/>
          <w:highlight w:val="none"/>
          <w:lang w:val="en-US" w:eastAsia="zh-CN"/>
        </w:rPr>
        <w:t>供应商</w:t>
      </w:r>
      <w:r>
        <w:rPr>
          <w:rFonts w:hint="eastAsia" w:ascii="宋体" w:hAnsi="宋体" w:eastAsia="宋体" w:cs="宋体"/>
          <w:i w:val="0"/>
          <w:iCs w:val="0"/>
          <w:color w:val="auto"/>
          <w:sz w:val="24"/>
          <w:szCs w:val="24"/>
          <w:highlight w:val="none"/>
        </w:rPr>
        <w:t>承担。</w:t>
      </w:r>
    </w:p>
    <w:p w14:paraId="71265CA2">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w:t>
      </w:r>
      <w:r>
        <w:rPr>
          <w:rFonts w:hint="eastAsia" w:ascii="宋体" w:hAnsi="宋体" w:eastAsia="宋体" w:cs="宋体"/>
          <w:i w:val="0"/>
          <w:iCs w:val="0"/>
          <w:color w:val="auto"/>
          <w:sz w:val="24"/>
          <w:szCs w:val="24"/>
          <w:highlight w:val="none"/>
          <w:lang w:val="en-US" w:eastAsia="zh-CN"/>
        </w:rPr>
        <w:t>6</w:t>
      </w: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val="en-US" w:eastAsia="zh-CN"/>
        </w:rPr>
        <w:t>5供应商</w:t>
      </w:r>
      <w:r>
        <w:rPr>
          <w:rFonts w:hint="eastAsia" w:ascii="宋体" w:hAnsi="宋体" w:eastAsia="宋体" w:cs="宋体"/>
          <w:i w:val="0"/>
          <w:iCs w:val="0"/>
          <w:color w:val="auto"/>
          <w:sz w:val="24"/>
          <w:szCs w:val="24"/>
          <w:highlight w:val="none"/>
        </w:rPr>
        <w:t>须注意：为合理节约政府采购评审成本，提倡诚实信用的</w:t>
      </w:r>
      <w:r>
        <w:rPr>
          <w:rFonts w:hint="eastAsia" w:ascii="宋体" w:hAnsi="宋体" w:eastAsia="宋体" w:cs="宋体"/>
          <w:i w:val="0"/>
          <w:iCs w:val="0"/>
          <w:color w:val="auto"/>
          <w:sz w:val="24"/>
          <w:szCs w:val="24"/>
          <w:highlight w:val="none"/>
          <w:lang w:val="en-US" w:eastAsia="zh-CN"/>
        </w:rPr>
        <w:t>磋商</w:t>
      </w:r>
      <w:r>
        <w:rPr>
          <w:rFonts w:hint="eastAsia" w:ascii="宋体" w:hAnsi="宋体" w:eastAsia="宋体" w:cs="宋体"/>
          <w:i w:val="0"/>
          <w:iCs w:val="0"/>
          <w:color w:val="auto"/>
          <w:sz w:val="24"/>
          <w:szCs w:val="24"/>
          <w:highlight w:val="none"/>
        </w:rPr>
        <w:t>行为，特别要求</w:t>
      </w:r>
      <w:r>
        <w:rPr>
          <w:rFonts w:hint="eastAsia" w:ascii="宋体" w:hAnsi="宋体" w:eastAsia="宋体" w:cs="宋体"/>
          <w:i w:val="0"/>
          <w:iCs w:val="0"/>
          <w:color w:val="auto"/>
          <w:sz w:val="24"/>
          <w:szCs w:val="24"/>
          <w:highlight w:val="none"/>
          <w:lang w:val="en-US" w:eastAsia="zh-CN"/>
        </w:rPr>
        <w:t>供应商</w:t>
      </w:r>
      <w:r>
        <w:rPr>
          <w:rFonts w:hint="eastAsia" w:ascii="宋体" w:hAnsi="宋体" w:eastAsia="宋体" w:cs="宋体"/>
          <w:i w:val="0"/>
          <w:iCs w:val="0"/>
          <w:color w:val="auto"/>
          <w:sz w:val="24"/>
          <w:szCs w:val="24"/>
          <w:highlight w:val="none"/>
        </w:rPr>
        <w:t>应本着诚信精神，在本次</w:t>
      </w:r>
      <w:r>
        <w:rPr>
          <w:rFonts w:hint="eastAsia" w:ascii="宋体" w:hAnsi="宋体" w:eastAsia="宋体" w:cs="宋体"/>
          <w:i w:val="0"/>
          <w:iCs w:val="0"/>
          <w:color w:val="auto"/>
          <w:sz w:val="24"/>
          <w:szCs w:val="24"/>
          <w:highlight w:val="none"/>
          <w:lang w:val="en-US" w:eastAsia="zh-CN"/>
        </w:rPr>
        <w:t>响应</w:t>
      </w:r>
      <w:r>
        <w:rPr>
          <w:rFonts w:hint="eastAsia" w:ascii="宋体" w:hAnsi="宋体" w:eastAsia="宋体" w:cs="宋体"/>
          <w:i w:val="0"/>
          <w:iCs w:val="0"/>
          <w:color w:val="auto"/>
          <w:sz w:val="24"/>
          <w:szCs w:val="24"/>
          <w:highlight w:val="none"/>
        </w:rPr>
        <w:t>文件的偏离表中，均以审慎的态度明确、清楚地披露各项偏离。若</w:t>
      </w:r>
      <w:r>
        <w:rPr>
          <w:rFonts w:hint="eastAsia" w:ascii="宋体" w:hAnsi="宋体" w:eastAsia="宋体" w:cs="宋体"/>
          <w:i w:val="0"/>
          <w:iCs w:val="0"/>
          <w:color w:val="auto"/>
          <w:sz w:val="24"/>
          <w:szCs w:val="24"/>
          <w:highlight w:val="none"/>
          <w:lang w:val="en-US" w:eastAsia="zh-CN"/>
        </w:rPr>
        <w:t>供应商</w:t>
      </w:r>
      <w:r>
        <w:rPr>
          <w:rFonts w:hint="eastAsia" w:ascii="宋体" w:hAnsi="宋体" w:eastAsia="宋体" w:cs="宋体"/>
          <w:i w:val="0"/>
          <w:iCs w:val="0"/>
          <w:color w:val="auto"/>
          <w:sz w:val="24"/>
          <w:szCs w:val="24"/>
          <w:highlight w:val="none"/>
        </w:rPr>
        <w:t>对某一事项是否存在或是否属于偏离不能确定，亦必须在偏离表中清楚地表明该偏离事项，并可以注明不能确定的字样。任何情况下，对于</w:t>
      </w:r>
      <w:r>
        <w:rPr>
          <w:rFonts w:hint="eastAsia" w:ascii="宋体" w:hAnsi="宋体" w:eastAsia="宋体" w:cs="宋体"/>
          <w:i w:val="0"/>
          <w:iCs w:val="0"/>
          <w:color w:val="auto"/>
          <w:sz w:val="24"/>
          <w:szCs w:val="24"/>
          <w:highlight w:val="none"/>
          <w:lang w:val="en-US" w:eastAsia="zh-CN"/>
        </w:rPr>
        <w:t>供应商</w:t>
      </w:r>
      <w:r>
        <w:rPr>
          <w:rFonts w:hint="eastAsia" w:ascii="宋体" w:hAnsi="宋体" w:eastAsia="宋体" w:cs="宋体"/>
          <w:i w:val="0"/>
          <w:iCs w:val="0"/>
          <w:color w:val="auto"/>
          <w:sz w:val="24"/>
          <w:szCs w:val="24"/>
          <w:highlight w:val="none"/>
        </w:rPr>
        <w:t>没有在偏离表中明确、清楚地披露的事项，包括可能属于被</w:t>
      </w:r>
      <w:r>
        <w:rPr>
          <w:rFonts w:hint="eastAsia" w:ascii="宋体" w:hAnsi="宋体" w:eastAsia="宋体" w:cs="宋体"/>
          <w:i w:val="0"/>
          <w:iCs w:val="0"/>
          <w:color w:val="auto"/>
          <w:sz w:val="24"/>
          <w:szCs w:val="24"/>
          <w:highlight w:val="none"/>
          <w:lang w:val="en-US" w:eastAsia="zh-CN"/>
        </w:rPr>
        <w:t>供应商</w:t>
      </w:r>
      <w:r>
        <w:rPr>
          <w:rFonts w:hint="eastAsia" w:ascii="宋体" w:hAnsi="宋体" w:eastAsia="宋体" w:cs="宋体"/>
          <w:i w:val="0"/>
          <w:iCs w:val="0"/>
          <w:color w:val="auto"/>
          <w:sz w:val="24"/>
          <w:szCs w:val="24"/>
          <w:highlight w:val="none"/>
        </w:rPr>
        <w:t>在偏离表中遗漏披露的事项，一旦在评审中被发现存在偏离或被认定为属于偏离，则评</w:t>
      </w:r>
      <w:r>
        <w:rPr>
          <w:rFonts w:hint="eastAsia" w:ascii="宋体" w:hAnsi="宋体" w:eastAsia="宋体" w:cs="宋体"/>
          <w:i w:val="0"/>
          <w:iCs w:val="0"/>
          <w:color w:val="auto"/>
          <w:sz w:val="24"/>
          <w:szCs w:val="24"/>
          <w:highlight w:val="none"/>
          <w:lang w:val="en-US" w:eastAsia="zh-CN"/>
        </w:rPr>
        <w:t>审</w:t>
      </w:r>
      <w:r>
        <w:rPr>
          <w:rFonts w:hint="eastAsia" w:ascii="宋体" w:hAnsi="宋体" w:eastAsia="宋体" w:cs="宋体"/>
          <w:i w:val="0"/>
          <w:iCs w:val="0"/>
          <w:color w:val="auto"/>
          <w:sz w:val="24"/>
          <w:szCs w:val="24"/>
          <w:highlight w:val="none"/>
        </w:rPr>
        <w:t>委员会有权视具体情形评审时予以处理，</w:t>
      </w:r>
      <w:r>
        <w:rPr>
          <w:rFonts w:hint="eastAsia" w:ascii="宋体" w:hAnsi="宋体" w:eastAsia="宋体" w:cs="宋体"/>
          <w:b/>
          <w:bCs/>
          <w:i w:val="0"/>
          <w:iCs w:val="0"/>
          <w:color w:val="auto"/>
          <w:sz w:val="24"/>
          <w:szCs w:val="24"/>
          <w:highlight w:val="none"/>
        </w:rPr>
        <w:t>将可能导致</w:t>
      </w:r>
      <w:r>
        <w:rPr>
          <w:rFonts w:hint="eastAsia" w:ascii="宋体" w:hAnsi="宋体" w:eastAsia="宋体" w:cs="宋体"/>
          <w:b/>
          <w:bCs/>
          <w:i w:val="0"/>
          <w:iCs w:val="0"/>
          <w:color w:val="auto"/>
          <w:sz w:val="24"/>
          <w:szCs w:val="24"/>
          <w:highlight w:val="none"/>
          <w:lang w:eastAsia="zh-CN"/>
        </w:rPr>
        <w:t>响应</w:t>
      </w:r>
      <w:r>
        <w:rPr>
          <w:rFonts w:hint="eastAsia" w:ascii="宋体" w:hAnsi="宋体" w:eastAsia="宋体" w:cs="宋体"/>
          <w:b/>
          <w:bCs/>
          <w:i w:val="0"/>
          <w:iCs w:val="0"/>
          <w:color w:val="auto"/>
          <w:sz w:val="24"/>
          <w:szCs w:val="24"/>
          <w:highlight w:val="none"/>
          <w:lang w:val="en-US" w:eastAsia="zh-CN"/>
        </w:rPr>
        <w:t>无效</w:t>
      </w:r>
      <w:r>
        <w:rPr>
          <w:rFonts w:hint="eastAsia" w:ascii="宋体" w:hAnsi="宋体" w:eastAsia="宋体" w:cs="宋体"/>
          <w:i w:val="0"/>
          <w:iCs w:val="0"/>
          <w:color w:val="auto"/>
          <w:sz w:val="24"/>
          <w:szCs w:val="24"/>
          <w:highlight w:val="none"/>
        </w:rPr>
        <w:t>。</w:t>
      </w:r>
    </w:p>
    <w:p w14:paraId="54FCBEFF">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w:t>
      </w:r>
      <w:r>
        <w:rPr>
          <w:rFonts w:hint="eastAsia" w:ascii="宋体" w:hAnsi="宋体" w:eastAsia="宋体" w:cs="宋体"/>
          <w:i w:val="0"/>
          <w:iCs w:val="0"/>
          <w:color w:val="auto"/>
          <w:sz w:val="24"/>
          <w:szCs w:val="24"/>
          <w:highlight w:val="none"/>
          <w:lang w:val="en-US" w:eastAsia="zh-CN"/>
        </w:rPr>
        <w:t>6</w:t>
      </w: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val="en-US" w:eastAsia="zh-CN"/>
        </w:rPr>
        <w:t>6供应商</w:t>
      </w:r>
      <w:r>
        <w:rPr>
          <w:rFonts w:hint="eastAsia" w:ascii="宋体" w:hAnsi="宋体" w:eastAsia="宋体" w:cs="宋体"/>
          <w:i w:val="0"/>
          <w:iCs w:val="0"/>
          <w:color w:val="auto"/>
          <w:sz w:val="24"/>
          <w:szCs w:val="24"/>
          <w:highlight w:val="none"/>
        </w:rPr>
        <w:t>必须保证</w:t>
      </w:r>
      <w:r>
        <w:rPr>
          <w:rFonts w:hint="eastAsia" w:ascii="宋体" w:hAnsi="宋体" w:eastAsia="宋体" w:cs="宋体"/>
          <w:i w:val="0"/>
          <w:iCs w:val="0"/>
          <w:color w:val="auto"/>
          <w:sz w:val="24"/>
          <w:szCs w:val="24"/>
          <w:highlight w:val="none"/>
          <w:lang w:val="en-US" w:eastAsia="zh-CN"/>
        </w:rPr>
        <w:t>响应</w:t>
      </w:r>
      <w:r>
        <w:rPr>
          <w:rFonts w:hint="eastAsia" w:ascii="宋体" w:hAnsi="宋体" w:eastAsia="宋体" w:cs="宋体"/>
          <w:i w:val="0"/>
          <w:iCs w:val="0"/>
          <w:color w:val="auto"/>
          <w:sz w:val="24"/>
          <w:szCs w:val="24"/>
          <w:highlight w:val="none"/>
        </w:rPr>
        <w:t>文件所提供的全部资料真实可靠，并接受采购</w:t>
      </w:r>
      <w:r>
        <w:rPr>
          <w:rFonts w:hint="eastAsia" w:ascii="宋体" w:hAnsi="宋体" w:eastAsia="宋体" w:cs="宋体"/>
          <w:i w:val="0"/>
          <w:iCs w:val="0"/>
          <w:color w:val="auto"/>
          <w:sz w:val="24"/>
          <w:szCs w:val="24"/>
          <w:highlight w:val="none"/>
          <w:lang w:val="en-US" w:eastAsia="zh-CN"/>
        </w:rPr>
        <w:t>人、采购</w:t>
      </w:r>
      <w:r>
        <w:rPr>
          <w:rFonts w:hint="eastAsia" w:ascii="宋体" w:hAnsi="宋体" w:eastAsia="宋体" w:cs="宋体"/>
          <w:i w:val="0"/>
          <w:iCs w:val="0"/>
          <w:color w:val="auto"/>
          <w:sz w:val="24"/>
          <w:szCs w:val="24"/>
          <w:highlight w:val="none"/>
        </w:rPr>
        <w:t>代理机构或评</w:t>
      </w:r>
      <w:r>
        <w:rPr>
          <w:rFonts w:hint="eastAsia" w:ascii="宋体" w:hAnsi="宋体" w:eastAsia="宋体" w:cs="宋体"/>
          <w:i w:val="0"/>
          <w:iCs w:val="0"/>
          <w:color w:val="auto"/>
          <w:sz w:val="24"/>
          <w:szCs w:val="24"/>
          <w:highlight w:val="none"/>
          <w:lang w:val="en-US" w:eastAsia="zh-CN"/>
        </w:rPr>
        <w:t>审</w:t>
      </w:r>
      <w:r>
        <w:rPr>
          <w:rFonts w:hint="eastAsia" w:ascii="宋体" w:hAnsi="宋体" w:eastAsia="宋体" w:cs="宋体"/>
          <w:i w:val="0"/>
          <w:iCs w:val="0"/>
          <w:color w:val="auto"/>
          <w:sz w:val="24"/>
          <w:szCs w:val="24"/>
          <w:highlight w:val="none"/>
        </w:rPr>
        <w:t>委员会对其中任何资料进一步审查的要求。</w:t>
      </w:r>
    </w:p>
    <w:p w14:paraId="7064EC31">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w:t>
      </w:r>
      <w:r>
        <w:rPr>
          <w:rFonts w:hint="eastAsia" w:ascii="宋体" w:hAnsi="宋体" w:eastAsia="宋体" w:cs="宋体"/>
          <w:i w:val="0"/>
          <w:iCs w:val="0"/>
          <w:color w:val="auto"/>
          <w:sz w:val="24"/>
          <w:szCs w:val="24"/>
          <w:highlight w:val="none"/>
          <w:lang w:val="en-US" w:eastAsia="zh-CN"/>
        </w:rPr>
        <w:t>6</w:t>
      </w: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val="en-US" w:eastAsia="zh-CN"/>
        </w:rPr>
        <w:t>7供应商</w:t>
      </w:r>
      <w:r>
        <w:rPr>
          <w:rFonts w:hint="eastAsia" w:ascii="宋体" w:hAnsi="宋体" w:eastAsia="宋体" w:cs="宋体"/>
          <w:i w:val="0"/>
          <w:iCs w:val="0"/>
          <w:color w:val="auto"/>
          <w:sz w:val="24"/>
          <w:szCs w:val="24"/>
          <w:highlight w:val="none"/>
        </w:rPr>
        <w:t>在</w:t>
      </w:r>
      <w:r>
        <w:rPr>
          <w:rFonts w:hint="eastAsia" w:ascii="宋体" w:hAnsi="宋体" w:eastAsia="宋体" w:cs="宋体"/>
          <w:i w:val="0"/>
          <w:iCs w:val="0"/>
          <w:color w:val="auto"/>
          <w:sz w:val="24"/>
          <w:szCs w:val="24"/>
          <w:highlight w:val="none"/>
          <w:lang w:val="en-US" w:eastAsia="zh-CN"/>
        </w:rPr>
        <w:t>响应</w:t>
      </w:r>
      <w:r>
        <w:rPr>
          <w:rFonts w:hint="eastAsia" w:ascii="宋体" w:hAnsi="宋体" w:eastAsia="宋体" w:cs="宋体"/>
          <w:i w:val="0"/>
          <w:iCs w:val="0"/>
          <w:color w:val="auto"/>
          <w:sz w:val="24"/>
          <w:szCs w:val="24"/>
          <w:highlight w:val="none"/>
        </w:rPr>
        <w:t>文件及相关文件的签订、履行、通知等事项的文件中的单位盖章、印章、公章等处均指与当事人全称相一致的标准公章，不得使用其他形式（如带有“专用章”等字样的印章）。不符合本条规定的按</w:t>
      </w:r>
      <w:r>
        <w:rPr>
          <w:rFonts w:hint="eastAsia" w:ascii="宋体" w:hAnsi="宋体" w:eastAsia="宋体" w:cs="宋体"/>
          <w:b/>
          <w:bCs/>
          <w:i w:val="0"/>
          <w:iCs w:val="0"/>
          <w:color w:val="auto"/>
          <w:sz w:val="24"/>
          <w:szCs w:val="24"/>
          <w:highlight w:val="none"/>
        </w:rPr>
        <w:t>无效</w:t>
      </w:r>
      <w:r>
        <w:rPr>
          <w:rFonts w:hint="eastAsia" w:ascii="宋体" w:hAnsi="宋体" w:eastAsia="宋体" w:cs="宋体"/>
          <w:b/>
          <w:bCs/>
          <w:i w:val="0"/>
          <w:iCs w:val="0"/>
          <w:color w:val="auto"/>
          <w:sz w:val="24"/>
          <w:szCs w:val="24"/>
          <w:highlight w:val="none"/>
          <w:lang w:val="en-US" w:eastAsia="zh-CN"/>
        </w:rPr>
        <w:t>响应</w:t>
      </w:r>
      <w:r>
        <w:rPr>
          <w:rFonts w:hint="eastAsia" w:ascii="宋体" w:hAnsi="宋体" w:eastAsia="宋体" w:cs="宋体"/>
          <w:i w:val="0"/>
          <w:iCs w:val="0"/>
          <w:color w:val="auto"/>
          <w:sz w:val="24"/>
          <w:szCs w:val="24"/>
          <w:highlight w:val="none"/>
        </w:rPr>
        <w:t>处理。</w:t>
      </w:r>
    </w:p>
    <w:p w14:paraId="4071B617">
      <w:pPr>
        <w:pStyle w:val="57"/>
        <w:keepNext w:val="0"/>
        <w:keepLines w:val="0"/>
        <w:pageBreakBefore w:val="0"/>
        <w:widowControl w:val="0"/>
        <w:shd w:val="clear" w:color="auto" w:fill="auto"/>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i w:val="0"/>
          <w:iCs w:val="0"/>
          <w:color w:val="auto"/>
          <w:kern w:val="2"/>
          <w:sz w:val="24"/>
          <w:szCs w:val="24"/>
          <w:highlight w:val="none"/>
          <w:shd w:val="clear" w:color="auto" w:fill="CCE8CF" w:themeFill="background1"/>
          <w:lang w:val="en-US" w:eastAsia="zh-CN" w:bidi="ar-SA"/>
        </w:rPr>
      </w:pPr>
      <w:r>
        <w:rPr>
          <w:rFonts w:hint="eastAsia" w:ascii="宋体" w:hAnsi="宋体" w:eastAsia="宋体" w:cs="宋体"/>
          <w:i w:val="0"/>
          <w:iCs w:val="0"/>
          <w:color w:val="auto"/>
          <w:kern w:val="2"/>
          <w:sz w:val="24"/>
          <w:szCs w:val="24"/>
          <w:highlight w:val="none"/>
          <w:shd w:val="clear" w:color="auto" w:fill="CCE8CF" w:themeFill="background1"/>
          <w:lang w:val="en-US" w:eastAsia="zh-CN" w:bidi="ar-SA"/>
        </w:rPr>
        <w:t>16.8电子响应文件的编制</w:t>
      </w:r>
    </w:p>
    <w:p w14:paraId="4A87E245">
      <w:pPr>
        <w:pStyle w:val="57"/>
        <w:keepNext w:val="0"/>
        <w:keepLines w:val="0"/>
        <w:pageBreakBefore w:val="0"/>
        <w:widowControl w:val="0"/>
        <w:shd w:val="clear" w:color="auto" w:fill="auto"/>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i w:val="0"/>
          <w:iCs w:val="0"/>
          <w:color w:val="auto"/>
          <w:kern w:val="2"/>
          <w:sz w:val="24"/>
          <w:szCs w:val="24"/>
          <w:highlight w:val="none"/>
          <w:shd w:val="clear" w:color="auto" w:fill="CCE8CF" w:themeFill="background1"/>
          <w:lang w:val="en-US" w:eastAsia="zh-CN" w:bidi="ar-SA"/>
        </w:rPr>
      </w:pPr>
      <w:r>
        <w:rPr>
          <w:rFonts w:hint="eastAsia" w:ascii="宋体" w:hAnsi="宋体" w:eastAsia="宋体" w:cs="宋体"/>
          <w:i w:val="0"/>
          <w:iCs w:val="0"/>
          <w:color w:val="auto"/>
          <w:kern w:val="2"/>
          <w:sz w:val="24"/>
          <w:szCs w:val="24"/>
          <w:highlight w:val="none"/>
          <w:shd w:val="clear" w:color="auto" w:fill="CCE8CF" w:themeFill="background1"/>
          <w:lang w:val="en-US" w:eastAsia="zh-CN" w:bidi="ar-SA"/>
        </w:rPr>
        <w:t xml:space="preserve">16.8.1电子响应文件需按竞争性磋商文件要求进行制作编制。响应文件制作时，不同内容按标签提示制作导入，按照竞争性磋商文件中明确的响应文件目录和格式进行编制，保证目录清晰、内容完整。           </w:t>
      </w:r>
    </w:p>
    <w:p w14:paraId="1D4C561F">
      <w:pPr>
        <w:keepNext w:val="0"/>
        <w:keepLines w:val="0"/>
        <w:pageBreakBefore w:val="0"/>
        <w:widowControl w:val="0"/>
        <w:kinsoku/>
        <w:overflowPunct/>
        <w:topLinePunct w:val="0"/>
        <w:bidi w:val="0"/>
        <w:ind w:firstLine="480" w:firstLineChars="200"/>
        <w:textAlignment w:val="auto"/>
        <w:rPr>
          <w:rFonts w:hint="eastAsia" w:ascii="宋体" w:hAnsi="宋体" w:eastAsia="宋体" w:cs="宋体"/>
          <w:i w:val="0"/>
          <w:iCs w:val="0"/>
          <w:color w:val="auto"/>
          <w:kern w:val="2"/>
          <w:sz w:val="24"/>
          <w:szCs w:val="24"/>
          <w:highlight w:val="none"/>
          <w:shd w:val="clear" w:color="auto" w:fill="CCE8CF" w:themeFill="background1"/>
          <w:lang w:val="en-US" w:eastAsia="zh-CN" w:bidi="ar-SA"/>
        </w:rPr>
      </w:pPr>
      <w:r>
        <w:rPr>
          <w:rFonts w:hint="eastAsia" w:ascii="宋体" w:hAnsi="宋体" w:eastAsia="宋体" w:cs="宋体"/>
          <w:i w:val="0"/>
          <w:iCs w:val="0"/>
          <w:color w:val="auto"/>
          <w:kern w:val="2"/>
          <w:sz w:val="24"/>
          <w:szCs w:val="24"/>
          <w:highlight w:val="none"/>
          <w:shd w:val="clear" w:color="auto" w:fill="CCE8CF" w:themeFill="background1"/>
          <w:lang w:val="en-US" w:eastAsia="zh-CN" w:bidi="ar-SA"/>
        </w:rPr>
        <w:t>16.8.2电子磋商文件及响应文件具有法律效力，与其他形式的磋商文件及响应文件在内容和格式上等同，若响应文件与竞争性磋商文件要求不一致，其内容影响成交结果时，责任由供应商自行承担。供应商递交的电子响应文件因供应商自身原因而导致无法导入电子辅助评标系统，该响应文件视为无效响应文件，</w:t>
      </w:r>
      <w:r>
        <w:rPr>
          <w:rFonts w:hint="eastAsia" w:ascii="宋体" w:hAnsi="宋体" w:eastAsia="宋体" w:cs="宋体"/>
          <w:b/>
          <w:bCs/>
          <w:i w:val="0"/>
          <w:iCs w:val="0"/>
          <w:color w:val="auto"/>
          <w:kern w:val="2"/>
          <w:sz w:val="24"/>
          <w:szCs w:val="24"/>
          <w:highlight w:val="none"/>
          <w:shd w:val="clear" w:color="auto" w:fill="CCE8CF" w:themeFill="background1"/>
          <w:lang w:val="en-US" w:eastAsia="zh-CN" w:bidi="ar-SA"/>
        </w:rPr>
        <w:t>其响应无效</w:t>
      </w:r>
      <w:r>
        <w:rPr>
          <w:rFonts w:hint="eastAsia" w:ascii="宋体" w:hAnsi="宋体" w:eastAsia="宋体" w:cs="宋体"/>
          <w:i w:val="0"/>
          <w:iCs w:val="0"/>
          <w:color w:val="auto"/>
          <w:kern w:val="2"/>
          <w:sz w:val="24"/>
          <w:szCs w:val="24"/>
          <w:highlight w:val="none"/>
          <w:shd w:val="clear" w:color="auto" w:fill="CCE8CF" w:themeFill="background1"/>
          <w:lang w:val="en-US" w:eastAsia="zh-CN" w:bidi="ar-SA"/>
        </w:rPr>
        <w:t>。</w:t>
      </w:r>
    </w:p>
    <w:p w14:paraId="72852751">
      <w:pPr>
        <w:pStyle w:val="4"/>
        <w:keepNext w:val="0"/>
        <w:keepLines w:val="0"/>
        <w:pageBreakBefore w:val="0"/>
        <w:widowControl w:val="0"/>
        <w:numPr>
          <w:ilvl w:val="0"/>
          <w:numId w:val="0"/>
        </w:numPr>
        <w:kinsoku/>
        <w:wordWrap/>
        <w:overflowPunct/>
        <w:topLinePunct w:val="0"/>
        <w:autoSpaceDE/>
        <w:autoSpaceDN/>
        <w:bidi w:val="0"/>
        <w:adjustRightInd/>
        <w:snapToGrid/>
        <w:spacing w:before="140" w:after="140" w:line="240" w:lineRule="auto"/>
        <w:ind w:left="420" w:leftChars="0" w:hanging="420" w:firstLineChars="0"/>
        <w:textAlignment w:val="auto"/>
        <w:rPr>
          <w:rFonts w:hint="eastAsia" w:ascii="宋体" w:hAnsi="宋体" w:eastAsia="宋体" w:cs="宋体"/>
          <w:b/>
          <w:bCs/>
          <w:i w:val="0"/>
          <w:iCs w:val="0"/>
          <w:color w:val="auto"/>
          <w:kern w:val="2"/>
          <w:sz w:val="24"/>
          <w:szCs w:val="24"/>
          <w:highlight w:val="none"/>
          <w:lang w:val="en-US" w:eastAsia="zh-CN" w:bidi="ar-SA"/>
        </w:rPr>
      </w:pPr>
      <w:bookmarkStart w:id="169" w:name="_Toc109897453"/>
      <w:bookmarkStart w:id="170" w:name="_Toc109900390"/>
      <w:bookmarkStart w:id="171" w:name="_Toc109899971"/>
      <w:bookmarkStart w:id="172" w:name="_Toc109899552"/>
      <w:bookmarkStart w:id="173" w:name="_Toc470172684"/>
      <w:bookmarkStart w:id="174" w:name="_Toc46771659"/>
      <w:bookmarkStart w:id="175" w:name="_Toc163493614"/>
      <w:bookmarkStart w:id="176" w:name="_Toc30223"/>
      <w:bookmarkStart w:id="177" w:name="_Toc27353"/>
      <w:bookmarkStart w:id="178" w:name="_Toc26555"/>
      <w:r>
        <w:rPr>
          <w:rFonts w:hint="eastAsia" w:ascii="宋体" w:hAnsi="宋体" w:eastAsia="宋体" w:cs="宋体"/>
          <w:b/>
          <w:bCs/>
          <w:i w:val="0"/>
          <w:iCs w:val="0"/>
          <w:color w:val="auto"/>
          <w:kern w:val="2"/>
          <w:sz w:val="24"/>
          <w:szCs w:val="24"/>
          <w:highlight w:val="none"/>
          <w:lang w:val="en-US" w:eastAsia="zh-CN" w:bidi="ar-SA"/>
        </w:rPr>
        <w:t>（四）响应文件的</w:t>
      </w:r>
      <w:bookmarkEnd w:id="169"/>
      <w:bookmarkEnd w:id="170"/>
      <w:bookmarkEnd w:id="171"/>
      <w:bookmarkEnd w:id="172"/>
      <w:bookmarkEnd w:id="173"/>
      <w:bookmarkEnd w:id="174"/>
      <w:r>
        <w:rPr>
          <w:rFonts w:hint="eastAsia" w:ascii="宋体" w:hAnsi="宋体" w:eastAsia="宋体" w:cs="宋体"/>
          <w:b/>
          <w:bCs/>
          <w:i w:val="0"/>
          <w:iCs w:val="0"/>
          <w:color w:val="auto"/>
          <w:kern w:val="2"/>
          <w:sz w:val="24"/>
          <w:szCs w:val="24"/>
          <w:highlight w:val="none"/>
          <w:lang w:val="en-US" w:eastAsia="zh-CN" w:bidi="ar-SA"/>
        </w:rPr>
        <w:t>递交</w:t>
      </w:r>
      <w:bookmarkEnd w:id="175"/>
      <w:bookmarkEnd w:id="176"/>
      <w:bookmarkEnd w:id="177"/>
      <w:bookmarkEnd w:id="178"/>
    </w:p>
    <w:p w14:paraId="01810122">
      <w:pPr>
        <w:pStyle w:val="5"/>
        <w:keepNext w:val="0"/>
        <w:keepLines w:val="0"/>
        <w:pageBreakBefore w:val="0"/>
        <w:widowControl w:val="0"/>
        <w:numPr>
          <w:ilvl w:val="0"/>
          <w:numId w:val="0"/>
        </w:numPr>
        <w:kinsoku/>
        <w:wordWrap/>
        <w:overflowPunct/>
        <w:topLinePunct w:val="0"/>
        <w:autoSpaceDE/>
        <w:autoSpaceDN/>
        <w:bidi w:val="0"/>
        <w:adjustRightInd/>
        <w:snapToGrid/>
        <w:spacing w:before="80" w:after="80" w:line="240" w:lineRule="auto"/>
        <w:ind w:left="420" w:leftChars="0" w:hanging="420" w:firstLineChars="0"/>
        <w:textAlignment w:val="auto"/>
        <w:rPr>
          <w:rFonts w:hint="eastAsia" w:ascii="宋体" w:hAnsi="宋体" w:eastAsia="宋体" w:cs="宋体"/>
          <w:b/>
          <w:bCs/>
          <w:i w:val="0"/>
          <w:iCs w:val="0"/>
          <w:color w:val="auto"/>
          <w:kern w:val="2"/>
          <w:sz w:val="24"/>
          <w:szCs w:val="24"/>
          <w:highlight w:val="none"/>
          <w:lang w:val="en-US" w:eastAsia="zh-CN" w:bidi="ar-SA"/>
        </w:rPr>
      </w:pPr>
      <w:bookmarkStart w:id="179" w:name="_Toc109897552"/>
      <w:bookmarkStart w:id="180" w:name="_Toc109900489"/>
      <w:bookmarkStart w:id="181" w:name="_Toc109900070"/>
      <w:bookmarkStart w:id="182" w:name="_Toc109899651"/>
      <w:bookmarkStart w:id="183" w:name="_Toc155095707"/>
      <w:bookmarkStart w:id="184" w:name="_Toc156490296"/>
      <w:bookmarkStart w:id="185" w:name="_Toc109900071"/>
      <w:bookmarkStart w:id="186" w:name="_Toc109897553"/>
      <w:bookmarkStart w:id="187" w:name="_Toc109900490"/>
      <w:bookmarkStart w:id="188" w:name="_Toc109899652"/>
      <w:bookmarkStart w:id="189" w:name="_Toc155095708"/>
      <w:bookmarkStart w:id="190" w:name="_Toc156490297"/>
      <w:r>
        <w:rPr>
          <w:rFonts w:hint="eastAsia" w:ascii="宋体" w:hAnsi="宋体" w:eastAsia="宋体" w:cs="宋体"/>
          <w:b/>
          <w:bCs/>
          <w:i w:val="0"/>
          <w:iCs w:val="0"/>
          <w:color w:val="auto"/>
          <w:kern w:val="2"/>
          <w:sz w:val="24"/>
          <w:szCs w:val="24"/>
          <w:highlight w:val="none"/>
          <w:lang w:val="en-US" w:eastAsia="zh-CN" w:bidi="ar-SA"/>
        </w:rPr>
        <w:t>17.磋商保证金</w:t>
      </w:r>
    </w:p>
    <w:p w14:paraId="1A207ACD">
      <w:pPr>
        <w:pStyle w:val="57"/>
        <w:keepNext w:val="0"/>
        <w:keepLines w:val="0"/>
        <w:pageBreakBefore w:val="0"/>
        <w:widowControl w:val="0"/>
        <w:shd w:val="clear" w:color="auto" w:fill="auto"/>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i w:val="0"/>
          <w:iCs w:val="0"/>
          <w:color w:val="auto"/>
          <w:kern w:val="2"/>
          <w:sz w:val="24"/>
          <w:szCs w:val="24"/>
          <w:highlight w:val="none"/>
          <w:shd w:val="clear" w:color="auto" w:fill="CCE8CF" w:themeFill="background1"/>
          <w:lang w:val="en-US" w:eastAsia="zh-CN" w:bidi="ar-SA"/>
        </w:rPr>
      </w:pPr>
      <w:r>
        <w:rPr>
          <w:rFonts w:hint="eastAsia" w:ascii="宋体" w:hAnsi="宋体" w:eastAsia="宋体" w:cs="宋体"/>
          <w:i w:val="0"/>
          <w:iCs w:val="0"/>
          <w:color w:val="auto"/>
          <w:kern w:val="2"/>
          <w:sz w:val="24"/>
          <w:szCs w:val="24"/>
          <w:highlight w:val="none"/>
          <w:shd w:val="clear" w:color="auto" w:fill="CCE8CF" w:themeFill="background1"/>
          <w:lang w:val="en-US" w:eastAsia="zh-CN" w:bidi="ar-SA"/>
        </w:rPr>
        <w:t>17.1供应商应按照竞争性磋商文件“供应商须知前附表”规定的金额及要求缴纳磋商保证金。供应商自愿超额缴纳磋商保证金的，响应文件不作无效处理。</w:t>
      </w:r>
    </w:p>
    <w:p w14:paraId="77BF1621">
      <w:pPr>
        <w:keepNext w:val="0"/>
        <w:keepLines w:val="0"/>
        <w:pageBreakBefore w:val="0"/>
        <w:widowControl w:val="0"/>
        <w:suppressLineNumbers w:val="0"/>
        <w:kinsoku/>
        <w:overflowPunct/>
        <w:topLinePunct w:val="0"/>
        <w:autoSpaceDE/>
        <w:autoSpaceDN/>
        <w:bidi w:val="0"/>
        <w:adjustRightInd/>
        <w:ind w:firstLine="480" w:firstLineChars="200"/>
        <w:jc w:val="left"/>
        <w:textAlignment w:val="auto"/>
        <w:rPr>
          <w:rFonts w:hint="eastAsia" w:ascii="宋体" w:hAnsi="宋体" w:eastAsia="宋体" w:cs="宋体"/>
          <w:i w:val="0"/>
          <w:iCs w:val="0"/>
          <w:color w:val="auto"/>
          <w:kern w:val="2"/>
          <w:sz w:val="24"/>
          <w:szCs w:val="24"/>
          <w:highlight w:val="none"/>
          <w:shd w:val="clear" w:color="auto" w:fill="CCE8CF" w:themeFill="background1"/>
          <w:lang w:val="en-US" w:eastAsia="zh-CN" w:bidi="ar-SA"/>
        </w:rPr>
      </w:pPr>
      <w:r>
        <w:rPr>
          <w:rFonts w:hint="eastAsia" w:ascii="宋体" w:hAnsi="宋体" w:eastAsia="宋体" w:cs="宋体"/>
          <w:i w:val="0"/>
          <w:iCs w:val="0"/>
          <w:color w:val="auto"/>
          <w:kern w:val="2"/>
          <w:sz w:val="24"/>
          <w:szCs w:val="24"/>
          <w:highlight w:val="none"/>
          <w:shd w:val="clear" w:color="auto" w:fill="CCE8CF" w:themeFill="background1"/>
          <w:lang w:val="en-US" w:eastAsia="zh-CN" w:bidi="ar-SA"/>
        </w:rPr>
        <w:t>17.2交纳磋商保证金可采用的形式：政府采购法律法规接受的支票、汇票、本票、网上银行支付或者金融机构、担保机构出具的保函等非现金形式。未按磋商文件要求提交磋商保证金的，其</w:t>
      </w:r>
      <w:r>
        <w:rPr>
          <w:rFonts w:hint="eastAsia" w:ascii="宋体" w:hAnsi="宋体" w:eastAsia="宋体" w:cs="宋体"/>
          <w:b/>
          <w:bCs/>
          <w:i w:val="0"/>
          <w:iCs w:val="0"/>
          <w:color w:val="auto"/>
          <w:kern w:val="2"/>
          <w:sz w:val="24"/>
          <w:szCs w:val="24"/>
          <w:highlight w:val="none"/>
          <w:shd w:val="clear" w:color="auto" w:fill="CCE8CF" w:themeFill="background1"/>
          <w:lang w:val="en-US" w:eastAsia="zh-CN" w:bidi="ar-SA"/>
        </w:rPr>
        <w:t>响应无效</w:t>
      </w:r>
      <w:r>
        <w:rPr>
          <w:rFonts w:hint="eastAsia" w:ascii="宋体" w:hAnsi="宋体" w:eastAsia="宋体" w:cs="宋体"/>
          <w:i w:val="0"/>
          <w:iCs w:val="0"/>
          <w:color w:val="auto"/>
          <w:kern w:val="2"/>
          <w:sz w:val="24"/>
          <w:szCs w:val="24"/>
          <w:highlight w:val="none"/>
          <w:shd w:val="clear" w:color="auto" w:fill="CCE8CF" w:themeFill="background1"/>
          <w:lang w:val="en-US" w:eastAsia="zh-CN" w:bidi="ar-SA"/>
        </w:rPr>
        <w:t>。</w:t>
      </w:r>
      <w:r>
        <w:rPr>
          <w:rFonts w:hint="eastAsia" w:ascii="宋体" w:hAnsi="宋体" w:eastAsia="宋体" w:cs="宋体"/>
          <w:i w:val="0"/>
          <w:iCs w:val="0"/>
          <w:color w:val="auto"/>
          <w:sz w:val="24"/>
          <w:szCs w:val="24"/>
          <w:highlight w:val="none"/>
          <w:lang w:val="en-US" w:eastAsia="zh-CN"/>
        </w:rPr>
        <w:t>磋商保证金有效期同响应文件有效期。</w:t>
      </w:r>
    </w:p>
    <w:p w14:paraId="0C3CACC6">
      <w:pPr>
        <w:pStyle w:val="7"/>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kern w:val="2"/>
          <w:sz w:val="24"/>
          <w:szCs w:val="24"/>
          <w:highlight w:val="none"/>
          <w:shd w:val="clear" w:color="auto" w:fill="CCE8CF" w:themeFill="background1"/>
          <w:lang w:val="en-US" w:eastAsia="zh-CN" w:bidi="ar-SA"/>
        </w:rPr>
      </w:pPr>
      <w:r>
        <w:rPr>
          <w:rFonts w:hint="eastAsia" w:ascii="宋体" w:hAnsi="宋体" w:eastAsia="宋体" w:cs="宋体"/>
          <w:i w:val="0"/>
          <w:iCs w:val="0"/>
          <w:color w:val="auto"/>
          <w:kern w:val="2"/>
          <w:sz w:val="24"/>
          <w:szCs w:val="24"/>
          <w:highlight w:val="none"/>
          <w:shd w:val="clear" w:color="auto" w:fill="CCE8CF" w:themeFill="background1"/>
          <w:lang w:val="en-US" w:eastAsia="zh-CN" w:bidi="ar-SA"/>
        </w:rPr>
        <w:t>17.3磋商保证金到账（保函提交）截止时间同响应文件递交截止时间。以支票、汇票、本票、网上银行支付等形式提交磋商保证金的，应在响应文件递交截止时间前到账；以金融机构、担保机构出具的保函等形式提交磋商保证金的，应在响应文件递交截止时间前将磋商保证金支付原件扫描后作为响应文件的组成部分与响应文件一起上传。由于到账时间晚于响应文件递交截止时间，或者票据错误、印鉴不清等原因导致不能到账的，其</w:t>
      </w:r>
      <w:r>
        <w:rPr>
          <w:rFonts w:hint="eastAsia" w:ascii="宋体" w:hAnsi="宋体" w:eastAsia="宋体" w:cs="宋体"/>
          <w:b/>
          <w:bCs/>
          <w:i w:val="0"/>
          <w:iCs w:val="0"/>
          <w:color w:val="auto"/>
          <w:kern w:val="2"/>
          <w:sz w:val="24"/>
          <w:szCs w:val="24"/>
          <w:highlight w:val="none"/>
          <w:shd w:val="clear" w:color="auto" w:fill="CCE8CF" w:themeFill="background1"/>
          <w:lang w:val="en-US" w:eastAsia="zh-CN" w:bidi="ar-SA"/>
        </w:rPr>
        <w:t>响应无效</w:t>
      </w:r>
      <w:r>
        <w:rPr>
          <w:rFonts w:hint="eastAsia" w:ascii="宋体" w:hAnsi="宋体" w:eastAsia="宋体" w:cs="宋体"/>
          <w:i w:val="0"/>
          <w:iCs w:val="0"/>
          <w:color w:val="auto"/>
          <w:kern w:val="2"/>
          <w:sz w:val="24"/>
          <w:szCs w:val="24"/>
          <w:highlight w:val="none"/>
          <w:shd w:val="clear" w:color="auto" w:fill="CCE8CF" w:themeFill="background1"/>
          <w:lang w:val="en-US" w:eastAsia="zh-CN" w:bidi="ar-SA"/>
        </w:rPr>
        <w:t>。</w:t>
      </w:r>
    </w:p>
    <w:p w14:paraId="7EBFBB8B">
      <w:pPr>
        <w:pStyle w:val="57"/>
        <w:keepNext w:val="0"/>
        <w:keepLines w:val="0"/>
        <w:pageBreakBefore w:val="0"/>
        <w:widowControl w:val="0"/>
        <w:shd w:val="clear" w:color="auto" w:fill="auto"/>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i w:val="0"/>
          <w:iCs w:val="0"/>
          <w:color w:val="auto"/>
          <w:kern w:val="2"/>
          <w:sz w:val="24"/>
          <w:szCs w:val="24"/>
          <w:highlight w:val="none"/>
          <w:shd w:val="clear" w:color="auto" w:fill="CCE8CF" w:themeFill="background1"/>
          <w:lang w:val="en-US" w:eastAsia="zh-CN" w:bidi="ar-SA"/>
        </w:rPr>
      </w:pPr>
      <w:r>
        <w:rPr>
          <w:rFonts w:hint="eastAsia" w:ascii="宋体" w:hAnsi="宋体" w:eastAsia="宋体" w:cs="宋体"/>
          <w:i w:val="0"/>
          <w:iCs w:val="0"/>
          <w:color w:val="auto"/>
          <w:kern w:val="2"/>
          <w:sz w:val="24"/>
          <w:szCs w:val="24"/>
          <w:highlight w:val="none"/>
          <w:shd w:val="clear" w:color="auto" w:fill="CCE8CF" w:themeFill="background1"/>
          <w:lang w:val="en-US" w:eastAsia="zh-CN" w:bidi="ar-SA"/>
        </w:rPr>
        <w:t xml:space="preserve">17.4 供应商为联合体的，可以由联合体中的一方或者多方共同交纳磋商保证金，其交纳的磋商保证金对联合体各方均具有约束力。 </w:t>
      </w:r>
    </w:p>
    <w:p w14:paraId="6E02FB95">
      <w:pPr>
        <w:pStyle w:val="57"/>
        <w:keepNext w:val="0"/>
        <w:keepLines w:val="0"/>
        <w:pageBreakBefore w:val="0"/>
        <w:widowControl w:val="0"/>
        <w:shd w:val="clear" w:color="auto" w:fill="auto"/>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i w:val="0"/>
          <w:iCs w:val="0"/>
          <w:color w:val="auto"/>
          <w:kern w:val="2"/>
          <w:sz w:val="24"/>
          <w:szCs w:val="24"/>
          <w:highlight w:val="none"/>
          <w:shd w:val="clear" w:color="auto" w:fill="CCE8CF" w:themeFill="background1"/>
          <w:lang w:val="en-US" w:eastAsia="zh-CN" w:bidi="ar-SA"/>
        </w:rPr>
      </w:pPr>
      <w:r>
        <w:rPr>
          <w:rFonts w:hint="eastAsia" w:ascii="宋体" w:hAnsi="宋体" w:eastAsia="宋体" w:cs="宋体"/>
          <w:i w:val="0"/>
          <w:iCs w:val="0"/>
          <w:color w:val="auto"/>
          <w:kern w:val="2"/>
          <w:sz w:val="24"/>
          <w:szCs w:val="24"/>
          <w:highlight w:val="none"/>
          <w:shd w:val="clear" w:color="auto" w:fill="CCE8CF" w:themeFill="background1"/>
          <w:lang w:val="en-US" w:eastAsia="zh-CN" w:bidi="ar-SA"/>
        </w:rPr>
        <w:t xml:space="preserve">17.5采购人或者采购代理机构应当在采购活动结束后及时退还供应商的磋商保证金，采用银行保函、担保机构担保函等形式递交的磋商保证金，经供应商同意后采购人、采购代理机构可以不再退还，但因供应商自身原因导致无法及时退还的除外。未成交供应商的磋商保证金应当自成交通知书发出之日起 5 个工作日内退还，成交供应商的磋商保证金应当自采购合同签订之日起 5 个工作日内退还。 </w:t>
      </w:r>
    </w:p>
    <w:p w14:paraId="48C6EAF6">
      <w:pPr>
        <w:pStyle w:val="57"/>
        <w:keepNext w:val="0"/>
        <w:keepLines w:val="0"/>
        <w:pageBreakBefore w:val="0"/>
        <w:widowControl w:val="0"/>
        <w:shd w:val="clear" w:color="auto" w:fill="auto"/>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i w:val="0"/>
          <w:iCs w:val="0"/>
          <w:color w:val="auto"/>
          <w:kern w:val="2"/>
          <w:sz w:val="24"/>
          <w:szCs w:val="24"/>
          <w:highlight w:val="none"/>
          <w:shd w:val="clear" w:color="auto" w:fill="CCE8CF" w:themeFill="background1"/>
          <w:lang w:val="en-US" w:eastAsia="zh-CN" w:bidi="ar-SA"/>
        </w:rPr>
      </w:pPr>
      <w:r>
        <w:rPr>
          <w:rFonts w:hint="eastAsia" w:ascii="宋体" w:hAnsi="宋体" w:eastAsia="宋体" w:cs="宋体"/>
          <w:i w:val="0"/>
          <w:iCs w:val="0"/>
          <w:color w:val="auto"/>
          <w:kern w:val="2"/>
          <w:sz w:val="24"/>
          <w:szCs w:val="24"/>
          <w:highlight w:val="none"/>
          <w:shd w:val="clear" w:color="auto" w:fill="CCE8CF" w:themeFill="background1"/>
          <w:lang w:val="en-US" w:eastAsia="zh-CN" w:bidi="ar-SA"/>
        </w:rPr>
        <w:t xml:space="preserve">17.6 供应商在响应文件递交截止时间前撤回已提交的响应文件的，自收到供应商书面撤回通知之日起 5 个工作日内，退还已收取的磋商保证金，但因供应商自身原因导致无法及时退还的除外。 </w:t>
      </w:r>
    </w:p>
    <w:p w14:paraId="6C0BF0B3">
      <w:pPr>
        <w:pStyle w:val="57"/>
        <w:keepNext w:val="0"/>
        <w:keepLines w:val="0"/>
        <w:pageBreakBefore w:val="0"/>
        <w:widowControl w:val="0"/>
        <w:shd w:val="clear" w:color="auto" w:fill="auto"/>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i w:val="0"/>
          <w:iCs w:val="0"/>
          <w:color w:val="auto"/>
          <w:kern w:val="2"/>
          <w:sz w:val="24"/>
          <w:szCs w:val="24"/>
          <w:highlight w:val="none"/>
          <w:shd w:val="clear" w:color="auto" w:fill="CCE8CF" w:themeFill="background1"/>
          <w:lang w:val="en-US" w:eastAsia="zh-CN" w:bidi="ar-SA"/>
        </w:rPr>
      </w:pPr>
      <w:r>
        <w:rPr>
          <w:rFonts w:hint="eastAsia" w:ascii="宋体" w:hAnsi="宋体" w:eastAsia="宋体" w:cs="宋体"/>
          <w:i w:val="0"/>
          <w:iCs w:val="0"/>
          <w:color w:val="auto"/>
          <w:kern w:val="2"/>
          <w:sz w:val="24"/>
          <w:szCs w:val="24"/>
          <w:highlight w:val="none"/>
          <w:shd w:val="clear" w:color="auto" w:fill="CCE8CF" w:themeFill="background1"/>
          <w:lang w:val="en-US" w:eastAsia="zh-CN" w:bidi="ar-SA"/>
        </w:rPr>
        <w:t>17.7 终止磋商的项目已经收取磋商保证金的，自终止采购活动后5个工作日内退还已收取的磋商保证金及其在银行产生的孳息。</w:t>
      </w:r>
    </w:p>
    <w:p w14:paraId="63FB6EE6">
      <w:pPr>
        <w:pStyle w:val="57"/>
        <w:keepNext w:val="0"/>
        <w:keepLines w:val="0"/>
        <w:pageBreakBefore w:val="0"/>
        <w:widowControl w:val="0"/>
        <w:shd w:val="clear" w:color="auto" w:fill="auto"/>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i w:val="0"/>
          <w:iCs w:val="0"/>
          <w:color w:val="auto"/>
          <w:kern w:val="2"/>
          <w:sz w:val="24"/>
          <w:szCs w:val="24"/>
          <w:highlight w:val="none"/>
          <w:shd w:val="clear" w:color="auto" w:fill="CCE8CF" w:themeFill="background1"/>
          <w:lang w:val="en-US" w:eastAsia="zh-CN" w:bidi="ar-SA"/>
        </w:rPr>
      </w:pPr>
      <w:r>
        <w:rPr>
          <w:rFonts w:hint="eastAsia" w:ascii="宋体" w:hAnsi="宋体" w:eastAsia="宋体" w:cs="宋体"/>
          <w:i w:val="0"/>
          <w:iCs w:val="0"/>
          <w:color w:val="auto"/>
          <w:kern w:val="2"/>
          <w:sz w:val="24"/>
          <w:szCs w:val="24"/>
          <w:highlight w:val="none"/>
          <w:shd w:val="clear" w:color="auto" w:fill="CCE8CF" w:themeFill="background1"/>
          <w:lang w:val="en-US" w:eastAsia="zh-CN" w:bidi="ar-SA"/>
        </w:rPr>
        <w:t>17.8有下列情形之一的，磋商保证金不予退还,</w:t>
      </w:r>
      <w:r>
        <w:rPr>
          <w:rFonts w:hint="eastAsia" w:ascii="宋体" w:hAnsi="宋体" w:eastAsia="宋体" w:cs="宋体"/>
          <w:i w:val="0"/>
          <w:iCs w:val="0"/>
          <w:color w:val="auto"/>
          <w:kern w:val="2"/>
          <w:sz w:val="24"/>
          <w:szCs w:val="24"/>
          <w:highlight w:val="none"/>
        </w:rPr>
        <w:t>情节严重的将其列入不良记录名单</w:t>
      </w:r>
      <w:r>
        <w:rPr>
          <w:rFonts w:hint="eastAsia" w:ascii="宋体" w:hAnsi="宋体" w:eastAsia="宋体" w:cs="宋体"/>
          <w:i w:val="0"/>
          <w:iCs w:val="0"/>
          <w:color w:val="auto"/>
          <w:kern w:val="2"/>
          <w:sz w:val="24"/>
          <w:szCs w:val="24"/>
          <w:highlight w:val="none"/>
          <w:shd w:val="clear" w:color="auto" w:fill="CCE8CF" w:themeFill="background1"/>
          <w:lang w:val="en-US" w:eastAsia="zh-CN" w:bidi="ar-SA"/>
        </w:rPr>
        <w:t xml:space="preserve">： </w:t>
      </w:r>
    </w:p>
    <w:p w14:paraId="56909F59">
      <w:pPr>
        <w:pStyle w:val="57"/>
        <w:keepNext w:val="0"/>
        <w:keepLines w:val="0"/>
        <w:pageBreakBefore w:val="0"/>
        <w:widowControl w:val="0"/>
        <w:shd w:val="clear" w:color="auto" w:fill="auto"/>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i w:val="0"/>
          <w:iCs w:val="0"/>
          <w:color w:val="auto"/>
          <w:kern w:val="2"/>
          <w:sz w:val="24"/>
          <w:szCs w:val="24"/>
          <w:highlight w:val="none"/>
          <w:shd w:val="clear" w:color="auto" w:fill="CCE8CF" w:themeFill="background1"/>
          <w:lang w:val="en-US" w:eastAsia="zh-CN" w:bidi="ar-SA"/>
        </w:rPr>
      </w:pPr>
      <w:r>
        <w:rPr>
          <w:rFonts w:hint="eastAsia" w:ascii="宋体" w:hAnsi="宋体" w:eastAsia="宋体" w:cs="宋体"/>
          <w:i w:val="0"/>
          <w:iCs w:val="0"/>
          <w:color w:val="auto"/>
          <w:kern w:val="2"/>
          <w:sz w:val="24"/>
          <w:szCs w:val="24"/>
          <w:highlight w:val="none"/>
          <w:shd w:val="clear" w:color="auto" w:fill="CCE8CF" w:themeFill="background1"/>
          <w:lang w:val="en-US" w:eastAsia="zh-CN" w:bidi="ar-SA"/>
        </w:rPr>
        <w:t xml:space="preserve">17.8.1供应商在提交响应文件截止时间后撤回响应文件的； </w:t>
      </w:r>
    </w:p>
    <w:p w14:paraId="6BDEA651">
      <w:pPr>
        <w:pStyle w:val="57"/>
        <w:keepNext w:val="0"/>
        <w:keepLines w:val="0"/>
        <w:pageBreakBefore w:val="0"/>
        <w:widowControl w:val="0"/>
        <w:shd w:val="clear" w:color="auto" w:fill="auto"/>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i w:val="0"/>
          <w:iCs w:val="0"/>
          <w:color w:val="auto"/>
          <w:kern w:val="2"/>
          <w:sz w:val="24"/>
          <w:szCs w:val="24"/>
          <w:highlight w:val="none"/>
          <w:shd w:val="clear" w:color="auto" w:fill="CCE8CF" w:themeFill="background1"/>
          <w:lang w:val="en-US" w:eastAsia="zh-CN" w:bidi="ar-SA"/>
        </w:rPr>
      </w:pPr>
      <w:r>
        <w:rPr>
          <w:rFonts w:hint="eastAsia" w:ascii="宋体" w:hAnsi="宋体" w:eastAsia="宋体" w:cs="宋体"/>
          <w:i w:val="0"/>
          <w:iCs w:val="0"/>
          <w:color w:val="auto"/>
          <w:kern w:val="2"/>
          <w:sz w:val="24"/>
          <w:szCs w:val="24"/>
          <w:highlight w:val="none"/>
          <w:shd w:val="clear" w:color="auto" w:fill="CCE8CF" w:themeFill="background1"/>
          <w:lang w:val="en-US" w:eastAsia="zh-CN" w:bidi="ar-SA"/>
        </w:rPr>
        <w:t xml:space="preserve">17.8.2供应商在响应文件中提供虚假材料的； </w:t>
      </w:r>
    </w:p>
    <w:p w14:paraId="120042A8">
      <w:pPr>
        <w:pStyle w:val="57"/>
        <w:keepNext w:val="0"/>
        <w:keepLines w:val="0"/>
        <w:pageBreakBefore w:val="0"/>
        <w:widowControl w:val="0"/>
        <w:shd w:val="clear" w:color="auto" w:fill="auto"/>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i w:val="0"/>
          <w:iCs w:val="0"/>
          <w:color w:val="auto"/>
          <w:kern w:val="2"/>
          <w:sz w:val="24"/>
          <w:szCs w:val="24"/>
          <w:highlight w:val="none"/>
          <w:shd w:val="clear" w:color="auto" w:fill="CCE8CF" w:themeFill="background1"/>
          <w:lang w:val="en-US" w:eastAsia="zh-CN" w:bidi="ar-SA"/>
        </w:rPr>
      </w:pPr>
      <w:r>
        <w:rPr>
          <w:rFonts w:hint="eastAsia" w:ascii="宋体" w:hAnsi="宋体" w:eastAsia="宋体" w:cs="宋体"/>
          <w:i w:val="0"/>
          <w:iCs w:val="0"/>
          <w:color w:val="auto"/>
          <w:kern w:val="2"/>
          <w:sz w:val="24"/>
          <w:szCs w:val="24"/>
          <w:highlight w:val="none"/>
          <w:shd w:val="clear" w:color="auto" w:fill="CCE8CF" w:themeFill="background1"/>
          <w:lang w:val="en-US" w:eastAsia="zh-CN" w:bidi="ar-SA"/>
        </w:rPr>
        <w:t xml:space="preserve">17.8.3除因不可抗力或磋商文件认可的情形以外，成交供应商不与采购人签订合同的； </w:t>
      </w:r>
    </w:p>
    <w:p w14:paraId="5C8617B0">
      <w:pPr>
        <w:pStyle w:val="57"/>
        <w:keepNext w:val="0"/>
        <w:keepLines w:val="0"/>
        <w:pageBreakBefore w:val="0"/>
        <w:widowControl w:val="0"/>
        <w:shd w:val="clear" w:color="auto" w:fill="auto"/>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i w:val="0"/>
          <w:iCs w:val="0"/>
          <w:color w:val="auto"/>
          <w:kern w:val="2"/>
          <w:sz w:val="24"/>
          <w:szCs w:val="24"/>
          <w:highlight w:val="none"/>
          <w:shd w:val="clear" w:color="auto" w:fill="CCE8CF" w:themeFill="background1"/>
          <w:lang w:val="en-US" w:eastAsia="zh-CN" w:bidi="ar-SA"/>
        </w:rPr>
      </w:pPr>
      <w:r>
        <w:rPr>
          <w:rFonts w:hint="eastAsia" w:ascii="宋体" w:hAnsi="宋体" w:eastAsia="宋体" w:cs="宋体"/>
          <w:i w:val="0"/>
          <w:iCs w:val="0"/>
          <w:color w:val="auto"/>
          <w:kern w:val="2"/>
          <w:sz w:val="24"/>
          <w:szCs w:val="24"/>
          <w:highlight w:val="none"/>
          <w:shd w:val="clear" w:color="auto" w:fill="CCE8CF" w:themeFill="background1"/>
          <w:lang w:val="en-US" w:eastAsia="zh-CN" w:bidi="ar-SA"/>
        </w:rPr>
        <w:t xml:space="preserve">17.8.4供应商与采购人、其他供应商或者采购代理机构恶意串通的； </w:t>
      </w:r>
    </w:p>
    <w:p w14:paraId="17490B0E">
      <w:pPr>
        <w:pStyle w:val="57"/>
        <w:keepNext w:val="0"/>
        <w:keepLines w:val="0"/>
        <w:pageBreakBefore w:val="0"/>
        <w:widowControl w:val="0"/>
        <w:shd w:val="clear" w:color="auto" w:fill="auto"/>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i w:val="0"/>
          <w:iCs w:val="0"/>
          <w:color w:val="auto"/>
          <w:kern w:val="2"/>
          <w:sz w:val="24"/>
          <w:szCs w:val="24"/>
          <w:highlight w:val="none"/>
          <w:shd w:val="clear" w:color="auto" w:fill="CCE8CF" w:themeFill="background1"/>
          <w:lang w:val="en-US" w:eastAsia="zh-CN" w:bidi="ar-SA"/>
        </w:rPr>
      </w:pPr>
      <w:r>
        <w:rPr>
          <w:rFonts w:hint="eastAsia" w:ascii="宋体" w:hAnsi="宋体" w:eastAsia="宋体" w:cs="宋体"/>
          <w:i w:val="0"/>
          <w:iCs w:val="0"/>
          <w:color w:val="auto"/>
          <w:kern w:val="2"/>
          <w:sz w:val="24"/>
          <w:szCs w:val="24"/>
          <w:highlight w:val="none"/>
          <w:shd w:val="clear" w:color="auto" w:fill="CCE8CF" w:themeFill="background1"/>
          <w:lang w:val="en-US" w:eastAsia="zh-CN" w:bidi="ar-SA"/>
        </w:rPr>
        <w:t>17.8.5磋商文件规定的其他情形。</w:t>
      </w:r>
    </w:p>
    <w:p w14:paraId="17E6CCBD">
      <w:pPr>
        <w:pStyle w:val="57"/>
        <w:keepNext w:val="0"/>
        <w:keepLines w:val="0"/>
        <w:pageBreakBefore w:val="0"/>
        <w:widowControl w:val="0"/>
        <w:shd w:val="clear" w:color="auto" w:fill="auto"/>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i w:val="0"/>
          <w:iCs w:val="0"/>
          <w:color w:val="auto"/>
          <w:kern w:val="2"/>
          <w:sz w:val="24"/>
          <w:szCs w:val="24"/>
          <w:highlight w:val="none"/>
          <w:shd w:val="clear" w:color="auto" w:fill="CCE8CF" w:themeFill="background1"/>
          <w:lang w:val="en-US" w:eastAsia="zh-CN" w:bidi="ar-SA"/>
        </w:rPr>
      </w:pPr>
      <w:r>
        <w:rPr>
          <w:rFonts w:hint="eastAsia" w:ascii="宋体" w:hAnsi="宋体" w:eastAsia="宋体" w:cs="宋体"/>
          <w:i w:val="0"/>
          <w:iCs w:val="0"/>
          <w:color w:val="auto"/>
          <w:kern w:val="2"/>
          <w:sz w:val="24"/>
          <w:szCs w:val="24"/>
          <w:highlight w:val="none"/>
          <w:shd w:val="clear" w:color="auto" w:fill="CCE8CF" w:themeFill="background1"/>
          <w:lang w:val="en-US" w:eastAsia="zh-CN" w:bidi="ar-SA"/>
        </w:rPr>
        <w:t>17.9如开启时供应商对本单位磋商保证金缴纳情况有疑义，供应商应在开启结束前向采购人提交书面申请核实保证金缴纳情况。由银行或保险公司核实后出具书面材料予以答复。</w:t>
      </w:r>
    </w:p>
    <w:p w14:paraId="071DFFA7">
      <w:pPr>
        <w:pStyle w:val="57"/>
        <w:keepNext w:val="0"/>
        <w:keepLines w:val="0"/>
        <w:pageBreakBefore w:val="0"/>
        <w:widowControl w:val="0"/>
        <w:shd w:val="clear" w:color="auto" w:fill="auto"/>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i w:val="0"/>
          <w:iCs w:val="0"/>
          <w:color w:val="auto"/>
          <w:kern w:val="2"/>
          <w:sz w:val="24"/>
          <w:szCs w:val="24"/>
          <w:highlight w:val="none"/>
          <w:shd w:val="clear" w:color="auto" w:fill="CCE8CF" w:themeFill="background1"/>
          <w:lang w:val="en-US" w:eastAsia="zh-CN" w:bidi="ar-SA"/>
        </w:rPr>
      </w:pPr>
      <w:r>
        <w:rPr>
          <w:rFonts w:hint="eastAsia" w:ascii="宋体" w:hAnsi="宋体" w:eastAsia="宋体" w:cs="宋体"/>
          <w:i w:val="0"/>
          <w:iCs w:val="0"/>
          <w:color w:val="auto"/>
          <w:kern w:val="2"/>
          <w:sz w:val="24"/>
          <w:szCs w:val="24"/>
          <w:highlight w:val="none"/>
          <w:shd w:val="clear" w:color="auto" w:fill="CCE8CF" w:themeFill="background1"/>
          <w:lang w:val="en-US" w:eastAsia="zh-CN" w:bidi="ar-SA"/>
        </w:rPr>
        <w:t xml:space="preserve">17.10为支持和促进中小企业发展，进一步发挥政府采购政策功能，鼓励供应商使用电子保函代替现金缴纳磋商保证金，在线完成保函的申请、审核、开票、出函等环节，供应商企业注意区分办理保函类型，并确认响应文件有效期，如采用政采云电子保函，可登录“新疆政府采购网”—顶部通栏“信用融资”或者“新疆政府采购网”首页“政采贷｜电子保函”快捷模块查看：     </w:t>
      </w:r>
    </w:p>
    <w:p w14:paraId="784B786D">
      <w:pPr>
        <w:pStyle w:val="5"/>
        <w:keepNext w:val="0"/>
        <w:keepLines w:val="0"/>
        <w:pageBreakBefore w:val="0"/>
        <w:widowControl w:val="0"/>
        <w:numPr>
          <w:ilvl w:val="0"/>
          <w:numId w:val="0"/>
        </w:numPr>
        <w:kinsoku/>
        <w:wordWrap/>
        <w:overflowPunct/>
        <w:topLinePunct w:val="0"/>
        <w:autoSpaceDE/>
        <w:autoSpaceDN/>
        <w:bidi w:val="0"/>
        <w:adjustRightInd/>
        <w:snapToGrid/>
        <w:spacing w:before="80" w:after="80" w:line="240" w:lineRule="auto"/>
        <w:ind w:left="420" w:leftChars="0" w:hanging="420" w:firstLineChars="0"/>
        <w:textAlignment w:val="auto"/>
        <w:rPr>
          <w:rFonts w:hint="eastAsia" w:ascii="宋体" w:hAnsi="宋体" w:eastAsia="宋体" w:cs="宋体"/>
          <w:b/>
          <w:bCs/>
          <w:i w:val="0"/>
          <w:iCs w:val="0"/>
          <w:color w:val="auto"/>
          <w:kern w:val="2"/>
          <w:sz w:val="24"/>
          <w:szCs w:val="24"/>
          <w:highlight w:val="none"/>
          <w:lang w:val="en-US" w:eastAsia="zh-CN" w:bidi="ar-SA"/>
        </w:rPr>
      </w:pPr>
      <w:r>
        <w:rPr>
          <w:rFonts w:hint="eastAsia" w:ascii="宋体" w:hAnsi="宋体" w:eastAsia="宋体" w:cs="宋体"/>
          <w:b/>
          <w:bCs/>
          <w:i w:val="0"/>
          <w:iCs w:val="0"/>
          <w:color w:val="auto"/>
          <w:kern w:val="2"/>
          <w:sz w:val="24"/>
          <w:szCs w:val="24"/>
          <w:highlight w:val="none"/>
          <w:lang w:val="en-US" w:eastAsia="zh-CN" w:bidi="ar-SA"/>
        </w:rPr>
        <w:t>18.响应文件的</w:t>
      </w:r>
      <w:bookmarkEnd w:id="179"/>
      <w:bookmarkEnd w:id="180"/>
      <w:bookmarkEnd w:id="181"/>
      <w:bookmarkEnd w:id="182"/>
      <w:r>
        <w:rPr>
          <w:rFonts w:hint="eastAsia" w:ascii="宋体" w:hAnsi="宋体" w:eastAsia="宋体" w:cs="宋体"/>
          <w:b/>
          <w:bCs/>
          <w:i w:val="0"/>
          <w:iCs w:val="0"/>
          <w:color w:val="auto"/>
          <w:kern w:val="2"/>
          <w:sz w:val="24"/>
          <w:szCs w:val="24"/>
          <w:highlight w:val="none"/>
          <w:lang w:val="en-US" w:eastAsia="zh-CN" w:bidi="ar-SA"/>
        </w:rPr>
        <w:t>加密</w:t>
      </w:r>
      <w:bookmarkEnd w:id="183"/>
      <w:bookmarkEnd w:id="184"/>
    </w:p>
    <w:p w14:paraId="105C769D">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snapToGrid w:val="0"/>
          <w:color w:val="auto"/>
          <w:sz w:val="24"/>
          <w:szCs w:val="24"/>
          <w:highlight w:val="none"/>
          <w:lang w:val="zh-CN"/>
        </w:rPr>
      </w:pPr>
      <w:r>
        <w:rPr>
          <w:rFonts w:hint="eastAsia" w:ascii="宋体" w:hAnsi="宋体" w:eastAsia="宋体" w:cs="宋体"/>
          <w:i w:val="0"/>
          <w:iCs w:val="0"/>
          <w:snapToGrid w:val="0"/>
          <w:color w:val="auto"/>
          <w:sz w:val="24"/>
          <w:szCs w:val="24"/>
          <w:highlight w:val="none"/>
          <w:lang w:val="zh-CN"/>
        </w:rPr>
        <w:t>18.1 供应商在供应商客户端中生成响应文件并完成签章之后，使用CA证书在供应商客户端中对响应文件进行加密。</w:t>
      </w:r>
    </w:p>
    <w:p w14:paraId="0AE412D5">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snapToGrid w:val="0"/>
          <w:color w:val="auto"/>
          <w:sz w:val="24"/>
          <w:szCs w:val="24"/>
          <w:highlight w:val="none"/>
          <w:lang w:val="zh-CN"/>
        </w:rPr>
      </w:pPr>
      <w:r>
        <w:rPr>
          <w:rFonts w:hint="eastAsia" w:ascii="宋体" w:hAnsi="宋体" w:eastAsia="宋体" w:cs="宋体"/>
          <w:i w:val="0"/>
          <w:iCs w:val="0"/>
          <w:snapToGrid w:val="0"/>
          <w:color w:val="auto"/>
          <w:sz w:val="24"/>
          <w:szCs w:val="24"/>
          <w:highlight w:val="none"/>
          <w:lang w:val="zh-CN"/>
        </w:rPr>
        <w:t>18.2 供应商应在供应商客户端中对加密的响应文件进行解密验证，以防止响应文件加密异常，在开启时无法解密。</w:t>
      </w:r>
    </w:p>
    <w:p w14:paraId="79A877BA">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snapToGrid w:val="0"/>
          <w:color w:val="auto"/>
          <w:sz w:val="24"/>
          <w:szCs w:val="24"/>
          <w:highlight w:val="none"/>
          <w:lang w:val="zh-CN"/>
        </w:rPr>
      </w:pPr>
      <w:r>
        <w:rPr>
          <w:rFonts w:hint="eastAsia" w:ascii="宋体" w:hAnsi="宋体" w:eastAsia="宋体" w:cs="宋体"/>
          <w:i w:val="0"/>
          <w:iCs w:val="0"/>
          <w:snapToGrid w:val="0"/>
          <w:color w:val="auto"/>
          <w:sz w:val="24"/>
          <w:szCs w:val="24"/>
          <w:highlight w:val="none"/>
          <w:lang w:val="zh-CN"/>
        </w:rPr>
        <w:t>18.3 供应商应保证加密响应文件的CA证书有效期在开启时间之前。若CA证书有效期临近开启时间，建议供应商提前办理CA证书续期，以免开启时无法进行解密。</w:t>
      </w:r>
    </w:p>
    <w:p w14:paraId="1CDCC9E5">
      <w:pPr>
        <w:keepNext w:val="0"/>
        <w:keepLines w:val="0"/>
        <w:pageBreakBefore w:val="0"/>
        <w:widowControl w:val="0"/>
        <w:kinsoku/>
        <w:wordWrap w:val="0"/>
        <w:overflowPunct/>
        <w:topLinePunct w:val="0"/>
        <w:autoSpaceDE/>
        <w:autoSpaceDN/>
        <w:bidi w:val="0"/>
        <w:adjustRightInd/>
        <w:snapToGrid/>
        <w:ind w:firstLine="480" w:firstLineChars="2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w:t>
      </w:r>
      <w:r>
        <w:rPr>
          <w:rFonts w:hint="eastAsia" w:ascii="宋体" w:hAnsi="宋体" w:eastAsia="宋体" w:cs="宋体"/>
          <w:i w:val="0"/>
          <w:iCs w:val="0"/>
          <w:color w:val="auto"/>
          <w:sz w:val="24"/>
          <w:szCs w:val="24"/>
          <w:highlight w:val="none"/>
          <w:lang w:val="en-US" w:eastAsia="zh-CN"/>
        </w:rPr>
        <w:t>8</w:t>
      </w: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val="en-US" w:eastAsia="zh-CN"/>
        </w:rPr>
        <w:t>4</w:t>
      </w:r>
      <w:r>
        <w:rPr>
          <w:rFonts w:hint="eastAsia" w:ascii="宋体" w:hAnsi="宋体" w:eastAsia="宋体" w:cs="宋体"/>
          <w:i w:val="0"/>
          <w:iCs w:val="0"/>
          <w:snapToGrid w:val="0"/>
          <w:color w:val="auto"/>
          <w:sz w:val="24"/>
          <w:szCs w:val="24"/>
          <w:highlight w:val="none"/>
          <w:lang w:val="zh-CN"/>
        </w:rPr>
        <w:t>供应商</w:t>
      </w:r>
      <w:r>
        <w:rPr>
          <w:rFonts w:hint="eastAsia" w:ascii="宋体" w:hAnsi="宋体" w:eastAsia="宋体" w:cs="宋体"/>
          <w:i w:val="0"/>
          <w:iCs w:val="0"/>
          <w:color w:val="auto"/>
          <w:sz w:val="24"/>
          <w:szCs w:val="24"/>
          <w:highlight w:val="none"/>
        </w:rPr>
        <w:t>在</w:t>
      </w:r>
      <w:r>
        <w:rPr>
          <w:rFonts w:hint="eastAsia" w:ascii="宋体" w:hAnsi="宋体" w:eastAsia="宋体" w:cs="宋体"/>
          <w:i w:val="0"/>
          <w:iCs w:val="0"/>
          <w:color w:val="auto"/>
          <w:sz w:val="24"/>
          <w:szCs w:val="24"/>
          <w:highlight w:val="none"/>
          <w:lang w:val="en-US" w:eastAsia="zh-CN"/>
        </w:rPr>
        <w:t>响应</w:t>
      </w:r>
      <w:r>
        <w:rPr>
          <w:rFonts w:hint="eastAsia" w:ascii="宋体" w:hAnsi="宋体" w:eastAsia="宋体" w:cs="宋体"/>
          <w:i w:val="0"/>
          <w:iCs w:val="0"/>
          <w:color w:val="auto"/>
          <w:sz w:val="24"/>
          <w:szCs w:val="24"/>
          <w:highlight w:val="none"/>
          <w:lang w:eastAsia="zh-CN"/>
        </w:rPr>
        <w:t>文件</w:t>
      </w:r>
      <w:r>
        <w:rPr>
          <w:rFonts w:hint="eastAsia" w:ascii="宋体" w:hAnsi="宋体" w:eastAsia="宋体" w:cs="宋体"/>
          <w:i w:val="0"/>
          <w:iCs w:val="0"/>
          <w:color w:val="auto"/>
          <w:sz w:val="24"/>
          <w:szCs w:val="24"/>
          <w:highlight w:val="none"/>
        </w:rPr>
        <w:t>递交截</w:t>
      </w:r>
      <w:r>
        <w:rPr>
          <w:rFonts w:hint="eastAsia" w:ascii="宋体" w:hAnsi="宋体" w:eastAsia="宋体" w:cs="宋体"/>
          <w:i w:val="0"/>
          <w:iCs w:val="0"/>
          <w:color w:val="auto"/>
          <w:sz w:val="24"/>
          <w:szCs w:val="24"/>
          <w:highlight w:val="none"/>
          <w:lang w:val="en-US" w:eastAsia="zh-CN"/>
        </w:rPr>
        <w:t>止</w:t>
      </w:r>
      <w:r>
        <w:rPr>
          <w:rFonts w:hint="eastAsia" w:ascii="宋体" w:hAnsi="宋体" w:eastAsia="宋体" w:cs="宋体"/>
          <w:i w:val="0"/>
          <w:iCs w:val="0"/>
          <w:color w:val="auto"/>
          <w:sz w:val="24"/>
          <w:szCs w:val="24"/>
          <w:highlight w:val="none"/>
        </w:rPr>
        <w:t>时间前通过</w:t>
      </w:r>
      <w:r>
        <w:rPr>
          <w:rFonts w:hint="eastAsia" w:cs="宋体"/>
          <w:i w:val="0"/>
          <w:iCs w:val="0"/>
          <w:color w:val="auto"/>
          <w:sz w:val="24"/>
          <w:szCs w:val="24"/>
          <w:highlight w:val="none"/>
          <w:lang w:val="en-US" w:eastAsia="zh-CN"/>
        </w:rPr>
        <w:t>新疆政府采购</w:t>
      </w:r>
      <w:r>
        <w:rPr>
          <w:rFonts w:hint="eastAsia" w:ascii="宋体" w:hAnsi="宋体" w:eastAsia="宋体" w:cs="宋体"/>
          <w:i w:val="0"/>
          <w:iCs w:val="0"/>
          <w:color w:val="auto"/>
          <w:sz w:val="24"/>
          <w:szCs w:val="24"/>
          <w:highlight w:val="none"/>
        </w:rPr>
        <w:t>网（</w:t>
      </w:r>
      <w:r>
        <w:rPr>
          <w:rFonts w:hint="eastAsia" w:cs="宋体"/>
          <w:i w:val="0"/>
          <w:iCs w:val="0"/>
          <w:color w:val="auto"/>
          <w:sz w:val="24"/>
          <w:szCs w:val="24"/>
          <w:highlight w:val="none"/>
          <w:lang w:eastAsia="zh-CN"/>
        </w:rPr>
        <w:t>https://www.zcygov.cn/</w:t>
      </w:r>
      <w:r>
        <w:rPr>
          <w:rFonts w:hint="eastAsia" w:ascii="宋体" w:hAnsi="宋体" w:eastAsia="宋体" w:cs="宋体"/>
          <w:i w:val="0"/>
          <w:iCs w:val="0"/>
          <w:color w:val="auto"/>
          <w:sz w:val="24"/>
          <w:szCs w:val="24"/>
          <w:highlight w:val="none"/>
        </w:rPr>
        <w:t>）的”政采云登录入口”登录后，将加密电子</w:t>
      </w:r>
      <w:r>
        <w:rPr>
          <w:rFonts w:hint="eastAsia" w:ascii="宋体" w:hAnsi="宋体" w:eastAsia="宋体" w:cs="宋体"/>
          <w:i w:val="0"/>
          <w:iCs w:val="0"/>
          <w:color w:val="auto"/>
          <w:sz w:val="24"/>
          <w:szCs w:val="24"/>
          <w:highlight w:val="none"/>
          <w:lang w:val="en-US" w:eastAsia="zh-CN"/>
        </w:rPr>
        <w:t>响应</w:t>
      </w:r>
      <w:r>
        <w:rPr>
          <w:rFonts w:hint="eastAsia" w:ascii="宋体" w:hAnsi="宋体" w:eastAsia="宋体" w:cs="宋体"/>
          <w:i w:val="0"/>
          <w:iCs w:val="0"/>
          <w:color w:val="auto"/>
          <w:sz w:val="24"/>
          <w:szCs w:val="24"/>
          <w:highlight w:val="none"/>
          <w:lang w:eastAsia="zh-CN"/>
        </w:rPr>
        <w:t>文件</w:t>
      </w:r>
      <w:r>
        <w:rPr>
          <w:rFonts w:hint="eastAsia" w:ascii="宋体" w:hAnsi="宋体" w:eastAsia="宋体" w:cs="宋体"/>
          <w:i w:val="0"/>
          <w:iCs w:val="0"/>
          <w:color w:val="auto"/>
          <w:sz w:val="24"/>
          <w:szCs w:val="24"/>
          <w:highlight w:val="none"/>
        </w:rPr>
        <w:t>（为.jmbs后缀格式）上传到对应项目的指定位置</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lang w:val="en-US" w:eastAsia="zh-CN"/>
        </w:rPr>
        <w:t>供应商</w:t>
      </w:r>
      <w:r>
        <w:rPr>
          <w:rFonts w:hint="eastAsia" w:ascii="宋体" w:hAnsi="宋体" w:eastAsia="宋体" w:cs="宋体"/>
          <w:i w:val="0"/>
          <w:iCs w:val="0"/>
          <w:color w:val="auto"/>
          <w:sz w:val="24"/>
          <w:szCs w:val="24"/>
          <w:highlight w:val="none"/>
        </w:rPr>
        <w:t>认为有必要提交的其他资料请于</w:t>
      </w:r>
      <w:r>
        <w:rPr>
          <w:rFonts w:hint="eastAsia" w:ascii="宋体" w:hAnsi="宋体" w:eastAsia="宋体" w:cs="宋体"/>
          <w:i w:val="0"/>
          <w:iCs w:val="0"/>
          <w:color w:val="auto"/>
          <w:sz w:val="24"/>
          <w:szCs w:val="24"/>
          <w:highlight w:val="none"/>
          <w:lang w:val="en-US" w:eastAsia="zh-CN"/>
        </w:rPr>
        <w:t>响应</w:t>
      </w:r>
      <w:r>
        <w:rPr>
          <w:rFonts w:hint="eastAsia" w:ascii="宋体" w:hAnsi="宋体" w:eastAsia="宋体" w:cs="宋体"/>
          <w:i w:val="0"/>
          <w:iCs w:val="0"/>
          <w:color w:val="auto"/>
          <w:sz w:val="24"/>
          <w:szCs w:val="24"/>
          <w:highlight w:val="none"/>
          <w:lang w:eastAsia="zh-CN"/>
        </w:rPr>
        <w:t>文件</w:t>
      </w:r>
      <w:r>
        <w:rPr>
          <w:rFonts w:hint="eastAsia" w:ascii="宋体" w:hAnsi="宋体" w:eastAsia="宋体" w:cs="宋体"/>
          <w:i w:val="0"/>
          <w:iCs w:val="0"/>
          <w:color w:val="auto"/>
          <w:sz w:val="24"/>
          <w:szCs w:val="24"/>
          <w:highlight w:val="none"/>
        </w:rPr>
        <w:t>递交截止时间前一并提交。</w:t>
      </w:r>
    </w:p>
    <w:p w14:paraId="3896D475">
      <w:pPr>
        <w:keepNext w:val="0"/>
        <w:keepLines w:val="0"/>
        <w:pageBreakBefore w:val="0"/>
        <w:widowControl w:val="0"/>
        <w:kinsoku/>
        <w:overflowPunct/>
        <w:topLinePunct w:val="0"/>
        <w:autoSpaceDE/>
        <w:autoSpaceDN/>
        <w:bidi w:val="0"/>
        <w:adjustRightInd/>
        <w:ind w:firstLine="480" w:firstLineChars="2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w:t>
      </w:r>
      <w:r>
        <w:rPr>
          <w:rFonts w:hint="eastAsia" w:ascii="宋体" w:hAnsi="宋体" w:eastAsia="宋体" w:cs="宋体"/>
          <w:i w:val="0"/>
          <w:iCs w:val="0"/>
          <w:color w:val="auto"/>
          <w:sz w:val="24"/>
          <w:szCs w:val="24"/>
          <w:highlight w:val="none"/>
          <w:lang w:val="en-US" w:eastAsia="zh-CN"/>
        </w:rPr>
        <w:t>8</w:t>
      </w: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val="en-US" w:eastAsia="zh-CN"/>
        </w:rPr>
        <w:t>5</w:t>
      </w:r>
      <w:r>
        <w:rPr>
          <w:rFonts w:hint="eastAsia" w:ascii="宋体" w:hAnsi="宋体" w:eastAsia="宋体" w:cs="宋体"/>
          <w:i w:val="0"/>
          <w:iCs w:val="0"/>
          <w:color w:val="auto"/>
          <w:sz w:val="24"/>
          <w:szCs w:val="24"/>
          <w:highlight w:val="none"/>
        </w:rPr>
        <w:t>如果</w:t>
      </w:r>
      <w:r>
        <w:rPr>
          <w:rFonts w:hint="eastAsia" w:ascii="宋体" w:hAnsi="宋体" w:eastAsia="宋体" w:cs="宋体"/>
          <w:i w:val="0"/>
          <w:iCs w:val="0"/>
          <w:color w:val="auto"/>
          <w:sz w:val="24"/>
          <w:szCs w:val="24"/>
          <w:highlight w:val="none"/>
          <w:lang w:val="en-US" w:eastAsia="zh-CN"/>
        </w:rPr>
        <w:t>供应商</w:t>
      </w:r>
      <w:r>
        <w:rPr>
          <w:rFonts w:hint="eastAsia" w:ascii="宋体" w:hAnsi="宋体" w:eastAsia="宋体" w:cs="宋体"/>
          <w:i w:val="0"/>
          <w:iCs w:val="0"/>
          <w:color w:val="auto"/>
          <w:sz w:val="24"/>
          <w:szCs w:val="24"/>
          <w:highlight w:val="none"/>
        </w:rPr>
        <w:t>未按上述要求</w:t>
      </w:r>
      <w:r>
        <w:rPr>
          <w:rFonts w:hint="eastAsia" w:ascii="宋体" w:hAnsi="宋体" w:eastAsia="宋体" w:cs="宋体"/>
          <w:i w:val="0"/>
          <w:iCs w:val="0"/>
          <w:color w:val="auto"/>
          <w:sz w:val="24"/>
          <w:szCs w:val="24"/>
          <w:highlight w:val="none"/>
          <w:lang w:val="en-US" w:eastAsia="zh-CN"/>
        </w:rPr>
        <w:t>加密并上传</w:t>
      </w:r>
      <w:r>
        <w:rPr>
          <w:rFonts w:hint="eastAsia" w:ascii="宋体" w:hAnsi="宋体" w:eastAsia="宋体" w:cs="宋体"/>
          <w:i w:val="0"/>
          <w:iCs w:val="0"/>
          <w:color w:val="auto"/>
          <w:sz w:val="24"/>
          <w:szCs w:val="24"/>
          <w:highlight w:val="none"/>
        </w:rPr>
        <w:t>，采购代理机构对</w:t>
      </w:r>
      <w:r>
        <w:rPr>
          <w:rFonts w:hint="eastAsia" w:ascii="宋体" w:hAnsi="宋体" w:eastAsia="宋体" w:cs="宋体"/>
          <w:i w:val="0"/>
          <w:iCs w:val="0"/>
          <w:color w:val="auto"/>
          <w:sz w:val="24"/>
          <w:szCs w:val="24"/>
          <w:highlight w:val="none"/>
          <w:lang w:val="en-US" w:eastAsia="zh-CN"/>
        </w:rPr>
        <w:t>响应</w:t>
      </w:r>
      <w:r>
        <w:rPr>
          <w:rFonts w:hint="eastAsia" w:ascii="宋体" w:hAnsi="宋体" w:eastAsia="宋体" w:cs="宋体"/>
          <w:i w:val="0"/>
          <w:iCs w:val="0"/>
          <w:color w:val="auto"/>
          <w:sz w:val="24"/>
          <w:szCs w:val="24"/>
          <w:highlight w:val="none"/>
        </w:rPr>
        <w:t>文件的误投</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lang w:val="en-US" w:eastAsia="zh-CN"/>
        </w:rPr>
        <w:t>无法解密、传输错误等问题</w:t>
      </w:r>
      <w:r>
        <w:rPr>
          <w:rFonts w:hint="eastAsia" w:ascii="宋体" w:hAnsi="宋体" w:eastAsia="宋体" w:cs="宋体"/>
          <w:i w:val="0"/>
          <w:iCs w:val="0"/>
          <w:color w:val="auto"/>
          <w:sz w:val="24"/>
          <w:szCs w:val="24"/>
          <w:highlight w:val="none"/>
        </w:rPr>
        <w:t>概不负责。对由此造成</w:t>
      </w:r>
      <w:r>
        <w:rPr>
          <w:rFonts w:hint="eastAsia" w:ascii="宋体" w:hAnsi="宋体" w:eastAsia="宋体" w:cs="宋体"/>
          <w:i w:val="0"/>
          <w:iCs w:val="0"/>
          <w:color w:val="auto"/>
          <w:sz w:val="24"/>
          <w:szCs w:val="24"/>
          <w:highlight w:val="none"/>
          <w:lang w:val="en-US" w:eastAsia="zh-CN"/>
        </w:rPr>
        <w:t>无法正常开启</w:t>
      </w:r>
      <w:r>
        <w:rPr>
          <w:rFonts w:hint="eastAsia" w:ascii="宋体" w:hAnsi="宋体" w:eastAsia="宋体" w:cs="宋体"/>
          <w:i w:val="0"/>
          <w:iCs w:val="0"/>
          <w:color w:val="auto"/>
          <w:sz w:val="24"/>
          <w:szCs w:val="24"/>
          <w:highlight w:val="none"/>
        </w:rPr>
        <w:t>的</w:t>
      </w:r>
      <w:r>
        <w:rPr>
          <w:rFonts w:hint="eastAsia" w:ascii="宋体" w:hAnsi="宋体" w:eastAsia="宋体" w:cs="宋体"/>
          <w:i w:val="0"/>
          <w:iCs w:val="0"/>
          <w:color w:val="auto"/>
          <w:sz w:val="24"/>
          <w:szCs w:val="24"/>
          <w:highlight w:val="none"/>
          <w:lang w:val="en-US" w:eastAsia="zh-CN"/>
        </w:rPr>
        <w:t>响应</w:t>
      </w:r>
      <w:r>
        <w:rPr>
          <w:rFonts w:hint="eastAsia" w:ascii="宋体" w:hAnsi="宋体" w:eastAsia="宋体" w:cs="宋体"/>
          <w:i w:val="0"/>
          <w:iCs w:val="0"/>
          <w:color w:val="auto"/>
          <w:sz w:val="24"/>
          <w:szCs w:val="24"/>
          <w:highlight w:val="none"/>
        </w:rPr>
        <w:t>文件，采购代理机构有权予以拒绝，并退回</w:t>
      </w:r>
      <w:r>
        <w:rPr>
          <w:rFonts w:hint="eastAsia" w:ascii="宋体" w:hAnsi="宋体" w:eastAsia="宋体" w:cs="宋体"/>
          <w:i w:val="0"/>
          <w:iCs w:val="0"/>
          <w:color w:val="auto"/>
          <w:sz w:val="24"/>
          <w:szCs w:val="24"/>
          <w:highlight w:val="none"/>
          <w:lang w:val="en-US" w:eastAsia="zh-CN"/>
        </w:rPr>
        <w:t>供应商</w:t>
      </w:r>
      <w:r>
        <w:rPr>
          <w:rFonts w:hint="eastAsia" w:ascii="宋体" w:hAnsi="宋体" w:eastAsia="宋体" w:cs="宋体"/>
          <w:i w:val="0"/>
          <w:iCs w:val="0"/>
          <w:color w:val="auto"/>
          <w:sz w:val="24"/>
          <w:szCs w:val="24"/>
          <w:highlight w:val="none"/>
        </w:rPr>
        <w:t>。</w:t>
      </w:r>
    </w:p>
    <w:p w14:paraId="54A49319">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w:t>
      </w:r>
      <w:r>
        <w:rPr>
          <w:rFonts w:hint="eastAsia" w:ascii="宋体" w:hAnsi="宋体" w:eastAsia="宋体" w:cs="宋体"/>
          <w:i w:val="0"/>
          <w:iCs w:val="0"/>
          <w:color w:val="auto"/>
          <w:sz w:val="24"/>
          <w:szCs w:val="24"/>
          <w:highlight w:val="none"/>
          <w:lang w:val="en-US" w:eastAsia="zh-CN"/>
        </w:rPr>
        <w:t>8</w:t>
      </w: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val="en-US" w:eastAsia="zh-CN"/>
        </w:rPr>
        <w:t>6</w:t>
      </w:r>
      <w:r>
        <w:rPr>
          <w:rFonts w:hint="eastAsia" w:ascii="宋体" w:hAnsi="宋体" w:eastAsia="宋体" w:cs="宋体"/>
          <w:i w:val="0"/>
          <w:iCs w:val="0"/>
          <w:color w:val="auto"/>
          <w:sz w:val="24"/>
          <w:szCs w:val="24"/>
          <w:highlight w:val="none"/>
        </w:rPr>
        <w:t>本项目采用不见面开</w:t>
      </w:r>
      <w:r>
        <w:rPr>
          <w:rFonts w:hint="eastAsia" w:ascii="宋体" w:hAnsi="宋体" w:eastAsia="宋体" w:cs="宋体"/>
          <w:i w:val="0"/>
          <w:iCs w:val="0"/>
          <w:color w:val="auto"/>
          <w:sz w:val="24"/>
          <w:szCs w:val="24"/>
          <w:highlight w:val="none"/>
          <w:lang w:val="en-US" w:eastAsia="zh-CN"/>
        </w:rPr>
        <w:t>启</w:t>
      </w:r>
      <w:r>
        <w:rPr>
          <w:rFonts w:hint="eastAsia" w:ascii="宋体" w:hAnsi="宋体" w:eastAsia="宋体" w:cs="宋体"/>
          <w:i w:val="0"/>
          <w:iCs w:val="0"/>
          <w:color w:val="auto"/>
          <w:sz w:val="24"/>
          <w:szCs w:val="24"/>
          <w:highlight w:val="none"/>
        </w:rPr>
        <w:t>方式，无需提供电子</w:t>
      </w:r>
      <w:r>
        <w:rPr>
          <w:rFonts w:hint="eastAsia" w:ascii="宋体" w:hAnsi="宋体" w:eastAsia="宋体" w:cs="宋体"/>
          <w:i w:val="0"/>
          <w:iCs w:val="0"/>
          <w:color w:val="auto"/>
          <w:sz w:val="24"/>
          <w:szCs w:val="24"/>
          <w:highlight w:val="none"/>
          <w:lang w:val="en-US" w:eastAsia="zh-CN"/>
        </w:rPr>
        <w:t>响应</w:t>
      </w:r>
      <w:r>
        <w:rPr>
          <w:rFonts w:hint="eastAsia" w:ascii="宋体" w:hAnsi="宋体" w:eastAsia="宋体" w:cs="宋体"/>
          <w:i w:val="0"/>
          <w:iCs w:val="0"/>
          <w:color w:val="auto"/>
          <w:sz w:val="24"/>
          <w:szCs w:val="24"/>
          <w:highlight w:val="none"/>
        </w:rPr>
        <w:t>文件U盘。</w:t>
      </w:r>
    </w:p>
    <w:p w14:paraId="0EEE0E8A">
      <w:pPr>
        <w:pStyle w:val="5"/>
        <w:keepNext w:val="0"/>
        <w:keepLines w:val="0"/>
        <w:pageBreakBefore w:val="0"/>
        <w:widowControl w:val="0"/>
        <w:numPr>
          <w:ilvl w:val="0"/>
          <w:numId w:val="0"/>
        </w:numPr>
        <w:kinsoku/>
        <w:wordWrap/>
        <w:overflowPunct/>
        <w:topLinePunct w:val="0"/>
        <w:autoSpaceDE/>
        <w:autoSpaceDN/>
        <w:bidi w:val="0"/>
        <w:adjustRightInd/>
        <w:snapToGrid/>
        <w:spacing w:before="80" w:after="80" w:line="240" w:lineRule="auto"/>
        <w:ind w:left="420" w:leftChars="0" w:hanging="420" w:firstLineChars="0"/>
        <w:textAlignment w:val="auto"/>
        <w:rPr>
          <w:rFonts w:hint="eastAsia" w:ascii="宋体" w:hAnsi="宋体" w:eastAsia="宋体" w:cs="宋体"/>
          <w:b/>
          <w:bCs/>
          <w:i w:val="0"/>
          <w:iCs w:val="0"/>
          <w:color w:val="auto"/>
          <w:kern w:val="2"/>
          <w:sz w:val="24"/>
          <w:szCs w:val="24"/>
          <w:highlight w:val="none"/>
          <w:lang w:val="en-US" w:eastAsia="zh-CN" w:bidi="ar-SA"/>
        </w:rPr>
      </w:pPr>
      <w:r>
        <w:rPr>
          <w:rFonts w:hint="eastAsia" w:ascii="宋体" w:hAnsi="宋体" w:eastAsia="宋体" w:cs="宋体"/>
          <w:b/>
          <w:bCs/>
          <w:i w:val="0"/>
          <w:iCs w:val="0"/>
          <w:color w:val="auto"/>
          <w:kern w:val="2"/>
          <w:sz w:val="24"/>
          <w:szCs w:val="24"/>
          <w:highlight w:val="none"/>
          <w:lang w:val="en-US" w:eastAsia="zh-CN" w:bidi="ar-SA"/>
        </w:rPr>
        <w:t>19.响应文件的</w:t>
      </w:r>
      <w:bookmarkEnd w:id="185"/>
      <w:bookmarkEnd w:id="186"/>
      <w:bookmarkEnd w:id="187"/>
      <w:bookmarkEnd w:id="188"/>
      <w:r>
        <w:rPr>
          <w:rFonts w:hint="eastAsia" w:ascii="宋体" w:hAnsi="宋体" w:eastAsia="宋体" w:cs="宋体"/>
          <w:b/>
          <w:bCs/>
          <w:i w:val="0"/>
          <w:iCs w:val="0"/>
          <w:color w:val="auto"/>
          <w:kern w:val="2"/>
          <w:sz w:val="24"/>
          <w:szCs w:val="24"/>
          <w:highlight w:val="none"/>
          <w:lang w:val="en-US" w:eastAsia="zh-CN" w:bidi="ar-SA"/>
        </w:rPr>
        <w:t>递交</w:t>
      </w:r>
      <w:bookmarkEnd w:id="189"/>
      <w:bookmarkEnd w:id="190"/>
      <w:r>
        <w:rPr>
          <w:rFonts w:hint="eastAsia" w:ascii="宋体" w:hAnsi="宋体" w:eastAsia="宋体" w:cs="宋体"/>
          <w:b/>
          <w:bCs/>
          <w:i w:val="0"/>
          <w:iCs w:val="0"/>
          <w:color w:val="auto"/>
          <w:kern w:val="2"/>
          <w:sz w:val="24"/>
          <w:szCs w:val="24"/>
          <w:highlight w:val="none"/>
          <w:lang w:val="en-US" w:eastAsia="zh-CN" w:bidi="ar-SA"/>
        </w:rPr>
        <w:t>（上传）</w:t>
      </w:r>
    </w:p>
    <w:p w14:paraId="4BB721FA">
      <w:pPr>
        <w:keepNext w:val="0"/>
        <w:keepLines w:val="0"/>
        <w:pageBreakBefore w:val="0"/>
        <w:widowControl w:val="0"/>
        <w:kinsoku/>
        <w:overflowPunct/>
        <w:topLinePunct w:val="0"/>
        <w:bidi w:val="0"/>
        <w:ind w:firstLine="480" w:firstLineChars="2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19.1 供应商应在“</w:t>
      </w:r>
      <w:r>
        <w:rPr>
          <w:rFonts w:hint="eastAsia" w:ascii="宋体" w:hAnsi="宋体" w:eastAsia="宋体" w:cs="宋体"/>
          <w:i w:val="0"/>
          <w:iCs w:val="0"/>
          <w:color w:val="auto"/>
          <w:sz w:val="24"/>
          <w:szCs w:val="24"/>
          <w:highlight w:val="none"/>
          <w:lang w:val="en-US" w:eastAsia="zh-CN"/>
        </w:rPr>
        <w:t>第一章 竞争性磋商公告</w:t>
      </w:r>
      <w:r>
        <w:rPr>
          <w:rFonts w:hint="eastAsia" w:ascii="宋体" w:hAnsi="宋体" w:eastAsia="宋体" w:cs="宋体"/>
          <w:i w:val="0"/>
          <w:iCs w:val="0"/>
          <w:color w:val="auto"/>
          <w:sz w:val="24"/>
          <w:szCs w:val="24"/>
          <w:highlight w:val="none"/>
        </w:rPr>
        <w:t>”规定的响应文件递交截止时间前递交（上传）响应文件。</w:t>
      </w:r>
    </w:p>
    <w:p w14:paraId="1788DDFE">
      <w:pPr>
        <w:keepNext w:val="0"/>
        <w:keepLines w:val="0"/>
        <w:pageBreakBefore w:val="0"/>
        <w:widowControl w:val="0"/>
        <w:kinsoku/>
        <w:overflowPunct/>
        <w:topLinePunct w:val="0"/>
        <w:bidi w:val="0"/>
        <w:ind w:firstLine="480" w:firstLineChars="2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19.2 供应商递交（上传）响应文件的地点见“</w:t>
      </w:r>
      <w:r>
        <w:rPr>
          <w:rFonts w:hint="eastAsia" w:ascii="宋体" w:hAnsi="宋体" w:eastAsia="宋体" w:cs="宋体"/>
          <w:i w:val="0"/>
          <w:iCs w:val="0"/>
          <w:color w:val="auto"/>
          <w:sz w:val="24"/>
          <w:szCs w:val="24"/>
          <w:highlight w:val="none"/>
          <w:lang w:val="en-US" w:eastAsia="zh-CN"/>
        </w:rPr>
        <w:t>第一章 竞争性磋商公告</w:t>
      </w:r>
      <w:r>
        <w:rPr>
          <w:rFonts w:hint="eastAsia" w:ascii="宋体" w:hAnsi="宋体" w:eastAsia="宋体" w:cs="宋体"/>
          <w:i w:val="0"/>
          <w:iCs w:val="0"/>
          <w:color w:val="auto"/>
          <w:sz w:val="24"/>
          <w:szCs w:val="24"/>
          <w:highlight w:val="none"/>
        </w:rPr>
        <w:t>”。</w:t>
      </w:r>
    </w:p>
    <w:p w14:paraId="74B3F1A5">
      <w:pPr>
        <w:keepNext w:val="0"/>
        <w:keepLines w:val="0"/>
        <w:pageBreakBefore w:val="0"/>
        <w:widowControl w:val="0"/>
        <w:kinsoku/>
        <w:overflowPunct/>
        <w:topLinePunct w:val="0"/>
        <w:bidi w:val="0"/>
        <w:ind w:firstLine="480" w:firstLineChars="2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19.3供应商应充分评估集中同时递交响应文件带来的网络影响，尽量避开递交响应文件高峰时间，错峰进行递交。供应商递交全部的响应文件后可在政采云平台（项目采购</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投标文件上传）中获取响应文件递交回执单。</w:t>
      </w:r>
    </w:p>
    <w:p w14:paraId="5634F607">
      <w:pPr>
        <w:keepNext w:val="0"/>
        <w:keepLines w:val="0"/>
        <w:pageBreakBefore w:val="0"/>
        <w:widowControl w:val="0"/>
        <w:kinsoku/>
        <w:overflowPunct/>
        <w:topLinePunct w:val="0"/>
        <w:bidi w:val="0"/>
        <w:ind w:firstLine="480" w:firstLineChars="2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19.4 供应商应在供应商客户端中下载未加密且完成签章的响应文件妥善保存，以便启动应急开启程序时使用。</w:t>
      </w:r>
    </w:p>
    <w:p w14:paraId="6F8BD19B">
      <w:pPr>
        <w:keepNext w:val="0"/>
        <w:keepLines w:val="0"/>
        <w:pageBreakBefore w:val="0"/>
        <w:widowControl w:val="0"/>
        <w:kinsoku/>
        <w:overflowPunct/>
        <w:topLinePunct w:val="0"/>
        <w:bidi w:val="0"/>
        <w:ind w:firstLine="480" w:firstLineChars="2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19.5供应商所递交的响应文件不予退还。</w:t>
      </w:r>
    </w:p>
    <w:p w14:paraId="03DDA0A8">
      <w:pPr>
        <w:pStyle w:val="5"/>
        <w:keepNext w:val="0"/>
        <w:keepLines w:val="0"/>
        <w:pageBreakBefore w:val="0"/>
        <w:widowControl w:val="0"/>
        <w:numPr>
          <w:ilvl w:val="0"/>
          <w:numId w:val="0"/>
        </w:numPr>
        <w:kinsoku/>
        <w:wordWrap/>
        <w:overflowPunct/>
        <w:topLinePunct w:val="0"/>
        <w:autoSpaceDE/>
        <w:autoSpaceDN/>
        <w:bidi w:val="0"/>
        <w:adjustRightInd/>
        <w:snapToGrid/>
        <w:spacing w:before="80" w:after="80" w:line="240" w:lineRule="auto"/>
        <w:ind w:left="420" w:leftChars="0" w:hanging="420" w:firstLineChars="0"/>
        <w:textAlignment w:val="auto"/>
        <w:rPr>
          <w:rFonts w:hint="eastAsia" w:ascii="宋体" w:hAnsi="宋体" w:eastAsia="宋体" w:cs="宋体"/>
          <w:b/>
          <w:bCs/>
          <w:i w:val="0"/>
          <w:iCs w:val="0"/>
          <w:color w:val="auto"/>
          <w:kern w:val="2"/>
          <w:sz w:val="24"/>
          <w:szCs w:val="24"/>
          <w:highlight w:val="none"/>
          <w:lang w:val="en-US" w:eastAsia="zh-CN" w:bidi="ar-SA"/>
        </w:rPr>
      </w:pPr>
      <w:bookmarkStart w:id="191" w:name="_Toc156490298"/>
      <w:bookmarkStart w:id="192" w:name="_Toc155095709"/>
      <w:r>
        <w:rPr>
          <w:rFonts w:hint="eastAsia" w:ascii="宋体" w:hAnsi="宋体" w:eastAsia="宋体" w:cs="宋体"/>
          <w:b/>
          <w:bCs/>
          <w:i w:val="0"/>
          <w:iCs w:val="0"/>
          <w:color w:val="auto"/>
          <w:kern w:val="2"/>
          <w:sz w:val="24"/>
          <w:szCs w:val="24"/>
          <w:highlight w:val="none"/>
          <w:lang w:val="en-US" w:eastAsia="zh-CN" w:bidi="ar-SA"/>
        </w:rPr>
        <w:t>20.拒收</w:t>
      </w:r>
      <w:bookmarkEnd w:id="191"/>
      <w:bookmarkEnd w:id="192"/>
    </w:p>
    <w:p w14:paraId="6764A5C0">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snapToGrid w:val="0"/>
          <w:color w:val="auto"/>
          <w:sz w:val="24"/>
          <w:szCs w:val="24"/>
          <w:highlight w:val="none"/>
          <w:lang w:val="zh-CN"/>
        </w:rPr>
      </w:pPr>
      <w:r>
        <w:rPr>
          <w:rFonts w:hint="eastAsia" w:ascii="宋体" w:hAnsi="宋体" w:eastAsia="宋体" w:cs="宋体"/>
          <w:i w:val="0"/>
          <w:iCs w:val="0"/>
          <w:snapToGrid w:val="0"/>
          <w:color w:val="auto"/>
          <w:sz w:val="24"/>
          <w:szCs w:val="24"/>
          <w:highlight w:val="none"/>
          <w:lang w:val="zh-CN"/>
        </w:rPr>
        <w:t>20.1超过递交响应文件的截止时间或者不按照本章要求加密的响应文件，交易系统应当拒收。</w:t>
      </w:r>
    </w:p>
    <w:p w14:paraId="03C096FA">
      <w:pPr>
        <w:pStyle w:val="5"/>
        <w:keepNext w:val="0"/>
        <w:keepLines w:val="0"/>
        <w:pageBreakBefore w:val="0"/>
        <w:widowControl w:val="0"/>
        <w:numPr>
          <w:ilvl w:val="0"/>
          <w:numId w:val="0"/>
        </w:numPr>
        <w:kinsoku/>
        <w:wordWrap/>
        <w:overflowPunct/>
        <w:topLinePunct w:val="0"/>
        <w:autoSpaceDE/>
        <w:autoSpaceDN/>
        <w:bidi w:val="0"/>
        <w:adjustRightInd/>
        <w:snapToGrid/>
        <w:spacing w:before="80" w:after="80" w:line="240" w:lineRule="auto"/>
        <w:ind w:left="420" w:leftChars="0" w:hanging="420" w:firstLineChars="0"/>
        <w:textAlignment w:val="auto"/>
        <w:rPr>
          <w:rFonts w:hint="eastAsia" w:ascii="宋体" w:hAnsi="宋体" w:eastAsia="宋体" w:cs="宋体"/>
          <w:b/>
          <w:bCs/>
          <w:i w:val="0"/>
          <w:iCs w:val="0"/>
          <w:color w:val="auto"/>
          <w:kern w:val="2"/>
          <w:sz w:val="24"/>
          <w:szCs w:val="24"/>
          <w:highlight w:val="none"/>
          <w:lang w:val="en-US" w:eastAsia="zh-CN" w:bidi="ar-SA"/>
        </w:rPr>
      </w:pPr>
      <w:bookmarkStart w:id="193" w:name="_Toc155095710"/>
      <w:bookmarkStart w:id="194" w:name="_Toc156490299"/>
      <w:bookmarkStart w:id="195" w:name="_Toc109897555"/>
      <w:bookmarkStart w:id="196" w:name="_Toc109900073"/>
      <w:bookmarkStart w:id="197" w:name="_Toc109900492"/>
      <w:bookmarkStart w:id="198" w:name="_Toc109899654"/>
      <w:r>
        <w:rPr>
          <w:rFonts w:hint="eastAsia" w:ascii="宋体" w:hAnsi="宋体" w:eastAsia="宋体" w:cs="宋体"/>
          <w:b/>
          <w:bCs/>
          <w:i w:val="0"/>
          <w:iCs w:val="0"/>
          <w:color w:val="auto"/>
          <w:kern w:val="2"/>
          <w:sz w:val="24"/>
          <w:szCs w:val="24"/>
          <w:highlight w:val="none"/>
          <w:lang w:val="en-US" w:eastAsia="zh-CN" w:bidi="ar-SA"/>
        </w:rPr>
        <w:t>21.响应文件的修改与撤回</w:t>
      </w:r>
      <w:bookmarkEnd w:id="193"/>
      <w:bookmarkEnd w:id="194"/>
      <w:bookmarkEnd w:id="195"/>
      <w:bookmarkEnd w:id="196"/>
      <w:bookmarkEnd w:id="197"/>
      <w:bookmarkEnd w:id="198"/>
    </w:p>
    <w:p w14:paraId="059E1BF2">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snapToGrid w:val="0"/>
          <w:color w:val="auto"/>
          <w:sz w:val="24"/>
          <w:szCs w:val="24"/>
          <w:highlight w:val="none"/>
          <w:lang w:val="zh-CN"/>
        </w:rPr>
      </w:pPr>
      <w:r>
        <w:rPr>
          <w:rFonts w:hint="eastAsia" w:ascii="宋体" w:hAnsi="宋体" w:eastAsia="宋体" w:cs="宋体"/>
          <w:i w:val="0"/>
          <w:iCs w:val="0"/>
          <w:snapToGrid w:val="0"/>
          <w:color w:val="auto"/>
          <w:sz w:val="24"/>
          <w:szCs w:val="24"/>
          <w:highlight w:val="none"/>
          <w:lang w:val="zh-CN"/>
        </w:rPr>
        <w:t>2</w:t>
      </w:r>
      <w:r>
        <w:rPr>
          <w:rFonts w:hint="eastAsia" w:ascii="宋体" w:hAnsi="宋体" w:eastAsia="宋体" w:cs="宋体"/>
          <w:i w:val="0"/>
          <w:iCs w:val="0"/>
          <w:snapToGrid w:val="0"/>
          <w:color w:val="auto"/>
          <w:sz w:val="24"/>
          <w:szCs w:val="24"/>
          <w:highlight w:val="none"/>
          <w:lang w:val="zh-CN" w:eastAsia="zh-CN"/>
        </w:rPr>
        <w:t>1</w:t>
      </w:r>
      <w:r>
        <w:rPr>
          <w:rFonts w:hint="eastAsia" w:ascii="宋体" w:hAnsi="宋体" w:eastAsia="宋体" w:cs="宋体"/>
          <w:i w:val="0"/>
          <w:iCs w:val="0"/>
          <w:snapToGrid w:val="0"/>
          <w:color w:val="auto"/>
          <w:sz w:val="24"/>
          <w:szCs w:val="24"/>
          <w:highlight w:val="none"/>
          <w:lang w:val="zh-CN"/>
        </w:rPr>
        <w:t>.1</w:t>
      </w:r>
      <w:bookmarkStart w:id="199" w:name="_Hlk143532466"/>
      <w:r>
        <w:rPr>
          <w:rFonts w:hint="eastAsia" w:ascii="宋体" w:hAnsi="宋体" w:eastAsia="宋体" w:cs="宋体"/>
          <w:i w:val="0"/>
          <w:iCs w:val="0"/>
          <w:snapToGrid w:val="0"/>
          <w:color w:val="auto"/>
          <w:sz w:val="24"/>
          <w:szCs w:val="24"/>
          <w:highlight w:val="none"/>
          <w:lang w:val="zh-CN" w:eastAsia="zh-CN"/>
        </w:rPr>
        <w:t>供应商</w:t>
      </w:r>
      <w:r>
        <w:rPr>
          <w:rFonts w:hint="eastAsia" w:ascii="宋体" w:hAnsi="宋体" w:eastAsia="宋体" w:cs="宋体"/>
          <w:i w:val="0"/>
          <w:iCs w:val="0"/>
          <w:snapToGrid w:val="0"/>
          <w:color w:val="auto"/>
          <w:sz w:val="24"/>
          <w:szCs w:val="24"/>
          <w:highlight w:val="none"/>
          <w:lang w:val="zh-CN"/>
        </w:rPr>
        <w:t>在</w:t>
      </w:r>
      <w:r>
        <w:rPr>
          <w:rFonts w:hint="eastAsia" w:ascii="宋体" w:hAnsi="宋体" w:eastAsia="宋体" w:cs="宋体"/>
          <w:i w:val="0"/>
          <w:iCs w:val="0"/>
          <w:snapToGrid w:val="0"/>
          <w:color w:val="auto"/>
          <w:sz w:val="24"/>
          <w:szCs w:val="24"/>
          <w:highlight w:val="none"/>
          <w:lang w:val="zh-CN" w:eastAsia="zh-CN"/>
        </w:rPr>
        <w:t>“</w:t>
      </w:r>
      <w:r>
        <w:rPr>
          <w:rFonts w:hint="eastAsia" w:ascii="宋体" w:hAnsi="宋体" w:eastAsia="宋体" w:cs="宋体"/>
          <w:i w:val="0"/>
          <w:iCs w:val="0"/>
          <w:color w:val="auto"/>
          <w:sz w:val="24"/>
          <w:szCs w:val="24"/>
          <w:highlight w:val="none"/>
          <w:lang w:val="en-US" w:eastAsia="zh-CN"/>
        </w:rPr>
        <w:t>第一章 竞争性磋商公告</w:t>
      </w:r>
      <w:r>
        <w:rPr>
          <w:rFonts w:hint="eastAsia" w:ascii="宋体" w:hAnsi="宋体" w:eastAsia="宋体" w:cs="宋体"/>
          <w:i w:val="0"/>
          <w:iCs w:val="0"/>
          <w:snapToGrid w:val="0"/>
          <w:color w:val="auto"/>
          <w:sz w:val="24"/>
          <w:szCs w:val="24"/>
          <w:highlight w:val="none"/>
          <w:lang w:val="zh-CN" w:eastAsia="zh-CN"/>
        </w:rPr>
        <w:t>”</w:t>
      </w:r>
      <w:r>
        <w:rPr>
          <w:rFonts w:hint="eastAsia" w:ascii="宋体" w:hAnsi="宋体" w:eastAsia="宋体" w:cs="宋体"/>
          <w:i w:val="0"/>
          <w:iCs w:val="0"/>
          <w:snapToGrid w:val="0"/>
          <w:color w:val="auto"/>
          <w:sz w:val="24"/>
          <w:szCs w:val="24"/>
          <w:highlight w:val="none"/>
          <w:lang w:val="zh-CN"/>
        </w:rPr>
        <w:t>规定的</w:t>
      </w:r>
      <w:r>
        <w:rPr>
          <w:rFonts w:hint="eastAsia" w:ascii="宋体" w:hAnsi="宋体" w:eastAsia="宋体" w:cs="宋体"/>
          <w:i w:val="0"/>
          <w:iCs w:val="0"/>
          <w:snapToGrid w:val="0"/>
          <w:color w:val="auto"/>
          <w:sz w:val="24"/>
          <w:szCs w:val="24"/>
          <w:highlight w:val="none"/>
          <w:lang w:val="en-US" w:eastAsia="zh-CN"/>
        </w:rPr>
        <w:t>响应</w:t>
      </w:r>
      <w:r>
        <w:rPr>
          <w:rFonts w:hint="eastAsia" w:ascii="宋体" w:hAnsi="宋体" w:eastAsia="宋体" w:cs="宋体"/>
          <w:i w:val="0"/>
          <w:iCs w:val="0"/>
          <w:snapToGrid w:val="0"/>
          <w:color w:val="auto"/>
          <w:sz w:val="24"/>
          <w:szCs w:val="24"/>
          <w:highlight w:val="none"/>
          <w:lang w:val="zh-CN" w:eastAsia="zh-CN"/>
        </w:rPr>
        <w:t>文件</w:t>
      </w:r>
      <w:r>
        <w:rPr>
          <w:rFonts w:hint="eastAsia" w:ascii="宋体" w:hAnsi="宋体" w:eastAsia="宋体" w:cs="宋体"/>
          <w:i w:val="0"/>
          <w:iCs w:val="0"/>
          <w:snapToGrid w:val="0"/>
          <w:color w:val="auto"/>
          <w:sz w:val="24"/>
          <w:szCs w:val="24"/>
          <w:highlight w:val="none"/>
          <w:lang w:val="zh-CN"/>
        </w:rPr>
        <w:t>递交截止时间之前，可在</w:t>
      </w:r>
      <w:r>
        <w:rPr>
          <w:rFonts w:hint="eastAsia" w:cs="宋体"/>
          <w:i w:val="0"/>
          <w:iCs w:val="0"/>
          <w:snapToGrid w:val="0"/>
          <w:color w:val="auto"/>
          <w:sz w:val="24"/>
          <w:szCs w:val="24"/>
          <w:highlight w:val="none"/>
          <w:lang w:val="zh-CN"/>
        </w:rPr>
        <w:t>新疆政府采购</w:t>
      </w:r>
      <w:r>
        <w:rPr>
          <w:rFonts w:hint="eastAsia" w:ascii="宋体" w:hAnsi="宋体" w:eastAsia="宋体" w:cs="宋体"/>
          <w:i w:val="0"/>
          <w:iCs w:val="0"/>
          <w:snapToGrid w:val="0"/>
          <w:color w:val="auto"/>
          <w:sz w:val="24"/>
          <w:szCs w:val="24"/>
          <w:highlight w:val="none"/>
          <w:lang w:val="zh-CN"/>
        </w:rPr>
        <w:t>电子交易云平台上随时撤回已上传的电子</w:t>
      </w:r>
      <w:r>
        <w:rPr>
          <w:rFonts w:hint="eastAsia" w:ascii="宋体" w:hAnsi="宋体" w:eastAsia="宋体" w:cs="宋体"/>
          <w:i w:val="0"/>
          <w:iCs w:val="0"/>
          <w:snapToGrid w:val="0"/>
          <w:color w:val="auto"/>
          <w:sz w:val="24"/>
          <w:szCs w:val="24"/>
          <w:highlight w:val="none"/>
          <w:lang w:val="en-US" w:eastAsia="zh-CN"/>
        </w:rPr>
        <w:t>响应</w:t>
      </w:r>
      <w:r>
        <w:rPr>
          <w:rFonts w:hint="eastAsia" w:ascii="宋体" w:hAnsi="宋体" w:eastAsia="宋体" w:cs="宋体"/>
          <w:i w:val="0"/>
          <w:iCs w:val="0"/>
          <w:snapToGrid w:val="0"/>
          <w:color w:val="auto"/>
          <w:sz w:val="24"/>
          <w:szCs w:val="24"/>
          <w:highlight w:val="none"/>
          <w:lang w:val="zh-CN" w:eastAsia="zh-CN"/>
        </w:rPr>
        <w:t>文件</w:t>
      </w:r>
      <w:r>
        <w:rPr>
          <w:rFonts w:hint="eastAsia" w:ascii="宋体" w:hAnsi="宋体" w:eastAsia="宋体" w:cs="宋体"/>
          <w:i w:val="0"/>
          <w:iCs w:val="0"/>
          <w:snapToGrid w:val="0"/>
          <w:color w:val="auto"/>
          <w:sz w:val="24"/>
          <w:szCs w:val="24"/>
          <w:highlight w:val="none"/>
          <w:lang w:val="zh-CN"/>
        </w:rPr>
        <w:t>，将修改好的电子</w:t>
      </w:r>
      <w:r>
        <w:rPr>
          <w:rFonts w:hint="eastAsia" w:ascii="宋体" w:hAnsi="宋体" w:eastAsia="宋体" w:cs="宋体"/>
          <w:i w:val="0"/>
          <w:iCs w:val="0"/>
          <w:snapToGrid w:val="0"/>
          <w:color w:val="auto"/>
          <w:sz w:val="24"/>
          <w:szCs w:val="24"/>
          <w:highlight w:val="none"/>
          <w:lang w:val="en-US" w:eastAsia="zh-CN"/>
        </w:rPr>
        <w:t>响应</w:t>
      </w:r>
      <w:r>
        <w:rPr>
          <w:rFonts w:hint="eastAsia" w:ascii="宋体" w:hAnsi="宋体" w:eastAsia="宋体" w:cs="宋体"/>
          <w:i w:val="0"/>
          <w:iCs w:val="0"/>
          <w:snapToGrid w:val="0"/>
          <w:color w:val="auto"/>
          <w:sz w:val="24"/>
          <w:szCs w:val="24"/>
          <w:highlight w:val="none"/>
          <w:lang w:val="zh-CN" w:eastAsia="zh-CN"/>
        </w:rPr>
        <w:t>文件</w:t>
      </w:r>
      <w:r>
        <w:rPr>
          <w:rFonts w:hint="eastAsia" w:ascii="宋体" w:hAnsi="宋体" w:eastAsia="宋体" w:cs="宋体"/>
          <w:i w:val="0"/>
          <w:iCs w:val="0"/>
          <w:snapToGrid w:val="0"/>
          <w:color w:val="auto"/>
          <w:sz w:val="24"/>
          <w:szCs w:val="24"/>
          <w:highlight w:val="none"/>
          <w:lang w:val="zh-CN"/>
        </w:rPr>
        <w:t>在</w:t>
      </w:r>
      <w:r>
        <w:rPr>
          <w:rFonts w:hint="eastAsia" w:ascii="宋体" w:hAnsi="宋体" w:eastAsia="宋体" w:cs="宋体"/>
          <w:i w:val="0"/>
          <w:iCs w:val="0"/>
          <w:snapToGrid w:val="0"/>
          <w:color w:val="auto"/>
          <w:sz w:val="24"/>
          <w:szCs w:val="24"/>
          <w:highlight w:val="none"/>
          <w:lang w:val="en-US" w:eastAsia="zh-CN"/>
        </w:rPr>
        <w:t>响应</w:t>
      </w:r>
      <w:r>
        <w:rPr>
          <w:rFonts w:hint="eastAsia" w:ascii="宋体" w:hAnsi="宋体" w:eastAsia="宋体" w:cs="宋体"/>
          <w:i w:val="0"/>
          <w:iCs w:val="0"/>
          <w:snapToGrid w:val="0"/>
          <w:color w:val="auto"/>
          <w:sz w:val="24"/>
          <w:szCs w:val="24"/>
          <w:highlight w:val="none"/>
          <w:lang w:val="zh-CN" w:eastAsia="zh-CN"/>
        </w:rPr>
        <w:t>文件</w:t>
      </w:r>
      <w:r>
        <w:rPr>
          <w:rFonts w:hint="eastAsia" w:ascii="宋体" w:hAnsi="宋体" w:eastAsia="宋体" w:cs="宋体"/>
          <w:i w:val="0"/>
          <w:iCs w:val="0"/>
          <w:snapToGrid w:val="0"/>
          <w:color w:val="auto"/>
          <w:sz w:val="24"/>
          <w:szCs w:val="24"/>
          <w:highlight w:val="none"/>
          <w:lang w:val="zh-CN"/>
        </w:rPr>
        <w:t>递交截止时间前重新上传到</w:t>
      </w:r>
      <w:r>
        <w:rPr>
          <w:rFonts w:hint="eastAsia" w:cs="宋体"/>
          <w:i w:val="0"/>
          <w:iCs w:val="0"/>
          <w:snapToGrid w:val="0"/>
          <w:color w:val="auto"/>
          <w:sz w:val="24"/>
          <w:szCs w:val="24"/>
          <w:highlight w:val="none"/>
          <w:lang w:val="zh-CN"/>
        </w:rPr>
        <w:t>新疆政府采购</w:t>
      </w:r>
      <w:r>
        <w:rPr>
          <w:rFonts w:hint="eastAsia" w:ascii="宋体" w:hAnsi="宋体" w:eastAsia="宋体" w:cs="宋体"/>
          <w:i w:val="0"/>
          <w:iCs w:val="0"/>
          <w:snapToGrid w:val="0"/>
          <w:color w:val="auto"/>
          <w:sz w:val="24"/>
          <w:szCs w:val="24"/>
          <w:highlight w:val="none"/>
          <w:lang w:val="zh-CN"/>
        </w:rPr>
        <w:t>电子交易云平台的</w:t>
      </w:r>
      <w:r>
        <w:rPr>
          <w:rFonts w:hint="eastAsia" w:ascii="宋体" w:hAnsi="宋体" w:eastAsia="宋体" w:cs="宋体"/>
          <w:i w:val="0"/>
          <w:iCs w:val="0"/>
          <w:snapToGrid w:val="0"/>
          <w:color w:val="auto"/>
          <w:sz w:val="24"/>
          <w:szCs w:val="24"/>
          <w:highlight w:val="none"/>
          <w:lang w:val="zh-CN" w:eastAsia="zh-CN"/>
        </w:rPr>
        <w:t>指</w:t>
      </w:r>
      <w:r>
        <w:rPr>
          <w:rFonts w:hint="eastAsia" w:ascii="宋体" w:hAnsi="宋体" w:eastAsia="宋体" w:cs="宋体"/>
          <w:i w:val="0"/>
          <w:iCs w:val="0"/>
          <w:snapToGrid w:val="0"/>
          <w:color w:val="auto"/>
          <w:sz w:val="24"/>
          <w:szCs w:val="24"/>
          <w:highlight w:val="none"/>
          <w:lang w:val="zh-CN"/>
        </w:rPr>
        <w:t>定位置。</w:t>
      </w:r>
    </w:p>
    <w:bookmarkEnd w:id="199"/>
    <w:p w14:paraId="4F9C167F">
      <w:pPr>
        <w:pStyle w:val="5"/>
        <w:keepNext w:val="0"/>
        <w:keepLines w:val="0"/>
        <w:pageBreakBefore w:val="0"/>
        <w:widowControl w:val="0"/>
        <w:numPr>
          <w:ilvl w:val="0"/>
          <w:numId w:val="0"/>
        </w:numPr>
        <w:kinsoku/>
        <w:wordWrap/>
        <w:overflowPunct/>
        <w:topLinePunct w:val="0"/>
        <w:autoSpaceDE/>
        <w:autoSpaceDN/>
        <w:bidi w:val="0"/>
        <w:adjustRightInd/>
        <w:snapToGrid/>
        <w:spacing w:before="80" w:after="80" w:line="240" w:lineRule="auto"/>
        <w:ind w:left="420" w:leftChars="0" w:hanging="420" w:firstLineChars="0"/>
        <w:textAlignment w:val="auto"/>
        <w:rPr>
          <w:rFonts w:hint="eastAsia" w:ascii="宋体" w:hAnsi="宋体" w:eastAsia="宋体" w:cs="宋体"/>
          <w:b/>
          <w:bCs/>
          <w:i w:val="0"/>
          <w:iCs w:val="0"/>
          <w:color w:val="auto"/>
          <w:kern w:val="2"/>
          <w:sz w:val="24"/>
          <w:szCs w:val="24"/>
          <w:highlight w:val="none"/>
          <w:lang w:val="en-US" w:eastAsia="zh-CN" w:bidi="ar-SA"/>
        </w:rPr>
      </w:pPr>
      <w:bookmarkStart w:id="200" w:name="_Toc155185973"/>
      <w:bookmarkStart w:id="201" w:name="_Toc158888664"/>
      <w:bookmarkStart w:id="202" w:name="_Toc155185874"/>
      <w:r>
        <w:rPr>
          <w:rFonts w:hint="eastAsia" w:ascii="宋体" w:hAnsi="宋体" w:eastAsia="宋体" w:cs="宋体"/>
          <w:b/>
          <w:bCs/>
          <w:i w:val="0"/>
          <w:iCs w:val="0"/>
          <w:color w:val="auto"/>
          <w:kern w:val="2"/>
          <w:sz w:val="24"/>
          <w:szCs w:val="24"/>
          <w:highlight w:val="none"/>
          <w:lang w:val="en-US" w:eastAsia="zh-CN" w:bidi="ar-SA"/>
        </w:rPr>
        <w:t>22.实物样品</w:t>
      </w:r>
      <w:bookmarkEnd w:id="200"/>
      <w:bookmarkEnd w:id="201"/>
      <w:bookmarkEnd w:id="202"/>
    </w:p>
    <w:p w14:paraId="3015EA96">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 xml:space="preserve">22.1“供应商须知前附表”要求提供样品的，样品的具体要求及评审详见“第三章 </w:t>
      </w:r>
      <w:r>
        <w:rPr>
          <w:rFonts w:hint="eastAsia" w:ascii="宋体" w:hAnsi="宋体" w:eastAsia="宋体" w:cs="宋体"/>
          <w:i w:val="0"/>
          <w:iCs w:val="0"/>
          <w:color w:val="auto"/>
          <w:sz w:val="24"/>
          <w:szCs w:val="24"/>
          <w:highlight w:val="none"/>
          <w:lang w:val="en-US" w:eastAsia="zh-CN"/>
        </w:rPr>
        <w:t>项目</w:t>
      </w:r>
      <w:r>
        <w:rPr>
          <w:rFonts w:hint="eastAsia" w:ascii="宋体" w:hAnsi="宋体" w:eastAsia="宋体" w:cs="宋体"/>
          <w:i w:val="0"/>
          <w:iCs w:val="0"/>
          <w:color w:val="auto"/>
          <w:sz w:val="24"/>
          <w:szCs w:val="24"/>
          <w:highlight w:val="none"/>
        </w:rPr>
        <w:t>采购需求”和“第</w:t>
      </w:r>
      <w:r>
        <w:rPr>
          <w:rFonts w:hint="eastAsia" w:ascii="宋体" w:hAnsi="宋体" w:eastAsia="宋体" w:cs="宋体"/>
          <w:i w:val="0"/>
          <w:iCs w:val="0"/>
          <w:color w:val="auto"/>
          <w:sz w:val="24"/>
          <w:szCs w:val="24"/>
          <w:highlight w:val="none"/>
          <w:lang w:val="en-US" w:eastAsia="zh-CN"/>
        </w:rPr>
        <w:t>四</w:t>
      </w:r>
      <w:r>
        <w:rPr>
          <w:rFonts w:hint="eastAsia" w:ascii="宋体" w:hAnsi="宋体" w:eastAsia="宋体" w:cs="宋体"/>
          <w:i w:val="0"/>
          <w:iCs w:val="0"/>
          <w:color w:val="auto"/>
          <w:sz w:val="24"/>
          <w:szCs w:val="24"/>
          <w:highlight w:val="none"/>
        </w:rPr>
        <w:t>章 评审</w:t>
      </w:r>
      <w:r>
        <w:rPr>
          <w:rFonts w:hint="eastAsia" w:ascii="宋体" w:hAnsi="宋体" w:eastAsia="宋体" w:cs="宋体"/>
          <w:i w:val="0"/>
          <w:iCs w:val="0"/>
          <w:color w:val="auto"/>
          <w:sz w:val="24"/>
          <w:szCs w:val="24"/>
          <w:highlight w:val="none"/>
          <w:lang w:val="en-US" w:eastAsia="zh-CN"/>
        </w:rPr>
        <w:t>方</w:t>
      </w:r>
      <w:r>
        <w:rPr>
          <w:rFonts w:hint="eastAsia" w:ascii="宋体" w:hAnsi="宋体" w:eastAsia="宋体" w:cs="宋体"/>
          <w:i w:val="0"/>
          <w:iCs w:val="0"/>
          <w:color w:val="auto"/>
          <w:sz w:val="24"/>
          <w:szCs w:val="24"/>
          <w:highlight w:val="none"/>
        </w:rPr>
        <w:t>法及标准”。</w:t>
      </w:r>
    </w:p>
    <w:p w14:paraId="3F3F84A5">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22.2样品退还：未成交的供应商应</w:t>
      </w:r>
      <w:r>
        <w:rPr>
          <w:rFonts w:hint="eastAsia" w:ascii="宋体" w:hAnsi="宋体" w:eastAsia="宋体" w:cs="宋体"/>
          <w:i w:val="0"/>
          <w:iCs w:val="0"/>
          <w:color w:val="auto"/>
          <w:sz w:val="24"/>
          <w:szCs w:val="24"/>
          <w:highlight w:val="none"/>
          <w:lang w:val="en-US" w:eastAsia="zh-CN"/>
        </w:rPr>
        <w:t>按照</w:t>
      </w: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val="en-US" w:eastAsia="zh-CN"/>
        </w:rPr>
        <w:t>供应商</w:t>
      </w:r>
      <w:r>
        <w:rPr>
          <w:rFonts w:hint="eastAsia" w:ascii="宋体" w:hAnsi="宋体" w:eastAsia="宋体" w:cs="宋体"/>
          <w:i w:val="0"/>
          <w:iCs w:val="0"/>
          <w:color w:val="auto"/>
          <w:sz w:val="24"/>
          <w:szCs w:val="24"/>
          <w:highlight w:val="none"/>
        </w:rPr>
        <w:t>须知前附表”</w:t>
      </w:r>
      <w:r>
        <w:rPr>
          <w:rFonts w:hint="eastAsia" w:ascii="宋体" w:hAnsi="宋体" w:eastAsia="宋体" w:cs="宋体"/>
          <w:i w:val="0"/>
          <w:iCs w:val="0"/>
          <w:color w:val="auto"/>
          <w:sz w:val="24"/>
          <w:szCs w:val="24"/>
          <w:highlight w:val="none"/>
          <w:lang w:val="en-US" w:eastAsia="zh-CN"/>
        </w:rPr>
        <w:t>要求</w:t>
      </w:r>
      <w:r>
        <w:rPr>
          <w:rFonts w:hint="eastAsia" w:ascii="宋体" w:hAnsi="宋体" w:eastAsia="宋体" w:cs="宋体"/>
          <w:i w:val="0"/>
          <w:iCs w:val="0"/>
          <w:color w:val="auto"/>
          <w:sz w:val="24"/>
          <w:szCs w:val="24"/>
          <w:highlight w:val="none"/>
        </w:rPr>
        <w:t>自行联系采购人取回递交样品；成交供应商的样品由采购人进行保管、封存，并作为履约验收的参考（竞争性磋商文件另有规定的从其规定）。</w:t>
      </w:r>
    </w:p>
    <w:p w14:paraId="56366B46">
      <w:pPr>
        <w:pStyle w:val="5"/>
        <w:keepNext w:val="0"/>
        <w:keepLines w:val="0"/>
        <w:pageBreakBefore w:val="0"/>
        <w:widowControl w:val="0"/>
        <w:numPr>
          <w:ilvl w:val="0"/>
          <w:numId w:val="0"/>
        </w:numPr>
        <w:kinsoku/>
        <w:wordWrap/>
        <w:overflowPunct/>
        <w:topLinePunct w:val="0"/>
        <w:autoSpaceDE/>
        <w:autoSpaceDN/>
        <w:bidi w:val="0"/>
        <w:adjustRightInd/>
        <w:snapToGrid/>
        <w:spacing w:before="80" w:after="80" w:line="240" w:lineRule="auto"/>
        <w:ind w:left="420" w:leftChars="0" w:hanging="420" w:firstLineChars="0"/>
        <w:textAlignment w:val="auto"/>
        <w:rPr>
          <w:rFonts w:hint="eastAsia" w:ascii="宋体" w:hAnsi="宋体" w:eastAsia="宋体" w:cs="宋体"/>
          <w:b/>
          <w:bCs/>
          <w:i w:val="0"/>
          <w:iCs w:val="0"/>
          <w:color w:val="auto"/>
          <w:kern w:val="2"/>
          <w:sz w:val="24"/>
          <w:szCs w:val="24"/>
          <w:highlight w:val="none"/>
          <w:lang w:val="en-US" w:eastAsia="zh-CN" w:bidi="ar-SA"/>
        </w:rPr>
      </w:pPr>
      <w:bookmarkStart w:id="203" w:name="_Toc155185974"/>
      <w:bookmarkStart w:id="204" w:name="_Toc155185875"/>
      <w:bookmarkStart w:id="205" w:name="_Toc158888665"/>
      <w:r>
        <w:rPr>
          <w:rFonts w:hint="eastAsia" w:ascii="宋体" w:hAnsi="宋体" w:eastAsia="宋体" w:cs="宋体"/>
          <w:b/>
          <w:bCs/>
          <w:i w:val="0"/>
          <w:iCs w:val="0"/>
          <w:color w:val="auto"/>
          <w:kern w:val="2"/>
          <w:sz w:val="24"/>
          <w:szCs w:val="24"/>
          <w:highlight w:val="none"/>
          <w:lang w:val="en-US" w:eastAsia="zh-CN" w:bidi="ar-SA"/>
        </w:rPr>
        <w:t>23.项目演示</w:t>
      </w:r>
      <w:bookmarkEnd w:id="203"/>
      <w:bookmarkEnd w:id="204"/>
      <w:bookmarkEnd w:id="205"/>
    </w:p>
    <w:p w14:paraId="3C483910">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23.1要求供应商进行演示的，演示要求详见“供应商须知前附表”。</w:t>
      </w:r>
    </w:p>
    <w:p w14:paraId="22102C81">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 xml:space="preserve">23.2演示的评审详见“第三章 </w:t>
      </w:r>
      <w:r>
        <w:rPr>
          <w:rFonts w:hint="eastAsia" w:ascii="宋体" w:hAnsi="宋体" w:eastAsia="宋体" w:cs="宋体"/>
          <w:i w:val="0"/>
          <w:iCs w:val="0"/>
          <w:color w:val="auto"/>
          <w:sz w:val="24"/>
          <w:szCs w:val="24"/>
          <w:highlight w:val="none"/>
          <w:lang w:val="en-US" w:eastAsia="zh-CN"/>
        </w:rPr>
        <w:t>项目</w:t>
      </w:r>
      <w:r>
        <w:rPr>
          <w:rFonts w:hint="eastAsia" w:ascii="宋体" w:hAnsi="宋体" w:eastAsia="宋体" w:cs="宋体"/>
          <w:i w:val="0"/>
          <w:iCs w:val="0"/>
          <w:color w:val="auto"/>
          <w:sz w:val="24"/>
          <w:szCs w:val="24"/>
          <w:highlight w:val="none"/>
        </w:rPr>
        <w:t>采购需求”和“第四章 评审</w:t>
      </w:r>
      <w:r>
        <w:rPr>
          <w:rFonts w:hint="eastAsia" w:ascii="宋体" w:hAnsi="宋体" w:eastAsia="宋体" w:cs="宋体"/>
          <w:i w:val="0"/>
          <w:iCs w:val="0"/>
          <w:color w:val="auto"/>
          <w:sz w:val="24"/>
          <w:szCs w:val="24"/>
          <w:highlight w:val="none"/>
          <w:lang w:val="en-US" w:eastAsia="zh-CN"/>
        </w:rPr>
        <w:t>方</w:t>
      </w:r>
      <w:r>
        <w:rPr>
          <w:rFonts w:hint="eastAsia" w:ascii="宋体" w:hAnsi="宋体" w:eastAsia="宋体" w:cs="宋体"/>
          <w:i w:val="0"/>
          <w:iCs w:val="0"/>
          <w:color w:val="auto"/>
          <w:sz w:val="24"/>
          <w:szCs w:val="24"/>
          <w:highlight w:val="none"/>
        </w:rPr>
        <w:t>法及标准”</w:t>
      </w:r>
    </w:p>
    <w:p w14:paraId="6B46A24D">
      <w:pPr>
        <w:pStyle w:val="4"/>
        <w:keepNext w:val="0"/>
        <w:keepLines w:val="0"/>
        <w:pageBreakBefore w:val="0"/>
        <w:widowControl w:val="0"/>
        <w:numPr>
          <w:ilvl w:val="0"/>
          <w:numId w:val="0"/>
        </w:numPr>
        <w:kinsoku/>
        <w:wordWrap/>
        <w:overflowPunct/>
        <w:topLinePunct w:val="0"/>
        <w:autoSpaceDE/>
        <w:autoSpaceDN/>
        <w:bidi w:val="0"/>
        <w:adjustRightInd/>
        <w:snapToGrid/>
        <w:spacing w:before="140" w:after="140" w:line="240" w:lineRule="auto"/>
        <w:ind w:left="420" w:leftChars="0" w:hanging="420" w:firstLineChars="0"/>
        <w:textAlignment w:val="auto"/>
        <w:rPr>
          <w:rFonts w:hint="eastAsia" w:ascii="宋体" w:hAnsi="宋体" w:eastAsia="宋体" w:cs="宋体"/>
          <w:b/>
          <w:bCs/>
          <w:i w:val="0"/>
          <w:iCs w:val="0"/>
          <w:color w:val="auto"/>
          <w:kern w:val="2"/>
          <w:sz w:val="24"/>
          <w:szCs w:val="24"/>
          <w:highlight w:val="none"/>
          <w:lang w:val="en-US" w:eastAsia="zh-CN" w:bidi="ar-SA"/>
        </w:rPr>
      </w:pPr>
      <w:bookmarkStart w:id="206" w:name="_Toc163493615"/>
      <w:bookmarkStart w:id="207" w:name="_Toc22772"/>
      <w:bookmarkStart w:id="208" w:name="_Toc10790"/>
      <w:bookmarkStart w:id="209" w:name="_Toc8370"/>
      <w:bookmarkStart w:id="210" w:name="_Toc109899976"/>
      <w:bookmarkStart w:id="211" w:name="_Toc109900395"/>
      <w:bookmarkStart w:id="212" w:name="_Toc109899557"/>
      <w:bookmarkStart w:id="213" w:name="_Toc470172689"/>
      <w:bookmarkStart w:id="214" w:name="_Toc46771664"/>
      <w:bookmarkStart w:id="215" w:name="_Toc109897458"/>
      <w:r>
        <w:rPr>
          <w:rFonts w:hint="eastAsia" w:ascii="宋体" w:hAnsi="宋体" w:eastAsia="宋体" w:cs="宋体"/>
          <w:b/>
          <w:bCs/>
          <w:i w:val="0"/>
          <w:iCs w:val="0"/>
          <w:color w:val="auto"/>
          <w:kern w:val="2"/>
          <w:sz w:val="24"/>
          <w:szCs w:val="24"/>
          <w:highlight w:val="none"/>
          <w:lang w:val="en-US" w:eastAsia="zh-CN" w:bidi="ar-SA"/>
        </w:rPr>
        <w:t>（五）</w:t>
      </w:r>
      <w:bookmarkEnd w:id="206"/>
      <w:r>
        <w:rPr>
          <w:rFonts w:hint="eastAsia" w:ascii="宋体" w:hAnsi="宋体" w:eastAsia="宋体" w:cs="宋体"/>
          <w:b/>
          <w:bCs/>
          <w:i w:val="0"/>
          <w:iCs w:val="0"/>
          <w:color w:val="auto"/>
          <w:kern w:val="2"/>
          <w:sz w:val="24"/>
          <w:szCs w:val="24"/>
          <w:highlight w:val="none"/>
          <w:lang w:val="en-US" w:eastAsia="zh-CN" w:bidi="ar-SA"/>
        </w:rPr>
        <w:t>响应文件开启</w:t>
      </w:r>
      <w:bookmarkEnd w:id="207"/>
      <w:bookmarkEnd w:id="208"/>
      <w:bookmarkEnd w:id="209"/>
    </w:p>
    <w:p w14:paraId="750D725B">
      <w:pPr>
        <w:pStyle w:val="5"/>
        <w:keepNext w:val="0"/>
        <w:keepLines w:val="0"/>
        <w:pageBreakBefore w:val="0"/>
        <w:widowControl w:val="0"/>
        <w:numPr>
          <w:ilvl w:val="0"/>
          <w:numId w:val="0"/>
        </w:numPr>
        <w:kinsoku/>
        <w:wordWrap/>
        <w:overflowPunct/>
        <w:topLinePunct w:val="0"/>
        <w:autoSpaceDE/>
        <w:autoSpaceDN/>
        <w:bidi w:val="0"/>
        <w:adjustRightInd/>
        <w:snapToGrid/>
        <w:spacing w:before="80" w:after="80" w:line="240" w:lineRule="auto"/>
        <w:ind w:left="420" w:leftChars="0" w:hanging="420" w:firstLineChars="0"/>
        <w:textAlignment w:val="auto"/>
        <w:rPr>
          <w:rFonts w:hint="eastAsia" w:ascii="宋体" w:hAnsi="宋体" w:eastAsia="宋体" w:cs="宋体"/>
          <w:b/>
          <w:bCs/>
          <w:i w:val="0"/>
          <w:iCs w:val="0"/>
          <w:color w:val="auto"/>
          <w:kern w:val="2"/>
          <w:sz w:val="24"/>
          <w:szCs w:val="24"/>
          <w:highlight w:val="none"/>
          <w:lang w:val="en-US" w:eastAsia="zh-CN" w:bidi="ar-SA"/>
        </w:rPr>
      </w:pPr>
      <w:bookmarkStart w:id="216" w:name="_Hlk161704700"/>
      <w:r>
        <w:rPr>
          <w:rFonts w:hint="eastAsia" w:ascii="宋体" w:hAnsi="宋体" w:eastAsia="宋体" w:cs="宋体"/>
          <w:b/>
          <w:bCs/>
          <w:i w:val="0"/>
          <w:iCs w:val="0"/>
          <w:color w:val="auto"/>
          <w:kern w:val="2"/>
          <w:sz w:val="24"/>
          <w:szCs w:val="24"/>
          <w:highlight w:val="none"/>
          <w:lang w:val="en-US" w:eastAsia="zh-CN" w:bidi="ar-SA"/>
        </w:rPr>
        <w:t>24.响应文件开启</w:t>
      </w:r>
    </w:p>
    <w:p w14:paraId="30320CCC">
      <w:pPr>
        <w:keepNext w:val="0"/>
        <w:keepLines w:val="0"/>
        <w:pageBreakBefore w:val="0"/>
        <w:widowControl w:val="0"/>
        <w:kinsoku/>
        <w:overflowPunct/>
        <w:topLinePunct w:val="0"/>
        <w:bidi w:val="0"/>
        <w:ind w:firstLine="480" w:firstLineChars="200"/>
        <w:textAlignment w:val="auto"/>
        <w:rPr>
          <w:rFonts w:hint="eastAsia" w:ascii="宋体" w:hAnsi="宋体" w:eastAsia="宋体" w:cs="宋体"/>
          <w:bCs/>
          <w:i w:val="0"/>
          <w:iCs w:val="0"/>
          <w:color w:val="auto"/>
          <w:sz w:val="24"/>
          <w:szCs w:val="24"/>
          <w:highlight w:val="none"/>
        </w:rPr>
      </w:pPr>
      <w:bookmarkStart w:id="217" w:name="_Toc140132781"/>
      <w:r>
        <w:rPr>
          <w:rFonts w:hint="eastAsia" w:ascii="宋体" w:hAnsi="宋体" w:eastAsia="宋体" w:cs="宋体"/>
          <w:i w:val="0"/>
          <w:iCs w:val="0"/>
          <w:color w:val="auto"/>
          <w:sz w:val="24"/>
          <w:szCs w:val="24"/>
          <w:highlight w:val="none"/>
        </w:rPr>
        <w:t>24.1供应商应按照“</w:t>
      </w:r>
      <w:r>
        <w:rPr>
          <w:rFonts w:hint="eastAsia" w:ascii="宋体" w:hAnsi="宋体" w:eastAsia="宋体" w:cs="宋体"/>
          <w:i w:val="0"/>
          <w:iCs w:val="0"/>
          <w:color w:val="auto"/>
          <w:sz w:val="24"/>
          <w:szCs w:val="24"/>
          <w:highlight w:val="none"/>
          <w:lang w:val="en-US" w:eastAsia="zh-CN"/>
        </w:rPr>
        <w:t>第一章 竞争性磋商公告</w:t>
      </w:r>
      <w:r>
        <w:rPr>
          <w:rFonts w:hint="eastAsia" w:ascii="宋体" w:hAnsi="宋体" w:eastAsia="宋体" w:cs="宋体"/>
          <w:i w:val="0"/>
          <w:iCs w:val="0"/>
          <w:color w:val="auto"/>
          <w:sz w:val="24"/>
          <w:szCs w:val="24"/>
          <w:highlight w:val="none"/>
        </w:rPr>
        <w:t>”中的要求参与开启。</w:t>
      </w:r>
      <w:bookmarkEnd w:id="217"/>
    </w:p>
    <w:p w14:paraId="44C062AD">
      <w:pPr>
        <w:pStyle w:val="5"/>
        <w:keepNext w:val="0"/>
        <w:keepLines w:val="0"/>
        <w:pageBreakBefore w:val="0"/>
        <w:widowControl w:val="0"/>
        <w:numPr>
          <w:ilvl w:val="0"/>
          <w:numId w:val="0"/>
        </w:numPr>
        <w:kinsoku/>
        <w:wordWrap/>
        <w:overflowPunct/>
        <w:topLinePunct w:val="0"/>
        <w:autoSpaceDE/>
        <w:autoSpaceDN/>
        <w:bidi w:val="0"/>
        <w:adjustRightInd/>
        <w:snapToGrid/>
        <w:spacing w:before="80" w:after="80" w:line="240" w:lineRule="auto"/>
        <w:ind w:left="420" w:leftChars="0" w:hanging="420" w:firstLineChars="0"/>
        <w:textAlignment w:val="auto"/>
        <w:rPr>
          <w:rFonts w:hint="eastAsia" w:ascii="宋体" w:hAnsi="宋体" w:eastAsia="宋体" w:cs="宋体"/>
          <w:b/>
          <w:bCs/>
          <w:i w:val="0"/>
          <w:iCs w:val="0"/>
          <w:color w:val="auto"/>
          <w:kern w:val="2"/>
          <w:sz w:val="24"/>
          <w:szCs w:val="24"/>
          <w:highlight w:val="none"/>
          <w:lang w:val="en-US" w:eastAsia="zh-CN" w:bidi="ar-SA"/>
        </w:rPr>
      </w:pPr>
      <w:bookmarkStart w:id="218" w:name="_Toc140132782"/>
      <w:bookmarkStart w:id="219" w:name="_Toc161600316"/>
      <w:r>
        <w:rPr>
          <w:rFonts w:hint="eastAsia" w:ascii="宋体" w:hAnsi="宋体" w:eastAsia="宋体" w:cs="宋体"/>
          <w:b/>
          <w:bCs/>
          <w:i w:val="0"/>
          <w:iCs w:val="0"/>
          <w:color w:val="auto"/>
          <w:kern w:val="2"/>
          <w:sz w:val="24"/>
          <w:szCs w:val="24"/>
          <w:highlight w:val="none"/>
          <w:lang w:val="en-US" w:eastAsia="zh-CN" w:bidi="ar-SA"/>
        </w:rPr>
        <w:t>25.开启时间和地点</w:t>
      </w:r>
      <w:bookmarkEnd w:id="218"/>
      <w:bookmarkEnd w:id="219"/>
    </w:p>
    <w:p w14:paraId="19FC62D6">
      <w:pPr>
        <w:keepNext w:val="0"/>
        <w:keepLines w:val="0"/>
        <w:pageBreakBefore w:val="0"/>
        <w:widowControl w:val="0"/>
        <w:kinsoku/>
        <w:overflowPunct/>
        <w:topLinePunct w:val="0"/>
        <w:bidi w:val="0"/>
        <w:ind w:firstLine="480" w:firstLineChars="2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25.1开启时间和地点</w:t>
      </w:r>
    </w:p>
    <w:p w14:paraId="74263C6D">
      <w:pPr>
        <w:keepNext w:val="0"/>
        <w:keepLines w:val="0"/>
        <w:pageBreakBefore w:val="0"/>
        <w:widowControl w:val="0"/>
        <w:kinsoku/>
        <w:overflowPunct/>
        <w:topLinePunct w:val="0"/>
        <w:bidi w:val="0"/>
        <w:ind w:firstLine="480" w:firstLineChars="2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w:t>
      </w:r>
      <w:r>
        <w:rPr>
          <w:rFonts w:hint="eastAsia" w:ascii="宋体" w:hAnsi="宋体" w:eastAsia="宋体" w:cs="宋体"/>
          <w:i w:val="0"/>
          <w:iCs w:val="0"/>
          <w:color w:val="auto"/>
          <w:sz w:val="24"/>
          <w:szCs w:val="24"/>
          <w:highlight w:val="none"/>
          <w:lang w:val="en-US" w:eastAsia="zh-CN"/>
        </w:rPr>
        <w:t>递交</w:t>
      </w:r>
      <w:r>
        <w:rPr>
          <w:rFonts w:hint="eastAsia" w:ascii="宋体" w:hAnsi="宋体" w:eastAsia="宋体" w:cs="宋体"/>
          <w:i w:val="0"/>
          <w:iCs w:val="0"/>
          <w:color w:val="auto"/>
          <w:sz w:val="24"/>
          <w:szCs w:val="24"/>
          <w:highlight w:val="none"/>
        </w:rPr>
        <w:t>响应文件截止时间前，供应商登录供应商客户端，</w:t>
      </w:r>
      <w:r>
        <w:rPr>
          <w:rFonts w:hint="eastAsia" w:ascii="宋体" w:hAnsi="宋体" w:eastAsia="宋体" w:cs="宋体"/>
          <w:i w:val="0"/>
          <w:iCs w:val="0"/>
          <w:snapToGrid w:val="0"/>
          <w:color w:val="auto"/>
          <w:sz w:val="24"/>
          <w:szCs w:val="24"/>
          <w:highlight w:val="none"/>
          <w:lang w:val="zh-CN"/>
        </w:rPr>
        <w:t>通过供应商客户端进入交易系统</w:t>
      </w:r>
      <w:r>
        <w:rPr>
          <w:rFonts w:hint="eastAsia" w:ascii="宋体" w:hAnsi="宋体" w:eastAsia="宋体" w:cs="宋体"/>
          <w:i w:val="0"/>
          <w:iCs w:val="0"/>
          <w:color w:val="auto"/>
          <w:sz w:val="24"/>
          <w:szCs w:val="24"/>
          <w:highlight w:val="none"/>
        </w:rPr>
        <w:t>“开标大厅”选择所投项目（或采购包）完成项目签到工作。</w:t>
      </w:r>
    </w:p>
    <w:p w14:paraId="485DC310">
      <w:pPr>
        <w:keepNext w:val="0"/>
        <w:keepLines w:val="0"/>
        <w:pageBreakBefore w:val="0"/>
        <w:widowControl w:val="0"/>
        <w:kinsoku/>
        <w:overflowPunct/>
        <w:topLinePunct w:val="0"/>
        <w:bidi w:val="0"/>
        <w:ind w:firstLine="480" w:firstLineChars="2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lang w:val="zh-CN"/>
        </w:rPr>
        <w:t>（2）在</w:t>
      </w: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val="en-US" w:eastAsia="zh-CN"/>
        </w:rPr>
        <w:t>第一章 竞争性磋商公告</w:t>
      </w: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val="en-US" w:eastAsia="zh-CN"/>
        </w:rPr>
        <w:t>规</w:t>
      </w:r>
      <w:r>
        <w:rPr>
          <w:rFonts w:hint="eastAsia" w:ascii="宋体" w:hAnsi="宋体" w:eastAsia="宋体" w:cs="宋体"/>
          <w:i w:val="0"/>
          <w:iCs w:val="0"/>
          <w:color w:val="auto"/>
          <w:sz w:val="24"/>
          <w:szCs w:val="24"/>
          <w:highlight w:val="none"/>
          <w:lang w:val="zh-CN"/>
        </w:rPr>
        <w:t>定的</w:t>
      </w:r>
      <w:r>
        <w:rPr>
          <w:rFonts w:hint="eastAsia" w:ascii="宋体" w:hAnsi="宋体" w:eastAsia="宋体" w:cs="宋体"/>
          <w:i w:val="0"/>
          <w:iCs w:val="0"/>
          <w:color w:val="auto"/>
          <w:sz w:val="24"/>
          <w:szCs w:val="24"/>
          <w:highlight w:val="none"/>
          <w:lang w:val="en-US" w:eastAsia="zh-CN"/>
        </w:rPr>
        <w:t>递交</w:t>
      </w:r>
      <w:r>
        <w:rPr>
          <w:rFonts w:hint="eastAsia" w:ascii="宋体" w:hAnsi="宋体" w:eastAsia="宋体" w:cs="宋体"/>
          <w:i w:val="0"/>
          <w:iCs w:val="0"/>
          <w:color w:val="auto"/>
          <w:sz w:val="24"/>
          <w:szCs w:val="24"/>
          <w:highlight w:val="none"/>
          <w:lang w:val="zh-CN"/>
        </w:rPr>
        <w:t>响应文件截止时间、开启时间及地点，采购代理机构通过</w:t>
      </w:r>
      <w:r>
        <w:rPr>
          <w:rFonts w:hint="eastAsia" w:cs="宋体"/>
          <w:i w:val="0"/>
          <w:iCs w:val="0"/>
          <w:color w:val="auto"/>
          <w:sz w:val="24"/>
          <w:szCs w:val="24"/>
          <w:highlight w:val="none"/>
          <w:lang w:val="zh-CN" w:eastAsia="zh-CN"/>
        </w:rPr>
        <w:t>新疆政府采购</w:t>
      </w:r>
      <w:r>
        <w:rPr>
          <w:rFonts w:hint="eastAsia" w:ascii="宋体" w:hAnsi="宋体" w:eastAsia="宋体" w:cs="宋体"/>
          <w:i w:val="0"/>
          <w:iCs w:val="0"/>
          <w:color w:val="auto"/>
          <w:sz w:val="24"/>
          <w:szCs w:val="24"/>
          <w:highlight w:val="none"/>
          <w:lang w:val="zh-CN" w:eastAsia="zh-CN"/>
        </w:rPr>
        <w:t>电子交易云平台</w:t>
      </w:r>
      <w:r>
        <w:rPr>
          <w:rFonts w:hint="eastAsia" w:ascii="宋体" w:hAnsi="宋体" w:eastAsia="宋体" w:cs="宋体"/>
          <w:i w:val="0"/>
          <w:iCs w:val="0"/>
          <w:color w:val="auto"/>
          <w:kern w:val="2"/>
          <w:sz w:val="24"/>
          <w:szCs w:val="24"/>
          <w:highlight w:val="none"/>
        </w:rPr>
        <w:t>的“政采云远程开标大厅”</w:t>
      </w:r>
      <w:r>
        <w:rPr>
          <w:rFonts w:hint="eastAsia" w:ascii="宋体" w:hAnsi="宋体" w:eastAsia="宋体" w:cs="宋体"/>
          <w:i w:val="0"/>
          <w:iCs w:val="0"/>
          <w:color w:val="auto"/>
          <w:sz w:val="24"/>
          <w:szCs w:val="24"/>
          <w:highlight w:val="none"/>
          <w:lang w:val="zh-CN"/>
        </w:rPr>
        <w:t>组织响应文件开启工作。</w:t>
      </w:r>
    </w:p>
    <w:p w14:paraId="66534CB4">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25.2响应文件开启：</w:t>
      </w:r>
      <w:r>
        <w:rPr>
          <w:rFonts w:hint="eastAsia" w:ascii="宋体" w:hAnsi="宋体" w:eastAsia="宋体" w:cs="宋体"/>
          <w:i w:val="0"/>
          <w:iCs w:val="0"/>
          <w:color w:val="auto"/>
          <w:sz w:val="24"/>
          <w:szCs w:val="24"/>
          <w:highlight w:val="none"/>
          <w:lang w:val="en-US" w:eastAsia="zh-CN"/>
        </w:rPr>
        <w:t>递交</w:t>
      </w:r>
      <w:r>
        <w:rPr>
          <w:rFonts w:hint="eastAsia" w:ascii="宋体" w:hAnsi="宋体" w:eastAsia="宋体" w:cs="宋体"/>
          <w:i w:val="0"/>
          <w:iCs w:val="0"/>
          <w:color w:val="auto"/>
          <w:sz w:val="24"/>
          <w:szCs w:val="24"/>
          <w:highlight w:val="none"/>
        </w:rPr>
        <w:t>响应文件截止时间到后，工作人员启动开始解密指令，供应商应当按照“供应商须知前附表”规定及时进行响应文件解密，完成响应文件开启工作。</w:t>
      </w:r>
    </w:p>
    <w:p w14:paraId="77684B06">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25.3规定的时间内，非因</w:t>
      </w:r>
      <w:r>
        <w:rPr>
          <w:rFonts w:hint="eastAsia" w:cs="宋体"/>
          <w:i w:val="0"/>
          <w:iCs w:val="0"/>
          <w:color w:val="auto"/>
          <w:sz w:val="24"/>
          <w:szCs w:val="24"/>
          <w:highlight w:val="none"/>
          <w:lang w:val="zh-CN" w:eastAsia="zh-CN"/>
        </w:rPr>
        <w:t>新疆政府采购</w:t>
      </w:r>
      <w:r>
        <w:rPr>
          <w:rFonts w:hint="eastAsia" w:ascii="宋体" w:hAnsi="宋体" w:eastAsia="宋体" w:cs="宋体"/>
          <w:i w:val="0"/>
          <w:iCs w:val="0"/>
          <w:color w:val="auto"/>
          <w:sz w:val="24"/>
          <w:szCs w:val="24"/>
          <w:highlight w:val="none"/>
          <w:lang w:val="zh-CN" w:eastAsia="zh-CN"/>
        </w:rPr>
        <w:t>电子交易云平台</w:t>
      </w:r>
      <w:r>
        <w:rPr>
          <w:rFonts w:hint="eastAsia" w:ascii="宋体" w:hAnsi="宋体" w:eastAsia="宋体" w:cs="宋体"/>
          <w:i w:val="0"/>
          <w:iCs w:val="0"/>
          <w:color w:val="auto"/>
          <w:sz w:val="24"/>
          <w:szCs w:val="24"/>
          <w:highlight w:val="none"/>
        </w:rPr>
        <w:t>原因造成响应文件未解密的，视为供应商撤回响应文件。停止解密后，已解密开启的响应文件不足3家的，应当终止采购活动。</w:t>
      </w:r>
    </w:p>
    <w:p w14:paraId="46075363">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25.4供应商或其授权代表对响应文件开启过程有疑义的，以及认为采购人、采购代理机构相关工作人员有需要回避的情形的，应在开</w:t>
      </w:r>
      <w:r>
        <w:rPr>
          <w:rFonts w:hint="eastAsia" w:ascii="宋体" w:hAnsi="宋体" w:eastAsia="宋体" w:cs="宋体"/>
          <w:i w:val="0"/>
          <w:iCs w:val="0"/>
          <w:color w:val="auto"/>
          <w:sz w:val="24"/>
          <w:szCs w:val="24"/>
          <w:highlight w:val="none"/>
          <w:lang w:val="en-US" w:eastAsia="zh-CN"/>
        </w:rPr>
        <w:t>启</w:t>
      </w:r>
      <w:r>
        <w:rPr>
          <w:rFonts w:hint="eastAsia" w:ascii="宋体" w:hAnsi="宋体" w:eastAsia="宋体" w:cs="宋体"/>
          <w:i w:val="0"/>
          <w:iCs w:val="0"/>
          <w:color w:val="auto"/>
          <w:sz w:val="24"/>
          <w:szCs w:val="24"/>
          <w:highlight w:val="none"/>
        </w:rPr>
        <w:t>会议中提出询问或者回避申请。采购人、采购代理机构对</w:t>
      </w:r>
      <w:r>
        <w:rPr>
          <w:rFonts w:hint="eastAsia" w:ascii="宋体" w:hAnsi="宋体" w:eastAsia="宋体" w:cs="宋体"/>
          <w:i w:val="0"/>
          <w:iCs w:val="0"/>
          <w:color w:val="auto"/>
          <w:sz w:val="24"/>
          <w:szCs w:val="24"/>
          <w:highlight w:val="none"/>
          <w:lang w:val="en-US" w:eastAsia="zh-CN"/>
        </w:rPr>
        <w:t>供应商</w:t>
      </w:r>
      <w:r>
        <w:rPr>
          <w:rFonts w:hint="eastAsia" w:ascii="宋体" w:hAnsi="宋体" w:eastAsia="宋体" w:cs="宋体"/>
          <w:i w:val="0"/>
          <w:iCs w:val="0"/>
          <w:color w:val="auto"/>
          <w:sz w:val="24"/>
          <w:szCs w:val="24"/>
          <w:highlight w:val="none"/>
        </w:rPr>
        <w:t>授权代表提出的询问或者回避申请应当及时处理。</w:t>
      </w:r>
    </w:p>
    <w:p w14:paraId="0486AA50">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25.</w:t>
      </w:r>
      <w:r>
        <w:rPr>
          <w:rFonts w:hint="eastAsia" w:ascii="宋体" w:hAnsi="宋体" w:eastAsia="宋体" w:cs="宋体"/>
          <w:i w:val="0"/>
          <w:iCs w:val="0"/>
          <w:color w:val="auto"/>
          <w:sz w:val="24"/>
          <w:szCs w:val="24"/>
          <w:highlight w:val="none"/>
          <w:lang w:val="en-US" w:eastAsia="zh-CN"/>
        </w:rPr>
        <w:t>5供应商</w:t>
      </w:r>
      <w:r>
        <w:rPr>
          <w:rFonts w:hint="eastAsia" w:ascii="宋体" w:hAnsi="宋体" w:eastAsia="宋体" w:cs="宋体"/>
          <w:i w:val="0"/>
          <w:iCs w:val="0"/>
          <w:color w:val="auto"/>
          <w:sz w:val="24"/>
          <w:szCs w:val="24"/>
          <w:highlight w:val="none"/>
        </w:rPr>
        <w:t>未参加开</w:t>
      </w:r>
      <w:r>
        <w:rPr>
          <w:rFonts w:hint="eastAsia" w:ascii="宋体" w:hAnsi="宋体" w:eastAsia="宋体" w:cs="宋体"/>
          <w:i w:val="0"/>
          <w:iCs w:val="0"/>
          <w:color w:val="auto"/>
          <w:sz w:val="24"/>
          <w:szCs w:val="24"/>
          <w:highlight w:val="none"/>
          <w:lang w:val="en-US" w:eastAsia="zh-CN"/>
        </w:rPr>
        <w:t>启</w:t>
      </w:r>
      <w:r>
        <w:rPr>
          <w:rFonts w:hint="eastAsia" w:ascii="宋体" w:hAnsi="宋体" w:eastAsia="宋体" w:cs="宋体"/>
          <w:i w:val="0"/>
          <w:iCs w:val="0"/>
          <w:color w:val="auto"/>
          <w:sz w:val="24"/>
          <w:szCs w:val="24"/>
          <w:highlight w:val="none"/>
        </w:rPr>
        <w:t>的，视同认可开</w:t>
      </w:r>
      <w:r>
        <w:rPr>
          <w:rFonts w:hint="eastAsia" w:ascii="宋体" w:hAnsi="宋体" w:eastAsia="宋体" w:cs="宋体"/>
          <w:i w:val="0"/>
          <w:iCs w:val="0"/>
          <w:color w:val="auto"/>
          <w:sz w:val="24"/>
          <w:szCs w:val="24"/>
          <w:highlight w:val="none"/>
          <w:lang w:val="en-US" w:eastAsia="zh-CN"/>
        </w:rPr>
        <w:t>启</w:t>
      </w:r>
      <w:r>
        <w:rPr>
          <w:rFonts w:hint="eastAsia" w:ascii="宋体" w:hAnsi="宋体" w:eastAsia="宋体" w:cs="宋体"/>
          <w:i w:val="0"/>
          <w:iCs w:val="0"/>
          <w:color w:val="auto"/>
          <w:sz w:val="24"/>
          <w:szCs w:val="24"/>
          <w:highlight w:val="none"/>
        </w:rPr>
        <w:t>结果。</w:t>
      </w:r>
    </w:p>
    <w:bookmarkEnd w:id="210"/>
    <w:bookmarkEnd w:id="211"/>
    <w:bookmarkEnd w:id="212"/>
    <w:bookmarkEnd w:id="213"/>
    <w:bookmarkEnd w:id="214"/>
    <w:bookmarkEnd w:id="215"/>
    <w:bookmarkEnd w:id="216"/>
    <w:p w14:paraId="55D243EF">
      <w:pPr>
        <w:pStyle w:val="4"/>
        <w:keepNext w:val="0"/>
        <w:keepLines w:val="0"/>
        <w:pageBreakBefore w:val="0"/>
        <w:widowControl w:val="0"/>
        <w:numPr>
          <w:ilvl w:val="0"/>
          <w:numId w:val="0"/>
        </w:numPr>
        <w:kinsoku/>
        <w:wordWrap/>
        <w:overflowPunct/>
        <w:topLinePunct w:val="0"/>
        <w:autoSpaceDE/>
        <w:autoSpaceDN/>
        <w:bidi w:val="0"/>
        <w:adjustRightInd/>
        <w:snapToGrid/>
        <w:spacing w:before="140" w:after="140" w:line="240" w:lineRule="auto"/>
        <w:ind w:left="420" w:leftChars="0" w:hanging="420" w:firstLineChars="0"/>
        <w:textAlignment w:val="auto"/>
        <w:rPr>
          <w:rFonts w:hint="eastAsia" w:ascii="宋体" w:hAnsi="宋体" w:eastAsia="宋体" w:cs="宋体"/>
          <w:b/>
          <w:bCs/>
          <w:i w:val="0"/>
          <w:iCs w:val="0"/>
          <w:color w:val="auto"/>
          <w:kern w:val="2"/>
          <w:sz w:val="24"/>
          <w:szCs w:val="24"/>
          <w:highlight w:val="none"/>
          <w:lang w:val="en-US" w:eastAsia="zh-CN" w:bidi="ar-SA"/>
        </w:rPr>
      </w:pPr>
      <w:bookmarkStart w:id="220" w:name="_Toc25520"/>
      <w:bookmarkStart w:id="221" w:name="_Toc155185877"/>
      <w:bookmarkStart w:id="222" w:name="_Toc163492854"/>
      <w:bookmarkStart w:id="223" w:name="_Toc7573"/>
      <w:bookmarkStart w:id="224" w:name="_Toc140132785"/>
      <w:bookmarkStart w:id="225" w:name="_Toc27318"/>
      <w:r>
        <w:rPr>
          <w:rFonts w:hint="eastAsia" w:ascii="宋体" w:hAnsi="宋体" w:eastAsia="宋体" w:cs="宋体"/>
          <w:b/>
          <w:bCs/>
          <w:i w:val="0"/>
          <w:iCs w:val="0"/>
          <w:color w:val="auto"/>
          <w:kern w:val="2"/>
          <w:sz w:val="24"/>
          <w:szCs w:val="24"/>
          <w:highlight w:val="none"/>
          <w:lang w:val="en-US" w:eastAsia="zh-CN" w:bidi="ar-SA"/>
        </w:rPr>
        <w:t>（六）资格审查</w:t>
      </w:r>
      <w:bookmarkEnd w:id="220"/>
      <w:bookmarkEnd w:id="221"/>
      <w:bookmarkEnd w:id="222"/>
      <w:bookmarkEnd w:id="223"/>
      <w:bookmarkEnd w:id="224"/>
      <w:bookmarkEnd w:id="225"/>
    </w:p>
    <w:p w14:paraId="2C1B5FD6">
      <w:pPr>
        <w:pStyle w:val="5"/>
        <w:keepNext w:val="0"/>
        <w:keepLines w:val="0"/>
        <w:pageBreakBefore w:val="0"/>
        <w:widowControl w:val="0"/>
        <w:numPr>
          <w:ilvl w:val="0"/>
          <w:numId w:val="0"/>
        </w:numPr>
        <w:kinsoku/>
        <w:wordWrap/>
        <w:overflowPunct/>
        <w:topLinePunct w:val="0"/>
        <w:autoSpaceDE/>
        <w:autoSpaceDN/>
        <w:bidi w:val="0"/>
        <w:adjustRightInd/>
        <w:snapToGrid/>
        <w:spacing w:before="80" w:after="80" w:line="240" w:lineRule="auto"/>
        <w:ind w:left="420" w:leftChars="0" w:hanging="420" w:firstLineChars="0"/>
        <w:textAlignment w:val="auto"/>
        <w:rPr>
          <w:rFonts w:hint="eastAsia" w:ascii="宋体" w:hAnsi="宋体" w:eastAsia="宋体" w:cs="宋体"/>
          <w:b/>
          <w:bCs/>
          <w:i w:val="0"/>
          <w:iCs w:val="0"/>
          <w:color w:val="auto"/>
          <w:kern w:val="2"/>
          <w:sz w:val="24"/>
          <w:szCs w:val="24"/>
          <w:highlight w:val="none"/>
          <w:lang w:val="en-US" w:eastAsia="zh-CN" w:bidi="ar-SA"/>
        </w:rPr>
      </w:pPr>
      <w:bookmarkStart w:id="226" w:name="_Toc163492855"/>
      <w:r>
        <w:rPr>
          <w:rFonts w:hint="eastAsia" w:ascii="宋体" w:hAnsi="宋体" w:eastAsia="宋体" w:cs="宋体"/>
          <w:b/>
          <w:bCs/>
          <w:i w:val="0"/>
          <w:iCs w:val="0"/>
          <w:color w:val="auto"/>
          <w:kern w:val="2"/>
          <w:sz w:val="24"/>
          <w:szCs w:val="24"/>
          <w:highlight w:val="none"/>
          <w:lang w:val="en-US" w:eastAsia="zh-CN" w:bidi="ar-SA"/>
        </w:rPr>
        <w:t>26.资格审查及审查主体</w:t>
      </w:r>
      <w:bookmarkEnd w:id="226"/>
    </w:p>
    <w:p w14:paraId="3F6E8AD4">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color w:val="auto"/>
          <w:sz w:val="24"/>
          <w:szCs w:val="24"/>
          <w:highlight w:val="none"/>
        </w:rPr>
      </w:pPr>
      <w:bookmarkStart w:id="227" w:name="_Toc140132786"/>
      <w:r>
        <w:rPr>
          <w:rFonts w:hint="eastAsia" w:ascii="宋体" w:hAnsi="宋体" w:eastAsia="宋体" w:cs="宋体"/>
          <w:i w:val="0"/>
          <w:iCs w:val="0"/>
          <w:color w:val="auto"/>
          <w:sz w:val="24"/>
          <w:szCs w:val="24"/>
          <w:highlight w:val="none"/>
        </w:rPr>
        <w:t>2</w:t>
      </w:r>
      <w:r>
        <w:rPr>
          <w:rFonts w:hint="eastAsia" w:ascii="宋体" w:hAnsi="宋体" w:eastAsia="宋体" w:cs="宋体"/>
          <w:i w:val="0"/>
          <w:iCs w:val="0"/>
          <w:color w:val="auto"/>
          <w:sz w:val="24"/>
          <w:szCs w:val="24"/>
          <w:highlight w:val="none"/>
          <w:lang w:val="en-US" w:eastAsia="zh-CN"/>
        </w:rPr>
        <w:t>6</w:t>
      </w:r>
      <w:r>
        <w:rPr>
          <w:rFonts w:hint="eastAsia" w:ascii="宋体" w:hAnsi="宋体" w:eastAsia="宋体" w:cs="宋体"/>
          <w:i w:val="0"/>
          <w:iCs w:val="0"/>
          <w:color w:val="auto"/>
          <w:sz w:val="24"/>
          <w:szCs w:val="24"/>
          <w:highlight w:val="none"/>
        </w:rPr>
        <w:t>.1开</w:t>
      </w:r>
      <w:r>
        <w:rPr>
          <w:rFonts w:hint="eastAsia" w:ascii="宋体" w:hAnsi="宋体" w:eastAsia="宋体" w:cs="宋体"/>
          <w:i w:val="0"/>
          <w:iCs w:val="0"/>
          <w:color w:val="auto"/>
          <w:sz w:val="24"/>
          <w:szCs w:val="24"/>
          <w:highlight w:val="none"/>
          <w:lang w:val="en-US" w:eastAsia="zh-CN"/>
        </w:rPr>
        <w:t>启</w:t>
      </w:r>
      <w:r>
        <w:rPr>
          <w:rFonts w:hint="eastAsia" w:ascii="宋体" w:hAnsi="宋体" w:eastAsia="宋体" w:cs="宋体"/>
          <w:i w:val="0"/>
          <w:iCs w:val="0"/>
          <w:color w:val="auto"/>
          <w:sz w:val="24"/>
          <w:szCs w:val="24"/>
          <w:highlight w:val="none"/>
        </w:rPr>
        <w:t>结束后，</w:t>
      </w:r>
      <w:r>
        <w:rPr>
          <w:rFonts w:hint="eastAsia" w:ascii="宋体" w:hAnsi="宋体" w:eastAsia="宋体" w:cs="宋体"/>
          <w:i w:val="0"/>
          <w:iCs w:val="0"/>
          <w:color w:val="auto"/>
          <w:sz w:val="24"/>
          <w:szCs w:val="24"/>
          <w:highlight w:val="none"/>
          <w:lang w:val="en-US" w:eastAsia="zh-CN"/>
        </w:rPr>
        <w:t>磋商小组</w:t>
      </w:r>
      <w:r>
        <w:rPr>
          <w:rFonts w:hint="eastAsia" w:ascii="宋体" w:hAnsi="宋体" w:eastAsia="宋体" w:cs="宋体"/>
          <w:i w:val="0"/>
          <w:iCs w:val="0"/>
          <w:color w:val="auto"/>
          <w:sz w:val="24"/>
          <w:szCs w:val="24"/>
          <w:highlight w:val="none"/>
        </w:rPr>
        <w:t>依据法律法规和本</w:t>
      </w:r>
      <w:r>
        <w:rPr>
          <w:rFonts w:hint="eastAsia" w:ascii="宋体" w:hAnsi="宋体" w:eastAsia="宋体" w:cs="宋体"/>
          <w:i w:val="0"/>
          <w:iCs w:val="0"/>
          <w:color w:val="auto"/>
          <w:sz w:val="24"/>
          <w:szCs w:val="24"/>
          <w:highlight w:val="none"/>
          <w:lang w:val="en-US" w:eastAsia="zh-CN"/>
        </w:rPr>
        <w:t>竞争性磋商</w:t>
      </w:r>
      <w:r>
        <w:rPr>
          <w:rFonts w:hint="eastAsia" w:ascii="宋体" w:hAnsi="宋体" w:eastAsia="宋体" w:cs="宋体"/>
          <w:i w:val="0"/>
          <w:iCs w:val="0"/>
          <w:color w:val="auto"/>
          <w:sz w:val="24"/>
          <w:szCs w:val="24"/>
          <w:highlight w:val="none"/>
        </w:rPr>
        <w:t>文件的规定，依法对</w:t>
      </w:r>
      <w:r>
        <w:rPr>
          <w:rFonts w:hint="eastAsia" w:ascii="宋体" w:hAnsi="宋体" w:eastAsia="宋体" w:cs="宋体"/>
          <w:i w:val="0"/>
          <w:iCs w:val="0"/>
          <w:color w:val="auto"/>
          <w:sz w:val="24"/>
          <w:szCs w:val="24"/>
          <w:highlight w:val="none"/>
          <w:lang w:val="en-US" w:eastAsia="zh-CN"/>
        </w:rPr>
        <w:t>供应商</w:t>
      </w:r>
      <w:r>
        <w:rPr>
          <w:rFonts w:hint="eastAsia" w:ascii="宋体" w:hAnsi="宋体" w:eastAsia="宋体" w:cs="宋体"/>
          <w:i w:val="0"/>
          <w:iCs w:val="0"/>
          <w:color w:val="auto"/>
          <w:sz w:val="24"/>
          <w:szCs w:val="24"/>
          <w:highlight w:val="none"/>
        </w:rPr>
        <w:t>资格进行审查，以确定</w:t>
      </w:r>
      <w:r>
        <w:rPr>
          <w:rFonts w:hint="eastAsia" w:ascii="宋体" w:hAnsi="宋体" w:eastAsia="宋体" w:cs="宋体"/>
          <w:i w:val="0"/>
          <w:iCs w:val="0"/>
          <w:color w:val="auto"/>
          <w:sz w:val="24"/>
          <w:szCs w:val="24"/>
          <w:highlight w:val="none"/>
          <w:lang w:val="en-US" w:eastAsia="zh-CN"/>
        </w:rPr>
        <w:t>供应商</w:t>
      </w:r>
      <w:r>
        <w:rPr>
          <w:rFonts w:hint="eastAsia" w:ascii="宋体" w:hAnsi="宋体" w:eastAsia="宋体" w:cs="宋体"/>
          <w:i w:val="0"/>
          <w:iCs w:val="0"/>
          <w:color w:val="auto"/>
          <w:sz w:val="24"/>
          <w:szCs w:val="24"/>
          <w:highlight w:val="none"/>
        </w:rPr>
        <w:t>是否具备</w:t>
      </w:r>
      <w:r>
        <w:rPr>
          <w:rFonts w:hint="eastAsia" w:ascii="宋体" w:hAnsi="宋体" w:eastAsia="宋体" w:cs="宋体"/>
          <w:i w:val="0"/>
          <w:iCs w:val="0"/>
          <w:color w:val="auto"/>
          <w:sz w:val="24"/>
          <w:szCs w:val="24"/>
          <w:highlight w:val="none"/>
          <w:lang w:val="en-US" w:eastAsia="zh-CN"/>
        </w:rPr>
        <w:t>磋商</w:t>
      </w:r>
      <w:r>
        <w:rPr>
          <w:rFonts w:hint="eastAsia" w:ascii="宋体" w:hAnsi="宋体" w:eastAsia="宋体" w:cs="宋体"/>
          <w:i w:val="0"/>
          <w:iCs w:val="0"/>
          <w:color w:val="auto"/>
          <w:sz w:val="24"/>
          <w:szCs w:val="24"/>
          <w:highlight w:val="none"/>
        </w:rPr>
        <w:t>资格。</w:t>
      </w:r>
      <w:bookmarkEnd w:id="227"/>
    </w:p>
    <w:p w14:paraId="6F7626D3">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color w:val="auto"/>
          <w:sz w:val="24"/>
          <w:szCs w:val="24"/>
          <w:highlight w:val="none"/>
        </w:rPr>
      </w:pPr>
      <w:bookmarkStart w:id="228" w:name="_Toc140132787"/>
      <w:r>
        <w:rPr>
          <w:rFonts w:hint="eastAsia" w:ascii="宋体" w:hAnsi="宋体" w:eastAsia="宋体" w:cs="宋体"/>
          <w:i w:val="0"/>
          <w:iCs w:val="0"/>
          <w:color w:val="auto"/>
          <w:sz w:val="24"/>
          <w:szCs w:val="24"/>
          <w:highlight w:val="none"/>
        </w:rPr>
        <w:t>2</w:t>
      </w:r>
      <w:r>
        <w:rPr>
          <w:rFonts w:hint="eastAsia" w:ascii="宋体" w:hAnsi="宋体" w:eastAsia="宋体" w:cs="宋体"/>
          <w:i w:val="0"/>
          <w:iCs w:val="0"/>
          <w:color w:val="auto"/>
          <w:sz w:val="24"/>
          <w:szCs w:val="24"/>
          <w:highlight w:val="none"/>
          <w:lang w:val="en-US" w:eastAsia="zh-CN"/>
        </w:rPr>
        <w:t>6</w:t>
      </w:r>
      <w:r>
        <w:rPr>
          <w:rFonts w:hint="eastAsia" w:ascii="宋体" w:hAnsi="宋体" w:eastAsia="宋体" w:cs="宋体"/>
          <w:i w:val="0"/>
          <w:iCs w:val="0"/>
          <w:color w:val="auto"/>
          <w:sz w:val="24"/>
          <w:szCs w:val="24"/>
          <w:highlight w:val="none"/>
        </w:rPr>
        <w:t>.2资格审查按“第四章</w:t>
      </w:r>
      <w:r>
        <w:rPr>
          <w:rFonts w:hint="eastAsia" w:ascii="宋体" w:hAnsi="宋体" w:eastAsia="宋体" w:cs="宋体"/>
          <w:i w:val="0"/>
          <w:iCs w:val="0"/>
          <w:color w:val="auto"/>
          <w:sz w:val="24"/>
          <w:szCs w:val="24"/>
          <w:highlight w:val="none"/>
          <w:lang w:val="en-US" w:eastAsia="zh-CN"/>
        </w:rPr>
        <w:t xml:space="preserve"> </w:t>
      </w:r>
      <w:r>
        <w:rPr>
          <w:rFonts w:hint="eastAsia" w:ascii="宋体" w:hAnsi="宋体" w:eastAsia="宋体" w:cs="宋体"/>
          <w:i w:val="0"/>
          <w:iCs w:val="0"/>
          <w:snapToGrid w:val="0"/>
          <w:color w:val="auto"/>
          <w:sz w:val="24"/>
          <w:szCs w:val="24"/>
          <w:highlight w:val="none"/>
          <w:lang w:val="zh-CN"/>
        </w:rPr>
        <w:t>评审</w:t>
      </w:r>
      <w:r>
        <w:rPr>
          <w:rFonts w:hint="eastAsia" w:ascii="宋体" w:hAnsi="宋体" w:eastAsia="宋体" w:cs="宋体"/>
          <w:i w:val="0"/>
          <w:iCs w:val="0"/>
          <w:snapToGrid w:val="0"/>
          <w:color w:val="auto"/>
          <w:sz w:val="24"/>
          <w:szCs w:val="24"/>
          <w:highlight w:val="none"/>
          <w:lang w:val="en-US" w:eastAsia="zh-CN"/>
        </w:rPr>
        <w:t>方</w:t>
      </w:r>
      <w:r>
        <w:rPr>
          <w:rFonts w:hint="eastAsia" w:ascii="宋体" w:hAnsi="宋体" w:eastAsia="宋体" w:cs="宋体"/>
          <w:i w:val="0"/>
          <w:iCs w:val="0"/>
          <w:snapToGrid w:val="0"/>
          <w:color w:val="auto"/>
          <w:sz w:val="24"/>
          <w:szCs w:val="24"/>
          <w:highlight w:val="none"/>
          <w:lang w:val="zh-CN"/>
        </w:rPr>
        <w:t>法及标准</w:t>
      </w:r>
      <w:r>
        <w:rPr>
          <w:rFonts w:hint="eastAsia" w:ascii="宋体" w:hAnsi="宋体" w:eastAsia="宋体" w:cs="宋体"/>
          <w:i w:val="0"/>
          <w:iCs w:val="0"/>
          <w:color w:val="auto"/>
          <w:sz w:val="24"/>
          <w:szCs w:val="24"/>
          <w:highlight w:val="none"/>
        </w:rPr>
        <w:t>”的规定进行。</w:t>
      </w:r>
      <w:bookmarkEnd w:id="228"/>
    </w:p>
    <w:p w14:paraId="44D43B82">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color w:val="auto"/>
          <w:sz w:val="24"/>
          <w:szCs w:val="24"/>
          <w:highlight w:val="none"/>
        </w:rPr>
      </w:pPr>
      <w:bookmarkStart w:id="229" w:name="_Toc140132788"/>
      <w:r>
        <w:rPr>
          <w:rFonts w:hint="eastAsia" w:ascii="宋体" w:hAnsi="宋体" w:eastAsia="宋体" w:cs="宋体"/>
          <w:i w:val="0"/>
          <w:iCs w:val="0"/>
          <w:color w:val="auto"/>
          <w:sz w:val="24"/>
          <w:szCs w:val="24"/>
          <w:highlight w:val="none"/>
        </w:rPr>
        <w:t>2</w:t>
      </w:r>
      <w:r>
        <w:rPr>
          <w:rFonts w:hint="eastAsia" w:ascii="宋体" w:hAnsi="宋体" w:eastAsia="宋体" w:cs="宋体"/>
          <w:i w:val="0"/>
          <w:iCs w:val="0"/>
          <w:color w:val="auto"/>
          <w:sz w:val="24"/>
          <w:szCs w:val="24"/>
          <w:highlight w:val="none"/>
          <w:lang w:val="en-US" w:eastAsia="zh-CN"/>
        </w:rPr>
        <w:t>6</w:t>
      </w:r>
      <w:r>
        <w:rPr>
          <w:rFonts w:hint="eastAsia" w:ascii="宋体" w:hAnsi="宋体" w:eastAsia="宋体" w:cs="宋体"/>
          <w:i w:val="0"/>
          <w:iCs w:val="0"/>
          <w:color w:val="auto"/>
          <w:sz w:val="24"/>
          <w:szCs w:val="24"/>
          <w:highlight w:val="none"/>
        </w:rPr>
        <w:t>.3资格审查结束后，应及时对资格审查结果进行复核，对资格审查错误进行及时纠正并记录。</w:t>
      </w:r>
      <w:bookmarkEnd w:id="229"/>
    </w:p>
    <w:p w14:paraId="272F167A">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26.4</w:t>
      </w:r>
      <w:r>
        <w:rPr>
          <w:rFonts w:hint="eastAsia" w:ascii="宋体" w:hAnsi="宋体" w:eastAsia="宋体" w:cs="宋体"/>
          <w:i w:val="0"/>
          <w:iCs w:val="0"/>
          <w:color w:val="auto"/>
          <w:sz w:val="24"/>
          <w:szCs w:val="24"/>
          <w:highlight w:val="none"/>
        </w:rPr>
        <w:t>资格审查合格</w:t>
      </w:r>
      <w:r>
        <w:rPr>
          <w:rFonts w:hint="eastAsia" w:ascii="宋体" w:hAnsi="宋体" w:eastAsia="宋体" w:cs="宋体"/>
          <w:i w:val="0"/>
          <w:iCs w:val="0"/>
          <w:color w:val="auto"/>
          <w:sz w:val="24"/>
          <w:szCs w:val="24"/>
          <w:highlight w:val="none"/>
          <w:lang w:val="en-US" w:eastAsia="zh-CN"/>
        </w:rPr>
        <w:t>供应商</w:t>
      </w:r>
      <w:r>
        <w:rPr>
          <w:rFonts w:hint="eastAsia" w:ascii="宋体" w:hAnsi="宋体" w:eastAsia="宋体" w:cs="宋体"/>
          <w:i w:val="0"/>
          <w:iCs w:val="0"/>
          <w:color w:val="auto"/>
          <w:sz w:val="24"/>
          <w:szCs w:val="24"/>
          <w:highlight w:val="none"/>
        </w:rPr>
        <w:t>不足3家的，不得评</w:t>
      </w:r>
      <w:r>
        <w:rPr>
          <w:rFonts w:hint="eastAsia" w:ascii="宋体" w:hAnsi="宋体" w:eastAsia="宋体" w:cs="宋体"/>
          <w:i w:val="0"/>
          <w:iCs w:val="0"/>
          <w:color w:val="auto"/>
          <w:sz w:val="24"/>
          <w:szCs w:val="24"/>
          <w:highlight w:val="none"/>
          <w:lang w:val="en-US" w:eastAsia="zh-CN"/>
        </w:rPr>
        <w:t>审</w:t>
      </w:r>
      <w:r>
        <w:rPr>
          <w:rFonts w:hint="eastAsia" w:ascii="宋体" w:hAnsi="宋体" w:eastAsia="宋体" w:cs="宋体"/>
          <w:i w:val="0"/>
          <w:iCs w:val="0"/>
          <w:color w:val="auto"/>
          <w:sz w:val="24"/>
          <w:szCs w:val="24"/>
          <w:highlight w:val="none"/>
        </w:rPr>
        <w:t>。</w:t>
      </w:r>
    </w:p>
    <w:p w14:paraId="7A1F7D21">
      <w:pPr>
        <w:pStyle w:val="4"/>
        <w:keepNext w:val="0"/>
        <w:keepLines w:val="0"/>
        <w:pageBreakBefore w:val="0"/>
        <w:widowControl w:val="0"/>
        <w:numPr>
          <w:ilvl w:val="0"/>
          <w:numId w:val="0"/>
        </w:numPr>
        <w:kinsoku/>
        <w:wordWrap/>
        <w:overflowPunct/>
        <w:topLinePunct w:val="0"/>
        <w:autoSpaceDE/>
        <w:autoSpaceDN/>
        <w:bidi w:val="0"/>
        <w:adjustRightInd/>
        <w:snapToGrid/>
        <w:spacing w:before="140" w:after="140" w:line="360" w:lineRule="auto"/>
        <w:ind w:left="420" w:leftChars="0" w:hanging="420" w:firstLineChars="0"/>
        <w:textAlignment w:val="auto"/>
        <w:rPr>
          <w:rFonts w:hint="eastAsia" w:ascii="宋体" w:hAnsi="宋体" w:eastAsia="宋体" w:cs="宋体"/>
          <w:b/>
          <w:bCs/>
          <w:i w:val="0"/>
          <w:iCs w:val="0"/>
          <w:color w:val="auto"/>
          <w:kern w:val="2"/>
          <w:sz w:val="24"/>
          <w:szCs w:val="24"/>
          <w:highlight w:val="none"/>
          <w:lang w:val="en-US" w:eastAsia="zh-CN" w:bidi="ar-SA"/>
        </w:rPr>
      </w:pPr>
      <w:bookmarkStart w:id="230" w:name="_Toc155185878"/>
      <w:bookmarkStart w:id="231" w:name="_Toc163492856"/>
      <w:bookmarkStart w:id="232" w:name="_Toc140132789"/>
      <w:bookmarkStart w:id="233" w:name="_Toc25913"/>
      <w:bookmarkStart w:id="234" w:name="_Toc16277"/>
      <w:bookmarkStart w:id="235" w:name="_Toc21173"/>
      <w:r>
        <w:rPr>
          <w:rFonts w:hint="eastAsia" w:ascii="宋体" w:hAnsi="宋体" w:eastAsia="宋体" w:cs="宋体"/>
          <w:b/>
          <w:bCs/>
          <w:i w:val="0"/>
          <w:iCs w:val="0"/>
          <w:color w:val="auto"/>
          <w:kern w:val="2"/>
          <w:sz w:val="24"/>
          <w:szCs w:val="24"/>
          <w:highlight w:val="none"/>
          <w:lang w:val="en-US" w:eastAsia="zh-CN" w:bidi="ar-SA"/>
        </w:rPr>
        <w:t>（七）项目评</w:t>
      </w:r>
      <w:bookmarkEnd w:id="230"/>
      <w:bookmarkEnd w:id="231"/>
      <w:bookmarkEnd w:id="232"/>
      <w:r>
        <w:rPr>
          <w:rFonts w:hint="eastAsia" w:ascii="宋体" w:hAnsi="宋体" w:eastAsia="宋体" w:cs="宋体"/>
          <w:b/>
          <w:bCs/>
          <w:i w:val="0"/>
          <w:iCs w:val="0"/>
          <w:color w:val="auto"/>
          <w:kern w:val="2"/>
          <w:sz w:val="24"/>
          <w:szCs w:val="24"/>
          <w:highlight w:val="none"/>
          <w:lang w:val="en-US" w:eastAsia="zh-CN" w:bidi="ar-SA"/>
        </w:rPr>
        <w:t>审</w:t>
      </w:r>
      <w:bookmarkEnd w:id="233"/>
      <w:bookmarkEnd w:id="234"/>
      <w:bookmarkEnd w:id="235"/>
    </w:p>
    <w:p w14:paraId="4C04DF4E">
      <w:pPr>
        <w:pStyle w:val="5"/>
        <w:keepNext w:val="0"/>
        <w:keepLines w:val="0"/>
        <w:pageBreakBefore w:val="0"/>
        <w:widowControl w:val="0"/>
        <w:numPr>
          <w:ilvl w:val="0"/>
          <w:numId w:val="0"/>
        </w:numPr>
        <w:kinsoku/>
        <w:wordWrap/>
        <w:overflowPunct/>
        <w:topLinePunct w:val="0"/>
        <w:autoSpaceDE/>
        <w:autoSpaceDN/>
        <w:bidi w:val="0"/>
        <w:adjustRightInd/>
        <w:snapToGrid/>
        <w:spacing w:before="80" w:after="80" w:line="240" w:lineRule="auto"/>
        <w:ind w:left="420" w:leftChars="0" w:hanging="420" w:firstLineChars="0"/>
        <w:textAlignment w:val="auto"/>
        <w:rPr>
          <w:rFonts w:hint="eastAsia" w:ascii="宋体" w:hAnsi="宋体" w:eastAsia="宋体" w:cs="宋体"/>
          <w:b/>
          <w:bCs/>
          <w:i w:val="0"/>
          <w:iCs w:val="0"/>
          <w:color w:val="auto"/>
          <w:kern w:val="2"/>
          <w:sz w:val="24"/>
          <w:szCs w:val="24"/>
          <w:highlight w:val="none"/>
          <w:lang w:val="en-US" w:eastAsia="zh-CN" w:bidi="ar-SA"/>
        </w:rPr>
      </w:pPr>
      <w:r>
        <w:rPr>
          <w:rFonts w:hint="eastAsia" w:ascii="宋体" w:hAnsi="宋体" w:eastAsia="宋体" w:cs="宋体"/>
          <w:b/>
          <w:bCs/>
          <w:i w:val="0"/>
          <w:iCs w:val="0"/>
          <w:color w:val="auto"/>
          <w:kern w:val="2"/>
          <w:sz w:val="24"/>
          <w:szCs w:val="24"/>
          <w:highlight w:val="none"/>
          <w:lang w:val="en-US" w:eastAsia="zh-CN" w:bidi="ar-SA"/>
        </w:rPr>
        <w:t>27.评审方法、程序及标准</w:t>
      </w:r>
    </w:p>
    <w:p w14:paraId="0B5D7D82">
      <w:pPr>
        <w:keepNext w:val="0"/>
        <w:keepLines w:val="0"/>
        <w:pageBreakBefore w:val="0"/>
        <w:widowControl w:val="0"/>
        <w:tabs>
          <w:tab w:val="left" w:pos="426"/>
        </w:tabs>
        <w:kinsoku/>
        <w:overflowPunct/>
        <w:topLinePunct w:val="0"/>
        <w:autoSpaceDE w:val="0"/>
        <w:autoSpaceDN w:val="0"/>
        <w:bidi w:val="0"/>
        <w:adjustRightInd w:val="0"/>
        <w:snapToGrid w:val="0"/>
        <w:ind w:firstLine="480" w:firstLineChars="200"/>
        <w:textAlignment w:val="auto"/>
        <w:rPr>
          <w:rFonts w:hint="eastAsia" w:ascii="宋体" w:hAnsi="宋体" w:eastAsia="宋体" w:cs="宋体"/>
          <w:i w:val="0"/>
          <w:iCs w:val="0"/>
          <w:snapToGrid w:val="0"/>
          <w:color w:val="auto"/>
          <w:sz w:val="24"/>
          <w:szCs w:val="24"/>
          <w:highlight w:val="none"/>
          <w:lang w:val="en-US" w:eastAsia="zh-CN"/>
        </w:rPr>
      </w:pPr>
      <w:r>
        <w:rPr>
          <w:rFonts w:hint="eastAsia" w:ascii="宋体" w:hAnsi="宋体" w:eastAsia="宋体" w:cs="宋体"/>
          <w:i w:val="0"/>
          <w:iCs w:val="0"/>
          <w:snapToGrid w:val="0"/>
          <w:color w:val="auto"/>
          <w:sz w:val="24"/>
          <w:szCs w:val="24"/>
          <w:highlight w:val="none"/>
          <w:lang w:val="zh-CN"/>
        </w:rPr>
        <w:t>2</w:t>
      </w:r>
      <w:r>
        <w:rPr>
          <w:rFonts w:hint="eastAsia" w:ascii="宋体" w:hAnsi="宋体" w:eastAsia="宋体" w:cs="宋体"/>
          <w:i w:val="0"/>
          <w:iCs w:val="0"/>
          <w:snapToGrid w:val="0"/>
          <w:color w:val="auto"/>
          <w:sz w:val="24"/>
          <w:szCs w:val="24"/>
          <w:highlight w:val="none"/>
          <w:lang w:val="en-US" w:eastAsia="zh-CN"/>
        </w:rPr>
        <w:t>7</w:t>
      </w:r>
      <w:r>
        <w:rPr>
          <w:rFonts w:hint="eastAsia" w:ascii="宋体" w:hAnsi="宋体" w:eastAsia="宋体" w:cs="宋体"/>
          <w:i w:val="0"/>
          <w:iCs w:val="0"/>
          <w:snapToGrid w:val="0"/>
          <w:color w:val="auto"/>
          <w:sz w:val="24"/>
          <w:szCs w:val="24"/>
          <w:highlight w:val="none"/>
          <w:lang w:val="zh-CN"/>
        </w:rPr>
        <w:t>.1</w:t>
      </w:r>
      <w:r>
        <w:rPr>
          <w:rFonts w:hint="eastAsia" w:ascii="宋体" w:hAnsi="宋体" w:eastAsia="宋体" w:cs="宋体"/>
          <w:i w:val="0"/>
          <w:iCs w:val="0"/>
          <w:snapToGrid w:val="0"/>
          <w:color w:val="auto"/>
          <w:sz w:val="24"/>
          <w:szCs w:val="24"/>
          <w:highlight w:val="none"/>
          <w:lang w:val="en-US" w:eastAsia="zh-CN"/>
        </w:rPr>
        <w:t>评审方法：综合评分法。</w:t>
      </w:r>
    </w:p>
    <w:p w14:paraId="1D78CC98">
      <w:pPr>
        <w:keepNext w:val="0"/>
        <w:keepLines w:val="0"/>
        <w:pageBreakBefore w:val="0"/>
        <w:widowControl w:val="0"/>
        <w:tabs>
          <w:tab w:val="left" w:pos="426"/>
        </w:tabs>
        <w:kinsoku/>
        <w:overflowPunct/>
        <w:topLinePunct w:val="0"/>
        <w:autoSpaceDE w:val="0"/>
        <w:autoSpaceDN w:val="0"/>
        <w:bidi w:val="0"/>
        <w:adjustRightInd w:val="0"/>
        <w:snapToGrid w:val="0"/>
        <w:ind w:firstLine="480" w:firstLineChars="200"/>
        <w:textAlignment w:val="auto"/>
        <w:rPr>
          <w:rFonts w:hint="eastAsia" w:ascii="宋体" w:hAnsi="宋体" w:eastAsia="宋体" w:cs="宋体"/>
          <w:i w:val="0"/>
          <w:iCs w:val="0"/>
          <w:snapToGrid w:val="0"/>
          <w:color w:val="auto"/>
          <w:sz w:val="24"/>
          <w:szCs w:val="24"/>
          <w:highlight w:val="none"/>
          <w:lang w:val="zh-CN"/>
        </w:rPr>
      </w:pPr>
      <w:r>
        <w:rPr>
          <w:rFonts w:hint="eastAsia" w:ascii="宋体" w:hAnsi="宋体" w:eastAsia="宋体" w:cs="宋体"/>
          <w:i w:val="0"/>
          <w:iCs w:val="0"/>
          <w:snapToGrid w:val="0"/>
          <w:color w:val="auto"/>
          <w:sz w:val="24"/>
          <w:szCs w:val="24"/>
          <w:highlight w:val="none"/>
          <w:lang w:val="zh-CN" w:eastAsia="zh-CN"/>
        </w:rPr>
        <w:t>综合评分法，是指响应文件满足磋商文件全部实质性要求且按评审因素的量化指标评审得分最高的供应商为成交候选供应商的评审方法。</w:t>
      </w:r>
    </w:p>
    <w:p w14:paraId="51EDFC5F">
      <w:pPr>
        <w:keepNext w:val="0"/>
        <w:keepLines w:val="0"/>
        <w:pageBreakBefore w:val="0"/>
        <w:widowControl w:val="0"/>
        <w:tabs>
          <w:tab w:val="left" w:pos="426"/>
        </w:tabs>
        <w:kinsoku/>
        <w:overflowPunct/>
        <w:topLinePunct w:val="0"/>
        <w:autoSpaceDE w:val="0"/>
        <w:autoSpaceDN w:val="0"/>
        <w:bidi w:val="0"/>
        <w:adjustRightInd w:val="0"/>
        <w:snapToGrid w:val="0"/>
        <w:ind w:firstLine="480" w:firstLineChars="200"/>
        <w:textAlignment w:val="auto"/>
        <w:rPr>
          <w:rFonts w:hint="eastAsia" w:ascii="宋体" w:hAnsi="宋体" w:eastAsia="宋体" w:cs="宋体"/>
          <w:i w:val="0"/>
          <w:iCs w:val="0"/>
          <w:snapToGrid w:val="0"/>
          <w:color w:val="auto"/>
          <w:sz w:val="24"/>
          <w:szCs w:val="24"/>
          <w:highlight w:val="none"/>
          <w:lang w:val="zh-CN"/>
        </w:rPr>
      </w:pPr>
      <w:r>
        <w:rPr>
          <w:rFonts w:hint="eastAsia" w:ascii="宋体" w:hAnsi="宋体" w:eastAsia="宋体" w:cs="宋体"/>
          <w:i w:val="0"/>
          <w:iCs w:val="0"/>
          <w:snapToGrid w:val="0"/>
          <w:color w:val="auto"/>
          <w:sz w:val="24"/>
          <w:szCs w:val="24"/>
          <w:highlight w:val="none"/>
          <w:lang w:val="en-US" w:eastAsia="zh-CN"/>
        </w:rPr>
        <w:t>本</w:t>
      </w:r>
      <w:r>
        <w:rPr>
          <w:rFonts w:hint="eastAsia" w:ascii="宋体" w:hAnsi="宋体" w:eastAsia="宋体" w:cs="宋体"/>
          <w:i w:val="0"/>
          <w:iCs w:val="0"/>
          <w:snapToGrid w:val="0"/>
          <w:color w:val="auto"/>
          <w:sz w:val="24"/>
          <w:szCs w:val="24"/>
          <w:highlight w:val="none"/>
          <w:lang w:val="zh-CN"/>
        </w:rPr>
        <w:t>项目评审方法、程序及标准详见“第</w:t>
      </w:r>
      <w:r>
        <w:rPr>
          <w:rFonts w:hint="eastAsia" w:ascii="宋体" w:hAnsi="宋体" w:eastAsia="宋体" w:cs="宋体"/>
          <w:i w:val="0"/>
          <w:iCs w:val="0"/>
          <w:snapToGrid w:val="0"/>
          <w:color w:val="auto"/>
          <w:sz w:val="24"/>
          <w:szCs w:val="24"/>
          <w:highlight w:val="none"/>
          <w:lang w:val="en-US" w:eastAsia="zh-CN"/>
        </w:rPr>
        <w:t>四</w:t>
      </w:r>
      <w:r>
        <w:rPr>
          <w:rFonts w:hint="eastAsia" w:ascii="宋体" w:hAnsi="宋体" w:eastAsia="宋体" w:cs="宋体"/>
          <w:i w:val="0"/>
          <w:iCs w:val="0"/>
          <w:snapToGrid w:val="0"/>
          <w:color w:val="auto"/>
          <w:sz w:val="24"/>
          <w:szCs w:val="24"/>
          <w:highlight w:val="none"/>
          <w:lang w:val="zh-CN"/>
        </w:rPr>
        <w:t>章 评审</w:t>
      </w:r>
      <w:r>
        <w:rPr>
          <w:rFonts w:hint="eastAsia" w:ascii="宋体" w:hAnsi="宋体" w:eastAsia="宋体" w:cs="宋体"/>
          <w:i w:val="0"/>
          <w:iCs w:val="0"/>
          <w:snapToGrid w:val="0"/>
          <w:color w:val="auto"/>
          <w:sz w:val="24"/>
          <w:szCs w:val="24"/>
          <w:highlight w:val="none"/>
          <w:lang w:val="en-US" w:eastAsia="zh-CN"/>
        </w:rPr>
        <w:t>方</w:t>
      </w:r>
      <w:r>
        <w:rPr>
          <w:rFonts w:hint="eastAsia" w:ascii="宋体" w:hAnsi="宋体" w:eastAsia="宋体" w:cs="宋体"/>
          <w:i w:val="0"/>
          <w:iCs w:val="0"/>
          <w:snapToGrid w:val="0"/>
          <w:color w:val="auto"/>
          <w:sz w:val="24"/>
          <w:szCs w:val="24"/>
          <w:highlight w:val="none"/>
          <w:lang w:val="zh-CN"/>
        </w:rPr>
        <w:t>法及标准”。</w:t>
      </w:r>
    </w:p>
    <w:p w14:paraId="42E7A75C">
      <w:pPr>
        <w:keepNext w:val="0"/>
        <w:keepLines w:val="0"/>
        <w:pageBreakBefore w:val="0"/>
        <w:widowControl w:val="0"/>
        <w:tabs>
          <w:tab w:val="left" w:pos="426"/>
        </w:tabs>
        <w:kinsoku/>
        <w:overflowPunct/>
        <w:topLinePunct w:val="0"/>
        <w:autoSpaceDE w:val="0"/>
        <w:autoSpaceDN w:val="0"/>
        <w:bidi w:val="0"/>
        <w:adjustRightInd w:val="0"/>
        <w:snapToGrid w:val="0"/>
        <w:ind w:firstLine="480" w:firstLineChars="200"/>
        <w:textAlignment w:val="auto"/>
        <w:rPr>
          <w:rFonts w:hint="eastAsia" w:ascii="宋体" w:hAnsi="宋体" w:eastAsia="宋体" w:cs="宋体"/>
          <w:i w:val="0"/>
          <w:iCs w:val="0"/>
          <w:snapToGrid w:val="0"/>
          <w:color w:val="auto"/>
          <w:sz w:val="24"/>
          <w:szCs w:val="24"/>
          <w:highlight w:val="none"/>
          <w:lang w:val="zh-CN"/>
        </w:rPr>
      </w:pPr>
      <w:r>
        <w:rPr>
          <w:rFonts w:hint="eastAsia" w:ascii="宋体" w:hAnsi="宋体" w:eastAsia="宋体" w:cs="宋体"/>
          <w:i w:val="0"/>
          <w:iCs w:val="0"/>
          <w:snapToGrid w:val="0"/>
          <w:color w:val="auto"/>
          <w:sz w:val="24"/>
          <w:szCs w:val="24"/>
          <w:highlight w:val="none"/>
          <w:lang w:val="zh-CN"/>
        </w:rPr>
        <w:t>2</w:t>
      </w:r>
      <w:r>
        <w:rPr>
          <w:rFonts w:hint="eastAsia" w:ascii="宋体" w:hAnsi="宋体" w:eastAsia="宋体" w:cs="宋体"/>
          <w:i w:val="0"/>
          <w:iCs w:val="0"/>
          <w:snapToGrid w:val="0"/>
          <w:color w:val="auto"/>
          <w:sz w:val="24"/>
          <w:szCs w:val="24"/>
          <w:highlight w:val="none"/>
          <w:lang w:val="en-US" w:eastAsia="zh-CN"/>
        </w:rPr>
        <w:t>7</w:t>
      </w:r>
      <w:r>
        <w:rPr>
          <w:rFonts w:hint="eastAsia" w:ascii="宋体" w:hAnsi="宋体" w:eastAsia="宋体" w:cs="宋体"/>
          <w:i w:val="0"/>
          <w:iCs w:val="0"/>
          <w:snapToGrid w:val="0"/>
          <w:color w:val="auto"/>
          <w:sz w:val="24"/>
          <w:szCs w:val="24"/>
          <w:highlight w:val="none"/>
          <w:lang w:val="zh-CN"/>
        </w:rPr>
        <w:t>.2磋商准备：供应商应当按照“</w:t>
      </w:r>
      <w:r>
        <w:rPr>
          <w:rFonts w:hint="eastAsia" w:ascii="宋体" w:hAnsi="宋体" w:eastAsia="宋体" w:cs="宋体"/>
          <w:i w:val="0"/>
          <w:iCs w:val="0"/>
          <w:snapToGrid w:val="0"/>
          <w:color w:val="auto"/>
          <w:sz w:val="24"/>
          <w:szCs w:val="24"/>
          <w:highlight w:val="none"/>
          <w:lang w:val="zh-CN" w:eastAsia="zh-CN"/>
        </w:rPr>
        <w:t>第</w:t>
      </w:r>
      <w:r>
        <w:rPr>
          <w:rFonts w:hint="eastAsia" w:ascii="宋体" w:hAnsi="宋体" w:eastAsia="宋体" w:cs="宋体"/>
          <w:i w:val="0"/>
          <w:iCs w:val="0"/>
          <w:snapToGrid w:val="0"/>
          <w:color w:val="auto"/>
          <w:sz w:val="24"/>
          <w:szCs w:val="24"/>
          <w:highlight w:val="none"/>
          <w:lang w:val="en-US" w:eastAsia="zh-CN"/>
        </w:rPr>
        <w:t>二</w:t>
      </w:r>
      <w:r>
        <w:rPr>
          <w:rFonts w:hint="eastAsia" w:ascii="宋体" w:hAnsi="宋体" w:eastAsia="宋体" w:cs="宋体"/>
          <w:i w:val="0"/>
          <w:iCs w:val="0"/>
          <w:snapToGrid w:val="0"/>
          <w:color w:val="auto"/>
          <w:sz w:val="24"/>
          <w:szCs w:val="24"/>
          <w:highlight w:val="none"/>
          <w:lang w:val="zh-CN" w:eastAsia="zh-CN"/>
        </w:rPr>
        <w:t xml:space="preserve">章 </w:t>
      </w:r>
      <w:r>
        <w:rPr>
          <w:rFonts w:hint="eastAsia" w:ascii="宋体" w:hAnsi="宋体" w:eastAsia="宋体" w:cs="宋体"/>
          <w:i w:val="0"/>
          <w:iCs w:val="0"/>
          <w:snapToGrid w:val="0"/>
          <w:color w:val="auto"/>
          <w:sz w:val="24"/>
          <w:szCs w:val="24"/>
          <w:highlight w:val="none"/>
          <w:lang w:val="en-US" w:eastAsia="zh-CN"/>
        </w:rPr>
        <w:t>供应商须知</w:t>
      </w:r>
      <w:r>
        <w:rPr>
          <w:rFonts w:hint="eastAsia" w:ascii="宋体" w:hAnsi="宋体" w:eastAsia="宋体" w:cs="宋体"/>
          <w:i w:val="0"/>
          <w:iCs w:val="0"/>
          <w:snapToGrid w:val="0"/>
          <w:color w:val="auto"/>
          <w:sz w:val="24"/>
          <w:szCs w:val="24"/>
          <w:highlight w:val="none"/>
          <w:lang w:val="zh-CN"/>
        </w:rPr>
        <w:t>”</w:t>
      </w:r>
      <w:r>
        <w:rPr>
          <w:rFonts w:hint="eastAsia" w:ascii="宋体" w:hAnsi="宋体" w:eastAsia="宋体" w:cs="宋体"/>
          <w:i w:val="0"/>
          <w:iCs w:val="0"/>
          <w:snapToGrid w:val="0"/>
          <w:color w:val="auto"/>
          <w:sz w:val="24"/>
          <w:szCs w:val="24"/>
          <w:highlight w:val="none"/>
          <w:lang w:val="en-US" w:eastAsia="zh-CN"/>
        </w:rPr>
        <w:t>的</w:t>
      </w:r>
      <w:r>
        <w:rPr>
          <w:rFonts w:hint="eastAsia" w:ascii="宋体" w:hAnsi="宋体" w:eastAsia="宋体" w:cs="宋体"/>
          <w:i w:val="0"/>
          <w:iCs w:val="0"/>
          <w:snapToGrid w:val="0"/>
          <w:color w:val="auto"/>
          <w:sz w:val="24"/>
          <w:szCs w:val="24"/>
          <w:highlight w:val="none"/>
          <w:lang w:val="zh-CN"/>
        </w:rPr>
        <w:t>要求提前准备好磋商所需的设备，确保设备稳定可靠、互联网畅通。</w:t>
      </w:r>
      <w:r>
        <w:rPr>
          <w:rFonts w:hint="eastAsia" w:ascii="宋体" w:hAnsi="宋体" w:eastAsia="宋体" w:cs="宋体"/>
          <w:i w:val="0"/>
          <w:iCs w:val="0"/>
          <w:color w:val="auto"/>
          <w:sz w:val="24"/>
          <w:szCs w:val="24"/>
          <w:highlight w:val="none"/>
        </w:rPr>
        <w:t>供应商登录供应商客户端，</w:t>
      </w:r>
      <w:r>
        <w:rPr>
          <w:rFonts w:hint="eastAsia" w:ascii="宋体" w:hAnsi="宋体" w:eastAsia="宋体" w:cs="宋体"/>
          <w:i w:val="0"/>
          <w:iCs w:val="0"/>
          <w:snapToGrid w:val="0"/>
          <w:color w:val="auto"/>
          <w:sz w:val="24"/>
          <w:szCs w:val="24"/>
          <w:highlight w:val="none"/>
          <w:lang w:val="zh-CN"/>
        </w:rPr>
        <w:t>通过供应商客户端进入交易系统“</w:t>
      </w:r>
      <w:r>
        <w:rPr>
          <w:rFonts w:hint="eastAsia" w:ascii="宋体" w:hAnsi="宋体" w:eastAsia="宋体" w:cs="宋体"/>
          <w:i w:val="0"/>
          <w:iCs w:val="0"/>
          <w:snapToGrid w:val="0"/>
          <w:color w:val="auto"/>
          <w:sz w:val="24"/>
          <w:szCs w:val="24"/>
          <w:highlight w:val="none"/>
          <w:lang w:val="en-US" w:eastAsia="zh-CN"/>
        </w:rPr>
        <w:t>开</w:t>
      </w:r>
      <w:r>
        <w:rPr>
          <w:rFonts w:hint="eastAsia" w:ascii="宋体" w:hAnsi="宋体" w:eastAsia="宋体" w:cs="宋体"/>
          <w:i w:val="0"/>
          <w:iCs w:val="0"/>
          <w:snapToGrid w:val="0"/>
          <w:color w:val="auto"/>
          <w:sz w:val="24"/>
          <w:szCs w:val="24"/>
          <w:highlight w:val="none"/>
          <w:lang w:val="zh-CN"/>
        </w:rPr>
        <w:t>标大厅”，准时参加在线磋商，按照工作人员提示进行相关操作。未按上述要求进行的，导致的后果由供应商自行承担。</w:t>
      </w:r>
    </w:p>
    <w:p w14:paraId="21D93F4E">
      <w:pPr>
        <w:pStyle w:val="5"/>
        <w:keepNext w:val="0"/>
        <w:keepLines w:val="0"/>
        <w:pageBreakBefore w:val="0"/>
        <w:widowControl w:val="0"/>
        <w:numPr>
          <w:ilvl w:val="0"/>
          <w:numId w:val="0"/>
        </w:numPr>
        <w:kinsoku/>
        <w:wordWrap/>
        <w:overflowPunct/>
        <w:topLinePunct w:val="0"/>
        <w:autoSpaceDE/>
        <w:autoSpaceDN/>
        <w:bidi w:val="0"/>
        <w:adjustRightInd/>
        <w:snapToGrid/>
        <w:spacing w:before="80" w:after="80" w:line="240" w:lineRule="auto"/>
        <w:ind w:left="420" w:leftChars="0" w:hanging="420" w:firstLineChars="0"/>
        <w:textAlignment w:val="auto"/>
        <w:rPr>
          <w:rFonts w:hint="eastAsia" w:ascii="宋体" w:hAnsi="宋体" w:eastAsia="宋体" w:cs="宋体"/>
          <w:b/>
          <w:bCs/>
          <w:i w:val="0"/>
          <w:iCs w:val="0"/>
          <w:color w:val="auto"/>
          <w:kern w:val="2"/>
          <w:sz w:val="24"/>
          <w:szCs w:val="24"/>
          <w:highlight w:val="none"/>
          <w:lang w:val="en-US" w:eastAsia="zh-CN" w:bidi="ar-SA"/>
        </w:rPr>
      </w:pPr>
      <w:bookmarkStart w:id="236" w:name="_Toc163492857"/>
      <w:bookmarkStart w:id="237" w:name="_Toc140132790"/>
      <w:r>
        <w:rPr>
          <w:rFonts w:hint="eastAsia" w:ascii="宋体" w:hAnsi="宋体" w:eastAsia="宋体" w:cs="宋体"/>
          <w:b/>
          <w:bCs/>
          <w:i w:val="0"/>
          <w:iCs w:val="0"/>
          <w:color w:val="auto"/>
          <w:kern w:val="2"/>
          <w:sz w:val="24"/>
          <w:szCs w:val="24"/>
          <w:highlight w:val="none"/>
          <w:lang w:val="en-US" w:eastAsia="zh-CN" w:bidi="ar-SA"/>
        </w:rPr>
        <w:t>28.</w:t>
      </w:r>
      <w:bookmarkEnd w:id="236"/>
      <w:bookmarkEnd w:id="237"/>
      <w:r>
        <w:rPr>
          <w:rFonts w:hint="eastAsia" w:ascii="宋体" w:hAnsi="宋体" w:eastAsia="宋体" w:cs="宋体"/>
          <w:b/>
          <w:bCs/>
          <w:i w:val="0"/>
          <w:iCs w:val="0"/>
          <w:color w:val="auto"/>
          <w:kern w:val="2"/>
          <w:sz w:val="24"/>
          <w:szCs w:val="24"/>
          <w:highlight w:val="none"/>
          <w:lang w:val="en-US" w:eastAsia="zh-CN" w:bidi="ar-SA"/>
        </w:rPr>
        <w:t>磋商小组</w:t>
      </w:r>
    </w:p>
    <w:p w14:paraId="6C1089B0">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2</w:t>
      </w:r>
      <w:r>
        <w:rPr>
          <w:rFonts w:hint="eastAsia" w:ascii="宋体" w:hAnsi="宋体" w:eastAsia="宋体" w:cs="宋体"/>
          <w:i w:val="0"/>
          <w:iCs w:val="0"/>
          <w:color w:val="auto"/>
          <w:sz w:val="24"/>
          <w:szCs w:val="24"/>
          <w:highlight w:val="none"/>
          <w:lang w:val="en-US" w:eastAsia="zh-CN"/>
        </w:rPr>
        <w:t>8</w:t>
      </w:r>
      <w:r>
        <w:rPr>
          <w:rFonts w:hint="eastAsia" w:ascii="宋体" w:hAnsi="宋体" w:eastAsia="宋体" w:cs="宋体"/>
          <w:i w:val="0"/>
          <w:iCs w:val="0"/>
          <w:color w:val="auto"/>
          <w:sz w:val="24"/>
          <w:szCs w:val="24"/>
          <w:highlight w:val="none"/>
        </w:rPr>
        <w:t>.1 磋商小组由采购人代表和评审专家共3人以上单数组成，其中评审专家人数不得少于磋商小组成员总数的2/3。采购人代表不得以评审专家身份参加本部门或本单位采购项目的评审。采购代理机构人员不得参加本机构代理的采购项目的评审。</w:t>
      </w:r>
    </w:p>
    <w:p w14:paraId="301CAD81">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2</w:t>
      </w:r>
      <w:r>
        <w:rPr>
          <w:rFonts w:hint="eastAsia" w:ascii="宋体" w:hAnsi="宋体" w:eastAsia="宋体" w:cs="宋体"/>
          <w:i w:val="0"/>
          <w:iCs w:val="0"/>
          <w:color w:val="auto"/>
          <w:sz w:val="24"/>
          <w:szCs w:val="24"/>
          <w:highlight w:val="none"/>
          <w:lang w:val="en-US" w:eastAsia="zh-CN"/>
        </w:rPr>
        <w:t>8</w:t>
      </w:r>
      <w:r>
        <w:rPr>
          <w:rFonts w:hint="eastAsia" w:ascii="宋体" w:hAnsi="宋体" w:eastAsia="宋体" w:cs="宋体"/>
          <w:i w:val="0"/>
          <w:iCs w:val="0"/>
          <w:color w:val="auto"/>
          <w:sz w:val="24"/>
          <w:szCs w:val="24"/>
          <w:highlight w:val="none"/>
        </w:rPr>
        <w:t>.2 磋商小组成员有下列情形之一的，应当回避：</w:t>
      </w:r>
    </w:p>
    <w:p w14:paraId="0656ACEF">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（1）参加采购活动前3年内与</w:t>
      </w:r>
      <w:r>
        <w:rPr>
          <w:rFonts w:hint="eastAsia" w:ascii="宋体" w:hAnsi="宋体" w:eastAsia="宋体" w:cs="宋体"/>
          <w:i w:val="0"/>
          <w:iCs w:val="0"/>
          <w:color w:val="auto"/>
          <w:sz w:val="24"/>
          <w:szCs w:val="24"/>
          <w:highlight w:val="none"/>
          <w:lang w:val="en-US" w:eastAsia="zh-CN"/>
        </w:rPr>
        <w:t>磋商供应商</w:t>
      </w:r>
      <w:r>
        <w:rPr>
          <w:rFonts w:hint="eastAsia" w:ascii="宋体" w:hAnsi="宋体" w:eastAsia="宋体" w:cs="宋体"/>
          <w:i w:val="0"/>
          <w:iCs w:val="0"/>
          <w:color w:val="auto"/>
          <w:sz w:val="24"/>
          <w:szCs w:val="24"/>
          <w:highlight w:val="none"/>
        </w:rPr>
        <w:t>存在劳动关系；</w:t>
      </w:r>
    </w:p>
    <w:p w14:paraId="55B6A1BF">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（2）参加采购活动前3年内担任</w:t>
      </w:r>
      <w:r>
        <w:rPr>
          <w:rFonts w:hint="eastAsia" w:ascii="宋体" w:hAnsi="宋体" w:eastAsia="宋体" w:cs="宋体"/>
          <w:i w:val="0"/>
          <w:iCs w:val="0"/>
          <w:color w:val="auto"/>
          <w:sz w:val="24"/>
          <w:szCs w:val="24"/>
          <w:highlight w:val="none"/>
          <w:lang w:val="en-US" w:eastAsia="zh-CN"/>
        </w:rPr>
        <w:t>磋商供应商</w:t>
      </w:r>
      <w:r>
        <w:rPr>
          <w:rFonts w:hint="eastAsia" w:ascii="宋体" w:hAnsi="宋体" w:eastAsia="宋体" w:cs="宋体"/>
          <w:i w:val="0"/>
          <w:iCs w:val="0"/>
          <w:color w:val="auto"/>
          <w:sz w:val="24"/>
          <w:szCs w:val="24"/>
          <w:highlight w:val="none"/>
        </w:rPr>
        <w:t>的董事、监事；</w:t>
      </w:r>
    </w:p>
    <w:p w14:paraId="61A1D2B8">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（3）参加采购活动前3年内是</w:t>
      </w:r>
      <w:r>
        <w:rPr>
          <w:rFonts w:hint="eastAsia" w:ascii="宋体" w:hAnsi="宋体" w:eastAsia="宋体" w:cs="宋体"/>
          <w:i w:val="0"/>
          <w:iCs w:val="0"/>
          <w:color w:val="auto"/>
          <w:sz w:val="24"/>
          <w:szCs w:val="24"/>
          <w:highlight w:val="none"/>
          <w:lang w:val="en-US" w:eastAsia="zh-CN"/>
        </w:rPr>
        <w:t>磋商供应商</w:t>
      </w:r>
      <w:r>
        <w:rPr>
          <w:rFonts w:hint="eastAsia" w:ascii="宋体" w:hAnsi="宋体" w:eastAsia="宋体" w:cs="宋体"/>
          <w:i w:val="0"/>
          <w:iCs w:val="0"/>
          <w:color w:val="auto"/>
          <w:sz w:val="24"/>
          <w:szCs w:val="24"/>
          <w:highlight w:val="none"/>
        </w:rPr>
        <w:t>的控股股东或者实际控制人；</w:t>
      </w:r>
    </w:p>
    <w:p w14:paraId="2961D582">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（4）与</w:t>
      </w:r>
      <w:r>
        <w:rPr>
          <w:rFonts w:hint="eastAsia" w:ascii="宋体" w:hAnsi="宋体" w:eastAsia="宋体" w:cs="宋体"/>
          <w:i w:val="0"/>
          <w:iCs w:val="0"/>
          <w:color w:val="auto"/>
          <w:sz w:val="24"/>
          <w:szCs w:val="24"/>
          <w:highlight w:val="none"/>
          <w:lang w:val="en-US" w:eastAsia="zh-CN"/>
        </w:rPr>
        <w:t>磋商供应商</w:t>
      </w:r>
      <w:r>
        <w:rPr>
          <w:rFonts w:hint="eastAsia" w:ascii="宋体" w:hAnsi="宋体" w:eastAsia="宋体" w:cs="宋体"/>
          <w:i w:val="0"/>
          <w:iCs w:val="0"/>
          <w:color w:val="auto"/>
          <w:sz w:val="24"/>
          <w:szCs w:val="24"/>
          <w:highlight w:val="none"/>
        </w:rPr>
        <w:t>的法定代表人或者负责人有夫妻、直系血亲、三代以内旁系血亲或者近姻亲关系；</w:t>
      </w:r>
    </w:p>
    <w:p w14:paraId="20FB9B78">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（5）与</w:t>
      </w:r>
      <w:r>
        <w:rPr>
          <w:rFonts w:hint="eastAsia" w:ascii="宋体" w:hAnsi="宋体" w:eastAsia="宋体" w:cs="宋体"/>
          <w:i w:val="0"/>
          <w:iCs w:val="0"/>
          <w:color w:val="auto"/>
          <w:sz w:val="24"/>
          <w:szCs w:val="24"/>
          <w:highlight w:val="none"/>
          <w:lang w:val="en-US" w:eastAsia="zh-CN"/>
        </w:rPr>
        <w:t>磋商供应商</w:t>
      </w:r>
      <w:r>
        <w:rPr>
          <w:rFonts w:hint="eastAsia" w:ascii="宋体" w:hAnsi="宋体" w:eastAsia="宋体" w:cs="宋体"/>
          <w:i w:val="0"/>
          <w:iCs w:val="0"/>
          <w:color w:val="auto"/>
          <w:sz w:val="24"/>
          <w:szCs w:val="24"/>
          <w:highlight w:val="none"/>
        </w:rPr>
        <w:t>有其他可能影响采购活动公平、公正进行的关系。</w:t>
      </w:r>
    </w:p>
    <w:p w14:paraId="25BEA5A7">
      <w:pPr>
        <w:pStyle w:val="5"/>
        <w:keepNext w:val="0"/>
        <w:keepLines w:val="0"/>
        <w:pageBreakBefore w:val="0"/>
        <w:widowControl w:val="0"/>
        <w:numPr>
          <w:ilvl w:val="0"/>
          <w:numId w:val="0"/>
        </w:numPr>
        <w:kinsoku/>
        <w:wordWrap/>
        <w:overflowPunct/>
        <w:topLinePunct w:val="0"/>
        <w:autoSpaceDE/>
        <w:autoSpaceDN/>
        <w:bidi w:val="0"/>
        <w:adjustRightInd/>
        <w:snapToGrid/>
        <w:spacing w:before="80" w:after="80" w:line="240" w:lineRule="auto"/>
        <w:ind w:left="420" w:leftChars="0" w:hanging="420" w:firstLineChars="0"/>
        <w:textAlignment w:val="auto"/>
        <w:rPr>
          <w:rFonts w:hint="eastAsia" w:ascii="宋体" w:hAnsi="宋体" w:eastAsia="宋体" w:cs="宋体"/>
          <w:b/>
          <w:bCs/>
          <w:i w:val="0"/>
          <w:iCs w:val="0"/>
          <w:color w:val="auto"/>
          <w:kern w:val="2"/>
          <w:sz w:val="24"/>
          <w:szCs w:val="24"/>
          <w:highlight w:val="none"/>
          <w:lang w:val="en-US" w:eastAsia="zh-CN" w:bidi="ar-SA"/>
        </w:rPr>
      </w:pPr>
      <w:bookmarkStart w:id="238" w:name="_Toc163492858"/>
      <w:bookmarkStart w:id="239" w:name="_Toc140132791"/>
      <w:r>
        <w:rPr>
          <w:rFonts w:hint="eastAsia" w:ascii="宋体" w:hAnsi="宋体" w:eastAsia="宋体" w:cs="宋体"/>
          <w:b/>
          <w:bCs/>
          <w:i w:val="0"/>
          <w:iCs w:val="0"/>
          <w:color w:val="auto"/>
          <w:kern w:val="2"/>
          <w:sz w:val="24"/>
          <w:szCs w:val="24"/>
          <w:highlight w:val="none"/>
          <w:lang w:val="en-US" w:eastAsia="zh-CN" w:bidi="ar-SA"/>
        </w:rPr>
        <w:t>29.</w:t>
      </w:r>
      <w:bookmarkEnd w:id="238"/>
      <w:bookmarkEnd w:id="239"/>
      <w:r>
        <w:rPr>
          <w:rFonts w:hint="eastAsia" w:ascii="宋体" w:hAnsi="宋体" w:eastAsia="宋体" w:cs="宋体"/>
          <w:b/>
          <w:bCs/>
          <w:i w:val="0"/>
          <w:iCs w:val="0"/>
          <w:color w:val="auto"/>
          <w:kern w:val="2"/>
          <w:sz w:val="24"/>
          <w:szCs w:val="24"/>
          <w:highlight w:val="none"/>
          <w:lang w:val="en-US" w:eastAsia="zh-CN" w:bidi="ar-SA"/>
        </w:rPr>
        <w:t>评审</w:t>
      </w:r>
    </w:p>
    <w:p w14:paraId="418DE4CD">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lang w:val="en-US" w:eastAsia="zh-CN"/>
        </w:rPr>
        <w:t>29</w:t>
      </w: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val="en-US" w:eastAsia="zh-CN"/>
        </w:rPr>
        <w:t xml:space="preserve">1 </w:t>
      </w:r>
      <w:r>
        <w:rPr>
          <w:rFonts w:hint="eastAsia" w:ascii="宋体" w:hAnsi="宋体" w:eastAsia="宋体" w:cs="宋体"/>
          <w:i w:val="0"/>
          <w:iCs w:val="0"/>
          <w:color w:val="auto"/>
          <w:sz w:val="24"/>
          <w:szCs w:val="24"/>
          <w:highlight w:val="none"/>
        </w:rPr>
        <w:t>磋商小组按照“第</w:t>
      </w:r>
      <w:r>
        <w:rPr>
          <w:rFonts w:hint="eastAsia" w:ascii="宋体" w:hAnsi="宋体" w:eastAsia="宋体" w:cs="宋体"/>
          <w:i w:val="0"/>
          <w:iCs w:val="0"/>
          <w:color w:val="auto"/>
          <w:sz w:val="24"/>
          <w:szCs w:val="24"/>
          <w:highlight w:val="none"/>
          <w:lang w:val="en-US" w:eastAsia="zh-CN"/>
        </w:rPr>
        <w:t>四</w:t>
      </w:r>
      <w:r>
        <w:rPr>
          <w:rFonts w:hint="eastAsia" w:ascii="宋体" w:hAnsi="宋体" w:eastAsia="宋体" w:cs="宋体"/>
          <w:i w:val="0"/>
          <w:iCs w:val="0"/>
          <w:color w:val="auto"/>
          <w:sz w:val="24"/>
          <w:szCs w:val="24"/>
          <w:highlight w:val="none"/>
        </w:rPr>
        <w:t>章</w:t>
      </w:r>
      <w:r>
        <w:rPr>
          <w:rFonts w:hint="eastAsia" w:ascii="宋体" w:hAnsi="宋体" w:eastAsia="宋体" w:cs="宋体"/>
          <w:i w:val="0"/>
          <w:iCs w:val="0"/>
          <w:color w:val="auto"/>
          <w:sz w:val="24"/>
          <w:szCs w:val="24"/>
          <w:highlight w:val="none"/>
          <w:lang w:val="en-US" w:eastAsia="zh-CN"/>
        </w:rPr>
        <w:t xml:space="preserve"> </w:t>
      </w:r>
      <w:r>
        <w:rPr>
          <w:rFonts w:hint="eastAsia" w:ascii="宋体" w:hAnsi="宋体" w:eastAsia="宋体" w:cs="宋体"/>
          <w:i w:val="0"/>
          <w:iCs w:val="0"/>
          <w:color w:val="auto"/>
          <w:sz w:val="24"/>
          <w:szCs w:val="24"/>
          <w:highlight w:val="none"/>
        </w:rPr>
        <w:t>评</w:t>
      </w:r>
      <w:r>
        <w:rPr>
          <w:rFonts w:hint="eastAsia" w:ascii="宋体" w:hAnsi="宋体" w:eastAsia="宋体" w:cs="宋体"/>
          <w:i w:val="0"/>
          <w:iCs w:val="0"/>
          <w:color w:val="auto"/>
          <w:sz w:val="24"/>
          <w:szCs w:val="24"/>
          <w:highlight w:val="none"/>
          <w:lang w:val="en-US" w:eastAsia="zh-CN"/>
        </w:rPr>
        <w:t>审</w:t>
      </w:r>
      <w:r>
        <w:rPr>
          <w:rFonts w:hint="eastAsia" w:ascii="宋体" w:hAnsi="宋体" w:eastAsia="宋体" w:cs="宋体"/>
          <w:i w:val="0"/>
          <w:iCs w:val="0"/>
          <w:color w:val="auto"/>
          <w:sz w:val="24"/>
          <w:szCs w:val="24"/>
          <w:highlight w:val="none"/>
        </w:rPr>
        <w:t>方法及标准”</w:t>
      </w:r>
      <w:r>
        <w:rPr>
          <w:rFonts w:hint="eastAsia" w:ascii="宋体" w:hAnsi="宋体" w:eastAsia="宋体" w:cs="宋体"/>
          <w:i w:val="0"/>
          <w:iCs w:val="0"/>
          <w:color w:val="auto"/>
          <w:sz w:val="24"/>
          <w:szCs w:val="24"/>
          <w:highlight w:val="none"/>
          <w:lang w:val="en-US" w:eastAsia="zh-CN"/>
        </w:rPr>
        <w:t>的</w:t>
      </w:r>
      <w:r>
        <w:rPr>
          <w:rFonts w:hint="eastAsia" w:ascii="宋体" w:hAnsi="宋体" w:eastAsia="宋体" w:cs="宋体"/>
          <w:i w:val="0"/>
          <w:iCs w:val="0"/>
          <w:color w:val="auto"/>
          <w:sz w:val="24"/>
          <w:szCs w:val="24"/>
          <w:highlight w:val="none"/>
        </w:rPr>
        <w:t>规定对</w:t>
      </w:r>
      <w:r>
        <w:rPr>
          <w:rFonts w:hint="eastAsia" w:ascii="宋体" w:hAnsi="宋体" w:eastAsia="宋体" w:cs="宋体"/>
          <w:i w:val="0"/>
          <w:iCs w:val="0"/>
          <w:color w:val="auto"/>
          <w:sz w:val="24"/>
          <w:szCs w:val="24"/>
          <w:highlight w:val="none"/>
          <w:lang w:val="en-US" w:eastAsia="zh-CN"/>
        </w:rPr>
        <w:t>响应</w:t>
      </w:r>
      <w:r>
        <w:rPr>
          <w:rFonts w:hint="eastAsia" w:ascii="宋体" w:hAnsi="宋体" w:eastAsia="宋体" w:cs="宋体"/>
          <w:i w:val="0"/>
          <w:iCs w:val="0"/>
          <w:color w:val="auto"/>
          <w:sz w:val="24"/>
          <w:szCs w:val="24"/>
          <w:highlight w:val="none"/>
        </w:rPr>
        <w:t>文件进行评审。“第</w:t>
      </w:r>
      <w:r>
        <w:rPr>
          <w:rFonts w:hint="eastAsia" w:ascii="宋体" w:hAnsi="宋体" w:eastAsia="宋体" w:cs="宋体"/>
          <w:i w:val="0"/>
          <w:iCs w:val="0"/>
          <w:color w:val="auto"/>
          <w:sz w:val="24"/>
          <w:szCs w:val="24"/>
          <w:highlight w:val="none"/>
          <w:lang w:val="en-US" w:eastAsia="zh-CN"/>
        </w:rPr>
        <w:t>四</w:t>
      </w:r>
      <w:r>
        <w:rPr>
          <w:rFonts w:hint="eastAsia" w:ascii="宋体" w:hAnsi="宋体" w:eastAsia="宋体" w:cs="宋体"/>
          <w:i w:val="0"/>
          <w:iCs w:val="0"/>
          <w:color w:val="auto"/>
          <w:sz w:val="24"/>
          <w:szCs w:val="24"/>
          <w:highlight w:val="none"/>
        </w:rPr>
        <w:t>章</w:t>
      </w:r>
      <w:r>
        <w:rPr>
          <w:rFonts w:hint="eastAsia" w:ascii="宋体" w:hAnsi="宋体" w:eastAsia="宋体" w:cs="宋体"/>
          <w:i w:val="0"/>
          <w:iCs w:val="0"/>
          <w:color w:val="auto"/>
          <w:sz w:val="24"/>
          <w:szCs w:val="24"/>
          <w:highlight w:val="none"/>
          <w:lang w:val="en-US" w:eastAsia="zh-CN"/>
        </w:rPr>
        <w:t xml:space="preserve"> </w:t>
      </w:r>
      <w:r>
        <w:rPr>
          <w:rFonts w:hint="eastAsia" w:ascii="宋体" w:hAnsi="宋体" w:eastAsia="宋体" w:cs="宋体"/>
          <w:i w:val="0"/>
          <w:iCs w:val="0"/>
          <w:color w:val="auto"/>
          <w:sz w:val="24"/>
          <w:szCs w:val="24"/>
          <w:highlight w:val="none"/>
        </w:rPr>
        <w:t>评</w:t>
      </w:r>
      <w:r>
        <w:rPr>
          <w:rFonts w:hint="eastAsia" w:ascii="宋体" w:hAnsi="宋体" w:eastAsia="宋体" w:cs="宋体"/>
          <w:i w:val="0"/>
          <w:iCs w:val="0"/>
          <w:color w:val="auto"/>
          <w:sz w:val="24"/>
          <w:szCs w:val="24"/>
          <w:highlight w:val="none"/>
          <w:lang w:val="en-US" w:eastAsia="zh-CN"/>
        </w:rPr>
        <w:t>审</w:t>
      </w:r>
      <w:r>
        <w:rPr>
          <w:rFonts w:hint="eastAsia" w:ascii="宋体" w:hAnsi="宋体" w:eastAsia="宋体" w:cs="宋体"/>
          <w:i w:val="0"/>
          <w:iCs w:val="0"/>
          <w:color w:val="auto"/>
          <w:sz w:val="24"/>
          <w:szCs w:val="24"/>
          <w:highlight w:val="none"/>
        </w:rPr>
        <w:t>方法及标准”没有规定的方法、评审因素和标准，不作为评</w:t>
      </w:r>
      <w:r>
        <w:rPr>
          <w:rFonts w:hint="eastAsia" w:ascii="宋体" w:hAnsi="宋体" w:eastAsia="宋体" w:cs="宋体"/>
          <w:i w:val="0"/>
          <w:iCs w:val="0"/>
          <w:color w:val="auto"/>
          <w:sz w:val="24"/>
          <w:szCs w:val="24"/>
          <w:highlight w:val="none"/>
          <w:lang w:val="en-US" w:eastAsia="zh-CN"/>
        </w:rPr>
        <w:t>审</w:t>
      </w:r>
      <w:r>
        <w:rPr>
          <w:rFonts w:hint="eastAsia" w:ascii="宋体" w:hAnsi="宋体" w:eastAsia="宋体" w:cs="宋体"/>
          <w:i w:val="0"/>
          <w:iCs w:val="0"/>
          <w:color w:val="auto"/>
          <w:sz w:val="24"/>
          <w:szCs w:val="24"/>
          <w:highlight w:val="none"/>
        </w:rPr>
        <w:t>依据。</w:t>
      </w:r>
    </w:p>
    <w:p w14:paraId="1A9007D8">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lang w:val="en-US" w:eastAsia="zh-CN"/>
        </w:rPr>
        <w:t>29</w:t>
      </w: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val="en-US" w:eastAsia="zh-CN"/>
        </w:rPr>
        <w:t xml:space="preserve">2 </w:t>
      </w:r>
      <w:r>
        <w:rPr>
          <w:rFonts w:hint="eastAsia" w:ascii="宋体" w:hAnsi="宋体" w:eastAsia="宋体" w:cs="宋体"/>
          <w:i w:val="0"/>
          <w:iCs w:val="0"/>
          <w:color w:val="auto"/>
          <w:sz w:val="24"/>
          <w:szCs w:val="24"/>
          <w:highlight w:val="none"/>
        </w:rPr>
        <w:t>磋商小组按“</w:t>
      </w:r>
      <w:r>
        <w:rPr>
          <w:rFonts w:hint="eastAsia" w:ascii="宋体" w:hAnsi="宋体" w:eastAsia="宋体" w:cs="宋体"/>
          <w:i w:val="0"/>
          <w:iCs w:val="0"/>
          <w:color w:val="auto"/>
          <w:sz w:val="24"/>
          <w:szCs w:val="24"/>
          <w:highlight w:val="none"/>
          <w:lang w:val="en-US" w:eastAsia="zh-CN"/>
        </w:rPr>
        <w:t>供应商</w:t>
      </w:r>
      <w:r>
        <w:rPr>
          <w:rFonts w:hint="eastAsia" w:ascii="宋体" w:hAnsi="宋体" w:eastAsia="宋体" w:cs="宋体"/>
          <w:i w:val="0"/>
          <w:iCs w:val="0"/>
          <w:color w:val="auto"/>
          <w:sz w:val="24"/>
          <w:szCs w:val="24"/>
          <w:highlight w:val="none"/>
        </w:rPr>
        <w:t>须知前附表”规定的</w:t>
      </w:r>
      <w:r>
        <w:rPr>
          <w:rFonts w:hint="eastAsia" w:ascii="宋体" w:hAnsi="宋体" w:eastAsia="宋体" w:cs="宋体"/>
          <w:i w:val="0"/>
          <w:iCs w:val="0"/>
          <w:color w:val="auto"/>
          <w:sz w:val="24"/>
          <w:szCs w:val="24"/>
          <w:highlight w:val="none"/>
          <w:lang w:val="en-US" w:eastAsia="zh-CN"/>
        </w:rPr>
        <w:t>成交</w:t>
      </w:r>
      <w:r>
        <w:rPr>
          <w:rFonts w:hint="eastAsia" w:ascii="宋体" w:hAnsi="宋体" w:eastAsia="宋体" w:cs="宋体"/>
          <w:i w:val="0"/>
          <w:iCs w:val="0"/>
          <w:color w:val="auto"/>
          <w:sz w:val="24"/>
          <w:szCs w:val="24"/>
          <w:highlight w:val="none"/>
        </w:rPr>
        <w:t>候选人数量在评</w:t>
      </w:r>
      <w:r>
        <w:rPr>
          <w:rFonts w:hint="eastAsia" w:ascii="宋体" w:hAnsi="宋体" w:eastAsia="宋体" w:cs="宋体"/>
          <w:i w:val="0"/>
          <w:iCs w:val="0"/>
          <w:color w:val="auto"/>
          <w:sz w:val="24"/>
          <w:szCs w:val="24"/>
          <w:highlight w:val="none"/>
          <w:lang w:val="en-US" w:eastAsia="zh-CN"/>
        </w:rPr>
        <w:t>审</w:t>
      </w:r>
      <w:r>
        <w:rPr>
          <w:rFonts w:hint="eastAsia" w:ascii="宋体" w:hAnsi="宋体" w:eastAsia="宋体" w:cs="宋体"/>
          <w:i w:val="0"/>
          <w:iCs w:val="0"/>
          <w:color w:val="auto"/>
          <w:sz w:val="24"/>
          <w:szCs w:val="24"/>
          <w:highlight w:val="none"/>
        </w:rPr>
        <w:t>报告中向采购人推荐</w:t>
      </w:r>
      <w:r>
        <w:rPr>
          <w:rFonts w:hint="eastAsia" w:ascii="宋体" w:hAnsi="宋体" w:eastAsia="宋体" w:cs="宋体"/>
          <w:i w:val="0"/>
          <w:iCs w:val="0"/>
          <w:color w:val="auto"/>
          <w:sz w:val="24"/>
          <w:szCs w:val="24"/>
          <w:highlight w:val="none"/>
          <w:lang w:val="en-US" w:eastAsia="zh-CN"/>
        </w:rPr>
        <w:t>成交</w:t>
      </w:r>
      <w:r>
        <w:rPr>
          <w:rFonts w:hint="eastAsia" w:ascii="宋体" w:hAnsi="宋体" w:eastAsia="宋体" w:cs="宋体"/>
          <w:i w:val="0"/>
          <w:iCs w:val="0"/>
          <w:color w:val="auto"/>
          <w:sz w:val="24"/>
          <w:szCs w:val="24"/>
          <w:highlight w:val="none"/>
        </w:rPr>
        <w:t>候选人。</w:t>
      </w:r>
    </w:p>
    <w:p w14:paraId="1E63454C">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29.3 开启之后，直到签订合同止，凡是属于审查、澄清、评价和比较磋商的有关资料以及确定成交意向等，均不得向供应商或者其他与评审无关的人员透露。</w:t>
      </w:r>
    </w:p>
    <w:p w14:paraId="57927CBE">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29.4 在确定成交人之前，供应商试图在响应文件审查、澄清、比较和评审时对</w:t>
      </w:r>
      <w:r>
        <w:rPr>
          <w:rFonts w:hint="eastAsia" w:ascii="宋体" w:hAnsi="宋体" w:eastAsia="宋体" w:cs="宋体"/>
          <w:i w:val="0"/>
          <w:iCs w:val="0"/>
          <w:color w:val="auto"/>
          <w:sz w:val="24"/>
          <w:szCs w:val="24"/>
          <w:highlight w:val="none"/>
        </w:rPr>
        <w:t>磋商小组</w:t>
      </w:r>
      <w:r>
        <w:rPr>
          <w:rFonts w:hint="eastAsia" w:ascii="宋体" w:hAnsi="宋体" w:eastAsia="宋体" w:cs="宋体"/>
          <w:i w:val="0"/>
          <w:iCs w:val="0"/>
          <w:color w:val="auto"/>
          <w:sz w:val="24"/>
          <w:szCs w:val="24"/>
          <w:highlight w:val="none"/>
          <w:lang w:val="en-US" w:eastAsia="zh-CN"/>
        </w:rPr>
        <w:t>、采购人和采购代理机构施加任何影响都可能导致其</w:t>
      </w:r>
      <w:r>
        <w:rPr>
          <w:rFonts w:hint="eastAsia" w:ascii="宋体" w:hAnsi="宋体" w:eastAsia="宋体" w:cs="宋体"/>
          <w:b/>
          <w:bCs/>
          <w:i w:val="0"/>
          <w:iCs w:val="0"/>
          <w:color w:val="auto"/>
          <w:sz w:val="24"/>
          <w:szCs w:val="24"/>
          <w:highlight w:val="none"/>
          <w:lang w:val="en-US" w:eastAsia="zh-CN"/>
        </w:rPr>
        <w:t>响应无效</w:t>
      </w:r>
      <w:r>
        <w:rPr>
          <w:rFonts w:hint="eastAsia" w:ascii="宋体" w:hAnsi="宋体" w:eastAsia="宋体" w:cs="宋体"/>
          <w:i w:val="0"/>
          <w:iCs w:val="0"/>
          <w:color w:val="auto"/>
          <w:sz w:val="24"/>
          <w:szCs w:val="24"/>
          <w:highlight w:val="none"/>
          <w:lang w:val="en-US" w:eastAsia="zh-CN"/>
        </w:rPr>
        <w:t>。</w:t>
      </w:r>
    </w:p>
    <w:p w14:paraId="32A32003">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29.5 电子招投标的应急措施</w:t>
      </w:r>
    </w:p>
    <w:p w14:paraId="52525CD6">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29.5.1电子开启、评审如出现下列原因，导致系统无法正常运行或无法正常评审时，应采取应急措施。</w:t>
      </w:r>
    </w:p>
    <w:p w14:paraId="3D99F562">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（1）系统服务器发生故障，无法访问或无法使用系统；</w:t>
      </w:r>
    </w:p>
    <w:p w14:paraId="518B308A">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（2）系统的软件或数据库出现错误，不能进行正常操作；</w:t>
      </w:r>
    </w:p>
    <w:p w14:paraId="657BA7B3">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（3）系统发现有安全漏洞，有潜在的泄密危险；</w:t>
      </w:r>
    </w:p>
    <w:p w14:paraId="26B15397">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（4）病毒发作或受到外来病毒的攻击；</w:t>
      </w:r>
    </w:p>
    <w:p w14:paraId="6BCA43D9">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（5）出现其他不可抗拒的客观原因造成开评标系统无法正常使用。</w:t>
      </w:r>
    </w:p>
    <w:p w14:paraId="2BA3CE00">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出现上述情况时，应对未开启的暂停开启。已在系统内开启、评审的立即停止。采取应急措施时，必须对原有资料及信息</w:t>
      </w:r>
      <w:r>
        <w:rPr>
          <w:rFonts w:hint="eastAsia" w:cs="宋体"/>
          <w:i w:val="0"/>
          <w:iCs w:val="0"/>
          <w:color w:val="auto"/>
          <w:sz w:val="24"/>
          <w:szCs w:val="24"/>
          <w:highlight w:val="none"/>
          <w:lang w:val="en-US" w:eastAsia="zh-CN"/>
        </w:rPr>
        <w:t>做出</w:t>
      </w:r>
      <w:r>
        <w:rPr>
          <w:rFonts w:hint="eastAsia" w:ascii="宋体" w:hAnsi="宋体" w:eastAsia="宋体" w:cs="宋体"/>
          <w:i w:val="0"/>
          <w:iCs w:val="0"/>
          <w:color w:val="auto"/>
          <w:sz w:val="24"/>
          <w:szCs w:val="24"/>
          <w:highlight w:val="none"/>
          <w:lang w:val="en-US" w:eastAsia="zh-CN"/>
        </w:rPr>
        <w:t>妥善保密处理。</w:t>
      </w:r>
    </w:p>
    <w:p w14:paraId="791CC4F0">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29.5.2因系统原因导致供应商均无法解密电子响应文件时，采购代理机构可在开启现场直接导入供应商在递交响应文件截止时间前递交的未加密的电子响应文件进行开启、评审。</w:t>
      </w:r>
    </w:p>
    <w:p w14:paraId="28CD45E0">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29.6 供应商瑕疵滞后发现的处理规则</w:t>
      </w:r>
    </w:p>
    <w:p w14:paraId="11E85EAD">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29.6.1无论基于何种原因，各项本应作拒绝处理的情形即便未被及时发现而使该供应商进入初审、综合评审或其他后续程序，包括已经签订合同的情形，一旦供应商被拒绝或该供应商的此前评议结果被取消，其现有的位置将被其他供应商依序替代，相关的一切损失均由该供应商承担。</w:t>
      </w:r>
    </w:p>
    <w:p w14:paraId="5000462B">
      <w:pPr>
        <w:pStyle w:val="4"/>
        <w:keepNext w:val="0"/>
        <w:keepLines w:val="0"/>
        <w:pageBreakBefore w:val="0"/>
        <w:widowControl w:val="0"/>
        <w:numPr>
          <w:ilvl w:val="0"/>
          <w:numId w:val="0"/>
        </w:numPr>
        <w:kinsoku/>
        <w:wordWrap/>
        <w:overflowPunct/>
        <w:topLinePunct w:val="0"/>
        <w:autoSpaceDE/>
        <w:autoSpaceDN/>
        <w:bidi w:val="0"/>
        <w:adjustRightInd/>
        <w:snapToGrid/>
        <w:spacing w:before="140" w:after="140" w:line="240" w:lineRule="auto"/>
        <w:ind w:left="420" w:leftChars="0" w:hanging="420" w:firstLineChars="0"/>
        <w:textAlignment w:val="auto"/>
        <w:rPr>
          <w:rFonts w:hint="eastAsia" w:ascii="宋体" w:hAnsi="宋体" w:eastAsia="宋体" w:cs="宋体"/>
          <w:b/>
          <w:bCs/>
          <w:i w:val="0"/>
          <w:iCs w:val="0"/>
          <w:color w:val="auto"/>
          <w:kern w:val="2"/>
          <w:sz w:val="24"/>
          <w:szCs w:val="24"/>
          <w:highlight w:val="none"/>
          <w:lang w:val="en-US" w:eastAsia="zh-CN" w:bidi="ar-SA"/>
        </w:rPr>
      </w:pPr>
      <w:bookmarkStart w:id="240" w:name="_Toc163493616"/>
      <w:bookmarkStart w:id="241" w:name="_Toc470172692"/>
      <w:bookmarkStart w:id="242" w:name="_Toc109900401"/>
      <w:bookmarkStart w:id="243" w:name="_Toc13863"/>
      <w:bookmarkStart w:id="244" w:name="_Toc46771670"/>
      <w:bookmarkStart w:id="245" w:name="_Toc18088"/>
      <w:bookmarkStart w:id="246" w:name="_Toc109899563"/>
      <w:bookmarkStart w:id="247" w:name="_Toc6316"/>
      <w:bookmarkStart w:id="248" w:name="_Toc109897464"/>
      <w:bookmarkStart w:id="249" w:name="_Toc109899982"/>
      <w:r>
        <w:rPr>
          <w:rFonts w:hint="eastAsia" w:ascii="宋体" w:hAnsi="宋体" w:eastAsia="宋体" w:cs="宋体"/>
          <w:b/>
          <w:bCs/>
          <w:i w:val="0"/>
          <w:iCs w:val="0"/>
          <w:color w:val="auto"/>
          <w:kern w:val="2"/>
          <w:sz w:val="24"/>
          <w:szCs w:val="24"/>
          <w:highlight w:val="none"/>
          <w:lang w:val="en-US" w:eastAsia="zh-CN" w:bidi="ar-SA"/>
        </w:rPr>
        <w:t>（八）成交</w:t>
      </w:r>
      <w:bookmarkEnd w:id="240"/>
      <w:bookmarkEnd w:id="241"/>
      <w:bookmarkEnd w:id="242"/>
      <w:bookmarkEnd w:id="243"/>
      <w:bookmarkEnd w:id="244"/>
      <w:bookmarkEnd w:id="245"/>
      <w:bookmarkEnd w:id="246"/>
      <w:bookmarkEnd w:id="247"/>
      <w:bookmarkEnd w:id="248"/>
      <w:bookmarkEnd w:id="249"/>
    </w:p>
    <w:p w14:paraId="59C81E92">
      <w:pPr>
        <w:pStyle w:val="5"/>
        <w:keepNext w:val="0"/>
        <w:keepLines w:val="0"/>
        <w:pageBreakBefore w:val="0"/>
        <w:widowControl w:val="0"/>
        <w:numPr>
          <w:ilvl w:val="0"/>
          <w:numId w:val="0"/>
        </w:numPr>
        <w:kinsoku/>
        <w:wordWrap/>
        <w:overflowPunct/>
        <w:topLinePunct w:val="0"/>
        <w:autoSpaceDE/>
        <w:autoSpaceDN/>
        <w:bidi w:val="0"/>
        <w:adjustRightInd/>
        <w:snapToGrid/>
        <w:spacing w:before="80" w:after="80" w:line="240" w:lineRule="auto"/>
        <w:ind w:left="420" w:leftChars="0" w:hanging="420" w:firstLineChars="0"/>
        <w:textAlignment w:val="auto"/>
        <w:rPr>
          <w:rFonts w:hint="eastAsia" w:ascii="宋体" w:hAnsi="宋体" w:eastAsia="宋体" w:cs="宋体"/>
          <w:b/>
          <w:bCs/>
          <w:i w:val="0"/>
          <w:iCs w:val="0"/>
          <w:color w:val="auto"/>
          <w:kern w:val="2"/>
          <w:sz w:val="24"/>
          <w:szCs w:val="24"/>
          <w:highlight w:val="none"/>
          <w:lang w:val="en-US" w:eastAsia="zh-CN" w:bidi="ar-SA"/>
        </w:rPr>
      </w:pPr>
      <w:bookmarkStart w:id="250" w:name="_Toc46771671"/>
      <w:bookmarkStart w:id="251" w:name="_Toc48688820"/>
      <w:bookmarkStart w:id="252" w:name="_Toc109899564"/>
      <w:bookmarkStart w:id="253" w:name="_Toc109900402"/>
      <w:bookmarkStart w:id="254" w:name="_Toc51674242"/>
      <w:bookmarkStart w:id="255" w:name="_Toc46772272"/>
      <w:bookmarkStart w:id="256" w:name="_Toc52962758"/>
      <w:bookmarkStart w:id="257" w:name="_Toc52960584"/>
      <w:bookmarkStart w:id="258" w:name="_Toc48846140"/>
      <w:bookmarkStart w:id="259" w:name="_Toc109899983"/>
      <w:bookmarkStart w:id="260" w:name="_Toc109897465"/>
      <w:bookmarkStart w:id="261" w:name="_Hlk143533953"/>
      <w:r>
        <w:rPr>
          <w:rFonts w:hint="eastAsia" w:ascii="宋体" w:hAnsi="宋体" w:eastAsia="宋体" w:cs="宋体"/>
          <w:b/>
          <w:bCs/>
          <w:i w:val="0"/>
          <w:iCs w:val="0"/>
          <w:color w:val="auto"/>
          <w:kern w:val="2"/>
          <w:sz w:val="24"/>
          <w:szCs w:val="24"/>
          <w:highlight w:val="none"/>
          <w:lang w:val="en-US" w:eastAsia="zh-CN" w:bidi="ar-SA"/>
        </w:rPr>
        <w:t>30.确定成交供应商</w:t>
      </w:r>
      <w:bookmarkEnd w:id="250"/>
      <w:bookmarkEnd w:id="251"/>
      <w:bookmarkEnd w:id="252"/>
      <w:bookmarkEnd w:id="253"/>
      <w:bookmarkEnd w:id="254"/>
      <w:bookmarkEnd w:id="255"/>
      <w:bookmarkEnd w:id="256"/>
      <w:bookmarkEnd w:id="257"/>
      <w:bookmarkEnd w:id="258"/>
      <w:bookmarkEnd w:id="259"/>
      <w:bookmarkEnd w:id="260"/>
    </w:p>
    <w:p w14:paraId="2A96CF82">
      <w:pPr>
        <w:keepNext w:val="0"/>
        <w:keepLines w:val="0"/>
        <w:pageBreakBefore w:val="0"/>
        <w:widowControl w:val="0"/>
        <w:tabs>
          <w:tab w:val="left" w:pos="426"/>
        </w:tabs>
        <w:kinsoku/>
        <w:overflowPunct/>
        <w:topLinePunct w:val="0"/>
        <w:autoSpaceDE w:val="0"/>
        <w:autoSpaceDN w:val="0"/>
        <w:bidi w:val="0"/>
        <w:adjustRightInd w:val="0"/>
        <w:snapToGrid w:val="0"/>
        <w:ind w:firstLine="480" w:firstLineChars="200"/>
        <w:textAlignment w:val="auto"/>
        <w:rPr>
          <w:rFonts w:hint="eastAsia" w:ascii="宋体" w:hAnsi="宋体" w:eastAsia="宋体" w:cs="宋体"/>
          <w:i w:val="0"/>
          <w:iCs w:val="0"/>
          <w:snapToGrid w:val="0"/>
          <w:color w:val="auto"/>
          <w:sz w:val="24"/>
          <w:szCs w:val="24"/>
          <w:highlight w:val="none"/>
          <w:lang w:val="zh-CN"/>
        </w:rPr>
      </w:pPr>
      <w:r>
        <w:rPr>
          <w:rFonts w:hint="eastAsia" w:ascii="宋体" w:hAnsi="宋体" w:eastAsia="宋体" w:cs="宋体"/>
          <w:i w:val="0"/>
          <w:iCs w:val="0"/>
          <w:snapToGrid w:val="0"/>
          <w:color w:val="auto"/>
          <w:sz w:val="24"/>
          <w:szCs w:val="24"/>
          <w:highlight w:val="none"/>
          <w:lang w:val="en-US" w:eastAsia="zh-CN"/>
        </w:rPr>
        <w:t>30</w:t>
      </w:r>
      <w:r>
        <w:rPr>
          <w:rFonts w:hint="eastAsia" w:ascii="宋体" w:hAnsi="宋体" w:eastAsia="宋体" w:cs="宋体"/>
          <w:i w:val="0"/>
          <w:iCs w:val="0"/>
          <w:snapToGrid w:val="0"/>
          <w:color w:val="auto"/>
          <w:sz w:val="24"/>
          <w:szCs w:val="24"/>
          <w:highlight w:val="none"/>
          <w:lang w:val="zh-CN"/>
        </w:rPr>
        <w:t>.1确定成交供应商详见”供应商须知前附表”。</w:t>
      </w:r>
    </w:p>
    <w:p w14:paraId="4B64349D">
      <w:pPr>
        <w:pStyle w:val="5"/>
        <w:keepNext w:val="0"/>
        <w:keepLines w:val="0"/>
        <w:pageBreakBefore w:val="0"/>
        <w:widowControl w:val="0"/>
        <w:numPr>
          <w:ilvl w:val="0"/>
          <w:numId w:val="0"/>
        </w:numPr>
        <w:kinsoku/>
        <w:wordWrap/>
        <w:overflowPunct/>
        <w:topLinePunct w:val="0"/>
        <w:autoSpaceDE/>
        <w:autoSpaceDN/>
        <w:bidi w:val="0"/>
        <w:adjustRightInd/>
        <w:snapToGrid/>
        <w:spacing w:before="80" w:after="80" w:line="240" w:lineRule="auto"/>
        <w:ind w:left="420" w:leftChars="0" w:hanging="420" w:firstLineChars="0"/>
        <w:textAlignment w:val="auto"/>
        <w:rPr>
          <w:rFonts w:hint="eastAsia" w:ascii="宋体" w:hAnsi="宋体" w:eastAsia="宋体" w:cs="宋体"/>
          <w:b/>
          <w:bCs/>
          <w:i w:val="0"/>
          <w:iCs w:val="0"/>
          <w:color w:val="auto"/>
          <w:kern w:val="2"/>
          <w:sz w:val="24"/>
          <w:szCs w:val="24"/>
          <w:highlight w:val="none"/>
          <w:lang w:val="en-US" w:eastAsia="zh-CN" w:bidi="ar-SA"/>
        </w:rPr>
      </w:pPr>
      <w:r>
        <w:rPr>
          <w:rFonts w:hint="eastAsia" w:ascii="宋体" w:hAnsi="宋体" w:eastAsia="宋体" w:cs="宋体"/>
          <w:b/>
          <w:bCs/>
          <w:i w:val="0"/>
          <w:iCs w:val="0"/>
          <w:color w:val="auto"/>
          <w:kern w:val="2"/>
          <w:sz w:val="24"/>
          <w:szCs w:val="24"/>
          <w:highlight w:val="none"/>
          <w:lang w:val="en-US" w:eastAsia="zh-CN" w:bidi="ar-SA"/>
        </w:rPr>
        <w:t>31.成交结果公告</w:t>
      </w:r>
    </w:p>
    <w:p w14:paraId="32E98E3A">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color w:val="auto"/>
          <w:sz w:val="24"/>
          <w:szCs w:val="24"/>
          <w:highlight w:val="none"/>
          <w:lang w:bidi="ar"/>
        </w:rPr>
      </w:pPr>
      <w:r>
        <w:rPr>
          <w:rFonts w:hint="eastAsia" w:ascii="宋体" w:hAnsi="宋体" w:eastAsia="宋体" w:cs="宋体"/>
          <w:i w:val="0"/>
          <w:iCs w:val="0"/>
          <w:snapToGrid w:val="0"/>
          <w:color w:val="auto"/>
          <w:sz w:val="24"/>
          <w:szCs w:val="24"/>
          <w:highlight w:val="none"/>
          <w:lang w:val="en-US" w:eastAsia="zh-CN"/>
        </w:rPr>
        <w:t>31</w:t>
      </w:r>
      <w:r>
        <w:rPr>
          <w:rFonts w:hint="eastAsia" w:ascii="宋体" w:hAnsi="宋体" w:eastAsia="宋体" w:cs="宋体"/>
          <w:i w:val="0"/>
          <w:iCs w:val="0"/>
          <w:snapToGrid w:val="0"/>
          <w:color w:val="auto"/>
          <w:sz w:val="24"/>
          <w:szCs w:val="24"/>
          <w:highlight w:val="none"/>
          <w:lang w:val="zh-CN"/>
        </w:rPr>
        <w:t>.1</w:t>
      </w:r>
      <w:r>
        <w:rPr>
          <w:rFonts w:hint="eastAsia" w:ascii="宋体" w:hAnsi="宋体" w:eastAsia="宋体" w:cs="宋体"/>
          <w:i w:val="0"/>
          <w:iCs w:val="0"/>
          <w:color w:val="auto"/>
          <w:sz w:val="24"/>
          <w:szCs w:val="24"/>
          <w:highlight w:val="none"/>
          <w:lang w:bidi="ar"/>
        </w:rPr>
        <w:t>采购人或者采购代理机构应当在成交供应商确定后2个工作日内，在省级以上财政部门指定的政府采购信息发布媒体上公告成交结果，磋商文件</w:t>
      </w:r>
      <w:r>
        <w:rPr>
          <w:rFonts w:hint="eastAsia" w:ascii="宋体" w:hAnsi="宋体" w:eastAsia="宋体" w:cs="宋体"/>
          <w:i w:val="0"/>
          <w:iCs w:val="0"/>
          <w:color w:val="auto"/>
          <w:sz w:val="24"/>
          <w:szCs w:val="24"/>
          <w:highlight w:val="none"/>
          <w:lang w:eastAsia="zh-CN" w:bidi="ar"/>
        </w:rPr>
        <w:t>、</w:t>
      </w:r>
      <w:r>
        <w:rPr>
          <w:rFonts w:hint="eastAsia" w:ascii="宋体" w:hAnsi="宋体" w:eastAsia="宋体" w:cs="宋体"/>
          <w:bCs/>
          <w:i w:val="0"/>
          <w:iCs w:val="0"/>
          <w:color w:val="auto"/>
          <w:sz w:val="24"/>
          <w:szCs w:val="24"/>
          <w:highlight w:val="none"/>
          <w:lang w:eastAsia="zh-CN"/>
        </w:rPr>
        <w:t>成交</w:t>
      </w:r>
      <w:r>
        <w:rPr>
          <w:rFonts w:hint="eastAsia" w:ascii="宋体" w:hAnsi="宋体" w:eastAsia="宋体" w:cs="宋体"/>
          <w:bCs/>
          <w:i w:val="0"/>
          <w:iCs w:val="0"/>
          <w:color w:val="auto"/>
          <w:sz w:val="24"/>
          <w:szCs w:val="24"/>
          <w:highlight w:val="none"/>
          <w:lang w:val="en-US" w:eastAsia="zh-CN"/>
        </w:rPr>
        <w:t>供应商的评审总得分</w:t>
      </w:r>
      <w:r>
        <w:rPr>
          <w:rFonts w:hint="eastAsia" w:ascii="宋体" w:hAnsi="宋体" w:eastAsia="宋体" w:cs="宋体"/>
          <w:i w:val="0"/>
          <w:iCs w:val="0"/>
          <w:color w:val="auto"/>
          <w:sz w:val="24"/>
          <w:szCs w:val="24"/>
          <w:highlight w:val="none"/>
          <w:lang w:bidi="ar"/>
        </w:rPr>
        <w:t>随成交结果同时公告。</w:t>
      </w:r>
    </w:p>
    <w:p w14:paraId="25AD9E9E">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color w:val="auto"/>
          <w:sz w:val="24"/>
          <w:szCs w:val="24"/>
          <w:highlight w:val="none"/>
          <w:lang w:bidi="ar"/>
        </w:rPr>
      </w:pPr>
      <w:r>
        <w:rPr>
          <w:rFonts w:hint="eastAsia" w:ascii="宋体" w:hAnsi="宋体" w:eastAsia="宋体" w:cs="宋体"/>
          <w:bCs/>
          <w:i w:val="0"/>
          <w:iCs w:val="0"/>
          <w:color w:val="auto"/>
          <w:sz w:val="24"/>
          <w:szCs w:val="24"/>
          <w:highlight w:val="none"/>
        </w:rPr>
        <w:t>3</w:t>
      </w:r>
      <w:r>
        <w:rPr>
          <w:rFonts w:hint="eastAsia" w:ascii="宋体" w:hAnsi="宋体" w:eastAsia="宋体" w:cs="宋体"/>
          <w:bCs/>
          <w:i w:val="0"/>
          <w:iCs w:val="0"/>
          <w:color w:val="auto"/>
          <w:sz w:val="24"/>
          <w:szCs w:val="24"/>
          <w:highlight w:val="none"/>
          <w:lang w:val="en-US" w:eastAsia="zh-CN"/>
        </w:rPr>
        <w:t>1</w:t>
      </w:r>
      <w:r>
        <w:rPr>
          <w:rFonts w:hint="eastAsia" w:ascii="宋体" w:hAnsi="宋体" w:eastAsia="宋体" w:cs="宋体"/>
          <w:bCs/>
          <w:i w:val="0"/>
          <w:iCs w:val="0"/>
          <w:color w:val="auto"/>
          <w:sz w:val="24"/>
          <w:szCs w:val="24"/>
          <w:highlight w:val="none"/>
        </w:rPr>
        <w:t>.2</w:t>
      </w:r>
      <w:r>
        <w:rPr>
          <w:rFonts w:hint="eastAsia" w:ascii="宋体" w:hAnsi="宋体" w:eastAsia="宋体" w:cs="宋体"/>
          <w:bCs/>
          <w:i w:val="0"/>
          <w:iCs w:val="0"/>
          <w:color w:val="auto"/>
          <w:sz w:val="24"/>
          <w:szCs w:val="24"/>
          <w:highlight w:val="none"/>
          <w:lang w:eastAsia="zh-CN"/>
        </w:rPr>
        <w:t>成交</w:t>
      </w:r>
      <w:r>
        <w:rPr>
          <w:rFonts w:hint="eastAsia" w:ascii="宋体" w:hAnsi="宋体" w:eastAsia="宋体" w:cs="宋体"/>
          <w:bCs/>
          <w:i w:val="0"/>
          <w:iCs w:val="0"/>
          <w:color w:val="auto"/>
          <w:sz w:val="24"/>
          <w:szCs w:val="24"/>
          <w:highlight w:val="none"/>
          <w:lang w:val="en-US" w:eastAsia="zh-CN"/>
        </w:rPr>
        <w:t>人</w:t>
      </w:r>
      <w:r>
        <w:rPr>
          <w:rFonts w:hint="eastAsia" w:ascii="宋体" w:hAnsi="宋体" w:eastAsia="宋体" w:cs="宋体"/>
          <w:bCs/>
          <w:i w:val="0"/>
          <w:iCs w:val="0"/>
          <w:color w:val="auto"/>
          <w:sz w:val="24"/>
          <w:szCs w:val="24"/>
          <w:highlight w:val="none"/>
          <w:lang w:eastAsia="zh-CN"/>
        </w:rPr>
        <w:t>为中小企业</w:t>
      </w:r>
      <w:r>
        <w:rPr>
          <w:rFonts w:hint="eastAsia" w:ascii="宋体" w:hAnsi="宋体" w:eastAsia="宋体" w:cs="宋体"/>
          <w:bCs/>
          <w:i w:val="0"/>
          <w:iCs w:val="0"/>
          <w:color w:val="auto"/>
          <w:sz w:val="24"/>
          <w:szCs w:val="24"/>
          <w:highlight w:val="none"/>
          <w:lang w:val="en-US" w:eastAsia="zh-CN"/>
        </w:rPr>
        <w:t>享受中小企业扶持政策的</w:t>
      </w:r>
      <w:r>
        <w:rPr>
          <w:rFonts w:hint="eastAsia" w:ascii="宋体" w:hAnsi="宋体" w:eastAsia="宋体" w:cs="宋体"/>
          <w:bCs/>
          <w:i w:val="0"/>
          <w:iCs w:val="0"/>
          <w:color w:val="auto"/>
          <w:sz w:val="24"/>
          <w:szCs w:val="24"/>
          <w:highlight w:val="none"/>
          <w:lang w:eastAsia="zh-CN"/>
        </w:rPr>
        <w:t>，其“中小企业声明函”随成交结果同时公告。成交</w:t>
      </w:r>
      <w:r>
        <w:rPr>
          <w:rFonts w:hint="eastAsia" w:ascii="宋体" w:hAnsi="宋体" w:eastAsia="宋体" w:cs="宋体"/>
          <w:bCs/>
          <w:i w:val="0"/>
          <w:iCs w:val="0"/>
          <w:color w:val="auto"/>
          <w:sz w:val="24"/>
          <w:szCs w:val="24"/>
          <w:highlight w:val="none"/>
          <w:lang w:val="en-US" w:eastAsia="zh-CN"/>
        </w:rPr>
        <w:t>人</w:t>
      </w:r>
      <w:r>
        <w:rPr>
          <w:rFonts w:hint="eastAsia" w:ascii="宋体" w:hAnsi="宋体" w:eastAsia="宋体" w:cs="宋体"/>
          <w:bCs/>
          <w:i w:val="0"/>
          <w:iCs w:val="0"/>
          <w:color w:val="auto"/>
          <w:sz w:val="24"/>
          <w:szCs w:val="24"/>
          <w:highlight w:val="none"/>
          <w:lang w:eastAsia="zh-CN"/>
        </w:rPr>
        <w:t>为残疾人福利性单位的，其“残疾人福利性单位声明函”随成交结果同时公告。</w:t>
      </w:r>
    </w:p>
    <w:p w14:paraId="4CB6B367">
      <w:pPr>
        <w:pStyle w:val="5"/>
        <w:keepNext w:val="0"/>
        <w:keepLines w:val="0"/>
        <w:pageBreakBefore w:val="0"/>
        <w:widowControl w:val="0"/>
        <w:numPr>
          <w:ilvl w:val="0"/>
          <w:numId w:val="0"/>
        </w:numPr>
        <w:kinsoku/>
        <w:wordWrap/>
        <w:overflowPunct/>
        <w:topLinePunct w:val="0"/>
        <w:autoSpaceDE/>
        <w:autoSpaceDN/>
        <w:bidi w:val="0"/>
        <w:adjustRightInd/>
        <w:snapToGrid/>
        <w:spacing w:before="80" w:after="80" w:line="240" w:lineRule="auto"/>
        <w:ind w:left="420" w:leftChars="0" w:hanging="420" w:firstLineChars="0"/>
        <w:textAlignment w:val="auto"/>
        <w:rPr>
          <w:rFonts w:hint="eastAsia" w:ascii="宋体" w:hAnsi="宋体" w:eastAsia="宋体" w:cs="宋体"/>
          <w:b/>
          <w:bCs/>
          <w:i w:val="0"/>
          <w:iCs w:val="0"/>
          <w:color w:val="auto"/>
          <w:kern w:val="2"/>
          <w:sz w:val="24"/>
          <w:szCs w:val="24"/>
          <w:highlight w:val="none"/>
          <w:lang w:val="en-US" w:eastAsia="zh-CN" w:bidi="ar-SA"/>
        </w:rPr>
      </w:pPr>
      <w:r>
        <w:rPr>
          <w:rFonts w:hint="eastAsia" w:ascii="宋体" w:hAnsi="宋体" w:eastAsia="宋体" w:cs="宋体"/>
          <w:b/>
          <w:bCs/>
          <w:i w:val="0"/>
          <w:iCs w:val="0"/>
          <w:color w:val="auto"/>
          <w:kern w:val="2"/>
          <w:sz w:val="24"/>
          <w:szCs w:val="24"/>
          <w:highlight w:val="none"/>
          <w:lang w:val="en-US" w:eastAsia="zh-CN" w:bidi="ar-SA"/>
        </w:rPr>
        <w:t>32.成交通知书</w:t>
      </w:r>
    </w:p>
    <w:p w14:paraId="3F3AC502">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snapToGrid w:val="0"/>
          <w:color w:val="auto"/>
          <w:sz w:val="24"/>
          <w:szCs w:val="24"/>
          <w:highlight w:val="none"/>
          <w:lang w:val="zh-CN"/>
        </w:rPr>
      </w:pPr>
      <w:r>
        <w:rPr>
          <w:rFonts w:hint="eastAsia" w:ascii="宋体" w:hAnsi="宋体" w:eastAsia="宋体" w:cs="宋体"/>
          <w:i w:val="0"/>
          <w:iCs w:val="0"/>
          <w:snapToGrid w:val="0"/>
          <w:color w:val="auto"/>
          <w:sz w:val="24"/>
          <w:szCs w:val="24"/>
          <w:highlight w:val="none"/>
          <w:lang w:val="en-US" w:eastAsia="zh-CN"/>
        </w:rPr>
        <w:t>32</w:t>
      </w:r>
      <w:r>
        <w:rPr>
          <w:rFonts w:hint="eastAsia" w:ascii="宋体" w:hAnsi="宋体" w:eastAsia="宋体" w:cs="宋体"/>
          <w:i w:val="0"/>
          <w:iCs w:val="0"/>
          <w:snapToGrid w:val="0"/>
          <w:color w:val="auto"/>
          <w:sz w:val="24"/>
          <w:szCs w:val="24"/>
          <w:highlight w:val="none"/>
          <w:lang w:val="zh-CN"/>
        </w:rPr>
        <w:t>.1发布成交结果公告同时向成交供应商发出成交通知书。成交通知书是合同的组成部分,对成交供应商和采购人具有同等法律效力。</w:t>
      </w:r>
    </w:p>
    <w:p w14:paraId="3E2C2D81">
      <w:pPr>
        <w:pStyle w:val="4"/>
        <w:keepNext w:val="0"/>
        <w:keepLines w:val="0"/>
        <w:pageBreakBefore w:val="0"/>
        <w:widowControl w:val="0"/>
        <w:numPr>
          <w:ilvl w:val="0"/>
          <w:numId w:val="0"/>
        </w:numPr>
        <w:kinsoku/>
        <w:wordWrap/>
        <w:overflowPunct/>
        <w:topLinePunct w:val="0"/>
        <w:autoSpaceDE/>
        <w:autoSpaceDN/>
        <w:bidi w:val="0"/>
        <w:adjustRightInd/>
        <w:snapToGrid/>
        <w:spacing w:before="140" w:after="140" w:line="240" w:lineRule="auto"/>
        <w:ind w:left="420" w:leftChars="0" w:hanging="420" w:firstLineChars="0"/>
        <w:textAlignment w:val="auto"/>
        <w:rPr>
          <w:rFonts w:hint="eastAsia" w:ascii="宋体" w:hAnsi="宋体" w:eastAsia="宋体" w:cs="宋体"/>
          <w:b/>
          <w:bCs/>
          <w:i w:val="0"/>
          <w:iCs w:val="0"/>
          <w:color w:val="auto"/>
          <w:kern w:val="2"/>
          <w:sz w:val="24"/>
          <w:szCs w:val="24"/>
          <w:highlight w:val="none"/>
          <w:lang w:val="en-US" w:eastAsia="zh-CN" w:bidi="ar-SA"/>
        </w:rPr>
      </w:pPr>
      <w:bookmarkStart w:id="262" w:name="_Toc24250"/>
      <w:bookmarkStart w:id="263" w:name="_Toc163493617"/>
      <w:bookmarkStart w:id="264" w:name="_Toc2320"/>
      <w:bookmarkStart w:id="265" w:name="_Toc2979"/>
      <w:r>
        <w:rPr>
          <w:rFonts w:hint="eastAsia" w:ascii="宋体" w:hAnsi="宋体" w:eastAsia="宋体" w:cs="宋体"/>
          <w:b/>
          <w:bCs/>
          <w:i w:val="0"/>
          <w:iCs w:val="0"/>
          <w:color w:val="auto"/>
          <w:kern w:val="2"/>
          <w:sz w:val="24"/>
          <w:szCs w:val="24"/>
          <w:highlight w:val="none"/>
          <w:lang w:val="en-US" w:eastAsia="zh-CN" w:bidi="ar-SA"/>
        </w:rPr>
        <w:t>（九）签订合同</w:t>
      </w:r>
      <w:bookmarkEnd w:id="262"/>
      <w:bookmarkEnd w:id="263"/>
      <w:bookmarkEnd w:id="264"/>
      <w:bookmarkEnd w:id="265"/>
    </w:p>
    <w:p w14:paraId="6F871425">
      <w:pPr>
        <w:pStyle w:val="5"/>
        <w:keepNext w:val="0"/>
        <w:keepLines w:val="0"/>
        <w:pageBreakBefore w:val="0"/>
        <w:widowControl w:val="0"/>
        <w:numPr>
          <w:ilvl w:val="0"/>
          <w:numId w:val="0"/>
        </w:numPr>
        <w:kinsoku/>
        <w:wordWrap/>
        <w:overflowPunct/>
        <w:topLinePunct w:val="0"/>
        <w:autoSpaceDE/>
        <w:autoSpaceDN/>
        <w:bidi w:val="0"/>
        <w:adjustRightInd/>
        <w:snapToGrid/>
        <w:spacing w:before="80" w:after="80" w:line="240" w:lineRule="auto"/>
        <w:ind w:left="420" w:leftChars="0" w:hanging="420" w:firstLineChars="0"/>
        <w:textAlignment w:val="auto"/>
        <w:rPr>
          <w:rFonts w:hint="eastAsia" w:ascii="宋体" w:hAnsi="宋体" w:eastAsia="宋体" w:cs="宋体"/>
          <w:b/>
          <w:bCs/>
          <w:i w:val="0"/>
          <w:iCs w:val="0"/>
          <w:color w:val="auto"/>
          <w:kern w:val="2"/>
          <w:sz w:val="24"/>
          <w:szCs w:val="24"/>
          <w:highlight w:val="none"/>
          <w:lang w:val="en-US" w:eastAsia="zh-CN" w:bidi="ar-SA"/>
        </w:rPr>
      </w:pPr>
      <w:bookmarkStart w:id="266" w:name="_Toc109899565"/>
      <w:bookmarkStart w:id="267" w:name="_Toc46772273"/>
      <w:bookmarkStart w:id="268" w:name="_Toc109900403"/>
      <w:bookmarkStart w:id="269" w:name="_Toc52960585"/>
      <w:bookmarkStart w:id="270" w:name="_Toc46771672"/>
      <w:bookmarkStart w:id="271" w:name="_Toc109899984"/>
      <w:bookmarkStart w:id="272" w:name="_Toc109897466"/>
      <w:bookmarkStart w:id="273" w:name="_Toc51674243"/>
      <w:bookmarkStart w:id="274" w:name="_Toc48846141"/>
      <w:bookmarkStart w:id="275" w:name="_Toc52962759"/>
      <w:bookmarkStart w:id="276" w:name="_Toc48688821"/>
      <w:r>
        <w:rPr>
          <w:rFonts w:hint="eastAsia" w:ascii="宋体" w:hAnsi="宋体" w:eastAsia="宋体" w:cs="宋体"/>
          <w:b/>
          <w:bCs/>
          <w:i w:val="0"/>
          <w:iCs w:val="0"/>
          <w:color w:val="auto"/>
          <w:kern w:val="2"/>
          <w:sz w:val="24"/>
          <w:szCs w:val="24"/>
          <w:highlight w:val="none"/>
          <w:lang w:val="en-US" w:eastAsia="zh-CN" w:bidi="ar-SA"/>
        </w:rPr>
        <w:t>33.履约保证金</w:t>
      </w:r>
    </w:p>
    <w:p w14:paraId="2934878C">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3</w:t>
      </w:r>
      <w:r>
        <w:rPr>
          <w:rFonts w:hint="eastAsia" w:ascii="宋体" w:hAnsi="宋体" w:eastAsia="宋体" w:cs="宋体"/>
          <w:i w:val="0"/>
          <w:iCs w:val="0"/>
          <w:color w:val="auto"/>
          <w:sz w:val="24"/>
          <w:szCs w:val="24"/>
          <w:highlight w:val="none"/>
          <w:lang w:val="en-US" w:eastAsia="zh-CN"/>
        </w:rPr>
        <w:t>3</w:t>
      </w:r>
      <w:r>
        <w:rPr>
          <w:rFonts w:hint="eastAsia" w:ascii="宋体" w:hAnsi="宋体" w:eastAsia="宋体" w:cs="宋体"/>
          <w:i w:val="0"/>
          <w:iCs w:val="0"/>
          <w:color w:val="auto"/>
          <w:sz w:val="24"/>
          <w:szCs w:val="24"/>
          <w:highlight w:val="none"/>
        </w:rPr>
        <w:t>.1在签订合同前，成交供应商应按“供应商须知前附表”规定的金额、担保形式和采购人认可的履约担保格式向采购人提交履约保证金。</w:t>
      </w:r>
    </w:p>
    <w:p w14:paraId="429BB4A0">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3</w:t>
      </w:r>
      <w:r>
        <w:rPr>
          <w:rFonts w:hint="eastAsia" w:ascii="宋体" w:hAnsi="宋体" w:eastAsia="宋体" w:cs="宋体"/>
          <w:i w:val="0"/>
          <w:iCs w:val="0"/>
          <w:color w:val="auto"/>
          <w:sz w:val="24"/>
          <w:szCs w:val="24"/>
          <w:highlight w:val="none"/>
          <w:lang w:val="en-US" w:eastAsia="zh-CN"/>
        </w:rPr>
        <w:t>3</w:t>
      </w:r>
      <w:r>
        <w:rPr>
          <w:rFonts w:hint="eastAsia" w:ascii="宋体" w:hAnsi="宋体" w:eastAsia="宋体" w:cs="宋体"/>
          <w:i w:val="0"/>
          <w:iCs w:val="0"/>
          <w:color w:val="auto"/>
          <w:sz w:val="24"/>
          <w:szCs w:val="24"/>
          <w:highlight w:val="none"/>
        </w:rPr>
        <w:t>.2成交供应商不能按本章第3</w:t>
      </w:r>
      <w:r>
        <w:rPr>
          <w:rFonts w:hint="eastAsia" w:ascii="宋体" w:hAnsi="宋体" w:eastAsia="宋体" w:cs="宋体"/>
          <w:i w:val="0"/>
          <w:iCs w:val="0"/>
          <w:color w:val="auto"/>
          <w:sz w:val="24"/>
          <w:szCs w:val="24"/>
          <w:highlight w:val="none"/>
          <w:lang w:val="en-US" w:eastAsia="zh-CN"/>
        </w:rPr>
        <w:t>3</w:t>
      </w:r>
      <w:r>
        <w:rPr>
          <w:rFonts w:hint="eastAsia" w:ascii="宋体" w:hAnsi="宋体" w:eastAsia="宋体" w:cs="宋体"/>
          <w:i w:val="0"/>
          <w:iCs w:val="0"/>
          <w:color w:val="auto"/>
          <w:sz w:val="24"/>
          <w:szCs w:val="24"/>
          <w:highlight w:val="none"/>
        </w:rPr>
        <w:t>.1项要求提交履约担保的，视为放弃成交，给采购人造成损失的，成交供应商还应当承担民事责任。</w:t>
      </w:r>
    </w:p>
    <w:p w14:paraId="2B0382DC">
      <w:pPr>
        <w:pStyle w:val="5"/>
        <w:keepNext w:val="0"/>
        <w:keepLines w:val="0"/>
        <w:pageBreakBefore w:val="0"/>
        <w:widowControl w:val="0"/>
        <w:numPr>
          <w:ilvl w:val="0"/>
          <w:numId w:val="0"/>
        </w:numPr>
        <w:kinsoku/>
        <w:wordWrap/>
        <w:overflowPunct/>
        <w:topLinePunct w:val="0"/>
        <w:autoSpaceDE/>
        <w:autoSpaceDN/>
        <w:bidi w:val="0"/>
        <w:adjustRightInd/>
        <w:snapToGrid/>
        <w:spacing w:before="80" w:after="80" w:line="240" w:lineRule="auto"/>
        <w:ind w:left="420" w:leftChars="0" w:hanging="420" w:firstLineChars="0"/>
        <w:textAlignment w:val="auto"/>
        <w:rPr>
          <w:rFonts w:hint="eastAsia" w:ascii="宋体" w:hAnsi="宋体" w:eastAsia="宋体" w:cs="宋体"/>
          <w:b/>
          <w:bCs/>
          <w:i w:val="0"/>
          <w:iCs w:val="0"/>
          <w:color w:val="auto"/>
          <w:kern w:val="2"/>
          <w:sz w:val="24"/>
          <w:szCs w:val="24"/>
          <w:highlight w:val="none"/>
          <w:lang w:val="en-US" w:eastAsia="zh-CN" w:bidi="ar-SA"/>
        </w:rPr>
      </w:pPr>
      <w:r>
        <w:rPr>
          <w:rFonts w:hint="eastAsia" w:ascii="宋体" w:hAnsi="宋体" w:eastAsia="宋体" w:cs="宋体"/>
          <w:b/>
          <w:bCs/>
          <w:i w:val="0"/>
          <w:iCs w:val="0"/>
          <w:color w:val="auto"/>
          <w:kern w:val="2"/>
          <w:sz w:val="24"/>
          <w:szCs w:val="24"/>
          <w:highlight w:val="none"/>
          <w:lang w:val="en-US" w:eastAsia="zh-CN" w:bidi="ar-SA"/>
        </w:rPr>
        <w:t>34.签订合同</w:t>
      </w:r>
      <w:bookmarkEnd w:id="266"/>
      <w:bookmarkEnd w:id="267"/>
      <w:bookmarkEnd w:id="268"/>
      <w:bookmarkEnd w:id="269"/>
      <w:bookmarkEnd w:id="270"/>
      <w:bookmarkEnd w:id="271"/>
      <w:bookmarkEnd w:id="272"/>
      <w:bookmarkEnd w:id="273"/>
      <w:bookmarkEnd w:id="274"/>
      <w:bookmarkEnd w:id="275"/>
      <w:bookmarkEnd w:id="276"/>
    </w:p>
    <w:p w14:paraId="77507EBB">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snapToGrid w:val="0"/>
          <w:color w:val="auto"/>
          <w:sz w:val="24"/>
          <w:szCs w:val="24"/>
          <w:highlight w:val="none"/>
          <w:lang w:val="zh-CN"/>
        </w:rPr>
        <w:t>3</w:t>
      </w:r>
      <w:r>
        <w:rPr>
          <w:rFonts w:hint="eastAsia" w:ascii="宋体" w:hAnsi="宋体" w:eastAsia="宋体" w:cs="宋体"/>
          <w:i w:val="0"/>
          <w:iCs w:val="0"/>
          <w:snapToGrid w:val="0"/>
          <w:color w:val="auto"/>
          <w:sz w:val="24"/>
          <w:szCs w:val="24"/>
          <w:highlight w:val="none"/>
          <w:lang w:val="en-US" w:eastAsia="zh-CN"/>
        </w:rPr>
        <w:t>4</w:t>
      </w:r>
      <w:r>
        <w:rPr>
          <w:rFonts w:hint="eastAsia" w:ascii="宋体" w:hAnsi="宋体" w:eastAsia="宋体" w:cs="宋体"/>
          <w:i w:val="0"/>
          <w:iCs w:val="0"/>
          <w:snapToGrid w:val="0"/>
          <w:color w:val="auto"/>
          <w:sz w:val="24"/>
          <w:szCs w:val="24"/>
          <w:highlight w:val="none"/>
          <w:lang w:val="zh-CN"/>
        </w:rPr>
        <w:t>.1采购人与成交供应商应当在成交通知书发出之日起</w:t>
      </w:r>
      <w:r>
        <w:rPr>
          <w:rFonts w:hint="eastAsia" w:ascii="宋体" w:hAnsi="宋体" w:eastAsia="宋体" w:cs="宋体"/>
          <w:i w:val="0"/>
          <w:iCs w:val="0"/>
          <w:snapToGrid w:val="0"/>
          <w:color w:val="auto"/>
          <w:sz w:val="24"/>
          <w:szCs w:val="24"/>
          <w:highlight w:val="none"/>
          <w:lang w:val="en-US" w:eastAsia="zh-CN"/>
        </w:rPr>
        <w:t>25</w:t>
      </w:r>
      <w:r>
        <w:rPr>
          <w:rFonts w:hint="eastAsia" w:ascii="宋体" w:hAnsi="宋体" w:eastAsia="宋体" w:cs="宋体"/>
          <w:i w:val="0"/>
          <w:iCs w:val="0"/>
          <w:snapToGrid w:val="0"/>
          <w:color w:val="auto"/>
          <w:sz w:val="24"/>
          <w:szCs w:val="24"/>
          <w:highlight w:val="none"/>
          <w:lang w:val="zh-CN"/>
        </w:rPr>
        <w:t>日内，按照磋商文件确定的合同文本以及采购标的、规格型号、采购金额、采购数量、技术和服务要求等事项签订政府采购合同。</w:t>
      </w:r>
      <w:r>
        <w:rPr>
          <w:rFonts w:hint="eastAsia" w:ascii="宋体" w:hAnsi="宋体" w:eastAsia="宋体" w:cs="宋体"/>
          <w:i w:val="0"/>
          <w:iCs w:val="0"/>
          <w:color w:val="auto"/>
          <w:sz w:val="24"/>
          <w:szCs w:val="24"/>
          <w:highlight w:val="none"/>
        </w:rPr>
        <w:t>采购人因不可抗力原因迟延签订合同的，应当自不可抗力事由消除之日起7日内完成合同签订事宜。所签订的合同不得对</w:t>
      </w:r>
      <w:r>
        <w:rPr>
          <w:rFonts w:hint="eastAsia" w:ascii="宋体" w:hAnsi="宋体" w:eastAsia="宋体" w:cs="宋体"/>
          <w:i w:val="0"/>
          <w:iCs w:val="0"/>
          <w:color w:val="auto"/>
          <w:sz w:val="24"/>
          <w:szCs w:val="24"/>
          <w:highlight w:val="none"/>
          <w:lang w:val="en-US" w:eastAsia="zh-CN"/>
        </w:rPr>
        <w:t>磋商</w:t>
      </w:r>
      <w:r>
        <w:rPr>
          <w:rFonts w:hint="eastAsia" w:ascii="宋体" w:hAnsi="宋体" w:eastAsia="宋体" w:cs="宋体"/>
          <w:i w:val="0"/>
          <w:iCs w:val="0"/>
          <w:color w:val="auto"/>
          <w:sz w:val="24"/>
          <w:szCs w:val="24"/>
          <w:highlight w:val="none"/>
        </w:rPr>
        <w:t>文件和</w:t>
      </w:r>
      <w:r>
        <w:rPr>
          <w:rFonts w:hint="eastAsia" w:ascii="宋体" w:hAnsi="宋体" w:eastAsia="宋体" w:cs="宋体"/>
          <w:i w:val="0"/>
          <w:iCs w:val="0"/>
          <w:color w:val="auto"/>
          <w:sz w:val="24"/>
          <w:szCs w:val="24"/>
          <w:highlight w:val="none"/>
          <w:lang w:val="en-US" w:eastAsia="zh-CN"/>
        </w:rPr>
        <w:t>成交供应商响应</w:t>
      </w:r>
      <w:r>
        <w:rPr>
          <w:rFonts w:hint="eastAsia" w:ascii="宋体" w:hAnsi="宋体" w:eastAsia="宋体" w:cs="宋体"/>
          <w:i w:val="0"/>
          <w:iCs w:val="0"/>
          <w:color w:val="auto"/>
          <w:sz w:val="24"/>
          <w:szCs w:val="24"/>
          <w:highlight w:val="none"/>
        </w:rPr>
        <w:t>文件作实质性修改。</w:t>
      </w:r>
      <w:r>
        <w:rPr>
          <w:rFonts w:hint="eastAsia" w:ascii="宋体" w:hAnsi="宋体" w:eastAsia="宋体" w:cs="宋体"/>
          <w:i w:val="0"/>
          <w:iCs w:val="0"/>
          <w:color w:val="auto"/>
          <w:sz w:val="24"/>
          <w:szCs w:val="24"/>
          <w:highlight w:val="none"/>
          <w:lang w:val="en-US" w:eastAsia="zh-CN"/>
        </w:rPr>
        <w:t>成交</w:t>
      </w:r>
      <w:r>
        <w:rPr>
          <w:rFonts w:hint="eastAsia" w:ascii="宋体" w:hAnsi="宋体" w:eastAsia="宋体" w:cs="宋体"/>
          <w:i w:val="0"/>
          <w:iCs w:val="0"/>
          <w:color w:val="auto"/>
          <w:sz w:val="24"/>
          <w:szCs w:val="24"/>
          <w:highlight w:val="none"/>
        </w:rPr>
        <w:t>人无正当理由拒签合同，给采购人造成损失的，</w:t>
      </w:r>
      <w:r>
        <w:rPr>
          <w:rFonts w:hint="eastAsia" w:ascii="宋体" w:hAnsi="宋体" w:eastAsia="宋体" w:cs="宋体"/>
          <w:i w:val="0"/>
          <w:iCs w:val="0"/>
          <w:color w:val="auto"/>
          <w:sz w:val="24"/>
          <w:szCs w:val="24"/>
          <w:highlight w:val="none"/>
          <w:lang w:val="en-US" w:eastAsia="zh-CN"/>
        </w:rPr>
        <w:t>成交</w:t>
      </w:r>
      <w:r>
        <w:rPr>
          <w:rFonts w:hint="eastAsia" w:ascii="宋体" w:hAnsi="宋体" w:eastAsia="宋体" w:cs="宋体"/>
          <w:i w:val="0"/>
          <w:iCs w:val="0"/>
          <w:color w:val="auto"/>
          <w:sz w:val="24"/>
          <w:szCs w:val="24"/>
          <w:highlight w:val="none"/>
        </w:rPr>
        <w:t>人还应当承担民事责任。</w:t>
      </w:r>
    </w:p>
    <w:p w14:paraId="631AC2E0">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color w:val="auto"/>
          <w:sz w:val="24"/>
          <w:szCs w:val="24"/>
          <w:highlight w:val="none"/>
          <w:lang w:val="zh-CN"/>
        </w:rPr>
      </w:pPr>
      <w:r>
        <w:rPr>
          <w:rFonts w:hint="eastAsia" w:ascii="宋体" w:hAnsi="宋体" w:eastAsia="宋体" w:cs="宋体"/>
          <w:i w:val="0"/>
          <w:iCs w:val="0"/>
          <w:color w:val="auto"/>
          <w:sz w:val="24"/>
          <w:szCs w:val="24"/>
          <w:highlight w:val="none"/>
        </w:rPr>
        <w:t>3</w:t>
      </w:r>
      <w:r>
        <w:rPr>
          <w:rFonts w:hint="eastAsia" w:ascii="宋体" w:hAnsi="宋体" w:eastAsia="宋体" w:cs="宋体"/>
          <w:i w:val="0"/>
          <w:iCs w:val="0"/>
          <w:color w:val="auto"/>
          <w:sz w:val="24"/>
          <w:szCs w:val="24"/>
          <w:highlight w:val="none"/>
          <w:lang w:val="en-US" w:eastAsia="zh-CN"/>
        </w:rPr>
        <w:t>4</w:t>
      </w:r>
      <w:r>
        <w:rPr>
          <w:rFonts w:hint="eastAsia" w:ascii="宋体" w:hAnsi="宋体" w:eastAsia="宋体" w:cs="宋体"/>
          <w:i w:val="0"/>
          <w:iCs w:val="0"/>
          <w:color w:val="auto"/>
          <w:sz w:val="24"/>
          <w:szCs w:val="24"/>
          <w:highlight w:val="none"/>
        </w:rPr>
        <w:t>.2</w:t>
      </w:r>
      <w:r>
        <w:rPr>
          <w:rFonts w:hint="eastAsia" w:ascii="宋体" w:hAnsi="宋体" w:eastAsia="宋体" w:cs="宋体"/>
          <w:i w:val="0"/>
          <w:iCs w:val="0"/>
          <w:color w:val="auto"/>
          <w:sz w:val="24"/>
          <w:szCs w:val="24"/>
          <w:highlight w:val="none"/>
          <w:lang w:val="zh-CN"/>
        </w:rPr>
        <w:t>成交供应商拒绝签订政府采购合同的，采购人可以</w:t>
      </w:r>
      <w:r>
        <w:rPr>
          <w:rFonts w:hint="eastAsia" w:ascii="宋体" w:hAnsi="宋体" w:eastAsia="宋体" w:cs="宋体"/>
          <w:i w:val="0"/>
          <w:iCs w:val="0"/>
          <w:color w:val="auto"/>
          <w:sz w:val="24"/>
          <w:szCs w:val="24"/>
          <w:highlight w:val="none"/>
          <w:lang w:val="en-US" w:eastAsia="zh-CN"/>
        </w:rPr>
        <w:t>按照</w:t>
      </w:r>
      <w:r>
        <w:rPr>
          <w:rFonts w:hint="eastAsia" w:ascii="宋体" w:hAnsi="宋体" w:eastAsia="宋体" w:cs="宋体"/>
          <w:i w:val="0"/>
          <w:iCs w:val="0"/>
          <w:color w:val="auto"/>
          <w:sz w:val="24"/>
          <w:szCs w:val="24"/>
          <w:highlight w:val="none"/>
          <w:lang w:val="zh-CN"/>
        </w:rPr>
        <w:t>《政府采购竞争性磋商采购方式管理暂行办法》（财库〔2014〕214号）第二十八条第二款的规定确定其他供应商作为成交供应商并签订政府采购合同，也可以重新开展采购活动。拒绝签订政府采购合同的成交供应商不得参加对该项目重新开展的采购活动。</w:t>
      </w:r>
    </w:p>
    <w:p w14:paraId="116F4558">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color w:val="auto"/>
          <w:sz w:val="24"/>
          <w:szCs w:val="24"/>
          <w:highlight w:val="none"/>
        </w:rPr>
      </w:pPr>
      <w:r>
        <w:rPr>
          <w:rFonts w:hint="eastAsia" w:ascii="宋体" w:hAnsi="宋体" w:eastAsia="宋体" w:cs="宋体"/>
          <w:bCs/>
          <w:i w:val="0"/>
          <w:iCs w:val="0"/>
          <w:color w:val="auto"/>
          <w:sz w:val="24"/>
          <w:szCs w:val="24"/>
          <w:highlight w:val="none"/>
        </w:rPr>
        <w:t>3</w:t>
      </w:r>
      <w:r>
        <w:rPr>
          <w:rFonts w:hint="eastAsia" w:ascii="宋体" w:hAnsi="宋体" w:eastAsia="宋体" w:cs="宋体"/>
          <w:bCs/>
          <w:i w:val="0"/>
          <w:iCs w:val="0"/>
          <w:color w:val="auto"/>
          <w:sz w:val="24"/>
          <w:szCs w:val="24"/>
          <w:highlight w:val="none"/>
          <w:lang w:val="en-US" w:eastAsia="zh-CN"/>
        </w:rPr>
        <w:t>4</w:t>
      </w:r>
      <w:r>
        <w:rPr>
          <w:rFonts w:hint="eastAsia" w:ascii="宋体" w:hAnsi="宋体" w:eastAsia="宋体" w:cs="宋体"/>
          <w:bCs/>
          <w:i w:val="0"/>
          <w:iCs w:val="0"/>
          <w:color w:val="auto"/>
          <w:sz w:val="24"/>
          <w:szCs w:val="24"/>
          <w:highlight w:val="none"/>
        </w:rPr>
        <w:t>.3</w:t>
      </w:r>
      <w:r>
        <w:rPr>
          <w:rFonts w:hint="eastAsia" w:ascii="宋体" w:hAnsi="宋体" w:eastAsia="宋体" w:cs="宋体"/>
          <w:i w:val="0"/>
          <w:iCs w:val="0"/>
          <w:color w:val="auto"/>
          <w:sz w:val="24"/>
          <w:szCs w:val="24"/>
          <w:highlight w:val="none"/>
        </w:rPr>
        <w:t>采购人和</w:t>
      </w:r>
      <w:r>
        <w:rPr>
          <w:rFonts w:hint="eastAsia" w:ascii="宋体" w:hAnsi="宋体" w:eastAsia="宋体" w:cs="宋体"/>
          <w:i w:val="0"/>
          <w:iCs w:val="0"/>
          <w:color w:val="auto"/>
          <w:sz w:val="24"/>
          <w:szCs w:val="24"/>
          <w:highlight w:val="none"/>
          <w:lang w:val="en-US" w:eastAsia="zh-CN"/>
        </w:rPr>
        <w:t>成交</w:t>
      </w:r>
      <w:r>
        <w:rPr>
          <w:rFonts w:hint="eastAsia" w:ascii="宋体" w:hAnsi="宋体" w:eastAsia="宋体" w:cs="宋体"/>
          <w:i w:val="0"/>
          <w:iCs w:val="0"/>
          <w:color w:val="auto"/>
          <w:sz w:val="24"/>
          <w:szCs w:val="24"/>
          <w:highlight w:val="none"/>
        </w:rPr>
        <w:t>供应商不得向对方提出任何不合理的要求，作为签订合同的条件，双方不得私下订立背离合同实质性内容的协议。</w:t>
      </w:r>
    </w:p>
    <w:p w14:paraId="1585C775">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34.4联合体成交的，联合体各方应当共同与采购人签订合同，就采购合同约定的事项向采购人承担连带责任。</w:t>
      </w:r>
    </w:p>
    <w:p w14:paraId="53A85602">
      <w:pPr>
        <w:pStyle w:val="35"/>
        <w:keepNext w:val="0"/>
        <w:keepLines w:val="0"/>
        <w:pageBreakBefore w:val="0"/>
        <w:widowControl w:val="0"/>
        <w:kinsoku/>
        <w:overflowPunct/>
        <w:topLinePunct w:val="0"/>
        <w:bidi w:val="0"/>
        <w:ind w:firstLine="480"/>
        <w:textAlignment w:val="auto"/>
        <w:rPr>
          <w:rFonts w:hint="eastAsia" w:ascii="宋体" w:hAnsi="宋体" w:eastAsia="宋体" w:cs="宋体"/>
          <w:b/>
          <w:bCs/>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34.5本项目的非主体、非关键性工作是否允许分包，见“供应商须知前附表”。</w:t>
      </w:r>
      <w:r>
        <w:rPr>
          <w:rFonts w:hint="eastAsia" w:ascii="宋体" w:hAnsi="宋体" w:eastAsia="宋体" w:cs="宋体"/>
          <w:i w:val="0"/>
          <w:iCs w:val="0"/>
          <w:color w:val="auto"/>
          <w:sz w:val="24"/>
          <w:szCs w:val="24"/>
          <w:highlight w:val="none"/>
        </w:rPr>
        <w:t>供应商未遵守竞争性磋商文件分包规定的，其</w:t>
      </w:r>
      <w:r>
        <w:rPr>
          <w:rFonts w:hint="eastAsia" w:ascii="宋体" w:hAnsi="宋体" w:eastAsia="宋体" w:cs="宋体"/>
          <w:b/>
          <w:bCs/>
          <w:i w:val="0"/>
          <w:iCs w:val="0"/>
          <w:color w:val="auto"/>
          <w:sz w:val="24"/>
          <w:szCs w:val="24"/>
          <w:highlight w:val="none"/>
        </w:rPr>
        <w:t>响应无效</w:t>
      </w: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val="en-US" w:eastAsia="zh-CN"/>
        </w:rPr>
        <w:t>采购人允许采用分包方式履行合同的，成交供应商可以依法在成交后将成交项目的非主体、非关键性工作采取分包方式履行合同。政府采购合同分包履行的，应当在响应文件中载明分包承担主体，分包承担主体应当具备相应资质条件且不得再次分包，否则</w:t>
      </w:r>
      <w:r>
        <w:rPr>
          <w:rFonts w:hint="eastAsia" w:ascii="宋体" w:hAnsi="宋体" w:eastAsia="宋体" w:cs="宋体"/>
          <w:b/>
          <w:bCs/>
          <w:i w:val="0"/>
          <w:iCs w:val="0"/>
          <w:color w:val="auto"/>
          <w:sz w:val="24"/>
          <w:szCs w:val="24"/>
          <w:highlight w:val="none"/>
          <w:lang w:val="en-US" w:eastAsia="zh-CN"/>
        </w:rPr>
        <w:t>成交无效</w:t>
      </w:r>
      <w:r>
        <w:rPr>
          <w:rFonts w:hint="eastAsia" w:ascii="宋体" w:hAnsi="宋体" w:eastAsia="宋体" w:cs="宋体"/>
          <w:i w:val="0"/>
          <w:iCs w:val="0"/>
          <w:color w:val="auto"/>
          <w:sz w:val="24"/>
          <w:szCs w:val="24"/>
          <w:highlight w:val="none"/>
          <w:lang w:val="en-US" w:eastAsia="zh-CN"/>
        </w:rPr>
        <w:t>。成交供应商就采购项目和分包项目向采购人负责，分包供应商就分包项目承担责任。</w:t>
      </w:r>
      <w:r>
        <w:rPr>
          <w:rFonts w:hint="eastAsia" w:ascii="宋体" w:hAnsi="宋体" w:eastAsia="宋体" w:cs="宋体"/>
          <w:b/>
          <w:bCs/>
          <w:i w:val="0"/>
          <w:iCs w:val="0"/>
          <w:color w:val="auto"/>
          <w:sz w:val="24"/>
          <w:szCs w:val="24"/>
          <w:highlight w:val="none"/>
          <w:lang w:val="en-US" w:eastAsia="zh-CN"/>
        </w:rPr>
        <w:t>政府采购合同不能转包。</w:t>
      </w:r>
    </w:p>
    <w:p w14:paraId="13468534">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color w:val="auto"/>
          <w:sz w:val="24"/>
          <w:szCs w:val="24"/>
          <w:highlight w:val="none"/>
        </w:rPr>
      </w:pPr>
      <w:r>
        <w:rPr>
          <w:rFonts w:hint="eastAsia" w:ascii="宋体" w:hAnsi="宋体" w:eastAsia="宋体" w:cs="宋体"/>
          <w:bCs/>
          <w:i w:val="0"/>
          <w:iCs w:val="0"/>
          <w:color w:val="auto"/>
          <w:sz w:val="24"/>
          <w:szCs w:val="24"/>
          <w:highlight w:val="none"/>
        </w:rPr>
        <w:t>3</w:t>
      </w:r>
      <w:r>
        <w:rPr>
          <w:rFonts w:hint="eastAsia" w:ascii="宋体" w:hAnsi="宋体" w:eastAsia="宋体" w:cs="宋体"/>
          <w:bCs/>
          <w:i w:val="0"/>
          <w:iCs w:val="0"/>
          <w:color w:val="auto"/>
          <w:sz w:val="24"/>
          <w:szCs w:val="24"/>
          <w:highlight w:val="none"/>
          <w:lang w:val="en-US" w:eastAsia="zh-CN"/>
        </w:rPr>
        <w:t>4</w:t>
      </w: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val="en-US" w:eastAsia="zh-CN"/>
        </w:rPr>
        <w:t>6</w:t>
      </w:r>
      <w:r>
        <w:rPr>
          <w:rFonts w:hint="eastAsia" w:ascii="宋体" w:hAnsi="宋体" w:eastAsia="宋体" w:cs="宋体"/>
          <w:i w:val="0"/>
          <w:iCs w:val="0"/>
          <w:color w:val="auto"/>
          <w:sz w:val="24"/>
          <w:szCs w:val="24"/>
          <w:highlight w:val="none"/>
        </w:rPr>
        <w:t>采购合同履行中，采购人需追加与合同标的相同的</w:t>
      </w:r>
      <w:r>
        <w:rPr>
          <w:rFonts w:hint="eastAsia" w:ascii="宋体" w:hAnsi="宋体" w:eastAsia="宋体" w:cs="宋体"/>
          <w:i w:val="0"/>
          <w:iCs w:val="0"/>
          <w:color w:val="auto"/>
          <w:sz w:val="24"/>
          <w:szCs w:val="24"/>
          <w:highlight w:val="none"/>
          <w:lang w:val="en-US" w:eastAsia="zh-CN"/>
        </w:rPr>
        <w:t>货物、工程或者服务</w:t>
      </w:r>
      <w:r>
        <w:rPr>
          <w:rFonts w:hint="eastAsia" w:ascii="宋体" w:hAnsi="宋体" w:eastAsia="宋体" w:cs="宋体"/>
          <w:i w:val="0"/>
          <w:iCs w:val="0"/>
          <w:color w:val="auto"/>
          <w:sz w:val="24"/>
          <w:szCs w:val="24"/>
          <w:highlight w:val="none"/>
        </w:rPr>
        <w:t>的，在不改变合同其他条款的前提下，可以与成交供应商协商签订补充合同，但所有补充合同的采购金额不得超过原合同采购金额的</w:t>
      </w:r>
      <w:r>
        <w:rPr>
          <w:rFonts w:hint="eastAsia" w:cs="宋体"/>
          <w:i w:val="0"/>
          <w:iCs w:val="0"/>
          <w:color w:val="auto"/>
          <w:sz w:val="24"/>
          <w:szCs w:val="24"/>
          <w:highlight w:val="none"/>
          <w:lang w:eastAsia="zh-CN"/>
        </w:rPr>
        <w:t>10%</w:t>
      </w:r>
      <w:r>
        <w:rPr>
          <w:rFonts w:hint="eastAsia" w:ascii="宋体" w:hAnsi="宋体" w:eastAsia="宋体" w:cs="宋体"/>
          <w:i w:val="0"/>
          <w:iCs w:val="0"/>
          <w:color w:val="auto"/>
          <w:sz w:val="24"/>
          <w:szCs w:val="24"/>
          <w:highlight w:val="none"/>
        </w:rPr>
        <w:t>。</w:t>
      </w:r>
    </w:p>
    <w:p w14:paraId="43E904D8">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34.7采购人应于签订合同之日起2个工作日内在政采云平台备案公示。</w:t>
      </w:r>
    </w:p>
    <w:bookmarkEnd w:id="261"/>
    <w:p w14:paraId="4252B453">
      <w:pPr>
        <w:pStyle w:val="4"/>
        <w:keepNext w:val="0"/>
        <w:keepLines w:val="0"/>
        <w:pageBreakBefore w:val="0"/>
        <w:widowControl w:val="0"/>
        <w:numPr>
          <w:ilvl w:val="0"/>
          <w:numId w:val="0"/>
        </w:numPr>
        <w:kinsoku/>
        <w:wordWrap/>
        <w:overflowPunct/>
        <w:topLinePunct w:val="0"/>
        <w:autoSpaceDE/>
        <w:autoSpaceDN/>
        <w:bidi w:val="0"/>
        <w:adjustRightInd/>
        <w:snapToGrid/>
        <w:spacing w:before="140" w:after="140" w:line="240" w:lineRule="auto"/>
        <w:ind w:left="420" w:leftChars="0" w:hanging="420" w:firstLineChars="0"/>
        <w:textAlignment w:val="auto"/>
        <w:rPr>
          <w:rFonts w:hint="eastAsia" w:ascii="宋体" w:hAnsi="宋体" w:eastAsia="宋体" w:cs="宋体"/>
          <w:b/>
          <w:bCs/>
          <w:i w:val="0"/>
          <w:iCs w:val="0"/>
          <w:color w:val="auto"/>
          <w:kern w:val="2"/>
          <w:sz w:val="24"/>
          <w:szCs w:val="24"/>
          <w:highlight w:val="none"/>
          <w:lang w:val="en-US" w:eastAsia="zh-CN" w:bidi="ar-SA"/>
        </w:rPr>
      </w:pPr>
      <w:bookmarkStart w:id="277" w:name="_Toc10843"/>
      <w:bookmarkStart w:id="278" w:name="_Toc109897467"/>
      <w:bookmarkStart w:id="279" w:name="_Toc109899985"/>
      <w:bookmarkStart w:id="280" w:name="_Toc46771673"/>
      <w:bookmarkStart w:id="281" w:name="_Toc28947"/>
      <w:bookmarkStart w:id="282" w:name="_Toc163493618"/>
      <w:bookmarkStart w:id="283" w:name="_Toc109900404"/>
      <w:bookmarkStart w:id="284" w:name="_Toc109899566"/>
      <w:bookmarkStart w:id="285" w:name="_Toc27108"/>
      <w:bookmarkStart w:id="286" w:name="_Toc470172693"/>
      <w:r>
        <w:rPr>
          <w:rFonts w:hint="eastAsia" w:ascii="宋体" w:hAnsi="宋体" w:eastAsia="宋体" w:cs="宋体"/>
          <w:b/>
          <w:bCs/>
          <w:i w:val="0"/>
          <w:iCs w:val="0"/>
          <w:color w:val="auto"/>
          <w:kern w:val="2"/>
          <w:sz w:val="24"/>
          <w:szCs w:val="24"/>
          <w:highlight w:val="none"/>
          <w:lang w:val="en-US" w:eastAsia="zh-CN" w:bidi="ar-SA"/>
        </w:rPr>
        <w:t>（十）质疑和投诉</w:t>
      </w:r>
      <w:bookmarkEnd w:id="277"/>
      <w:bookmarkEnd w:id="278"/>
      <w:bookmarkEnd w:id="279"/>
      <w:bookmarkEnd w:id="280"/>
      <w:bookmarkEnd w:id="281"/>
      <w:bookmarkEnd w:id="282"/>
      <w:bookmarkEnd w:id="283"/>
      <w:bookmarkEnd w:id="284"/>
      <w:bookmarkEnd w:id="285"/>
    </w:p>
    <w:p w14:paraId="000ACFE7">
      <w:pPr>
        <w:pStyle w:val="5"/>
        <w:keepNext w:val="0"/>
        <w:keepLines w:val="0"/>
        <w:pageBreakBefore w:val="0"/>
        <w:widowControl w:val="0"/>
        <w:numPr>
          <w:ilvl w:val="0"/>
          <w:numId w:val="0"/>
        </w:numPr>
        <w:kinsoku/>
        <w:wordWrap/>
        <w:overflowPunct/>
        <w:topLinePunct w:val="0"/>
        <w:autoSpaceDE/>
        <w:autoSpaceDN/>
        <w:bidi w:val="0"/>
        <w:adjustRightInd/>
        <w:snapToGrid/>
        <w:spacing w:before="80" w:after="80" w:line="240" w:lineRule="auto"/>
        <w:ind w:left="420" w:leftChars="0" w:hanging="420" w:firstLineChars="0"/>
        <w:textAlignment w:val="auto"/>
        <w:rPr>
          <w:rFonts w:hint="eastAsia" w:ascii="宋体" w:hAnsi="宋体" w:eastAsia="宋体" w:cs="宋体"/>
          <w:b/>
          <w:bCs/>
          <w:i w:val="0"/>
          <w:iCs w:val="0"/>
          <w:color w:val="auto"/>
          <w:kern w:val="2"/>
          <w:sz w:val="24"/>
          <w:szCs w:val="24"/>
          <w:highlight w:val="none"/>
          <w:lang w:val="en-US" w:eastAsia="zh-CN" w:bidi="ar-SA"/>
        </w:rPr>
      </w:pPr>
      <w:bookmarkStart w:id="287" w:name="_Toc46772275"/>
      <w:bookmarkStart w:id="288" w:name="_Toc109899567"/>
      <w:bookmarkStart w:id="289" w:name="_Toc109900405"/>
      <w:bookmarkStart w:id="290" w:name="_Toc52960587"/>
      <w:bookmarkStart w:id="291" w:name="_Toc46771674"/>
      <w:bookmarkStart w:id="292" w:name="_Toc109897468"/>
      <w:bookmarkStart w:id="293" w:name="_Toc52962761"/>
      <w:bookmarkStart w:id="294" w:name="_Toc109899986"/>
      <w:bookmarkStart w:id="295" w:name="_Toc48846143"/>
      <w:bookmarkStart w:id="296" w:name="_Toc51674245"/>
      <w:bookmarkStart w:id="297" w:name="_Toc48688823"/>
      <w:r>
        <w:rPr>
          <w:rFonts w:hint="eastAsia" w:ascii="宋体" w:hAnsi="宋体" w:eastAsia="宋体" w:cs="宋体"/>
          <w:b/>
          <w:bCs/>
          <w:i w:val="0"/>
          <w:iCs w:val="0"/>
          <w:color w:val="auto"/>
          <w:kern w:val="2"/>
          <w:sz w:val="24"/>
          <w:szCs w:val="24"/>
          <w:highlight w:val="none"/>
          <w:lang w:val="en-US" w:eastAsia="zh-CN" w:bidi="ar-SA"/>
        </w:rPr>
        <w:t>35.质疑</w:t>
      </w:r>
      <w:bookmarkEnd w:id="287"/>
      <w:bookmarkEnd w:id="288"/>
      <w:bookmarkEnd w:id="289"/>
      <w:bookmarkEnd w:id="290"/>
      <w:bookmarkEnd w:id="291"/>
      <w:bookmarkEnd w:id="292"/>
      <w:bookmarkEnd w:id="293"/>
      <w:bookmarkEnd w:id="294"/>
      <w:bookmarkEnd w:id="295"/>
      <w:bookmarkEnd w:id="296"/>
      <w:bookmarkEnd w:id="297"/>
    </w:p>
    <w:bookmarkEnd w:id="18"/>
    <w:bookmarkEnd w:id="286"/>
    <w:p w14:paraId="522F842D">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lang w:val="en-US" w:eastAsia="zh-CN"/>
        </w:rPr>
      </w:pPr>
      <w:bookmarkStart w:id="298" w:name="_Toc46771675"/>
      <w:bookmarkStart w:id="299" w:name="_Toc109899987"/>
      <w:bookmarkStart w:id="300" w:name="_Toc52960588"/>
      <w:bookmarkStart w:id="301" w:name="_Toc109900406"/>
      <w:bookmarkStart w:id="302" w:name="_Toc52962762"/>
      <w:bookmarkStart w:id="303" w:name="_Toc48846144"/>
      <w:bookmarkStart w:id="304" w:name="_Toc46772276"/>
      <w:bookmarkStart w:id="305" w:name="_Toc109897469"/>
      <w:bookmarkStart w:id="306" w:name="_Toc48688824"/>
      <w:bookmarkStart w:id="307" w:name="_Toc51674246"/>
      <w:bookmarkStart w:id="308" w:name="_Toc109899568"/>
      <w:bookmarkStart w:id="309" w:name="_Toc163493619"/>
      <w:bookmarkStart w:id="310" w:name="_Toc109897471"/>
      <w:bookmarkStart w:id="311" w:name="_Hlk60570485"/>
      <w:bookmarkStart w:id="312" w:name="_Toc109899989"/>
      <w:bookmarkStart w:id="313" w:name="_Toc109900408"/>
      <w:bookmarkStart w:id="314" w:name="_Toc109899570"/>
      <w:r>
        <w:rPr>
          <w:rFonts w:hint="eastAsia" w:ascii="宋体" w:hAnsi="宋体" w:eastAsia="宋体" w:cs="宋体"/>
          <w:bCs/>
          <w:i w:val="0"/>
          <w:iCs w:val="0"/>
          <w:color w:val="auto"/>
          <w:sz w:val="24"/>
          <w:szCs w:val="24"/>
          <w:highlight w:val="none"/>
        </w:rPr>
        <w:t>3</w:t>
      </w:r>
      <w:r>
        <w:rPr>
          <w:rFonts w:hint="eastAsia" w:ascii="宋体" w:hAnsi="宋体" w:eastAsia="宋体" w:cs="宋体"/>
          <w:bCs/>
          <w:i w:val="0"/>
          <w:iCs w:val="0"/>
          <w:color w:val="auto"/>
          <w:sz w:val="24"/>
          <w:szCs w:val="24"/>
          <w:highlight w:val="none"/>
          <w:lang w:val="en-US" w:eastAsia="zh-CN"/>
        </w:rPr>
        <w:t>5</w:t>
      </w:r>
      <w:r>
        <w:rPr>
          <w:rFonts w:hint="eastAsia" w:ascii="宋体" w:hAnsi="宋体" w:eastAsia="宋体" w:cs="宋体"/>
          <w:i w:val="0"/>
          <w:iCs w:val="0"/>
          <w:color w:val="auto"/>
          <w:sz w:val="24"/>
          <w:szCs w:val="24"/>
          <w:highlight w:val="none"/>
        </w:rPr>
        <w:t>.1供应商认为</w:t>
      </w:r>
      <w:r>
        <w:rPr>
          <w:rFonts w:hint="eastAsia" w:ascii="宋体" w:hAnsi="宋体" w:eastAsia="宋体" w:cs="宋体"/>
          <w:i w:val="0"/>
          <w:iCs w:val="0"/>
          <w:color w:val="auto"/>
          <w:sz w:val="24"/>
          <w:szCs w:val="24"/>
          <w:highlight w:val="none"/>
          <w:lang w:eastAsia="zh-CN"/>
        </w:rPr>
        <w:t>磋商</w:t>
      </w:r>
      <w:r>
        <w:rPr>
          <w:rFonts w:hint="eastAsia" w:ascii="宋体" w:hAnsi="宋体" w:eastAsia="宋体" w:cs="宋体"/>
          <w:i w:val="0"/>
          <w:iCs w:val="0"/>
          <w:color w:val="auto"/>
          <w:sz w:val="24"/>
          <w:szCs w:val="24"/>
          <w:highlight w:val="none"/>
        </w:rPr>
        <w:t>文件、</w:t>
      </w:r>
      <w:r>
        <w:rPr>
          <w:rFonts w:hint="eastAsia" w:ascii="宋体" w:hAnsi="宋体" w:eastAsia="宋体" w:cs="宋体"/>
          <w:i w:val="0"/>
          <w:iCs w:val="0"/>
          <w:color w:val="auto"/>
          <w:sz w:val="24"/>
          <w:szCs w:val="24"/>
          <w:highlight w:val="none"/>
          <w:lang w:eastAsia="zh-CN"/>
        </w:rPr>
        <w:t>评审</w:t>
      </w:r>
      <w:r>
        <w:rPr>
          <w:rFonts w:hint="eastAsia" w:ascii="宋体" w:hAnsi="宋体" w:eastAsia="宋体" w:cs="宋体"/>
          <w:i w:val="0"/>
          <w:iCs w:val="0"/>
          <w:color w:val="auto"/>
          <w:sz w:val="24"/>
          <w:szCs w:val="24"/>
          <w:highlight w:val="none"/>
        </w:rPr>
        <w:t>过程、成交结果使自己的权益受到损害的，可以在知道或者应知其权益受到损害之日起7个工作日内，以书面形式向采购人、采购代理机构提出质疑</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lang w:val="en-US" w:eastAsia="zh-CN"/>
        </w:rPr>
        <w:t>详见“供应商须知前附表”</w:t>
      </w:r>
      <w:r>
        <w:rPr>
          <w:rFonts w:hint="eastAsia" w:ascii="宋体" w:hAnsi="宋体" w:eastAsia="宋体" w:cs="宋体"/>
          <w:i w:val="0"/>
          <w:iCs w:val="0"/>
          <w:color w:val="auto"/>
          <w:sz w:val="24"/>
          <w:szCs w:val="24"/>
          <w:highlight w:val="none"/>
        </w:rPr>
        <w:t>。供应商在法定质疑期内一次性提出针对同一采购程序环节的质疑。</w:t>
      </w:r>
    </w:p>
    <w:p w14:paraId="2723D96F">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rPr>
      </w:pPr>
      <w:r>
        <w:rPr>
          <w:rFonts w:hint="eastAsia" w:ascii="宋体" w:hAnsi="宋体" w:eastAsia="宋体" w:cs="宋体"/>
          <w:bCs/>
          <w:i w:val="0"/>
          <w:iCs w:val="0"/>
          <w:color w:val="auto"/>
          <w:sz w:val="24"/>
          <w:szCs w:val="24"/>
          <w:highlight w:val="none"/>
        </w:rPr>
        <w:t>3</w:t>
      </w:r>
      <w:r>
        <w:rPr>
          <w:rFonts w:hint="eastAsia" w:ascii="宋体" w:hAnsi="宋体" w:eastAsia="宋体" w:cs="宋体"/>
          <w:bCs/>
          <w:i w:val="0"/>
          <w:iCs w:val="0"/>
          <w:color w:val="auto"/>
          <w:sz w:val="24"/>
          <w:szCs w:val="24"/>
          <w:highlight w:val="none"/>
          <w:lang w:val="en-US" w:eastAsia="zh-CN"/>
        </w:rPr>
        <w:t>5</w:t>
      </w:r>
      <w:r>
        <w:rPr>
          <w:rFonts w:hint="eastAsia" w:ascii="宋体" w:hAnsi="宋体" w:eastAsia="宋体" w:cs="宋体"/>
          <w:i w:val="0"/>
          <w:iCs w:val="0"/>
          <w:color w:val="auto"/>
          <w:sz w:val="24"/>
          <w:szCs w:val="24"/>
          <w:highlight w:val="none"/>
        </w:rPr>
        <w:t>.2提出质疑的供应商（以下简称质疑供应商）应当是参与所质疑项目采购活动的供应商。</w:t>
      </w:r>
    </w:p>
    <w:p w14:paraId="09DCB026">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lang w:val="en-US" w:eastAsia="zh-CN"/>
        </w:rPr>
        <w:t>35.3</w:t>
      </w:r>
      <w:r>
        <w:rPr>
          <w:rFonts w:hint="eastAsia" w:ascii="宋体" w:hAnsi="宋体" w:eastAsia="宋体" w:cs="宋体"/>
          <w:i w:val="0"/>
          <w:iCs w:val="0"/>
          <w:color w:val="auto"/>
          <w:sz w:val="24"/>
          <w:szCs w:val="24"/>
          <w:highlight w:val="none"/>
        </w:rPr>
        <w:t>潜在供应商已依法获取其可质疑的</w:t>
      </w:r>
      <w:r>
        <w:rPr>
          <w:rFonts w:hint="eastAsia" w:ascii="宋体" w:hAnsi="宋体" w:eastAsia="宋体" w:cs="宋体"/>
          <w:i w:val="0"/>
          <w:iCs w:val="0"/>
          <w:color w:val="auto"/>
          <w:sz w:val="24"/>
          <w:szCs w:val="24"/>
          <w:highlight w:val="none"/>
          <w:lang w:eastAsia="zh-CN"/>
        </w:rPr>
        <w:t>磋商</w:t>
      </w:r>
      <w:r>
        <w:rPr>
          <w:rFonts w:hint="eastAsia" w:ascii="宋体" w:hAnsi="宋体" w:eastAsia="宋体" w:cs="宋体"/>
          <w:i w:val="0"/>
          <w:iCs w:val="0"/>
          <w:color w:val="auto"/>
          <w:sz w:val="24"/>
          <w:szCs w:val="24"/>
          <w:highlight w:val="none"/>
        </w:rPr>
        <w:t>文件的，可以对该文件提出质疑。对</w:t>
      </w:r>
      <w:r>
        <w:rPr>
          <w:rFonts w:hint="eastAsia" w:ascii="宋体" w:hAnsi="宋体" w:eastAsia="宋体" w:cs="宋体"/>
          <w:i w:val="0"/>
          <w:iCs w:val="0"/>
          <w:color w:val="auto"/>
          <w:sz w:val="24"/>
          <w:szCs w:val="24"/>
          <w:highlight w:val="none"/>
          <w:lang w:eastAsia="zh-CN"/>
        </w:rPr>
        <w:t>磋商</w:t>
      </w:r>
      <w:r>
        <w:rPr>
          <w:rFonts w:hint="eastAsia" w:ascii="宋体" w:hAnsi="宋体" w:eastAsia="宋体" w:cs="宋体"/>
          <w:i w:val="0"/>
          <w:iCs w:val="0"/>
          <w:color w:val="auto"/>
          <w:sz w:val="24"/>
          <w:szCs w:val="24"/>
          <w:highlight w:val="none"/>
        </w:rPr>
        <w:t>文件提出质疑的，应当在获取</w:t>
      </w:r>
      <w:r>
        <w:rPr>
          <w:rFonts w:hint="eastAsia" w:ascii="宋体" w:hAnsi="宋体" w:eastAsia="宋体" w:cs="宋体"/>
          <w:i w:val="0"/>
          <w:iCs w:val="0"/>
          <w:color w:val="auto"/>
          <w:sz w:val="24"/>
          <w:szCs w:val="24"/>
          <w:highlight w:val="none"/>
          <w:lang w:eastAsia="zh-CN"/>
        </w:rPr>
        <w:t>磋商</w:t>
      </w:r>
      <w:r>
        <w:rPr>
          <w:rFonts w:hint="eastAsia" w:ascii="宋体" w:hAnsi="宋体" w:eastAsia="宋体" w:cs="宋体"/>
          <w:i w:val="0"/>
          <w:iCs w:val="0"/>
          <w:color w:val="auto"/>
          <w:sz w:val="24"/>
          <w:szCs w:val="24"/>
          <w:highlight w:val="none"/>
        </w:rPr>
        <w:t>文件或者</w:t>
      </w:r>
      <w:r>
        <w:rPr>
          <w:rFonts w:hint="eastAsia" w:ascii="宋体" w:hAnsi="宋体" w:eastAsia="宋体" w:cs="宋体"/>
          <w:i w:val="0"/>
          <w:iCs w:val="0"/>
          <w:color w:val="auto"/>
          <w:sz w:val="24"/>
          <w:szCs w:val="24"/>
          <w:highlight w:val="none"/>
          <w:lang w:eastAsia="zh-CN"/>
        </w:rPr>
        <w:t>磋商</w:t>
      </w:r>
      <w:r>
        <w:rPr>
          <w:rFonts w:hint="eastAsia" w:ascii="宋体" w:hAnsi="宋体" w:eastAsia="宋体" w:cs="宋体"/>
          <w:i w:val="0"/>
          <w:iCs w:val="0"/>
          <w:color w:val="auto"/>
          <w:sz w:val="24"/>
          <w:szCs w:val="24"/>
          <w:highlight w:val="none"/>
        </w:rPr>
        <w:t>文件公告期限届满之日起7个工作日内提出。</w:t>
      </w:r>
    </w:p>
    <w:p w14:paraId="331319BB">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lang w:val="en-US" w:eastAsia="zh-CN"/>
        </w:rPr>
        <w:t>35.4</w:t>
      </w:r>
      <w:r>
        <w:rPr>
          <w:rFonts w:hint="eastAsia" w:ascii="宋体" w:hAnsi="宋体" w:eastAsia="宋体" w:cs="宋体"/>
          <w:i w:val="0"/>
          <w:iCs w:val="0"/>
          <w:color w:val="auto"/>
          <w:sz w:val="24"/>
          <w:szCs w:val="24"/>
          <w:highlight w:val="none"/>
        </w:rPr>
        <w:t>供应商提出质疑应当提交质疑函和必要的证明材料。质疑函应当包括下列内容：</w:t>
      </w:r>
    </w:p>
    <w:p w14:paraId="5E0912E3">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val="en-US" w:eastAsia="zh-CN"/>
        </w:rPr>
        <w:t>1</w:t>
      </w:r>
      <w:r>
        <w:rPr>
          <w:rFonts w:hint="eastAsia" w:ascii="宋体" w:hAnsi="宋体" w:eastAsia="宋体" w:cs="宋体"/>
          <w:i w:val="0"/>
          <w:iCs w:val="0"/>
          <w:color w:val="auto"/>
          <w:sz w:val="24"/>
          <w:szCs w:val="24"/>
          <w:highlight w:val="none"/>
        </w:rPr>
        <w:t>）供应商的姓名或者名称、地址、邮编、联系人及联系电话；</w:t>
      </w:r>
    </w:p>
    <w:p w14:paraId="649F7F47">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val="en-US" w:eastAsia="zh-CN"/>
        </w:rPr>
        <w:t>2</w:t>
      </w:r>
      <w:r>
        <w:rPr>
          <w:rFonts w:hint="eastAsia" w:ascii="宋体" w:hAnsi="宋体" w:eastAsia="宋体" w:cs="宋体"/>
          <w:i w:val="0"/>
          <w:iCs w:val="0"/>
          <w:color w:val="auto"/>
          <w:sz w:val="24"/>
          <w:szCs w:val="24"/>
          <w:highlight w:val="none"/>
        </w:rPr>
        <w:t>）质疑项目的名称、</w:t>
      </w:r>
      <w:r>
        <w:rPr>
          <w:rFonts w:hint="eastAsia" w:ascii="宋体" w:hAnsi="宋体" w:eastAsia="宋体" w:cs="宋体"/>
          <w:i w:val="0"/>
          <w:iCs w:val="0"/>
          <w:color w:val="auto"/>
          <w:sz w:val="24"/>
          <w:szCs w:val="24"/>
          <w:highlight w:val="none"/>
          <w:lang w:val="en-US" w:eastAsia="zh-CN"/>
        </w:rPr>
        <w:t>项目</w:t>
      </w:r>
      <w:r>
        <w:rPr>
          <w:rFonts w:hint="eastAsia" w:ascii="宋体" w:hAnsi="宋体" w:eastAsia="宋体" w:cs="宋体"/>
          <w:i w:val="0"/>
          <w:iCs w:val="0"/>
          <w:color w:val="auto"/>
          <w:sz w:val="24"/>
          <w:szCs w:val="24"/>
          <w:highlight w:val="none"/>
        </w:rPr>
        <w:t>编号</w:t>
      </w:r>
      <w:r>
        <w:rPr>
          <w:rFonts w:hint="eastAsia" w:ascii="宋体" w:hAnsi="宋体" w:eastAsia="宋体" w:cs="宋体"/>
          <w:i w:val="0"/>
          <w:iCs w:val="0"/>
          <w:color w:val="auto"/>
          <w:sz w:val="24"/>
          <w:szCs w:val="24"/>
          <w:highlight w:val="none"/>
          <w:lang w:val="en-US" w:eastAsia="zh-CN"/>
        </w:rPr>
        <w:t>/包号</w:t>
      </w:r>
      <w:r>
        <w:rPr>
          <w:rFonts w:hint="eastAsia" w:ascii="宋体" w:hAnsi="宋体" w:eastAsia="宋体" w:cs="宋体"/>
          <w:i w:val="0"/>
          <w:iCs w:val="0"/>
          <w:color w:val="auto"/>
          <w:sz w:val="24"/>
          <w:szCs w:val="24"/>
          <w:highlight w:val="none"/>
        </w:rPr>
        <w:t>；</w:t>
      </w:r>
    </w:p>
    <w:p w14:paraId="23F85E7F">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val="en-US" w:eastAsia="zh-CN"/>
        </w:rPr>
        <w:t>3</w:t>
      </w:r>
      <w:r>
        <w:rPr>
          <w:rFonts w:hint="eastAsia" w:ascii="宋体" w:hAnsi="宋体" w:eastAsia="宋体" w:cs="宋体"/>
          <w:i w:val="0"/>
          <w:iCs w:val="0"/>
          <w:color w:val="auto"/>
          <w:sz w:val="24"/>
          <w:szCs w:val="24"/>
          <w:highlight w:val="none"/>
        </w:rPr>
        <w:t>）具体、明确的质疑事项和与质疑事项相关的请求；</w:t>
      </w:r>
    </w:p>
    <w:p w14:paraId="1C83B1C7">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val="en-US" w:eastAsia="zh-CN"/>
        </w:rPr>
        <w:t>4</w:t>
      </w:r>
      <w:r>
        <w:rPr>
          <w:rFonts w:hint="eastAsia" w:ascii="宋体" w:hAnsi="宋体" w:eastAsia="宋体" w:cs="宋体"/>
          <w:i w:val="0"/>
          <w:iCs w:val="0"/>
          <w:color w:val="auto"/>
          <w:sz w:val="24"/>
          <w:szCs w:val="24"/>
          <w:highlight w:val="none"/>
        </w:rPr>
        <w:t>）事实依据；</w:t>
      </w:r>
    </w:p>
    <w:p w14:paraId="67C848AB">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val="en-US" w:eastAsia="zh-CN"/>
        </w:rPr>
        <w:t>5</w:t>
      </w:r>
      <w:r>
        <w:rPr>
          <w:rFonts w:hint="eastAsia" w:ascii="宋体" w:hAnsi="宋体" w:eastAsia="宋体" w:cs="宋体"/>
          <w:i w:val="0"/>
          <w:iCs w:val="0"/>
          <w:color w:val="auto"/>
          <w:sz w:val="24"/>
          <w:szCs w:val="24"/>
          <w:highlight w:val="none"/>
        </w:rPr>
        <w:t>）必要的法律依据；</w:t>
      </w:r>
    </w:p>
    <w:p w14:paraId="6BCFEC3E">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val="en-US" w:eastAsia="zh-CN"/>
        </w:rPr>
        <w:t>6</w:t>
      </w:r>
      <w:r>
        <w:rPr>
          <w:rFonts w:hint="eastAsia" w:ascii="宋体" w:hAnsi="宋体" w:eastAsia="宋体" w:cs="宋体"/>
          <w:i w:val="0"/>
          <w:iCs w:val="0"/>
          <w:color w:val="auto"/>
          <w:sz w:val="24"/>
          <w:szCs w:val="24"/>
          <w:highlight w:val="none"/>
        </w:rPr>
        <w:t>）提出质疑的日期。</w:t>
      </w:r>
    </w:p>
    <w:p w14:paraId="2623B520">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供应商为自然人的，应当由本人签字；供应商为法人或者其他组织的，应当由法定代表人、主要负责人，或者其授权代表签字或者盖章，并加盖公章。</w:t>
      </w:r>
    </w:p>
    <w:p w14:paraId="5F1352A8">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3</w:t>
      </w:r>
      <w:r>
        <w:rPr>
          <w:rFonts w:hint="eastAsia" w:ascii="宋体" w:hAnsi="宋体" w:eastAsia="宋体" w:cs="宋体"/>
          <w:i w:val="0"/>
          <w:iCs w:val="0"/>
          <w:color w:val="auto"/>
          <w:sz w:val="24"/>
          <w:szCs w:val="24"/>
          <w:highlight w:val="none"/>
          <w:lang w:val="en-US" w:eastAsia="zh-CN"/>
        </w:rPr>
        <w:t>5</w:t>
      </w:r>
      <w:r>
        <w:rPr>
          <w:rFonts w:hint="eastAsia" w:ascii="宋体" w:hAnsi="宋体" w:eastAsia="宋体" w:cs="宋体"/>
          <w:i w:val="0"/>
          <w:iCs w:val="0"/>
          <w:color w:val="auto"/>
          <w:sz w:val="24"/>
          <w:szCs w:val="24"/>
          <w:highlight w:val="none"/>
        </w:rPr>
        <w:t>.5质疑函不符合上述要求的，采购人或代理机构应书面告知具体事项，质疑人应当按要求进行修改或补充，并在质疑有效期限内提交。</w:t>
      </w:r>
    </w:p>
    <w:p w14:paraId="76BD2AC8">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snapToGrid w:val="0"/>
          <w:color w:val="auto"/>
          <w:sz w:val="24"/>
          <w:szCs w:val="24"/>
          <w:highlight w:val="none"/>
        </w:rPr>
      </w:pPr>
      <w:r>
        <w:rPr>
          <w:rFonts w:hint="eastAsia" w:ascii="宋体" w:hAnsi="宋体" w:eastAsia="宋体" w:cs="宋体"/>
          <w:i w:val="0"/>
          <w:iCs w:val="0"/>
          <w:snapToGrid w:val="0"/>
          <w:color w:val="auto"/>
          <w:sz w:val="24"/>
          <w:szCs w:val="24"/>
          <w:highlight w:val="none"/>
        </w:rPr>
        <w:t>3</w:t>
      </w:r>
      <w:r>
        <w:rPr>
          <w:rFonts w:hint="eastAsia" w:ascii="宋体" w:hAnsi="宋体" w:eastAsia="宋体" w:cs="宋体"/>
          <w:i w:val="0"/>
          <w:iCs w:val="0"/>
          <w:snapToGrid w:val="0"/>
          <w:color w:val="auto"/>
          <w:sz w:val="24"/>
          <w:szCs w:val="24"/>
          <w:highlight w:val="none"/>
          <w:lang w:val="en-US" w:eastAsia="zh-CN"/>
        </w:rPr>
        <w:t>5</w:t>
      </w:r>
      <w:r>
        <w:rPr>
          <w:rFonts w:hint="eastAsia" w:ascii="宋体" w:hAnsi="宋体" w:eastAsia="宋体" w:cs="宋体"/>
          <w:i w:val="0"/>
          <w:iCs w:val="0"/>
          <w:snapToGrid w:val="0"/>
          <w:color w:val="auto"/>
          <w:sz w:val="24"/>
          <w:szCs w:val="24"/>
          <w:highlight w:val="none"/>
        </w:rPr>
        <w:t>.</w:t>
      </w:r>
      <w:r>
        <w:rPr>
          <w:rFonts w:hint="eastAsia" w:ascii="宋体" w:hAnsi="宋体" w:eastAsia="宋体" w:cs="宋体"/>
          <w:i w:val="0"/>
          <w:iCs w:val="0"/>
          <w:snapToGrid w:val="0"/>
          <w:color w:val="auto"/>
          <w:sz w:val="24"/>
          <w:szCs w:val="24"/>
          <w:highlight w:val="none"/>
          <w:lang w:val="en-US" w:eastAsia="zh-CN"/>
        </w:rPr>
        <w:t>6供应商</w:t>
      </w:r>
      <w:r>
        <w:rPr>
          <w:rFonts w:hint="eastAsia" w:ascii="宋体" w:hAnsi="宋体" w:eastAsia="宋体" w:cs="宋体"/>
          <w:i w:val="0"/>
          <w:iCs w:val="0"/>
          <w:snapToGrid w:val="0"/>
          <w:color w:val="auto"/>
          <w:sz w:val="24"/>
          <w:szCs w:val="24"/>
          <w:highlight w:val="none"/>
        </w:rPr>
        <w:t>进行虚假和恶意</w:t>
      </w:r>
      <w:r>
        <w:rPr>
          <w:rFonts w:hint="eastAsia" w:ascii="宋体" w:hAnsi="宋体" w:eastAsia="宋体" w:cs="宋体"/>
          <w:i w:val="0"/>
          <w:iCs w:val="0"/>
          <w:snapToGrid w:val="0"/>
          <w:color w:val="auto"/>
          <w:sz w:val="24"/>
          <w:szCs w:val="24"/>
          <w:highlight w:val="none"/>
          <w:lang w:val="en-US" w:eastAsia="zh-CN"/>
        </w:rPr>
        <w:t>质疑投诉</w:t>
      </w:r>
      <w:r>
        <w:rPr>
          <w:rFonts w:hint="eastAsia" w:ascii="宋体" w:hAnsi="宋体" w:eastAsia="宋体" w:cs="宋体"/>
          <w:i w:val="0"/>
          <w:iCs w:val="0"/>
          <w:snapToGrid w:val="0"/>
          <w:color w:val="auto"/>
          <w:sz w:val="24"/>
          <w:szCs w:val="24"/>
          <w:highlight w:val="none"/>
        </w:rPr>
        <w:t>的，采购代理机构将提请有关部门将其列入不良记录名单，在一至三年内禁止参加政府采购活动，并将处理决定在相关政府采购媒体上公布。</w:t>
      </w:r>
    </w:p>
    <w:p w14:paraId="06C8AD26">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snapToGrid w:val="0"/>
          <w:color w:val="auto"/>
          <w:sz w:val="24"/>
          <w:szCs w:val="24"/>
          <w:highlight w:val="none"/>
        </w:rPr>
      </w:pPr>
      <w:r>
        <w:rPr>
          <w:rFonts w:hint="eastAsia" w:ascii="宋体" w:hAnsi="宋体" w:eastAsia="宋体" w:cs="宋体"/>
          <w:i w:val="0"/>
          <w:iCs w:val="0"/>
          <w:snapToGrid w:val="0"/>
          <w:color w:val="auto"/>
          <w:sz w:val="24"/>
          <w:szCs w:val="24"/>
          <w:highlight w:val="none"/>
          <w:lang w:val="en-US" w:eastAsia="zh-CN"/>
        </w:rPr>
        <w:t>35.7</w:t>
      </w:r>
      <w:r>
        <w:rPr>
          <w:rFonts w:hint="eastAsia" w:ascii="宋体" w:hAnsi="宋体" w:eastAsia="宋体" w:cs="宋体"/>
          <w:i w:val="0"/>
          <w:iCs w:val="0"/>
          <w:color w:val="auto"/>
          <w:sz w:val="24"/>
          <w:szCs w:val="24"/>
          <w:highlight w:val="none"/>
        </w:rPr>
        <w:t>质疑函</w:t>
      </w:r>
      <w:r>
        <w:rPr>
          <w:rFonts w:hint="eastAsia" w:ascii="宋体" w:hAnsi="宋体" w:eastAsia="宋体" w:cs="宋体"/>
          <w:i w:val="0"/>
          <w:iCs w:val="0"/>
          <w:color w:val="auto"/>
          <w:sz w:val="24"/>
          <w:szCs w:val="24"/>
          <w:highlight w:val="none"/>
          <w:lang w:val="en-US" w:eastAsia="zh-CN"/>
        </w:rPr>
        <w:t>应当使用中文，并采用财政部门制定的范本。</w:t>
      </w:r>
    </w:p>
    <w:p w14:paraId="03C1D514">
      <w:pPr>
        <w:pStyle w:val="5"/>
        <w:keepNext w:val="0"/>
        <w:keepLines w:val="0"/>
        <w:pageBreakBefore w:val="0"/>
        <w:widowControl w:val="0"/>
        <w:numPr>
          <w:ilvl w:val="0"/>
          <w:numId w:val="0"/>
        </w:numPr>
        <w:kinsoku/>
        <w:wordWrap/>
        <w:overflowPunct/>
        <w:topLinePunct w:val="0"/>
        <w:autoSpaceDE/>
        <w:autoSpaceDN/>
        <w:bidi w:val="0"/>
        <w:adjustRightInd/>
        <w:snapToGrid/>
        <w:spacing w:before="80" w:after="80" w:line="240" w:lineRule="auto"/>
        <w:ind w:left="420" w:leftChars="0" w:hanging="420" w:firstLineChars="0"/>
        <w:textAlignment w:val="auto"/>
        <w:rPr>
          <w:rFonts w:hint="eastAsia" w:ascii="宋体" w:hAnsi="宋体" w:eastAsia="宋体" w:cs="宋体"/>
          <w:b/>
          <w:bCs/>
          <w:i w:val="0"/>
          <w:iCs w:val="0"/>
          <w:color w:val="auto"/>
          <w:kern w:val="2"/>
          <w:sz w:val="24"/>
          <w:szCs w:val="24"/>
          <w:highlight w:val="none"/>
          <w:lang w:val="en-US" w:eastAsia="zh-CN" w:bidi="ar-SA"/>
        </w:rPr>
      </w:pPr>
      <w:r>
        <w:rPr>
          <w:rFonts w:hint="eastAsia" w:ascii="宋体" w:hAnsi="宋体" w:eastAsia="宋体" w:cs="宋体"/>
          <w:b/>
          <w:bCs/>
          <w:i w:val="0"/>
          <w:iCs w:val="0"/>
          <w:color w:val="auto"/>
          <w:kern w:val="2"/>
          <w:sz w:val="24"/>
          <w:szCs w:val="24"/>
          <w:highlight w:val="none"/>
          <w:lang w:val="en-US" w:eastAsia="zh-CN" w:bidi="ar-SA"/>
        </w:rPr>
        <w:t>36.质疑答复</w:t>
      </w:r>
      <w:bookmarkEnd w:id="298"/>
      <w:bookmarkEnd w:id="299"/>
      <w:bookmarkEnd w:id="300"/>
      <w:bookmarkEnd w:id="301"/>
      <w:bookmarkEnd w:id="302"/>
      <w:bookmarkEnd w:id="303"/>
      <w:bookmarkEnd w:id="304"/>
      <w:bookmarkEnd w:id="305"/>
      <w:bookmarkEnd w:id="306"/>
      <w:bookmarkEnd w:id="307"/>
      <w:bookmarkEnd w:id="308"/>
    </w:p>
    <w:p w14:paraId="4E8601BA">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rPr>
      </w:pPr>
      <w:bookmarkStart w:id="315" w:name="_Toc46772277"/>
      <w:bookmarkStart w:id="316" w:name="_Toc48846145"/>
      <w:bookmarkStart w:id="317" w:name="_Toc109899569"/>
      <w:bookmarkStart w:id="318" w:name="_Toc109897470"/>
      <w:bookmarkStart w:id="319" w:name="_Toc51674247"/>
      <w:bookmarkStart w:id="320" w:name="_Toc48688825"/>
      <w:bookmarkStart w:id="321" w:name="_Toc46771676"/>
      <w:bookmarkStart w:id="322" w:name="_Toc109900407"/>
      <w:bookmarkStart w:id="323" w:name="_Toc52960589"/>
      <w:bookmarkStart w:id="324" w:name="_Toc52962763"/>
      <w:bookmarkStart w:id="325" w:name="_Toc109899988"/>
      <w:r>
        <w:rPr>
          <w:rFonts w:hint="eastAsia" w:ascii="宋体" w:hAnsi="宋体" w:eastAsia="宋体" w:cs="宋体"/>
          <w:i w:val="0"/>
          <w:iCs w:val="0"/>
          <w:color w:val="auto"/>
          <w:sz w:val="24"/>
          <w:szCs w:val="24"/>
          <w:highlight w:val="none"/>
        </w:rPr>
        <w:t>3</w:t>
      </w:r>
      <w:r>
        <w:rPr>
          <w:rFonts w:hint="eastAsia" w:ascii="宋体" w:hAnsi="宋体" w:eastAsia="宋体" w:cs="宋体"/>
          <w:i w:val="0"/>
          <w:iCs w:val="0"/>
          <w:color w:val="auto"/>
          <w:sz w:val="24"/>
          <w:szCs w:val="24"/>
          <w:highlight w:val="none"/>
          <w:lang w:val="en-US" w:eastAsia="zh-CN"/>
        </w:rPr>
        <w:t>6</w:t>
      </w:r>
      <w:r>
        <w:rPr>
          <w:rFonts w:hint="eastAsia" w:ascii="宋体" w:hAnsi="宋体" w:eastAsia="宋体" w:cs="宋体"/>
          <w:i w:val="0"/>
          <w:iCs w:val="0"/>
          <w:color w:val="auto"/>
          <w:sz w:val="24"/>
          <w:szCs w:val="24"/>
          <w:highlight w:val="none"/>
        </w:rPr>
        <w:t>.1采购人、采购代理机构不得拒收质疑供应商在法定质疑期内发出的质疑函，应当在收到质疑函后7个工作日内作出答复，并以书面形式通知质疑供应商和其他有关供应商。</w:t>
      </w:r>
    </w:p>
    <w:p w14:paraId="5D718B09">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36.2供应商对评审过程、成交结果提出质疑的，采购人、采购代理机构可以组织原竞争性磋商小组协助答复质疑。</w:t>
      </w:r>
    </w:p>
    <w:p w14:paraId="093BA488">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lang w:val="zh-CN" w:eastAsia="zh-CN"/>
        </w:rPr>
      </w:pPr>
      <w:r>
        <w:rPr>
          <w:rFonts w:hint="eastAsia" w:ascii="宋体" w:hAnsi="宋体" w:eastAsia="宋体" w:cs="宋体"/>
          <w:i w:val="0"/>
          <w:iCs w:val="0"/>
          <w:color w:val="auto"/>
          <w:sz w:val="24"/>
          <w:szCs w:val="24"/>
          <w:highlight w:val="none"/>
          <w:lang w:val="zh-CN" w:eastAsia="zh-CN"/>
        </w:rPr>
        <w:t>质疑答复应当包括下列内容：</w:t>
      </w:r>
    </w:p>
    <w:p w14:paraId="4A69D1BC">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lang w:val="zh-CN" w:eastAsia="zh-CN"/>
        </w:rPr>
      </w:pPr>
      <w:r>
        <w:rPr>
          <w:rFonts w:hint="eastAsia" w:ascii="宋体" w:hAnsi="宋体" w:eastAsia="宋体" w:cs="宋体"/>
          <w:i w:val="0"/>
          <w:iCs w:val="0"/>
          <w:color w:val="auto"/>
          <w:sz w:val="24"/>
          <w:szCs w:val="24"/>
          <w:highlight w:val="none"/>
          <w:lang w:val="zh-CN" w:eastAsia="zh-CN"/>
        </w:rPr>
        <w:t>（</w:t>
      </w:r>
      <w:r>
        <w:rPr>
          <w:rFonts w:hint="eastAsia" w:ascii="宋体" w:hAnsi="宋体" w:eastAsia="宋体" w:cs="宋体"/>
          <w:i w:val="0"/>
          <w:iCs w:val="0"/>
          <w:color w:val="auto"/>
          <w:sz w:val="24"/>
          <w:szCs w:val="24"/>
          <w:highlight w:val="none"/>
          <w:lang w:val="en-US" w:eastAsia="zh-CN"/>
        </w:rPr>
        <w:t>1</w:t>
      </w:r>
      <w:r>
        <w:rPr>
          <w:rFonts w:hint="eastAsia" w:ascii="宋体" w:hAnsi="宋体" w:eastAsia="宋体" w:cs="宋体"/>
          <w:i w:val="0"/>
          <w:iCs w:val="0"/>
          <w:color w:val="auto"/>
          <w:sz w:val="24"/>
          <w:szCs w:val="24"/>
          <w:highlight w:val="none"/>
          <w:lang w:val="zh-CN" w:eastAsia="zh-CN"/>
        </w:rPr>
        <w:t>）质疑供应商的姓名或者名称；</w:t>
      </w:r>
    </w:p>
    <w:p w14:paraId="5DAA6276">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lang w:val="zh-CN" w:eastAsia="zh-CN"/>
        </w:rPr>
      </w:pPr>
      <w:r>
        <w:rPr>
          <w:rFonts w:hint="eastAsia" w:ascii="宋体" w:hAnsi="宋体" w:eastAsia="宋体" w:cs="宋体"/>
          <w:i w:val="0"/>
          <w:iCs w:val="0"/>
          <w:color w:val="auto"/>
          <w:sz w:val="24"/>
          <w:szCs w:val="24"/>
          <w:highlight w:val="none"/>
          <w:lang w:val="zh-CN" w:eastAsia="zh-CN"/>
        </w:rPr>
        <w:t>（</w:t>
      </w:r>
      <w:r>
        <w:rPr>
          <w:rFonts w:hint="eastAsia" w:ascii="宋体" w:hAnsi="宋体" w:eastAsia="宋体" w:cs="宋体"/>
          <w:i w:val="0"/>
          <w:iCs w:val="0"/>
          <w:color w:val="auto"/>
          <w:sz w:val="24"/>
          <w:szCs w:val="24"/>
          <w:highlight w:val="none"/>
          <w:lang w:val="en-US" w:eastAsia="zh-CN"/>
        </w:rPr>
        <w:t>2</w:t>
      </w:r>
      <w:r>
        <w:rPr>
          <w:rFonts w:hint="eastAsia" w:ascii="宋体" w:hAnsi="宋体" w:eastAsia="宋体" w:cs="宋体"/>
          <w:i w:val="0"/>
          <w:iCs w:val="0"/>
          <w:color w:val="auto"/>
          <w:sz w:val="24"/>
          <w:szCs w:val="24"/>
          <w:highlight w:val="none"/>
          <w:lang w:val="zh-CN" w:eastAsia="zh-CN"/>
        </w:rPr>
        <w:t>）收到质疑函的日期、质疑项目名称及</w:t>
      </w:r>
      <w:r>
        <w:rPr>
          <w:rFonts w:hint="eastAsia" w:ascii="宋体" w:hAnsi="宋体" w:eastAsia="宋体" w:cs="宋体"/>
          <w:i w:val="0"/>
          <w:iCs w:val="0"/>
          <w:color w:val="auto"/>
          <w:sz w:val="24"/>
          <w:szCs w:val="24"/>
          <w:highlight w:val="none"/>
          <w:lang w:val="en-US" w:eastAsia="zh-CN"/>
        </w:rPr>
        <w:t>项目</w:t>
      </w:r>
      <w:r>
        <w:rPr>
          <w:rFonts w:hint="eastAsia" w:ascii="宋体" w:hAnsi="宋体" w:eastAsia="宋体" w:cs="宋体"/>
          <w:i w:val="0"/>
          <w:iCs w:val="0"/>
          <w:color w:val="auto"/>
          <w:sz w:val="24"/>
          <w:szCs w:val="24"/>
          <w:highlight w:val="none"/>
          <w:lang w:val="zh-CN" w:eastAsia="zh-CN"/>
        </w:rPr>
        <w:t>编号/包号；</w:t>
      </w:r>
    </w:p>
    <w:p w14:paraId="57B0732F">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lang w:val="zh-CN" w:eastAsia="zh-CN"/>
        </w:rPr>
      </w:pPr>
      <w:r>
        <w:rPr>
          <w:rFonts w:hint="eastAsia" w:ascii="宋体" w:hAnsi="宋体" w:eastAsia="宋体" w:cs="宋体"/>
          <w:i w:val="0"/>
          <w:iCs w:val="0"/>
          <w:color w:val="auto"/>
          <w:sz w:val="24"/>
          <w:szCs w:val="24"/>
          <w:highlight w:val="none"/>
          <w:lang w:val="zh-CN" w:eastAsia="zh-CN"/>
        </w:rPr>
        <w:t>（</w:t>
      </w:r>
      <w:r>
        <w:rPr>
          <w:rFonts w:hint="eastAsia" w:ascii="宋体" w:hAnsi="宋体" w:eastAsia="宋体" w:cs="宋体"/>
          <w:i w:val="0"/>
          <w:iCs w:val="0"/>
          <w:color w:val="auto"/>
          <w:sz w:val="24"/>
          <w:szCs w:val="24"/>
          <w:highlight w:val="none"/>
          <w:lang w:val="en-US" w:eastAsia="zh-CN"/>
        </w:rPr>
        <w:t>3</w:t>
      </w:r>
      <w:r>
        <w:rPr>
          <w:rFonts w:hint="eastAsia" w:ascii="宋体" w:hAnsi="宋体" w:eastAsia="宋体" w:cs="宋体"/>
          <w:i w:val="0"/>
          <w:iCs w:val="0"/>
          <w:color w:val="auto"/>
          <w:sz w:val="24"/>
          <w:szCs w:val="24"/>
          <w:highlight w:val="none"/>
          <w:lang w:val="zh-CN" w:eastAsia="zh-CN"/>
        </w:rPr>
        <w:t>）质疑事项、质疑答复的具体内容、事实依据和法律依据；</w:t>
      </w:r>
    </w:p>
    <w:p w14:paraId="797EB669">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lang w:val="zh-CN" w:eastAsia="zh-CN"/>
        </w:rPr>
      </w:pPr>
      <w:r>
        <w:rPr>
          <w:rFonts w:hint="eastAsia" w:ascii="宋体" w:hAnsi="宋体" w:eastAsia="宋体" w:cs="宋体"/>
          <w:i w:val="0"/>
          <w:iCs w:val="0"/>
          <w:color w:val="auto"/>
          <w:sz w:val="24"/>
          <w:szCs w:val="24"/>
          <w:highlight w:val="none"/>
          <w:lang w:val="zh-CN" w:eastAsia="zh-CN"/>
        </w:rPr>
        <w:t>（</w:t>
      </w:r>
      <w:r>
        <w:rPr>
          <w:rFonts w:hint="eastAsia" w:ascii="宋体" w:hAnsi="宋体" w:eastAsia="宋体" w:cs="宋体"/>
          <w:i w:val="0"/>
          <w:iCs w:val="0"/>
          <w:color w:val="auto"/>
          <w:sz w:val="24"/>
          <w:szCs w:val="24"/>
          <w:highlight w:val="none"/>
          <w:lang w:val="en-US" w:eastAsia="zh-CN"/>
        </w:rPr>
        <w:t>4</w:t>
      </w:r>
      <w:r>
        <w:rPr>
          <w:rFonts w:hint="eastAsia" w:ascii="宋体" w:hAnsi="宋体" w:eastAsia="宋体" w:cs="宋体"/>
          <w:i w:val="0"/>
          <w:iCs w:val="0"/>
          <w:color w:val="auto"/>
          <w:sz w:val="24"/>
          <w:szCs w:val="24"/>
          <w:highlight w:val="none"/>
          <w:lang w:val="zh-CN" w:eastAsia="zh-CN"/>
        </w:rPr>
        <w:t>）告知质疑供应商依法投诉的权利；</w:t>
      </w:r>
    </w:p>
    <w:p w14:paraId="7BAD87B4">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lang w:val="zh-CN" w:eastAsia="zh-CN"/>
        </w:rPr>
      </w:pPr>
      <w:r>
        <w:rPr>
          <w:rFonts w:hint="eastAsia" w:ascii="宋体" w:hAnsi="宋体" w:eastAsia="宋体" w:cs="宋体"/>
          <w:i w:val="0"/>
          <w:iCs w:val="0"/>
          <w:color w:val="auto"/>
          <w:sz w:val="24"/>
          <w:szCs w:val="24"/>
          <w:highlight w:val="none"/>
          <w:lang w:val="zh-CN" w:eastAsia="zh-CN"/>
        </w:rPr>
        <w:t>（</w:t>
      </w:r>
      <w:r>
        <w:rPr>
          <w:rFonts w:hint="eastAsia" w:ascii="宋体" w:hAnsi="宋体" w:eastAsia="宋体" w:cs="宋体"/>
          <w:i w:val="0"/>
          <w:iCs w:val="0"/>
          <w:color w:val="auto"/>
          <w:sz w:val="24"/>
          <w:szCs w:val="24"/>
          <w:highlight w:val="none"/>
          <w:lang w:val="en-US" w:eastAsia="zh-CN"/>
        </w:rPr>
        <w:t>5</w:t>
      </w:r>
      <w:r>
        <w:rPr>
          <w:rFonts w:hint="eastAsia" w:ascii="宋体" w:hAnsi="宋体" w:eastAsia="宋体" w:cs="宋体"/>
          <w:i w:val="0"/>
          <w:iCs w:val="0"/>
          <w:color w:val="auto"/>
          <w:sz w:val="24"/>
          <w:szCs w:val="24"/>
          <w:highlight w:val="none"/>
          <w:lang w:val="zh-CN" w:eastAsia="zh-CN"/>
        </w:rPr>
        <w:t>）质疑答复人名称；</w:t>
      </w:r>
    </w:p>
    <w:p w14:paraId="0A463F5C">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lang w:val="zh-CN" w:eastAsia="zh-CN"/>
        </w:rPr>
      </w:pPr>
      <w:r>
        <w:rPr>
          <w:rFonts w:hint="eastAsia" w:ascii="宋体" w:hAnsi="宋体" w:eastAsia="宋体" w:cs="宋体"/>
          <w:i w:val="0"/>
          <w:iCs w:val="0"/>
          <w:color w:val="auto"/>
          <w:sz w:val="24"/>
          <w:szCs w:val="24"/>
          <w:highlight w:val="none"/>
          <w:lang w:val="zh-CN" w:eastAsia="zh-CN"/>
        </w:rPr>
        <w:t>（</w:t>
      </w:r>
      <w:r>
        <w:rPr>
          <w:rFonts w:hint="eastAsia" w:ascii="宋体" w:hAnsi="宋体" w:eastAsia="宋体" w:cs="宋体"/>
          <w:i w:val="0"/>
          <w:iCs w:val="0"/>
          <w:color w:val="auto"/>
          <w:sz w:val="24"/>
          <w:szCs w:val="24"/>
          <w:highlight w:val="none"/>
          <w:lang w:val="en-US" w:eastAsia="zh-CN"/>
        </w:rPr>
        <w:t>6</w:t>
      </w:r>
      <w:r>
        <w:rPr>
          <w:rFonts w:hint="eastAsia" w:ascii="宋体" w:hAnsi="宋体" w:eastAsia="宋体" w:cs="宋体"/>
          <w:i w:val="0"/>
          <w:iCs w:val="0"/>
          <w:color w:val="auto"/>
          <w:sz w:val="24"/>
          <w:szCs w:val="24"/>
          <w:highlight w:val="none"/>
          <w:lang w:val="zh-CN" w:eastAsia="zh-CN"/>
        </w:rPr>
        <w:t>）答复质疑的日期。</w:t>
      </w:r>
    </w:p>
    <w:p w14:paraId="68DAC335">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lang w:val="zh-CN" w:eastAsia="zh-CN"/>
        </w:rPr>
      </w:pPr>
      <w:r>
        <w:rPr>
          <w:rFonts w:hint="eastAsia" w:ascii="宋体" w:hAnsi="宋体" w:eastAsia="宋体" w:cs="宋体"/>
          <w:i w:val="0"/>
          <w:iCs w:val="0"/>
          <w:color w:val="auto"/>
          <w:sz w:val="24"/>
          <w:szCs w:val="24"/>
          <w:highlight w:val="none"/>
          <w:lang w:val="en-US" w:eastAsia="zh-CN"/>
        </w:rPr>
        <w:t>36.3</w:t>
      </w:r>
      <w:r>
        <w:rPr>
          <w:rFonts w:hint="eastAsia" w:ascii="宋体" w:hAnsi="宋体" w:eastAsia="宋体" w:cs="宋体"/>
          <w:i w:val="0"/>
          <w:iCs w:val="0"/>
          <w:color w:val="auto"/>
          <w:sz w:val="24"/>
          <w:szCs w:val="24"/>
          <w:highlight w:val="none"/>
          <w:lang w:val="zh-CN" w:eastAsia="zh-CN"/>
        </w:rPr>
        <w:t>质疑答复的内容不得涉及商业秘密。</w:t>
      </w:r>
    </w:p>
    <w:p w14:paraId="668690D7">
      <w:pPr>
        <w:pStyle w:val="5"/>
        <w:keepNext w:val="0"/>
        <w:keepLines w:val="0"/>
        <w:pageBreakBefore w:val="0"/>
        <w:widowControl w:val="0"/>
        <w:numPr>
          <w:ilvl w:val="0"/>
          <w:numId w:val="0"/>
        </w:numPr>
        <w:kinsoku/>
        <w:wordWrap/>
        <w:overflowPunct/>
        <w:topLinePunct w:val="0"/>
        <w:autoSpaceDE/>
        <w:autoSpaceDN/>
        <w:bidi w:val="0"/>
        <w:adjustRightInd/>
        <w:snapToGrid/>
        <w:spacing w:before="80" w:after="80" w:line="240" w:lineRule="auto"/>
        <w:ind w:left="420" w:leftChars="0" w:hanging="420" w:firstLineChars="0"/>
        <w:textAlignment w:val="auto"/>
        <w:rPr>
          <w:rFonts w:hint="eastAsia" w:ascii="宋体" w:hAnsi="宋体" w:eastAsia="宋体" w:cs="宋体"/>
          <w:b/>
          <w:bCs/>
          <w:i w:val="0"/>
          <w:iCs w:val="0"/>
          <w:color w:val="auto"/>
          <w:kern w:val="2"/>
          <w:sz w:val="24"/>
          <w:szCs w:val="24"/>
          <w:highlight w:val="none"/>
          <w:lang w:val="en-US" w:eastAsia="zh-CN" w:bidi="ar-SA"/>
        </w:rPr>
      </w:pPr>
      <w:r>
        <w:rPr>
          <w:rFonts w:hint="eastAsia" w:ascii="宋体" w:hAnsi="宋体" w:eastAsia="宋体" w:cs="宋体"/>
          <w:b/>
          <w:bCs/>
          <w:i w:val="0"/>
          <w:iCs w:val="0"/>
          <w:color w:val="auto"/>
          <w:kern w:val="2"/>
          <w:sz w:val="24"/>
          <w:szCs w:val="24"/>
          <w:highlight w:val="none"/>
          <w:lang w:val="en-US" w:eastAsia="zh-CN" w:bidi="ar-SA"/>
        </w:rPr>
        <w:t>37.投诉</w:t>
      </w:r>
      <w:bookmarkEnd w:id="315"/>
      <w:bookmarkEnd w:id="316"/>
      <w:bookmarkEnd w:id="317"/>
      <w:bookmarkEnd w:id="318"/>
      <w:bookmarkEnd w:id="319"/>
      <w:bookmarkEnd w:id="320"/>
      <w:bookmarkEnd w:id="321"/>
      <w:bookmarkEnd w:id="322"/>
      <w:bookmarkEnd w:id="323"/>
      <w:bookmarkEnd w:id="324"/>
      <w:bookmarkEnd w:id="325"/>
    </w:p>
    <w:p w14:paraId="34C5EAA0">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lang w:val="en-US" w:eastAsia="zh-CN"/>
        </w:rPr>
        <w:t>37.1</w:t>
      </w:r>
      <w:r>
        <w:rPr>
          <w:rFonts w:hint="eastAsia" w:ascii="宋体" w:hAnsi="宋体" w:eastAsia="宋体" w:cs="宋体"/>
          <w:i w:val="0"/>
          <w:iCs w:val="0"/>
          <w:color w:val="auto"/>
          <w:sz w:val="24"/>
          <w:szCs w:val="24"/>
          <w:highlight w:val="none"/>
        </w:rPr>
        <w:t>质疑供应商对采购人、采购代理机构的答复不满意，或者采购人、采购代理机构未在规定时间内作出答复的，可以在答复期满后15个工作日内向</w:t>
      </w:r>
      <w:r>
        <w:rPr>
          <w:rFonts w:hint="eastAsia" w:ascii="宋体" w:hAnsi="宋体" w:eastAsia="宋体" w:cs="宋体"/>
          <w:i w:val="0"/>
          <w:iCs w:val="0"/>
          <w:color w:val="auto"/>
          <w:sz w:val="24"/>
          <w:szCs w:val="24"/>
          <w:highlight w:val="none"/>
          <w:lang w:val="en-US" w:eastAsia="zh-CN"/>
        </w:rPr>
        <w:t>同级政府采购监督管理部门</w:t>
      </w:r>
      <w:r>
        <w:rPr>
          <w:rFonts w:hint="eastAsia" w:ascii="宋体" w:hAnsi="宋体" w:eastAsia="宋体" w:cs="宋体"/>
          <w:i w:val="0"/>
          <w:iCs w:val="0"/>
          <w:color w:val="auto"/>
          <w:sz w:val="24"/>
          <w:szCs w:val="24"/>
          <w:highlight w:val="none"/>
        </w:rPr>
        <w:t>提起投诉。</w:t>
      </w:r>
    </w:p>
    <w:p w14:paraId="7AE3C0F6">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lang w:val="en-US" w:eastAsia="zh-CN"/>
        </w:rPr>
        <w:t>37.2</w:t>
      </w:r>
      <w:r>
        <w:rPr>
          <w:rFonts w:hint="eastAsia" w:ascii="宋体" w:hAnsi="宋体" w:eastAsia="宋体" w:cs="宋体"/>
          <w:i w:val="0"/>
          <w:iCs w:val="0"/>
          <w:color w:val="auto"/>
          <w:sz w:val="24"/>
          <w:szCs w:val="24"/>
          <w:highlight w:val="none"/>
        </w:rPr>
        <w:t>投诉人投诉时,应当提交投诉书和必要的证明材料，并按照被投诉采购人、采购代理机构（以下简称被投诉人）和与投诉事项有关的供应商数量提供投诉书的副本。投诉书应当包括下列内容：</w:t>
      </w:r>
    </w:p>
    <w:p w14:paraId="49546547">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val="en-US" w:eastAsia="zh-CN"/>
        </w:rPr>
        <w:t>1</w:t>
      </w:r>
      <w:r>
        <w:rPr>
          <w:rFonts w:hint="eastAsia" w:ascii="宋体" w:hAnsi="宋体" w:eastAsia="宋体" w:cs="宋体"/>
          <w:i w:val="0"/>
          <w:iCs w:val="0"/>
          <w:color w:val="auto"/>
          <w:sz w:val="24"/>
          <w:szCs w:val="24"/>
          <w:highlight w:val="none"/>
        </w:rPr>
        <w:t>）投诉人和被投诉人的姓名或者名称、通讯地址、邮编、联系人及联系电话；</w:t>
      </w:r>
    </w:p>
    <w:p w14:paraId="1A65A103">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val="en-US" w:eastAsia="zh-CN"/>
        </w:rPr>
        <w:t>2</w:t>
      </w:r>
      <w:r>
        <w:rPr>
          <w:rFonts w:hint="eastAsia" w:ascii="宋体" w:hAnsi="宋体" w:eastAsia="宋体" w:cs="宋体"/>
          <w:i w:val="0"/>
          <w:iCs w:val="0"/>
          <w:color w:val="auto"/>
          <w:sz w:val="24"/>
          <w:szCs w:val="24"/>
          <w:highlight w:val="none"/>
        </w:rPr>
        <w:t>）质疑和质疑答复情况说明及相关证明材料；</w:t>
      </w:r>
    </w:p>
    <w:p w14:paraId="675A6D97">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val="en-US" w:eastAsia="zh-CN"/>
        </w:rPr>
        <w:t>3</w:t>
      </w:r>
      <w:r>
        <w:rPr>
          <w:rFonts w:hint="eastAsia" w:ascii="宋体" w:hAnsi="宋体" w:eastAsia="宋体" w:cs="宋体"/>
          <w:i w:val="0"/>
          <w:iCs w:val="0"/>
          <w:color w:val="auto"/>
          <w:sz w:val="24"/>
          <w:szCs w:val="24"/>
          <w:highlight w:val="none"/>
        </w:rPr>
        <w:t>）具体、明确的投诉事项和与投诉事项相关的投诉请求；</w:t>
      </w:r>
    </w:p>
    <w:p w14:paraId="4A0C1598">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val="en-US" w:eastAsia="zh-CN"/>
        </w:rPr>
        <w:t>4</w:t>
      </w:r>
      <w:r>
        <w:rPr>
          <w:rFonts w:hint="eastAsia" w:ascii="宋体" w:hAnsi="宋体" w:eastAsia="宋体" w:cs="宋体"/>
          <w:i w:val="0"/>
          <w:iCs w:val="0"/>
          <w:color w:val="auto"/>
          <w:sz w:val="24"/>
          <w:szCs w:val="24"/>
          <w:highlight w:val="none"/>
        </w:rPr>
        <w:t>）事实依据；</w:t>
      </w:r>
    </w:p>
    <w:p w14:paraId="4CFD3E01">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val="en-US" w:eastAsia="zh-CN"/>
        </w:rPr>
        <w:t>5</w:t>
      </w:r>
      <w:r>
        <w:rPr>
          <w:rFonts w:hint="eastAsia" w:ascii="宋体" w:hAnsi="宋体" w:eastAsia="宋体" w:cs="宋体"/>
          <w:i w:val="0"/>
          <w:iCs w:val="0"/>
          <w:color w:val="auto"/>
          <w:sz w:val="24"/>
          <w:szCs w:val="24"/>
          <w:highlight w:val="none"/>
        </w:rPr>
        <w:t>）法律依据；</w:t>
      </w:r>
    </w:p>
    <w:p w14:paraId="35FA6A4A">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val="en-US" w:eastAsia="zh-CN"/>
        </w:rPr>
        <w:t>6</w:t>
      </w:r>
      <w:r>
        <w:rPr>
          <w:rFonts w:hint="eastAsia" w:ascii="宋体" w:hAnsi="宋体" w:eastAsia="宋体" w:cs="宋体"/>
          <w:i w:val="0"/>
          <w:iCs w:val="0"/>
          <w:color w:val="auto"/>
          <w:sz w:val="24"/>
          <w:szCs w:val="24"/>
          <w:highlight w:val="none"/>
        </w:rPr>
        <w:t>）提起投诉的日期。</w:t>
      </w:r>
    </w:p>
    <w:p w14:paraId="4FC7C3AB">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投诉人为自然人的，应当由本人签字；投诉人为法人或者其他组织的，应当由法定代表人、主要负责人，或者其授权代表签字或者盖章，并加盖公章。</w:t>
      </w:r>
    </w:p>
    <w:p w14:paraId="4DF335BD">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bCs/>
          <w:i w:val="0"/>
          <w:iCs w:val="0"/>
          <w:color w:val="auto"/>
          <w:sz w:val="24"/>
          <w:szCs w:val="24"/>
          <w:highlight w:val="none"/>
        </w:rPr>
      </w:pPr>
      <w:r>
        <w:rPr>
          <w:rFonts w:hint="eastAsia" w:ascii="宋体" w:hAnsi="宋体" w:eastAsia="宋体" w:cs="宋体"/>
          <w:i w:val="0"/>
          <w:iCs w:val="0"/>
          <w:color w:val="auto"/>
          <w:sz w:val="24"/>
          <w:szCs w:val="24"/>
          <w:highlight w:val="none"/>
          <w:lang w:val="en-US" w:eastAsia="zh-CN"/>
        </w:rPr>
        <w:t>37.3</w:t>
      </w:r>
      <w:r>
        <w:rPr>
          <w:rFonts w:hint="eastAsia" w:ascii="宋体" w:hAnsi="宋体" w:eastAsia="宋体" w:cs="宋体"/>
          <w:i w:val="0"/>
          <w:iCs w:val="0"/>
          <w:color w:val="auto"/>
          <w:sz w:val="24"/>
          <w:szCs w:val="24"/>
          <w:highlight w:val="none"/>
        </w:rPr>
        <w:t>供应商</w:t>
      </w:r>
      <w:r>
        <w:rPr>
          <w:rFonts w:hint="eastAsia" w:ascii="宋体" w:hAnsi="宋体" w:eastAsia="宋体" w:cs="宋体"/>
          <w:i w:val="0"/>
          <w:iCs w:val="0"/>
          <w:color w:val="auto"/>
          <w:sz w:val="24"/>
          <w:szCs w:val="24"/>
          <w:highlight w:val="none"/>
          <w:lang w:val="en-US" w:eastAsia="zh-CN"/>
        </w:rPr>
        <w:t>质疑、</w:t>
      </w:r>
      <w:r>
        <w:rPr>
          <w:rFonts w:hint="eastAsia" w:ascii="宋体" w:hAnsi="宋体" w:eastAsia="宋体" w:cs="宋体"/>
          <w:i w:val="0"/>
          <w:iCs w:val="0"/>
          <w:color w:val="auto"/>
          <w:sz w:val="24"/>
          <w:szCs w:val="24"/>
          <w:highlight w:val="none"/>
        </w:rPr>
        <w:t>投诉</w:t>
      </w:r>
      <w:r>
        <w:rPr>
          <w:rFonts w:hint="eastAsia" w:ascii="宋体" w:hAnsi="宋体" w:eastAsia="宋体" w:cs="宋体"/>
          <w:i w:val="0"/>
          <w:iCs w:val="0"/>
          <w:color w:val="auto"/>
          <w:sz w:val="24"/>
          <w:szCs w:val="24"/>
          <w:highlight w:val="none"/>
          <w:lang w:val="en-US" w:eastAsia="zh-CN"/>
        </w:rPr>
        <w:t>应当有明确的请求和必要的证明材料</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供应商投诉的事项不得超出</w:t>
      </w:r>
      <w:r>
        <w:rPr>
          <w:rFonts w:hint="eastAsia" w:ascii="宋体" w:hAnsi="宋体" w:eastAsia="宋体" w:cs="宋体"/>
          <w:i w:val="0"/>
          <w:iCs w:val="0"/>
          <w:color w:val="auto"/>
          <w:sz w:val="24"/>
          <w:szCs w:val="24"/>
          <w:highlight w:val="none"/>
          <w:lang w:val="en-US" w:eastAsia="zh-CN"/>
        </w:rPr>
        <w:t>已</w:t>
      </w:r>
      <w:r>
        <w:rPr>
          <w:rFonts w:hint="eastAsia" w:ascii="宋体" w:hAnsi="宋体" w:eastAsia="宋体" w:cs="宋体"/>
          <w:i w:val="0"/>
          <w:iCs w:val="0"/>
          <w:color w:val="auto"/>
          <w:sz w:val="24"/>
          <w:szCs w:val="24"/>
          <w:highlight w:val="none"/>
        </w:rPr>
        <w:t>质疑事项的范围，但基于质疑答复内容提出的投诉事项除外</w:t>
      </w:r>
      <w:r>
        <w:rPr>
          <w:rFonts w:hint="eastAsia" w:ascii="宋体" w:hAnsi="宋体" w:eastAsia="宋体" w:cs="宋体"/>
          <w:bCs/>
          <w:i w:val="0"/>
          <w:iCs w:val="0"/>
          <w:color w:val="auto"/>
          <w:sz w:val="24"/>
          <w:szCs w:val="24"/>
          <w:highlight w:val="none"/>
        </w:rPr>
        <w:t>。</w:t>
      </w:r>
    </w:p>
    <w:p w14:paraId="2A3BCE0B">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lang w:val="zh-CN" w:eastAsia="zh-CN"/>
        </w:rPr>
      </w:pPr>
      <w:r>
        <w:rPr>
          <w:rFonts w:hint="eastAsia" w:ascii="宋体" w:hAnsi="宋体" w:eastAsia="宋体" w:cs="宋体"/>
          <w:i w:val="0"/>
          <w:iCs w:val="0"/>
          <w:snapToGrid w:val="0"/>
          <w:color w:val="auto"/>
          <w:sz w:val="24"/>
          <w:szCs w:val="24"/>
          <w:highlight w:val="none"/>
          <w:lang w:val="en-US" w:eastAsia="zh-CN"/>
        </w:rPr>
        <w:t>37.4</w:t>
      </w:r>
      <w:r>
        <w:rPr>
          <w:rFonts w:hint="eastAsia" w:ascii="宋体" w:hAnsi="宋体" w:eastAsia="宋体" w:cs="宋体"/>
          <w:i w:val="0"/>
          <w:iCs w:val="0"/>
          <w:color w:val="auto"/>
          <w:sz w:val="24"/>
          <w:szCs w:val="24"/>
          <w:highlight w:val="none"/>
          <w:lang w:val="en-US" w:eastAsia="zh-CN"/>
        </w:rPr>
        <w:t>投诉书应当使用中文，并采用财政部门制定的范本</w:t>
      </w:r>
      <w:r>
        <w:rPr>
          <w:rFonts w:hint="eastAsia" w:ascii="宋体" w:hAnsi="宋体" w:eastAsia="宋体" w:cs="宋体"/>
          <w:i w:val="0"/>
          <w:iCs w:val="0"/>
          <w:color w:val="auto"/>
          <w:sz w:val="24"/>
          <w:szCs w:val="24"/>
          <w:highlight w:val="none"/>
          <w:lang w:val="zh-CN" w:eastAsia="zh-CN"/>
        </w:rPr>
        <w:t>。</w:t>
      </w:r>
    </w:p>
    <w:p w14:paraId="072EB102">
      <w:pPr>
        <w:pStyle w:val="4"/>
        <w:keepNext w:val="0"/>
        <w:keepLines w:val="0"/>
        <w:pageBreakBefore w:val="0"/>
        <w:widowControl w:val="0"/>
        <w:numPr>
          <w:ilvl w:val="0"/>
          <w:numId w:val="0"/>
        </w:numPr>
        <w:kinsoku/>
        <w:wordWrap/>
        <w:overflowPunct/>
        <w:topLinePunct w:val="0"/>
        <w:autoSpaceDE/>
        <w:autoSpaceDN/>
        <w:bidi w:val="0"/>
        <w:adjustRightInd/>
        <w:snapToGrid/>
        <w:spacing w:before="140" w:after="140" w:line="240" w:lineRule="auto"/>
        <w:ind w:left="420" w:leftChars="0" w:hanging="420" w:firstLineChars="0"/>
        <w:textAlignment w:val="auto"/>
        <w:rPr>
          <w:rFonts w:hint="eastAsia" w:ascii="宋体" w:hAnsi="宋体" w:eastAsia="宋体" w:cs="宋体"/>
          <w:b/>
          <w:bCs/>
          <w:i w:val="0"/>
          <w:iCs w:val="0"/>
          <w:color w:val="auto"/>
          <w:kern w:val="2"/>
          <w:sz w:val="24"/>
          <w:szCs w:val="24"/>
          <w:highlight w:val="none"/>
          <w:lang w:val="en-US" w:eastAsia="zh-CN" w:bidi="ar-SA"/>
        </w:rPr>
      </w:pPr>
      <w:bookmarkStart w:id="326" w:name="_Toc622"/>
      <w:bookmarkStart w:id="327" w:name="_Toc15177"/>
      <w:bookmarkStart w:id="328" w:name="_Toc21708"/>
      <w:r>
        <w:rPr>
          <w:rFonts w:hint="eastAsia" w:ascii="宋体" w:hAnsi="宋体" w:eastAsia="宋体" w:cs="宋体"/>
          <w:b/>
          <w:bCs/>
          <w:i w:val="0"/>
          <w:iCs w:val="0"/>
          <w:color w:val="auto"/>
          <w:kern w:val="2"/>
          <w:sz w:val="24"/>
          <w:szCs w:val="24"/>
          <w:highlight w:val="none"/>
          <w:lang w:val="en-US" w:eastAsia="zh-CN" w:bidi="ar-SA"/>
        </w:rPr>
        <w:t>（十一）采购代理服务费</w:t>
      </w:r>
      <w:bookmarkEnd w:id="309"/>
      <w:bookmarkEnd w:id="326"/>
      <w:bookmarkEnd w:id="327"/>
      <w:bookmarkEnd w:id="328"/>
    </w:p>
    <w:p w14:paraId="32832303">
      <w:pPr>
        <w:pStyle w:val="5"/>
        <w:keepNext w:val="0"/>
        <w:keepLines w:val="0"/>
        <w:pageBreakBefore w:val="0"/>
        <w:widowControl w:val="0"/>
        <w:numPr>
          <w:ilvl w:val="0"/>
          <w:numId w:val="0"/>
        </w:numPr>
        <w:kinsoku/>
        <w:wordWrap/>
        <w:overflowPunct/>
        <w:topLinePunct w:val="0"/>
        <w:autoSpaceDE/>
        <w:autoSpaceDN/>
        <w:bidi w:val="0"/>
        <w:adjustRightInd/>
        <w:snapToGrid/>
        <w:spacing w:before="80" w:after="80" w:line="240" w:lineRule="auto"/>
        <w:ind w:left="420" w:leftChars="0" w:hanging="420" w:firstLineChars="0"/>
        <w:textAlignment w:val="auto"/>
        <w:rPr>
          <w:rFonts w:hint="eastAsia" w:ascii="宋体" w:hAnsi="宋体" w:eastAsia="宋体" w:cs="宋体"/>
          <w:b/>
          <w:bCs/>
          <w:i w:val="0"/>
          <w:iCs w:val="0"/>
          <w:color w:val="auto"/>
          <w:kern w:val="2"/>
          <w:sz w:val="24"/>
          <w:szCs w:val="24"/>
          <w:highlight w:val="none"/>
          <w:lang w:val="en-US" w:eastAsia="zh-CN" w:bidi="ar-SA"/>
        </w:rPr>
      </w:pPr>
      <w:r>
        <w:rPr>
          <w:rFonts w:hint="eastAsia" w:ascii="宋体" w:hAnsi="宋体" w:eastAsia="宋体" w:cs="宋体"/>
          <w:b/>
          <w:bCs/>
          <w:i w:val="0"/>
          <w:iCs w:val="0"/>
          <w:color w:val="auto"/>
          <w:kern w:val="2"/>
          <w:sz w:val="24"/>
          <w:szCs w:val="24"/>
          <w:highlight w:val="none"/>
          <w:lang w:val="en-US" w:eastAsia="zh-CN" w:bidi="ar-SA"/>
        </w:rPr>
        <w:t>38.收取方式和标准</w:t>
      </w:r>
    </w:p>
    <w:p w14:paraId="0F0CA960">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color w:val="auto"/>
          <w:sz w:val="24"/>
          <w:szCs w:val="24"/>
          <w:highlight w:val="none"/>
        </w:rPr>
      </w:pPr>
      <w:r>
        <w:rPr>
          <w:rFonts w:hint="eastAsia" w:ascii="宋体" w:hAnsi="宋体" w:eastAsia="宋体" w:cs="宋体"/>
          <w:bCs/>
          <w:i w:val="0"/>
          <w:iCs w:val="0"/>
          <w:color w:val="auto"/>
          <w:sz w:val="24"/>
          <w:szCs w:val="24"/>
          <w:highlight w:val="none"/>
        </w:rPr>
        <w:t>3</w:t>
      </w:r>
      <w:r>
        <w:rPr>
          <w:rFonts w:hint="eastAsia" w:ascii="宋体" w:hAnsi="宋体" w:eastAsia="宋体" w:cs="宋体"/>
          <w:bCs/>
          <w:i w:val="0"/>
          <w:iCs w:val="0"/>
          <w:color w:val="auto"/>
          <w:sz w:val="24"/>
          <w:szCs w:val="24"/>
          <w:highlight w:val="none"/>
          <w:lang w:val="en-US" w:eastAsia="zh-CN"/>
        </w:rPr>
        <w:t>8</w:t>
      </w:r>
      <w:r>
        <w:rPr>
          <w:rFonts w:hint="eastAsia" w:ascii="宋体" w:hAnsi="宋体" w:eastAsia="宋体" w:cs="宋体"/>
          <w:i w:val="0"/>
          <w:iCs w:val="0"/>
          <w:color w:val="auto"/>
          <w:sz w:val="24"/>
          <w:szCs w:val="24"/>
          <w:highlight w:val="none"/>
        </w:rPr>
        <w:t>.1采购代理机构按“供应商须知前附表”规定的方式和标准收取采购代理服务费。</w:t>
      </w:r>
    </w:p>
    <w:p w14:paraId="5E6F9613">
      <w:pPr>
        <w:pStyle w:val="4"/>
        <w:keepNext w:val="0"/>
        <w:keepLines w:val="0"/>
        <w:pageBreakBefore w:val="0"/>
        <w:widowControl w:val="0"/>
        <w:numPr>
          <w:ilvl w:val="0"/>
          <w:numId w:val="0"/>
        </w:numPr>
        <w:kinsoku/>
        <w:wordWrap/>
        <w:overflowPunct/>
        <w:topLinePunct w:val="0"/>
        <w:autoSpaceDE/>
        <w:autoSpaceDN/>
        <w:bidi w:val="0"/>
        <w:adjustRightInd/>
        <w:snapToGrid/>
        <w:spacing w:before="140" w:after="140" w:line="240" w:lineRule="auto"/>
        <w:ind w:left="420" w:leftChars="0" w:hanging="420" w:firstLineChars="0"/>
        <w:textAlignment w:val="auto"/>
        <w:rPr>
          <w:rFonts w:hint="eastAsia" w:ascii="宋体" w:hAnsi="宋体" w:eastAsia="宋体" w:cs="宋体"/>
          <w:b/>
          <w:bCs/>
          <w:i w:val="0"/>
          <w:iCs w:val="0"/>
          <w:color w:val="auto"/>
          <w:kern w:val="2"/>
          <w:sz w:val="24"/>
          <w:szCs w:val="24"/>
          <w:highlight w:val="none"/>
          <w:lang w:val="en-US" w:eastAsia="zh-CN" w:bidi="ar-SA"/>
        </w:rPr>
      </w:pPr>
      <w:bookmarkStart w:id="329" w:name="_Toc163493620"/>
      <w:bookmarkStart w:id="330" w:name="_Toc14684"/>
      <w:bookmarkStart w:id="331" w:name="_Toc28846"/>
      <w:bookmarkStart w:id="332" w:name="_Toc26132"/>
      <w:r>
        <w:rPr>
          <w:rFonts w:hint="eastAsia" w:ascii="宋体" w:hAnsi="宋体" w:eastAsia="宋体" w:cs="宋体"/>
          <w:b/>
          <w:bCs/>
          <w:i w:val="0"/>
          <w:iCs w:val="0"/>
          <w:color w:val="auto"/>
          <w:kern w:val="2"/>
          <w:sz w:val="24"/>
          <w:szCs w:val="24"/>
          <w:highlight w:val="none"/>
          <w:lang w:val="en-US" w:eastAsia="zh-CN" w:bidi="ar-SA"/>
        </w:rPr>
        <w:t>（十二）无效响应和终止采购活动</w:t>
      </w:r>
      <w:bookmarkEnd w:id="329"/>
      <w:bookmarkEnd w:id="330"/>
      <w:bookmarkEnd w:id="331"/>
      <w:bookmarkEnd w:id="332"/>
    </w:p>
    <w:p w14:paraId="02780A34">
      <w:pPr>
        <w:pStyle w:val="5"/>
        <w:keepNext w:val="0"/>
        <w:keepLines w:val="0"/>
        <w:pageBreakBefore w:val="0"/>
        <w:widowControl w:val="0"/>
        <w:numPr>
          <w:ilvl w:val="0"/>
          <w:numId w:val="0"/>
        </w:numPr>
        <w:kinsoku/>
        <w:wordWrap/>
        <w:overflowPunct/>
        <w:topLinePunct w:val="0"/>
        <w:autoSpaceDE/>
        <w:autoSpaceDN/>
        <w:bidi w:val="0"/>
        <w:adjustRightInd/>
        <w:snapToGrid/>
        <w:spacing w:before="80" w:after="80" w:line="240" w:lineRule="auto"/>
        <w:ind w:left="420" w:leftChars="0" w:hanging="420" w:firstLineChars="0"/>
        <w:textAlignment w:val="auto"/>
        <w:rPr>
          <w:rFonts w:hint="eastAsia" w:ascii="宋体" w:hAnsi="宋体" w:eastAsia="宋体" w:cs="宋体"/>
          <w:b/>
          <w:bCs/>
          <w:i w:val="0"/>
          <w:iCs w:val="0"/>
          <w:color w:val="auto"/>
          <w:kern w:val="2"/>
          <w:sz w:val="24"/>
          <w:szCs w:val="24"/>
          <w:highlight w:val="none"/>
          <w:lang w:val="en-US" w:eastAsia="zh-CN" w:bidi="ar-SA"/>
        </w:rPr>
      </w:pPr>
      <w:bookmarkStart w:id="333" w:name="_Toc161600338"/>
      <w:bookmarkStart w:id="334" w:name="_Toc140132806"/>
      <w:r>
        <w:rPr>
          <w:rFonts w:hint="eastAsia" w:ascii="宋体" w:hAnsi="宋体" w:eastAsia="宋体" w:cs="宋体"/>
          <w:b/>
          <w:bCs/>
          <w:i w:val="0"/>
          <w:iCs w:val="0"/>
          <w:color w:val="auto"/>
          <w:kern w:val="2"/>
          <w:sz w:val="24"/>
          <w:szCs w:val="24"/>
          <w:highlight w:val="none"/>
          <w:lang w:val="en-US" w:eastAsia="zh-CN" w:bidi="ar-SA"/>
        </w:rPr>
        <w:t>39.无效</w:t>
      </w:r>
      <w:bookmarkEnd w:id="333"/>
      <w:bookmarkEnd w:id="334"/>
      <w:r>
        <w:rPr>
          <w:rFonts w:hint="eastAsia" w:ascii="宋体" w:hAnsi="宋体" w:eastAsia="宋体" w:cs="宋体"/>
          <w:b/>
          <w:bCs/>
          <w:i w:val="0"/>
          <w:iCs w:val="0"/>
          <w:color w:val="auto"/>
          <w:kern w:val="2"/>
          <w:sz w:val="24"/>
          <w:szCs w:val="24"/>
          <w:highlight w:val="none"/>
          <w:lang w:val="en-US" w:eastAsia="zh-CN" w:bidi="ar-SA"/>
        </w:rPr>
        <w:t>响应</w:t>
      </w:r>
    </w:p>
    <w:p w14:paraId="132D1B41">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3</w:t>
      </w:r>
      <w:r>
        <w:rPr>
          <w:rFonts w:hint="eastAsia" w:ascii="宋体" w:hAnsi="宋体" w:eastAsia="宋体" w:cs="宋体"/>
          <w:i w:val="0"/>
          <w:iCs w:val="0"/>
          <w:color w:val="auto"/>
          <w:sz w:val="24"/>
          <w:szCs w:val="24"/>
          <w:highlight w:val="none"/>
          <w:lang w:val="en-US" w:eastAsia="zh-CN"/>
        </w:rPr>
        <w:t>9</w:t>
      </w:r>
      <w:r>
        <w:rPr>
          <w:rFonts w:hint="eastAsia" w:ascii="宋体" w:hAnsi="宋体" w:eastAsia="宋体" w:cs="宋体"/>
          <w:i w:val="0"/>
          <w:iCs w:val="0"/>
          <w:color w:val="auto"/>
          <w:sz w:val="24"/>
          <w:szCs w:val="24"/>
          <w:highlight w:val="none"/>
        </w:rPr>
        <w:t>.1响应文件存在“第四章</w:t>
      </w:r>
      <w:r>
        <w:rPr>
          <w:rFonts w:hint="eastAsia" w:ascii="宋体" w:hAnsi="宋体" w:eastAsia="宋体" w:cs="宋体"/>
          <w:i w:val="0"/>
          <w:iCs w:val="0"/>
          <w:color w:val="auto"/>
          <w:sz w:val="24"/>
          <w:szCs w:val="24"/>
          <w:highlight w:val="none"/>
          <w:lang w:val="en-US" w:eastAsia="zh-CN"/>
        </w:rPr>
        <w:t xml:space="preserve"> </w:t>
      </w:r>
      <w:r>
        <w:rPr>
          <w:rFonts w:hint="eastAsia" w:ascii="宋体" w:hAnsi="宋体" w:eastAsia="宋体" w:cs="宋体"/>
          <w:i w:val="0"/>
          <w:iCs w:val="0"/>
          <w:color w:val="auto"/>
          <w:sz w:val="24"/>
          <w:szCs w:val="24"/>
          <w:highlight w:val="none"/>
        </w:rPr>
        <w:t>评审方法及标准”规定的</w:t>
      </w:r>
      <w:r>
        <w:rPr>
          <w:rFonts w:hint="eastAsia" w:ascii="宋体" w:hAnsi="宋体" w:eastAsia="宋体" w:cs="宋体"/>
          <w:b/>
          <w:bCs/>
          <w:i w:val="0"/>
          <w:iCs w:val="0"/>
          <w:color w:val="auto"/>
          <w:sz w:val="24"/>
          <w:szCs w:val="24"/>
          <w:highlight w:val="none"/>
        </w:rPr>
        <w:t>响应无效</w:t>
      </w:r>
      <w:r>
        <w:rPr>
          <w:rFonts w:hint="eastAsia" w:ascii="宋体" w:hAnsi="宋体" w:eastAsia="宋体" w:cs="宋体"/>
          <w:i w:val="0"/>
          <w:iCs w:val="0"/>
          <w:color w:val="auto"/>
          <w:sz w:val="24"/>
          <w:szCs w:val="24"/>
          <w:highlight w:val="none"/>
        </w:rPr>
        <w:t>情形的，</w:t>
      </w:r>
      <w:r>
        <w:rPr>
          <w:rFonts w:hint="eastAsia" w:cs="宋体"/>
          <w:i w:val="0"/>
          <w:iCs w:val="0"/>
          <w:color w:val="auto"/>
          <w:sz w:val="24"/>
          <w:szCs w:val="24"/>
          <w:highlight w:val="none"/>
          <w:lang w:eastAsia="zh-CN"/>
        </w:rPr>
        <w:t>作</w:t>
      </w:r>
      <w:r>
        <w:rPr>
          <w:rFonts w:hint="eastAsia" w:ascii="宋体" w:hAnsi="宋体" w:eastAsia="宋体" w:cs="宋体"/>
          <w:b/>
          <w:bCs/>
          <w:i w:val="0"/>
          <w:iCs w:val="0"/>
          <w:color w:val="auto"/>
          <w:sz w:val="24"/>
          <w:szCs w:val="24"/>
          <w:highlight w:val="none"/>
        </w:rPr>
        <w:t>无效响应</w:t>
      </w:r>
      <w:r>
        <w:rPr>
          <w:rFonts w:hint="eastAsia" w:ascii="宋体" w:hAnsi="宋体" w:eastAsia="宋体" w:cs="宋体"/>
          <w:i w:val="0"/>
          <w:iCs w:val="0"/>
          <w:color w:val="auto"/>
          <w:sz w:val="24"/>
          <w:szCs w:val="24"/>
          <w:highlight w:val="none"/>
        </w:rPr>
        <w:t>处理。</w:t>
      </w:r>
    </w:p>
    <w:p w14:paraId="631C56D4">
      <w:pPr>
        <w:pStyle w:val="5"/>
        <w:keepNext w:val="0"/>
        <w:keepLines w:val="0"/>
        <w:pageBreakBefore w:val="0"/>
        <w:widowControl w:val="0"/>
        <w:numPr>
          <w:ilvl w:val="0"/>
          <w:numId w:val="0"/>
        </w:numPr>
        <w:kinsoku/>
        <w:wordWrap/>
        <w:overflowPunct/>
        <w:topLinePunct w:val="0"/>
        <w:autoSpaceDE/>
        <w:autoSpaceDN/>
        <w:bidi w:val="0"/>
        <w:adjustRightInd/>
        <w:snapToGrid/>
        <w:spacing w:before="80" w:after="80" w:line="240" w:lineRule="auto"/>
        <w:ind w:left="420" w:leftChars="0" w:hanging="420" w:firstLineChars="0"/>
        <w:textAlignment w:val="auto"/>
        <w:rPr>
          <w:rFonts w:hint="eastAsia" w:ascii="宋体" w:hAnsi="宋体" w:eastAsia="宋体" w:cs="宋体"/>
          <w:b/>
          <w:bCs/>
          <w:i w:val="0"/>
          <w:iCs w:val="0"/>
          <w:color w:val="auto"/>
          <w:kern w:val="2"/>
          <w:sz w:val="24"/>
          <w:szCs w:val="24"/>
          <w:highlight w:val="none"/>
          <w:lang w:val="en-US" w:eastAsia="zh-CN" w:bidi="ar-SA"/>
        </w:rPr>
      </w:pPr>
      <w:r>
        <w:rPr>
          <w:rFonts w:hint="eastAsia" w:ascii="宋体" w:hAnsi="宋体" w:eastAsia="宋体" w:cs="宋体"/>
          <w:b/>
          <w:bCs/>
          <w:i w:val="0"/>
          <w:iCs w:val="0"/>
          <w:color w:val="auto"/>
          <w:kern w:val="2"/>
          <w:sz w:val="24"/>
          <w:szCs w:val="24"/>
          <w:highlight w:val="none"/>
          <w:lang w:val="en-US" w:eastAsia="zh-CN" w:bidi="ar-SA"/>
        </w:rPr>
        <w:t>40.终止采购活动</w:t>
      </w:r>
    </w:p>
    <w:p w14:paraId="6F5166EC">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lang w:val="en-US" w:eastAsia="zh-CN"/>
        </w:rPr>
        <w:t>40</w:t>
      </w:r>
      <w:r>
        <w:rPr>
          <w:rFonts w:hint="eastAsia" w:ascii="宋体" w:hAnsi="宋体" w:eastAsia="宋体" w:cs="宋体"/>
          <w:i w:val="0"/>
          <w:iCs w:val="0"/>
          <w:color w:val="auto"/>
          <w:sz w:val="24"/>
          <w:szCs w:val="24"/>
          <w:highlight w:val="none"/>
        </w:rPr>
        <w:t>.1出现下列情形之一的，应当终止竞争性磋商采购活动，发布项目终止公告并说明原因，重新开展采购活动：</w:t>
      </w:r>
    </w:p>
    <w:p w14:paraId="09E00DE2">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（1）因情况变化，不再符合规定的竞争性磋商采购方式适用情形的；</w:t>
      </w:r>
    </w:p>
    <w:p w14:paraId="5FD95404">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（2）出现影响采购公正的违法、违规行为的；</w:t>
      </w:r>
    </w:p>
    <w:p w14:paraId="7598E364">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3）在采购过程中符合要求的供应商或者报价未超过采购预算的供应商不足3家的（市场竞争不充分的科研项目、需要扶持的科技成果转化项目以及政府购买服务项目&lt;含政府和社会资本合作项目&gt;）的提交最后报价的供应商可以为2家）。</w:t>
      </w:r>
    </w:p>
    <w:p w14:paraId="3EDE2978">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lang w:val="en-US" w:eastAsia="zh-CN"/>
        </w:rPr>
        <w:t>40.2在采购活动中因重大变故，采购任务取消的，采购人或者采购代理机构应当终止采购活动，通知所有参加采购活动的供应商，并将项目实施情况和采购任务取消原因报送本级财政部门。</w:t>
      </w:r>
    </w:p>
    <w:bookmarkEnd w:id="310"/>
    <w:bookmarkEnd w:id="311"/>
    <w:bookmarkEnd w:id="312"/>
    <w:bookmarkEnd w:id="313"/>
    <w:bookmarkEnd w:id="314"/>
    <w:p w14:paraId="4587345E">
      <w:pPr>
        <w:pStyle w:val="4"/>
        <w:keepNext w:val="0"/>
        <w:keepLines w:val="0"/>
        <w:spacing w:before="140" w:after="140" w:line="240" w:lineRule="auto"/>
        <w:ind w:left="420" w:hanging="420"/>
        <w:rPr>
          <w:rFonts w:cs="宋体"/>
          <w:sz w:val="24"/>
          <w:szCs w:val="24"/>
        </w:rPr>
      </w:pPr>
      <w:bookmarkStart w:id="335" w:name="_Toc161600340"/>
      <w:bookmarkStart w:id="336" w:name="_Toc140132766"/>
      <w:bookmarkStart w:id="337" w:name="_Toc163493621"/>
      <w:bookmarkStart w:id="338" w:name="_Toc14581"/>
      <w:r>
        <w:rPr>
          <w:rFonts w:hint="eastAsia" w:cs="宋体"/>
          <w:sz w:val="24"/>
          <w:szCs w:val="24"/>
        </w:rPr>
        <w:t>（十三）落实政府采购政策</w:t>
      </w:r>
      <w:bookmarkEnd w:id="335"/>
      <w:bookmarkEnd w:id="336"/>
      <w:bookmarkEnd w:id="337"/>
      <w:r>
        <w:rPr>
          <w:rFonts w:hint="eastAsia" w:cs="宋体"/>
          <w:sz w:val="24"/>
          <w:szCs w:val="24"/>
        </w:rPr>
        <w:t>（包括但不限于下列具体政策要求）</w:t>
      </w:r>
      <w:bookmarkEnd w:id="338"/>
    </w:p>
    <w:p w14:paraId="6EF0D256">
      <w:pPr>
        <w:pStyle w:val="5"/>
        <w:keepNext w:val="0"/>
        <w:keepLines w:val="0"/>
        <w:spacing w:before="80" w:after="80" w:line="240" w:lineRule="auto"/>
        <w:ind w:left="420" w:hanging="420"/>
        <w:rPr>
          <w:rFonts w:ascii="宋体" w:hAnsi="宋体" w:cs="宋体"/>
          <w:sz w:val="24"/>
          <w:szCs w:val="24"/>
        </w:rPr>
      </w:pPr>
      <w:bookmarkStart w:id="339" w:name="_Toc161600341"/>
      <w:r>
        <w:rPr>
          <w:rFonts w:hint="eastAsia" w:ascii="宋体" w:hAnsi="宋体" w:cs="宋体"/>
          <w:sz w:val="24"/>
          <w:szCs w:val="24"/>
        </w:rPr>
        <w:t>41.支持国产和进口产品审批</w:t>
      </w:r>
      <w:bookmarkEnd w:id="339"/>
    </w:p>
    <w:p w14:paraId="27C2256E">
      <w:pPr>
        <w:pStyle w:val="35"/>
        <w:ind w:firstLine="480"/>
        <w:rPr>
          <w:rFonts w:cs="宋体"/>
          <w:snapToGrid w:val="0"/>
          <w:szCs w:val="24"/>
        </w:rPr>
      </w:pPr>
      <w:r>
        <w:rPr>
          <w:rFonts w:hint="eastAsia" w:cs="宋体"/>
          <w:snapToGrid w:val="0"/>
          <w:szCs w:val="24"/>
        </w:rPr>
        <w:t>41.1除“供应商须知前附表”另有规定外，政府采购应当采购本国货物、工程和服务，确需采购进口产品的，采购人应当按照《政府采购进口产品管理办法》（财库〔2007〕119号文）、《关于政府采购进口产品管理有关问题的通知》（财办库〔2008〕248号）规定执行进口产品审批制，科研院所监管部门另有规定的从其规定。项目若涉及采购进口产品的，具体要求详见“第三章项目采购需求”。</w:t>
      </w:r>
    </w:p>
    <w:p w14:paraId="5E22ADEC">
      <w:pPr>
        <w:pStyle w:val="35"/>
        <w:ind w:firstLine="480"/>
        <w:rPr>
          <w:rFonts w:cs="宋体"/>
          <w:snapToGrid w:val="0"/>
          <w:szCs w:val="24"/>
        </w:rPr>
      </w:pPr>
      <w:r>
        <w:rPr>
          <w:rFonts w:hint="eastAsia" w:cs="宋体"/>
          <w:snapToGrid w:val="0"/>
          <w:szCs w:val="24"/>
        </w:rPr>
        <w:t>41.2进口产品指通过中国海关报关验放进入中国境内且产自关境外的产品，包括已经进入中国境内的进口产品。</w:t>
      </w:r>
    </w:p>
    <w:p w14:paraId="73772314">
      <w:pPr>
        <w:pStyle w:val="35"/>
        <w:ind w:firstLine="480"/>
        <w:rPr>
          <w:rFonts w:cs="宋体"/>
          <w:snapToGrid w:val="0"/>
          <w:szCs w:val="24"/>
        </w:rPr>
      </w:pPr>
      <w:r>
        <w:rPr>
          <w:rFonts w:hint="eastAsia" w:cs="宋体"/>
          <w:snapToGrid w:val="0"/>
          <w:szCs w:val="24"/>
        </w:rPr>
        <w:t>41.3若采购需求中写明允许采购进口产品，供应商应保证所响应产品可履行合法报通关手续进入中国关境内。</w:t>
      </w:r>
    </w:p>
    <w:p w14:paraId="3C89A922">
      <w:pPr>
        <w:pStyle w:val="35"/>
        <w:ind w:firstLine="480"/>
        <w:rPr>
          <w:rFonts w:cs="宋体"/>
          <w:snapToGrid w:val="0"/>
          <w:szCs w:val="24"/>
        </w:rPr>
      </w:pPr>
      <w:r>
        <w:rPr>
          <w:rFonts w:hint="eastAsia" w:cs="宋体"/>
          <w:snapToGrid w:val="0"/>
          <w:szCs w:val="24"/>
        </w:rPr>
        <w:t>41.4若采购需求中未写明允许采购进口产品，如供应商所响应产品为进口产品，其响应将被认定为</w:t>
      </w:r>
      <w:r>
        <w:rPr>
          <w:rFonts w:hint="eastAsia" w:cs="宋体"/>
          <w:b/>
          <w:bCs/>
          <w:snapToGrid w:val="0"/>
          <w:szCs w:val="24"/>
        </w:rPr>
        <w:t>响应无效</w:t>
      </w:r>
      <w:r>
        <w:rPr>
          <w:rFonts w:hint="eastAsia" w:cs="宋体"/>
          <w:snapToGrid w:val="0"/>
          <w:szCs w:val="24"/>
        </w:rPr>
        <w:t>。</w:t>
      </w:r>
    </w:p>
    <w:p w14:paraId="082A425D">
      <w:pPr>
        <w:pStyle w:val="5"/>
        <w:keepNext w:val="0"/>
        <w:keepLines w:val="0"/>
        <w:spacing w:before="80" w:after="80" w:line="240" w:lineRule="auto"/>
        <w:ind w:left="420" w:hanging="420"/>
        <w:rPr>
          <w:rFonts w:ascii="宋体" w:hAnsi="宋体" w:cs="宋体"/>
          <w:sz w:val="24"/>
          <w:szCs w:val="24"/>
        </w:rPr>
      </w:pPr>
      <w:bookmarkStart w:id="340" w:name="_Toc161600342"/>
      <w:r>
        <w:rPr>
          <w:rFonts w:hint="eastAsia" w:ascii="宋体" w:hAnsi="宋体" w:cs="宋体"/>
          <w:sz w:val="24"/>
          <w:szCs w:val="24"/>
        </w:rPr>
        <w:t>42.中小企业、监狱企业及残疾人福利性单位</w:t>
      </w:r>
      <w:bookmarkEnd w:id="340"/>
    </w:p>
    <w:p w14:paraId="5840A86D">
      <w:pPr>
        <w:pStyle w:val="35"/>
        <w:ind w:firstLine="480"/>
        <w:rPr>
          <w:rFonts w:cs="宋体"/>
          <w:snapToGrid w:val="0"/>
          <w:szCs w:val="24"/>
        </w:rPr>
      </w:pPr>
      <w:r>
        <w:rPr>
          <w:rFonts w:hint="eastAsia" w:cs="宋体"/>
          <w:snapToGrid w:val="0"/>
          <w:szCs w:val="24"/>
        </w:rPr>
        <w:t>42.1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关于中小企业的相关规定依据《中华人民共和国中小企业促进法》、《关于进一步加大政府采购支持中小企业力度的通知》（财库〔2022〕19号）、《政府采购促进中小企业发展管理办法》（财库〔2020〕46号）、《关于印发中小企业划型标准规定的通知》（工信部联企业〔2011〕300号）、《金融业企业划型标准规定》（〔2015〕309号）等国务院批准的中小企业划分标准执行。</w:t>
      </w:r>
    </w:p>
    <w:p w14:paraId="438A31BE">
      <w:pPr>
        <w:pStyle w:val="35"/>
        <w:ind w:firstLine="480"/>
        <w:rPr>
          <w:rFonts w:cs="宋体"/>
          <w:snapToGrid w:val="0"/>
          <w:szCs w:val="24"/>
        </w:rPr>
      </w:pPr>
      <w:r>
        <w:rPr>
          <w:rFonts w:hint="eastAsia" w:cs="宋体"/>
          <w:snapToGrid w:val="0"/>
          <w:szCs w:val="24"/>
        </w:rPr>
        <w:t>42.2为促进中小企业发展，依据《关于印发&lt;政府采购促进中小企业发展管理办法&gt;的通知》（财库〔2020〕46号）、《财政部司法部关于政府采购支持监狱企业发展有关问题的通知》（财库〔2014〕68号）、《关于促进残疾人就业政府采购政策的通知》（财库〔2017〕141号）的规定，本项目供应商如需享受中小企业相关政策的，且符合上述文件规定的，应按本磋商文件规定格式提供“中小企业声明函”或“监狱企业证明文件”或“残疾人福利性单位声明函”，评审时，磋商小组将依据本磋商文件“供应商须知前附表”规定的报价扣除比例，对供应商报价进行价格扣除，用扣除后的价格参与评审；磋商公告中明确项目专门面向中小企业采购的，“中小企业声明函”为资格要求文件，供应商参与磋商须按本磋商文件规定格式提供“中小企业声明函”或“监狱企业证明文件”或“残疾人福利性单位声明函”等作为资格证明文件。</w:t>
      </w:r>
    </w:p>
    <w:p w14:paraId="27A31F31">
      <w:pPr>
        <w:pStyle w:val="35"/>
        <w:ind w:firstLine="480"/>
        <w:rPr>
          <w:rFonts w:cs="宋体"/>
          <w:snapToGrid w:val="0"/>
          <w:szCs w:val="24"/>
        </w:rPr>
      </w:pPr>
      <w:r>
        <w:rPr>
          <w:rFonts w:hint="eastAsia" w:cs="宋体"/>
          <w:snapToGrid w:val="0"/>
          <w:szCs w:val="24"/>
        </w:rPr>
        <w:t>42.3供应商提供的货物、工程或者服务符合下列情形的，享受中小企业扶持政策：</w:t>
      </w:r>
    </w:p>
    <w:p w14:paraId="37F0541F">
      <w:pPr>
        <w:pStyle w:val="35"/>
        <w:ind w:firstLine="480"/>
        <w:rPr>
          <w:rFonts w:cs="宋体"/>
          <w:snapToGrid w:val="0"/>
          <w:szCs w:val="24"/>
        </w:rPr>
      </w:pPr>
      <w:r>
        <w:rPr>
          <w:rFonts w:hint="eastAsia" w:cs="宋体"/>
          <w:snapToGrid w:val="0"/>
          <w:szCs w:val="24"/>
        </w:rPr>
        <w:t>42.3.1在货物采购项目中，货物由中小企业制造，即货物由中小企业生产且使用该中小企业商号或者注册商标；</w:t>
      </w:r>
    </w:p>
    <w:p w14:paraId="19D80161">
      <w:pPr>
        <w:pStyle w:val="35"/>
        <w:ind w:firstLine="480"/>
        <w:rPr>
          <w:rFonts w:cs="宋体"/>
          <w:snapToGrid w:val="0"/>
          <w:szCs w:val="24"/>
        </w:rPr>
      </w:pPr>
      <w:r>
        <w:rPr>
          <w:rFonts w:hint="eastAsia" w:cs="宋体"/>
          <w:snapToGrid w:val="0"/>
          <w:szCs w:val="24"/>
        </w:rPr>
        <w:t>42.3.2在工程采购项目中，工程由中小企业承建，即工程施工单位为中小企业；</w:t>
      </w:r>
    </w:p>
    <w:p w14:paraId="0EB9B118">
      <w:pPr>
        <w:pStyle w:val="35"/>
        <w:ind w:firstLine="480"/>
        <w:rPr>
          <w:rFonts w:cs="宋体"/>
          <w:snapToGrid w:val="0"/>
          <w:szCs w:val="24"/>
        </w:rPr>
      </w:pPr>
      <w:r>
        <w:rPr>
          <w:rFonts w:hint="eastAsia" w:cs="宋体"/>
          <w:snapToGrid w:val="0"/>
          <w:szCs w:val="24"/>
        </w:rPr>
        <w:t>42.3.3在服务采购项目中，服务由中小企业承接，即提供服务的人员为中小企业依照《中华人民共和国劳动合同法》订立劳动合同的从业人员。</w:t>
      </w:r>
    </w:p>
    <w:p w14:paraId="04CBAACE">
      <w:pPr>
        <w:pStyle w:val="35"/>
        <w:ind w:firstLine="480"/>
        <w:rPr>
          <w:rFonts w:cs="宋体"/>
          <w:snapToGrid w:val="0"/>
          <w:szCs w:val="24"/>
        </w:rPr>
      </w:pPr>
      <w:r>
        <w:rPr>
          <w:rFonts w:hint="eastAsia" w:cs="宋体"/>
          <w:snapToGrid w:val="0"/>
          <w:szCs w:val="24"/>
        </w:rPr>
        <w:t>42.4在货物采购项目中，供应商提供的货物既有中小企业制造货物，也有大型企业制造货物的，不享受中小企业扶持政策。</w:t>
      </w:r>
    </w:p>
    <w:p w14:paraId="14646673">
      <w:pPr>
        <w:pStyle w:val="35"/>
        <w:ind w:firstLine="480"/>
        <w:rPr>
          <w:rFonts w:cs="宋体"/>
          <w:snapToGrid w:val="0"/>
          <w:szCs w:val="24"/>
        </w:rPr>
      </w:pPr>
      <w:r>
        <w:rPr>
          <w:rFonts w:hint="eastAsia" w:cs="宋体"/>
          <w:snapToGrid w:val="0"/>
          <w:szCs w:val="24"/>
        </w:rPr>
        <w:t>42.5以联合体形式参加政府采购活动，联合体各方均为中小企业的，联合体视同中小企业。其中，联合体各方均为小微企业的，联合体视同小微企业。42.6在政府采购活动中，监狱企业视同小型、微型企业，享受预留份额、评审中价格扣除等政府采购促进中小企业发展的政府采购政策。监狱企业定义：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6ABAF36F">
      <w:pPr>
        <w:pStyle w:val="35"/>
        <w:ind w:firstLine="480"/>
        <w:rPr>
          <w:rFonts w:cs="宋体"/>
          <w:snapToGrid w:val="0"/>
          <w:szCs w:val="24"/>
        </w:rPr>
      </w:pPr>
      <w:r>
        <w:rPr>
          <w:rFonts w:hint="eastAsia" w:cs="宋体"/>
          <w:snapToGrid w:val="0"/>
          <w:szCs w:val="24"/>
        </w:rPr>
        <w:t>42.7在政府采购活动中，残疾人福利性单位视同小型、微型企业，享受预留份额、评审中价格扣除等促进中小企业发展的政府采购政策。残疾人福利性单位定义：享受政府采购支持政策的残疾人福利性单位应当同时满足以下条件：</w:t>
      </w:r>
    </w:p>
    <w:p w14:paraId="2119E93B">
      <w:pPr>
        <w:pStyle w:val="35"/>
        <w:ind w:firstLine="480"/>
        <w:rPr>
          <w:rFonts w:cs="宋体"/>
          <w:snapToGrid w:val="0"/>
          <w:szCs w:val="24"/>
        </w:rPr>
      </w:pPr>
      <w:r>
        <w:rPr>
          <w:rFonts w:hint="eastAsia" w:cs="宋体"/>
          <w:snapToGrid w:val="0"/>
          <w:szCs w:val="24"/>
        </w:rPr>
        <w:t>42.7.1安置的残疾人占本单位在职职工人数的比例不低于25%（含25%），并且安置的残疾人人数不少于10人（含10人）；</w:t>
      </w:r>
    </w:p>
    <w:p w14:paraId="7A15323B">
      <w:pPr>
        <w:pStyle w:val="35"/>
        <w:ind w:firstLine="480"/>
        <w:rPr>
          <w:rFonts w:cs="宋体"/>
          <w:snapToGrid w:val="0"/>
          <w:szCs w:val="24"/>
        </w:rPr>
      </w:pPr>
      <w:r>
        <w:rPr>
          <w:rFonts w:hint="eastAsia" w:cs="宋体"/>
          <w:snapToGrid w:val="0"/>
          <w:szCs w:val="24"/>
        </w:rPr>
        <w:t>42.7.2依法与安置的每位残疾人签订了1年以上（含1年）的劳动合同或服务协议；</w:t>
      </w:r>
    </w:p>
    <w:p w14:paraId="1A34EB4F">
      <w:pPr>
        <w:pStyle w:val="35"/>
        <w:ind w:firstLine="480"/>
        <w:rPr>
          <w:rFonts w:cs="宋体"/>
          <w:snapToGrid w:val="0"/>
          <w:szCs w:val="24"/>
        </w:rPr>
      </w:pPr>
      <w:r>
        <w:rPr>
          <w:rFonts w:hint="eastAsia" w:cs="宋体"/>
          <w:snapToGrid w:val="0"/>
          <w:szCs w:val="24"/>
        </w:rPr>
        <w:t>42.7.3为安置的每位残疾人按月足额缴纳了基本养老保险、基本医疗保险、失业保险、工伤保险和生育保险等社会保险费；</w:t>
      </w:r>
    </w:p>
    <w:p w14:paraId="7B34027F">
      <w:pPr>
        <w:pStyle w:val="35"/>
        <w:ind w:firstLine="480"/>
        <w:rPr>
          <w:rFonts w:cs="宋体"/>
          <w:snapToGrid w:val="0"/>
          <w:szCs w:val="24"/>
        </w:rPr>
      </w:pPr>
      <w:r>
        <w:rPr>
          <w:rFonts w:hint="eastAsia" w:cs="宋体"/>
          <w:snapToGrid w:val="0"/>
          <w:szCs w:val="24"/>
        </w:rPr>
        <w:t>42.7.4通过银行等金融机构向安置的每位残疾人，按月支付了不低于单位所在区县适用的经省级人民政府批准的月最低工资标准的工资；</w:t>
      </w:r>
    </w:p>
    <w:p w14:paraId="1550C94F">
      <w:pPr>
        <w:pStyle w:val="35"/>
        <w:ind w:firstLine="480"/>
        <w:rPr>
          <w:rFonts w:cs="宋体"/>
          <w:snapToGrid w:val="0"/>
          <w:szCs w:val="24"/>
        </w:rPr>
      </w:pPr>
      <w:r>
        <w:rPr>
          <w:rFonts w:hint="eastAsia" w:cs="宋体"/>
          <w:snapToGrid w:val="0"/>
          <w:szCs w:val="24"/>
        </w:rPr>
        <w:t>42.7.5提供本单位制造的货物、承担的工程或者服务（以下简称产品），或者提供其他残疾人福利性单位制造的货物（不包括使用非残疾人福利性单位注册商标的货物）；</w:t>
      </w:r>
    </w:p>
    <w:p w14:paraId="5747A940">
      <w:pPr>
        <w:pStyle w:val="35"/>
        <w:ind w:firstLine="480"/>
        <w:rPr>
          <w:rFonts w:cs="宋体"/>
          <w:snapToGrid w:val="0"/>
          <w:szCs w:val="24"/>
        </w:rPr>
      </w:pPr>
      <w:r>
        <w:rPr>
          <w:rFonts w:hint="eastAsia" w:cs="宋体"/>
          <w:snapToGrid w:val="0"/>
          <w:szCs w:val="24"/>
        </w:rPr>
        <w:t>42.7.6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服务协议的雇员人数。</w:t>
      </w:r>
    </w:p>
    <w:p w14:paraId="7334D603">
      <w:pPr>
        <w:pStyle w:val="35"/>
        <w:ind w:firstLine="480"/>
        <w:rPr>
          <w:rFonts w:cs="宋体"/>
          <w:snapToGrid w:val="0"/>
          <w:szCs w:val="24"/>
        </w:rPr>
      </w:pPr>
      <w:r>
        <w:rPr>
          <w:rFonts w:hint="eastAsia" w:cs="宋体"/>
          <w:snapToGrid w:val="0"/>
          <w:szCs w:val="24"/>
        </w:rPr>
        <w:t>42.8本项目是否专门面向中小企业预留采购份额见“第一章竞争性磋商邀请”。</w:t>
      </w:r>
    </w:p>
    <w:p w14:paraId="4D032228">
      <w:pPr>
        <w:pStyle w:val="35"/>
        <w:ind w:firstLine="480"/>
        <w:rPr>
          <w:rFonts w:cs="宋体"/>
          <w:snapToGrid w:val="0"/>
          <w:szCs w:val="24"/>
        </w:rPr>
      </w:pPr>
      <w:r>
        <w:rPr>
          <w:rFonts w:hint="eastAsia" w:cs="宋体"/>
          <w:snapToGrid w:val="0"/>
          <w:szCs w:val="24"/>
        </w:rPr>
        <w:t>42.9采购标的对应的中小企业划分标准所属行业见“供应商须知前附表”。42.10小微企业价格评审优惠的政策调整：见“第四章评审方法及标准”。</w:t>
      </w:r>
    </w:p>
    <w:p w14:paraId="0C42361F">
      <w:pPr>
        <w:pStyle w:val="5"/>
        <w:keepNext w:val="0"/>
        <w:keepLines w:val="0"/>
        <w:spacing w:before="80" w:after="80" w:line="240" w:lineRule="auto"/>
        <w:ind w:left="420" w:hanging="420"/>
        <w:rPr>
          <w:rFonts w:ascii="宋体" w:hAnsi="宋体" w:cs="宋体"/>
          <w:sz w:val="24"/>
          <w:szCs w:val="24"/>
        </w:rPr>
      </w:pPr>
      <w:bookmarkStart w:id="341" w:name="_Toc161600343"/>
      <w:r>
        <w:rPr>
          <w:rFonts w:hint="eastAsia" w:ascii="宋体" w:hAnsi="宋体" w:cs="宋体"/>
          <w:sz w:val="24"/>
          <w:szCs w:val="24"/>
        </w:rPr>
        <w:t>43.政府采购节能产品、环境标志产品</w:t>
      </w:r>
      <w:bookmarkEnd w:id="341"/>
    </w:p>
    <w:p w14:paraId="6322F1B7">
      <w:pPr>
        <w:pStyle w:val="35"/>
        <w:ind w:firstLine="480"/>
        <w:rPr>
          <w:rFonts w:cs="宋体"/>
          <w:snapToGrid w:val="0"/>
          <w:szCs w:val="24"/>
        </w:rPr>
      </w:pPr>
      <w:r>
        <w:rPr>
          <w:rFonts w:hint="eastAsia" w:cs="宋体"/>
          <w:snapToGrid w:val="0"/>
          <w:szCs w:val="24"/>
        </w:rPr>
        <w:t>43.1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关于政府采购节能产品、环境标志产品的相关规定依据《关于调整优化节能产品、环境标志产品政府采购执行机制的通知》（财库〔2019〕9号）、《关于印发环境标志产品政府采购品目清单的通知》（财库〔2019〕18号）、《关于印发节能产品政府采购品目清单的通知》（财库〔2019〕19号）的规定。</w:t>
      </w:r>
    </w:p>
    <w:p w14:paraId="4E9FEAFF">
      <w:pPr>
        <w:pStyle w:val="35"/>
        <w:ind w:firstLine="480"/>
        <w:rPr>
          <w:rFonts w:cs="宋体"/>
          <w:snapToGrid w:val="0"/>
          <w:szCs w:val="24"/>
        </w:rPr>
      </w:pPr>
      <w:r>
        <w:rPr>
          <w:rFonts w:hint="eastAsia" w:cs="宋体"/>
          <w:snapToGrid w:val="0"/>
          <w:szCs w:val="24"/>
        </w:rPr>
        <w:t>43.2采购人拟采购的产品属于品目清单范围的，采购人及其委托的采购代理机构依据国家确定的认证机构出具的、处于有效期之内的节能产品、环境标志产品认证证书，对获得证书的产品实施政府优先采购或强制采购。</w:t>
      </w:r>
    </w:p>
    <w:p w14:paraId="68071998">
      <w:pPr>
        <w:pStyle w:val="35"/>
        <w:ind w:firstLine="480"/>
        <w:rPr>
          <w:rFonts w:cs="宋体"/>
          <w:snapToGrid w:val="0"/>
          <w:szCs w:val="24"/>
        </w:rPr>
      </w:pPr>
      <w:r>
        <w:rPr>
          <w:rFonts w:hint="eastAsia" w:cs="宋体"/>
          <w:snapToGrid w:val="0"/>
          <w:szCs w:val="24"/>
        </w:rPr>
        <w:t>43.3如本项目采购产品属于实施政府强制采购品目清单范围的节能产品，则供应商所报产品必须获得国家确定的认证机构出具的、处于有效期之内的节能产品认证证书，否则</w:t>
      </w:r>
      <w:r>
        <w:rPr>
          <w:rFonts w:hint="eastAsia" w:cs="宋体"/>
          <w:b/>
          <w:bCs/>
          <w:snapToGrid w:val="0"/>
          <w:szCs w:val="24"/>
        </w:rPr>
        <w:t>响应无效</w:t>
      </w:r>
      <w:r>
        <w:rPr>
          <w:rFonts w:hint="eastAsia" w:cs="宋体"/>
          <w:snapToGrid w:val="0"/>
          <w:szCs w:val="24"/>
        </w:rPr>
        <w:t>。</w:t>
      </w:r>
    </w:p>
    <w:p w14:paraId="736DB7B4">
      <w:pPr>
        <w:pStyle w:val="35"/>
        <w:ind w:firstLine="480"/>
        <w:rPr>
          <w:rFonts w:cs="宋体"/>
          <w:snapToGrid w:val="0"/>
          <w:szCs w:val="24"/>
        </w:rPr>
      </w:pPr>
      <w:r>
        <w:rPr>
          <w:rFonts w:hint="eastAsia" w:cs="宋体"/>
          <w:snapToGrid w:val="0"/>
          <w:szCs w:val="24"/>
        </w:rPr>
        <w:t>43.4非政府强制采购的节能产品或环境标志产品，依据品目清单和认证证书实施政府优先采购。优先采购的具体规定见“第四章评审方法及标准”（如涉及）。</w:t>
      </w:r>
    </w:p>
    <w:p w14:paraId="532D6C46">
      <w:pPr>
        <w:pStyle w:val="35"/>
        <w:ind w:firstLine="480"/>
        <w:rPr>
          <w:rFonts w:cs="宋体"/>
          <w:szCs w:val="24"/>
        </w:rPr>
      </w:pPr>
      <w:r>
        <w:rPr>
          <w:rFonts w:hint="eastAsia" w:cs="宋体"/>
          <w:snapToGrid w:val="0"/>
          <w:szCs w:val="24"/>
        </w:rPr>
        <w:t>43.5供应商所报产品如属于节能产品政府采购品目清单、环境标志产品政府采购品目清单范围的，须提供国家确定的认证机构出具的、处于有效期内的产品认证证书，认证证书的产品型号与所报产品不一致的，视为未提供。属于政府强制采购产品的，已作为响应时强制性要求不再给予价格评审优惠，未提供认证证书的视为</w:t>
      </w:r>
      <w:r>
        <w:rPr>
          <w:rFonts w:hint="eastAsia" w:cs="宋体"/>
          <w:b/>
          <w:bCs/>
          <w:snapToGrid w:val="0"/>
          <w:szCs w:val="24"/>
        </w:rPr>
        <w:t>无效响应</w:t>
      </w:r>
      <w:r>
        <w:rPr>
          <w:rFonts w:hint="eastAsia" w:cs="宋体"/>
          <w:snapToGrid w:val="0"/>
          <w:szCs w:val="24"/>
        </w:rPr>
        <w:t>。属于优先采购节能产品政府采购品目清单、环境标志产品政府采购品目清单、创新产品范围的，按照“第四章评审方法及标准”中相关规定</w:t>
      </w:r>
      <w:r>
        <w:rPr>
          <w:rFonts w:hint="eastAsia" w:cs="宋体"/>
          <w:szCs w:val="24"/>
        </w:rPr>
        <w:t>在评审时给予价格评审优惠，具体详见</w:t>
      </w:r>
      <w:r>
        <w:rPr>
          <w:rFonts w:hint="eastAsia" w:cs="宋体"/>
          <w:snapToGrid w:val="0"/>
          <w:szCs w:val="24"/>
        </w:rPr>
        <w:t>“供应商须知前附表”及</w:t>
      </w:r>
      <w:r>
        <w:rPr>
          <w:rFonts w:hint="eastAsia" w:cs="宋体"/>
          <w:szCs w:val="24"/>
        </w:rPr>
        <w:t>“第四章评审方法及标准”。</w:t>
      </w:r>
    </w:p>
    <w:p w14:paraId="109FAB40">
      <w:pPr>
        <w:pStyle w:val="5"/>
        <w:keepNext w:val="0"/>
        <w:keepLines w:val="0"/>
        <w:spacing w:before="80" w:after="80" w:line="240" w:lineRule="auto"/>
        <w:ind w:left="420" w:hanging="420"/>
        <w:rPr>
          <w:rFonts w:ascii="宋体" w:hAnsi="宋体" w:cs="宋体"/>
          <w:sz w:val="24"/>
          <w:szCs w:val="24"/>
        </w:rPr>
      </w:pPr>
      <w:r>
        <w:rPr>
          <w:rFonts w:hint="eastAsia" w:ascii="宋体" w:hAnsi="宋体" w:cs="宋体"/>
          <w:sz w:val="24"/>
          <w:szCs w:val="24"/>
        </w:rPr>
        <w:t>44.正版软件</w:t>
      </w:r>
    </w:p>
    <w:p w14:paraId="5879665A">
      <w:pPr>
        <w:pStyle w:val="35"/>
        <w:ind w:firstLine="480"/>
        <w:rPr>
          <w:rFonts w:cs="宋体"/>
          <w:snapToGrid w:val="0"/>
          <w:szCs w:val="24"/>
        </w:rPr>
      </w:pPr>
      <w:r>
        <w:rPr>
          <w:rFonts w:hint="eastAsia" w:cs="宋体"/>
          <w:snapToGrid w:val="0"/>
          <w:szCs w:val="24"/>
        </w:rPr>
        <w:t>44.1依据《财政部国家发展改革委信息产业部关于印发无线局域网产品政府采购实施意见的通知》（财库〔2005〕366号），采购无线局域网产品和含有无线局域网功能的计算机、通信设备、打印机、复印机、投影仪等产品的，优先采购符合国家无线局域网安全标准（GB15629.11/1102）并通过国家产品认证的产品。其中，国家有特殊信息安全要求的项目必须采购认证产品，否则</w:t>
      </w:r>
      <w:r>
        <w:rPr>
          <w:rFonts w:hint="eastAsia" w:cs="宋体"/>
          <w:b/>
          <w:bCs/>
          <w:snapToGrid w:val="0"/>
          <w:szCs w:val="24"/>
        </w:rPr>
        <w:t>响应无效</w:t>
      </w:r>
      <w:r>
        <w:rPr>
          <w:rFonts w:hint="eastAsia" w:cs="宋体"/>
          <w:snapToGrid w:val="0"/>
          <w:szCs w:val="24"/>
        </w:rPr>
        <w:t>。财政部、国家发展改革委、信息产业部根据政府采购改革进展和无线局域网产品技术及市场成熟等情况，从国家指定的认证机构认证的生产厂商和产品型号中确定优先采购的产品，并以“无线局域网认证产品政府采购清单”（以下简称清单）的形式公布。清单中新增认证产品厂商和型号，由财政部、国家发展改革委、信息产业部以文件形式确定、公布并适时调整。</w:t>
      </w:r>
    </w:p>
    <w:p w14:paraId="44587C10">
      <w:pPr>
        <w:pStyle w:val="35"/>
        <w:ind w:firstLine="480"/>
        <w:rPr>
          <w:rFonts w:cs="宋体"/>
          <w:snapToGrid w:val="0"/>
          <w:szCs w:val="24"/>
        </w:rPr>
      </w:pPr>
      <w:r>
        <w:rPr>
          <w:rFonts w:hint="eastAsia" w:cs="宋体"/>
          <w:snapToGrid w:val="0"/>
          <w:szCs w:val="24"/>
        </w:rPr>
        <w:t>44.2各级政府部门在购置计算机办公设备时，必须采购预装正版操作系统软件的计算机产品，相关规定依据《国家版权局、信息产业部、财政部、国务院机关事务管理局关于政府部门购置计算机办公设备必须采购已预装正版操作系统软件产品的通知》（国权联〔2006〕1号）、《国务院办公厅关于进一步做好政府机关使用正版软件工作的通知》（国办发〔2010〕47号）、《财政部关于进一步做好政府机关使用正版软件工作的通知》（财预〔2010〕536号）。</w:t>
      </w:r>
    </w:p>
    <w:p w14:paraId="119C44D6">
      <w:pPr>
        <w:pStyle w:val="5"/>
        <w:keepNext w:val="0"/>
        <w:keepLines w:val="0"/>
        <w:spacing w:before="80" w:after="80" w:line="240" w:lineRule="auto"/>
        <w:ind w:left="420" w:hanging="420"/>
        <w:rPr>
          <w:rFonts w:ascii="宋体" w:hAnsi="宋体" w:cs="宋体"/>
          <w:sz w:val="24"/>
          <w:szCs w:val="24"/>
        </w:rPr>
      </w:pPr>
      <w:r>
        <w:rPr>
          <w:rFonts w:hint="eastAsia" w:ascii="宋体" w:hAnsi="宋体" w:cs="宋体"/>
          <w:sz w:val="24"/>
          <w:szCs w:val="24"/>
        </w:rPr>
        <w:t>45.网络安全专用产品</w:t>
      </w:r>
    </w:p>
    <w:p w14:paraId="3309831C">
      <w:pPr>
        <w:pStyle w:val="35"/>
        <w:ind w:firstLine="480"/>
        <w:rPr>
          <w:rFonts w:cs="宋体"/>
          <w:snapToGrid w:val="0"/>
          <w:szCs w:val="24"/>
        </w:rPr>
      </w:pPr>
      <w:r>
        <w:rPr>
          <w:rFonts w:hint="eastAsia" w:cs="宋体"/>
          <w:snapToGrid w:val="0"/>
          <w:szCs w:val="24"/>
        </w:rPr>
        <w:t>45.1本项目中如涉及网络关键设备或网络安全专用产品的，应严格执行国家互联网信息办公室、工业和信息化部、公安部、财政部和国家认证认可监督管理委员会2023年第1号《关于调整网络安全专用产品安全管理有关事项的公告》及国家互联网信息办公室、工业和信息化部、公安部和国家认证认可监督管理委员会2023年第2号《关于调整&lt;网络关键设备和网络安全专用产品目录&gt;的公告》等相关文件要求，所投标（响应）设备或产品至少符合以下条件之一：一是已由具备资格的机构安全认证合格或安全检测符合要求；二是已获得《计算机信息系统安全专用产品销售许可证》，且在有效期内。采购人、中标(成交)人双方签订合同及验收环节，应包含上述网络安全要求的条款。</w:t>
      </w:r>
    </w:p>
    <w:p w14:paraId="0EF799F3">
      <w:pPr>
        <w:pStyle w:val="35"/>
        <w:ind w:firstLine="480"/>
        <w:rPr>
          <w:rFonts w:cs="宋体"/>
          <w:snapToGrid w:val="0"/>
          <w:szCs w:val="24"/>
        </w:rPr>
      </w:pPr>
      <w:r>
        <w:rPr>
          <w:rFonts w:hint="eastAsia" w:cs="宋体"/>
          <w:snapToGrid w:val="0"/>
          <w:szCs w:val="24"/>
        </w:rPr>
        <w:t>45.2本项目中如涉及国家强制性产品认证证书（CCC认证证书）、电信设备进网许可证、无线电发射设备核准证等市场准入类资质的，应严格执行国家相关法律法规的要求。采购人、中标(成交)人双方签订合同及验收环节，应包含上述市场准入类资质要求的条款。</w:t>
      </w:r>
    </w:p>
    <w:p w14:paraId="4BD9AB69">
      <w:pPr>
        <w:pStyle w:val="5"/>
        <w:keepNext w:val="0"/>
        <w:keepLines w:val="0"/>
        <w:spacing w:before="80" w:after="80" w:line="240" w:lineRule="auto"/>
        <w:ind w:left="420" w:hanging="420"/>
        <w:rPr>
          <w:rFonts w:ascii="宋体" w:hAnsi="宋体" w:cs="宋体"/>
          <w:sz w:val="24"/>
          <w:szCs w:val="24"/>
        </w:rPr>
      </w:pPr>
      <w:r>
        <w:rPr>
          <w:rFonts w:hint="eastAsia" w:ascii="宋体" w:hAnsi="宋体" w:cs="宋体"/>
          <w:sz w:val="24"/>
          <w:szCs w:val="24"/>
        </w:rPr>
        <w:t>46.采购需求标准</w:t>
      </w:r>
    </w:p>
    <w:p w14:paraId="7891B475">
      <w:pPr>
        <w:pStyle w:val="35"/>
        <w:ind w:firstLine="480"/>
        <w:rPr>
          <w:rFonts w:cs="宋体"/>
          <w:snapToGrid w:val="0"/>
          <w:szCs w:val="24"/>
        </w:rPr>
      </w:pPr>
      <w:bookmarkStart w:id="342" w:name="_Toc163493622"/>
      <w:bookmarkStart w:id="343" w:name="_Toc109899574"/>
      <w:bookmarkStart w:id="344" w:name="_Toc109899993"/>
      <w:bookmarkStart w:id="345" w:name="_Toc109897475"/>
      <w:bookmarkStart w:id="346" w:name="_Toc109900412"/>
      <w:r>
        <w:rPr>
          <w:rFonts w:hint="eastAsia" w:cs="宋体"/>
          <w:snapToGrid w:val="0"/>
          <w:szCs w:val="24"/>
        </w:rPr>
        <w:t>46.1商品包装、快递包装政府采购需求标准（试行）</w:t>
      </w:r>
    </w:p>
    <w:p w14:paraId="08C4DA21">
      <w:pPr>
        <w:pStyle w:val="35"/>
        <w:ind w:firstLine="480"/>
        <w:rPr>
          <w:rFonts w:cs="宋体"/>
          <w:snapToGrid w:val="0"/>
          <w:szCs w:val="24"/>
        </w:rPr>
      </w:pPr>
      <w:r>
        <w:rPr>
          <w:rFonts w:hint="eastAsia" w:cs="宋体"/>
          <w:snapToGrid w:val="0"/>
          <w:szCs w:val="24"/>
        </w:rPr>
        <w:t>为助力打好污染防治攻坚战，推广使用绿色包装，根据财政部关于印发《商品包装政府采购需求标准（试行）》、《快递包装政府采购需求标准（试行）》的通知（财办库〔2020〕123号），本项目如涉及商品包装和快递包装的，则其具体要求见</w:t>
      </w:r>
      <w:r>
        <w:rPr>
          <w:rFonts w:hint="eastAsia" w:cs="宋体"/>
          <w:szCs w:val="24"/>
        </w:rPr>
        <w:t>“第三章项目采购需求”</w:t>
      </w:r>
      <w:r>
        <w:rPr>
          <w:rFonts w:hint="eastAsia" w:cs="宋体"/>
          <w:snapToGrid w:val="0"/>
          <w:szCs w:val="24"/>
        </w:rPr>
        <w:t>。</w:t>
      </w:r>
    </w:p>
    <w:p w14:paraId="02F0CD94">
      <w:pPr>
        <w:pStyle w:val="35"/>
        <w:ind w:firstLine="480"/>
        <w:rPr>
          <w:rFonts w:cs="宋体"/>
          <w:snapToGrid w:val="0"/>
          <w:szCs w:val="24"/>
        </w:rPr>
      </w:pPr>
      <w:r>
        <w:rPr>
          <w:rFonts w:hint="eastAsia" w:cs="宋体"/>
          <w:snapToGrid w:val="0"/>
          <w:szCs w:val="24"/>
        </w:rPr>
        <w:t>46.2绿色数据中心政府采购需求标准（试行）</w:t>
      </w:r>
    </w:p>
    <w:p w14:paraId="6B0B52F9">
      <w:pPr>
        <w:pStyle w:val="35"/>
        <w:ind w:firstLine="480"/>
        <w:rPr>
          <w:rFonts w:cs="宋体"/>
          <w:snapToGrid w:val="0"/>
          <w:szCs w:val="24"/>
        </w:rPr>
      </w:pPr>
      <w:r>
        <w:rPr>
          <w:rFonts w:hint="eastAsia" w:cs="宋体"/>
          <w:snapToGrid w:val="0"/>
          <w:szCs w:val="24"/>
        </w:rPr>
        <w:t>为加快数据中心绿色转型，根据财政部生态环境部工业和信息化部关于印发《绿色数据中心政府采购需求标准（试行）》的通知（财库〔2023〕7号），本项目如涉及绿色数据中心，则具体要求见</w:t>
      </w:r>
      <w:r>
        <w:rPr>
          <w:rFonts w:hint="eastAsia" w:cs="宋体"/>
          <w:szCs w:val="24"/>
        </w:rPr>
        <w:t>“第三章项目采购需求”</w:t>
      </w:r>
      <w:r>
        <w:rPr>
          <w:rFonts w:hint="eastAsia" w:cs="宋体"/>
          <w:snapToGrid w:val="0"/>
          <w:szCs w:val="24"/>
        </w:rPr>
        <w:t>。</w:t>
      </w:r>
    </w:p>
    <w:p w14:paraId="2C7AFABE">
      <w:pPr>
        <w:pStyle w:val="35"/>
        <w:ind w:firstLine="480"/>
        <w:rPr>
          <w:rFonts w:cs="宋体"/>
          <w:snapToGrid w:val="0"/>
          <w:szCs w:val="24"/>
        </w:rPr>
      </w:pPr>
      <w:r>
        <w:rPr>
          <w:rFonts w:hint="eastAsia" w:cs="宋体"/>
          <w:snapToGrid w:val="0"/>
          <w:szCs w:val="24"/>
        </w:rPr>
        <w:t>46.3台式计算机政府采购需求标准</w:t>
      </w:r>
    </w:p>
    <w:p w14:paraId="04F2252B">
      <w:pPr>
        <w:pStyle w:val="35"/>
        <w:ind w:firstLine="480"/>
        <w:rPr>
          <w:rFonts w:cs="宋体"/>
          <w:snapToGrid w:val="0"/>
          <w:szCs w:val="24"/>
        </w:rPr>
      </w:pPr>
      <w:r>
        <w:rPr>
          <w:rFonts w:hint="eastAsia" w:cs="宋体"/>
          <w:snapToGrid w:val="0"/>
          <w:szCs w:val="24"/>
        </w:rPr>
        <w:t>为提高台式计算机政府采购需求管理的科学化、规范化水平，进一步落实政府采购公平竞争原则，优化营商环境，营造良好的产业生态，财政部工业和信息化部关于印发《台式计算机政府采购需求标准（2023年版）》的通知（财库〔2023〕29号），本项目如涉及台式计算机采购，则具体要求见</w:t>
      </w:r>
      <w:r>
        <w:rPr>
          <w:rFonts w:hint="eastAsia" w:cs="宋体"/>
          <w:szCs w:val="24"/>
        </w:rPr>
        <w:t>“第三章项目采购需求”</w:t>
      </w:r>
      <w:r>
        <w:rPr>
          <w:rFonts w:hint="eastAsia" w:cs="宋体"/>
          <w:snapToGrid w:val="0"/>
          <w:szCs w:val="24"/>
        </w:rPr>
        <w:t>。</w:t>
      </w:r>
    </w:p>
    <w:p w14:paraId="58888370">
      <w:pPr>
        <w:pStyle w:val="35"/>
        <w:ind w:firstLine="480"/>
        <w:rPr>
          <w:rFonts w:cs="宋体"/>
          <w:snapToGrid w:val="0"/>
          <w:szCs w:val="24"/>
        </w:rPr>
      </w:pPr>
      <w:r>
        <w:rPr>
          <w:rFonts w:hint="eastAsia" w:cs="宋体"/>
          <w:snapToGrid w:val="0"/>
          <w:szCs w:val="24"/>
        </w:rPr>
        <w:t>46.4便携式计算机政府采购需求标准</w:t>
      </w:r>
    </w:p>
    <w:p w14:paraId="08274EF6">
      <w:pPr>
        <w:pStyle w:val="35"/>
        <w:ind w:firstLine="480"/>
        <w:rPr>
          <w:rFonts w:cs="宋体"/>
          <w:snapToGrid w:val="0"/>
          <w:szCs w:val="24"/>
        </w:rPr>
      </w:pPr>
      <w:r>
        <w:rPr>
          <w:rFonts w:hint="eastAsia" w:cs="宋体"/>
          <w:snapToGrid w:val="0"/>
          <w:szCs w:val="24"/>
        </w:rPr>
        <w:t>为提高便携式计算机政府采购需求管理的科学化、规范化水平，进一步落实政府采购公平竞争原则，优化营商环境，营造良好的产业生态，财政部工业和信息化部关于印发《便携式计算机政府采购需求标准（2023年版）》的通知（财库〔2023〕30号），本项目如涉及便携式计算机采购，则具体要求见</w:t>
      </w:r>
      <w:r>
        <w:rPr>
          <w:rFonts w:hint="eastAsia" w:cs="宋体"/>
          <w:szCs w:val="24"/>
        </w:rPr>
        <w:t>“第三章项目采购需求”</w:t>
      </w:r>
      <w:r>
        <w:rPr>
          <w:rFonts w:hint="eastAsia" w:cs="宋体"/>
          <w:snapToGrid w:val="0"/>
          <w:szCs w:val="24"/>
        </w:rPr>
        <w:t>。</w:t>
      </w:r>
    </w:p>
    <w:p w14:paraId="670CDCBA">
      <w:pPr>
        <w:pStyle w:val="35"/>
        <w:ind w:firstLine="480"/>
        <w:rPr>
          <w:rFonts w:cs="宋体"/>
          <w:snapToGrid w:val="0"/>
          <w:szCs w:val="24"/>
        </w:rPr>
      </w:pPr>
      <w:r>
        <w:rPr>
          <w:rFonts w:hint="eastAsia" w:cs="宋体"/>
          <w:snapToGrid w:val="0"/>
          <w:szCs w:val="24"/>
        </w:rPr>
        <w:t>46.5一体式计算机政府采购需求标准</w:t>
      </w:r>
    </w:p>
    <w:p w14:paraId="737CAF99">
      <w:pPr>
        <w:pStyle w:val="35"/>
        <w:ind w:firstLine="480"/>
        <w:rPr>
          <w:rFonts w:cs="宋体"/>
          <w:snapToGrid w:val="0"/>
          <w:szCs w:val="24"/>
        </w:rPr>
      </w:pPr>
      <w:r>
        <w:rPr>
          <w:rFonts w:hint="eastAsia" w:cs="宋体"/>
          <w:snapToGrid w:val="0"/>
          <w:szCs w:val="24"/>
        </w:rPr>
        <w:t>为提高一体式计算机政府采购需求管理的科学化、规范化水平，进一步落实政府采购公平竞争原则，优化营商环境，营造良好的产业生态，财政部工业和信息化部关于印发《一体式计算机政府采购需求标准（2023年版）》的通知（财库〔2023〕31号），本项目如涉及一体式计算机采购，则具体要求见</w:t>
      </w:r>
      <w:r>
        <w:rPr>
          <w:rFonts w:hint="eastAsia" w:cs="宋体"/>
          <w:szCs w:val="24"/>
        </w:rPr>
        <w:t>“第三章项目采购需求”</w:t>
      </w:r>
      <w:r>
        <w:rPr>
          <w:rFonts w:hint="eastAsia" w:cs="宋体"/>
          <w:snapToGrid w:val="0"/>
          <w:szCs w:val="24"/>
        </w:rPr>
        <w:t>。</w:t>
      </w:r>
    </w:p>
    <w:p w14:paraId="11696D3B">
      <w:pPr>
        <w:pStyle w:val="35"/>
        <w:ind w:firstLine="480"/>
        <w:rPr>
          <w:rFonts w:cs="宋体"/>
          <w:snapToGrid w:val="0"/>
          <w:szCs w:val="24"/>
        </w:rPr>
      </w:pPr>
      <w:r>
        <w:rPr>
          <w:rFonts w:hint="eastAsia" w:cs="宋体"/>
          <w:snapToGrid w:val="0"/>
          <w:szCs w:val="24"/>
        </w:rPr>
        <w:t>46.6工作站政府采购需求标准</w:t>
      </w:r>
    </w:p>
    <w:p w14:paraId="14903299">
      <w:pPr>
        <w:pStyle w:val="35"/>
        <w:ind w:firstLine="480"/>
        <w:rPr>
          <w:rFonts w:cs="宋体"/>
          <w:snapToGrid w:val="0"/>
          <w:szCs w:val="24"/>
        </w:rPr>
      </w:pPr>
      <w:r>
        <w:rPr>
          <w:rFonts w:hint="eastAsia" w:cs="宋体"/>
          <w:snapToGrid w:val="0"/>
          <w:szCs w:val="24"/>
        </w:rPr>
        <w:t>为提高工作站政府采购需求管理的科学化、规范化水平，进一步落实政府采购公平竞争原则，优化营商环境，营造良好的产业生态，财政部工业和信息化部关于印发《工作站政府采购需求标准（2023年版）》的通知（财库〔2023〕32号），本项目如涉及工作站采购，则具体要求见</w:t>
      </w:r>
      <w:r>
        <w:rPr>
          <w:rFonts w:hint="eastAsia" w:cs="宋体"/>
          <w:szCs w:val="24"/>
        </w:rPr>
        <w:t>“第三章项目采购需求”</w:t>
      </w:r>
      <w:r>
        <w:rPr>
          <w:rFonts w:hint="eastAsia" w:cs="宋体"/>
          <w:snapToGrid w:val="0"/>
          <w:szCs w:val="24"/>
        </w:rPr>
        <w:t>。</w:t>
      </w:r>
    </w:p>
    <w:p w14:paraId="7AF1D9F7">
      <w:pPr>
        <w:pStyle w:val="35"/>
        <w:ind w:firstLine="480"/>
        <w:rPr>
          <w:rFonts w:cs="宋体"/>
          <w:snapToGrid w:val="0"/>
          <w:szCs w:val="24"/>
        </w:rPr>
      </w:pPr>
      <w:r>
        <w:rPr>
          <w:rFonts w:hint="eastAsia" w:cs="宋体"/>
          <w:snapToGrid w:val="0"/>
          <w:szCs w:val="24"/>
        </w:rPr>
        <w:t>46.7通用服务器政府采购需求标准</w:t>
      </w:r>
    </w:p>
    <w:p w14:paraId="2B43D663">
      <w:pPr>
        <w:pStyle w:val="35"/>
        <w:ind w:firstLine="480"/>
        <w:rPr>
          <w:rFonts w:cs="宋体"/>
          <w:snapToGrid w:val="0"/>
          <w:szCs w:val="24"/>
        </w:rPr>
      </w:pPr>
      <w:r>
        <w:rPr>
          <w:rFonts w:hint="eastAsia" w:cs="宋体"/>
          <w:snapToGrid w:val="0"/>
          <w:szCs w:val="24"/>
        </w:rPr>
        <w:t>为提高通用服务器政府采购需求管理的科学化、规范化水平，进一步落实政府采购公平竞争原则，优化营商环境，营造良好的产业生态，财政部工业和信息化部关于印发《通用服务器政府采购需求标准（2023年版）》的通知（财库〔2023〕33号），本项目如涉及通用服务器采购，则具体要求见</w:t>
      </w:r>
      <w:r>
        <w:rPr>
          <w:rFonts w:hint="eastAsia" w:cs="宋体"/>
          <w:szCs w:val="24"/>
        </w:rPr>
        <w:t>“第三章项目采购需求”</w:t>
      </w:r>
      <w:r>
        <w:rPr>
          <w:rFonts w:hint="eastAsia" w:cs="宋体"/>
          <w:snapToGrid w:val="0"/>
          <w:szCs w:val="24"/>
        </w:rPr>
        <w:t>。</w:t>
      </w:r>
    </w:p>
    <w:p w14:paraId="64845EF7">
      <w:pPr>
        <w:pStyle w:val="35"/>
        <w:ind w:firstLine="480"/>
        <w:rPr>
          <w:rFonts w:cs="宋体"/>
          <w:snapToGrid w:val="0"/>
          <w:szCs w:val="24"/>
        </w:rPr>
      </w:pPr>
      <w:r>
        <w:rPr>
          <w:rFonts w:hint="eastAsia" w:cs="宋体"/>
          <w:snapToGrid w:val="0"/>
          <w:szCs w:val="24"/>
        </w:rPr>
        <w:t>46.8操作系统政府采购需求标准</w:t>
      </w:r>
    </w:p>
    <w:p w14:paraId="453C231D">
      <w:pPr>
        <w:pStyle w:val="35"/>
        <w:ind w:firstLine="480"/>
        <w:rPr>
          <w:rFonts w:cs="宋体"/>
          <w:snapToGrid w:val="0"/>
          <w:szCs w:val="24"/>
        </w:rPr>
      </w:pPr>
      <w:r>
        <w:rPr>
          <w:rFonts w:hint="eastAsia" w:cs="宋体"/>
          <w:snapToGrid w:val="0"/>
          <w:szCs w:val="24"/>
        </w:rPr>
        <w:t>为提高操作系统政府采购需求管理的科学化、规范化水平，进一步落实政府采购公平竞争原则，优化营商环境，营造良好的产业生态，财政部工业和信息化部关于印发《操作系统政府采购需求标准（2023年版）》的通知（财库〔2023〕34号），本项目如涉及操作系统采购，则具体要求见</w:t>
      </w:r>
      <w:r>
        <w:rPr>
          <w:rFonts w:hint="eastAsia" w:cs="宋体"/>
          <w:szCs w:val="24"/>
        </w:rPr>
        <w:t>“第三章项目采购需求”</w:t>
      </w:r>
      <w:r>
        <w:rPr>
          <w:rFonts w:hint="eastAsia" w:cs="宋体"/>
          <w:snapToGrid w:val="0"/>
          <w:szCs w:val="24"/>
        </w:rPr>
        <w:t>。</w:t>
      </w:r>
    </w:p>
    <w:p w14:paraId="2F1BF344">
      <w:pPr>
        <w:pStyle w:val="35"/>
        <w:ind w:firstLine="480"/>
        <w:rPr>
          <w:rFonts w:cs="宋体"/>
          <w:snapToGrid w:val="0"/>
          <w:szCs w:val="24"/>
        </w:rPr>
      </w:pPr>
      <w:r>
        <w:rPr>
          <w:rFonts w:hint="eastAsia" w:cs="宋体"/>
          <w:snapToGrid w:val="0"/>
          <w:szCs w:val="24"/>
        </w:rPr>
        <w:t>46.9数据库政府采购需求标准</w:t>
      </w:r>
    </w:p>
    <w:p w14:paraId="5E504879">
      <w:pPr>
        <w:pStyle w:val="35"/>
        <w:ind w:firstLine="480"/>
        <w:rPr>
          <w:rFonts w:cs="宋体"/>
          <w:snapToGrid w:val="0"/>
          <w:szCs w:val="24"/>
        </w:rPr>
      </w:pPr>
      <w:r>
        <w:rPr>
          <w:rFonts w:hint="eastAsia" w:cs="宋体"/>
          <w:snapToGrid w:val="0"/>
          <w:szCs w:val="24"/>
        </w:rPr>
        <w:t>为提高数据库政府采购需求管理的科学化、规范化水平，进一步落实政府采购公平竞争原则，优化营商环境，营造良好的产业生态，财政部工业和信息化部关于印发《数据库政府采购需求标准（2023年版）》的通知（财库〔2023〕35号），本项目如涉及数据库采购，则具体要求见</w:t>
      </w:r>
      <w:r>
        <w:rPr>
          <w:rFonts w:hint="eastAsia" w:cs="宋体"/>
          <w:szCs w:val="24"/>
        </w:rPr>
        <w:t>“第三章项目采购需求”</w:t>
      </w:r>
      <w:r>
        <w:rPr>
          <w:rFonts w:hint="eastAsia" w:cs="宋体"/>
          <w:snapToGrid w:val="0"/>
          <w:szCs w:val="24"/>
        </w:rPr>
        <w:t>。</w:t>
      </w:r>
    </w:p>
    <w:p w14:paraId="48F942D1">
      <w:pPr>
        <w:pStyle w:val="35"/>
        <w:ind w:firstLine="480"/>
        <w:rPr>
          <w:rFonts w:cs="宋体"/>
          <w:snapToGrid w:val="0"/>
          <w:szCs w:val="24"/>
        </w:rPr>
      </w:pPr>
      <w:r>
        <w:rPr>
          <w:rFonts w:hint="eastAsia" w:cs="宋体"/>
          <w:snapToGrid w:val="0"/>
          <w:szCs w:val="24"/>
        </w:rPr>
        <w:t>46.10物业管理服务政府采购需求标准（办公场所类）（试行）</w:t>
      </w:r>
    </w:p>
    <w:p w14:paraId="1D85253E">
      <w:pPr>
        <w:pStyle w:val="35"/>
        <w:ind w:firstLine="480"/>
        <w:rPr>
          <w:rFonts w:cs="宋体"/>
          <w:snapToGrid w:val="0"/>
          <w:szCs w:val="24"/>
        </w:rPr>
      </w:pPr>
      <w:r>
        <w:rPr>
          <w:rFonts w:hint="eastAsia" w:cs="宋体"/>
          <w:snapToGrid w:val="0"/>
          <w:szCs w:val="24"/>
        </w:rPr>
        <w:t>为贯彻落实中央全面深化改革委员会审议通过的《深化政府采购制度改革方案》有关要求，推动政府采购需求标准建设，财政部办公厅关于印发《物业管理服务政府采购需求标准（办公场所类）（试行）》的通知（财办库〔2024〕113号），本项目如涉及物业管理服务采购，则具体要求见</w:t>
      </w:r>
      <w:r>
        <w:rPr>
          <w:rFonts w:hint="eastAsia" w:cs="宋体"/>
          <w:szCs w:val="24"/>
        </w:rPr>
        <w:t>“第三章项目采购需求”</w:t>
      </w:r>
      <w:r>
        <w:rPr>
          <w:rFonts w:hint="eastAsia" w:cs="宋体"/>
          <w:snapToGrid w:val="0"/>
          <w:szCs w:val="24"/>
        </w:rPr>
        <w:t>。</w:t>
      </w:r>
    </w:p>
    <w:p w14:paraId="17F282C8">
      <w:pPr>
        <w:pStyle w:val="4"/>
        <w:keepNext w:val="0"/>
        <w:keepLines w:val="0"/>
        <w:spacing w:before="140" w:after="140" w:line="240" w:lineRule="auto"/>
        <w:ind w:left="420" w:hanging="420"/>
        <w:rPr>
          <w:rFonts w:cs="宋体"/>
          <w:sz w:val="24"/>
          <w:szCs w:val="24"/>
        </w:rPr>
      </w:pPr>
      <w:bookmarkStart w:id="347" w:name="_Toc26488"/>
      <w:r>
        <w:rPr>
          <w:rFonts w:hint="eastAsia" w:cs="宋体"/>
          <w:sz w:val="24"/>
          <w:szCs w:val="24"/>
        </w:rPr>
        <w:t>（十四）政府采购合同融资政策</w:t>
      </w:r>
      <w:bookmarkEnd w:id="342"/>
      <w:bookmarkEnd w:id="343"/>
      <w:bookmarkEnd w:id="344"/>
      <w:bookmarkEnd w:id="345"/>
      <w:bookmarkEnd w:id="346"/>
      <w:bookmarkEnd w:id="347"/>
    </w:p>
    <w:p w14:paraId="4D900288">
      <w:pPr>
        <w:pStyle w:val="5"/>
        <w:keepNext w:val="0"/>
        <w:keepLines w:val="0"/>
        <w:spacing w:before="80" w:after="80" w:line="240" w:lineRule="auto"/>
        <w:ind w:left="420" w:hanging="420"/>
        <w:rPr>
          <w:rFonts w:ascii="宋体" w:hAnsi="宋体" w:cs="宋体"/>
          <w:sz w:val="24"/>
          <w:szCs w:val="24"/>
        </w:rPr>
      </w:pPr>
      <w:bookmarkStart w:id="348" w:name="_Toc161600345"/>
      <w:bookmarkStart w:id="349" w:name="_Toc109897476"/>
      <w:r>
        <w:rPr>
          <w:rFonts w:hint="eastAsia" w:ascii="宋体" w:hAnsi="宋体" w:cs="宋体"/>
          <w:sz w:val="24"/>
          <w:szCs w:val="24"/>
        </w:rPr>
        <w:t>47.政府采购合同融资政策</w:t>
      </w:r>
      <w:bookmarkEnd w:id="348"/>
    </w:p>
    <w:p w14:paraId="28BDE703">
      <w:pPr>
        <w:pStyle w:val="35"/>
        <w:ind w:firstLine="480"/>
        <w:rPr>
          <w:rFonts w:cs="宋体"/>
          <w:szCs w:val="24"/>
        </w:rPr>
      </w:pPr>
      <w:r>
        <w:rPr>
          <w:rFonts w:hint="eastAsia" w:cs="宋体"/>
          <w:szCs w:val="24"/>
        </w:rPr>
        <w:t>47.1政府采购合同融资政策：见供应商须知前附表。</w:t>
      </w:r>
    </w:p>
    <w:p w14:paraId="18541C22">
      <w:pPr>
        <w:pStyle w:val="4"/>
        <w:keepNext w:val="0"/>
        <w:keepLines w:val="0"/>
        <w:spacing w:before="140" w:after="140" w:line="240" w:lineRule="auto"/>
        <w:ind w:left="420" w:hanging="420"/>
        <w:rPr>
          <w:rFonts w:cs="宋体"/>
          <w:sz w:val="24"/>
          <w:szCs w:val="24"/>
        </w:rPr>
      </w:pPr>
      <w:bookmarkStart w:id="350" w:name="_Toc109899994"/>
      <w:bookmarkStart w:id="351" w:name="_Toc163493623"/>
      <w:bookmarkStart w:id="352" w:name="_Toc109900413"/>
      <w:bookmarkStart w:id="353" w:name="_Toc29816"/>
      <w:bookmarkStart w:id="354" w:name="_Toc109899575"/>
      <w:r>
        <w:rPr>
          <w:rFonts w:hint="eastAsia" w:cs="宋体"/>
          <w:sz w:val="24"/>
          <w:szCs w:val="24"/>
        </w:rPr>
        <w:t>（十五）其他</w:t>
      </w:r>
      <w:bookmarkEnd w:id="349"/>
      <w:bookmarkEnd w:id="350"/>
      <w:bookmarkEnd w:id="351"/>
      <w:bookmarkEnd w:id="352"/>
      <w:bookmarkEnd w:id="353"/>
      <w:bookmarkEnd w:id="354"/>
    </w:p>
    <w:p w14:paraId="6DC8071C">
      <w:pPr>
        <w:pStyle w:val="5"/>
        <w:keepNext w:val="0"/>
        <w:keepLines w:val="0"/>
        <w:spacing w:before="80" w:after="80" w:line="240" w:lineRule="auto"/>
        <w:ind w:left="420" w:hanging="420"/>
        <w:rPr>
          <w:rFonts w:ascii="宋体" w:hAnsi="宋体" w:cs="宋体"/>
          <w:sz w:val="24"/>
          <w:szCs w:val="24"/>
        </w:rPr>
      </w:pPr>
      <w:bookmarkStart w:id="355" w:name="_Toc161600347"/>
      <w:r>
        <w:rPr>
          <w:rFonts w:hint="eastAsia" w:ascii="宋体" w:hAnsi="宋体" w:cs="宋体"/>
          <w:sz w:val="24"/>
          <w:szCs w:val="24"/>
        </w:rPr>
        <w:t>48.需要补充的其他内容</w:t>
      </w:r>
      <w:bookmarkEnd w:id="355"/>
    </w:p>
    <w:p w14:paraId="2DC5B74E">
      <w:pPr>
        <w:pStyle w:val="35"/>
        <w:ind w:firstLine="480"/>
        <w:rPr>
          <w:rFonts w:cs="宋体"/>
          <w:szCs w:val="24"/>
        </w:rPr>
      </w:pPr>
      <w:r>
        <w:rPr>
          <w:rFonts w:hint="eastAsia" w:cs="宋体"/>
          <w:szCs w:val="24"/>
        </w:rPr>
        <w:t>48.1需要补充的其他内容：见供应商须知前附表。</w:t>
      </w:r>
    </w:p>
    <w:p w14:paraId="1516082D">
      <w:pPr>
        <w:pStyle w:val="5"/>
        <w:keepNext w:val="0"/>
        <w:keepLines w:val="0"/>
        <w:spacing w:before="80" w:after="80" w:line="240" w:lineRule="auto"/>
        <w:ind w:left="420" w:hanging="420"/>
        <w:rPr>
          <w:rFonts w:ascii="宋体" w:hAnsi="宋体" w:cs="宋体"/>
          <w:sz w:val="24"/>
          <w:szCs w:val="24"/>
        </w:rPr>
      </w:pPr>
      <w:bookmarkStart w:id="356" w:name="_Toc109899576"/>
      <w:bookmarkStart w:id="357" w:name="_Toc109900414"/>
      <w:bookmarkStart w:id="358" w:name="_Toc109897477"/>
      <w:bookmarkStart w:id="359" w:name="_Toc109899995"/>
      <w:r>
        <w:rPr>
          <w:rFonts w:hint="eastAsia" w:ascii="宋体" w:hAnsi="宋体" w:cs="宋体"/>
          <w:sz w:val="24"/>
          <w:szCs w:val="24"/>
        </w:rPr>
        <w:t>49.适用法律</w:t>
      </w:r>
      <w:bookmarkEnd w:id="356"/>
      <w:bookmarkEnd w:id="357"/>
      <w:bookmarkEnd w:id="358"/>
      <w:bookmarkEnd w:id="359"/>
    </w:p>
    <w:p w14:paraId="09445BDA">
      <w:pPr>
        <w:tabs>
          <w:tab w:val="left" w:pos="426"/>
        </w:tabs>
        <w:autoSpaceDE w:val="0"/>
        <w:autoSpaceDN w:val="0"/>
        <w:adjustRightInd w:val="0"/>
        <w:snapToGrid w:val="0"/>
        <w:ind w:firstLine="480" w:firstLineChars="200"/>
        <w:rPr>
          <w:rFonts w:cs="宋体"/>
          <w:snapToGrid w:val="0"/>
          <w:szCs w:val="24"/>
          <w:lang w:val="zh-CN"/>
        </w:rPr>
      </w:pPr>
      <w:r>
        <w:rPr>
          <w:rFonts w:hint="eastAsia" w:cs="宋体"/>
          <w:snapToGrid w:val="0"/>
          <w:szCs w:val="24"/>
          <w:lang w:val="zh-CN"/>
        </w:rPr>
        <w:t>4</w:t>
      </w:r>
      <w:r>
        <w:rPr>
          <w:rFonts w:hint="eastAsia" w:cs="宋体"/>
          <w:snapToGrid w:val="0"/>
          <w:szCs w:val="24"/>
        </w:rPr>
        <w:t>9</w:t>
      </w:r>
      <w:r>
        <w:rPr>
          <w:rFonts w:hint="eastAsia" w:cs="宋体"/>
          <w:snapToGrid w:val="0"/>
          <w:szCs w:val="24"/>
          <w:lang w:val="zh-CN"/>
        </w:rPr>
        <w:t>.1采购人、采购代理机构及供应商的一切采购活动均适用《</w:t>
      </w:r>
      <w:r>
        <w:rPr>
          <w:rFonts w:hint="eastAsia" w:cs="宋体"/>
          <w:snapToGrid w:val="0"/>
          <w:szCs w:val="24"/>
        </w:rPr>
        <w:t>中华人民共和国</w:t>
      </w:r>
      <w:r>
        <w:rPr>
          <w:rFonts w:hint="eastAsia" w:cs="宋体"/>
          <w:snapToGrid w:val="0"/>
          <w:szCs w:val="24"/>
          <w:lang w:val="zh-CN"/>
        </w:rPr>
        <w:t>政府采购法》、《</w:t>
      </w:r>
      <w:r>
        <w:rPr>
          <w:rFonts w:hint="eastAsia" w:cs="宋体"/>
          <w:snapToGrid w:val="0"/>
          <w:szCs w:val="24"/>
        </w:rPr>
        <w:t>中华人民共和国</w:t>
      </w:r>
      <w:r>
        <w:rPr>
          <w:rFonts w:hint="eastAsia" w:cs="宋体"/>
          <w:snapToGrid w:val="0"/>
          <w:szCs w:val="24"/>
          <w:lang w:val="zh-CN"/>
        </w:rPr>
        <w:t>政府采购法实施条例》、</w:t>
      </w:r>
      <w:r>
        <w:rPr>
          <w:rFonts w:hint="eastAsia" w:cs="宋体"/>
          <w:szCs w:val="24"/>
        </w:rPr>
        <w:t>《政府采购竞争性磋商采购方式管理暂行办法》（财库〔2014〕214号）</w:t>
      </w:r>
      <w:r>
        <w:rPr>
          <w:rFonts w:hint="eastAsia" w:cs="宋体"/>
          <w:snapToGrid w:val="0"/>
          <w:szCs w:val="24"/>
          <w:lang w:val="zh-CN"/>
        </w:rPr>
        <w:t>及相关法律法规。</w:t>
      </w:r>
    </w:p>
    <w:p w14:paraId="1E8461D6">
      <w:pPr>
        <w:pStyle w:val="35"/>
        <w:ind w:firstLine="480"/>
        <w:rPr>
          <w:rFonts w:cs="宋体"/>
          <w:snapToGrid w:val="0"/>
          <w:szCs w:val="24"/>
          <w:lang w:val="zh-CN"/>
        </w:rPr>
      </w:pPr>
      <w:r>
        <w:rPr>
          <w:rFonts w:hint="eastAsia" w:cs="宋体"/>
          <w:snapToGrid w:val="0"/>
          <w:szCs w:val="24"/>
          <w:lang w:val="zh-CN"/>
        </w:rPr>
        <w:t>4</w:t>
      </w:r>
      <w:r>
        <w:rPr>
          <w:rFonts w:hint="eastAsia" w:cs="宋体"/>
          <w:snapToGrid w:val="0"/>
          <w:szCs w:val="24"/>
        </w:rPr>
        <w:t>9</w:t>
      </w:r>
      <w:r>
        <w:rPr>
          <w:rFonts w:hint="eastAsia" w:cs="宋体"/>
          <w:snapToGrid w:val="0"/>
          <w:szCs w:val="24"/>
          <w:lang w:val="zh-CN"/>
        </w:rPr>
        <w:t>.2政府采购合同的履行、违约责任和解决争议的方法等适用《</w:t>
      </w:r>
      <w:r>
        <w:rPr>
          <w:rFonts w:hint="eastAsia" w:cs="宋体"/>
          <w:snapToGrid w:val="0"/>
          <w:szCs w:val="24"/>
        </w:rPr>
        <w:t>中华人民共和国</w:t>
      </w:r>
      <w:r>
        <w:rPr>
          <w:rFonts w:hint="eastAsia" w:cs="宋体"/>
          <w:snapToGrid w:val="0"/>
          <w:szCs w:val="24"/>
          <w:lang w:val="zh-CN"/>
        </w:rPr>
        <w:t>民法典》。</w:t>
      </w:r>
    </w:p>
    <w:p w14:paraId="57AA0597">
      <w:pPr>
        <w:pStyle w:val="5"/>
        <w:keepNext w:val="0"/>
        <w:keepLines w:val="0"/>
        <w:spacing w:before="80" w:after="80" w:line="240" w:lineRule="auto"/>
        <w:ind w:left="420" w:hanging="420"/>
        <w:rPr>
          <w:rFonts w:ascii="宋体" w:hAnsi="宋体" w:cs="宋体"/>
          <w:sz w:val="24"/>
          <w:szCs w:val="24"/>
        </w:rPr>
      </w:pPr>
      <w:bookmarkStart w:id="360" w:name="_Toc155185887"/>
      <w:bookmarkStart w:id="361" w:name="_Toc161600349"/>
      <w:r>
        <w:rPr>
          <w:rFonts w:hint="eastAsia" w:ascii="宋体" w:hAnsi="宋体" w:cs="宋体"/>
          <w:sz w:val="24"/>
          <w:szCs w:val="24"/>
        </w:rPr>
        <w:t>50.解释权</w:t>
      </w:r>
      <w:bookmarkEnd w:id="360"/>
      <w:bookmarkEnd w:id="361"/>
    </w:p>
    <w:p w14:paraId="30A54A32">
      <w:pPr>
        <w:pStyle w:val="35"/>
        <w:ind w:firstLine="480"/>
        <w:rPr>
          <w:rFonts w:cs="宋体"/>
          <w:snapToGrid w:val="0"/>
          <w:szCs w:val="24"/>
        </w:rPr>
      </w:pPr>
      <w:r>
        <w:rPr>
          <w:rFonts w:hint="eastAsia" w:cs="宋体"/>
          <w:snapToGrid w:val="0"/>
          <w:szCs w:val="24"/>
        </w:rPr>
        <w:t>50.1本竞争性磋商文件最终解释权归采购人或采购代理机构所有。</w:t>
      </w:r>
    </w:p>
    <w:p w14:paraId="2972F5BA">
      <w:pPr>
        <w:pStyle w:val="35"/>
        <w:ind w:firstLine="480"/>
        <w:rPr>
          <w:rFonts w:hint="eastAsia" w:ascii="宋体" w:hAnsi="宋体" w:eastAsia="宋体" w:cs="宋体"/>
          <w:i w:val="0"/>
          <w:iCs w:val="0"/>
          <w:color w:val="auto"/>
          <w:sz w:val="24"/>
          <w:szCs w:val="24"/>
          <w:highlight w:val="none"/>
        </w:rPr>
      </w:pPr>
    </w:p>
    <w:p w14:paraId="216F1C6D">
      <w:pPr>
        <w:pStyle w:val="35"/>
        <w:ind w:firstLine="480"/>
        <w:rPr>
          <w:i w:val="0"/>
          <w:iCs w:val="0"/>
          <w:color w:val="auto"/>
          <w:highlight w:val="none"/>
        </w:rPr>
      </w:pPr>
    </w:p>
    <w:p w14:paraId="080337B3">
      <w:pPr>
        <w:pStyle w:val="35"/>
        <w:ind w:firstLine="480"/>
        <w:rPr>
          <w:i w:val="0"/>
          <w:iCs w:val="0"/>
          <w:color w:val="auto"/>
          <w:highlight w:val="none"/>
        </w:rPr>
        <w:sectPr>
          <w:pgSz w:w="11906" w:h="16838"/>
          <w:pgMar w:top="1440" w:right="1080" w:bottom="1440" w:left="1080" w:header="851" w:footer="652" w:gutter="0"/>
          <w:pgNumType w:fmt="numberInDash"/>
          <w:cols w:space="0" w:num="1"/>
          <w:rtlGutter w:val="0"/>
          <w:docGrid w:type="lines" w:linePitch="312" w:charSpace="0"/>
        </w:sectPr>
      </w:pPr>
    </w:p>
    <w:p w14:paraId="086D4D21">
      <w:pPr>
        <w:pStyle w:val="25"/>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right="0" w:firstLine="643" w:firstLineChars="200"/>
        <w:jc w:val="center"/>
        <w:textAlignment w:val="auto"/>
        <w:outlineLvl w:val="0"/>
        <w:rPr>
          <w:rFonts w:hint="eastAsia" w:ascii="宋体" w:hAnsi="宋体" w:eastAsia="宋体" w:cs="宋体"/>
          <w:b w:val="0"/>
          <w:bCs w:val="0"/>
          <w:color w:val="auto"/>
          <w:kern w:val="2"/>
          <w:sz w:val="32"/>
          <w:szCs w:val="32"/>
          <w:highlight w:val="none"/>
          <w:lang w:val="en-US" w:eastAsia="zh-CN" w:bidi="ar-SA"/>
        </w:rPr>
      </w:pPr>
      <w:bookmarkStart w:id="362" w:name="_Toc11370"/>
      <w:r>
        <w:rPr>
          <w:rFonts w:hint="eastAsia" w:ascii="宋体" w:hAnsi="宋体" w:eastAsia="宋体" w:cs="宋体"/>
          <w:b/>
          <w:bCs/>
          <w:i w:val="0"/>
          <w:iCs w:val="0"/>
          <w:color w:val="auto"/>
          <w:kern w:val="44"/>
          <w:sz w:val="32"/>
          <w:szCs w:val="32"/>
          <w:highlight w:val="none"/>
          <w:lang w:val="en-US" w:eastAsia="zh-CN" w:bidi="ar-SA"/>
        </w:rPr>
        <w:t>项目采购需求</w:t>
      </w:r>
      <w:bookmarkEnd w:id="362"/>
    </w:p>
    <w:p w14:paraId="3CD40F68">
      <w:pPr>
        <w:pStyle w:val="2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right="0" w:rightChars="0"/>
        <w:jc w:val="both"/>
        <w:textAlignment w:val="auto"/>
        <w:rPr>
          <w:rFonts w:hint="eastAsia" w:ascii="宋体" w:hAnsi="宋体" w:eastAsia="宋体" w:cs="宋体"/>
          <w:b/>
          <w:bCs/>
          <w:color w:val="auto"/>
          <w:kern w:val="2"/>
          <w:sz w:val="28"/>
          <w:szCs w:val="28"/>
          <w:highlight w:val="none"/>
          <w:lang w:val="en-US" w:eastAsia="zh-CN" w:bidi="ar-SA"/>
        </w:rPr>
      </w:pPr>
      <w:r>
        <w:rPr>
          <w:rFonts w:hint="eastAsia" w:ascii="宋体" w:hAnsi="宋体" w:eastAsia="宋体" w:cs="宋体"/>
          <w:b/>
          <w:bCs/>
          <w:color w:val="auto"/>
          <w:kern w:val="2"/>
          <w:sz w:val="28"/>
          <w:szCs w:val="28"/>
          <w:highlight w:val="none"/>
          <w:lang w:val="en-US" w:eastAsia="zh-CN" w:bidi="ar-SA"/>
        </w:rPr>
        <w:t>一、项目实施的背景及必要性</w:t>
      </w:r>
    </w:p>
    <w:p w14:paraId="3102D4B2">
      <w:pPr>
        <w:pStyle w:val="2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right="0" w:rightChars="0" w:firstLine="480" w:firstLineChars="200"/>
        <w:jc w:val="both"/>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为贯彻落实习近平总书记关于健康中国建设和中医药工作的重要论述，落实党中央、国务院决策部署，进一步发挥好中医药在健康中国建设中的作用，推动中医药全方位全周期保障人民群众健康、提升整体健康水平，根据市委、市政府关于贯彻落实“10+1+2”产业联盟健康发展，进一步形成产业联盟工作合力的工作要求，形成“以和田市为轴心，玉龙喀什河两岸为两翼，各地共同发展的‘一轴两翼、多极多点发展’的工作思路”，统筹全市资源，推动中医药产业联盟工作。</w:t>
      </w:r>
    </w:p>
    <w:p w14:paraId="11849FFB">
      <w:pPr>
        <w:pStyle w:val="2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right="0" w:rightChars="0" w:firstLine="480" w:firstLineChars="200"/>
        <w:jc w:val="both"/>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本项目实施有利于保护和发展中医药（民族医药）特色和资源优势，促进中医药（民族医药）事业传承创新发展；有利于发挥原创优势、弘扬中华优秀传统文化、增强民族自信和文化自信；有利于推动新疆地区中医药（民族医药）产业基础高级化、产业链现代化，为新疆中医药（民族医药）产业高质量发展提供支撑。</w:t>
      </w:r>
    </w:p>
    <w:p w14:paraId="3366092D">
      <w:pPr>
        <w:pStyle w:val="2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right="0" w:rightChars="0"/>
        <w:jc w:val="both"/>
        <w:textAlignment w:val="auto"/>
        <w:rPr>
          <w:rFonts w:hint="default" w:ascii="宋体" w:hAnsi="宋体" w:eastAsia="宋体" w:cs="宋体"/>
          <w:b/>
          <w:bCs/>
          <w:color w:val="auto"/>
          <w:kern w:val="2"/>
          <w:sz w:val="28"/>
          <w:szCs w:val="28"/>
          <w:highlight w:val="none"/>
          <w:lang w:val="en-US" w:eastAsia="zh-CN" w:bidi="ar-SA"/>
        </w:rPr>
      </w:pPr>
      <w:r>
        <w:rPr>
          <w:rFonts w:hint="eastAsia" w:cs="宋体"/>
          <w:b/>
          <w:bCs/>
          <w:color w:val="auto"/>
          <w:kern w:val="2"/>
          <w:sz w:val="28"/>
          <w:szCs w:val="28"/>
          <w:highlight w:val="none"/>
          <w:lang w:val="en-US" w:eastAsia="zh-CN" w:bidi="ar-SA"/>
        </w:rPr>
        <w:t>二、实施内容</w:t>
      </w:r>
    </w:p>
    <w:p w14:paraId="1ECD77DE">
      <w:pPr>
        <w:pStyle w:val="2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right="0" w:rightChars="0" w:firstLine="482" w:firstLineChars="200"/>
        <w:jc w:val="both"/>
        <w:textAlignment w:val="auto"/>
        <w:rPr>
          <w:rFonts w:hint="eastAsia" w:ascii="宋体" w:hAnsi="宋体" w:eastAsia="宋体" w:cs="宋体"/>
          <w:b/>
          <w:bCs/>
          <w:color w:val="auto"/>
          <w:kern w:val="2"/>
          <w:sz w:val="24"/>
          <w:szCs w:val="24"/>
          <w:highlight w:val="none"/>
          <w:lang w:val="en-US" w:eastAsia="zh-CN" w:bidi="ar-SA"/>
        </w:rPr>
      </w:pPr>
      <w:r>
        <w:rPr>
          <w:rFonts w:hint="eastAsia" w:cs="宋体"/>
          <w:b/>
          <w:bCs/>
          <w:color w:val="auto"/>
          <w:kern w:val="2"/>
          <w:sz w:val="24"/>
          <w:szCs w:val="24"/>
          <w:highlight w:val="none"/>
          <w:lang w:val="en-US" w:eastAsia="zh-CN" w:bidi="ar-SA"/>
        </w:rPr>
        <w:t>1.包二：</w:t>
      </w:r>
      <w:r>
        <w:rPr>
          <w:rFonts w:hint="eastAsia" w:ascii="宋体" w:hAnsi="宋体" w:eastAsia="宋体" w:cs="宋体"/>
          <w:b/>
          <w:bCs/>
          <w:color w:val="auto"/>
          <w:kern w:val="2"/>
          <w:sz w:val="24"/>
          <w:szCs w:val="24"/>
          <w:highlight w:val="none"/>
          <w:lang w:val="en-US" w:eastAsia="zh-CN" w:bidi="ar-SA"/>
        </w:rPr>
        <w:t xml:space="preserve">品牌塑造： </w:t>
      </w:r>
    </w:p>
    <w:p w14:paraId="02FB69E7">
      <w:pPr>
        <w:pStyle w:val="2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right="0" w:rightChars="0" w:firstLine="482" w:firstLineChars="200"/>
        <w:jc w:val="both"/>
        <w:textAlignment w:val="auto"/>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面向全国推广宣传和田特色中医药(民族医药)产业发展情况和产品优势。完成国内央视媒体发布精品宣传片2条以上。完成央视短视频官方账号发布精品短视频2条以上。</w:t>
      </w:r>
    </w:p>
    <w:p w14:paraId="7C6E696D">
      <w:pPr>
        <w:pStyle w:val="2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right="0" w:rightChars="0" w:firstLine="240" w:firstLineChars="100"/>
        <w:jc w:val="both"/>
        <w:textAlignment w:val="auto"/>
        <w:rPr>
          <w:rFonts w:hint="eastAsia" w:ascii="宋体" w:hAnsi="宋体" w:eastAsia="宋体" w:cs="宋体"/>
          <w:color w:val="auto"/>
          <w:kern w:val="2"/>
          <w:sz w:val="24"/>
          <w:szCs w:val="24"/>
          <w:highlight w:val="none"/>
          <w:lang w:val="en-US" w:eastAsia="zh-CN" w:bidi="ar-SA"/>
        </w:rPr>
      </w:pPr>
      <w:r>
        <w:rPr>
          <w:rFonts w:hint="eastAsia" w:cs="宋体"/>
          <w:color w:val="auto"/>
          <w:kern w:val="2"/>
          <w:sz w:val="24"/>
          <w:szCs w:val="24"/>
          <w:lang w:val="en-US" w:eastAsia="zh-CN" w:bidi="ar-SA"/>
        </w:rPr>
        <w:t>2</w:t>
      </w:r>
      <w:r>
        <w:rPr>
          <w:rFonts w:hint="eastAsia" w:ascii="宋体" w:hAnsi="宋体" w:eastAsia="宋体" w:cs="宋体"/>
          <w:color w:val="auto"/>
          <w:kern w:val="2"/>
          <w:sz w:val="24"/>
          <w:szCs w:val="24"/>
          <w:lang w:val="en-US" w:eastAsia="zh-CN" w:bidi="ar-SA"/>
        </w:rPr>
        <w:t>.</w:t>
      </w:r>
      <w:r>
        <w:rPr>
          <w:rFonts w:hint="eastAsia" w:ascii="宋体" w:hAnsi="宋体" w:eastAsia="宋体" w:cs="宋体"/>
          <w:color w:val="auto"/>
          <w:kern w:val="2"/>
          <w:sz w:val="24"/>
          <w:szCs w:val="24"/>
          <w:highlight w:val="none"/>
          <w:lang w:val="en-US" w:eastAsia="zh-CN" w:bidi="ar-SA"/>
        </w:rPr>
        <w:t>服务地点：和田市</w:t>
      </w:r>
    </w:p>
    <w:p w14:paraId="79E00D76">
      <w:pPr>
        <w:pStyle w:val="2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right="0" w:rightChars="0" w:firstLine="240" w:firstLineChars="100"/>
        <w:jc w:val="both"/>
        <w:textAlignment w:val="auto"/>
        <w:rPr>
          <w:rFonts w:hint="eastAsia" w:ascii="宋体" w:hAnsi="宋体" w:eastAsia="宋体" w:cs="宋体"/>
          <w:color w:val="auto"/>
          <w:kern w:val="2"/>
          <w:sz w:val="24"/>
          <w:szCs w:val="24"/>
          <w:highlight w:val="none"/>
          <w:lang w:val="en-US" w:eastAsia="zh-CN" w:bidi="ar-SA"/>
        </w:rPr>
      </w:pPr>
      <w:r>
        <w:rPr>
          <w:rFonts w:hint="eastAsia" w:cs="宋体"/>
          <w:color w:val="auto"/>
          <w:kern w:val="2"/>
          <w:sz w:val="24"/>
          <w:szCs w:val="24"/>
          <w:lang w:val="en-US" w:eastAsia="zh-CN" w:bidi="ar-SA"/>
        </w:rPr>
        <w:t>3</w:t>
      </w:r>
      <w:r>
        <w:rPr>
          <w:rFonts w:hint="eastAsia" w:ascii="宋体" w:hAnsi="宋体" w:eastAsia="宋体" w:cs="宋体"/>
          <w:color w:val="auto"/>
          <w:kern w:val="2"/>
          <w:sz w:val="24"/>
          <w:szCs w:val="24"/>
          <w:lang w:val="en-US" w:eastAsia="zh-CN" w:bidi="ar-SA"/>
        </w:rPr>
        <w:t>.</w:t>
      </w:r>
      <w:r>
        <w:rPr>
          <w:rFonts w:hint="eastAsia" w:ascii="宋体" w:hAnsi="宋体" w:eastAsia="宋体" w:cs="宋体"/>
          <w:color w:val="auto"/>
          <w:kern w:val="2"/>
          <w:sz w:val="24"/>
          <w:szCs w:val="24"/>
          <w:highlight w:val="none"/>
          <w:lang w:val="en-US" w:eastAsia="zh-CN" w:bidi="ar-SA"/>
        </w:rPr>
        <w:t>合同履约期限：</w:t>
      </w:r>
      <w:r>
        <w:rPr>
          <w:rFonts w:hint="eastAsia" w:cs="宋体"/>
          <w:color w:val="auto"/>
          <w:kern w:val="2"/>
          <w:sz w:val="24"/>
          <w:szCs w:val="24"/>
          <w:highlight w:val="none"/>
          <w:lang w:val="en-US" w:eastAsia="zh-CN" w:bidi="ar-SA"/>
        </w:rPr>
        <w:t>1年</w:t>
      </w:r>
      <w:r>
        <w:rPr>
          <w:rFonts w:hint="eastAsia" w:ascii="宋体" w:hAnsi="宋体" w:eastAsia="宋体" w:cs="宋体"/>
          <w:color w:val="auto"/>
          <w:kern w:val="2"/>
          <w:sz w:val="24"/>
          <w:szCs w:val="24"/>
          <w:highlight w:val="none"/>
          <w:lang w:val="en-US" w:eastAsia="zh-CN" w:bidi="ar-SA"/>
        </w:rPr>
        <w:t>。</w:t>
      </w:r>
    </w:p>
    <w:p w14:paraId="6AFF7FF2">
      <w:pPr>
        <w:pStyle w:val="2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right="0" w:rightChars="0" w:firstLine="240" w:firstLineChars="100"/>
        <w:jc w:val="both"/>
        <w:textAlignment w:val="auto"/>
        <w:rPr>
          <w:rFonts w:hint="default" w:ascii="宋体" w:hAnsi="宋体" w:eastAsia="宋体" w:cs="宋体"/>
          <w:color w:val="auto"/>
          <w:kern w:val="2"/>
          <w:sz w:val="24"/>
          <w:szCs w:val="24"/>
          <w:highlight w:val="none"/>
          <w:lang w:val="en-US" w:eastAsia="zh-CN" w:bidi="ar-SA"/>
        </w:rPr>
      </w:pPr>
      <w:r>
        <w:rPr>
          <w:rFonts w:hint="eastAsia" w:cs="宋体"/>
          <w:color w:val="auto"/>
          <w:kern w:val="2"/>
          <w:sz w:val="24"/>
          <w:szCs w:val="24"/>
          <w:highlight w:val="none"/>
          <w:lang w:val="en-US" w:eastAsia="zh-CN" w:bidi="ar-SA"/>
        </w:rPr>
        <w:t>4.包二：</w:t>
      </w:r>
      <w:r>
        <w:rPr>
          <w:rFonts w:hint="eastAsia" w:ascii="宋体" w:hAnsi="宋体" w:eastAsia="宋体" w:cs="宋体"/>
          <w:b w:val="0"/>
          <w:bCs w:val="0"/>
          <w:color w:val="auto"/>
          <w:kern w:val="2"/>
          <w:sz w:val="24"/>
          <w:szCs w:val="24"/>
          <w:highlight w:val="none"/>
          <w:lang w:val="en-US" w:eastAsia="zh-CN" w:bidi="ar-SA"/>
        </w:rPr>
        <w:t>为完成央视媒体频道发布精品宣传片2条以上，每条时长20-30分钟。完成央视短视频官方账号发布精品短视频2条以上，每条时长1-2分钟。</w:t>
      </w:r>
    </w:p>
    <w:p w14:paraId="66E3316F">
      <w:pPr>
        <w:pStyle w:val="2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right="0" w:rightChars="0" w:firstLine="240" w:firstLineChars="100"/>
        <w:jc w:val="both"/>
        <w:textAlignment w:val="auto"/>
        <w:rPr>
          <w:rFonts w:hint="eastAsia" w:ascii="宋体" w:hAnsi="宋体" w:eastAsia="宋体" w:cs="宋体"/>
          <w:color w:val="auto"/>
          <w:kern w:val="2"/>
          <w:sz w:val="24"/>
          <w:szCs w:val="24"/>
          <w:highlight w:val="none"/>
          <w:lang w:val="en-US" w:eastAsia="zh-CN" w:bidi="ar-SA"/>
        </w:rPr>
      </w:pPr>
      <w:r>
        <w:rPr>
          <w:rFonts w:hint="eastAsia" w:cs="宋体"/>
          <w:color w:val="auto"/>
          <w:kern w:val="2"/>
          <w:sz w:val="24"/>
          <w:szCs w:val="24"/>
          <w:lang w:val="en-US" w:eastAsia="zh-CN" w:bidi="ar-SA"/>
        </w:rPr>
        <w:t>5</w:t>
      </w:r>
      <w:r>
        <w:rPr>
          <w:rFonts w:hint="eastAsia" w:ascii="宋体" w:hAnsi="宋体" w:eastAsia="宋体" w:cs="宋体"/>
          <w:color w:val="auto"/>
          <w:kern w:val="2"/>
          <w:sz w:val="24"/>
          <w:szCs w:val="24"/>
          <w:lang w:val="en-US" w:eastAsia="zh-CN" w:bidi="ar-SA"/>
        </w:rPr>
        <w:t>.</w:t>
      </w:r>
      <w:r>
        <w:rPr>
          <w:rFonts w:hint="eastAsia" w:ascii="宋体" w:hAnsi="宋体" w:eastAsia="宋体" w:cs="宋体"/>
          <w:color w:val="auto"/>
          <w:kern w:val="2"/>
          <w:sz w:val="24"/>
          <w:szCs w:val="24"/>
          <w:highlight w:val="none"/>
          <w:lang w:val="en-US" w:eastAsia="zh-CN" w:bidi="ar-SA"/>
        </w:rPr>
        <w:t>验收标准：满足采购需求的全部内容， 甲方出具验收意见。</w:t>
      </w:r>
    </w:p>
    <w:p w14:paraId="47AAE0B1">
      <w:pPr>
        <w:pStyle w:val="2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right="0" w:rightChars="0" w:firstLine="240" w:firstLineChars="100"/>
        <w:jc w:val="both"/>
        <w:textAlignment w:val="auto"/>
        <w:rPr>
          <w:rFonts w:hint="eastAsia" w:ascii="宋体" w:hAnsi="宋体" w:eastAsia="宋体" w:cs="宋体"/>
          <w:color w:val="auto"/>
          <w:kern w:val="2"/>
          <w:sz w:val="24"/>
          <w:szCs w:val="24"/>
          <w:highlight w:val="none"/>
          <w:lang w:val="en-US" w:eastAsia="zh-CN" w:bidi="ar-SA"/>
        </w:rPr>
      </w:pPr>
      <w:r>
        <w:rPr>
          <w:rFonts w:hint="eastAsia" w:cs="宋体"/>
          <w:color w:val="auto"/>
          <w:kern w:val="2"/>
          <w:sz w:val="24"/>
          <w:szCs w:val="24"/>
          <w:lang w:val="en-US" w:eastAsia="zh-CN" w:bidi="ar-SA"/>
        </w:rPr>
        <w:t>6</w:t>
      </w:r>
      <w:r>
        <w:rPr>
          <w:rFonts w:hint="eastAsia" w:ascii="宋体" w:hAnsi="宋体" w:eastAsia="宋体" w:cs="宋体"/>
          <w:color w:val="auto"/>
          <w:kern w:val="2"/>
          <w:sz w:val="24"/>
          <w:szCs w:val="24"/>
          <w:lang w:val="en-US" w:eastAsia="zh-CN" w:bidi="ar-SA"/>
        </w:rPr>
        <w:t>.</w:t>
      </w:r>
      <w:r>
        <w:rPr>
          <w:rFonts w:hint="eastAsia" w:ascii="宋体" w:hAnsi="宋体" w:eastAsia="宋体" w:cs="宋体"/>
          <w:color w:val="auto"/>
          <w:kern w:val="2"/>
          <w:sz w:val="24"/>
          <w:szCs w:val="24"/>
          <w:highlight w:val="none"/>
          <w:lang w:val="en-US" w:eastAsia="zh-CN" w:bidi="ar-SA"/>
        </w:rPr>
        <w:t>付款方式：</w:t>
      </w:r>
    </w:p>
    <w:p w14:paraId="35563046">
      <w:pPr>
        <w:pStyle w:val="2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right="0" w:rightChars="0" w:firstLine="482" w:firstLineChars="200"/>
        <w:jc w:val="both"/>
        <w:textAlignment w:val="auto"/>
        <w:rPr>
          <w:rFonts w:hint="eastAsia" w:cs="宋体"/>
          <w:color w:val="auto"/>
          <w:kern w:val="2"/>
          <w:sz w:val="24"/>
          <w:szCs w:val="24"/>
          <w:highlight w:val="none"/>
          <w:lang w:val="en-US" w:eastAsia="zh-CN" w:bidi="ar-SA"/>
        </w:rPr>
      </w:pPr>
      <w:bookmarkStart w:id="363" w:name="_Toc19712"/>
      <w:r>
        <w:rPr>
          <w:rFonts w:hint="eastAsia" w:cs="宋体"/>
          <w:b/>
          <w:bCs/>
          <w:color w:val="auto"/>
          <w:kern w:val="2"/>
          <w:sz w:val="24"/>
          <w:szCs w:val="24"/>
          <w:highlight w:val="none"/>
          <w:lang w:val="en-US" w:eastAsia="zh-CN" w:bidi="ar-SA"/>
        </w:rPr>
        <w:t>包二：品牌塑造：</w:t>
      </w:r>
      <w:r>
        <w:rPr>
          <w:rFonts w:hint="eastAsia" w:cs="宋体"/>
          <w:color w:val="auto"/>
          <w:kern w:val="2"/>
          <w:sz w:val="24"/>
          <w:szCs w:val="24"/>
          <w:highlight w:val="none"/>
          <w:lang w:val="en-US" w:eastAsia="zh-CN" w:bidi="ar-SA"/>
        </w:rPr>
        <w:t xml:space="preserve">（1）合同签订后一个月内支付第一笔资金，合同款的20%。乙方应于支付第一笔资金后7日内启动拍摄工作。（2）第二笔资金在完成至少一期视频播出、1条短视频播出后支付，支付合同款30%。（3）第三笔资金于完成合同约定所有工作后支付，支付合同款30%。（4）完成竣工验收后，支付合同尾款，即合同金额的20% </w:t>
      </w:r>
    </w:p>
    <w:bookmarkEnd w:id="363"/>
    <w:p w14:paraId="180B2DDC">
      <w:pPr>
        <w:pStyle w:val="2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right="0" w:rightChars="0" w:firstLine="240" w:firstLineChars="100"/>
        <w:jc w:val="both"/>
        <w:textAlignment w:val="auto"/>
        <w:rPr>
          <w:rFonts w:hint="eastAsia" w:cs="宋体"/>
          <w:color w:val="auto"/>
          <w:kern w:val="2"/>
          <w:sz w:val="24"/>
          <w:szCs w:val="24"/>
          <w:highlight w:val="none"/>
          <w:lang w:val="en-US" w:eastAsia="zh-CN" w:bidi="ar-SA"/>
        </w:rPr>
      </w:pPr>
      <w:r>
        <w:rPr>
          <w:rFonts w:hint="eastAsia" w:cs="宋体"/>
          <w:color w:val="auto"/>
          <w:kern w:val="2"/>
          <w:sz w:val="24"/>
          <w:szCs w:val="24"/>
          <w:lang w:val="en-US" w:eastAsia="zh-CN" w:bidi="ar-SA"/>
        </w:rPr>
        <w:t>7</w:t>
      </w:r>
      <w:r>
        <w:rPr>
          <w:rFonts w:hint="default" w:ascii="宋体" w:hAnsi="宋体" w:eastAsia="宋体" w:cs="宋体"/>
          <w:color w:val="auto"/>
          <w:kern w:val="2"/>
          <w:sz w:val="24"/>
          <w:szCs w:val="24"/>
          <w:lang w:val="en-US" w:eastAsia="zh-CN" w:bidi="ar-SA"/>
        </w:rPr>
        <w:t>.</w:t>
      </w:r>
      <w:r>
        <w:rPr>
          <w:rFonts w:hint="eastAsia" w:ascii="宋体" w:hAnsi="宋体" w:eastAsia="宋体" w:cs="宋体"/>
          <w:color w:val="auto"/>
          <w:kern w:val="2"/>
          <w:sz w:val="24"/>
          <w:szCs w:val="24"/>
          <w:highlight w:val="none"/>
          <w:lang w:val="en-US" w:eastAsia="zh-CN" w:bidi="ar-SA"/>
        </w:rPr>
        <w:t>发票开具方式：按业主要求开具全额发票</w:t>
      </w:r>
      <w:r>
        <w:rPr>
          <w:rFonts w:hint="eastAsia" w:cs="宋体"/>
          <w:color w:val="auto"/>
          <w:kern w:val="2"/>
          <w:sz w:val="24"/>
          <w:szCs w:val="24"/>
          <w:highlight w:val="none"/>
          <w:lang w:val="en-US" w:eastAsia="zh-CN" w:bidi="ar-SA"/>
        </w:rPr>
        <w:t>。</w:t>
      </w:r>
    </w:p>
    <w:p w14:paraId="28FA2165">
      <w:pPr>
        <w:pStyle w:val="2"/>
        <w:keepNext/>
        <w:keepLines/>
        <w:pageBreakBefore/>
        <w:widowControl w:val="0"/>
        <w:numPr>
          <w:ilvl w:val="0"/>
          <w:numId w:val="0"/>
        </w:numPr>
        <w:kinsoku/>
        <w:wordWrap/>
        <w:overflowPunct/>
        <w:topLinePunct w:val="0"/>
        <w:autoSpaceDE/>
        <w:autoSpaceDN/>
        <w:bidi w:val="0"/>
        <w:adjustRightInd/>
        <w:snapToGrid/>
        <w:spacing w:before="220" w:after="220" w:line="480" w:lineRule="auto"/>
        <w:ind w:left="420" w:leftChars="0" w:hanging="420" w:firstLineChars="0"/>
        <w:textAlignment w:val="auto"/>
        <w:rPr>
          <w:rFonts w:hint="eastAsia" w:ascii="宋体" w:hAnsi="宋体" w:eastAsia="宋体" w:cs="宋体"/>
          <w:b/>
          <w:bCs/>
          <w:i w:val="0"/>
          <w:iCs w:val="0"/>
          <w:color w:val="auto"/>
          <w:kern w:val="44"/>
          <w:sz w:val="36"/>
          <w:szCs w:val="36"/>
          <w:highlight w:val="none"/>
          <w:lang w:val="en-US" w:eastAsia="zh-CN" w:bidi="ar-SA"/>
        </w:rPr>
      </w:pPr>
      <w:bookmarkStart w:id="364" w:name="_Toc5884"/>
      <w:r>
        <w:rPr>
          <w:rFonts w:hint="eastAsia" w:ascii="宋体" w:hAnsi="宋体" w:eastAsia="宋体" w:cs="宋体"/>
          <w:b/>
          <w:bCs/>
          <w:i w:val="0"/>
          <w:iCs w:val="0"/>
          <w:color w:val="auto"/>
          <w:kern w:val="44"/>
          <w:sz w:val="36"/>
          <w:szCs w:val="36"/>
          <w:highlight w:val="none"/>
          <w:lang w:val="en-US" w:eastAsia="zh-CN" w:bidi="ar-SA"/>
        </w:rPr>
        <w:t>第四章 评审方法及标准</w:t>
      </w:r>
      <w:bookmarkEnd w:id="364"/>
    </w:p>
    <w:p w14:paraId="3C2D8384">
      <w:pPr>
        <w:pStyle w:val="3"/>
        <w:keepNext w:val="0"/>
        <w:keepLines w:val="0"/>
        <w:pageBreakBefore w:val="0"/>
        <w:widowControl w:val="0"/>
        <w:numPr>
          <w:ilvl w:val="0"/>
          <w:numId w:val="0"/>
        </w:numPr>
        <w:kinsoku/>
        <w:wordWrap/>
        <w:overflowPunct/>
        <w:topLinePunct w:val="0"/>
        <w:autoSpaceDE/>
        <w:autoSpaceDN/>
        <w:bidi w:val="0"/>
        <w:adjustRightInd/>
        <w:snapToGrid/>
        <w:spacing w:before="120" w:after="120" w:line="440" w:lineRule="exact"/>
        <w:ind w:left="420" w:leftChars="0" w:hanging="420" w:firstLineChars="0"/>
        <w:textAlignment w:val="auto"/>
        <w:rPr>
          <w:rFonts w:hint="eastAsia"/>
          <w:i w:val="0"/>
          <w:iCs w:val="0"/>
          <w:color w:val="auto"/>
          <w:sz w:val="28"/>
          <w:szCs w:val="28"/>
          <w:highlight w:val="none"/>
          <w:lang w:val="zh-CN" w:eastAsia="zh-CN"/>
        </w:rPr>
      </w:pPr>
      <w:bookmarkStart w:id="365" w:name="_Toc2367"/>
      <w:r>
        <w:rPr>
          <w:rFonts w:hint="eastAsia"/>
          <w:i w:val="0"/>
          <w:iCs w:val="0"/>
          <w:color w:val="auto"/>
          <w:sz w:val="28"/>
          <w:szCs w:val="28"/>
          <w:highlight w:val="none"/>
          <w:lang w:val="en-US" w:eastAsia="zh-CN"/>
        </w:rPr>
        <w:t>一、</w:t>
      </w:r>
      <w:r>
        <w:rPr>
          <w:rFonts w:hint="eastAsia"/>
          <w:i w:val="0"/>
          <w:iCs w:val="0"/>
          <w:color w:val="auto"/>
          <w:sz w:val="28"/>
          <w:szCs w:val="28"/>
          <w:highlight w:val="none"/>
          <w:lang w:val="zh-CN" w:eastAsia="zh-CN"/>
        </w:rPr>
        <w:t>评审方法</w:t>
      </w:r>
      <w:bookmarkEnd w:id="365"/>
    </w:p>
    <w:p w14:paraId="53640E9C">
      <w:pPr>
        <w:pStyle w:val="35"/>
        <w:pageBreakBefore w:val="0"/>
        <w:kinsoku/>
        <w:overflowPunct/>
        <w:topLinePunct w:val="0"/>
        <w:autoSpaceDE/>
        <w:autoSpaceDN/>
        <w:bidi w:val="0"/>
        <w:spacing w:line="440" w:lineRule="exact"/>
        <w:ind w:firstLine="480"/>
        <w:textAlignment w:val="auto"/>
        <w:rPr>
          <w:i w:val="0"/>
          <w:iCs w:val="0"/>
          <w:color w:val="auto"/>
          <w:highlight w:val="none"/>
        </w:rPr>
      </w:pPr>
      <w:r>
        <w:rPr>
          <w:rFonts w:hint="eastAsia"/>
          <w:i w:val="0"/>
          <w:iCs w:val="0"/>
          <w:color w:val="auto"/>
          <w:highlight w:val="none"/>
        </w:rPr>
        <w:t>本项目采用综合评分法。综合评分法是指经磋商确定最终采购需求和提交最后报价</w:t>
      </w:r>
      <w:r>
        <w:rPr>
          <w:rFonts w:hint="eastAsia"/>
          <w:b/>
          <w:bCs/>
          <w:i w:val="0"/>
          <w:iCs w:val="0"/>
          <w:color w:val="auto"/>
          <w:szCs w:val="24"/>
          <w:highlight w:val="none"/>
          <w:lang w:val="zh-CN"/>
        </w:rPr>
        <w:t>（因落实政府采购政策进行价格调整的，以调整后的价格计算）</w:t>
      </w:r>
      <w:r>
        <w:rPr>
          <w:rFonts w:hint="eastAsia"/>
          <w:i w:val="0"/>
          <w:iCs w:val="0"/>
          <w:color w:val="auto"/>
          <w:highlight w:val="none"/>
        </w:rPr>
        <w:t>的供应商的响应文件满足磋商文件全部实质性要求且按评审因素的量化指标评审得分最高的供应商为成交候选供应商的评审方法。</w:t>
      </w:r>
    </w:p>
    <w:p w14:paraId="2E5B7BB0">
      <w:pPr>
        <w:pStyle w:val="3"/>
        <w:keepNext w:val="0"/>
        <w:keepLines w:val="0"/>
        <w:pageBreakBefore w:val="0"/>
        <w:widowControl w:val="0"/>
        <w:numPr>
          <w:ilvl w:val="0"/>
          <w:numId w:val="0"/>
        </w:numPr>
        <w:kinsoku/>
        <w:wordWrap/>
        <w:overflowPunct/>
        <w:topLinePunct w:val="0"/>
        <w:autoSpaceDE/>
        <w:autoSpaceDN/>
        <w:bidi w:val="0"/>
        <w:adjustRightInd/>
        <w:snapToGrid/>
        <w:spacing w:before="120" w:after="120" w:line="440" w:lineRule="exact"/>
        <w:ind w:left="420" w:leftChars="0" w:hanging="420" w:firstLineChars="0"/>
        <w:textAlignment w:val="auto"/>
        <w:rPr>
          <w:rFonts w:hint="eastAsia"/>
          <w:i w:val="0"/>
          <w:iCs w:val="0"/>
          <w:color w:val="auto"/>
          <w:sz w:val="28"/>
          <w:szCs w:val="28"/>
          <w:highlight w:val="none"/>
          <w:lang w:val="zh-CN" w:eastAsia="zh-CN"/>
        </w:rPr>
      </w:pPr>
      <w:bookmarkStart w:id="366" w:name="_Toc1923"/>
      <w:r>
        <w:rPr>
          <w:rFonts w:hint="eastAsia"/>
          <w:i w:val="0"/>
          <w:iCs w:val="0"/>
          <w:color w:val="auto"/>
          <w:sz w:val="28"/>
          <w:szCs w:val="28"/>
          <w:highlight w:val="none"/>
          <w:lang w:val="en-US" w:eastAsia="zh-CN"/>
        </w:rPr>
        <w:t>二、</w:t>
      </w:r>
      <w:r>
        <w:rPr>
          <w:rFonts w:hint="eastAsia"/>
          <w:i w:val="0"/>
          <w:iCs w:val="0"/>
          <w:color w:val="auto"/>
          <w:sz w:val="28"/>
          <w:szCs w:val="28"/>
          <w:highlight w:val="none"/>
          <w:lang w:val="zh-CN" w:eastAsia="zh-CN"/>
        </w:rPr>
        <w:t>评审程序</w:t>
      </w:r>
      <w:bookmarkEnd w:id="366"/>
    </w:p>
    <w:p w14:paraId="25412360">
      <w:pPr>
        <w:pStyle w:val="4"/>
        <w:keepNext/>
        <w:keepLines/>
        <w:pageBreakBefore w:val="0"/>
        <w:widowControl w:val="0"/>
        <w:numPr>
          <w:ilvl w:val="0"/>
          <w:numId w:val="0"/>
        </w:numPr>
        <w:kinsoku/>
        <w:wordWrap/>
        <w:overflowPunct/>
        <w:topLinePunct w:val="0"/>
        <w:autoSpaceDE/>
        <w:autoSpaceDN/>
        <w:bidi w:val="0"/>
        <w:adjustRightInd/>
        <w:snapToGrid/>
        <w:spacing w:before="80" w:after="80" w:line="440" w:lineRule="exact"/>
        <w:ind w:left="420" w:leftChars="0" w:hanging="420" w:firstLineChars="0"/>
        <w:textAlignment w:val="auto"/>
        <w:rPr>
          <w:rFonts w:hint="eastAsia" w:ascii="宋体" w:hAnsi="宋体" w:eastAsia="宋体" w:cs="宋体"/>
          <w:b/>
          <w:bCs/>
          <w:i w:val="0"/>
          <w:iCs w:val="0"/>
          <w:color w:val="auto"/>
          <w:kern w:val="2"/>
          <w:sz w:val="24"/>
          <w:szCs w:val="24"/>
          <w:highlight w:val="none"/>
          <w:lang w:val="zh-CN" w:eastAsia="zh-CN" w:bidi="ar-SA"/>
        </w:rPr>
      </w:pPr>
      <w:bookmarkStart w:id="367" w:name="_Toc31866"/>
      <w:bookmarkStart w:id="368" w:name="_Toc16996"/>
      <w:bookmarkStart w:id="369" w:name="_Toc163493634"/>
      <w:r>
        <w:rPr>
          <w:rFonts w:hint="eastAsia" w:ascii="宋体" w:hAnsi="宋体" w:eastAsia="宋体" w:cs="宋体"/>
          <w:b/>
          <w:bCs/>
          <w:i w:val="0"/>
          <w:iCs w:val="0"/>
          <w:color w:val="auto"/>
          <w:kern w:val="2"/>
          <w:sz w:val="24"/>
          <w:szCs w:val="24"/>
          <w:highlight w:val="none"/>
          <w:lang w:val="zh-CN" w:eastAsia="zh-CN" w:bidi="ar-SA"/>
        </w:rPr>
        <w:t>（一）资格审查和符合性审查</w:t>
      </w:r>
      <w:bookmarkEnd w:id="367"/>
      <w:bookmarkEnd w:id="368"/>
      <w:bookmarkEnd w:id="369"/>
    </w:p>
    <w:p w14:paraId="64549C54">
      <w:pPr>
        <w:pageBreakBefore w:val="0"/>
        <w:tabs>
          <w:tab w:val="left" w:pos="312"/>
        </w:tabs>
        <w:kinsoku/>
        <w:wordWrap w:val="0"/>
        <w:overflowPunct/>
        <w:topLinePunct w:val="0"/>
        <w:autoSpaceDE/>
        <w:autoSpaceDN/>
        <w:bidi w:val="0"/>
        <w:adjustRightInd w:val="0"/>
        <w:snapToGrid w:val="0"/>
        <w:spacing w:line="440" w:lineRule="exact"/>
        <w:ind w:firstLine="480" w:firstLineChars="200"/>
        <w:textAlignment w:val="auto"/>
        <w:rPr>
          <w:rFonts w:hint="eastAsia"/>
          <w:i w:val="0"/>
          <w:iCs w:val="0"/>
          <w:color w:val="auto"/>
          <w:highlight w:val="none"/>
          <w:lang w:val="zh-CN"/>
        </w:rPr>
      </w:pPr>
      <w:r>
        <w:rPr>
          <w:rFonts w:hint="eastAsia"/>
          <w:i w:val="0"/>
          <w:iCs w:val="0"/>
          <w:color w:val="auto"/>
          <w:szCs w:val="24"/>
          <w:highlight w:val="none"/>
        </w:rPr>
        <w:t>1</w:t>
      </w:r>
      <w:r>
        <w:rPr>
          <w:i w:val="0"/>
          <w:iCs w:val="0"/>
          <w:color w:val="auto"/>
          <w:szCs w:val="24"/>
          <w:highlight w:val="none"/>
        </w:rPr>
        <w:t>.</w:t>
      </w:r>
      <w:r>
        <w:rPr>
          <w:rFonts w:hint="eastAsia"/>
          <w:i w:val="0"/>
          <w:iCs w:val="0"/>
          <w:color w:val="auto"/>
          <w:szCs w:val="24"/>
          <w:highlight w:val="none"/>
        </w:rPr>
        <w:t>磋商小组</w:t>
      </w:r>
      <w:r>
        <w:rPr>
          <w:rFonts w:hint="eastAsia" w:cs="宋体"/>
          <w:i w:val="0"/>
          <w:iCs w:val="0"/>
          <w:color w:val="auto"/>
          <w:highlight w:val="none"/>
        </w:rPr>
        <w:t>根据磋商文件规定的供应商资格条件、评</w:t>
      </w:r>
      <w:r>
        <w:rPr>
          <w:rFonts w:hint="eastAsia" w:cs="宋体"/>
          <w:i w:val="0"/>
          <w:iCs w:val="0"/>
          <w:color w:val="auto"/>
          <w:highlight w:val="none"/>
          <w:lang w:val="en-US" w:eastAsia="zh-CN"/>
        </w:rPr>
        <w:t>审</w:t>
      </w:r>
      <w:r>
        <w:rPr>
          <w:rFonts w:hint="eastAsia" w:cs="宋体"/>
          <w:i w:val="0"/>
          <w:iCs w:val="0"/>
          <w:color w:val="auto"/>
          <w:highlight w:val="none"/>
        </w:rPr>
        <w:t>成交的标准等事项，对供应商的响应文件进行评审。资格审查和符合性审查不符合磋商文件要求的响应文件，按</w:t>
      </w:r>
      <w:r>
        <w:rPr>
          <w:rFonts w:hint="eastAsia" w:cs="宋体"/>
          <w:b/>
          <w:bCs/>
          <w:i w:val="0"/>
          <w:iCs w:val="0"/>
          <w:color w:val="auto"/>
          <w:highlight w:val="none"/>
        </w:rPr>
        <w:t>无效文件</w:t>
      </w:r>
      <w:r>
        <w:rPr>
          <w:rFonts w:hint="eastAsia" w:cs="宋体"/>
          <w:i w:val="0"/>
          <w:iCs w:val="0"/>
          <w:color w:val="auto"/>
          <w:highlight w:val="none"/>
        </w:rPr>
        <w:t>处理，不进入磋商，并告知有关供应商</w:t>
      </w:r>
      <w:r>
        <w:rPr>
          <w:rFonts w:hint="eastAsia"/>
          <w:i w:val="0"/>
          <w:iCs w:val="0"/>
          <w:color w:val="auto"/>
          <w:highlight w:val="none"/>
          <w:lang w:val="zh-CN"/>
        </w:rPr>
        <w:t>。</w:t>
      </w:r>
    </w:p>
    <w:p w14:paraId="24AD4304">
      <w:pPr>
        <w:pStyle w:val="35"/>
        <w:pageBreakBefore w:val="0"/>
        <w:kinsoku/>
        <w:overflowPunct/>
        <w:topLinePunct w:val="0"/>
        <w:autoSpaceDE/>
        <w:autoSpaceDN/>
        <w:bidi w:val="0"/>
        <w:spacing w:line="440" w:lineRule="exact"/>
        <w:ind w:firstLine="480"/>
        <w:textAlignment w:val="auto"/>
        <w:rPr>
          <w:rFonts w:hint="eastAsia"/>
          <w:i w:val="0"/>
          <w:iCs w:val="0"/>
          <w:color w:val="auto"/>
          <w:highlight w:val="none"/>
        </w:rPr>
      </w:pPr>
      <w:r>
        <w:rPr>
          <w:rFonts w:hint="eastAsia"/>
          <w:i w:val="0"/>
          <w:iCs w:val="0"/>
          <w:color w:val="auto"/>
          <w:highlight w:val="none"/>
        </w:rPr>
        <w:t>2.</w:t>
      </w:r>
      <w:r>
        <w:rPr>
          <w:rFonts w:hint="eastAsia"/>
          <w:i w:val="0"/>
          <w:iCs w:val="0"/>
          <w:highlight w:val="none"/>
          <w:lang w:val="en-US" w:eastAsia="zh-CN"/>
        </w:rPr>
        <w:t>通过</w:t>
      </w:r>
      <w:r>
        <w:rPr>
          <w:rFonts w:hint="eastAsia" w:cs="宋体"/>
          <w:i w:val="0"/>
          <w:iCs w:val="0"/>
          <w:highlight w:val="none"/>
        </w:rPr>
        <w:t>资格性审查和符合性审查</w:t>
      </w:r>
      <w:r>
        <w:rPr>
          <w:rFonts w:hint="eastAsia" w:cs="宋体"/>
          <w:i w:val="0"/>
          <w:iCs w:val="0"/>
          <w:highlight w:val="none"/>
          <w:lang w:val="en-US" w:eastAsia="zh-CN"/>
        </w:rPr>
        <w:t>的</w:t>
      </w:r>
      <w:r>
        <w:rPr>
          <w:rFonts w:hint="eastAsia"/>
          <w:i w:val="0"/>
          <w:iCs w:val="0"/>
          <w:color w:val="auto"/>
          <w:highlight w:val="none"/>
        </w:rPr>
        <w:t>有效</w:t>
      </w:r>
      <w:r>
        <w:rPr>
          <w:rFonts w:hint="eastAsia"/>
          <w:i w:val="0"/>
          <w:iCs w:val="0"/>
          <w:color w:val="auto"/>
          <w:highlight w:val="none"/>
          <w:lang w:eastAsia="zh-CN"/>
        </w:rPr>
        <w:t>供应商</w:t>
      </w:r>
      <w:r>
        <w:rPr>
          <w:rFonts w:hint="eastAsia"/>
          <w:i w:val="0"/>
          <w:iCs w:val="0"/>
          <w:color w:val="auto"/>
          <w:highlight w:val="none"/>
        </w:rPr>
        <w:t>不足3家的应当终止竞争性磋商采购活动，发布项目终止公告并说明原因，重新开展采购活动。</w:t>
      </w:r>
    </w:p>
    <w:p w14:paraId="2BB3FE29">
      <w:pPr>
        <w:pStyle w:val="35"/>
        <w:pageBreakBefore w:val="0"/>
        <w:kinsoku/>
        <w:overflowPunct/>
        <w:topLinePunct w:val="0"/>
        <w:autoSpaceDE/>
        <w:autoSpaceDN/>
        <w:bidi w:val="0"/>
        <w:spacing w:line="440" w:lineRule="exact"/>
        <w:ind w:firstLine="480"/>
        <w:textAlignment w:val="auto"/>
        <w:rPr>
          <w:rFonts w:hint="default" w:eastAsia="宋体"/>
          <w:i w:val="0"/>
          <w:iCs w:val="0"/>
          <w:color w:val="auto"/>
          <w:highlight w:val="none"/>
          <w:lang w:val="en-US" w:eastAsia="zh-CN"/>
        </w:rPr>
      </w:pPr>
      <w:r>
        <w:rPr>
          <w:rFonts w:hint="eastAsia"/>
          <w:i w:val="0"/>
          <w:iCs w:val="0"/>
          <w:color w:val="auto"/>
          <w:highlight w:val="none"/>
          <w:lang w:val="en-US" w:eastAsia="zh-CN"/>
        </w:rPr>
        <w:t>3.根据《财政部关于政府采购竞争性磋商采购方式管理暂行办法有关问题的补充通知》的要求，采用竞争性磋商采购方式采购的政府购买服务项目（含政府和社会资本合作项目），在采购过程中符合要求的供应商（社会资本）只有2家的，竞争性磋商采购活动可以继续进行。采购过程中符合要求的供应商（社会资本）只有1家的，采购人（项目实施机构）或者采购代理机构应当终止竞争性磋商采购活动，发布项目终止公告并说明原因，重新开展采购活动。</w:t>
      </w:r>
    </w:p>
    <w:p w14:paraId="2480155A">
      <w:pPr>
        <w:pStyle w:val="4"/>
        <w:keepNext/>
        <w:keepLines/>
        <w:pageBreakBefore w:val="0"/>
        <w:widowControl w:val="0"/>
        <w:numPr>
          <w:ilvl w:val="0"/>
          <w:numId w:val="0"/>
        </w:numPr>
        <w:kinsoku/>
        <w:wordWrap/>
        <w:overflowPunct/>
        <w:topLinePunct w:val="0"/>
        <w:autoSpaceDE/>
        <w:autoSpaceDN/>
        <w:bidi w:val="0"/>
        <w:adjustRightInd/>
        <w:snapToGrid/>
        <w:spacing w:before="80" w:after="80" w:line="440" w:lineRule="exact"/>
        <w:ind w:left="420" w:leftChars="0" w:hanging="420" w:firstLineChars="0"/>
        <w:textAlignment w:val="auto"/>
        <w:rPr>
          <w:rFonts w:hint="eastAsia" w:ascii="宋体" w:hAnsi="宋体" w:eastAsia="宋体" w:cs="宋体"/>
          <w:b/>
          <w:bCs/>
          <w:i w:val="0"/>
          <w:iCs w:val="0"/>
          <w:color w:val="auto"/>
          <w:kern w:val="2"/>
          <w:sz w:val="24"/>
          <w:szCs w:val="24"/>
          <w:highlight w:val="none"/>
          <w:lang w:val="zh-CN" w:eastAsia="zh-CN" w:bidi="ar-SA"/>
        </w:rPr>
      </w:pPr>
      <w:bookmarkStart w:id="370" w:name="_Toc163493635"/>
      <w:bookmarkStart w:id="371" w:name="_Toc16765"/>
      <w:bookmarkStart w:id="372" w:name="_Toc13167"/>
      <w:bookmarkStart w:id="373" w:name="_Hlk158124046"/>
      <w:bookmarkStart w:id="374" w:name="_Toc102057744"/>
      <w:bookmarkStart w:id="375" w:name="_Toc102056244"/>
      <w:bookmarkStart w:id="376" w:name="_Toc102116178"/>
      <w:bookmarkStart w:id="377" w:name="_Toc102119879"/>
      <w:bookmarkStart w:id="378" w:name="_Toc102114946"/>
      <w:bookmarkStart w:id="379" w:name="_Toc102116048"/>
      <w:r>
        <w:rPr>
          <w:rFonts w:hint="eastAsia" w:ascii="宋体" w:hAnsi="宋体" w:eastAsia="宋体" w:cs="宋体"/>
          <w:b/>
          <w:bCs/>
          <w:i w:val="0"/>
          <w:iCs w:val="0"/>
          <w:color w:val="auto"/>
          <w:kern w:val="2"/>
          <w:sz w:val="24"/>
          <w:szCs w:val="24"/>
          <w:highlight w:val="none"/>
          <w:lang w:val="en-US" w:eastAsia="zh-CN" w:bidi="ar-SA"/>
        </w:rPr>
        <w:t>（二）</w:t>
      </w:r>
      <w:r>
        <w:rPr>
          <w:rFonts w:hint="eastAsia" w:ascii="宋体" w:hAnsi="宋体" w:eastAsia="宋体" w:cs="宋体"/>
          <w:b/>
          <w:bCs/>
          <w:i w:val="0"/>
          <w:iCs w:val="0"/>
          <w:color w:val="auto"/>
          <w:kern w:val="2"/>
          <w:sz w:val="24"/>
          <w:szCs w:val="24"/>
          <w:highlight w:val="none"/>
          <w:lang w:val="zh-CN" w:eastAsia="zh-CN" w:bidi="ar-SA"/>
        </w:rPr>
        <w:t>响应文件澄清</w:t>
      </w:r>
      <w:bookmarkEnd w:id="370"/>
      <w:bookmarkEnd w:id="371"/>
      <w:bookmarkEnd w:id="372"/>
    </w:p>
    <w:p w14:paraId="4E589A43">
      <w:pPr>
        <w:pStyle w:val="35"/>
        <w:pageBreakBefore w:val="0"/>
        <w:kinsoku/>
        <w:overflowPunct/>
        <w:topLinePunct w:val="0"/>
        <w:autoSpaceDE/>
        <w:autoSpaceDN/>
        <w:bidi w:val="0"/>
        <w:spacing w:line="440" w:lineRule="exact"/>
        <w:ind w:firstLine="480"/>
        <w:textAlignment w:val="auto"/>
        <w:rPr>
          <w:rFonts w:hint="eastAsia" w:ascii="宋体" w:hAnsi="宋体" w:eastAsia="宋体"/>
          <w:i w:val="0"/>
          <w:iCs w:val="0"/>
          <w:color w:val="auto"/>
          <w:highlight w:val="none"/>
        </w:rPr>
      </w:pPr>
      <w:r>
        <w:rPr>
          <w:rFonts w:hint="eastAsia" w:ascii="宋体" w:hAnsi="宋体" w:eastAsia="宋体"/>
          <w:i w:val="0"/>
          <w:iCs w:val="0"/>
          <w:color w:val="auto"/>
          <w:highlight w:val="none"/>
        </w:rPr>
        <w:t>1.</w:t>
      </w:r>
      <w:r>
        <w:rPr>
          <w:rFonts w:hint="eastAsia" w:ascii="宋体" w:hAnsi="宋体" w:eastAsia="宋体"/>
          <w:i w:val="0"/>
          <w:iCs w:val="0"/>
          <w:color w:val="auto"/>
          <w:highlight w:val="none"/>
          <w:lang w:val="en-US" w:eastAsia="zh-CN"/>
        </w:rPr>
        <w:t>磋商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14:paraId="07E33E43">
      <w:pPr>
        <w:pStyle w:val="35"/>
        <w:pageBreakBefore w:val="0"/>
        <w:kinsoku/>
        <w:overflowPunct/>
        <w:topLinePunct w:val="0"/>
        <w:autoSpaceDE/>
        <w:autoSpaceDN/>
        <w:bidi w:val="0"/>
        <w:spacing w:line="440" w:lineRule="exact"/>
        <w:ind w:firstLine="480"/>
        <w:textAlignment w:val="auto"/>
        <w:rPr>
          <w:i w:val="0"/>
          <w:iCs w:val="0"/>
          <w:color w:val="auto"/>
          <w:highlight w:val="none"/>
        </w:rPr>
      </w:pPr>
      <w:r>
        <w:rPr>
          <w:rFonts w:hint="eastAsia" w:ascii="宋体" w:hAnsi="宋体" w:eastAsia="宋体"/>
          <w:i w:val="0"/>
          <w:iCs w:val="0"/>
          <w:color w:val="auto"/>
          <w:highlight w:val="none"/>
          <w:lang w:val="en-US" w:eastAsia="zh-CN"/>
        </w:rPr>
        <w:t>2.磋商小组要求供应商澄清、说明或者更正响应文件应当以书面形式作出。供应商的澄清、说明或者更正应当由法定代表人或其授权代表签字或者加盖公章。由授权代表签字的，应当附法定代表人授权书。供应商为自然人的，应当由本人签字并附身份证明。</w:t>
      </w:r>
    </w:p>
    <w:bookmarkEnd w:id="373"/>
    <w:p w14:paraId="27E4E052">
      <w:pPr>
        <w:pStyle w:val="4"/>
        <w:keepNext/>
        <w:keepLines/>
        <w:pageBreakBefore w:val="0"/>
        <w:widowControl w:val="0"/>
        <w:numPr>
          <w:ilvl w:val="0"/>
          <w:numId w:val="0"/>
        </w:numPr>
        <w:kinsoku/>
        <w:wordWrap/>
        <w:overflowPunct/>
        <w:topLinePunct w:val="0"/>
        <w:autoSpaceDE/>
        <w:autoSpaceDN/>
        <w:bidi w:val="0"/>
        <w:adjustRightInd/>
        <w:snapToGrid/>
        <w:spacing w:before="80" w:after="80" w:line="440" w:lineRule="exact"/>
        <w:ind w:left="420" w:leftChars="0" w:hanging="420" w:firstLineChars="0"/>
        <w:textAlignment w:val="auto"/>
        <w:rPr>
          <w:rFonts w:hint="eastAsia" w:ascii="宋体" w:hAnsi="宋体" w:eastAsia="宋体" w:cs="宋体"/>
          <w:b/>
          <w:bCs/>
          <w:i w:val="0"/>
          <w:iCs w:val="0"/>
          <w:color w:val="auto"/>
          <w:kern w:val="2"/>
          <w:sz w:val="24"/>
          <w:szCs w:val="24"/>
          <w:highlight w:val="none"/>
          <w:lang w:val="zh-CN" w:eastAsia="zh-CN" w:bidi="ar-SA"/>
        </w:rPr>
      </w:pPr>
      <w:bookmarkStart w:id="380" w:name="_Toc27952"/>
      <w:bookmarkStart w:id="381" w:name="_Toc163493636"/>
      <w:bookmarkStart w:id="382" w:name="_Toc10518"/>
      <w:r>
        <w:rPr>
          <w:rFonts w:hint="eastAsia" w:ascii="宋体" w:hAnsi="宋体" w:eastAsia="宋体" w:cs="宋体"/>
          <w:b/>
          <w:bCs/>
          <w:i w:val="0"/>
          <w:iCs w:val="0"/>
          <w:color w:val="auto"/>
          <w:kern w:val="2"/>
          <w:sz w:val="24"/>
          <w:szCs w:val="24"/>
          <w:highlight w:val="none"/>
          <w:lang w:val="en-US" w:eastAsia="zh-CN" w:bidi="ar-SA"/>
        </w:rPr>
        <w:t>（三）</w:t>
      </w:r>
      <w:r>
        <w:rPr>
          <w:rFonts w:hint="eastAsia" w:ascii="宋体" w:hAnsi="宋体" w:eastAsia="宋体" w:cs="宋体"/>
          <w:b/>
          <w:bCs/>
          <w:i w:val="0"/>
          <w:iCs w:val="0"/>
          <w:color w:val="auto"/>
          <w:kern w:val="2"/>
          <w:sz w:val="24"/>
          <w:szCs w:val="24"/>
          <w:highlight w:val="none"/>
          <w:lang w:val="zh-CN" w:eastAsia="zh-CN" w:bidi="ar-SA"/>
        </w:rPr>
        <w:t>磋商程序</w:t>
      </w:r>
      <w:bookmarkEnd w:id="380"/>
      <w:bookmarkEnd w:id="381"/>
      <w:bookmarkEnd w:id="382"/>
    </w:p>
    <w:p w14:paraId="3B21DF86">
      <w:pPr>
        <w:pStyle w:val="35"/>
        <w:pageBreakBefore w:val="0"/>
        <w:kinsoku/>
        <w:overflowPunct/>
        <w:topLinePunct w:val="0"/>
        <w:autoSpaceDE/>
        <w:autoSpaceDN/>
        <w:bidi w:val="0"/>
        <w:spacing w:line="440" w:lineRule="exact"/>
        <w:ind w:firstLine="480"/>
        <w:textAlignment w:val="auto"/>
        <w:rPr>
          <w:i w:val="0"/>
          <w:iCs w:val="0"/>
          <w:color w:val="auto"/>
          <w:highlight w:val="none"/>
        </w:rPr>
      </w:pPr>
      <w:r>
        <w:rPr>
          <w:rFonts w:hint="eastAsia"/>
          <w:i w:val="0"/>
          <w:iCs w:val="0"/>
          <w:color w:val="auto"/>
          <w:highlight w:val="none"/>
        </w:rPr>
        <w:t>磋商小组应当依据磋商文件规定的程序、评</w:t>
      </w:r>
      <w:r>
        <w:rPr>
          <w:rFonts w:hint="eastAsia"/>
          <w:i w:val="0"/>
          <w:iCs w:val="0"/>
          <w:color w:val="auto"/>
          <w:highlight w:val="none"/>
          <w:lang w:val="en-US" w:eastAsia="zh-CN"/>
        </w:rPr>
        <w:t>审</w:t>
      </w:r>
      <w:r>
        <w:rPr>
          <w:rFonts w:hint="eastAsia"/>
          <w:i w:val="0"/>
          <w:iCs w:val="0"/>
          <w:color w:val="auto"/>
          <w:highlight w:val="none"/>
        </w:rPr>
        <w:t>成交的标准等事项与</w:t>
      </w:r>
      <w:r>
        <w:rPr>
          <w:rFonts w:hint="eastAsia" w:cs="Helvetica"/>
          <w:i w:val="0"/>
          <w:iCs w:val="0"/>
          <w:color w:val="auto"/>
          <w:szCs w:val="24"/>
          <w:highlight w:val="none"/>
          <w:lang w:val="zh-CN"/>
        </w:rPr>
        <w:t>实质性</w:t>
      </w:r>
      <w:r>
        <w:rPr>
          <w:rFonts w:hint="eastAsia"/>
          <w:i w:val="0"/>
          <w:iCs w:val="0"/>
          <w:color w:val="auto"/>
          <w:highlight w:val="none"/>
        </w:rPr>
        <w:t>响应磋商文件要求的供应商</w:t>
      </w:r>
      <w:r>
        <w:rPr>
          <w:i w:val="0"/>
          <w:iCs w:val="0"/>
          <w:color w:val="auto"/>
          <w:highlight w:val="none"/>
        </w:rPr>
        <w:t>进行</w:t>
      </w:r>
      <w:r>
        <w:rPr>
          <w:rFonts w:hint="eastAsia"/>
          <w:i w:val="0"/>
          <w:iCs w:val="0"/>
          <w:color w:val="auto"/>
          <w:highlight w:val="none"/>
        </w:rPr>
        <w:t>磋商。</w:t>
      </w:r>
    </w:p>
    <w:p w14:paraId="410355B6">
      <w:pPr>
        <w:pStyle w:val="5"/>
        <w:keepNext w:val="0"/>
        <w:keepLines w:val="0"/>
        <w:pageBreakBefore w:val="0"/>
        <w:widowControl w:val="0"/>
        <w:numPr>
          <w:ilvl w:val="0"/>
          <w:numId w:val="0"/>
        </w:numPr>
        <w:kinsoku/>
        <w:wordWrap/>
        <w:overflowPunct/>
        <w:topLinePunct w:val="0"/>
        <w:autoSpaceDE/>
        <w:autoSpaceDN/>
        <w:bidi w:val="0"/>
        <w:adjustRightInd/>
        <w:snapToGrid/>
        <w:spacing w:before="80" w:after="60" w:line="440" w:lineRule="exact"/>
        <w:ind w:left="420" w:leftChars="0" w:hanging="420" w:firstLineChars="0"/>
        <w:textAlignment w:val="auto"/>
        <w:rPr>
          <w:rFonts w:hint="eastAsia" w:ascii="宋体" w:hAnsi="宋体" w:eastAsia="宋体" w:cs="宋体"/>
          <w:b/>
          <w:bCs/>
          <w:i w:val="0"/>
          <w:iCs w:val="0"/>
          <w:color w:val="auto"/>
          <w:kern w:val="2"/>
          <w:sz w:val="24"/>
          <w:szCs w:val="24"/>
          <w:highlight w:val="none"/>
          <w:lang w:val="en-US" w:eastAsia="zh-CN" w:bidi="ar-SA"/>
        </w:rPr>
      </w:pPr>
      <w:r>
        <w:rPr>
          <w:rFonts w:hint="eastAsia" w:ascii="宋体" w:hAnsi="宋体" w:eastAsia="宋体" w:cs="宋体"/>
          <w:b/>
          <w:bCs/>
          <w:i w:val="0"/>
          <w:iCs w:val="0"/>
          <w:color w:val="auto"/>
          <w:kern w:val="2"/>
          <w:sz w:val="24"/>
          <w:szCs w:val="24"/>
          <w:highlight w:val="none"/>
          <w:lang w:val="en-US" w:eastAsia="zh-CN" w:bidi="ar-SA"/>
        </w:rPr>
        <w:t>1.第一轮磋商</w:t>
      </w:r>
    </w:p>
    <w:p w14:paraId="3A166FAD">
      <w:pPr>
        <w:pStyle w:val="35"/>
        <w:pageBreakBefore w:val="0"/>
        <w:kinsoku/>
        <w:overflowPunct/>
        <w:topLinePunct w:val="0"/>
        <w:autoSpaceDE/>
        <w:autoSpaceDN/>
        <w:bidi w:val="0"/>
        <w:spacing w:line="440" w:lineRule="exact"/>
        <w:ind w:firstLine="480"/>
        <w:textAlignment w:val="auto"/>
        <w:rPr>
          <w:rFonts w:cs="宋体"/>
          <w:i w:val="0"/>
          <w:iCs w:val="0"/>
          <w:color w:val="auto"/>
          <w:szCs w:val="24"/>
          <w:highlight w:val="none"/>
        </w:rPr>
      </w:pPr>
      <w:r>
        <w:rPr>
          <w:rFonts w:hint="eastAsia"/>
          <w:i w:val="0"/>
          <w:iCs w:val="0"/>
          <w:color w:val="auto"/>
          <w:highlight w:val="none"/>
          <w:lang w:val="zh-CN"/>
        </w:rPr>
        <w:t>1</w:t>
      </w:r>
      <w:r>
        <w:rPr>
          <w:i w:val="0"/>
          <w:iCs w:val="0"/>
          <w:color w:val="auto"/>
          <w:highlight w:val="none"/>
          <w:lang w:val="zh-CN"/>
        </w:rPr>
        <w:t>.1</w:t>
      </w:r>
      <w:r>
        <w:rPr>
          <w:rFonts w:hint="eastAsia"/>
          <w:i w:val="0"/>
          <w:iCs w:val="0"/>
          <w:color w:val="auto"/>
          <w:highlight w:val="none"/>
          <w:lang w:val="zh-CN"/>
        </w:rPr>
        <w:t>磋商小组将按照系统随机的顺序决定供应商的磋商顺序，并集中与单一供应商分别进行磋商</w:t>
      </w:r>
      <w:r>
        <w:rPr>
          <w:rFonts w:hint="eastAsia" w:cs="宋体"/>
          <w:i w:val="0"/>
          <w:iCs w:val="0"/>
          <w:color w:val="auto"/>
          <w:szCs w:val="24"/>
          <w:highlight w:val="none"/>
        </w:rPr>
        <w:t>。</w:t>
      </w:r>
    </w:p>
    <w:p w14:paraId="77949909">
      <w:pPr>
        <w:pStyle w:val="35"/>
        <w:pageBreakBefore w:val="0"/>
        <w:kinsoku/>
        <w:overflowPunct/>
        <w:topLinePunct w:val="0"/>
        <w:autoSpaceDE/>
        <w:autoSpaceDN/>
        <w:bidi w:val="0"/>
        <w:spacing w:line="440" w:lineRule="exact"/>
        <w:ind w:firstLine="480"/>
        <w:textAlignment w:val="auto"/>
        <w:rPr>
          <w:rFonts w:cs="宋体"/>
          <w:i w:val="0"/>
          <w:iCs w:val="0"/>
          <w:color w:val="auto"/>
          <w:szCs w:val="24"/>
          <w:highlight w:val="none"/>
        </w:rPr>
      </w:pPr>
      <w:r>
        <w:rPr>
          <w:rFonts w:hint="eastAsia" w:cs="宋体"/>
          <w:i w:val="0"/>
          <w:iCs w:val="0"/>
          <w:color w:val="auto"/>
          <w:szCs w:val="24"/>
          <w:highlight w:val="none"/>
        </w:rPr>
        <w:t>1</w:t>
      </w:r>
      <w:r>
        <w:rPr>
          <w:rFonts w:cs="宋体"/>
          <w:i w:val="0"/>
          <w:iCs w:val="0"/>
          <w:color w:val="auto"/>
          <w:szCs w:val="24"/>
          <w:highlight w:val="none"/>
        </w:rPr>
        <w:t>.2</w:t>
      </w:r>
      <w:r>
        <w:rPr>
          <w:rFonts w:hint="eastAsia" w:cs="宋体"/>
          <w:i w:val="0"/>
          <w:iCs w:val="0"/>
          <w:color w:val="auto"/>
          <w:szCs w:val="24"/>
          <w:highlight w:val="none"/>
        </w:rPr>
        <w:t>磋商小组所有成员应当对照磋商文件和响应文件就采购需求、质量和服务等内容集中与单一供应商分别进行磋商，并给予所有参加磋商的供应商平等的磋商机会。在磋商中，磋商的任何一方不得透露与磋商有关的其他供应商的技术资料、价格和其他信息。</w:t>
      </w:r>
    </w:p>
    <w:p w14:paraId="4B5E37B4">
      <w:pPr>
        <w:pStyle w:val="35"/>
        <w:pageBreakBefore w:val="0"/>
        <w:kinsoku/>
        <w:overflowPunct/>
        <w:topLinePunct w:val="0"/>
        <w:autoSpaceDE/>
        <w:autoSpaceDN/>
        <w:bidi w:val="0"/>
        <w:spacing w:line="440" w:lineRule="exact"/>
        <w:ind w:firstLine="480"/>
        <w:textAlignment w:val="auto"/>
        <w:rPr>
          <w:rFonts w:hint="eastAsia" w:eastAsia="宋体" w:cs="宋体"/>
          <w:i w:val="0"/>
          <w:iCs w:val="0"/>
          <w:color w:val="auto"/>
          <w:szCs w:val="24"/>
          <w:highlight w:val="none"/>
          <w:lang w:eastAsia="zh-CN"/>
        </w:rPr>
      </w:pPr>
      <w:r>
        <w:rPr>
          <w:rFonts w:hint="eastAsia" w:cs="宋体"/>
          <w:i w:val="0"/>
          <w:iCs w:val="0"/>
          <w:color w:val="auto"/>
          <w:szCs w:val="24"/>
          <w:highlight w:val="none"/>
        </w:rPr>
        <w:t>1</w:t>
      </w:r>
      <w:r>
        <w:rPr>
          <w:rFonts w:cs="宋体"/>
          <w:i w:val="0"/>
          <w:iCs w:val="0"/>
          <w:color w:val="auto"/>
          <w:szCs w:val="24"/>
          <w:highlight w:val="none"/>
        </w:rPr>
        <w:t>.3</w:t>
      </w:r>
      <w:r>
        <w:rPr>
          <w:rFonts w:hint="eastAsia" w:cs="宋体"/>
          <w:i w:val="0"/>
          <w:iCs w:val="0"/>
          <w:color w:val="auto"/>
          <w:szCs w:val="24"/>
          <w:highlight w:val="none"/>
        </w:rPr>
        <w:t>磋商过程中，磋商小组可以根据磋商文件和磋商情况实质性变动采购需求中的技术、服务要求以及合同草案条款，但不得变动磋商文件中的其他内容。实质性变动的内容，须经采购人代表确认。</w:t>
      </w:r>
    </w:p>
    <w:p w14:paraId="79187789">
      <w:pPr>
        <w:pStyle w:val="35"/>
        <w:pageBreakBefore w:val="0"/>
        <w:kinsoku/>
        <w:overflowPunct/>
        <w:topLinePunct w:val="0"/>
        <w:autoSpaceDE/>
        <w:autoSpaceDN/>
        <w:bidi w:val="0"/>
        <w:spacing w:line="440" w:lineRule="exact"/>
        <w:ind w:firstLine="480"/>
        <w:textAlignment w:val="auto"/>
        <w:rPr>
          <w:rFonts w:hint="eastAsia" w:cs="宋体"/>
          <w:i w:val="0"/>
          <w:iCs w:val="0"/>
          <w:color w:val="auto"/>
          <w:szCs w:val="24"/>
          <w:highlight w:val="none"/>
        </w:rPr>
      </w:pPr>
      <w:r>
        <w:rPr>
          <w:rFonts w:hint="eastAsia" w:cs="宋体"/>
          <w:i w:val="0"/>
          <w:iCs w:val="0"/>
          <w:color w:val="auto"/>
          <w:szCs w:val="24"/>
          <w:highlight w:val="none"/>
        </w:rPr>
        <w:t>1</w:t>
      </w:r>
      <w:r>
        <w:rPr>
          <w:rFonts w:cs="宋体"/>
          <w:i w:val="0"/>
          <w:iCs w:val="0"/>
          <w:color w:val="auto"/>
          <w:szCs w:val="24"/>
          <w:highlight w:val="none"/>
        </w:rPr>
        <w:t>.4</w:t>
      </w:r>
      <w:r>
        <w:rPr>
          <w:rFonts w:hint="eastAsia" w:cs="宋体"/>
          <w:i w:val="0"/>
          <w:iCs w:val="0"/>
          <w:color w:val="auto"/>
          <w:szCs w:val="24"/>
          <w:highlight w:val="none"/>
        </w:rPr>
        <w:t>对磋商文件作出的实质性变动的内容是磋商文件的有效组成部分。磋商小组应将磋商文件的变动情况以书面</w:t>
      </w:r>
      <w:r>
        <w:rPr>
          <w:rFonts w:hint="eastAsia" w:cs="宋体"/>
          <w:i w:val="0"/>
          <w:iCs w:val="0"/>
          <w:color w:val="auto"/>
          <w:szCs w:val="24"/>
          <w:highlight w:val="none"/>
          <w:lang w:val="en-US" w:eastAsia="zh-CN"/>
        </w:rPr>
        <w:t>形</w:t>
      </w:r>
      <w:r>
        <w:rPr>
          <w:rFonts w:hint="eastAsia" w:cs="宋体"/>
          <w:i w:val="0"/>
          <w:iCs w:val="0"/>
          <w:color w:val="auto"/>
          <w:szCs w:val="24"/>
          <w:highlight w:val="none"/>
        </w:rPr>
        <w:t>式通知所有参加磋商的供应商。</w:t>
      </w:r>
    </w:p>
    <w:p w14:paraId="708F2F98">
      <w:pPr>
        <w:pStyle w:val="35"/>
        <w:pageBreakBefore w:val="0"/>
        <w:kinsoku/>
        <w:overflowPunct/>
        <w:topLinePunct w:val="0"/>
        <w:autoSpaceDE/>
        <w:autoSpaceDN/>
        <w:bidi w:val="0"/>
        <w:spacing w:line="440" w:lineRule="exact"/>
        <w:ind w:firstLine="480"/>
        <w:textAlignment w:val="auto"/>
        <w:rPr>
          <w:rFonts w:hint="eastAsia" w:cs="宋体"/>
          <w:i w:val="0"/>
          <w:iCs w:val="0"/>
          <w:color w:val="auto"/>
          <w:szCs w:val="24"/>
          <w:highlight w:val="none"/>
        </w:rPr>
      </w:pPr>
      <w:r>
        <w:rPr>
          <w:rFonts w:hint="eastAsia" w:cs="宋体"/>
          <w:i w:val="0"/>
          <w:iCs w:val="0"/>
          <w:color w:val="auto"/>
          <w:szCs w:val="24"/>
          <w:highlight w:val="none"/>
        </w:rPr>
        <w:t>1</w:t>
      </w:r>
      <w:r>
        <w:rPr>
          <w:rFonts w:cs="宋体"/>
          <w:i w:val="0"/>
          <w:iCs w:val="0"/>
          <w:color w:val="auto"/>
          <w:szCs w:val="24"/>
          <w:highlight w:val="none"/>
        </w:rPr>
        <w:t>.5</w:t>
      </w:r>
      <w:r>
        <w:rPr>
          <w:rFonts w:hint="eastAsia" w:cs="宋体"/>
          <w:i w:val="0"/>
          <w:iCs w:val="0"/>
          <w:color w:val="auto"/>
          <w:szCs w:val="24"/>
          <w:highlight w:val="none"/>
        </w:rPr>
        <w:t>供应商应当按照磋商文件的变动情况和磋商小组的要求在规定的时间内重新提交响应文件，并由其法定代表人或授权代表签字或者加盖公章。由授权代表签字的，应当附法定代表人授权书。供应商为自然人的，应当由本人签字并附身份证明。逾时不提交的，视同退出磋商。</w:t>
      </w:r>
    </w:p>
    <w:p w14:paraId="296A5BF1">
      <w:pPr>
        <w:pStyle w:val="5"/>
        <w:keepNext w:val="0"/>
        <w:keepLines w:val="0"/>
        <w:pageBreakBefore w:val="0"/>
        <w:widowControl w:val="0"/>
        <w:numPr>
          <w:ilvl w:val="0"/>
          <w:numId w:val="0"/>
        </w:numPr>
        <w:kinsoku/>
        <w:wordWrap/>
        <w:overflowPunct/>
        <w:topLinePunct w:val="0"/>
        <w:autoSpaceDE/>
        <w:autoSpaceDN/>
        <w:bidi w:val="0"/>
        <w:adjustRightInd/>
        <w:snapToGrid/>
        <w:spacing w:before="80" w:after="60" w:line="440" w:lineRule="exact"/>
        <w:ind w:left="420" w:leftChars="0" w:hanging="420" w:firstLineChars="0"/>
        <w:textAlignment w:val="auto"/>
        <w:rPr>
          <w:rFonts w:hint="eastAsia" w:ascii="宋体" w:hAnsi="宋体" w:eastAsia="宋体" w:cs="宋体"/>
          <w:b/>
          <w:bCs/>
          <w:i w:val="0"/>
          <w:iCs w:val="0"/>
          <w:color w:val="auto"/>
          <w:kern w:val="2"/>
          <w:sz w:val="24"/>
          <w:szCs w:val="24"/>
          <w:highlight w:val="none"/>
          <w:lang w:val="en-US" w:eastAsia="zh-CN" w:bidi="ar-SA"/>
        </w:rPr>
      </w:pPr>
      <w:r>
        <w:rPr>
          <w:rFonts w:hint="eastAsia" w:ascii="宋体" w:hAnsi="宋体" w:eastAsia="宋体" w:cs="宋体"/>
          <w:b/>
          <w:bCs/>
          <w:i w:val="0"/>
          <w:iCs w:val="0"/>
          <w:color w:val="auto"/>
          <w:kern w:val="2"/>
          <w:sz w:val="24"/>
          <w:szCs w:val="24"/>
          <w:highlight w:val="none"/>
          <w:lang w:val="en-US" w:eastAsia="zh-CN" w:bidi="ar-SA"/>
        </w:rPr>
        <w:t>2.多轮磋商</w:t>
      </w:r>
    </w:p>
    <w:p w14:paraId="320277BA">
      <w:pPr>
        <w:pStyle w:val="35"/>
        <w:pageBreakBefore w:val="0"/>
        <w:kinsoku/>
        <w:overflowPunct/>
        <w:topLinePunct w:val="0"/>
        <w:autoSpaceDE/>
        <w:autoSpaceDN/>
        <w:bidi w:val="0"/>
        <w:spacing w:line="440" w:lineRule="exact"/>
        <w:ind w:firstLine="480"/>
        <w:textAlignment w:val="auto"/>
        <w:rPr>
          <w:i w:val="0"/>
          <w:iCs w:val="0"/>
          <w:color w:val="auto"/>
          <w:highlight w:val="none"/>
        </w:rPr>
      </w:pPr>
      <w:r>
        <w:rPr>
          <w:i w:val="0"/>
          <w:iCs w:val="0"/>
          <w:color w:val="auto"/>
          <w:highlight w:val="none"/>
        </w:rPr>
        <w:t>2.1</w:t>
      </w:r>
      <w:r>
        <w:rPr>
          <w:rFonts w:hint="eastAsia"/>
          <w:i w:val="0"/>
          <w:iCs w:val="0"/>
          <w:color w:val="auto"/>
          <w:highlight w:val="none"/>
        </w:rPr>
        <w:t>磋商文件中不能详细列明采购标的的技术、服务要求，需经磋商由供应商提供最终设计方案或解决方案的项目，磋商小组可以根据采购人对采购需求的确认情况，进行多轮磋商，直到采购人代表最终确认采购需求为止。</w:t>
      </w:r>
    </w:p>
    <w:p w14:paraId="7990D9D0">
      <w:pPr>
        <w:pStyle w:val="35"/>
        <w:pageBreakBefore w:val="0"/>
        <w:kinsoku/>
        <w:overflowPunct/>
        <w:topLinePunct w:val="0"/>
        <w:autoSpaceDE/>
        <w:autoSpaceDN/>
        <w:bidi w:val="0"/>
        <w:spacing w:line="440" w:lineRule="exact"/>
        <w:ind w:firstLine="480"/>
        <w:textAlignment w:val="auto"/>
        <w:rPr>
          <w:i w:val="0"/>
          <w:iCs w:val="0"/>
          <w:color w:val="auto"/>
          <w:sz w:val="28"/>
          <w:highlight w:val="none"/>
        </w:rPr>
      </w:pPr>
      <w:r>
        <w:rPr>
          <w:rFonts w:hint="eastAsia"/>
          <w:i w:val="0"/>
          <w:iCs w:val="0"/>
          <w:color w:val="auto"/>
          <w:highlight w:val="none"/>
        </w:rPr>
        <w:t>2</w:t>
      </w:r>
      <w:r>
        <w:rPr>
          <w:i w:val="0"/>
          <w:iCs w:val="0"/>
          <w:color w:val="auto"/>
          <w:highlight w:val="none"/>
        </w:rPr>
        <w:t>.3</w:t>
      </w:r>
      <w:r>
        <w:rPr>
          <w:rFonts w:hint="eastAsia"/>
          <w:i w:val="0"/>
          <w:iCs w:val="0"/>
          <w:color w:val="auto"/>
          <w:highlight w:val="none"/>
        </w:rPr>
        <w:t>磋商程序同第一轮磋商。</w:t>
      </w:r>
    </w:p>
    <w:p w14:paraId="47413248">
      <w:pPr>
        <w:pStyle w:val="5"/>
        <w:keepNext w:val="0"/>
        <w:keepLines w:val="0"/>
        <w:pageBreakBefore w:val="0"/>
        <w:widowControl w:val="0"/>
        <w:numPr>
          <w:ilvl w:val="0"/>
          <w:numId w:val="0"/>
        </w:numPr>
        <w:kinsoku/>
        <w:wordWrap/>
        <w:overflowPunct/>
        <w:topLinePunct w:val="0"/>
        <w:autoSpaceDE/>
        <w:autoSpaceDN/>
        <w:bidi w:val="0"/>
        <w:adjustRightInd/>
        <w:snapToGrid/>
        <w:spacing w:before="80" w:after="60" w:line="440" w:lineRule="exact"/>
        <w:ind w:left="420" w:leftChars="0" w:hanging="420" w:firstLineChars="0"/>
        <w:textAlignment w:val="auto"/>
        <w:rPr>
          <w:rFonts w:hint="eastAsia" w:ascii="宋体" w:hAnsi="宋体" w:eastAsia="宋体" w:cs="宋体"/>
          <w:b/>
          <w:bCs/>
          <w:i w:val="0"/>
          <w:iCs w:val="0"/>
          <w:color w:val="auto"/>
          <w:kern w:val="2"/>
          <w:sz w:val="24"/>
          <w:szCs w:val="24"/>
          <w:highlight w:val="none"/>
          <w:lang w:val="en-US" w:eastAsia="zh-CN" w:bidi="ar-SA"/>
        </w:rPr>
      </w:pPr>
      <w:r>
        <w:rPr>
          <w:rFonts w:hint="eastAsia" w:ascii="宋体" w:hAnsi="宋体" w:eastAsia="宋体" w:cs="宋体"/>
          <w:b/>
          <w:bCs/>
          <w:i w:val="0"/>
          <w:iCs w:val="0"/>
          <w:color w:val="auto"/>
          <w:kern w:val="2"/>
          <w:sz w:val="24"/>
          <w:szCs w:val="24"/>
          <w:highlight w:val="none"/>
          <w:lang w:val="en-US" w:eastAsia="zh-CN" w:bidi="ar-SA"/>
        </w:rPr>
        <w:t>3.最后报价</w:t>
      </w:r>
    </w:p>
    <w:p w14:paraId="2AED22E8">
      <w:pPr>
        <w:pStyle w:val="35"/>
        <w:pageBreakBefore w:val="0"/>
        <w:kinsoku/>
        <w:overflowPunct/>
        <w:topLinePunct w:val="0"/>
        <w:autoSpaceDE/>
        <w:autoSpaceDN/>
        <w:bidi w:val="0"/>
        <w:spacing w:line="440" w:lineRule="exact"/>
        <w:ind w:firstLine="480"/>
        <w:textAlignment w:val="auto"/>
        <w:rPr>
          <w:i w:val="0"/>
          <w:iCs w:val="0"/>
          <w:color w:val="auto"/>
          <w:highlight w:val="none"/>
        </w:rPr>
      </w:pPr>
      <w:r>
        <w:rPr>
          <w:rFonts w:hint="eastAsia"/>
          <w:i w:val="0"/>
          <w:iCs w:val="0"/>
          <w:color w:val="auto"/>
          <w:highlight w:val="none"/>
        </w:rPr>
        <w:t>3</w:t>
      </w:r>
      <w:r>
        <w:rPr>
          <w:i w:val="0"/>
          <w:iCs w:val="0"/>
          <w:color w:val="auto"/>
          <w:highlight w:val="none"/>
        </w:rPr>
        <w:t>.1</w:t>
      </w:r>
      <w:r>
        <w:rPr>
          <w:rFonts w:hint="eastAsia"/>
          <w:i w:val="0"/>
          <w:iCs w:val="0"/>
          <w:color w:val="auto"/>
          <w:highlight w:val="none"/>
        </w:rPr>
        <w:t>磋商文件中能够详细列明采购标的的技术、服务要求的，磋商结束后，磋商小组应当要求所有</w:t>
      </w:r>
      <w:r>
        <w:rPr>
          <w:rFonts w:hint="eastAsia"/>
          <w:i w:val="0"/>
          <w:iCs w:val="0"/>
          <w:color w:val="auto"/>
          <w:highlight w:val="none"/>
          <w:lang w:val="en-US" w:eastAsia="zh-CN"/>
        </w:rPr>
        <w:t>实质性响应</w:t>
      </w:r>
      <w:r>
        <w:rPr>
          <w:rFonts w:hint="eastAsia"/>
          <w:i w:val="0"/>
          <w:iCs w:val="0"/>
          <w:color w:val="auto"/>
          <w:highlight w:val="none"/>
        </w:rPr>
        <w:t>的供应商，在规定时间内，以书面的方式经授权代表签字（或加盖公章）后提交最后报价，提交最后报价的供应商不得少于3家</w:t>
      </w:r>
      <w:r>
        <w:rPr>
          <w:rFonts w:hint="eastAsia"/>
          <w:i w:val="0"/>
          <w:iCs w:val="0"/>
          <w:color w:val="auto"/>
          <w:szCs w:val="24"/>
          <w:highlight w:val="none"/>
          <w:lang w:val="zh-CN"/>
        </w:rPr>
        <w:t>（</w:t>
      </w:r>
      <w:r>
        <w:rPr>
          <w:rFonts w:hint="eastAsia"/>
          <w:i w:val="0"/>
          <w:iCs w:val="0"/>
          <w:color w:val="auto"/>
          <w:highlight w:val="none"/>
        </w:rPr>
        <w:t>市场竞争不充分的科研项目，以及需要扶持的科技成果转化项目可以为</w:t>
      </w:r>
      <w:r>
        <w:rPr>
          <w:i w:val="0"/>
          <w:iCs w:val="0"/>
          <w:color w:val="auto"/>
          <w:highlight w:val="none"/>
        </w:rPr>
        <w:t>2家</w:t>
      </w:r>
      <w:r>
        <w:rPr>
          <w:rFonts w:hint="eastAsia"/>
          <w:i w:val="0"/>
          <w:iCs w:val="0"/>
          <w:color w:val="auto"/>
          <w:highlight w:val="none"/>
        </w:rPr>
        <w:t>，</w:t>
      </w:r>
      <w:r>
        <w:rPr>
          <w:rFonts w:hint="eastAsia"/>
          <w:i w:val="0"/>
          <w:iCs w:val="0"/>
          <w:snapToGrid w:val="0"/>
          <w:color w:val="auto"/>
          <w:highlight w:val="none"/>
        </w:rPr>
        <w:t>政府购买服务项目[含政府和社会资本合作项目]，在采购过程中符合要求的供应商[社会资本]只有2家的</w:t>
      </w:r>
      <w:r>
        <w:rPr>
          <w:rFonts w:hint="eastAsia"/>
          <w:i w:val="0"/>
          <w:iCs w:val="0"/>
          <w:color w:val="auto"/>
          <w:highlight w:val="none"/>
        </w:rPr>
        <w:t>可以为</w:t>
      </w:r>
      <w:r>
        <w:rPr>
          <w:i w:val="0"/>
          <w:iCs w:val="0"/>
          <w:color w:val="auto"/>
          <w:highlight w:val="none"/>
        </w:rPr>
        <w:t>2家</w:t>
      </w:r>
      <w:r>
        <w:rPr>
          <w:i w:val="0"/>
          <w:iCs w:val="0"/>
          <w:color w:val="auto"/>
          <w:szCs w:val="24"/>
          <w:highlight w:val="none"/>
          <w:lang w:val="zh-CN"/>
        </w:rPr>
        <w:t>）</w:t>
      </w:r>
      <w:r>
        <w:rPr>
          <w:rFonts w:hint="eastAsia"/>
          <w:i w:val="0"/>
          <w:iCs w:val="0"/>
          <w:color w:val="auto"/>
          <w:highlight w:val="none"/>
        </w:rPr>
        <w:t>。</w:t>
      </w:r>
    </w:p>
    <w:p w14:paraId="5C393493">
      <w:pPr>
        <w:pStyle w:val="35"/>
        <w:pageBreakBefore w:val="0"/>
        <w:kinsoku/>
        <w:overflowPunct/>
        <w:topLinePunct w:val="0"/>
        <w:autoSpaceDE/>
        <w:autoSpaceDN/>
        <w:bidi w:val="0"/>
        <w:spacing w:line="440" w:lineRule="exact"/>
        <w:ind w:firstLine="480"/>
        <w:textAlignment w:val="auto"/>
        <w:rPr>
          <w:rFonts w:hint="eastAsia"/>
          <w:i w:val="0"/>
          <w:iCs w:val="0"/>
          <w:color w:val="auto"/>
          <w:highlight w:val="none"/>
        </w:rPr>
      </w:pPr>
      <w:r>
        <w:rPr>
          <w:i w:val="0"/>
          <w:iCs w:val="0"/>
          <w:color w:val="auto"/>
          <w:highlight w:val="none"/>
        </w:rPr>
        <w:t>3.2</w:t>
      </w:r>
      <w:r>
        <w:rPr>
          <w:rFonts w:hint="eastAsia"/>
          <w:i w:val="0"/>
          <w:iCs w:val="0"/>
          <w:color w:val="auto"/>
          <w:highlight w:val="none"/>
        </w:rPr>
        <w:t>磋商文件中不能详细列明采购标的的技术、服务要求，需经磋商由供应商提供最</w:t>
      </w:r>
      <w:r>
        <w:rPr>
          <w:rFonts w:hint="eastAsia"/>
          <w:i w:val="0"/>
          <w:iCs w:val="0"/>
          <w:color w:val="auto"/>
          <w:highlight w:val="none"/>
          <w:lang w:val="en-US" w:eastAsia="zh-CN"/>
        </w:rPr>
        <w:t>终</w:t>
      </w:r>
      <w:r>
        <w:rPr>
          <w:rFonts w:hint="eastAsia"/>
          <w:i w:val="0"/>
          <w:iCs w:val="0"/>
          <w:color w:val="auto"/>
          <w:highlight w:val="none"/>
        </w:rPr>
        <w:t>设计方案或解决方案的，磋商结束后，磋商小组应当按照少数服从多数的原则投票推荐3家以上供应商的设计方案或者解决方案，并要求其在规定时间内提交最后报价。</w:t>
      </w:r>
    </w:p>
    <w:p w14:paraId="50FAF062">
      <w:pPr>
        <w:pStyle w:val="35"/>
        <w:pageBreakBefore w:val="0"/>
        <w:kinsoku/>
        <w:overflowPunct/>
        <w:topLinePunct w:val="0"/>
        <w:autoSpaceDE/>
        <w:autoSpaceDN/>
        <w:bidi w:val="0"/>
        <w:spacing w:line="440" w:lineRule="exact"/>
        <w:ind w:firstLine="480"/>
        <w:textAlignment w:val="auto"/>
        <w:rPr>
          <w:rFonts w:ascii="宋体" w:hAnsi="宋体" w:eastAsia="宋体"/>
          <w:i w:val="0"/>
          <w:iCs w:val="0"/>
          <w:color w:val="auto"/>
          <w:highlight w:val="none"/>
        </w:rPr>
      </w:pPr>
      <w:r>
        <w:rPr>
          <w:i w:val="0"/>
          <w:iCs w:val="0"/>
          <w:color w:val="auto"/>
          <w:highlight w:val="none"/>
        </w:rPr>
        <w:t>3.</w:t>
      </w:r>
      <w:r>
        <w:rPr>
          <w:rFonts w:hint="eastAsia"/>
          <w:i w:val="0"/>
          <w:iCs w:val="0"/>
          <w:color w:val="auto"/>
          <w:highlight w:val="none"/>
          <w:lang w:val="en-US" w:eastAsia="zh-CN"/>
        </w:rPr>
        <w:t>3</w:t>
      </w:r>
      <w:r>
        <w:rPr>
          <w:rFonts w:hint="eastAsia"/>
          <w:i w:val="0"/>
          <w:iCs w:val="0"/>
          <w:color w:val="auto"/>
          <w:highlight w:val="none"/>
        </w:rPr>
        <w:t>最后报价是供应商响应文件的有效组成部分。逾时不提交的，视同退出</w:t>
      </w:r>
      <w:r>
        <w:rPr>
          <w:rFonts w:hint="eastAsia" w:ascii="宋体" w:hAnsi="宋体" w:eastAsia="宋体"/>
          <w:i w:val="0"/>
          <w:iCs w:val="0"/>
          <w:color w:val="auto"/>
          <w:highlight w:val="none"/>
        </w:rPr>
        <w:t>磋商。</w:t>
      </w:r>
    </w:p>
    <w:p w14:paraId="14751A39">
      <w:pPr>
        <w:pStyle w:val="35"/>
        <w:pageBreakBefore w:val="0"/>
        <w:kinsoku/>
        <w:overflowPunct/>
        <w:topLinePunct w:val="0"/>
        <w:autoSpaceDE/>
        <w:autoSpaceDN/>
        <w:bidi w:val="0"/>
        <w:spacing w:line="440" w:lineRule="exact"/>
        <w:ind w:firstLine="480"/>
        <w:textAlignment w:val="auto"/>
        <w:rPr>
          <w:rFonts w:ascii="宋体" w:hAnsi="宋体" w:eastAsia="宋体"/>
          <w:i w:val="0"/>
          <w:iCs w:val="0"/>
          <w:color w:val="auto"/>
          <w:highlight w:val="none"/>
          <w:lang w:val="zh-CN"/>
        </w:rPr>
      </w:pPr>
      <w:r>
        <w:rPr>
          <w:rFonts w:hint="eastAsia" w:ascii="宋体" w:hAnsi="宋体" w:eastAsia="宋体"/>
          <w:i w:val="0"/>
          <w:iCs w:val="0"/>
          <w:color w:val="auto"/>
          <w:highlight w:val="none"/>
          <w:lang w:val="zh-CN"/>
        </w:rPr>
        <w:t>最后</w:t>
      </w:r>
      <w:r>
        <w:rPr>
          <w:rFonts w:ascii="宋体" w:hAnsi="宋体" w:eastAsia="宋体"/>
          <w:i w:val="0"/>
          <w:iCs w:val="0"/>
          <w:color w:val="auto"/>
          <w:highlight w:val="none"/>
          <w:lang w:val="zh-CN"/>
        </w:rPr>
        <w:t>报价出现</w:t>
      </w:r>
      <w:r>
        <w:rPr>
          <w:rFonts w:hint="eastAsia" w:ascii="宋体" w:hAnsi="宋体" w:eastAsia="宋体"/>
          <w:i w:val="0"/>
          <w:iCs w:val="0"/>
          <w:color w:val="auto"/>
          <w:highlight w:val="none"/>
          <w:lang w:val="zh-CN"/>
        </w:rPr>
        <w:t>前后不一致的</w:t>
      </w:r>
      <w:r>
        <w:rPr>
          <w:rFonts w:ascii="宋体" w:hAnsi="宋体" w:eastAsia="宋体"/>
          <w:i w:val="0"/>
          <w:iCs w:val="0"/>
          <w:color w:val="auto"/>
          <w:highlight w:val="none"/>
          <w:lang w:val="zh-CN"/>
        </w:rPr>
        <w:t>，按照下列规定修正：</w:t>
      </w:r>
    </w:p>
    <w:p w14:paraId="7FF06AF5">
      <w:pPr>
        <w:pStyle w:val="35"/>
        <w:pageBreakBefore w:val="0"/>
        <w:kinsoku/>
        <w:overflowPunct/>
        <w:topLinePunct w:val="0"/>
        <w:autoSpaceDE/>
        <w:autoSpaceDN/>
        <w:bidi w:val="0"/>
        <w:spacing w:line="440" w:lineRule="exact"/>
        <w:ind w:firstLine="480"/>
        <w:textAlignment w:val="auto"/>
        <w:rPr>
          <w:rFonts w:ascii="宋体" w:hAnsi="宋体" w:eastAsia="宋体"/>
          <w:i w:val="0"/>
          <w:iCs w:val="0"/>
          <w:color w:val="auto"/>
          <w:highlight w:val="none"/>
          <w:lang w:val="zh-CN"/>
        </w:rPr>
      </w:pPr>
      <w:r>
        <w:rPr>
          <w:rFonts w:hint="eastAsia" w:ascii="宋体" w:hAnsi="宋体" w:eastAsia="宋体"/>
          <w:i w:val="0"/>
          <w:iCs w:val="0"/>
          <w:color w:val="auto"/>
          <w:highlight w:val="none"/>
          <w:lang w:val="zh-CN"/>
        </w:rPr>
        <w:t>（1）</w:t>
      </w:r>
      <w:r>
        <w:rPr>
          <w:rFonts w:ascii="宋体" w:hAnsi="宋体" w:eastAsia="宋体"/>
          <w:i w:val="0"/>
          <w:iCs w:val="0"/>
          <w:color w:val="auto"/>
          <w:highlight w:val="none"/>
          <w:lang w:val="zh-CN"/>
        </w:rPr>
        <w:t>大写金额和小写金额不一致的，以大写金额为准</w:t>
      </w:r>
      <w:r>
        <w:rPr>
          <w:rFonts w:hint="eastAsia" w:ascii="宋体" w:hAnsi="宋体" w:eastAsia="宋体"/>
          <w:i w:val="0"/>
          <w:iCs w:val="0"/>
          <w:color w:val="auto"/>
          <w:highlight w:val="none"/>
          <w:lang w:val="zh-CN"/>
        </w:rPr>
        <w:t>；</w:t>
      </w:r>
    </w:p>
    <w:p w14:paraId="7677FB88">
      <w:pPr>
        <w:pStyle w:val="35"/>
        <w:pageBreakBefore w:val="0"/>
        <w:kinsoku/>
        <w:overflowPunct/>
        <w:topLinePunct w:val="0"/>
        <w:autoSpaceDE/>
        <w:autoSpaceDN/>
        <w:bidi w:val="0"/>
        <w:spacing w:line="440" w:lineRule="exact"/>
        <w:ind w:firstLine="480"/>
        <w:textAlignment w:val="auto"/>
        <w:rPr>
          <w:rFonts w:ascii="宋体" w:hAnsi="宋体" w:eastAsia="宋体"/>
          <w:i w:val="0"/>
          <w:iCs w:val="0"/>
          <w:color w:val="auto"/>
          <w:highlight w:val="none"/>
          <w:lang w:val="zh-CN"/>
        </w:rPr>
      </w:pPr>
      <w:r>
        <w:rPr>
          <w:rFonts w:hint="eastAsia" w:ascii="宋体" w:hAnsi="宋体" w:eastAsia="宋体"/>
          <w:i w:val="0"/>
          <w:iCs w:val="0"/>
          <w:color w:val="auto"/>
          <w:highlight w:val="none"/>
          <w:lang w:val="zh-CN"/>
        </w:rPr>
        <w:t>（2）</w:t>
      </w:r>
      <w:r>
        <w:rPr>
          <w:rFonts w:ascii="宋体" w:hAnsi="宋体" w:eastAsia="宋体"/>
          <w:i w:val="0"/>
          <w:iCs w:val="0"/>
          <w:color w:val="auto"/>
          <w:highlight w:val="none"/>
          <w:lang w:val="zh-CN"/>
        </w:rPr>
        <w:t>单价金额</w:t>
      </w:r>
      <w:r>
        <w:rPr>
          <w:rFonts w:ascii="宋体" w:hAnsi="宋体" w:eastAsia="宋体"/>
          <w:i w:val="0"/>
          <w:iCs w:val="0"/>
          <w:color w:val="auto"/>
          <w:highlight w:val="none"/>
        </w:rPr>
        <w:t>小数点</w:t>
      </w:r>
      <w:r>
        <w:rPr>
          <w:rFonts w:ascii="宋体" w:hAnsi="宋体" w:eastAsia="宋体"/>
          <w:i w:val="0"/>
          <w:iCs w:val="0"/>
          <w:color w:val="auto"/>
          <w:highlight w:val="none"/>
          <w:lang w:val="zh-CN"/>
        </w:rPr>
        <w:t>或百分比有明显错位的，以</w:t>
      </w:r>
      <w:r>
        <w:rPr>
          <w:rFonts w:hint="eastAsia" w:ascii="宋体" w:hAnsi="宋体" w:eastAsia="宋体"/>
          <w:i w:val="0"/>
          <w:iCs w:val="0"/>
          <w:color w:val="auto"/>
          <w:highlight w:val="none"/>
          <w:lang w:val="zh-CN"/>
        </w:rPr>
        <w:t>最后报价表</w:t>
      </w:r>
      <w:r>
        <w:rPr>
          <w:rFonts w:ascii="宋体" w:hAnsi="宋体" w:eastAsia="宋体"/>
          <w:i w:val="0"/>
          <w:iCs w:val="0"/>
          <w:color w:val="auto"/>
          <w:highlight w:val="none"/>
          <w:lang w:val="zh-CN"/>
        </w:rPr>
        <w:t>的总价为准，并修改单价</w:t>
      </w:r>
      <w:r>
        <w:rPr>
          <w:rFonts w:hint="eastAsia" w:ascii="宋体" w:hAnsi="宋体" w:eastAsia="宋体"/>
          <w:i w:val="0"/>
          <w:iCs w:val="0"/>
          <w:color w:val="auto"/>
          <w:highlight w:val="none"/>
          <w:lang w:val="zh-CN"/>
        </w:rPr>
        <w:t>；</w:t>
      </w:r>
    </w:p>
    <w:p w14:paraId="3F18F6F4">
      <w:pPr>
        <w:pStyle w:val="35"/>
        <w:pageBreakBefore w:val="0"/>
        <w:kinsoku/>
        <w:overflowPunct/>
        <w:topLinePunct w:val="0"/>
        <w:autoSpaceDE/>
        <w:autoSpaceDN/>
        <w:bidi w:val="0"/>
        <w:spacing w:line="440" w:lineRule="exact"/>
        <w:ind w:firstLine="480"/>
        <w:textAlignment w:val="auto"/>
        <w:rPr>
          <w:rFonts w:ascii="宋体" w:hAnsi="宋体" w:eastAsia="宋体"/>
          <w:i w:val="0"/>
          <w:iCs w:val="0"/>
          <w:color w:val="auto"/>
          <w:highlight w:val="none"/>
          <w:lang w:val="zh-CN"/>
        </w:rPr>
      </w:pPr>
      <w:r>
        <w:rPr>
          <w:rFonts w:hint="eastAsia" w:ascii="宋体" w:hAnsi="宋体" w:eastAsia="宋体"/>
          <w:i w:val="0"/>
          <w:iCs w:val="0"/>
          <w:color w:val="auto"/>
          <w:highlight w:val="none"/>
          <w:lang w:val="zh-CN"/>
        </w:rPr>
        <w:t>（3）</w:t>
      </w:r>
      <w:r>
        <w:rPr>
          <w:rFonts w:ascii="宋体" w:hAnsi="宋体" w:eastAsia="宋体"/>
          <w:i w:val="0"/>
          <w:iCs w:val="0"/>
          <w:color w:val="auto"/>
          <w:highlight w:val="none"/>
          <w:lang w:val="zh-CN"/>
        </w:rPr>
        <w:t>总价金额与按单价汇总金额不一致的，以单价金额计算结果为准</w:t>
      </w:r>
      <w:r>
        <w:rPr>
          <w:rFonts w:hint="eastAsia" w:ascii="宋体" w:hAnsi="宋体" w:eastAsia="宋体"/>
          <w:i w:val="0"/>
          <w:iCs w:val="0"/>
          <w:color w:val="auto"/>
          <w:highlight w:val="none"/>
          <w:lang w:val="zh-CN"/>
        </w:rPr>
        <w:t>；</w:t>
      </w:r>
    </w:p>
    <w:p w14:paraId="1000B355">
      <w:pPr>
        <w:pStyle w:val="35"/>
        <w:pageBreakBefore w:val="0"/>
        <w:kinsoku/>
        <w:overflowPunct/>
        <w:topLinePunct w:val="0"/>
        <w:autoSpaceDE/>
        <w:autoSpaceDN/>
        <w:bidi w:val="0"/>
        <w:spacing w:line="440" w:lineRule="exact"/>
        <w:ind w:firstLine="480"/>
        <w:textAlignment w:val="auto"/>
        <w:rPr>
          <w:rFonts w:ascii="宋体" w:hAnsi="宋体" w:eastAsia="宋体"/>
          <w:i w:val="0"/>
          <w:iCs w:val="0"/>
          <w:color w:val="auto"/>
          <w:highlight w:val="none"/>
          <w:lang w:val="zh-CN"/>
        </w:rPr>
      </w:pPr>
      <w:r>
        <w:rPr>
          <w:rFonts w:hint="eastAsia" w:ascii="宋体" w:hAnsi="宋体" w:eastAsia="宋体"/>
          <w:i w:val="0"/>
          <w:iCs w:val="0"/>
          <w:color w:val="auto"/>
          <w:highlight w:val="none"/>
          <w:lang w:val="zh-CN"/>
        </w:rPr>
        <w:t>（4）</w:t>
      </w:r>
      <w:r>
        <w:rPr>
          <w:rFonts w:ascii="宋体" w:hAnsi="宋体" w:eastAsia="宋体"/>
          <w:i w:val="0"/>
          <w:iCs w:val="0"/>
          <w:color w:val="auto"/>
          <w:highlight w:val="none"/>
          <w:lang w:val="zh-CN"/>
        </w:rPr>
        <w:t>同时出现</w:t>
      </w:r>
      <w:r>
        <w:rPr>
          <w:rFonts w:ascii="宋体" w:hAnsi="宋体" w:eastAsia="宋体"/>
          <w:i w:val="0"/>
          <w:iCs w:val="0"/>
          <w:color w:val="auto"/>
          <w:highlight w:val="none"/>
        </w:rPr>
        <w:t>两种</w:t>
      </w:r>
      <w:r>
        <w:rPr>
          <w:rFonts w:ascii="宋体" w:hAnsi="宋体" w:eastAsia="宋体"/>
          <w:i w:val="0"/>
          <w:iCs w:val="0"/>
          <w:color w:val="auto"/>
          <w:highlight w:val="none"/>
          <w:lang w:val="zh-CN"/>
        </w:rPr>
        <w:t>以上不一致的，按照前款规定的顺序修正</w:t>
      </w:r>
      <w:r>
        <w:rPr>
          <w:rFonts w:hint="eastAsia" w:ascii="宋体" w:hAnsi="宋体" w:eastAsia="宋体"/>
          <w:i w:val="0"/>
          <w:iCs w:val="0"/>
          <w:color w:val="auto"/>
          <w:highlight w:val="none"/>
          <w:lang w:val="zh-CN"/>
        </w:rPr>
        <w:t>；</w:t>
      </w:r>
    </w:p>
    <w:p w14:paraId="119BB152">
      <w:pPr>
        <w:pStyle w:val="35"/>
        <w:pageBreakBefore w:val="0"/>
        <w:kinsoku/>
        <w:overflowPunct/>
        <w:topLinePunct w:val="0"/>
        <w:autoSpaceDE/>
        <w:autoSpaceDN/>
        <w:bidi w:val="0"/>
        <w:spacing w:line="440" w:lineRule="exact"/>
        <w:ind w:firstLine="480"/>
        <w:textAlignment w:val="auto"/>
        <w:rPr>
          <w:rFonts w:ascii="宋体" w:hAnsi="宋体" w:eastAsia="宋体"/>
          <w:i w:val="0"/>
          <w:iCs w:val="0"/>
          <w:color w:val="auto"/>
          <w:highlight w:val="none"/>
        </w:rPr>
      </w:pPr>
      <w:r>
        <w:rPr>
          <w:rFonts w:hint="eastAsia" w:ascii="宋体" w:hAnsi="宋体" w:eastAsia="宋体"/>
          <w:i w:val="0"/>
          <w:iCs w:val="0"/>
          <w:color w:val="auto"/>
          <w:highlight w:val="none"/>
          <w:lang w:val="zh-CN"/>
        </w:rPr>
        <w:t>（5）</w:t>
      </w:r>
      <w:r>
        <w:rPr>
          <w:rFonts w:ascii="宋体" w:hAnsi="宋体" w:eastAsia="宋体"/>
          <w:i w:val="0"/>
          <w:iCs w:val="0"/>
          <w:color w:val="auto"/>
          <w:highlight w:val="none"/>
          <w:lang w:val="zh-CN"/>
        </w:rPr>
        <w:t>修正后的报价</w:t>
      </w:r>
      <w:r>
        <w:rPr>
          <w:rFonts w:hint="eastAsia" w:ascii="宋体" w:hAnsi="宋体" w:eastAsia="宋体"/>
          <w:i w:val="0"/>
          <w:iCs w:val="0"/>
          <w:color w:val="auto"/>
          <w:highlight w:val="none"/>
          <w:lang w:val="zh-CN"/>
        </w:rPr>
        <w:t>应通过书面方式</w:t>
      </w:r>
      <w:r>
        <w:rPr>
          <w:rFonts w:ascii="宋体" w:hAnsi="宋体" w:eastAsia="宋体"/>
          <w:i w:val="0"/>
          <w:iCs w:val="0"/>
          <w:color w:val="auto"/>
          <w:highlight w:val="none"/>
          <w:lang w:val="zh-CN"/>
        </w:rPr>
        <w:t>通知</w:t>
      </w:r>
      <w:r>
        <w:rPr>
          <w:rFonts w:hint="eastAsia" w:ascii="宋体" w:hAnsi="宋体" w:eastAsia="宋体"/>
          <w:i w:val="0"/>
          <w:iCs w:val="0"/>
          <w:color w:val="auto"/>
          <w:highlight w:val="none"/>
          <w:lang w:val="zh-CN"/>
        </w:rPr>
        <w:t>供应商，由</w:t>
      </w:r>
      <w:r>
        <w:rPr>
          <w:rFonts w:ascii="宋体" w:hAnsi="宋体" w:eastAsia="宋体"/>
          <w:i w:val="0"/>
          <w:iCs w:val="0"/>
          <w:color w:val="auto"/>
          <w:highlight w:val="none"/>
          <w:lang w:val="zh-CN"/>
        </w:rPr>
        <w:t>供应商</w:t>
      </w:r>
      <w:r>
        <w:rPr>
          <w:rFonts w:hint="eastAsia" w:ascii="宋体" w:hAnsi="宋体" w:eastAsia="宋体"/>
          <w:i w:val="0"/>
          <w:iCs w:val="0"/>
          <w:color w:val="auto"/>
          <w:highlight w:val="none"/>
          <w:lang w:val="zh-CN"/>
        </w:rPr>
        <w:t>授权代表签字（或加盖公章）</w:t>
      </w:r>
      <w:r>
        <w:rPr>
          <w:rFonts w:ascii="宋体" w:hAnsi="宋体" w:eastAsia="宋体"/>
          <w:i w:val="0"/>
          <w:iCs w:val="0"/>
          <w:color w:val="auto"/>
          <w:highlight w:val="none"/>
          <w:lang w:val="zh-CN"/>
        </w:rPr>
        <w:t>确认后产生约束力，供应商不确认的，</w:t>
      </w:r>
      <w:r>
        <w:rPr>
          <w:rFonts w:hint="eastAsia" w:ascii="宋体" w:hAnsi="宋体" w:eastAsia="宋体"/>
          <w:i w:val="0"/>
          <w:iCs w:val="0"/>
          <w:color w:val="auto"/>
          <w:highlight w:val="none"/>
          <w:lang w:val="zh-CN"/>
        </w:rPr>
        <w:t>按照</w:t>
      </w:r>
      <w:r>
        <w:rPr>
          <w:rFonts w:ascii="宋体" w:hAnsi="宋体" w:eastAsia="宋体"/>
          <w:i w:val="0"/>
          <w:iCs w:val="0"/>
          <w:color w:val="auto"/>
          <w:highlight w:val="none"/>
          <w:lang w:val="zh-CN"/>
        </w:rPr>
        <w:t>无效</w:t>
      </w:r>
      <w:r>
        <w:rPr>
          <w:rFonts w:hint="eastAsia" w:ascii="宋体" w:hAnsi="宋体" w:eastAsia="宋体"/>
          <w:i w:val="0"/>
          <w:iCs w:val="0"/>
          <w:color w:val="auto"/>
          <w:highlight w:val="none"/>
          <w:lang w:val="zh-CN"/>
        </w:rPr>
        <w:t>响应处理</w:t>
      </w:r>
      <w:r>
        <w:rPr>
          <w:rFonts w:ascii="宋体" w:hAnsi="宋体" w:eastAsia="宋体"/>
          <w:i w:val="0"/>
          <w:iCs w:val="0"/>
          <w:color w:val="auto"/>
          <w:highlight w:val="none"/>
          <w:lang w:val="zh-CN"/>
        </w:rPr>
        <w:t>。</w:t>
      </w:r>
    </w:p>
    <w:p w14:paraId="492B1BCC">
      <w:pPr>
        <w:pageBreakBefore w:val="0"/>
        <w:tabs>
          <w:tab w:val="left" w:pos="993"/>
        </w:tabs>
        <w:kinsoku/>
        <w:wordWrap w:val="0"/>
        <w:overflowPunct/>
        <w:topLinePunct w:val="0"/>
        <w:autoSpaceDE/>
        <w:autoSpaceDN/>
        <w:bidi w:val="0"/>
        <w:adjustRightInd w:val="0"/>
        <w:snapToGrid w:val="0"/>
        <w:spacing w:line="440" w:lineRule="exact"/>
        <w:ind w:firstLine="480" w:firstLineChars="200"/>
        <w:textAlignment w:val="auto"/>
        <w:rPr>
          <w:i w:val="0"/>
          <w:iCs w:val="0"/>
          <w:color w:val="auto"/>
          <w:highlight w:val="none"/>
        </w:rPr>
      </w:pPr>
      <w:r>
        <w:rPr>
          <w:rFonts w:hint="eastAsia" w:ascii="宋体" w:hAnsi="宋体" w:eastAsia="宋体"/>
          <w:i w:val="0"/>
          <w:iCs w:val="0"/>
          <w:color w:val="auto"/>
          <w:highlight w:val="none"/>
          <w:lang w:val="en-US" w:eastAsia="zh-CN"/>
        </w:rPr>
        <w:t>3.4已提交响应文件的供应商，在提交最后报价之前，可以根据磋商情况退出磋商，退出磋商供应商的磋商保证金</w:t>
      </w:r>
      <w:r>
        <w:rPr>
          <w:rFonts w:hint="eastAsia"/>
          <w:i w:val="0"/>
          <w:iCs w:val="0"/>
          <w:color w:val="auto"/>
          <w:highlight w:val="none"/>
          <w:lang w:val="en-US" w:eastAsia="zh-CN"/>
        </w:rPr>
        <w:t>可予以</w:t>
      </w:r>
      <w:r>
        <w:rPr>
          <w:rFonts w:hint="eastAsia" w:ascii="宋体" w:hAnsi="宋体" w:eastAsia="宋体"/>
          <w:i w:val="0"/>
          <w:iCs w:val="0"/>
          <w:color w:val="auto"/>
          <w:highlight w:val="none"/>
          <w:lang w:val="en-US" w:eastAsia="zh-CN"/>
        </w:rPr>
        <w:t>退还</w:t>
      </w:r>
      <w:r>
        <w:rPr>
          <w:i w:val="0"/>
          <w:iCs w:val="0"/>
          <w:color w:val="auto"/>
          <w:szCs w:val="24"/>
          <w:highlight w:val="none"/>
          <w:lang w:val="zh-CN"/>
        </w:rPr>
        <w:t>。</w:t>
      </w:r>
    </w:p>
    <w:p w14:paraId="37D01FAF">
      <w:pPr>
        <w:pStyle w:val="5"/>
        <w:keepNext w:val="0"/>
        <w:keepLines w:val="0"/>
        <w:pageBreakBefore w:val="0"/>
        <w:widowControl w:val="0"/>
        <w:numPr>
          <w:ilvl w:val="0"/>
          <w:numId w:val="0"/>
        </w:numPr>
        <w:kinsoku/>
        <w:wordWrap/>
        <w:overflowPunct/>
        <w:topLinePunct w:val="0"/>
        <w:autoSpaceDE/>
        <w:autoSpaceDN/>
        <w:bidi w:val="0"/>
        <w:adjustRightInd/>
        <w:snapToGrid/>
        <w:spacing w:before="80" w:after="60" w:line="440" w:lineRule="exact"/>
        <w:ind w:left="420" w:leftChars="0" w:hanging="420" w:firstLineChars="0"/>
        <w:textAlignment w:val="auto"/>
        <w:rPr>
          <w:rFonts w:hint="eastAsia" w:ascii="宋体" w:hAnsi="宋体" w:eastAsia="宋体" w:cs="宋体"/>
          <w:b/>
          <w:bCs/>
          <w:i w:val="0"/>
          <w:iCs w:val="0"/>
          <w:color w:val="auto"/>
          <w:kern w:val="2"/>
          <w:sz w:val="24"/>
          <w:szCs w:val="24"/>
          <w:highlight w:val="none"/>
          <w:lang w:val="en-US" w:eastAsia="zh-CN" w:bidi="ar-SA"/>
        </w:rPr>
      </w:pPr>
      <w:bookmarkStart w:id="383" w:name="_Toc102057745"/>
      <w:bookmarkStart w:id="384" w:name="_Toc102114947"/>
      <w:bookmarkStart w:id="385" w:name="_Toc102116049"/>
      <w:bookmarkStart w:id="386" w:name="_Toc102056245"/>
      <w:bookmarkStart w:id="387" w:name="_Toc102116179"/>
      <w:bookmarkStart w:id="388" w:name="_Toc102119880"/>
      <w:r>
        <w:rPr>
          <w:rFonts w:hint="eastAsia" w:ascii="宋体" w:hAnsi="宋体" w:eastAsia="宋体" w:cs="宋体"/>
          <w:b/>
          <w:bCs/>
          <w:i w:val="0"/>
          <w:iCs w:val="0"/>
          <w:color w:val="auto"/>
          <w:kern w:val="2"/>
          <w:sz w:val="24"/>
          <w:szCs w:val="24"/>
          <w:highlight w:val="none"/>
          <w:lang w:val="en-US" w:eastAsia="zh-CN" w:bidi="ar-SA"/>
        </w:rPr>
        <w:t>4.商务技术评审</w:t>
      </w:r>
    </w:p>
    <w:p w14:paraId="04DD6A02">
      <w:pPr>
        <w:pStyle w:val="35"/>
        <w:pageBreakBefore w:val="0"/>
        <w:kinsoku/>
        <w:overflowPunct/>
        <w:topLinePunct w:val="0"/>
        <w:autoSpaceDE/>
        <w:autoSpaceDN/>
        <w:bidi w:val="0"/>
        <w:spacing w:line="440" w:lineRule="exact"/>
        <w:ind w:firstLine="480"/>
        <w:textAlignment w:val="auto"/>
        <w:rPr>
          <w:rFonts w:hint="eastAsia"/>
          <w:i w:val="0"/>
          <w:iCs w:val="0"/>
          <w:color w:val="auto"/>
          <w:highlight w:val="none"/>
          <w:lang w:val="zh-CN"/>
        </w:rPr>
      </w:pPr>
      <w:r>
        <w:rPr>
          <w:rFonts w:hint="eastAsia"/>
          <w:i w:val="0"/>
          <w:iCs w:val="0"/>
          <w:color w:val="auto"/>
          <w:highlight w:val="none"/>
          <w:lang w:val="zh-CN"/>
        </w:rPr>
        <w:t>4</w:t>
      </w:r>
      <w:r>
        <w:rPr>
          <w:i w:val="0"/>
          <w:iCs w:val="0"/>
          <w:color w:val="auto"/>
          <w:highlight w:val="none"/>
          <w:lang w:val="zh-CN"/>
        </w:rPr>
        <w:t>.1</w:t>
      </w:r>
      <w:r>
        <w:rPr>
          <w:rFonts w:hint="eastAsia"/>
          <w:i w:val="0"/>
          <w:iCs w:val="0"/>
          <w:color w:val="auto"/>
          <w:highlight w:val="none"/>
          <w:lang w:val="zh-CN"/>
        </w:rPr>
        <w:t>经磋商确定最终采购需求和提交最后报价的供应商后，由磋商小组采用综合评分法对提交最后报价的供应商的响应文件和最后报价进行综合评分。</w:t>
      </w:r>
    </w:p>
    <w:bookmarkEnd w:id="374"/>
    <w:bookmarkEnd w:id="375"/>
    <w:bookmarkEnd w:id="376"/>
    <w:bookmarkEnd w:id="377"/>
    <w:bookmarkEnd w:id="378"/>
    <w:bookmarkEnd w:id="379"/>
    <w:bookmarkEnd w:id="383"/>
    <w:bookmarkEnd w:id="384"/>
    <w:bookmarkEnd w:id="385"/>
    <w:bookmarkEnd w:id="386"/>
    <w:bookmarkEnd w:id="387"/>
    <w:bookmarkEnd w:id="388"/>
    <w:p w14:paraId="11B2A599">
      <w:pPr>
        <w:pStyle w:val="5"/>
        <w:keepNext w:val="0"/>
        <w:keepLines w:val="0"/>
        <w:pageBreakBefore w:val="0"/>
        <w:widowControl w:val="0"/>
        <w:numPr>
          <w:ilvl w:val="0"/>
          <w:numId w:val="0"/>
        </w:numPr>
        <w:kinsoku/>
        <w:wordWrap/>
        <w:overflowPunct/>
        <w:topLinePunct w:val="0"/>
        <w:autoSpaceDE/>
        <w:autoSpaceDN/>
        <w:bidi w:val="0"/>
        <w:adjustRightInd/>
        <w:snapToGrid/>
        <w:spacing w:before="80" w:after="60" w:line="440" w:lineRule="exact"/>
        <w:ind w:left="420" w:leftChars="0" w:hanging="420" w:firstLineChars="0"/>
        <w:textAlignment w:val="auto"/>
        <w:rPr>
          <w:rFonts w:hint="eastAsia" w:ascii="宋体" w:hAnsi="宋体" w:eastAsia="宋体" w:cs="宋体"/>
          <w:b/>
          <w:bCs/>
          <w:i w:val="0"/>
          <w:iCs w:val="0"/>
          <w:color w:val="auto"/>
          <w:kern w:val="2"/>
          <w:sz w:val="24"/>
          <w:szCs w:val="24"/>
          <w:highlight w:val="none"/>
          <w:lang w:val="en-US" w:eastAsia="zh-CN" w:bidi="ar-SA"/>
        </w:rPr>
      </w:pPr>
      <w:bookmarkStart w:id="389" w:name="_Toc102116181"/>
      <w:bookmarkStart w:id="390" w:name="_Toc102114949"/>
      <w:bookmarkStart w:id="391" w:name="_Toc102116051"/>
      <w:bookmarkStart w:id="392" w:name="_Toc102056247"/>
      <w:bookmarkStart w:id="393" w:name="_Toc102057747"/>
      <w:bookmarkStart w:id="394" w:name="_Toc102119882"/>
      <w:r>
        <w:rPr>
          <w:rFonts w:hint="eastAsia" w:ascii="宋体" w:hAnsi="宋体" w:eastAsia="宋体" w:cs="宋体"/>
          <w:b/>
          <w:bCs/>
          <w:i w:val="0"/>
          <w:iCs w:val="0"/>
          <w:color w:val="auto"/>
          <w:kern w:val="2"/>
          <w:sz w:val="24"/>
          <w:szCs w:val="24"/>
          <w:highlight w:val="none"/>
          <w:lang w:val="en-US" w:eastAsia="zh-CN" w:bidi="ar-SA"/>
        </w:rPr>
        <w:t>5.报价评</w:t>
      </w:r>
      <w:bookmarkEnd w:id="389"/>
      <w:bookmarkEnd w:id="390"/>
      <w:bookmarkEnd w:id="391"/>
      <w:bookmarkEnd w:id="392"/>
      <w:bookmarkEnd w:id="393"/>
      <w:bookmarkEnd w:id="394"/>
      <w:r>
        <w:rPr>
          <w:rFonts w:hint="eastAsia" w:ascii="宋体" w:hAnsi="宋体" w:eastAsia="宋体" w:cs="宋体"/>
          <w:b/>
          <w:bCs/>
          <w:i w:val="0"/>
          <w:iCs w:val="0"/>
          <w:color w:val="auto"/>
          <w:kern w:val="2"/>
          <w:sz w:val="24"/>
          <w:szCs w:val="24"/>
          <w:highlight w:val="none"/>
          <w:lang w:val="en-US" w:eastAsia="zh-CN" w:bidi="ar-SA"/>
        </w:rPr>
        <w:t>审</w:t>
      </w:r>
    </w:p>
    <w:p w14:paraId="4F87D81F">
      <w:pPr>
        <w:pStyle w:val="35"/>
        <w:pageBreakBefore w:val="0"/>
        <w:kinsoku/>
        <w:overflowPunct/>
        <w:topLinePunct w:val="0"/>
        <w:autoSpaceDE/>
        <w:autoSpaceDN/>
        <w:bidi w:val="0"/>
        <w:spacing w:line="440" w:lineRule="exact"/>
        <w:ind w:firstLine="480"/>
        <w:textAlignment w:val="auto"/>
        <w:rPr>
          <w:bCs/>
          <w:i w:val="0"/>
          <w:iCs w:val="0"/>
          <w:color w:val="auto"/>
          <w:szCs w:val="21"/>
          <w:highlight w:val="none"/>
          <w:lang w:val="zh-CN"/>
        </w:rPr>
      </w:pPr>
      <w:r>
        <w:rPr>
          <w:rFonts w:hint="eastAsia"/>
          <w:i w:val="0"/>
          <w:iCs w:val="0"/>
          <w:color w:val="auto"/>
          <w:highlight w:val="none"/>
          <w:lang w:val="zh-CN"/>
        </w:rPr>
        <w:t>5</w:t>
      </w:r>
      <w:r>
        <w:rPr>
          <w:i w:val="0"/>
          <w:iCs w:val="0"/>
          <w:color w:val="auto"/>
          <w:highlight w:val="none"/>
          <w:lang w:val="zh-CN"/>
        </w:rPr>
        <w:t>.1</w:t>
      </w:r>
      <w:r>
        <w:rPr>
          <w:rFonts w:hint="eastAsia"/>
          <w:i w:val="0"/>
          <w:iCs w:val="0"/>
          <w:color w:val="auto"/>
          <w:highlight w:val="none"/>
          <w:lang w:val="zh-CN"/>
        </w:rPr>
        <w:t>报价合理性说明：磋商</w:t>
      </w:r>
      <w:r>
        <w:rPr>
          <w:i w:val="0"/>
          <w:iCs w:val="0"/>
          <w:color w:val="auto"/>
          <w:highlight w:val="none"/>
          <w:lang w:val="zh-CN"/>
        </w:rPr>
        <w:t>小组认为供应商的</w:t>
      </w:r>
      <w:r>
        <w:rPr>
          <w:rFonts w:hint="eastAsia"/>
          <w:i w:val="0"/>
          <w:iCs w:val="0"/>
          <w:color w:val="auto"/>
          <w:highlight w:val="none"/>
          <w:lang w:val="zh-CN"/>
        </w:rPr>
        <w:t>最后</w:t>
      </w:r>
      <w:r>
        <w:rPr>
          <w:i w:val="0"/>
          <w:iCs w:val="0"/>
          <w:color w:val="auto"/>
          <w:highlight w:val="none"/>
          <w:lang w:val="zh-CN"/>
        </w:rPr>
        <w:t>报价明显低于其他供应商</w:t>
      </w:r>
      <w:r>
        <w:rPr>
          <w:rFonts w:hint="eastAsia"/>
          <w:i w:val="0"/>
          <w:iCs w:val="0"/>
          <w:color w:val="auto"/>
          <w:highlight w:val="none"/>
          <w:lang w:val="zh-CN"/>
        </w:rPr>
        <w:t>最后</w:t>
      </w:r>
      <w:r>
        <w:rPr>
          <w:i w:val="0"/>
          <w:iCs w:val="0"/>
          <w:color w:val="auto"/>
          <w:highlight w:val="none"/>
          <w:lang w:val="zh-CN"/>
        </w:rPr>
        <w:t>报价，有可能影响</w:t>
      </w:r>
      <w:r>
        <w:rPr>
          <w:rFonts w:hint="eastAsia"/>
          <w:i w:val="0"/>
          <w:iCs w:val="0"/>
          <w:color w:val="auto"/>
          <w:highlight w:val="none"/>
          <w:lang w:val="en-US" w:eastAsia="zh-CN"/>
        </w:rPr>
        <w:t>服务</w:t>
      </w:r>
      <w:r>
        <w:rPr>
          <w:i w:val="0"/>
          <w:iCs w:val="0"/>
          <w:color w:val="auto"/>
          <w:highlight w:val="none"/>
          <w:lang w:val="zh-CN"/>
        </w:rPr>
        <w:t>质量或者不能诚信履约的，应当要求其</w:t>
      </w:r>
      <w:r>
        <w:rPr>
          <w:rFonts w:hint="eastAsia"/>
          <w:i w:val="0"/>
          <w:iCs w:val="0"/>
          <w:color w:val="auto"/>
          <w:highlight w:val="none"/>
          <w:lang w:val="zh-CN"/>
        </w:rPr>
        <w:t>在</w:t>
      </w:r>
      <w:r>
        <w:rPr>
          <w:i w:val="0"/>
          <w:iCs w:val="0"/>
          <w:color w:val="auto"/>
          <w:highlight w:val="none"/>
          <w:lang w:val="zh-CN"/>
        </w:rPr>
        <w:t>合理的时间内提供说明，必要时提交相关证明材料；供应商不能证明其</w:t>
      </w:r>
      <w:r>
        <w:rPr>
          <w:rFonts w:hint="eastAsia"/>
          <w:i w:val="0"/>
          <w:iCs w:val="0"/>
          <w:color w:val="auto"/>
          <w:highlight w:val="none"/>
          <w:lang w:val="zh-CN"/>
        </w:rPr>
        <w:t>最后</w:t>
      </w:r>
      <w:r>
        <w:rPr>
          <w:i w:val="0"/>
          <w:iCs w:val="0"/>
          <w:color w:val="auto"/>
          <w:highlight w:val="none"/>
          <w:lang w:val="zh-CN"/>
        </w:rPr>
        <w:t>报价合理性的，</w:t>
      </w:r>
      <w:r>
        <w:rPr>
          <w:rFonts w:hint="eastAsia"/>
          <w:i w:val="0"/>
          <w:iCs w:val="0"/>
          <w:color w:val="auto"/>
          <w:highlight w:val="none"/>
          <w:lang w:val="zh-CN"/>
        </w:rPr>
        <w:t>磋商</w:t>
      </w:r>
      <w:r>
        <w:rPr>
          <w:i w:val="0"/>
          <w:iCs w:val="0"/>
          <w:color w:val="auto"/>
          <w:highlight w:val="none"/>
          <w:lang w:val="zh-CN"/>
        </w:rPr>
        <w:t>小组</w:t>
      </w:r>
      <w:r>
        <w:rPr>
          <w:rFonts w:hint="eastAsia"/>
          <w:i w:val="0"/>
          <w:iCs w:val="0"/>
          <w:color w:val="auto"/>
          <w:highlight w:val="none"/>
          <w:lang w:val="zh-CN"/>
        </w:rPr>
        <w:t>应当将其作</w:t>
      </w:r>
      <w:r>
        <w:rPr>
          <w:b/>
          <w:i w:val="0"/>
          <w:iCs w:val="0"/>
          <w:color w:val="auto"/>
          <w:highlight w:val="none"/>
          <w:lang w:val="zh-CN"/>
        </w:rPr>
        <w:t>无效</w:t>
      </w:r>
      <w:r>
        <w:rPr>
          <w:rFonts w:hint="eastAsia"/>
          <w:b/>
          <w:i w:val="0"/>
          <w:iCs w:val="0"/>
          <w:color w:val="auto"/>
          <w:highlight w:val="none"/>
          <w:lang w:val="zh-CN"/>
        </w:rPr>
        <w:t>响应</w:t>
      </w:r>
      <w:r>
        <w:rPr>
          <w:b/>
          <w:i w:val="0"/>
          <w:iCs w:val="0"/>
          <w:color w:val="auto"/>
          <w:highlight w:val="none"/>
          <w:lang w:val="zh-CN"/>
        </w:rPr>
        <w:t>处理</w:t>
      </w:r>
      <w:r>
        <w:rPr>
          <w:i w:val="0"/>
          <w:iCs w:val="0"/>
          <w:color w:val="auto"/>
          <w:highlight w:val="none"/>
          <w:lang w:val="zh-CN"/>
        </w:rPr>
        <w:t>。</w:t>
      </w:r>
    </w:p>
    <w:p w14:paraId="1B3E8B52">
      <w:pPr>
        <w:pStyle w:val="35"/>
        <w:pageBreakBefore w:val="0"/>
        <w:kinsoku/>
        <w:overflowPunct/>
        <w:topLinePunct w:val="0"/>
        <w:autoSpaceDE/>
        <w:autoSpaceDN/>
        <w:bidi w:val="0"/>
        <w:spacing w:line="440" w:lineRule="exact"/>
        <w:ind w:firstLine="480"/>
        <w:textAlignment w:val="auto"/>
        <w:rPr>
          <w:rFonts w:hint="eastAsia" w:ascii="宋体" w:hAnsi="宋体" w:eastAsia="宋体"/>
          <w:i w:val="0"/>
          <w:iCs w:val="0"/>
          <w:color w:val="auto"/>
          <w:highlight w:val="none"/>
          <w:lang w:val="en-US" w:eastAsia="zh-CN"/>
        </w:rPr>
      </w:pPr>
      <w:r>
        <w:rPr>
          <w:rFonts w:hint="eastAsia" w:ascii="宋体" w:hAnsi="宋体" w:eastAsia="宋体"/>
          <w:i w:val="0"/>
          <w:iCs w:val="0"/>
          <w:color w:val="auto"/>
          <w:highlight w:val="none"/>
          <w:lang w:val="en-US" w:eastAsia="zh-CN"/>
        </w:rPr>
        <w:t>5.1.1供应商应根据答疑内容在规定的时间内提供说明和成本清单等相关证明材料，磋商小组认定相关证明材料对此报价的说明或者证明材料可以佐证此报价的服务质量和具有诚信履约能力，予以通过审查；</w:t>
      </w:r>
    </w:p>
    <w:p w14:paraId="61371D00">
      <w:pPr>
        <w:pStyle w:val="35"/>
        <w:pageBreakBefore w:val="0"/>
        <w:kinsoku/>
        <w:overflowPunct/>
        <w:topLinePunct w:val="0"/>
        <w:autoSpaceDE/>
        <w:autoSpaceDN/>
        <w:bidi w:val="0"/>
        <w:spacing w:line="440" w:lineRule="exact"/>
        <w:ind w:firstLine="480"/>
        <w:textAlignment w:val="auto"/>
        <w:rPr>
          <w:rFonts w:hint="eastAsia" w:ascii="宋体" w:hAnsi="宋体" w:eastAsia="宋体"/>
          <w:i w:val="0"/>
          <w:iCs w:val="0"/>
          <w:color w:val="auto"/>
          <w:highlight w:val="none"/>
          <w:lang w:val="en-US" w:eastAsia="zh-CN"/>
        </w:rPr>
      </w:pPr>
      <w:r>
        <w:rPr>
          <w:rFonts w:hint="eastAsia" w:ascii="宋体" w:hAnsi="宋体" w:eastAsia="宋体"/>
          <w:i w:val="0"/>
          <w:iCs w:val="0"/>
          <w:color w:val="auto"/>
          <w:highlight w:val="none"/>
          <w:lang w:val="en-US" w:eastAsia="zh-CN"/>
        </w:rPr>
        <w:t>5.1.2供应商提供的说明或者证明材料必须按照国家财务会计制度的规定要求，逐项就供应商提供的货物和服务的主营业务成本、税收及附加、销售费用、管理费用、财务费用等成本构成事项详细陈述，并由法定代表人或者其授权代表签字确认并加盖公章；</w:t>
      </w:r>
    </w:p>
    <w:p w14:paraId="3E3AF71F">
      <w:pPr>
        <w:pStyle w:val="35"/>
        <w:pageBreakBefore w:val="0"/>
        <w:kinsoku/>
        <w:overflowPunct/>
        <w:topLinePunct w:val="0"/>
        <w:autoSpaceDE/>
        <w:autoSpaceDN/>
        <w:bidi w:val="0"/>
        <w:spacing w:line="440" w:lineRule="exact"/>
        <w:ind w:firstLine="480"/>
        <w:textAlignment w:val="auto"/>
        <w:rPr>
          <w:rFonts w:hint="eastAsia" w:ascii="宋体" w:hAnsi="宋体" w:eastAsia="宋体"/>
          <w:i w:val="0"/>
          <w:iCs w:val="0"/>
          <w:color w:val="auto"/>
          <w:highlight w:val="none"/>
          <w:lang w:val="en-US" w:eastAsia="zh-CN"/>
        </w:rPr>
      </w:pPr>
      <w:r>
        <w:rPr>
          <w:rFonts w:hint="eastAsia" w:ascii="宋体" w:hAnsi="宋体" w:eastAsia="宋体"/>
          <w:i w:val="0"/>
          <w:iCs w:val="0"/>
          <w:color w:val="auto"/>
          <w:highlight w:val="none"/>
          <w:lang w:val="en-US" w:eastAsia="zh-CN"/>
        </w:rPr>
        <w:t>5.1.3供应商不能合理说明或者不能提供相关证明材料的，由磋商小组认定该供应商以低于成本报价竞标，有可能影响服务质量或者不能诚信履约，应当</w:t>
      </w:r>
      <w:r>
        <w:rPr>
          <w:rFonts w:hint="eastAsia"/>
          <w:i w:val="0"/>
          <w:iCs w:val="0"/>
          <w:color w:val="auto"/>
          <w:highlight w:val="none"/>
          <w:lang w:val="zh-CN"/>
        </w:rPr>
        <w:t>将其作为</w:t>
      </w:r>
      <w:r>
        <w:rPr>
          <w:b/>
          <w:i w:val="0"/>
          <w:iCs w:val="0"/>
          <w:color w:val="auto"/>
          <w:highlight w:val="none"/>
          <w:lang w:val="zh-CN"/>
        </w:rPr>
        <w:t>无效</w:t>
      </w:r>
      <w:r>
        <w:rPr>
          <w:rFonts w:hint="eastAsia"/>
          <w:b/>
          <w:i w:val="0"/>
          <w:iCs w:val="0"/>
          <w:color w:val="auto"/>
          <w:highlight w:val="none"/>
          <w:lang w:val="zh-CN"/>
        </w:rPr>
        <w:t>响应</w:t>
      </w:r>
      <w:r>
        <w:rPr>
          <w:b/>
          <w:i w:val="0"/>
          <w:iCs w:val="0"/>
          <w:color w:val="auto"/>
          <w:highlight w:val="none"/>
          <w:lang w:val="zh-CN"/>
        </w:rPr>
        <w:t>处理</w:t>
      </w:r>
      <w:r>
        <w:rPr>
          <w:rFonts w:hint="eastAsia" w:ascii="宋体" w:hAnsi="宋体" w:eastAsia="宋体"/>
          <w:i w:val="0"/>
          <w:iCs w:val="0"/>
          <w:color w:val="auto"/>
          <w:highlight w:val="none"/>
          <w:lang w:val="en-US" w:eastAsia="zh-CN"/>
        </w:rPr>
        <w:t>；</w:t>
      </w:r>
    </w:p>
    <w:p w14:paraId="013572CE">
      <w:pPr>
        <w:pStyle w:val="35"/>
        <w:pageBreakBefore w:val="0"/>
        <w:kinsoku/>
        <w:overflowPunct/>
        <w:topLinePunct w:val="0"/>
        <w:autoSpaceDE/>
        <w:autoSpaceDN/>
        <w:bidi w:val="0"/>
        <w:spacing w:line="440" w:lineRule="exact"/>
        <w:ind w:firstLine="480"/>
        <w:textAlignment w:val="auto"/>
        <w:rPr>
          <w:rFonts w:hint="eastAsia" w:ascii="宋体" w:hAnsi="宋体" w:eastAsia="宋体"/>
          <w:i w:val="0"/>
          <w:iCs w:val="0"/>
          <w:color w:val="auto"/>
          <w:highlight w:val="none"/>
          <w:lang w:val="zh-CN"/>
        </w:rPr>
      </w:pPr>
      <w:r>
        <w:rPr>
          <w:rFonts w:hint="eastAsia" w:ascii="宋体" w:hAnsi="宋体" w:eastAsia="宋体"/>
          <w:i w:val="0"/>
          <w:iCs w:val="0"/>
          <w:color w:val="auto"/>
          <w:highlight w:val="none"/>
          <w:lang w:val="en-US" w:eastAsia="zh-CN"/>
        </w:rPr>
        <w:t>5.1.4供应商也可以有预见性地准备好上述要求的书面说明和相关证明材料并加盖公章。</w:t>
      </w:r>
    </w:p>
    <w:p w14:paraId="1784FDBF">
      <w:pPr>
        <w:pStyle w:val="35"/>
        <w:pageBreakBefore w:val="0"/>
        <w:kinsoku/>
        <w:overflowPunct/>
        <w:topLinePunct w:val="0"/>
        <w:autoSpaceDE/>
        <w:autoSpaceDN/>
        <w:bidi w:val="0"/>
        <w:spacing w:line="440" w:lineRule="exact"/>
        <w:ind w:firstLine="480"/>
        <w:textAlignment w:val="auto"/>
        <w:rPr>
          <w:i w:val="0"/>
          <w:iCs w:val="0"/>
          <w:color w:val="auto"/>
          <w:highlight w:val="none"/>
          <w:lang w:val="zh-CN"/>
        </w:rPr>
      </w:pPr>
      <w:r>
        <w:rPr>
          <w:rFonts w:hint="eastAsia"/>
          <w:i w:val="0"/>
          <w:iCs w:val="0"/>
          <w:color w:val="auto"/>
          <w:highlight w:val="none"/>
          <w:lang w:val="zh-CN"/>
        </w:rPr>
        <w:t>5</w:t>
      </w:r>
      <w:r>
        <w:rPr>
          <w:i w:val="0"/>
          <w:iCs w:val="0"/>
          <w:color w:val="auto"/>
          <w:highlight w:val="none"/>
          <w:lang w:val="zh-CN"/>
        </w:rPr>
        <w:t>.2</w:t>
      </w:r>
      <w:r>
        <w:rPr>
          <w:rFonts w:hint="eastAsia"/>
          <w:i w:val="0"/>
          <w:iCs w:val="0"/>
          <w:color w:val="auto"/>
          <w:highlight w:val="none"/>
          <w:lang w:val="zh-CN"/>
        </w:rPr>
        <w:t>价格扣除：</w:t>
      </w:r>
      <w:r>
        <w:rPr>
          <w:i w:val="0"/>
          <w:iCs w:val="0"/>
          <w:color w:val="auto"/>
          <w:highlight w:val="none"/>
          <w:lang w:val="zh-CN"/>
        </w:rPr>
        <w:t xml:space="preserve"> </w:t>
      </w:r>
    </w:p>
    <w:p w14:paraId="1F4B5526">
      <w:pPr>
        <w:pStyle w:val="35"/>
        <w:pageBreakBefore w:val="0"/>
        <w:numPr>
          <w:ilvl w:val="0"/>
          <w:numId w:val="0"/>
        </w:numPr>
        <w:shd w:val="clear" w:color="auto" w:fill="CCE8CF" w:themeFill="background1"/>
        <w:kinsoku/>
        <w:overflowPunct/>
        <w:topLinePunct w:val="0"/>
        <w:autoSpaceDE/>
        <w:autoSpaceDN/>
        <w:bidi w:val="0"/>
        <w:spacing w:line="440" w:lineRule="exact"/>
        <w:ind w:firstLine="480" w:firstLineChars="200"/>
        <w:textAlignment w:val="auto"/>
        <w:rPr>
          <w:i w:val="0"/>
          <w:iCs w:val="0"/>
          <w:color w:val="auto"/>
          <w:highlight w:val="none"/>
        </w:rPr>
      </w:pPr>
      <w:r>
        <w:rPr>
          <w:rFonts w:ascii="宋体" w:hAnsi="宋体" w:eastAsia="宋体" w:cstheme="minorBidi"/>
          <w:i w:val="0"/>
          <w:iCs w:val="0"/>
          <w:color w:val="auto"/>
          <w:kern w:val="2"/>
          <w:sz w:val="24"/>
          <w:szCs w:val="22"/>
          <w:highlight w:val="none"/>
          <w:lang w:val="en-US" w:eastAsia="zh-CN" w:bidi="ar-SA"/>
        </w:rPr>
        <w:t>（1）</w:t>
      </w:r>
      <w:r>
        <w:rPr>
          <w:rFonts w:hint="eastAsia"/>
          <w:i w:val="0"/>
          <w:iCs w:val="0"/>
          <w:color w:val="auto"/>
          <w:highlight w:val="none"/>
        </w:rPr>
        <w:t>非专门面向中小企业的采购项目或采购包，对符合规定的小微企业（监狱企业、残疾人福利性单位、联合体各方均为小微企业的联合体、符合小微企业划分标准的个体工商户视同小微企业）报价按照竞争性磋商文件</w:t>
      </w:r>
      <w:r>
        <w:rPr>
          <w:rFonts w:hint="eastAsia"/>
          <w:i w:val="0"/>
          <w:iCs w:val="0"/>
          <w:color w:val="auto"/>
          <w:highlight w:val="none"/>
          <w:lang w:eastAsia="zh-CN"/>
        </w:rPr>
        <w:t>“</w:t>
      </w:r>
      <w:r>
        <w:rPr>
          <w:rFonts w:hint="eastAsia"/>
          <w:i w:val="0"/>
          <w:iCs w:val="0"/>
          <w:color w:val="auto"/>
          <w:highlight w:val="none"/>
        </w:rPr>
        <w:t>供应商须知前附表”中的规定扣除，对小微企业中的监狱企业、残疾人福利性单位、采购产品纳入创新产品应用示范推荐目录内企业、采购产品获得节能产品或环境标志产品认证证书的企业报价按照本竞争性磋商文件</w:t>
      </w:r>
      <w:r>
        <w:rPr>
          <w:rFonts w:hint="eastAsia"/>
          <w:i w:val="0"/>
          <w:iCs w:val="0"/>
          <w:color w:val="auto"/>
          <w:highlight w:val="none"/>
          <w:lang w:eastAsia="zh-CN"/>
        </w:rPr>
        <w:t>“</w:t>
      </w:r>
      <w:r>
        <w:rPr>
          <w:rFonts w:hint="eastAsia"/>
          <w:i w:val="0"/>
          <w:iCs w:val="0"/>
          <w:color w:val="auto"/>
          <w:highlight w:val="none"/>
        </w:rPr>
        <w:t>供应商须知前附表”中的规定扣除，用扣除后的价格计算评审基准价。</w:t>
      </w:r>
    </w:p>
    <w:p w14:paraId="72014FEF">
      <w:pPr>
        <w:pStyle w:val="35"/>
        <w:pageBreakBefore w:val="0"/>
        <w:numPr>
          <w:ilvl w:val="0"/>
          <w:numId w:val="0"/>
        </w:numPr>
        <w:shd w:val="clear" w:color="auto" w:fill="CCE8CF" w:themeFill="background1"/>
        <w:kinsoku/>
        <w:overflowPunct/>
        <w:topLinePunct w:val="0"/>
        <w:autoSpaceDE/>
        <w:autoSpaceDN/>
        <w:bidi w:val="0"/>
        <w:spacing w:line="440" w:lineRule="exact"/>
        <w:ind w:firstLine="480" w:firstLineChars="200"/>
        <w:textAlignment w:val="auto"/>
        <w:rPr>
          <w:i w:val="0"/>
          <w:iCs w:val="0"/>
          <w:color w:val="auto"/>
          <w:highlight w:val="none"/>
        </w:rPr>
      </w:pPr>
      <w:r>
        <w:rPr>
          <w:rFonts w:ascii="宋体" w:hAnsi="宋体" w:eastAsia="宋体" w:cstheme="minorBidi"/>
          <w:i w:val="0"/>
          <w:iCs w:val="0"/>
          <w:color w:val="auto"/>
          <w:kern w:val="2"/>
          <w:sz w:val="24"/>
          <w:szCs w:val="22"/>
          <w:highlight w:val="none"/>
          <w:lang w:val="en-US" w:eastAsia="zh-CN" w:bidi="ar-SA"/>
        </w:rPr>
        <w:t>（2）</w:t>
      </w:r>
      <w:r>
        <w:rPr>
          <w:rFonts w:hint="eastAsia"/>
          <w:i w:val="0"/>
          <w:iCs w:val="0"/>
          <w:color w:val="auto"/>
          <w:highlight w:val="none"/>
        </w:rPr>
        <w:t>参加政府采购活动的小微企业（含节能环保、创新产品企业）未提供“中小企业声明函”的；监狱企业未提供“监狱企业证明文件”的；残疾人福利性单位未提供“残疾人福利性单位声明函”的；不得享受相应的价格扣除优惠。组成联合体或者接受分包的小微企业与联合体内其他企业、分包企业之间存在直接控股、管理关系的，不得享受价格扣除优惠。</w:t>
      </w:r>
    </w:p>
    <w:p w14:paraId="1A495953">
      <w:pPr>
        <w:pStyle w:val="35"/>
        <w:pageBreakBefore w:val="0"/>
        <w:numPr>
          <w:ilvl w:val="0"/>
          <w:numId w:val="0"/>
        </w:numPr>
        <w:shd w:val="clear" w:color="auto" w:fill="CCE8CF" w:themeFill="background1"/>
        <w:kinsoku/>
        <w:overflowPunct/>
        <w:topLinePunct w:val="0"/>
        <w:autoSpaceDE/>
        <w:autoSpaceDN/>
        <w:bidi w:val="0"/>
        <w:spacing w:line="440" w:lineRule="exact"/>
        <w:ind w:firstLine="480" w:firstLineChars="200"/>
        <w:textAlignment w:val="auto"/>
        <w:rPr>
          <w:rFonts w:ascii="宋体" w:hAnsi="宋体" w:eastAsia="宋体" w:cstheme="minorBidi"/>
          <w:i w:val="0"/>
          <w:iCs w:val="0"/>
          <w:color w:val="auto"/>
          <w:kern w:val="2"/>
          <w:sz w:val="24"/>
          <w:szCs w:val="22"/>
          <w:highlight w:val="none"/>
          <w:lang w:val="en-US" w:eastAsia="zh-CN" w:bidi="ar-SA"/>
        </w:rPr>
      </w:pPr>
      <w:r>
        <w:rPr>
          <w:rFonts w:ascii="宋体" w:hAnsi="宋体" w:eastAsia="宋体" w:cstheme="minorBidi"/>
          <w:i w:val="0"/>
          <w:iCs w:val="0"/>
          <w:color w:val="auto"/>
          <w:kern w:val="2"/>
          <w:sz w:val="24"/>
          <w:szCs w:val="22"/>
          <w:highlight w:val="none"/>
          <w:lang w:val="en-US" w:eastAsia="zh-CN" w:bidi="ar-SA"/>
        </w:rPr>
        <w:t>（3）组成联合体或者接受分包的小微企业与联合体内其他企业、分包企业</w:t>
      </w:r>
      <w:r>
        <w:rPr>
          <w:rFonts w:hint="default" w:ascii="宋体" w:hAnsi="宋体" w:eastAsia="宋体" w:cstheme="minorBidi"/>
          <w:i w:val="0"/>
          <w:iCs w:val="0"/>
          <w:color w:val="auto"/>
          <w:kern w:val="2"/>
          <w:sz w:val="24"/>
          <w:szCs w:val="22"/>
          <w:highlight w:val="none"/>
          <w:lang w:val="en-US" w:eastAsia="zh-CN" w:bidi="ar-SA"/>
        </w:rPr>
        <w:t>之间存在直接控股、管理关系的，不享受价格扣除优惠政策。</w:t>
      </w:r>
    </w:p>
    <w:p w14:paraId="60984AA9">
      <w:pPr>
        <w:pStyle w:val="35"/>
        <w:pageBreakBefore w:val="0"/>
        <w:numPr>
          <w:ilvl w:val="0"/>
          <w:numId w:val="0"/>
        </w:numPr>
        <w:shd w:val="clear" w:color="auto" w:fill="CCE8CF" w:themeFill="background1"/>
        <w:kinsoku/>
        <w:overflowPunct/>
        <w:topLinePunct w:val="0"/>
        <w:autoSpaceDE/>
        <w:autoSpaceDN/>
        <w:bidi w:val="0"/>
        <w:spacing w:line="440" w:lineRule="exact"/>
        <w:ind w:firstLine="480" w:firstLineChars="200"/>
        <w:textAlignment w:val="auto"/>
        <w:rPr>
          <w:rFonts w:ascii="宋体" w:hAnsi="宋体" w:eastAsia="宋体" w:cstheme="minorBidi"/>
          <w:i w:val="0"/>
          <w:iCs w:val="0"/>
          <w:color w:val="auto"/>
          <w:kern w:val="2"/>
          <w:sz w:val="24"/>
          <w:szCs w:val="22"/>
          <w:highlight w:val="none"/>
          <w:lang w:val="en-US" w:eastAsia="zh-CN" w:bidi="ar-SA"/>
        </w:rPr>
      </w:pPr>
      <w:r>
        <w:rPr>
          <w:rFonts w:ascii="宋体" w:hAnsi="宋体" w:eastAsia="宋体" w:cstheme="minorBidi"/>
          <w:i w:val="0"/>
          <w:iCs w:val="0"/>
          <w:color w:val="auto"/>
          <w:kern w:val="2"/>
          <w:sz w:val="24"/>
          <w:szCs w:val="22"/>
          <w:highlight w:val="none"/>
          <w:lang w:val="en-US" w:eastAsia="zh-CN" w:bidi="ar-SA"/>
        </w:rPr>
        <w:t>（</w:t>
      </w:r>
      <w:r>
        <w:rPr>
          <w:rFonts w:hint="eastAsia" w:cstheme="minorBidi"/>
          <w:i w:val="0"/>
          <w:iCs w:val="0"/>
          <w:color w:val="auto"/>
          <w:kern w:val="2"/>
          <w:sz w:val="24"/>
          <w:szCs w:val="22"/>
          <w:highlight w:val="none"/>
          <w:lang w:val="en-US" w:eastAsia="zh-CN" w:bidi="ar-SA"/>
        </w:rPr>
        <w:t>4</w:t>
      </w:r>
      <w:r>
        <w:rPr>
          <w:rFonts w:ascii="宋体" w:hAnsi="宋体" w:eastAsia="宋体" w:cstheme="minorBidi"/>
          <w:i w:val="0"/>
          <w:iCs w:val="0"/>
          <w:color w:val="auto"/>
          <w:kern w:val="2"/>
          <w:sz w:val="24"/>
          <w:szCs w:val="22"/>
          <w:highlight w:val="none"/>
          <w:lang w:val="en-US" w:eastAsia="zh-CN" w:bidi="ar-SA"/>
        </w:rPr>
        <w:t>）价格扣除比例对小型企业和微型企业同等对待，不作区分。</w:t>
      </w:r>
    </w:p>
    <w:p w14:paraId="19B743D0">
      <w:pPr>
        <w:pStyle w:val="35"/>
        <w:pageBreakBefore w:val="0"/>
        <w:numPr>
          <w:ilvl w:val="0"/>
          <w:numId w:val="0"/>
        </w:numPr>
        <w:shd w:val="clear" w:color="auto" w:fill="CCE8CF" w:themeFill="background1"/>
        <w:kinsoku/>
        <w:overflowPunct/>
        <w:topLinePunct w:val="0"/>
        <w:autoSpaceDE/>
        <w:autoSpaceDN/>
        <w:bidi w:val="0"/>
        <w:spacing w:line="440" w:lineRule="exact"/>
        <w:ind w:firstLine="480" w:firstLineChars="200"/>
        <w:textAlignment w:val="auto"/>
        <w:rPr>
          <w:rFonts w:hint="eastAsia"/>
          <w:i w:val="0"/>
          <w:iCs w:val="0"/>
          <w:color w:val="auto"/>
          <w:highlight w:val="none"/>
        </w:rPr>
      </w:pPr>
      <w:r>
        <w:rPr>
          <w:rFonts w:ascii="宋体" w:hAnsi="宋体" w:eastAsia="宋体" w:cstheme="minorBidi"/>
          <w:i w:val="0"/>
          <w:iCs w:val="0"/>
          <w:color w:val="auto"/>
          <w:kern w:val="2"/>
          <w:sz w:val="24"/>
          <w:szCs w:val="22"/>
          <w:highlight w:val="none"/>
          <w:lang w:val="en-US" w:eastAsia="zh-CN" w:bidi="ar-SA"/>
        </w:rPr>
        <w:t>（</w:t>
      </w:r>
      <w:r>
        <w:rPr>
          <w:rFonts w:hint="eastAsia" w:cstheme="minorBidi"/>
          <w:i w:val="0"/>
          <w:iCs w:val="0"/>
          <w:color w:val="auto"/>
          <w:kern w:val="2"/>
          <w:sz w:val="24"/>
          <w:szCs w:val="22"/>
          <w:highlight w:val="none"/>
          <w:lang w:val="en-US" w:eastAsia="zh-CN" w:bidi="ar-SA"/>
        </w:rPr>
        <w:t>5</w:t>
      </w:r>
      <w:r>
        <w:rPr>
          <w:rFonts w:ascii="宋体" w:hAnsi="宋体" w:eastAsia="宋体" w:cstheme="minorBidi"/>
          <w:i w:val="0"/>
          <w:iCs w:val="0"/>
          <w:color w:val="auto"/>
          <w:kern w:val="2"/>
          <w:sz w:val="24"/>
          <w:szCs w:val="22"/>
          <w:highlight w:val="none"/>
          <w:lang w:val="en-US" w:eastAsia="zh-CN" w:bidi="ar-SA"/>
        </w:rPr>
        <w:t>）</w:t>
      </w:r>
      <w:r>
        <w:rPr>
          <w:rFonts w:hint="eastAsia"/>
          <w:i w:val="0"/>
          <w:iCs w:val="0"/>
          <w:color w:val="auto"/>
          <w:highlight w:val="none"/>
        </w:rPr>
        <w:t>专门面向中小企业、预留部分采购份额面向中小企业采购的项目或采购包，评审时不再进行价格扣除。</w:t>
      </w:r>
    </w:p>
    <w:p w14:paraId="45EC7F77">
      <w:pPr>
        <w:pStyle w:val="35"/>
        <w:pageBreakBefore w:val="0"/>
        <w:numPr>
          <w:ilvl w:val="0"/>
          <w:numId w:val="0"/>
        </w:numPr>
        <w:shd w:val="clear" w:color="auto" w:fill="CCE8CF" w:themeFill="background1"/>
        <w:kinsoku/>
        <w:overflowPunct/>
        <w:topLinePunct w:val="0"/>
        <w:autoSpaceDE/>
        <w:autoSpaceDN/>
        <w:bidi w:val="0"/>
        <w:spacing w:line="440" w:lineRule="exact"/>
        <w:ind w:firstLine="480" w:firstLineChars="200"/>
        <w:textAlignment w:val="auto"/>
        <w:rPr>
          <w:i w:val="0"/>
          <w:iCs w:val="0"/>
          <w:color w:val="auto"/>
          <w:highlight w:val="none"/>
        </w:rPr>
      </w:pPr>
      <w:r>
        <w:rPr>
          <w:rFonts w:hint="eastAsia"/>
          <w:i w:val="0"/>
          <w:iCs w:val="0"/>
          <w:color w:val="auto"/>
          <w:highlight w:val="none"/>
          <w:lang w:eastAsia="zh-CN"/>
        </w:rPr>
        <w:t>（</w:t>
      </w:r>
      <w:r>
        <w:rPr>
          <w:rFonts w:hint="eastAsia"/>
          <w:i w:val="0"/>
          <w:iCs w:val="0"/>
          <w:color w:val="auto"/>
          <w:highlight w:val="none"/>
          <w:lang w:val="en-US" w:eastAsia="zh-CN"/>
        </w:rPr>
        <w:t>6）若供应商同时属于小型或微型企业、监狱企业、残疾人福利性单位 中的两种及以上，将不重复享受小微企业价格扣减的优惠政策。</w:t>
      </w:r>
    </w:p>
    <w:p w14:paraId="2AF70487">
      <w:pPr>
        <w:pStyle w:val="35"/>
        <w:pageBreakBefore w:val="0"/>
        <w:kinsoku/>
        <w:overflowPunct/>
        <w:topLinePunct w:val="0"/>
        <w:autoSpaceDE/>
        <w:autoSpaceDN/>
        <w:bidi w:val="0"/>
        <w:spacing w:line="440" w:lineRule="exact"/>
        <w:ind w:firstLine="480"/>
        <w:textAlignment w:val="auto"/>
        <w:rPr>
          <w:rFonts w:hint="eastAsia"/>
          <w:i w:val="0"/>
          <w:iCs w:val="0"/>
          <w:color w:val="auto"/>
          <w:highlight w:val="none"/>
          <w:lang w:val="zh-CN"/>
        </w:rPr>
      </w:pPr>
      <w:r>
        <w:rPr>
          <w:i w:val="0"/>
          <w:iCs w:val="0"/>
          <w:color w:val="auto"/>
          <w:highlight w:val="none"/>
          <w:lang w:val="zh-CN"/>
        </w:rPr>
        <w:t>5.3价格分采用</w:t>
      </w:r>
      <w:r>
        <w:rPr>
          <w:i w:val="0"/>
          <w:iCs w:val="0"/>
          <w:color w:val="auto"/>
          <w:szCs w:val="24"/>
          <w:highlight w:val="none"/>
          <w:lang w:val="zh-CN"/>
        </w:rPr>
        <w:t>低价</w:t>
      </w:r>
      <w:r>
        <w:rPr>
          <w:i w:val="0"/>
          <w:iCs w:val="0"/>
          <w:color w:val="auto"/>
          <w:highlight w:val="none"/>
          <w:lang w:val="zh-CN"/>
        </w:rPr>
        <w:t>优先法计算，</w:t>
      </w:r>
      <w:r>
        <w:rPr>
          <w:rFonts w:hint="eastAsia"/>
          <w:i w:val="0"/>
          <w:iCs w:val="0"/>
          <w:color w:val="auto"/>
          <w:highlight w:val="none"/>
          <w:lang w:val="zh-CN"/>
        </w:rPr>
        <w:t>即满足磋商文件要求且最后报价最低的供应商的价格为磋商基准价，其价格分为满分。其他供应商的价格分统一按照下列公式计算：</w:t>
      </w:r>
    </w:p>
    <w:p w14:paraId="461A7491">
      <w:pPr>
        <w:pStyle w:val="35"/>
        <w:pageBreakBefore w:val="0"/>
        <w:kinsoku/>
        <w:overflowPunct/>
        <w:topLinePunct w:val="0"/>
        <w:autoSpaceDE/>
        <w:autoSpaceDN/>
        <w:bidi w:val="0"/>
        <w:spacing w:line="440" w:lineRule="exact"/>
        <w:ind w:firstLine="480"/>
        <w:textAlignment w:val="auto"/>
        <w:rPr>
          <w:rFonts w:hint="eastAsia"/>
          <w:i w:val="0"/>
          <w:iCs w:val="0"/>
          <w:color w:val="auto"/>
          <w:highlight w:val="none"/>
          <w:lang w:val="zh-CN"/>
        </w:rPr>
      </w:pPr>
      <w:r>
        <w:rPr>
          <w:rFonts w:hint="eastAsia"/>
          <w:i w:val="0"/>
          <w:iCs w:val="0"/>
          <w:color w:val="auto"/>
          <w:highlight w:val="none"/>
          <w:lang w:val="zh-CN"/>
        </w:rPr>
        <w:t>磋商报价得分=（磋商基准价/最后磋商报价）×</w:t>
      </w:r>
      <w:r>
        <w:rPr>
          <w:rFonts w:hint="eastAsia"/>
          <w:i w:val="0"/>
          <w:iCs w:val="0"/>
          <w:color w:val="auto"/>
          <w:highlight w:val="none"/>
        </w:rPr>
        <w:t>价格分值</w:t>
      </w:r>
    </w:p>
    <w:p w14:paraId="72A4C42D">
      <w:pPr>
        <w:pStyle w:val="35"/>
        <w:pageBreakBefore w:val="0"/>
        <w:kinsoku/>
        <w:overflowPunct/>
        <w:topLinePunct w:val="0"/>
        <w:autoSpaceDE/>
        <w:autoSpaceDN/>
        <w:bidi w:val="0"/>
        <w:spacing w:line="440" w:lineRule="exact"/>
        <w:ind w:firstLine="480"/>
        <w:textAlignment w:val="auto"/>
        <w:rPr>
          <w:i w:val="0"/>
          <w:iCs w:val="0"/>
          <w:color w:val="auto"/>
          <w:highlight w:val="none"/>
          <w:lang w:val="zh-CN"/>
        </w:rPr>
      </w:pPr>
      <w:r>
        <w:rPr>
          <w:rFonts w:hint="eastAsia"/>
          <w:i w:val="0"/>
          <w:iCs w:val="0"/>
          <w:color w:val="auto"/>
          <w:highlight w:val="none"/>
          <w:lang w:val="zh-CN"/>
        </w:rPr>
        <w:t>项目评审过程中，不得去掉最后报价中的最高报价和最低报价。</w:t>
      </w:r>
      <w:r>
        <w:rPr>
          <w:i w:val="0"/>
          <w:iCs w:val="0"/>
          <w:color w:val="auto"/>
          <w:highlight w:val="none"/>
          <w:lang w:val="zh-CN"/>
        </w:rPr>
        <w:t>计算方法详见本章“三、</w:t>
      </w:r>
      <w:r>
        <w:rPr>
          <w:rFonts w:hint="eastAsia"/>
          <w:i w:val="0"/>
          <w:iCs w:val="0"/>
          <w:color w:val="auto"/>
          <w:highlight w:val="none"/>
          <w:lang w:val="zh-CN"/>
        </w:rPr>
        <w:t>评审</w:t>
      </w:r>
      <w:r>
        <w:rPr>
          <w:i w:val="0"/>
          <w:iCs w:val="0"/>
          <w:color w:val="auto"/>
          <w:highlight w:val="none"/>
          <w:lang w:val="zh-CN"/>
        </w:rPr>
        <w:t>标准”中的具体计算公式。</w:t>
      </w:r>
    </w:p>
    <w:p w14:paraId="576E9827">
      <w:pPr>
        <w:pStyle w:val="5"/>
        <w:keepNext w:val="0"/>
        <w:keepLines w:val="0"/>
        <w:pageBreakBefore w:val="0"/>
        <w:widowControl w:val="0"/>
        <w:numPr>
          <w:ilvl w:val="0"/>
          <w:numId w:val="0"/>
        </w:numPr>
        <w:kinsoku/>
        <w:wordWrap/>
        <w:overflowPunct/>
        <w:topLinePunct w:val="0"/>
        <w:autoSpaceDE/>
        <w:autoSpaceDN/>
        <w:bidi w:val="0"/>
        <w:adjustRightInd/>
        <w:snapToGrid/>
        <w:spacing w:before="80" w:after="60" w:line="440" w:lineRule="exact"/>
        <w:ind w:left="420" w:leftChars="0" w:hanging="420" w:firstLineChars="0"/>
        <w:textAlignment w:val="auto"/>
        <w:rPr>
          <w:rFonts w:hint="eastAsia" w:ascii="宋体" w:hAnsi="宋体" w:eastAsia="宋体" w:cs="宋体"/>
          <w:b/>
          <w:bCs/>
          <w:i w:val="0"/>
          <w:iCs w:val="0"/>
          <w:color w:val="auto"/>
          <w:kern w:val="2"/>
          <w:sz w:val="24"/>
          <w:szCs w:val="24"/>
          <w:highlight w:val="none"/>
          <w:lang w:val="en-US" w:eastAsia="zh-CN" w:bidi="ar-SA"/>
        </w:rPr>
      </w:pPr>
      <w:bookmarkStart w:id="395" w:name="_Toc102114951"/>
      <w:bookmarkStart w:id="396" w:name="_Toc102056249"/>
      <w:bookmarkStart w:id="397" w:name="_Toc102057749"/>
      <w:bookmarkStart w:id="398" w:name="_Toc102116183"/>
      <w:bookmarkStart w:id="399" w:name="_Toc102116053"/>
      <w:bookmarkStart w:id="400" w:name="_Toc102119884"/>
      <w:bookmarkStart w:id="401" w:name="_Toc102114952"/>
      <w:bookmarkStart w:id="402" w:name="_Toc102116184"/>
      <w:bookmarkStart w:id="403" w:name="_Toc102116054"/>
      <w:bookmarkStart w:id="404" w:name="_Toc102119885"/>
      <w:bookmarkStart w:id="405" w:name="_Toc102057750"/>
      <w:bookmarkStart w:id="406" w:name="_Toc102056250"/>
      <w:r>
        <w:rPr>
          <w:rFonts w:hint="eastAsia" w:ascii="宋体" w:hAnsi="宋体" w:eastAsia="宋体" w:cs="宋体"/>
          <w:b/>
          <w:bCs/>
          <w:i w:val="0"/>
          <w:iCs w:val="0"/>
          <w:color w:val="auto"/>
          <w:kern w:val="2"/>
          <w:sz w:val="24"/>
          <w:szCs w:val="24"/>
          <w:highlight w:val="none"/>
          <w:lang w:val="en-US" w:eastAsia="zh-CN" w:bidi="ar-SA"/>
        </w:rPr>
        <w:t>6.计分办法</w:t>
      </w:r>
      <w:bookmarkEnd w:id="395"/>
      <w:bookmarkEnd w:id="396"/>
      <w:bookmarkEnd w:id="397"/>
      <w:bookmarkEnd w:id="398"/>
      <w:bookmarkEnd w:id="399"/>
      <w:bookmarkEnd w:id="400"/>
      <w:r>
        <w:rPr>
          <w:rFonts w:hint="eastAsia" w:ascii="宋体" w:hAnsi="宋体" w:eastAsia="宋体" w:cs="宋体"/>
          <w:b/>
          <w:bCs/>
          <w:i w:val="0"/>
          <w:iCs w:val="0"/>
          <w:color w:val="auto"/>
          <w:kern w:val="2"/>
          <w:sz w:val="24"/>
          <w:szCs w:val="24"/>
          <w:highlight w:val="none"/>
          <w:lang w:val="en-US" w:eastAsia="zh-CN" w:bidi="ar-SA"/>
        </w:rPr>
        <w:t>及复核</w:t>
      </w:r>
    </w:p>
    <w:p w14:paraId="0956E193">
      <w:pPr>
        <w:pStyle w:val="35"/>
        <w:pageBreakBefore w:val="0"/>
        <w:kinsoku/>
        <w:overflowPunct/>
        <w:topLinePunct w:val="0"/>
        <w:autoSpaceDE/>
        <w:autoSpaceDN/>
        <w:bidi w:val="0"/>
        <w:spacing w:line="440" w:lineRule="exact"/>
        <w:ind w:firstLine="480"/>
        <w:textAlignment w:val="auto"/>
        <w:rPr>
          <w:i w:val="0"/>
          <w:iCs w:val="0"/>
          <w:color w:val="auto"/>
          <w:kern w:val="0"/>
          <w:highlight w:val="none"/>
          <w:lang w:val="zh-CN"/>
        </w:rPr>
      </w:pPr>
      <w:r>
        <w:rPr>
          <w:rFonts w:hint="eastAsia"/>
          <w:i w:val="0"/>
          <w:iCs w:val="0"/>
          <w:color w:val="auto"/>
          <w:highlight w:val="none"/>
          <w:lang w:val="zh-CN"/>
        </w:rPr>
        <w:t>6</w:t>
      </w:r>
      <w:r>
        <w:rPr>
          <w:i w:val="0"/>
          <w:iCs w:val="0"/>
          <w:color w:val="auto"/>
          <w:highlight w:val="none"/>
          <w:lang w:val="zh-CN"/>
        </w:rPr>
        <w:t>.1</w:t>
      </w:r>
      <w:r>
        <w:rPr>
          <w:rFonts w:hint="eastAsia"/>
          <w:i w:val="0"/>
          <w:iCs w:val="0"/>
          <w:color w:val="auto"/>
          <w:highlight w:val="none"/>
          <w:lang w:val="zh-CN"/>
        </w:rPr>
        <w:t>评审过程中，各项分值一般精确到小数点后两位，评审得分应当为商务评分、技术评分、报价评分之和。磋商小组各成员应当汇总每个供应商的得分。</w:t>
      </w:r>
    </w:p>
    <w:p w14:paraId="7D7F6459">
      <w:pPr>
        <w:pStyle w:val="35"/>
        <w:pageBreakBefore w:val="0"/>
        <w:kinsoku/>
        <w:overflowPunct/>
        <w:topLinePunct w:val="0"/>
        <w:autoSpaceDE/>
        <w:autoSpaceDN/>
        <w:bidi w:val="0"/>
        <w:spacing w:line="440" w:lineRule="exact"/>
        <w:ind w:firstLine="480"/>
        <w:textAlignment w:val="auto"/>
        <w:rPr>
          <w:i w:val="0"/>
          <w:iCs w:val="0"/>
          <w:color w:val="auto"/>
          <w:highlight w:val="none"/>
          <w:lang w:val="zh-CN"/>
        </w:rPr>
      </w:pPr>
      <w:r>
        <w:rPr>
          <w:rFonts w:hint="eastAsia"/>
          <w:i w:val="0"/>
          <w:iCs w:val="0"/>
          <w:color w:val="auto"/>
          <w:highlight w:val="none"/>
          <w:lang w:val="zh-CN"/>
        </w:rPr>
        <w:t>6</w:t>
      </w:r>
      <w:r>
        <w:rPr>
          <w:i w:val="0"/>
          <w:iCs w:val="0"/>
          <w:color w:val="auto"/>
          <w:highlight w:val="none"/>
          <w:lang w:val="zh-CN"/>
        </w:rPr>
        <w:t>.2</w:t>
      </w:r>
      <w:r>
        <w:rPr>
          <w:rFonts w:hint="eastAsia"/>
          <w:i w:val="0"/>
          <w:iCs w:val="0"/>
          <w:color w:val="auto"/>
          <w:highlight w:val="none"/>
          <w:lang w:val="zh-CN"/>
        </w:rPr>
        <w:t>评审结果汇总完成后，采购代理机构应当对评审结果进行复核。经复核发现存在以下情形之一的，磋商小组应当当场修改评审结果，并在评审报告中记载：</w:t>
      </w:r>
    </w:p>
    <w:p w14:paraId="51E15D43">
      <w:pPr>
        <w:pStyle w:val="35"/>
        <w:pageBreakBefore w:val="0"/>
        <w:kinsoku/>
        <w:overflowPunct/>
        <w:topLinePunct w:val="0"/>
        <w:autoSpaceDE/>
        <w:autoSpaceDN/>
        <w:bidi w:val="0"/>
        <w:spacing w:line="440" w:lineRule="exact"/>
        <w:ind w:firstLine="480"/>
        <w:textAlignment w:val="auto"/>
        <w:rPr>
          <w:rFonts w:cs="Times New Roman"/>
          <w:i w:val="0"/>
          <w:iCs w:val="0"/>
          <w:color w:val="auto"/>
          <w:szCs w:val="20"/>
          <w:highlight w:val="none"/>
          <w:lang w:val="zh-CN"/>
        </w:rPr>
      </w:pPr>
      <w:r>
        <w:rPr>
          <w:rFonts w:hint="eastAsia"/>
          <w:i w:val="0"/>
          <w:iCs w:val="0"/>
          <w:color w:val="auto"/>
          <w:highlight w:val="none"/>
          <w:lang w:val="zh-CN"/>
        </w:rPr>
        <w:t>（1）</w:t>
      </w:r>
      <w:r>
        <w:rPr>
          <w:rFonts w:hint="eastAsia"/>
          <w:i w:val="0"/>
          <w:iCs w:val="0"/>
          <w:color w:val="auto"/>
          <w:highlight w:val="none"/>
          <w:lang w:val="zh-CN" w:eastAsia="zh-CN"/>
        </w:rPr>
        <w:t>资格性检查认定错误</w:t>
      </w:r>
      <w:r>
        <w:rPr>
          <w:rFonts w:hint="eastAsia"/>
          <w:i w:val="0"/>
          <w:iCs w:val="0"/>
          <w:color w:val="auto"/>
          <w:highlight w:val="none"/>
          <w:lang w:val="zh-CN"/>
        </w:rPr>
        <w:t xml:space="preserve">的； </w:t>
      </w:r>
    </w:p>
    <w:p w14:paraId="74DEA290">
      <w:pPr>
        <w:pStyle w:val="35"/>
        <w:pageBreakBefore w:val="0"/>
        <w:kinsoku/>
        <w:overflowPunct/>
        <w:topLinePunct w:val="0"/>
        <w:autoSpaceDE/>
        <w:autoSpaceDN/>
        <w:bidi w:val="0"/>
        <w:spacing w:line="440" w:lineRule="exact"/>
        <w:ind w:firstLine="480"/>
        <w:textAlignment w:val="auto"/>
        <w:rPr>
          <w:rFonts w:cs="Times New Roman"/>
          <w:i w:val="0"/>
          <w:iCs w:val="0"/>
          <w:color w:val="auto"/>
          <w:szCs w:val="20"/>
          <w:highlight w:val="none"/>
          <w:lang w:val="zh-CN"/>
        </w:rPr>
      </w:pPr>
      <w:r>
        <w:rPr>
          <w:rFonts w:hint="eastAsia"/>
          <w:i w:val="0"/>
          <w:iCs w:val="0"/>
          <w:color w:val="auto"/>
          <w:highlight w:val="none"/>
          <w:lang w:val="zh-CN"/>
        </w:rPr>
        <w:t>（</w:t>
      </w:r>
      <w:r>
        <w:rPr>
          <w:rFonts w:hint="eastAsia"/>
          <w:i w:val="0"/>
          <w:iCs w:val="0"/>
          <w:color w:val="auto"/>
          <w:highlight w:val="none"/>
          <w:lang w:val="en-US" w:eastAsia="zh-CN"/>
        </w:rPr>
        <w:t>2</w:t>
      </w:r>
      <w:r>
        <w:rPr>
          <w:rFonts w:hint="eastAsia"/>
          <w:i w:val="0"/>
          <w:iCs w:val="0"/>
          <w:color w:val="auto"/>
          <w:highlight w:val="none"/>
          <w:lang w:val="zh-CN"/>
        </w:rPr>
        <w:t xml:space="preserve">）分值汇总计算错误的； </w:t>
      </w:r>
    </w:p>
    <w:p w14:paraId="72F62B6F">
      <w:pPr>
        <w:pStyle w:val="35"/>
        <w:pageBreakBefore w:val="0"/>
        <w:kinsoku/>
        <w:overflowPunct/>
        <w:topLinePunct w:val="0"/>
        <w:autoSpaceDE/>
        <w:autoSpaceDN/>
        <w:bidi w:val="0"/>
        <w:spacing w:line="440" w:lineRule="exact"/>
        <w:ind w:firstLine="480"/>
        <w:textAlignment w:val="auto"/>
        <w:rPr>
          <w:i w:val="0"/>
          <w:iCs w:val="0"/>
          <w:color w:val="auto"/>
          <w:highlight w:val="none"/>
          <w:lang w:val="zh-CN"/>
        </w:rPr>
      </w:pPr>
      <w:r>
        <w:rPr>
          <w:rFonts w:hint="eastAsia"/>
          <w:i w:val="0"/>
          <w:iCs w:val="0"/>
          <w:color w:val="auto"/>
          <w:highlight w:val="none"/>
          <w:lang w:val="zh-CN"/>
        </w:rPr>
        <w:t>（</w:t>
      </w:r>
      <w:r>
        <w:rPr>
          <w:rFonts w:hint="eastAsia"/>
          <w:i w:val="0"/>
          <w:iCs w:val="0"/>
          <w:color w:val="auto"/>
          <w:highlight w:val="none"/>
          <w:lang w:val="en-US" w:eastAsia="zh-CN"/>
        </w:rPr>
        <w:t>3</w:t>
      </w:r>
      <w:r>
        <w:rPr>
          <w:rFonts w:hint="eastAsia"/>
          <w:i w:val="0"/>
          <w:iCs w:val="0"/>
          <w:color w:val="auto"/>
          <w:highlight w:val="none"/>
          <w:lang w:val="zh-CN"/>
        </w:rPr>
        <w:t>）分项评分超出评分标准范围的；</w:t>
      </w:r>
    </w:p>
    <w:p w14:paraId="102EAA79">
      <w:pPr>
        <w:pStyle w:val="35"/>
        <w:pageBreakBefore w:val="0"/>
        <w:kinsoku/>
        <w:overflowPunct/>
        <w:topLinePunct w:val="0"/>
        <w:autoSpaceDE/>
        <w:autoSpaceDN/>
        <w:bidi w:val="0"/>
        <w:spacing w:line="440" w:lineRule="exact"/>
        <w:ind w:firstLine="480"/>
        <w:textAlignment w:val="auto"/>
        <w:rPr>
          <w:i w:val="0"/>
          <w:iCs w:val="0"/>
          <w:color w:val="auto"/>
          <w:highlight w:val="none"/>
          <w:lang w:val="zh-CN"/>
        </w:rPr>
      </w:pPr>
      <w:r>
        <w:rPr>
          <w:rFonts w:hint="eastAsia"/>
          <w:i w:val="0"/>
          <w:iCs w:val="0"/>
          <w:color w:val="auto"/>
          <w:highlight w:val="none"/>
          <w:lang w:val="zh-CN"/>
        </w:rPr>
        <w:t>（</w:t>
      </w:r>
      <w:r>
        <w:rPr>
          <w:rFonts w:hint="eastAsia"/>
          <w:i w:val="0"/>
          <w:iCs w:val="0"/>
          <w:color w:val="auto"/>
          <w:highlight w:val="none"/>
          <w:lang w:val="en-US" w:eastAsia="zh-CN"/>
        </w:rPr>
        <w:t>4</w:t>
      </w:r>
      <w:r>
        <w:rPr>
          <w:rFonts w:hint="eastAsia"/>
          <w:i w:val="0"/>
          <w:iCs w:val="0"/>
          <w:color w:val="auto"/>
          <w:highlight w:val="none"/>
          <w:lang w:val="zh-CN"/>
        </w:rPr>
        <w:t>）</w:t>
      </w:r>
      <w:r>
        <w:rPr>
          <w:rFonts w:hint="eastAsia" w:cs="Helvetica"/>
          <w:i w:val="0"/>
          <w:iCs w:val="0"/>
          <w:color w:val="auto"/>
          <w:szCs w:val="24"/>
          <w:highlight w:val="none"/>
          <w:lang w:val="zh-CN"/>
        </w:rPr>
        <w:t>磋商小组</w:t>
      </w:r>
      <w:r>
        <w:rPr>
          <w:rFonts w:hint="eastAsia"/>
          <w:i w:val="0"/>
          <w:iCs w:val="0"/>
          <w:color w:val="auto"/>
          <w:highlight w:val="none"/>
          <w:lang w:val="zh-CN"/>
        </w:rPr>
        <w:t>成员对客观</w:t>
      </w:r>
      <w:r>
        <w:rPr>
          <w:rFonts w:hint="eastAsia"/>
          <w:i w:val="0"/>
          <w:iCs w:val="0"/>
          <w:color w:val="auto"/>
          <w:highlight w:val="none"/>
          <w:lang w:val="en-US" w:eastAsia="zh-CN"/>
        </w:rPr>
        <w:t>分</w:t>
      </w:r>
      <w:r>
        <w:rPr>
          <w:rFonts w:hint="eastAsia"/>
          <w:i w:val="0"/>
          <w:iCs w:val="0"/>
          <w:color w:val="auto"/>
          <w:highlight w:val="none"/>
          <w:lang w:val="zh-CN"/>
        </w:rPr>
        <w:t>评分不一致的；</w:t>
      </w:r>
    </w:p>
    <w:p w14:paraId="1E569905">
      <w:pPr>
        <w:pStyle w:val="35"/>
        <w:pageBreakBefore w:val="0"/>
        <w:kinsoku/>
        <w:overflowPunct/>
        <w:topLinePunct w:val="0"/>
        <w:autoSpaceDE/>
        <w:autoSpaceDN/>
        <w:bidi w:val="0"/>
        <w:spacing w:line="440" w:lineRule="exact"/>
        <w:ind w:firstLine="480"/>
        <w:textAlignment w:val="auto"/>
        <w:rPr>
          <w:i w:val="0"/>
          <w:iCs w:val="0"/>
          <w:color w:val="auto"/>
          <w:highlight w:val="none"/>
          <w:lang w:val="zh-CN"/>
        </w:rPr>
      </w:pPr>
      <w:r>
        <w:rPr>
          <w:rFonts w:hint="eastAsia"/>
          <w:i w:val="0"/>
          <w:iCs w:val="0"/>
          <w:color w:val="auto"/>
          <w:highlight w:val="none"/>
          <w:lang w:val="zh-CN"/>
        </w:rPr>
        <w:t>（</w:t>
      </w:r>
      <w:r>
        <w:rPr>
          <w:rFonts w:hint="eastAsia"/>
          <w:i w:val="0"/>
          <w:iCs w:val="0"/>
          <w:color w:val="auto"/>
          <w:highlight w:val="none"/>
          <w:lang w:val="en-US" w:eastAsia="zh-CN"/>
        </w:rPr>
        <w:t>5</w:t>
      </w:r>
      <w:r>
        <w:rPr>
          <w:rFonts w:hint="eastAsia"/>
          <w:i w:val="0"/>
          <w:iCs w:val="0"/>
          <w:color w:val="auto"/>
          <w:highlight w:val="none"/>
          <w:lang w:val="zh-CN"/>
        </w:rPr>
        <w:t>）经</w:t>
      </w:r>
      <w:r>
        <w:rPr>
          <w:rFonts w:hint="eastAsia" w:cs="Helvetica"/>
          <w:i w:val="0"/>
          <w:iCs w:val="0"/>
          <w:color w:val="auto"/>
          <w:szCs w:val="24"/>
          <w:highlight w:val="none"/>
          <w:lang w:val="zh-CN"/>
        </w:rPr>
        <w:t>磋商小组</w:t>
      </w:r>
      <w:r>
        <w:rPr>
          <w:rFonts w:hint="eastAsia" w:cs="Helvetica"/>
          <w:i w:val="0"/>
          <w:iCs w:val="0"/>
          <w:color w:val="auto"/>
          <w:szCs w:val="24"/>
          <w:highlight w:val="none"/>
          <w:lang w:val="en-US" w:eastAsia="zh-CN"/>
        </w:rPr>
        <w:t>一致</w:t>
      </w:r>
      <w:r>
        <w:rPr>
          <w:rFonts w:hint="eastAsia"/>
          <w:i w:val="0"/>
          <w:iCs w:val="0"/>
          <w:color w:val="auto"/>
          <w:highlight w:val="none"/>
          <w:lang w:val="zh-CN"/>
        </w:rPr>
        <w:t>认定评分畸高、畸低的。</w:t>
      </w:r>
    </w:p>
    <w:p w14:paraId="6C6015B1">
      <w:pPr>
        <w:pStyle w:val="35"/>
        <w:pageBreakBefore w:val="0"/>
        <w:kinsoku/>
        <w:overflowPunct/>
        <w:topLinePunct w:val="0"/>
        <w:autoSpaceDE/>
        <w:autoSpaceDN/>
        <w:bidi w:val="0"/>
        <w:spacing w:line="440" w:lineRule="exact"/>
        <w:ind w:firstLine="480"/>
        <w:textAlignment w:val="auto"/>
        <w:rPr>
          <w:rFonts w:hint="eastAsia"/>
          <w:i w:val="0"/>
          <w:iCs w:val="0"/>
          <w:color w:val="auto"/>
          <w:highlight w:val="none"/>
          <w:lang w:val="zh-CN"/>
        </w:rPr>
      </w:pPr>
      <w:r>
        <w:rPr>
          <w:rFonts w:hint="eastAsia"/>
          <w:i w:val="0"/>
          <w:iCs w:val="0"/>
          <w:color w:val="auto"/>
          <w:highlight w:val="none"/>
          <w:lang w:val="zh-CN"/>
        </w:rPr>
        <w:t>6</w:t>
      </w:r>
      <w:r>
        <w:rPr>
          <w:i w:val="0"/>
          <w:iCs w:val="0"/>
          <w:color w:val="auto"/>
          <w:highlight w:val="none"/>
          <w:lang w:val="zh-CN"/>
        </w:rPr>
        <w:t>.3</w:t>
      </w:r>
      <w:r>
        <w:rPr>
          <w:rFonts w:hint="eastAsia"/>
          <w:i w:val="0"/>
          <w:iCs w:val="0"/>
          <w:color w:val="auto"/>
          <w:highlight w:val="none"/>
          <w:lang w:val="zh-CN"/>
        </w:rPr>
        <w:t>各供应商的最终得分为磋商小组所有成员对各供应商评审得分汇总后的算术平均值。</w:t>
      </w:r>
    </w:p>
    <w:p w14:paraId="0EFF5F9B">
      <w:pPr>
        <w:pStyle w:val="35"/>
        <w:pageBreakBefore w:val="0"/>
        <w:kinsoku/>
        <w:overflowPunct/>
        <w:topLinePunct w:val="0"/>
        <w:autoSpaceDE/>
        <w:autoSpaceDN/>
        <w:bidi w:val="0"/>
        <w:spacing w:line="440" w:lineRule="exact"/>
        <w:ind w:firstLine="480"/>
        <w:textAlignment w:val="auto"/>
        <w:rPr>
          <w:rFonts w:hint="eastAsia"/>
          <w:i w:val="0"/>
          <w:iCs w:val="0"/>
          <w:color w:val="auto"/>
          <w:highlight w:val="none"/>
          <w:lang w:val="en-US" w:eastAsia="zh-CN"/>
        </w:rPr>
      </w:pPr>
      <w:r>
        <w:rPr>
          <w:rFonts w:hint="eastAsia"/>
          <w:i w:val="0"/>
          <w:iCs w:val="0"/>
          <w:color w:val="auto"/>
          <w:highlight w:val="none"/>
          <w:lang w:val="en-US" w:eastAsia="zh-CN"/>
        </w:rPr>
        <w:t>6.4除资格性检查认定错误、分值汇总计算错误、分项评分超出评分标准范围、客观分评分不一致、经磋商小组一致认定评分畸高、畸低的情形外，采购人或者采购代理机构不得以任何理由组织重新评审。采购人、采购代理机构发现磋商小组未按照磋商文件规定的评审标准进行评审的，应当重新开展采购活动，并同时书面报告本级财政部门。</w:t>
      </w:r>
    </w:p>
    <w:p w14:paraId="3A5AB6DE">
      <w:pPr>
        <w:pStyle w:val="35"/>
        <w:pageBreakBefore w:val="0"/>
        <w:kinsoku/>
        <w:overflowPunct/>
        <w:topLinePunct w:val="0"/>
        <w:autoSpaceDE/>
        <w:autoSpaceDN/>
        <w:bidi w:val="0"/>
        <w:spacing w:line="440" w:lineRule="exact"/>
        <w:ind w:firstLine="480"/>
        <w:textAlignment w:val="auto"/>
        <w:rPr>
          <w:rFonts w:hint="eastAsia"/>
          <w:i w:val="0"/>
          <w:iCs w:val="0"/>
          <w:color w:val="auto"/>
          <w:highlight w:val="none"/>
          <w:lang w:val="en-US" w:eastAsia="zh-CN"/>
        </w:rPr>
      </w:pPr>
      <w:r>
        <w:rPr>
          <w:rFonts w:hint="eastAsia"/>
          <w:i w:val="0"/>
          <w:iCs w:val="0"/>
          <w:color w:val="auto"/>
          <w:highlight w:val="none"/>
          <w:lang w:val="en-US" w:eastAsia="zh-CN"/>
        </w:rPr>
        <w:t>6.5采购人或者采购代理机构不得通过对样品进行检测、对供应商进行考察等方式改变评审结果。</w:t>
      </w:r>
    </w:p>
    <w:p w14:paraId="1F8EBB86">
      <w:pPr>
        <w:pStyle w:val="5"/>
        <w:keepNext w:val="0"/>
        <w:keepLines w:val="0"/>
        <w:pageBreakBefore w:val="0"/>
        <w:widowControl w:val="0"/>
        <w:numPr>
          <w:ilvl w:val="0"/>
          <w:numId w:val="0"/>
        </w:numPr>
        <w:kinsoku/>
        <w:wordWrap/>
        <w:overflowPunct/>
        <w:topLinePunct w:val="0"/>
        <w:autoSpaceDE/>
        <w:autoSpaceDN/>
        <w:bidi w:val="0"/>
        <w:adjustRightInd/>
        <w:snapToGrid/>
        <w:spacing w:before="80" w:after="60" w:line="440" w:lineRule="exact"/>
        <w:ind w:left="420" w:leftChars="0" w:hanging="420" w:firstLineChars="0"/>
        <w:textAlignment w:val="auto"/>
        <w:rPr>
          <w:rFonts w:hint="eastAsia" w:ascii="宋体" w:hAnsi="宋体" w:eastAsia="宋体" w:cs="宋体"/>
          <w:b/>
          <w:bCs/>
          <w:i w:val="0"/>
          <w:iCs w:val="0"/>
          <w:color w:val="auto"/>
          <w:kern w:val="2"/>
          <w:sz w:val="24"/>
          <w:szCs w:val="24"/>
          <w:highlight w:val="none"/>
          <w:lang w:val="en-US" w:eastAsia="zh-CN" w:bidi="ar-SA"/>
        </w:rPr>
      </w:pPr>
      <w:r>
        <w:rPr>
          <w:rFonts w:hint="eastAsia" w:ascii="宋体" w:hAnsi="宋体" w:eastAsia="宋体" w:cs="宋体"/>
          <w:b/>
          <w:bCs/>
          <w:i w:val="0"/>
          <w:iCs w:val="0"/>
          <w:color w:val="auto"/>
          <w:kern w:val="2"/>
          <w:sz w:val="24"/>
          <w:szCs w:val="24"/>
          <w:highlight w:val="none"/>
          <w:lang w:val="en-US" w:eastAsia="zh-CN" w:bidi="ar-SA"/>
        </w:rPr>
        <w:t>7.评审报告</w:t>
      </w:r>
      <w:bookmarkEnd w:id="401"/>
      <w:bookmarkEnd w:id="402"/>
      <w:bookmarkEnd w:id="403"/>
      <w:bookmarkEnd w:id="404"/>
      <w:bookmarkEnd w:id="405"/>
      <w:bookmarkEnd w:id="406"/>
    </w:p>
    <w:p w14:paraId="3341BC5C">
      <w:pPr>
        <w:pStyle w:val="35"/>
        <w:pageBreakBefore w:val="0"/>
        <w:kinsoku/>
        <w:overflowPunct/>
        <w:topLinePunct w:val="0"/>
        <w:autoSpaceDE/>
        <w:autoSpaceDN/>
        <w:bidi w:val="0"/>
        <w:spacing w:line="440" w:lineRule="exact"/>
        <w:ind w:firstLine="480"/>
        <w:textAlignment w:val="auto"/>
        <w:rPr>
          <w:rFonts w:cs="Helvetica"/>
          <w:i w:val="0"/>
          <w:iCs w:val="0"/>
          <w:color w:val="auto"/>
          <w:szCs w:val="24"/>
          <w:highlight w:val="none"/>
          <w:lang w:val="zh-CN"/>
        </w:rPr>
      </w:pPr>
      <w:r>
        <w:rPr>
          <w:rFonts w:hint="eastAsia" w:cs="Helvetica"/>
          <w:i w:val="0"/>
          <w:iCs w:val="0"/>
          <w:color w:val="auto"/>
          <w:szCs w:val="24"/>
          <w:highlight w:val="none"/>
          <w:lang w:val="en-US" w:eastAsia="zh-CN"/>
        </w:rPr>
        <w:t>7</w:t>
      </w:r>
      <w:r>
        <w:rPr>
          <w:rFonts w:cs="Helvetica"/>
          <w:i w:val="0"/>
          <w:iCs w:val="0"/>
          <w:color w:val="auto"/>
          <w:szCs w:val="24"/>
          <w:highlight w:val="none"/>
          <w:lang w:val="zh-CN"/>
        </w:rPr>
        <w:t>.1</w:t>
      </w:r>
      <w:r>
        <w:rPr>
          <w:rFonts w:hint="eastAsia" w:cs="Helvetica"/>
          <w:i w:val="0"/>
          <w:iCs w:val="0"/>
          <w:color w:val="auto"/>
          <w:szCs w:val="24"/>
          <w:highlight w:val="none"/>
          <w:lang w:val="zh-CN"/>
        </w:rPr>
        <w:t>磋商小组</w:t>
      </w:r>
      <w:r>
        <w:rPr>
          <w:rFonts w:hint="eastAsia"/>
          <w:i w:val="0"/>
          <w:iCs w:val="0"/>
          <w:color w:val="auto"/>
          <w:highlight w:val="none"/>
        </w:rPr>
        <w:t>从质量和服务均能满足磋商文件实质性要求的供应商中，按照</w:t>
      </w:r>
      <w:r>
        <w:rPr>
          <w:rFonts w:hint="eastAsia"/>
          <w:i w:val="0"/>
          <w:iCs w:val="0"/>
          <w:color w:val="auto"/>
          <w:highlight w:val="none"/>
          <w:lang w:val="en-US" w:eastAsia="zh-CN"/>
        </w:rPr>
        <w:t>评审</w:t>
      </w:r>
      <w:r>
        <w:rPr>
          <w:rFonts w:hint="eastAsia"/>
          <w:i w:val="0"/>
          <w:iCs w:val="0"/>
          <w:color w:val="auto"/>
          <w:highlight w:val="none"/>
        </w:rPr>
        <w:t>得分由高到低的顺序推荐3名</w:t>
      </w:r>
      <w:r>
        <w:rPr>
          <w:rFonts w:hint="eastAsia"/>
          <w:i w:val="0"/>
          <w:iCs w:val="0"/>
          <w:color w:val="auto"/>
          <w:szCs w:val="24"/>
          <w:highlight w:val="none"/>
          <w:lang w:val="zh-CN"/>
        </w:rPr>
        <w:t>（</w:t>
      </w:r>
      <w:r>
        <w:rPr>
          <w:rFonts w:hint="eastAsia"/>
          <w:i w:val="0"/>
          <w:iCs w:val="0"/>
          <w:color w:val="auto"/>
          <w:highlight w:val="none"/>
        </w:rPr>
        <w:t>市场竞争不充分的科研项目，以及需要扶持的科技成果转化项目可以为</w:t>
      </w:r>
      <w:r>
        <w:rPr>
          <w:i w:val="0"/>
          <w:iCs w:val="0"/>
          <w:color w:val="auto"/>
          <w:highlight w:val="none"/>
        </w:rPr>
        <w:t>2家</w:t>
      </w:r>
      <w:r>
        <w:rPr>
          <w:rFonts w:hint="eastAsia"/>
          <w:i w:val="0"/>
          <w:iCs w:val="0"/>
          <w:color w:val="auto"/>
          <w:highlight w:val="none"/>
        </w:rPr>
        <w:t>，</w:t>
      </w:r>
      <w:r>
        <w:rPr>
          <w:rFonts w:hint="eastAsia"/>
          <w:i w:val="0"/>
          <w:iCs w:val="0"/>
          <w:snapToGrid w:val="0"/>
          <w:color w:val="auto"/>
          <w:highlight w:val="none"/>
        </w:rPr>
        <w:t>政府购买服务项目[含政府和社会资本合作项目]，在采购过程中符合要求的供应商[社会资本]只有2家的</w:t>
      </w:r>
      <w:r>
        <w:rPr>
          <w:rFonts w:hint="eastAsia"/>
          <w:i w:val="0"/>
          <w:iCs w:val="0"/>
          <w:color w:val="auto"/>
          <w:highlight w:val="none"/>
        </w:rPr>
        <w:t>可以为</w:t>
      </w:r>
      <w:r>
        <w:rPr>
          <w:i w:val="0"/>
          <w:iCs w:val="0"/>
          <w:color w:val="auto"/>
          <w:highlight w:val="none"/>
        </w:rPr>
        <w:t>2家</w:t>
      </w:r>
      <w:r>
        <w:rPr>
          <w:i w:val="0"/>
          <w:iCs w:val="0"/>
          <w:color w:val="auto"/>
          <w:szCs w:val="24"/>
          <w:highlight w:val="none"/>
          <w:lang w:val="zh-CN"/>
        </w:rPr>
        <w:t>）</w:t>
      </w:r>
      <w:r>
        <w:rPr>
          <w:rFonts w:hint="eastAsia"/>
          <w:i w:val="0"/>
          <w:iCs w:val="0"/>
          <w:color w:val="auto"/>
          <w:highlight w:val="none"/>
        </w:rPr>
        <w:t>以上</w:t>
      </w:r>
      <w:r>
        <w:rPr>
          <w:rFonts w:hint="eastAsia" w:cs="Helvetica"/>
          <w:i w:val="0"/>
          <w:iCs w:val="0"/>
          <w:color w:val="auto"/>
          <w:szCs w:val="24"/>
          <w:highlight w:val="none"/>
          <w:lang w:val="zh-CN"/>
        </w:rPr>
        <w:t>成交</w:t>
      </w:r>
      <w:r>
        <w:rPr>
          <w:rFonts w:hint="eastAsia"/>
          <w:i w:val="0"/>
          <w:iCs w:val="0"/>
          <w:color w:val="auto"/>
          <w:highlight w:val="none"/>
        </w:rPr>
        <w:t>候选供应商。评审得</w:t>
      </w:r>
      <w:r>
        <w:rPr>
          <w:i w:val="0"/>
          <w:iCs w:val="0"/>
          <w:color w:val="auto"/>
          <w:highlight w:val="none"/>
        </w:rPr>
        <w:t>分相同的，</w:t>
      </w:r>
      <w:r>
        <w:rPr>
          <w:rFonts w:hint="eastAsia" w:cs="Helvetica"/>
          <w:i w:val="0"/>
          <w:iCs w:val="0"/>
          <w:color w:val="auto"/>
          <w:szCs w:val="24"/>
          <w:highlight w:val="none"/>
          <w:lang w:val="zh-CN"/>
        </w:rPr>
        <w:t>磋商小组</w:t>
      </w:r>
      <w:r>
        <w:rPr>
          <w:rFonts w:hint="eastAsia"/>
          <w:i w:val="0"/>
          <w:iCs w:val="0"/>
          <w:color w:val="auto"/>
          <w:highlight w:val="none"/>
        </w:rPr>
        <w:t>按照最后报价由低到高的顺序</w:t>
      </w:r>
      <w:r>
        <w:rPr>
          <w:i w:val="0"/>
          <w:iCs w:val="0"/>
          <w:color w:val="auto"/>
          <w:highlight w:val="none"/>
        </w:rPr>
        <w:t>推荐</w:t>
      </w:r>
      <w:r>
        <w:rPr>
          <w:rFonts w:hint="eastAsia"/>
          <w:i w:val="0"/>
          <w:iCs w:val="0"/>
          <w:color w:val="auto"/>
          <w:highlight w:val="none"/>
        </w:rPr>
        <w:t>；</w:t>
      </w:r>
      <w:r>
        <w:rPr>
          <w:rFonts w:hint="eastAsia"/>
          <w:i w:val="0"/>
          <w:iCs w:val="0"/>
          <w:color w:val="auto"/>
          <w:highlight w:val="none"/>
          <w:lang w:val="en-US" w:eastAsia="zh-CN"/>
        </w:rPr>
        <w:t>评审</w:t>
      </w:r>
      <w:r>
        <w:rPr>
          <w:rFonts w:hint="eastAsia"/>
          <w:i w:val="0"/>
          <w:iCs w:val="0"/>
          <w:color w:val="auto"/>
          <w:highlight w:val="none"/>
        </w:rPr>
        <w:t>得分且最后报价相同的，按</w:t>
      </w:r>
      <w:r>
        <w:rPr>
          <w:rFonts w:hint="eastAsia"/>
          <w:i w:val="0"/>
          <w:iCs w:val="0"/>
          <w:color w:val="auto"/>
          <w:highlight w:val="none"/>
          <w:lang w:val="en-US" w:eastAsia="zh-CN"/>
        </w:rPr>
        <w:t>照</w:t>
      </w:r>
      <w:r>
        <w:rPr>
          <w:rFonts w:hint="eastAsia"/>
          <w:i w:val="0"/>
          <w:iCs w:val="0"/>
          <w:color w:val="auto"/>
          <w:highlight w:val="none"/>
        </w:rPr>
        <w:t>技术</w:t>
      </w:r>
      <w:r>
        <w:rPr>
          <w:rFonts w:hint="eastAsia"/>
          <w:i w:val="0"/>
          <w:iCs w:val="0"/>
          <w:color w:val="auto"/>
          <w:highlight w:val="none"/>
          <w:lang w:val="en-US" w:eastAsia="zh-CN"/>
        </w:rPr>
        <w:t>指标</w:t>
      </w:r>
      <w:r>
        <w:rPr>
          <w:rFonts w:hint="eastAsia"/>
          <w:i w:val="0"/>
          <w:iCs w:val="0"/>
          <w:color w:val="auto"/>
          <w:highlight w:val="none"/>
        </w:rPr>
        <w:t>优劣顺序推荐</w:t>
      </w:r>
      <w:r>
        <w:rPr>
          <w:rFonts w:hint="eastAsia" w:cs="Helvetica"/>
          <w:i w:val="0"/>
          <w:iCs w:val="0"/>
          <w:color w:val="auto"/>
          <w:szCs w:val="24"/>
          <w:highlight w:val="none"/>
          <w:lang w:val="zh-CN"/>
        </w:rPr>
        <w:t>。响应文件满足磋商文件全部实质性要求且评审得分</w:t>
      </w:r>
      <w:r>
        <w:rPr>
          <w:rFonts w:cs="Helvetica"/>
          <w:i w:val="0"/>
          <w:iCs w:val="0"/>
          <w:color w:val="auto"/>
          <w:szCs w:val="24"/>
          <w:highlight w:val="none"/>
          <w:lang w:val="zh-CN"/>
        </w:rPr>
        <w:t>最高</w:t>
      </w:r>
      <w:r>
        <w:rPr>
          <w:rFonts w:hint="eastAsia" w:cs="Helvetica"/>
          <w:i w:val="0"/>
          <w:iCs w:val="0"/>
          <w:color w:val="auto"/>
          <w:szCs w:val="24"/>
          <w:highlight w:val="none"/>
          <w:lang w:val="zh-CN"/>
        </w:rPr>
        <w:t>的供应商为排名第一的成交候选供应商。</w:t>
      </w:r>
      <w:r>
        <w:rPr>
          <w:rFonts w:hint="eastAsia"/>
          <w:i w:val="0"/>
          <w:iCs w:val="0"/>
          <w:color w:val="auto"/>
          <w:highlight w:val="none"/>
        </w:rPr>
        <w:t>磋商小组依据评审结果</w:t>
      </w:r>
      <w:r>
        <w:rPr>
          <w:rFonts w:hint="eastAsia"/>
          <w:i w:val="0"/>
          <w:iCs w:val="0"/>
          <w:color w:val="auto"/>
          <w:highlight w:val="none"/>
          <w:lang w:eastAsia="zh-CN"/>
        </w:rPr>
        <w:t>形成评审报告</w:t>
      </w:r>
      <w:r>
        <w:rPr>
          <w:rFonts w:hint="eastAsia" w:ascii="宋体" w:hAnsi="宋体" w:eastAsia="宋体"/>
          <w:i w:val="0"/>
          <w:iCs w:val="0"/>
          <w:color w:val="auto"/>
          <w:highlight w:val="none"/>
          <w:lang w:eastAsia="zh-CN"/>
        </w:rPr>
        <w:t>。</w:t>
      </w:r>
    </w:p>
    <w:p w14:paraId="17318A62">
      <w:pPr>
        <w:pStyle w:val="35"/>
        <w:pageBreakBefore w:val="0"/>
        <w:kinsoku/>
        <w:overflowPunct/>
        <w:topLinePunct w:val="0"/>
        <w:autoSpaceDE/>
        <w:autoSpaceDN/>
        <w:bidi w:val="0"/>
        <w:spacing w:line="440" w:lineRule="exact"/>
        <w:ind w:firstLine="480"/>
        <w:textAlignment w:val="auto"/>
        <w:rPr>
          <w:rFonts w:hint="eastAsia" w:cs="Helvetica"/>
          <w:i w:val="0"/>
          <w:iCs w:val="0"/>
          <w:color w:val="auto"/>
          <w:szCs w:val="24"/>
          <w:highlight w:val="none"/>
          <w:lang w:val="zh-CN"/>
        </w:rPr>
      </w:pPr>
      <w:r>
        <w:rPr>
          <w:rFonts w:hint="eastAsia" w:cs="Helvetica"/>
          <w:i w:val="0"/>
          <w:iCs w:val="0"/>
          <w:color w:val="auto"/>
          <w:szCs w:val="24"/>
          <w:highlight w:val="none"/>
          <w:lang w:val="en-US" w:eastAsia="zh-CN"/>
        </w:rPr>
        <w:t>7</w:t>
      </w:r>
      <w:r>
        <w:rPr>
          <w:rFonts w:cs="Helvetica"/>
          <w:i w:val="0"/>
          <w:iCs w:val="0"/>
          <w:color w:val="auto"/>
          <w:szCs w:val="24"/>
          <w:highlight w:val="none"/>
          <w:lang w:val="zh-CN"/>
        </w:rPr>
        <w:t>.</w:t>
      </w:r>
      <w:r>
        <w:rPr>
          <w:rFonts w:hint="eastAsia" w:cs="Helvetica"/>
          <w:i w:val="0"/>
          <w:iCs w:val="0"/>
          <w:color w:val="auto"/>
          <w:szCs w:val="24"/>
          <w:highlight w:val="none"/>
          <w:lang w:val="en-US" w:eastAsia="zh-CN"/>
        </w:rPr>
        <w:t>2</w:t>
      </w:r>
      <w:r>
        <w:rPr>
          <w:rFonts w:hint="eastAsia"/>
          <w:i w:val="0"/>
          <w:iCs w:val="0"/>
          <w:color w:val="auto"/>
          <w:highlight w:val="none"/>
          <w:lang w:val="zh-CN" w:eastAsia="zh-CN"/>
        </w:rPr>
        <w:t>评审报告应当由磋商小组全体人员签字认可。磋商小组成员对评审报告有异议的，磋商小组按照少数服从多数的原则推荐成交候选供应商，采购程序继续进行。对评审报告有异议的磋商小组成员，应当在报告上签署不同意见并说明理由，由磋商小组书面记录相关情况。磋商小组成员拒绝在报告上签字又不书面说明其不同意见和理由的，视为同意评审报告</w:t>
      </w:r>
      <w:r>
        <w:rPr>
          <w:rFonts w:hint="eastAsia" w:cs="Helvetica"/>
          <w:i w:val="0"/>
          <w:iCs w:val="0"/>
          <w:color w:val="auto"/>
          <w:szCs w:val="24"/>
          <w:highlight w:val="none"/>
          <w:lang w:val="zh-CN"/>
        </w:rPr>
        <w:t>。</w:t>
      </w:r>
    </w:p>
    <w:p w14:paraId="25913F09">
      <w:pPr>
        <w:pStyle w:val="5"/>
        <w:keepNext w:val="0"/>
        <w:keepLines w:val="0"/>
        <w:pageBreakBefore w:val="0"/>
        <w:widowControl w:val="0"/>
        <w:numPr>
          <w:ilvl w:val="0"/>
          <w:numId w:val="0"/>
        </w:numPr>
        <w:kinsoku/>
        <w:wordWrap/>
        <w:overflowPunct/>
        <w:topLinePunct w:val="0"/>
        <w:autoSpaceDE/>
        <w:autoSpaceDN/>
        <w:bidi w:val="0"/>
        <w:adjustRightInd/>
        <w:snapToGrid/>
        <w:spacing w:before="80" w:after="60" w:line="440" w:lineRule="exact"/>
        <w:ind w:left="420" w:leftChars="0" w:hanging="420" w:firstLineChars="0"/>
        <w:textAlignment w:val="auto"/>
        <w:rPr>
          <w:rFonts w:hint="eastAsia" w:ascii="宋体" w:hAnsi="宋体" w:eastAsia="宋体" w:cs="宋体"/>
          <w:b/>
          <w:bCs/>
          <w:i w:val="0"/>
          <w:iCs w:val="0"/>
          <w:color w:val="auto"/>
          <w:kern w:val="2"/>
          <w:sz w:val="24"/>
          <w:szCs w:val="24"/>
          <w:highlight w:val="none"/>
          <w:lang w:val="en-US" w:eastAsia="zh-CN" w:bidi="ar-SA"/>
        </w:rPr>
      </w:pPr>
      <w:r>
        <w:rPr>
          <w:rFonts w:hint="eastAsia" w:ascii="宋体" w:hAnsi="宋体" w:eastAsia="宋体" w:cs="宋体"/>
          <w:b/>
          <w:bCs/>
          <w:i w:val="0"/>
          <w:iCs w:val="0"/>
          <w:color w:val="auto"/>
          <w:kern w:val="2"/>
          <w:sz w:val="24"/>
          <w:szCs w:val="24"/>
          <w:highlight w:val="none"/>
          <w:lang w:val="en-US" w:eastAsia="zh-CN" w:bidi="ar-SA"/>
        </w:rPr>
        <w:t>8.响应无效的情形</w:t>
      </w:r>
    </w:p>
    <w:p w14:paraId="21B88F58">
      <w:pPr>
        <w:keepNext w:val="0"/>
        <w:keepLines w:val="0"/>
        <w:pageBreakBefore w:val="0"/>
        <w:widowControl/>
        <w:suppressLineNumbers w:val="0"/>
        <w:kinsoku/>
        <w:overflowPunct/>
        <w:topLinePunct w:val="0"/>
        <w:autoSpaceDE/>
        <w:autoSpaceDN/>
        <w:bidi w:val="0"/>
        <w:spacing w:line="440" w:lineRule="exact"/>
        <w:ind w:firstLine="480" w:firstLineChars="200"/>
        <w:jc w:val="left"/>
        <w:textAlignment w:val="auto"/>
        <w:rPr>
          <w:rFonts w:hint="eastAsia" w:cstheme="minorBidi"/>
          <w:i w:val="0"/>
          <w:iCs w:val="0"/>
          <w:color w:val="auto"/>
          <w:kern w:val="2"/>
          <w:sz w:val="24"/>
          <w:szCs w:val="22"/>
          <w:highlight w:val="none"/>
          <w:lang w:val="en-US" w:eastAsia="zh-CN" w:bidi="ar-SA"/>
        </w:rPr>
      </w:pPr>
      <w:r>
        <w:rPr>
          <w:rFonts w:hint="eastAsia" w:cstheme="minorBidi"/>
          <w:i w:val="0"/>
          <w:iCs w:val="0"/>
          <w:color w:val="auto"/>
          <w:kern w:val="2"/>
          <w:sz w:val="24"/>
          <w:szCs w:val="22"/>
          <w:highlight w:val="none"/>
          <w:lang w:val="en-US" w:eastAsia="zh-CN" w:bidi="ar-SA"/>
        </w:rPr>
        <w:t>8.1</w:t>
      </w:r>
      <w:r>
        <w:rPr>
          <w:rFonts w:hint="eastAsia" w:ascii="宋体" w:hAnsi="宋体" w:eastAsia="宋体" w:cs="宋体"/>
          <w:b w:val="0"/>
          <w:bCs w:val="0"/>
          <w:i w:val="0"/>
          <w:iCs w:val="0"/>
          <w:color w:val="auto"/>
          <w:sz w:val="24"/>
          <w:szCs w:val="24"/>
          <w:highlight w:val="none"/>
        </w:rPr>
        <w:t>供应商存在下列情况之一的，</w:t>
      </w:r>
      <w:r>
        <w:rPr>
          <w:rFonts w:hint="eastAsia" w:cs="宋体"/>
          <w:b w:val="0"/>
          <w:bCs w:val="0"/>
          <w:i w:val="0"/>
          <w:iCs w:val="0"/>
          <w:color w:val="auto"/>
          <w:sz w:val="24"/>
          <w:szCs w:val="24"/>
          <w:highlight w:val="none"/>
          <w:lang w:val="en-US" w:eastAsia="zh-CN"/>
        </w:rPr>
        <w:t>其</w:t>
      </w:r>
      <w:r>
        <w:rPr>
          <w:rFonts w:hint="eastAsia" w:cs="宋体"/>
          <w:b/>
          <w:bCs/>
          <w:i w:val="0"/>
          <w:iCs w:val="0"/>
          <w:color w:val="auto"/>
          <w:sz w:val="24"/>
          <w:szCs w:val="24"/>
          <w:highlight w:val="none"/>
          <w:lang w:val="en-US" w:eastAsia="zh-CN"/>
        </w:rPr>
        <w:t>响应</w:t>
      </w:r>
      <w:r>
        <w:rPr>
          <w:rFonts w:hint="eastAsia" w:ascii="宋体" w:hAnsi="宋体" w:eastAsia="宋体" w:cs="宋体"/>
          <w:b/>
          <w:bCs/>
          <w:i w:val="0"/>
          <w:iCs w:val="0"/>
          <w:color w:val="auto"/>
          <w:sz w:val="24"/>
          <w:szCs w:val="24"/>
          <w:highlight w:val="none"/>
        </w:rPr>
        <w:t>无效</w:t>
      </w:r>
      <w:r>
        <w:rPr>
          <w:rFonts w:hint="eastAsia" w:ascii="宋体" w:hAnsi="宋体" w:eastAsia="宋体" w:cs="宋体"/>
          <w:b w:val="0"/>
          <w:bCs w:val="0"/>
          <w:i w:val="0"/>
          <w:iCs w:val="0"/>
          <w:color w:val="auto"/>
          <w:sz w:val="24"/>
          <w:szCs w:val="24"/>
          <w:highlight w:val="none"/>
        </w:rPr>
        <w:t>：</w:t>
      </w:r>
    </w:p>
    <w:p w14:paraId="702D1A6A">
      <w:pPr>
        <w:pStyle w:val="57"/>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b w:val="0"/>
          <w:bCs w:val="0"/>
          <w:i w:val="0"/>
          <w:iCs w:val="0"/>
          <w:color w:val="auto"/>
          <w:sz w:val="24"/>
          <w:szCs w:val="24"/>
          <w:highlight w:val="none"/>
        </w:rPr>
      </w:pPr>
      <w:r>
        <w:rPr>
          <w:rFonts w:hint="eastAsia" w:ascii="宋体" w:hAnsi="宋体" w:eastAsia="宋体" w:cs="宋体"/>
          <w:b w:val="0"/>
          <w:bCs w:val="0"/>
          <w:i w:val="0"/>
          <w:iCs w:val="0"/>
          <w:color w:val="auto"/>
          <w:sz w:val="24"/>
          <w:szCs w:val="24"/>
          <w:highlight w:val="none"/>
          <w:lang w:eastAsia="zh-CN"/>
        </w:rPr>
        <w:t>（</w:t>
      </w:r>
      <w:r>
        <w:rPr>
          <w:rFonts w:hint="eastAsia" w:ascii="宋体" w:hAnsi="宋体" w:eastAsia="宋体" w:cs="宋体"/>
          <w:b w:val="0"/>
          <w:bCs w:val="0"/>
          <w:i w:val="0"/>
          <w:iCs w:val="0"/>
          <w:color w:val="auto"/>
          <w:sz w:val="24"/>
          <w:szCs w:val="24"/>
          <w:highlight w:val="none"/>
          <w:lang w:val="en-US" w:eastAsia="zh-CN"/>
        </w:rPr>
        <w:t>1）</w:t>
      </w:r>
      <w:r>
        <w:rPr>
          <w:rFonts w:hint="eastAsia" w:ascii="宋体" w:hAnsi="宋体" w:eastAsia="宋体" w:cs="宋体"/>
          <w:b w:val="0"/>
          <w:bCs w:val="0"/>
          <w:i w:val="0"/>
          <w:iCs w:val="0"/>
          <w:color w:val="auto"/>
          <w:sz w:val="24"/>
          <w:szCs w:val="24"/>
          <w:highlight w:val="none"/>
        </w:rPr>
        <w:t>不同供应商的响应文件由同一单位或者个人编制；</w:t>
      </w:r>
    </w:p>
    <w:p w14:paraId="2B2A7ABE">
      <w:pPr>
        <w:pStyle w:val="57"/>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b w:val="0"/>
          <w:bCs w:val="0"/>
          <w:i w:val="0"/>
          <w:iCs w:val="0"/>
          <w:color w:val="auto"/>
          <w:sz w:val="24"/>
          <w:szCs w:val="24"/>
          <w:highlight w:val="none"/>
        </w:rPr>
      </w:pPr>
      <w:r>
        <w:rPr>
          <w:rFonts w:hint="eastAsia" w:ascii="宋体" w:hAnsi="宋体" w:eastAsia="宋体" w:cs="宋体"/>
          <w:b w:val="0"/>
          <w:bCs w:val="0"/>
          <w:i w:val="0"/>
          <w:iCs w:val="0"/>
          <w:color w:val="auto"/>
          <w:sz w:val="24"/>
          <w:szCs w:val="24"/>
          <w:highlight w:val="none"/>
          <w:lang w:eastAsia="zh-CN"/>
        </w:rPr>
        <w:t>（</w:t>
      </w:r>
      <w:r>
        <w:rPr>
          <w:rFonts w:hint="eastAsia" w:ascii="宋体" w:hAnsi="宋体" w:eastAsia="宋体" w:cs="宋体"/>
          <w:b w:val="0"/>
          <w:bCs w:val="0"/>
          <w:i w:val="0"/>
          <w:iCs w:val="0"/>
          <w:color w:val="auto"/>
          <w:sz w:val="24"/>
          <w:szCs w:val="24"/>
          <w:highlight w:val="none"/>
          <w:lang w:val="en-US" w:eastAsia="zh-CN"/>
        </w:rPr>
        <w:t>2）</w:t>
      </w:r>
      <w:r>
        <w:rPr>
          <w:rFonts w:hint="eastAsia" w:ascii="宋体" w:hAnsi="宋体" w:eastAsia="宋体" w:cs="宋体"/>
          <w:b w:val="0"/>
          <w:bCs w:val="0"/>
          <w:i w:val="0"/>
          <w:iCs w:val="0"/>
          <w:color w:val="auto"/>
          <w:sz w:val="24"/>
          <w:szCs w:val="24"/>
          <w:highlight w:val="none"/>
        </w:rPr>
        <w:t>不同供应商委托同一单位或者个人办理</w:t>
      </w:r>
      <w:r>
        <w:rPr>
          <w:rFonts w:hint="eastAsia" w:ascii="宋体" w:hAnsi="宋体" w:eastAsia="宋体" w:cs="宋体"/>
          <w:b w:val="0"/>
          <w:bCs w:val="0"/>
          <w:i w:val="0"/>
          <w:iCs w:val="0"/>
          <w:color w:val="auto"/>
          <w:sz w:val="24"/>
          <w:szCs w:val="24"/>
          <w:highlight w:val="none"/>
          <w:lang w:val="en-US" w:eastAsia="zh-CN"/>
        </w:rPr>
        <w:t>磋商响应</w:t>
      </w:r>
      <w:r>
        <w:rPr>
          <w:rFonts w:hint="eastAsia" w:ascii="宋体" w:hAnsi="宋体" w:eastAsia="宋体" w:cs="宋体"/>
          <w:b w:val="0"/>
          <w:bCs w:val="0"/>
          <w:i w:val="0"/>
          <w:iCs w:val="0"/>
          <w:color w:val="auto"/>
          <w:sz w:val="24"/>
          <w:szCs w:val="24"/>
          <w:highlight w:val="none"/>
        </w:rPr>
        <w:t>事宜；</w:t>
      </w:r>
    </w:p>
    <w:p w14:paraId="4EE2FB0A">
      <w:pPr>
        <w:pStyle w:val="57"/>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b w:val="0"/>
          <w:bCs w:val="0"/>
          <w:i w:val="0"/>
          <w:iCs w:val="0"/>
          <w:color w:val="auto"/>
          <w:sz w:val="24"/>
          <w:szCs w:val="24"/>
          <w:highlight w:val="none"/>
        </w:rPr>
      </w:pPr>
      <w:r>
        <w:rPr>
          <w:rFonts w:hint="eastAsia" w:ascii="宋体" w:hAnsi="宋体" w:eastAsia="宋体" w:cs="宋体"/>
          <w:b w:val="0"/>
          <w:bCs w:val="0"/>
          <w:i w:val="0"/>
          <w:iCs w:val="0"/>
          <w:color w:val="auto"/>
          <w:sz w:val="24"/>
          <w:szCs w:val="24"/>
          <w:highlight w:val="none"/>
          <w:lang w:eastAsia="zh-CN"/>
        </w:rPr>
        <w:t>（</w:t>
      </w:r>
      <w:r>
        <w:rPr>
          <w:rFonts w:hint="eastAsia" w:ascii="宋体" w:hAnsi="宋体" w:eastAsia="宋体" w:cs="宋体"/>
          <w:b w:val="0"/>
          <w:bCs w:val="0"/>
          <w:i w:val="0"/>
          <w:iCs w:val="0"/>
          <w:color w:val="auto"/>
          <w:sz w:val="24"/>
          <w:szCs w:val="24"/>
          <w:highlight w:val="none"/>
          <w:lang w:val="en-US" w:eastAsia="zh-CN"/>
        </w:rPr>
        <w:t>3）</w:t>
      </w:r>
      <w:r>
        <w:rPr>
          <w:rFonts w:hint="eastAsia" w:ascii="宋体" w:hAnsi="宋体" w:eastAsia="宋体" w:cs="宋体"/>
          <w:b w:val="0"/>
          <w:bCs w:val="0"/>
          <w:i w:val="0"/>
          <w:iCs w:val="0"/>
          <w:color w:val="auto"/>
          <w:sz w:val="24"/>
          <w:szCs w:val="24"/>
          <w:highlight w:val="none"/>
        </w:rPr>
        <w:t>不同供应商的响应文件载明的项目管理成员或者联系人员为同一人；</w:t>
      </w:r>
    </w:p>
    <w:p w14:paraId="53A78381">
      <w:pPr>
        <w:pStyle w:val="57"/>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b w:val="0"/>
          <w:bCs w:val="0"/>
          <w:i w:val="0"/>
          <w:iCs w:val="0"/>
          <w:color w:val="auto"/>
          <w:sz w:val="24"/>
          <w:szCs w:val="24"/>
          <w:highlight w:val="none"/>
        </w:rPr>
      </w:pPr>
      <w:r>
        <w:rPr>
          <w:rFonts w:hint="eastAsia" w:ascii="宋体" w:hAnsi="宋体" w:eastAsia="宋体" w:cs="宋体"/>
          <w:b w:val="0"/>
          <w:bCs w:val="0"/>
          <w:i w:val="0"/>
          <w:iCs w:val="0"/>
          <w:color w:val="auto"/>
          <w:sz w:val="24"/>
          <w:szCs w:val="24"/>
          <w:highlight w:val="none"/>
          <w:lang w:eastAsia="zh-CN"/>
        </w:rPr>
        <w:t>（</w:t>
      </w:r>
      <w:r>
        <w:rPr>
          <w:rFonts w:hint="eastAsia" w:ascii="宋体" w:hAnsi="宋体" w:eastAsia="宋体" w:cs="宋体"/>
          <w:b w:val="0"/>
          <w:bCs w:val="0"/>
          <w:i w:val="0"/>
          <w:iCs w:val="0"/>
          <w:color w:val="auto"/>
          <w:sz w:val="24"/>
          <w:szCs w:val="24"/>
          <w:highlight w:val="none"/>
          <w:lang w:val="en-US" w:eastAsia="zh-CN"/>
        </w:rPr>
        <w:t>4）</w:t>
      </w:r>
      <w:r>
        <w:rPr>
          <w:rFonts w:hint="eastAsia" w:ascii="宋体" w:hAnsi="宋体" w:eastAsia="宋体" w:cs="宋体"/>
          <w:b w:val="0"/>
          <w:bCs w:val="0"/>
          <w:i w:val="0"/>
          <w:iCs w:val="0"/>
          <w:color w:val="auto"/>
          <w:sz w:val="24"/>
          <w:szCs w:val="24"/>
          <w:highlight w:val="none"/>
        </w:rPr>
        <w:t>不同供应商的响应文件异常一致或者</w:t>
      </w:r>
      <w:r>
        <w:rPr>
          <w:rFonts w:hint="eastAsia" w:ascii="宋体" w:hAnsi="宋体" w:eastAsia="宋体" w:cs="宋体"/>
          <w:b w:val="0"/>
          <w:bCs w:val="0"/>
          <w:i w:val="0"/>
          <w:iCs w:val="0"/>
          <w:color w:val="auto"/>
          <w:sz w:val="24"/>
          <w:szCs w:val="24"/>
          <w:highlight w:val="none"/>
          <w:lang w:val="en-US" w:eastAsia="zh-CN"/>
        </w:rPr>
        <w:t>磋商</w:t>
      </w:r>
      <w:r>
        <w:rPr>
          <w:rFonts w:hint="eastAsia" w:ascii="宋体" w:hAnsi="宋体" w:eastAsia="宋体" w:cs="宋体"/>
          <w:b w:val="0"/>
          <w:bCs w:val="0"/>
          <w:i w:val="0"/>
          <w:iCs w:val="0"/>
          <w:color w:val="auto"/>
          <w:sz w:val="24"/>
          <w:szCs w:val="24"/>
          <w:highlight w:val="none"/>
        </w:rPr>
        <w:t>报价呈规律性差异；</w:t>
      </w:r>
    </w:p>
    <w:p w14:paraId="60D5A539">
      <w:pPr>
        <w:pStyle w:val="57"/>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b w:val="0"/>
          <w:bCs w:val="0"/>
          <w:i w:val="0"/>
          <w:iCs w:val="0"/>
          <w:color w:val="auto"/>
          <w:sz w:val="24"/>
          <w:szCs w:val="24"/>
          <w:highlight w:val="none"/>
        </w:rPr>
      </w:pPr>
      <w:r>
        <w:rPr>
          <w:rFonts w:hint="eastAsia" w:ascii="宋体" w:hAnsi="宋体" w:eastAsia="宋体" w:cs="宋体"/>
          <w:b w:val="0"/>
          <w:bCs w:val="0"/>
          <w:i w:val="0"/>
          <w:iCs w:val="0"/>
          <w:color w:val="auto"/>
          <w:sz w:val="24"/>
          <w:szCs w:val="24"/>
          <w:highlight w:val="none"/>
          <w:lang w:eastAsia="zh-CN"/>
        </w:rPr>
        <w:t>（</w:t>
      </w:r>
      <w:r>
        <w:rPr>
          <w:rFonts w:hint="eastAsia" w:ascii="宋体" w:hAnsi="宋体" w:eastAsia="宋体" w:cs="宋体"/>
          <w:b w:val="0"/>
          <w:bCs w:val="0"/>
          <w:i w:val="0"/>
          <w:iCs w:val="0"/>
          <w:color w:val="auto"/>
          <w:sz w:val="24"/>
          <w:szCs w:val="24"/>
          <w:highlight w:val="none"/>
          <w:lang w:val="en-US" w:eastAsia="zh-CN"/>
        </w:rPr>
        <w:t>5）</w:t>
      </w:r>
      <w:r>
        <w:rPr>
          <w:rFonts w:hint="eastAsia" w:ascii="宋体" w:hAnsi="宋体" w:eastAsia="宋体" w:cs="宋体"/>
          <w:b w:val="0"/>
          <w:bCs w:val="0"/>
          <w:i w:val="0"/>
          <w:iCs w:val="0"/>
          <w:color w:val="auto"/>
          <w:sz w:val="24"/>
          <w:szCs w:val="24"/>
          <w:highlight w:val="none"/>
        </w:rPr>
        <w:t>不同供应商的响应文件相互混装；</w:t>
      </w:r>
    </w:p>
    <w:p w14:paraId="2FF50D83">
      <w:pPr>
        <w:pStyle w:val="57"/>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b w:val="0"/>
          <w:bCs w:val="0"/>
          <w:i w:val="0"/>
          <w:iCs w:val="0"/>
          <w:color w:val="auto"/>
          <w:sz w:val="24"/>
          <w:szCs w:val="24"/>
          <w:highlight w:val="none"/>
          <w:lang w:val="en-US" w:eastAsia="zh-CN"/>
        </w:rPr>
      </w:pPr>
      <w:r>
        <w:rPr>
          <w:rFonts w:hint="eastAsia" w:ascii="宋体" w:hAnsi="宋体" w:eastAsia="宋体" w:cs="宋体"/>
          <w:b w:val="0"/>
          <w:bCs w:val="0"/>
          <w:i w:val="0"/>
          <w:iCs w:val="0"/>
          <w:color w:val="auto"/>
          <w:sz w:val="24"/>
          <w:szCs w:val="24"/>
          <w:highlight w:val="none"/>
          <w:lang w:eastAsia="zh-CN"/>
        </w:rPr>
        <w:t>（</w:t>
      </w:r>
      <w:r>
        <w:rPr>
          <w:rFonts w:hint="eastAsia" w:ascii="宋体" w:hAnsi="宋体" w:eastAsia="宋体" w:cs="宋体"/>
          <w:b w:val="0"/>
          <w:bCs w:val="0"/>
          <w:i w:val="0"/>
          <w:iCs w:val="0"/>
          <w:color w:val="auto"/>
          <w:sz w:val="24"/>
          <w:szCs w:val="24"/>
          <w:highlight w:val="none"/>
          <w:lang w:val="en-US" w:eastAsia="zh-CN"/>
        </w:rPr>
        <w:t>6）</w:t>
      </w:r>
      <w:r>
        <w:rPr>
          <w:rFonts w:hint="eastAsia" w:ascii="宋体" w:hAnsi="宋体" w:eastAsia="宋体" w:cs="宋体"/>
          <w:b w:val="0"/>
          <w:bCs w:val="0"/>
          <w:i w:val="0"/>
          <w:iCs w:val="0"/>
          <w:color w:val="auto"/>
          <w:sz w:val="24"/>
          <w:szCs w:val="24"/>
          <w:highlight w:val="none"/>
        </w:rPr>
        <w:t>不同供应商的磋商保证金从同一单位或者个人的账户转出</w:t>
      </w:r>
      <w:r>
        <w:rPr>
          <w:rFonts w:hint="eastAsia" w:ascii="宋体" w:hAnsi="宋体" w:eastAsia="宋体" w:cs="宋体"/>
          <w:b w:val="0"/>
          <w:bCs w:val="0"/>
          <w:i w:val="0"/>
          <w:iCs w:val="0"/>
          <w:color w:val="auto"/>
          <w:sz w:val="24"/>
          <w:szCs w:val="24"/>
          <w:highlight w:val="none"/>
          <w:lang w:val="en-US" w:eastAsia="zh-CN"/>
        </w:rPr>
        <w:t>；</w:t>
      </w:r>
    </w:p>
    <w:p w14:paraId="1C3AF755">
      <w:pPr>
        <w:pStyle w:val="35"/>
        <w:pageBreakBefore w:val="0"/>
        <w:kinsoku/>
        <w:overflowPunct/>
        <w:topLinePunct w:val="0"/>
        <w:autoSpaceDE/>
        <w:autoSpaceDN/>
        <w:bidi w:val="0"/>
        <w:spacing w:line="440" w:lineRule="exact"/>
        <w:textAlignment w:val="auto"/>
        <w:rPr>
          <w:rFonts w:hint="eastAsia"/>
          <w:i w:val="0"/>
          <w:iCs w:val="0"/>
          <w:color w:val="auto"/>
          <w:highlight w:val="none"/>
          <w:lang w:val="en-US" w:eastAsia="zh-CN"/>
        </w:rPr>
      </w:pPr>
      <w:r>
        <w:rPr>
          <w:rFonts w:hint="eastAsia"/>
          <w:i w:val="0"/>
          <w:iCs w:val="0"/>
          <w:color w:val="auto"/>
          <w:highlight w:val="none"/>
          <w:lang w:val="en-US" w:eastAsia="zh-CN"/>
        </w:rPr>
        <w:t>（7）</w:t>
      </w:r>
      <w:r>
        <w:rPr>
          <w:rFonts w:hint="eastAsia"/>
          <w:i w:val="0"/>
          <w:iCs w:val="0"/>
          <w:color w:val="auto"/>
          <w:highlight w:val="none"/>
          <w:lang w:val="zh-CN" w:eastAsia="zh-CN"/>
        </w:rPr>
        <w:t>不同</w:t>
      </w:r>
      <w:r>
        <w:rPr>
          <w:rFonts w:hint="eastAsia"/>
          <w:i w:val="0"/>
          <w:iCs w:val="0"/>
          <w:color w:val="auto"/>
          <w:highlight w:val="none"/>
          <w:lang w:val="en-US" w:eastAsia="zh-CN"/>
        </w:rPr>
        <w:t>供应商</w:t>
      </w:r>
      <w:r>
        <w:rPr>
          <w:rFonts w:hint="eastAsia"/>
          <w:i w:val="0"/>
          <w:iCs w:val="0"/>
          <w:color w:val="auto"/>
          <w:highlight w:val="none"/>
          <w:lang w:val="zh-CN" w:eastAsia="zh-CN"/>
        </w:rPr>
        <w:t>使用同一电脑（机器特征值一致：如MAC地址等）或使用同一电子密钥，编制或上传电子</w:t>
      </w:r>
      <w:r>
        <w:rPr>
          <w:rFonts w:hint="eastAsia"/>
          <w:i w:val="0"/>
          <w:iCs w:val="0"/>
          <w:color w:val="auto"/>
          <w:highlight w:val="none"/>
          <w:lang w:val="en-US" w:eastAsia="zh-CN"/>
        </w:rPr>
        <w:t>响应</w:t>
      </w:r>
      <w:r>
        <w:rPr>
          <w:rFonts w:hint="eastAsia"/>
          <w:i w:val="0"/>
          <w:iCs w:val="0"/>
          <w:color w:val="auto"/>
          <w:highlight w:val="none"/>
          <w:lang w:val="zh-CN" w:eastAsia="zh-CN"/>
        </w:rPr>
        <w:t>文件</w:t>
      </w:r>
      <w:r>
        <w:rPr>
          <w:rFonts w:hint="eastAsia"/>
          <w:i w:val="0"/>
          <w:iCs w:val="0"/>
          <w:color w:val="auto"/>
          <w:highlight w:val="none"/>
          <w:lang w:val="en-US" w:eastAsia="zh-CN"/>
        </w:rPr>
        <w:t>；</w:t>
      </w:r>
    </w:p>
    <w:p w14:paraId="29DA958A">
      <w:pPr>
        <w:pStyle w:val="35"/>
        <w:pageBreakBefore w:val="0"/>
        <w:kinsoku/>
        <w:overflowPunct/>
        <w:topLinePunct w:val="0"/>
        <w:autoSpaceDE/>
        <w:autoSpaceDN/>
        <w:bidi w:val="0"/>
        <w:spacing w:line="440" w:lineRule="exact"/>
        <w:textAlignment w:val="auto"/>
        <w:rPr>
          <w:rFonts w:hint="eastAsia"/>
          <w:i w:val="0"/>
          <w:iCs w:val="0"/>
          <w:color w:val="auto"/>
          <w:highlight w:val="none"/>
          <w:lang w:val="en-US" w:eastAsia="zh-CN"/>
        </w:rPr>
      </w:pPr>
      <w:r>
        <w:rPr>
          <w:rFonts w:hint="eastAsia"/>
          <w:i w:val="0"/>
          <w:iCs w:val="0"/>
          <w:color w:val="auto"/>
          <w:highlight w:val="none"/>
          <w:lang w:val="en-US" w:eastAsia="zh-CN"/>
        </w:rPr>
        <w:t>（8）法律、法规、规章和竞争性磋商文件规定的其他响应无效的情形。</w:t>
      </w:r>
    </w:p>
    <w:p w14:paraId="51CFEB2F">
      <w:pPr>
        <w:pStyle w:val="57"/>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b w:val="0"/>
          <w:bCs w:val="0"/>
          <w:i w:val="0"/>
          <w:iCs w:val="0"/>
          <w:color w:val="auto"/>
          <w:sz w:val="24"/>
          <w:szCs w:val="24"/>
          <w:highlight w:val="none"/>
        </w:rPr>
      </w:pPr>
      <w:r>
        <w:rPr>
          <w:rFonts w:hint="eastAsia" w:ascii="宋体" w:hAnsi="宋体" w:eastAsia="宋体" w:cs="宋体"/>
          <w:b w:val="0"/>
          <w:bCs w:val="0"/>
          <w:i w:val="0"/>
          <w:iCs w:val="0"/>
          <w:color w:val="auto"/>
          <w:sz w:val="24"/>
          <w:szCs w:val="24"/>
          <w:highlight w:val="none"/>
          <w:lang w:val="en-US" w:eastAsia="zh-CN"/>
        </w:rPr>
        <w:t>8</w:t>
      </w:r>
      <w:r>
        <w:rPr>
          <w:rFonts w:hint="eastAsia" w:ascii="宋体" w:hAnsi="宋体" w:eastAsia="宋体" w:cs="宋体"/>
          <w:b w:val="0"/>
          <w:bCs w:val="0"/>
          <w:i w:val="0"/>
          <w:iCs w:val="0"/>
          <w:color w:val="auto"/>
          <w:sz w:val="24"/>
          <w:szCs w:val="24"/>
          <w:highlight w:val="none"/>
        </w:rPr>
        <w:t>.</w:t>
      </w:r>
      <w:r>
        <w:rPr>
          <w:rFonts w:hint="eastAsia" w:ascii="宋体" w:hAnsi="宋体" w:eastAsia="宋体" w:cs="宋体"/>
          <w:b w:val="0"/>
          <w:bCs w:val="0"/>
          <w:i w:val="0"/>
          <w:iCs w:val="0"/>
          <w:color w:val="auto"/>
          <w:sz w:val="24"/>
          <w:szCs w:val="24"/>
          <w:highlight w:val="none"/>
          <w:lang w:val="en-US" w:eastAsia="zh-CN"/>
        </w:rPr>
        <w:t>2</w:t>
      </w:r>
      <w:r>
        <w:rPr>
          <w:rFonts w:hint="eastAsia" w:ascii="宋体" w:hAnsi="宋体" w:eastAsia="宋体" w:cs="宋体"/>
          <w:b w:val="0"/>
          <w:bCs w:val="0"/>
          <w:i w:val="0"/>
          <w:iCs w:val="0"/>
          <w:color w:val="auto"/>
          <w:sz w:val="24"/>
          <w:szCs w:val="24"/>
          <w:highlight w:val="none"/>
        </w:rPr>
        <w:t xml:space="preserve"> </w:t>
      </w:r>
      <w:r>
        <w:rPr>
          <w:rFonts w:hint="eastAsia" w:ascii="宋体" w:hAnsi="宋体" w:eastAsia="宋体" w:cs="宋体"/>
          <w:b w:val="0"/>
          <w:bCs w:val="0"/>
          <w:i w:val="0"/>
          <w:iCs w:val="0"/>
          <w:color w:val="auto"/>
          <w:sz w:val="24"/>
          <w:szCs w:val="24"/>
          <w:highlight w:val="none"/>
          <w:lang w:val="en-US" w:eastAsia="zh-CN"/>
        </w:rPr>
        <w:t>磋商</w:t>
      </w:r>
      <w:r>
        <w:rPr>
          <w:rFonts w:hint="eastAsia" w:ascii="宋体" w:hAnsi="宋体" w:eastAsia="宋体" w:cs="宋体"/>
          <w:b w:val="0"/>
          <w:bCs w:val="0"/>
          <w:i w:val="0"/>
          <w:iCs w:val="0"/>
          <w:color w:val="auto"/>
          <w:sz w:val="24"/>
          <w:szCs w:val="24"/>
          <w:highlight w:val="none"/>
        </w:rPr>
        <w:t>小组应当审查</w:t>
      </w:r>
      <w:r>
        <w:rPr>
          <w:rFonts w:hint="eastAsia" w:ascii="宋体" w:hAnsi="宋体" w:eastAsia="宋体" w:cs="宋体"/>
          <w:b w:val="0"/>
          <w:bCs w:val="0"/>
          <w:i w:val="0"/>
          <w:iCs w:val="0"/>
          <w:color w:val="auto"/>
          <w:sz w:val="24"/>
          <w:szCs w:val="24"/>
          <w:highlight w:val="none"/>
          <w:lang w:val="en-US" w:eastAsia="zh-CN"/>
        </w:rPr>
        <w:t>所有供应商的</w:t>
      </w:r>
      <w:r>
        <w:rPr>
          <w:rFonts w:hint="eastAsia" w:ascii="宋体" w:hAnsi="宋体" w:eastAsia="宋体" w:cs="宋体"/>
          <w:b w:val="0"/>
          <w:bCs w:val="0"/>
          <w:i w:val="0"/>
          <w:iCs w:val="0"/>
          <w:color w:val="auto"/>
          <w:sz w:val="24"/>
          <w:szCs w:val="24"/>
          <w:highlight w:val="none"/>
        </w:rPr>
        <w:t>响应文件是否对竞争性磋商文件提出的所有实质性要求和条件做出响应。未能在实质上响应的</w:t>
      </w:r>
      <w:r>
        <w:rPr>
          <w:rFonts w:hint="eastAsia" w:ascii="宋体" w:hAnsi="宋体" w:eastAsia="宋体" w:cs="宋体"/>
          <w:b w:val="0"/>
          <w:bCs w:val="0"/>
          <w:i w:val="0"/>
          <w:iCs w:val="0"/>
          <w:color w:val="auto"/>
          <w:sz w:val="24"/>
          <w:szCs w:val="24"/>
          <w:highlight w:val="none"/>
          <w:lang w:val="en-US" w:eastAsia="zh-CN"/>
        </w:rPr>
        <w:t>供应商</w:t>
      </w:r>
      <w:r>
        <w:rPr>
          <w:rFonts w:hint="eastAsia" w:ascii="宋体" w:hAnsi="宋体" w:eastAsia="宋体" w:cs="宋体"/>
          <w:b w:val="0"/>
          <w:bCs w:val="0"/>
          <w:i w:val="0"/>
          <w:iCs w:val="0"/>
          <w:color w:val="auto"/>
          <w:sz w:val="24"/>
          <w:szCs w:val="24"/>
          <w:highlight w:val="none"/>
        </w:rPr>
        <w:t>，其</w:t>
      </w:r>
      <w:r>
        <w:rPr>
          <w:rFonts w:hint="eastAsia" w:ascii="宋体" w:hAnsi="宋体" w:eastAsia="宋体" w:cs="宋体"/>
          <w:b/>
          <w:bCs/>
          <w:i w:val="0"/>
          <w:iCs w:val="0"/>
          <w:color w:val="auto"/>
          <w:sz w:val="24"/>
          <w:szCs w:val="24"/>
          <w:highlight w:val="none"/>
          <w:lang w:val="en-US" w:eastAsia="zh-CN"/>
        </w:rPr>
        <w:t>响应无效</w:t>
      </w:r>
      <w:r>
        <w:rPr>
          <w:rFonts w:hint="eastAsia" w:ascii="宋体" w:hAnsi="宋体" w:eastAsia="宋体" w:cs="宋体"/>
          <w:b w:val="0"/>
          <w:bCs w:val="0"/>
          <w:i w:val="0"/>
          <w:iCs w:val="0"/>
          <w:color w:val="auto"/>
          <w:sz w:val="24"/>
          <w:szCs w:val="24"/>
          <w:highlight w:val="none"/>
        </w:rPr>
        <w:t>。</w:t>
      </w:r>
    </w:p>
    <w:p w14:paraId="5DBCA20D">
      <w:pPr>
        <w:pStyle w:val="35"/>
        <w:pageBreakBefore w:val="0"/>
        <w:kinsoku/>
        <w:overflowPunct/>
        <w:topLinePunct w:val="0"/>
        <w:autoSpaceDE/>
        <w:autoSpaceDN/>
        <w:bidi w:val="0"/>
        <w:spacing w:line="440" w:lineRule="exact"/>
        <w:ind w:firstLine="480"/>
        <w:textAlignment w:val="auto"/>
        <w:rPr>
          <w:rFonts w:hint="eastAsia" w:cs="Helvetica"/>
          <w:i w:val="0"/>
          <w:iCs w:val="0"/>
          <w:color w:val="auto"/>
          <w:szCs w:val="24"/>
          <w:highlight w:val="none"/>
          <w:lang w:val="zh-CN"/>
        </w:rPr>
      </w:pPr>
      <w:r>
        <w:rPr>
          <w:rFonts w:hint="eastAsia" w:ascii="宋体" w:hAnsi="宋体" w:eastAsia="宋体" w:cs="宋体"/>
          <w:b w:val="0"/>
          <w:bCs w:val="0"/>
          <w:i w:val="0"/>
          <w:iCs w:val="0"/>
          <w:color w:val="auto"/>
          <w:sz w:val="24"/>
          <w:szCs w:val="24"/>
          <w:highlight w:val="none"/>
          <w:lang w:val="en-US" w:eastAsia="zh-CN"/>
        </w:rPr>
        <w:t>8</w:t>
      </w:r>
      <w:r>
        <w:rPr>
          <w:rFonts w:hint="eastAsia" w:ascii="宋体" w:hAnsi="宋体" w:eastAsia="宋体" w:cs="宋体"/>
          <w:b w:val="0"/>
          <w:bCs w:val="0"/>
          <w:i w:val="0"/>
          <w:iCs w:val="0"/>
          <w:color w:val="auto"/>
          <w:sz w:val="24"/>
          <w:szCs w:val="24"/>
          <w:highlight w:val="none"/>
        </w:rPr>
        <w:t>.</w:t>
      </w:r>
      <w:r>
        <w:rPr>
          <w:rFonts w:hint="eastAsia" w:ascii="宋体" w:hAnsi="宋体" w:eastAsia="宋体" w:cs="宋体"/>
          <w:b w:val="0"/>
          <w:bCs w:val="0"/>
          <w:i w:val="0"/>
          <w:iCs w:val="0"/>
          <w:color w:val="auto"/>
          <w:sz w:val="24"/>
          <w:szCs w:val="24"/>
          <w:highlight w:val="none"/>
          <w:lang w:val="en-US" w:eastAsia="zh-CN"/>
        </w:rPr>
        <w:t>3</w:t>
      </w:r>
      <w:r>
        <w:rPr>
          <w:rFonts w:hint="eastAsia" w:ascii="宋体" w:hAnsi="宋体" w:eastAsia="宋体" w:cs="宋体"/>
          <w:b w:val="0"/>
          <w:bCs w:val="0"/>
          <w:i w:val="0"/>
          <w:iCs w:val="0"/>
          <w:color w:val="auto"/>
          <w:sz w:val="24"/>
          <w:szCs w:val="24"/>
          <w:highlight w:val="none"/>
        </w:rPr>
        <w:t xml:space="preserve"> 供应商不得误导、干扰</w:t>
      </w:r>
      <w:r>
        <w:rPr>
          <w:rFonts w:hint="eastAsia" w:ascii="宋体" w:hAnsi="宋体" w:eastAsia="宋体" w:cs="宋体"/>
          <w:b w:val="0"/>
          <w:bCs w:val="0"/>
          <w:i w:val="0"/>
          <w:iCs w:val="0"/>
          <w:color w:val="auto"/>
          <w:sz w:val="24"/>
          <w:szCs w:val="24"/>
          <w:highlight w:val="none"/>
          <w:lang w:val="en-US" w:eastAsia="zh-CN"/>
        </w:rPr>
        <w:t>磋商小组</w:t>
      </w:r>
      <w:r>
        <w:rPr>
          <w:rFonts w:hint="eastAsia" w:ascii="宋体" w:hAnsi="宋体" w:eastAsia="宋体" w:cs="宋体"/>
          <w:b w:val="0"/>
          <w:bCs w:val="0"/>
          <w:i w:val="0"/>
          <w:iCs w:val="0"/>
          <w:color w:val="auto"/>
          <w:sz w:val="24"/>
          <w:szCs w:val="24"/>
          <w:highlight w:val="none"/>
        </w:rPr>
        <w:t>的评审活动，否则其</w:t>
      </w:r>
      <w:r>
        <w:rPr>
          <w:rFonts w:hint="eastAsia" w:ascii="宋体" w:hAnsi="宋体" w:eastAsia="宋体" w:cs="宋体"/>
          <w:b/>
          <w:bCs/>
          <w:i w:val="0"/>
          <w:iCs w:val="0"/>
          <w:color w:val="auto"/>
          <w:sz w:val="24"/>
          <w:szCs w:val="24"/>
          <w:highlight w:val="none"/>
          <w:lang w:val="en-US" w:eastAsia="zh-CN"/>
        </w:rPr>
        <w:t>响应无效</w:t>
      </w:r>
      <w:r>
        <w:rPr>
          <w:rFonts w:hint="eastAsia" w:ascii="宋体" w:hAnsi="宋体" w:eastAsia="宋体" w:cs="宋体"/>
          <w:b w:val="0"/>
          <w:bCs w:val="0"/>
          <w:i w:val="0"/>
          <w:iCs w:val="0"/>
          <w:color w:val="auto"/>
          <w:sz w:val="24"/>
          <w:szCs w:val="24"/>
          <w:highlight w:val="none"/>
        </w:rPr>
        <w:t>。</w:t>
      </w:r>
    </w:p>
    <w:p w14:paraId="054A61A3">
      <w:pPr>
        <w:pStyle w:val="5"/>
        <w:keepNext w:val="0"/>
        <w:keepLines w:val="0"/>
        <w:pageBreakBefore w:val="0"/>
        <w:widowControl w:val="0"/>
        <w:numPr>
          <w:ilvl w:val="0"/>
          <w:numId w:val="0"/>
        </w:numPr>
        <w:kinsoku/>
        <w:wordWrap/>
        <w:overflowPunct/>
        <w:topLinePunct w:val="0"/>
        <w:autoSpaceDE/>
        <w:autoSpaceDN/>
        <w:bidi w:val="0"/>
        <w:adjustRightInd/>
        <w:snapToGrid/>
        <w:spacing w:before="80" w:after="60" w:line="440" w:lineRule="exact"/>
        <w:ind w:left="420" w:leftChars="0" w:hanging="420" w:firstLineChars="0"/>
        <w:textAlignment w:val="auto"/>
        <w:rPr>
          <w:rFonts w:hint="eastAsia" w:ascii="宋体" w:hAnsi="宋体" w:eastAsia="宋体" w:cs="宋体"/>
          <w:b/>
          <w:bCs/>
          <w:i w:val="0"/>
          <w:iCs w:val="0"/>
          <w:color w:val="auto"/>
          <w:kern w:val="2"/>
          <w:sz w:val="24"/>
          <w:szCs w:val="24"/>
          <w:highlight w:val="none"/>
          <w:lang w:val="en-US" w:eastAsia="zh-CN" w:bidi="ar-SA"/>
        </w:rPr>
      </w:pPr>
      <w:bookmarkStart w:id="407" w:name="_Toc102057718"/>
      <w:bookmarkStart w:id="408" w:name="_Toc102116022"/>
      <w:bookmarkStart w:id="409" w:name="_Toc102114920"/>
      <w:bookmarkStart w:id="410" w:name="_Toc102116152"/>
      <w:bookmarkStart w:id="411" w:name="_Toc102119853"/>
      <w:bookmarkStart w:id="412" w:name="_Toc102056218"/>
      <w:r>
        <w:rPr>
          <w:rFonts w:hint="eastAsia" w:ascii="宋体" w:hAnsi="宋体" w:eastAsia="宋体" w:cs="宋体"/>
          <w:b/>
          <w:bCs/>
          <w:i w:val="0"/>
          <w:iCs w:val="0"/>
          <w:color w:val="auto"/>
          <w:kern w:val="2"/>
          <w:sz w:val="24"/>
          <w:szCs w:val="24"/>
          <w:highlight w:val="none"/>
          <w:lang w:val="en-US" w:eastAsia="zh-CN" w:bidi="ar-SA"/>
        </w:rPr>
        <w:t>9.停止评审的情形</w:t>
      </w:r>
      <w:bookmarkEnd w:id="407"/>
      <w:bookmarkEnd w:id="408"/>
      <w:bookmarkEnd w:id="409"/>
      <w:bookmarkEnd w:id="410"/>
      <w:bookmarkEnd w:id="411"/>
      <w:bookmarkEnd w:id="412"/>
    </w:p>
    <w:p w14:paraId="58A3D9D5">
      <w:pPr>
        <w:keepNext w:val="0"/>
        <w:keepLines w:val="0"/>
        <w:pageBreakBefore w:val="0"/>
        <w:widowControl/>
        <w:suppressLineNumbers w:val="0"/>
        <w:kinsoku/>
        <w:overflowPunct/>
        <w:topLinePunct w:val="0"/>
        <w:autoSpaceDE/>
        <w:autoSpaceDN/>
        <w:bidi w:val="0"/>
        <w:spacing w:line="440" w:lineRule="exact"/>
        <w:ind w:firstLine="480" w:firstLineChars="200"/>
        <w:jc w:val="left"/>
        <w:textAlignment w:val="auto"/>
        <w:rPr>
          <w:rFonts w:hint="eastAsia" w:ascii="宋体" w:hAnsi="宋体" w:eastAsia="宋体" w:cstheme="minorBidi"/>
          <w:i w:val="0"/>
          <w:iCs w:val="0"/>
          <w:color w:val="auto"/>
          <w:kern w:val="2"/>
          <w:sz w:val="24"/>
          <w:szCs w:val="22"/>
          <w:highlight w:val="none"/>
          <w:lang w:val="zh-CN" w:eastAsia="zh-CN" w:bidi="ar-SA"/>
        </w:rPr>
      </w:pPr>
      <w:r>
        <w:rPr>
          <w:rFonts w:hint="eastAsia" w:ascii="宋体" w:hAnsi="宋体" w:eastAsia="宋体" w:cstheme="minorBidi"/>
          <w:i w:val="0"/>
          <w:iCs w:val="0"/>
          <w:color w:val="auto"/>
          <w:kern w:val="2"/>
          <w:sz w:val="24"/>
          <w:szCs w:val="22"/>
          <w:highlight w:val="none"/>
          <w:lang w:val="en-US" w:eastAsia="zh-CN" w:bidi="ar-SA"/>
        </w:rPr>
        <w:t>9</w:t>
      </w:r>
      <w:r>
        <w:rPr>
          <w:rFonts w:hint="eastAsia" w:ascii="宋体" w:hAnsi="宋体" w:eastAsia="宋体" w:cstheme="minorBidi"/>
          <w:i w:val="0"/>
          <w:iCs w:val="0"/>
          <w:color w:val="auto"/>
          <w:kern w:val="2"/>
          <w:sz w:val="24"/>
          <w:szCs w:val="22"/>
          <w:highlight w:val="none"/>
          <w:lang w:val="zh-CN" w:eastAsia="zh-CN" w:bidi="ar-SA"/>
        </w:rPr>
        <w:t>.1</w:t>
      </w:r>
      <w:r>
        <w:rPr>
          <w:rFonts w:hint="eastAsia" w:ascii="宋体" w:hAnsi="宋体" w:eastAsia="宋体" w:cstheme="minorBidi"/>
          <w:i w:val="0"/>
          <w:iCs w:val="0"/>
          <w:color w:val="auto"/>
          <w:kern w:val="2"/>
          <w:sz w:val="24"/>
          <w:szCs w:val="22"/>
          <w:highlight w:val="none"/>
          <w:lang w:val="en-US" w:eastAsia="zh-CN" w:bidi="ar-SA"/>
        </w:rPr>
        <w:t>磋商小组在评审过程中发现供应商有行贿、提供虚假材料或者串通等违法行为的，应当及时向财政部门报告。</w:t>
      </w:r>
    </w:p>
    <w:p w14:paraId="51B564B3">
      <w:pPr>
        <w:pStyle w:val="35"/>
        <w:pageBreakBefore w:val="0"/>
        <w:kinsoku/>
        <w:overflowPunct/>
        <w:topLinePunct w:val="0"/>
        <w:autoSpaceDE/>
        <w:autoSpaceDN/>
        <w:bidi w:val="0"/>
        <w:spacing w:line="440" w:lineRule="exact"/>
        <w:ind w:firstLine="480"/>
        <w:textAlignment w:val="auto"/>
        <w:rPr>
          <w:rFonts w:hint="eastAsia"/>
          <w:i w:val="0"/>
          <w:iCs w:val="0"/>
          <w:color w:val="auto"/>
          <w:highlight w:val="none"/>
          <w:lang w:val="zh-CN"/>
        </w:rPr>
      </w:pPr>
      <w:r>
        <w:rPr>
          <w:rFonts w:hint="eastAsia"/>
          <w:i w:val="0"/>
          <w:iCs w:val="0"/>
          <w:color w:val="auto"/>
          <w:highlight w:val="none"/>
          <w:lang w:val="en-US" w:eastAsia="zh-CN"/>
        </w:rPr>
        <w:t>9.2</w:t>
      </w:r>
      <w:r>
        <w:rPr>
          <w:rFonts w:hint="eastAsia"/>
          <w:i w:val="0"/>
          <w:iCs w:val="0"/>
          <w:color w:val="auto"/>
          <w:highlight w:val="none"/>
          <w:lang w:val="zh-CN"/>
        </w:rPr>
        <w:t>磋商小组发现磋商文件存在歧义、重大缺陷导致评审工作无法进行，或者磋商文件内容违反国家有关强制性规定的，应当停止评审工作，与采购人或者采购代理机构沟通并作书面记录。采购人或者采购代理机构确认后，应当修改磋商文件，重新组织采购活动。</w:t>
      </w:r>
    </w:p>
    <w:p w14:paraId="72A0944C">
      <w:pPr>
        <w:pStyle w:val="3"/>
        <w:keepNext w:val="0"/>
        <w:keepLines w:val="0"/>
        <w:pageBreakBefore w:val="0"/>
        <w:widowControl w:val="0"/>
        <w:numPr>
          <w:ilvl w:val="0"/>
          <w:numId w:val="0"/>
        </w:numPr>
        <w:kinsoku/>
        <w:wordWrap/>
        <w:overflowPunct/>
        <w:topLinePunct w:val="0"/>
        <w:autoSpaceDE/>
        <w:autoSpaceDN/>
        <w:bidi w:val="0"/>
        <w:adjustRightInd/>
        <w:snapToGrid/>
        <w:spacing w:before="120" w:after="120" w:line="440" w:lineRule="exact"/>
        <w:ind w:left="420" w:leftChars="0" w:hanging="420" w:firstLineChars="0"/>
        <w:textAlignment w:val="auto"/>
        <w:rPr>
          <w:rFonts w:hint="default"/>
          <w:i w:val="0"/>
          <w:iCs w:val="0"/>
          <w:color w:val="auto"/>
          <w:sz w:val="28"/>
          <w:szCs w:val="28"/>
          <w:highlight w:val="none"/>
          <w:lang w:val="en-US" w:eastAsia="zh-CN"/>
        </w:rPr>
      </w:pPr>
      <w:bookmarkStart w:id="413" w:name="_Toc1684"/>
      <w:r>
        <w:rPr>
          <w:rFonts w:hint="eastAsia"/>
          <w:i w:val="0"/>
          <w:iCs w:val="0"/>
          <w:color w:val="auto"/>
          <w:sz w:val="28"/>
          <w:szCs w:val="28"/>
          <w:highlight w:val="none"/>
          <w:lang w:val="en-US" w:eastAsia="zh-CN"/>
        </w:rPr>
        <w:t>三、</w:t>
      </w:r>
      <w:r>
        <w:rPr>
          <w:rFonts w:hint="eastAsia"/>
          <w:i w:val="0"/>
          <w:iCs w:val="0"/>
          <w:color w:val="auto"/>
          <w:sz w:val="28"/>
          <w:szCs w:val="28"/>
          <w:highlight w:val="none"/>
          <w:lang w:val="zh-CN" w:eastAsia="zh-CN"/>
        </w:rPr>
        <w:t>评审</w:t>
      </w:r>
      <w:r>
        <w:rPr>
          <w:rFonts w:hint="eastAsia"/>
          <w:i w:val="0"/>
          <w:iCs w:val="0"/>
          <w:color w:val="auto"/>
          <w:sz w:val="28"/>
          <w:szCs w:val="28"/>
          <w:highlight w:val="none"/>
          <w:lang w:val="en-US" w:eastAsia="zh-CN"/>
        </w:rPr>
        <w:t>其他要求</w:t>
      </w:r>
      <w:bookmarkEnd w:id="413"/>
    </w:p>
    <w:p w14:paraId="3B9B7B2C">
      <w:pPr>
        <w:pStyle w:val="35"/>
        <w:keepNext w:val="0"/>
        <w:keepLines w:val="0"/>
        <w:pageBreakBefore w:val="0"/>
        <w:widowControl w:val="0"/>
        <w:kinsoku/>
        <w:overflowPunct/>
        <w:topLinePunct w:val="0"/>
        <w:autoSpaceDE/>
        <w:autoSpaceDN/>
        <w:bidi w:val="0"/>
        <w:adjustRightInd/>
        <w:snapToGrid/>
        <w:spacing w:line="440" w:lineRule="exact"/>
        <w:ind w:firstLine="480" w:firstLineChars="0"/>
        <w:textAlignment w:val="auto"/>
        <w:rPr>
          <w:rFonts w:hint="eastAsia"/>
          <w:i w:val="0"/>
          <w:iCs w:val="0"/>
          <w:color w:val="auto"/>
          <w:highlight w:val="none"/>
          <w:shd w:val="clear" w:color="auto" w:fill="CCE8CF" w:themeFill="background1"/>
          <w:lang w:val="en-US" w:eastAsia="zh-CN"/>
        </w:rPr>
      </w:pPr>
      <w:r>
        <w:rPr>
          <w:rFonts w:hint="eastAsia"/>
          <w:i w:val="0"/>
          <w:iCs w:val="0"/>
          <w:color w:val="auto"/>
          <w:highlight w:val="none"/>
          <w:shd w:val="clear" w:color="auto" w:fill="CCE8CF" w:themeFill="background1"/>
          <w:lang w:val="zh-CN" w:eastAsia="zh-CN"/>
        </w:rPr>
        <w:t>【</w:t>
      </w:r>
      <w:r>
        <w:rPr>
          <w:rFonts w:hint="eastAsia"/>
          <w:i w:val="0"/>
          <w:iCs w:val="0"/>
          <w:color w:val="auto"/>
          <w:highlight w:val="none"/>
          <w:shd w:val="clear" w:color="auto" w:fill="CCE8CF" w:themeFill="background1"/>
          <w:lang w:val="en-US" w:eastAsia="zh-CN"/>
        </w:rPr>
        <w:t>可根据项目的情况增加上述内容中未包含的要求</w:t>
      </w:r>
      <w:r>
        <w:rPr>
          <w:rFonts w:hint="eastAsia"/>
          <w:i w:val="0"/>
          <w:iCs w:val="0"/>
          <w:color w:val="auto"/>
          <w:highlight w:val="none"/>
          <w:shd w:val="clear" w:color="auto" w:fill="CCE8CF" w:themeFill="background1"/>
          <w:lang w:val="zh-CN" w:eastAsia="zh-CN"/>
        </w:rPr>
        <w:t>】</w:t>
      </w:r>
    </w:p>
    <w:p w14:paraId="137D6C01">
      <w:pPr>
        <w:pStyle w:val="3"/>
        <w:keepNext w:val="0"/>
        <w:keepLines w:val="0"/>
        <w:pageBreakBefore w:val="0"/>
        <w:widowControl w:val="0"/>
        <w:numPr>
          <w:ilvl w:val="0"/>
          <w:numId w:val="0"/>
        </w:numPr>
        <w:kinsoku/>
        <w:wordWrap/>
        <w:overflowPunct/>
        <w:topLinePunct w:val="0"/>
        <w:autoSpaceDE/>
        <w:autoSpaceDN/>
        <w:bidi w:val="0"/>
        <w:adjustRightInd/>
        <w:snapToGrid/>
        <w:spacing w:before="60" w:after="60" w:line="440" w:lineRule="exact"/>
        <w:ind w:left="420" w:leftChars="0" w:hanging="420" w:firstLineChars="0"/>
        <w:textAlignment w:val="auto"/>
        <w:rPr>
          <w:rFonts w:hint="eastAsia"/>
          <w:i w:val="0"/>
          <w:iCs w:val="0"/>
          <w:color w:val="auto"/>
          <w:sz w:val="28"/>
          <w:szCs w:val="28"/>
          <w:highlight w:val="none"/>
          <w:lang w:val="en-US" w:eastAsia="zh-CN"/>
        </w:rPr>
      </w:pPr>
    </w:p>
    <w:p w14:paraId="76EAAD71">
      <w:pPr>
        <w:pStyle w:val="3"/>
        <w:keepNext w:val="0"/>
        <w:keepLines w:val="0"/>
        <w:pageBreakBefore w:val="0"/>
        <w:widowControl w:val="0"/>
        <w:numPr>
          <w:ilvl w:val="0"/>
          <w:numId w:val="0"/>
        </w:numPr>
        <w:kinsoku/>
        <w:wordWrap/>
        <w:overflowPunct/>
        <w:topLinePunct w:val="0"/>
        <w:autoSpaceDE/>
        <w:autoSpaceDN/>
        <w:bidi w:val="0"/>
        <w:adjustRightInd/>
        <w:snapToGrid/>
        <w:spacing w:before="60" w:after="60" w:line="440" w:lineRule="exact"/>
        <w:ind w:left="420" w:leftChars="0" w:hanging="420" w:firstLineChars="0"/>
        <w:textAlignment w:val="auto"/>
        <w:rPr>
          <w:rFonts w:hint="eastAsia"/>
          <w:i w:val="0"/>
          <w:iCs w:val="0"/>
          <w:color w:val="auto"/>
          <w:sz w:val="28"/>
          <w:szCs w:val="28"/>
          <w:highlight w:val="none"/>
          <w:lang w:val="en-US" w:eastAsia="zh-CN"/>
        </w:rPr>
      </w:pPr>
    </w:p>
    <w:p w14:paraId="312FECB4">
      <w:pPr>
        <w:pStyle w:val="3"/>
        <w:keepNext w:val="0"/>
        <w:keepLines w:val="0"/>
        <w:pageBreakBefore w:val="0"/>
        <w:widowControl w:val="0"/>
        <w:numPr>
          <w:ilvl w:val="0"/>
          <w:numId w:val="0"/>
        </w:numPr>
        <w:kinsoku/>
        <w:wordWrap/>
        <w:overflowPunct/>
        <w:topLinePunct w:val="0"/>
        <w:autoSpaceDE/>
        <w:autoSpaceDN/>
        <w:bidi w:val="0"/>
        <w:adjustRightInd/>
        <w:snapToGrid/>
        <w:spacing w:before="60" w:after="60" w:line="440" w:lineRule="exact"/>
        <w:ind w:left="420" w:leftChars="0" w:hanging="420" w:firstLineChars="0"/>
        <w:textAlignment w:val="auto"/>
        <w:rPr>
          <w:rFonts w:hint="eastAsia"/>
          <w:i w:val="0"/>
          <w:iCs w:val="0"/>
          <w:color w:val="auto"/>
          <w:sz w:val="28"/>
          <w:szCs w:val="28"/>
          <w:highlight w:val="none"/>
          <w:lang w:val="en-US" w:eastAsia="zh-CN"/>
        </w:rPr>
      </w:pPr>
    </w:p>
    <w:p w14:paraId="7DAD1ED7">
      <w:pPr>
        <w:pStyle w:val="3"/>
        <w:keepNext w:val="0"/>
        <w:keepLines w:val="0"/>
        <w:pageBreakBefore w:val="0"/>
        <w:widowControl w:val="0"/>
        <w:numPr>
          <w:ilvl w:val="0"/>
          <w:numId w:val="0"/>
        </w:numPr>
        <w:kinsoku/>
        <w:wordWrap/>
        <w:overflowPunct/>
        <w:topLinePunct w:val="0"/>
        <w:autoSpaceDE/>
        <w:autoSpaceDN/>
        <w:bidi w:val="0"/>
        <w:adjustRightInd/>
        <w:snapToGrid/>
        <w:spacing w:before="120" w:after="120" w:line="440" w:lineRule="exact"/>
        <w:ind w:left="420" w:leftChars="0" w:hanging="420" w:firstLineChars="0"/>
        <w:textAlignment w:val="auto"/>
        <w:rPr>
          <w:rFonts w:hint="eastAsia"/>
          <w:i w:val="0"/>
          <w:iCs w:val="0"/>
          <w:color w:val="auto"/>
          <w:sz w:val="28"/>
          <w:szCs w:val="28"/>
          <w:highlight w:val="none"/>
          <w:lang w:val="zh-CN" w:eastAsia="zh-CN"/>
        </w:rPr>
      </w:pPr>
      <w:bookmarkStart w:id="414" w:name="_Toc32478"/>
      <w:r>
        <w:rPr>
          <w:rFonts w:hint="eastAsia"/>
          <w:i w:val="0"/>
          <w:iCs w:val="0"/>
          <w:color w:val="auto"/>
          <w:sz w:val="28"/>
          <w:szCs w:val="28"/>
          <w:highlight w:val="none"/>
          <w:lang w:val="en-US" w:eastAsia="zh-CN"/>
        </w:rPr>
        <w:t>四、</w:t>
      </w:r>
      <w:r>
        <w:rPr>
          <w:rFonts w:hint="eastAsia"/>
          <w:i w:val="0"/>
          <w:iCs w:val="0"/>
          <w:color w:val="auto"/>
          <w:sz w:val="28"/>
          <w:szCs w:val="28"/>
          <w:highlight w:val="none"/>
          <w:lang w:val="zh-CN" w:eastAsia="zh-CN"/>
        </w:rPr>
        <w:t>评审标准</w:t>
      </w:r>
      <w:bookmarkEnd w:id="414"/>
    </w:p>
    <w:p w14:paraId="79FEBCCF">
      <w:pPr>
        <w:pStyle w:val="4"/>
        <w:keepNext/>
        <w:keepLines/>
        <w:pageBreakBefore w:val="0"/>
        <w:widowControl w:val="0"/>
        <w:numPr>
          <w:ilvl w:val="0"/>
          <w:numId w:val="0"/>
        </w:numPr>
        <w:kinsoku/>
        <w:wordWrap/>
        <w:overflowPunct/>
        <w:topLinePunct w:val="0"/>
        <w:autoSpaceDE/>
        <w:autoSpaceDN/>
        <w:bidi w:val="0"/>
        <w:adjustRightInd/>
        <w:snapToGrid/>
        <w:spacing w:before="80" w:after="80" w:line="440" w:lineRule="exact"/>
        <w:ind w:left="420" w:leftChars="0" w:hanging="420" w:firstLineChars="0"/>
        <w:textAlignment w:val="auto"/>
        <w:rPr>
          <w:rFonts w:hint="eastAsia" w:ascii="宋体" w:hAnsi="宋体" w:eastAsia="宋体" w:cs="宋体"/>
          <w:b/>
          <w:bCs/>
          <w:i w:val="0"/>
          <w:iCs w:val="0"/>
          <w:color w:val="auto"/>
          <w:kern w:val="2"/>
          <w:sz w:val="24"/>
          <w:szCs w:val="24"/>
          <w:highlight w:val="none"/>
          <w:lang w:val="zh-CN" w:eastAsia="zh-CN" w:bidi="ar-SA"/>
        </w:rPr>
      </w:pPr>
      <w:bookmarkStart w:id="415" w:name="_Toc163493638"/>
      <w:bookmarkStart w:id="416" w:name="_Toc15052"/>
      <w:bookmarkStart w:id="417" w:name="_Toc4370"/>
      <w:r>
        <w:rPr>
          <w:rFonts w:hint="eastAsia" w:ascii="宋体" w:hAnsi="宋体" w:eastAsia="宋体" w:cs="宋体"/>
          <w:b/>
          <w:bCs/>
          <w:i w:val="0"/>
          <w:iCs w:val="0"/>
          <w:color w:val="auto"/>
          <w:kern w:val="2"/>
          <w:sz w:val="24"/>
          <w:szCs w:val="24"/>
          <w:highlight w:val="none"/>
          <w:lang w:val="en-US" w:eastAsia="zh-CN" w:bidi="ar-SA"/>
        </w:rPr>
        <w:t>（一）</w:t>
      </w:r>
      <w:r>
        <w:rPr>
          <w:rFonts w:hint="eastAsia" w:ascii="宋体" w:hAnsi="宋体" w:eastAsia="宋体" w:cs="宋体"/>
          <w:b/>
          <w:bCs/>
          <w:i w:val="0"/>
          <w:iCs w:val="0"/>
          <w:color w:val="auto"/>
          <w:kern w:val="2"/>
          <w:sz w:val="24"/>
          <w:szCs w:val="24"/>
          <w:highlight w:val="none"/>
          <w:lang w:val="zh-CN" w:eastAsia="zh-CN" w:bidi="ar-SA"/>
        </w:rPr>
        <w:t>资格审查表</w:t>
      </w:r>
      <w:bookmarkEnd w:id="415"/>
      <w:bookmarkEnd w:id="416"/>
      <w:bookmarkEnd w:id="417"/>
    </w:p>
    <w:tbl>
      <w:tblPr>
        <w:tblStyle w:val="28"/>
        <w:tblW w:w="490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
      <w:tblGrid>
        <w:gridCol w:w="741"/>
        <w:gridCol w:w="1429"/>
        <w:gridCol w:w="5360"/>
        <w:gridCol w:w="842"/>
      </w:tblGrid>
      <w:tr w14:paraId="7FB06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454" w:hRule="atLeast"/>
          <w:jc w:val="center"/>
        </w:trPr>
        <w:tc>
          <w:tcPr>
            <w:tcW w:w="442" w:type="pct"/>
            <w:shd w:val="clear" w:color="auto" w:fill="9FD3A4" w:themeFill="background1" w:themeFillShade="D9"/>
            <w:vAlign w:val="center"/>
          </w:tcPr>
          <w:p w14:paraId="5B9DF5CD">
            <w:pPr>
              <w:pStyle w:val="46"/>
              <w:keepNext w:val="0"/>
              <w:keepLines w:val="0"/>
              <w:pageBreakBefore w:val="0"/>
              <w:kinsoku/>
              <w:wordWrap/>
              <w:overflowPunct/>
              <w:topLinePunct w:val="0"/>
              <w:autoSpaceDE/>
              <w:autoSpaceDN/>
              <w:bidi w:val="0"/>
              <w:adjustRightInd/>
              <w:snapToGrid/>
              <w:jc w:val="center"/>
              <w:textAlignment w:val="auto"/>
              <w:rPr>
                <w:rFonts w:cs="宋体"/>
                <w:b/>
                <w:bCs/>
                <w:sz w:val="24"/>
                <w:szCs w:val="24"/>
              </w:rPr>
            </w:pPr>
            <w:bookmarkStart w:id="418" w:name="_Toc156490348"/>
            <w:r>
              <w:rPr>
                <w:rFonts w:hint="eastAsia" w:cs="宋体"/>
                <w:b/>
                <w:bCs/>
                <w:sz w:val="24"/>
                <w:szCs w:val="24"/>
              </w:rPr>
              <w:t>序号</w:t>
            </w:r>
          </w:p>
        </w:tc>
        <w:tc>
          <w:tcPr>
            <w:tcW w:w="853" w:type="pct"/>
            <w:shd w:val="clear" w:color="auto" w:fill="9FD3A4" w:themeFill="background1" w:themeFillShade="D9"/>
            <w:vAlign w:val="center"/>
          </w:tcPr>
          <w:p w14:paraId="55EB97CE">
            <w:pPr>
              <w:pStyle w:val="46"/>
              <w:keepNext w:val="0"/>
              <w:keepLines w:val="0"/>
              <w:pageBreakBefore w:val="0"/>
              <w:kinsoku/>
              <w:wordWrap/>
              <w:overflowPunct/>
              <w:topLinePunct w:val="0"/>
              <w:autoSpaceDE/>
              <w:autoSpaceDN/>
              <w:bidi w:val="0"/>
              <w:adjustRightInd/>
              <w:snapToGrid/>
              <w:jc w:val="center"/>
              <w:textAlignment w:val="auto"/>
              <w:rPr>
                <w:rFonts w:cs="宋体"/>
                <w:b/>
                <w:bCs/>
                <w:sz w:val="24"/>
                <w:szCs w:val="24"/>
              </w:rPr>
            </w:pPr>
            <w:r>
              <w:rPr>
                <w:rFonts w:hint="eastAsia" w:cs="宋体"/>
                <w:b/>
                <w:bCs/>
                <w:sz w:val="24"/>
                <w:szCs w:val="24"/>
              </w:rPr>
              <w:t>审查因素</w:t>
            </w:r>
          </w:p>
        </w:tc>
        <w:tc>
          <w:tcPr>
            <w:tcW w:w="3201" w:type="pct"/>
            <w:shd w:val="clear" w:color="auto" w:fill="9FD3A4" w:themeFill="background1" w:themeFillShade="D9"/>
            <w:vAlign w:val="center"/>
          </w:tcPr>
          <w:p w14:paraId="4A2BADF9">
            <w:pPr>
              <w:pStyle w:val="46"/>
              <w:keepNext w:val="0"/>
              <w:keepLines w:val="0"/>
              <w:pageBreakBefore w:val="0"/>
              <w:kinsoku/>
              <w:wordWrap/>
              <w:overflowPunct/>
              <w:topLinePunct w:val="0"/>
              <w:autoSpaceDE/>
              <w:autoSpaceDN/>
              <w:bidi w:val="0"/>
              <w:adjustRightInd/>
              <w:snapToGrid/>
              <w:jc w:val="center"/>
              <w:textAlignment w:val="auto"/>
              <w:rPr>
                <w:rFonts w:cs="宋体"/>
                <w:b/>
                <w:bCs/>
                <w:sz w:val="24"/>
                <w:szCs w:val="24"/>
              </w:rPr>
            </w:pPr>
            <w:r>
              <w:rPr>
                <w:rFonts w:hint="eastAsia" w:cs="宋体"/>
                <w:b/>
                <w:bCs/>
                <w:sz w:val="24"/>
                <w:szCs w:val="24"/>
              </w:rPr>
              <w:t>审查内容</w:t>
            </w:r>
          </w:p>
        </w:tc>
        <w:tc>
          <w:tcPr>
            <w:tcW w:w="502" w:type="pct"/>
            <w:shd w:val="clear" w:color="auto" w:fill="9FD3A4" w:themeFill="background1" w:themeFillShade="D9"/>
            <w:vAlign w:val="center"/>
          </w:tcPr>
          <w:p w14:paraId="6AC36525">
            <w:pPr>
              <w:pStyle w:val="46"/>
              <w:keepNext w:val="0"/>
              <w:keepLines w:val="0"/>
              <w:pageBreakBefore w:val="0"/>
              <w:kinsoku/>
              <w:wordWrap/>
              <w:overflowPunct/>
              <w:topLinePunct w:val="0"/>
              <w:autoSpaceDE/>
              <w:autoSpaceDN/>
              <w:bidi w:val="0"/>
              <w:adjustRightInd/>
              <w:snapToGrid/>
              <w:jc w:val="center"/>
              <w:textAlignment w:val="auto"/>
              <w:rPr>
                <w:rFonts w:hint="eastAsia" w:cs="宋体"/>
                <w:b/>
                <w:bCs/>
                <w:sz w:val="24"/>
                <w:szCs w:val="24"/>
              </w:rPr>
            </w:pPr>
            <w:r>
              <w:rPr>
                <w:rFonts w:hint="eastAsia" w:cs="宋体"/>
                <w:b/>
                <w:bCs/>
                <w:sz w:val="24"/>
                <w:szCs w:val="24"/>
              </w:rPr>
              <w:t>格式</w:t>
            </w:r>
          </w:p>
          <w:p w14:paraId="08BE1821">
            <w:pPr>
              <w:pStyle w:val="46"/>
              <w:keepNext w:val="0"/>
              <w:keepLines w:val="0"/>
              <w:pageBreakBefore w:val="0"/>
              <w:kinsoku/>
              <w:wordWrap/>
              <w:overflowPunct/>
              <w:topLinePunct w:val="0"/>
              <w:autoSpaceDE/>
              <w:autoSpaceDN/>
              <w:bidi w:val="0"/>
              <w:adjustRightInd/>
              <w:snapToGrid/>
              <w:jc w:val="center"/>
              <w:textAlignment w:val="auto"/>
              <w:rPr>
                <w:rFonts w:cs="宋体"/>
                <w:b/>
                <w:bCs/>
                <w:sz w:val="24"/>
                <w:szCs w:val="24"/>
              </w:rPr>
            </w:pPr>
            <w:r>
              <w:rPr>
                <w:rFonts w:hint="eastAsia" w:cs="宋体"/>
                <w:b/>
                <w:bCs/>
                <w:sz w:val="24"/>
                <w:szCs w:val="24"/>
              </w:rPr>
              <w:t>要求</w:t>
            </w:r>
          </w:p>
        </w:tc>
      </w:tr>
      <w:tr w14:paraId="00CBE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920" w:hRule="atLeast"/>
          <w:jc w:val="center"/>
        </w:trPr>
        <w:tc>
          <w:tcPr>
            <w:tcW w:w="442" w:type="pct"/>
            <w:shd w:val="clear" w:color="auto" w:fill="CCE8CF" w:themeFill="background1"/>
            <w:vAlign w:val="center"/>
          </w:tcPr>
          <w:p w14:paraId="2D9F3D27">
            <w:pPr>
              <w:pStyle w:val="46"/>
              <w:keepNext w:val="0"/>
              <w:keepLines w:val="0"/>
              <w:pageBreakBefore w:val="0"/>
              <w:kinsoku/>
              <w:wordWrap/>
              <w:overflowPunct/>
              <w:topLinePunct w:val="0"/>
              <w:autoSpaceDE/>
              <w:autoSpaceDN/>
              <w:bidi w:val="0"/>
              <w:adjustRightInd/>
              <w:snapToGrid/>
              <w:jc w:val="center"/>
              <w:textAlignment w:val="auto"/>
              <w:rPr>
                <w:rFonts w:cs="宋体"/>
                <w:b/>
                <w:bCs/>
                <w:sz w:val="24"/>
                <w:szCs w:val="24"/>
              </w:rPr>
            </w:pPr>
            <w:r>
              <w:rPr>
                <w:rFonts w:hint="eastAsia" w:cs="宋体"/>
                <w:b/>
                <w:bCs/>
                <w:sz w:val="24"/>
                <w:szCs w:val="24"/>
              </w:rPr>
              <w:t>1</w:t>
            </w:r>
          </w:p>
        </w:tc>
        <w:tc>
          <w:tcPr>
            <w:tcW w:w="853" w:type="pct"/>
            <w:shd w:val="clear" w:color="auto" w:fill="CCE8CF" w:themeFill="background1"/>
            <w:vAlign w:val="center"/>
          </w:tcPr>
          <w:p w14:paraId="50F9C487">
            <w:pPr>
              <w:pStyle w:val="46"/>
              <w:keepNext w:val="0"/>
              <w:keepLines w:val="0"/>
              <w:pageBreakBefore w:val="0"/>
              <w:kinsoku/>
              <w:wordWrap/>
              <w:overflowPunct/>
              <w:topLinePunct w:val="0"/>
              <w:autoSpaceDE/>
              <w:autoSpaceDN/>
              <w:bidi w:val="0"/>
              <w:adjustRightInd/>
              <w:snapToGrid/>
              <w:jc w:val="both"/>
              <w:textAlignment w:val="auto"/>
              <w:rPr>
                <w:rFonts w:cs="宋体"/>
                <w:sz w:val="24"/>
                <w:szCs w:val="24"/>
              </w:rPr>
            </w:pPr>
            <w:r>
              <w:rPr>
                <w:rFonts w:hint="eastAsia" w:cs="宋体"/>
                <w:sz w:val="24"/>
                <w:szCs w:val="24"/>
              </w:rPr>
              <w:t>满足《</w:t>
            </w:r>
            <w:r>
              <w:rPr>
                <w:rFonts w:hint="eastAsia" w:cs="宋体"/>
                <w:sz w:val="24"/>
                <w:szCs w:val="24"/>
                <w:lang w:eastAsia="zh-CN"/>
              </w:rPr>
              <w:t>中华人民共和国政府采购法</w:t>
            </w:r>
            <w:r>
              <w:rPr>
                <w:rFonts w:hint="eastAsia" w:cs="宋体"/>
                <w:sz w:val="24"/>
                <w:szCs w:val="24"/>
              </w:rPr>
              <w:t>》第二十二条规定</w:t>
            </w:r>
          </w:p>
        </w:tc>
        <w:tc>
          <w:tcPr>
            <w:tcW w:w="3201" w:type="pct"/>
            <w:shd w:val="clear" w:color="auto" w:fill="CCE8CF" w:themeFill="background1"/>
            <w:vAlign w:val="center"/>
          </w:tcPr>
          <w:p w14:paraId="18F55433">
            <w:pPr>
              <w:pStyle w:val="46"/>
              <w:keepNext w:val="0"/>
              <w:keepLines w:val="0"/>
              <w:pageBreakBefore w:val="0"/>
              <w:kinsoku/>
              <w:wordWrap/>
              <w:overflowPunct/>
              <w:topLinePunct w:val="0"/>
              <w:autoSpaceDE/>
              <w:autoSpaceDN/>
              <w:bidi w:val="0"/>
              <w:adjustRightInd/>
              <w:snapToGrid/>
              <w:jc w:val="both"/>
              <w:textAlignment w:val="auto"/>
              <w:rPr>
                <w:rFonts w:cs="宋体"/>
                <w:sz w:val="24"/>
                <w:szCs w:val="24"/>
              </w:rPr>
            </w:pPr>
            <w:r>
              <w:rPr>
                <w:rFonts w:hint="eastAsia" w:cs="宋体"/>
                <w:sz w:val="24"/>
                <w:szCs w:val="24"/>
              </w:rPr>
              <w:t>满足《中华人民共和国政府采购法》第二十二条规定；（一）具有独立承担民事责任的能力；</w:t>
            </w:r>
          </w:p>
          <w:p w14:paraId="16ABE43F">
            <w:pPr>
              <w:pStyle w:val="46"/>
              <w:keepNext w:val="0"/>
              <w:keepLines w:val="0"/>
              <w:pageBreakBefore w:val="0"/>
              <w:kinsoku/>
              <w:wordWrap/>
              <w:overflowPunct/>
              <w:topLinePunct w:val="0"/>
              <w:autoSpaceDE/>
              <w:autoSpaceDN/>
              <w:bidi w:val="0"/>
              <w:adjustRightInd/>
              <w:snapToGrid/>
              <w:jc w:val="both"/>
              <w:textAlignment w:val="auto"/>
              <w:rPr>
                <w:rFonts w:cs="宋体"/>
                <w:sz w:val="24"/>
                <w:szCs w:val="24"/>
              </w:rPr>
            </w:pPr>
            <w:r>
              <w:rPr>
                <w:rFonts w:hint="eastAsia" w:cs="宋体"/>
                <w:sz w:val="24"/>
                <w:szCs w:val="24"/>
              </w:rPr>
              <w:t>（二）具有良好的商业信誉和健全的财务会计制度；</w:t>
            </w:r>
          </w:p>
          <w:p w14:paraId="5B6015CF">
            <w:pPr>
              <w:pStyle w:val="46"/>
              <w:keepNext w:val="0"/>
              <w:keepLines w:val="0"/>
              <w:pageBreakBefore w:val="0"/>
              <w:kinsoku/>
              <w:wordWrap/>
              <w:overflowPunct/>
              <w:topLinePunct w:val="0"/>
              <w:autoSpaceDE/>
              <w:autoSpaceDN/>
              <w:bidi w:val="0"/>
              <w:adjustRightInd/>
              <w:snapToGrid/>
              <w:jc w:val="both"/>
              <w:textAlignment w:val="auto"/>
              <w:rPr>
                <w:rFonts w:cs="宋体"/>
                <w:sz w:val="24"/>
                <w:szCs w:val="24"/>
              </w:rPr>
            </w:pPr>
            <w:r>
              <w:rPr>
                <w:rFonts w:hint="eastAsia" w:cs="宋体"/>
                <w:sz w:val="24"/>
                <w:szCs w:val="24"/>
              </w:rPr>
              <w:t>（三）具有履行合同所必需的设备和专业技术能力；</w:t>
            </w:r>
          </w:p>
          <w:p w14:paraId="103186A3">
            <w:pPr>
              <w:pStyle w:val="46"/>
              <w:keepNext w:val="0"/>
              <w:keepLines w:val="0"/>
              <w:pageBreakBefore w:val="0"/>
              <w:kinsoku/>
              <w:wordWrap/>
              <w:overflowPunct/>
              <w:topLinePunct w:val="0"/>
              <w:autoSpaceDE/>
              <w:autoSpaceDN/>
              <w:bidi w:val="0"/>
              <w:adjustRightInd/>
              <w:snapToGrid/>
              <w:jc w:val="both"/>
              <w:textAlignment w:val="auto"/>
              <w:rPr>
                <w:rFonts w:cs="宋体"/>
                <w:sz w:val="24"/>
                <w:szCs w:val="24"/>
              </w:rPr>
            </w:pPr>
            <w:r>
              <w:rPr>
                <w:rFonts w:hint="eastAsia" w:cs="宋体"/>
                <w:sz w:val="24"/>
                <w:szCs w:val="24"/>
              </w:rPr>
              <w:t>（四）有依法缴纳税收和社会保障资金的良好记录；</w:t>
            </w:r>
          </w:p>
          <w:p w14:paraId="5706C5EC">
            <w:pPr>
              <w:pStyle w:val="46"/>
              <w:keepNext w:val="0"/>
              <w:keepLines w:val="0"/>
              <w:pageBreakBefore w:val="0"/>
              <w:kinsoku/>
              <w:wordWrap/>
              <w:overflowPunct/>
              <w:topLinePunct w:val="0"/>
              <w:autoSpaceDE/>
              <w:autoSpaceDN/>
              <w:bidi w:val="0"/>
              <w:adjustRightInd/>
              <w:snapToGrid/>
              <w:jc w:val="both"/>
              <w:textAlignment w:val="auto"/>
              <w:rPr>
                <w:rFonts w:cs="宋体"/>
                <w:sz w:val="24"/>
                <w:szCs w:val="24"/>
              </w:rPr>
            </w:pPr>
            <w:r>
              <w:rPr>
                <w:rFonts w:hint="eastAsia" w:cs="宋体"/>
                <w:sz w:val="24"/>
                <w:szCs w:val="24"/>
              </w:rPr>
              <w:t>（五）参加政府采购活动前三年内，在经营活动中没有重大违法记录；</w:t>
            </w:r>
          </w:p>
          <w:p w14:paraId="39E3DD1B">
            <w:pPr>
              <w:pStyle w:val="46"/>
              <w:keepNext w:val="0"/>
              <w:keepLines w:val="0"/>
              <w:pageBreakBefore w:val="0"/>
              <w:kinsoku/>
              <w:wordWrap/>
              <w:overflowPunct/>
              <w:topLinePunct w:val="0"/>
              <w:autoSpaceDE/>
              <w:autoSpaceDN/>
              <w:bidi w:val="0"/>
              <w:adjustRightInd/>
              <w:snapToGrid/>
              <w:jc w:val="both"/>
              <w:textAlignment w:val="auto"/>
              <w:rPr>
                <w:rFonts w:cs="宋体"/>
                <w:sz w:val="24"/>
                <w:szCs w:val="24"/>
              </w:rPr>
            </w:pPr>
            <w:r>
              <w:rPr>
                <w:rFonts w:hint="eastAsia" w:cs="宋体"/>
                <w:sz w:val="24"/>
                <w:szCs w:val="24"/>
              </w:rPr>
              <w:t>（六）法律、行政法规规定的其他条件</w:t>
            </w:r>
          </w:p>
        </w:tc>
        <w:tc>
          <w:tcPr>
            <w:tcW w:w="502" w:type="pct"/>
            <w:shd w:val="clear" w:color="auto" w:fill="CCE8CF" w:themeFill="background1"/>
            <w:vAlign w:val="center"/>
          </w:tcPr>
          <w:p w14:paraId="75A61DA3">
            <w:pPr>
              <w:pStyle w:val="46"/>
              <w:keepNext w:val="0"/>
              <w:keepLines w:val="0"/>
              <w:pageBreakBefore w:val="0"/>
              <w:kinsoku/>
              <w:wordWrap/>
              <w:overflowPunct/>
              <w:topLinePunct w:val="0"/>
              <w:autoSpaceDE/>
              <w:autoSpaceDN/>
              <w:bidi w:val="0"/>
              <w:adjustRightInd/>
              <w:snapToGrid/>
              <w:jc w:val="center"/>
              <w:textAlignment w:val="auto"/>
              <w:rPr>
                <w:rFonts w:cs="宋体"/>
                <w:b/>
                <w:bCs/>
                <w:sz w:val="24"/>
                <w:szCs w:val="24"/>
              </w:rPr>
            </w:pPr>
          </w:p>
        </w:tc>
      </w:tr>
      <w:tr w14:paraId="35A6D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90" w:hRule="atLeast"/>
          <w:jc w:val="center"/>
        </w:trPr>
        <w:tc>
          <w:tcPr>
            <w:tcW w:w="442" w:type="pct"/>
            <w:shd w:val="clear" w:color="auto" w:fill="CCE8CF" w:themeFill="background1"/>
            <w:vAlign w:val="center"/>
          </w:tcPr>
          <w:p w14:paraId="2929D61B">
            <w:pPr>
              <w:pStyle w:val="46"/>
              <w:keepNext w:val="0"/>
              <w:keepLines w:val="0"/>
              <w:pageBreakBefore w:val="0"/>
              <w:kinsoku/>
              <w:wordWrap/>
              <w:overflowPunct/>
              <w:topLinePunct w:val="0"/>
              <w:autoSpaceDE/>
              <w:autoSpaceDN/>
              <w:bidi w:val="0"/>
              <w:adjustRightInd/>
              <w:snapToGrid/>
              <w:jc w:val="center"/>
              <w:textAlignment w:val="auto"/>
              <w:rPr>
                <w:rFonts w:cs="宋体"/>
                <w:b/>
                <w:bCs/>
                <w:sz w:val="24"/>
                <w:szCs w:val="24"/>
              </w:rPr>
            </w:pPr>
            <w:r>
              <w:rPr>
                <w:rFonts w:hint="eastAsia" w:cs="宋体"/>
                <w:b/>
                <w:bCs/>
                <w:sz w:val="24"/>
                <w:szCs w:val="24"/>
              </w:rPr>
              <w:t>2</w:t>
            </w:r>
          </w:p>
        </w:tc>
        <w:tc>
          <w:tcPr>
            <w:tcW w:w="853" w:type="pct"/>
            <w:shd w:val="clear" w:color="auto" w:fill="CCE8CF" w:themeFill="background1"/>
            <w:vAlign w:val="center"/>
          </w:tcPr>
          <w:p w14:paraId="450796B0">
            <w:pPr>
              <w:pStyle w:val="46"/>
              <w:keepNext w:val="0"/>
              <w:keepLines w:val="0"/>
              <w:pageBreakBefore w:val="0"/>
              <w:kinsoku/>
              <w:wordWrap/>
              <w:overflowPunct/>
              <w:topLinePunct w:val="0"/>
              <w:autoSpaceDE/>
              <w:autoSpaceDN/>
              <w:bidi w:val="0"/>
              <w:adjustRightInd/>
              <w:snapToGrid/>
              <w:jc w:val="both"/>
              <w:textAlignment w:val="auto"/>
              <w:rPr>
                <w:rFonts w:cs="宋体"/>
                <w:sz w:val="24"/>
                <w:szCs w:val="24"/>
              </w:rPr>
            </w:pPr>
            <w:r>
              <w:rPr>
                <w:rFonts w:hint="eastAsia" w:cs="宋体"/>
                <w:sz w:val="24"/>
                <w:szCs w:val="24"/>
              </w:rPr>
              <w:t>落实政府采购政策需满足的资格要求</w:t>
            </w:r>
          </w:p>
        </w:tc>
        <w:tc>
          <w:tcPr>
            <w:tcW w:w="3201" w:type="pct"/>
            <w:shd w:val="clear" w:color="auto" w:fill="CCE8CF" w:themeFill="background1"/>
            <w:vAlign w:val="center"/>
          </w:tcPr>
          <w:p w14:paraId="4F2CAADA">
            <w:pPr>
              <w:pStyle w:val="46"/>
              <w:keepNext w:val="0"/>
              <w:keepLines w:val="0"/>
              <w:pageBreakBefore w:val="0"/>
              <w:kinsoku/>
              <w:wordWrap/>
              <w:overflowPunct/>
              <w:topLinePunct w:val="0"/>
              <w:autoSpaceDE/>
              <w:autoSpaceDN/>
              <w:bidi w:val="0"/>
              <w:adjustRightInd/>
              <w:snapToGrid/>
              <w:jc w:val="both"/>
              <w:textAlignment w:val="auto"/>
              <w:rPr>
                <w:rFonts w:cs="宋体"/>
                <w:sz w:val="24"/>
                <w:szCs w:val="24"/>
              </w:rPr>
            </w:pPr>
            <w:r>
              <w:rPr>
                <w:rFonts w:hint="eastAsia" w:cs="宋体"/>
                <w:sz w:val="24"/>
                <w:szCs w:val="24"/>
              </w:rPr>
              <w:t>具体要求见“第一章竞争性磋商公告”</w:t>
            </w:r>
          </w:p>
        </w:tc>
        <w:tc>
          <w:tcPr>
            <w:tcW w:w="502" w:type="pct"/>
            <w:shd w:val="clear" w:color="auto" w:fill="CCE8CF" w:themeFill="background1"/>
            <w:vAlign w:val="center"/>
          </w:tcPr>
          <w:p w14:paraId="7FA3454F">
            <w:pPr>
              <w:keepNext w:val="0"/>
              <w:keepLines w:val="0"/>
              <w:pageBreakBefore w:val="0"/>
              <w:widowControl/>
              <w:kinsoku/>
              <w:wordWrap/>
              <w:overflowPunct/>
              <w:topLinePunct w:val="0"/>
              <w:autoSpaceDE/>
              <w:autoSpaceDN/>
              <w:bidi w:val="0"/>
              <w:adjustRightInd/>
              <w:snapToGrid/>
              <w:spacing w:line="240" w:lineRule="auto"/>
              <w:textAlignment w:val="auto"/>
              <w:rPr>
                <w:rFonts w:cs="宋体"/>
                <w:kern w:val="0"/>
                <w:szCs w:val="24"/>
                <w:lang w:bidi="ar"/>
              </w:rPr>
            </w:pPr>
          </w:p>
        </w:tc>
      </w:tr>
      <w:tr w14:paraId="57ECD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1416" w:hRule="atLeast"/>
          <w:jc w:val="center"/>
        </w:trPr>
        <w:tc>
          <w:tcPr>
            <w:tcW w:w="442" w:type="pct"/>
            <w:shd w:val="clear" w:color="auto" w:fill="CCE8CF" w:themeFill="background1"/>
            <w:vAlign w:val="center"/>
          </w:tcPr>
          <w:p w14:paraId="5CDC7487">
            <w:pPr>
              <w:pStyle w:val="46"/>
              <w:keepNext w:val="0"/>
              <w:keepLines w:val="0"/>
              <w:pageBreakBefore w:val="0"/>
              <w:kinsoku/>
              <w:wordWrap/>
              <w:overflowPunct/>
              <w:topLinePunct w:val="0"/>
              <w:autoSpaceDE/>
              <w:autoSpaceDN/>
              <w:bidi w:val="0"/>
              <w:adjustRightInd/>
              <w:snapToGrid/>
              <w:jc w:val="center"/>
              <w:textAlignment w:val="auto"/>
              <w:rPr>
                <w:rFonts w:cs="宋体"/>
                <w:b/>
                <w:bCs/>
                <w:sz w:val="24"/>
                <w:szCs w:val="24"/>
              </w:rPr>
            </w:pPr>
            <w:r>
              <w:rPr>
                <w:rFonts w:hint="eastAsia" w:cs="宋体"/>
                <w:b/>
                <w:bCs/>
                <w:sz w:val="24"/>
                <w:szCs w:val="24"/>
              </w:rPr>
              <w:t>2-1</w:t>
            </w:r>
          </w:p>
        </w:tc>
        <w:tc>
          <w:tcPr>
            <w:tcW w:w="853" w:type="pct"/>
            <w:shd w:val="clear" w:color="auto" w:fill="CCE8CF" w:themeFill="background1"/>
            <w:vAlign w:val="center"/>
          </w:tcPr>
          <w:p w14:paraId="106F51FC">
            <w:pPr>
              <w:pStyle w:val="46"/>
              <w:keepNext w:val="0"/>
              <w:keepLines w:val="0"/>
              <w:pageBreakBefore w:val="0"/>
              <w:kinsoku/>
              <w:wordWrap/>
              <w:overflowPunct/>
              <w:topLinePunct w:val="0"/>
              <w:autoSpaceDE/>
              <w:autoSpaceDN/>
              <w:bidi w:val="0"/>
              <w:adjustRightInd/>
              <w:snapToGrid/>
              <w:jc w:val="both"/>
              <w:textAlignment w:val="auto"/>
              <w:rPr>
                <w:rFonts w:cs="宋体"/>
                <w:sz w:val="24"/>
                <w:szCs w:val="24"/>
              </w:rPr>
            </w:pPr>
            <w:r>
              <w:rPr>
                <w:rFonts w:hint="eastAsia" w:cs="宋体"/>
                <w:sz w:val="24"/>
                <w:szCs w:val="24"/>
                <w:lang w:val="en-US" w:eastAsia="zh-CN"/>
              </w:rPr>
              <w:t>具有独立承担民事责任的能力</w:t>
            </w:r>
          </w:p>
        </w:tc>
        <w:tc>
          <w:tcPr>
            <w:tcW w:w="3201" w:type="pct"/>
            <w:shd w:val="clear" w:color="auto" w:fill="CCE8CF" w:themeFill="background1"/>
            <w:vAlign w:val="center"/>
          </w:tcPr>
          <w:p w14:paraId="19A8FC74">
            <w:pPr>
              <w:pStyle w:val="46"/>
              <w:keepNext w:val="0"/>
              <w:keepLines w:val="0"/>
              <w:pageBreakBefore w:val="0"/>
              <w:kinsoku/>
              <w:wordWrap/>
              <w:overflowPunct/>
              <w:topLinePunct w:val="0"/>
              <w:autoSpaceDE/>
              <w:autoSpaceDN/>
              <w:bidi w:val="0"/>
              <w:adjustRightInd/>
              <w:snapToGrid/>
              <w:jc w:val="both"/>
              <w:textAlignment w:val="auto"/>
              <w:rPr>
                <w:rFonts w:cs="宋体"/>
                <w:spacing w:val="-6"/>
                <w:sz w:val="24"/>
                <w:szCs w:val="24"/>
              </w:rPr>
            </w:pPr>
            <w:r>
              <w:rPr>
                <w:rFonts w:hint="eastAsia" w:cs="宋体"/>
                <w:spacing w:val="-6"/>
                <w:sz w:val="24"/>
                <w:szCs w:val="24"/>
                <w:lang w:val="en-US" w:eastAsia="zh-CN"/>
              </w:rPr>
              <w:t>具有独立承担民事责任的能力：在中华人民共和国境内注册的法人或其他组织或自然人，投标（响应）时提交有效的营业执照（或事业法人登记证或身份证等相关证明）；</w:t>
            </w:r>
          </w:p>
        </w:tc>
        <w:tc>
          <w:tcPr>
            <w:tcW w:w="502" w:type="pct"/>
            <w:shd w:val="clear" w:color="auto" w:fill="CCE8CF" w:themeFill="background1"/>
            <w:vAlign w:val="center"/>
          </w:tcPr>
          <w:p w14:paraId="02E9A1B2">
            <w:pPr>
              <w:keepNext w:val="0"/>
              <w:keepLines w:val="0"/>
              <w:pageBreakBefore w:val="0"/>
              <w:widowControl/>
              <w:kinsoku/>
              <w:wordWrap/>
              <w:overflowPunct/>
              <w:topLinePunct w:val="0"/>
              <w:autoSpaceDE/>
              <w:autoSpaceDN/>
              <w:bidi w:val="0"/>
              <w:adjustRightInd/>
              <w:snapToGrid/>
              <w:spacing w:line="240" w:lineRule="auto"/>
              <w:textAlignment w:val="auto"/>
              <w:rPr>
                <w:rFonts w:cs="宋体"/>
                <w:kern w:val="0"/>
                <w:szCs w:val="24"/>
                <w:lang w:bidi="ar"/>
              </w:rPr>
            </w:pPr>
            <w:r>
              <w:rPr>
                <w:rFonts w:hint="eastAsia" w:cs="宋体"/>
                <w:kern w:val="0"/>
                <w:szCs w:val="24"/>
                <w:lang w:bidi="ar"/>
              </w:rPr>
              <w:t>提供证明文件的电子件或电子证照</w:t>
            </w:r>
          </w:p>
        </w:tc>
      </w:tr>
      <w:tr w14:paraId="16A31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1221" w:hRule="atLeast"/>
          <w:jc w:val="center"/>
        </w:trPr>
        <w:tc>
          <w:tcPr>
            <w:tcW w:w="442" w:type="pct"/>
            <w:shd w:val="clear" w:color="auto" w:fill="CCE8CF" w:themeFill="background1"/>
            <w:vAlign w:val="center"/>
          </w:tcPr>
          <w:p w14:paraId="34BE81D3">
            <w:pPr>
              <w:pStyle w:val="46"/>
              <w:keepNext w:val="0"/>
              <w:keepLines w:val="0"/>
              <w:pageBreakBefore w:val="0"/>
              <w:kinsoku/>
              <w:wordWrap/>
              <w:overflowPunct/>
              <w:topLinePunct w:val="0"/>
              <w:autoSpaceDE/>
              <w:autoSpaceDN/>
              <w:bidi w:val="0"/>
              <w:adjustRightInd/>
              <w:snapToGrid/>
              <w:jc w:val="center"/>
              <w:textAlignment w:val="auto"/>
              <w:rPr>
                <w:rFonts w:cs="宋体"/>
                <w:b/>
                <w:bCs/>
                <w:sz w:val="24"/>
                <w:szCs w:val="24"/>
              </w:rPr>
            </w:pPr>
            <w:r>
              <w:rPr>
                <w:rFonts w:hint="eastAsia" w:cs="宋体"/>
                <w:b/>
                <w:bCs/>
                <w:sz w:val="24"/>
                <w:szCs w:val="24"/>
              </w:rPr>
              <w:t>2-2</w:t>
            </w:r>
          </w:p>
        </w:tc>
        <w:tc>
          <w:tcPr>
            <w:tcW w:w="853" w:type="pct"/>
            <w:shd w:val="clear" w:color="auto" w:fill="CCE8CF" w:themeFill="background1"/>
            <w:vAlign w:val="center"/>
          </w:tcPr>
          <w:p w14:paraId="0B873AE5">
            <w:pPr>
              <w:keepNext w:val="0"/>
              <w:keepLines w:val="0"/>
              <w:pageBreakBefore w:val="0"/>
              <w:widowControl/>
              <w:kinsoku/>
              <w:wordWrap/>
              <w:overflowPunct/>
              <w:topLinePunct w:val="0"/>
              <w:autoSpaceDE/>
              <w:autoSpaceDN/>
              <w:bidi w:val="0"/>
              <w:adjustRightInd/>
              <w:snapToGrid/>
              <w:spacing w:line="240" w:lineRule="auto"/>
              <w:textAlignment w:val="auto"/>
              <w:rPr>
                <w:rFonts w:cs="宋体"/>
                <w:spacing w:val="-6"/>
                <w:kern w:val="0"/>
                <w:szCs w:val="24"/>
                <w:lang w:bidi="ar"/>
              </w:rPr>
            </w:pPr>
            <w:r>
              <w:rPr>
                <w:rFonts w:hint="eastAsia" w:cs="宋体"/>
                <w:spacing w:val="-6"/>
                <w:kern w:val="0"/>
                <w:szCs w:val="24"/>
                <w:lang w:val="en-US" w:eastAsia="zh-CN" w:bidi="ar"/>
              </w:rPr>
              <w:t>具有良好的商业信誉和健全的财务会计制度</w:t>
            </w:r>
          </w:p>
        </w:tc>
        <w:tc>
          <w:tcPr>
            <w:tcW w:w="3201" w:type="pct"/>
            <w:shd w:val="clear" w:color="auto" w:fill="CCE8CF" w:themeFill="background1"/>
            <w:vAlign w:val="center"/>
          </w:tcPr>
          <w:p w14:paraId="03B77488">
            <w:pPr>
              <w:keepNext w:val="0"/>
              <w:keepLines w:val="0"/>
              <w:pageBreakBefore w:val="0"/>
              <w:widowControl/>
              <w:kinsoku/>
              <w:wordWrap/>
              <w:overflowPunct/>
              <w:topLinePunct w:val="0"/>
              <w:autoSpaceDE/>
              <w:autoSpaceDN/>
              <w:bidi w:val="0"/>
              <w:adjustRightInd/>
              <w:snapToGrid/>
              <w:spacing w:line="240" w:lineRule="auto"/>
              <w:textAlignment w:val="auto"/>
              <w:rPr>
                <w:rFonts w:cs="宋体"/>
                <w:spacing w:val="-6"/>
                <w:kern w:val="0"/>
                <w:szCs w:val="24"/>
                <w:lang w:bidi="ar"/>
              </w:rPr>
            </w:pPr>
            <w:r>
              <w:rPr>
                <w:rFonts w:hint="eastAsia" w:cs="宋体"/>
                <w:spacing w:val="-6"/>
                <w:kern w:val="0"/>
                <w:szCs w:val="24"/>
                <w:lang w:val="en-US" w:eastAsia="zh-CN" w:bidi="ar"/>
              </w:rPr>
              <w:t>投标人提供2024年度的财务审计报告（2025年1月后成立的公司可不提供但需提供银行出具的公司成立至今的的资信证明）；</w:t>
            </w:r>
          </w:p>
        </w:tc>
        <w:tc>
          <w:tcPr>
            <w:tcW w:w="502" w:type="pct"/>
            <w:shd w:val="clear" w:color="auto" w:fill="CCE8CF" w:themeFill="background1"/>
            <w:vAlign w:val="center"/>
          </w:tcPr>
          <w:p w14:paraId="2091DB9F">
            <w:pPr>
              <w:keepNext w:val="0"/>
              <w:keepLines w:val="0"/>
              <w:pageBreakBefore w:val="0"/>
              <w:widowControl/>
              <w:kinsoku/>
              <w:wordWrap/>
              <w:overflowPunct/>
              <w:topLinePunct w:val="0"/>
              <w:autoSpaceDE/>
              <w:autoSpaceDN/>
              <w:bidi w:val="0"/>
              <w:adjustRightInd/>
              <w:snapToGrid/>
              <w:spacing w:line="240" w:lineRule="auto"/>
              <w:textAlignment w:val="auto"/>
              <w:rPr>
                <w:rFonts w:cs="宋体"/>
                <w:kern w:val="0"/>
                <w:szCs w:val="24"/>
                <w:lang w:bidi="ar"/>
              </w:rPr>
            </w:pPr>
          </w:p>
        </w:tc>
      </w:tr>
      <w:tr w14:paraId="10452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1646" w:hRule="atLeast"/>
          <w:jc w:val="center"/>
        </w:trPr>
        <w:tc>
          <w:tcPr>
            <w:tcW w:w="442" w:type="pct"/>
            <w:shd w:val="clear" w:color="auto" w:fill="CCE8CF" w:themeFill="background1"/>
            <w:vAlign w:val="center"/>
          </w:tcPr>
          <w:p w14:paraId="0AEC2493">
            <w:pPr>
              <w:pStyle w:val="46"/>
              <w:keepNext w:val="0"/>
              <w:keepLines w:val="0"/>
              <w:pageBreakBefore w:val="0"/>
              <w:kinsoku/>
              <w:wordWrap/>
              <w:overflowPunct/>
              <w:topLinePunct w:val="0"/>
              <w:autoSpaceDE/>
              <w:autoSpaceDN/>
              <w:bidi w:val="0"/>
              <w:adjustRightInd/>
              <w:snapToGrid/>
              <w:jc w:val="center"/>
              <w:textAlignment w:val="auto"/>
              <w:rPr>
                <w:rFonts w:cs="宋体"/>
                <w:b/>
                <w:bCs/>
                <w:sz w:val="24"/>
                <w:szCs w:val="24"/>
              </w:rPr>
            </w:pPr>
            <w:r>
              <w:rPr>
                <w:rFonts w:hint="eastAsia" w:cs="宋体"/>
                <w:b/>
                <w:bCs/>
                <w:sz w:val="24"/>
                <w:szCs w:val="24"/>
              </w:rPr>
              <w:t>2-3</w:t>
            </w:r>
          </w:p>
        </w:tc>
        <w:tc>
          <w:tcPr>
            <w:tcW w:w="853" w:type="pct"/>
            <w:shd w:val="clear" w:color="auto" w:fill="CCE8CF" w:themeFill="background1"/>
            <w:vAlign w:val="center"/>
          </w:tcPr>
          <w:p w14:paraId="2043DADE">
            <w:pPr>
              <w:pStyle w:val="46"/>
              <w:keepNext w:val="0"/>
              <w:keepLines w:val="0"/>
              <w:pageBreakBefore w:val="0"/>
              <w:kinsoku/>
              <w:wordWrap/>
              <w:overflowPunct/>
              <w:topLinePunct w:val="0"/>
              <w:autoSpaceDE/>
              <w:autoSpaceDN/>
              <w:bidi w:val="0"/>
              <w:adjustRightInd/>
              <w:snapToGrid/>
              <w:jc w:val="both"/>
              <w:textAlignment w:val="auto"/>
              <w:rPr>
                <w:rFonts w:cs="宋体"/>
                <w:sz w:val="24"/>
                <w:szCs w:val="24"/>
              </w:rPr>
            </w:pPr>
            <w:r>
              <w:rPr>
                <w:rFonts w:hint="eastAsia" w:cs="宋体"/>
                <w:sz w:val="24"/>
                <w:szCs w:val="24"/>
                <w:lang w:val="en-US" w:eastAsia="zh-CN"/>
              </w:rPr>
              <w:t>有依法缴纳税收和社会保障资金的良好记录</w:t>
            </w:r>
          </w:p>
        </w:tc>
        <w:tc>
          <w:tcPr>
            <w:tcW w:w="3201" w:type="pct"/>
            <w:shd w:val="clear" w:color="auto" w:fill="CCE8CF" w:themeFill="background1"/>
            <w:vAlign w:val="center"/>
          </w:tcPr>
          <w:p w14:paraId="66304AB7">
            <w:pPr>
              <w:pStyle w:val="46"/>
              <w:keepNext w:val="0"/>
              <w:keepLines w:val="0"/>
              <w:pageBreakBefore w:val="0"/>
              <w:kinsoku/>
              <w:wordWrap/>
              <w:overflowPunct/>
              <w:topLinePunct w:val="0"/>
              <w:autoSpaceDE/>
              <w:autoSpaceDN/>
              <w:bidi w:val="0"/>
              <w:adjustRightInd/>
              <w:snapToGrid/>
              <w:jc w:val="both"/>
              <w:textAlignment w:val="auto"/>
              <w:rPr>
                <w:rFonts w:cs="宋体"/>
                <w:sz w:val="24"/>
                <w:szCs w:val="24"/>
              </w:rPr>
            </w:pPr>
            <w:r>
              <w:rPr>
                <w:rFonts w:hint="eastAsia" w:cs="宋体"/>
                <w:sz w:val="24"/>
                <w:szCs w:val="24"/>
                <w:lang w:val="en-US" w:eastAsia="zh-CN"/>
              </w:rPr>
              <w:t>提供税务机关出具近半年内任意一个月的完税证明（如依法免税的，应提供相应文件证明，代扣缴税的完税证明不作为税务缴费凭证，如社保缴税等）；提供本单位近半年内任意一个月的社保缴纳证明（单位社保缴费凭证，2025年2月份后成立的公司按实际发生提供），如依法不需要缴纳社会保障资金的，应提供相应文件证明）。</w:t>
            </w:r>
          </w:p>
        </w:tc>
        <w:tc>
          <w:tcPr>
            <w:tcW w:w="502" w:type="pct"/>
            <w:shd w:val="clear" w:color="auto" w:fill="CCE8CF" w:themeFill="background1"/>
            <w:vAlign w:val="center"/>
          </w:tcPr>
          <w:p w14:paraId="65AF470A">
            <w:pPr>
              <w:keepNext w:val="0"/>
              <w:keepLines w:val="0"/>
              <w:pageBreakBefore w:val="0"/>
              <w:widowControl/>
              <w:kinsoku/>
              <w:wordWrap/>
              <w:overflowPunct/>
              <w:topLinePunct w:val="0"/>
              <w:autoSpaceDE/>
              <w:autoSpaceDN/>
              <w:bidi w:val="0"/>
              <w:adjustRightInd/>
              <w:snapToGrid/>
              <w:spacing w:line="240" w:lineRule="auto"/>
              <w:textAlignment w:val="auto"/>
              <w:rPr>
                <w:rFonts w:cs="宋体"/>
                <w:kern w:val="0"/>
                <w:szCs w:val="24"/>
                <w:lang w:bidi="ar"/>
              </w:rPr>
            </w:pPr>
          </w:p>
        </w:tc>
      </w:tr>
      <w:tr w14:paraId="54865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824" w:hRule="atLeast"/>
          <w:jc w:val="center"/>
        </w:trPr>
        <w:tc>
          <w:tcPr>
            <w:tcW w:w="442" w:type="pct"/>
            <w:shd w:val="clear" w:color="auto" w:fill="CCE8CF" w:themeFill="background1"/>
            <w:vAlign w:val="center"/>
          </w:tcPr>
          <w:p w14:paraId="4913566E">
            <w:pPr>
              <w:pStyle w:val="46"/>
              <w:keepNext w:val="0"/>
              <w:keepLines w:val="0"/>
              <w:pageBreakBefore w:val="0"/>
              <w:kinsoku/>
              <w:wordWrap/>
              <w:overflowPunct/>
              <w:topLinePunct w:val="0"/>
              <w:autoSpaceDE/>
              <w:autoSpaceDN/>
              <w:bidi w:val="0"/>
              <w:adjustRightInd/>
              <w:snapToGrid/>
              <w:jc w:val="center"/>
              <w:textAlignment w:val="auto"/>
              <w:rPr>
                <w:rFonts w:cs="宋体"/>
                <w:b/>
                <w:bCs/>
                <w:sz w:val="24"/>
                <w:szCs w:val="24"/>
              </w:rPr>
            </w:pPr>
            <w:r>
              <w:rPr>
                <w:rFonts w:hint="eastAsia" w:cs="宋体"/>
                <w:b/>
                <w:bCs/>
                <w:sz w:val="24"/>
                <w:szCs w:val="24"/>
              </w:rPr>
              <w:t>2-4</w:t>
            </w:r>
          </w:p>
        </w:tc>
        <w:tc>
          <w:tcPr>
            <w:tcW w:w="853" w:type="pct"/>
            <w:shd w:val="clear" w:color="auto" w:fill="CCE8CF" w:themeFill="background1"/>
            <w:vAlign w:val="center"/>
          </w:tcPr>
          <w:p w14:paraId="05E78857">
            <w:pPr>
              <w:pStyle w:val="46"/>
              <w:keepNext w:val="0"/>
              <w:keepLines w:val="0"/>
              <w:pageBreakBefore w:val="0"/>
              <w:kinsoku/>
              <w:wordWrap/>
              <w:overflowPunct/>
              <w:topLinePunct w:val="0"/>
              <w:autoSpaceDE/>
              <w:autoSpaceDN/>
              <w:bidi w:val="0"/>
              <w:adjustRightInd/>
              <w:snapToGrid/>
              <w:jc w:val="both"/>
              <w:textAlignment w:val="auto"/>
              <w:rPr>
                <w:rFonts w:hint="default" w:eastAsia="宋体" w:cs="宋体"/>
                <w:sz w:val="24"/>
                <w:szCs w:val="24"/>
                <w:lang w:val="en-US" w:eastAsia="zh-CN"/>
              </w:rPr>
            </w:pPr>
            <w:r>
              <w:rPr>
                <w:rFonts w:hint="eastAsia" w:cs="宋体"/>
                <w:sz w:val="24"/>
                <w:szCs w:val="24"/>
              </w:rPr>
              <w:t>授权委托书</w:t>
            </w:r>
            <w:r>
              <w:rPr>
                <w:rFonts w:hint="eastAsia" w:cs="宋体"/>
                <w:sz w:val="24"/>
                <w:szCs w:val="24"/>
                <w:lang w:val="en-US" w:eastAsia="zh-CN"/>
              </w:rPr>
              <w:t>或法人身份证明</w:t>
            </w:r>
          </w:p>
        </w:tc>
        <w:tc>
          <w:tcPr>
            <w:tcW w:w="3201" w:type="pct"/>
            <w:shd w:val="clear" w:color="auto" w:fill="CCE8CF" w:themeFill="background1"/>
            <w:vAlign w:val="center"/>
          </w:tcPr>
          <w:p w14:paraId="1E6624EF">
            <w:pPr>
              <w:pStyle w:val="46"/>
              <w:keepNext w:val="0"/>
              <w:keepLines w:val="0"/>
              <w:pageBreakBefore w:val="0"/>
              <w:kinsoku/>
              <w:wordWrap/>
              <w:overflowPunct/>
              <w:topLinePunct w:val="0"/>
              <w:autoSpaceDE/>
              <w:autoSpaceDN/>
              <w:bidi w:val="0"/>
              <w:adjustRightInd/>
              <w:snapToGrid/>
              <w:jc w:val="both"/>
              <w:textAlignment w:val="auto"/>
              <w:rPr>
                <w:rFonts w:cs="宋体"/>
                <w:sz w:val="24"/>
                <w:szCs w:val="24"/>
              </w:rPr>
            </w:pPr>
            <w:r>
              <w:rPr>
                <w:rFonts w:hint="eastAsia" w:cs="宋体"/>
                <w:sz w:val="24"/>
                <w:szCs w:val="24"/>
              </w:rPr>
              <w:t>法人投标应提供《法定代表人身份证明书》，委托代理人投标应提供《法定代表人授权委托书》</w:t>
            </w:r>
          </w:p>
        </w:tc>
        <w:tc>
          <w:tcPr>
            <w:tcW w:w="502" w:type="pct"/>
            <w:shd w:val="clear" w:color="auto" w:fill="CCE8CF" w:themeFill="background1"/>
            <w:vAlign w:val="center"/>
          </w:tcPr>
          <w:p w14:paraId="4FA3A88F">
            <w:pPr>
              <w:pStyle w:val="46"/>
              <w:keepNext w:val="0"/>
              <w:keepLines w:val="0"/>
              <w:pageBreakBefore w:val="0"/>
              <w:kinsoku/>
              <w:wordWrap/>
              <w:overflowPunct/>
              <w:topLinePunct w:val="0"/>
              <w:autoSpaceDE/>
              <w:autoSpaceDN/>
              <w:bidi w:val="0"/>
              <w:adjustRightInd/>
              <w:snapToGrid/>
              <w:jc w:val="center"/>
              <w:textAlignment w:val="auto"/>
              <w:rPr>
                <w:rFonts w:cs="宋体"/>
                <w:b/>
                <w:bCs/>
                <w:sz w:val="24"/>
                <w:szCs w:val="24"/>
              </w:rPr>
            </w:pPr>
          </w:p>
        </w:tc>
      </w:tr>
      <w:tr w14:paraId="6EEF9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518" w:hRule="atLeast"/>
          <w:jc w:val="center"/>
        </w:trPr>
        <w:tc>
          <w:tcPr>
            <w:tcW w:w="442" w:type="pct"/>
            <w:shd w:val="clear" w:color="auto" w:fill="CCE8CF" w:themeFill="background1"/>
            <w:vAlign w:val="center"/>
          </w:tcPr>
          <w:p w14:paraId="7A27E2E7">
            <w:pPr>
              <w:pStyle w:val="46"/>
              <w:keepNext w:val="0"/>
              <w:keepLines w:val="0"/>
              <w:pageBreakBefore w:val="0"/>
              <w:kinsoku/>
              <w:wordWrap/>
              <w:overflowPunct/>
              <w:topLinePunct w:val="0"/>
              <w:autoSpaceDE/>
              <w:autoSpaceDN/>
              <w:bidi w:val="0"/>
              <w:adjustRightInd/>
              <w:snapToGrid/>
              <w:jc w:val="center"/>
              <w:textAlignment w:val="auto"/>
              <w:rPr>
                <w:rFonts w:hint="eastAsia" w:eastAsia="宋体" w:cs="宋体"/>
                <w:b/>
                <w:bCs/>
                <w:sz w:val="24"/>
                <w:szCs w:val="24"/>
                <w:lang w:eastAsia="zh-CN"/>
              </w:rPr>
            </w:pPr>
            <w:r>
              <w:rPr>
                <w:rFonts w:hint="eastAsia" w:cs="宋体"/>
                <w:b/>
                <w:bCs/>
                <w:sz w:val="24"/>
                <w:szCs w:val="24"/>
              </w:rPr>
              <w:t>2-</w:t>
            </w:r>
            <w:r>
              <w:rPr>
                <w:rFonts w:hint="eastAsia" w:cs="宋体"/>
                <w:b/>
                <w:bCs/>
                <w:sz w:val="24"/>
                <w:szCs w:val="24"/>
                <w:lang w:val="en-US" w:eastAsia="zh-CN"/>
              </w:rPr>
              <w:t>5</w:t>
            </w:r>
          </w:p>
        </w:tc>
        <w:tc>
          <w:tcPr>
            <w:tcW w:w="853" w:type="pct"/>
            <w:shd w:val="clear" w:color="auto" w:fill="CCE8CF" w:themeFill="background1"/>
            <w:vAlign w:val="center"/>
          </w:tcPr>
          <w:p w14:paraId="6738B8DE">
            <w:pPr>
              <w:pStyle w:val="46"/>
              <w:keepNext w:val="0"/>
              <w:keepLines w:val="0"/>
              <w:pageBreakBefore w:val="0"/>
              <w:kinsoku/>
              <w:wordWrap/>
              <w:overflowPunct/>
              <w:topLinePunct w:val="0"/>
              <w:autoSpaceDE/>
              <w:autoSpaceDN/>
              <w:bidi w:val="0"/>
              <w:adjustRightInd/>
              <w:snapToGrid/>
              <w:jc w:val="both"/>
              <w:textAlignment w:val="auto"/>
              <w:rPr>
                <w:rFonts w:cs="宋体"/>
                <w:sz w:val="24"/>
                <w:szCs w:val="24"/>
              </w:rPr>
            </w:pPr>
            <w:r>
              <w:rPr>
                <w:rFonts w:hint="eastAsia" w:cs="宋体"/>
                <w:sz w:val="24"/>
                <w:szCs w:val="24"/>
                <w:lang w:val="en-US" w:eastAsia="zh-CN"/>
              </w:rPr>
              <w:t>具有</w:t>
            </w:r>
            <w:r>
              <w:rPr>
                <w:rFonts w:hint="eastAsia" w:cs="宋体"/>
                <w:sz w:val="24"/>
                <w:szCs w:val="24"/>
              </w:rPr>
              <w:t>履行合同所必需的设备和专业技术能力</w:t>
            </w:r>
          </w:p>
        </w:tc>
        <w:tc>
          <w:tcPr>
            <w:tcW w:w="3201" w:type="pct"/>
            <w:shd w:val="clear" w:color="auto" w:fill="CCE8CF" w:themeFill="background1"/>
            <w:vAlign w:val="center"/>
          </w:tcPr>
          <w:p w14:paraId="06190DB8">
            <w:pPr>
              <w:pStyle w:val="46"/>
              <w:keepNext w:val="0"/>
              <w:keepLines w:val="0"/>
              <w:pageBreakBefore w:val="0"/>
              <w:kinsoku/>
              <w:wordWrap/>
              <w:overflowPunct/>
              <w:topLinePunct w:val="0"/>
              <w:autoSpaceDE/>
              <w:autoSpaceDN/>
              <w:bidi w:val="0"/>
              <w:adjustRightInd/>
              <w:snapToGrid/>
              <w:jc w:val="both"/>
              <w:textAlignment w:val="auto"/>
              <w:rPr>
                <w:rFonts w:cs="宋体"/>
                <w:sz w:val="24"/>
                <w:szCs w:val="24"/>
              </w:rPr>
            </w:pPr>
            <w:r>
              <w:rPr>
                <w:rFonts w:hint="eastAsia" w:cs="宋体"/>
                <w:sz w:val="24"/>
                <w:szCs w:val="24"/>
                <w:lang w:val="en-US" w:eastAsia="zh-CN"/>
              </w:rPr>
              <w:t>具有履行合同所必需的设备和专业技术能力：提供《声明函》格式自拟；</w:t>
            </w:r>
          </w:p>
        </w:tc>
        <w:tc>
          <w:tcPr>
            <w:tcW w:w="502" w:type="pct"/>
            <w:shd w:val="clear" w:color="auto" w:fill="CCE8CF" w:themeFill="background1"/>
            <w:vAlign w:val="center"/>
          </w:tcPr>
          <w:p w14:paraId="0A3002FF">
            <w:pPr>
              <w:pStyle w:val="46"/>
              <w:keepNext w:val="0"/>
              <w:keepLines w:val="0"/>
              <w:pageBreakBefore w:val="0"/>
              <w:kinsoku/>
              <w:wordWrap/>
              <w:overflowPunct/>
              <w:topLinePunct w:val="0"/>
              <w:autoSpaceDE/>
              <w:autoSpaceDN/>
              <w:bidi w:val="0"/>
              <w:adjustRightInd/>
              <w:snapToGrid/>
              <w:jc w:val="center"/>
              <w:textAlignment w:val="auto"/>
              <w:rPr>
                <w:rFonts w:cs="宋体"/>
                <w:b/>
                <w:bCs/>
                <w:sz w:val="24"/>
                <w:szCs w:val="24"/>
              </w:rPr>
            </w:pPr>
          </w:p>
        </w:tc>
      </w:tr>
      <w:tr w14:paraId="2B6A4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2780" w:hRule="atLeast"/>
          <w:jc w:val="center"/>
        </w:trPr>
        <w:tc>
          <w:tcPr>
            <w:tcW w:w="442" w:type="pct"/>
            <w:shd w:val="clear" w:color="auto" w:fill="CCE8CF" w:themeFill="background1"/>
            <w:vAlign w:val="center"/>
          </w:tcPr>
          <w:p w14:paraId="78ABD2E5">
            <w:pPr>
              <w:pStyle w:val="46"/>
              <w:keepNext w:val="0"/>
              <w:keepLines w:val="0"/>
              <w:pageBreakBefore w:val="0"/>
              <w:kinsoku/>
              <w:wordWrap/>
              <w:overflowPunct/>
              <w:topLinePunct w:val="0"/>
              <w:autoSpaceDE/>
              <w:autoSpaceDN/>
              <w:bidi w:val="0"/>
              <w:adjustRightInd/>
              <w:snapToGrid/>
              <w:jc w:val="center"/>
              <w:textAlignment w:val="auto"/>
              <w:rPr>
                <w:rFonts w:hint="eastAsia" w:eastAsia="宋体" w:cs="宋体"/>
                <w:b/>
                <w:bCs/>
                <w:sz w:val="24"/>
                <w:szCs w:val="24"/>
                <w:lang w:eastAsia="zh-CN"/>
              </w:rPr>
            </w:pPr>
            <w:r>
              <w:rPr>
                <w:rFonts w:hint="eastAsia" w:cs="宋体"/>
                <w:b/>
                <w:bCs/>
                <w:sz w:val="24"/>
                <w:szCs w:val="24"/>
              </w:rPr>
              <w:t>2-</w:t>
            </w:r>
            <w:r>
              <w:rPr>
                <w:rFonts w:hint="eastAsia" w:cs="宋体"/>
                <w:b/>
                <w:bCs/>
                <w:sz w:val="24"/>
                <w:szCs w:val="24"/>
                <w:lang w:val="en-US" w:eastAsia="zh-CN"/>
              </w:rPr>
              <w:t>6</w:t>
            </w:r>
          </w:p>
        </w:tc>
        <w:tc>
          <w:tcPr>
            <w:tcW w:w="853" w:type="pct"/>
            <w:shd w:val="clear" w:color="auto" w:fill="CCE8CF" w:themeFill="background1"/>
            <w:vAlign w:val="center"/>
          </w:tcPr>
          <w:p w14:paraId="72C6A249">
            <w:pPr>
              <w:pStyle w:val="46"/>
              <w:keepNext w:val="0"/>
              <w:keepLines w:val="0"/>
              <w:pageBreakBefore w:val="0"/>
              <w:kinsoku/>
              <w:wordWrap/>
              <w:overflowPunct/>
              <w:topLinePunct w:val="0"/>
              <w:autoSpaceDE/>
              <w:autoSpaceDN/>
              <w:bidi w:val="0"/>
              <w:adjustRightInd/>
              <w:snapToGrid/>
              <w:jc w:val="both"/>
              <w:textAlignment w:val="auto"/>
              <w:rPr>
                <w:rFonts w:cs="宋体"/>
                <w:sz w:val="24"/>
                <w:szCs w:val="24"/>
              </w:rPr>
            </w:pPr>
            <w:r>
              <w:rPr>
                <w:rFonts w:hint="eastAsia" w:cs="宋体"/>
                <w:sz w:val="24"/>
                <w:szCs w:val="24"/>
              </w:rPr>
              <w:t>提供参加政府采购活动前三年内，在经营活动中没有重大违法记录的书面声明；</w:t>
            </w:r>
          </w:p>
        </w:tc>
        <w:tc>
          <w:tcPr>
            <w:tcW w:w="3201" w:type="pct"/>
            <w:shd w:val="clear" w:color="auto" w:fill="CCE8CF" w:themeFill="background1"/>
            <w:vAlign w:val="center"/>
          </w:tcPr>
          <w:p w14:paraId="494CB78A">
            <w:pPr>
              <w:pStyle w:val="46"/>
              <w:keepNext w:val="0"/>
              <w:keepLines w:val="0"/>
              <w:pageBreakBefore w:val="0"/>
              <w:kinsoku/>
              <w:wordWrap/>
              <w:overflowPunct/>
              <w:topLinePunct w:val="0"/>
              <w:autoSpaceDE/>
              <w:autoSpaceDN/>
              <w:bidi w:val="0"/>
              <w:adjustRightInd/>
              <w:snapToGrid/>
              <w:jc w:val="both"/>
              <w:textAlignment w:val="auto"/>
              <w:rPr>
                <w:rFonts w:cs="宋体"/>
                <w:kern w:val="0"/>
                <w:sz w:val="24"/>
                <w:szCs w:val="24"/>
                <w:lang w:bidi="ar"/>
              </w:rPr>
            </w:pPr>
            <w:r>
              <w:rPr>
                <w:rFonts w:hint="eastAsia" w:cs="宋体"/>
                <w:kern w:val="0"/>
                <w:sz w:val="24"/>
                <w:szCs w:val="24"/>
                <w:lang w:bidi="ar"/>
              </w:rPr>
              <w:t>参加采购活动前三年内，在经营活动中没有重大违法记录：提供《无重大违法记录声明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c>
          <w:tcPr>
            <w:tcW w:w="502" w:type="pct"/>
            <w:shd w:val="clear" w:color="auto" w:fill="CCE8CF" w:themeFill="background1"/>
            <w:vAlign w:val="center"/>
          </w:tcPr>
          <w:p w14:paraId="1F2A0E10">
            <w:pPr>
              <w:keepNext w:val="0"/>
              <w:keepLines w:val="0"/>
              <w:pageBreakBefore w:val="0"/>
              <w:widowControl/>
              <w:kinsoku/>
              <w:wordWrap/>
              <w:overflowPunct/>
              <w:topLinePunct w:val="0"/>
              <w:autoSpaceDE/>
              <w:autoSpaceDN/>
              <w:bidi w:val="0"/>
              <w:adjustRightInd/>
              <w:snapToGrid/>
              <w:spacing w:line="240" w:lineRule="auto"/>
              <w:textAlignment w:val="auto"/>
              <w:rPr>
                <w:rFonts w:cs="宋体"/>
                <w:kern w:val="0"/>
                <w:szCs w:val="24"/>
                <w:lang w:bidi="ar"/>
              </w:rPr>
            </w:pPr>
          </w:p>
        </w:tc>
      </w:tr>
      <w:tr w14:paraId="78B3B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964" w:hRule="atLeast"/>
          <w:jc w:val="center"/>
        </w:trPr>
        <w:tc>
          <w:tcPr>
            <w:tcW w:w="442" w:type="pct"/>
            <w:shd w:val="clear" w:color="auto" w:fill="CCE8CF" w:themeFill="background1"/>
            <w:vAlign w:val="center"/>
          </w:tcPr>
          <w:p w14:paraId="277EEF33">
            <w:pPr>
              <w:pStyle w:val="46"/>
              <w:keepNext w:val="0"/>
              <w:keepLines w:val="0"/>
              <w:pageBreakBefore w:val="0"/>
              <w:kinsoku/>
              <w:wordWrap/>
              <w:overflowPunct/>
              <w:topLinePunct w:val="0"/>
              <w:autoSpaceDE/>
              <w:autoSpaceDN/>
              <w:bidi w:val="0"/>
              <w:adjustRightInd/>
              <w:snapToGrid/>
              <w:jc w:val="center"/>
              <w:textAlignment w:val="auto"/>
              <w:rPr>
                <w:rFonts w:hint="eastAsia" w:eastAsia="宋体" w:cs="宋体"/>
                <w:b/>
                <w:bCs/>
                <w:sz w:val="24"/>
                <w:szCs w:val="24"/>
                <w:lang w:eastAsia="zh-CN"/>
              </w:rPr>
            </w:pPr>
            <w:r>
              <w:rPr>
                <w:rFonts w:hint="eastAsia" w:cs="宋体"/>
                <w:b/>
                <w:bCs/>
                <w:sz w:val="24"/>
                <w:szCs w:val="24"/>
              </w:rPr>
              <w:t>2-</w:t>
            </w:r>
            <w:r>
              <w:rPr>
                <w:rFonts w:hint="eastAsia" w:cs="宋体"/>
                <w:b/>
                <w:bCs/>
                <w:sz w:val="24"/>
                <w:szCs w:val="24"/>
                <w:lang w:val="en-US" w:eastAsia="zh-CN"/>
              </w:rPr>
              <w:t>7</w:t>
            </w:r>
          </w:p>
        </w:tc>
        <w:tc>
          <w:tcPr>
            <w:tcW w:w="853" w:type="pct"/>
            <w:shd w:val="clear" w:color="auto" w:fill="CCE8CF" w:themeFill="background1"/>
            <w:vAlign w:val="center"/>
          </w:tcPr>
          <w:p w14:paraId="4BAB3079">
            <w:pPr>
              <w:pStyle w:val="46"/>
              <w:keepNext w:val="0"/>
              <w:keepLines w:val="0"/>
              <w:pageBreakBefore w:val="0"/>
              <w:kinsoku/>
              <w:wordWrap/>
              <w:overflowPunct/>
              <w:topLinePunct w:val="0"/>
              <w:autoSpaceDE/>
              <w:autoSpaceDN/>
              <w:bidi w:val="0"/>
              <w:adjustRightInd/>
              <w:snapToGrid/>
              <w:jc w:val="both"/>
              <w:textAlignment w:val="auto"/>
              <w:rPr>
                <w:rFonts w:cs="宋体"/>
                <w:sz w:val="24"/>
                <w:szCs w:val="24"/>
              </w:rPr>
            </w:pPr>
            <w:r>
              <w:rPr>
                <w:rFonts w:hint="eastAsia" w:cs="宋体"/>
                <w:sz w:val="24"/>
                <w:szCs w:val="24"/>
              </w:rPr>
              <w:t>不良信用</w:t>
            </w:r>
          </w:p>
        </w:tc>
        <w:tc>
          <w:tcPr>
            <w:tcW w:w="3201" w:type="pct"/>
            <w:shd w:val="clear" w:color="auto" w:fill="CCE8CF" w:themeFill="background1"/>
            <w:vAlign w:val="center"/>
          </w:tcPr>
          <w:p w14:paraId="016F6D99">
            <w:pPr>
              <w:pStyle w:val="46"/>
              <w:keepNext w:val="0"/>
              <w:keepLines w:val="0"/>
              <w:pageBreakBefore w:val="0"/>
              <w:kinsoku/>
              <w:wordWrap/>
              <w:overflowPunct/>
              <w:topLinePunct w:val="0"/>
              <w:autoSpaceDE/>
              <w:autoSpaceDN/>
              <w:bidi w:val="0"/>
              <w:adjustRightInd/>
              <w:snapToGrid/>
              <w:jc w:val="both"/>
              <w:textAlignment w:val="auto"/>
              <w:rPr>
                <w:rFonts w:cs="宋体"/>
                <w:sz w:val="24"/>
                <w:szCs w:val="24"/>
              </w:rPr>
            </w:pPr>
            <w:r>
              <w:rPr>
                <w:rFonts w:hint="eastAsia" w:cs="宋体"/>
                <w:sz w:val="24"/>
                <w:szCs w:val="24"/>
              </w:rPr>
              <w:t>近三年内（本项目投标截止期前）如在“信用中国（www.creditchina.gov.cn）”被列入失信被执行人、重大税收违法案件当事人名单、政府采购严重违法失信名单（尚在处罚期内的）；在“中国政府采购网（www.ccgp.gov.cn）”被列入政府采购严重违法失信行为记录名单的（尚在处罚期内的）；将拒绝其</w:t>
            </w:r>
            <w:r>
              <w:rPr>
                <w:rFonts w:hint="eastAsia" w:cs="宋体"/>
                <w:sz w:val="24"/>
                <w:szCs w:val="24"/>
                <w:lang w:eastAsia="zh-CN"/>
              </w:rPr>
              <w:t>参与</w:t>
            </w:r>
            <w:r>
              <w:rPr>
                <w:rFonts w:hint="eastAsia" w:cs="宋体"/>
                <w:sz w:val="24"/>
                <w:szCs w:val="24"/>
              </w:rPr>
              <w:t>本次政府采购活动；</w:t>
            </w:r>
          </w:p>
        </w:tc>
        <w:tc>
          <w:tcPr>
            <w:tcW w:w="502" w:type="pct"/>
            <w:shd w:val="clear" w:color="auto" w:fill="CCE8CF" w:themeFill="background1"/>
            <w:vAlign w:val="center"/>
          </w:tcPr>
          <w:p w14:paraId="2ACC3FAE">
            <w:pPr>
              <w:keepNext w:val="0"/>
              <w:keepLines w:val="0"/>
              <w:pageBreakBefore w:val="0"/>
              <w:widowControl/>
              <w:kinsoku/>
              <w:wordWrap/>
              <w:overflowPunct/>
              <w:topLinePunct w:val="0"/>
              <w:autoSpaceDE/>
              <w:autoSpaceDN/>
              <w:bidi w:val="0"/>
              <w:adjustRightInd/>
              <w:snapToGrid/>
              <w:spacing w:line="240" w:lineRule="auto"/>
              <w:textAlignment w:val="auto"/>
              <w:rPr>
                <w:rFonts w:cs="宋体"/>
                <w:kern w:val="0"/>
                <w:szCs w:val="24"/>
                <w:lang w:bidi="ar"/>
              </w:rPr>
            </w:pPr>
          </w:p>
        </w:tc>
      </w:tr>
      <w:tr w14:paraId="07BEC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964" w:hRule="atLeast"/>
          <w:jc w:val="center"/>
        </w:trPr>
        <w:tc>
          <w:tcPr>
            <w:tcW w:w="442" w:type="pct"/>
            <w:shd w:val="clear" w:color="auto" w:fill="CCE8CF" w:themeFill="background1"/>
            <w:vAlign w:val="center"/>
          </w:tcPr>
          <w:p w14:paraId="6080A3CC">
            <w:pPr>
              <w:pStyle w:val="46"/>
              <w:keepNext w:val="0"/>
              <w:keepLines w:val="0"/>
              <w:pageBreakBefore w:val="0"/>
              <w:kinsoku/>
              <w:wordWrap/>
              <w:overflowPunct/>
              <w:topLinePunct w:val="0"/>
              <w:autoSpaceDE/>
              <w:autoSpaceDN/>
              <w:bidi w:val="0"/>
              <w:adjustRightInd/>
              <w:snapToGrid/>
              <w:jc w:val="center"/>
              <w:textAlignment w:val="auto"/>
              <w:rPr>
                <w:rFonts w:hint="default" w:eastAsia="宋体" w:cs="宋体"/>
                <w:b/>
                <w:bCs/>
                <w:sz w:val="24"/>
                <w:szCs w:val="24"/>
                <w:lang w:val="en-US" w:eastAsia="zh-CN"/>
              </w:rPr>
            </w:pPr>
            <w:r>
              <w:rPr>
                <w:rFonts w:hint="eastAsia" w:cs="宋体"/>
                <w:b/>
                <w:bCs/>
                <w:sz w:val="24"/>
                <w:szCs w:val="24"/>
                <w:lang w:val="en-US" w:eastAsia="zh-CN"/>
              </w:rPr>
              <w:t>2-8</w:t>
            </w:r>
          </w:p>
        </w:tc>
        <w:tc>
          <w:tcPr>
            <w:tcW w:w="853" w:type="pct"/>
            <w:shd w:val="clear" w:color="auto" w:fill="CCE8CF" w:themeFill="background1"/>
            <w:vAlign w:val="center"/>
          </w:tcPr>
          <w:p w14:paraId="011E4D58">
            <w:pPr>
              <w:pStyle w:val="46"/>
              <w:keepNext w:val="0"/>
              <w:keepLines w:val="0"/>
              <w:pageBreakBefore w:val="0"/>
              <w:kinsoku/>
              <w:wordWrap/>
              <w:overflowPunct/>
              <w:topLinePunct w:val="0"/>
              <w:autoSpaceDE/>
              <w:autoSpaceDN/>
              <w:bidi w:val="0"/>
              <w:adjustRightInd/>
              <w:snapToGrid/>
              <w:jc w:val="both"/>
              <w:textAlignment w:val="auto"/>
              <w:rPr>
                <w:rFonts w:hint="eastAsia" w:cs="宋体"/>
                <w:sz w:val="24"/>
                <w:szCs w:val="24"/>
              </w:rPr>
            </w:pPr>
            <w:r>
              <w:rPr>
                <w:rFonts w:hint="eastAsia" w:cs="宋体"/>
                <w:sz w:val="24"/>
                <w:szCs w:val="24"/>
              </w:rPr>
              <w:t>供应商关联关系</w:t>
            </w:r>
          </w:p>
        </w:tc>
        <w:tc>
          <w:tcPr>
            <w:tcW w:w="3201" w:type="pct"/>
            <w:shd w:val="clear" w:color="auto" w:fill="CCE8CF" w:themeFill="background1"/>
            <w:vAlign w:val="center"/>
          </w:tcPr>
          <w:p w14:paraId="73123A08">
            <w:pPr>
              <w:pStyle w:val="46"/>
              <w:keepNext w:val="0"/>
              <w:keepLines w:val="0"/>
              <w:pageBreakBefore w:val="0"/>
              <w:kinsoku/>
              <w:wordWrap/>
              <w:overflowPunct/>
              <w:topLinePunct w:val="0"/>
              <w:autoSpaceDE/>
              <w:autoSpaceDN/>
              <w:bidi w:val="0"/>
              <w:adjustRightInd/>
              <w:snapToGrid/>
              <w:jc w:val="both"/>
              <w:textAlignment w:val="auto"/>
              <w:rPr>
                <w:rFonts w:hint="eastAsia" w:cs="宋体"/>
                <w:sz w:val="24"/>
                <w:szCs w:val="24"/>
              </w:rPr>
            </w:pPr>
            <w:r>
              <w:rPr>
                <w:rFonts w:hint="eastAsia" w:cs="宋体"/>
                <w:sz w:val="24"/>
                <w:szCs w:val="24"/>
              </w:rPr>
              <w:t>企业负责人为同一人或者存在直接控股、管理关系的不同投标人，不得参加同一合同项下的政府采购活动（提供声明函），否则，皆取消投标资格；凡拟参加本次招标项目的投标人还须提供“参加政府采购活动前3年内在经营活动中没有重大违法记录的书面声明函。</w:t>
            </w:r>
          </w:p>
        </w:tc>
        <w:tc>
          <w:tcPr>
            <w:tcW w:w="502" w:type="pct"/>
            <w:shd w:val="clear" w:color="auto" w:fill="CCE8CF" w:themeFill="background1"/>
            <w:vAlign w:val="center"/>
          </w:tcPr>
          <w:p w14:paraId="02DE4202">
            <w:pPr>
              <w:keepNext w:val="0"/>
              <w:keepLines w:val="0"/>
              <w:pageBreakBefore w:val="0"/>
              <w:widowControl/>
              <w:kinsoku/>
              <w:wordWrap/>
              <w:overflowPunct/>
              <w:topLinePunct w:val="0"/>
              <w:autoSpaceDE/>
              <w:autoSpaceDN/>
              <w:bidi w:val="0"/>
              <w:adjustRightInd/>
              <w:snapToGrid/>
              <w:spacing w:line="240" w:lineRule="auto"/>
              <w:textAlignment w:val="auto"/>
              <w:rPr>
                <w:rFonts w:cs="宋体"/>
                <w:kern w:val="0"/>
                <w:szCs w:val="24"/>
                <w:lang w:bidi="ar"/>
              </w:rPr>
            </w:pPr>
          </w:p>
        </w:tc>
      </w:tr>
      <w:tr w14:paraId="35E4C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524" w:hRule="atLeast"/>
          <w:jc w:val="center"/>
        </w:trPr>
        <w:tc>
          <w:tcPr>
            <w:tcW w:w="442" w:type="pct"/>
            <w:shd w:val="clear" w:color="auto" w:fill="CCE8CF" w:themeFill="background1"/>
            <w:vAlign w:val="center"/>
          </w:tcPr>
          <w:p w14:paraId="3B57A490">
            <w:pPr>
              <w:pStyle w:val="46"/>
              <w:keepNext w:val="0"/>
              <w:keepLines w:val="0"/>
              <w:pageBreakBefore w:val="0"/>
              <w:kinsoku/>
              <w:wordWrap/>
              <w:overflowPunct/>
              <w:topLinePunct w:val="0"/>
              <w:autoSpaceDE/>
              <w:autoSpaceDN/>
              <w:bidi w:val="0"/>
              <w:adjustRightInd/>
              <w:snapToGrid/>
              <w:jc w:val="center"/>
              <w:textAlignment w:val="auto"/>
              <w:rPr>
                <w:rFonts w:cs="宋体"/>
                <w:b/>
                <w:bCs/>
                <w:sz w:val="24"/>
                <w:szCs w:val="24"/>
              </w:rPr>
            </w:pPr>
            <w:r>
              <w:rPr>
                <w:rFonts w:hint="eastAsia" w:cs="宋体"/>
                <w:b/>
                <w:bCs/>
                <w:sz w:val="24"/>
                <w:szCs w:val="24"/>
              </w:rPr>
              <w:t>3</w:t>
            </w:r>
          </w:p>
        </w:tc>
        <w:tc>
          <w:tcPr>
            <w:tcW w:w="853" w:type="pct"/>
            <w:shd w:val="clear" w:color="auto" w:fill="CCE8CF" w:themeFill="background1"/>
            <w:vAlign w:val="center"/>
          </w:tcPr>
          <w:p w14:paraId="2C5105C0">
            <w:pPr>
              <w:pStyle w:val="46"/>
              <w:keepNext w:val="0"/>
              <w:keepLines w:val="0"/>
              <w:pageBreakBefore w:val="0"/>
              <w:kinsoku/>
              <w:wordWrap/>
              <w:overflowPunct/>
              <w:topLinePunct w:val="0"/>
              <w:autoSpaceDE/>
              <w:autoSpaceDN/>
              <w:bidi w:val="0"/>
              <w:adjustRightInd/>
              <w:snapToGrid/>
              <w:jc w:val="both"/>
              <w:textAlignment w:val="auto"/>
              <w:rPr>
                <w:rFonts w:cs="宋体"/>
                <w:kern w:val="0"/>
                <w:sz w:val="24"/>
                <w:szCs w:val="24"/>
                <w:lang w:bidi="ar"/>
              </w:rPr>
            </w:pPr>
            <w:r>
              <w:rPr>
                <w:rFonts w:hint="eastAsia" w:cs="宋体"/>
                <w:kern w:val="0"/>
                <w:sz w:val="24"/>
                <w:szCs w:val="24"/>
                <w:lang w:bidi="ar"/>
              </w:rPr>
              <w:t>本项目的特定资格要求</w:t>
            </w:r>
          </w:p>
        </w:tc>
        <w:tc>
          <w:tcPr>
            <w:tcW w:w="3201" w:type="pct"/>
            <w:shd w:val="clear" w:color="auto" w:fill="CCE8CF" w:themeFill="background1"/>
            <w:vAlign w:val="center"/>
          </w:tcPr>
          <w:p w14:paraId="3B565DA2">
            <w:pPr>
              <w:pStyle w:val="46"/>
              <w:keepNext w:val="0"/>
              <w:keepLines w:val="0"/>
              <w:pageBreakBefore w:val="0"/>
              <w:kinsoku/>
              <w:wordWrap/>
              <w:overflowPunct/>
              <w:topLinePunct w:val="0"/>
              <w:autoSpaceDE/>
              <w:autoSpaceDN/>
              <w:bidi w:val="0"/>
              <w:adjustRightInd/>
              <w:snapToGrid/>
              <w:jc w:val="both"/>
              <w:textAlignment w:val="auto"/>
              <w:rPr>
                <w:rFonts w:cs="宋体"/>
                <w:kern w:val="0"/>
                <w:sz w:val="24"/>
                <w:szCs w:val="24"/>
                <w:lang w:bidi="ar"/>
              </w:rPr>
            </w:pPr>
            <w:r>
              <w:rPr>
                <w:rFonts w:hint="eastAsia" w:cs="宋体"/>
                <w:kern w:val="0"/>
                <w:sz w:val="24"/>
                <w:szCs w:val="24"/>
                <w:lang w:bidi="ar"/>
              </w:rPr>
              <w:t>无</w:t>
            </w:r>
          </w:p>
        </w:tc>
        <w:tc>
          <w:tcPr>
            <w:tcW w:w="502" w:type="pct"/>
            <w:shd w:val="clear" w:color="auto" w:fill="CCE8CF" w:themeFill="background1"/>
            <w:vAlign w:val="center"/>
          </w:tcPr>
          <w:p w14:paraId="7B52E33E">
            <w:pPr>
              <w:pStyle w:val="46"/>
              <w:keepNext w:val="0"/>
              <w:keepLines w:val="0"/>
              <w:pageBreakBefore w:val="0"/>
              <w:kinsoku/>
              <w:wordWrap/>
              <w:overflowPunct/>
              <w:topLinePunct w:val="0"/>
              <w:autoSpaceDE/>
              <w:autoSpaceDN/>
              <w:bidi w:val="0"/>
              <w:adjustRightInd/>
              <w:snapToGrid/>
              <w:jc w:val="both"/>
              <w:textAlignment w:val="auto"/>
              <w:rPr>
                <w:rFonts w:cs="宋体"/>
                <w:kern w:val="0"/>
                <w:sz w:val="24"/>
                <w:szCs w:val="24"/>
                <w:lang w:bidi="ar"/>
              </w:rPr>
            </w:pPr>
          </w:p>
        </w:tc>
      </w:tr>
    </w:tbl>
    <w:p w14:paraId="1C79E11B">
      <w:pPr>
        <w:keepNext w:val="0"/>
        <w:keepLines w:val="0"/>
        <w:pageBreakBefore w:val="0"/>
        <w:widowControl w:val="0"/>
        <w:kinsoku/>
        <w:overflowPunct/>
        <w:topLinePunct w:val="0"/>
        <w:autoSpaceDE/>
        <w:autoSpaceDN/>
        <w:bidi w:val="0"/>
        <w:adjustRightInd/>
        <w:snapToGrid/>
        <w:spacing w:line="420" w:lineRule="exact"/>
        <w:textAlignment w:val="auto"/>
        <w:rPr>
          <w:b/>
          <w:bCs/>
          <w:i w:val="0"/>
          <w:iCs w:val="0"/>
          <w:color w:val="auto"/>
          <w:sz w:val="24"/>
          <w:szCs w:val="24"/>
          <w:highlight w:val="none"/>
        </w:rPr>
      </w:pPr>
      <w:r>
        <w:rPr>
          <w:rFonts w:hint="eastAsia"/>
          <w:b/>
          <w:bCs/>
          <w:i w:val="0"/>
          <w:iCs w:val="0"/>
          <w:color w:val="auto"/>
          <w:sz w:val="24"/>
          <w:szCs w:val="24"/>
          <w:highlight w:val="none"/>
        </w:rPr>
        <w:t>备注：</w:t>
      </w:r>
    </w:p>
    <w:p w14:paraId="509818B3">
      <w:pPr>
        <w:pStyle w:val="39"/>
        <w:keepNext w:val="0"/>
        <w:keepLines w:val="0"/>
        <w:pageBreakBefore w:val="0"/>
        <w:widowControl w:val="0"/>
        <w:kinsoku/>
        <w:overflowPunct/>
        <w:topLinePunct w:val="0"/>
        <w:autoSpaceDE/>
        <w:autoSpaceDN/>
        <w:bidi w:val="0"/>
        <w:adjustRightInd/>
        <w:snapToGrid/>
        <w:spacing w:line="420" w:lineRule="exact"/>
        <w:ind w:firstLine="480"/>
        <w:textAlignment w:val="auto"/>
        <w:rPr>
          <w:i w:val="0"/>
          <w:iCs w:val="0"/>
          <w:color w:val="auto"/>
          <w:sz w:val="24"/>
          <w:szCs w:val="24"/>
          <w:highlight w:val="none"/>
        </w:rPr>
      </w:pPr>
      <w:r>
        <w:rPr>
          <w:i w:val="0"/>
          <w:iCs w:val="0"/>
          <w:color w:val="auto"/>
          <w:sz w:val="24"/>
          <w:szCs w:val="24"/>
          <w:highlight w:val="none"/>
        </w:rPr>
        <w:t>1.</w:t>
      </w:r>
      <w:r>
        <w:rPr>
          <w:rFonts w:hint="eastAsia"/>
          <w:i w:val="0"/>
          <w:iCs w:val="0"/>
          <w:color w:val="auto"/>
          <w:sz w:val="24"/>
          <w:szCs w:val="24"/>
          <w:highlight w:val="none"/>
          <w:lang w:eastAsia="zh-CN"/>
        </w:rPr>
        <w:t>供应商须按上表格式要求提供相关证明文件</w:t>
      </w:r>
      <w:r>
        <w:rPr>
          <w:rFonts w:hint="eastAsia"/>
          <w:i w:val="0"/>
          <w:iCs w:val="0"/>
          <w:color w:val="auto"/>
          <w:sz w:val="24"/>
          <w:szCs w:val="24"/>
          <w:highlight w:val="none"/>
        </w:rPr>
        <w:t>，响应文件中须编入清晰的扫描件或网页截图。所有证明材料须清晰可辨认，如因证明材料模糊无法辨认，缺页、漏页导致无法进行评审认定的</w:t>
      </w:r>
      <w:r>
        <w:rPr>
          <w:rFonts w:hint="eastAsia"/>
          <w:i w:val="0"/>
          <w:iCs w:val="0"/>
          <w:color w:val="auto"/>
          <w:sz w:val="24"/>
          <w:szCs w:val="24"/>
          <w:highlight w:val="none"/>
          <w:lang w:eastAsia="zh-CN"/>
        </w:rPr>
        <w:t>，</w:t>
      </w:r>
      <w:r>
        <w:rPr>
          <w:rFonts w:hint="eastAsia"/>
          <w:i w:val="0"/>
          <w:iCs w:val="0"/>
          <w:color w:val="auto"/>
          <w:sz w:val="24"/>
          <w:szCs w:val="24"/>
          <w:highlight w:val="none"/>
        </w:rPr>
        <w:t>责任由供应商</w:t>
      </w:r>
      <w:r>
        <w:rPr>
          <w:rFonts w:hint="eastAsia"/>
          <w:i w:val="0"/>
          <w:iCs w:val="0"/>
          <w:color w:val="auto"/>
          <w:sz w:val="24"/>
          <w:szCs w:val="24"/>
          <w:highlight w:val="none"/>
          <w:lang w:val="en-US" w:eastAsia="zh-CN"/>
        </w:rPr>
        <w:t>承担</w:t>
      </w:r>
      <w:r>
        <w:rPr>
          <w:rFonts w:hint="eastAsia"/>
          <w:i w:val="0"/>
          <w:iCs w:val="0"/>
          <w:color w:val="auto"/>
          <w:sz w:val="24"/>
          <w:szCs w:val="24"/>
          <w:highlight w:val="none"/>
        </w:rPr>
        <w:t>。</w:t>
      </w:r>
    </w:p>
    <w:p w14:paraId="34298128">
      <w:pPr>
        <w:pStyle w:val="39"/>
        <w:keepNext w:val="0"/>
        <w:keepLines w:val="0"/>
        <w:pageBreakBefore w:val="0"/>
        <w:widowControl w:val="0"/>
        <w:numPr>
          <w:ilvl w:val="0"/>
          <w:numId w:val="0"/>
        </w:numPr>
        <w:kinsoku/>
        <w:overflowPunct/>
        <w:topLinePunct w:val="0"/>
        <w:autoSpaceDE/>
        <w:autoSpaceDN/>
        <w:bidi w:val="0"/>
        <w:adjustRightInd/>
        <w:snapToGrid/>
        <w:spacing w:line="420" w:lineRule="exact"/>
        <w:ind w:firstLine="480" w:firstLineChars="200"/>
        <w:textAlignment w:val="auto"/>
        <w:rPr>
          <w:i w:val="0"/>
          <w:iCs w:val="0"/>
          <w:color w:val="auto"/>
          <w:sz w:val="24"/>
          <w:szCs w:val="24"/>
          <w:highlight w:val="none"/>
        </w:rPr>
      </w:pPr>
      <w:r>
        <w:rPr>
          <w:rFonts w:ascii="宋体" w:hAnsi="宋体" w:eastAsia="宋体" w:cstheme="minorBidi"/>
          <w:i w:val="0"/>
          <w:iCs w:val="0"/>
          <w:color w:val="auto"/>
          <w:kern w:val="2"/>
          <w:sz w:val="24"/>
          <w:szCs w:val="24"/>
          <w:highlight w:val="none"/>
          <w:lang w:val="en-US" w:eastAsia="zh-CN" w:bidi="ar-SA"/>
        </w:rPr>
        <w:t>2.</w:t>
      </w:r>
      <w:r>
        <w:rPr>
          <w:rFonts w:hint="eastAsia"/>
          <w:i w:val="0"/>
          <w:iCs w:val="0"/>
          <w:color w:val="auto"/>
          <w:sz w:val="24"/>
          <w:szCs w:val="24"/>
          <w:highlight w:val="none"/>
          <w:lang w:val="zh-CN"/>
        </w:rPr>
        <w:t>信用信息核</w:t>
      </w:r>
      <w:r>
        <w:rPr>
          <w:rFonts w:hint="eastAsia"/>
          <w:i w:val="0"/>
          <w:iCs w:val="0"/>
          <w:color w:val="auto"/>
          <w:sz w:val="24"/>
          <w:szCs w:val="24"/>
          <w:highlight w:val="none"/>
        </w:rPr>
        <w:t>查</w:t>
      </w:r>
    </w:p>
    <w:p w14:paraId="3DA3DB26">
      <w:pPr>
        <w:pStyle w:val="35"/>
        <w:keepNext w:val="0"/>
        <w:keepLines w:val="0"/>
        <w:pageBreakBefore w:val="0"/>
        <w:widowControl w:val="0"/>
        <w:kinsoku/>
        <w:overflowPunct/>
        <w:topLinePunct w:val="0"/>
        <w:autoSpaceDE/>
        <w:autoSpaceDN/>
        <w:bidi w:val="0"/>
        <w:adjustRightInd/>
        <w:snapToGrid/>
        <w:spacing w:line="420" w:lineRule="exact"/>
        <w:ind w:firstLine="480"/>
        <w:textAlignment w:val="auto"/>
        <w:rPr>
          <w:i w:val="0"/>
          <w:iCs w:val="0"/>
          <w:color w:val="auto"/>
          <w:sz w:val="24"/>
          <w:szCs w:val="24"/>
          <w:highlight w:val="none"/>
        </w:rPr>
      </w:pPr>
      <w:r>
        <w:rPr>
          <w:rFonts w:hint="eastAsia"/>
          <w:i w:val="0"/>
          <w:iCs w:val="0"/>
          <w:color w:val="auto"/>
          <w:sz w:val="24"/>
          <w:szCs w:val="24"/>
          <w:highlight w:val="none"/>
        </w:rPr>
        <w:t>2.1资格审查</w:t>
      </w:r>
      <w:r>
        <w:rPr>
          <w:rFonts w:hint="eastAsia"/>
          <w:i w:val="0"/>
          <w:iCs w:val="0"/>
          <w:color w:val="auto"/>
          <w:sz w:val="24"/>
          <w:szCs w:val="24"/>
          <w:highlight w:val="none"/>
          <w:lang w:eastAsia="zh-CN"/>
        </w:rPr>
        <w:t>阶段</w:t>
      </w:r>
      <w:r>
        <w:rPr>
          <w:rFonts w:hint="eastAsia"/>
          <w:i w:val="0"/>
          <w:iCs w:val="0"/>
          <w:color w:val="auto"/>
          <w:sz w:val="24"/>
          <w:szCs w:val="24"/>
          <w:highlight w:val="none"/>
        </w:rPr>
        <w:t>应当核查供应商信用记录，供应商被列入失信被执行人、重大税收违法失信主体、政府采购严重违法失信行为记录名单的，采购</w:t>
      </w:r>
      <w:r>
        <w:rPr>
          <w:rFonts w:hint="eastAsia"/>
          <w:i w:val="0"/>
          <w:iCs w:val="0"/>
          <w:color w:val="auto"/>
          <w:sz w:val="24"/>
          <w:szCs w:val="24"/>
          <w:highlight w:val="none"/>
          <w:lang w:val="en-US" w:eastAsia="zh-CN"/>
        </w:rPr>
        <w:t>人</w:t>
      </w:r>
      <w:r>
        <w:rPr>
          <w:rFonts w:hint="eastAsia"/>
          <w:i w:val="0"/>
          <w:iCs w:val="0"/>
          <w:color w:val="auto"/>
          <w:sz w:val="24"/>
          <w:szCs w:val="24"/>
          <w:highlight w:val="none"/>
        </w:rPr>
        <w:t>拒绝其参与政府采购活动。</w:t>
      </w:r>
    </w:p>
    <w:p w14:paraId="46EE3573">
      <w:pPr>
        <w:pStyle w:val="35"/>
        <w:keepNext w:val="0"/>
        <w:keepLines w:val="0"/>
        <w:pageBreakBefore w:val="0"/>
        <w:widowControl w:val="0"/>
        <w:kinsoku/>
        <w:overflowPunct/>
        <w:topLinePunct w:val="0"/>
        <w:autoSpaceDE/>
        <w:autoSpaceDN/>
        <w:bidi w:val="0"/>
        <w:adjustRightInd/>
        <w:snapToGrid/>
        <w:spacing w:line="420" w:lineRule="exact"/>
        <w:ind w:firstLine="480"/>
        <w:textAlignment w:val="auto"/>
        <w:rPr>
          <w:i w:val="0"/>
          <w:iCs w:val="0"/>
          <w:color w:val="auto"/>
          <w:sz w:val="24"/>
          <w:szCs w:val="24"/>
          <w:highlight w:val="none"/>
        </w:rPr>
      </w:pPr>
      <w:r>
        <w:rPr>
          <w:rFonts w:hint="eastAsia"/>
          <w:i w:val="0"/>
          <w:iCs w:val="0"/>
          <w:color w:val="auto"/>
          <w:sz w:val="24"/>
          <w:szCs w:val="24"/>
          <w:highlight w:val="none"/>
        </w:rPr>
        <w:t>2.2以联合体形式参与磋商的，应当核查联合体所有成员和信用记录，联合体成员存在不良信用记录的，视同联合体存在不良信用信息。</w:t>
      </w:r>
    </w:p>
    <w:p w14:paraId="55110B7F">
      <w:pPr>
        <w:pStyle w:val="39"/>
        <w:keepNext w:val="0"/>
        <w:keepLines w:val="0"/>
        <w:pageBreakBefore w:val="0"/>
        <w:widowControl w:val="0"/>
        <w:numPr>
          <w:ilvl w:val="0"/>
          <w:numId w:val="0"/>
        </w:numPr>
        <w:kinsoku/>
        <w:overflowPunct/>
        <w:topLinePunct w:val="0"/>
        <w:autoSpaceDE/>
        <w:autoSpaceDN/>
        <w:bidi w:val="0"/>
        <w:adjustRightInd/>
        <w:snapToGrid/>
        <w:spacing w:line="420" w:lineRule="exact"/>
        <w:ind w:firstLine="480" w:firstLineChars="200"/>
        <w:textAlignment w:val="auto"/>
        <w:rPr>
          <w:rFonts w:hint="eastAsia"/>
          <w:i w:val="0"/>
          <w:iCs w:val="0"/>
          <w:color w:val="auto"/>
          <w:sz w:val="24"/>
          <w:szCs w:val="24"/>
          <w:highlight w:val="none"/>
        </w:rPr>
      </w:pPr>
      <w:r>
        <w:rPr>
          <w:rFonts w:ascii="宋体" w:hAnsi="宋体" w:eastAsia="宋体" w:cstheme="minorBidi"/>
          <w:i w:val="0"/>
          <w:iCs w:val="0"/>
          <w:color w:val="auto"/>
          <w:kern w:val="2"/>
          <w:sz w:val="24"/>
          <w:szCs w:val="24"/>
          <w:highlight w:val="none"/>
          <w:lang w:val="en-US" w:eastAsia="zh-CN" w:bidi="ar-SA"/>
        </w:rPr>
        <w:t>3.</w:t>
      </w:r>
      <w:r>
        <w:rPr>
          <w:rFonts w:hint="eastAsia"/>
          <w:i w:val="0"/>
          <w:iCs w:val="0"/>
          <w:color w:val="auto"/>
          <w:sz w:val="24"/>
          <w:szCs w:val="24"/>
          <w:highlight w:val="none"/>
        </w:rPr>
        <w:t>对于响应文件中有任意一条不满足上表要求的</w:t>
      </w:r>
      <w:r>
        <w:rPr>
          <w:rFonts w:hint="eastAsia"/>
          <w:i w:val="0"/>
          <w:iCs w:val="0"/>
          <w:color w:val="auto"/>
          <w:sz w:val="24"/>
          <w:szCs w:val="24"/>
          <w:highlight w:val="none"/>
          <w:lang w:eastAsia="zh-CN"/>
        </w:rPr>
        <w:t>，</w:t>
      </w:r>
      <w:r>
        <w:rPr>
          <w:rFonts w:hint="eastAsia"/>
          <w:i w:val="0"/>
          <w:iCs w:val="0"/>
          <w:color w:val="auto"/>
          <w:sz w:val="24"/>
          <w:szCs w:val="24"/>
          <w:highlight w:val="none"/>
        </w:rPr>
        <w:t>将导致其</w:t>
      </w:r>
      <w:r>
        <w:rPr>
          <w:rFonts w:hint="eastAsia"/>
          <w:b/>
          <w:bCs/>
          <w:i w:val="0"/>
          <w:iCs w:val="0"/>
          <w:color w:val="auto"/>
          <w:sz w:val="24"/>
          <w:szCs w:val="24"/>
          <w:highlight w:val="none"/>
        </w:rPr>
        <w:t>响应无效</w:t>
      </w:r>
      <w:r>
        <w:rPr>
          <w:rFonts w:hint="eastAsia"/>
          <w:i w:val="0"/>
          <w:iCs w:val="0"/>
          <w:color w:val="auto"/>
          <w:sz w:val="24"/>
          <w:szCs w:val="24"/>
          <w:highlight w:val="none"/>
        </w:rPr>
        <w:t>，不</w:t>
      </w:r>
      <w:r>
        <w:rPr>
          <w:rFonts w:hint="eastAsia"/>
          <w:i w:val="0"/>
          <w:iCs w:val="0"/>
          <w:color w:val="auto"/>
          <w:sz w:val="24"/>
          <w:szCs w:val="24"/>
          <w:highlight w:val="none"/>
          <w:lang w:val="en-US" w:eastAsia="zh-CN"/>
        </w:rPr>
        <w:t>得</w:t>
      </w:r>
      <w:r>
        <w:rPr>
          <w:rFonts w:hint="eastAsia"/>
          <w:i w:val="0"/>
          <w:iCs w:val="0"/>
          <w:color w:val="auto"/>
          <w:sz w:val="24"/>
          <w:szCs w:val="24"/>
          <w:highlight w:val="none"/>
        </w:rPr>
        <w:t>进入下一项评审。</w:t>
      </w:r>
    </w:p>
    <w:p w14:paraId="613615CA">
      <w:pPr>
        <w:pStyle w:val="4"/>
        <w:keepNext w:val="0"/>
        <w:keepLines w:val="0"/>
        <w:pageBreakBefore w:val="0"/>
        <w:widowControl w:val="0"/>
        <w:numPr>
          <w:ilvl w:val="0"/>
          <w:numId w:val="0"/>
        </w:numPr>
        <w:kinsoku/>
        <w:wordWrap/>
        <w:overflowPunct/>
        <w:topLinePunct w:val="0"/>
        <w:autoSpaceDE/>
        <w:autoSpaceDN/>
        <w:bidi w:val="0"/>
        <w:adjustRightInd/>
        <w:snapToGrid/>
        <w:spacing w:before="100" w:after="100" w:line="480" w:lineRule="exact"/>
        <w:ind w:left="420" w:leftChars="0" w:hanging="420" w:firstLineChars="0"/>
        <w:textAlignment w:val="auto"/>
        <w:rPr>
          <w:rFonts w:hint="eastAsia" w:ascii="宋体" w:hAnsi="宋体" w:eastAsia="宋体" w:cs="宋体"/>
          <w:b/>
          <w:bCs/>
          <w:i w:val="0"/>
          <w:iCs w:val="0"/>
          <w:color w:val="auto"/>
          <w:kern w:val="2"/>
          <w:sz w:val="24"/>
          <w:szCs w:val="24"/>
          <w:highlight w:val="none"/>
          <w:lang w:val="zh-CN" w:eastAsia="zh-CN" w:bidi="ar-SA"/>
        </w:rPr>
      </w:pPr>
      <w:bookmarkStart w:id="419" w:name="_Toc4949"/>
      <w:bookmarkStart w:id="420" w:name="_Toc163493639"/>
      <w:bookmarkStart w:id="421" w:name="_Toc529"/>
      <w:r>
        <w:rPr>
          <w:rFonts w:hint="eastAsia" w:ascii="宋体" w:hAnsi="宋体" w:eastAsia="宋体" w:cs="宋体"/>
          <w:b/>
          <w:bCs/>
          <w:i w:val="0"/>
          <w:iCs w:val="0"/>
          <w:color w:val="auto"/>
          <w:kern w:val="2"/>
          <w:sz w:val="24"/>
          <w:szCs w:val="24"/>
          <w:highlight w:val="none"/>
          <w:lang w:val="en-US" w:eastAsia="zh-CN" w:bidi="ar-SA"/>
        </w:rPr>
        <w:t>（二）</w:t>
      </w:r>
      <w:r>
        <w:rPr>
          <w:rFonts w:hint="eastAsia" w:ascii="宋体" w:hAnsi="宋体" w:eastAsia="宋体" w:cs="宋体"/>
          <w:b/>
          <w:bCs/>
          <w:i w:val="0"/>
          <w:iCs w:val="0"/>
          <w:color w:val="auto"/>
          <w:kern w:val="2"/>
          <w:sz w:val="24"/>
          <w:szCs w:val="24"/>
          <w:highlight w:val="none"/>
          <w:lang w:val="zh-CN" w:eastAsia="zh-CN" w:bidi="ar-SA"/>
        </w:rPr>
        <w:t>符合性审查表</w:t>
      </w:r>
      <w:bookmarkEnd w:id="418"/>
      <w:bookmarkEnd w:id="419"/>
      <w:bookmarkEnd w:id="420"/>
      <w:bookmarkEnd w:id="421"/>
    </w:p>
    <w:tbl>
      <w:tblPr>
        <w:tblStyle w:val="28"/>
        <w:tblW w:w="4865"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58"/>
        <w:gridCol w:w="1743"/>
        <w:gridCol w:w="4194"/>
        <w:gridCol w:w="848"/>
        <w:gridCol w:w="954"/>
      </w:tblGrid>
      <w:tr w14:paraId="6867D0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3" w:hRule="atLeast"/>
          <w:jc w:val="center"/>
        </w:trPr>
        <w:tc>
          <w:tcPr>
            <w:tcW w:w="336" w:type="pct"/>
            <w:vMerge w:val="restart"/>
            <w:shd w:val="clear" w:color="auto" w:fill="9FD3A4" w:themeFill="background1" w:themeFillShade="D9"/>
            <w:vAlign w:val="center"/>
          </w:tcPr>
          <w:p w14:paraId="3B188FC3">
            <w:pPr>
              <w:pStyle w:val="46"/>
              <w:jc w:val="center"/>
              <w:rPr>
                <w:rFonts w:hint="eastAsia" w:ascii="宋体" w:hAnsi="宋体" w:eastAsia="宋体" w:cs="宋体"/>
                <w:b/>
                <w:bCs/>
                <w:i w:val="0"/>
                <w:iCs w:val="0"/>
                <w:color w:val="auto"/>
                <w:sz w:val="24"/>
                <w:szCs w:val="24"/>
                <w:highlight w:val="none"/>
                <w:lang w:val="zh-CN"/>
              </w:rPr>
            </w:pPr>
            <w:bookmarkStart w:id="422" w:name="_Toc163493640"/>
            <w:r>
              <w:rPr>
                <w:rFonts w:hint="eastAsia" w:ascii="宋体" w:hAnsi="宋体" w:eastAsia="宋体" w:cs="宋体"/>
                <w:b/>
                <w:bCs/>
                <w:i w:val="0"/>
                <w:iCs w:val="0"/>
                <w:color w:val="auto"/>
                <w:sz w:val="24"/>
                <w:szCs w:val="24"/>
                <w:highlight w:val="none"/>
                <w:lang w:val="zh-CN"/>
              </w:rPr>
              <w:t>序号</w:t>
            </w:r>
          </w:p>
        </w:tc>
        <w:tc>
          <w:tcPr>
            <w:tcW w:w="1050" w:type="pct"/>
            <w:vMerge w:val="restart"/>
            <w:shd w:val="clear" w:color="auto" w:fill="9FD3A4" w:themeFill="background1" w:themeFillShade="D9"/>
            <w:vAlign w:val="center"/>
          </w:tcPr>
          <w:p w14:paraId="316B5F87">
            <w:pPr>
              <w:pStyle w:val="46"/>
              <w:jc w:val="center"/>
              <w:rPr>
                <w:rFonts w:hint="eastAsia" w:ascii="宋体" w:hAnsi="宋体" w:eastAsia="宋体" w:cs="宋体"/>
                <w:b/>
                <w:bCs/>
                <w:i w:val="0"/>
                <w:iCs w:val="0"/>
                <w:color w:val="auto"/>
                <w:sz w:val="24"/>
                <w:szCs w:val="24"/>
                <w:highlight w:val="none"/>
                <w:lang w:val="zh-CN"/>
              </w:rPr>
            </w:pPr>
            <w:r>
              <w:rPr>
                <w:rFonts w:hint="eastAsia" w:ascii="宋体" w:hAnsi="宋体" w:eastAsia="宋体" w:cs="宋体"/>
                <w:b/>
                <w:bCs/>
                <w:i w:val="0"/>
                <w:iCs w:val="0"/>
                <w:color w:val="auto"/>
                <w:sz w:val="24"/>
                <w:szCs w:val="24"/>
                <w:highlight w:val="none"/>
                <w:lang w:val="zh-CN"/>
              </w:rPr>
              <w:t>审查项名称</w:t>
            </w:r>
          </w:p>
        </w:tc>
        <w:tc>
          <w:tcPr>
            <w:tcW w:w="2526" w:type="pct"/>
            <w:vMerge w:val="restart"/>
            <w:shd w:val="clear" w:color="auto" w:fill="9FD3A4" w:themeFill="background1" w:themeFillShade="D9"/>
            <w:vAlign w:val="center"/>
          </w:tcPr>
          <w:p w14:paraId="44B32FDC">
            <w:pPr>
              <w:pStyle w:val="46"/>
              <w:jc w:val="center"/>
              <w:rPr>
                <w:rFonts w:hint="eastAsia" w:ascii="宋体" w:hAnsi="宋体" w:eastAsia="宋体" w:cs="宋体"/>
                <w:b/>
                <w:bCs/>
                <w:i w:val="0"/>
                <w:iCs w:val="0"/>
                <w:color w:val="auto"/>
                <w:sz w:val="24"/>
                <w:szCs w:val="24"/>
                <w:highlight w:val="none"/>
                <w:lang w:val="zh-CN"/>
              </w:rPr>
            </w:pPr>
            <w:r>
              <w:rPr>
                <w:rFonts w:hint="eastAsia" w:ascii="宋体" w:hAnsi="宋体" w:eastAsia="宋体" w:cs="宋体"/>
                <w:b/>
                <w:bCs/>
                <w:i w:val="0"/>
                <w:iCs w:val="0"/>
                <w:color w:val="auto"/>
                <w:sz w:val="24"/>
                <w:szCs w:val="24"/>
                <w:highlight w:val="none"/>
                <w:lang w:val="zh-CN"/>
              </w:rPr>
              <w:t>审查内容</w:t>
            </w:r>
          </w:p>
        </w:tc>
        <w:tc>
          <w:tcPr>
            <w:tcW w:w="1085" w:type="pct"/>
            <w:gridSpan w:val="2"/>
            <w:shd w:val="clear" w:color="auto" w:fill="9FD3A4" w:themeFill="background1" w:themeFillShade="D9"/>
            <w:vAlign w:val="center"/>
          </w:tcPr>
          <w:p w14:paraId="2724C461">
            <w:pPr>
              <w:pStyle w:val="46"/>
              <w:jc w:val="center"/>
              <w:rPr>
                <w:rFonts w:hint="eastAsia" w:ascii="宋体" w:hAnsi="宋体" w:eastAsia="宋体" w:cs="宋体"/>
                <w:b/>
                <w:bCs/>
                <w:i w:val="0"/>
                <w:iCs w:val="0"/>
                <w:color w:val="auto"/>
                <w:sz w:val="24"/>
                <w:szCs w:val="24"/>
                <w:highlight w:val="none"/>
                <w:lang w:val="en-US" w:eastAsia="zh-CN"/>
              </w:rPr>
            </w:pPr>
            <w:r>
              <w:rPr>
                <w:rFonts w:hint="eastAsia" w:ascii="宋体" w:hAnsi="宋体" w:eastAsia="宋体" w:cs="宋体"/>
                <w:b/>
                <w:bCs/>
                <w:i w:val="0"/>
                <w:iCs w:val="0"/>
                <w:color w:val="auto"/>
                <w:sz w:val="24"/>
                <w:szCs w:val="24"/>
                <w:highlight w:val="none"/>
                <w:lang w:val="en-US" w:eastAsia="zh-CN"/>
              </w:rPr>
              <w:t>审查结果</w:t>
            </w:r>
          </w:p>
        </w:tc>
      </w:tr>
      <w:tr w14:paraId="6963BE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3" w:hRule="atLeast"/>
          <w:jc w:val="center"/>
        </w:trPr>
        <w:tc>
          <w:tcPr>
            <w:tcW w:w="336" w:type="pct"/>
            <w:vMerge w:val="continue"/>
            <w:shd w:val="clear" w:color="auto" w:fill="9FD3A4" w:themeFill="background1" w:themeFillShade="D9"/>
            <w:vAlign w:val="center"/>
          </w:tcPr>
          <w:p w14:paraId="1859AA86">
            <w:pPr>
              <w:pStyle w:val="46"/>
              <w:jc w:val="center"/>
              <w:rPr>
                <w:rFonts w:hint="eastAsia" w:ascii="宋体" w:hAnsi="宋体" w:eastAsia="宋体" w:cs="宋体"/>
                <w:b/>
                <w:bCs/>
                <w:i w:val="0"/>
                <w:iCs w:val="0"/>
                <w:color w:val="auto"/>
                <w:sz w:val="24"/>
                <w:szCs w:val="24"/>
                <w:highlight w:val="none"/>
                <w:lang w:val="zh-CN"/>
              </w:rPr>
            </w:pPr>
          </w:p>
        </w:tc>
        <w:tc>
          <w:tcPr>
            <w:tcW w:w="1050" w:type="pct"/>
            <w:vMerge w:val="continue"/>
            <w:shd w:val="clear" w:color="auto" w:fill="9FD3A4" w:themeFill="background1" w:themeFillShade="D9"/>
            <w:vAlign w:val="center"/>
          </w:tcPr>
          <w:p w14:paraId="51EF0565">
            <w:pPr>
              <w:pStyle w:val="46"/>
              <w:jc w:val="center"/>
              <w:rPr>
                <w:rFonts w:hint="eastAsia" w:ascii="宋体" w:hAnsi="宋体" w:eastAsia="宋体" w:cs="宋体"/>
                <w:b/>
                <w:bCs/>
                <w:i w:val="0"/>
                <w:iCs w:val="0"/>
                <w:color w:val="auto"/>
                <w:sz w:val="24"/>
                <w:szCs w:val="24"/>
                <w:highlight w:val="none"/>
                <w:lang w:val="zh-CN"/>
              </w:rPr>
            </w:pPr>
          </w:p>
        </w:tc>
        <w:tc>
          <w:tcPr>
            <w:tcW w:w="2526" w:type="pct"/>
            <w:vMerge w:val="continue"/>
            <w:shd w:val="clear" w:color="auto" w:fill="9FD3A4" w:themeFill="background1" w:themeFillShade="D9"/>
            <w:vAlign w:val="center"/>
          </w:tcPr>
          <w:p w14:paraId="2128C077">
            <w:pPr>
              <w:pStyle w:val="46"/>
              <w:jc w:val="center"/>
              <w:rPr>
                <w:rFonts w:hint="eastAsia" w:ascii="宋体" w:hAnsi="宋体" w:eastAsia="宋体" w:cs="宋体"/>
                <w:b/>
                <w:bCs/>
                <w:i w:val="0"/>
                <w:iCs w:val="0"/>
                <w:color w:val="auto"/>
                <w:sz w:val="24"/>
                <w:szCs w:val="24"/>
                <w:highlight w:val="none"/>
                <w:lang w:val="zh-CN"/>
              </w:rPr>
            </w:pPr>
          </w:p>
        </w:tc>
        <w:tc>
          <w:tcPr>
            <w:tcW w:w="511" w:type="pct"/>
            <w:shd w:val="clear" w:color="auto" w:fill="9FD3A4" w:themeFill="background1" w:themeFillShade="D9"/>
            <w:vAlign w:val="center"/>
          </w:tcPr>
          <w:p w14:paraId="0CAA21D7">
            <w:pPr>
              <w:pStyle w:val="46"/>
              <w:jc w:val="center"/>
              <w:rPr>
                <w:rFonts w:hint="eastAsia" w:ascii="宋体" w:hAnsi="宋体" w:eastAsia="宋体" w:cs="宋体"/>
                <w:b/>
                <w:bCs/>
                <w:i w:val="0"/>
                <w:iCs w:val="0"/>
                <w:color w:val="auto"/>
                <w:sz w:val="24"/>
                <w:szCs w:val="24"/>
                <w:highlight w:val="none"/>
                <w:lang w:val="en-US" w:eastAsia="zh-CN"/>
              </w:rPr>
            </w:pPr>
            <w:r>
              <w:rPr>
                <w:rFonts w:hint="eastAsia" w:ascii="宋体" w:hAnsi="宋体" w:eastAsia="宋体" w:cs="宋体"/>
                <w:b/>
                <w:bCs/>
                <w:i w:val="0"/>
                <w:iCs w:val="0"/>
                <w:color w:val="auto"/>
                <w:sz w:val="24"/>
                <w:szCs w:val="24"/>
                <w:highlight w:val="none"/>
                <w:lang w:val="en-US" w:eastAsia="zh-CN"/>
              </w:rPr>
              <w:t>符合</w:t>
            </w:r>
          </w:p>
        </w:tc>
        <w:tc>
          <w:tcPr>
            <w:tcW w:w="574" w:type="pct"/>
            <w:shd w:val="clear" w:color="auto" w:fill="9FD3A4" w:themeFill="background1" w:themeFillShade="D9"/>
            <w:vAlign w:val="center"/>
          </w:tcPr>
          <w:p w14:paraId="15D1F439">
            <w:pPr>
              <w:pStyle w:val="46"/>
              <w:jc w:val="center"/>
              <w:rPr>
                <w:rFonts w:hint="eastAsia" w:ascii="宋体" w:hAnsi="宋体" w:eastAsia="宋体" w:cs="宋体"/>
                <w:b/>
                <w:bCs/>
                <w:i w:val="0"/>
                <w:iCs w:val="0"/>
                <w:color w:val="auto"/>
                <w:sz w:val="24"/>
                <w:szCs w:val="24"/>
                <w:highlight w:val="none"/>
                <w:lang w:val="en-US" w:eastAsia="zh-CN"/>
              </w:rPr>
            </w:pPr>
            <w:r>
              <w:rPr>
                <w:rFonts w:hint="eastAsia" w:ascii="宋体" w:hAnsi="宋体" w:eastAsia="宋体" w:cs="宋体"/>
                <w:b/>
                <w:bCs/>
                <w:i w:val="0"/>
                <w:iCs w:val="0"/>
                <w:color w:val="auto"/>
                <w:sz w:val="24"/>
                <w:szCs w:val="24"/>
                <w:highlight w:val="none"/>
                <w:lang w:val="en-US" w:eastAsia="zh-CN"/>
              </w:rPr>
              <w:t>不符合</w:t>
            </w:r>
          </w:p>
        </w:tc>
      </w:tr>
      <w:tr w14:paraId="233AF5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18" w:hRule="atLeast"/>
          <w:jc w:val="center"/>
        </w:trPr>
        <w:tc>
          <w:tcPr>
            <w:tcW w:w="336" w:type="pct"/>
            <w:shd w:val="clear" w:color="auto" w:fill="auto"/>
            <w:vAlign w:val="center"/>
          </w:tcPr>
          <w:p w14:paraId="4A515C07">
            <w:pPr>
              <w:pStyle w:val="46"/>
              <w:numPr>
                <w:ilvl w:val="0"/>
                <w:numId w:val="0"/>
              </w:numPr>
              <w:ind w:left="420" w:leftChars="0" w:hanging="420" w:firstLineChars="0"/>
              <w:jc w:val="center"/>
              <w:rPr>
                <w:rFonts w:hint="eastAsia" w:ascii="宋体" w:hAnsi="宋体" w:eastAsia="宋体" w:cs="宋体"/>
                <w:i w:val="0"/>
                <w:iCs w:val="0"/>
                <w:color w:val="auto"/>
                <w:sz w:val="24"/>
                <w:szCs w:val="24"/>
                <w:highlight w:val="none"/>
                <w:lang w:val="zh-CN"/>
              </w:rPr>
            </w:pPr>
            <w:r>
              <w:rPr>
                <w:rFonts w:hint="eastAsia" w:ascii="宋体" w:hAnsi="宋体" w:eastAsia="宋体" w:cs="宋体"/>
                <w:i w:val="0"/>
                <w:iCs w:val="0"/>
                <w:color w:val="auto"/>
                <w:kern w:val="2"/>
                <w:sz w:val="24"/>
                <w:szCs w:val="24"/>
                <w:highlight w:val="none"/>
                <w:lang w:val="zh-CN" w:eastAsia="zh-CN" w:bidi="ar-SA"/>
              </w:rPr>
              <w:t>1</w:t>
            </w:r>
          </w:p>
        </w:tc>
        <w:tc>
          <w:tcPr>
            <w:tcW w:w="1050" w:type="pct"/>
            <w:vAlign w:val="center"/>
          </w:tcPr>
          <w:p w14:paraId="5E0E3062">
            <w:pPr>
              <w:pStyle w:val="46"/>
              <w:rPr>
                <w:rFonts w:hint="eastAsia" w:ascii="宋体" w:hAnsi="宋体" w:eastAsia="宋体" w:cs="宋体"/>
                <w:i w:val="0"/>
                <w:iCs w:val="0"/>
                <w:color w:val="auto"/>
                <w:sz w:val="24"/>
                <w:szCs w:val="24"/>
                <w:highlight w:val="none"/>
                <w:lang w:val="zh-CN"/>
              </w:rPr>
            </w:pPr>
            <w:r>
              <w:rPr>
                <w:rFonts w:hint="eastAsia" w:ascii="宋体" w:hAnsi="宋体" w:eastAsia="宋体" w:cs="宋体"/>
                <w:i w:val="0"/>
                <w:iCs w:val="0"/>
                <w:color w:val="auto"/>
                <w:sz w:val="24"/>
                <w:szCs w:val="24"/>
                <w:highlight w:val="none"/>
                <w:lang w:val="zh-CN"/>
              </w:rPr>
              <w:t>响应文件</w:t>
            </w:r>
            <w:r>
              <w:rPr>
                <w:rFonts w:hint="eastAsia" w:ascii="宋体" w:hAnsi="宋体" w:eastAsia="宋体" w:cs="宋体"/>
                <w:i w:val="0"/>
                <w:iCs w:val="0"/>
                <w:color w:val="auto"/>
                <w:sz w:val="24"/>
                <w:szCs w:val="24"/>
                <w:highlight w:val="none"/>
              </w:rPr>
              <w:t>签署</w:t>
            </w:r>
          </w:p>
        </w:tc>
        <w:tc>
          <w:tcPr>
            <w:tcW w:w="2526" w:type="pct"/>
            <w:shd w:val="clear" w:color="auto" w:fill="auto"/>
            <w:vAlign w:val="center"/>
          </w:tcPr>
          <w:p w14:paraId="0FA4ED80">
            <w:pPr>
              <w:pStyle w:val="46"/>
              <w:rPr>
                <w:rFonts w:hint="eastAsia" w:ascii="宋体" w:hAnsi="宋体" w:eastAsia="宋体" w:cs="宋体"/>
                <w:i w:val="0"/>
                <w:iCs w:val="0"/>
                <w:color w:val="auto"/>
                <w:sz w:val="24"/>
                <w:szCs w:val="24"/>
                <w:highlight w:val="none"/>
                <w:lang w:val="zh-CN" w:eastAsia="zh-CN"/>
              </w:rPr>
            </w:pPr>
            <w:r>
              <w:rPr>
                <w:rFonts w:hint="eastAsia" w:ascii="宋体" w:hAnsi="宋体" w:eastAsia="宋体" w:cs="宋体"/>
                <w:i w:val="0"/>
                <w:iCs w:val="0"/>
                <w:color w:val="auto"/>
                <w:sz w:val="24"/>
                <w:szCs w:val="24"/>
                <w:highlight w:val="none"/>
                <w:lang w:val="zh-CN"/>
              </w:rPr>
              <w:t>响应文件</w:t>
            </w:r>
            <w:r>
              <w:rPr>
                <w:rFonts w:hint="eastAsia" w:ascii="宋体" w:hAnsi="宋体" w:eastAsia="宋体" w:cs="宋体"/>
                <w:i w:val="0"/>
                <w:iCs w:val="0"/>
                <w:color w:val="auto"/>
                <w:sz w:val="24"/>
                <w:szCs w:val="24"/>
                <w:highlight w:val="none"/>
                <w:lang w:val="en-US" w:eastAsia="zh-CN"/>
              </w:rPr>
              <w:t>按磋商文件要求签署、盖章的</w:t>
            </w:r>
          </w:p>
        </w:tc>
        <w:tc>
          <w:tcPr>
            <w:tcW w:w="511" w:type="pct"/>
            <w:shd w:val="clear" w:color="auto" w:fill="auto"/>
            <w:vAlign w:val="center"/>
          </w:tcPr>
          <w:p w14:paraId="1E1F1EB1">
            <w:pPr>
              <w:pStyle w:val="46"/>
              <w:rPr>
                <w:rFonts w:hint="eastAsia" w:ascii="宋体" w:hAnsi="宋体" w:eastAsia="宋体" w:cs="宋体"/>
                <w:i w:val="0"/>
                <w:iCs w:val="0"/>
                <w:color w:val="auto"/>
                <w:sz w:val="24"/>
                <w:szCs w:val="24"/>
                <w:highlight w:val="none"/>
                <w:lang w:val="zh-CN"/>
              </w:rPr>
            </w:pPr>
          </w:p>
        </w:tc>
        <w:tc>
          <w:tcPr>
            <w:tcW w:w="574" w:type="pct"/>
            <w:shd w:val="clear" w:color="auto" w:fill="auto"/>
            <w:vAlign w:val="center"/>
          </w:tcPr>
          <w:p w14:paraId="35325BAA">
            <w:pPr>
              <w:pStyle w:val="46"/>
              <w:rPr>
                <w:rFonts w:hint="eastAsia" w:ascii="宋体" w:hAnsi="宋体" w:eastAsia="宋体" w:cs="宋体"/>
                <w:i w:val="0"/>
                <w:iCs w:val="0"/>
                <w:color w:val="auto"/>
                <w:sz w:val="24"/>
                <w:szCs w:val="24"/>
                <w:highlight w:val="none"/>
                <w:lang w:val="zh-CN"/>
              </w:rPr>
            </w:pPr>
          </w:p>
        </w:tc>
      </w:tr>
      <w:tr w14:paraId="6BB86F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36" w:hRule="atLeast"/>
          <w:jc w:val="center"/>
        </w:trPr>
        <w:tc>
          <w:tcPr>
            <w:tcW w:w="336" w:type="pct"/>
            <w:shd w:val="clear" w:color="auto" w:fill="auto"/>
            <w:vAlign w:val="center"/>
          </w:tcPr>
          <w:p w14:paraId="70154C2F">
            <w:pPr>
              <w:pStyle w:val="46"/>
              <w:numPr>
                <w:ilvl w:val="0"/>
                <w:numId w:val="0"/>
              </w:numPr>
              <w:ind w:left="420" w:leftChars="0" w:hanging="420" w:firstLineChars="0"/>
              <w:jc w:val="center"/>
              <w:rPr>
                <w:rFonts w:hint="eastAsia" w:ascii="宋体" w:hAnsi="宋体" w:eastAsia="宋体" w:cs="宋体"/>
                <w:i w:val="0"/>
                <w:iCs w:val="0"/>
                <w:color w:val="auto"/>
                <w:kern w:val="2"/>
                <w:sz w:val="24"/>
                <w:szCs w:val="24"/>
                <w:highlight w:val="none"/>
                <w:lang w:val="zh-CN" w:eastAsia="zh-CN" w:bidi="ar-SA"/>
              </w:rPr>
            </w:pPr>
            <w:r>
              <w:rPr>
                <w:rFonts w:hint="eastAsia" w:ascii="宋体" w:hAnsi="宋体" w:eastAsia="宋体" w:cs="宋体"/>
                <w:i w:val="0"/>
                <w:iCs w:val="0"/>
                <w:color w:val="auto"/>
                <w:kern w:val="2"/>
                <w:sz w:val="24"/>
                <w:szCs w:val="24"/>
                <w:highlight w:val="none"/>
                <w:lang w:val="zh-CN" w:eastAsia="zh-CN" w:bidi="ar-SA"/>
              </w:rPr>
              <w:t>2</w:t>
            </w:r>
          </w:p>
        </w:tc>
        <w:tc>
          <w:tcPr>
            <w:tcW w:w="1050" w:type="pct"/>
            <w:shd w:val="clear" w:color="auto" w:fill="auto"/>
            <w:vAlign w:val="center"/>
          </w:tcPr>
          <w:p w14:paraId="1B390AF0">
            <w:pPr>
              <w:pStyle w:val="46"/>
              <w:rPr>
                <w:rFonts w:hint="eastAsia" w:ascii="宋体" w:hAnsi="宋体" w:eastAsia="宋体" w:cs="宋体"/>
                <w:i w:val="0"/>
                <w:iCs w:val="0"/>
                <w:color w:val="auto"/>
                <w:kern w:val="2"/>
                <w:sz w:val="24"/>
                <w:szCs w:val="24"/>
                <w:highlight w:val="none"/>
                <w:lang w:val="zh-CN" w:eastAsia="zh-CN" w:bidi="ar-SA"/>
              </w:rPr>
            </w:pPr>
            <w:r>
              <w:rPr>
                <w:rFonts w:hint="eastAsia" w:ascii="宋体" w:hAnsi="宋体" w:eastAsia="宋体" w:cs="宋体"/>
                <w:i w:val="0"/>
                <w:iCs w:val="0"/>
                <w:color w:val="auto"/>
                <w:sz w:val="24"/>
                <w:szCs w:val="24"/>
                <w:highlight w:val="none"/>
                <w:lang w:val="zh-CN"/>
              </w:rPr>
              <w:t>实质性要求</w:t>
            </w:r>
          </w:p>
        </w:tc>
        <w:tc>
          <w:tcPr>
            <w:tcW w:w="2526" w:type="pct"/>
            <w:shd w:val="clear" w:color="auto" w:fill="auto"/>
            <w:vAlign w:val="center"/>
          </w:tcPr>
          <w:p w14:paraId="6D95F485">
            <w:pPr>
              <w:pStyle w:val="46"/>
              <w:rPr>
                <w:rFonts w:hint="eastAsia" w:ascii="宋体" w:hAnsi="宋体" w:eastAsia="宋体" w:cs="宋体"/>
                <w:i w:val="0"/>
                <w:iCs w:val="0"/>
                <w:color w:val="auto"/>
                <w:kern w:val="2"/>
                <w:sz w:val="24"/>
                <w:szCs w:val="24"/>
                <w:highlight w:val="none"/>
                <w:lang w:val="zh-CN" w:eastAsia="zh-CN" w:bidi="ar-SA"/>
              </w:rPr>
            </w:pPr>
            <w:r>
              <w:rPr>
                <w:rFonts w:hint="eastAsia" w:ascii="宋体" w:hAnsi="宋体" w:eastAsia="宋体" w:cs="宋体"/>
                <w:i w:val="0"/>
                <w:iCs w:val="0"/>
                <w:color w:val="auto"/>
                <w:sz w:val="24"/>
                <w:szCs w:val="24"/>
                <w:highlight w:val="none"/>
                <w:lang w:val="zh-CN"/>
              </w:rPr>
              <w:t>响应文件</w:t>
            </w:r>
            <w:r>
              <w:rPr>
                <w:rFonts w:hint="eastAsia" w:ascii="宋体" w:hAnsi="宋体" w:eastAsia="宋体" w:cs="宋体"/>
                <w:i w:val="0"/>
                <w:iCs w:val="0"/>
                <w:color w:val="auto"/>
                <w:sz w:val="24"/>
                <w:szCs w:val="24"/>
                <w:highlight w:val="none"/>
                <w:lang w:val="zh-CN" w:eastAsia="zh-CN"/>
              </w:rPr>
              <w:t>满足</w:t>
            </w:r>
            <w:r>
              <w:rPr>
                <w:rFonts w:hint="eastAsia" w:ascii="宋体" w:hAnsi="宋体" w:eastAsia="宋体" w:cs="宋体"/>
                <w:i w:val="0"/>
                <w:iCs w:val="0"/>
                <w:color w:val="auto"/>
                <w:sz w:val="24"/>
                <w:szCs w:val="24"/>
                <w:highlight w:val="none"/>
                <w:lang w:val="en-US" w:eastAsia="zh-CN"/>
              </w:rPr>
              <w:t>磋商</w:t>
            </w:r>
            <w:r>
              <w:rPr>
                <w:rFonts w:hint="eastAsia" w:ascii="宋体" w:hAnsi="宋体" w:eastAsia="宋体" w:cs="宋体"/>
                <w:i w:val="0"/>
                <w:iCs w:val="0"/>
                <w:color w:val="auto"/>
                <w:sz w:val="24"/>
                <w:szCs w:val="24"/>
                <w:highlight w:val="none"/>
                <w:lang w:val="zh-CN" w:eastAsia="zh-CN"/>
              </w:rPr>
              <w:t>文件中实质性条款（或指标）要求</w:t>
            </w:r>
          </w:p>
        </w:tc>
        <w:tc>
          <w:tcPr>
            <w:tcW w:w="511" w:type="pct"/>
            <w:shd w:val="clear" w:color="auto" w:fill="auto"/>
            <w:vAlign w:val="center"/>
          </w:tcPr>
          <w:p w14:paraId="4C63B966">
            <w:pPr>
              <w:pStyle w:val="46"/>
              <w:rPr>
                <w:rFonts w:hint="eastAsia" w:ascii="宋体" w:hAnsi="宋体" w:eastAsia="宋体" w:cs="宋体"/>
                <w:i w:val="0"/>
                <w:iCs w:val="0"/>
                <w:color w:val="auto"/>
                <w:sz w:val="24"/>
                <w:szCs w:val="24"/>
                <w:highlight w:val="none"/>
                <w:lang w:val="zh-CN"/>
              </w:rPr>
            </w:pPr>
          </w:p>
        </w:tc>
        <w:tc>
          <w:tcPr>
            <w:tcW w:w="574" w:type="pct"/>
            <w:shd w:val="clear" w:color="auto" w:fill="auto"/>
            <w:vAlign w:val="center"/>
          </w:tcPr>
          <w:p w14:paraId="5A615EFE">
            <w:pPr>
              <w:pStyle w:val="46"/>
              <w:rPr>
                <w:rFonts w:hint="eastAsia" w:ascii="宋体" w:hAnsi="宋体" w:eastAsia="宋体" w:cs="宋体"/>
                <w:i w:val="0"/>
                <w:iCs w:val="0"/>
                <w:color w:val="auto"/>
                <w:sz w:val="24"/>
                <w:szCs w:val="24"/>
                <w:highlight w:val="none"/>
                <w:lang w:val="zh-CN"/>
              </w:rPr>
            </w:pPr>
          </w:p>
        </w:tc>
      </w:tr>
      <w:tr w14:paraId="591B9B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8" w:hRule="atLeast"/>
          <w:jc w:val="center"/>
        </w:trPr>
        <w:tc>
          <w:tcPr>
            <w:tcW w:w="336" w:type="pct"/>
            <w:shd w:val="clear" w:color="auto" w:fill="auto"/>
            <w:vAlign w:val="center"/>
          </w:tcPr>
          <w:p w14:paraId="48860C47">
            <w:pPr>
              <w:pStyle w:val="46"/>
              <w:numPr>
                <w:ilvl w:val="0"/>
                <w:numId w:val="0"/>
              </w:numPr>
              <w:ind w:left="420" w:leftChars="0" w:hanging="420" w:firstLineChars="0"/>
              <w:jc w:val="center"/>
              <w:rPr>
                <w:rFonts w:hint="eastAsia" w:ascii="宋体" w:hAnsi="宋体" w:eastAsia="宋体" w:cs="宋体"/>
                <w:i w:val="0"/>
                <w:iCs w:val="0"/>
                <w:color w:val="auto"/>
                <w:kern w:val="2"/>
                <w:sz w:val="24"/>
                <w:szCs w:val="24"/>
                <w:highlight w:val="none"/>
                <w:lang w:val="zh-CN" w:eastAsia="zh-CN" w:bidi="ar-SA"/>
              </w:rPr>
            </w:pPr>
            <w:r>
              <w:rPr>
                <w:rFonts w:hint="eastAsia" w:ascii="宋体" w:hAnsi="宋体" w:eastAsia="宋体" w:cs="宋体"/>
                <w:i w:val="0"/>
                <w:iCs w:val="0"/>
                <w:color w:val="auto"/>
                <w:kern w:val="2"/>
                <w:sz w:val="24"/>
                <w:szCs w:val="24"/>
                <w:highlight w:val="none"/>
                <w:lang w:val="zh-CN" w:eastAsia="zh-CN" w:bidi="ar-SA"/>
              </w:rPr>
              <w:t>3</w:t>
            </w:r>
          </w:p>
        </w:tc>
        <w:tc>
          <w:tcPr>
            <w:tcW w:w="1050" w:type="pct"/>
            <w:vAlign w:val="center"/>
          </w:tcPr>
          <w:p w14:paraId="31EA832C">
            <w:pPr>
              <w:pStyle w:val="46"/>
              <w:rPr>
                <w:rFonts w:hint="eastAsia" w:ascii="宋体" w:hAnsi="宋体" w:eastAsia="宋体" w:cs="宋体"/>
                <w:i w:val="0"/>
                <w:iCs w:val="0"/>
                <w:color w:val="auto"/>
                <w:sz w:val="24"/>
                <w:szCs w:val="24"/>
                <w:highlight w:val="none"/>
                <w:lang w:val="zh-CN"/>
              </w:rPr>
            </w:pPr>
            <w:r>
              <w:rPr>
                <w:rFonts w:hint="eastAsia" w:ascii="宋体" w:hAnsi="宋体" w:eastAsia="宋体" w:cs="宋体"/>
                <w:i w:val="0"/>
                <w:iCs w:val="0"/>
                <w:color w:val="auto"/>
                <w:sz w:val="24"/>
                <w:szCs w:val="24"/>
                <w:highlight w:val="none"/>
                <w:lang w:val="zh-CN"/>
              </w:rPr>
              <w:t>磋商响应性报价</w:t>
            </w:r>
          </w:p>
        </w:tc>
        <w:tc>
          <w:tcPr>
            <w:tcW w:w="2526" w:type="pct"/>
            <w:shd w:val="clear" w:color="auto" w:fill="auto"/>
            <w:vAlign w:val="center"/>
          </w:tcPr>
          <w:p w14:paraId="02D97709">
            <w:pPr>
              <w:pStyle w:val="46"/>
              <w:rPr>
                <w:rFonts w:hint="eastAsia" w:ascii="宋体" w:hAnsi="宋体" w:eastAsia="宋体" w:cs="宋体"/>
                <w:i w:val="0"/>
                <w:iCs w:val="0"/>
                <w:color w:val="auto"/>
                <w:kern w:val="2"/>
                <w:sz w:val="24"/>
                <w:szCs w:val="24"/>
                <w:highlight w:val="none"/>
                <w:lang w:val="en-US" w:eastAsia="zh-CN" w:bidi="ar-SA"/>
              </w:rPr>
            </w:pPr>
            <w:r>
              <w:rPr>
                <w:rFonts w:hint="eastAsia" w:ascii="宋体" w:hAnsi="宋体" w:eastAsia="宋体" w:cs="宋体"/>
                <w:i w:val="0"/>
                <w:iCs w:val="0"/>
                <w:color w:val="auto"/>
                <w:sz w:val="24"/>
                <w:szCs w:val="24"/>
                <w:highlight w:val="none"/>
                <w:lang w:val="en-US" w:eastAsia="zh-CN"/>
              </w:rPr>
              <w:t>供应商报价未超过磋商文件中规定的最高限价或者预算金额的</w:t>
            </w:r>
          </w:p>
        </w:tc>
        <w:tc>
          <w:tcPr>
            <w:tcW w:w="511" w:type="pct"/>
            <w:shd w:val="clear" w:color="auto" w:fill="auto"/>
            <w:vAlign w:val="center"/>
          </w:tcPr>
          <w:p w14:paraId="18835E98">
            <w:pPr>
              <w:pStyle w:val="46"/>
              <w:rPr>
                <w:rFonts w:hint="eastAsia" w:ascii="宋体" w:hAnsi="宋体" w:eastAsia="宋体" w:cs="宋体"/>
                <w:i w:val="0"/>
                <w:iCs w:val="0"/>
                <w:color w:val="auto"/>
                <w:sz w:val="24"/>
                <w:szCs w:val="24"/>
                <w:highlight w:val="none"/>
                <w:lang w:val="zh-CN"/>
              </w:rPr>
            </w:pPr>
          </w:p>
        </w:tc>
        <w:tc>
          <w:tcPr>
            <w:tcW w:w="574" w:type="pct"/>
            <w:shd w:val="clear" w:color="auto" w:fill="auto"/>
            <w:vAlign w:val="center"/>
          </w:tcPr>
          <w:p w14:paraId="32826E79">
            <w:pPr>
              <w:pStyle w:val="46"/>
              <w:rPr>
                <w:rFonts w:hint="eastAsia" w:ascii="宋体" w:hAnsi="宋体" w:eastAsia="宋体" w:cs="宋体"/>
                <w:i w:val="0"/>
                <w:iCs w:val="0"/>
                <w:color w:val="auto"/>
                <w:sz w:val="24"/>
                <w:szCs w:val="24"/>
                <w:highlight w:val="none"/>
                <w:lang w:val="zh-CN"/>
              </w:rPr>
            </w:pPr>
          </w:p>
        </w:tc>
      </w:tr>
      <w:tr w14:paraId="7C777C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4" w:hRule="atLeast"/>
          <w:jc w:val="center"/>
        </w:trPr>
        <w:tc>
          <w:tcPr>
            <w:tcW w:w="336" w:type="pct"/>
            <w:shd w:val="clear" w:color="auto" w:fill="auto"/>
            <w:vAlign w:val="center"/>
          </w:tcPr>
          <w:p w14:paraId="0D25BA5B">
            <w:pPr>
              <w:pStyle w:val="46"/>
              <w:numPr>
                <w:ilvl w:val="0"/>
                <w:numId w:val="0"/>
              </w:numPr>
              <w:ind w:left="420" w:leftChars="0" w:hanging="420" w:firstLineChars="0"/>
              <w:jc w:val="center"/>
              <w:rPr>
                <w:rFonts w:hint="eastAsia" w:ascii="宋体" w:hAnsi="宋体" w:eastAsia="宋体" w:cs="宋体"/>
                <w:i w:val="0"/>
                <w:iCs w:val="0"/>
                <w:color w:val="auto"/>
                <w:kern w:val="2"/>
                <w:sz w:val="24"/>
                <w:szCs w:val="24"/>
                <w:highlight w:val="none"/>
                <w:lang w:val="zh-CN" w:eastAsia="zh-CN" w:bidi="ar-SA"/>
              </w:rPr>
            </w:pPr>
            <w:r>
              <w:rPr>
                <w:rFonts w:hint="eastAsia" w:ascii="宋体" w:hAnsi="宋体" w:eastAsia="宋体" w:cs="宋体"/>
                <w:i w:val="0"/>
                <w:iCs w:val="0"/>
                <w:color w:val="auto"/>
                <w:kern w:val="2"/>
                <w:sz w:val="24"/>
                <w:szCs w:val="24"/>
                <w:highlight w:val="none"/>
                <w:lang w:val="zh-CN" w:eastAsia="zh-CN" w:bidi="ar-SA"/>
              </w:rPr>
              <w:t>4</w:t>
            </w:r>
          </w:p>
        </w:tc>
        <w:tc>
          <w:tcPr>
            <w:tcW w:w="1050" w:type="pct"/>
            <w:vAlign w:val="center"/>
          </w:tcPr>
          <w:p w14:paraId="6B53D7DD">
            <w:pPr>
              <w:pStyle w:val="46"/>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虚假材料</w:t>
            </w:r>
          </w:p>
        </w:tc>
        <w:tc>
          <w:tcPr>
            <w:tcW w:w="2526" w:type="pct"/>
            <w:shd w:val="clear" w:color="auto" w:fill="auto"/>
            <w:vAlign w:val="center"/>
          </w:tcPr>
          <w:p w14:paraId="3C241A91">
            <w:pPr>
              <w:pStyle w:val="46"/>
              <w:rPr>
                <w:rFonts w:hint="eastAsia" w:ascii="宋体" w:hAnsi="宋体" w:eastAsia="宋体" w:cs="宋体"/>
                <w:i w:val="0"/>
                <w:iCs w:val="0"/>
                <w:color w:val="auto"/>
                <w:kern w:val="2"/>
                <w:sz w:val="24"/>
                <w:szCs w:val="24"/>
                <w:highlight w:val="none"/>
                <w:lang w:val="zh-CN" w:eastAsia="zh-CN" w:bidi="ar-SA"/>
              </w:rPr>
            </w:pPr>
            <w:r>
              <w:rPr>
                <w:rFonts w:hint="eastAsia" w:ascii="宋体" w:hAnsi="宋体" w:eastAsia="宋体" w:cs="宋体"/>
                <w:i w:val="0"/>
                <w:iCs w:val="0"/>
                <w:color w:val="auto"/>
                <w:sz w:val="24"/>
                <w:szCs w:val="24"/>
                <w:highlight w:val="none"/>
                <w:lang w:val="en-US" w:eastAsia="zh-CN"/>
              </w:rPr>
              <w:t>响应</w:t>
            </w:r>
            <w:r>
              <w:rPr>
                <w:rFonts w:hint="eastAsia" w:ascii="宋体" w:hAnsi="宋体" w:eastAsia="宋体" w:cs="宋体"/>
                <w:i w:val="0"/>
                <w:iCs w:val="0"/>
                <w:color w:val="auto"/>
                <w:sz w:val="24"/>
                <w:szCs w:val="24"/>
                <w:highlight w:val="none"/>
                <w:lang w:val="zh-CN" w:eastAsia="zh-CN"/>
              </w:rPr>
              <w:t>文件</w:t>
            </w:r>
            <w:r>
              <w:rPr>
                <w:rFonts w:hint="eastAsia" w:ascii="宋体" w:hAnsi="宋体" w:eastAsia="宋体" w:cs="宋体"/>
                <w:i w:val="0"/>
                <w:iCs w:val="0"/>
                <w:color w:val="auto"/>
                <w:sz w:val="24"/>
                <w:szCs w:val="24"/>
                <w:highlight w:val="none"/>
                <w:lang w:val="en-US" w:eastAsia="zh-CN"/>
              </w:rPr>
              <w:t>未</w:t>
            </w:r>
            <w:r>
              <w:rPr>
                <w:rFonts w:hint="eastAsia" w:ascii="宋体" w:hAnsi="宋体" w:eastAsia="宋体" w:cs="宋体"/>
                <w:i w:val="0"/>
                <w:iCs w:val="0"/>
                <w:color w:val="auto"/>
                <w:sz w:val="24"/>
                <w:szCs w:val="24"/>
                <w:highlight w:val="none"/>
                <w:lang w:val="zh-CN" w:eastAsia="zh-CN"/>
              </w:rPr>
              <w:t>提供虚假材料的</w:t>
            </w:r>
          </w:p>
        </w:tc>
        <w:tc>
          <w:tcPr>
            <w:tcW w:w="511" w:type="pct"/>
            <w:shd w:val="clear" w:color="auto" w:fill="auto"/>
            <w:vAlign w:val="center"/>
          </w:tcPr>
          <w:p w14:paraId="4B513014">
            <w:pPr>
              <w:pStyle w:val="46"/>
              <w:rPr>
                <w:rFonts w:hint="eastAsia" w:ascii="宋体" w:hAnsi="宋体" w:eastAsia="宋体" w:cs="宋体"/>
                <w:i w:val="0"/>
                <w:iCs w:val="0"/>
                <w:color w:val="auto"/>
                <w:sz w:val="24"/>
                <w:szCs w:val="24"/>
                <w:highlight w:val="none"/>
                <w:lang w:val="zh-CN"/>
              </w:rPr>
            </w:pPr>
          </w:p>
        </w:tc>
        <w:tc>
          <w:tcPr>
            <w:tcW w:w="574" w:type="pct"/>
            <w:shd w:val="clear" w:color="auto" w:fill="auto"/>
            <w:vAlign w:val="center"/>
          </w:tcPr>
          <w:p w14:paraId="48AFA180">
            <w:pPr>
              <w:pStyle w:val="46"/>
              <w:rPr>
                <w:rFonts w:hint="eastAsia" w:ascii="宋体" w:hAnsi="宋体" w:eastAsia="宋体" w:cs="宋体"/>
                <w:i w:val="0"/>
                <w:iCs w:val="0"/>
                <w:color w:val="auto"/>
                <w:sz w:val="24"/>
                <w:szCs w:val="24"/>
                <w:highlight w:val="none"/>
                <w:lang w:val="zh-CN"/>
              </w:rPr>
            </w:pPr>
          </w:p>
        </w:tc>
      </w:tr>
      <w:tr w14:paraId="37C419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0" w:hRule="atLeast"/>
          <w:jc w:val="center"/>
        </w:trPr>
        <w:tc>
          <w:tcPr>
            <w:tcW w:w="336" w:type="pct"/>
            <w:shd w:val="clear" w:color="auto" w:fill="auto"/>
            <w:vAlign w:val="center"/>
          </w:tcPr>
          <w:p w14:paraId="31C12A1B">
            <w:pPr>
              <w:pStyle w:val="46"/>
              <w:numPr>
                <w:ilvl w:val="0"/>
                <w:numId w:val="0"/>
              </w:numPr>
              <w:ind w:left="420" w:leftChars="0" w:hanging="420" w:firstLineChars="0"/>
              <w:jc w:val="center"/>
              <w:rPr>
                <w:rFonts w:hint="eastAsia" w:ascii="宋体" w:hAnsi="宋体" w:eastAsia="宋体" w:cs="宋体"/>
                <w:i w:val="0"/>
                <w:iCs w:val="0"/>
                <w:color w:val="auto"/>
                <w:kern w:val="2"/>
                <w:sz w:val="24"/>
                <w:szCs w:val="24"/>
                <w:highlight w:val="none"/>
                <w:lang w:val="zh-CN" w:eastAsia="zh-CN" w:bidi="ar-SA"/>
              </w:rPr>
            </w:pPr>
            <w:r>
              <w:rPr>
                <w:rFonts w:hint="eastAsia" w:cs="宋体"/>
                <w:i w:val="0"/>
                <w:iCs w:val="0"/>
                <w:color w:val="auto"/>
                <w:kern w:val="2"/>
                <w:sz w:val="24"/>
                <w:szCs w:val="24"/>
                <w:highlight w:val="none"/>
                <w:lang w:val="en-US" w:eastAsia="zh-CN" w:bidi="ar-SA"/>
              </w:rPr>
              <w:t>5</w:t>
            </w:r>
          </w:p>
        </w:tc>
        <w:tc>
          <w:tcPr>
            <w:tcW w:w="1050" w:type="pct"/>
            <w:vAlign w:val="center"/>
          </w:tcPr>
          <w:p w14:paraId="55194F4F">
            <w:pPr>
              <w:pStyle w:val="46"/>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磋商保证金</w:t>
            </w:r>
          </w:p>
        </w:tc>
        <w:tc>
          <w:tcPr>
            <w:tcW w:w="2526" w:type="pct"/>
            <w:shd w:val="clear" w:color="auto" w:fill="auto"/>
            <w:vAlign w:val="center"/>
          </w:tcPr>
          <w:p w14:paraId="4803457A">
            <w:pPr>
              <w:pStyle w:val="46"/>
              <w:rPr>
                <w:rFonts w:hint="eastAsia" w:ascii="宋体" w:hAnsi="宋体" w:eastAsia="宋体" w:cs="宋体"/>
                <w:i w:val="0"/>
                <w:iCs w:val="0"/>
                <w:color w:val="auto"/>
                <w:kern w:val="2"/>
                <w:sz w:val="24"/>
                <w:szCs w:val="24"/>
                <w:highlight w:val="none"/>
                <w:lang w:val="zh-CN" w:eastAsia="zh-CN" w:bidi="ar-SA"/>
              </w:rPr>
            </w:pPr>
            <w:r>
              <w:rPr>
                <w:rFonts w:hint="eastAsia" w:ascii="宋体" w:hAnsi="宋体" w:eastAsia="宋体" w:cs="宋体"/>
                <w:i w:val="0"/>
                <w:iCs w:val="0"/>
                <w:color w:val="auto"/>
                <w:sz w:val="24"/>
                <w:szCs w:val="24"/>
                <w:highlight w:val="none"/>
                <w:lang w:val="en-US" w:eastAsia="zh-CN"/>
              </w:rPr>
              <w:t>磋商文件规定应当缴纳的，供应商按磋商文件的规定缴纳磋商保证金的</w:t>
            </w:r>
          </w:p>
        </w:tc>
        <w:tc>
          <w:tcPr>
            <w:tcW w:w="511" w:type="pct"/>
            <w:shd w:val="clear" w:color="auto" w:fill="auto"/>
            <w:vAlign w:val="center"/>
          </w:tcPr>
          <w:p w14:paraId="194FF3C2">
            <w:pPr>
              <w:pStyle w:val="46"/>
              <w:rPr>
                <w:rFonts w:hint="eastAsia" w:ascii="宋体" w:hAnsi="宋体" w:eastAsia="宋体" w:cs="宋体"/>
                <w:i w:val="0"/>
                <w:iCs w:val="0"/>
                <w:color w:val="auto"/>
                <w:sz w:val="24"/>
                <w:szCs w:val="24"/>
                <w:highlight w:val="none"/>
                <w:lang w:val="zh-CN"/>
              </w:rPr>
            </w:pPr>
          </w:p>
        </w:tc>
        <w:tc>
          <w:tcPr>
            <w:tcW w:w="574" w:type="pct"/>
            <w:shd w:val="clear" w:color="auto" w:fill="auto"/>
            <w:vAlign w:val="center"/>
          </w:tcPr>
          <w:p w14:paraId="2372B823">
            <w:pPr>
              <w:pStyle w:val="46"/>
              <w:rPr>
                <w:rFonts w:hint="eastAsia" w:ascii="宋体" w:hAnsi="宋体" w:eastAsia="宋体" w:cs="宋体"/>
                <w:i w:val="0"/>
                <w:iCs w:val="0"/>
                <w:color w:val="auto"/>
                <w:sz w:val="24"/>
                <w:szCs w:val="24"/>
                <w:highlight w:val="none"/>
                <w:lang w:val="zh-CN"/>
              </w:rPr>
            </w:pPr>
          </w:p>
        </w:tc>
      </w:tr>
      <w:tr w14:paraId="30B89D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6" w:hRule="atLeast"/>
          <w:jc w:val="center"/>
        </w:trPr>
        <w:tc>
          <w:tcPr>
            <w:tcW w:w="336" w:type="pct"/>
            <w:shd w:val="clear" w:color="auto" w:fill="auto"/>
            <w:vAlign w:val="center"/>
          </w:tcPr>
          <w:p w14:paraId="6C002E13">
            <w:pPr>
              <w:pStyle w:val="46"/>
              <w:numPr>
                <w:ilvl w:val="0"/>
                <w:numId w:val="0"/>
              </w:numPr>
              <w:ind w:left="0" w:leftChars="0" w:firstLine="0" w:firstLineChars="0"/>
              <w:jc w:val="center"/>
              <w:rPr>
                <w:rFonts w:hint="eastAsia" w:ascii="宋体" w:hAnsi="宋体" w:eastAsia="宋体" w:cs="宋体"/>
                <w:i w:val="0"/>
                <w:iCs w:val="0"/>
                <w:color w:val="auto"/>
                <w:kern w:val="2"/>
                <w:sz w:val="24"/>
                <w:szCs w:val="24"/>
                <w:highlight w:val="none"/>
                <w:lang w:val="zh-CN" w:eastAsia="zh-CN" w:bidi="ar-SA"/>
              </w:rPr>
            </w:pPr>
            <w:r>
              <w:rPr>
                <w:rFonts w:hint="eastAsia" w:cs="宋体"/>
                <w:i w:val="0"/>
                <w:iCs w:val="0"/>
                <w:color w:val="auto"/>
                <w:sz w:val="24"/>
                <w:szCs w:val="24"/>
                <w:highlight w:val="none"/>
                <w:lang w:val="en-US" w:eastAsia="zh-CN"/>
              </w:rPr>
              <w:t>6</w:t>
            </w:r>
          </w:p>
        </w:tc>
        <w:tc>
          <w:tcPr>
            <w:tcW w:w="1050" w:type="pct"/>
            <w:vAlign w:val="center"/>
          </w:tcPr>
          <w:p w14:paraId="5C91A4A7">
            <w:pPr>
              <w:pStyle w:val="17"/>
              <w:spacing w:line="360" w:lineRule="auto"/>
              <w:ind w:right="-665" w:rightChars="-277"/>
              <w:jc w:val="left"/>
              <w:rPr>
                <w:rFonts w:hint="eastAsia" w:ascii="宋体" w:hAnsi="宋体" w:eastAsia="宋体" w:cs="宋体"/>
                <w:i w:val="0"/>
                <w:iCs w:val="0"/>
                <w:color w:val="auto"/>
                <w:kern w:val="2"/>
                <w:sz w:val="24"/>
                <w:szCs w:val="24"/>
                <w:highlight w:val="none"/>
                <w:lang w:val="en-US" w:eastAsia="zh-CN" w:bidi="ar-SA"/>
              </w:rPr>
            </w:pPr>
            <w:r>
              <w:rPr>
                <w:rFonts w:hint="eastAsia" w:ascii="宋体" w:hAnsi="宋体" w:eastAsia="宋体" w:cs="宋体"/>
                <w:i w:val="0"/>
                <w:iCs w:val="0"/>
                <w:color w:val="auto"/>
                <w:kern w:val="2"/>
                <w:sz w:val="24"/>
                <w:szCs w:val="24"/>
                <w:highlight w:val="none"/>
                <w:lang w:val="en-US" w:eastAsia="zh-CN" w:bidi="ar-SA"/>
              </w:rPr>
              <w:t>投标有效期</w:t>
            </w:r>
          </w:p>
        </w:tc>
        <w:tc>
          <w:tcPr>
            <w:tcW w:w="2526" w:type="pct"/>
            <w:shd w:val="clear" w:color="auto" w:fill="auto"/>
            <w:vAlign w:val="center"/>
          </w:tcPr>
          <w:p w14:paraId="3E6052BB">
            <w:pPr>
              <w:pStyle w:val="17"/>
              <w:spacing w:line="360" w:lineRule="auto"/>
              <w:ind w:right="-84" w:rightChars="-35"/>
              <w:jc w:val="both"/>
              <w:rPr>
                <w:rFonts w:hint="eastAsia" w:ascii="宋体" w:hAnsi="宋体" w:eastAsia="宋体" w:cs="宋体"/>
                <w:i w:val="0"/>
                <w:iCs w:val="0"/>
                <w:color w:val="auto"/>
                <w:kern w:val="2"/>
                <w:sz w:val="24"/>
                <w:szCs w:val="24"/>
                <w:highlight w:val="none"/>
                <w:lang w:val="zh-CN" w:eastAsia="zh-CN" w:bidi="ar-SA"/>
              </w:rPr>
            </w:pPr>
            <w:r>
              <w:rPr>
                <w:rFonts w:hint="eastAsia" w:ascii="宋体" w:hAnsi="宋体" w:eastAsia="宋体" w:cs="宋体"/>
                <w:i w:val="0"/>
                <w:iCs w:val="0"/>
                <w:color w:val="auto"/>
                <w:kern w:val="2"/>
                <w:sz w:val="24"/>
                <w:szCs w:val="24"/>
                <w:highlight w:val="none"/>
                <w:lang w:val="en-US" w:eastAsia="zh-CN" w:bidi="ar-SA"/>
              </w:rPr>
              <w:t>投标有效期是否满足投标文件要求</w:t>
            </w:r>
          </w:p>
        </w:tc>
        <w:tc>
          <w:tcPr>
            <w:tcW w:w="511" w:type="pct"/>
            <w:shd w:val="clear" w:color="auto" w:fill="auto"/>
            <w:vAlign w:val="center"/>
          </w:tcPr>
          <w:p w14:paraId="1EA81190">
            <w:pPr>
              <w:pStyle w:val="46"/>
              <w:rPr>
                <w:rFonts w:hint="eastAsia" w:ascii="宋体" w:hAnsi="宋体" w:eastAsia="宋体" w:cs="宋体"/>
                <w:i w:val="0"/>
                <w:iCs w:val="0"/>
                <w:color w:val="auto"/>
                <w:sz w:val="24"/>
                <w:szCs w:val="24"/>
                <w:highlight w:val="none"/>
                <w:lang w:val="zh-CN"/>
              </w:rPr>
            </w:pPr>
          </w:p>
        </w:tc>
        <w:tc>
          <w:tcPr>
            <w:tcW w:w="574" w:type="pct"/>
            <w:shd w:val="clear" w:color="auto" w:fill="auto"/>
            <w:vAlign w:val="center"/>
          </w:tcPr>
          <w:p w14:paraId="2394B23D">
            <w:pPr>
              <w:pStyle w:val="46"/>
              <w:rPr>
                <w:rFonts w:hint="eastAsia" w:ascii="宋体" w:hAnsi="宋体" w:eastAsia="宋体" w:cs="宋体"/>
                <w:i w:val="0"/>
                <w:iCs w:val="0"/>
                <w:color w:val="auto"/>
                <w:sz w:val="24"/>
                <w:szCs w:val="24"/>
                <w:highlight w:val="none"/>
                <w:lang w:val="zh-CN"/>
              </w:rPr>
            </w:pPr>
          </w:p>
        </w:tc>
      </w:tr>
      <w:tr w14:paraId="6D40C3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94" w:hRule="atLeast"/>
          <w:jc w:val="center"/>
        </w:trPr>
        <w:tc>
          <w:tcPr>
            <w:tcW w:w="336" w:type="pct"/>
            <w:shd w:val="clear" w:color="auto" w:fill="auto"/>
            <w:vAlign w:val="center"/>
          </w:tcPr>
          <w:p w14:paraId="09617D9C">
            <w:pPr>
              <w:pStyle w:val="46"/>
              <w:numPr>
                <w:ilvl w:val="0"/>
                <w:numId w:val="0"/>
              </w:numPr>
              <w:ind w:left="420" w:leftChars="0" w:hanging="420" w:firstLineChars="0"/>
              <w:jc w:val="center"/>
              <w:rPr>
                <w:rFonts w:hint="eastAsia" w:ascii="宋体" w:hAnsi="宋体" w:eastAsia="宋体" w:cs="宋体"/>
                <w:i w:val="0"/>
                <w:iCs w:val="0"/>
                <w:color w:val="auto"/>
                <w:kern w:val="2"/>
                <w:sz w:val="24"/>
                <w:szCs w:val="24"/>
                <w:highlight w:val="none"/>
                <w:lang w:val="zh-CN" w:eastAsia="zh-CN" w:bidi="ar-SA"/>
              </w:rPr>
            </w:pPr>
            <w:r>
              <w:rPr>
                <w:rFonts w:hint="eastAsia" w:cs="宋体"/>
                <w:i w:val="0"/>
                <w:iCs w:val="0"/>
                <w:color w:val="auto"/>
                <w:kern w:val="2"/>
                <w:sz w:val="24"/>
                <w:szCs w:val="24"/>
                <w:highlight w:val="none"/>
                <w:lang w:val="en-US" w:eastAsia="zh-CN" w:bidi="ar-SA"/>
              </w:rPr>
              <w:t>7</w:t>
            </w:r>
          </w:p>
        </w:tc>
        <w:tc>
          <w:tcPr>
            <w:tcW w:w="1050" w:type="pct"/>
            <w:vAlign w:val="center"/>
          </w:tcPr>
          <w:p w14:paraId="2016E93A">
            <w:pPr>
              <w:pStyle w:val="46"/>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供应商影响评审</w:t>
            </w:r>
          </w:p>
        </w:tc>
        <w:tc>
          <w:tcPr>
            <w:tcW w:w="2526" w:type="pct"/>
            <w:shd w:val="clear" w:color="auto" w:fill="auto"/>
            <w:vAlign w:val="center"/>
          </w:tcPr>
          <w:p w14:paraId="50B76BB4">
            <w:pPr>
              <w:pStyle w:val="46"/>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供应商</w:t>
            </w:r>
            <w:r>
              <w:rPr>
                <w:rFonts w:hint="eastAsia" w:ascii="宋体" w:hAnsi="宋体" w:eastAsia="宋体" w:cs="宋体"/>
                <w:i w:val="0"/>
                <w:iCs w:val="0"/>
                <w:color w:val="auto"/>
                <w:sz w:val="24"/>
                <w:szCs w:val="24"/>
                <w:highlight w:val="none"/>
                <w:lang w:val="zh-CN" w:eastAsia="zh-CN"/>
              </w:rPr>
              <w:t>对采购人、采购代理机构、磋商小组及其工作人员</w:t>
            </w:r>
            <w:r>
              <w:rPr>
                <w:rFonts w:hint="eastAsia" w:ascii="宋体" w:hAnsi="宋体" w:eastAsia="宋体" w:cs="宋体"/>
                <w:i w:val="0"/>
                <w:iCs w:val="0"/>
                <w:color w:val="auto"/>
                <w:sz w:val="24"/>
                <w:szCs w:val="24"/>
                <w:highlight w:val="none"/>
                <w:lang w:val="en-US" w:eastAsia="zh-CN"/>
              </w:rPr>
              <w:t>未</w:t>
            </w:r>
            <w:r>
              <w:rPr>
                <w:rFonts w:hint="eastAsia" w:ascii="宋体" w:hAnsi="宋体" w:eastAsia="宋体" w:cs="宋体"/>
                <w:i w:val="0"/>
                <w:iCs w:val="0"/>
                <w:color w:val="auto"/>
                <w:sz w:val="24"/>
                <w:szCs w:val="24"/>
                <w:highlight w:val="none"/>
                <w:lang w:val="zh-CN" w:eastAsia="zh-CN"/>
              </w:rPr>
              <w:t>施加影响,</w:t>
            </w:r>
            <w:r>
              <w:rPr>
                <w:rFonts w:hint="eastAsia" w:ascii="宋体" w:hAnsi="宋体" w:eastAsia="宋体" w:cs="宋体"/>
                <w:i w:val="0"/>
                <w:iCs w:val="0"/>
                <w:color w:val="auto"/>
                <w:sz w:val="24"/>
                <w:szCs w:val="24"/>
                <w:highlight w:val="none"/>
                <w:lang w:val="en-US" w:eastAsia="zh-CN"/>
              </w:rPr>
              <w:t>无</w:t>
            </w:r>
            <w:r>
              <w:rPr>
                <w:rFonts w:hint="eastAsia" w:ascii="宋体" w:hAnsi="宋体" w:eastAsia="宋体" w:cs="宋体"/>
                <w:i w:val="0"/>
                <w:iCs w:val="0"/>
                <w:color w:val="auto"/>
                <w:sz w:val="24"/>
                <w:szCs w:val="24"/>
                <w:highlight w:val="none"/>
                <w:lang w:val="zh-CN" w:eastAsia="zh-CN"/>
              </w:rPr>
              <w:t>有碍公平、公正</w:t>
            </w:r>
            <w:r>
              <w:rPr>
                <w:rFonts w:hint="eastAsia" w:ascii="宋体" w:hAnsi="宋体" w:eastAsia="宋体" w:cs="宋体"/>
                <w:i w:val="0"/>
                <w:iCs w:val="0"/>
                <w:color w:val="auto"/>
                <w:sz w:val="24"/>
                <w:szCs w:val="24"/>
                <w:highlight w:val="none"/>
                <w:lang w:val="en-US" w:eastAsia="zh-CN"/>
              </w:rPr>
              <w:t>行为的</w:t>
            </w:r>
          </w:p>
        </w:tc>
        <w:tc>
          <w:tcPr>
            <w:tcW w:w="511" w:type="pct"/>
            <w:shd w:val="clear" w:color="auto" w:fill="auto"/>
            <w:vAlign w:val="center"/>
          </w:tcPr>
          <w:p w14:paraId="75DB24A7">
            <w:pPr>
              <w:pStyle w:val="46"/>
              <w:rPr>
                <w:rFonts w:hint="eastAsia" w:ascii="宋体" w:hAnsi="宋体" w:eastAsia="宋体" w:cs="宋体"/>
                <w:i w:val="0"/>
                <w:iCs w:val="0"/>
                <w:color w:val="auto"/>
                <w:sz w:val="24"/>
                <w:szCs w:val="24"/>
                <w:highlight w:val="none"/>
                <w:lang w:val="zh-CN"/>
              </w:rPr>
            </w:pPr>
          </w:p>
        </w:tc>
        <w:tc>
          <w:tcPr>
            <w:tcW w:w="574" w:type="pct"/>
            <w:shd w:val="clear" w:color="auto" w:fill="auto"/>
            <w:vAlign w:val="center"/>
          </w:tcPr>
          <w:p w14:paraId="7D6DA84C">
            <w:pPr>
              <w:pStyle w:val="46"/>
              <w:rPr>
                <w:rFonts w:hint="eastAsia" w:ascii="宋体" w:hAnsi="宋体" w:eastAsia="宋体" w:cs="宋体"/>
                <w:i w:val="0"/>
                <w:iCs w:val="0"/>
                <w:color w:val="auto"/>
                <w:sz w:val="24"/>
                <w:szCs w:val="24"/>
                <w:highlight w:val="none"/>
                <w:lang w:val="zh-CN"/>
              </w:rPr>
            </w:pPr>
          </w:p>
        </w:tc>
      </w:tr>
      <w:tr w14:paraId="35AAC1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8" w:hRule="atLeast"/>
          <w:jc w:val="center"/>
        </w:trPr>
        <w:tc>
          <w:tcPr>
            <w:tcW w:w="336" w:type="pct"/>
            <w:shd w:val="clear" w:color="auto" w:fill="auto"/>
            <w:vAlign w:val="center"/>
          </w:tcPr>
          <w:p w14:paraId="332BD4A6">
            <w:pPr>
              <w:pStyle w:val="46"/>
              <w:numPr>
                <w:ilvl w:val="0"/>
                <w:numId w:val="0"/>
              </w:numPr>
              <w:ind w:left="420" w:leftChars="0" w:hanging="420" w:firstLineChars="0"/>
              <w:jc w:val="center"/>
              <w:rPr>
                <w:rFonts w:hint="eastAsia" w:ascii="宋体" w:hAnsi="宋体" w:eastAsia="宋体" w:cs="宋体"/>
                <w:i w:val="0"/>
                <w:iCs w:val="0"/>
                <w:color w:val="auto"/>
                <w:kern w:val="2"/>
                <w:sz w:val="24"/>
                <w:szCs w:val="24"/>
                <w:highlight w:val="none"/>
                <w:lang w:val="en-US" w:eastAsia="zh-CN" w:bidi="ar-SA"/>
              </w:rPr>
            </w:pPr>
            <w:r>
              <w:rPr>
                <w:rFonts w:hint="eastAsia" w:cs="宋体"/>
                <w:i w:val="0"/>
                <w:iCs w:val="0"/>
                <w:color w:val="auto"/>
                <w:kern w:val="2"/>
                <w:sz w:val="24"/>
                <w:szCs w:val="24"/>
                <w:highlight w:val="none"/>
                <w:lang w:val="en-US" w:eastAsia="zh-CN" w:bidi="ar-SA"/>
              </w:rPr>
              <w:t>8</w:t>
            </w:r>
          </w:p>
        </w:tc>
        <w:tc>
          <w:tcPr>
            <w:tcW w:w="1050" w:type="pct"/>
            <w:vAlign w:val="center"/>
          </w:tcPr>
          <w:p w14:paraId="56EEFE7E">
            <w:pPr>
              <w:pStyle w:val="46"/>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附加条件</w:t>
            </w:r>
          </w:p>
        </w:tc>
        <w:tc>
          <w:tcPr>
            <w:tcW w:w="2526" w:type="pct"/>
            <w:shd w:val="clear" w:color="auto" w:fill="auto"/>
            <w:vAlign w:val="center"/>
          </w:tcPr>
          <w:p w14:paraId="618DB2FB">
            <w:pPr>
              <w:pStyle w:val="46"/>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响应文件没有采购人不能接受的附加条件的</w:t>
            </w:r>
          </w:p>
        </w:tc>
        <w:tc>
          <w:tcPr>
            <w:tcW w:w="511" w:type="pct"/>
            <w:shd w:val="clear" w:color="auto" w:fill="auto"/>
            <w:vAlign w:val="center"/>
          </w:tcPr>
          <w:p w14:paraId="36C2A679">
            <w:pPr>
              <w:pStyle w:val="46"/>
              <w:rPr>
                <w:rFonts w:hint="eastAsia" w:ascii="宋体" w:hAnsi="宋体" w:eastAsia="宋体" w:cs="宋体"/>
                <w:i w:val="0"/>
                <w:iCs w:val="0"/>
                <w:color w:val="auto"/>
                <w:sz w:val="24"/>
                <w:szCs w:val="24"/>
                <w:highlight w:val="none"/>
                <w:lang w:val="zh-CN"/>
              </w:rPr>
            </w:pPr>
          </w:p>
        </w:tc>
        <w:tc>
          <w:tcPr>
            <w:tcW w:w="574" w:type="pct"/>
            <w:shd w:val="clear" w:color="auto" w:fill="auto"/>
            <w:vAlign w:val="center"/>
          </w:tcPr>
          <w:p w14:paraId="73E4201A">
            <w:pPr>
              <w:pStyle w:val="46"/>
              <w:rPr>
                <w:rFonts w:hint="eastAsia" w:ascii="宋体" w:hAnsi="宋体" w:eastAsia="宋体" w:cs="宋体"/>
                <w:i w:val="0"/>
                <w:iCs w:val="0"/>
                <w:color w:val="auto"/>
                <w:sz w:val="24"/>
                <w:szCs w:val="24"/>
                <w:highlight w:val="none"/>
                <w:lang w:val="zh-CN"/>
              </w:rPr>
            </w:pPr>
          </w:p>
        </w:tc>
      </w:tr>
      <w:tr w14:paraId="56775C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8" w:hRule="atLeast"/>
          <w:jc w:val="center"/>
        </w:trPr>
        <w:tc>
          <w:tcPr>
            <w:tcW w:w="336" w:type="pct"/>
            <w:shd w:val="clear" w:color="auto" w:fill="auto"/>
            <w:vAlign w:val="center"/>
          </w:tcPr>
          <w:p w14:paraId="3CD6AABE">
            <w:pPr>
              <w:pStyle w:val="46"/>
              <w:numPr>
                <w:ilvl w:val="0"/>
                <w:numId w:val="0"/>
              </w:numPr>
              <w:ind w:left="420" w:leftChars="0" w:hanging="420" w:firstLineChars="0"/>
              <w:jc w:val="center"/>
              <w:rPr>
                <w:rFonts w:hint="eastAsia" w:ascii="宋体" w:hAnsi="宋体" w:eastAsia="宋体" w:cs="宋体"/>
                <w:i w:val="0"/>
                <w:iCs w:val="0"/>
                <w:color w:val="auto"/>
                <w:kern w:val="2"/>
                <w:sz w:val="24"/>
                <w:szCs w:val="24"/>
                <w:highlight w:val="none"/>
                <w:lang w:val="en-US" w:eastAsia="zh-CN" w:bidi="ar-SA"/>
              </w:rPr>
            </w:pPr>
            <w:r>
              <w:rPr>
                <w:rFonts w:hint="eastAsia" w:cs="宋体"/>
                <w:i w:val="0"/>
                <w:iCs w:val="0"/>
                <w:color w:val="auto"/>
                <w:kern w:val="2"/>
                <w:sz w:val="24"/>
                <w:szCs w:val="24"/>
                <w:highlight w:val="none"/>
                <w:lang w:val="en-US" w:eastAsia="zh-CN" w:bidi="ar-SA"/>
              </w:rPr>
              <w:t>9</w:t>
            </w:r>
          </w:p>
        </w:tc>
        <w:tc>
          <w:tcPr>
            <w:tcW w:w="1050" w:type="pct"/>
            <w:vAlign w:val="center"/>
          </w:tcPr>
          <w:p w14:paraId="40726A5F">
            <w:pPr>
              <w:pStyle w:val="46"/>
              <w:rPr>
                <w:rFonts w:hint="eastAsia" w:ascii="宋体" w:hAnsi="宋体" w:eastAsia="宋体" w:cs="宋体"/>
                <w:i w:val="0"/>
                <w:iCs w:val="0"/>
                <w:color w:val="auto"/>
                <w:sz w:val="24"/>
                <w:szCs w:val="24"/>
                <w:highlight w:val="none"/>
                <w:lang w:val="zh-CN"/>
              </w:rPr>
            </w:pPr>
            <w:r>
              <w:rPr>
                <w:rFonts w:hint="eastAsia" w:ascii="宋体" w:hAnsi="宋体" w:eastAsia="宋体" w:cs="宋体"/>
                <w:i w:val="0"/>
                <w:iCs w:val="0"/>
                <w:color w:val="auto"/>
                <w:sz w:val="24"/>
                <w:szCs w:val="24"/>
                <w:highlight w:val="none"/>
                <w:lang w:val="zh-CN"/>
              </w:rPr>
              <w:t>其他无效情形</w:t>
            </w:r>
          </w:p>
        </w:tc>
        <w:tc>
          <w:tcPr>
            <w:tcW w:w="2526" w:type="pct"/>
            <w:shd w:val="clear" w:color="auto" w:fill="auto"/>
            <w:vAlign w:val="center"/>
          </w:tcPr>
          <w:p w14:paraId="05CC0303">
            <w:pPr>
              <w:pStyle w:val="46"/>
              <w:rPr>
                <w:rFonts w:hint="eastAsia" w:ascii="宋体" w:hAnsi="宋体" w:eastAsia="宋体" w:cs="宋体"/>
                <w:i w:val="0"/>
                <w:iCs w:val="0"/>
                <w:color w:val="auto"/>
                <w:sz w:val="24"/>
                <w:szCs w:val="24"/>
                <w:highlight w:val="none"/>
                <w:lang w:val="zh-CN"/>
              </w:rPr>
            </w:pPr>
            <w:r>
              <w:rPr>
                <w:rFonts w:hint="eastAsia" w:ascii="宋体" w:hAnsi="宋体" w:eastAsia="宋体" w:cs="宋体"/>
                <w:i w:val="0"/>
                <w:iCs w:val="0"/>
                <w:color w:val="auto"/>
                <w:sz w:val="24"/>
                <w:szCs w:val="24"/>
                <w:highlight w:val="none"/>
                <w:lang w:val="en-US" w:eastAsia="zh-CN"/>
              </w:rPr>
              <w:t>未出现</w:t>
            </w:r>
            <w:r>
              <w:rPr>
                <w:rFonts w:hint="eastAsia" w:ascii="宋体" w:hAnsi="宋体" w:eastAsia="宋体" w:cs="宋体"/>
                <w:i w:val="0"/>
                <w:iCs w:val="0"/>
                <w:color w:val="auto"/>
                <w:sz w:val="24"/>
                <w:szCs w:val="24"/>
                <w:highlight w:val="none"/>
                <w:lang w:val="zh-CN" w:eastAsia="zh-CN"/>
              </w:rPr>
              <w:t>法律、法规、规章以及本磋商文件规定属于</w:t>
            </w:r>
            <w:r>
              <w:rPr>
                <w:rFonts w:hint="eastAsia" w:ascii="宋体" w:hAnsi="宋体" w:eastAsia="宋体" w:cs="宋体"/>
                <w:i w:val="0"/>
                <w:iCs w:val="0"/>
                <w:color w:val="auto"/>
                <w:sz w:val="24"/>
                <w:szCs w:val="24"/>
                <w:highlight w:val="none"/>
                <w:lang w:val="en-US" w:eastAsia="zh-CN"/>
              </w:rPr>
              <w:t>响应</w:t>
            </w:r>
            <w:r>
              <w:rPr>
                <w:rFonts w:hint="eastAsia" w:ascii="宋体" w:hAnsi="宋体" w:eastAsia="宋体" w:cs="宋体"/>
                <w:i w:val="0"/>
                <w:iCs w:val="0"/>
                <w:color w:val="auto"/>
                <w:sz w:val="24"/>
                <w:szCs w:val="24"/>
                <w:highlight w:val="none"/>
                <w:lang w:val="zh-CN" w:eastAsia="zh-CN"/>
              </w:rPr>
              <w:t>无效的其他情形。</w:t>
            </w:r>
          </w:p>
        </w:tc>
        <w:tc>
          <w:tcPr>
            <w:tcW w:w="511" w:type="pct"/>
            <w:shd w:val="clear" w:color="auto" w:fill="auto"/>
            <w:vAlign w:val="center"/>
          </w:tcPr>
          <w:p w14:paraId="3A44DE13">
            <w:pPr>
              <w:pStyle w:val="46"/>
              <w:rPr>
                <w:rFonts w:hint="eastAsia" w:ascii="宋体" w:hAnsi="宋体" w:eastAsia="宋体" w:cs="宋体"/>
                <w:i w:val="0"/>
                <w:iCs w:val="0"/>
                <w:color w:val="auto"/>
                <w:sz w:val="24"/>
                <w:szCs w:val="24"/>
                <w:highlight w:val="none"/>
                <w:lang w:val="zh-CN"/>
              </w:rPr>
            </w:pPr>
          </w:p>
        </w:tc>
        <w:tc>
          <w:tcPr>
            <w:tcW w:w="574" w:type="pct"/>
            <w:shd w:val="clear" w:color="auto" w:fill="auto"/>
            <w:vAlign w:val="center"/>
          </w:tcPr>
          <w:p w14:paraId="5D1C94D8">
            <w:pPr>
              <w:pStyle w:val="46"/>
              <w:rPr>
                <w:rFonts w:hint="eastAsia" w:ascii="宋体" w:hAnsi="宋体" w:eastAsia="宋体" w:cs="宋体"/>
                <w:i w:val="0"/>
                <w:iCs w:val="0"/>
                <w:color w:val="auto"/>
                <w:sz w:val="24"/>
                <w:szCs w:val="24"/>
                <w:highlight w:val="none"/>
                <w:lang w:val="zh-CN"/>
              </w:rPr>
            </w:pPr>
          </w:p>
        </w:tc>
      </w:tr>
    </w:tbl>
    <w:p w14:paraId="3D420025">
      <w:pPr>
        <w:pStyle w:val="4"/>
        <w:keepNext w:val="0"/>
        <w:keepLines w:val="0"/>
        <w:pageBreakBefore w:val="0"/>
        <w:widowControl w:val="0"/>
        <w:numPr>
          <w:ilvl w:val="0"/>
          <w:numId w:val="0"/>
        </w:numPr>
        <w:kinsoku/>
        <w:wordWrap/>
        <w:overflowPunct/>
        <w:topLinePunct w:val="0"/>
        <w:autoSpaceDE/>
        <w:autoSpaceDN/>
        <w:bidi w:val="0"/>
        <w:adjustRightInd/>
        <w:snapToGrid/>
        <w:spacing w:before="160" w:after="160" w:line="360" w:lineRule="auto"/>
        <w:ind w:left="420" w:leftChars="0" w:hanging="420" w:firstLineChars="0"/>
        <w:textAlignment w:val="auto"/>
        <w:rPr>
          <w:rFonts w:hint="eastAsia" w:ascii="宋体" w:hAnsi="宋体" w:eastAsia="宋体" w:cs="宋体"/>
          <w:b/>
          <w:bCs/>
          <w:i w:val="0"/>
          <w:iCs w:val="0"/>
          <w:color w:val="auto"/>
          <w:kern w:val="2"/>
          <w:sz w:val="24"/>
          <w:szCs w:val="24"/>
          <w:highlight w:val="none"/>
          <w:lang w:val="zh-CN" w:eastAsia="zh-CN" w:bidi="ar-SA"/>
        </w:rPr>
      </w:pPr>
      <w:bookmarkStart w:id="423" w:name="_Toc16073"/>
      <w:bookmarkStart w:id="424" w:name="_Toc19982"/>
      <w:r>
        <w:rPr>
          <w:rFonts w:hint="eastAsia" w:ascii="宋体" w:hAnsi="宋体" w:eastAsia="宋体" w:cs="宋体"/>
          <w:b/>
          <w:bCs/>
          <w:i w:val="0"/>
          <w:iCs w:val="0"/>
          <w:color w:val="auto"/>
          <w:kern w:val="2"/>
          <w:sz w:val="24"/>
          <w:szCs w:val="24"/>
          <w:highlight w:val="none"/>
          <w:lang w:val="en-US" w:eastAsia="zh-CN" w:bidi="ar-SA"/>
        </w:rPr>
        <w:t>（三）</w:t>
      </w:r>
      <w:r>
        <w:rPr>
          <w:rFonts w:hint="eastAsia" w:ascii="宋体" w:hAnsi="宋体" w:eastAsia="宋体" w:cs="宋体"/>
          <w:b/>
          <w:bCs/>
          <w:i w:val="0"/>
          <w:iCs w:val="0"/>
          <w:color w:val="auto"/>
          <w:kern w:val="2"/>
          <w:sz w:val="24"/>
          <w:szCs w:val="24"/>
          <w:highlight w:val="none"/>
          <w:lang w:val="zh-CN" w:eastAsia="zh-CN" w:bidi="ar-SA"/>
        </w:rPr>
        <w:t>评分标准</w:t>
      </w:r>
      <w:bookmarkEnd w:id="422"/>
      <w:bookmarkEnd w:id="423"/>
      <w:bookmarkEnd w:id="424"/>
    </w:p>
    <w:p w14:paraId="48A71621">
      <w:pPr>
        <w:rPr>
          <w:rFonts w:hint="eastAsia"/>
          <w:i w:val="0"/>
          <w:iCs w:val="0"/>
          <w:color w:val="auto"/>
          <w:sz w:val="24"/>
          <w:szCs w:val="24"/>
          <w:highlight w:val="none"/>
          <w:lang w:val="zh-CN" w:eastAsia="zh-CN"/>
        </w:rPr>
      </w:pPr>
      <w:r>
        <w:rPr>
          <w:rFonts w:hint="eastAsia"/>
          <w:i w:val="0"/>
          <w:iCs w:val="0"/>
          <w:color w:val="auto"/>
          <w:sz w:val="24"/>
          <w:szCs w:val="24"/>
          <w:highlight w:val="none"/>
          <w:lang w:val="en-US" w:eastAsia="zh-CN"/>
        </w:rPr>
        <w:t>注：以下评标分项根据项目实际情况可自行设置。</w:t>
      </w:r>
    </w:p>
    <w:tbl>
      <w:tblPr>
        <w:tblStyle w:val="65"/>
        <w:tblW w:w="842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04"/>
        <w:gridCol w:w="1520"/>
        <w:gridCol w:w="944"/>
        <w:gridCol w:w="4859"/>
      </w:tblGrid>
      <w:tr w14:paraId="236513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jc w:val="center"/>
        </w:trPr>
        <w:tc>
          <w:tcPr>
            <w:tcW w:w="2624" w:type="dxa"/>
            <w:gridSpan w:val="2"/>
            <w:shd w:val="clear" w:color="auto" w:fill="ADDAB2" w:themeFill="background1" w:themeFillShade="E5"/>
            <w:vAlign w:val="center"/>
          </w:tcPr>
          <w:p w14:paraId="4D75A54F">
            <w:pPr>
              <w:pStyle w:val="64"/>
              <w:spacing w:before="124" w:line="240" w:lineRule="auto"/>
              <w:ind w:left="744"/>
              <w:jc w:val="both"/>
              <w:rPr>
                <w:rFonts w:hint="eastAsia" w:ascii="宋体" w:hAnsi="宋体" w:eastAsia="宋体" w:cs="宋体"/>
                <w:b/>
                <w:bCs/>
                <w:color w:val="auto"/>
                <w:spacing w:val="10"/>
                <w:sz w:val="28"/>
                <w:szCs w:val="28"/>
              </w:rPr>
            </w:pPr>
            <w:r>
              <w:rPr>
                <w:rFonts w:hint="eastAsia" w:ascii="宋体" w:hAnsi="宋体" w:eastAsia="宋体" w:cs="宋体"/>
                <w:b/>
                <w:bCs/>
                <w:color w:val="auto"/>
                <w:spacing w:val="10"/>
                <w:sz w:val="28"/>
                <w:szCs w:val="28"/>
              </w:rPr>
              <w:t>评审</w:t>
            </w:r>
          </w:p>
          <w:p w14:paraId="03C28A41">
            <w:pPr>
              <w:pStyle w:val="64"/>
              <w:spacing w:before="124" w:line="240" w:lineRule="auto"/>
              <w:ind w:left="744"/>
              <w:jc w:val="both"/>
              <w:rPr>
                <w:rFonts w:hint="eastAsia" w:ascii="宋体" w:hAnsi="宋体" w:eastAsia="宋体" w:cs="宋体"/>
                <w:b/>
                <w:bCs/>
                <w:color w:val="auto"/>
                <w:sz w:val="28"/>
                <w:szCs w:val="28"/>
              </w:rPr>
            </w:pPr>
            <w:r>
              <w:rPr>
                <w:rFonts w:hint="eastAsia" w:ascii="宋体" w:hAnsi="宋体" w:eastAsia="宋体" w:cs="宋体"/>
                <w:b/>
                <w:bCs/>
                <w:color w:val="auto"/>
                <w:spacing w:val="10"/>
                <w:sz w:val="28"/>
                <w:szCs w:val="28"/>
              </w:rPr>
              <w:t>项目</w:t>
            </w:r>
          </w:p>
        </w:tc>
        <w:tc>
          <w:tcPr>
            <w:tcW w:w="944" w:type="dxa"/>
            <w:shd w:val="clear" w:color="auto" w:fill="ADDAB2" w:themeFill="background1" w:themeFillShade="E5"/>
            <w:vAlign w:val="center"/>
          </w:tcPr>
          <w:p w14:paraId="4AEF19F3">
            <w:pPr>
              <w:pStyle w:val="64"/>
              <w:spacing w:before="124" w:line="240" w:lineRule="auto"/>
              <w:ind w:left="23"/>
              <w:jc w:val="center"/>
              <w:rPr>
                <w:rFonts w:hint="eastAsia" w:ascii="宋体" w:hAnsi="宋体" w:eastAsia="宋体" w:cs="宋体"/>
                <w:b/>
                <w:bCs/>
                <w:color w:val="auto"/>
                <w:sz w:val="28"/>
                <w:szCs w:val="28"/>
              </w:rPr>
            </w:pPr>
            <w:r>
              <w:rPr>
                <w:rFonts w:hint="eastAsia" w:ascii="宋体" w:hAnsi="宋体" w:eastAsia="宋体" w:cs="宋体"/>
                <w:b/>
                <w:bCs/>
                <w:color w:val="auto"/>
                <w:spacing w:val="-3"/>
                <w:sz w:val="28"/>
                <w:szCs w:val="28"/>
              </w:rPr>
              <w:t>标准分</w:t>
            </w:r>
          </w:p>
        </w:tc>
        <w:tc>
          <w:tcPr>
            <w:tcW w:w="4859" w:type="dxa"/>
            <w:shd w:val="clear" w:color="auto" w:fill="ADDAB2" w:themeFill="background1" w:themeFillShade="E5"/>
            <w:vAlign w:val="center"/>
          </w:tcPr>
          <w:p w14:paraId="6F9FE3C8">
            <w:pPr>
              <w:pStyle w:val="64"/>
              <w:spacing w:before="124" w:line="240" w:lineRule="auto"/>
              <w:jc w:val="center"/>
              <w:rPr>
                <w:rFonts w:hint="eastAsia" w:ascii="宋体" w:hAnsi="宋体" w:eastAsia="宋体" w:cs="宋体"/>
                <w:b/>
                <w:bCs/>
                <w:color w:val="auto"/>
                <w:spacing w:val="-2"/>
                <w:sz w:val="28"/>
                <w:szCs w:val="28"/>
              </w:rPr>
            </w:pPr>
            <w:r>
              <w:rPr>
                <w:rFonts w:hint="eastAsia" w:ascii="宋体" w:hAnsi="宋体" w:eastAsia="宋体" w:cs="宋体"/>
                <w:b/>
                <w:bCs/>
                <w:color w:val="auto"/>
                <w:spacing w:val="-2"/>
                <w:sz w:val="28"/>
                <w:szCs w:val="28"/>
              </w:rPr>
              <w:t>评审</w:t>
            </w:r>
          </w:p>
          <w:p w14:paraId="6570F413">
            <w:pPr>
              <w:pStyle w:val="64"/>
              <w:spacing w:before="124" w:line="240" w:lineRule="auto"/>
              <w:jc w:val="center"/>
              <w:rPr>
                <w:rFonts w:hint="eastAsia" w:ascii="宋体" w:hAnsi="宋体" w:eastAsia="宋体" w:cs="宋体"/>
                <w:b/>
                <w:bCs/>
                <w:color w:val="auto"/>
                <w:sz w:val="28"/>
                <w:szCs w:val="28"/>
              </w:rPr>
            </w:pPr>
            <w:r>
              <w:rPr>
                <w:rFonts w:hint="eastAsia" w:ascii="宋体" w:hAnsi="宋体" w:eastAsia="宋体" w:cs="宋体"/>
                <w:b/>
                <w:bCs/>
                <w:color w:val="auto"/>
                <w:spacing w:val="-2"/>
                <w:sz w:val="28"/>
                <w:szCs w:val="28"/>
              </w:rPr>
              <w:t>标准</w:t>
            </w:r>
          </w:p>
        </w:tc>
      </w:tr>
      <w:tr w14:paraId="27F073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1104" w:type="dxa"/>
            <w:vAlign w:val="center"/>
          </w:tcPr>
          <w:p w14:paraId="1C9EF2F2">
            <w:pPr>
              <w:pStyle w:val="64"/>
              <w:spacing w:before="166" w:line="240" w:lineRule="auto"/>
              <w:ind w:left="64"/>
              <w:jc w:val="center"/>
              <w:rPr>
                <w:rFonts w:hint="eastAsia" w:ascii="宋体" w:hAnsi="宋体" w:eastAsia="宋体" w:cs="宋体"/>
                <w:color w:val="auto"/>
                <w:spacing w:val="3"/>
                <w:sz w:val="24"/>
                <w:szCs w:val="24"/>
              </w:rPr>
            </w:pPr>
            <w:r>
              <w:rPr>
                <w:rFonts w:hint="eastAsia" w:ascii="宋体" w:hAnsi="宋体" w:eastAsia="宋体" w:cs="宋体"/>
                <w:color w:val="auto"/>
                <w:spacing w:val="-2"/>
                <w:sz w:val="24"/>
                <w:szCs w:val="24"/>
              </w:rPr>
              <w:t>价格评价评</w:t>
            </w:r>
            <w:r>
              <w:rPr>
                <w:rFonts w:hint="eastAsia" w:ascii="宋体" w:hAnsi="宋体" w:eastAsia="宋体" w:cs="宋体"/>
                <w:color w:val="auto"/>
                <w:spacing w:val="3"/>
                <w:sz w:val="24"/>
                <w:szCs w:val="24"/>
              </w:rPr>
              <w:t>分标准</w:t>
            </w:r>
          </w:p>
          <w:p w14:paraId="5A65AAD3">
            <w:pPr>
              <w:pStyle w:val="64"/>
              <w:spacing w:before="166" w:line="240" w:lineRule="auto"/>
              <w:ind w:left="64"/>
              <w:jc w:val="center"/>
              <w:rPr>
                <w:rFonts w:hint="eastAsia" w:ascii="宋体" w:hAnsi="宋体" w:eastAsia="宋体" w:cs="宋体"/>
                <w:color w:val="auto"/>
                <w:sz w:val="24"/>
                <w:szCs w:val="24"/>
              </w:rPr>
            </w:pPr>
            <w:r>
              <w:rPr>
                <w:rFonts w:hint="eastAsia" w:ascii="宋体" w:hAnsi="宋体" w:eastAsia="宋体" w:cs="宋体"/>
                <w:color w:val="auto"/>
                <w:spacing w:val="9"/>
                <w:sz w:val="24"/>
                <w:szCs w:val="24"/>
              </w:rPr>
              <w:t>(</w:t>
            </w:r>
            <w:r>
              <w:rPr>
                <w:rFonts w:hint="eastAsia" w:cs="宋体"/>
                <w:color w:val="auto"/>
                <w:spacing w:val="9"/>
                <w:sz w:val="24"/>
                <w:szCs w:val="24"/>
                <w:lang w:val="en-US" w:eastAsia="zh-CN"/>
              </w:rPr>
              <w:t>3</w:t>
            </w:r>
            <w:r>
              <w:rPr>
                <w:rFonts w:hint="eastAsia" w:ascii="宋体" w:hAnsi="宋体" w:eastAsia="宋体" w:cs="宋体"/>
                <w:color w:val="auto"/>
                <w:spacing w:val="9"/>
                <w:sz w:val="24"/>
                <w:szCs w:val="24"/>
                <w:lang w:val="en-US" w:eastAsia="zh-CN"/>
              </w:rPr>
              <w:t>0</w:t>
            </w:r>
            <w:r>
              <w:rPr>
                <w:rFonts w:hint="eastAsia" w:ascii="宋体" w:hAnsi="宋体" w:eastAsia="宋体" w:cs="宋体"/>
                <w:color w:val="auto"/>
                <w:spacing w:val="9"/>
                <w:sz w:val="24"/>
                <w:szCs w:val="24"/>
              </w:rPr>
              <w:t>分)</w:t>
            </w:r>
          </w:p>
        </w:tc>
        <w:tc>
          <w:tcPr>
            <w:tcW w:w="1520" w:type="dxa"/>
            <w:vAlign w:val="center"/>
          </w:tcPr>
          <w:p w14:paraId="00E6F429">
            <w:pPr>
              <w:pStyle w:val="64"/>
              <w:spacing w:before="68" w:line="240" w:lineRule="auto"/>
              <w:jc w:val="center"/>
              <w:rPr>
                <w:rFonts w:hint="eastAsia" w:ascii="宋体" w:hAnsi="宋体" w:eastAsia="宋体" w:cs="宋体"/>
                <w:color w:val="auto"/>
                <w:sz w:val="24"/>
                <w:szCs w:val="24"/>
              </w:rPr>
            </w:pPr>
            <w:r>
              <w:rPr>
                <w:rFonts w:hint="eastAsia" w:ascii="宋体" w:hAnsi="宋体" w:eastAsia="宋体" w:cs="宋体"/>
                <w:color w:val="auto"/>
                <w:spacing w:val="-2"/>
                <w:sz w:val="24"/>
                <w:szCs w:val="24"/>
              </w:rPr>
              <w:t>报价得分</w:t>
            </w:r>
          </w:p>
        </w:tc>
        <w:tc>
          <w:tcPr>
            <w:tcW w:w="944" w:type="dxa"/>
            <w:vAlign w:val="top"/>
          </w:tcPr>
          <w:p w14:paraId="72263E2B">
            <w:pPr>
              <w:spacing w:line="240" w:lineRule="auto"/>
              <w:rPr>
                <w:rFonts w:hint="eastAsia" w:ascii="宋体" w:hAnsi="宋体" w:eastAsia="宋体" w:cs="宋体"/>
                <w:color w:val="auto"/>
                <w:sz w:val="24"/>
                <w:szCs w:val="24"/>
              </w:rPr>
            </w:pPr>
          </w:p>
          <w:p w14:paraId="7D7B91C4">
            <w:pPr>
              <w:pStyle w:val="64"/>
              <w:spacing w:before="68" w:line="240" w:lineRule="auto"/>
              <w:ind w:left="123"/>
              <w:rPr>
                <w:rFonts w:hint="eastAsia" w:ascii="宋体" w:hAnsi="宋体" w:eastAsia="宋体" w:cs="宋体"/>
                <w:color w:val="auto"/>
                <w:sz w:val="24"/>
                <w:szCs w:val="24"/>
              </w:rPr>
            </w:pPr>
            <w:r>
              <w:rPr>
                <w:rFonts w:hint="eastAsia" w:cs="宋体"/>
                <w:color w:val="auto"/>
                <w:spacing w:val="3"/>
                <w:sz w:val="24"/>
                <w:szCs w:val="24"/>
                <w:lang w:val="en-US" w:eastAsia="zh-CN"/>
              </w:rPr>
              <w:t>3</w:t>
            </w:r>
            <w:r>
              <w:rPr>
                <w:rFonts w:hint="eastAsia" w:ascii="宋体" w:hAnsi="宋体" w:eastAsia="宋体" w:cs="宋体"/>
                <w:color w:val="auto"/>
                <w:spacing w:val="3"/>
                <w:sz w:val="24"/>
                <w:szCs w:val="24"/>
              </w:rPr>
              <w:t>0分</w:t>
            </w:r>
          </w:p>
        </w:tc>
        <w:tc>
          <w:tcPr>
            <w:tcW w:w="4859" w:type="dxa"/>
            <w:vAlign w:val="top"/>
          </w:tcPr>
          <w:p w14:paraId="104B0917">
            <w:pPr>
              <w:pStyle w:val="64"/>
              <w:spacing w:before="56" w:line="240" w:lineRule="auto"/>
              <w:ind w:left="14"/>
              <w:jc w:val="both"/>
              <w:rPr>
                <w:rFonts w:hint="eastAsia" w:ascii="宋体" w:hAnsi="宋体" w:eastAsia="宋体" w:cs="宋体"/>
                <w:color w:val="auto"/>
                <w:sz w:val="24"/>
                <w:szCs w:val="24"/>
              </w:rPr>
            </w:pPr>
            <w:r>
              <w:rPr>
                <w:rFonts w:hint="eastAsia" w:ascii="宋体" w:hAnsi="宋体" w:eastAsia="宋体" w:cs="宋体"/>
                <w:color w:val="auto"/>
                <w:spacing w:val="-1"/>
                <w:sz w:val="24"/>
                <w:szCs w:val="24"/>
              </w:rPr>
              <w:t>满足招标文件要求且投标价格最低的投标报价为评标</w:t>
            </w:r>
            <w:r>
              <w:rPr>
                <w:rFonts w:hint="eastAsia" w:ascii="宋体" w:hAnsi="宋体" w:eastAsia="宋体" w:cs="宋体"/>
                <w:color w:val="auto"/>
                <w:spacing w:val="-6"/>
                <w:sz w:val="24"/>
                <w:szCs w:val="24"/>
              </w:rPr>
              <w:t>基准价，其价格分为满分</w:t>
            </w:r>
            <w:r>
              <w:rPr>
                <w:rFonts w:hint="eastAsia" w:cs="宋体"/>
                <w:color w:val="auto"/>
                <w:spacing w:val="-6"/>
                <w:sz w:val="24"/>
                <w:szCs w:val="24"/>
                <w:lang w:val="en-US" w:eastAsia="zh-CN"/>
              </w:rPr>
              <w:t>3</w:t>
            </w:r>
            <w:r>
              <w:rPr>
                <w:rFonts w:hint="eastAsia" w:ascii="宋体" w:hAnsi="宋体" w:eastAsia="宋体" w:cs="宋体"/>
                <w:color w:val="auto"/>
                <w:spacing w:val="-6"/>
                <w:sz w:val="24"/>
                <w:szCs w:val="24"/>
              </w:rPr>
              <w:t>0分。其他投标人的价</w:t>
            </w:r>
            <w:r>
              <w:rPr>
                <w:rFonts w:hint="eastAsia" w:ascii="宋体" w:hAnsi="宋体" w:eastAsia="宋体" w:cs="宋体"/>
                <w:color w:val="auto"/>
                <w:spacing w:val="-6"/>
                <w:sz w:val="24"/>
                <w:szCs w:val="24"/>
                <w:lang w:eastAsia="zh-CN"/>
              </w:rPr>
              <w:t>格部</w:t>
            </w:r>
            <w:r>
              <w:rPr>
                <w:rFonts w:hint="eastAsia" w:ascii="宋体" w:hAnsi="宋体" w:eastAsia="宋体" w:cs="宋体"/>
                <w:color w:val="auto"/>
                <w:spacing w:val="-6"/>
                <w:sz w:val="24"/>
                <w:szCs w:val="24"/>
              </w:rPr>
              <w:t>分统</w:t>
            </w:r>
            <w:r>
              <w:rPr>
                <w:rFonts w:hint="eastAsia" w:ascii="宋体" w:hAnsi="宋体" w:eastAsia="宋体" w:cs="宋体"/>
                <w:color w:val="auto"/>
                <w:spacing w:val="-1"/>
                <w:sz w:val="24"/>
                <w:szCs w:val="24"/>
              </w:rPr>
              <w:t>一按照下列公式计算：投标报价得分=(评标基准价/投标报价)×价格权值×100(价格权值为</w:t>
            </w:r>
            <w:r>
              <w:rPr>
                <w:rFonts w:hint="eastAsia" w:cs="宋体"/>
                <w:color w:val="auto"/>
                <w:spacing w:val="-1"/>
                <w:sz w:val="24"/>
                <w:szCs w:val="24"/>
                <w:lang w:val="en-US" w:eastAsia="zh-CN"/>
              </w:rPr>
              <w:t>3</w:t>
            </w:r>
            <w:r>
              <w:rPr>
                <w:rFonts w:hint="eastAsia" w:ascii="宋体" w:hAnsi="宋体" w:eastAsia="宋体" w:cs="宋体"/>
                <w:color w:val="auto"/>
                <w:spacing w:val="-1"/>
                <w:sz w:val="24"/>
                <w:szCs w:val="24"/>
                <w:lang w:val="en-US" w:eastAsia="zh-CN"/>
              </w:rPr>
              <w:t>0</w:t>
            </w:r>
            <w:r>
              <w:rPr>
                <w:rFonts w:hint="eastAsia" w:ascii="宋体" w:hAnsi="宋体" w:eastAsia="宋体" w:cs="宋体"/>
                <w:color w:val="auto"/>
                <w:spacing w:val="-1"/>
                <w:sz w:val="24"/>
                <w:szCs w:val="24"/>
              </w:rPr>
              <w:t>%)。</w:t>
            </w:r>
          </w:p>
        </w:tc>
      </w:tr>
      <w:tr w14:paraId="77A393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84" w:hRule="atLeast"/>
          <w:jc w:val="center"/>
        </w:trPr>
        <w:tc>
          <w:tcPr>
            <w:tcW w:w="1104" w:type="dxa"/>
            <w:vMerge w:val="restart"/>
            <w:vAlign w:val="top"/>
          </w:tcPr>
          <w:p w14:paraId="5544D0BF">
            <w:pPr>
              <w:spacing w:line="240" w:lineRule="auto"/>
              <w:rPr>
                <w:rFonts w:hint="eastAsia" w:ascii="宋体" w:hAnsi="宋体" w:eastAsia="宋体" w:cs="宋体"/>
                <w:color w:val="auto"/>
                <w:sz w:val="24"/>
                <w:szCs w:val="24"/>
              </w:rPr>
            </w:pPr>
          </w:p>
          <w:p w14:paraId="4C77EE7F">
            <w:pPr>
              <w:spacing w:line="240" w:lineRule="auto"/>
              <w:rPr>
                <w:rFonts w:hint="eastAsia" w:ascii="宋体" w:hAnsi="宋体" w:eastAsia="宋体" w:cs="宋体"/>
                <w:color w:val="auto"/>
                <w:sz w:val="24"/>
                <w:szCs w:val="24"/>
              </w:rPr>
            </w:pPr>
          </w:p>
          <w:p w14:paraId="1DCE648A">
            <w:pPr>
              <w:spacing w:line="240" w:lineRule="auto"/>
              <w:rPr>
                <w:rFonts w:hint="eastAsia" w:ascii="宋体" w:hAnsi="宋体" w:eastAsia="宋体" w:cs="宋体"/>
                <w:color w:val="auto"/>
                <w:sz w:val="24"/>
                <w:szCs w:val="24"/>
              </w:rPr>
            </w:pPr>
          </w:p>
          <w:p w14:paraId="0949C803">
            <w:pPr>
              <w:spacing w:line="240" w:lineRule="auto"/>
              <w:rPr>
                <w:rFonts w:hint="eastAsia" w:ascii="宋体" w:hAnsi="宋体" w:eastAsia="宋体" w:cs="宋体"/>
                <w:color w:val="auto"/>
                <w:sz w:val="24"/>
                <w:szCs w:val="24"/>
              </w:rPr>
            </w:pPr>
          </w:p>
          <w:p w14:paraId="17BCC92F">
            <w:pPr>
              <w:spacing w:line="240" w:lineRule="auto"/>
              <w:rPr>
                <w:rFonts w:hint="eastAsia" w:ascii="宋体" w:hAnsi="宋体" w:eastAsia="宋体" w:cs="宋体"/>
                <w:color w:val="auto"/>
                <w:sz w:val="24"/>
                <w:szCs w:val="24"/>
              </w:rPr>
            </w:pPr>
          </w:p>
          <w:p w14:paraId="72BDE38B">
            <w:pPr>
              <w:spacing w:line="240" w:lineRule="auto"/>
              <w:rPr>
                <w:rFonts w:hint="eastAsia" w:ascii="宋体" w:hAnsi="宋体" w:eastAsia="宋体" w:cs="宋体"/>
                <w:color w:val="auto"/>
                <w:sz w:val="24"/>
                <w:szCs w:val="24"/>
              </w:rPr>
            </w:pPr>
          </w:p>
          <w:p w14:paraId="19638104">
            <w:pPr>
              <w:spacing w:line="240" w:lineRule="auto"/>
              <w:rPr>
                <w:rFonts w:hint="eastAsia" w:ascii="宋体" w:hAnsi="宋体" w:eastAsia="宋体" w:cs="宋体"/>
                <w:color w:val="auto"/>
                <w:sz w:val="24"/>
                <w:szCs w:val="24"/>
              </w:rPr>
            </w:pPr>
          </w:p>
          <w:p w14:paraId="51091653">
            <w:pPr>
              <w:spacing w:line="240" w:lineRule="auto"/>
              <w:rPr>
                <w:rFonts w:hint="eastAsia" w:ascii="宋体" w:hAnsi="宋体" w:eastAsia="宋体" w:cs="宋体"/>
                <w:color w:val="auto"/>
                <w:sz w:val="24"/>
                <w:szCs w:val="24"/>
              </w:rPr>
            </w:pPr>
          </w:p>
          <w:p w14:paraId="41108E87">
            <w:pPr>
              <w:spacing w:line="240" w:lineRule="auto"/>
              <w:rPr>
                <w:rFonts w:hint="eastAsia" w:ascii="宋体" w:hAnsi="宋体" w:eastAsia="宋体" w:cs="宋体"/>
                <w:color w:val="auto"/>
                <w:sz w:val="24"/>
                <w:szCs w:val="24"/>
              </w:rPr>
            </w:pPr>
          </w:p>
          <w:p w14:paraId="639890FD">
            <w:pPr>
              <w:spacing w:line="240" w:lineRule="auto"/>
              <w:rPr>
                <w:rFonts w:hint="eastAsia" w:ascii="宋体" w:hAnsi="宋体" w:eastAsia="宋体" w:cs="宋体"/>
                <w:color w:val="auto"/>
                <w:sz w:val="24"/>
                <w:szCs w:val="24"/>
              </w:rPr>
            </w:pPr>
          </w:p>
          <w:p w14:paraId="76F52CBC">
            <w:pPr>
              <w:spacing w:line="240" w:lineRule="auto"/>
              <w:rPr>
                <w:rFonts w:hint="eastAsia" w:ascii="宋体" w:hAnsi="宋体" w:eastAsia="宋体" w:cs="宋体"/>
                <w:color w:val="auto"/>
                <w:sz w:val="24"/>
                <w:szCs w:val="24"/>
              </w:rPr>
            </w:pPr>
          </w:p>
          <w:p w14:paraId="7897A48E">
            <w:pPr>
              <w:spacing w:line="240" w:lineRule="auto"/>
              <w:rPr>
                <w:rFonts w:hint="eastAsia" w:ascii="宋体" w:hAnsi="宋体" w:eastAsia="宋体" w:cs="宋体"/>
                <w:color w:val="auto"/>
                <w:sz w:val="24"/>
                <w:szCs w:val="24"/>
              </w:rPr>
            </w:pPr>
          </w:p>
          <w:p w14:paraId="6A7B0617">
            <w:pPr>
              <w:spacing w:line="240" w:lineRule="auto"/>
              <w:rPr>
                <w:rFonts w:hint="eastAsia" w:ascii="宋体" w:hAnsi="宋体" w:eastAsia="宋体" w:cs="宋体"/>
                <w:color w:val="auto"/>
                <w:sz w:val="24"/>
                <w:szCs w:val="24"/>
              </w:rPr>
            </w:pPr>
          </w:p>
          <w:p w14:paraId="5F0E95AE">
            <w:pPr>
              <w:spacing w:line="240" w:lineRule="auto"/>
              <w:rPr>
                <w:rFonts w:hint="eastAsia" w:ascii="宋体" w:hAnsi="宋体" w:eastAsia="宋体" w:cs="宋体"/>
                <w:color w:val="auto"/>
                <w:sz w:val="24"/>
                <w:szCs w:val="24"/>
              </w:rPr>
            </w:pPr>
          </w:p>
          <w:p w14:paraId="56FCC9CF">
            <w:pPr>
              <w:spacing w:line="240" w:lineRule="auto"/>
              <w:rPr>
                <w:rFonts w:hint="eastAsia" w:ascii="宋体" w:hAnsi="宋体" w:eastAsia="宋体" w:cs="宋体"/>
                <w:color w:val="auto"/>
                <w:sz w:val="24"/>
                <w:szCs w:val="24"/>
              </w:rPr>
            </w:pPr>
          </w:p>
          <w:p w14:paraId="7B277A91">
            <w:pPr>
              <w:spacing w:line="240" w:lineRule="auto"/>
              <w:rPr>
                <w:rFonts w:hint="eastAsia" w:ascii="宋体" w:hAnsi="宋体" w:eastAsia="宋体" w:cs="宋体"/>
                <w:color w:val="auto"/>
                <w:sz w:val="24"/>
                <w:szCs w:val="24"/>
              </w:rPr>
            </w:pPr>
          </w:p>
          <w:p w14:paraId="5CA0EE15">
            <w:pPr>
              <w:spacing w:line="240" w:lineRule="auto"/>
              <w:rPr>
                <w:rFonts w:hint="eastAsia" w:ascii="宋体" w:hAnsi="宋体" w:eastAsia="宋体" w:cs="宋体"/>
                <w:color w:val="auto"/>
                <w:sz w:val="24"/>
                <w:szCs w:val="24"/>
              </w:rPr>
            </w:pPr>
          </w:p>
          <w:p w14:paraId="2A77D9D7">
            <w:pPr>
              <w:pStyle w:val="64"/>
              <w:spacing w:before="74" w:line="240" w:lineRule="auto"/>
              <w:ind w:left="125"/>
              <w:rPr>
                <w:rFonts w:hint="eastAsia" w:ascii="宋体" w:hAnsi="宋体" w:eastAsia="宋体" w:cs="宋体"/>
                <w:color w:val="auto"/>
                <w:sz w:val="24"/>
                <w:szCs w:val="24"/>
              </w:rPr>
            </w:pPr>
            <w:r>
              <w:rPr>
                <w:rFonts w:hint="eastAsia" w:ascii="宋体" w:hAnsi="宋体" w:eastAsia="宋体" w:cs="宋体"/>
                <w:color w:val="auto"/>
                <w:spacing w:val="-3"/>
                <w:sz w:val="24"/>
                <w:szCs w:val="24"/>
              </w:rPr>
              <w:t>技术</w:t>
            </w:r>
            <w:r>
              <w:rPr>
                <w:rFonts w:hint="eastAsia" w:ascii="宋体" w:hAnsi="宋体" w:eastAsia="宋体" w:cs="宋体"/>
                <w:color w:val="auto"/>
                <w:spacing w:val="-3"/>
                <w:sz w:val="24"/>
                <w:szCs w:val="24"/>
                <w:lang w:eastAsia="zh-CN"/>
              </w:rPr>
              <w:t>、</w:t>
            </w:r>
            <w:r>
              <w:rPr>
                <w:rFonts w:hint="eastAsia" w:ascii="宋体" w:hAnsi="宋体" w:eastAsia="宋体" w:cs="宋体"/>
                <w:color w:val="auto"/>
                <w:spacing w:val="2"/>
                <w:sz w:val="24"/>
                <w:szCs w:val="24"/>
              </w:rPr>
              <w:t>商务评分标准(</w:t>
            </w:r>
            <w:r>
              <w:rPr>
                <w:rFonts w:hint="eastAsia" w:ascii="宋体" w:hAnsi="宋体" w:eastAsia="宋体" w:cs="宋体"/>
                <w:color w:val="auto"/>
                <w:spacing w:val="2"/>
                <w:sz w:val="24"/>
                <w:szCs w:val="24"/>
                <w:lang w:val="en-US" w:eastAsia="zh-CN"/>
              </w:rPr>
              <w:t>80</w:t>
            </w:r>
            <w:r>
              <w:rPr>
                <w:rFonts w:hint="eastAsia" w:ascii="宋体" w:hAnsi="宋体" w:eastAsia="宋体" w:cs="宋体"/>
                <w:color w:val="auto"/>
                <w:spacing w:val="2"/>
                <w:sz w:val="24"/>
                <w:szCs w:val="24"/>
              </w:rPr>
              <w:t>分</w:t>
            </w:r>
            <w:r>
              <w:rPr>
                <w:rFonts w:hint="eastAsia" w:ascii="宋体" w:hAnsi="宋体" w:eastAsia="宋体" w:cs="宋体"/>
                <w:color w:val="auto"/>
                <w:sz w:val="24"/>
                <w:szCs w:val="24"/>
              </w:rPr>
              <w:t>)</w:t>
            </w:r>
          </w:p>
        </w:tc>
        <w:tc>
          <w:tcPr>
            <w:tcW w:w="1520" w:type="dxa"/>
            <w:vAlign w:val="center"/>
          </w:tcPr>
          <w:p w14:paraId="13E75C0D">
            <w:pPr>
              <w:pStyle w:val="64"/>
              <w:keepNext w:val="0"/>
              <w:keepLines w:val="0"/>
              <w:pageBreakBefore w:val="0"/>
              <w:widowControl w:val="0"/>
              <w:kinsoku/>
              <w:wordWrap/>
              <w:overflowPunct/>
              <w:topLinePunct w:val="0"/>
              <w:autoSpaceDE/>
              <w:autoSpaceDN/>
              <w:bidi w:val="0"/>
              <w:adjustRightInd/>
              <w:snapToGrid/>
              <w:spacing w:line="240" w:lineRule="auto"/>
              <w:ind w:right="0"/>
              <w:jc w:val="center"/>
              <w:textAlignment w:val="auto"/>
              <w:rPr>
                <w:rFonts w:hint="eastAsia" w:ascii="宋体" w:hAnsi="宋体" w:eastAsia="宋体" w:cs="宋体"/>
                <w:color w:val="auto"/>
                <w:spacing w:val="-3"/>
                <w:sz w:val="24"/>
                <w:szCs w:val="24"/>
                <w:lang w:eastAsia="zh-CN"/>
              </w:rPr>
            </w:pPr>
            <w:r>
              <w:rPr>
                <w:rFonts w:hint="eastAsia" w:ascii="宋体" w:hAnsi="宋体" w:eastAsia="宋体" w:cs="宋体"/>
                <w:color w:val="auto"/>
                <w:spacing w:val="-3"/>
                <w:sz w:val="24"/>
                <w:szCs w:val="24"/>
                <w:lang w:eastAsia="zh-CN"/>
              </w:rPr>
              <w:t>实施方案</w:t>
            </w:r>
          </w:p>
        </w:tc>
        <w:tc>
          <w:tcPr>
            <w:tcW w:w="944" w:type="dxa"/>
            <w:vAlign w:val="center"/>
          </w:tcPr>
          <w:p w14:paraId="37507FDF">
            <w:pPr>
              <w:pStyle w:val="64"/>
              <w:spacing w:before="68" w:line="240" w:lineRule="auto"/>
              <w:jc w:val="center"/>
              <w:rPr>
                <w:rFonts w:hint="eastAsia" w:ascii="宋体" w:hAnsi="宋体" w:eastAsia="宋体" w:cs="宋体"/>
                <w:color w:val="auto"/>
                <w:spacing w:val="-3"/>
                <w:sz w:val="24"/>
                <w:szCs w:val="24"/>
                <w:lang w:val="en-US" w:eastAsia="zh-CN"/>
              </w:rPr>
            </w:pPr>
            <w:r>
              <w:rPr>
                <w:rFonts w:hint="eastAsia" w:ascii="宋体" w:hAnsi="宋体" w:eastAsia="宋体" w:cs="宋体"/>
                <w:color w:val="auto"/>
                <w:spacing w:val="-3"/>
                <w:sz w:val="24"/>
                <w:szCs w:val="24"/>
                <w:lang w:val="en-US" w:eastAsia="zh-CN"/>
              </w:rPr>
              <w:t>15分</w:t>
            </w:r>
          </w:p>
        </w:tc>
        <w:tc>
          <w:tcPr>
            <w:tcW w:w="4859" w:type="dxa"/>
            <w:vAlign w:val="top"/>
          </w:tcPr>
          <w:p w14:paraId="7679FC67">
            <w:pPr>
              <w:pStyle w:val="64"/>
              <w:spacing w:before="21" w:line="240" w:lineRule="auto"/>
              <w:ind w:left="14" w:right="6"/>
              <w:rPr>
                <w:rFonts w:hint="eastAsia" w:ascii="宋体" w:hAnsi="宋体" w:eastAsia="宋体" w:cs="宋体"/>
                <w:color w:val="auto"/>
                <w:spacing w:val="-1"/>
                <w:sz w:val="24"/>
                <w:szCs w:val="24"/>
                <w:lang w:val="en-US" w:eastAsia="zh-CN"/>
              </w:rPr>
            </w:pPr>
            <w:r>
              <w:rPr>
                <w:rFonts w:hint="eastAsia" w:ascii="宋体" w:hAnsi="宋体" w:eastAsia="宋体" w:cs="宋体"/>
                <w:color w:val="auto"/>
                <w:spacing w:val="-1"/>
                <w:sz w:val="24"/>
                <w:szCs w:val="24"/>
                <w:lang w:val="en-US" w:eastAsia="zh-CN"/>
              </w:rPr>
              <w:t>供应商结合本项目实际情况及特点，提供针对本项目的实施方案，包括但不限于方案的（1）科学性、（2）合理性、（3）先进性、（4）可行性、（5）可塑造性等。</w:t>
            </w:r>
          </w:p>
          <w:p w14:paraId="5AB2CC2D">
            <w:pPr>
              <w:pStyle w:val="64"/>
              <w:spacing w:before="21" w:line="240" w:lineRule="auto"/>
              <w:ind w:left="14" w:right="6"/>
              <w:rPr>
                <w:rFonts w:hint="eastAsia" w:ascii="宋体" w:hAnsi="宋体" w:eastAsia="宋体" w:cs="宋体"/>
                <w:color w:val="auto"/>
                <w:spacing w:val="-1"/>
                <w:sz w:val="24"/>
                <w:szCs w:val="24"/>
                <w:lang w:val="en-US" w:eastAsia="zh-CN"/>
              </w:rPr>
            </w:pPr>
            <w:r>
              <w:rPr>
                <w:rFonts w:hint="eastAsia" w:ascii="宋体" w:hAnsi="宋体" w:eastAsia="宋体" w:cs="宋体"/>
                <w:color w:val="auto"/>
                <w:spacing w:val="-1"/>
                <w:sz w:val="24"/>
                <w:szCs w:val="24"/>
                <w:lang w:val="en-US" w:eastAsia="zh-CN"/>
              </w:rPr>
              <w:t>以上内容无缺项、无漏项得 15 分，每缺一项扣 3 分，所提供的方案中每有一处缺陷（缺陷是指：存在凭空编造、没有具体说明、内容与项目无关、内容前后不一致、前后逻辑错误、逻辑漏洞、涉及的规范及标准错误、地点区域错误、内容缺失、套用其他项目方案、科学原理错误以及不可能实现的夸大情形等情况）的</w:t>
            </w:r>
            <w:r>
              <w:rPr>
                <w:rFonts w:hint="eastAsia" w:cs="宋体"/>
                <w:color w:val="auto"/>
                <w:spacing w:val="-1"/>
                <w:sz w:val="24"/>
                <w:szCs w:val="24"/>
                <w:lang w:val="en-US" w:eastAsia="zh-CN"/>
              </w:rPr>
              <w:t>扣0.5分</w:t>
            </w:r>
            <w:r>
              <w:rPr>
                <w:rFonts w:hint="eastAsia" w:ascii="宋体" w:hAnsi="宋体" w:eastAsia="宋体" w:cs="宋体"/>
                <w:color w:val="auto"/>
                <w:spacing w:val="-1"/>
                <w:sz w:val="24"/>
                <w:szCs w:val="24"/>
                <w:lang w:val="en-US" w:eastAsia="zh-CN"/>
              </w:rPr>
              <w:t>，扣完为止。</w:t>
            </w:r>
          </w:p>
        </w:tc>
      </w:tr>
      <w:tr w14:paraId="3A86BE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84" w:hRule="atLeast"/>
          <w:jc w:val="center"/>
        </w:trPr>
        <w:tc>
          <w:tcPr>
            <w:tcW w:w="1104" w:type="dxa"/>
            <w:vMerge w:val="continue"/>
            <w:vAlign w:val="top"/>
          </w:tcPr>
          <w:p w14:paraId="7871BDC0">
            <w:pPr>
              <w:pStyle w:val="64"/>
              <w:spacing w:before="74" w:line="240" w:lineRule="auto"/>
              <w:ind w:left="125"/>
              <w:rPr>
                <w:rFonts w:hint="eastAsia" w:ascii="宋体" w:hAnsi="宋体" w:eastAsia="宋体" w:cs="宋体"/>
                <w:color w:val="auto"/>
                <w:sz w:val="24"/>
                <w:szCs w:val="24"/>
              </w:rPr>
            </w:pPr>
          </w:p>
        </w:tc>
        <w:tc>
          <w:tcPr>
            <w:tcW w:w="1520" w:type="dxa"/>
            <w:vAlign w:val="center"/>
          </w:tcPr>
          <w:p w14:paraId="7E5F1D1C">
            <w:pPr>
              <w:pStyle w:val="64"/>
              <w:keepNext w:val="0"/>
              <w:keepLines w:val="0"/>
              <w:pageBreakBefore w:val="0"/>
              <w:widowControl w:val="0"/>
              <w:kinsoku/>
              <w:wordWrap/>
              <w:overflowPunct/>
              <w:topLinePunct w:val="0"/>
              <w:autoSpaceDE/>
              <w:autoSpaceDN/>
              <w:bidi w:val="0"/>
              <w:adjustRightInd/>
              <w:snapToGrid/>
              <w:spacing w:line="240" w:lineRule="auto"/>
              <w:ind w:left="108" w:right="0" w:hanging="108"/>
              <w:jc w:val="center"/>
              <w:textAlignment w:val="auto"/>
              <w:rPr>
                <w:rFonts w:hint="eastAsia" w:ascii="宋体" w:hAnsi="宋体" w:eastAsia="宋体" w:cs="宋体"/>
                <w:color w:val="auto"/>
                <w:spacing w:val="-3"/>
                <w:sz w:val="24"/>
                <w:szCs w:val="24"/>
              </w:rPr>
            </w:pPr>
            <w:r>
              <w:rPr>
                <w:rFonts w:hint="eastAsia" w:ascii="宋体" w:hAnsi="宋体" w:eastAsia="宋体" w:cs="宋体"/>
                <w:color w:val="auto"/>
                <w:spacing w:val="-3"/>
                <w:sz w:val="24"/>
                <w:szCs w:val="24"/>
              </w:rPr>
              <w:t>服务方案</w:t>
            </w:r>
          </w:p>
        </w:tc>
        <w:tc>
          <w:tcPr>
            <w:tcW w:w="944" w:type="dxa"/>
            <w:vAlign w:val="center"/>
          </w:tcPr>
          <w:p w14:paraId="45635692">
            <w:pPr>
              <w:pStyle w:val="64"/>
              <w:spacing w:before="68" w:line="240" w:lineRule="auto"/>
              <w:jc w:val="center"/>
              <w:rPr>
                <w:rFonts w:hint="eastAsia" w:ascii="宋体" w:hAnsi="宋体" w:eastAsia="宋体" w:cs="宋体"/>
                <w:color w:val="auto"/>
                <w:sz w:val="24"/>
                <w:szCs w:val="24"/>
                <w:lang w:val="en-US" w:eastAsia="zh-CN"/>
              </w:rPr>
            </w:pPr>
            <w:r>
              <w:rPr>
                <w:rFonts w:hint="eastAsia" w:ascii="宋体" w:hAnsi="宋体" w:eastAsia="宋体" w:cs="宋体"/>
                <w:color w:val="auto"/>
                <w:spacing w:val="-3"/>
                <w:sz w:val="24"/>
                <w:szCs w:val="24"/>
                <w:lang w:val="en-US" w:eastAsia="zh-CN"/>
              </w:rPr>
              <w:t>15</w:t>
            </w:r>
            <w:r>
              <w:rPr>
                <w:rFonts w:hint="eastAsia" w:ascii="宋体" w:hAnsi="宋体" w:eastAsia="宋体" w:cs="宋体"/>
                <w:color w:val="auto"/>
                <w:spacing w:val="-3"/>
                <w:sz w:val="24"/>
                <w:szCs w:val="24"/>
              </w:rPr>
              <w:t>分</w:t>
            </w:r>
          </w:p>
        </w:tc>
        <w:tc>
          <w:tcPr>
            <w:tcW w:w="4859" w:type="dxa"/>
            <w:vAlign w:val="top"/>
          </w:tcPr>
          <w:p w14:paraId="7948E1AD">
            <w:pPr>
              <w:pStyle w:val="64"/>
              <w:spacing w:before="21" w:line="240" w:lineRule="auto"/>
              <w:ind w:left="14" w:right="6"/>
              <w:rPr>
                <w:rFonts w:hint="eastAsia" w:ascii="宋体" w:hAnsi="宋体" w:eastAsia="宋体" w:cs="宋体"/>
                <w:color w:val="auto"/>
                <w:spacing w:val="-1"/>
                <w:sz w:val="24"/>
                <w:szCs w:val="24"/>
                <w:lang w:val="en-US" w:eastAsia="zh-CN"/>
              </w:rPr>
            </w:pPr>
            <w:r>
              <w:rPr>
                <w:rFonts w:hint="eastAsia" w:ascii="宋体" w:hAnsi="宋体" w:eastAsia="宋体" w:cs="宋体"/>
                <w:color w:val="auto"/>
                <w:spacing w:val="-1"/>
                <w:sz w:val="24"/>
                <w:szCs w:val="24"/>
                <w:lang w:val="en-US" w:eastAsia="zh-CN"/>
              </w:rPr>
              <w:t>供应商结合本项目实际情况及特点，提供针对本项目的服务方案,包括但不限于（1)服务内容、（2）拟投入本项目使用的设备保障措施、（3）服务内容管理规范、（4）项目进度计划方案</w:t>
            </w:r>
            <w:r>
              <w:rPr>
                <w:rFonts w:hint="eastAsia" w:cs="宋体"/>
                <w:color w:val="auto"/>
                <w:spacing w:val="-1"/>
                <w:sz w:val="24"/>
                <w:szCs w:val="24"/>
                <w:lang w:val="en-US" w:eastAsia="zh-CN"/>
              </w:rPr>
              <w:t>及工作方法</w:t>
            </w:r>
            <w:r>
              <w:rPr>
                <w:rFonts w:hint="eastAsia" w:ascii="宋体" w:hAnsi="宋体" w:eastAsia="宋体" w:cs="宋体"/>
                <w:color w:val="auto"/>
                <w:spacing w:val="-1"/>
                <w:sz w:val="24"/>
                <w:szCs w:val="24"/>
                <w:lang w:val="en-US" w:eastAsia="zh-CN"/>
              </w:rPr>
              <w:t>、（5）售后服务方案等；</w:t>
            </w:r>
          </w:p>
          <w:p w14:paraId="5DFB15BA">
            <w:pPr>
              <w:pStyle w:val="64"/>
              <w:spacing w:before="21" w:line="240" w:lineRule="auto"/>
              <w:ind w:left="14" w:right="6"/>
              <w:rPr>
                <w:rFonts w:hint="eastAsia" w:ascii="宋体" w:hAnsi="宋体" w:eastAsia="宋体" w:cs="宋体"/>
                <w:color w:val="auto"/>
                <w:spacing w:val="-1"/>
                <w:sz w:val="24"/>
                <w:szCs w:val="24"/>
                <w:lang w:val="en-US" w:eastAsia="zh-CN"/>
              </w:rPr>
            </w:pPr>
            <w:r>
              <w:rPr>
                <w:rFonts w:hint="eastAsia" w:ascii="宋体" w:hAnsi="宋体" w:eastAsia="宋体" w:cs="宋体"/>
                <w:color w:val="auto"/>
                <w:spacing w:val="-1"/>
                <w:sz w:val="24"/>
                <w:szCs w:val="24"/>
                <w:lang w:val="en-US" w:eastAsia="zh-CN"/>
              </w:rPr>
              <w:t>以上内容无缺项、无漏项得 15分，每缺一项扣 3 分，所提供的方案中每有一处缺陷（缺陷是指：存在凭空编造、没有具体说明、内容与项目无关、内容前后不一致、前后逻辑错误、逻辑漏洞、涉及的规范及标准错误、地点区域错误、内容缺失、套用其他项目方案、科学原理错误以及不可能实现的夸大情形等情况）的</w:t>
            </w:r>
            <w:r>
              <w:rPr>
                <w:rFonts w:hint="eastAsia" w:cs="宋体"/>
                <w:color w:val="auto"/>
                <w:spacing w:val="-1"/>
                <w:sz w:val="24"/>
                <w:szCs w:val="24"/>
                <w:lang w:val="en-US" w:eastAsia="zh-CN"/>
              </w:rPr>
              <w:t>扣0.5分</w:t>
            </w:r>
            <w:r>
              <w:rPr>
                <w:rFonts w:hint="eastAsia" w:ascii="宋体" w:hAnsi="宋体" w:eastAsia="宋体" w:cs="宋体"/>
                <w:color w:val="auto"/>
                <w:spacing w:val="-1"/>
                <w:sz w:val="24"/>
                <w:szCs w:val="24"/>
                <w:lang w:val="en-US" w:eastAsia="zh-CN"/>
              </w:rPr>
              <w:t>，扣完为止。</w:t>
            </w:r>
          </w:p>
        </w:tc>
      </w:tr>
      <w:tr w14:paraId="5A07BC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1104" w:type="dxa"/>
            <w:vMerge w:val="continue"/>
            <w:vAlign w:val="top"/>
          </w:tcPr>
          <w:p w14:paraId="6EB586FD">
            <w:pPr>
              <w:pStyle w:val="64"/>
              <w:spacing w:before="74" w:line="240" w:lineRule="auto"/>
              <w:ind w:left="125"/>
              <w:rPr>
                <w:rFonts w:hint="eastAsia" w:ascii="宋体" w:hAnsi="宋体" w:eastAsia="宋体" w:cs="宋体"/>
                <w:color w:val="auto"/>
                <w:spacing w:val="-3"/>
                <w:sz w:val="24"/>
                <w:szCs w:val="24"/>
              </w:rPr>
            </w:pPr>
          </w:p>
        </w:tc>
        <w:tc>
          <w:tcPr>
            <w:tcW w:w="1520" w:type="dxa"/>
            <w:vAlign w:val="center"/>
          </w:tcPr>
          <w:p w14:paraId="6118D729">
            <w:pPr>
              <w:pStyle w:val="64"/>
              <w:keepNext w:val="0"/>
              <w:keepLines w:val="0"/>
              <w:pageBreakBefore w:val="0"/>
              <w:widowControl w:val="0"/>
              <w:kinsoku/>
              <w:wordWrap/>
              <w:overflowPunct/>
              <w:topLinePunct w:val="0"/>
              <w:autoSpaceDE/>
              <w:autoSpaceDN/>
              <w:bidi w:val="0"/>
              <w:adjustRightInd/>
              <w:snapToGrid/>
              <w:spacing w:line="240" w:lineRule="auto"/>
              <w:ind w:right="0"/>
              <w:jc w:val="center"/>
              <w:textAlignment w:val="auto"/>
              <w:rPr>
                <w:rFonts w:hint="eastAsia" w:ascii="宋体" w:hAnsi="宋体" w:eastAsia="宋体" w:cs="宋体"/>
                <w:color w:val="auto"/>
                <w:spacing w:val="-3"/>
                <w:sz w:val="24"/>
                <w:szCs w:val="24"/>
                <w:lang w:val="en-US" w:eastAsia="zh-CN"/>
              </w:rPr>
            </w:pPr>
            <w:r>
              <w:rPr>
                <w:rFonts w:hint="eastAsia" w:ascii="宋体" w:hAnsi="宋体" w:eastAsia="宋体" w:cs="宋体"/>
                <w:color w:val="auto"/>
                <w:spacing w:val="-3"/>
                <w:sz w:val="24"/>
                <w:szCs w:val="24"/>
                <w:lang w:val="en-US" w:eastAsia="zh-CN"/>
              </w:rPr>
              <w:t>拟投入本项目团队人员</w:t>
            </w:r>
          </w:p>
          <w:p w14:paraId="108EE896">
            <w:pPr>
              <w:pStyle w:val="64"/>
              <w:keepNext w:val="0"/>
              <w:keepLines w:val="0"/>
              <w:pageBreakBefore w:val="0"/>
              <w:widowControl w:val="0"/>
              <w:kinsoku/>
              <w:wordWrap/>
              <w:overflowPunct/>
              <w:topLinePunct w:val="0"/>
              <w:autoSpaceDE/>
              <w:autoSpaceDN/>
              <w:bidi w:val="0"/>
              <w:adjustRightInd/>
              <w:snapToGrid/>
              <w:spacing w:line="240" w:lineRule="auto"/>
              <w:ind w:right="0" w:firstLine="936" w:firstLineChars="400"/>
              <w:jc w:val="center"/>
              <w:textAlignment w:val="auto"/>
              <w:rPr>
                <w:rFonts w:hint="eastAsia" w:ascii="宋体" w:hAnsi="宋体" w:eastAsia="宋体" w:cs="宋体"/>
                <w:color w:val="auto"/>
                <w:spacing w:val="-3"/>
                <w:sz w:val="24"/>
                <w:szCs w:val="24"/>
                <w:lang w:val="en-US" w:eastAsia="zh-CN"/>
              </w:rPr>
            </w:pPr>
          </w:p>
        </w:tc>
        <w:tc>
          <w:tcPr>
            <w:tcW w:w="944" w:type="dxa"/>
            <w:vAlign w:val="center"/>
          </w:tcPr>
          <w:p w14:paraId="7BB05018">
            <w:pPr>
              <w:pStyle w:val="64"/>
              <w:spacing w:before="68" w:line="240" w:lineRule="auto"/>
              <w:jc w:val="center"/>
              <w:rPr>
                <w:rFonts w:hint="eastAsia" w:ascii="宋体" w:hAnsi="宋体" w:eastAsia="宋体" w:cs="宋体"/>
                <w:color w:val="auto"/>
                <w:sz w:val="24"/>
                <w:szCs w:val="24"/>
                <w:lang w:val="en-US" w:eastAsia="zh-CN"/>
              </w:rPr>
            </w:pPr>
            <w:r>
              <w:rPr>
                <w:rFonts w:hint="eastAsia" w:ascii="宋体" w:hAnsi="宋体" w:eastAsia="宋体" w:cs="宋体"/>
                <w:color w:val="auto"/>
                <w:spacing w:val="-3"/>
                <w:sz w:val="24"/>
                <w:szCs w:val="24"/>
                <w:lang w:val="en-US" w:eastAsia="zh-CN"/>
              </w:rPr>
              <w:t>10分</w:t>
            </w:r>
          </w:p>
        </w:tc>
        <w:tc>
          <w:tcPr>
            <w:tcW w:w="4859" w:type="dxa"/>
            <w:vAlign w:val="top"/>
          </w:tcPr>
          <w:p w14:paraId="5C277976">
            <w:pPr>
              <w:bidi w:val="0"/>
              <w:spacing w:line="240" w:lineRule="auto"/>
              <w:rPr>
                <w:rFonts w:hint="eastAsia" w:ascii="宋体" w:hAnsi="宋体" w:eastAsia="宋体" w:cs="宋体"/>
                <w:sz w:val="24"/>
                <w:szCs w:val="24"/>
                <w:lang w:val="en-US" w:eastAsia="zh-CN"/>
              </w:rPr>
            </w:pPr>
            <w:r>
              <w:rPr>
                <w:rFonts w:hint="eastAsia" w:ascii="宋体" w:hAnsi="宋体" w:eastAsia="宋体" w:cs="宋体"/>
                <w:color w:val="auto"/>
                <w:spacing w:val="-1"/>
                <w:kern w:val="2"/>
                <w:sz w:val="24"/>
                <w:szCs w:val="24"/>
                <w:lang w:val="en-US" w:eastAsia="zh-CN" w:bidi="ar-SA"/>
              </w:rPr>
              <w:t>供应商根据本项目人员组织架构的针对性，科学性、人员配置等内容，包括但不限于：①配置清单、②组织架构、③岗位的分配、④人员的管理、⑤团队组成的科学合理性等内容；上述内容全部满足本项目实际需求的得1</w:t>
            </w:r>
            <w:r>
              <w:rPr>
                <w:rFonts w:hint="eastAsia" w:cs="宋体"/>
                <w:color w:val="auto"/>
                <w:spacing w:val="-1"/>
                <w:kern w:val="2"/>
                <w:sz w:val="24"/>
                <w:szCs w:val="24"/>
                <w:lang w:val="en-US" w:eastAsia="zh-CN" w:bidi="ar-SA"/>
              </w:rPr>
              <w:t>0</w:t>
            </w:r>
            <w:r>
              <w:rPr>
                <w:rFonts w:hint="eastAsia" w:ascii="宋体" w:hAnsi="宋体" w:eastAsia="宋体" w:cs="宋体"/>
                <w:color w:val="auto"/>
                <w:spacing w:val="-1"/>
                <w:kern w:val="2"/>
                <w:sz w:val="24"/>
                <w:szCs w:val="24"/>
                <w:lang w:val="en-US" w:eastAsia="zh-CN" w:bidi="ar-SA"/>
              </w:rPr>
              <w:t>分</w:t>
            </w:r>
            <w:r>
              <w:rPr>
                <w:rFonts w:hint="eastAsia" w:cs="宋体"/>
                <w:color w:val="auto"/>
                <w:spacing w:val="-1"/>
                <w:kern w:val="2"/>
                <w:sz w:val="24"/>
                <w:szCs w:val="24"/>
                <w:lang w:val="en-US" w:eastAsia="zh-CN" w:bidi="ar-SA"/>
              </w:rPr>
              <w:t>，</w:t>
            </w:r>
            <w:r>
              <w:rPr>
                <w:rFonts w:hint="eastAsia" w:ascii="宋体" w:hAnsi="宋体" w:eastAsia="宋体" w:cs="宋体"/>
                <w:color w:val="auto"/>
                <w:spacing w:val="-1"/>
                <w:sz w:val="24"/>
                <w:szCs w:val="24"/>
                <w:lang w:val="en-US" w:eastAsia="zh-CN"/>
              </w:rPr>
              <w:t>每缺一项扣</w:t>
            </w:r>
            <w:r>
              <w:rPr>
                <w:rFonts w:hint="eastAsia" w:cs="宋体"/>
                <w:color w:val="auto"/>
                <w:spacing w:val="-1"/>
                <w:sz w:val="24"/>
                <w:szCs w:val="24"/>
                <w:lang w:val="en-US" w:eastAsia="zh-CN"/>
              </w:rPr>
              <w:t>2</w:t>
            </w:r>
            <w:r>
              <w:rPr>
                <w:rFonts w:hint="eastAsia" w:ascii="宋体" w:hAnsi="宋体" w:eastAsia="宋体" w:cs="宋体"/>
                <w:color w:val="auto"/>
                <w:spacing w:val="-1"/>
                <w:sz w:val="24"/>
                <w:szCs w:val="24"/>
                <w:lang w:val="en-US" w:eastAsia="zh-CN"/>
              </w:rPr>
              <w:t xml:space="preserve"> 分</w:t>
            </w:r>
            <w:r>
              <w:rPr>
                <w:rFonts w:hint="eastAsia" w:ascii="宋体" w:hAnsi="宋体" w:eastAsia="宋体" w:cs="宋体"/>
                <w:color w:val="auto"/>
                <w:spacing w:val="-1"/>
                <w:kern w:val="2"/>
                <w:sz w:val="24"/>
                <w:szCs w:val="24"/>
                <w:lang w:val="en-US" w:eastAsia="zh-CN" w:bidi="ar-SA"/>
              </w:rPr>
              <w:t>；</w:t>
            </w:r>
            <w:r>
              <w:rPr>
                <w:rFonts w:hint="eastAsia" w:ascii="宋体" w:hAnsi="宋体" w:eastAsia="宋体" w:cs="宋体"/>
                <w:color w:val="auto"/>
                <w:spacing w:val="-1"/>
                <w:sz w:val="24"/>
                <w:szCs w:val="24"/>
                <w:lang w:val="en-US" w:eastAsia="zh-CN"/>
              </w:rPr>
              <w:t>所提供的</w:t>
            </w:r>
            <w:r>
              <w:rPr>
                <w:rFonts w:hint="eastAsia" w:cs="宋体"/>
                <w:color w:val="auto"/>
                <w:spacing w:val="-1"/>
                <w:sz w:val="24"/>
                <w:szCs w:val="24"/>
                <w:lang w:val="en-US" w:eastAsia="zh-CN"/>
              </w:rPr>
              <w:t>人员组织架构</w:t>
            </w:r>
            <w:r>
              <w:rPr>
                <w:rFonts w:hint="eastAsia" w:ascii="宋体" w:hAnsi="宋体" w:eastAsia="宋体" w:cs="宋体"/>
                <w:color w:val="auto"/>
                <w:spacing w:val="-1"/>
                <w:sz w:val="24"/>
                <w:szCs w:val="24"/>
                <w:lang w:val="en-US" w:eastAsia="zh-CN"/>
              </w:rPr>
              <w:t>中每有一处缺陷</w:t>
            </w:r>
            <w:r>
              <w:rPr>
                <w:rFonts w:hint="eastAsia" w:cs="宋体"/>
                <w:color w:val="auto"/>
                <w:spacing w:val="-1"/>
                <w:sz w:val="24"/>
                <w:szCs w:val="24"/>
                <w:lang w:val="en-US" w:eastAsia="zh-CN"/>
              </w:rPr>
              <w:t>（缺陷是指：如</w:t>
            </w:r>
            <w:r>
              <w:rPr>
                <w:rFonts w:hint="eastAsia" w:cs="宋体"/>
                <w:color w:val="auto"/>
                <w:spacing w:val="-1"/>
                <w:kern w:val="2"/>
                <w:sz w:val="24"/>
                <w:szCs w:val="24"/>
                <w:lang w:val="en-US" w:eastAsia="zh-CN" w:bidi="ar-SA"/>
              </w:rPr>
              <w:t>关键岗位信息模糊、架构图层级混乱、关键岗位人员数量不足、制度不完整等）每项</w:t>
            </w:r>
            <w:r>
              <w:rPr>
                <w:rFonts w:hint="eastAsia" w:ascii="宋体" w:hAnsi="宋体" w:eastAsia="宋体" w:cs="宋体"/>
                <w:color w:val="auto"/>
                <w:spacing w:val="-1"/>
                <w:kern w:val="2"/>
                <w:sz w:val="24"/>
                <w:szCs w:val="24"/>
                <w:lang w:val="en-US" w:eastAsia="zh-CN" w:bidi="ar-SA"/>
              </w:rPr>
              <w:t>扣</w:t>
            </w:r>
            <w:r>
              <w:rPr>
                <w:rFonts w:hint="eastAsia" w:cs="宋体"/>
                <w:color w:val="auto"/>
                <w:spacing w:val="-1"/>
                <w:kern w:val="2"/>
                <w:sz w:val="24"/>
                <w:szCs w:val="24"/>
                <w:lang w:val="en-US" w:eastAsia="zh-CN" w:bidi="ar-SA"/>
              </w:rPr>
              <w:t>0.5</w:t>
            </w:r>
            <w:r>
              <w:rPr>
                <w:rFonts w:hint="eastAsia" w:ascii="宋体" w:hAnsi="宋体" w:eastAsia="宋体" w:cs="宋体"/>
                <w:color w:val="auto"/>
                <w:spacing w:val="-1"/>
                <w:kern w:val="2"/>
                <w:sz w:val="24"/>
                <w:szCs w:val="24"/>
                <w:lang w:val="en-US" w:eastAsia="zh-CN" w:bidi="ar-SA"/>
              </w:rPr>
              <w:t>分，扣完为止。</w:t>
            </w:r>
          </w:p>
        </w:tc>
      </w:tr>
      <w:tr w14:paraId="7E3FAC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7" w:hRule="atLeast"/>
          <w:jc w:val="center"/>
        </w:trPr>
        <w:tc>
          <w:tcPr>
            <w:tcW w:w="1104" w:type="dxa"/>
            <w:vMerge w:val="continue"/>
            <w:vAlign w:val="top"/>
          </w:tcPr>
          <w:p w14:paraId="4DF0A097">
            <w:pPr>
              <w:pStyle w:val="64"/>
              <w:spacing w:before="74" w:line="240" w:lineRule="auto"/>
              <w:ind w:left="125"/>
              <w:rPr>
                <w:rFonts w:hint="eastAsia" w:ascii="宋体" w:hAnsi="宋体" w:eastAsia="宋体" w:cs="宋体"/>
                <w:color w:val="auto"/>
                <w:sz w:val="24"/>
                <w:szCs w:val="24"/>
              </w:rPr>
            </w:pPr>
          </w:p>
        </w:tc>
        <w:tc>
          <w:tcPr>
            <w:tcW w:w="1520" w:type="dxa"/>
            <w:vAlign w:val="top"/>
          </w:tcPr>
          <w:p w14:paraId="3F0734C3">
            <w:pPr>
              <w:pStyle w:val="64"/>
              <w:keepNext w:val="0"/>
              <w:keepLines w:val="0"/>
              <w:pageBreakBefore w:val="0"/>
              <w:widowControl w:val="0"/>
              <w:kinsoku/>
              <w:wordWrap/>
              <w:overflowPunct/>
              <w:topLinePunct w:val="0"/>
              <w:autoSpaceDE/>
              <w:autoSpaceDN/>
              <w:bidi w:val="0"/>
              <w:adjustRightInd/>
              <w:snapToGrid/>
              <w:spacing w:line="240" w:lineRule="auto"/>
              <w:ind w:left="108" w:right="0" w:hanging="108"/>
              <w:jc w:val="center"/>
              <w:textAlignment w:val="auto"/>
              <w:rPr>
                <w:rFonts w:hint="eastAsia" w:ascii="宋体" w:hAnsi="宋体" w:eastAsia="宋体" w:cs="宋体"/>
                <w:color w:val="auto"/>
                <w:sz w:val="24"/>
                <w:szCs w:val="24"/>
              </w:rPr>
            </w:pPr>
          </w:p>
          <w:p w14:paraId="42CCE8A7">
            <w:pPr>
              <w:pStyle w:val="64"/>
              <w:keepNext w:val="0"/>
              <w:keepLines w:val="0"/>
              <w:pageBreakBefore w:val="0"/>
              <w:widowControl w:val="0"/>
              <w:kinsoku/>
              <w:wordWrap/>
              <w:overflowPunct/>
              <w:topLinePunct w:val="0"/>
              <w:autoSpaceDE/>
              <w:autoSpaceDN/>
              <w:bidi w:val="0"/>
              <w:adjustRightInd/>
              <w:snapToGrid/>
              <w:spacing w:line="240" w:lineRule="auto"/>
              <w:ind w:left="108" w:right="0" w:hanging="108"/>
              <w:jc w:val="center"/>
              <w:textAlignment w:val="auto"/>
              <w:rPr>
                <w:rFonts w:hint="eastAsia" w:ascii="宋体" w:hAnsi="宋体" w:eastAsia="宋体" w:cs="宋体"/>
                <w:color w:val="auto"/>
                <w:sz w:val="24"/>
                <w:szCs w:val="24"/>
              </w:rPr>
            </w:pPr>
          </w:p>
          <w:p w14:paraId="231A23E8">
            <w:pPr>
              <w:pStyle w:val="64"/>
              <w:keepNext w:val="0"/>
              <w:keepLines w:val="0"/>
              <w:pageBreakBefore w:val="0"/>
              <w:widowControl w:val="0"/>
              <w:kinsoku/>
              <w:wordWrap/>
              <w:overflowPunct/>
              <w:topLinePunct w:val="0"/>
              <w:autoSpaceDE/>
              <w:autoSpaceDN/>
              <w:bidi w:val="0"/>
              <w:adjustRightInd/>
              <w:snapToGrid/>
              <w:spacing w:line="240" w:lineRule="auto"/>
              <w:ind w:left="108" w:right="0" w:hanging="108"/>
              <w:jc w:val="center"/>
              <w:textAlignment w:val="auto"/>
              <w:rPr>
                <w:rFonts w:hint="eastAsia" w:ascii="宋体" w:hAnsi="宋体" w:eastAsia="宋体" w:cs="宋体"/>
                <w:color w:val="auto"/>
                <w:sz w:val="24"/>
                <w:szCs w:val="24"/>
              </w:rPr>
            </w:pPr>
          </w:p>
          <w:p w14:paraId="5A34F990">
            <w:pPr>
              <w:pStyle w:val="64"/>
              <w:keepNext w:val="0"/>
              <w:keepLines w:val="0"/>
              <w:pageBreakBefore w:val="0"/>
              <w:widowControl w:val="0"/>
              <w:kinsoku/>
              <w:wordWrap/>
              <w:overflowPunct/>
              <w:topLinePunct w:val="0"/>
              <w:autoSpaceDE/>
              <w:autoSpaceDN/>
              <w:bidi w:val="0"/>
              <w:adjustRightInd/>
              <w:snapToGrid/>
              <w:spacing w:line="240" w:lineRule="auto"/>
              <w:ind w:left="108" w:right="0" w:hanging="108"/>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质量控制 </w:t>
            </w:r>
          </w:p>
          <w:p w14:paraId="16EEBC27">
            <w:pPr>
              <w:pStyle w:val="64"/>
              <w:keepNext w:val="0"/>
              <w:keepLines w:val="0"/>
              <w:pageBreakBefore w:val="0"/>
              <w:widowControl w:val="0"/>
              <w:kinsoku/>
              <w:wordWrap/>
              <w:overflowPunct/>
              <w:topLinePunct w:val="0"/>
              <w:autoSpaceDE/>
              <w:autoSpaceDN/>
              <w:bidi w:val="0"/>
              <w:adjustRightInd/>
              <w:snapToGrid/>
              <w:spacing w:line="240" w:lineRule="auto"/>
              <w:ind w:left="108" w:right="0" w:hanging="108"/>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保证措施</w:t>
            </w:r>
          </w:p>
          <w:p w14:paraId="188A2FCD">
            <w:pPr>
              <w:pStyle w:val="64"/>
              <w:keepNext w:val="0"/>
              <w:keepLines w:val="0"/>
              <w:pageBreakBefore w:val="0"/>
              <w:widowControl w:val="0"/>
              <w:kinsoku/>
              <w:wordWrap/>
              <w:overflowPunct/>
              <w:topLinePunct w:val="0"/>
              <w:autoSpaceDE/>
              <w:autoSpaceDN/>
              <w:bidi w:val="0"/>
              <w:adjustRightInd/>
              <w:snapToGrid/>
              <w:spacing w:line="240" w:lineRule="auto"/>
              <w:ind w:left="108" w:right="0" w:hanging="108"/>
              <w:jc w:val="center"/>
              <w:textAlignment w:val="auto"/>
              <w:rPr>
                <w:rFonts w:hint="eastAsia" w:ascii="宋体" w:hAnsi="宋体" w:eastAsia="宋体" w:cs="宋体"/>
                <w:color w:val="auto"/>
                <w:sz w:val="24"/>
                <w:szCs w:val="24"/>
              </w:rPr>
            </w:pPr>
          </w:p>
        </w:tc>
        <w:tc>
          <w:tcPr>
            <w:tcW w:w="944" w:type="dxa"/>
            <w:vAlign w:val="top"/>
          </w:tcPr>
          <w:p w14:paraId="05A11A52">
            <w:pPr>
              <w:pStyle w:val="64"/>
              <w:spacing w:before="68" w:line="240" w:lineRule="auto"/>
              <w:jc w:val="center"/>
              <w:rPr>
                <w:rFonts w:hint="eastAsia" w:ascii="宋体" w:hAnsi="宋体" w:eastAsia="宋体" w:cs="宋体"/>
                <w:color w:val="auto"/>
                <w:sz w:val="24"/>
                <w:szCs w:val="24"/>
              </w:rPr>
            </w:pPr>
          </w:p>
          <w:p w14:paraId="4161BCD2">
            <w:pPr>
              <w:pStyle w:val="64"/>
              <w:spacing w:before="68" w:line="240" w:lineRule="auto"/>
              <w:jc w:val="center"/>
              <w:rPr>
                <w:rFonts w:hint="eastAsia" w:ascii="宋体" w:hAnsi="宋体" w:eastAsia="宋体" w:cs="宋体"/>
                <w:color w:val="auto"/>
                <w:sz w:val="24"/>
                <w:szCs w:val="24"/>
              </w:rPr>
            </w:pPr>
          </w:p>
          <w:p w14:paraId="37ADC801">
            <w:pPr>
              <w:pStyle w:val="64"/>
              <w:spacing w:before="68" w:line="240" w:lineRule="auto"/>
              <w:jc w:val="center"/>
              <w:rPr>
                <w:rFonts w:hint="eastAsia" w:ascii="宋体" w:hAnsi="宋体" w:eastAsia="宋体" w:cs="宋体"/>
                <w:color w:val="auto"/>
                <w:sz w:val="24"/>
                <w:szCs w:val="24"/>
              </w:rPr>
            </w:pPr>
          </w:p>
          <w:p w14:paraId="72D7CEB0">
            <w:pPr>
              <w:pStyle w:val="64"/>
              <w:spacing w:before="68" w:line="240" w:lineRule="auto"/>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1</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分</w:t>
            </w:r>
          </w:p>
        </w:tc>
        <w:tc>
          <w:tcPr>
            <w:tcW w:w="4859" w:type="dxa"/>
            <w:vAlign w:val="top"/>
          </w:tcPr>
          <w:p w14:paraId="2C1F7932">
            <w:pPr>
              <w:pStyle w:val="64"/>
              <w:spacing w:before="21" w:line="240" w:lineRule="auto"/>
              <w:ind w:left="14" w:right="6"/>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供应商结合本项目实际情况及特点，提供具体质量控制保证措施，包括：（1）质量方针、目标、标准（2）质量保证承诺（3）全过程质量保障措施，以上内容无缺项、无漏项得 15 分，每缺一项扣 5 分，所提供的方案 中每有一处缺陷（缺陷是指：存在凭空编造、没有具体说明、内容前后不 一致、前后逻辑错误、逻辑漏洞、涉及的规范及标准错误、地点区域错误、 内容缺失、套用其他项目方案、科学原理错误以及不可能实现的夸大情形等情况）</w:t>
            </w:r>
            <w:r>
              <w:rPr>
                <w:rFonts w:hint="eastAsia" w:ascii="宋体" w:hAnsi="宋体" w:eastAsia="宋体" w:cs="宋体"/>
                <w:color w:val="auto"/>
                <w:spacing w:val="-1"/>
                <w:sz w:val="24"/>
                <w:szCs w:val="24"/>
                <w:lang w:val="en-US" w:eastAsia="zh-CN"/>
              </w:rPr>
              <w:t>的</w:t>
            </w:r>
            <w:r>
              <w:rPr>
                <w:rFonts w:hint="eastAsia" w:cs="宋体"/>
                <w:color w:val="auto"/>
                <w:spacing w:val="-1"/>
                <w:sz w:val="24"/>
                <w:szCs w:val="24"/>
                <w:lang w:val="en-US" w:eastAsia="zh-CN"/>
              </w:rPr>
              <w:t>扣0.5分</w:t>
            </w:r>
            <w:r>
              <w:rPr>
                <w:rFonts w:hint="eastAsia" w:ascii="宋体" w:hAnsi="宋体" w:eastAsia="宋体" w:cs="宋体"/>
                <w:color w:val="auto"/>
                <w:sz w:val="24"/>
                <w:szCs w:val="24"/>
                <w:lang w:val="en-US" w:eastAsia="zh-CN"/>
              </w:rPr>
              <w:t>，扣完为止。</w:t>
            </w:r>
          </w:p>
        </w:tc>
      </w:tr>
      <w:tr w14:paraId="316136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9" w:hRule="atLeast"/>
          <w:jc w:val="center"/>
        </w:trPr>
        <w:tc>
          <w:tcPr>
            <w:tcW w:w="1104" w:type="dxa"/>
            <w:vMerge w:val="continue"/>
            <w:vAlign w:val="top"/>
          </w:tcPr>
          <w:p w14:paraId="3EC9A525">
            <w:pPr>
              <w:pStyle w:val="64"/>
              <w:spacing w:before="74" w:line="240" w:lineRule="auto"/>
              <w:ind w:left="125"/>
              <w:rPr>
                <w:rFonts w:hint="eastAsia" w:ascii="宋体" w:hAnsi="宋体" w:eastAsia="宋体" w:cs="宋体"/>
                <w:color w:val="auto"/>
                <w:sz w:val="24"/>
                <w:szCs w:val="24"/>
              </w:rPr>
            </w:pPr>
          </w:p>
        </w:tc>
        <w:tc>
          <w:tcPr>
            <w:tcW w:w="1520" w:type="dxa"/>
            <w:vAlign w:val="top"/>
          </w:tcPr>
          <w:p w14:paraId="11D9D209">
            <w:pPr>
              <w:pStyle w:val="64"/>
              <w:keepNext w:val="0"/>
              <w:keepLines w:val="0"/>
              <w:pageBreakBefore w:val="0"/>
              <w:widowControl w:val="0"/>
              <w:kinsoku/>
              <w:wordWrap/>
              <w:overflowPunct/>
              <w:topLinePunct w:val="0"/>
              <w:autoSpaceDE/>
              <w:autoSpaceDN/>
              <w:bidi w:val="0"/>
              <w:adjustRightInd/>
              <w:snapToGrid/>
              <w:spacing w:line="240" w:lineRule="auto"/>
              <w:ind w:left="108" w:right="0" w:hanging="108"/>
              <w:jc w:val="center"/>
              <w:textAlignment w:val="auto"/>
              <w:rPr>
                <w:rFonts w:hint="eastAsia" w:ascii="宋体" w:hAnsi="宋体" w:eastAsia="宋体" w:cs="宋体"/>
                <w:color w:val="auto"/>
                <w:sz w:val="24"/>
                <w:szCs w:val="24"/>
                <w:lang w:val="en-US" w:eastAsia="zh-CN"/>
              </w:rPr>
            </w:pPr>
          </w:p>
          <w:p w14:paraId="03BA96C9">
            <w:pPr>
              <w:pStyle w:val="64"/>
              <w:keepNext w:val="0"/>
              <w:keepLines w:val="0"/>
              <w:pageBreakBefore w:val="0"/>
              <w:widowControl w:val="0"/>
              <w:kinsoku/>
              <w:wordWrap/>
              <w:overflowPunct/>
              <w:topLinePunct w:val="0"/>
              <w:autoSpaceDE/>
              <w:autoSpaceDN/>
              <w:bidi w:val="0"/>
              <w:adjustRightInd/>
              <w:snapToGrid/>
              <w:spacing w:line="240" w:lineRule="auto"/>
              <w:ind w:left="108" w:right="0" w:hanging="108"/>
              <w:jc w:val="center"/>
              <w:textAlignment w:val="auto"/>
              <w:rPr>
                <w:rFonts w:hint="eastAsia" w:ascii="宋体" w:hAnsi="宋体" w:eastAsia="宋体" w:cs="宋体"/>
                <w:color w:val="auto"/>
                <w:sz w:val="24"/>
                <w:szCs w:val="24"/>
                <w:lang w:val="en-US" w:eastAsia="zh-CN"/>
              </w:rPr>
            </w:pPr>
          </w:p>
          <w:p w14:paraId="5AC940A2">
            <w:pPr>
              <w:pStyle w:val="64"/>
              <w:keepNext w:val="0"/>
              <w:keepLines w:val="0"/>
              <w:pageBreakBefore w:val="0"/>
              <w:widowControl w:val="0"/>
              <w:kinsoku/>
              <w:wordWrap/>
              <w:overflowPunct/>
              <w:topLinePunct w:val="0"/>
              <w:autoSpaceDE/>
              <w:autoSpaceDN/>
              <w:bidi w:val="0"/>
              <w:adjustRightInd/>
              <w:snapToGrid/>
              <w:spacing w:line="240" w:lineRule="auto"/>
              <w:ind w:left="108" w:right="0" w:hanging="108"/>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应急处理预案</w:t>
            </w:r>
          </w:p>
          <w:p w14:paraId="1A07C5A3">
            <w:pPr>
              <w:pStyle w:val="64"/>
              <w:keepNext w:val="0"/>
              <w:keepLines w:val="0"/>
              <w:pageBreakBefore w:val="0"/>
              <w:widowControl w:val="0"/>
              <w:kinsoku/>
              <w:wordWrap/>
              <w:overflowPunct/>
              <w:topLinePunct w:val="0"/>
              <w:autoSpaceDE/>
              <w:autoSpaceDN/>
              <w:bidi w:val="0"/>
              <w:adjustRightInd/>
              <w:snapToGrid/>
              <w:spacing w:line="240" w:lineRule="auto"/>
              <w:ind w:right="0"/>
              <w:jc w:val="both"/>
              <w:textAlignment w:val="auto"/>
              <w:rPr>
                <w:rFonts w:hint="eastAsia" w:ascii="宋体" w:hAnsi="宋体" w:eastAsia="宋体" w:cs="宋体"/>
                <w:color w:val="auto"/>
                <w:sz w:val="24"/>
                <w:szCs w:val="24"/>
              </w:rPr>
            </w:pPr>
          </w:p>
        </w:tc>
        <w:tc>
          <w:tcPr>
            <w:tcW w:w="944" w:type="dxa"/>
            <w:vAlign w:val="top"/>
          </w:tcPr>
          <w:p w14:paraId="2BBA983B">
            <w:pPr>
              <w:pStyle w:val="64"/>
              <w:spacing w:before="68" w:line="240" w:lineRule="auto"/>
              <w:jc w:val="center"/>
              <w:rPr>
                <w:rFonts w:hint="eastAsia" w:ascii="宋体" w:hAnsi="宋体" w:eastAsia="宋体" w:cs="宋体"/>
                <w:color w:val="auto"/>
                <w:sz w:val="24"/>
                <w:szCs w:val="24"/>
                <w:lang w:val="en-US" w:eastAsia="zh-CN"/>
              </w:rPr>
            </w:pPr>
          </w:p>
          <w:p w14:paraId="3D23AB30">
            <w:pPr>
              <w:pStyle w:val="64"/>
              <w:spacing w:before="68" w:line="240" w:lineRule="auto"/>
              <w:jc w:val="center"/>
              <w:rPr>
                <w:rFonts w:hint="eastAsia" w:ascii="宋体" w:hAnsi="宋体" w:eastAsia="宋体" w:cs="宋体"/>
                <w:color w:val="auto"/>
                <w:sz w:val="24"/>
                <w:szCs w:val="24"/>
                <w:lang w:val="en-US" w:eastAsia="zh-CN"/>
              </w:rPr>
            </w:pPr>
          </w:p>
          <w:p w14:paraId="7B1377B9">
            <w:pPr>
              <w:pStyle w:val="64"/>
              <w:spacing w:before="68" w:line="24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12</w:t>
            </w:r>
            <w:r>
              <w:rPr>
                <w:rFonts w:hint="eastAsia" w:ascii="宋体" w:hAnsi="宋体" w:eastAsia="宋体" w:cs="宋体"/>
                <w:color w:val="auto"/>
                <w:sz w:val="24"/>
                <w:szCs w:val="24"/>
              </w:rPr>
              <w:t xml:space="preserve"> 分</w:t>
            </w:r>
          </w:p>
        </w:tc>
        <w:tc>
          <w:tcPr>
            <w:tcW w:w="4859" w:type="dxa"/>
            <w:vAlign w:val="top"/>
          </w:tcPr>
          <w:p w14:paraId="18E1794D">
            <w:pPr>
              <w:pStyle w:val="64"/>
              <w:spacing w:before="21" w:line="240" w:lineRule="auto"/>
              <w:ind w:left="14" w:right="6"/>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供应商针对本项目提供的应急处理预案：</w:t>
            </w:r>
            <w:r>
              <w:rPr>
                <w:rFonts w:hint="eastAsia" w:cs="宋体"/>
                <w:color w:val="auto"/>
                <w:sz w:val="24"/>
                <w:szCs w:val="24"/>
                <w:lang w:val="en-US" w:eastAsia="zh-CN"/>
              </w:rPr>
              <w:t>内容包括如下几个方面：</w:t>
            </w:r>
          </w:p>
          <w:p w14:paraId="295A9781">
            <w:pPr>
              <w:pStyle w:val="4"/>
              <w:keepNext w:val="0"/>
              <w:keepLines w:val="0"/>
              <w:widowControl/>
              <w:suppressLineNumbers w:val="0"/>
              <w:pBdr>
                <w:bottom w:val="none" w:color="auto" w:sz="0" w:space="0"/>
              </w:pBdr>
              <w:shd w:val="clear" w:fill="F5F5F5"/>
              <w:spacing w:before="144" w:beforeAutospacing="0" w:after="48" w:afterAutospacing="0" w:line="288" w:lineRule="atLeast"/>
              <w:ind w:left="0" w:firstLine="0"/>
            </w:pPr>
            <w:r>
              <w:rPr>
                <w:rFonts w:hint="default" w:ascii="Segoe UI" w:hAnsi="Segoe UI" w:eastAsia="Segoe UI" w:cs="Segoe UI"/>
                <w:b/>
                <w:bCs/>
                <w:i w:val="0"/>
                <w:iCs w:val="0"/>
                <w:caps w:val="0"/>
                <w:color w:val="222222"/>
                <w:spacing w:val="0"/>
                <w:sz w:val="21"/>
                <w:szCs w:val="21"/>
                <w:shd w:val="clear" w:fill="F5F5F5"/>
              </w:rPr>
              <w:t> </w:t>
            </w:r>
            <w:r>
              <w:rPr>
                <w:rFonts w:hint="eastAsia" w:ascii="宋体" w:hAnsi="宋体" w:eastAsia="宋体" w:cs="宋体"/>
                <w:b w:val="0"/>
                <w:bCs w:val="0"/>
                <w:color w:val="auto"/>
                <w:kern w:val="2"/>
                <w:sz w:val="24"/>
                <w:szCs w:val="24"/>
                <w:lang w:val="en-US" w:eastAsia="zh-CN" w:bidi="ar-SA"/>
              </w:rPr>
              <w:t>1.</w:t>
            </w:r>
            <w:r>
              <w:rPr>
                <w:rFonts w:hint="default" w:ascii="宋体" w:hAnsi="宋体" w:eastAsia="宋体" w:cs="宋体"/>
                <w:b w:val="0"/>
                <w:bCs w:val="0"/>
                <w:color w:val="auto"/>
                <w:kern w:val="2"/>
                <w:sz w:val="24"/>
                <w:szCs w:val="24"/>
                <w:lang w:val="en-US" w:eastAsia="zh-CN" w:bidi="ar-SA"/>
              </w:rPr>
              <w:t>风险识别与评估</w:t>
            </w:r>
            <w:r>
              <w:rPr>
                <w:rFonts w:hint="eastAsia" w:ascii="宋体" w:hAnsi="宋体" w:eastAsia="宋体" w:cs="宋体"/>
                <w:b w:val="0"/>
                <w:bCs w:val="0"/>
                <w:color w:val="auto"/>
                <w:kern w:val="2"/>
                <w:sz w:val="24"/>
                <w:szCs w:val="24"/>
                <w:lang w:val="en-US" w:eastAsia="zh-CN" w:bidi="ar-SA"/>
              </w:rPr>
              <w:t>、</w:t>
            </w:r>
            <w:r>
              <w:rPr>
                <w:rFonts w:hint="default" w:ascii="宋体" w:hAnsi="宋体" w:eastAsia="宋体" w:cs="宋体"/>
                <w:b w:val="0"/>
                <w:bCs w:val="0"/>
                <w:color w:val="auto"/>
                <w:kern w:val="2"/>
                <w:sz w:val="24"/>
                <w:szCs w:val="24"/>
                <w:lang w:val="en-US" w:eastAsia="zh-CN" w:bidi="ar-SA"/>
              </w:rPr>
              <w:t>2.应急组织与职责</w:t>
            </w:r>
            <w:r>
              <w:rPr>
                <w:rFonts w:hint="eastAsia" w:ascii="宋体" w:hAnsi="宋体" w:eastAsia="宋体" w:cs="宋体"/>
                <w:b w:val="0"/>
                <w:bCs w:val="0"/>
                <w:color w:val="auto"/>
                <w:kern w:val="2"/>
                <w:sz w:val="24"/>
                <w:szCs w:val="24"/>
                <w:lang w:val="en-US" w:eastAsia="zh-CN" w:bidi="ar-SA"/>
              </w:rPr>
              <w:t>、</w:t>
            </w:r>
            <w:r>
              <w:rPr>
                <w:rFonts w:hint="default" w:ascii="宋体" w:hAnsi="宋体" w:eastAsia="宋体" w:cs="宋体"/>
                <w:b w:val="0"/>
                <w:bCs w:val="0"/>
                <w:color w:val="auto"/>
                <w:kern w:val="2"/>
                <w:sz w:val="24"/>
                <w:szCs w:val="24"/>
                <w:lang w:val="en-US" w:eastAsia="zh-CN" w:bidi="ar-SA"/>
              </w:rPr>
              <w:t>3.应急响应流程</w:t>
            </w:r>
            <w:r>
              <w:rPr>
                <w:rFonts w:hint="eastAsia" w:ascii="宋体" w:hAnsi="宋体" w:eastAsia="宋体" w:cs="宋体"/>
                <w:b w:val="0"/>
                <w:bCs w:val="0"/>
                <w:color w:val="auto"/>
                <w:kern w:val="2"/>
                <w:sz w:val="24"/>
                <w:szCs w:val="24"/>
                <w:lang w:val="en-US" w:eastAsia="zh-CN" w:bidi="ar-SA"/>
              </w:rPr>
              <w:t>、</w:t>
            </w:r>
            <w:r>
              <w:rPr>
                <w:rFonts w:hint="eastAsia" w:cs="宋体"/>
                <w:b w:val="0"/>
                <w:bCs w:val="0"/>
                <w:color w:val="auto"/>
                <w:kern w:val="2"/>
                <w:sz w:val="24"/>
                <w:szCs w:val="24"/>
                <w:lang w:val="en-US" w:eastAsia="zh-CN" w:bidi="ar-SA"/>
              </w:rPr>
              <w:t>4</w:t>
            </w:r>
            <w:r>
              <w:rPr>
                <w:rFonts w:hint="default" w:ascii="宋体" w:hAnsi="宋体" w:eastAsia="宋体" w:cs="宋体"/>
                <w:b w:val="0"/>
                <w:bCs w:val="0"/>
                <w:color w:val="auto"/>
                <w:kern w:val="2"/>
                <w:sz w:val="24"/>
                <w:szCs w:val="24"/>
                <w:lang w:val="en-US" w:eastAsia="zh-CN" w:bidi="ar-SA"/>
              </w:rPr>
              <w:t>.事后恢复与总结</w:t>
            </w:r>
            <w:r>
              <w:rPr>
                <w:rFonts w:hint="eastAsia" w:cs="宋体"/>
                <w:b w:val="0"/>
                <w:bCs w:val="0"/>
                <w:color w:val="auto"/>
                <w:kern w:val="2"/>
                <w:sz w:val="24"/>
                <w:szCs w:val="24"/>
                <w:lang w:val="en-US" w:eastAsia="zh-CN" w:bidi="ar-SA"/>
              </w:rPr>
              <w:t>。</w:t>
            </w:r>
          </w:p>
          <w:p w14:paraId="3E3C1EDF">
            <w:pPr>
              <w:pStyle w:val="64"/>
              <w:spacing w:before="21" w:line="240" w:lineRule="auto"/>
              <w:ind w:right="6"/>
              <w:rPr>
                <w:rFonts w:hint="eastAsia" w:ascii="宋体" w:hAnsi="宋体" w:eastAsia="宋体" w:cs="宋体"/>
                <w:color w:val="auto"/>
                <w:sz w:val="24"/>
                <w:szCs w:val="24"/>
                <w:lang w:val="en-US" w:eastAsia="zh-CN"/>
              </w:rPr>
            </w:pPr>
            <w:r>
              <w:rPr>
                <w:rFonts w:hint="eastAsia" w:ascii="宋体" w:hAnsi="宋体" w:eastAsia="宋体" w:cs="宋体"/>
                <w:color w:val="auto"/>
                <w:spacing w:val="-1"/>
                <w:kern w:val="2"/>
                <w:sz w:val="24"/>
                <w:szCs w:val="24"/>
                <w:lang w:val="en-US" w:eastAsia="zh-CN" w:bidi="ar-SA"/>
              </w:rPr>
              <w:t>上述内容全部满足本项目实际需求的得12分</w:t>
            </w:r>
            <w:r>
              <w:rPr>
                <w:rFonts w:hint="eastAsia" w:cs="宋体"/>
                <w:color w:val="auto"/>
                <w:spacing w:val="-1"/>
                <w:kern w:val="2"/>
                <w:sz w:val="24"/>
                <w:szCs w:val="24"/>
                <w:lang w:val="en-US" w:eastAsia="zh-CN" w:bidi="ar-SA"/>
              </w:rPr>
              <w:t>，</w:t>
            </w:r>
            <w:r>
              <w:rPr>
                <w:rFonts w:hint="eastAsia" w:ascii="宋体" w:hAnsi="宋体" w:eastAsia="宋体" w:cs="宋体"/>
                <w:color w:val="auto"/>
                <w:spacing w:val="-1"/>
                <w:sz w:val="24"/>
                <w:szCs w:val="24"/>
                <w:lang w:val="en-US" w:eastAsia="zh-CN"/>
              </w:rPr>
              <w:t>每缺一项扣</w:t>
            </w:r>
            <w:r>
              <w:rPr>
                <w:rFonts w:hint="eastAsia" w:cs="宋体"/>
                <w:color w:val="auto"/>
                <w:spacing w:val="-1"/>
                <w:sz w:val="24"/>
                <w:szCs w:val="24"/>
                <w:lang w:val="en-US" w:eastAsia="zh-CN"/>
              </w:rPr>
              <w:t>3</w:t>
            </w:r>
            <w:r>
              <w:rPr>
                <w:rFonts w:hint="eastAsia" w:ascii="宋体" w:hAnsi="宋体" w:eastAsia="宋体" w:cs="宋体"/>
                <w:color w:val="auto"/>
                <w:spacing w:val="-1"/>
                <w:sz w:val="24"/>
                <w:szCs w:val="24"/>
                <w:lang w:val="en-US" w:eastAsia="zh-CN"/>
              </w:rPr>
              <w:t>分</w:t>
            </w:r>
            <w:r>
              <w:rPr>
                <w:rFonts w:hint="eastAsia" w:ascii="宋体" w:hAnsi="宋体" w:eastAsia="宋体" w:cs="宋体"/>
                <w:color w:val="auto"/>
                <w:spacing w:val="-1"/>
                <w:kern w:val="2"/>
                <w:sz w:val="24"/>
                <w:szCs w:val="24"/>
                <w:lang w:val="en-US" w:eastAsia="zh-CN" w:bidi="ar-SA"/>
              </w:rPr>
              <w:t>；</w:t>
            </w:r>
            <w:r>
              <w:rPr>
                <w:rFonts w:hint="eastAsia" w:ascii="宋体" w:hAnsi="宋体" w:eastAsia="宋体" w:cs="宋体"/>
                <w:color w:val="auto"/>
                <w:spacing w:val="-1"/>
                <w:sz w:val="24"/>
                <w:szCs w:val="24"/>
                <w:lang w:val="en-US" w:eastAsia="zh-CN"/>
              </w:rPr>
              <w:t>所提供的</w:t>
            </w:r>
            <w:r>
              <w:rPr>
                <w:rFonts w:hint="eastAsia" w:cs="宋体"/>
                <w:color w:val="auto"/>
                <w:spacing w:val="-1"/>
                <w:sz w:val="24"/>
                <w:szCs w:val="24"/>
                <w:lang w:val="en-US" w:eastAsia="zh-CN"/>
              </w:rPr>
              <w:t>人员组织架构</w:t>
            </w:r>
            <w:r>
              <w:rPr>
                <w:rFonts w:hint="eastAsia" w:ascii="宋体" w:hAnsi="宋体" w:eastAsia="宋体" w:cs="宋体"/>
                <w:color w:val="auto"/>
                <w:spacing w:val="-1"/>
                <w:sz w:val="24"/>
                <w:szCs w:val="24"/>
                <w:lang w:val="en-US" w:eastAsia="zh-CN"/>
              </w:rPr>
              <w:t>中每有一处缺陷</w:t>
            </w:r>
            <w:r>
              <w:rPr>
                <w:rFonts w:hint="eastAsia" w:cs="宋体"/>
                <w:color w:val="auto"/>
                <w:spacing w:val="-1"/>
                <w:sz w:val="24"/>
                <w:szCs w:val="24"/>
                <w:lang w:val="en-US" w:eastAsia="zh-CN"/>
              </w:rPr>
              <w:t>（缺陷是指：如</w:t>
            </w:r>
            <w:r>
              <w:rPr>
                <w:rFonts w:hint="eastAsia" w:cs="宋体"/>
                <w:color w:val="auto"/>
                <w:spacing w:val="-1"/>
                <w:kern w:val="2"/>
                <w:sz w:val="24"/>
                <w:szCs w:val="24"/>
                <w:lang w:val="en-US" w:eastAsia="zh-CN" w:bidi="ar-SA"/>
              </w:rPr>
              <w:t>内容模糊、制度不完善、内容缺项</w:t>
            </w:r>
            <w:r>
              <w:rPr>
                <w:rFonts w:hint="eastAsia" w:ascii="宋体" w:hAnsi="宋体" w:eastAsia="宋体" w:cs="宋体"/>
                <w:color w:val="auto"/>
                <w:spacing w:val="-1"/>
                <w:sz w:val="24"/>
                <w:szCs w:val="24"/>
                <w:lang w:val="en-US" w:eastAsia="zh-CN"/>
              </w:rPr>
              <w:t>内容与项目无关、内容前后不一致、前后逻辑错误、逻辑漏洞</w:t>
            </w:r>
            <w:r>
              <w:rPr>
                <w:rFonts w:hint="eastAsia" w:cs="宋体"/>
                <w:color w:val="auto"/>
                <w:spacing w:val="-1"/>
                <w:kern w:val="2"/>
                <w:sz w:val="24"/>
                <w:szCs w:val="24"/>
                <w:lang w:val="en-US" w:eastAsia="zh-CN" w:bidi="ar-SA"/>
              </w:rPr>
              <w:t>等）每项</w:t>
            </w:r>
            <w:r>
              <w:rPr>
                <w:rFonts w:hint="eastAsia" w:ascii="宋体" w:hAnsi="宋体" w:eastAsia="宋体" w:cs="宋体"/>
                <w:color w:val="auto"/>
                <w:spacing w:val="-1"/>
                <w:kern w:val="2"/>
                <w:sz w:val="24"/>
                <w:szCs w:val="24"/>
                <w:lang w:val="en-US" w:eastAsia="zh-CN" w:bidi="ar-SA"/>
              </w:rPr>
              <w:t>扣</w:t>
            </w:r>
            <w:r>
              <w:rPr>
                <w:rFonts w:hint="eastAsia" w:cs="宋体"/>
                <w:color w:val="auto"/>
                <w:spacing w:val="-1"/>
                <w:kern w:val="2"/>
                <w:sz w:val="24"/>
                <w:szCs w:val="24"/>
                <w:lang w:val="en-US" w:eastAsia="zh-CN" w:bidi="ar-SA"/>
              </w:rPr>
              <w:t>1</w:t>
            </w:r>
            <w:r>
              <w:rPr>
                <w:rFonts w:hint="eastAsia" w:ascii="宋体" w:hAnsi="宋体" w:eastAsia="宋体" w:cs="宋体"/>
                <w:color w:val="auto"/>
                <w:spacing w:val="-1"/>
                <w:kern w:val="2"/>
                <w:sz w:val="24"/>
                <w:szCs w:val="24"/>
                <w:lang w:val="en-US" w:eastAsia="zh-CN" w:bidi="ar-SA"/>
              </w:rPr>
              <w:t>分，扣完为止。</w:t>
            </w:r>
          </w:p>
        </w:tc>
      </w:tr>
      <w:tr w14:paraId="167252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78" w:hRule="atLeast"/>
          <w:jc w:val="center"/>
        </w:trPr>
        <w:tc>
          <w:tcPr>
            <w:tcW w:w="1104" w:type="dxa"/>
            <w:vMerge w:val="continue"/>
            <w:vAlign w:val="top"/>
          </w:tcPr>
          <w:p w14:paraId="6ED1E775">
            <w:pPr>
              <w:pStyle w:val="64"/>
              <w:spacing w:before="17" w:line="240" w:lineRule="auto"/>
              <w:ind w:left="64"/>
              <w:rPr>
                <w:rFonts w:hint="eastAsia" w:ascii="宋体" w:hAnsi="宋体" w:eastAsia="宋体" w:cs="宋体"/>
                <w:color w:val="auto"/>
                <w:spacing w:val="2"/>
                <w:sz w:val="24"/>
                <w:szCs w:val="24"/>
              </w:rPr>
            </w:pPr>
          </w:p>
        </w:tc>
        <w:tc>
          <w:tcPr>
            <w:tcW w:w="1520" w:type="dxa"/>
            <w:vAlign w:val="top"/>
          </w:tcPr>
          <w:p w14:paraId="519DB47C">
            <w:pPr>
              <w:pStyle w:val="64"/>
              <w:spacing w:before="5" w:line="240" w:lineRule="auto"/>
              <w:rPr>
                <w:rFonts w:hint="eastAsia" w:ascii="宋体" w:hAnsi="宋体" w:eastAsia="宋体" w:cs="宋体"/>
                <w:color w:val="auto"/>
                <w:spacing w:val="-5"/>
                <w:sz w:val="24"/>
                <w:szCs w:val="24"/>
              </w:rPr>
            </w:pPr>
          </w:p>
          <w:p w14:paraId="36FDB12F">
            <w:pPr>
              <w:pStyle w:val="64"/>
              <w:spacing w:before="5" w:line="240" w:lineRule="auto"/>
              <w:jc w:val="center"/>
              <w:rPr>
                <w:rFonts w:hint="eastAsia" w:ascii="宋体" w:hAnsi="宋体" w:eastAsia="宋体" w:cs="宋体"/>
                <w:color w:val="auto"/>
                <w:spacing w:val="-5"/>
                <w:sz w:val="24"/>
                <w:szCs w:val="24"/>
              </w:rPr>
            </w:pPr>
          </w:p>
          <w:p w14:paraId="09587405">
            <w:pPr>
              <w:pStyle w:val="64"/>
              <w:spacing w:before="5" w:line="240" w:lineRule="auto"/>
              <w:jc w:val="center"/>
              <w:rPr>
                <w:rFonts w:hint="eastAsia" w:ascii="宋体" w:hAnsi="宋体" w:eastAsia="宋体" w:cs="宋体"/>
                <w:color w:val="auto"/>
                <w:spacing w:val="-5"/>
                <w:sz w:val="24"/>
                <w:szCs w:val="24"/>
              </w:rPr>
            </w:pPr>
          </w:p>
          <w:p w14:paraId="2E1F2264">
            <w:pPr>
              <w:pStyle w:val="64"/>
              <w:spacing w:before="5" w:line="240" w:lineRule="auto"/>
              <w:jc w:val="center"/>
              <w:rPr>
                <w:rFonts w:hint="eastAsia" w:ascii="宋体" w:hAnsi="宋体" w:eastAsia="宋体" w:cs="宋体"/>
                <w:color w:val="auto"/>
                <w:spacing w:val="-5"/>
                <w:sz w:val="24"/>
                <w:szCs w:val="24"/>
              </w:rPr>
            </w:pPr>
            <w:r>
              <w:rPr>
                <w:rFonts w:hint="eastAsia" w:ascii="宋体" w:hAnsi="宋体" w:eastAsia="宋体" w:cs="宋体"/>
                <w:color w:val="auto"/>
                <w:spacing w:val="-5"/>
                <w:sz w:val="24"/>
                <w:szCs w:val="24"/>
              </w:rPr>
              <w:t>类似项目经验</w:t>
            </w:r>
          </w:p>
        </w:tc>
        <w:tc>
          <w:tcPr>
            <w:tcW w:w="944" w:type="dxa"/>
            <w:vAlign w:val="top"/>
          </w:tcPr>
          <w:p w14:paraId="10B90897">
            <w:pPr>
              <w:pStyle w:val="64"/>
              <w:spacing w:before="74" w:line="240" w:lineRule="auto"/>
              <w:jc w:val="center"/>
              <w:rPr>
                <w:rFonts w:hint="eastAsia" w:ascii="宋体" w:hAnsi="宋体" w:eastAsia="宋体" w:cs="宋体"/>
                <w:color w:val="auto"/>
                <w:spacing w:val="-5"/>
                <w:sz w:val="24"/>
                <w:szCs w:val="24"/>
              </w:rPr>
            </w:pPr>
          </w:p>
          <w:p w14:paraId="28F21A0A">
            <w:pPr>
              <w:pStyle w:val="64"/>
              <w:spacing w:before="74" w:line="240" w:lineRule="auto"/>
              <w:jc w:val="center"/>
              <w:rPr>
                <w:rFonts w:hint="eastAsia" w:ascii="宋体" w:hAnsi="宋体" w:eastAsia="宋体" w:cs="宋体"/>
                <w:color w:val="auto"/>
                <w:spacing w:val="-5"/>
                <w:sz w:val="24"/>
                <w:szCs w:val="24"/>
                <w:lang w:val="en-US" w:eastAsia="zh-CN"/>
              </w:rPr>
            </w:pPr>
          </w:p>
          <w:p w14:paraId="1FBFB71A">
            <w:pPr>
              <w:pStyle w:val="64"/>
              <w:spacing w:before="74" w:line="240" w:lineRule="auto"/>
              <w:jc w:val="center"/>
              <w:rPr>
                <w:rFonts w:hint="eastAsia" w:ascii="宋体" w:hAnsi="宋体" w:eastAsia="宋体" w:cs="宋体"/>
                <w:color w:val="auto"/>
                <w:spacing w:val="-5"/>
                <w:sz w:val="24"/>
                <w:szCs w:val="24"/>
                <w:lang w:val="en-US" w:eastAsia="zh-CN"/>
              </w:rPr>
            </w:pPr>
            <w:r>
              <w:rPr>
                <w:rFonts w:hint="eastAsia" w:ascii="宋体" w:hAnsi="宋体" w:eastAsia="宋体" w:cs="宋体"/>
                <w:color w:val="auto"/>
                <w:spacing w:val="-5"/>
                <w:sz w:val="24"/>
                <w:szCs w:val="24"/>
                <w:lang w:val="en-US" w:eastAsia="zh-CN"/>
              </w:rPr>
              <w:t>3</w:t>
            </w:r>
            <w:r>
              <w:rPr>
                <w:rFonts w:hint="eastAsia" w:ascii="宋体" w:hAnsi="宋体" w:eastAsia="宋体" w:cs="宋体"/>
                <w:color w:val="auto"/>
                <w:spacing w:val="-5"/>
                <w:sz w:val="24"/>
                <w:szCs w:val="24"/>
              </w:rPr>
              <w:t>分</w:t>
            </w:r>
          </w:p>
        </w:tc>
        <w:tc>
          <w:tcPr>
            <w:tcW w:w="4859" w:type="dxa"/>
            <w:vAlign w:val="top"/>
          </w:tcPr>
          <w:p w14:paraId="4B359BBC">
            <w:pPr>
              <w:pStyle w:val="64"/>
              <w:spacing w:before="10" w:line="240" w:lineRule="auto"/>
              <w:ind w:left="103" w:right="3" w:hanging="9"/>
              <w:rPr>
                <w:rFonts w:hint="eastAsia" w:ascii="宋体" w:hAnsi="宋体" w:eastAsia="宋体" w:cs="宋体"/>
                <w:color w:val="auto"/>
                <w:spacing w:val="-5"/>
                <w:sz w:val="24"/>
                <w:szCs w:val="24"/>
              </w:rPr>
            </w:pPr>
            <w:r>
              <w:rPr>
                <w:rFonts w:hint="eastAsia" w:ascii="宋体" w:hAnsi="宋体" w:eastAsia="宋体" w:cs="宋体"/>
                <w:color w:val="auto"/>
                <w:spacing w:val="-5"/>
                <w:sz w:val="24"/>
                <w:szCs w:val="24"/>
              </w:rPr>
              <w:t xml:space="preserve">近三年（2022 年 </w:t>
            </w:r>
            <w:r>
              <w:rPr>
                <w:rFonts w:hint="eastAsia" w:cs="宋体"/>
                <w:color w:val="auto"/>
                <w:spacing w:val="-5"/>
                <w:sz w:val="24"/>
                <w:szCs w:val="24"/>
                <w:lang w:val="en-US" w:eastAsia="zh-CN"/>
              </w:rPr>
              <w:t>7</w:t>
            </w:r>
            <w:r>
              <w:rPr>
                <w:rFonts w:hint="eastAsia" w:ascii="宋体" w:hAnsi="宋体" w:eastAsia="宋体" w:cs="宋体"/>
                <w:color w:val="auto"/>
                <w:spacing w:val="-5"/>
                <w:sz w:val="24"/>
                <w:szCs w:val="24"/>
              </w:rPr>
              <w:t xml:space="preserve"> 月至今）完成的类似项目（类似项目是指与本项目类型、性能功能等类似的)业绩，需提供合同或中标通知书复印件，每有一项得</w:t>
            </w:r>
            <w:r>
              <w:rPr>
                <w:rFonts w:hint="eastAsia" w:ascii="宋体" w:hAnsi="宋体" w:eastAsia="宋体" w:cs="宋体"/>
                <w:color w:val="auto"/>
                <w:spacing w:val="-5"/>
                <w:sz w:val="24"/>
                <w:szCs w:val="24"/>
                <w:lang w:val="en-US" w:eastAsia="zh-CN"/>
              </w:rPr>
              <w:t>1</w:t>
            </w:r>
            <w:r>
              <w:rPr>
                <w:rFonts w:hint="eastAsia" w:ascii="宋体" w:hAnsi="宋体" w:eastAsia="宋体" w:cs="宋体"/>
                <w:color w:val="auto"/>
                <w:spacing w:val="-5"/>
                <w:sz w:val="24"/>
                <w:szCs w:val="24"/>
              </w:rPr>
              <w:t>分，最高得</w:t>
            </w:r>
            <w:r>
              <w:rPr>
                <w:rFonts w:hint="eastAsia" w:ascii="宋体" w:hAnsi="宋体" w:eastAsia="宋体" w:cs="宋体"/>
                <w:color w:val="auto"/>
                <w:spacing w:val="-5"/>
                <w:sz w:val="24"/>
                <w:szCs w:val="24"/>
                <w:lang w:val="en-US" w:eastAsia="zh-CN"/>
              </w:rPr>
              <w:t>3</w:t>
            </w:r>
            <w:r>
              <w:rPr>
                <w:rFonts w:hint="eastAsia" w:ascii="宋体" w:hAnsi="宋体" w:eastAsia="宋体" w:cs="宋体"/>
                <w:color w:val="auto"/>
                <w:spacing w:val="-5"/>
                <w:sz w:val="24"/>
                <w:szCs w:val="24"/>
              </w:rPr>
              <w:t>分（如提供虚假业绩资料一经查出做否决投标处理）；</w:t>
            </w:r>
          </w:p>
          <w:p w14:paraId="5E7C6122">
            <w:pPr>
              <w:pStyle w:val="64"/>
              <w:spacing w:before="10" w:line="240" w:lineRule="auto"/>
              <w:ind w:left="103" w:right="3" w:hanging="9"/>
              <w:rPr>
                <w:rFonts w:hint="eastAsia" w:ascii="宋体" w:hAnsi="宋体" w:eastAsia="宋体" w:cs="宋体"/>
                <w:color w:val="auto"/>
                <w:spacing w:val="-5"/>
                <w:sz w:val="24"/>
                <w:szCs w:val="24"/>
              </w:rPr>
            </w:pPr>
            <w:r>
              <w:rPr>
                <w:rFonts w:hint="eastAsia" w:ascii="宋体" w:hAnsi="宋体" w:eastAsia="宋体" w:cs="宋体"/>
                <w:color w:val="auto"/>
                <w:spacing w:val="-5"/>
                <w:sz w:val="24"/>
                <w:szCs w:val="24"/>
              </w:rPr>
              <w:t>此业绩指同本次采购项目类似业绩,其他与该项目类型不符的业绩不予认可，需提供中标通知书或合同的清晰复印件并加盖投标单位公章，否则不予计算业绩。</w:t>
            </w:r>
          </w:p>
        </w:tc>
      </w:tr>
      <w:tr w14:paraId="616839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jc w:val="center"/>
        </w:trPr>
        <w:tc>
          <w:tcPr>
            <w:tcW w:w="2624" w:type="dxa"/>
            <w:gridSpan w:val="2"/>
            <w:vAlign w:val="top"/>
          </w:tcPr>
          <w:p w14:paraId="7D5CE511">
            <w:pPr>
              <w:pStyle w:val="64"/>
              <w:spacing w:before="176" w:line="240" w:lineRule="auto"/>
              <w:ind w:left="974"/>
              <w:rPr>
                <w:rFonts w:hint="eastAsia" w:ascii="宋体" w:hAnsi="宋体" w:eastAsia="宋体" w:cs="宋体"/>
                <w:color w:val="auto"/>
                <w:sz w:val="24"/>
                <w:szCs w:val="24"/>
              </w:rPr>
            </w:pPr>
            <w:r>
              <w:rPr>
                <w:rFonts w:hint="eastAsia" w:ascii="宋体" w:hAnsi="宋体" w:eastAsia="宋体" w:cs="宋体"/>
                <w:color w:val="auto"/>
                <w:spacing w:val="-2"/>
                <w:sz w:val="24"/>
                <w:szCs w:val="24"/>
              </w:rPr>
              <w:t>供应商得分</w:t>
            </w:r>
          </w:p>
        </w:tc>
        <w:tc>
          <w:tcPr>
            <w:tcW w:w="5803" w:type="dxa"/>
            <w:gridSpan w:val="2"/>
            <w:vAlign w:val="top"/>
          </w:tcPr>
          <w:p w14:paraId="17BFF364">
            <w:pPr>
              <w:pStyle w:val="64"/>
              <w:spacing w:before="176" w:line="240" w:lineRule="auto"/>
              <w:ind w:left="314"/>
              <w:rPr>
                <w:rFonts w:hint="eastAsia" w:ascii="宋体" w:hAnsi="宋体" w:eastAsia="宋体" w:cs="宋体"/>
                <w:color w:val="auto"/>
                <w:sz w:val="24"/>
                <w:szCs w:val="24"/>
              </w:rPr>
            </w:pPr>
            <w:r>
              <w:rPr>
                <w:rFonts w:hint="eastAsia" w:ascii="宋体" w:hAnsi="宋体" w:eastAsia="宋体" w:cs="宋体"/>
                <w:color w:val="auto"/>
                <w:spacing w:val="-1"/>
                <w:sz w:val="24"/>
                <w:szCs w:val="24"/>
              </w:rPr>
              <w:t>供应商汇总得分=技术商务得分+价格评价得分</w:t>
            </w:r>
          </w:p>
        </w:tc>
      </w:tr>
    </w:tbl>
    <w:p w14:paraId="36BC6893">
      <w:pPr>
        <w:pStyle w:val="11"/>
        <w:rPr>
          <w:rFonts w:hint="eastAsia"/>
          <w:i w:val="0"/>
          <w:iCs w:val="0"/>
          <w:color w:val="auto"/>
          <w:sz w:val="24"/>
          <w:szCs w:val="24"/>
          <w:highlight w:val="none"/>
          <w:lang w:val="zh-CN" w:eastAsia="zh-CN"/>
        </w:rPr>
      </w:pPr>
    </w:p>
    <w:p w14:paraId="35D02736">
      <w:pPr>
        <w:pStyle w:val="2"/>
        <w:keepNext/>
        <w:keepLines/>
        <w:pageBreakBefore w:val="0"/>
        <w:widowControl w:val="0"/>
        <w:numPr>
          <w:ilvl w:val="0"/>
          <w:numId w:val="0"/>
        </w:numPr>
        <w:kinsoku/>
        <w:wordWrap/>
        <w:overflowPunct/>
        <w:topLinePunct w:val="0"/>
        <w:autoSpaceDE/>
        <w:autoSpaceDN/>
        <w:bidi w:val="0"/>
        <w:adjustRightInd/>
        <w:snapToGrid/>
        <w:spacing w:before="220" w:after="210" w:line="360" w:lineRule="auto"/>
        <w:ind w:left="420" w:leftChars="0" w:hanging="420" w:firstLineChars="0"/>
        <w:textAlignment w:val="auto"/>
        <w:rPr>
          <w:rFonts w:hint="eastAsia" w:ascii="宋体" w:hAnsi="宋体" w:eastAsia="黑体" w:cstheme="minorBidi"/>
          <w:b/>
          <w:bCs/>
          <w:i w:val="0"/>
          <w:iCs w:val="0"/>
          <w:color w:val="auto"/>
          <w:kern w:val="44"/>
          <w:sz w:val="44"/>
          <w:szCs w:val="44"/>
          <w:highlight w:val="none"/>
          <w:lang w:val="en-US" w:eastAsia="zh-CN" w:bidi="ar-SA"/>
        </w:rPr>
      </w:pPr>
    </w:p>
    <w:p w14:paraId="4965E3D0">
      <w:pPr>
        <w:pStyle w:val="2"/>
        <w:keepNext/>
        <w:keepLines/>
        <w:pageBreakBefore/>
        <w:widowControl w:val="0"/>
        <w:numPr>
          <w:ilvl w:val="0"/>
          <w:numId w:val="0"/>
        </w:numPr>
        <w:kinsoku/>
        <w:wordWrap/>
        <w:overflowPunct/>
        <w:topLinePunct w:val="0"/>
        <w:autoSpaceDE/>
        <w:autoSpaceDN/>
        <w:bidi w:val="0"/>
        <w:adjustRightInd/>
        <w:snapToGrid/>
        <w:spacing w:before="220" w:after="220" w:line="480" w:lineRule="auto"/>
        <w:ind w:left="420" w:leftChars="0" w:hanging="420" w:firstLineChars="0"/>
        <w:textAlignment w:val="auto"/>
        <w:rPr>
          <w:rFonts w:hint="eastAsia" w:ascii="宋体" w:hAnsi="宋体" w:eastAsia="宋体" w:cs="宋体"/>
          <w:b/>
          <w:bCs/>
          <w:i w:val="0"/>
          <w:iCs w:val="0"/>
          <w:color w:val="auto"/>
          <w:kern w:val="44"/>
          <w:sz w:val="36"/>
          <w:szCs w:val="36"/>
          <w:highlight w:val="none"/>
          <w:lang w:val="zh-CN" w:eastAsia="zh-CN" w:bidi="ar-SA"/>
        </w:rPr>
      </w:pPr>
      <w:bookmarkStart w:id="425" w:name="_Toc1529"/>
      <w:r>
        <w:rPr>
          <w:rFonts w:hint="eastAsia" w:ascii="宋体" w:hAnsi="宋体" w:eastAsia="宋体" w:cs="宋体"/>
          <w:b/>
          <w:bCs/>
          <w:i w:val="0"/>
          <w:iCs w:val="0"/>
          <w:color w:val="auto"/>
          <w:kern w:val="44"/>
          <w:sz w:val="36"/>
          <w:szCs w:val="36"/>
          <w:highlight w:val="none"/>
          <w:lang w:val="en-US" w:eastAsia="zh-CN" w:bidi="ar-SA"/>
        </w:rPr>
        <w:t xml:space="preserve">第五章 </w:t>
      </w:r>
      <w:r>
        <w:rPr>
          <w:rFonts w:hint="eastAsia" w:ascii="宋体" w:hAnsi="宋体" w:eastAsia="宋体" w:cs="宋体"/>
          <w:b/>
          <w:bCs/>
          <w:i w:val="0"/>
          <w:iCs w:val="0"/>
          <w:color w:val="auto"/>
          <w:kern w:val="44"/>
          <w:sz w:val="36"/>
          <w:szCs w:val="36"/>
          <w:highlight w:val="none"/>
          <w:lang w:val="zh-CN" w:eastAsia="zh-CN" w:bidi="ar-SA"/>
        </w:rPr>
        <w:t>合同</w:t>
      </w:r>
      <w:bookmarkEnd w:id="425"/>
    </w:p>
    <w:p w14:paraId="73DF50D9">
      <w:pPr>
        <w:spacing w:line="480" w:lineRule="auto"/>
        <w:jc w:val="both"/>
        <w:outlineLvl w:val="1"/>
        <w:rPr>
          <w:rFonts w:hint="eastAsia" w:ascii="宋体" w:hAnsi="宋体" w:eastAsia="宋体" w:cs="宋体"/>
          <w:b/>
          <w:bCs/>
          <w:sz w:val="22"/>
          <w:szCs w:val="22"/>
          <w:highlight w:val="none"/>
        </w:rPr>
      </w:pPr>
      <w:bookmarkStart w:id="426" w:name="_Toc22932"/>
      <w:bookmarkStart w:id="427" w:name="_Toc22362"/>
      <w:bookmarkStart w:id="428" w:name="_Toc3714"/>
      <w:bookmarkStart w:id="429" w:name="_Toc331685783"/>
      <w:bookmarkStart w:id="430" w:name="_Toc3995"/>
      <w:r>
        <w:rPr>
          <w:rFonts w:hint="eastAsia" w:ascii="宋体" w:hAnsi="宋体" w:eastAsia="宋体" w:cs="宋体"/>
          <w:b/>
          <w:bCs/>
          <w:sz w:val="22"/>
          <w:szCs w:val="22"/>
          <w:highlight w:val="none"/>
        </w:rPr>
        <w:t>【此合同书仅作为签订正式合同时的参考，正式合同书应包括本参考格式的内容】</w:t>
      </w:r>
      <w:bookmarkEnd w:id="426"/>
    </w:p>
    <w:p w14:paraId="592D9BC7">
      <w:pPr>
        <w:spacing w:line="480" w:lineRule="auto"/>
        <w:jc w:val="both"/>
        <w:outlineLvl w:val="1"/>
        <w:rPr>
          <w:rFonts w:hint="eastAsia" w:ascii="宋体" w:hAnsi="宋体" w:eastAsia="宋体" w:cs="宋体"/>
          <w:b/>
          <w:bCs/>
          <w:sz w:val="24"/>
          <w:szCs w:val="24"/>
          <w:highlight w:val="none"/>
        </w:rPr>
      </w:pPr>
      <w:bookmarkStart w:id="431" w:name="_Toc16301"/>
      <w:r>
        <w:rPr>
          <w:rFonts w:hint="eastAsia" w:ascii="宋体" w:hAnsi="宋体" w:eastAsia="宋体" w:cs="宋体"/>
          <w:b/>
          <w:bCs/>
          <w:sz w:val="24"/>
          <w:szCs w:val="24"/>
          <w:highlight w:val="none"/>
          <w:lang w:val="zh-CN"/>
        </w:rPr>
        <w:t>合同编号：</w:t>
      </w:r>
      <w:bookmarkEnd w:id="431"/>
    </w:p>
    <w:p w14:paraId="181611DB">
      <w:pPr>
        <w:spacing w:line="480" w:lineRule="auto"/>
        <w:jc w:val="center"/>
        <w:outlineLvl w:val="1"/>
        <w:rPr>
          <w:rFonts w:hint="eastAsia" w:cs="宋体"/>
          <w:b/>
          <w:bCs/>
          <w:spacing w:val="-20"/>
          <w:kern w:val="44"/>
          <w:sz w:val="44"/>
          <w:szCs w:val="44"/>
        </w:rPr>
      </w:pPr>
    </w:p>
    <w:p w14:paraId="0A05C8EB">
      <w:pPr>
        <w:spacing w:line="480" w:lineRule="auto"/>
        <w:jc w:val="center"/>
        <w:outlineLvl w:val="1"/>
        <w:rPr>
          <w:rFonts w:cs="宋体"/>
          <w:b/>
          <w:bCs/>
          <w:spacing w:val="-20"/>
          <w:kern w:val="44"/>
          <w:sz w:val="44"/>
          <w:szCs w:val="44"/>
        </w:rPr>
      </w:pPr>
      <w:bookmarkStart w:id="432" w:name="_Toc5459"/>
      <w:r>
        <w:rPr>
          <w:rFonts w:hint="eastAsia" w:cs="宋体"/>
          <w:b/>
          <w:bCs/>
          <w:spacing w:val="-20"/>
          <w:kern w:val="44"/>
          <w:sz w:val="44"/>
          <w:szCs w:val="44"/>
        </w:rPr>
        <w:t>政府采购合同参考范本</w:t>
      </w:r>
      <w:bookmarkEnd w:id="427"/>
      <w:bookmarkEnd w:id="428"/>
      <w:bookmarkEnd w:id="432"/>
    </w:p>
    <w:p w14:paraId="1AF9A176">
      <w:pPr>
        <w:spacing w:line="480" w:lineRule="auto"/>
        <w:jc w:val="center"/>
        <w:outlineLvl w:val="1"/>
        <w:rPr>
          <w:rFonts w:cs="宋体"/>
          <w:b/>
          <w:sz w:val="28"/>
          <w:szCs w:val="28"/>
        </w:rPr>
      </w:pPr>
      <w:bookmarkStart w:id="433" w:name="_Toc15491"/>
      <w:bookmarkStart w:id="434" w:name="_Toc8560"/>
      <w:bookmarkStart w:id="435" w:name="_Toc20418"/>
      <w:r>
        <w:rPr>
          <w:rFonts w:hint="eastAsia" w:cs="宋体"/>
          <w:b/>
          <w:bCs/>
          <w:spacing w:val="-20"/>
          <w:kern w:val="44"/>
          <w:sz w:val="44"/>
          <w:szCs w:val="44"/>
        </w:rPr>
        <w:t>（服务类）</w:t>
      </w:r>
      <w:bookmarkEnd w:id="433"/>
      <w:bookmarkEnd w:id="434"/>
      <w:bookmarkEnd w:id="435"/>
    </w:p>
    <w:p w14:paraId="1E0C584B">
      <w:pPr>
        <w:overflowPunct w:val="0"/>
        <w:spacing w:line="440" w:lineRule="exact"/>
        <w:rPr>
          <w:rFonts w:hint="eastAsia" w:ascii="宋体" w:hAnsi="宋体" w:eastAsia="宋体" w:cs="宋体"/>
          <w:sz w:val="28"/>
          <w:szCs w:val="36"/>
          <w:highlight w:val="none"/>
        </w:rPr>
      </w:pPr>
    </w:p>
    <w:p w14:paraId="0FC2B962">
      <w:pPr>
        <w:overflowPunct w:val="0"/>
        <w:spacing w:line="440" w:lineRule="exact"/>
        <w:jc w:val="center"/>
        <w:rPr>
          <w:rFonts w:hint="eastAsia" w:ascii="宋体" w:hAnsi="宋体" w:eastAsia="宋体" w:cs="宋体"/>
          <w:sz w:val="28"/>
          <w:szCs w:val="36"/>
          <w:highlight w:val="none"/>
          <w:lang w:eastAsia="zh-CN"/>
        </w:rPr>
      </w:pPr>
      <w:bookmarkStart w:id="436" w:name="_Toc22800"/>
      <w:bookmarkStart w:id="437" w:name="_Toc2449"/>
      <w:r>
        <w:rPr>
          <w:rFonts w:hint="eastAsia" w:ascii="宋体" w:hAnsi="宋体" w:eastAsia="宋体" w:cs="宋体"/>
          <w:sz w:val="28"/>
          <w:szCs w:val="36"/>
          <w:highlight w:val="none"/>
          <w:lang w:eastAsia="zh-CN"/>
        </w:rPr>
        <w:t>第一部分</w:t>
      </w:r>
      <w:r>
        <w:rPr>
          <w:rFonts w:hint="eastAsia" w:cs="宋体"/>
          <w:sz w:val="28"/>
          <w:szCs w:val="36"/>
          <w:highlight w:val="none"/>
          <w:lang w:val="en-US" w:eastAsia="zh-CN"/>
        </w:rPr>
        <w:t xml:space="preserve"> </w:t>
      </w:r>
      <w:r>
        <w:rPr>
          <w:rFonts w:hint="eastAsia" w:ascii="宋体" w:hAnsi="宋体" w:eastAsia="宋体" w:cs="宋体"/>
          <w:sz w:val="28"/>
          <w:szCs w:val="36"/>
          <w:highlight w:val="none"/>
          <w:lang w:eastAsia="zh-CN"/>
        </w:rPr>
        <w:t>合同书</w:t>
      </w:r>
      <w:bookmarkEnd w:id="436"/>
      <w:bookmarkEnd w:id="437"/>
    </w:p>
    <w:p w14:paraId="56EF813D">
      <w:pPr>
        <w:overflowPunct w:val="0"/>
        <w:spacing w:line="440" w:lineRule="exact"/>
        <w:jc w:val="right"/>
        <w:rPr>
          <w:rFonts w:hint="eastAsia" w:ascii="宋体" w:hAnsi="宋体" w:eastAsia="宋体" w:cs="宋体"/>
          <w:sz w:val="28"/>
          <w:szCs w:val="36"/>
          <w:highlight w:val="none"/>
        </w:rPr>
      </w:pPr>
    </w:p>
    <w:p w14:paraId="78C0D795">
      <w:pPr>
        <w:overflowPunct w:val="0"/>
        <w:spacing w:line="440" w:lineRule="exact"/>
        <w:jc w:val="right"/>
        <w:rPr>
          <w:rFonts w:hint="eastAsia" w:ascii="宋体" w:hAnsi="宋体" w:eastAsia="宋体" w:cs="宋体"/>
          <w:sz w:val="28"/>
          <w:szCs w:val="36"/>
          <w:highlight w:val="none"/>
        </w:rPr>
      </w:pPr>
    </w:p>
    <w:p w14:paraId="7F4D85A9">
      <w:pPr>
        <w:spacing w:before="120" w:line="480" w:lineRule="auto"/>
        <w:ind w:left="960"/>
        <w:rPr>
          <w:rFonts w:hint="eastAsia" w:cs="宋体"/>
          <w:szCs w:val="24"/>
          <w:lang w:eastAsia="zh-CN"/>
        </w:rPr>
      </w:pPr>
    </w:p>
    <w:p w14:paraId="5EF3CAE9">
      <w:pPr>
        <w:spacing w:before="120" w:line="480" w:lineRule="auto"/>
        <w:ind w:left="960"/>
        <w:rPr>
          <w:rFonts w:hint="eastAsia" w:cs="宋体"/>
          <w:szCs w:val="24"/>
          <w:lang w:eastAsia="zh-CN"/>
        </w:rPr>
      </w:pPr>
    </w:p>
    <w:p w14:paraId="2BCC76D5">
      <w:pPr>
        <w:spacing w:before="120" w:line="480" w:lineRule="auto"/>
        <w:ind w:left="960"/>
        <w:rPr>
          <w:rFonts w:hint="eastAsia" w:cs="宋体"/>
          <w:szCs w:val="24"/>
          <w:lang w:eastAsia="zh-CN"/>
        </w:rPr>
      </w:pPr>
    </w:p>
    <w:p w14:paraId="6F2AE836">
      <w:pPr>
        <w:spacing w:before="120" w:line="480" w:lineRule="auto"/>
        <w:ind w:left="960"/>
        <w:rPr>
          <w:rFonts w:cs="宋体"/>
          <w:szCs w:val="24"/>
          <w:u w:val="single"/>
        </w:rPr>
      </w:pPr>
      <w:r>
        <w:rPr>
          <w:rFonts w:hint="eastAsia" w:cs="宋体"/>
          <w:szCs w:val="24"/>
        </w:rPr>
        <w:t>项目名称：（分包项目须填写完整的分包号及分包名称）</w:t>
      </w:r>
    </w:p>
    <w:p w14:paraId="5C1B4179">
      <w:pPr>
        <w:spacing w:before="120" w:line="480" w:lineRule="auto"/>
        <w:ind w:left="960"/>
        <w:rPr>
          <w:rFonts w:cs="宋体"/>
          <w:szCs w:val="24"/>
        </w:rPr>
      </w:pPr>
      <w:r>
        <w:rPr>
          <w:rFonts w:hint="eastAsia" w:cs="宋体"/>
          <w:szCs w:val="24"/>
        </w:rPr>
        <w:t>项目编号/包号：</w:t>
      </w:r>
    </w:p>
    <w:p w14:paraId="1CABA17D">
      <w:pPr>
        <w:spacing w:before="120" w:line="480" w:lineRule="auto"/>
        <w:ind w:left="960"/>
        <w:rPr>
          <w:rFonts w:cs="宋体"/>
          <w:szCs w:val="24"/>
          <w:u w:val="single"/>
        </w:rPr>
      </w:pPr>
      <w:r>
        <w:rPr>
          <w:rFonts w:hint="eastAsia" w:cs="宋体"/>
          <w:szCs w:val="24"/>
        </w:rPr>
        <w:t>甲方（采购人）：</w:t>
      </w:r>
    </w:p>
    <w:p w14:paraId="7F5F0CC7">
      <w:pPr>
        <w:spacing w:before="120" w:line="480" w:lineRule="auto"/>
        <w:ind w:left="960"/>
        <w:rPr>
          <w:rFonts w:cs="宋体"/>
          <w:szCs w:val="24"/>
          <w:u w:val="single"/>
        </w:rPr>
      </w:pPr>
      <w:r>
        <w:rPr>
          <w:rFonts w:hint="eastAsia" w:cs="宋体"/>
          <w:szCs w:val="24"/>
        </w:rPr>
        <w:t>乙方（成交人）：</w:t>
      </w:r>
    </w:p>
    <w:p w14:paraId="7C7A1C5C">
      <w:pPr>
        <w:spacing w:before="120" w:line="480" w:lineRule="auto"/>
        <w:ind w:firstLine="960" w:firstLineChars="400"/>
        <w:rPr>
          <w:rFonts w:cs="宋体"/>
          <w:szCs w:val="24"/>
          <w:u w:val="single"/>
        </w:rPr>
      </w:pPr>
      <w:r>
        <w:rPr>
          <w:rFonts w:hint="eastAsia" w:cs="宋体"/>
          <w:szCs w:val="24"/>
        </w:rPr>
        <w:t>签订地：</w:t>
      </w:r>
    </w:p>
    <w:p w14:paraId="739EEF2D">
      <w:pPr>
        <w:spacing w:before="120" w:line="480" w:lineRule="auto"/>
        <w:ind w:firstLine="960" w:firstLineChars="400"/>
        <w:rPr>
          <w:rFonts w:cs="宋体"/>
          <w:szCs w:val="24"/>
        </w:rPr>
      </w:pPr>
      <w:r>
        <w:rPr>
          <w:rFonts w:hint="eastAsia" w:cs="宋体"/>
          <w:szCs w:val="24"/>
        </w:rPr>
        <w:t>签订日期：年月日</w:t>
      </w:r>
    </w:p>
    <w:p w14:paraId="62FE0445">
      <w:pPr>
        <w:overflowPunct w:val="0"/>
        <w:spacing w:line="440" w:lineRule="exact"/>
        <w:rPr>
          <w:rFonts w:hint="eastAsia" w:ascii="宋体" w:hAnsi="宋体" w:eastAsia="宋体" w:cs="宋体"/>
          <w:highlight w:val="none"/>
        </w:rPr>
      </w:pPr>
    </w:p>
    <w:p w14:paraId="244CF9A9">
      <w:pPr>
        <w:keepNext w:val="0"/>
        <w:keepLines w:val="0"/>
        <w:pageBreakBefore w:val="0"/>
        <w:widowControl/>
        <w:suppressLineNumbers w:val="0"/>
        <w:kinsoku/>
        <w:wordWrap/>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000000"/>
          <w:kern w:val="0"/>
          <w:sz w:val="24"/>
          <w:szCs w:val="24"/>
          <w:highlight w:val="none"/>
          <w:lang w:val="en-US" w:eastAsia="zh-CN" w:bidi="ar"/>
        </w:rPr>
      </w:pPr>
      <w:r>
        <w:rPr>
          <w:rFonts w:hint="eastAsia" w:ascii="宋体" w:hAnsi="宋体" w:eastAsia="宋体" w:cs="宋体"/>
          <w:b w:val="0"/>
          <w:bCs w:val="0"/>
          <w:color w:val="000000"/>
          <w:kern w:val="0"/>
          <w:sz w:val="24"/>
          <w:szCs w:val="24"/>
          <w:highlight w:val="none"/>
          <w:lang w:val="en-US" w:eastAsia="zh-CN" w:bidi="ar"/>
        </w:rPr>
        <w:t>甲方（采购方）：</w:t>
      </w:r>
      <w:r>
        <w:rPr>
          <w:rFonts w:hint="eastAsia" w:cs="宋体"/>
          <w:b w:val="0"/>
          <w:bCs w:val="0"/>
          <w:color w:val="000000"/>
          <w:kern w:val="0"/>
          <w:sz w:val="24"/>
          <w:szCs w:val="24"/>
          <w:highlight w:val="none"/>
          <w:lang w:val="en-US" w:eastAsia="zh-CN" w:bidi="ar"/>
        </w:rPr>
        <w:t>和田市卫生健康委员会</w:t>
      </w:r>
    </w:p>
    <w:p w14:paraId="43389241">
      <w:pPr>
        <w:keepNext w:val="0"/>
        <w:keepLines w:val="0"/>
        <w:pageBreakBefore w:val="0"/>
        <w:widowControl/>
        <w:suppressLineNumbers w:val="0"/>
        <w:kinsoku/>
        <w:wordWrap/>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000000"/>
          <w:kern w:val="0"/>
          <w:sz w:val="24"/>
          <w:szCs w:val="24"/>
          <w:highlight w:val="none"/>
          <w:lang w:val="en-US" w:eastAsia="zh-CN" w:bidi="ar"/>
        </w:rPr>
      </w:pPr>
      <w:r>
        <w:rPr>
          <w:rFonts w:hint="eastAsia" w:ascii="宋体" w:hAnsi="宋体" w:eastAsia="宋体" w:cs="宋体"/>
          <w:b w:val="0"/>
          <w:bCs w:val="0"/>
          <w:color w:val="000000"/>
          <w:kern w:val="0"/>
          <w:sz w:val="24"/>
          <w:szCs w:val="24"/>
          <w:highlight w:val="none"/>
          <w:lang w:val="en-US" w:eastAsia="zh-CN" w:bidi="ar"/>
        </w:rPr>
        <w:t>乙方（投标人）：</w:t>
      </w:r>
    </w:p>
    <w:p w14:paraId="1C8A5C32">
      <w:pPr>
        <w:keepNext w:val="0"/>
        <w:keepLines w:val="0"/>
        <w:pageBreakBefore w:val="0"/>
        <w:widowControl/>
        <w:suppressLineNumbers w:val="0"/>
        <w:kinsoku/>
        <w:wordWrap/>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000000"/>
          <w:kern w:val="0"/>
          <w:sz w:val="24"/>
          <w:szCs w:val="24"/>
          <w:highlight w:val="none"/>
          <w:lang w:val="en-US" w:eastAsia="zh-CN" w:bidi="ar"/>
        </w:rPr>
      </w:pPr>
    </w:p>
    <w:p w14:paraId="06057DC4">
      <w:pPr>
        <w:keepNext w:val="0"/>
        <w:keepLines w:val="0"/>
        <w:pageBreakBefore w:val="0"/>
        <w:widowControl/>
        <w:suppressLineNumbers w:val="0"/>
        <w:kinsoku/>
        <w:wordWrap/>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b w:val="0"/>
          <w:bCs w:val="0"/>
          <w:color w:val="000000"/>
          <w:kern w:val="0"/>
          <w:sz w:val="24"/>
          <w:szCs w:val="24"/>
          <w:highlight w:val="none"/>
          <w:lang w:val="en-US" w:eastAsia="zh-CN" w:bidi="ar"/>
        </w:rPr>
        <w:t>甲乙双方根据政府采购的有关规定，和中标通知书的要求，经双方友好协商，一致同意达成如下内容，特订立本合同，以便共同遵守。</w:t>
      </w:r>
    </w:p>
    <w:p w14:paraId="3AC80F91">
      <w:pPr>
        <w:keepNext w:val="0"/>
        <w:keepLines w:val="0"/>
        <w:pageBreakBefore w:val="0"/>
        <w:widowControl/>
        <w:suppressLineNumbers w:val="0"/>
        <w:kinsoku/>
        <w:wordWrap/>
        <w:topLinePunct w:val="0"/>
        <w:autoSpaceDE/>
        <w:autoSpaceDN/>
        <w:bidi w:val="0"/>
        <w:adjustRightInd/>
        <w:snapToGrid/>
        <w:spacing w:line="360" w:lineRule="auto"/>
        <w:ind w:firstLine="482" w:firstLineChars="200"/>
        <w:jc w:val="left"/>
        <w:textAlignment w:val="auto"/>
        <w:rPr>
          <w:rFonts w:hint="eastAsia" w:ascii="宋体" w:hAnsi="宋体" w:eastAsia="宋体" w:cs="宋体"/>
          <w:sz w:val="24"/>
          <w:szCs w:val="24"/>
          <w:highlight w:val="none"/>
        </w:rPr>
      </w:pPr>
      <w:r>
        <w:rPr>
          <w:rFonts w:hint="eastAsia" w:ascii="宋体" w:hAnsi="宋体" w:eastAsia="宋体" w:cs="宋体"/>
          <w:b/>
          <w:bCs/>
          <w:color w:val="000000"/>
          <w:kern w:val="0"/>
          <w:sz w:val="24"/>
          <w:szCs w:val="24"/>
          <w:highlight w:val="none"/>
          <w:lang w:val="en-US" w:eastAsia="zh-CN" w:bidi="ar"/>
        </w:rPr>
        <w:t>第一条：合同标的</w:t>
      </w:r>
    </w:p>
    <w:p w14:paraId="019FB78E">
      <w:pPr>
        <w:keepNext w:val="0"/>
        <w:keepLines w:val="0"/>
        <w:pageBreakBefore w:val="0"/>
        <w:widowControl/>
        <w:suppressLineNumbers w:val="0"/>
        <w:kinsoku/>
        <w:wordWrap/>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b w:val="0"/>
          <w:bCs w:val="0"/>
          <w:color w:val="000000"/>
          <w:kern w:val="0"/>
          <w:sz w:val="24"/>
          <w:szCs w:val="24"/>
          <w:highlight w:val="none"/>
          <w:lang w:val="en-US" w:eastAsia="zh-CN" w:bidi="ar"/>
        </w:rPr>
        <w:t>采购需求所列明的服务。</w:t>
      </w:r>
    </w:p>
    <w:p w14:paraId="165C0743">
      <w:pPr>
        <w:keepNext w:val="0"/>
        <w:keepLines w:val="0"/>
        <w:pageBreakBefore w:val="0"/>
        <w:widowControl/>
        <w:suppressLineNumbers w:val="0"/>
        <w:kinsoku/>
        <w:wordWrap/>
        <w:topLinePunct w:val="0"/>
        <w:autoSpaceDE/>
        <w:autoSpaceDN/>
        <w:bidi w:val="0"/>
        <w:adjustRightInd/>
        <w:snapToGrid/>
        <w:spacing w:line="360" w:lineRule="auto"/>
        <w:ind w:firstLine="482" w:firstLineChars="200"/>
        <w:jc w:val="left"/>
        <w:textAlignment w:val="auto"/>
        <w:rPr>
          <w:rFonts w:hint="eastAsia" w:ascii="宋体" w:hAnsi="宋体" w:eastAsia="宋体" w:cs="宋体"/>
          <w:sz w:val="24"/>
          <w:szCs w:val="24"/>
          <w:highlight w:val="none"/>
        </w:rPr>
      </w:pPr>
      <w:r>
        <w:rPr>
          <w:rFonts w:hint="eastAsia" w:ascii="宋体" w:hAnsi="宋体" w:eastAsia="宋体" w:cs="宋体"/>
          <w:b/>
          <w:bCs/>
          <w:color w:val="000000"/>
          <w:kern w:val="0"/>
          <w:sz w:val="24"/>
          <w:szCs w:val="24"/>
          <w:highlight w:val="none"/>
          <w:lang w:val="en-US" w:eastAsia="zh-CN" w:bidi="ar"/>
        </w:rPr>
        <w:t>第二条：合同价格</w:t>
      </w:r>
    </w:p>
    <w:p w14:paraId="2B5A3928">
      <w:pPr>
        <w:keepNext w:val="0"/>
        <w:keepLines w:val="0"/>
        <w:pageBreakBefore w:val="0"/>
        <w:widowControl/>
        <w:numPr>
          <w:ilvl w:val="0"/>
          <w:numId w:val="3"/>
        </w:numPr>
        <w:suppressLineNumbers w:val="0"/>
        <w:kinsoku/>
        <w:wordWrap/>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000000"/>
          <w:kern w:val="0"/>
          <w:sz w:val="24"/>
          <w:szCs w:val="24"/>
          <w:highlight w:val="none"/>
          <w:lang w:val="en-US" w:eastAsia="zh-CN" w:bidi="ar"/>
        </w:rPr>
      </w:pPr>
      <w:r>
        <w:rPr>
          <w:rFonts w:hint="eastAsia" w:ascii="宋体" w:hAnsi="宋体" w:eastAsia="宋体" w:cs="宋体"/>
          <w:b w:val="0"/>
          <w:bCs w:val="0"/>
          <w:color w:val="000000"/>
          <w:kern w:val="0"/>
          <w:sz w:val="24"/>
          <w:szCs w:val="24"/>
          <w:highlight w:val="none"/>
          <w:lang w:val="en-US" w:eastAsia="zh-CN" w:bidi="ar"/>
        </w:rPr>
        <w:t>总价为人民币（大写）：元整。</w:t>
      </w:r>
    </w:p>
    <w:p w14:paraId="64EA9E2A">
      <w:pPr>
        <w:keepNext w:val="0"/>
        <w:keepLines w:val="0"/>
        <w:pageBreakBefore w:val="0"/>
        <w:widowControl/>
        <w:numPr>
          <w:ilvl w:val="0"/>
          <w:numId w:val="0"/>
        </w:numPr>
        <w:suppressLineNumbers w:val="0"/>
        <w:kinsoku/>
        <w:wordWrap/>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b w:val="0"/>
          <w:bCs w:val="0"/>
          <w:color w:val="000000"/>
          <w:kern w:val="0"/>
          <w:sz w:val="24"/>
          <w:szCs w:val="24"/>
          <w:highlight w:val="none"/>
          <w:lang w:val="en-US" w:eastAsia="zh-CN" w:bidi="ar"/>
        </w:rPr>
        <w:t>2、合同价格中包含本采购文件约定的所有工作内容及相关费用。</w:t>
      </w:r>
    </w:p>
    <w:p w14:paraId="72A2ABEF">
      <w:pPr>
        <w:keepNext w:val="0"/>
        <w:keepLines w:val="0"/>
        <w:pageBreakBefore w:val="0"/>
        <w:widowControl/>
        <w:suppressLineNumbers w:val="0"/>
        <w:kinsoku/>
        <w:wordWrap/>
        <w:topLinePunct w:val="0"/>
        <w:autoSpaceDE/>
        <w:autoSpaceDN/>
        <w:bidi w:val="0"/>
        <w:adjustRightInd/>
        <w:snapToGrid/>
        <w:spacing w:line="360" w:lineRule="auto"/>
        <w:ind w:firstLine="482" w:firstLineChars="200"/>
        <w:jc w:val="left"/>
        <w:textAlignment w:val="auto"/>
        <w:rPr>
          <w:rFonts w:hint="eastAsia" w:ascii="宋体" w:hAnsi="宋体" w:eastAsia="宋体" w:cs="宋体"/>
          <w:sz w:val="24"/>
          <w:szCs w:val="24"/>
          <w:highlight w:val="none"/>
        </w:rPr>
      </w:pPr>
      <w:r>
        <w:rPr>
          <w:rFonts w:hint="eastAsia" w:ascii="宋体" w:hAnsi="宋体" w:eastAsia="宋体" w:cs="宋体"/>
          <w:b/>
          <w:bCs/>
          <w:color w:val="000000"/>
          <w:kern w:val="0"/>
          <w:sz w:val="24"/>
          <w:szCs w:val="24"/>
          <w:highlight w:val="none"/>
          <w:lang w:val="en-US" w:eastAsia="zh-CN" w:bidi="ar"/>
        </w:rPr>
        <w:t>第三条：付款方式</w:t>
      </w:r>
    </w:p>
    <w:p w14:paraId="30C0938C">
      <w:pPr>
        <w:keepNext w:val="0"/>
        <w:keepLines w:val="0"/>
        <w:pageBreakBefore w:val="0"/>
        <w:widowControl/>
        <w:numPr>
          <w:ilvl w:val="0"/>
          <w:numId w:val="4"/>
        </w:numPr>
        <w:suppressLineNumbers w:val="0"/>
        <w:kinsoku/>
        <w:wordWrap/>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000000"/>
          <w:kern w:val="0"/>
          <w:sz w:val="24"/>
          <w:szCs w:val="24"/>
          <w:highlight w:val="none"/>
          <w:lang w:val="en-US" w:eastAsia="zh-CN" w:bidi="ar"/>
        </w:rPr>
      </w:pPr>
      <w:r>
        <w:rPr>
          <w:rFonts w:hint="eastAsia" w:ascii="宋体" w:hAnsi="宋体" w:eastAsia="宋体" w:cs="宋体"/>
          <w:b w:val="0"/>
          <w:bCs w:val="0"/>
          <w:color w:val="000000"/>
          <w:kern w:val="0"/>
          <w:sz w:val="24"/>
          <w:szCs w:val="24"/>
          <w:highlight w:val="none"/>
          <w:lang w:val="en-US" w:eastAsia="zh-CN" w:bidi="ar"/>
        </w:rPr>
        <w:t>甲乙双方确认的货款结算依据：投标文件、中标（成交）通知书，采购合同书，乙方开具的发票，甲方出具的验收结算书等。</w:t>
      </w:r>
    </w:p>
    <w:p w14:paraId="219AE3BC">
      <w:pPr>
        <w:keepNext w:val="0"/>
        <w:keepLines w:val="0"/>
        <w:pageBreakBefore w:val="0"/>
        <w:widowControl/>
        <w:numPr>
          <w:ilvl w:val="0"/>
          <w:numId w:val="0"/>
        </w:numPr>
        <w:suppressLineNumbers w:val="0"/>
        <w:kinsoku/>
        <w:wordWrap/>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b w:val="0"/>
          <w:bCs w:val="0"/>
          <w:color w:val="000000"/>
          <w:kern w:val="0"/>
          <w:sz w:val="24"/>
          <w:szCs w:val="24"/>
          <w:highlight w:val="none"/>
          <w:lang w:val="en-US" w:eastAsia="zh-CN" w:bidi="ar"/>
        </w:rPr>
        <w:t>2、乙方须向甲方出具合法有效完整的完税发票及凭证资料进行支付结算。</w:t>
      </w:r>
    </w:p>
    <w:p w14:paraId="5519FEE3">
      <w:pPr>
        <w:keepNext w:val="0"/>
        <w:keepLines w:val="0"/>
        <w:pageBreakBefore w:val="0"/>
        <w:widowControl/>
        <w:suppressLineNumbers w:val="0"/>
        <w:kinsoku/>
        <w:wordWrap/>
        <w:topLinePunct w:val="0"/>
        <w:autoSpaceDE/>
        <w:autoSpaceDN/>
        <w:bidi w:val="0"/>
        <w:adjustRightInd/>
        <w:snapToGrid/>
        <w:spacing w:line="360" w:lineRule="auto"/>
        <w:ind w:firstLine="482" w:firstLineChars="200"/>
        <w:jc w:val="left"/>
        <w:textAlignment w:val="auto"/>
        <w:rPr>
          <w:rFonts w:hint="eastAsia" w:ascii="宋体" w:hAnsi="宋体" w:eastAsia="宋体" w:cs="宋体"/>
          <w:sz w:val="24"/>
          <w:szCs w:val="24"/>
          <w:highlight w:val="none"/>
        </w:rPr>
      </w:pPr>
      <w:r>
        <w:rPr>
          <w:rFonts w:hint="eastAsia" w:ascii="宋体" w:hAnsi="宋体" w:eastAsia="宋体" w:cs="宋体"/>
          <w:b/>
          <w:bCs/>
          <w:color w:val="000000"/>
          <w:kern w:val="0"/>
          <w:sz w:val="24"/>
          <w:szCs w:val="24"/>
          <w:highlight w:val="none"/>
          <w:lang w:val="en-US" w:eastAsia="zh-CN" w:bidi="ar"/>
        </w:rPr>
        <w:t>第四条：服务要求</w:t>
      </w:r>
    </w:p>
    <w:p w14:paraId="0717770E">
      <w:pPr>
        <w:keepNext w:val="0"/>
        <w:keepLines w:val="0"/>
        <w:pageBreakBefore w:val="0"/>
        <w:widowControl/>
        <w:numPr>
          <w:ilvl w:val="0"/>
          <w:numId w:val="5"/>
        </w:numPr>
        <w:suppressLineNumbers w:val="0"/>
        <w:kinsoku/>
        <w:wordWrap/>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000000"/>
          <w:kern w:val="0"/>
          <w:sz w:val="24"/>
          <w:szCs w:val="24"/>
          <w:highlight w:val="none"/>
          <w:lang w:val="en-US" w:eastAsia="zh-CN" w:bidi="ar"/>
        </w:rPr>
      </w:pPr>
      <w:r>
        <w:rPr>
          <w:rFonts w:hint="eastAsia" w:ascii="宋体" w:hAnsi="宋体" w:eastAsia="宋体" w:cs="宋体"/>
          <w:b w:val="0"/>
          <w:bCs w:val="0"/>
          <w:color w:val="000000"/>
          <w:kern w:val="0"/>
          <w:sz w:val="24"/>
          <w:szCs w:val="24"/>
          <w:highlight w:val="none"/>
          <w:lang w:val="en-US" w:eastAsia="zh-CN" w:bidi="ar"/>
        </w:rPr>
        <w:t>履约期限：。</w:t>
      </w:r>
    </w:p>
    <w:p w14:paraId="16D42585">
      <w:pPr>
        <w:keepNext w:val="0"/>
        <w:keepLines w:val="0"/>
        <w:pageBreakBefore w:val="0"/>
        <w:widowControl/>
        <w:numPr>
          <w:ilvl w:val="0"/>
          <w:numId w:val="5"/>
        </w:numPr>
        <w:suppressLineNumbers w:val="0"/>
        <w:kinsoku/>
        <w:wordWrap/>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b w:val="0"/>
          <w:bCs w:val="0"/>
          <w:color w:val="000000"/>
          <w:kern w:val="0"/>
          <w:sz w:val="24"/>
          <w:szCs w:val="24"/>
          <w:highlight w:val="none"/>
          <w:lang w:val="en-US" w:eastAsia="zh-CN" w:bidi="ar"/>
        </w:rPr>
      </w:pPr>
      <w:r>
        <w:rPr>
          <w:rFonts w:hint="eastAsia" w:ascii="宋体" w:hAnsi="宋体" w:eastAsia="宋体" w:cs="宋体"/>
          <w:b w:val="0"/>
          <w:bCs w:val="0"/>
          <w:color w:val="000000"/>
          <w:kern w:val="0"/>
          <w:sz w:val="24"/>
          <w:szCs w:val="24"/>
          <w:highlight w:val="none"/>
          <w:lang w:val="en-US" w:eastAsia="zh-CN" w:bidi="ar"/>
        </w:rPr>
        <w:t>乙方应无条件接受甲方对工作进度的调查和督促，因成果质量造成的返工、修改，经济损失由乙方承担。</w:t>
      </w:r>
    </w:p>
    <w:p w14:paraId="6838C032">
      <w:pPr>
        <w:keepNext w:val="0"/>
        <w:keepLines w:val="0"/>
        <w:pageBreakBefore w:val="0"/>
        <w:widowControl/>
        <w:numPr>
          <w:ilvl w:val="0"/>
          <w:numId w:val="5"/>
        </w:numPr>
        <w:suppressLineNumbers w:val="0"/>
        <w:kinsoku/>
        <w:wordWrap/>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color w:val="000000"/>
          <w:kern w:val="0"/>
          <w:sz w:val="24"/>
          <w:szCs w:val="24"/>
          <w:highlight w:val="none"/>
          <w:lang w:val="en-US" w:eastAsia="zh-CN" w:bidi="ar"/>
        </w:rPr>
        <w:t>甲方在验收过程中发现乙方有违约问题，可按招标文件、投标文件的规定要求乙方及时予以解决。</w:t>
      </w:r>
    </w:p>
    <w:p w14:paraId="2818FD66">
      <w:pPr>
        <w:keepNext w:val="0"/>
        <w:keepLines w:val="0"/>
        <w:pageBreakBefore w:val="0"/>
        <w:widowControl/>
        <w:numPr>
          <w:ilvl w:val="0"/>
          <w:numId w:val="5"/>
        </w:numPr>
        <w:suppressLineNumbers w:val="0"/>
        <w:kinsoku/>
        <w:wordWrap/>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color w:val="000000"/>
          <w:kern w:val="0"/>
          <w:sz w:val="24"/>
          <w:szCs w:val="24"/>
          <w:highlight w:val="none"/>
          <w:lang w:val="en-US" w:eastAsia="zh-CN" w:bidi="ar"/>
        </w:rPr>
        <w:t>未经甲方同意，乙方不得对本项目进行转包分包。</w:t>
      </w:r>
    </w:p>
    <w:p w14:paraId="2FFBC7B0">
      <w:pPr>
        <w:keepNext w:val="0"/>
        <w:keepLines w:val="0"/>
        <w:pageBreakBefore w:val="0"/>
        <w:widowControl/>
        <w:numPr>
          <w:ilvl w:val="0"/>
          <w:numId w:val="5"/>
        </w:numPr>
        <w:suppressLineNumbers w:val="0"/>
        <w:kinsoku/>
        <w:wordWrap/>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color w:val="000000"/>
          <w:kern w:val="0"/>
          <w:sz w:val="24"/>
          <w:szCs w:val="24"/>
          <w:highlight w:val="none"/>
          <w:lang w:val="en-US" w:eastAsia="zh-CN" w:bidi="ar"/>
        </w:rPr>
        <w:t>质量标准：合格；质量符合国家、地方和行业相关标准和规范及招标人采购需求所包含的内容。</w:t>
      </w:r>
    </w:p>
    <w:p w14:paraId="339A576D">
      <w:pPr>
        <w:keepNext w:val="0"/>
        <w:keepLines w:val="0"/>
        <w:pageBreakBefore w:val="0"/>
        <w:widowControl/>
        <w:numPr>
          <w:ilvl w:val="0"/>
          <w:numId w:val="5"/>
        </w:numPr>
        <w:suppressLineNumbers w:val="0"/>
        <w:kinsoku/>
        <w:wordWrap/>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color w:val="000000"/>
          <w:kern w:val="0"/>
          <w:sz w:val="24"/>
          <w:szCs w:val="24"/>
          <w:highlight w:val="none"/>
          <w:lang w:val="en-US" w:eastAsia="zh-CN" w:bidi="ar"/>
        </w:rPr>
        <w:t>验收标准：①、严格按照招标文件要求和中标投标人投标文件内容进行验收。②、严格按照政府采购相关法律法规的要求进行验收。③、采购人可根据项目情况邀请专家进行验收。</w:t>
      </w:r>
    </w:p>
    <w:p w14:paraId="06E859CE">
      <w:pPr>
        <w:keepNext w:val="0"/>
        <w:keepLines w:val="0"/>
        <w:pageBreakBefore w:val="0"/>
        <w:widowControl/>
        <w:suppressLineNumbers w:val="0"/>
        <w:kinsoku/>
        <w:wordWrap/>
        <w:topLinePunct w:val="0"/>
        <w:autoSpaceDE/>
        <w:autoSpaceDN/>
        <w:bidi w:val="0"/>
        <w:adjustRightInd/>
        <w:snapToGrid/>
        <w:spacing w:line="360" w:lineRule="auto"/>
        <w:ind w:firstLine="482" w:firstLineChars="200"/>
        <w:jc w:val="left"/>
        <w:textAlignment w:val="auto"/>
        <w:rPr>
          <w:rFonts w:hint="eastAsia" w:ascii="宋体" w:hAnsi="宋体" w:eastAsia="宋体" w:cs="宋体"/>
          <w:sz w:val="24"/>
          <w:szCs w:val="24"/>
          <w:highlight w:val="none"/>
        </w:rPr>
      </w:pPr>
      <w:r>
        <w:rPr>
          <w:rFonts w:hint="eastAsia" w:ascii="宋体" w:hAnsi="宋体" w:eastAsia="宋体" w:cs="宋体"/>
          <w:b/>
          <w:bCs/>
          <w:color w:val="000000"/>
          <w:kern w:val="0"/>
          <w:sz w:val="24"/>
          <w:szCs w:val="24"/>
          <w:highlight w:val="none"/>
          <w:lang w:val="en-US" w:eastAsia="zh-CN" w:bidi="ar"/>
        </w:rPr>
        <w:t>第五条：本合同的有效组成文件：</w:t>
      </w:r>
    </w:p>
    <w:p w14:paraId="08E34A1B">
      <w:pPr>
        <w:keepNext w:val="0"/>
        <w:keepLines w:val="0"/>
        <w:pageBreakBefore w:val="0"/>
        <w:widowControl/>
        <w:suppressLineNumbers w:val="0"/>
        <w:kinsoku/>
        <w:wordWrap/>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b w:val="0"/>
          <w:bCs w:val="0"/>
          <w:color w:val="000000"/>
          <w:kern w:val="0"/>
          <w:sz w:val="24"/>
          <w:szCs w:val="24"/>
          <w:highlight w:val="none"/>
          <w:lang w:val="en-US" w:eastAsia="zh-CN" w:bidi="ar"/>
        </w:rPr>
        <w:t>1、投标文件。2、中标通知书。3、甲方出具的验货结算书。4、乙方所提供的其他承诺。</w:t>
      </w:r>
    </w:p>
    <w:p w14:paraId="691E1612">
      <w:pPr>
        <w:keepNext w:val="0"/>
        <w:keepLines w:val="0"/>
        <w:pageBreakBefore w:val="0"/>
        <w:widowControl/>
        <w:suppressLineNumbers w:val="0"/>
        <w:kinsoku/>
        <w:wordWrap/>
        <w:topLinePunct w:val="0"/>
        <w:autoSpaceDE/>
        <w:autoSpaceDN/>
        <w:bidi w:val="0"/>
        <w:adjustRightInd/>
        <w:snapToGrid/>
        <w:spacing w:line="360" w:lineRule="auto"/>
        <w:ind w:firstLine="482" w:firstLineChars="200"/>
        <w:jc w:val="left"/>
        <w:textAlignment w:val="auto"/>
        <w:rPr>
          <w:rFonts w:hint="eastAsia" w:ascii="宋体" w:hAnsi="宋体" w:eastAsia="宋体" w:cs="宋体"/>
          <w:sz w:val="24"/>
          <w:szCs w:val="24"/>
          <w:highlight w:val="none"/>
        </w:rPr>
      </w:pPr>
      <w:r>
        <w:rPr>
          <w:rFonts w:hint="eastAsia" w:ascii="宋体" w:hAnsi="宋体" w:eastAsia="宋体" w:cs="宋体"/>
          <w:b/>
          <w:bCs/>
          <w:color w:val="000000"/>
          <w:kern w:val="0"/>
          <w:sz w:val="24"/>
          <w:szCs w:val="24"/>
          <w:highlight w:val="none"/>
          <w:lang w:val="en-US" w:eastAsia="zh-CN" w:bidi="ar"/>
        </w:rPr>
        <w:t>第六条：违约责任：</w:t>
      </w:r>
    </w:p>
    <w:p w14:paraId="248B4754">
      <w:pPr>
        <w:keepNext w:val="0"/>
        <w:keepLines w:val="0"/>
        <w:pageBreakBefore w:val="0"/>
        <w:widowControl/>
        <w:suppressLineNumbers w:val="0"/>
        <w:kinsoku/>
        <w:wordWrap/>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b w:val="0"/>
          <w:bCs w:val="0"/>
          <w:color w:val="000000"/>
          <w:kern w:val="0"/>
          <w:sz w:val="24"/>
          <w:szCs w:val="24"/>
          <w:highlight w:val="none"/>
          <w:lang w:val="en-US" w:eastAsia="zh-CN" w:bidi="ar"/>
        </w:rPr>
        <w:t>1、因甲方原因造成乙方停工、返工及合同停止，乙方不承担违约责任。2、经甲方组织的人员审查发现，乙方未按甲方要求完成任务，或在项目实施过程中出现重大质量问题，甲方有权要求乙方返工。3、乙方未经甲方同意将项目中的全部或部分工作任务分包给第三方，或将项目转包给第三方承担，甲方有权要求乙方予以纠正或解除合同。4、乙方向甲方应提供与合同要求相符的服务，提交的所有资料成果必须保证真实可靠，且交付给甲方的成果不侵犯任何第三人的合法权益。若乙方向甲方提供的服务或交付的服务成果不符合合同约定，责令乙方重新提供服务、交付服务成果，以使服务达到合同要求，同时乙方承担一切费用和风险，负担甲方遭受的一切损失，并承担延迟提供服务、交付服务成果的责任；甲方解除合同，乙方将甲方</w:t>
      </w:r>
      <w:r>
        <w:rPr>
          <w:rFonts w:hint="eastAsia" w:cs="宋体"/>
          <w:b w:val="0"/>
          <w:bCs w:val="0"/>
          <w:color w:val="000000"/>
          <w:kern w:val="0"/>
          <w:sz w:val="24"/>
          <w:szCs w:val="24"/>
          <w:highlight w:val="none"/>
          <w:lang w:val="en-US" w:eastAsia="zh-CN" w:bidi="ar"/>
        </w:rPr>
        <w:t>已支</w:t>
      </w:r>
      <w:r>
        <w:rPr>
          <w:rFonts w:hint="eastAsia" w:ascii="宋体" w:hAnsi="宋体" w:eastAsia="宋体" w:cs="宋体"/>
          <w:b w:val="0"/>
          <w:bCs w:val="0"/>
          <w:color w:val="000000"/>
          <w:kern w:val="0"/>
          <w:sz w:val="24"/>
          <w:szCs w:val="24"/>
          <w:highlight w:val="none"/>
          <w:lang w:val="en-US" w:eastAsia="zh-CN" w:bidi="ar"/>
        </w:rPr>
        <w:t>付的所有款项退还甲方，乙方承担由此发生的一切损失和费用，并向甲方支付合同总价款2%的违约金。5、甲乙双方任何一方由于不可抗拒的原因不能履行合同时，应及时向对方通报不能履行或不能完全履行的理由，根据具体情况可部分或全部免于承担违约责任。6、双方必须严格执行《中华人民共和国民法典》的有关违约责任规定。</w:t>
      </w:r>
    </w:p>
    <w:p w14:paraId="2CCF0474">
      <w:pPr>
        <w:keepNext w:val="0"/>
        <w:keepLines w:val="0"/>
        <w:pageBreakBefore w:val="0"/>
        <w:widowControl/>
        <w:suppressLineNumbers w:val="0"/>
        <w:kinsoku/>
        <w:wordWrap/>
        <w:topLinePunct w:val="0"/>
        <w:autoSpaceDE/>
        <w:autoSpaceDN/>
        <w:bidi w:val="0"/>
        <w:adjustRightInd/>
        <w:snapToGrid/>
        <w:spacing w:line="360" w:lineRule="auto"/>
        <w:ind w:firstLine="482" w:firstLineChars="200"/>
        <w:jc w:val="left"/>
        <w:textAlignment w:val="auto"/>
        <w:rPr>
          <w:rFonts w:hint="eastAsia" w:ascii="宋体" w:hAnsi="宋体" w:eastAsia="宋体" w:cs="宋体"/>
          <w:sz w:val="24"/>
          <w:szCs w:val="24"/>
          <w:highlight w:val="none"/>
        </w:rPr>
      </w:pPr>
      <w:r>
        <w:rPr>
          <w:rFonts w:hint="eastAsia" w:ascii="宋体" w:hAnsi="宋体" w:eastAsia="宋体" w:cs="宋体"/>
          <w:b/>
          <w:bCs/>
          <w:color w:val="000000"/>
          <w:kern w:val="0"/>
          <w:sz w:val="24"/>
          <w:szCs w:val="24"/>
          <w:highlight w:val="none"/>
          <w:lang w:val="en-US" w:eastAsia="zh-CN" w:bidi="ar"/>
        </w:rPr>
        <w:t>第七条：不可抗力</w:t>
      </w:r>
    </w:p>
    <w:p w14:paraId="1E570100">
      <w:pPr>
        <w:keepNext w:val="0"/>
        <w:keepLines w:val="0"/>
        <w:pageBreakBefore w:val="0"/>
        <w:widowControl/>
        <w:suppressLineNumbers w:val="0"/>
        <w:kinsoku/>
        <w:wordWrap/>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b w:val="0"/>
          <w:bCs w:val="0"/>
          <w:color w:val="000000"/>
          <w:kern w:val="0"/>
          <w:sz w:val="24"/>
          <w:szCs w:val="24"/>
          <w:highlight w:val="none"/>
          <w:lang w:val="en-US" w:eastAsia="zh-CN" w:bidi="ar"/>
        </w:rPr>
        <w:t>1、本合同生效后发生不可抗力的，发生不可抗力的一方应立即通知对方和</w:t>
      </w:r>
      <w:r>
        <w:rPr>
          <w:rFonts w:hint="eastAsia" w:cs="宋体"/>
          <w:b w:val="0"/>
          <w:bCs w:val="0"/>
          <w:color w:val="000000"/>
          <w:kern w:val="0"/>
          <w:sz w:val="24"/>
          <w:szCs w:val="24"/>
          <w:highlight w:val="none"/>
          <w:lang w:val="en-US" w:eastAsia="zh-CN" w:bidi="ar"/>
        </w:rPr>
        <w:t>和田市卫生健康委员会</w:t>
      </w:r>
      <w:r>
        <w:rPr>
          <w:rFonts w:hint="eastAsia" w:ascii="宋体" w:hAnsi="宋体" w:eastAsia="宋体" w:cs="宋体"/>
          <w:b w:val="0"/>
          <w:bCs w:val="0"/>
          <w:color w:val="000000"/>
          <w:kern w:val="0"/>
          <w:sz w:val="24"/>
          <w:szCs w:val="24"/>
          <w:highlight w:val="none"/>
          <w:lang w:val="en-US" w:eastAsia="zh-CN" w:bidi="ar"/>
        </w:rPr>
        <w:t>，并在不可抗力发生之日起五天内提供不可抗力的详情及有关证明文件送交对方和</w:t>
      </w:r>
      <w:r>
        <w:rPr>
          <w:rFonts w:hint="eastAsia" w:cs="宋体"/>
          <w:b w:val="0"/>
          <w:bCs w:val="0"/>
          <w:color w:val="000000"/>
          <w:kern w:val="0"/>
          <w:sz w:val="24"/>
          <w:szCs w:val="24"/>
          <w:highlight w:val="none"/>
          <w:lang w:val="en-US" w:eastAsia="zh-CN" w:bidi="ar"/>
        </w:rPr>
        <w:t>和田市卫生健康委员会</w:t>
      </w:r>
      <w:r>
        <w:rPr>
          <w:rFonts w:hint="eastAsia" w:ascii="宋体" w:hAnsi="宋体" w:eastAsia="宋体" w:cs="宋体"/>
          <w:b w:val="0"/>
          <w:bCs w:val="0"/>
          <w:color w:val="000000"/>
          <w:kern w:val="0"/>
          <w:sz w:val="24"/>
          <w:szCs w:val="24"/>
          <w:highlight w:val="none"/>
          <w:lang w:val="en-US" w:eastAsia="zh-CN" w:bidi="ar"/>
        </w:rPr>
        <w:t>。2、发生不可抗力事件时，双方应协商以寻找一个合理的解决方法，并尽一切努力减轻不可抗力产生的后果。如不可抗力影响双方合同正常执行的，双方应友好协商解决本合同是否继续履行或终止。3、一方因不可抗力不能按本合同约定履行的，可以减轻或免除一方的违约责任，一方不能证明不能按本合同约定履行是因不可抗力的，应当承担本合同约定的违约和赔偿责任。</w:t>
      </w:r>
    </w:p>
    <w:p w14:paraId="07F66869">
      <w:pPr>
        <w:keepNext w:val="0"/>
        <w:keepLines w:val="0"/>
        <w:pageBreakBefore w:val="0"/>
        <w:widowControl/>
        <w:suppressLineNumbers w:val="0"/>
        <w:kinsoku/>
        <w:wordWrap/>
        <w:topLinePunct w:val="0"/>
        <w:autoSpaceDE/>
        <w:autoSpaceDN/>
        <w:bidi w:val="0"/>
        <w:adjustRightInd/>
        <w:snapToGrid/>
        <w:spacing w:line="360" w:lineRule="auto"/>
        <w:ind w:firstLine="482" w:firstLineChars="200"/>
        <w:jc w:val="left"/>
        <w:textAlignment w:val="auto"/>
        <w:rPr>
          <w:rFonts w:hint="eastAsia" w:ascii="宋体" w:hAnsi="宋体" w:eastAsia="宋体" w:cs="宋体"/>
          <w:sz w:val="24"/>
          <w:szCs w:val="24"/>
          <w:highlight w:val="none"/>
        </w:rPr>
      </w:pPr>
      <w:r>
        <w:rPr>
          <w:rFonts w:hint="eastAsia" w:ascii="宋体" w:hAnsi="宋体" w:eastAsia="宋体" w:cs="宋体"/>
          <w:b/>
          <w:bCs/>
          <w:color w:val="000000"/>
          <w:kern w:val="0"/>
          <w:sz w:val="24"/>
          <w:szCs w:val="24"/>
          <w:highlight w:val="none"/>
          <w:lang w:val="en-US" w:eastAsia="zh-CN" w:bidi="ar"/>
        </w:rPr>
        <w:t>第八条：合同的解除和变更</w:t>
      </w:r>
    </w:p>
    <w:p w14:paraId="11C1587E">
      <w:pPr>
        <w:keepNext w:val="0"/>
        <w:keepLines w:val="0"/>
        <w:pageBreakBefore w:val="0"/>
        <w:widowControl/>
        <w:suppressLineNumbers w:val="0"/>
        <w:kinsoku/>
        <w:wordWrap/>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b w:val="0"/>
          <w:bCs w:val="0"/>
          <w:color w:val="000000"/>
          <w:kern w:val="0"/>
          <w:sz w:val="24"/>
          <w:szCs w:val="24"/>
          <w:highlight w:val="none"/>
          <w:lang w:val="en-US" w:eastAsia="zh-CN" w:bidi="ar"/>
        </w:rPr>
        <w:t>当合同一方要求变更或解除合同时，在新协议未达成前，原合同仍然有效。要求变更的一方应及时书面通知对方</w:t>
      </w:r>
      <w:r>
        <w:rPr>
          <w:rFonts w:hint="eastAsia" w:cs="宋体"/>
          <w:b w:val="0"/>
          <w:bCs w:val="0"/>
          <w:color w:val="000000"/>
          <w:kern w:val="0"/>
          <w:sz w:val="24"/>
          <w:szCs w:val="24"/>
          <w:highlight w:val="none"/>
          <w:lang w:val="en-US" w:eastAsia="zh-CN" w:bidi="ar"/>
        </w:rPr>
        <w:t>和田市卫生健康委员会</w:t>
      </w:r>
      <w:r>
        <w:rPr>
          <w:rFonts w:hint="eastAsia" w:ascii="宋体" w:hAnsi="宋体" w:eastAsia="宋体" w:cs="宋体"/>
          <w:b w:val="0"/>
          <w:bCs w:val="0"/>
          <w:color w:val="000000"/>
          <w:kern w:val="0"/>
          <w:sz w:val="24"/>
          <w:szCs w:val="24"/>
          <w:highlight w:val="none"/>
          <w:lang w:val="en-US" w:eastAsia="zh-CN" w:bidi="ar"/>
        </w:rPr>
        <w:t>，对方在接到通知15日内书面给予答复，逾期未答复则视为已同意。双方达成协议的，按新协议执行，并报</w:t>
      </w:r>
      <w:r>
        <w:rPr>
          <w:rFonts w:hint="eastAsia" w:cs="宋体"/>
          <w:b w:val="0"/>
          <w:bCs w:val="0"/>
          <w:color w:val="000000"/>
          <w:kern w:val="0"/>
          <w:sz w:val="24"/>
          <w:szCs w:val="24"/>
          <w:highlight w:val="none"/>
          <w:lang w:val="en-US" w:eastAsia="zh-CN" w:bidi="ar"/>
        </w:rPr>
        <w:t>和田市卫生健康委员会</w:t>
      </w:r>
      <w:r>
        <w:rPr>
          <w:rFonts w:hint="eastAsia" w:ascii="宋体" w:hAnsi="宋体" w:eastAsia="宋体" w:cs="宋体"/>
          <w:b w:val="0"/>
          <w:bCs w:val="0"/>
          <w:color w:val="000000"/>
          <w:kern w:val="0"/>
          <w:sz w:val="24"/>
          <w:szCs w:val="24"/>
          <w:highlight w:val="none"/>
          <w:lang w:val="en-US" w:eastAsia="zh-CN" w:bidi="ar"/>
        </w:rPr>
        <w:t>备案。</w:t>
      </w:r>
    </w:p>
    <w:p w14:paraId="3F41B8A2">
      <w:pPr>
        <w:keepNext w:val="0"/>
        <w:keepLines w:val="0"/>
        <w:pageBreakBefore w:val="0"/>
        <w:widowControl/>
        <w:suppressLineNumbers w:val="0"/>
        <w:kinsoku/>
        <w:wordWrap/>
        <w:topLinePunct w:val="0"/>
        <w:autoSpaceDE/>
        <w:autoSpaceDN/>
        <w:bidi w:val="0"/>
        <w:adjustRightInd/>
        <w:snapToGrid/>
        <w:spacing w:line="360" w:lineRule="auto"/>
        <w:ind w:firstLine="482" w:firstLineChars="200"/>
        <w:jc w:val="left"/>
        <w:textAlignment w:val="auto"/>
        <w:rPr>
          <w:rFonts w:hint="eastAsia" w:ascii="宋体" w:hAnsi="宋体" w:eastAsia="宋体" w:cs="宋体"/>
          <w:sz w:val="24"/>
          <w:szCs w:val="24"/>
          <w:highlight w:val="none"/>
        </w:rPr>
      </w:pPr>
      <w:r>
        <w:rPr>
          <w:rFonts w:hint="eastAsia" w:ascii="宋体" w:hAnsi="宋体" w:eastAsia="宋体" w:cs="宋体"/>
          <w:b/>
          <w:bCs/>
          <w:color w:val="000000"/>
          <w:kern w:val="0"/>
          <w:sz w:val="24"/>
          <w:szCs w:val="24"/>
          <w:highlight w:val="none"/>
          <w:lang w:val="en-US" w:eastAsia="zh-CN" w:bidi="ar"/>
        </w:rPr>
        <w:t>第九条：争议解决方式</w:t>
      </w:r>
    </w:p>
    <w:p w14:paraId="5F28EA3E">
      <w:pPr>
        <w:keepNext w:val="0"/>
        <w:keepLines w:val="0"/>
        <w:pageBreakBefore w:val="0"/>
        <w:widowControl/>
        <w:suppressLineNumbers w:val="0"/>
        <w:kinsoku/>
        <w:wordWrap/>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b w:val="0"/>
          <w:bCs w:val="0"/>
          <w:color w:val="000000"/>
          <w:kern w:val="0"/>
          <w:sz w:val="24"/>
          <w:szCs w:val="24"/>
          <w:highlight w:val="none"/>
          <w:lang w:val="en-US" w:eastAsia="zh-CN" w:bidi="ar"/>
        </w:rPr>
        <w:t>甲乙双方在合同执行中发生争议，由甲乙双方协商解决，协商解决不了的，甲乙双方均有权向</w:t>
      </w:r>
      <w:r>
        <w:rPr>
          <w:rFonts w:hint="eastAsia" w:cs="宋体"/>
          <w:b w:val="0"/>
          <w:bCs w:val="0"/>
          <w:color w:val="000000"/>
          <w:kern w:val="0"/>
          <w:sz w:val="24"/>
          <w:szCs w:val="24"/>
          <w:highlight w:val="none"/>
          <w:lang w:val="en-US" w:eastAsia="zh-CN" w:bidi="ar"/>
        </w:rPr>
        <w:t>和田市卫生健康委员会</w:t>
      </w:r>
      <w:r>
        <w:rPr>
          <w:rFonts w:hint="eastAsia" w:ascii="宋体" w:hAnsi="宋体" w:eastAsia="宋体" w:cs="宋体"/>
          <w:b w:val="0"/>
          <w:bCs w:val="0"/>
          <w:color w:val="000000"/>
          <w:kern w:val="0"/>
          <w:sz w:val="24"/>
          <w:szCs w:val="24"/>
          <w:highlight w:val="none"/>
          <w:lang w:val="en-US" w:eastAsia="zh-CN" w:bidi="ar"/>
        </w:rPr>
        <w:t>投诉或向合同签署所在地人民法院提起诉讼。</w:t>
      </w:r>
    </w:p>
    <w:p w14:paraId="3AD7CB57">
      <w:pPr>
        <w:keepNext w:val="0"/>
        <w:keepLines w:val="0"/>
        <w:pageBreakBefore w:val="0"/>
        <w:widowControl/>
        <w:suppressLineNumbers w:val="0"/>
        <w:kinsoku/>
        <w:wordWrap/>
        <w:topLinePunct w:val="0"/>
        <w:autoSpaceDE/>
        <w:autoSpaceDN/>
        <w:bidi w:val="0"/>
        <w:adjustRightInd/>
        <w:snapToGrid/>
        <w:spacing w:line="360" w:lineRule="auto"/>
        <w:ind w:firstLine="482" w:firstLineChars="200"/>
        <w:jc w:val="left"/>
        <w:textAlignment w:val="auto"/>
        <w:rPr>
          <w:rFonts w:hint="eastAsia" w:ascii="宋体" w:hAnsi="宋体" w:eastAsia="宋体" w:cs="宋体"/>
          <w:sz w:val="24"/>
          <w:szCs w:val="24"/>
          <w:highlight w:val="none"/>
        </w:rPr>
      </w:pPr>
      <w:r>
        <w:rPr>
          <w:rFonts w:hint="eastAsia" w:ascii="宋体" w:hAnsi="宋体" w:eastAsia="宋体" w:cs="宋体"/>
          <w:b/>
          <w:bCs/>
          <w:color w:val="000000"/>
          <w:kern w:val="0"/>
          <w:sz w:val="24"/>
          <w:szCs w:val="24"/>
          <w:highlight w:val="none"/>
          <w:lang w:val="en-US" w:eastAsia="zh-CN" w:bidi="ar"/>
        </w:rPr>
        <w:t>第十条：合同生效及其他</w:t>
      </w:r>
    </w:p>
    <w:p w14:paraId="1DB430F8">
      <w:pPr>
        <w:keepNext w:val="0"/>
        <w:keepLines w:val="0"/>
        <w:pageBreakBefore w:val="0"/>
        <w:widowControl/>
        <w:numPr>
          <w:ilvl w:val="0"/>
          <w:numId w:val="6"/>
        </w:numPr>
        <w:suppressLineNumbers w:val="0"/>
        <w:kinsoku/>
        <w:wordWrap/>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000000"/>
          <w:kern w:val="0"/>
          <w:sz w:val="24"/>
          <w:szCs w:val="24"/>
          <w:highlight w:val="none"/>
          <w:lang w:val="en-US" w:eastAsia="zh-CN" w:bidi="ar"/>
        </w:rPr>
      </w:pPr>
      <w:r>
        <w:rPr>
          <w:rFonts w:hint="eastAsia" w:ascii="宋体" w:hAnsi="宋体" w:eastAsia="宋体" w:cs="宋体"/>
          <w:b w:val="0"/>
          <w:bCs w:val="0"/>
          <w:color w:val="000000"/>
          <w:kern w:val="0"/>
          <w:sz w:val="24"/>
          <w:szCs w:val="24"/>
          <w:highlight w:val="none"/>
          <w:lang w:val="en-US" w:eastAsia="zh-CN" w:bidi="ar"/>
        </w:rPr>
        <w:t>本合同经甲乙双方盖章和代表签字日期，即为本合同生效日期。如双方盖章签字日期不一致时，以最后盖章签字方的盖章签字日期为合同的生效日期。</w:t>
      </w:r>
    </w:p>
    <w:p w14:paraId="63E61E0B">
      <w:pPr>
        <w:keepNext w:val="0"/>
        <w:keepLines w:val="0"/>
        <w:pageBreakBefore w:val="0"/>
        <w:widowControl/>
        <w:numPr>
          <w:ilvl w:val="0"/>
          <w:numId w:val="6"/>
        </w:numPr>
        <w:suppressLineNumbers w:val="0"/>
        <w:kinsoku/>
        <w:wordWrap/>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000000"/>
          <w:kern w:val="0"/>
          <w:sz w:val="24"/>
          <w:szCs w:val="24"/>
          <w:highlight w:val="none"/>
          <w:lang w:val="en-US" w:eastAsia="zh-CN" w:bidi="ar"/>
        </w:rPr>
      </w:pPr>
      <w:r>
        <w:rPr>
          <w:rFonts w:hint="eastAsia" w:ascii="宋体" w:hAnsi="宋体" w:eastAsia="宋体" w:cs="宋体"/>
          <w:b w:val="0"/>
          <w:bCs w:val="0"/>
          <w:color w:val="000000"/>
          <w:kern w:val="0"/>
          <w:sz w:val="24"/>
          <w:szCs w:val="24"/>
          <w:highlight w:val="none"/>
          <w:lang w:val="en-US" w:eastAsia="zh-CN" w:bidi="ar"/>
        </w:rPr>
        <w:t>本合同一式陆份，甲伍份，乙方一份，政府采购办、招标代理公司各一。</w:t>
      </w:r>
    </w:p>
    <w:p w14:paraId="30B0EAD0">
      <w:pPr>
        <w:keepNext w:val="0"/>
        <w:keepLines w:val="0"/>
        <w:pageBreakBefore w:val="0"/>
        <w:widowControl/>
        <w:numPr>
          <w:ilvl w:val="0"/>
          <w:numId w:val="6"/>
        </w:numPr>
        <w:suppressLineNumbers w:val="0"/>
        <w:kinsoku/>
        <w:wordWrap/>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000000"/>
          <w:kern w:val="0"/>
          <w:sz w:val="24"/>
          <w:szCs w:val="24"/>
          <w:highlight w:val="none"/>
          <w:lang w:val="en-US" w:eastAsia="zh-CN" w:bidi="ar"/>
        </w:rPr>
      </w:pPr>
      <w:r>
        <w:rPr>
          <w:rFonts w:hint="eastAsia" w:ascii="宋体" w:hAnsi="宋体" w:eastAsia="宋体" w:cs="宋体"/>
          <w:b w:val="0"/>
          <w:bCs w:val="0"/>
          <w:color w:val="000000"/>
          <w:kern w:val="0"/>
          <w:sz w:val="24"/>
          <w:szCs w:val="24"/>
          <w:highlight w:val="none"/>
          <w:lang w:val="en-US" w:eastAsia="zh-CN" w:bidi="ar"/>
        </w:rPr>
        <w:t>本合同的未尽事项，必要时由甲乙双方另订补充协议，经甲乙双方盖章和双方授权代表签字后与本合同具有同等法律效力，补充协议必须交</w:t>
      </w:r>
      <w:r>
        <w:rPr>
          <w:rFonts w:hint="eastAsia" w:cs="宋体"/>
          <w:b w:val="0"/>
          <w:bCs w:val="0"/>
          <w:color w:val="000000"/>
          <w:kern w:val="0"/>
          <w:sz w:val="24"/>
          <w:szCs w:val="24"/>
          <w:highlight w:val="none"/>
          <w:lang w:val="en-US" w:eastAsia="zh-CN" w:bidi="ar"/>
        </w:rPr>
        <w:t>和田市卫生健康委员会</w:t>
      </w:r>
      <w:r>
        <w:rPr>
          <w:rFonts w:hint="eastAsia" w:ascii="宋体" w:hAnsi="宋体" w:eastAsia="宋体" w:cs="宋体"/>
          <w:b w:val="0"/>
          <w:bCs w:val="0"/>
          <w:color w:val="000000"/>
          <w:kern w:val="0"/>
          <w:sz w:val="24"/>
          <w:szCs w:val="24"/>
          <w:highlight w:val="none"/>
          <w:lang w:val="en-US" w:eastAsia="zh-CN" w:bidi="ar"/>
        </w:rPr>
        <w:t>备案。</w:t>
      </w:r>
    </w:p>
    <w:p w14:paraId="19DBA0EF">
      <w:pPr>
        <w:spacing w:line="46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甲方法人(签字)：</w:t>
      </w:r>
    </w:p>
    <w:p w14:paraId="71CB28CE">
      <w:pPr>
        <w:spacing w:line="46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甲方代表(签字)：</w:t>
      </w:r>
    </w:p>
    <w:p w14:paraId="5A419D6B">
      <w:pPr>
        <w:pStyle w:val="27"/>
        <w:ind w:firstLine="480" w:firstLineChars="20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实际使用科室</w:t>
      </w:r>
      <w:r>
        <w:rPr>
          <w:rFonts w:hint="eastAsia" w:ascii="宋体" w:hAnsi="宋体" w:eastAsia="宋体" w:cs="宋体"/>
          <w:sz w:val="24"/>
          <w:szCs w:val="24"/>
          <w:highlight w:val="none"/>
        </w:rPr>
        <w:t>(签字)：</w:t>
      </w:r>
    </w:p>
    <w:p w14:paraId="577604F8">
      <w:pPr>
        <w:ind w:firstLine="480" w:firstLineChars="200"/>
        <w:rPr>
          <w:rFonts w:hint="eastAsia" w:ascii="宋体" w:hAnsi="宋体" w:eastAsia="宋体" w:cs="宋体"/>
          <w:highlight w:val="none"/>
          <w:lang w:val="en-US" w:eastAsia="zh-CN"/>
        </w:rPr>
      </w:pPr>
      <w:r>
        <w:rPr>
          <w:rFonts w:hint="eastAsia" w:ascii="宋体" w:hAnsi="宋体" w:eastAsia="宋体" w:cs="宋体"/>
          <w:kern w:val="2"/>
          <w:sz w:val="24"/>
          <w:szCs w:val="24"/>
          <w:highlight w:val="none"/>
          <w:lang w:val="en-US" w:eastAsia="zh-CN" w:bidi="ar-SA"/>
        </w:rPr>
        <w:t>归口部门</w:t>
      </w:r>
      <w:r>
        <w:rPr>
          <w:rFonts w:hint="eastAsia" w:ascii="宋体" w:hAnsi="宋体" w:eastAsia="宋体" w:cs="宋体"/>
          <w:sz w:val="24"/>
          <w:szCs w:val="24"/>
          <w:highlight w:val="none"/>
        </w:rPr>
        <w:t>(签字)：</w:t>
      </w:r>
    </w:p>
    <w:p w14:paraId="1D94CC23">
      <w:pPr>
        <w:spacing w:line="46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合同专用章：</w:t>
      </w:r>
    </w:p>
    <w:p w14:paraId="63E2E144">
      <w:pPr>
        <w:spacing w:line="46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单位地址：</w:t>
      </w:r>
    </w:p>
    <w:p w14:paraId="2FD7979B">
      <w:pPr>
        <w:spacing w:line="46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单位电话：</w:t>
      </w:r>
    </w:p>
    <w:p w14:paraId="0CC4127B">
      <w:pPr>
        <w:spacing w:line="46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合同签订时间：年月日</w:t>
      </w:r>
    </w:p>
    <w:p w14:paraId="7B462D4D">
      <w:pPr>
        <w:spacing w:line="46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乙方：</w:t>
      </w:r>
    </w:p>
    <w:p w14:paraId="6CF262E5">
      <w:pPr>
        <w:spacing w:line="46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乙方法人(签字)：</w:t>
      </w:r>
    </w:p>
    <w:p w14:paraId="702C57CE">
      <w:pPr>
        <w:spacing w:line="46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乙方代表(签字)：</w:t>
      </w:r>
    </w:p>
    <w:p w14:paraId="7787A0EA">
      <w:pPr>
        <w:spacing w:line="46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合同专用章：</w:t>
      </w:r>
    </w:p>
    <w:p w14:paraId="64D219D6">
      <w:pPr>
        <w:spacing w:line="46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单位地址：</w:t>
      </w:r>
    </w:p>
    <w:p w14:paraId="1F3FD98F">
      <w:pPr>
        <w:spacing w:line="46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单位电话：</w:t>
      </w:r>
    </w:p>
    <w:p w14:paraId="53169CE2">
      <w:pPr>
        <w:spacing w:line="46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开户行：</w:t>
      </w:r>
    </w:p>
    <w:p w14:paraId="4BF4EC86">
      <w:pPr>
        <w:spacing w:line="46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账号：</w:t>
      </w:r>
    </w:p>
    <w:p w14:paraId="3911C558">
      <w:pPr>
        <w:spacing w:line="46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合同签订时间：年月日</w:t>
      </w:r>
    </w:p>
    <w:p w14:paraId="4EBEEB4E">
      <w:pPr>
        <w:spacing w:line="460" w:lineRule="exact"/>
        <w:ind w:firstLine="480" w:firstLineChars="200"/>
        <w:rPr>
          <w:rFonts w:hint="eastAsia" w:ascii="宋体" w:hAnsi="宋体" w:eastAsia="宋体" w:cs="宋体"/>
          <w:b/>
          <w:sz w:val="24"/>
          <w:szCs w:val="24"/>
          <w:highlight w:val="none"/>
        </w:rPr>
      </w:pPr>
      <w:r>
        <w:rPr>
          <w:rFonts w:hint="eastAsia" w:ascii="宋体" w:hAnsi="宋体" w:eastAsia="宋体" w:cs="宋体"/>
          <w:sz w:val="24"/>
          <w:szCs w:val="24"/>
          <w:highlight w:val="none"/>
        </w:rPr>
        <w:t>注：最终合同以实际签订为准。</w:t>
      </w:r>
    </w:p>
    <w:p w14:paraId="420A503E">
      <w:pPr>
        <w:adjustRightInd w:val="0"/>
        <w:snapToGrid w:val="0"/>
        <w:spacing w:line="460" w:lineRule="exact"/>
        <w:ind w:firstLine="480" w:firstLineChars="200"/>
        <w:rPr>
          <w:rFonts w:hint="eastAsia" w:ascii="宋体" w:hAnsi="宋体" w:eastAsia="宋体" w:cs="宋体"/>
          <w:sz w:val="24"/>
          <w:highlight w:val="none"/>
          <w:lang w:bidi="ar"/>
        </w:rPr>
      </w:pPr>
    </w:p>
    <w:p w14:paraId="0713F755">
      <w:pPr>
        <w:spacing w:before="170" w:line="219" w:lineRule="auto"/>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lang w:bidi="ar"/>
        </w:rPr>
        <w:br w:type="page"/>
      </w:r>
      <w:r>
        <w:rPr>
          <w:rFonts w:hint="eastAsia" w:ascii="宋体" w:hAnsi="宋体" w:eastAsia="宋体" w:cs="宋体"/>
          <w:b/>
          <w:bCs/>
          <w:sz w:val="28"/>
          <w:szCs w:val="28"/>
          <w:highlight w:val="none"/>
        </w:rPr>
        <w:t>供应商拒绝采购领域商业贿赂承诺书</w:t>
      </w:r>
    </w:p>
    <w:p w14:paraId="5FB5C33F">
      <w:pPr>
        <w:spacing w:line="360" w:lineRule="auto"/>
        <w:ind w:firstLine="480" w:firstLineChars="200"/>
        <w:jc w:val="left"/>
        <w:rPr>
          <w:rFonts w:hint="eastAsia" w:ascii="宋体" w:hAnsi="宋体" w:eastAsia="宋体" w:cs="宋体"/>
          <w:color w:val="000000"/>
          <w:sz w:val="24"/>
          <w:szCs w:val="24"/>
          <w:highlight w:val="none"/>
        </w:rPr>
      </w:pPr>
    </w:p>
    <w:p w14:paraId="50F13B48">
      <w:pPr>
        <w:spacing w:line="360" w:lineRule="auto"/>
        <w:ind w:firstLine="480" w:firstLineChars="200"/>
        <w:jc w:val="left"/>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为营造守法诚信、廉洁高效的工作环境，防止违规违纪行为的发生，我公司郑重承诺如下：</w:t>
      </w:r>
    </w:p>
    <w:p w14:paraId="61EFA38D">
      <w:pPr>
        <w:keepNext w:val="0"/>
        <w:keepLines w:val="0"/>
        <w:pageBreakBefore w:val="0"/>
        <w:widowControl/>
        <w:kinsoku/>
        <w:wordWrap/>
        <w:overflowPunct/>
        <w:topLinePunct w:val="0"/>
        <w:autoSpaceDE/>
        <w:autoSpaceDN/>
        <w:bidi w:val="0"/>
        <w:adjustRightInd/>
        <w:snapToGrid/>
        <w:spacing w:line="360" w:lineRule="auto"/>
        <w:ind w:left="274" w:leftChars="114" w:firstLine="470" w:firstLineChars="196"/>
        <w:jc w:val="left"/>
        <w:textAlignment w:val="auto"/>
        <w:rPr>
          <w:rFonts w:hint="eastAsia" w:ascii="宋体" w:hAnsi="宋体" w:eastAsia="宋体" w:cs="宋体"/>
          <w:sz w:val="24"/>
          <w:szCs w:val="32"/>
          <w:highlight w:val="none"/>
          <w:lang w:eastAsia="zh-CN"/>
        </w:rPr>
      </w:pPr>
      <w:r>
        <w:rPr>
          <w:rFonts w:hint="eastAsia" w:ascii="宋体" w:hAnsi="宋体" w:eastAsia="宋体" w:cs="宋体"/>
          <w:sz w:val="24"/>
          <w:szCs w:val="32"/>
          <w:highlight w:val="none"/>
        </w:rPr>
        <w:t>1、在参与采购活动中遵纪守法、诚信经营、公平竞标。</w:t>
      </w:r>
    </w:p>
    <w:p w14:paraId="21866D91">
      <w:pPr>
        <w:keepNext w:val="0"/>
        <w:keepLines w:val="0"/>
        <w:pageBreakBefore w:val="0"/>
        <w:widowControl/>
        <w:kinsoku/>
        <w:wordWrap/>
        <w:overflowPunct/>
        <w:topLinePunct w:val="0"/>
        <w:autoSpaceDE/>
        <w:autoSpaceDN/>
        <w:bidi w:val="0"/>
        <w:adjustRightInd/>
        <w:snapToGrid/>
        <w:spacing w:line="360" w:lineRule="auto"/>
        <w:ind w:left="274" w:leftChars="114" w:firstLine="470" w:firstLineChars="196"/>
        <w:jc w:val="left"/>
        <w:textAlignment w:val="auto"/>
        <w:rPr>
          <w:rFonts w:hint="eastAsia" w:ascii="宋体" w:hAnsi="宋体" w:eastAsia="宋体" w:cs="宋体"/>
          <w:sz w:val="24"/>
          <w:szCs w:val="32"/>
          <w:highlight w:val="none"/>
          <w:lang w:eastAsia="zh-CN"/>
        </w:rPr>
      </w:pPr>
      <w:r>
        <w:rPr>
          <w:rFonts w:hint="eastAsia" w:ascii="宋体" w:hAnsi="宋体" w:eastAsia="宋体" w:cs="宋体"/>
          <w:sz w:val="24"/>
          <w:szCs w:val="32"/>
          <w:highlight w:val="none"/>
        </w:rPr>
        <w:t>2、不向采购人、采购代理机构和采购评审专家进行任何形式的商业贿赂以谋取交易机会。</w:t>
      </w:r>
    </w:p>
    <w:p w14:paraId="405AF7EB">
      <w:pPr>
        <w:keepNext w:val="0"/>
        <w:keepLines w:val="0"/>
        <w:pageBreakBefore w:val="0"/>
        <w:widowControl/>
        <w:kinsoku/>
        <w:wordWrap/>
        <w:overflowPunct/>
        <w:topLinePunct w:val="0"/>
        <w:autoSpaceDE/>
        <w:autoSpaceDN/>
        <w:bidi w:val="0"/>
        <w:adjustRightInd/>
        <w:snapToGrid/>
        <w:spacing w:line="360" w:lineRule="auto"/>
        <w:ind w:left="274" w:leftChars="114" w:firstLine="470" w:firstLineChars="196"/>
        <w:jc w:val="left"/>
        <w:textAlignment w:val="auto"/>
        <w:rPr>
          <w:rFonts w:hint="eastAsia" w:ascii="宋体" w:hAnsi="宋体" w:eastAsia="宋体" w:cs="宋体"/>
          <w:sz w:val="24"/>
          <w:szCs w:val="32"/>
          <w:highlight w:val="none"/>
          <w:lang w:eastAsia="zh-CN"/>
        </w:rPr>
      </w:pPr>
      <w:r>
        <w:rPr>
          <w:rFonts w:hint="eastAsia" w:ascii="宋体" w:hAnsi="宋体" w:eastAsia="宋体" w:cs="宋体"/>
          <w:sz w:val="24"/>
          <w:szCs w:val="32"/>
          <w:highlight w:val="none"/>
        </w:rPr>
        <w:t>3、不向采购代理机构和采购人提供虚假资质文件或采用虚假应标方式参与采购市场竞争并谋取中标、成交。</w:t>
      </w:r>
    </w:p>
    <w:p w14:paraId="266D3307">
      <w:pPr>
        <w:keepNext w:val="0"/>
        <w:keepLines w:val="0"/>
        <w:pageBreakBefore w:val="0"/>
        <w:widowControl/>
        <w:kinsoku/>
        <w:wordWrap/>
        <w:overflowPunct/>
        <w:topLinePunct w:val="0"/>
        <w:autoSpaceDE/>
        <w:autoSpaceDN/>
        <w:bidi w:val="0"/>
        <w:adjustRightInd/>
        <w:snapToGrid/>
        <w:spacing w:line="360" w:lineRule="auto"/>
        <w:ind w:left="274" w:leftChars="114" w:firstLine="470" w:firstLineChars="196"/>
        <w:jc w:val="left"/>
        <w:textAlignment w:val="auto"/>
        <w:rPr>
          <w:rFonts w:hint="eastAsia" w:ascii="宋体" w:hAnsi="宋体" w:eastAsia="宋体" w:cs="宋体"/>
          <w:sz w:val="24"/>
          <w:szCs w:val="32"/>
          <w:highlight w:val="none"/>
          <w:lang w:eastAsia="zh-CN"/>
        </w:rPr>
      </w:pPr>
      <w:r>
        <w:rPr>
          <w:rFonts w:hint="eastAsia" w:ascii="宋体" w:hAnsi="宋体" w:eastAsia="宋体" w:cs="宋体"/>
          <w:sz w:val="24"/>
          <w:szCs w:val="32"/>
          <w:highlight w:val="none"/>
        </w:rPr>
        <w:t>4、不采取“围标、陪标”等商业欺诈手段谋取中标、成交。</w:t>
      </w:r>
    </w:p>
    <w:p w14:paraId="3CE56C60">
      <w:pPr>
        <w:keepNext w:val="0"/>
        <w:keepLines w:val="0"/>
        <w:pageBreakBefore w:val="0"/>
        <w:widowControl/>
        <w:kinsoku/>
        <w:wordWrap/>
        <w:overflowPunct/>
        <w:topLinePunct w:val="0"/>
        <w:autoSpaceDE/>
        <w:autoSpaceDN/>
        <w:bidi w:val="0"/>
        <w:adjustRightInd/>
        <w:snapToGrid/>
        <w:spacing w:line="360" w:lineRule="auto"/>
        <w:ind w:left="274" w:leftChars="114" w:firstLine="470" w:firstLineChars="196"/>
        <w:jc w:val="left"/>
        <w:textAlignment w:val="auto"/>
        <w:rPr>
          <w:rFonts w:hint="eastAsia" w:ascii="宋体" w:hAnsi="宋体" w:eastAsia="宋体" w:cs="宋体"/>
          <w:sz w:val="24"/>
          <w:szCs w:val="32"/>
          <w:highlight w:val="none"/>
          <w:lang w:eastAsia="zh-CN"/>
        </w:rPr>
      </w:pPr>
      <w:r>
        <w:rPr>
          <w:rFonts w:hint="eastAsia" w:ascii="宋体" w:hAnsi="宋体" w:eastAsia="宋体" w:cs="宋体"/>
          <w:sz w:val="24"/>
          <w:szCs w:val="32"/>
          <w:highlight w:val="none"/>
        </w:rPr>
        <w:t>5、不采取不正当手段诋毁、排挤其他供应商。</w:t>
      </w:r>
    </w:p>
    <w:p w14:paraId="6E8EC4F5">
      <w:pPr>
        <w:keepNext w:val="0"/>
        <w:keepLines w:val="0"/>
        <w:pageBreakBefore w:val="0"/>
        <w:widowControl/>
        <w:kinsoku/>
        <w:wordWrap/>
        <w:overflowPunct/>
        <w:topLinePunct w:val="0"/>
        <w:autoSpaceDE/>
        <w:autoSpaceDN/>
        <w:bidi w:val="0"/>
        <w:adjustRightInd/>
        <w:snapToGrid/>
        <w:spacing w:line="360" w:lineRule="auto"/>
        <w:ind w:left="274" w:leftChars="114" w:firstLine="470" w:firstLineChars="196"/>
        <w:jc w:val="left"/>
        <w:textAlignment w:val="auto"/>
        <w:rPr>
          <w:rFonts w:hint="eastAsia" w:ascii="宋体" w:hAnsi="宋体" w:eastAsia="宋体" w:cs="宋体"/>
          <w:sz w:val="24"/>
          <w:szCs w:val="32"/>
          <w:highlight w:val="none"/>
          <w:lang w:eastAsia="zh-CN"/>
        </w:rPr>
      </w:pPr>
      <w:r>
        <w:rPr>
          <w:rFonts w:hint="eastAsia" w:ascii="宋体" w:hAnsi="宋体" w:eastAsia="宋体" w:cs="宋体"/>
          <w:sz w:val="24"/>
          <w:szCs w:val="32"/>
          <w:highlight w:val="none"/>
        </w:rPr>
        <w:t>6、不在提供商品和服务时“偷梁换柱、以次充好”损害采购人的合法权益。</w:t>
      </w:r>
    </w:p>
    <w:p w14:paraId="0881BFBC">
      <w:pPr>
        <w:keepNext w:val="0"/>
        <w:keepLines w:val="0"/>
        <w:pageBreakBefore w:val="0"/>
        <w:widowControl/>
        <w:kinsoku/>
        <w:wordWrap/>
        <w:overflowPunct/>
        <w:topLinePunct w:val="0"/>
        <w:autoSpaceDE/>
        <w:autoSpaceDN/>
        <w:bidi w:val="0"/>
        <w:adjustRightInd/>
        <w:snapToGrid/>
        <w:spacing w:line="360" w:lineRule="auto"/>
        <w:ind w:left="274" w:leftChars="114" w:firstLine="470" w:firstLineChars="196"/>
        <w:jc w:val="left"/>
        <w:textAlignment w:val="auto"/>
        <w:rPr>
          <w:rFonts w:hint="eastAsia" w:ascii="宋体" w:hAnsi="宋体" w:eastAsia="宋体" w:cs="宋体"/>
          <w:sz w:val="24"/>
          <w:szCs w:val="32"/>
          <w:highlight w:val="none"/>
          <w:lang w:eastAsia="zh-CN"/>
        </w:rPr>
      </w:pPr>
      <w:r>
        <w:rPr>
          <w:rFonts w:hint="eastAsia" w:ascii="宋体" w:hAnsi="宋体" w:eastAsia="宋体" w:cs="宋体"/>
          <w:sz w:val="24"/>
          <w:szCs w:val="32"/>
          <w:highlight w:val="none"/>
        </w:rPr>
        <w:t>7、不与采购人、采购代理机构采购评审专家或</w:t>
      </w:r>
      <w:r>
        <w:rPr>
          <w:rFonts w:hint="eastAsia" w:cs="宋体"/>
          <w:sz w:val="24"/>
          <w:szCs w:val="32"/>
          <w:highlight w:val="none"/>
          <w:lang w:eastAsia="zh-CN"/>
        </w:rPr>
        <w:t>其他</w:t>
      </w:r>
      <w:r>
        <w:rPr>
          <w:rFonts w:hint="eastAsia" w:ascii="宋体" w:hAnsi="宋体" w:eastAsia="宋体" w:cs="宋体"/>
          <w:sz w:val="24"/>
          <w:szCs w:val="32"/>
          <w:highlight w:val="none"/>
        </w:rPr>
        <w:t>供应商恶意串通，进行质疑和投诉，维护采购市场秩序。</w:t>
      </w:r>
    </w:p>
    <w:p w14:paraId="57659DF6">
      <w:pPr>
        <w:keepNext w:val="0"/>
        <w:keepLines w:val="0"/>
        <w:pageBreakBefore w:val="0"/>
        <w:widowControl/>
        <w:kinsoku/>
        <w:wordWrap/>
        <w:overflowPunct/>
        <w:topLinePunct w:val="0"/>
        <w:autoSpaceDE/>
        <w:autoSpaceDN/>
        <w:bidi w:val="0"/>
        <w:adjustRightInd/>
        <w:snapToGrid/>
        <w:spacing w:line="360" w:lineRule="auto"/>
        <w:ind w:left="274" w:leftChars="114" w:firstLine="470" w:firstLineChars="196"/>
        <w:jc w:val="left"/>
        <w:textAlignment w:val="auto"/>
        <w:rPr>
          <w:rFonts w:hint="eastAsia" w:ascii="宋体" w:hAnsi="宋体" w:eastAsia="宋体" w:cs="宋体"/>
          <w:sz w:val="24"/>
          <w:szCs w:val="32"/>
          <w:highlight w:val="none"/>
          <w:lang w:eastAsia="zh-CN"/>
        </w:rPr>
      </w:pPr>
      <w:r>
        <w:rPr>
          <w:rFonts w:hint="eastAsia" w:ascii="宋体" w:hAnsi="宋体" w:eastAsia="宋体" w:cs="宋体"/>
          <w:sz w:val="24"/>
          <w:szCs w:val="32"/>
          <w:highlight w:val="none"/>
        </w:rPr>
        <w:t>8、尊重和接受采购监督管理部门的监督和采购代理机构招标采购要求，承担因违约行为给采购人造成的损失。</w:t>
      </w:r>
    </w:p>
    <w:p w14:paraId="41150E9D">
      <w:pPr>
        <w:keepNext w:val="0"/>
        <w:keepLines w:val="0"/>
        <w:pageBreakBefore w:val="0"/>
        <w:widowControl/>
        <w:kinsoku/>
        <w:wordWrap/>
        <w:overflowPunct/>
        <w:topLinePunct w:val="0"/>
        <w:autoSpaceDE/>
        <w:autoSpaceDN/>
        <w:bidi w:val="0"/>
        <w:adjustRightInd/>
        <w:snapToGrid/>
        <w:spacing w:line="360" w:lineRule="auto"/>
        <w:ind w:left="274" w:leftChars="114" w:firstLine="470" w:firstLineChars="196"/>
        <w:jc w:val="left"/>
        <w:textAlignment w:val="auto"/>
        <w:rPr>
          <w:rFonts w:hint="eastAsia" w:ascii="宋体" w:hAnsi="宋体" w:eastAsia="宋体" w:cs="宋体"/>
          <w:sz w:val="24"/>
          <w:szCs w:val="32"/>
          <w:highlight w:val="none"/>
          <w:lang w:eastAsia="zh-CN"/>
        </w:rPr>
      </w:pPr>
      <w:r>
        <w:rPr>
          <w:rFonts w:hint="eastAsia" w:ascii="宋体" w:hAnsi="宋体" w:eastAsia="宋体" w:cs="宋体"/>
          <w:sz w:val="24"/>
          <w:szCs w:val="32"/>
          <w:highlight w:val="none"/>
        </w:rPr>
        <w:t>9、不发生其他有悖于采购公开、公平、公正和诚信原则的行为。</w:t>
      </w:r>
    </w:p>
    <w:p w14:paraId="1B6DA4D9">
      <w:pPr>
        <w:pStyle w:val="11"/>
        <w:spacing w:line="360" w:lineRule="auto"/>
        <w:ind w:firstLine="480" w:firstLineChars="200"/>
        <w:rPr>
          <w:rFonts w:hint="eastAsia" w:ascii="宋体" w:hAnsi="宋体" w:eastAsia="宋体" w:cs="宋体"/>
          <w:kern w:val="2"/>
          <w:sz w:val="24"/>
          <w:szCs w:val="32"/>
          <w:highlight w:val="none"/>
          <w:lang w:val="en-US" w:eastAsia="zh-CN" w:bidi="ar-SA"/>
        </w:rPr>
      </w:pPr>
      <w:r>
        <w:rPr>
          <w:rFonts w:hint="eastAsia" w:ascii="宋体" w:hAnsi="宋体" w:eastAsia="宋体" w:cs="宋体"/>
          <w:kern w:val="2"/>
          <w:sz w:val="24"/>
          <w:szCs w:val="32"/>
          <w:highlight w:val="none"/>
          <w:lang w:val="en-US" w:eastAsia="zh-CN" w:bidi="ar-SA"/>
        </w:rPr>
        <w:t>若我公司有关人员违反本《廉洁承诺书》，我公司愿接受贵公司责令整改、暂停业务往来、取消业务往来、纳入“合作方黑名单”等处理。</w:t>
      </w:r>
    </w:p>
    <w:p w14:paraId="0C0D9471">
      <w:pPr>
        <w:pStyle w:val="11"/>
        <w:spacing w:line="360" w:lineRule="auto"/>
        <w:rPr>
          <w:rFonts w:hint="eastAsia" w:ascii="宋体" w:hAnsi="宋体" w:eastAsia="宋体" w:cs="宋体"/>
          <w:kern w:val="2"/>
          <w:sz w:val="24"/>
          <w:szCs w:val="32"/>
          <w:highlight w:val="none"/>
          <w:lang w:val="en-US" w:eastAsia="zh-CN" w:bidi="ar-SA"/>
        </w:rPr>
      </w:pPr>
      <w:r>
        <w:rPr>
          <w:rFonts w:hint="eastAsia" w:ascii="宋体" w:hAnsi="宋体" w:eastAsia="宋体" w:cs="宋体"/>
          <w:kern w:val="2"/>
          <w:sz w:val="24"/>
          <w:szCs w:val="32"/>
          <w:highlight w:val="none"/>
          <w:lang w:val="en-US" w:eastAsia="zh-CN" w:bidi="ar-SA"/>
        </w:rPr>
        <w:t>特此承诺。</w:t>
      </w:r>
    </w:p>
    <w:p w14:paraId="2055EAC3">
      <w:pPr>
        <w:widowControl/>
        <w:spacing w:line="360" w:lineRule="auto"/>
        <w:ind w:left="274" w:leftChars="114"/>
        <w:jc w:val="left"/>
        <w:rPr>
          <w:rFonts w:hint="eastAsia" w:ascii="宋体" w:hAnsi="宋体" w:eastAsia="宋体" w:cs="宋体"/>
          <w:sz w:val="24"/>
          <w:szCs w:val="32"/>
          <w:highlight w:val="none"/>
          <w:lang w:eastAsia="zh-CN"/>
        </w:rPr>
      </w:pPr>
      <w:r>
        <w:rPr>
          <w:rFonts w:hint="eastAsia" w:ascii="宋体" w:hAnsi="宋体" w:eastAsia="宋体" w:cs="宋体"/>
          <w:sz w:val="24"/>
          <w:szCs w:val="32"/>
          <w:highlight w:val="none"/>
        </w:rPr>
        <w:t>承诺单位：（盖章）</w:t>
      </w:r>
    </w:p>
    <w:p w14:paraId="43AB96FD">
      <w:pPr>
        <w:widowControl/>
        <w:spacing w:line="408" w:lineRule="auto"/>
        <w:ind w:left="274" w:leftChars="114"/>
        <w:jc w:val="left"/>
        <w:rPr>
          <w:rFonts w:hint="eastAsia" w:ascii="宋体" w:hAnsi="宋体" w:eastAsia="宋体" w:cs="宋体"/>
          <w:sz w:val="24"/>
          <w:szCs w:val="32"/>
          <w:highlight w:val="none"/>
        </w:rPr>
      </w:pPr>
      <w:r>
        <w:rPr>
          <w:rFonts w:hint="eastAsia" w:ascii="宋体" w:hAnsi="宋体" w:eastAsia="宋体" w:cs="宋体"/>
          <w:sz w:val="24"/>
          <w:szCs w:val="32"/>
          <w:highlight w:val="none"/>
        </w:rPr>
        <w:t>                                  年  月  日</w:t>
      </w:r>
    </w:p>
    <w:p w14:paraId="4D631BBC">
      <w:pPr>
        <w:widowControl/>
        <w:jc w:val="left"/>
        <w:rPr>
          <w:rFonts w:hint="eastAsia" w:ascii="宋体" w:hAnsi="宋体" w:eastAsia="宋体" w:cs="宋体"/>
          <w:b/>
          <w:i w:val="0"/>
          <w:iCs w:val="0"/>
          <w:color w:val="auto"/>
          <w:sz w:val="24"/>
          <w:szCs w:val="24"/>
          <w:highlight w:val="none"/>
        </w:rPr>
      </w:pPr>
      <w:r>
        <w:rPr>
          <w:rFonts w:hint="eastAsia" w:ascii="宋体" w:hAnsi="宋体" w:eastAsia="宋体" w:cs="宋体"/>
          <w:b/>
          <w:i w:val="0"/>
          <w:iCs w:val="0"/>
          <w:color w:val="auto"/>
          <w:sz w:val="24"/>
          <w:szCs w:val="24"/>
          <w:highlight w:val="none"/>
        </w:rPr>
        <w:br w:type="page"/>
      </w:r>
    </w:p>
    <w:bookmarkEnd w:id="429"/>
    <w:bookmarkEnd w:id="430"/>
    <w:p w14:paraId="303727D2">
      <w:pPr>
        <w:pStyle w:val="2"/>
        <w:numPr>
          <w:ilvl w:val="0"/>
          <w:numId w:val="0"/>
        </w:numPr>
        <w:ind w:left="420" w:leftChars="0" w:hanging="420" w:firstLineChars="0"/>
        <w:rPr>
          <w:i w:val="0"/>
          <w:iCs w:val="0"/>
          <w:color w:val="auto"/>
          <w:highlight w:val="none"/>
        </w:rPr>
      </w:pPr>
      <w:bookmarkStart w:id="438" w:name="_Toc20156"/>
      <w:r>
        <w:rPr>
          <w:rFonts w:hint="eastAsia" w:ascii="宋体" w:hAnsi="宋体" w:eastAsia="宋体" w:cs="宋体"/>
          <w:b/>
          <w:bCs/>
          <w:i w:val="0"/>
          <w:iCs w:val="0"/>
          <w:color w:val="auto"/>
          <w:kern w:val="44"/>
          <w:sz w:val="36"/>
          <w:szCs w:val="36"/>
          <w:highlight w:val="none"/>
          <w:lang w:val="en-US" w:eastAsia="zh-CN" w:bidi="ar-SA"/>
        </w:rPr>
        <w:t xml:space="preserve">第六章 </w:t>
      </w:r>
      <w:r>
        <w:rPr>
          <w:rFonts w:hint="eastAsia" w:ascii="宋体" w:hAnsi="宋体" w:eastAsia="宋体" w:cs="宋体"/>
          <w:i w:val="0"/>
          <w:iCs w:val="0"/>
          <w:color w:val="auto"/>
          <w:sz w:val="36"/>
          <w:szCs w:val="36"/>
          <w:highlight w:val="none"/>
        </w:rPr>
        <w:t>响应文件的格式</w:t>
      </w:r>
      <w:bookmarkEnd w:id="438"/>
    </w:p>
    <w:p w14:paraId="6DC90E3C">
      <w:pPr>
        <w:ind w:firstLine="480" w:firstLineChars="200"/>
        <w:rPr>
          <w:rFonts w:cs="仿宋_GB2312"/>
          <w:i w:val="0"/>
          <w:iCs w:val="0"/>
          <w:color w:val="auto"/>
          <w:szCs w:val="24"/>
          <w:highlight w:val="none"/>
          <w:lang w:val="zh-CN"/>
        </w:rPr>
      </w:pPr>
      <w:r>
        <w:rPr>
          <w:rFonts w:hint="eastAsia" w:cs="仿宋_GB2312"/>
          <w:i w:val="0"/>
          <w:iCs w:val="0"/>
          <w:color w:val="auto"/>
          <w:szCs w:val="24"/>
          <w:highlight w:val="none"/>
          <w:lang w:val="zh-CN"/>
        </w:rPr>
        <w:t>封面：</w:t>
      </w:r>
    </w:p>
    <w:p w14:paraId="202803F7">
      <w:pPr>
        <w:autoSpaceDE w:val="0"/>
        <w:autoSpaceDN w:val="0"/>
        <w:adjustRightInd w:val="0"/>
        <w:rPr>
          <w:i w:val="0"/>
          <w:iCs w:val="0"/>
          <w:color w:val="auto"/>
          <w:sz w:val="21"/>
          <w:szCs w:val="24"/>
          <w:highlight w:val="none"/>
        </w:rPr>
      </w:pPr>
    </w:p>
    <w:p w14:paraId="73B11C8A">
      <w:pPr>
        <w:autoSpaceDE w:val="0"/>
        <w:autoSpaceDN w:val="0"/>
        <w:adjustRightInd w:val="0"/>
        <w:rPr>
          <w:i w:val="0"/>
          <w:iCs w:val="0"/>
          <w:color w:val="auto"/>
          <w:sz w:val="21"/>
          <w:szCs w:val="24"/>
          <w:highlight w:val="none"/>
        </w:rPr>
      </w:pPr>
    </w:p>
    <w:p w14:paraId="36DF3F4E">
      <w:pPr>
        <w:autoSpaceDE w:val="0"/>
        <w:autoSpaceDN w:val="0"/>
        <w:adjustRightInd w:val="0"/>
        <w:jc w:val="center"/>
        <w:rPr>
          <w:i w:val="0"/>
          <w:iCs w:val="0"/>
          <w:color w:val="auto"/>
          <w:sz w:val="21"/>
          <w:szCs w:val="24"/>
          <w:highlight w:val="none"/>
        </w:rPr>
      </w:pPr>
    </w:p>
    <w:p w14:paraId="336E03FA">
      <w:pPr>
        <w:pStyle w:val="3"/>
        <w:bidi w:val="0"/>
        <w:jc w:val="center"/>
        <w:rPr>
          <w:sz w:val="84"/>
          <w:szCs w:val="84"/>
          <w:highlight w:val="none"/>
        </w:rPr>
      </w:pPr>
      <w:bookmarkStart w:id="439" w:name="_Toc16420"/>
      <w:r>
        <w:rPr>
          <w:rFonts w:hint="eastAsia"/>
          <w:sz w:val="84"/>
          <w:szCs w:val="84"/>
          <w:highlight w:val="none"/>
          <w:lang w:val="en-US" w:eastAsia="zh-CN"/>
        </w:rPr>
        <w:t>响</w:t>
      </w:r>
      <w:r>
        <w:rPr>
          <w:rFonts w:hint="eastAsia"/>
          <w:sz w:val="84"/>
          <w:szCs w:val="84"/>
          <w:highlight w:val="none"/>
        </w:rPr>
        <w:t xml:space="preserve"> </w:t>
      </w:r>
      <w:r>
        <w:rPr>
          <w:rFonts w:hint="eastAsia"/>
          <w:sz w:val="84"/>
          <w:szCs w:val="84"/>
          <w:highlight w:val="none"/>
          <w:lang w:val="en-US" w:eastAsia="zh-CN"/>
        </w:rPr>
        <w:t>应</w:t>
      </w:r>
      <w:r>
        <w:rPr>
          <w:rFonts w:hint="eastAsia"/>
          <w:sz w:val="84"/>
          <w:szCs w:val="84"/>
          <w:highlight w:val="none"/>
        </w:rPr>
        <w:t xml:space="preserve"> 文 件</w:t>
      </w:r>
      <w:bookmarkEnd w:id="439"/>
    </w:p>
    <w:p w14:paraId="7053976A">
      <w:pPr>
        <w:pStyle w:val="3"/>
        <w:bidi w:val="0"/>
        <w:jc w:val="center"/>
        <w:rPr>
          <w:sz w:val="56"/>
          <w:szCs w:val="56"/>
          <w:highlight w:val="none"/>
        </w:rPr>
      </w:pPr>
      <w:bookmarkStart w:id="440" w:name="_Toc30048"/>
      <w:r>
        <w:rPr>
          <w:rFonts w:hint="eastAsia"/>
          <w:sz w:val="56"/>
          <w:szCs w:val="56"/>
          <w:highlight w:val="none"/>
        </w:rPr>
        <w:t>资格证明文件</w:t>
      </w:r>
      <w:bookmarkEnd w:id="440"/>
    </w:p>
    <w:p w14:paraId="11B2218D">
      <w:pPr>
        <w:autoSpaceDE w:val="0"/>
        <w:autoSpaceDN w:val="0"/>
        <w:adjustRightInd w:val="0"/>
        <w:rPr>
          <w:b/>
          <w:bCs/>
          <w:i w:val="0"/>
          <w:iCs w:val="0"/>
          <w:color w:val="auto"/>
          <w:sz w:val="22"/>
          <w:highlight w:val="none"/>
        </w:rPr>
      </w:pPr>
    </w:p>
    <w:p w14:paraId="06BBF80E">
      <w:pPr>
        <w:autoSpaceDE w:val="0"/>
        <w:autoSpaceDN w:val="0"/>
        <w:adjustRightInd w:val="0"/>
        <w:jc w:val="center"/>
        <w:rPr>
          <w:rFonts w:hint="eastAsia" w:eastAsia="宋体"/>
          <w:i w:val="0"/>
          <w:iCs w:val="0"/>
          <w:color w:val="auto"/>
          <w:sz w:val="36"/>
          <w:szCs w:val="36"/>
          <w:highlight w:val="none"/>
          <w:lang w:eastAsia="zh-CN"/>
        </w:rPr>
      </w:pPr>
      <w:r>
        <w:rPr>
          <w:rFonts w:hint="eastAsia"/>
          <w:i w:val="0"/>
          <w:iCs w:val="0"/>
          <w:color w:val="auto"/>
          <w:sz w:val="36"/>
          <w:szCs w:val="36"/>
          <w:highlight w:val="none"/>
          <w:lang w:val="en-US" w:eastAsia="zh-CN"/>
        </w:rPr>
        <w:t>（包二</w:t>
      </w:r>
      <w:r>
        <w:rPr>
          <w:rFonts w:hint="eastAsia"/>
          <w:i w:val="0"/>
          <w:iCs w:val="0"/>
          <w:color w:val="auto"/>
          <w:sz w:val="36"/>
          <w:szCs w:val="36"/>
          <w:highlight w:val="none"/>
          <w:lang w:eastAsia="zh-CN"/>
        </w:rPr>
        <w:t>）</w:t>
      </w:r>
    </w:p>
    <w:p w14:paraId="7EDE7CD9">
      <w:pPr>
        <w:autoSpaceDE w:val="0"/>
        <w:autoSpaceDN w:val="0"/>
        <w:adjustRightInd w:val="0"/>
        <w:rPr>
          <w:i w:val="0"/>
          <w:iCs w:val="0"/>
          <w:color w:val="auto"/>
          <w:sz w:val="21"/>
          <w:szCs w:val="21"/>
          <w:highlight w:val="none"/>
        </w:rPr>
      </w:pPr>
    </w:p>
    <w:p w14:paraId="30EB22E6">
      <w:pPr>
        <w:autoSpaceDE w:val="0"/>
        <w:autoSpaceDN w:val="0"/>
        <w:adjustRightInd w:val="0"/>
        <w:rPr>
          <w:i w:val="0"/>
          <w:iCs w:val="0"/>
          <w:color w:val="auto"/>
          <w:sz w:val="21"/>
          <w:szCs w:val="21"/>
          <w:highlight w:val="none"/>
        </w:rPr>
      </w:pPr>
    </w:p>
    <w:p w14:paraId="0D158554">
      <w:pPr>
        <w:autoSpaceDE w:val="0"/>
        <w:autoSpaceDN w:val="0"/>
        <w:adjustRightInd w:val="0"/>
        <w:rPr>
          <w:i w:val="0"/>
          <w:iCs w:val="0"/>
          <w:color w:val="auto"/>
          <w:sz w:val="21"/>
          <w:szCs w:val="21"/>
          <w:highlight w:val="none"/>
        </w:rPr>
      </w:pPr>
    </w:p>
    <w:p w14:paraId="01B855BF">
      <w:pPr>
        <w:ind w:left="420" w:leftChars="175"/>
        <w:rPr>
          <w:rFonts w:hint="eastAsia" w:ascii="宋体" w:hAnsi="宋体" w:eastAsia="宋体" w:cs="宋体"/>
          <w:i w:val="0"/>
          <w:iCs w:val="0"/>
          <w:color w:val="auto"/>
          <w:sz w:val="36"/>
          <w:szCs w:val="36"/>
          <w:highlight w:val="none"/>
        </w:rPr>
      </w:pPr>
      <w:r>
        <w:rPr>
          <w:rFonts w:hint="eastAsia" w:ascii="宋体" w:hAnsi="宋体" w:eastAsia="宋体" w:cs="宋体"/>
          <w:i w:val="0"/>
          <w:iCs w:val="0"/>
          <w:color w:val="auto"/>
          <w:sz w:val="36"/>
          <w:szCs w:val="36"/>
          <w:highlight w:val="none"/>
        </w:rPr>
        <w:t>项目编号：</w:t>
      </w:r>
      <w:r>
        <w:rPr>
          <w:rFonts w:hint="eastAsia" w:ascii="宋体" w:hAnsi="宋体" w:eastAsia="宋体" w:cs="宋体"/>
          <w:i w:val="0"/>
          <w:iCs w:val="0"/>
          <w:color w:val="auto"/>
          <w:sz w:val="36"/>
          <w:szCs w:val="36"/>
          <w:highlight w:val="none"/>
          <w:u w:val="single"/>
        </w:rPr>
        <w:t xml:space="preserve">   </w:t>
      </w:r>
      <w:r>
        <w:rPr>
          <w:rFonts w:hint="eastAsia" w:ascii="宋体" w:hAnsi="宋体" w:eastAsia="宋体" w:cs="宋体"/>
          <w:i w:val="0"/>
          <w:iCs w:val="0"/>
          <w:color w:val="auto"/>
          <w:sz w:val="36"/>
          <w:szCs w:val="36"/>
          <w:highlight w:val="none"/>
          <w:u w:val="single"/>
          <w:lang w:val="en-US" w:eastAsia="zh-CN"/>
        </w:rPr>
        <w:t xml:space="preserve"> </w:t>
      </w:r>
      <w:r>
        <w:rPr>
          <w:rFonts w:hint="eastAsia" w:ascii="宋体" w:hAnsi="宋体" w:eastAsia="宋体" w:cs="宋体"/>
          <w:i w:val="0"/>
          <w:iCs w:val="0"/>
          <w:color w:val="auto"/>
          <w:sz w:val="36"/>
          <w:szCs w:val="36"/>
          <w:highlight w:val="none"/>
          <w:u w:val="single"/>
        </w:rPr>
        <w:t xml:space="preserve">     </w:t>
      </w:r>
      <w:r>
        <w:rPr>
          <w:rFonts w:hint="eastAsia" w:ascii="宋体" w:hAnsi="宋体" w:eastAsia="宋体" w:cs="宋体"/>
          <w:i w:val="0"/>
          <w:iCs w:val="0"/>
          <w:color w:val="auto"/>
          <w:sz w:val="36"/>
          <w:szCs w:val="36"/>
          <w:highlight w:val="none"/>
          <w:u w:val="single"/>
          <w:lang w:val="en-US" w:eastAsia="zh-CN"/>
        </w:rPr>
        <w:t xml:space="preserve"> </w:t>
      </w:r>
      <w:r>
        <w:rPr>
          <w:rFonts w:hint="eastAsia" w:ascii="宋体" w:hAnsi="宋体" w:eastAsia="宋体" w:cs="宋体"/>
          <w:i w:val="0"/>
          <w:iCs w:val="0"/>
          <w:color w:val="auto"/>
          <w:sz w:val="36"/>
          <w:szCs w:val="36"/>
          <w:highlight w:val="none"/>
          <w:u w:val="single"/>
        </w:rPr>
        <w:t xml:space="preserve">      </w:t>
      </w:r>
      <w:r>
        <w:rPr>
          <w:rFonts w:hint="eastAsia" w:ascii="宋体" w:hAnsi="宋体" w:eastAsia="宋体" w:cs="宋体"/>
          <w:i w:val="0"/>
          <w:iCs w:val="0"/>
          <w:color w:val="auto"/>
          <w:sz w:val="36"/>
          <w:szCs w:val="36"/>
          <w:highlight w:val="none"/>
          <w:u w:val="single"/>
          <w:lang w:val="en-US" w:eastAsia="zh-CN"/>
        </w:rPr>
        <w:t xml:space="preserve"> </w:t>
      </w:r>
      <w:r>
        <w:rPr>
          <w:rFonts w:hint="eastAsia" w:ascii="宋体" w:hAnsi="宋体" w:eastAsia="宋体" w:cs="宋体"/>
          <w:i w:val="0"/>
          <w:iCs w:val="0"/>
          <w:color w:val="auto"/>
          <w:sz w:val="36"/>
          <w:szCs w:val="36"/>
          <w:highlight w:val="none"/>
          <w:u w:val="single"/>
        </w:rPr>
        <w:t xml:space="preserve">          </w:t>
      </w:r>
    </w:p>
    <w:p w14:paraId="7E0530D8">
      <w:pPr>
        <w:ind w:left="420" w:leftChars="175"/>
        <w:rPr>
          <w:rFonts w:hint="eastAsia" w:ascii="宋体" w:hAnsi="宋体" w:eastAsia="宋体" w:cs="宋体"/>
          <w:i w:val="0"/>
          <w:iCs w:val="0"/>
          <w:color w:val="auto"/>
          <w:sz w:val="36"/>
          <w:szCs w:val="36"/>
          <w:highlight w:val="none"/>
        </w:rPr>
      </w:pPr>
      <w:r>
        <w:rPr>
          <w:rFonts w:hint="eastAsia" w:ascii="宋体" w:hAnsi="宋体" w:eastAsia="宋体" w:cs="宋体"/>
          <w:i w:val="0"/>
          <w:iCs w:val="0"/>
          <w:color w:val="auto"/>
          <w:sz w:val="36"/>
          <w:szCs w:val="36"/>
          <w:highlight w:val="none"/>
        </w:rPr>
        <w:t>项目名称：</w:t>
      </w:r>
      <w:r>
        <w:rPr>
          <w:rFonts w:hint="eastAsia" w:ascii="宋体" w:hAnsi="宋体" w:eastAsia="宋体" w:cs="宋体"/>
          <w:i w:val="0"/>
          <w:iCs w:val="0"/>
          <w:color w:val="auto"/>
          <w:sz w:val="36"/>
          <w:szCs w:val="36"/>
          <w:highlight w:val="none"/>
          <w:u w:val="single"/>
        </w:rPr>
        <w:t xml:space="preserve">                    </w:t>
      </w:r>
      <w:r>
        <w:rPr>
          <w:rFonts w:hint="eastAsia" w:ascii="宋体" w:hAnsi="宋体" w:eastAsia="宋体" w:cs="宋体"/>
          <w:i w:val="0"/>
          <w:iCs w:val="0"/>
          <w:color w:val="auto"/>
          <w:sz w:val="36"/>
          <w:szCs w:val="36"/>
          <w:highlight w:val="none"/>
          <w:u w:val="single"/>
          <w:lang w:val="en-US" w:eastAsia="zh-CN"/>
        </w:rPr>
        <w:t xml:space="preserve"> </w:t>
      </w:r>
      <w:r>
        <w:rPr>
          <w:rFonts w:hint="eastAsia" w:ascii="宋体" w:hAnsi="宋体" w:eastAsia="宋体" w:cs="宋体"/>
          <w:i w:val="0"/>
          <w:iCs w:val="0"/>
          <w:color w:val="auto"/>
          <w:sz w:val="36"/>
          <w:szCs w:val="36"/>
          <w:highlight w:val="none"/>
          <w:u w:val="single"/>
        </w:rPr>
        <w:t xml:space="preserve">           </w:t>
      </w:r>
    </w:p>
    <w:p w14:paraId="4281C2EA">
      <w:pPr>
        <w:ind w:left="420" w:leftChars="175"/>
        <w:rPr>
          <w:rFonts w:hint="eastAsia" w:ascii="宋体" w:hAnsi="宋体" w:eastAsia="宋体" w:cs="宋体"/>
          <w:i w:val="0"/>
          <w:iCs w:val="0"/>
          <w:color w:val="auto"/>
          <w:sz w:val="36"/>
          <w:szCs w:val="36"/>
          <w:highlight w:val="none"/>
        </w:rPr>
      </w:pPr>
      <w:r>
        <w:rPr>
          <w:rFonts w:hint="eastAsia" w:cs="宋体"/>
          <w:i w:val="0"/>
          <w:iCs w:val="0"/>
          <w:color w:val="auto"/>
          <w:sz w:val="36"/>
          <w:szCs w:val="36"/>
          <w:highlight w:val="none"/>
          <w:lang w:val="en-US" w:eastAsia="zh-CN"/>
        </w:rPr>
        <w:t>供 应 商</w:t>
      </w:r>
      <w:r>
        <w:rPr>
          <w:rFonts w:hint="eastAsia" w:ascii="宋体" w:hAnsi="宋体" w:eastAsia="宋体" w:cs="宋体"/>
          <w:i w:val="0"/>
          <w:iCs w:val="0"/>
          <w:color w:val="auto"/>
          <w:sz w:val="36"/>
          <w:szCs w:val="36"/>
          <w:highlight w:val="none"/>
        </w:rPr>
        <w:t>：</w:t>
      </w:r>
      <w:r>
        <w:rPr>
          <w:rFonts w:hint="eastAsia" w:ascii="宋体" w:hAnsi="宋体" w:eastAsia="宋体" w:cs="宋体"/>
          <w:i w:val="0"/>
          <w:iCs w:val="0"/>
          <w:color w:val="auto"/>
          <w:sz w:val="36"/>
          <w:szCs w:val="36"/>
          <w:highlight w:val="none"/>
          <w:u w:val="single"/>
        </w:rPr>
        <w:t xml:space="preserve">      </w:t>
      </w:r>
      <w:r>
        <w:rPr>
          <w:rFonts w:hint="eastAsia" w:ascii="宋体" w:hAnsi="宋体" w:eastAsia="宋体" w:cs="宋体"/>
          <w:i w:val="0"/>
          <w:iCs w:val="0"/>
          <w:color w:val="auto"/>
          <w:sz w:val="36"/>
          <w:szCs w:val="36"/>
          <w:highlight w:val="none"/>
          <w:u w:val="single"/>
          <w:lang w:val="en-US" w:eastAsia="zh-CN"/>
        </w:rPr>
        <w:t xml:space="preserve">  </w:t>
      </w:r>
      <w:r>
        <w:rPr>
          <w:rFonts w:hint="eastAsia" w:ascii="宋体" w:hAnsi="宋体" w:eastAsia="宋体" w:cs="宋体"/>
          <w:i w:val="0"/>
          <w:iCs w:val="0"/>
          <w:color w:val="auto"/>
          <w:sz w:val="36"/>
          <w:szCs w:val="36"/>
          <w:highlight w:val="none"/>
          <w:u w:val="single"/>
        </w:rPr>
        <w:t xml:space="preserve">         </w:t>
      </w:r>
      <w:r>
        <w:rPr>
          <w:rFonts w:hint="eastAsia" w:ascii="宋体" w:hAnsi="宋体" w:eastAsia="宋体" w:cs="宋体"/>
          <w:i w:val="0"/>
          <w:iCs w:val="0"/>
          <w:color w:val="auto"/>
          <w:sz w:val="36"/>
          <w:szCs w:val="36"/>
          <w:highlight w:val="none"/>
          <w:u w:val="single"/>
          <w:lang w:val="en-US" w:eastAsia="zh-CN"/>
        </w:rPr>
        <w:t xml:space="preserve"> </w:t>
      </w:r>
      <w:r>
        <w:rPr>
          <w:rFonts w:hint="eastAsia" w:ascii="宋体" w:hAnsi="宋体" w:eastAsia="宋体" w:cs="宋体"/>
          <w:i w:val="0"/>
          <w:iCs w:val="0"/>
          <w:color w:val="auto"/>
          <w:sz w:val="36"/>
          <w:szCs w:val="36"/>
          <w:highlight w:val="none"/>
          <w:u w:val="single"/>
        </w:rPr>
        <w:t xml:space="preserve">              </w:t>
      </w:r>
    </w:p>
    <w:p w14:paraId="67DB2DE4">
      <w:pPr>
        <w:ind w:left="840" w:firstLine="420"/>
        <w:rPr>
          <w:b/>
          <w:bCs/>
          <w:i w:val="0"/>
          <w:iCs w:val="0"/>
          <w:color w:val="auto"/>
          <w:sz w:val="28"/>
          <w:szCs w:val="28"/>
          <w:highlight w:val="none"/>
        </w:rPr>
      </w:pPr>
    </w:p>
    <w:p w14:paraId="1D6D546F">
      <w:pPr>
        <w:ind w:left="840" w:firstLine="420"/>
        <w:rPr>
          <w:b/>
          <w:bCs/>
          <w:i w:val="0"/>
          <w:iCs w:val="0"/>
          <w:color w:val="auto"/>
          <w:sz w:val="28"/>
          <w:szCs w:val="28"/>
          <w:highlight w:val="none"/>
        </w:rPr>
      </w:pPr>
    </w:p>
    <w:p w14:paraId="167EF277">
      <w:pPr>
        <w:ind w:left="840" w:firstLine="420"/>
        <w:rPr>
          <w:b/>
          <w:bCs/>
          <w:i w:val="0"/>
          <w:iCs w:val="0"/>
          <w:color w:val="auto"/>
          <w:sz w:val="28"/>
          <w:szCs w:val="28"/>
          <w:highlight w:val="none"/>
        </w:rPr>
      </w:pPr>
    </w:p>
    <w:p w14:paraId="74C476B2">
      <w:pPr>
        <w:jc w:val="center"/>
        <w:rPr>
          <w:rFonts w:ascii="黑体" w:hAnsi="黑体" w:eastAsia="黑体"/>
          <w:i w:val="0"/>
          <w:iCs w:val="0"/>
          <w:color w:val="auto"/>
          <w:sz w:val="32"/>
          <w:szCs w:val="32"/>
          <w:highlight w:val="none"/>
        </w:rPr>
      </w:pPr>
      <w:r>
        <w:rPr>
          <w:rFonts w:hint="eastAsia" w:ascii="宋体" w:hAnsi="宋体" w:eastAsia="宋体" w:cs="宋体"/>
          <w:i w:val="0"/>
          <w:iCs w:val="0"/>
          <w:color w:val="auto"/>
          <w:sz w:val="32"/>
          <w:szCs w:val="32"/>
          <w:highlight w:val="none"/>
        </w:rPr>
        <w:t>年   月    日</w:t>
      </w:r>
    </w:p>
    <w:p w14:paraId="1582779F">
      <w:pPr>
        <w:pStyle w:val="3"/>
        <w:keepNext/>
        <w:keepLines/>
        <w:pageBreakBefore w:val="0"/>
        <w:widowControl w:val="0"/>
        <w:numPr>
          <w:ilvl w:val="0"/>
          <w:numId w:val="0"/>
        </w:numPr>
        <w:kinsoku/>
        <w:wordWrap/>
        <w:overflowPunct/>
        <w:topLinePunct w:val="0"/>
        <w:autoSpaceDE/>
        <w:autoSpaceDN/>
        <w:bidi w:val="0"/>
        <w:adjustRightInd/>
        <w:snapToGrid/>
        <w:spacing w:before="100" w:after="100" w:line="360" w:lineRule="auto"/>
        <w:ind w:left="420" w:leftChars="0" w:hanging="420" w:firstLineChars="0"/>
        <w:textAlignment w:val="auto"/>
        <w:rPr>
          <w:rFonts w:hint="eastAsia" w:eastAsia="宋体" w:asciiTheme="majorHAnsi" w:hAnsiTheme="majorHAnsi" w:cstheme="majorBidi"/>
          <w:b/>
          <w:bCs/>
          <w:i w:val="0"/>
          <w:iCs w:val="0"/>
          <w:color w:val="auto"/>
          <w:kern w:val="2"/>
          <w:sz w:val="28"/>
          <w:szCs w:val="28"/>
          <w:highlight w:val="none"/>
          <w:lang w:val="en-US" w:eastAsia="zh-CN" w:bidi="ar-SA"/>
        </w:rPr>
      </w:pPr>
      <w:bookmarkStart w:id="441" w:name="_Toc29766"/>
      <w:bookmarkStart w:id="442" w:name="_Toc155185927"/>
      <w:bookmarkStart w:id="443" w:name="_Toc163492922"/>
      <w:bookmarkStart w:id="444" w:name="_Toc155185928"/>
      <w:bookmarkStart w:id="445" w:name="_Toc163493643"/>
      <w:r>
        <w:rPr>
          <w:rFonts w:hint="eastAsia" w:eastAsia="宋体" w:asciiTheme="majorHAnsi" w:hAnsiTheme="majorHAnsi" w:cstheme="majorBidi"/>
          <w:b/>
          <w:bCs/>
          <w:i w:val="0"/>
          <w:iCs w:val="0"/>
          <w:color w:val="auto"/>
          <w:kern w:val="2"/>
          <w:sz w:val="28"/>
          <w:szCs w:val="28"/>
          <w:highlight w:val="none"/>
          <w:lang w:val="en-US" w:eastAsia="zh-CN" w:bidi="ar-SA"/>
        </w:rPr>
        <w:t>一、满足《中华人民共和国政府采购法》第二十二条规定</w:t>
      </w:r>
      <w:bookmarkEnd w:id="441"/>
    </w:p>
    <w:bookmarkEnd w:id="442"/>
    <w:p w14:paraId="6B7B06FF">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b/>
          <w:bCs/>
          <w:i w:val="0"/>
          <w:iCs w:val="0"/>
          <w:color w:val="auto"/>
          <w:kern w:val="2"/>
          <w:sz w:val="24"/>
          <w:szCs w:val="24"/>
          <w:highlight w:val="none"/>
          <w:lang w:val="en-US" w:eastAsia="zh-CN" w:bidi="ar-SA"/>
        </w:rPr>
      </w:pPr>
      <w:r>
        <w:rPr>
          <w:rFonts w:hint="eastAsia" w:ascii="宋体" w:hAnsi="宋体" w:eastAsia="宋体" w:cs="宋体"/>
          <w:b/>
          <w:bCs/>
          <w:i w:val="0"/>
          <w:iCs w:val="0"/>
          <w:color w:val="auto"/>
          <w:kern w:val="2"/>
          <w:sz w:val="24"/>
          <w:szCs w:val="24"/>
          <w:highlight w:val="none"/>
          <w:lang w:val="en-US" w:eastAsia="zh-CN" w:bidi="ar-SA"/>
        </w:rPr>
        <w:t>（一）法人、其他组织或者自然人的证明文件</w:t>
      </w:r>
    </w:p>
    <w:p w14:paraId="18B0578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i w:val="0"/>
          <w:iCs w:val="0"/>
          <w:color w:val="auto"/>
          <w:kern w:val="0"/>
          <w:sz w:val="24"/>
          <w:szCs w:val="24"/>
          <w:highlight w:val="none"/>
          <w:lang w:val="en-US" w:eastAsia="zh-CN"/>
        </w:rPr>
      </w:pPr>
      <w:r>
        <w:rPr>
          <w:rFonts w:hint="eastAsia" w:cs="宋体"/>
          <w:b w:val="0"/>
          <w:bCs w:val="0"/>
          <w:i w:val="0"/>
          <w:iCs w:val="0"/>
          <w:color w:val="auto"/>
          <w:kern w:val="0"/>
          <w:sz w:val="24"/>
          <w:szCs w:val="24"/>
          <w:highlight w:val="none"/>
          <w:lang w:val="en-US" w:eastAsia="zh-CN"/>
        </w:rPr>
        <w:t>1、供应商</w:t>
      </w:r>
      <w:r>
        <w:rPr>
          <w:rFonts w:hint="eastAsia" w:ascii="宋体" w:hAnsi="宋体" w:eastAsia="宋体" w:cs="宋体"/>
          <w:b w:val="0"/>
          <w:bCs w:val="0"/>
          <w:i w:val="0"/>
          <w:iCs w:val="0"/>
          <w:color w:val="auto"/>
          <w:kern w:val="0"/>
          <w:sz w:val="24"/>
          <w:szCs w:val="24"/>
          <w:highlight w:val="none"/>
          <w:lang w:val="en-US" w:eastAsia="zh-CN"/>
        </w:rPr>
        <w:t>为企业（包括合伙企业）的，应提供有效的“营业执照”；</w:t>
      </w:r>
    </w:p>
    <w:p w14:paraId="1D91F81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i w:val="0"/>
          <w:iCs w:val="0"/>
          <w:color w:val="auto"/>
          <w:kern w:val="0"/>
          <w:sz w:val="24"/>
          <w:szCs w:val="24"/>
          <w:highlight w:val="none"/>
          <w:lang w:val="en-US" w:eastAsia="zh-CN"/>
        </w:rPr>
      </w:pPr>
      <w:r>
        <w:rPr>
          <w:rFonts w:hint="eastAsia" w:cs="宋体"/>
          <w:b w:val="0"/>
          <w:bCs w:val="0"/>
          <w:i w:val="0"/>
          <w:iCs w:val="0"/>
          <w:color w:val="auto"/>
          <w:kern w:val="0"/>
          <w:sz w:val="24"/>
          <w:szCs w:val="24"/>
          <w:highlight w:val="none"/>
          <w:lang w:val="en-US" w:eastAsia="zh-CN"/>
        </w:rPr>
        <w:t>2、供应商</w:t>
      </w:r>
      <w:r>
        <w:rPr>
          <w:rFonts w:hint="eastAsia" w:ascii="宋体" w:hAnsi="宋体" w:eastAsia="宋体" w:cs="宋体"/>
          <w:b w:val="0"/>
          <w:bCs w:val="0"/>
          <w:i w:val="0"/>
          <w:iCs w:val="0"/>
          <w:color w:val="auto"/>
          <w:kern w:val="0"/>
          <w:sz w:val="24"/>
          <w:szCs w:val="24"/>
          <w:highlight w:val="none"/>
          <w:lang w:val="en-US" w:eastAsia="zh-CN"/>
        </w:rPr>
        <w:t>为事业单位的，应提供有效的“事业单位法人证书”；</w:t>
      </w:r>
    </w:p>
    <w:p w14:paraId="11EBB2B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i w:val="0"/>
          <w:iCs w:val="0"/>
          <w:color w:val="auto"/>
          <w:kern w:val="0"/>
          <w:sz w:val="24"/>
          <w:szCs w:val="24"/>
          <w:highlight w:val="none"/>
          <w:lang w:val="en-US" w:eastAsia="zh-CN"/>
        </w:rPr>
      </w:pPr>
      <w:r>
        <w:rPr>
          <w:rFonts w:hint="eastAsia" w:cs="宋体"/>
          <w:b w:val="0"/>
          <w:bCs w:val="0"/>
          <w:i w:val="0"/>
          <w:iCs w:val="0"/>
          <w:color w:val="auto"/>
          <w:kern w:val="0"/>
          <w:sz w:val="24"/>
          <w:szCs w:val="24"/>
          <w:highlight w:val="none"/>
          <w:lang w:val="en-US" w:eastAsia="zh-CN"/>
        </w:rPr>
        <w:t>3、供应商</w:t>
      </w:r>
      <w:r>
        <w:rPr>
          <w:rFonts w:hint="eastAsia" w:ascii="宋体" w:hAnsi="宋体" w:eastAsia="宋体" w:cs="宋体"/>
          <w:b w:val="0"/>
          <w:bCs w:val="0"/>
          <w:i w:val="0"/>
          <w:iCs w:val="0"/>
          <w:color w:val="auto"/>
          <w:kern w:val="0"/>
          <w:sz w:val="24"/>
          <w:szCs w:val="24"/>
          <w:highlight w:val="none"/>
          <w:lang w:val="en-US" w:eastAsia="zh-CN"/>
        </w:rPr>
        <w:t>为非企业机构的，应提供有效的“执业许可证</w:t>
      </w:r>
      <w:r>
        <w:rPr>
          <w:rFonts w:hint="eastAsia" w:cs="宋体"/>
          <w:b w:val="0"/>
          <w:bCs w:val="0"/>
          <w:i w:val="0"/>
          <w:iCs w:val="0"/>
          <w:color w:val="auto"/>
          <w:kern w:val="0"/>
          <w:sz w:val="24"/>
          <w:szCs w:val="24"/>
          <w:highlight w:val="none"/>
          <w:lang w:val="en-US" w:eastAsia="zh-CN"/>
        </w:rPr>
        <w:t>”“</w:t>
      </w:r>
      <w:r>
        <w:rPr>
          <w:rFonts w:hint="eastAsia" w:ascii="宋体" w:hAnsi="宋体" w:eastAsia="宋体" w:cs="宋体"/>
          <w:b w:val="0"/>
          <w:bCs w:val="0"/>
          <w:i w:val="0"/>
          <w:iCs w:val="0"/>
          <w:color w:val="auto"/>
          <w:kern w:val="0"/>
          <w:sz w:val="24"/>
          <w:szCs w:val="24"/>
          <w:highlight w:val="none"/>
          <w:lang w:val="en-US" w:eastAsia="zh-CN"/>
        </w:rPr>
        <w:t>登记证书”等证明文件；</w:t>
      </w:r>
    </w:p>
    <w:p w14:paraId="783D095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i w:val="0"/>
          <w:iCs w:val="0"/>
          <w:color w:val="auto"/>
          <w:kern w:val="0"/>
          <w:sz w:val="24"/>
          <w:szCs w:val="24"/>
          <w:highlight w:val="none"/>
          <w:lang w:val="en-US" w:eastAsia="zh-CN"/>
        </w:rPr>
      </w:pPr>
      <w:r>
        <w:rPr>
          <w:rFonts w:hint="eastAsia" w:cs="宋体"/>
          <w:b w:val="0"/>
          <w:bCs w:val="0"/>
          <w:i w:val="0"/>
          <w:iCs w:val="0"/>
          <w:color w:val="auto"/>
          <w:kern w:val="0"/>
          <w:sz w:val="24"/>
          <w:szCs w:val="24"/>
          <w:highlight w:val="none"/>
          <w:lang w:val="en-US" w:eastAsia="zh-CN"/>
        </w:rPr>
        <w:t>4、供应商</w:t>
      </w:r>
      <w:r>
        <w:rPr>
          <w:rFonts w:hint="eastAsia" w:ascii="宋体" w:hAnsi="宋体" w:eastAsia="宋体" w:cs="宋体"/>
          <w:b w:val="0"/>
          <w:bCs w:val="0"/>
          <w:i w:val="0"/>
          <w:iCs w:val="0"/>
          <w:color w:val="auto"/>
          <w:kern w:val="0"/>
          <w:sz w:val="24"/>
          <w:szCs w:val="24"/>
          <w:highlight w:val="none"/>
          <w:lang w:val="en-US" w:eastAsia="zh-CN"/>
        </w:rPr>
        <w:t>是个体工商户的，应提供有效的“个体工商户营业执照”；</w:t>
      </w:r>
    </w:p>
    <w:p w14:paraId="0D5FBDB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i w:val="0"/>
          <w:iCs w:val="0"/>
          <w:color w:val="auto"/>
          <w:kern w:val="0"/>
          <w:sz w:val="24"/>
          <w:szCs w:val="24"/>
          <w:highlight w:val="none"/>
          <w:lang w:val="en-US" w:eastAsia="zh-CN"/>
        </w:rPr>
      </w:pPr>
      <w:r>
        <w:rPr>
          <w:rFonts w:hint="eastAsia" w:cs="宋体"/>
          <w:b w:val="0"/>
          <w:bCs w:val="0"/>
          <w:i w:val="0"/>
          <w:iCs w:val="0"/>
          <w:color w:val="auto"/>
          <w:kern w:val="0"/>
          <w:sz w:val="24"/>
          <w:szCs w:val="24"/>
          <w:highlight w:val="none"/>
          <w:lang w:val="en-US" w:eastAsia="zh-CN"/>
        </w:rPr>
        <w:t>5、供应商</w:t>
      </w:r>
      <w:r>
        <w:rPr>
          <w:rFonts w:hint="eastAsia" w:ascii="宋体" w:hAnsi="宋体" w:eastAsia="宋体" w:cs="宋体"/>
          <w:b w:val="0"/>
          <w:bCs w:val="0"/>
          <w:i w:val="0"/>
          <w:iCs w:val="0"/>
          <w:color w:val="auto"/>
          <w:kern w:val="0"/>
          <w:sz w:val="24"/>
          <w:szCs w:val="24"/>
          <w:highlight w:val="none"/>
          <w:lang w:val="en-US" w:eastAsia="zh-CN"/>
        </w:rPr>
        <w:t>是自然人的，应提供有效的自然人身份证明。</w:t>
      </w:r>
    </w:p>
    <w:p w14:paraId="128F3677">
      <w:pPr>
        <w:rPr>
          <w:rFonts w:hint="eastAsia" w:ascii="宋体" w:hAnsi="宋体" w:eastAsia="宋体" w:cs="宋体"/>
          <w:i w:val="0"/>
          <w:iCs w:val="0"/>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lang w:val="en-US" w:eastAsia="zh-CN"/>
        </w:rPr>
        <w:br w:type="page"/>
      </w:r>
    </w:p>
    <w:bookmarkEnd w:id="443"/>
    <w:bookmarkEnd w:id="444"/>
    <w:p w14:paraId="4A427704">
      <w:pPr>
        <w:pStyle w:val="3"/>
        <w:keepNext/>
        <w:keepLines/>
        <w:pageBreakBefore w:val="0"/>
        <w:widowControl w:val="0"/>
        <w:numPr>
          <w:ilvl w:val="0"/>
          <w:numId w:val="0"/>
        </w:numPr>
        <w:kinsoku/>
        <w:wordWrap/>
        <w:overflowPunct/>
        <w:topLinePunct w:val="0"/>
        <w:autoSpaceDE/>
        <w:autoSpaceDN/>
        <w:bidi w:val="0"/>
        <w:adjustRightInd/>
        <w:snapToGrid/>
        <w:spacing w:before="100" w:after="100" w:line="360" w:lineRule="auto"/>
        <w:ind w:left="0" w:leftChars="0" w:firstLine="0" w:firstLineChars="0"/>
        <w:textAlignment w:val="auto"/>
        <w:rPr>
          <w:rFonts w:hint="eastAsia" w:eastAsia="宋体" w:cstheme="majorBidi"/>
          <w:b/>
          <w:bCs/>
          <w:i w:val="0"/>
          <w:iCs w:val="0"/>
          <w:color w:val="auto"/>
          <w:kern w:val="2"/>
          <w:sz w:val="24"/>
          <w:szCs w:val="24"/>
          <w:highlight w:val="none"/>
          <w:lang w:val="en-US" w:eastAsia="zh-CN" w:bidi="ar-SA"/>
        </w:rPr>
      </w:pPr>
      <w:bookmarkStart w:id="446" w:name="_Toc10997"/>
      <w:bookmarkStart w:id="447" w:name="_Toc8688"/>
      <w:r>
        <w:rPr>
          <w:rFonts w:hint="eastAsia" w:eastAsia="宋体" w:cstheme="majorBidi"/>
          <w:b/>
          <w:bCs/>
          <w:i w:val="0"/>
          <w:iCs w:val="0"/>
          <w:color w:val="auto"/>
          <w:kern w:val="2"/>
          <w:sz w:val="24"/>
          <w:szCs w:val="24"/>
          <w:highlight w:val="none"/>
          <w:lang w:val="en-US" w:eastAsia="zh-CN" w:bidi="ar-SA"/>
        </w:rPr>
        <w:t>（二）</w:t>
      </w:r>
      <w:r>
        <w:rPr>
          <w:rFonts w:hint="eastAsia" w:cstheme="majorBidi"/>
          <w:b/>
          <w:bCs/>
          <w:i w:val="0"/>
          <w:iCs w:val="0"/>
          <w:color w:val="auto"/>
          <w:kern w:val="2"/>
          <w:sz w:val="24"/>
          <w:szCs w:val="24"/>
          <w:highlight w:val="none"/>
          <w:lang w:val="en-US" w:eastAsia="zh-CN" w:bidi="ar-SA"/>
        </w:rPr>
        <w:t>新疆政府采购</w:t>
      </w:r>
      <w:r>
        <w:rPr>
          <w:rFonts w:hint="eastAsia" w:eastAsia="宋体" w:cstheme="majorBidi"/>
          <w:b/>
          <w:bCs/>
          <w:i w:val="0"/>
          <w:iCs w:val="0"/>
          <w:color w:val="auto"/>
          <w:kern w:val="2"/>
          <w:sz w:val="24"/>
          <w:szCs w:val="24"/>
          <w:highlight w:val="none"/>
          <w:lang w:val="en-US" w:eastAsia="zh-CN" w:bidi="ar-SA"/>
        </w:rPr>
        <w:t>供应商信用承诺函</w:t>
      </w:r>
      <w:bookmarkEnd w:id="446"/>
      <w:bookmarkEnd w:id="447"/>
    </w:p>
    <w:p w14:paraId="3BC22A19">
      <w:pPr>
        <w:spacing w:line="560" w:lineRule="exact"/>
        <w:rPr>
          <w:rFonts w:hint="eastAsia" w:ascii="宋体" w:hAnsi="宋体" w:eastAsia="宋体" w:cs="宋体"/>
          <w:i w:val="0"/>
          <w:iCs w:val="0"/>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rPr>
        <w:t>单位名称</w:t>
      </w:r>
      <w:r>
        <w:rPr>
          <w:rFonts w:hint="eastAsia" w:ascii="宋体" w:hAnsi="宋体" w:eastAsia="宋体" w:cs="宋体"/>
          <w:i w:val="0"/>
          <w:iCs w:val="0"/>
          <w:color w:val="auto"/>
          <w:kern w:val="0"/>
          <w:sz w:val="24"/>
          <w:szCs w:val="24"/>
          <w:highlight w:val="none"/>
          <w:lang w:eastAsia="zh-CN"/>
        </w:rPr>
        <w:t>（</w:t>
      </w:r>
      <w:r>
        <w:rPr>
          <w:rFonts w:hint="eastAsia" w:ascii="宋体" w:hAnsi="宋体" w:eastAsia="宋体" w:cs="宋体"/>
          <w:i w:val="0"/>
          <w:iCs w:val="0"/>
          <w:color w:val="auto"/>
          <w:kern w:val="0"/>
          <w:sz w:val="24"/>
          <w:szCs w:val="24"/>
          <w:highlight w:val="none"/>
        </w:rPr>
        <w:t>自然人姓名</w:t>
      </w:r>
      <w:r>
        <w:rPr>
          <w:rFonts w:hint="eastAsia" w:ascii="宋体" w:hAnsi="宋体" w:eastAsia="宋体" w:cs="宋体"/>
          <w:i w:val="0"/>
          <w:iCs w:val="0"/>
          <w:color w:val="auto"/>
          <w:kern w:val="0"/>
          <w:sz w:val="24"/>
          <w:szCs w:val="24"/>
          <w:highlight w:val="none"/>
          <w:lang w:eastAsia="zh-CN"/>
        </w:rPr>
        <w:t>）</w:t>
      </w:r>
      <w:r>
        <w:rPr>
          <w:rFonts w:hint="eastAsia" w:ascii="宋体" w:hAnsi="宋体" w:eastAsia="宋体" w:cs="宋体"/>
          <w:i w:val="0"/>
          <w:iCs w:val="0"/>
          <w:color w:val="auto"/>
          <w:kern w:val="0"/>
          <w:sz w:val="24"/>
          <w:szCs w:val="24"/>
          <w:highlight w:val="none"/>
        </w:rPr>
        <w:t>：</w:t>
      </w:r>
    </w:p>
    <w:p w14:paraId="3FC6CB95">
      <w:pPr>
        <w:spacing w:line="560" w:lineRule="exac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统一社会信用代码</w:t>
      </w:r>
      <w:r>
        <w:rPr>
          <w:rFonts w:hint="eastAsia" w:ascii="宋体" w:hAnsi="宋体" w:eastAsia="宋体" w:cs="宋体"/>
          <w:i w:val="0"/>
          <w:iCs w:val="0"/>
          <w:color w:val="auto"/>
          <w:kern w:val="0"/>
          <w:sz w:val="24"/>
          <w:szCs w:val="24"/>
          <w:highlight w:val="none"/>
          <w:lang w:eastAsia="zh-CN"/>
        </w:rPr>
        <w:t>（</w:t>
      </w:r>
      <w:r>
        <w:rPr>
          <w:rFonts w:hint="eastAsia" w:ascii="宋体" w:hAnsi="宋体" w:eastAsia="宋体" w:cs="宋体"/>
          <w:i w:val="0"/>
          <w:iCs w:val="0"/>
          <w:color w:val="auto"/>
          <w:kern w:val="0"/>
          <w:sz w:val="24"/>
          <w:szCs w:val="24"/>
          <w:highlight w:val="none"/>
        </w:rPr>
        <w:t>身份证号码</w:t>
      </w:r>
      <w:r>
        <w:rPr>
          <w:rFonts w:hint="eastAsia" w:ascii="宋体" w:hAnsi="宋体" w:eastAsia="宋体" w:cs="宋体"/>
          <w:i w:val="0"/>
          <w:iCs w:val="0"/>
          <w:color w:val="auto"/>
          <w:kern w:val="0"/>
          <w:sz w:val="24"/>
          <w:szCs w:val="24"/>
          <w:highlight w:val="none"/>
          <w:lang w:eastAsia="zh-CN"/>
        </w:rPr>
        <w:t>）</w:t>
      </w:r>
      <w:r>
        <w:rPr>
          <w:rFonts w:hint="eastAsia" w:ascii="宋体" w:hAnsi="宋体" w:eastAsia="宋体" w:cs="宋体"/>
          <w:i w:val="0"/>
          <w:iCs w:val="0"/>
          <w:color w:val="auto"/>
          <w:kern w:val="0"/>
          <w:sz w:val="24"/>
          <w:szCs w:val="24"/>
          <w:highlight w:val="none"/>
        </w:rPr>
        <w:t>：</w:t>
      </w:r>
    </w:p>
    <w:p w14:paraId="4FF8B45F">
      <w:pPr>
        <w:spacing w:line="560" w:lineRule="exac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法定代表人</w:t>
      </w:r>
      <w:r>
        <w:rPr>
          <w:rFonts w:hint="eastAsia" w:ascii="宋体" w:hAnsi="宋体" w:eastAsia="宋体" w:cs="宋体"/>
          <w:i w:val="0"/>
          <w:iCs w:val="0"/>
          <w:color w:val="auto"/>
          <w:kern w:val="0"/>
          <w:sz w:val="24"/>
          <w:szCs w:val="24"/>
          <w:highlight w:val="none"/>
          <w:lang w:eastAsia="zh-CN"/>
        </w:rPr>
        <w:t>（</w:t>
      </w:r>
      <w:r>
        <w:rPr>
          <w:rFonts w:hint="eastAsia" w:ascii="宋体" w:hAnsi="宋体" w:eastAsia="宋体" w:cs="宋体"/>
          <w:i w:val="0"/>
          <w:iCs w:val="0"/>
          <w:color w:val="auto"/>
          <w:kern w:val="0"/>
          <w:sz w:val="24"/>
          <w:szCs w:val="24"/>
          <w:highlight w:val="none"/>
        </w:rPr>
        <w:t>负责人</w:t>
      </w:r>
      <w:r>
        <w:rPr>
          <w:rFonts w:hint="eastAsia" w:ascii="宋体" w:hAnsi="宋体" w:eastAsia="宋体" w:cs="宋体"/>
          <w:i w:val="0"/>
          <w:iCs w:val="0"/>
          <w:color w:val="auto"/>
          <w:kern w:val="0"/>
          <w:sz w:val="24"/>
          <w:szCs w:val="24"/>
          <w:highlight w:val="none"/>
          <w:lang w:eastAsia="zh-CN"/>
        </w:rPr>
        <w:t>）</w:t>
      </w:r>
      <w:r>
        <w:rPr>
          <w:rFonts w:hint="eastAsia" w:ascii="宋体" w:hAnsi="宋体" w:eastAsia="宋体" w:cs="宋体"/>
          <w:i w:val="0"/>
          <w:iCs w:val="0"/>
          <w:color w:val="auto"/>
          <w:kern w:val="0"/>
          <w:sz w:val="24"/>
          <w:szCs w:val="24"/>
          <w:highlight w:val="none"/>
        </w:rPr>
        <w:t>：</w:t>
      </w:r>
    </w:p>
    <w:p w14:paraId="5215310C">
      <w:pPr>
        <w:spacing w:line="560" w:lineRule="exact"/>
        <w:ind w:firstLine="480" w:firstLineChars="200"/>
        <w:rPr>
          <w:rFonts w:hint="eastAsia" w:ascii="宋体" w:hAnsi="宋体" w:eastAsia="宋体" w:cs="宋体"/>
          <w:i w:val="0"/>
          <w:iCs w:val="0"/>
          <w:color w:val="auto"/>
          <w:kern w:val="0"/>
          <w:sz w:val="24"/>
          <w:szCs w:val="24"/>
          <w:highlight w:val="none"/>
        </w:rPr>
      </w:pPr>
    </w:p>
    <w:p w14:paraId="454E84C6">
      <w:pPr>
        <w:spacing w:line="560" w:lineRule="exact"/>
        <w:ind w:firstLine="480" w:firstLineChars="200"/>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我单位</w:t>
      </w:r>
      <w:r>
        <w:rPr>
          <w:rFonts w:hint="eastAsia" w:ascii="宋体" w:hAnsi="宋体" w:eastAsia="宋体" w:cs="宋体"/>
          <w:i w:val="0"/>
          <w:iCs w:val="0"/>
          <w:color w:val="auto"/>
          <w:kern w:val="0"/>
          <w:sz w:val="24"/>
          <w:szCs w:val="24"/>
          <w:highlight w:val="none"/>
          <w:lang w:eastAsia="zh-CN"/>
        </w:rPr>
        <w:t>（</w:t>
      </w:r>
      <w:r>
        <w:rPr>
          <w:rFonts w:hint="eastAsia" w:ascii="宋体" w:hAnsi="宋体" w:eastAsia="宋体" w:cs="宋体"/>
          <w:i w:val="0"/>
          <w:iCs w:val="0"/>
          <w:color w:val="auto"/>
          <w:kern w:val="0"/>
          <w:sz w:val="24"/>
          <w:szCs w:val="24"/>
          <w:highlight w:val="none"/>
        </w:rPr>
        <w:t>本人</w:t>
      </w:r>
      <w:r>
        <w:rPr>
          <w:rFonts w:hint="eastAsia" w:ascii="宋体" w:hAnsi="宋体" w:eastAsia="宋体" w:cs="宋体"/>
          <w:i w:val="0"/>
          <w:iCs w:val="0"/>
          <w:color w:val="auto"/>
          <w:kern w:val="0"/>
          <w:sz w:val="24"/>
          <w:szCs w:val="24"/>
          <w:highlight w:val="none"/>
          <w:lang w:eastAsia="zh-CN"/>
        </w:rPr>
        <w:t>）</w:t>
      </w:r>
      <w:r>
        <w:rPr>
          <w:rFonts w:hint="eastAsia" w:ascii="宋体" w:hAnsi="宋体" w:eastAsia="宋体" w:cs="宋体"/>
          <w:i w:val="0"/>
          <w:iCs w:val="0"/>
          <w:color w:val="auto"/>
          <w:kern w:val="0"/>
          <w:sz w:val="24"/>
          <w:szCs w:val="24"/>
          <w:highlight w:val="none"/>
        </w:rPr>
        <w:t xml:space="preserve">自愿参加本次政府采购活动，严格遵守《中华人民共和国政府采购法》及相关法律法规，坚守公开、公平、公正和诚实信用等原则，依法诚信经营，并郑重承诺：    </w:t>
      </w:r>
    </w:p>
    <w:p w14:paraId="585A1BBE">
      <w:pPr>
        <w:spacing w:line="560" w:lineRule="exact"/>
        <w:ind w:firstLine="480" w:firstLineChars="200"/>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一、我单位</w:t>
      </w:r>
      <w:r>
        <w:rPr>
          <w:rFonts w:hint="eastAsia" w:ascii="宋体" w:hAnsi="宋体" w:eastAsia="宋体" w:cs="宋体"/>
          <w:i w:val="0"/>
          <w:iCs w:val="0"/>
          <w:color w:val="auto"/>
          <w:kern w:val="0"/>
          <w:sz w:val="24"/>
          <w:szCs w:val="24"/>
          <w:highlight w:val="none"/>
          <w:lang w:eastAsia="zh-CN"/>
        </w:rPr>
        <w:t>（</w:t>
      </w:r>
      <w:r>
        <w:rPr>
          <w:rFonts w:hint="eastAsia" w:ascii="宋体" w:hAnsi="宋体" w:eastAsia="宋体" w:cs="宋体"/>
          <w:i w:val="0"/>
          <w:iCs w:val="0"/>
          <w:color w:val="auto"/>
          <w:kern w:val="0"/>
          <w:sz w:val="24"/>
          <w:szCs w:val="24"/>
          <w:highlight w:val="none"/>
        </w:rPr>
        <w:t>本人</w:t>
      </w:r>
      <w:r>
        <w:rPr>
          <w:rFonts w:hint="eastAsia" w:ascii="宋体" w:hAnsi="宋体" w:eastAsia="宋体" w:cs="宋体"/>
          <w:i w:val="0"/>
          <w:iCs w:val="0"/>
          <w:color w:val="auto"/>
          <w:kern w:val="0"/>
          <w:sz w:val="24"/>
          <w:szCs w:val="24"/>
          <w:highlight w:val="none"/>
          <w:lang w:eastAsia="zh-CN"/>
        </w:rPr>
        <w:t>）</w:t>
      </w:r>
      <w:r>
        <w:rPr>
          <w:rFonts w:hint="eastAsia" w:ascii="宋体" w:hAnsi="宋体" w:eastAsia="宋体" w:cs="宋体"/>
          <w:i w:val="0"/>
          <w:iCs w:val="0"/>
          <w:color w:val="auto"/>
          <w:kern w:val="0"/>
          <w:sz w:val="24"/>
          <w:szCs w:val="24"/>
          <w:highlight w:val="none"/>
        </w:rPr>
        <w:t>符合《中华人民共和国政府采购法》第二十二条规定：</w:t>
      </w:r>
    </w:p>
    <w:p w14:paraId="1E1CBF06">
      <w:pPr>
        <w:spacing w:line="560" w:lineRule="exact"/>
        <w:ind w:firstLine="480" w:firstLineChars="200"/>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lang w:eastAsia="zh-CN"/>
        </w:rPr>
        <w:t>（</w:t>
      </w:r>
      <w:r>
        <w:rPr>
          <w:rFonts w:hint="eastAsia" w:ascii="宋体" w:hAnsi="宋体" w:eastAsia="宋体" w:cs="宋体"/>
          <w:i w:val="0"/>
          <w:iCs w:val="0"/>
          <w:color w:val="auto"/>
          <w:kern w:val="0"/>
          <w:sz w:val="24"/>
          <w:szCs w:val="24"/>
          <w:highlight w:val="none"/>
        </w:rPr>
        <w:t>一</w:t>
      </w:r>
      <w:r>
        <w:rPr>
          <w:rFonts w:hint="eastAsia" w:ascii="宋体" w:hAnsi="宋体" w:eastAsia="宋体" w:cs="宋体"/>
          <w:i w:val="0"/>
          <w:iCs w:val="0"/>
          <w:color w:val="auto"/>
          <w:kern w:val="0"/>
          <w:sz w:val="24"/>
          <w:szCs w:val="24"/>
          <w:highlight w:val="none"/>
          <w:lang w:eastAsia="zh-CN"/>
        </w:rPr>
        <w:t>）</w:t>
      </w:r>
      <w:r>
        <w:rPr>
          <w:rFonts w:hint="eastAsia" w:ascii="宋体" w:hAnsi="宋体" w:eastAsia="宋体" w:cs="宋体"/>
          <w:i w:val="0"/>
          <w:iCs w:val="0"/>
          <w:color w:val="auto"/>
          <w:kern w:val="0"/>
          <w:sz w:val="24"/>
          <w:szCs w:val="24"/>
          <w:highlight w:val="none"/>
        </w:rPr>
        <w:t>具有独立承担民事责任的能力;</w:t>
      </w:r>
    </w:p>
    <w:p w14:paraId="50F68311">
      <w:pPr>
        <w:spacing w:line="560" w:lineRule="exact"/>
        <w:ind w:firstLine="480" w:firstLineChars="200"/>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lang w:eastAsia="zh-CN"/>
        </w:rPr>
        <w:t>（二）</w:t>
      </w:r>
      <w:r>
        <w:rPr>
          <w:rFonts w:hint="eastAsia" w:ascii="宋体" w:hAnsi="宋体" w:eastAsia="宋体" w:cs="宋体"/>
          <w:i w:val="0"/>
          <w:iCs w:val="0"/>
          <w:color w:val="auto"/>
          <w:kern w:val="0"/>
          <w:sz w:val="24"/>
          <w:szCs w:val="24"/>
          <w:highlight w:val="none"/>
        </w:rPr>
        <w:t>具有良好的商业信誉和健全的财务会计制度;</w:t>
      </w:r>
    </w:p>
    <w:p w14:paraId="15BB6542">
      <w:pPr>
        <w:spacing w:line="560" w:lineRule="exact"/>
        <w:ind w:firstLine="480" w:firstLineChars="200"/>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lang w:eastAsia="zh-CN"/>
        </w:rPr>
        <w:t>（三）</w:t>
      </w:r>
      <w:r>
        <w:rPr>
          <w:rFonts w:hint="eastAsia" w:ascii="宋体" w:hAnsi="宋体" w:eastAsia="宋体" w:cs="宋体"/>
          <w:i w:val="0"/>
          <w:iCs w:val="0"/>
          <w:color w:val="auto"/>
          <w:kern w:val="0"/>
          <w:sz w:val="24"/>
          <w:szCs w:val="24"/>
          <w:highlight w:val="none"/>
        </w:rPr>
        <w:t>具有履行合同所必需的设备和专业技术能力;</w:t>
      </w:r>
    </w:p>
    <w:p w14:paraId="4962EBC0">
      <w:pPr>
        <w:spacing w:line="560" w:lineRule="exact"/>
        <w:ind w:firstLine="480" w:firstLineChars="200"/>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lang w:eastAsia="zh-CN"/>
        </w:rPr>
        <w:t>（四）</w:t>
      </w:r>
      <w:r>
        <w:rPr>
          <w:rFonts w:hint="eastAsia" w:ascii="宋体" w:hAnsi="宋体" w:eastAsia="宋体" w:cs="宋体"/>
          <w:i w:val="0"/>
          <w:iCs w:val="0"/>
          <w:color w:val="auto"/>
          <w:kern w:val="0"/>
          <w:sz w:val="24"/>
          <w:szCs w:val="24"/>
          <w:highlight w:val="none"/>
        </w:rPr>
        <w:t>有依法缴纳税收和社会保障资金的良好记录;</w:t>
      </w:r>
    </w:p>
    <w:p w14:paraId="28020959">
      <w:pPr>
        <w:spacing w:line="560" w:lineRule="exact"/>
        <w:ind w:firstLine="480" w:firstLineChars="200"/>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lang w:eastAsia="zh-CN"/>
        </w:rPr>
        <w:t>（五）</w:t>
      </w:r>
      <w:r>
        <w:rPr>
          <w:rFonts w:hint="eastAsia" w:ascii="宋体" w:hAnsi="宋体" w:eastAsia="宋体" w:cs="宋体"/>
          <w:i w:val="0"/>
          <w:iCs w:val="0"/>
          <w:color w:val="auto"/>
          <w:kern w:val="0"/>
          <w:sz w:val="24"/>
          <w:szCs w:val="24"/>
          <w:highlight w:val="none"/>
        </w:rPr>
        <w:t>参加政府采购活动前三年内，在经营活动中没有重大违法记录;</w:t>
      </w:r>
    </w:p>
    <w:p w14:paraId="102E1A8E">
      <w:pPr>
        <w:spacing w:line="560" w:lineRule="exact"/>
        <w:ind w:firstLine="480" w:firstLineChars="200"/>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lang w:eastAsia="zh-CN"/>
        </w:rPr>
        <w:t>（六）</w:t>
      </w:r>
      <w:r>
        <w:rPr>
          <w:rFonts w:hint="eastAsia" w:ascii="宋体" w:hAnsi="宋体" w:eastAsia="宋体" w:cs="宋体"/>
          <w:i w:val="0"/>
          <w:iCs w:val="0"/>
          <w:color w:val="auto"/>
          <w:kern w:val="0"/>
          <w:sz w:val="24"/>
          <w:szCs w:val="24"/>
          <w:highlight w:val="none"/>
        </w:rPr>
        <w:t>符合法律、行政法规规定的其他条件。</w:t>
      </w:r>
    </w:p>
    <w:p w14:paraId="26F6B952">
      <w:pPr>
        <w:spacing w:line="560" w:lineRule="exact"/>
        <w:ind w:firstLine="480" w:firstLineChars="200"/>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二、我单位</w:t>
      </w:r>
      <w:r>
        <w:rPr>
          <w:rFonts w:hint="eastAsia" w:ascii="宋体" w:hAnsi="宋体" w:eastAsia="宋体" w:cs="宋体"/>
          <w:i w:val="0"/>
          <w:iCs w:val="0"/>
          <w:color w:val="auto"/>
          <w:kern w:val="0"/>
          <w:sz w:val="24"/>
          <w:szCs w:val="24"/>
          <w:highlight w:val="none"/>
          <w:lang w:eastAsia="zh-CN"/>
        </w:rPr>
        <w:t>（</w:t>
      </w:r>
      <w:r>
        <w:rPr>
          <w:rFonts w:hint="eastAsia" w:ascii="宋体" w:hAnsi="宋体" w:eastAsia="宋体" w:cs="宋体"/>
          <w:i w:val="0"/>
          <w:iCs w:val="0"/>
          <w:color w:val="auto"/>
          <w:kern w:val="0"/>
          <w:sz w:val="24"/>
          <w:szCs w:val="24"/>
          <w:highlight w:val="none"/>
        </w:rPr>
        <w:t>本人</w:t>
      </w:r>
      <w:r>
        <w:rPr>
          <w:rFonts w:hint="eastAsia" w:ascii="宋体" w:hAnsi="宋体" w:eastAsia="宋体" w:cs="宋体"/>
          <w:i w:val="0"/>
          <w:iCs w:val="0"/>
          <w:color w:val="auto"/>
          <w:kern w:val="0"/>
          <w:sz w:val="24"/>
          <w:szCs w:val="24"/>
          <w:highlight w:val="none"/>
          <w:lang w:eastAsia="zh-CN"/>
        </w:rPr>
        <w:t>）</w:t>
      </w:r>
      <w:r>
        <w:rPr>
          <w:rFonts w:hint="eastAsia" w:ascii="宋体" w:hAnsi="宋体" w:eastAsia="宋体" w:cs="宋体"/>
          <w:i w:val="0"/>
          <w:iCs w:val="0"/>
          <w:color w:val="auto"/>
          <w:kern w:val="0"/>
          <w:sz w:val="24"/>
          <w:szCs w:val="24"/>
          <w:highlight w:val="none"/>
        </w:rPr>
        <w:t>未被列入严重违法失信名单、失信被执行人</w:t>
      </w:r>
      <w:r>
        <w:rPr>
          <w:rFonts w:hint="eastAsia" w:ascii="宋体" w:hAnsi="宋体" w:eastAsia="宋体" w:cs="宋体"/>
          <w:i w:val="0"/>
          <w:iCs w:val="0"/>
          <w:color w:val="auto"/>
          <w:kern w:val="0"/>
          <w:sz w:val="24"/>
          <w:szCs w:val="24"/>
          <w:highlight w:val="none"/>
          <w:lang w:eastAsia="zh-CN"/>
        </w:rPr>
        <w:t>名单</w:t>
      </w:r>
      <w:r>
        <w:rPr>
          <w:rFonts w:hint="eastAsia" w:ascii="宋体" w:hAnsi="宋体" w:eastAsia="宋体" w:cs="宋体"/>
          <w:i w:val="0"/>
          <w:iCs w:val="0"/>
          <w:color w:val="auto"/>
          <w:kern w:val="0"/>
          <w:sz w:val="24"/>
          <w:szCs w:val="24"/>
          <w:highlight w:val="none"/>
        </w:rPr>
        <w:t>、重大税收违法案件当事人名单、政府采购严重违法失信行为记录名</w:t>
      </w:r>
      <w:r>
        <w:rPr>
          <w:rFonts w:hint="eastAsia" w:ascii="宋体" w:hAnsi="宋体" w:eastAsia="宋体" w:cs="宋体"/>
          <w:i w:val="0"/>
          <w:iCs w:val="0"/>
          <w:color w:val="auto"/>
          <w:kern w:val="0"/>
          <w:sz w:val="24"/>
          <w:szCs w:val="24"/>
          <w:highlight w:val="none"/>
          <w:lang w:eastAsia="zh-CN"/>
        </w:rPr>
        <w:t>单</w:t>
      </w:r>
      <w:r>
        <w:rPr>
          <w:rFonts w:hint="eastAsia" w:ascii="宋体" w:hAnsi="宋体" w:eastAsia="宋体" w:cs="宋体"/>
          <w:i w:val="0"/>
          <w:iCs w:val="0"/>
          <w:color w:val="auto"/>
          <w:kern w:val="0"/>
          <w:sz w:val="24"/>
          <w:szCs w:val="24"/>
          <w:highlight w:val="none"/>
        </w:rPr>
        <w:t>。</w:t>
      </w:r>
    </w:p>
    <w:p w14:paraId="7817EDEE">
      <w:pPr>
        <w:spacing w:line="560" w:lineRule="exact"/>
        <w:ind w:firstLine="480" w:firstLineChars="200"/>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三、如果本公司（本人）有幸中标（成交），在合同签订之前，采购单位有权要求本公司（本人）提供资格证明材料原件进行核验。</w:t>
      </w:r>
    </w:p>
    <w:p w14:paraId="4D4BE410">
      <w:pPr>
        <w:spacing w:line="560" w:lineRule="exact"/>
        <w:ind w:firstLine="480" w:firstLineChars="200"/>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四、我单位</w:t>
      </w:r>
      <w:r>
        <w:rPr>
          <w:rFonts w:hint="eastAsia" w:ascii="宋体" w:hAnsi="宋体" w:eastAsia="宋体" w:cs="宋体"/>
          <w:i w:val="0"/>
          <w:iCs w:val="0"/>
          <w:color w:val="auto"/>
          <w:kern w:val="0"/>
          <w:sz w:val="24"/>
          <w:szCs w:val="24"/>
          <w:highlight w:val="none"/>
          <w:lang w:eastAsia="zh-CN"/>
        </w:rPr>
        <w:t>（本人）</w:t>
      </w:r>
      <w:r>
        <w:rPr>
          <w:rFonts w:hint="eastAsia" w:ascii="宋体" w:hAnsi="宋体" w:eastAsia="宋体" w:cs="宋体"/>
          <w:i w:val="0"/>
          <w:iCs w:val="0"/>
          <w:color w:val="auto"/>
          <w:kern w:val="0"/>
          <w:sz w:val="24"/>
          <w:szCs w:val="24"/>
          <w:highlight w:val="none"/>
        </w:rPr>
        <w:t>保证上述承诺事项的真实性。如有弄虚作假或其他违法违规行为，自愿按照规定将违背承诺行为作为失信行为记录到社会信用信息平台，并视同为“提供虚假材料谋取中标、成交”按照《</w:t>
      </w:r>
      <w:r>
        <w:rPr>
          <w:rFonts w:hint="eastAsia" w:cs="宋体"/>
          <w:i w:val="0"/>
          <w:iCs w:val="0"/>
          <w:color w:val="auto"/>
          <w:kern w:val="0"/>
          <w:sz w:val="24"/>
          <w:szCs w:val="24"/>
          <w:highlight w:val="none"/>
          <w:lang w:eastAsia="zh-CN"/>
        </w:rPr>
        <w:t>中华人民共和国政府采购法</w:t>
      </w:r>
      <w:r>
        <w:rPr>
          <w:rFonts w:hint="eastAsia" w:ascii="宋体" w:hAnsi="宋体" w:eastAsia="宋体" w:cs="宋体"/>
          <w:i w:val="0"/>
          <w:iCs w:val="0"/>
          <w:color w:val="auto"/>
          <w:kern w:val="0"/>
          <w:sz w:val="24"/>
          <w:szCs w:val="24"/>
          <w:highlight w:val="none"/>
        </w:rPr>
        <w:t>》第七十七、七十九条规定，处以采购金额千分之五以上千分之十以下的罚款，列入不良行为记录名单，在一至三年内禁止参加政府采购活动，有违法所得的，并处没收违法所得，情节严重的，由市场监管部门吊销营业执照；构成犯罪的，依法追究刑事责任；给他人造成损失的，并应依照有关民事法律规定承担民事责任。</w:t>
      </w:r>
    </w:p>
    <w:p w14:paraId="6F125E5E">
      <w:pPr>
        <w:spacing w:line="560" w:lineRule="exact"/>
        <w:rPr>
          <w:rFonts w:hint="eastAsia" w:ascii="宋体" w:hAnsi="宋体" w:eastAsia="宋体" w:cs="宋体"/>
          <w:i w:val="0"/>
          <w:iCs w:val="0"/>
          <w:color w:val="auto"/>
          <w:kern w:val="0"/>
          <w:sz w:val="24"/>
          <w:szCs w:val="24"/>
          <w:highlight w:val="none"/>
        </w:rPr>
      </w:pPr>
    </w:p>
    <w:p w14:paraId="03704243">
      <w:pPr>
        <w:spacing w:line="560" w:lineRule="exact"/>
        <w:rPr>
          <w:rFonts w:hint="eastAsia" w:ascii="宋体" w:hAnsi="宋体" w:eastAsia="宋体" w:cs="宋体"/>
          <w:i w:val="0"/>
          <w:iCs w:val="0"/>
          <w:color w:val="auto"/>
          <w:kern w:val="0"/>
          <w:sz w:val="24"/>
          <w:szCs w:val="24"/>
          <w:highlight w:val="none"/>
        </w:rPr>
      </w:pPr>
    </w:p>
    <w:p w14:paraId="30F018FE">
      <w:pPr>
        <w:spacing w:line="560" w:lineRule="exac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供应商</w:t>
      </w:r>
      <w:r>
        <w:rPr>
          <w:rFonts w:hint="eastAsia" w:cs="宋体"/>
          <w:i w:val="0"/>
          <w:iCs w:val="0"/>
          <w:color w:val="auto"/>
          <w:kern w:val="0"/>
          <w:sz w:val="24"/>
          <w:szCs w:val="24"/>
          <w:highlight w:val="none"/>
          <w:lang w:val="en-US" w:eastAsia="zh-CN"/>
        </w:rPr>
        <w:t>名称</w:t>
      </w:r>
      <w:r>
        <w:rPr>
          <w:rFonts w:hint="eastAsia" w:ascii="宋体" w:hAnsi="宋体" w:eastAsia="宋体" w:cs="宋体"/>
          <w:i w:val="0"/>
          <w:iCs w:val="0"/>
          <w:color w:val="auto"/>
          <w:kern w:val="0"/>
          <w:sz w:val="24"/>
          <w:szCs w:val="24"/>
          <w:highlight w:val="none"/>
          <w:lang w:eastAsia="zh-CN"/>
        </w:rPr>
        <w:t>（</w:t>
      </w:r>
      <w:r>
        <w:rPr>
          <w:rFonts w:hint="eastAsia" w:cs="宋体"/>
          <w:i w:val="0"/>
          <w:iCs w:val="0"/>
          <w:color w:val="auto"/>
          <w:kern w:val="0"/>
          <w:sz w:val="24"/>
          <w:szCs w:val="24"/>
          <w:highlight w:val="none"/>
          <w:lang w:eastAsia="zh-CN"/>
        </w:rPr>
        <w:t>公章</w:t>
      </w:r>
      <w:r>
        <w:rPr>
          <w:rFonts w:hint="eastAsia" w:ascii="宋体" w:hAnsi="宋体" w:eastAsia="宋体" w:cs="宋体"/>
          <w:i w:val="0"/>
          <w:iCs w:val="0"/>
          <w:color w:val="auto"/>
          <w:kern w:val="0"/>
          <w:sz w:val="24"/>
          <w:szCs w:val="24"/>
          <w:highlight w:val="none"/>
          <w:lang w:eastAsia="zh-CN"/>
        </w:rPr>
        <w:t>）</w:t>
      </w:r>
      <w:r>
        <w:rPr>
          <w:rFonts w:hint="eastAsia" w:ascii="宋体" w:hAnsi="宋体" w:eastAsia="宋体" w:cs="宋体"/>
          <w:i w:val="0"/>
          <w:iCs w:val="0"/>
          <w:color w:val="auto"/>
          <w:kern w:val="0"/>
          <w:sz w:val="24"/>
          <w:szCs w:val="24"/>
          <w:highlight w:val="none"/>
        </w:rPr>
        <w:t>：</w:t>
      </w:r>
    </w:p>
    <w:p w14:paraId="5B9564E7">
      <w:pPr>
        <w:spacing w:line="560" w:lineRule="exac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法定代表人或授权代表</w:t>
      </w:r>
      <w:r>
        <w:rPr>
          <w:rFonts w:hint="eastAsia" w:ascii="宋体" w:hAnsi="宋体" w:eastAsia="宋体" w:cs="宋体"/>
          <w:i w:val="0"/>
          <w:iCs w:val="0"/>
          <w:color w:val="auto"/>
          <w:kern w:val="0"/>
          <w:sz w:val="24"/>
          <w:szCs w:val="24"/>
          <w:highlight w:val="none"/>
          <w:lang w:eastAsia="zh-CN"/>
        </w:rPr>
        <w:t>（</w:t>
      </w:r>
      <w:r>
        <w:rPr>
          <w:rFonts w:hint="eastAsia" w:ascii="宋体" w:hAnsi="宋体" w:eastAsia="宋体" w:cs="宋体"/>
          <w:i w:val="0"/>
          <w:iCs w:val="0"/>
          <w:color w:val="auto"/>
          <w:kern w:val="0"/>
          <w:sz w:val="24"/>
          <w:szCs w:val="24"/>
          <w:highlight w:val="none"/>
        </w:rPr>
        <w:t>签字或</w:t>
      </w:r>
      <w:r>
        <w:rPr>
          <w:rFonts w:hint="eastAsia" w:cs="宋体"/>
          <w:i w:val="0"/>
          <w:iCs w:val="0"/>
          <w:color w:val="auto"/>
          <w:kern w:val="0"/>
          <w:sz w:val="24"/>
          <w:szCs w:val="24"/>
          <w:highlight w:val="none"/>
          <w:lang w:eastAsia="zh-CN"/>
        </w:rPr>
        <w:t>盖章</w:t>
      </w:r>
      <w:r>
        <w:rPr>
          <w:rFonts w:hint="eastAsia" w:ascii="宋体" w:hAnsi="宋体" w:eastAsia="宋体" w:cs="宋体"/>
          <w:i w:val="0"/>
          <w:iCs w:val="0"/>
          <w:color w:val="auto"/>
          <w:kern w:val="0"/>
          <w:sz w:val="24"/>
          <w:szCs w:val="24"/>
          <w:highlight w:val="none"/>
          <w:lang w:eastAsia="zh-CN"/>
        </w:rPr>
        <w:t>）</w:t>
      </w:r>
      <w:r>
        <w:rPr>
          <w:rFonts w:hint="eastAsia" w:ascii="宋体" w:hAnsi="宋体" w:eastAsia="宋体" w:cs="宋体"/>
          <w:i w:val="0"/>
          <w:iCs w:val="0"/>
          <w:color w:val="auto"/>
          <w:kern w:val="0"/>
          <w:sz w:val="24"/>
          <w:szCs w:val="24"/>
          <w:highlight w:val="none"/>
        </w:rPr>
        <w:t>：</w:t>
      </w:r>
    </w:p>
    <w:p w14:paraId="3B740787">
      <w:pPr>
        <w:spacing w:line="560" w:lineRule="exac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日期： 年 月 日</w:t>
      </w:r>
    </w:p>
    <w:p w14:paraId="282D3BE6">
      <w:pPr>
        <w:rPr>
          <w:rFonts w:ascii="Arial" w:hAnsi="Arial" w:cs="Arial"/>
          <w:i w:val="0"/>
          <w:iCs w:val="0"/>
          <w:color w:val="auto"/>
          <w:szCs w:val="21"/>
          <w:highlight w:val="none"/>
        </w:rPr>
      </w:pPr>
      <w:r>
        <w:rPr>
          <w:rFonts w:ascii="Arial" w:hAnsi="Arial" w:cs="Arial"/>
          <w:i w:val="0"/>
          <w:iCs w:val="0"/>
          <w:color w:val="auto"/>
          <w:szCs w:val="21"/>
          <w:highlight w:val="none"/>
        </w:rPr>
        <w:br w:type="page"/>
      </w:r>
    </w:p>
    <w:p w14:paraId="15CB8677">
      <w:pPr>
        <w:pStyle w:val="3"/>
        <w:keepNext/>
        <w:keepLines/>
        <w:pageBreakBefore w:val="0"/>
        <w:widowControl w:val="0"/>
        <w:numPr>
          <w:ilvl w:val="0"/>
          <w:numId w:val="7"/>
        </w:numPr>
        <w:kinsoku/>
        <w:wordWrap/>
        <w:overflowPunct/>
        <w:topLinePunct w:val="0"/>
        <w:autoSpaceDE/>
        <w:autoSpaceDN/>
        <w:bidi w:val="0"/>
        <w:adjustRightInd/>
        <w:snapToGrid/>
        <w:spacing w:before="100" w:after="100" w:line="360" w:lineRule="auto"/>
        <w:ind w:left="420" w:leftChars="0" w:hanging="420" w:firstLineChars="0"/>
        <w:textAlignment w:val="auto"/>
        <w:rPr>
          <w:sz w:val="28"/>
          <w:szCs w:val="28"/>
        </w:rPr>
      </w:pPr>
      <w:bookmarkStart w:id="448" w:name="_Toc32563"/>
      <w:r>
        <w:rPr>
          <w:rFonts w:hint="eastAsia"/>
          <w:sz w:val="28"/>
          <w:szCs w:val="28"/>
        </w:rPr>
        <w:t>落实政府采购政策相关证明文件</w:t>
      </w:r>
      <w:bookmarkEnd w:id="448"/>
    </w:p>
    <w:p w14:paraId="3BF242B2">
      <w:pPr>
        <w:pStyle w:val="4"/>
        <w:spacing w:before="80" w:after="80" w:line="240" w:lineRule="auto"/>
        <w:ind w:left="420" w:hanging="420"/>
        <w:rPr>
          <w:rFonts w:cs="宋体"/>
          <w:sz w:val="24"/>
          <w:szCs w:val="24"/>
        </w:rPr>
      </w:pPr>
      <w:bookmarkStart w:id="449" w:name="_Toc8778"/>
      <w:bookmarkStart w:id="450" w:name="_Toc163492938"/>
      <w:bookmarkStart w:id="451" w:name="_Toc21782"/>
      <w:r>
        <w:rPr>
          <w:rFonts w:hint="eastAsia" w:cs="宋体"/>
          <w:sz w:val="24"/>
          <w:szCs w:val="24"/>
        </w:rPr>
        <w:t>（一）节能环保产品清单及证明材料</w:t>
      </w:r>
      <w:r>
        <w:rPr>
          <w:rFonts w:hint="eastAsia" w:cs="宋体"/>
          <w:b w:val="0"/>
          <w:bCs w:val="0"/>
          <w:sz w:val="24"/>
          <w:szCs w:val="24"/>
        </w:rPr>
        <w:t>【若有时】</w:t>
      </w:r>
      <w:bookmarkEnd w:id="449"/>
      <w:bookmarkEnd w:id="450"/>
      <w:bookmarkEnd w:id="451"/>
    </w:p>
    <w:p w14:paraId="17B7BFC1">
      <w:pPr>
        <w:spacing w:line="300" w:lineRule="auto"/>
        <w:rPr>
          <w:rFonts w:hint="eastAsia" w:cs="宋体"/>
          <w:szCs w:val="24"/>
        </w:rPr>
      </w:pPr>
      <w:r>
        <w:rPr>
          <w:rFonts w:hint="eastAsia" w:cs="宋体"/>
          <w:szCs w:val="24"/>
        </w:rPr>
        <w:t>项目名称：</w:t>
      </w:r>
    </w:p>
    <w:p w14:paraId="57F57ABC">
      <w:pPr>
        <w:spacing w:line="300" w:lineRule="auto"/>
        <w:rPr>
          <w:rFonts w:cs="宋体"/>
          <w:szCs w:val="24"/>
          <w:u w:val="single"/>
        </w:rPr>
      </w:pPr>
      <w:r>
        <w:rPr>
          <w:rFonts w:hint="eastAsia" w:cs="宋体"/>
          <w:szCs w:val="24"/>
        </w:rPr>
        <w:t>项目编号/包号：</w:t>
      </w:r>
    </w:p>
    <w:p w14:paraId="7F72507D">
      <w:pPr>
        <w:spacing w:line="300" w:lineRule="auto"/>
        <w:rPr>
          <w:rFonts w:cs="宋体"/>
          <w:szCs w:val="24"/>
        </w:rPr>
      </w:pPr>
      <w:r>
        <w:rPr>
          <w:rFonts w:hint="eastAsia" w:cs="宋体"/>
          <w:szCs w:val="24"/>
        </w:rPr>
        <w:t>1、节能产品</w:t>
      </w:r>
    </w:p>
    <w:tbl>
      <w:tblPr>
        <w:tblStyle w:val="28"/>
        <w:tblW w:w="8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
      <w:tblGrid>
        <w:gridCol w:w="757"/>
        <w:gridCol w:w="1147"/>
        <w:gridCol w:w="972"/>
        <w:gridCol w:w="792"/>
        <w:gridCol w:w="696"/>
        <w:gridCol w:w="648"/>
        <w:gridCol w:w="1128"/>
        <w:gridCol w:w="1224"/>
        <w:gridCol w:w="1582"/>
      </w:tblGrid>
      <w:tr w14:paraId="429F9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757" w:type="dxa"/>
            <w:tcBorders>
              <w:top w:val="single" w:color="auto" w:sz="4" w:space="0"/>
              <w:left w:val="single" w:color="auto" w:sz="4" w:space="0"/>
              <w:bottom w:val="single" w:color="auto" w:sz="4" w:space="0"/>
              <w:right w:val="single" w:color="auto" w:sz="4" w:space="0"/>
            </w:tcBorders>
            <w:vAlign w:val="center"/>
          </w:tcPr>
          <w:p w14:paraId="5F86D594">
            <w:pPr>
              <w:pStyle w:val="46"/>
              <w:jc w:val="center"/>
              <w:rPr>
                <w:szCs w:val="21"/>
              </w:rPr>
            </w:pPr>
            <w:r>
              <w:rPr>
                <w:rFonts w:hint="eastAsia"/>
                <w:szCs w:val="21"/>
              </w:rPr>
              <w:t>序号</w:t>
            </w:r>
          </w:p>
        </w:tc>
        <w:tc>
          <w:tcPr>
            <w:tcW w:w="1147" w:type="dxa"/>
            <w:tcBorders>
              <w:top w:val="single" w:color="auto" w:sz="4" w:space="0"/>
              <w:left w:val="single" w:color="auto" w:sz="4" w:space="0"/>
              <w:bottom w:val="single" w:color="auto" w:sz="4" w:space="0"/>
              <w:right w:val="single" w:color="auto" w:sz="4" w:space="0"/>
            </w:tcBorders>
            <w:vAlign w:val="center"/>
          </w:tcPr>
          <w:p w14:paraId="52BC6681">
            <w:pPr>
              <w:pStyle w:val="46"/>
              <w:jc w:val="center"/>
              <w:rPr>
                <w:szCs w:val="21"/>
              </w:rPr>
            </w:pPr>
            <w:r>
              <w:rPr>
                <w:rFonts w:hint="eastAsia"/>
                <w:szCs w:val="21"/>
              </w:rPr>
              <w:t>设备名称</w:t>
            </w:r>
          </w:p>
        </w:tc>
        <w:tc>
          <w:tcPr>
            <w:tcW w:w="972" w:type="dxa"/>
            <w:tcBorders>
              <w:top w:val="single" w:color="auto" w:sz="4" w:space="0"/>
              <w:left w:val="single" w:color="auto" w:sz="4" w:space="0"/>
              <w:bottom w:val="single" w:color="auto" w:sz="4" w:space="0"/>
              <w:right w:val="single" w:color="auto" w:sz="4" w:space="0"/>
            </w:tcBorders>
            <w:vAlign w:val="center"/>
          </w:tcPr>
          <w:p w14:paraId="20B5579B">
            <w:pPr>
              <w:pStyle w:val="46"/>
              <w:jc w:val="center"/>
              <w:rPr>
                <w:szCs w:val="21"/>
              </w:rPr>
            </w:pPr>
            <w:r>
              <w:rPr>
                <w:rFonts w:hint="eastAsia"/>
                <w:szCs w:val="21"/>
              </w:rPr>
              <w:t>制造商名称</w:t>
            </w:r>
          </w:p>
        </w:tc>
        <w:tc>
          <w:tcPr>
            <w:tcW w:w="792" w:type="dxa"/>
            <w:tcBorders>
              <w:top w:val="single" w:color="auto" w:sz="4" w:space="0"/>
              <w:left w:val="single" w:color="auto" w:sz="4" w:space="0"/>
              <w:bottom w:val="single" w:color="auto" w:sz="4" w:space="0"/>
              <w:right w:val="single" w:color="auto" w:sz="4" w:space="0"/>
            </w:tcBorders>
            <w:vAlign w:val="center"/>
          </w:tcPr>
          <w:p w14:paraId="67EE88A2">
            <w:pPr>
              <w:pStyle w:val="46"/>
              <w:jc w:val="center"/>
              <w:rPr>
                <w:szCs w:val="21"/>
              </w:rPr>
            </w:pPr>
            <w:r>
              <w:rPr>
                <w:rFonts w:hint="eastAsia"/>
                <w:szCs w:val="21"/>
              </w:rPr>
              <w:t>品牌</w:t>
            </w:r>
          </w:p>
        </w:tc>
        <w:tc>
          <w:tcPr>
            <w:tcW w:w="696" w:type="dxa"/>
            <w:tcBorders>
              <w:top w:val="single" w:color="auto" w:sz="4" w:space="0"/>
              <w:left w:val="single" w:color="auto" w:sz="4" w:space="0"/>
              <w:bottom w:val="single" w:color="auto" w:sz="4" w:space="0"/>
              <w:right w:val="single" w:color="auto" w:sz="4" w:space="0"/>
            </w:tcBorders>
            <w:vAlign w:val="center"/>
          </w:tcPr>
          <w:p w14:paraId="44FC98F3">
            <w:pPr>
              <w:pStyle w:val="46"/>
              <w:jc w:val="center"/>
              <w:rPr>
                <w:szCs w:val="21"/>
              </w:rPr>
            </w:pPr>
            <w:r>
              <w:rPr>
                <w:rFonts w:hint="eastAsia"/>
                <w:szCs w:val="21"/>
              </w:rPr>
              <w:t>型号</w:t>
            </w:r>
          </w:p>
        </w:tc>
        <w:tc>
          <w:tcPr>
            <w:tcW w:w="648" w:type="dxa"/>
            <w:tcBorders>
              <w:top w:val="single" w:color="auto" w:sz="4" w:space="0"/>
              <w:left w:val="single" w:color="auto" w:sz="4" w:space="0"/>
              <w:bottom w:val="single" w:color="auto" w:sz="4" w:space="0"/>
              <w:right w:val="single" w:color="auto" w:sz="4" w:space="0"/>
            </w:tcBorders>
            <w:vAlign w:val="center"/>
          </w:tcPr>
          <w:p w14:paraId="298483E9">
            <w:pPr>
              <w:pStyle w:val="46"/>
              <w:jc w:val="center"/>
              <w:rPr>
                <w:szCs w:val="21"/>
              </w:rPr>
            </w:pPr>
            <w:r>
              <w:rPr>
                <w:rFonts w:hint="eastAsia"/>
                <w:szCs w:val="21"/>
              </w:rPr>
              <w:t>数量</w:t>
            </w:r>
          </w:p>
        </w:tc>
        <w:tc>
          <w:tcPr>
            <w:tcW w:w="1128" w:type="dxa"/>
            <w:tcBorders>
              <w:top w:val="single" w:color="auto" w:sz="4" w:space="0"/>
              <w:left w:val="single" w:color="auto" w:sz="4" w:space="0"/>
              <w:bottom w:val="single" w:color="auto" w:sz="4" w:space="0"/>
              <w:right w:val="single" w:color="auto" w:sz="4" w:space="0"/>
            </w:tcBorders>
            <w:vAlign w:val="center"/>
          </w:tcPr>
          <w:p w14:paraId="5BC54F1E">
            <w:pPr>
              <w:pStyle w:val="46"/>
              <w:jc w:val="center"/>
              <w:rPr>
                <w:szCs w:val="21"/>
              </w:rPr>
            </w:pPr>
            <w:r>
              <w:rPr>
                <w:rFonts w:hint="eastAsia"/>
                <w:szCs w:val="21"/>
              </w:rPr>
              <w:t>单价</w:t>
            </w:r>
          </w:p>
          <w:p w14:paraId="3B792B0F">
            <w:pPr>
              <w:pStyle w:val="46"/>
              <w:jc w:val="center"/>
              <w:rPr>
                <w:szCs w:val="21"/>
              </w:rPr>
            </w:pPr>
            <w:r>
              <w:rPr>
                <w:rFonts w:hint="eastAsia"/>
                <w:szCs w:val="21"/>
              </w:rPr>
              <w:t>（万元）</w:t>
            </w:r>
          </w:p>
        </w:tc>
        <w:tc>
          <w:tcPr>
            <w:tcW w:w="1224" w:type="dxa"/>
            <w:tcBorders>
              <w:top w:val="single" w:color="auto" w:sz="4" w:space="0"/>
              <w:left w:val="single" w:color="auto" w:sz="4" w:space="0"/>
              <w:bottom w:val="single" w:color="auto" w:sz="4" w:space="0"/>
              <w:right w:val="single" w:color="auto" w:sz="4" w:space="0"/>
            </w:tcBorders>
            <w:vAlign w:val="center"/>
          </w:tcPr>
          <w:p w14:paraId="3275AD46">
            <w:pPr>
              <w:pStyle w:val="46"/>
              <w:jc w:val="center"/>
              <w:rPr>
                <w:szCs w:val="21"/>
              </w:rPr>
            </w:pPr>
            <w:r>
              <w:rPr>
                <w:rFonts w:hint="eastAsia"/>
                <w:szCs w:val="21"/>
              </w:rPr>
              <w:t>总价</w:t>
            </w:r>
          </w:p>
          <w:p w14:paraId="67853390">
            <w:pPr>
              <w:pStyle w:val="46"/>
              <w:jc w:val="center"/>
              <w:rPr>
                <w:szCs w:val="21"/>
              </w:rPr>
            </w:pPr>
            <w:r>
              <w:rPr>
                <w:rFonts w:hint="eastAsia"/>
                <w:szCs w:val="21"/>
              </w:rPr>
              <w:t>（万元）</w:t>
            </w:r>
          </w:p>
        </w:tc>
        <w:tc>
          <w:tcPr>
            <w:tcW w:w="1582" w:type="dxa"/>
            <w:tcBorders>
              <w:top w:val="single" w:color="auto" w:sz="4" w:space="0"/>
              <w:left w:val="single" w:color="auto" w:sz="4" w:space="0"/>
              <w:bottom w:val="single" w:color="auto" w:sz="4" w:space="0"/>
              <w:right w:val="single" w:color="auto" w:sz="4" w:space="0"/>
            </w:tcBorders>
            <w:vAlign w:val="center"/>
          </w:tcPr>
          <w:p w14:paraId="7C18130B">
            <w:pPr>
              <w:pStyle w:val="46"/>
              <w:jc w:val="center"/>
              <w:rPr>
                <w:szCs w:val="21"/>
              </w:rPr>
            </w:pPr>
            <w:r>
              <w:rPr>
                <w:rFonts w:hint="eastAsia"/>
                <w:szCs w:val="21"/>
              </w:rPr>
              <w:t>属强制采购或优先采购</w:t>
            </w:r>
          </w:p>
        </w:tc>
      </w:tr>
      <w:tr w14:paraId="5C40D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757" w:type="dxa"/>
            <w:tcBorders>
              <w:top w:val="single" w:color="auto" w:sz="4" w:space="0"/>
              <w:left w:val="single" w:color="auto" w:sz="4" w:space="0"/>
              <w:bottom w:val="single" w:color="auto" w:sz="4" w:space="0"/>
              <w:right w:val="single" w:color="auto" w:sz="4" w:space="0"/>
            </w:tcBorders>
            <w:vAlign w:val="center"/>
          </w:tcPr>
          <w:p w14:paraId="7F79DDF1">
            <w:pPr>
              <w:pStyle w:val="46"/>
              <w:numPr>
                <w:ilvl w:val="0"/>
                <w:numId w:val="8"/>
              </w:numPr>
              <w:jc w:val="center"/>
              <w:rPr>
                <w:szCs w:val="21"/>
              </w:rPr>
            </w:pPr>
          </w:p>
        </w:tc>
        <w:tc>
          <w:tcPr>
            <w:tcW w:w="1147" w:type="dxa"/>
            <w:tcBorders>
              <w:top w:val="single" w:color="auto" w:sz="4" w:space="0"/>
              <w:left w:val="single" w:color="auto" w:sz="4" w:space="0"/>
              <w:bottom w:val="single" w:color="auto" w:sz="4" w:space="0"/>
              <w:right w:val="single" w:color="auto" w:sz="4" w:space="0"/>
            </w:tcBorders>
            <w:vAlign w:val="center"/>
          </w:tcPr>
          <w:p w14:paraId="01445E24">
            <w:pPr>
              <w:pStyle w:val="46"/>
              <w:jc w:val="center"/>
              <w:rPr>
                <w:szCs w:val="21"/>
              </w:rPr>
            </w:pPr>
          </w:p>
        </w:tc>
        <w:tc>
          <w:tcPr>
            <w:tcW w:w="972" w:type="dxa"/>
            <w:tcBorders>
              <w:top w:val="single" w:color="auto" w:sz="4" w:space="0"/>
              <w:left w:val="single" w:color="auto" w:sz="4" w:space="0"/>
              <w:bottom w:val="single" w:color="auto" w:sz="4" w:space="0"/>
              <w:right w:val="single" w:color="auto" w:sz="4" w:space="0"/>
            </w:tcBorders>
            <w:vAlign w:val="center"/>
          </w:tcPr>
          <w:p w14:paraId="36DC3AA9">
            <w:pPr>
              <w:pStyle w:val="46"/>
              <w:jc w:val="center"/>
              <w:rPr>
                <w:szCs w:val="21"/>
              </w:rPr>
            </w:pPr>
          </w:p>
        </w:tc>
        <w:tc>
          <w:tcPr>
            <w:tcW w:w="792" w:type="dxa"/>
            <w:tcBorders>
              <w:top w:val="single" w:color="auto" w:sz="4" w:space="0"/>
              <w:left w:val="single" w:color="auto" w:sz="4" w:space="0"/>
              <w:bottom w:val="single" w:color="auto" w:sz="4" w:space="0"/>
              <w:right w:val="single" w:color="auto" w:sz="4" w:space="0"/>
            </w:tcBorders>
            <w:vAlign w:val="center"/>
          </w:tcPr>
          <w:p w14:paraId="39C325FC">
            <w:pPr>
              <w:pStyle w:val="46"/>
              <w:jc w:val="center"/>
              <w:rPr>
                <w:szCs w:val="21"/>
              </w:rPr>
            </w:pPr>
          </w:p>
        </w:tc>
        <w:tc>
          <w:tcPr>
            <w:tcW w:w="696" w:type="dxa"/>
            <w:tcBorders>
              <w:top w:val="single" w:color="auto" w:sz="4" w:space="0"/>
              <w:left w:val="single" w:color="auto" w:sz="4" w:space="0"/>
              <w:bottom w:val="single" w:color="auto" w:sz="4" w:space="0"/>
              <w:right w:val="single" w:color="auto" w:sz="4" w:space="0"/>
            </w:tcBorders>
            <w:vAlign w:val="center"/>
          </w:tcPr>
          <w:p w14:paraId="0E950985">
            <w:pPr>
              <w:pStyle w:val="46"/>
              <w:jc w:val="center"/>
              <w:rPr>
                <w:szCs w:val="21"/>
              </w:rPr>
            </w:pPr>
          </w:p>
        </w:tc>
        <w:tc>
          <w:tcPr>
            <w:tcW w:w="648" w:type="dxa"/>
            <w:tcBorders>
              <w:top w:val="single" w:color="auto" w:sz="4" w:space="0"/>
              <w:left w:val="single" w:color="auto" w:sz="4" w:space="0"/>
              <w:bottom w:val="single" w:color="auto" w:sz="4" w:space="0"/>
              <w:right w:val="single" w:color="auto" w:sz="4" w:space="0"/>
            </w:tcBorders>
            <w:vAlign w:val="center"/>
          </w:tcPr>
          <w:p w14:paraId="069AE60C">
            <w:pPr>
              <w:pStyle w:val="46"/>
              <w:jc w:val="center"/>
              <w:rPr>
                <w:szCs w:val="21"/>
              </w:rPr>
            </w:pPr>
          </w:p>
        </w:tc>
        <w:tc>
          <w:tcPr>
            <w:tcW w:w="1128" w:type="dxa"/>
            <w:tcBorders>
              <w:top w:val="single" w:color="auto" w:sz="4" w:space="0"/>
              <w:left w:val="single" w:color="auto" w:sz="4" w:space="0"/>
              <w:bottom w:val="single" w:color="auto" w:sz="4" w:space="0"/>
              <w:right w:val="single" w:color="auto" w:sz="4" w:space="0"/>
            </w:tcBorders>
            <w:vAlign w:val="center"/>
          </w:tcPr>
          <w:p w14:paraId="7F780CB5">
            <w:pPr>
              <w:pStyle w:val="46"/>
              <w:jc w:val="center"/>
              <w:rPr>
                <w:szCs w:val="21"/>
              </w:rPr>
            </w:pPr>
          </w:p>
        </w:tc>
        <w:tc>
          <w:tcPr>
            <w:tcW w:w="1224" w:type="dxa"/>
            <w:tcBorders>
              <w:top w:val="single" w:color="auto" w:sz="4" w:space="0"/>
              <w:left w:val="single" w:color="auto" w:sz="4" w:space="0"/>
              <w:bottom w:val="single" w:color="auto" w:sz="4" w:space="0"/>
              <w:right w:val="single" w:color="auto" w:sz="4" w:space="0"/>
            </w:tcBorders>
            <w:vAlign w:val="center"/>
          </w:tcPr>
          <w:p w14:paraId="3B8C7E5B">
            <w:pPr>
              <w:pStyle w:val="46"/>
              <w:jc w:val="center"/>
              <w:rPr>
                <w:szCs w:val="21"/>
              </w:rPr>
            </w:pPr>
          </w:p>
        </w:tc>
        <w:tc>
          <w:tcPr>
            <w:tcW w:w="1582" w:type="dxa"/>
            <w:tcBorders>
              <w:top w:val="single" w:color="auto" w:sz="4" w:space="0"/>
              <w:left w:val="single" w:color="auto" w:sz="4" w:space="0"/>
              <w:bottom w:val="single" w:color="auto" w:sz="4" w:space="0"/>
              <w:right w:val="single" w:color="auto" w:sz="4" w:space="0"/>
            </w:tcBorders>
            <w:vAlign w:val="center"/>
          </w:tcPr>
          <w:p w14:paraId="17D8339D">
            <w:pPr>
              <w:pStyle w:val="46"/>
              <w:jc w:val="center"/>
              <w:rPr>
                <w:szCs w:val="21"/>
              </w:rPr>
            </w:pPr>
          </w:p>
        </w:tc>
      </w:tr>
      <w:tr w14:paraId="28823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757" w:type="dxa"/>
            <w:tcBorders>
              <w:top w:val="single" w:color="auto" w:sz="4" w:space="0"/>
              <w:left w:val="single" w:color="auto" w:sz="4" w:space="0"/>
              <w:bottom w:val="single" w:color="auto" w:sz="4" w:space="0"/>
              <w:right w:val="single" w:color="auto" w:sz="4" w:space="0"/>
            </w:tcBorders>
            <w:vAlign w:val="center"/>
          </w:tcPr>
          <w:p w14:paraId="3F827FC4">
            <w:pPr>
              <w:pStyle w:val="46"/>
              <w:numPr>
                <w:ilvl w:val="0"/>
                <w:numId w:val="8"/>
              </w:numPr>
              <w:jc w:val="center"/>
              <w:rPr>
                <w:szCs w:val="21"/>
              </w:rPr>
            </w:pPr>
          </w:p>
        </w:tc>
        <w:tc>
          <w:tcPr>
            <w:tcW w:w="1147" w:type="dxa"/>
            <w:tcBorders>
              <w:top w:val="single" w:color="auto" w:sz="4" w:space="0"/>
              <w:left w:val="single" w:color="auto" w:sz="4" w:space="0"/>
              <w:bottom w:val="single" w:color="auto" w:sz="4" w:space="0"/>
              <w:right w:val="single" w:color="auto" w:sz="4" w:space="0"/>
            </w:tcBorders>
            <w:vAlign w:val="center"/>
          </w:tcPr>
          <w:p w14:paraId="0C6C50BB">
            <w:pPr>
              <w:pStyle w:val="46"/>
              <w:jc w:val="center"/>
              <w:rPr>
                <w:szCs w:val="21"/>
              </w:rPr>
            </w:pPr>
          </w:p>
        </w:tc>
        <w:tc>
          <w:tcPr>
            <w:tcW w:w="972" w:type="dxa"/>
            <w:tcBorders>
              <w:top w:val="single" w:color="auto" w:sz="4" w:space="0"/>
              <w:left w:val="single" w:color="auto" w:sz="4" w:space="0"/>
              <w:bottom w:val="single" w:color="auto" w:sz="4" w:space="0"/>
              <w:right w:val="single" w:color="auto" w:sz="4" w:space="0"/>
            </w:tcBorders>
            <w:vAlign w:val="center"/>
          </w:tcPr>
          <w:p w14:paraId="3261D733">
            <w:pPr>
              <w:pStyle w:val="46"/>
              <w:jc w:val="center"/>
              <w:rPr>
                <w:szCs w:val="21"/>
              </w:rPr>
            </w:pPr>
          </w:p>
        </w:tc>
        <w:tc>
          <w:tcPr>
            <w:tcW w:w="792" w:type="dxa"/>
            <w:tcBorders>
              <w:top w:val="single" w:color="auto" w:sz="4" w:space="0"/>
              <w:left w:val="single" w:color="auto" w:sz="4" w:space="0"/>
              <w:bottom w:val="single" w:color="auto" w:sz="4" w:space="0"/>
              <w:right w:val="single" w:color="auto" w:sz="4" w:space="0"/>
            </w:tcBorders>
            <w:vAlign w:val="center"/>
          </w:tcPr>
          <w:p w14:paraId="6E897B05">
            <w:pPr>
              <w:pStyle w:val="46"/>
              <w:jc w:val="center"/>
              <w:rPr>
                <w:szCs w:val="21"/>
              </w:rPr>
            </w:pPr>
          </w:p>
        </w:tc>
        <w:tc>
          <w:tcPr>
            <w:tcW w:w="696" w:type="dxa"/>
            <w:tcBorders>
              <w:top w:val="single" w:color="auto" w:sz="4" w:space="0"/>
              <w:left w:val="single" w:color="auto" w:sz="4" w:space="0"/>
              <w:bottom w:val="single" w:color="auto" w:sz="4" w:space="0"/>
              <w:right w:val="single" w:color="auto" w:sz="4" w:space="0"/>
            </w:tcBorders>
            <w:vAlign w:val="center"/>
          </w:tcPr>
          <w:p w14:paraId="2B415133">
            <w:pPr>
              <w:pStyle w:val="46"/>
              <w:jc w:val="center"/>
              <w:rPr>
                <w:szCs w:val="21"/>
              </w:rPr>
            </w:pPr>
          </w:p>
        </w:tc>
        <w:tc>
          <w:tcPr>
            <w:tcW w:w="648" w:type="dxa"/>
            <w:tcBorders>
              <w:top w:val="single" w:color="auto" w:sz="4" w:space="0"/>
              <w:left w:val="single" w:color="auto" w:sz="4" w:space="0"/>
              <w:bottom w:val="single" w:color="auto" w:sz="4" w:space="0"/>
              <w:right w:val="single" w:color="auto" w:sz="4" w:space="0"/>
            </w:tcBorders>
            <w:vAlign w:val="center"/>
          </w:tcPr>
          <w:p w14:paraId="03D4D80A">
            <w:pPr>
              <w:pStyle w:val="46"/>
              <w:jc w:val="center"/>
              <w:rPr>
                <w:szCs w:val="21"/>
              </w:rPr>
            </w:pPr>
          </w:p>
        </w:tc>
        <w:tc>
          <w:tcPr>
            <w:tcW w:w="1128" w:type="dxa"/>
            <w:tcBorders>
              <w:top w:val="single" w:color="auto" w:sz="4" w:space="0"/>
              <w:left w:val="single" w:color="auto" w:sz="4" w:space="0"/>
              <w:bottom w:val="single" w:color="auto" w:sz="4" w:space="0"/>
              <w:right w:val="single" w:color="auto" w:sz="4" w:space="0"/>
            </w:tcBorders>
            <w:vAlign w:val="center"/>
          </w:tcPr>
          <w:p w14:paraId="1770A830">
            <w:pPr>
              <w:pStyle w:val="46"/>
              <w:jc w:val="center"/>
              <w:rPr>
                <w:szCs w:val="21"/>
              </w:rPr>
            </w:pPr>
          </w:p>
        </w:tc>
        <w:tc>
          <w:tcPr>
            <w:tcW w:w="1224" w:type="dxa"/>
            <w:tcBorders>
              <w:top w:val="single" w:color="auto" w:sz="4" w:space="0"/>
              <w:left w:val="single" w:color="auto" w:sz="4" w:space="0"/>
              <w:bottom w:val="single" w:color="auto" w:sz="4" w:space="0"/>
              <w:right w:val="single" w:color="auto" w:sz="4" w:space="0"/>
            </w:tcBorders>
            <w:vAlign w:val="center"/>
          </w:tcPr>
          <w:p w14:paraId="57F107E3">
            <w:pPr>
              <w:pStyle w:val="46"/>
              <w:jc w:val="center"/>
              <w:rPr>
                <w:szCs w:val="21"/>
              </w:rPr>
            </w:pPr>
          </w:p>
        </w:tc>
        <w:tc>
          <w:tcPr>
            <w:tcW w:w="1582" w:type="dxa"/>
            <w:tcBorders>
              <w:top w:val="single" w:color="auto" w:sz="4" w:space="0"/>
              <w:left w:val="single" w:color="auto" w:sz="4" w:space="0"/>
              <w:bottom w:val="single" w:color="auto" w:sz="4" w:space="0"/>
              <w:right w:val="single" w:color="auto" w:sz="4" w:space="0"/>
            </w:tcBorders>
            <w:vAlign w:val="center"/>
          </w:tcPr>
          <w:p w14:paraId="54C8701F">
            <w:pPr>
              <w:pStyle w:val="46"/>
              <w:jc w:val="center"/>
              <w:rPr>
                <w:szCs w:val="21"/>
              </w:rPr>
            </w:pPr>
          </w:p>
        </w:tc>
      </w:tr>
      <w:tr w14:paraId="1F5C2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757" w:type="dxa"/>
            <w:tcBorders>
              <w:top w:val="single" w:color="auto" w:sz="4" w:space="0"/>
              <w:left w:val="single" w:color="auto" w:sz="4" w:space="0"/>
              <w:bottom w:val="single" w:color="auto" w:sz="4" w:space="0"/>
              <w:right w:val="single" w:color="auto" w:sz="4" w:space="0"/>
            </w:tcBorders>
            <w:vAlign w:val="center"/>
          </w:tcPr>
          <w:p w14:paraId="2727752B">
            <w:pPr>
              <w:pStyle w:val="46"/>
              <w:numPr>
                <w:ilvl w:val="0"/>
                <w:numId w:val="8"/>
              </w:numPr>
              <w:jc w:val="center"/>
              <w:rPr>
                <w:szCs w:val="21"/>
              </w:rPr>
            </w:pPr>
          </w:p>
        </w:tc>
        <w:tc>
          <w:tcPr>
            <w:tcW w:w="1147" w:type="dxa"/>
            <w:tcBorders>
              <w:top w:val="single" w:color="auto" w:sz="4" w:space="0"/>
              <w:left w:val="single" w:color="auto" w:sz="4" w:space="0"/>
              <w:bottom w:val="single" w:color="auto" w:sz="4" w:space="0"/>
              <w:right w:val="single" w:color="auto" w:sz="4" w:space="0"/>
            </w:tcBorders>
            <w:vAlign w:val="center"/>
          </w:tcPr>
          <w:p w14:paraId="2FC6BC94">
            <w:pPr>
              <w:pStyle w:val="46"/>
              <w:jc w:val="center"/>
              <w:rPr>
                <w:szCs w:val="21"/>
              </w:rPr>
            </w:pPr>
            <w:r>
              <w:rPr>
                <w:szCs w:val="21"/>
              </w:rPr>
              <w:t>……</w:t>
            </w:r>
          </w:p>
        </w:tc>
        <w:tc>
          <w:tcPr>
            <w:tcW w:w="972" w:type="dxa"/>
            <w:tcBorders>
              <w:top w:val="single" w:color="auto" w:sz="4" w:space="0"/>
              <w:left w:val="single" w:color="auto" w:sz="4" w:space="0"/>
              <w:bottom w:val="single" w:color="auto" w:sz="4" w:space="0"/>
              <w:right w:val="single" w:color="auto" w:sz="4" w:space="0"/>
            </w:tcBorders>
            <w:vAlign w:val="center"/>
          </w:tcPr>
          <w:p w14:paraId="763D37F4">
            <w:pPr>
              <w:pStyle w:val="46"/>
              <w:jc w:val="center"/>
              <w:rPr>
                <w:szCs w:val="21"/>
              </w:rPr>
            </w:pPr>
          </w:p>
        </w:tc>
        <w:tc>
          <w:tcPr>
            <w:tcW w:w="792" w:type="dxa"/>
            <w:tcBorders>
              <w:top w:val="single" w:color="auto" w:sz="4" w:space="0"/>
              <w:left w:val="single" w:color="auto" w:sz="4" w:space="0"/>
              <w:bottom w:val="single" w:color="auto" w:sz="4" w:space="0"/>
              <w:right w:val="single" w:color="auto" w:sz="4" w:space="0"/>
            </w:tcBorders>
            <w:vAlign w:val="center"/>
          </w:tcPr>
          <w:p w14:paraId="259882B4">
            <w:pPr>
              <w:pStyle w:val="46"/>
              <w:jc w:val="center"/>
              <w:rPr>
                <w:szCs w:val="21"/>
              </w:rPr>
            </w:pPr>
          </w:p>
        </w:tc>
        <w:tc>
          <w:tcPr>
            <w:tcW w:w="696" w:type="dxa"/>
            <w:tcBorders>
              <w:top w:val="single" w:color="auto" w:sz="4" w:space="0"/>
              <w:left w:val="single" w:color="auto" w:sz="4" w:space="0"/>
              <w:bottom w:val="single" w:color="auto" w:sz="4" w:space="0"/>
              <w:right w:val="single" w:color="auto" w:sz="4" w:space="0"/>
            </w:tcBorders>
            <w:vAlign w:val="center"/>
          </w:tcPr>
          <w:p w14:paraId="66DAFEFE">
            <w:pPr>
              <w:pStyle w:val="46"/>
              <w:jc w:val="center"/>
              <w:rPr>
                <w:szCs w:val="21"/>
              </w:rPr>
            </w:pPr>
          </w:p>
        </w:tc>
        <w:tc>
          <w:tcPr>
            <w:tcW w:w="648" w:type="dxa"/>
            <w:tcBorders>
              <w:top w:val="single" w:color="auto" w:sz="4" w:space="0"/>
              <w:left w:val="single" w:color="auto" w:sz="4" w:space="0"/>
              <w:bottom w:val="single" w:color="auto" w:sz="4" w:space="0"/>
              <w:right w:val="single" w:color="auto" w:sz="4" w:space="0"/>
            </w:tcBorders>
            <w:vAlign w:val="center"/>
          </w:tcPr>
          <w:p w14:paraId="7A753AAD">
            <w:pPr>
              <w:pStyle w:val="46"/>
              <w:jc w:val="center"/>
              <w:rPr>
                <w:szCs w:val="21"/>
              </w:rPr>
            </w:pPr>
          </w:p>
        </w:tc>
        <w:tc>
          <w:tcPr>
            <w:tcW w:w="1128" w:type="dxa"/>
            <w:tcBorders>
              <w:top w:val="single" w:color="auto" w:sz="4" w:space="0"/>
              <w:left w:val="single" w:color="auto" w:sz="4" w:space="0"/>
              <w:bottom w:val="single" w:color="auto" w:sz="4" w:space="0"/>
              <w:right w:val="single" w:color="auto" w:sz="4" w:space="0"/>
            </w:tcBorders>
            <w:vAlign w:val="center"/>
          </w:tcPr>
          <w:p w14:paraId="7E58E7F8">
            <w:pPr>
              <w:pStyle w:val="46"/>
              <w:jc w:val="center"/>
              <w:rPr>
                <w:szCs w:val="21"/>
              </w:rPr>
            </w:pPr>
          </w:p>
        </w:tc>
        <w:tc>
          <w:tcPr>
            <w:tcW w:w="1224" w:type="dxa"/>
            <w:tcBorders>
              <w:top w:val="single" w:color="auto" w:sz="4" w:space="0"/>
              <w:left w:val="single" w:color="auto" w:sz="4" w:space="0"/>
              <w:bottom w:val="single" w:color="auto" w:sz="4" w:space="0"/>
              <w:right w:val="single" w:color="auto" w:sz="4" w:space="0"/>
            </w:tcBorders>
            <w:vAlign w:val="center"/>
          </w:tcPr>
          <w:p w14:paraId="33C80F4E">
            <w:pPr>
              <w:pStyle w:val="46"/>
              <w:jc w:val="center"/>
              <w:rPr>
                <w:szCs w:val="21"/>
              </w:rPr>
            </w:pPr>
          </w:p>
        </w:tc>
        <w:tc>
          <w:tcPr>
            <w:tcW w:w="1582" w:type="dxa"/>
            <w:tcBorders>
              <w:top w:val="single" w:color="auto" w:sz="4" w:space="0"/>
              <w:left w:val="single" w:color="auto" w:sz="4" w:space="0"/>
              <w:bottom w:val="single" w:color="auto" w:sz="4" w:space="0"/>
              <w:right w:val="single" w:color="auto" w:sz="4" w:space="0"/>
            </w:tcBorders>
            <w:vAlign w:val="center"/>
          </w:tcPr>
          <w:p w14:paraId="1CFFE0B4">
            <w:pPr>
              <w:pStyle w:val="46"/>
              <w:jc w:val="center"/>
              <w:rPr>
                <w:szCs w:val="21"/>
              </w:rPr>
            </w:pPr>
          </w:p>
        </w:tc>
      </w:tr>
    </w:tbl>
    <w:p w14:paraId="2DCA5FC1">
      <w:pPr>
        <w:spacing w:line="300" w:lineRule="auto"/>
        <w:rPr>
          <w:rFonts w:ascii="Arial" w:hAnsi="Arial" w:cs="Arial"/>
          <w:szCs w:val="21"/>
        </w:rPr>
      </w:pPr>
    </w:p>
    <w:p w14:paraId="47C8486D">
      <w:pPr>
        <w:spacing w:line="300" w:lineRule="auto"/>
        <w:rPr>
          <w:rFonts w:cs="宋体"/>
          <w:szCs w:val="21"/>
        </w:rPr>
      </w:pPr>
      <w:r>
        <w:rPr>
          <w:rFonts w:hint="eastAsia" w:cs="宋体"/>
          <w:szCs w:val="21"/>
        </w:rPr>
        <w:t>2、环保产品</w:t>
      </w:r>
    </w:p>
    <w:tbl>
      <w:tblPr>
        <w:tblStyle w:val="28"/>
        <w:tblW w:w="8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
      <w:tblGrid>
        <w:gridCol w:w="776"/>
        <w:gridCol w:w="1140"/>
        <w:gridCol w:w="1272"/>
        <w:gridCol w:w="816"/>
        <w:gridCol w:w="816"/>
        <w:gridCol w:w="1032"/>
        <w:gridCol w:w="1380"/>
        <w:gridCol w:w="1714"/>
      </w:tblGrid>
      <w:tr w14:paraId="30632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776" w:type="dxa"/>
            <w:tcBorders>
              <w:top w:val="single" w:color="auto" w:sz="4" w:space="0"/>
              <w:left w:val="single" w:color="auto" w:sz="4" w:space="0"/>
              <w:bottom w:val="single" w:color="auto" w:sz="4" w:space="0"/>
              <w:right w:val="single" w:color="auto" w:sz="4" w:space="0"/>
            </w:tcBorders>
            <w:vAlign w:val="center"/>
          </w:tcPr>
          <w:p w14:paraId="698F6B37">
            <w:pPr>
              <w:pStyle w:val="46"/>
              <w:jc w:val="center"/>
              <w:rPr>
                <w:szCs w:val="21"/>
              </w:rPr>
            </w:pPr>
            <w:r>
              <w:rPr>
                <w:rFonts w:hint="eastAsia"/>
                <w:szCs w:val="21"/>
              </w:rPr>
              <w:t>序号</w:t>
            </w:r>
          </w:p>
        </w:tc>
        <w:tc>
          <w:tcPr>
            <w:tcW w:w="1140" w:type="dxa"/>
            <w:tcBorders>
              <w:top w:val="single" w:color="auto" w:sz="4" w:space="0"/>
              <w:left w:val="single" w:color="auto" w:sz="4" w:space="0"/>
              <w:bottom w:val="single" w:color="auto" w:sz="4" w:space="0"/>
              <w:right w:val="single" w:color="auto" w:sz="4" w:space="0"/>
            </w:tcBorders>
            <w:vAlign w:val="center"/>
          </w:tcPr>
          <w:p w14:paraId="3E111338">
            <w:pPr>
              <w:pStyle w:val="46"/>
              <w:jc w:val="center"/>
              <w:rPr>
                <w:szCs w:val="21"/>
              </w:rPr>
            </w:pPr>
            <w:r>
              <w:rPr>
                <w:rFonts w:hint="eastAsia"/>
                <w:szCs w:val="21"/>
              </w:rPr>
              <w:t>设备名称</w:t>
            </w:r>
          </w:p>
        </w:tc>
        <w:tc>
          <w:tcPr>
            <w:tcW w:w="1272" w:type="dxa"/>
            <w:tcBorders>
              <w:top w:val="single" w:color="auto" w:sz="4" w:space="0"/>
              <w:left w:val="single" w:color="auto" w:sz="4" w:space="0"/>
              <w:bottom w:val="single" w:color="auto" w:sz="4" w:space="0"/>
              <w:right w:val="single" w:color="auto" w:sz="4" w:space="0"/>
            </w:tcBorders>
            <w:vAlign w:val="center"/>
          </w:tcPr>
          <w:p w14:paraId="301B16F3">
            <w:pPr>
              <w:pStyle w:val="46"/>
              <w:jc w:val="center"/>
              <w:rPr>
                <w:szCs w:val="21"/>
              </w:rPr>
            </w:pPr>
            <w:r>
              <w:rPr>
                <w:rFonts w:hint="eastAsia"/>
                <w:szCs w:val="21"/>
              </w:rPr>
              <w:t>制造商</w:t>
            </w:r>
          </w:p>
          <w:p w14:paraId="1A4C2652">
            <w:pPr>
              <w:pStyle w:val="46"/>
              <w:jc w:val="center"/>
              <w:rPr>
                <w:szCs w:val="21"/>
              </w:rPr>
            </w:pPr>
            <w:r>
              <w:rPr>
                <w:rFonts w:hint="eastAsia"/>
                <w:szCs w:val="21"/>
              </w:rPr>
              <w:t>名称</w:t>
            </w:r>
          </w:p>
        </w:tc>
        <w:tc>
          <w:tcPr>
            <w:tcW w:w="816" w:type="dxa"/>
            <w:tcBorders>
              <w:top w:val="single" w:color="auto" w:sz="4" w:space="0"/>
              <w:left w:val="single" w:color="auto" w:sz="4" w:space="0"/>
              <w:bottom w:val="single" w:color="auto" w:sz="4" w:space="0"/>
              <w:right w:val="single" w:color="auto" w:sz="4" w:space="0"/>
            </w:tcBorders>
            <w:vAlign w:val="center"/>
          </w:tcPr>
          <w:p w14:paraId="7666DA8C">
            <w:pPr>
              <w:pStyle w:val="46"/>
              <w:jc w:val="center"/>
              <w:rPr>
                <w:szCs w:val="21"/>
              </w:rPr>
            </w:pPr>
            <w:r>
              <w:rPr>
                <w:rFonts w:hint="eastAsia"/>
                <w:szCs w:val="21"/>
              </w:rPr>
              <w:t>品牌</w:t>
            </w:r>
          </w:p>
        </w:tc>
        <w:tc>
          <w:tcPr>
            <w:tcW w:w="816" w:type="dxa"/>
            <w:tcBorders>
              <w:top w:val="single" w:color="auto" w:sz="4" w:space="0"/>
              <w:left w:val="single" w:color="auto" w:sz="4" w:space="0"/>
              <w:bottom w:val="single" w:color="auto" w:sz="4" w:space="0"/>
              <w:right w:val="single" w:color="auto" w:sz="4" w:space="0"/>
            </w:tcBorders>
            <w:vAlign w:val="center"/>
          </w:tcPr>
          <w:p w14:paraId="62DB26FE">
            <w:pPr>
              <w:pStyle w:val="46"/>
              <w:jc w:val="center"/>
              <w:rPr>
                <w:szCs w:val="21"/>
              </w:rPr>
            </w:pPr>
            <w:r>
              <w:rPr>
                <w:rFonts w:hint="eastAsia"/>
                <w:szCs w:val="21"/>
              </w:rPr>
              <w:t>型号</w:t>
            </w:r>
          </w:p>
        </w:tc>
        <w:tc>
          <w:tcPr>
            <w:tcW w:w="1032" w:type="dxa"/>
            <w:tcBorders>
              <w:top w:val="single" w:color="auto" w:sz="4" w:space="0"/>
              <w:left w:val="single" w:color="auto" w:sz="4" w:space="0"/>
              <w:bottom w:val="single" w:color="auto" w:sz="4" w:space="0"/>
              <w:right w:val="single" w:color="auto" w:sz="4" w:space="0"/>
            </w:tcBorders>
            <w:vAlign w:val="center"/>
          </w:tcPr>
          <w:p w14:paraId="0C73BB1D">
            <w:pPr>
              <w:pStyle w:val="46"/>
              <w:jc w:val="center"/>
              <w:rPr>
                <w:szCs w:val="21"/>
              </w:rPr>
            </w:pPr>
            <w:r>
              <w:rPr>
                <w:rFonts w:hint="eastAsia"/>
                <w:szCs w:val="21"/>
              </w:rPr>
              <w:t>数量</w:t>
            </w:r>
          </w:p>
        </w:tc>
        <w:tc>
          <w:tcPr>
            <w:tcW w:w="1380" w:type="dxa"/>
            <w:tcBorders>
              <w:top w:val="single" w:color="auto" w:sz="4" w:space="0"/>
              <w:left w:val="single" w:color="auto" w:sz="4" w:space="0"/>
              <w:bottom w:val="single" w:color="auto" w:sz="4" w:space="0"/>
              <w:right w:val="single" w:color="auto" w:sz="4" w:space="0"/>
            </w:tcBorders>
            <w:vAlign w:val="center"/>
          </w:tcPr>
          <w:p w14:paraId="4EDDFD09">
            <w:pPr>
              <w:pStyle w:val="46"/>
              <w:jc w:val="center"/>
              <w:rPr>
                <w:szCs w:val="21"/>
              </w:rPr>
            </w:pPr>
            <w:r>
              <w:rPr>
                <w:rFonts w:hint="eastAsia"/>
                <w:szCs w:val="21"/>
              </w:rPr>
              <w:t>单价</w:t>
            </w:r>
          </w:p>
          <w:p w14:paraId="35411045">
            <w:pPr>
              <w:pStyle w:val="46"/>
              <w:jc w:val="center"/>
              <w:rPr>
                <w:szCs w:val="21"/>
              </w:rPr>
            </w:pPr>
            <w:r>
              <w:rPr>
                <w:rFonts w:hint="eastAsia"/>
                <w:szCs w:val="21"/>
              </w:rPr>
              <w:t>（万元）</w:t>
            </w:r>
          </w:p>
        </w:tc>
        <w:tc>
          <w:tcPr>
            <w:tcW w:w="1714" w:type="dxa"/>
            <w:tcBorders>
              <w:top w:val="single" w:color="auto" w:sz="4" w:space="0"/>
              <w:left w:val="single" w:color="auto" w:sz="4" w:space="0"/>
              <w:bottom w:val="single" w:color="auto" w:sz="4" w:space="0"/>
              <w:right w:val="single" w:color="auto" w:sz="4" w:space="0"/>
            </w:tcBorders>
            <w:vAlign w:val="center"/>
          </w:tcPr>
          <w:p w14:paraId="1C1A0448">
            <w:pPr>
              <w:pStyle w:val="46"/>
              <w:jc w:val="center"/>
              <w:rPr>
                <w:szCs w:val="21"/>
              </w:rPr>
            </w:pPr>
            <w:r>
              <w:rPr>
                <w:rFonts w:hint="eastAsia"/>
                <w:szCs w:val="21"/>
              </w:rPr>
              <w:t>总价</w:t>
            </w:r>
          </w:p>
          <w:p w14:paraId="2D22F023">
            <w:pPr>
              <w:pStyle w:val="46"/>
              <w:jc w:val="center"/>
              <w:rPr>
                <w:szCs w:val="21"/>
              </w:rPr>
            </w:pPr>
            <w:r>
              <w:rPr>
                <w:rFonts w:hint="eastAsia"/>
                <w:szCs w:val="21"/>
              </w:rPr>
              <w:t>（万元）</w:t>
            </w:r>
          </w:p>
        </w:tc>
      </w:tr>
      <w:tr w14:paraId="22AAE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776" w:type="dxa"/>
            <w:tcBorders>
              <w:top w:val="single" w:color="auto" w:sz="4" w:space="0"/>
              <w:left w:val="single" w:color="auto" w:sz="4" w:space="0"/>
              <w:bottom w:val="single" w:color="auto" w:sz="4" w:space="0"/>
              <w:right w:val="single" w:color="auto" w:sz="4" w:space="0"/>
            </w:tcBorders>
            <w:vAlign w:val="center"/>
          </w:tcPr>
          <w:p w14:paraId="67069941">
            <w:pPr>
              <w:pStyle w:val="46"/>
              <w:numPr>
                <w:ilvl w:val="0"/>
                <w:numId w:val="9"/>
              </w:numPr>
              <w:jc w:val="center"/>
              <w:rPr>
                <w:szCs w:val="21"/>
              </w:rPr>
            </w:pPr>
          </w:p>
        </w:tc>
        <w:tc>
          <w:tcPr>
            <w:tcW w:w="1140" w:type="dxa"/>
            <w:tcBorders>
              <w:top w:val="single" w:color="auto" w:sz="4" w:space="0"/>
              <w:left w:val="single" w:color="auto" w:sz="4" w:space="0"/>
              <w:bottom w:val="single" w:color="auto" w:sz="4" w:space="0"/>
              <w:right w:val="single" w:color="auto" w:sz="4" w:space="0"/>
            </w:tcBorders>
            <w:vAlign w:val="center"/>
          </w:tcPr>
          <w:p w14:paraId="03323FB7">
            <w:pPr>
              <w:pStyle w:val="46"/>
              <w:jc w:val="center"/>
              <w:rPr>
                <w:szCs w:val="21"/>
              </w:rPr>
            </w:pPr>
          </w:p>
        </w:tc>
        <w:tc>
          <w:tcPr>
            <w:tcW w:w="1272" w:type="dxa"/>
            <w:tcBorders>
              <w:top w:val="single" w:color="auto" w:sz="4" w:space="0"/>
              <w:left w:val="single" w:color="auto" w:sz="4" w:space="0"/>
              <w:bottom w:val="single" w:color="auto" w:sz="4" w:space="0"/>
              <w:right w:val="single" w:color="auto" w:sz="4" w:space="0"/>
            </w:tcBorders>
            <w:vAlign w:val="center"/>
          </w:tcPr>
          <w:p w14:paraId="39C2EE94">
            <w:pPr>
              <w:pStyle w:val="46"/>
              <w:jc w:val="center"/>
              <w:rPr>
                <w:szCs w:val="21"/>
              </w:rPr>
            </w:pPr>
          </w:p>
        </w:tc>
        <w:tc>
          <w:tcPr>
            <w:tcW w:w="816" w:type="dxa"/>
            <w:tcBorders>
              <w:top w:val="single" w:color="auto" w:sz="4" w:space="0"/>
              <w:left w:val="single" w:color="auto" w:sz="4" w:space="0"/>
              <w:bottom w:val="single" w:color="auto" w:sz="4" w:space="0"/>
              <w:right w:val="single" w:color="auto" w:sz="4" w:space="0"/>
            </w:tcBorders>
            <w:vAlign w:val="center"/>
          </w:tcPr>
          <w:p w14:paraId="064765DC">
            <w:pPr>
              <w:pStyle w:val="46"/>
              <w:jc w:val="center"/>
              <w:rPr>
                <w:szCs w:val="21"/>
              </w:rPr>
            </w:pPr>
          </w:p>
        </w:tc>
        <w:tc>
          <w:tcPr>
            <w:tcW w:w="816" w:type="dxa"/>
            <w:tcBorders>
              <w:top w:val="single" w:color="auto" w:sz="4" w:space="0"/>
              <w:left w:val="single" w:color="auto" w:sz="4" w:space="0"/>
              <w:bottom w:val="single" w:color="auto" w:sz="4" w:space="0"/>
              <w:right w:val="single" w:color="auto" w:sz="4" w:space="0"/>
            </w:tcBorders>
            <w:vAlign w:val="center"/>
          </w:tcPr>
          <w:p w14:paraId="7C1B54FA">
            <w:pPr>
              <w:pStyle w:val="46"/>
              <w:jc w:val="center"/>
              <w:rPr>
                <w:szCs w:val="21"/>
              </w:rPr>
            </w:pPr>
          </w:p>
        </w:tc>
        <w:tc>
          <w:tcPr>
            <w:tcW w:w="1032" w:type="dxa"/>
            <w:tcBorders>
              <w:top w:val="single" w:color="auto" w:sz="4" w:space="0"/>
              <w:left w:val="single" w:color="auto" w:sz="4" w:space="0"/>
              <w:bottom w:val="single" w:color="auto" w:sz="4" w:space="0"/>
              <w:right w:val="single" w:color="auto" w:sz="4" w:space="0"/>
            </w:tcBorders>
            <w:vAlign w:val="center"/>
          </w:tcPr>
          <w:p w14:paraId="3F97F388">
            <w:pPr>
              <w:pStyle w:val="46"/>
              <w:jc w:val="center"/>
              <w:rPr>
                <w:szCs w:val="21"/>
              </w:rPr>
            </w:pPr>
          </w:p>
        </w:tc>
        <w:tc>
          <w:tcPr>
            <w:tcW w:w="1380" w:type="dxa"/>
            <w:tcBorders>
              <w:top w:val="single" w:color="auto" w:sz="4" w:space="0"/>
              <w:left w:val="single" w:color="auto" w:sz="4" w:space="0"/>
              <w:bottom w:val="single" w:color="auto" w:sz="4" w:space="0"/>
              <w:right w:val="single" w:color="auto" w:sz="4" w:space="0"/>
            </w:tcBorders>
            <w:vAlign w:val="center"/>
          </w:tcPr>
          <w:p w14:paraId="436673DC">
            <w:pPr>
              <w:pStyle w:val="46"/>
              <w:jc w:val="center"/>
              <w:rPr>
                <w:szCs w:val="21"/>
              </w:rPr>
            </w:pPr>
          </w:p>
        </w:tc>
        <w:tc>
          <w:tcPr>
            <w:tcW w:w="1714" w:type="dxa"/>
            <w:tcBorders>
              <w:top w:val="single" w:color="auto" w:sz="4" w:space="0"/>
              <w:left w:val="single" w:color="auto" w:sz="4" w:space="0"/>
              <w:bottom w:val="single" w:color="auto" w:sz="4" w:space="0"/>
              <w:right w:val="single" w:color="auto" w:sz="4" w:space="0"/>
            </w:tcBorders>
            <w:vAlign w:val="center"/>
          </w:tcPr>
          <w:p w14:paraId="4C779564">
            <w:pPr>
              <w:pStyle w:val="46"/>
              <w:jc w:val="center"/>
              <w:rPr>
                <w:szCs w:val="21"/>
              </w:rPr>
            </w:pPr>
          </w:p>
        </w:tc>
      </w:tr>
      <w:tr w14:paraId="62BCB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776" w:type="dxa"/>
            <w:tcBorders>
              <w:top w:val="single" w:color="auto" w:sz="4" w:space="0"/>
              <w:left w:val="single" w:color="auto" w:sz="4" w:space="0"/>
              <w:bottom w:val="single" w:color="auto" w:sz="4" w:space="0"/>
              <w:right w:val="single" w:color="auto" w:sz="4" w:space="0"/>
            </w:tcBorders>
            <w:vAlign w:val="center"/>
          </w:tcPr>
          <w:p w14:paraId="119FD7E7">
            <w:pPr>
              <w:pStyle w:val="46"/>
              <w:numPr>
                <w:ilvl w:val="0"/>
                <w:numId w:val="9"/>
              </w:numPr>
              <w:jc w:val="center"/>
              <w:rPr>
                <w:szCs w:val="21"/>
              </w:rPr>
            </w:pPr>
          </w:p>
        </w:tc>
        <w:tc>
          <w:tcPr>
            <w:tcW w:w="1140" w:type="dxa"/>
            <w:tcBorders>
              <w:top w:val="single" w:color="auto" w:sz="4" w:space="0"/>
              <w:left w:val="single" w:color="auto" w:sz="4" w:space="0"/>
              <w:bottom w:val="single" w:color="auto" w:sz="4" w:space="0"/>
              <w:right w:val="single" w:color="auto" w:sz="4" w:space="0"/>
            </w:tcBorders>
            <w:vAlign w:val="center"/>
          </w:tcPr>
          <w:p w14:paraId="3C2A7649">
            <w:pPr>
              <w:pStyle w:val="46"/>
              <w:jc w:val="center"/>
              <w:rPr>
                <w:szCs w:val="21"/>
              </w:rPr>
            </w:pPr>
          </w:p>
        </w:tc>
        <w:tc>
          <w:tcPr>
            <w:tcW w:w="1272" w:type="dxa"/>
            <w:tcBorders>
              <w:top w:val="single" w:color="auto" w:sz="4" w:space="0"/>
              <w:left w:val="single" w:color="auto" w:sz="4" w:space="0"/>
              <w:bottom w:val="single" w:color="auto" w:sz="4" w:space="0"/>
              <w:right w:val="single" w:color="auto" w:sz="4" w:space="0"/>
            </w:tcBorders>
            <w:vAlign w:val="center"/>
          </w:tcPr>
          <w:p w14:paraId="44089F4B">
            <w:pPr>
              <w:pStyle w:val="46"/>
              <w:jc w:val="center"/>
              <w:rPr>
                <w:szCs w:val="21"/>
              </w:rPr>
            </w:pPr>
          </w:p>
        </w:tc>
        <w:tc>
          <w:tcPr>
            <w:tcW w:w="816" w:type="dxa"/>
            <w:tcBorders>
              <w:top w:val="single" w:color="auto" w:sz="4" w:space="0"/>
              <w:left w:val="single" w:color="auto" w:sz="4" w:space="0"/>
              <w:bottom w:val="single" w:color="auto" w:sz="4" w:space="0"/>
              <w:right w:val="single" w:color="auto" w:sz="4" w:space="0"/>
            </w:tcBorders>
            <w:vAlign w:val="center"/>
          </w:tcPr>
          <w:p w14:paraId="19D3D2BF">
            <w:pPr>
              <w:pStyle w:val="46"/>
              <w:jc w:val="center"/>
              <w:rPr>
                <w:szCs w:val="21"/>
              </w:rPr>
            </w:pPr>
          </w:p>
        </w:tc>
        <w:tc>
          <w:tcPr>
            <w:tcW w:w="816" w:type="dxa"/>
            <w:tcBorders>
              <w:top w:val="single" w:color="auto" w:sz="4" w:space="0"/>
              <w:left w:val="single" w:color="auto" w:sz="4" w:space="0"/>
              <w:bottom w:val="single" w:color="auto" w:sz="4" w:space="0"/>
              <w:right w:val="single" w:color="auto" w:sz="4" w:space="0"/>
            </w:tcBorders>
            <w:vAlign w:val="center"/>
          </w:tcPr>
          <w:p w14:paraId="6E489C56">
            <w:pPr>
              <w:pStyle w:val="46"/>
              <w:jc w:val="center"/>
              <w:rPr>
                <w:szCs w:val="21"/>
              </w:rPr>
            </w:pPr>
          </w:p>
        </w:tc>
        <w:tc>
          <w:tcPr>
            <w:tcW w:w="1032" w:type="dxa"/>
            <w:tcBorders>
              <w:top w:val="single" w:color="auto" w:sz="4" w:space="0"/>
              <w:left w:val="single" w:color="auto" w:sz="4" w:space="0"/>
              <w:bottom w:val="single" w:color="auto" w:sz="4" w:space="0"/>
              <w:right w:val="single" w:color="auto" w:sz="4" w:space="0"/>
            </w:tcBorders>
            <w:vAlign w:val="center"/>
          </w:tcPr>
          <w:p w14:paraId="72A27CDC">
            <w:pPr>
              <w:pStyle w:val="46"/>
              <w:jc w:val="center"/>
              <w:rPr>
                <w:szCs w:val="21"/>
              </w:rPr>
            </w:pPr>
          </w:p>
        </w:tc>
        <w:tc>
          <w:tcPr>
            <w:tcW w:w="1380" w:type="dxa"/>
            <w:tcBorders>
              <w:top w:val="single" w:color="auto" w:sz="4" w:space="0"/>
              <w:left w:val="single" w:color="auto" w:sz="4" w:space="0"/>
              <w:bottom w:val="single" w:color="auto" w:sz="4" w:space="0"/>
              <w:right w:val="single" w:color="auto" w:sz="4" w:space="0"/>
            </w:tcBorders>
            <w:vAlign w:val="center"/>
          </w:tcPr>
          <w:p w14:paraId="5E9CFA3B">
            <w:pPr>
              <w:pStyle w:val="46"/>
              <w:jc w:val="center"/>
              <w:rPr>
                <w:szCs w:val="21"/>
              </w:rPr>
            </w:pPr>
          </w:p>
        </w:tc>
        <w:tc>
          <w:tcPr>
            <w:tcW w:w="1714" w:type="dxa"/>
            <w:tcBorders>
              <w:top w:val="single" w:color="auto" w:sz="4" w:space="0"/>
              <w:left w:val="single" w:color="auto" w:sz="4" w:space="0"/>
              <w:bottom w:val="single" w:color="auto" w:sz="4" w:space="0"/>
              <w:right w:val="single" w:color="auto" w:sz="4" w:space="0"/>
            </w:tcBorders>
            <w:vAlign w:val="center"/>
          </w:tcPr>
          <w:p w14:paraId="4738A271">
            <w:pPr>
              <w:pStyle w:val="46"/>
              <w:jc w:val="center"/>
              <w:rPr>
                <w:szCs w:val="21"/>
              </w:rPr>
            </w:pPr>
          </w:p>
        </w:tc>
      </w:tr>
      <w:tr w14:paraId="69B98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776" w:type="dxa"/>
            <w:tcBorders>
              <w:top w:val="single" w:color="auto" w:sz="4" w:space="0"/>
              <w:left w:val="single" w:color="auto" w:sz="4" w:space="0"/>
              <w:bottom w:val="single" w:color="auto" w:sz="4" w:space="0"/>
              <w:right w:val="single" w:color="auto" w:sz="4" w:space="0"/>
            </w:tcBorders>
            <w:vAlign w:val="center"/>
          </w:tcPr>
          <w:p w14:paraId="7BC45F59">
            <w:pPr>
              <w:pStyle w:val="46"/>
              <w:numPr>
                <w:ilvl w:val="0"/>
                <w:numId w:val="9"/>
              </w:numPr>
              <w:jc w:val="center"/>
              <w:rPr>
                <w:szCs w:val="21"/>
              </w:rPr>
            </w:pPr>
          </w:p>
        </w:tc>
        <w:tc>
          <w:tcPr>
            <w:tcW w:w="1140" w:type="dxa"/>
            <w:tcBorders>
              <w:top w:val="single" w:color="auto" w:sz="4" w:space="0"/>
              <w:left w:val="single" w:color="auto" w:sz="4" w:space="0"/>
              <w:bottom w:val="single" w:color="auto" w:sz="4" w:space="0"/>
              <w:right w:val="single" w:color="auto" w:sz="4" w:space="0"/>
            </w:tcBorders>
            <w:vAlign w:val="center"/>
          </w:tcPr>
          <w:p w14:paraId="378AD052">
            <w:pPr>
              <w:pStyle w:val="46"/>
              <w:jc w:val="center"/>
              <w:rPr>
                <w:szCs w:val="21"/>
              </w:rPr>
            </w:pPr>
            <w:r>
              <w:rPr>
                <w:szCs w:val="21"/>
              </w:rPr>
              <w:t>……</w:t>
            </w:r>
          </w:p>
        </w:tc>
        <w:tc>
          <w:tcPr>
            <w:tcW w:w="1272" w:type="dxa"/>
            <w:tcBorders>
              <w:top w:val="single" w:color="auto" w:sz="4" w:space="0"/>
              <w:left w:val="single" w:color="auto" w:sz="4" w:space="0"/>
              <w:bottom w:val="single" w:color="auto" w:sz="4" w:space="0"/>
              <w:right w:val="single" w:color="auto" w:sz="4" w:space="0"/>
            </w:tcBorders>
            <w:vAlign w:val="center"/>
          </w:tcPr>
          <w:p w14:paraId="63669E59">
            <w:pPr>
              <w:pStyle w:val="46"/>
              <w:jc w:val="center"/>
              <w:rPr>
                <w:szCs w:val="21"/>
              </w:rPr>
            </w:pPr>
          </w:p>
        </w:tc>
        <w:tc>
          <w:tcPr>
            <w:tcW w:w="816" w:type="dxa"/>
            <w:tcBorders>
              <w:top w:val="single" w:color="auto" w:sz="4" w:space="0"/>
              <w:left w:val="single" w:color="auto" w:sz="4" w:space="0"/>
              <w:bottom w:val="single" w:color="auto" w:sz="4" w:space="0"/>
              <w:right w:val="single" w:color="auto" w:sz="4" w:space="0"/>
            </w:tcBorders>
            <w:vAlign w:val="center"/>
          </w:tcPr>
          <w:p w14:paraId="72D59DE3">
            <w:pPr>
              <w:pStyle w:val="46"/>
              <w:jc w:val="center"/>
              <w:rPr>
                <w:szCs w:val="21"/>
              </w:rPr>
            </w:pPr>
          </w:p>
        </w:tc>
        <w:tc>
          <w:tcPr>
            <w:tcW w:w="816" w:type="dxa"/>
            <w:tcBorders>
              <w:top w:val="single" w:color="auto" w:sz="4" w:space="0"/>
              <w:left w:val="single" w:color="auto" w:sz="4" w:space="0"/>
              <w:bottom w:val="single" w:color="auto" w:sz="4" w:space="0"/>
              <w:right w:val="single" w:color="auto" w:sz="4" w:space="0"/>
            </w:tcBorders>
            <w:vAlign w:val="center"/>
          </w:tcPr>
          <w:p w14:paraId="0816FA57">
            <w:pPr>
              <w:pStyle w:val="46"/>
              <w:jc w:val="center"/>
              <w:rPr>
                <w:szCs w:val="21"/>
              </w:rPr>
            </w:pPr>
          </w:p>
        </w:tc>
        <w:tc>
          <w:tcPr>
            <w:tcW w:w="1032" w:type="dxa"/>
            <w:tcBorders>
              <w:top w:val="single" w:color="auto" w:sz="4" w:space="0"/>
              <w:left w:val="single" w:color="auto" w:sz="4" w:space="0"/>
              <w:bottom w:val="single" w:color="auto" w:sz="4" w:space="0"/>
              <w:right w:val="single" w:color="auto" w:sz="4" w:space="0"/>
            </w:tcBorders>
            <w:vAlign w:val="center"/>
          </w:tcPr>
          <w:p w14:paraId="748E8C3B">
            <w:pPr>
              <w:pStyle w:val="46"/>
              <w:jc w:val="center"/>
              <w:rPr>
                <w:szCs w:val="21"/>
              </w:rPr>
            </w:pPr>
          </w:p>
        </w:tc>
        <w:tc>
          <w:tcPr>
            <w:tcW w:w="1380" w:type="dxa"/>
            <w:tcBorders>
              <w:top w:val="single" w:color="auto" w:sz="4" w:space="0"/>
              <w:left w:val="single" w:color="auto" w:sz="4" w:space="0"/>
              <w:bottom w:val="single" w:color="auto" w:sz="4" w:space="0"/>
              <w:right w:val="single" w:color="auto" w:sz="4" w:space="0"/>
            </w:tcBorders>
            <w:vAlign w:val="center"/>
          </w:tcPr>
          <w:p w14:paraId="1BA6AF38">
            <w:pPr>
              <w:pStyle w:val="46"/>
              <w:jc w:val="center"/>
              <w:rPr>
                <w:szCs w:val="21"/>
              </w:rPr>
            </w:pPr>
          </w:p>
        </w:tc>
        <w:tc>
          <w:tcPr>
            <w:tcW w:w="1714" w:type="dxa"/>
            <w:tcBorders>
              <w:top w:val="single" w:color="auto" w:sz="4" w:space="0"/>
              <w:left w:val="single" w:color="auto" w:sz="4" w:space="0"/>
              <w:bottom w:val="single" w:color="auto" w:sz="4" w:space="0"/>
              <w:right w:val="single" w:color="auto" w:sz="4" w:space="0"/>
            </w:tcBorders>
            <w:vAlign w:val="center"/>
          </w:tcPr>
          <w:p w14:paraId="649CAD84">
            <w:pPr>
              <w:pStyle w:val="46"/>
              <w:jc w:val="center"/>
              <w:rPr>
                <w:szCs w:val="21"/>
              </w:rPr>
            </w:pPr>
          </w:p>
        </w:tc>
      </w:tr>
    </w:tbl>
    <w:p w14:paraId="0D8899D3">
      <w:pPr>
        <w:spacing w:line="300" w:lineRule="auto"/>
        <w:rPr>
          <w:rFonts w:ascii="Arial" w:hAnsi="Arial" w:cs="Arial"/>
          <w:szCs w:val="21"/>
        </w:rPr>
      </w:pPr>
    </w:p>
    <w:p w14:paraId="4C81E900">
      <w:pPr>
        <w:rPr>
          <w:rFonts w:ascii="Arial" w:hAnsi="Arial" w:cs="Arial"/>
          <w:b/>
          <w:szCs w:val="21"/>
        </w:rPr>
      </w:pPr>
      <w:r>
        <w:rPr>
          <w:rFonts w:hint="eastAsia" w:ascii="Arial" w:hAnsi="Arial" w:cs="Arial"/>
          <w:b/>
          <w:sz w:val="21"/>
          <w:szCs w:val="21"/>
        </w:rPr>
        <w:t>特别说明：供应商应将所投产品中节能、环保产品分别列入上表中，并按本竞争性磋商文件“第二章供应商须知”提供相关证明材料，未填写本表或未提供有效认证证书</w:t>
      </w:r>
      <w:r>
        <w:rPr>
          <w:rFonts w:ascii="Arial" w:hAnsi="Arial" w:cs="Arial"/>
          <w:b/>
          <w:sz w:val="21"/>
          <w:szCs w:val="21"/>
        </w:rPr>
        <w:t>的</w:t>
      </w:r>
      <w:r>
        <w:rPr>
          <w:rFonts w:hint="eastAsia" w:ascii="Arial" w:hAnsi="Arial" w:cs="Arial"/>
          <w:b/>
          <w:sz w:val="21"/>
          <w:szCs w:val="21"/>
        </w:rPr>
        <w:t>不给予</w:t>
      </w:r>
      <w:r>
        <w:rPr>
          <w:rFonts w:ascii="Arial" w:hAnsi="Arial" w:cs="Arial"/>
          <w:b/>
          <w:sz w:val="21"/>
          <w:szCs w:val="21"/>
        </w:rPr>
        <w:t>价格扣除</w:t>
      </w:r>
      <w:r>
        <w:rPr>
          <w:rFonts w:hint="eastAsia" w:ascii="Arial" w:hAnsi="Arial" w:cs="Arial"/>
          <w:b/>
          <w:sz w:val="21"/>
          <w:szCs w:val="21"/>
        </w:rPr>
        <w:t>。</w:t>
      </w:r>
    </w:p>
    <w:p w14:paraId="2ED48B6E">
      <w:pPr>
        <w:spacing w:line="300" w:lineRule="auto"/>
        <w:rPr>
          <w:rFonts w:ascii="Arial" w:hAnsi="Arial" w:cs="Arial"/>
          <w:szCs w:val="21"/>
        </w:rPr>
      </w:pPr>
    </w:p>
    <w:p w14:paraId="2AF5BA0D">
      <w:pPr>
        <w:ind w:right="1008" w:firstLine="4284" w:firstLineChars="1700"/>
        <w:rPr>
          <w:rFonts w:cs="宋体"/>
          <w:spacing w:val="6"/>
          <w:szCs w:val="24"/>
        </w:rPr>
      </w:pPr>
      <w:r>
        <w:rPr>
          <w:rFonts w:hint="eastAsia" w:cs="宋体"/>
          <w:spacing w:val="6"/>
          <w:szCs w:val="24"/>
        </w:rPr>
        <w:t>供应商名称（公章）：</w:t>
      </w:r>
    </w:p>
    <w:p w14:paraId="2FEF5C51">
      <w:pPr>
        <w:ind w:right="1008" w:firstLine="4284" w:firstLineChars="1700"/>
        <w:rPr>
          <w:rFonts w:cs="宋体"/>
          <w:spacing w:val="6"/>
          <w:szCs w:val="24"/>
        </w:rPr>
      </w:pPr>
      <w:r>
        <w:rPr>
          <w:rFonts w:hint="eastAsia" w:cs="宋体"/>
          <w:spacing w:val="6"/>
          <w:szCs w:val="24"/>
        </w:rPr>
        <w:t>日期：年月日</w:t>
      </w:r>
    </w:p>
    <w:p w14:paraId="31614754">
      <w:pPr>
        <w:numPr>
          <w:ilvl w:val="0"/>
          <w:numId w:val="0"/>
        </w:numPr>
        <w:rPr>
          <w:rFonts w:hint="eastAsia"/>
          <w:lang w:val="en-US" w:eastAsia="zh-CN"/>
        </w:rPr>
      </w:pPr>
    </w:p>
    <w:p w14:paraId="6BE5D333">
      <w:pPr>
        <w:rPr>
          <w:rFonts w:hint="eastAsia" w:cstheme="minorBidi"/>
          <w:b/>
          <w:bCs/>
          <w:i w:val="0"/>
          <w:iCs w:val="0"/>
          <w:color w:val="auto"/>
          <w:kern w:val="2"/>
          <w:sz w:val="24"/>
          <w:szCs w:val="24"/>
          <w:highlight w:val="none"/>
          <w:lang w:val="en-US" w:eastAsia="zh-CN" w:bidi="ar-SA"/>
        </w:rPr>
      </w:pPr>
      <w:bookmarkStart w:id="452" w:name="_Toc27847"/>
      <w:bookmarkStart w:id="453" w:name="_Toc163492939"/>
      <w:r>
        <w:rPr>
          <w:rFonts w:hint="eastAsia" w:cstheme="minorBidi"/>
          <w:b/>
          <w:bCs/>
          <w:i w:val="0"/>
          <w:iCs w:val="0"/>
          <w:color w:val="auto"/>
          <w:kern w:val="2"/>
          <w:sz w:val="24"/>
          <w:szCs w:val="24"/>
          <w:highlight w:val="none"/>
          <w:lang w:val="en-US" w:eastAsia="zh-CN" w:bidi="ar-SA"/>
        </w:rPr>
        <w:br w:type="page"/>
      </w:r>
    </w:p>
    <w:p w14:paraId="711C0C58">
      <w:pPr>
        <w:pStyle w:val="4"/>
        <w:keepNext/>
        <w:keepLines/>
        <w:pageBreakBefore w:val="0"/>
        <w:widowControl w:val="0"/>
        <w:numPr>
          <w:ilvl w:val="0"/>
          <w:numId w:val="0"/>
        </w:numPr>
        <w:kinsoku/>
        <w:wordWrap/>
        <w:overflowPunct/>
        <w:topLinePunct w:val="0"/>
        <w:autoSpaceDE/>
        <w:autoSpaceDN/>
        <w:bidi w:val="0"/>
        <w:adjustRightInd/>
        <w:snapToGrid/>
        <w:spacing w:before="0" w:after="0" w:line="360" w:lineRule="auto"/>
        <w:textAlignment w:val="auto"/>
        <w:rPr>
          <w:rFonts w:hint="eastAsia" w:ascii="宋体" w:hAnsi="宋体" w:eastAsia="宋体" w:cstheme="minorBidi"/>
          <w:b/>
          <w:bCs/>
          <w:i w:val="0"/>
          <w:iCs w:val="0"/>
          <w:color w:val="auto"/>
          <w:kern w:val="2"/>
          <w:sz w:val="24"/>
          <w:szCs w:val="24"/>
          <w:highlight w:val="none"/>
          <w:lang w:val="en-US" w:eastAsia="zh-CN" w:bidi="ar-SA"/>
        </w:rPr>
      </w:pPr>
      <w:bookmarkStart w:id="454" w:name="_Toc32643"/>
      <w:r>
        <w:rPr>
          <w:rFonts w:hint="eastAsia" w:cstheme="minorBidi"/>
          <w:b/>
          <w:bCs/>
          <w:i w:val="0"/>
          <w:iCs w:val="0"/>
          <w:color w:val="auto"/>
          <w:kern w:val="2"/>
          <w:sz w:val="24"/>
          <w:szCs w:val="24"/>
          <w:highlight w:val="none"/>
          <w:lang w:val="en-US" w:eastAsia="zh-CN" w:bidi="ar-SA"/>
        </w:rPr>
        <w:t>（二）</w:t>
      </w:r>
      <w:r>
        <w:rPr>
          <w:rFonts w:hint="eastAsia" w:ascii="宋体" w:hAnsi="宋体" w:eastAsia="宋体" w:cstheme="minorBidi"/>
          <w:b/>
          <w:bCs/>
          <w:i w:val="0"/>
          <w:iCs w:val="0"/>
          <w:color w:val="auto"/>
          <w:kern w:val="2"/>
          <w:sz w:val="24"/>
          <w:szCs w:val="24"/>
          <w:highlight w:val="none"/>
          <w:lang w:val="en-US" w:eastAsia="zh-CN" w:bidi="ar-SA"/>
        </w:rPr>
        <w:t>中小企业声明函</w:t>
      </w:r>
      <w:bookmarkEnd w:id="452"/>
      <w:bookmarkEnd w:id="453"/>
      <w:bookmarkEnd w:id="454"/>
    </w:p>
    <w:p w14:paraId="17DF8322">
      <w:pPr>
        <w:pStyle w:val="39"/>
        <w:keepNext w:val="0"/>
        <w:keepLines w:val="0"/>
        <w:pageBreakBefore w:val="0"/>
        <w:widowControl w:val="0"/>
        <w:numPr>
          <w:ilvl w:val="0"/>
          <w:numId w:val="0"/>
        </w:numPr>
        <w:kinsoku/>
        <w:wordWrap/>
        <w:overflowPunct/>
        <w:topLinePunct w:val="0"/>
        <w:autoSpaceDE/>
        <w:autoSpaceDN/>
        <w:bidi w:val="0"/>
        <w:adjustRightInd/>
        <w:snapToGrid/>
        <w:spacing w:line="300" w:lineRule="exact"/>
        <w:ind w:left="420" w:leftChars="0" w:hanging="420" w:firstLineChars="0"/>
        <w:jc w:val="center"/>
        <w:textAlignment w:val="auto"/>
        <w:rPr>
          <w:rFonts w:hint="eastAsia"/>
          <w:b/>
          <w:bCs/>
          <w:i w:val="0"/>
          <w:iCs w:val="0"/>
          <w:color w:val="auto"/>
          <w:sz w:val="32"/>
          <w:szCs w:val="32"/>
          <w:highlight w:val="none"/>
        </w:rPr>
      </w:pPr>
    </w:p>
    <w:p w14:paraId="3E31A8EB">
      <w:pPr>
        <w:pStyle w:val="39"/>
        <w:numPr>
          <w:ilvl w:val="0"/>
          <w:numId w:val="0"/>
        </w:numPr>
        <w:ind w:left="420" w:leftChars="0" w:hanging="420" w:firstLineChars="0"/>
        <w:jc w:val="center"/>
        <w:rPr>
          <w:b/>
          <w:bCs/>
          <w:i w:val="0"/>
          <w:iCs w:val="0"/>
          <w:color w:val="auto"/>
          <w:sz w:val="32"/>
          <w:szCs w:val="32"/>
          <w:highlight w:val="none"/>
        </w:rPr>
      </w:pPr>
      <w:r>
        <w:rPr>
          <w:rFonts w:hint="eastAsia"/>
          <w:b/>
          <w:bCs/>
          <w:i w:val="0"/>
          <w:iCs w:val="0"/>
          <w:color w:val="auto"/>
          <w:sz w:val="32"/>
          <w:szCs w:val="32"/>
          <w:highlight w:val="none"/>
        </w:rPr>
        <w:t>中小企业声明函</w:t>
      </w:r>
    </w:p>
    <w:p w14:paraId="78BC1CF1">
      <w:pPr>
        <w:ind w:firstLine="504" w:firstLineChars="200"/>
        <w:rPr>
          <w:rFonts w:cs="宋体"/>
          <w:i w:val="0"/>
          <w:iCs w:val="0"/>
          <w:color w:val="auto"/>
          <w:spacing w:val="6"/>
          <w:szCs w:val="24"/>
          <w:highlight w:val="none"/>
        </w:rPr>
      </w:pPr>
      <w:r>
        <w:rPr>
          <w:rFonts w:hint="eastAsia" w:cs="宋体"/>
          <w:i w:val="0"/>
          <w:iCs w:val="0"/>
          <w:color w:val="auto"/>
          <w:spacing w:val="6"/>
          <w:szCs w:val="24"/>
          <w:highlight w:val="none"/>
        </w:rPr>
        <w:t>本公司（联合体）郑重声明，根据《政府采购促进中小企业发展管理办法》（财库﹝2020﹞46 号）的规定，本公司（联合体）参加</w:t>
      </w:r>
      <w:r>
        <w:rPr>
          <w:rFonts w:hint="eastAsia" w:cs="宋体"/>
          <w:i w:val="0"/>
          <w:iCs w:val="0"/>
          <w:color w:val="auto"/>
          <w:spacing w:val="6"/>
          <w:szCs w:val="24"/>
          <w:highlight w:val="none"/>
          <w:u w:val="single"/>
        </w:rPr>
        <w:t xml:space="preserve"> （单位名称）</w:t>
      </w:r>
      <w:r>
        <w:rPr>
          <w:rFonts w:hint="eastAsia" w:cs="宋体"/>
          <w:i w:val="0"/>
          <w:iCs w:val="0"/>
          <w:color w:val="auto"/>
          <w:spacing w:val="6"/>
          <w:szCs w:val="24"/>
          <w:highlight w:val="none"/>
          <w:u w:val="single"/>
          <w:lang w:val="en-US" w:eastAsia="zh-CN"/>
        </w:rPr>
        <w:t xml:space="preserve"> </w:t>
      </w:r>
      <w:r>
        <w:rPr>
          <w:rFonts w:hint="eastAsia" w:cs="宋体"/>
          <w:i w:val="0"/>
          <w:iCs w:val="0"/>
          <w:color w:val="auto"/>
          <w:spacing w:val="6"/>
          <w:szCs w:val="24"/>
          <w:highlight w:val="none"/>
          <w:u w:val="single"/>
        </w:rPr>
        <w:t xml:space="preserve"> </w:t>
      </w:r>
      <w:r>
        <w:rPr>
          <w:rFonts w:hint="eastAsia" w:cs="宋体"/>
          <w:i w:val="0"/>
          <w:iCs w:val="0"/>
          <w:color w:val="auto"/>
          <w:spacing w:val="6"/>
          <w:szCs w:val="24"/>
          <w:highlight w:val="none"/>
        </w:rPr>
        <w:t xml:space="preserve">的 </w:t>
      </w:r>
      <w:r>
        <w:rPr>
          <w:rFonts w:hint="eastAsia" w:cs="宋体"/>
          <w:i w:val="0"/>
          <w:iCs w:val="0"/>
          <w:color w:val="auto"/>
          <w:spacing w:val="6"/>
          <w:szCs w:val="24"/>
          <w:highlight w:val="none"/>
          <w:u w:val="single"/>
        </w:rPr>
        <w:t xml:space="preserve">（项目名称） </w:t>
      </w:r>
      <w:r>
        <w:rPr>
          <w:rFonts w:hint="eastAsia" w:cs="宋体"/>
          <w:i w:val="0"/>
          <w:iCs w:val="0"/>
          <w:color w:val="auto"/>
          <w:spacing w:val="6"/>
          <w:szCs w:val="24"/>
          <w:highlight w:val="none"/>
        </w:rPr>
        <w:t>采购活动，服务全部由符合政策要求的中小企业承接。相关企业（含联合体中的中小企业、签订分包意向协议</w:t>
      </w:r>
      <w:r>
        <w:rPr>
          <w:rFonts w:hint="eastAsia" w:cs="宋体"/>
          <w:i w:val="0"/>
          <w:iCs w:val="0"/>
          <w:color w:val="auto"/>
          <w:spacing w:val="6"/>
          <w:szCs w:val="24"/>
          <w:highlight w:val="none"/>
          <w:lang w:val="en-US" w:eastAsia="zh-CN"/>
        </w:rPr>
        <w:t>书</w:t>
      </w:r>
      <w:r>
        <w:rPr>
          <w:rFonts w:hint="eastAsia" w:cs="宋体"/>
          <w:i w:val="0"/>
          <w:iCs w:val="0"/>
          <w:color w:val="auto"/>
          <w:spacing w:val="6"/>
          <w:szCs w:val="24"/>
          <w:highlight w:val="none"/>
        </w:rPr>
        <w:t>的中小企业）的具体情况如下：</w:t>
      </w:r>
    </w:p>
    <w:p w14:paraId="5FCC96F1">
      <w:pPr>
        <w:ind w:firstLine="504" w:firstLineChars="200"/>
        <w:rPr>
          <w:rFonts w:cs="宋体"/>
          <w:i w:val="0"/>
          <w:iCs w:val="0"/>
          <w:color w:val="auto"/>
          <w:spacing w:val="6"/>
          <w:szCs w:val="24"/>
          <w:highlight w:val="none"/>
        </w:rPr>
      </w:pPr>
      <w:r>
        <w:rPr>
          <w:rFonts w:hint="eastAsia" w:cs="宋体"/>
          <w:i w:val="0"/>
          <w:iCs w:val="0"/>
          <w:color w:val="auto"/>
          <w:spacing w:val="6"/>
          <w:szCs w:val="24"/>
          <w:highlight w:val="none"/>
        </w:rPr>
        <w:t>1.</w:t>
      </w:r>
      <w:r>
        <w:rPr>
          <w:rFonts w:hint="eastAsia" w:cs="宋体"/>
          <w:i w:val="0"/>
          <w:iCs w:val="0"/>
          <w:color w:val="auto"/>
          <w:spacing w:val="6"/>
          <w:szCs w:val="24"/>
          <w:highlight w:val="none"/>
          <w:u w:val="single"/>
        </w:rPr>
        <w:t xml:space="preserve"> （标的名称） </w:t>
      </w:r>
      <w:r>
        <w:rPr>
          <w:rFonts w:hint="eastAsia" w:cs="宋体"/>
          <w:i w:val="0"/>
          <w:iCs w:val="0"/>
          <w:color w:val="auto"/>
          <w:spacing w:val="6"/>
          <w:szCs w:val="24"/>
          <w:highlight w:val="none"/>
        </w:rPr>
        <w:t>，属于</w:t>
      </w:r>
      <w:r>
        <w:rPr>
          <w:rFonts w:hint="eastAsia" w:cs="宋体"/>
          <w:i w:val="0"/>
          <w:iCs w:val="0"/>
          <w:color w:val="auto"/>
          <w:spacing w:val="6"/>
          <w:szCs w:val="24"/>
          <w:highlight w:val="none"/>
          <w:u w:val="single"/>
        </w:rPr>
        <w:t xml:space="preserve"> （采购文件中明确的所属行业）</w:t>
      </w:r>
      <w:r>
        <w:rPr>
          <w:rFonts w:hint="eastAsia" w:cs="宋体"/>
          <w:i w:val="0"/>
          <w:iCs w:val="0"/>
          <w:color w:val="auto"/>
          <w:spacing w:val="6"/>
          <w:szCs w:val="24"/>
          <w:highlight w:val="none"/>
        </w:rPr>
        <w:t>行业 ；承接企业为</w:t>
      </w:r>
      <w:r>
        <w:rPr>
          <w:rFonts w:hint="eastAsia" w:cs="宋体"/>
          <w:i w:val="0"/>
          <w:iCs w:val="0"/>
          <w:color w:val="auto"/>
          <w:spacing w:val="6"/>
          <w:szCs w:val="24"/>
          <w:highlight w:val="none"/>
          <w:u w:val="single"/>
        </w:rPr>
        <w:t xml:space="preserve"> （企业名称） </w:t>
      </w:r>
      <w:r>
        <w:rPr>
          <w:rFonts w:hint="eastAsia" w:cs="宋体"/>
          <w:i w:val="0"/>
          <w:iCs w:val="0"/>
          <w:color w:val="auto"/>
          <w:spacing w:val="6"/>
          <w:szCs w:val="24"/>
          <w:highlight w:val="none"/>
        </w:rPr>
        <w:t>，从业人员</w:t>
      </w:r>
      <w:r>
        <w:rPr>
          <w:rFonts w:hint="eastAsia" w:cs="宋体"/>
          <w:i w:val="0"/>
          <w:iCs w:val="0"/>
          <w:color w:val="auto"/>
          <w:spacing w:val="6"/>
          <w:szCs w:val="24"/>
          <w:highlight w:val="none"/>
          <w:u w:val="single"/>
          <w:lang w:val="en-US" w:eastAsia="zh-CN"/>
        </w:rPr>
        <w:t xml:space="preserve">   </w:t>
      </w:r>
      <w:r>
        <w:rPr>
          <w:rFonts w:hint="eastAsia" w:cs="宋体"/>
          <w:i w:val="0"/>
          <w:iCs w:val="0"/>
          <w:color w:val="auto"/>
          <w:spacing w:val="6"/>
          <w:szCs w:val="24"/>
          <w:highlight w:val="none"/>
        </w:rPr>
        <w:t>人，营业收入为</w:t>
      </w:r>
      <w:r>
        <w:rPr>
          <w:rFonts w:hint="eastAsia" w:cs="宋体"/>
          <w:i w:val="0"/>
          <w:iCs w:val="0"/>
          <w:color w:val="auto"/>
          <w:spacing w:val="6"/>
          <w:szCs w:val="24"/>
          <w:highlight w:val="none"/>
          <w:u w:val="single"/>
          <w:lang w:val="en-US" w:eastAsia="zh-CN"/>
        </w:rPr>
        <w:t xml:space="preserve">     </w:t>
      </w:r>
      <w:r>
        <w:rPr>
          <w:rFonts w:hint="eastAsia" w:cs="宋体"/>
          <w:i w:val="0"/>
          <w:iCs w:val="0"/>
          <w:color w:val="auto"/>
          <w:spacing w:val="6"/>
          <w:szCs w:val="24"/>
          <w:highlight w:val="none"/>
        </w:rPr>
        <w:t>万元，资产总额为</w:t>
      </w:r>
      <w:r>
        <w:rPr>
          <w:rFonts w:hint="eastAsia" w:cs="宋体"/>
          <w:i w:val="0"/>
          <w:iCs w:val="0"/>
          <w:color w:val="auto"/>
          <w:spacing w:val="6"/>
          <w:szCs w:val="24"/>
          <w:highlight w:val="none"/>
          <w:u w:val="single"/>
          <w:lang w:val="en-US" w:eastAsia="zh-CN"/>
        </w:rPr>
        <w:t xml:space="preserve">     </w:t>
      </w:r>
      <w:r>
        <w:rPr>
          <w:rFonts w:hint="eastAsia" w:cs="宋体"/>
          <w:i w:val="0"/>
          <w:iCs w:val="0"/>
          <w:color w:val="auto"/>
          <w:spacing w:val="6"/>
          <w:szCs w:val="24"/>
          <w:highlight w:val="none"/>
        </w:rPr>
        <w:t>万元，属于</w:t>
      </w:r>
      <w:r>
        <w:rPr>
          <w:rFonts w:hint="eastAsia" w:cs="宋体"/>
          <w:i w:val="0"/>
          <w:iCs w:val="0"/>
          <w:color w:val="auto"/>
          <w:spacing w:val="6"/>
          <w:szCs w:val="24"/>
          <w:highlight w:val="none"/>
          <w:u w:val="single"/>
        </w:rPr>
        <w:t xml:space="preserve"> （中型企业、小型企业、微型企业）</w:t>
      </w:r>
      <w:r>
        <w:rPr>
          <w:rFonts w:hint="eastAsia" w:cs="宋体"/>
          <w:i w:val="0"/>
          <w:iCs w:val="0"/>
          <w:color w:val="auto"/>
          <w:spacing w:val="6"/>
          <w:szCs w:val="24"/>
          <w:highlight w:val="none"/>
        </w:rPr>
        <w:t>；</w:t>
      </w:r>
    </w:p>
    <w:p w14:paraId="1D01E102">
      <w:pPr>
        <w:ind w:firstLine="504" w:firstLineChars="200"/>
        <w:rPr>
          <w:rFonts w:cs="宋体"/>
          <w:i w:val="0"/>
          <w:iCs w:val="0"/>
          <w:color w:val="auto"/>
          <w:spacing w:val="6"/>
          <w:szCs w:val="24"/>
          <w:highlight w:val="none"/>
        </w:rPr>
      </w:pPr>
      <w:r>
        <w:rPr>
          <w:rFonts w:hint="eastAsia" w:cs="宋体"/>
          <w:i w:val="0"/>
          <w:iCs w:val="0"/>
          <w:color w:val="auto"/>
          <w:spacing w:val="6"/>
          <w:szCs w:val="24"/>
          <w:highlight w:val="none"/>
        </w:rPr>
        <w:t>2.</w:t>
      </w:r>
      <w:r>
        <w:rPr>
          <w:rFonts w:hint="eastAsia" w:cs="宋体"/>
          <w:i w:val="0"/>
          <w:iCs w:val="0"/>
          <w:color w:val="auto"/>
          <w:spacing w:val="6"/>
          <w:szCs w:val="24"/>
          <w:highlight w:val="none"/>
          <w:u w:val="single"/>
        </w:rPr>
        <w:t xml:space="preserve"> （标的名称） </w:t>
      </w:r>
      <w:r>
        <w:rPr>
          <w:rFonts w:hint="eastAsia" w:cs="宋体"/>
          <w:i w:val="0"/>
          <w:iCs w:val="0"/>
          <w:color w:val="auto"/>
          <w:spacing w:val="6"/>
          <w:szCs w:val="24"/>
          <w:highlight w:val="none"/>
        </w:rPr>
        <w:t>，属于</w:t>
      </w:r>
      <w:r>
        <w:rPr>
          <w:rFonts w:hint="eastAsia" w:cs="宋体"/>
          <w:i w:val="0"/>
          <w:iCs w:val="0"/>
          <w:color w:val="auto"/>
          <w:spacing w:val="6"/>
          <w:szCs w:val="24"/>
          <w:highlight w:val="none"/>
          <w:u w:val="single"/>
        </w:rPr>
        <w:t xml:space="preserve"> （采购文件中明确的所属行业）</w:t>
      </w:r>
      <w:r>
        <w:rPr>
          <w:rFonts w:hint="eastAsia" w:cs="宋体"/>
          <w:i w:val="0"/>
          <w:iCs w:val="0"/>
          <w:color w:val="auto"/>
          <w:spacing w:val="6"/>
          <w:szCs w:val="24"/>
          <w:highlight w:val="none"/>
        </w:rPr>
        <w:t>行业 ；承接企业为</w:t>
      </w:r>
      <w:r>
        <w:rPr>
          <w:rFonts w:hint="eastAsia" w:cs="宋体"/>
          <w:i w:val="0"/>
          <w:iCs w:val="0"/>
          <w:color w:val="auto"/>
          <w:spacing w:val="6"/>
          <w:szCs w:val="24"/>
          <w:highlight w:val="none"/>
          <w:u w:val="single"/>
        </w:rPr>
        <w:t xml:space="preserve"> （企业名称） </w:t>
      </w:r>
      <w:r>
        <w:rPr>
          <w:rFonts w:hint="eastAsia" w:cs="宋体"/>
          <w:i w:val="0"/>
          <w:iCs w:val="0"/>
          <w:color w:val="auto"/>
          <w:spacing w:val="6"/>
          <w:szCs w:val="24"/>
          <w:highlight w:val="none"/>
        </w:rPr>
        <w:t>，从业人员</w:t>
      </w:r>
      <w:r>
        <w:rPr>
          <w:rFonts w:hint="eastAsia" w:cs="宋体"/>
          <w:i w:val="0"/>
          <w:iCs w:val="0"/>
          <w:color w:val="auto"/>
          <w:spacing w:val="6"/>
          <w:szCs w:val="24"/>
          <w:highlight w:val="none"/>
          <w:u w:val="single"/>
          <w:lang w:val="en-US" w:eastAsia="zh-CN"/>
        </w:rPr>
        <w:t xml:space="preserve">   </w:t>
      </w:r>
      <w:r>
        <w:rPr>
          <w:rFonts w:hint="eastAsia" w:cs="宋体"/>
          <w:i w:val="0"/>
          <w:iCs w:val="0"/>
          <w:color w:val="auto"/>
          <w:spacing w:val="6"/>
          <w:szCs w:val="24"/>
          <w:highlight w:val="none"/>
        </w:rPr>
        <w:t>人，营业收入为</w:t>
      </w:r>
      <w:r>
        <w:rPr>
          <w:rFonts w:hint="eastAsia" w:cs="宋体"/>
          <w:i w:val="0"/>
          <w:iCs w:val="0"/>
          <w:color w:val="auto"/>
          <w:spacing w:val="6"/>
          <w:szCs w:val="24"/>
          <w:highlight w:val="none"/>
          <w:u w:val="single"/>
          <w:lang w:val="en-US" w:eastAsia="zh-CN"/>
        </w:rPr>
        <w:t xml:space="preserve">     </w:t>
      </w:r>
      <w:r>
        <w:rPr>
          <w:rFonts w:hint="eastAsia" w:cs="宋体"/>
          <w:i w:val="0"/>
          <w:iCs w:val="0"/>
          <w:color w:val="auto"/>
          <w:spacing w:val="6"/>
          <w:szCs w:val="24"/>
          <w:highlight w:val="none"/>
        </w:rPr>
        <w:t>万元，资产总额为</w:t>
      </w:r>
      <w:r>
        <w:rPr>
          <w:rFonts w:hint="eastAsia" w:cs="宋体"/>
          <w:i w:val="0"/>
          <w:iCs w:val="0"/>
          <w:color w:val="auto"/>
          <w:spacing w:val="6"/>
          <w:szCs w:val="24"/>
          <w:highlight w:val="none"/>
          <w:u w:val="single"/>
          <w:lang w:val="en-US" w:eastAsia="zh-CN"/>
        </w:rPr>
        <w:t xml:space="preserve">     </w:t>
      </w:r>
      <w:r>
        <w:rPr>
          <w:rFonts w:hint="eastAsia" w:cs="宋体"/>
          <w:i w:val="0"/>
          <w:iCs w:val="0"/>
          <w:color w:val="auto"/>
          <w:spacing w:val="6"/>
          <w:szCs w:val="24"/>
          <w:highlight w:val="none"/>
        </w:rPr>
        <w:t>万元，属于</w:t>
      </w:r>
      <w:r>
        <w:rPr>
          <w:rFonts w:hint="eastAsia" w:cs="宋体"/>
          <w:i w:val="0"/>
          <w:iCs w:val="0"/>
          <w:color w:val="auto"/>
          <w:spacing w:val="6"/>
          <w:szCs w:val="24"/>
          <w:highlight w:val="none"/>
          <w:u w:val="single"/>
        </w:rPr>
        <w:t xml:space="preserve"> （中型企业、小型企业、微型企业）</w:t>
      </w:r>
      <w:r>
        <w:rPr>
          <w:rFonts w:hint="eastAsia" w:cs="宋体"/>
          <w:i w:val="0"/>
          <w:iCs w:val="0"/>
          <w:color w:val="auto"/>
          <w:spacing w:val="6"/>
          <w:szCs w:val="24"/>
          <w:highlight w:val="none"/>
        </w:rPr>
        <w:t>；</w:t>
      </w:r>
    </w:p>
    <w:p w14:paraId="7CB1DD8C">
      <w:pPr>
        <w:ind w:firstLine="504" w:firstLineChars="200"/>
        <w:rPr>
          <w:rFonts w:cs="宋体"/>
          <w:i w:val="0"/>
          <w:iCs w:val="0"/>
          <w:color w:val="auto"/>
          <w:spacing w:val="6"/>
          <w:szCs w:val="24"/>
          <w:highlight w:val="none"/>
        </w:rPr>
      </w:pPr>
      <w:r>
        <w:rPr>
          <w:rFonts w:hint="eastAsia" w:cs="宋体"/>
          <w:i w:val="0"/>
          <w:iCs w:val="0"/>
          <w:color w:val="auto"/>
          <w:spacing w:val="6"/>
          <w:szCs w:val="24"/>
          <w:highlight w:val="none"/>
        </w:rPr>
        <w:t>……</w:t>
      </w:r>
    </w:p>
    <w:p w14:paraId="776FE44A">
      <w:pPr>
        <w:ind w:firstLine="504" w:firstLineChars="200"/>
        <w:rPr>
          <w:rFonts w:cs="宋体"/>
          <w:i w:val="0"/>
          <w:iCs w:val="0"/>
          <w:color w:val="auto"/>
          <w:spacing w:val="6"/>
          <w:szCs w:val="24"/>
          <w:highlight w:val="none"/>
        </w:rPr>
      </w:pPr>
      <w:r>
        <w:rPr>
          <w:rFonts w:hint="eastAsia" w:cs="宋体"/>
          <w:i w:val="0"/>
          <w:iCs w:val="0"/>
          <w:color w:val="auto"/>
          <w:spacing w:val="6"/>
          <w:szCs w:val="24"/>
          <w:highlight w:val="none"/>
        </w:rPr>
        <w:t>以上企业，不属于大企业的分支机构，不存在控股股东为大企业的情形，也不存在与大企业的负责人为同一人的情形。</w:t>
      </w:r>
    </w:p>
    <w:p w14:paraId="3A720EA2">
      <w:pPr>
        <w:ind w:firstLine="504" w:firstLineChars="200"/>
        <w:rPr>
          <w:rFonts w:cs="宋体"/>
          <w:i w:val="0"/>
          <w:iCs w:val="0"/>
          <w:color w:val="auto"/>
          <w:spacing w:val="6"/>
          <w:szCs w:val="24"/>
          <w:highlight w:val="none"/>
        </w:rPr>
      </w:pPr>
      <w:r>
        <w:rPr>
          <w:rFonts w:hint="eastAsia" w:cs="宋体"/>
          <w:i w:val="0"/>
          <w:iCs w:val="0"/>
          <w:color w:val="auto"/>
          <w:spacing w:val="6"/>
          <w:szCs w:val="24"/>
          <w:highlight w:val="none"/>
        </w:rPr>
        <w:t>本企业对上述声明内容的真实性负责。如有虚假，将依法承担相应责任。</w:t>
      </w:r>
    </w:p>
    <w:p w14:paraId="5A6D844B">
      <w:pPr>
        <w:ind w:right="1008" w:firstLine="4788" w:firstLineChars="1900"/>
        <w:rPr>
          <w:rFonts w:cs="宋体"/>
          <w:i w:val="0"/>
          <w:iCs w:val="0"/>
          <w:color w:val="auto"/>
          <w:spacing w:val="6"/>
          <w:szCs w:val="24"/>
          <w:highlight w:val="none"/>
        </w:rPr>
      </w:pPr>
    </w:p>
    <w:p w14:paraId="165AEE2D">
      <w:pPr>
        <w:ind w:right="1008" w:firstLine="4284" w:firstLineChars="1700"/>
        <w:rPr>
          <w:rFonts w:cs="宋体"/>
          <w:i w:val="0"/>
          <w:iCs w:val="0"/>
          <w:color w:val="auto"/>
          <w:spacing w:val="6"/>
          <w:szCs w:val="24"/>
          <w:highlight w:val="none"/>
        </w:rPr>
      </w:pPr>
      <w:r>
        <w:rPr>
          <w:rFonts w:hint="eastAsia" w:cs="宋体"/>
          <w:i w:val="0"/>
          <w:iCs w:val="0"/>
          <w:color w:val="auto"/>
          <w:spacing w:val="6"/>
          <w:szCs w:val="24"/>
          <w:highlight w:val="none"/>
          <w:lang w:val="en-US" w:eastAsia="zh-CN"/>
        </w:rPr>
        <w:t>供应商</w:t>
      </w:r>
      <w:r>
        <w:rPr>
          <w:rFonts w:hint="eastAsia" w:cs="宋体"/>
          <w:i w:val="0"/>
          <w:iCs w:val="0"/>
          <w:color w:val="auto"/>
          <w:spacing w:val="6"/>
          <w:szCs w:val="24"/>
          <w:highlight w:val="none"/>
        </w:rPr>
        <w:t>名称</w:t>
      </w:r>
      <w:r>
        <w:rPr>
          <w:rFonts w:hint="eastAsia" w:cs="宋体"/>
          <w:i w:val="0"/>
          <w:iCs w:val="0"/>
          <w:color w:val="auto"/>
          <w:spacing w:val="6"/>
          <w:szCs w:val="24"/>
          <w:highlight w:val="none"/>
          <w:lang w:eastAsia="zh-CN"/>
        </w:rPr>
        <w:t>（</w:t>
      </w:r>
      <w:r>
        <w:rPr>
          <w:rFonts w:hint="eastAsia" w:cs="宋体"/>
          <w:i w:val="0"/>
          <w:iCs w:val="0"/>
          <w:color w:val="auto"/>
          <w:spacing w:val="6"/>
          <w:szCs w:val="24"/>
          <w:highlight w:val="none"/>
          <w:lang w:val="en-US" w:eastAsia="zh-CN"/>
        </w:rPr>
        <w:t>公章</w:t>
      </w:r>
      <w:r>
        <w:rPr>
          <w:rFonts w:hint="eastAsia" w:cs="宋体"/>
          <w:i w:val="0"/>
          <w:iCs w:val="0"/>
          <w:color w:val="auto"/>
          <w:spacing w:val="6"/>
          <w:szCs w:val="24"/>
          <w:highlight w:val="none"/>
          <w:lang w:eastAsia="zh-CN"/>
        </w:rPr>
        <w:t>）</w:t>
      </w:r>
      <w:r>
        <w:rPr>
          <w:rFonts w:hint="eastAsia" w:cs="宋体"/>
          <w:i w:val="0"/>
          <w:iCs w:val="0"/>
          <w:color w:val="auto"/>
          <w:spacing w:val="6"/>
          <w:szCs w:val="24"/>
          <w:highlight w:val="none"/>
        </w:rPr>
        <w:t>：</w:t>
      </w:r>
    </w:p>
    <w:p w14:paraId="5183E380">
      <w:pPr>
        <w:ind w:right="1008" w:firstLine="4284" w:firstLineChars="1700"/>
        <w:rPr>
          <w:rFonts w:hint="default" w:eastAsia="宋体" w:cs="宋体"/>
          <w:i w:val="0"/>
          <w:iCs w:val="0"/>
          <w:color w:val="auto"/>
          <w:spacing w:val="6"/>
          <w:szCs w:val="24"/>
          <w:highlight w:val="none"/>
          <w:lang w:val="en-US" w:eastAsia="zh-CN"/>
        </w:rPr>
      </w:pPr>
      <w:r>
        <w:rPr>
          <w:rFonts w:hint="eastAsia" w:cs="宋体"/>
          <w:i w:val="0"/>
          <w:iCs w:val="0"/>
          <w:color w:val="auto"/>
          <w:spacing w:val="6"/>
          <w:szCs w:val="24"/>
          <w:highlight w:val="none"/>
        </w:rPr>
        <w:t>日期：</w:t>
      </w:r>
      <w:r>
        <w:rPr>
          <w:rFonts w:hint="eastAsia" w:cs="宋体"/>
          <w:i w:val="0"/>
          <w:iCs w:val="0"/>
          <w:color w:val="auto"/>
          <w:spacing w:val="6"/>
          <w:szCs w:val="24"/>
          <w:highlight w:val="none"/>
          <w:lang w:val="en-US" w:eastAsia="zh-CN"/>
        </w:rPr>
        <w:t xml:space="preserve">   年  月  日</w:t>
      </w:r>
    </w:p>
    <w:p w14:paraId="748B4DD4">
      <w:pPr>
        <w:spacing w:line="360" w:lineRule="auto"/>
        <w:rPr>
          <w:rFonts w:hint="default" w:cs="宋体"/>
          <w:b/>
          <w:bCs/>
          <w:i w:val="0"/>
          <w:iCs w:val="0"/>
          <w:color w:val="auto"/>
          <w:spacing w:val="6"/>
          <w:sz w:val="21"/>
          <w:szCs w:val="21"/>
          <w:highlight w:val="none"/>
          <w:lang w:val="en-US" w:eastAsia="zh-CN"/>
        </w:rPr>
      </w:pPr>
      <w:r>
        <w:rPr>
          <w:rFonts w:hint="eastAsia" w:cs="宋体"/>
          <w:b/>
          <w:bCs/>
          <w:i w:val="0"/>
          <w:iCs w:val="0"/>
          <w:color w:val="auto"/>
          <w:spacing w:val="6"/>
          <w:sz w:val="21"/>
          <w:szCs w:val="21"/>
          <w:highlight w:val="none"/>
        </w:rPr>
        <w:t>说明：</w:t>
      </w:r>
    </w:p>
    <w:p w14:paraId="30478923">
      <w:pPr>
        <w:spacing w:line="360" w:lineRule="auto"/>
        <w:ind w:firstLine="444" w:firstLineChars="200"/>
        <w:rPr>
          <w:rFonts w:hint="eastAsia" w:cs="宋体"/>
          <w:i w:val="0"/>
          <w:iCs w:val="0"/>
          <w:color w:val="auto"/>
          <w:spacing w:val="6"/>
          <w:sz w:val="24"/>
          <w:szCs w:val="24"/>
          <w:highlight w:val="none"/>
        </w:rPr>
      </w:pPr>
      <w:r>
        <w:rPr>
          <w:rFonts w:hint="eastAsia" w:cs="宋体"/>
          <w:i w:val="0"/>
          <w:iCs w:val="0"/>
          <w:color w:val="auto"/>
          <w:spacing w:val="6"/>
          <w:sz w:val="21"/>
          <w:szCs w:val="21"/>
          <w:highlight w:val="none"/>
        </w:rPr>
        <w:t>从业人员、营业收入、资产总额填报上一年度数据，无上一年度数据的新成立企业可不填报。</w:t>
      </w:r>
    </w:p>
    <w:p w14:paraId="645259F9">
      <w:pPr>
        <w:rPr>
          <w:rFonts w:cs="宋体"/>
          <w:i w:val="0"/>
          <w:iCs w:val="0"/>
          <w:color w:val="auto"/>
          <w:spacing w:val="6"/>
          <w:sz w:val="21"/>
          <w:szCs w:val="21"/>
          <w:highlight w:val="none"/>
        </w:rPr>
      </w:pPr>
    </w:p>
    <w:p w14:paraId="38D889F8">
      <w:pPr>
        <w:rPr>
          <w:rFonts w:cs="宋体"/>
          <w:i w:val="0"/>
          <w:iCs w:val="0"/>
          <w:color w:val="auto"/>
          <w:spacing w:val="6"/>
          <w:sz w:val="21"/>
          <w:szCs w:val="21"/>
          <w:highlight w:val="none"/>
        </w:rPr>
      </w:pPr>
      <w:r>
        <w:rPr>
          <w:rFonts w:cs="宋体"/>
          <w:i w:val="0"/>
          <w:iCs w:val="0"/>
          <w:color w:val="auto"/>
          <w:spacing w:val="6"/>
          <w:sz w:val="21"/>
          <w:szCs w:val="21"/>
          <w:highlight w:val="none"/>
        </w:rPr>
        <w:br w:type="page"/>
      </w:r>
    </w:p>
    <w:p w14:paraId="1251B8B0">
      <w:pPr>
        <w:spacing w:line="360" w:lineRule="exact"/>
        <w:rPr>
          <w:b/>
          <w:bCs/>
        </w:rPr>
      </w:pPr>
      <w:r>
        <w:rPr>
          <w:rFonts w:hint="eastAsia"/>
          <w:b/>
          <w:bCs/>
        </w:rPr>
        <w:t>附件1</w:t>
      </w:r>
    </w:p>
    <w:p w14:paraId="4704D1F1">
      <w:pPr>
        <w:widowControl/>
        <w:ind w:firstLine="482" w:firstLineChars="200"/>
        <w:rPr>
          <w:rStyle w:val="31"/>
          <w:rFonts w:cs="宋体"/>
          <w:kern w:val="0"/>
          <w:sz w:val="28"/>
          <w:szCs w:val="28"/>
          <w:lang w:bidi="ar"/>
        </w:rPr>
      </w:pPr>
      <w:r>
        <w:rPr>
          <w:rStyle w:val="31"/>
          <w:rFonts w:hint="eastAsia" w:cs="宋体"/>
          <w:kern w:val="0"/>
          <w:szCs w:val="24"/>
          <w:lang w:bidi="ar"/>
        </w:rPr>
        <w:t>（一）关于“中小企业声明函”的填写要求</w:t>
      </w:r>
    </w:p>
    <w:p w14:paraId="1EF6F301">
      <w:pPr>
        <w:widowControl/>
        <w:ind w:firstLine="480" w:firstLineChars="200"/>
        <w:rPr>
          <w:rFonts w:cs="宋体"/>
          <w:kern w:val="0"/>
          <w:szCs w:val="28"/>
          <w:lang w:bidi="ar"/>
        </w:rPr>
      </w:pPr>
      <w:r>
        <w:rPr>
          <w:rFonts w:hint="eastAsia" w:cs="宋体"/>
          <w:kern w:val="0"/>
          <w:szCs w:val="28"/>
          <w:lang w:bidi="ar"/>
        </w:rPr>
        <w:t>“中小企业声明函”具体填写要求如下：</w:t>
      </w:r>
    </w:p>
    <w:p w14:paraId="02D528C9">
      <w:pPr>
        <w:widowControl/>
        <w:ind w:firstLine="480" w:firstLineChars="200"/>
        <w:rPr>
          <w:rFonts w:cs="宋体"/>
          <w:kern w:val="0"/>
          <w:szCs w:val="28"/>
          <w:lang w:bidi="ar"/>
        </w:rPr>
      </w:pPr>
      <w:r>
        <w:rPr>
          <w:rFonts w:hint="eastAsia" w:cs="宋体"/>
          <w:kern w:val="0"/>
          <w:szCs w:val="28"/>
          <w:lang w:bidi="ar"/>
        </w:rPr>
        <w:t>1.“单位名称”应填写采购人名称。</w:t>
      </w:r>
    </w:p>
    <w:p w14:paraId="468A5C12">
      <w:pPr>
        <w:widowControl/>
        <w:ind w:firstLine="480" w:firstLineChars="200"/>
        <w:rPr>
          <w:rFonts w:cs="宋体"/>
          <w:kern w:val="0"/>
          <w:szCs w:val="28"/>
          <w:lang w:bidi="ar"/>
        </w:rPr>
      </w:pPr>
      <w:r>
        <w:rPr>
          <w:rFonts w:hint="eastAsia" w:cs="宋体"/>
          <w:kern w:val="0"/>
          <w:szCs w:val="28"/>
          <w:lang w:bidi="ar"/>
        </w:rPr>
        <w:t>2.“项目名称”应按照采购文件中确定的项目名称填写。对于分包方式面向中小企业采购的项目，应标明中小企业的具体分包内容；对于以联合体方式面向中小企业采购的项目，应标明联合体中中小企业所承担的具体内容。</w:t>
      </w:r>
    </w:p>
    <w:p w14:paraId="44FAE918">
      <w:pPr>
        <w:widowControl/>
        <w:ind w:firstLine="480" w:firstLineChars="200"/>
        <w:rPr>
          <w:rFonts w:cs="宋体"/>
          <w:kern w:val="0"/>
          <w:szCs w:val="28"/>
          <w:lang w:bidi="ar"/>
        </w:rPr>
      </w:pPr>
      <w:r>
        <w:rPr>
          <w:rFonts w:hint="eastAsia" w:cs="宋体"/>
          <w:kern w:val="0"/>
          <w:szCs w:val="28"/>
          <w:lang w:bidi="ar"/>
        </w:rPr>
        <w:t>3.“标的名称”应填写采购文件中细化载明的采购标的名称。对于分包方式面向中小企业采购的项目，“标的名称”应填写采购文件中注明的分包给中小企业的采购标的名称；对于以联合体方式面向中小企业采购的项目，“标的名称”应填写采购文件中注明的联合体中中小企业承担的采购标的名称。</w:t>
      </w:r>
    </w:p>
    <w:p w14:paraId="68CD244B">
      <w:pPr>
        <w:widowControl/>
        <w:ind w:firstLine="480" w:firstLineChars="200"/>
        <w:rPr>
          <w:rFonts w:cs="宋体"/>
          <w:kern w:val="0"/>
          <w:szCs w:val="28"/>
          <w:lang w:bidi="ar"/>
        </w:rPr>
      </w:pPr>
      <w:r>
        <w:rPr>
          <w:rFonts w:hint="eastAsia" w:cs="宋体"/>
          <w:kern w:val="0"/>
          <w:szCs w:val="28"/>
          <w:lang w:bidi="ar"/>
        </w:rPr>
        <w:t>4.“采购文件中明确的所属行业”应填写采购文件中明确的采购标的所属行业，并应确保与采购标的涉及的货物制造商/服务承接商/工程承建商（根据项目属性确定）本身的所属行业保持一致。</w:t>
      </w:r>
    </w:p>
    <w:p w14:paraId="20F644A3">
      <w:pPr>
        <w:widowControl/>
        <w:ind w:firstLine="480" w:firstLineChars="200"/>
        <w:rPr>
          <w:rFonts w:cs="宋体"/>
          <w:kern w:val="0"/>
          <w:szCs w:val="28"/>
          <w:lang w:bidi="ar"/>
        </w:rPr>
      </w:pPr>
      <w:r>
        <w:rPr>
          <w:rFonts w:hint="eastAsia" w:cs="宋体"/>
          <w:kern w:val="0"/>
          <w:szCs w:val="28"/>
          <w:lang w:bidi="ar"/>
        </w:rPr>
        <w:t>对于分包方式面向中小企业采购的项目，“采购文件中明确的所属行业”应按照采购文件中注明的分包给中小企业的采购标的所属行业填写，并应确保与该分包部分采购标的涉及的货物制造商/服务承接商/工程承建商（根据项目属性确定）本身的所属行业保持一致。</w:t>
      </w:r>
    </w:p>
    <w:p w14:paraId="22B3F091">
      <w:pPr>
        <w:widowControl/>
        <w:ind w:firstLine="480" w:firstLineChars="200"/>
        <w:rPr>
          <w:rFonts w:cs="宋体"/>
          <w:kern w:val="0"/>
          <w:szCs w:val="28"/>
          <w:lang w:bidi="ar"/>
        </w:rPr>
      </w:pPr>
      <w:r>
        <w:rPr>
          <w:rFonts w:hint="eastAsia" w:cs="宋体"/>
          <w:kern w:val="0"/>
          <w:szCs w:val="28"/>
          <w:lang w:bidi="ar"/>
        </w:rPr>
        <w:t>对于以联合体方式面向中小企业采购的项目，“采购文件中明确的所属行业”应按照采购文件中注明的联合体中中小企业承担的采购标的所属行业填写，并应确保与该承担部分采购标的涉及的货物制造商/服务承接商/工程承建商（根据项目属性确定）本身的所属行业保持一致。</w:t>
      </w:r>
    </w:p>
    <w:p w14:paraId="6C20ABDC">
      <w:pPr>
        <w:widowControl/>
        <w:ind w:firstLine="480" w:firstLineChars="200"/>
        <w:rPr>
          <w:rFonts w:cs="宋体"/>
          <w:kern w:val="0"/>
          <w:szCs w:val="28"/>
          <w:lang w:bidi="ar"/>
        </w:rPr>
      </w:pPr>
      <w:r>
        <w:rPr>
          <w:rFonts w:hint="eastAsia" w:cs="宋体"/>
          <w:kern w:val="0"/>
          <w:szCs w:val="28"/>
          <w:lang w:bidi="ar"/>
        </w:rPr>
        <w:t>5.“企业名称”应填写投标（响应）的货物制造商/服务承接商/工程承建商（根据项目属性确定）。</w:t>
      </w:r>
    </w:p>
    <w:p w14:paraId="3C6E182C">
      <w:pPr>
        <w:widowControl/>
        <w:ind w:firstLine="480" w:firstLineChars="200"/>
        <w:rPr>
          <w:rFonts w:cs="宋体"/>
          <w:kern w:val="0"/>
          <w:szCs w:val="28"/>
          <w:lang w:bidi="ar"/>
        </w:rPr>
      </w:pPr>
      <w:r>
        <w:rPr>
          <w:rFonts w:hint="eastAsia" w:cs="宋体"/>
          <w:kern w:val="0"/>
          <w:szCs w:val="28"/>
          <w:lang w:bidi="ar"/>
        </w:rPr>
        <w:t>对于分包方式面向中小企业采购的项目，“企业名称”应填写分包部分采购标的对应的货物制造商/服务承接商/工程承建商（根据项目属性确定）。</w:t>
      </w:r>
    </w:p>
    <w:p w14:paraId="66A2368F">
      <w:pPr>
        <w:widowControl/>
        <w:ind w:firstLine="480" w:firstLineChars="200"/>
        <w:rPr>
          <w:rFonts w:cs="宋体"/>
          <w:kern w:val="0"/>
          <w:szCs w:val="28"/>
          <w:lang w:bidi="ar"/>
        </w:rPr>
      </w:pPr>
      <w:r>
        <w:rPr>
          <w:rFonts w:hint="eastAsia" w:cs="宋体"/>
          <w:kern w:val="0"/>
          <w:szCs w:val="28"/>
          <w:lang w:bidi="ar"/>
        </w:rPr>
        <w:t>对于以联合体方式面向中小企业采购的项目，“企业名称”应填写联合体中中小企业承担采购标的对应的货物制造商/服务承接商/工程承建商（根据项目属性确定）。</w:t>
      </w:r>
    </w:p>
    <w:p w14:paraId="7813FF56">
      <w:pPr>
        <w:widowControl/>
        <w:ind w:firstLine="480" w:firstLineChars="200"/>
        <w:rPr>
          <w:rFonts w:cs="宋体"/>
          <w:kern w:val="0"/>
          <w:szCs w:val="28"/>
          <w:lang w:bidi="ar"/>
        </w:rPr>
      </w:pPr>
      <w:r>
        <w:rPr>
          <w:rFonts w:hint="eastAsia" w:cs="宋体"/>
          <w:kern w:val="0"/>
          <w:szCs w:val="28"/>
          <w:lang w:bidi="ar"/>
        </w:rPr>
        <w:t>6.从业人员、资产总额指标以上年度末数据为依据，营业收入指标以上年度累计数据为依据。无上年度数据的新成立企业可不填报。</w:t>
      </w:r>
    </w:p>
    <w:p w14:paraId="32377BF5">
      <w:pPr>
        <w:widowControl/>
        <w:ind w:firstLine="480" w:firstLineChars="200"/>
        <w:rPr>
          <w:rFonts w:cs="宋体"/>
          <w:kern w:val="0"/>
          <w:szCs w:val="28"/>
          <w:lang w:bidi="ar"/>
        </w:rPr>
      </w:pPr>
      <w:r>
        <w:rPr>
          <w:rFonts w:hint="eastAsia" w:cs="宋体"/>
          <w:kern w:val="0"/>
          <w:szCs w:val="28"/>
          <w:lang w:bidi="ar"/>
        </w:rPr>
        <w:t>7.“中型企业/小型企业/微型企业”部分，供应商应依据企业上年度从业人员、营业收入、资产总额等指标，按照《中小企业划型标准规定》（工信部联企业〔2011〕300号）、《金融业企业划型标准规定》（银发〔2015〕309号），判断“中小企业声明函”载明的货物制造商/服务承接商/工程承建商（根据项目属性确定）是否属于采购文件所属行业的中型企业/小型企业/微型企业。</w:t>
      </w:r>
    </w:p>
    <w:p w14:paraId="159B2745">
      <w:pPr>
        <w:widowControl/>
        <w:ind w:firstLine="480" w:firstLineChars="200"/>
        <w:rPr>
          <w:rFonts w:cs="宋体"/>
          <w:kern w:val="0"/>
          <w:szCs w:val="28"/>
          <w:lang w:bidi="ar"/>
        </w:rPr>
      </w:pPr>
      <w:r>
        <w:rPr>
          <w:rFonts w:hint="eastAsia" w:cs="宋体"/>
          <w:kern w:val="0"/>
          <w:szCs w:val="28"/>
          <w:lang w:bidi="ar"/>
        </w:rPr>
        <w:t>8.对于已纳入统计部门统计范围的企业，所属行业、从业人员、营业收入、资产总额、规模类型应与统计部门报表保持一致。对于未纳入统计部门统计范围的企业，应对照《国民经济行业分类》确定所属行业，当企业从事两种以上的经济活动时，按照企业从事的主要活动确定所属行业；从业人员、营业收入、资产总额应按照上年度末实际情况填报，并应确保在争议纠纷处理时，可提供相关数据的来源依据。</w:t>
      </w:r>
    </w:p>
    <w:p w14:paraId="7C3E3D8E">
      <w:pPr>
        <w:widowControl/>
        <w:ind w:firstLine="482" w:firstLineChars="200"/>
        <w:rPr>
          <w:rStyle w:val="31"/>
          <w:rFonts w:cs="宋体"/>
          <w:kern w:val="0"/>
          <w:szCs w:val="24"/>
          <w:lang w:bidi="ar"/>
        </w:rPr>
      </w:pPr>
      <w:r>
        <w:rPr>
          <w:rStyle w:val="31"/>
          <w:rFonts w:hint="eastAsia" w:cs="宋体"/>
          <w:kern w:val="0"/>
          <w:szCs w:val="24"/>
          <w:lang w:bidi="ar"/>
        </w:rPr>
        <w:t>（二）关于“中小企业声明函”的提交要求</w:t>
      </w:r>
    </w:p>
    <w:p w14:paraId="7ACC7954">
      <w:pPr>
        <w:widowControl/>
        <w:ind w:firstLine="480" w:firstLineChars="200"/>
        <w:rPr>
          <w:rFonts w:cs="宋体"/>
          <w:kern w:val="0"/>
          <w:szCs w:val="28"/>
          <w:lang w:bidi="ar"/>
        </w:rPr>
      </w:pPr>
      <w:r>
        <w:rPr>
          <w:rFonts w:hint="eastAsia" w:cs="宋体"/>
          <w:kern w:val="0"/>
          <w:szCs w:val="28"/>
          <w:lang w:bidi="ar"/>
        </w:rPr>
        <w:t>1.投标（响应）供应商对“中小企业声明函”的真实性负责。投标（响应）供应商应当核实投标（响应）的货物制造商/服务承接商/工程承建商（根据项目属性确定）的相关信息，如对相关信息了解不充分，或者不能确定相关信息真实、准确的，不建议出具“中小企业声明函”。</w:t>
      </w:r>
    </w:p>
    <w:p w14:paraId="11577864">
      <w:pPr>
        <w:widowControl/>
        <w:ind w:firstLine="480" w:firstLineChars="200"/>
        <w:rPr>
          <w:rFonts w:cs="宋体"/>
          <w:kern w:val="0"/>
          <w:szCs w:val="28"/>
          <w:lang w:bidi="ar"/>
        </w:rPr>
      </w:pPr>
      <w:r>
        <w:rPr>
          <w:rFonts w:hint="eastAsia" w:cs="宋体"/>
          <w:kern w:val="0"/>
          <w:szCs w:val="28"/>
          <w:lang w:bidi="ar"/>
        </w:rPr>
        <w:t>2.鼓励供应商在投标（响应）时一并提供对货物制造商、服务承接商、工程承建商相关信息的核实核验情况以及其他佐证材料。</w:t>
      </w:r>
    </w:p>
    <w:p w14:paraId="63B244F4">
      <w:pPr>
        <w:ind w:firstLine="480" w:firstLineChars="200"/>
        <w:rPr>
          <w:rFonts w:cs="宋体"/>
          <w:spacing w:val="6"/>
          <w:sz w:val="21"/>
          <w:szCs w:val="21"/>
        </w:rPr>
      </w:pPr>
      <w:r>
        <w:rPr>
          <w:rFonts w:hint="eastAsia" w:cs="宋体"/>
          <w:kern w:val="0"/>
          <w:szCs w:val="28"/>
          <w:lang w:bidi="ar"/>
        </w:rPr>
        <w:t>3.如供应商提供的“中小企业声明函”存在按采购文件所属行业</w:t>
      </w:r>
      <w:r>
        <w:rPr>
          <w:rFonts w:hint="eastAsia" w:cs="宋体"/>
          <w:kern w:val="0"/>
          <w:szCs w:val="28"/>
          <w:lang w:eastAsia="zh-CN" w:bidi="ar"/>
        </w:rPr>
        <w:t>划定</w:t>
      </w:r>
      <w:r>
        <w:rPr>
          <w:rFonts w:hint="eastAsia" w:cs="宋体"/>
          <w:kern w:val="0"/>
          <w:szCs w:val="28"/>
          <w:lang w:bidi="ar"/>
        </w:rPr>
        <w:t>不实的，属于提供虚假材料谋取中标、成交，依照《中华人民共和国政府采购法》第七十七条的规定，将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14:paraId="490C406C">
      <w:pPr>
        <w:rPr>
          <w:rFonts w:cs="宋体"/>
          <w:spacing w:val="6"/>
          <w:sz w:val="21"/>
          <w:szCs w:val="21"/>
        </w:rPr>
      </w:pPr>
    </w:p>
    <w:p w14:paraId="76104BC5">
      <w:pPr>
        <w:rPr>
          <w:rFonts w:cs="宋体"/>
          <w:spacing w:val="6"/>
          <w:sz w:val="21"/>
          <w:szCs w:val="21"/>
        </w:rPr>
      </w:pPr>
    </w:p>
    <w:p w14:paraId="6A37AAEB">
      <w:pPr>
        <w:spacing w:line="360" w:lineRule="exact"/>
        <w:rPr>
          <w:b/>
          <w:bCs/>
        </w:rPr>
      </w:pPr>
    </w:p>
    <w:p w14:paraId="74A4D801">
      <w:pPr>
        <w:spacing w:line="360" w:lineRule="exact"/>
        <w:rPr>
          <w:b/>
          <w:bCs/>
        </w:rPr>
      </w:pPr>
    </w:p>
    <w:p w14:paraId="72FF8802">
      <w:pPr>
        <w:spacing w:line="360" w:lineRule="exact"/>
        <w:rPr>
          <w:b/>
          <w:bCs/>
        </w:rPr>
      </w:pPr>
      <w:r>
        <w:rPr>
          <w:rFonts w:hint="eastAsia"/>
          <w:b/>
          <w:bCs/>
        </w:rPr>
        <w:t>附件2：</w:t>
      </w:r>
    </w:p>
    <w:p w14:paraId="5011B96D">
      <w:pPr>
        <w:pStyle w:val="15"/>
        <w:spacing w:line="240" w:lineRule="auto"/>
        <w:jc w:val="center"/>
        <w:rPr>
          <w:rFonts w:hAnsi="宋体" w:cs="宋体"/>
          <w:b/>
          <w:sz w:val="32"/>
          <w:szCs w:val="32"/>
        </w:rPr>
      </w:pPr>
      <w:r>
        <w:rPr>
          <w:rFonts w:hint="eastAsia" w:hAnsi="宋体" w:cs="宋体"/>
          <w:b/>
          <w:sz w:val="32"/>
          <w:szCs w:val="32"/>
        </w:rPr>
        <w:t>关于印发中小企业划型标准规定的通知</w:t>
      </w:r>
    </w:p>
    <w:p w14:paraId="53035873">
      <w:pPr>
        <w:spacing w:line="360" w:lineRule="exact"/>
        <w:jc w:val="center"/>
        <w:rPr>
          <w:rStyle w:val="31"/>
          <w:rFonts w:cs="宋体"/>
          <w:b w:val="0"/>
          <w:szCs w:val="24"/>
        </w:rPr>
      </w:pPr>
      <w:r>
        <w:rPr>
          <w:rStyle w:val="31"/>
          <w:rFonts w:hint="eastAsia" w:cs="宋体"/>
          <w:b w:val="0"/>
          <w:szCs w:val="24"/>
        </w:rPr>
        <w:t>工信部联企业〔2011〕300号</w:t>
      </w:r>
    </w:p>
    <w:p w14:paraId="4265030D">
      <w:pPr>
        <w:spacing w:line="360" w:lineRule="exact"/>
        <w:jc w:val="center"/>
        <w:rPr>
          <w:rStyle w:val="31"/>
          <w:rFonts w:cs="宋体"/>
          <w:b w:val="0"/>
          <w:szCs w:val="24"/>
        </w:rPr>
      </w:pPr>
    </w:p>
    <w:p w14:paraId="3832EA4E">
      <w:pPr>
        <w:spacing w:line="360" w:lineRule="exact"/>
        <w:rPr>
          <w:rStyle w:val="31"/>
          <w:rFonts w:cs="宋体"/>
          <w:b w:val="0"/>
          <w:szCs w:val="24"/>
        </w:rPr>
      </w:pPr>
      <w:r>
        <w:rPr>
          <w:rStyle w:val="31"/>
          <w:rFonts w:hint="eastAsia" w:cs="宋体"/>
          <w:b w:val="0"/>
          <w:szCs w:val="24"/>
        </w:rPr>
        <w:t>各省、自治区、直辖市人民政府，国务院各部委、各直属机构及有关单位：</w:t>
      </w:r>
    </w:p>
    <w:p w14:paraId="14539159">
      <w:pPr>
        <w:spacing w:line="360" w:lineRule="exact"/>
        <w:rPr>
          <w:rStyle w:val="31"/>
          <w:rFonts w:cs="宋体"/>
          <w:b w:val="0"/>
          <w:bCs w:val="0"/>
          <w:szCs w:val="24"/>
        </w:rPr>
      </w:pPr>
      <w:r>
        <w:rPr>
          <w:rStyle w:val="31"/>
          <w:rFonts w:hint="eastAsia" w:cs="宋体"/>
          <w:b w:val="0"/>
          <w:bCs w:val="0"/>
          <w:szCs w:val="24"/>
        </w:rPr>
        <w:t>　　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14:paraId="64FBC318">
      <w:pPr>
        <w:spacing w:line="360" w:lineRule="exact"/>
        <w:jc w:val="right"/>
        <w:rPr>
          <w:rStyle w:val="31"/>
          <w:rFonts w:cs="宋体"/>
          <w:b w:val="0"/>
          <w:bCs w:val="0"/>
          <w:szCs w:val="24"/>
        </w:rPr>
      </w:pPr>
      <w:r>
        <w:rPr>
          <w:rStyle w:val="31"/>
          <w:rFonts w:hint="eastAsia" w:cs="宋体"/>
          <w:b w:val="0"/>
          <w:bCs w:val="0"/>
          <w:szCs w:val="24"/>
        </w:rPr>
        <w:t>工业和信息化部　国家统计局</w:t>
      </w:r>
    </w:p>
    <w:p w14:paraId="29785FAA">
      <w:pPr>
        <w:spacing w:line="360" w:lineRule="exact"/>
        <w:jc w:val="right"/>
        <w:rPr>
          <w:rStyle w:val="31"/>
          <w:rFonts w:cs="宋体"/>
          <w:b w:val="0"/>
          <w:bCs w:val="0"/>
          <w:szCs w:val="24"/>
        </w:rPr>
      </w:pPr>
      <w:r>
        <w:rPr>
          <w:rStyle w:val="31"/>
          <w:rFonts w:hint="eastAsia" w:cs="宋体"/>
          <w:b w:val="0"/>
          <w:bCs w:val="0"/>
          <w:szCs w:val="24"/>
        </w:rPr>
        <w:t>国家发展和改革委员会　财政部</w:t>
      </w:r>
    </w:p>
    <w:p w14:paraId="09FABE79">
      <w:pPr>
        <w:spacing w:line="360" w:lineRule="exact"/>
        <w:jc w:val="right"/>
        <w:rPr>
          <w:rStyle w:val="31"/>
          <w:rFonts w:cs="宋体"/>
          <w:b w:val="0"/>
          <w:bCs w:val="0"/>
          <w:szCs w:val="24"/>
        </w:rPr>
      </w:pPr>
      <w:r>
        <w:rPr>
          <w:rStyle w:val="31"/>
          <w:rFonts w:hint="eastAsia" w:cs="宋体"/>
          <w:b w:val="0"/>
          <w:bCs w:val="0"/>
          <w:szCs w:val="24"/>
          <w:lang w:eastAsia="zh-CN"/>
        </w:rPr>
        <w:t>二〇一一</w:t>
      </w:r>
      <w:r>
        <w:rPr>
          <w:rStyle w:val="31"/>
          <w:rFonts w:hint="eastAsia" w:cs="宋体"/>
          <w:b w:val="0"/>
          <w:bCs w:val="0"/>
          <w:szCs w:val="24"/>
        </w:rPr>
        <w:t>年六月十八日</w:t>
      </w:r>
    </w:p>
    <w:p w14:paraId="7369E6E5">
      <w:pPr>
        <w:spacing w:line="360" w:lineRule="exact"/>
        <w:rPr>
          <w:rStyle w:val="31"/>
          <w:rFonts w:cs="宋体"/>
          <w:b w:val="0"/>
          <w:bCs w:val="0"/>
          <w:szCs w:val="24"/>
        </w:rPr>
      </w:pPr>
    </w:p>
    <w:p w14:paraId="40CBCF36">
      <w:pPr>
        <w:spacing w:line="400" w:lineRule="exact"/>
        <w:jc w:val="center"/>
        <w:rPr>
          <w:rStyle w:val="31"/>
          <w:rFonts w:cs="宋体"/>
          <w:bCs w:val="0"/>
          <w:sz w:val="28"/>
          <w:szCs w:val="28"/>
        </w:rPr>
      </w:pPr>
      <w:r>
        <w:rPr>
          <w:rStyle w:val="31"/>
          <w:rFonts w:hint="eastAsia" w:cs="宋体"/>
          <w:bCs w:val="0"/>
          <w:sz w:val="28"/>
          <w:szCs w:val="28"/>
        </w:rPr>
        <w:t>中小企业划型标准规定</w:t>
      </w:r>
    </w:p>
    <w:p w14:paraId="65D9135F">
      <w:pPr>
        <w:spacing w:line="400" w:lineRule="exact"/>
        <w:rPr>
          <w:rStyle w:val="31"/>
          <w:rFonts w:cs="宋体"/>
          <w:b w:val="0"/>
          <w:bCs w:val="0"/>
          <w:szCs w:val="24"/>
        </w:rPr>
      </w:pPr>
      <w:r>
        <w:rPr>
          <w:rStyle w:val="31"/>
          <w:rFonts w:hint="eastAsia" w:cs="宋体"/>
          <w:b w:val="0"/>
          <w:bCs w:val="0"/>
          <w:szCs w:val="24"/>
        </w:rPr>
        <w:t>　　一、根据《中华人民共和国中小企业促进法》和《国务院关于进一步促进中小企业发展的若干意见》(国发〔2009〕36号)，制定本规定。</w:t>
      </w:r>
    </w:p>
    <w:p w14:paraId="53C90BA9">
      <w:pPr>
        <w:spacing w:line="400" w:lineRule="exact"/>
        <w:rPr>
          <w:rStyle w:val="31"/>
          <w:rFonts w:cs="宋体"/>
          <w:b w:val="0"/>
          <w:bCs w:val="0"/>
          <w:szCs w:val="24"/>
        </w:rPr>
      </w:pPr>
      <w:r>
        <w:rPr>
          <w:rStyle w:val="31"/>
          <w:rFonts w:hint="eastAsia" w:cs="宋体"/>
          <w:b w:val="0"/>
          <w:bCs w:val="0"/>
          <w:szCs w:val="24"/>
        </w:rPr>
        <w:t>　　二、中小企业划分为中型、小型、微型三种类型，具体标准根据企业从业人员、营业收入、资产总额等指标，结合行业特点制定。</w:t>
      </w:r>
    </w:p>
    <w:p w14:paraId="62D13EAA">
      <w:pPr>
        <w:spacing w:line="400" w:lineRule="exact"/>
        <w:rPr>
          <w:rStyle w:val="31"/>
          <w:rFonts w:cs="宋体"/>
          <w:b w:val="0"/>
          <w:bCs w:val="0"/>
          <w:szCs w:val="24"/>
        </w:rPr>
      </w:pPr>
      <w:r>
        <w:rPr>
          <w:rStyle w:val="31"/>
          <w:rFonts w:hint="eastAsia" w:cs="宋体"/>
          <w:b w:val="0"/>
          <w:bCs w:val="0"/>
          <w:szCs w:val="24"/>
        </w:rPr>
        <w:t>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105DEBA8">
      <w:pPr>
        <w:spacing w:line="400" w:lineRule="exact"/>
        <w:rPr>
          <w:rStyle w:val="31"/>
          <w:rFonts w:cs="宋体"/>
          <w:b w:val="0"/>
          <w:bCs w:val="0"/>
          <w:szCs w:val="24"/>
        </w:rPr>
      </w:pPr>
      <w:r>
        <w:rPr>
          <w:rStyle w:val="31"/>
          <w:rFonts w:hint="eastAsia" w:cs="宋体"/>
          <w:b w:val="0"/>
          <w:bCs w:val="0"/>
          <w:szCs w:val="24"/>
        </w:rPr>
        <w:t>　　四、各行业划型标准为：</w:t>
      </w:r>
    </w:p>
    <w:p w14:paraId="7E265515">
      <w:pPr>
        <w:spacing w:line="400" w:lineRule="exact"/>
        <w:rPr>
          <w:rStyle w:val="31"/>
          <w:rFonts w:cs="宋体"/>
          <w:b w:val="0"/>
          <w:bCs w:val="0"/>
          <w:szCs w:val="24"/>
        </w:rPr>
      </w:pPr>
      <w:r>
        <w:rPr>
          <w:rStyle w:val="31"/>
          <w:rFonts w:hint="eastAsia" w:cs="宋体"/>
          <w:b w:val="0"/>
          <w:bCs w:val="0"/>
          <w:szCs w:val="24"/>
        </w:rPr>
        <w:t>　　（一）农、林、牧、渔业。营业收入20000万元以下的为中小微型企业。其中，营业收入500万元及以上的为中型企业，营业收入50万元及以上的为小型企业，营业收入50万元以下的为微型企业。</w:t>
      </w:r>
    </w:p>
    <w:p w14:paraId="1F9B0AA8">
      <w:pPr>
        <w:spacing w:line="400" w:lineRule="exact"/>
        <w:rPr>
          <w:rStyle w:val="31"/>
          <w:rFonts w:cs="宋体"/>
          <w:b w:val="0"/>
          <w:bCs w:val="0"/>
          <w:szCs w:val="24"/>
        </w:rPr>
      </w:pPr>
      <w:r>
        <w:rPr>
          <w:rStyle w:val="31"/>
          <w:rFonts w:hint="eastAsia" w:cs="宋体"/>
          <w:b w:val="0"/>
          <w:bCs w:val="0"/>
          <w:szCs w:val="24"/>
        </w:rPr>
        <w:t>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19F4849C">
      <w:pPr>
        <w:spacing w:line="400" w:lineRule="exact"/>
        <w:rPr>
          <w:rStyle w:val="31"/>
          <w:rFonts w:cs="宋体"/>
          <w:b w:val="0"/>
          <w:bCs w:val="0"/>
          <w:szCs w:val="24"/>
        </w:rPr>
      </w:pPr>
      <w:r>
        <w:rPr>
          <w:rStyle w:val="31"/>
          <w:rFonts w:hint="eastAsia" w:cs="宋体"/>
          <w:b w:val="0"/>
          <w:bCs w:val="0"/>
          <w:szCs w:val="24"/>
        </w:rPr>
        <w:t>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54900347">
      <w:pPr>
        <w:spacing w:line="400" w:lineRule="exact"/>
        <w:rPr>
          <w:rStyle w:val="31"/>
          <w:rFonts w:cs="宋体"/>
          <w:b w:val="0"/>
          <w:bCs w:val="0"/>
          <w:szCs w:val="24"/>
        </w:rPr>
      </w:pPr>
      <w:r>
        <w:rPr>
          <w:rStyle w:val="31"/>
          <w:rFonts w:hint="eastAsia" w:cs="宋体"/>
          <w:b w:val="0"/>
          <w:bCs w:val="0"/>
          <w:szCs w:val="24"/>
        </w:rPr>
        <w:t>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14:paraId="33DA93E2">
      <w:pPr>
        <w:spacing w:line="400" w:lineRule="exact"/>
        <w:rPr>
          <w:rStyle w:val="31"/>
          <w:rFonts w:cs="宋体"/>
          <w:b w:val="0"/>
          <w:bCs w:val="0"/>
          <w:szCs w:val="24"/>
        </w:rPr>
      </w:pPr>
      <w:r>
        <w:rPr>
          <w:rStyle w:val="31"/>
          <w:rFonts w:hint="eastAsia" w:cs="宋体"/>
          <w:b w:val="0"/>
          <w:bCs w:val="0"/>
          <w:szCs w:val="24"/>
        </w:rPr>
        <w:t>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14:paraId="63681DD1">
      <w:pPr>
        <w:spacing w:line="400" w:lineRule="exact"/>
        <w:rPr>
          <w:rStyle w:val="31"/>
          <w:rFonts w:cs="宋体"/>
          <w:b w:val="0"/>
          <w:bCs w:val="0"/>
          <w:szCs w:val="24"/>
        </w:rPr>
      </w:pPr>
      <w:r>
        <w:rPr>
          <w:rStyle w:val="31"/>
          <w:rFonts w:hint="eastAsia" w:cs="宋体"/>
          <w:b w:val="0"/>
          <w:bCs w:val="0"/>
          <w:szCs w:val="24"/>
        </w:rPr>
        <w:t>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14:paraId="2C4CB72A">
      <w:pPr>
        <w:spacing w:line="400" w:lineRule="exact"/>
        <w:rPr>
          <w:rStyle w:val="31"/>
          <w:rFonts w:cs="宋体"/>
          <w:b w:val="0"/>
          <w:bCs w:val="0"/>
          <w:szCs w:val="24"/>
        </w:rPr>
      </w:pPr>
      <w:r>
        <w:rPr>
          <w:rStyle w:val="31"/>
          <w:rFonts w:hint="eastAsia" w:cs="宋体"/>
          <w:b w:val="0"/>
          <w:bCs w:val="0"/>
          <w:szCs w:val="24"/>
        </w:rPr>
        <w:t>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14:paraId="161B90BD">
      <w:pPr>
        <w:spacing w:line="400" w:lineRule="exact"/>
        <w:rPr>
          <w:rStyle w:val="31"/>
          <w:rFonts w:cs="宋体"/>
          <w:b w:val="0"/>
          <w:bCs w:val="0"/>
          <w:szCs w:val="24"/>
        </w:rPr>
      </w:pPr>
      <w:r>
        <w:rPr>
          <w:rStyle w:val="31"/>
          <w:rFonts w:hint="eastAsia" w:cs="宋体"/>
          <w:b w:val="0"/>
          <w:bCs w:val="0"/>
          <w:szCs w:val="24"/>
        </w:rPr>
        <w:t>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14:paraId="3A8C6B44">
      <w:pPr>
        <w:spacing w:line="400" w:lineRule="exact"/>
        <w:rPr>
          <w:rStyle w:val="31"/>
          <w:rFonts w:cs="宋体"/>
          <w:b w:val="0"/>
          <w:bCs w:val="0"/>
          <w:szCs w:val="24"/>
        </w:rPr>
      </w:pPr>
      <w:r>
        <w:rPr>
          <w:rStyle w:val="31"/>
          <w:rFonts w:hint="eastAsia" w:cs="宋体"/>
          <w:b w:val="0"/>
          <w:bCs w:val="0"/>
          <w:szCs w:val="24"/>
        </w:rPr>
        <w:t>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37FBE9EB">
      <w:pPr>
        <w:spacing w:line="400" w:lineRule="exact"/>
        <w:rPr>
          <w:rStyle w:val="31"/>
          <w:rFonts w:cs="宋体"/>
          <w:b w:val="0"/>
          <w:bCs w:val="0"/>
          <w:szCs w:val="24"/>
        </w:rPr>
      </w:pPr>
      <w:r>
        <w:rPr>
          <w:rStyle w:val="31"/>
          <w:rFonts w:hint="eastAsia" w:cs="宋体"/>
          <w:b w:val="0"/>
          <w:bCs w:val="0"/>
          <w:szCs w:val="24"/>
        </w:rPr>
        <w:t>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5649AA85">
      <w:pPr>
        <w:spacing w:line="400" w:lineRule="exact"/>
        <w:rPr>
          <w:rStyle w:val="31"/>
          <w:rFonts w:cs="宋体"/>
          <w:b w:val="0"/>
          <w:bCs w:val="0"/>
          <w:szCs w:val="24"/>
        </w:rPr>
      </w:pPr>
      <w:r>
        <w:rPr>
          <w:rStyle w:val="31"/>
          <w:rFonts w:hint="eastAsia" w:cs="宋体"/>
          <w:b w:val="0"/>
          <w:bCs w:val="0"/>
          <w:szCs w:val="24"/>
        </w:rPr>
        <w:t>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14:paraId="631F9B76">
      <w:pPr>
        <w:spacing w:line="400" w:lineRule="exact"/>
        <w:rPr>
          <w:rStyle w:val="31"/>
          <w:rFonts w:cs="宋体"/>
          <w:b w:val="0"/>
          <w:bCs w:val="0"/>
          <w:szCs w:val="24"/>
        </w:rPr>
      </w:pPr>
      <w:r>
        <w:rPr>
          <w:rStyle w:val="31"/>
          <w:rFonts w:hint="eastAsia" w:cs="宋体"/>
          <w:b w:val="0"/>
          <w:bCs w:val="0"/>
          <w:szCs w:val="24"/>
        </w:rPr>
        <w:t>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14:paraId="4E9BF454">
      <w:pPr>
        <w:spacing w:line="400" w:lineRule="exact"/>
        <w:rPr>
          <w:rStyle w:val="31"/>
          <w:rFonts w:cs="宋体"/>
          <w:b w:val="0"/>
          <w:bCs w:val="0"/>
          <w:szCs w:val="24"/>
        </w:rPr>
      </w:pPr>
      <w:r>
        <w:rPr>
          <w:rStyle w:val="31"/>
          <w:rFonts w:hint="eastAsia" w:cs="宋体"/>
          <w:b w:val="0"/>
          <w:bCs w:val="0"/>
          <w:szCs w:val="24"/>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14:paraId="4FF91B06">
      <w:pPr>
        <w:spacing w:line="400" w:lineRule="exact"/>
        <w:rPr>
          <w:rStyle w:val="31"/>
          <w:rFonts w:cs="宋体"/>
          <w:b w:val="0"/>
          <w:bCs w:val="0"/>
          <w:szCs w:val="24"/>
        </w:rPr>
      </w:pPr>
      <w:r>
        <w:rPr>
          <w:rStyle w:val="31"/>
          <w:rFonts w:hint="eastAsia" w:cs="宋体"/>
          <w:b w:val="0"/>
          <w:bCs w:val="0"/>
          <w:szCs w:val="24"/>
        </w:rPr>
        <w:t>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14:paraId="228E8D39">
      <w:pPr>
        <w:spacing w:line="400" w:lineRule="exact"/>
        <w:rPr>
          <w:rStyle w:val="31"/>
          <w:rFonts w:cs="宋体"/>
          <w:b w:val="0"/>
          <w:bCs w:val="0"/>
          <w:szCs w:val="24"/>
        </w:rPr>
      </w:pPr>
      <w:r>
        <w:rPr>
          <w:rStyle w:val="31"/>
          <w:rFonts w:hint="eastAsia" w:cs="宋体"/>
          <w:b w:val="0"/>
          <w:bCs w:val="0"/>
          <w:szCs w:val="24"/>
        </w:rPr>
        <w:t>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14:paraId="51CC8797">
      <w:pPr>
        <w:spacing w:line="400" w:lineRule="exact"/>
        <w:ind w:firstLine="483"/>
        <w:rPr>
          <w:rStyle w:val="31"/>
          <w:rFonts w:cs="宋体"/>
          <w:b w:val="0"/>
          <w:bCs w:val="0"/>
          <w:szCs w:val="24"/>
        </w:rPr>
      </w:pPr>
      <w:r>
        <w:rPr>
          <w:rStyle w:val="31"/>
          <w:rFonts w:hint="eastAsia" w:cs="宋体"/>
          <w:b w:val="0"/>
          <w:bCs w:val="0"/>
          <w:szCs w:val="24"/>
        </w:rPr>
        <w:t>（十六）其他未列明行业。从业人员300人以下的为中小微型企业。其中，从业人员100人及以上的为中型企业；从业人员10人及以上的为小型企业；从业人员10人以下的为微型企业。　　</w:t>
      </w:r>
    </w:p>
    <w:p w14:paraId="2E7A9B6D">
      <w:pPr>
        <w:spacing w:line="400" w:lineRule="exact"/>
        <w:ind w:firstLine="483"/>
        <w:rPr>
          <w:rStyle w:val="31"/>
          <w:rFonts w:cs="宋体"/>
          <w:b w:val="0"/>
          <w:bCs w:val="0"/>
          <w:szCs w:val="24"/>
        </w:rPr>
      </w:pPr>
      <w:r>
        <w:rPr>
          <w:rStyle w:val="31"/>
          <w:rFonts w:hint="eastAsia" w:cs="宋体"/>
          <w:b w:val="0"/>
          <w:bCs w:val="0"/>
          <w:szCs w:val="24"/>
        </w:rPr>
        <w:t>五、企业类型的划分以统计部门的统计数据为依据。</w:t>
      </w:r>
    </w:p>
    <w:p w14:paraId="30A969D5">
      <w:pPr>
        <w:spacing w:line="400" w:lineRule="exact"/>
        <w:rPr>
          <w:rStyle w:val="31"/>
          <w:rFonts w:cs="宋体"/>
          <w:b w:val="0"/>
          <w:bCs w:val="0"/>
          <w:szCs w:val="24"/>
        </w:rPr>
      </w:pPr>
      <w:r>
        <w:rPr>
          <w:rStyle w:val="31"/>
          <w:rFonts w:hint="eastAsia" w:cs="宋体"/>
          <w:b w:val="0"/>
          <w:bCs w:val="0"/>
          <w:szCs w:val="24"/>
        </w:rPr>
        <w:t>　　六、本规定适用于在中华人民共和国境内依法设立的各类所有制和各种组织形式的企业。个体工商户和本规定以外的行业，参照本规定进行划型。</w:t>
      </w:r>
    </w:p>
    <w:p w14:paraId="6E4DE3EC">
      <w:pPr>
        <w:spacing w:line="400" w:lineRule="exact"/>
        <w:rPr>
          <w:rStyle w:val="31"/>
          <w:rFonts w:cs="宋体"/>
          <w:b w:val="0"/>
          <w:bCs w:val="0"/>
          <w:szCs w:val="24"/>
        </w:rPr>
      </w:pPr>
      <w:r>
        <w:rPr>
          <w:rStyle w:val="31"/>
          <w:rFonts w:hint="eastAsia" w:cs="宋体"/>
          <w:b w:val="0"/>
          <w:bCs w:val="0"/>
          <w:szCs w:val="24"/>
        </w:rPr>
        <w:t>　　七、本规定的中型企业标准上限即为大型企业标准的下限，国家统计部门据此制定大中小微型企业的统计分类。国务院有关部门据此进行相关数据分析，不得制定与本规定不一致的企业划型标准。</w:t>
      </w:r>
    </w:p>
    <w:p w14:paraId="3D2DC2E1">
      <w:pPr>
        <w:spacing w:line="400" w:lineRule="exact"/>
        <w:rPr>
          <w:rStyle w:val="31"/>
          <w:rFonts w:cs="宋体"/>
          <w:b w:val="0"/>
          <w:bCs w:val="0"/>
          <w:szCs w:val="24"/>
        </w:rPr>
      </w:pPr>
      <w:r>
        <w:rPr>
          <w:rStyle w:val="31"/>
          <w:rFonts w:hint="eastAsia" w:cs="宋体"/>
          <w:b w:val="0"/>
          <w:bCs w:val="0"/>
          <w:szCs w:val="24"/>
        </w:rPr>
        <w:t>　　八、本规定由工业和信息化部、国家统计局会同有关部门根据《国民经济行业分类》修订情况和企业发展变化情况适时修订。</w:t>
      </w:r>
    </w:p>
    <w:p w14:paraId="1F9A0C2E">
      <w:pPr>
        <w:spacing w:line="400" w:lineRule="exact"/>
        <w:rPr>
          <w:rStyle w:val="31"/>
          <w:rFonts w:cs="宋体"/>
          <w:b w:val="0"/>
          <w:bCs w:val="0"/>
          <w:szCs w:val="24"/>
        </w:rPr>
      </w:pPr>
      <w:r>
        <w:rPr>
          <w:rStyle w:val="31"/>
          <w:rFonts w:hint="eastAsia" w:cs="宋体"/>
          <w:b w:val="0"/>
          <w:bCs w:val="0"/>
          <w:szCs w:val="24"/>
        </w:rPr>
        <w:t>　　九、本规定由工业和信息化部、国家统计局会同有关部门负责解释。</w:t>
      </w:r>
    </w:p>
    <w:p w14:paraId="73D1FD66">
      <w:pPr>
        <w:spacing w:line="400" w:lineRule="exact"/>
        <w:rPr>
          <w:rFonts w:cs="宋体"/>
          <w:spacing w:val="6"/>
          <w:sz w:val="21"/>
          <w:szCs w:val="21"/>
        </w:rPr>
      </w:pPr>
      <w:r>
        <w:rPr>
          <w:rStyle w:val="31"/>
          <w:rFonts w:hint="eastAsia" w:cs="宋体"/>
          <w:b w:val="0"/>
          <w:bCs w:val="0"/>
          <w:szCs w:val="24"/>
        </w:rPr>
        <w:t>十、本规定自发布之日起执行，原国家经贸委、原国家计委、财政部和国家统计局2003年颁布的《中小企业标准暂行规定》同时废止。</w:t>
      </w:r>
    </w:p>
    <w:p w14:paraId="59F33733">
      <w:pPr>
        <w:rPr>
          <w:rFonts w:cs="宋体"/>
          <w:spacing w:val="6"/>
          <w:sz w:val="21"/>
          <w:szCs w:val="21"/>
        </w:rPr>
      </w:pPr>
      <w:r>
        <w:rPr>
          <w:rFonts w:cs="宋体"/>
          <w:spacing w:val="6"/>
          <w:sz w:val="21"/>
          <w:szCs w:val="21"/>
        </w:rPr>
        <w:br w:type="page"/>
      </w:r>
    </w:p>
    <w:p w14:paraId="62999730">
      <w:pPr>
        <w:spacing w:line="360" w:lineRule="exact"/>
        <w:rPr>
          <w:b/>
          <w:bCs/>
        </w:rPr>
      </w:pPr>
      <w:bookmarkStart w:id="455" w:name="_Toc163492940"/>
      <w:r>
        <w:rPr>
          <w:rFonts w:hint="eastAsia"/>
          <w:b/>
          <w:bCs/>
        </w:rPr>
        <w:t>附件3：</w:t>
      </w:r>
    </w:p>
    <w:p w14:paraId="3949E959">
      <w:pPr>
        <w:rPr>
          <w:rFonts w:cs="宋体"/>
          <w:spacing w:val="6"/>
          <w:sz w:val="21"/>
          <w:szCs w:val="21"/>
        </w:rPr>
      </w:pPr>
    </w:p>
    <w:p w14:paraId="6389DE29">
      <w:pPr>
        <w:pStyle w:val="15"/>
        <w:spacing w:line="240" w:lineRule="auto"/>
        <w:jc w:val="center"/>
        <w:rPr>
          <w:rFonts w:hAnsi="宋体" w:cs="宋体"/>
          <w:b/>
          <w:sz w:val="32"/>
          <w:szCs w:val="32"/>
        </w:rPr>
      </w:pPr>
      <w:r>
        <w:rPr>
          <w:rFonts w:hint="eastAsia" w:hAnsi="宋体" w:cs="宋体"/>
          <w:b/>
          <w:sz w:val="32"/>
          <w:szCs w:val="32"/>
        </w:rPr>
        <w:t>关于印发《金融业企业划型标准规定》的通知</w:t>
      </w:r>
    </w:p>
    <w:p w14:paraId="3B1CBB23">
      <w:pPr>
        <w:spacing w:before="120" w:beforeLines="50"/>
        <w:jc w:val="center"/>
        <w:rPr>
          <w:rStyle w:val="31"/>
          <w:rFonts w:cs="宋体"/>
          <w:b w:val="0"/>
          <w:szCs w:val="24"/>
        </w:rPr>
      </w:pPr>
      <w:r>
        <w:rPr>
          <w:rStyle w:val="31"/>
          <w:rFonts w:hint="eastAsia" w:cs="宋体"/>
          <w:b w:val="0"/>
          <w:szCs w:val="24"/>
        </w:rPr>
        <w:t>银发〔2015〕309号</w:t>
      </w:r>
    </w:p>
    <w:p w14:paraId="58440B4D">
      <w:pPr>
        <w:spacing w:line="460" w:lineRule="exact"/>
        <w:ind w:firstLine="483"/>
        <w:rPr>
          <w:rStyle w:val="31"/>
          <w:rFonts w:cs="宋体"/>
          <w:b w:val="0"/>
          <w:bCs w:val="0"/>
          <w:szCs w:val="24"/>
        </w:rPr>
      </w:pPr>
      <w:r>
        <w:rPr>
          <w:rStyle w:val="31"/>
          <w:rFonts w:hint="eastAsia" w:cs="宋体"/>
          <w:b w:val="0"/>
          <w:bCs w:val="0"/>
          <w:szCs w:val="24"/>
        </w:rPr>
        <w:t>为进一步贯彻落实《中华人民共和国中小企业促进法</w:t>
      </w:r>
      <w:r>
        <w:rPr>
          <w:rStyle w:val="31"/>
          <w:rFonts w:hint="eastAsia" w:cs="宋体"/>
          <w:b w:val="0"/>
          <w:bCs w:val="0"/>
          <w:szCs w:val="24"/>
          <w:lang w:eastAsia="zh-CN"/>
        </w:rPr>
        <w:t>》《</w:t>
      </w:r>
      <w:r>
        <w:rPr>
          <w:rStyle w:val="31"/>
          <w:rFonts w:hint="eastAsia" w:cs="宋体"/>
          <w:b w:val="0"/>
          <w:bCs w:val="0"/>
          <w:szCs w:val="24"/>
        </w:rPr>
        <w:t>国务院关于进一步促进中小企业发展的若干意见》（国发〔2009〕36号）、《国务院办公厅关于金融支持小微企业发展的实施意见》（国办发〔2013〕87号），推动中小金融机构健康发展，加大金融对实体经济的支持，人民银行会同银监会、证监会、保监会和国家统计局联合研究制定了《金融业企业划型标准规定》（见附件）。经国务院同意，现印发给你们，请遵照执行。</w:t>
      </w:r>
    </w:p>
    <w:p w14:paraId="45725DCB">
      <w:pPr>
        <w:spacing w:line="460" w:lineRule="exact"/>
        <w:ind w:firstLine="483"/>
        <w:rPr>
          <w:rStyle w:val="31"/>
          <w:rFonts w:cs="宋体"/>
          <w:b w:val="0"/>
          <w:bCs w:val="0"/>
          <w:szCs w:val="24"/>
        </w:rPr>
      </w:pPr>
      <w:r>
        <w:rPr>
          <w:rStyle w:val="31"/>
          <w:rFonts w:hint="eastAsia" w:cs="宋体"/>
          <w:b w:val="0"/>
          <w:bCs w:val="0"/>
          <w:szCs w:val="24"/>
        </w:rPr>
        <w:t>请人民银行上海总部，各分行、营业管理部、省会（首府）城市中心支行、副省级城市中心支行会同所在省（区、市）银监局、证监局、保监局、统计局将本通知联合转发至辖内相关机构。</w:t>
      </w:r>
    </w:p>
    <w:p w14:paraId="4F84FFE6">
      <w:pPr>
        <w:spacing w:line="460" w:lineRule="exact"/>
        <w:ind w:firstLine="483"/>
        <w:rPr>
          <w:rStyle w:val="31"/>
          <w:rFonts w:cs="宋体"/>
          <w:b w:val="0"/>
          <w:bCs w:val="0"/>
          <w:szCs w:val="24"/>
        </w:rPr>
      </w:pPr>
    </w:p>
    <w:p w14:paraId="3C59FB83">
      <w:pPr>
        <w:spacing w:line="460" w:lineRule="exact"/>
        <w:ind w:firstLine="483"/>
        <w:rPr>
          <w:rStyle w:val="31"/>
          <w:rFonts w:cs="宋体"/>
          <w:b w:val="0"/>
          <w:bCs w:val="0"/>
          <w:szCs w:val="24"/>
        </w:rPr>
      </w:pPr>
      <w:r>
        <w:rPr>
          <w:rStyle w:val="31"/>
          <w:rFonts w:hint="eastAsia" w:cs="宋体"/>
          <w:b w:val="0"/>
          <w:bCs w:val="0"/>
          <w:szCs w:val="24"/>
        </w:rPr>
        <w:t>附件：金融业企业划型标准规定</w:t>
      </w:r>
    </w:p>
    <w:p w14:paraId="6312AC13">
      <w:pPr>
        <w:spacing w:line="460" w:lineRule="exact"/>
        <w:rPr>
          <w:rStyle w:val="31"/>
          <w:rFonts w:cs="宋体"/>
          <w:b w:val="0"/>
          <w:bCs w:val="0"/>
          <w:szCs w:val="24"/>
        </w:rPr>
      </w:pPr>
      <w:r>
        <w:rPr>
          <w:rFonts w:hint="eastAsia" w:cs="宋体"/>
          <w:spacing w:val="6"/>
          <w:szCs w:val="24"/>
        </w:rPr>
        <w:t>                                      </w:t>
      </w:r>
      <w:r>
        <w:rPr>
          <w:rStyle w:val="31"/>
          <w:rFonts w:hint="eastAsia" w:cs="宋体"/>
          <w:b w:val="0"/>
          <w:bCs w:val="0"/>
          <w:szCs w:val="24"/>
        </w:rPr>
        <w:t>       中国人民银行</w:t>
      </w:r>
    </w:p>
    <w:p w14:paraId="5E604CC9">
      <w:pPr>
        <w:spacing w:line="460" w:lineRule="exact"/>
        <w:ind w:firstLine="2400" w:firstLineChars="1000"/>
        <w:rPr>
          <w:rStyle w:val="31"/>
          <w:rFonts w:cs="宋体"/>
          <w:b w:val="0"/>
          <w:bCs w:val="0"/>
          <w:szCs w:val="24"/>
        </w:rPr>
      </w:pPr>
      <w:r>
        <w:rPr>
          <w:rStyle w:val="31"/>
          <w:rFonts w:hint="eastAsia" w:cs="宋体"/>
          <w:b w:val="0"/>
          <w:bCs w:val="0"/>
          <w:szCs w:val="24"/>
        </w:rPr>
        <w:t>          中国银行业监督管理委员会</w:t>
      </w:r>
    </w:p>
    <w:p w14:paraId="2F6EACD6">
      <w:pPr>
        <w:spacing w:line="460" w:lineRule="exact"/>
        <w:ind w:firstLine="2400" w:firstLineChars="1000"/>
        <w:rPr>
          <w:rStyle w:val="31"/>
          <w:rFonts w:cs="宋体"/>
          <w:b w:val="0"/>
          <w:bCs w:val="0"/>
          <w:szCs w:val="24"/>
        </w:rPr>
      </w:pPr>
      <w:r>
        <w:rPr>
          <w:rStyle w:val="31"/>
          <w:rFonts w:hint="eastAsia" w:cs="宋体"/>
          <w:b w:val="0"/>
          <w:bCs w:val="0"/>
          <w:szCs w:val="24"/>
        </w:rPr>
        <w:t>           中国证券监督管理委员会</w:t>
      </w:r>
    </w:p>
    <w:p w14:paraId="43E96436">
      <w:pPr>
        <w:spacing w:line="460" w:lineRule="exact"/>
        <w:ind w:firstLine="2400" w:firstLineChars="1000"/>
        <w:rPr>
          <w:rStyle w:val="31"/>
          <w:rFonts w:cs="宋体"/>
          <w:b w:val="0"/>
          <w:bCs w:val="0"/>
          <w:szCs w:val="24"/>
        </w:rPr>
      </w:pPr>
      <w:r>
        <w:rPr>
          <w:rStyle w:val="31"/>
          <w:rFonts w:hint="eastAsia" w:cs="宋体"/>
          <w:b w:val="0"/>
          <w:bCs w:val="0"/>
          <w:szCs w:val="24"/>
        </w:rPr>
        <w:t>           中国保险监督管理委员会</w:t>
      </w:r>
    </w:p>
    <w:p w14:paraId="6BB6369E">
      <w:pPr>
        <w:spacing w:line="460" w:lineRule="exact"/>
        <w:ind w:firstLine="2160" w:firstLineChars="900"/>
        <w:rPr>
          <w:rStyle w:val="31"/>
          <w:rFonts w:cs="宋体"/>
          <w:b w:val="0"/>
          <w:bCs w:val="0"/>
          <w:szCs w:val="24"/>
        </w:rPr>
      </w:pPr>
      <w:r>
        <w:rPr>
          <w:rStyle w:val="31"/>
          <w:rFonts w:hint="eastAsia" w:cs="宋体"/>
          <w:b w:val="0"/>
          <w:bCs w:val="0"/>
          <w:szCs w:val="24"/>
        </w:rPr>
        <w:t>           中华人民共和国国家统计局</w:t>
      </w:r>
    </w:p>
    <w:p w14:paraId="485A44C8">
      <w:pPr>
        <w:spacing w:line="460" w:lineRule="exact"/>
        <w:rPr>
          <w:rStyle w:val="31"/>
          <w:rFonts w:cs="宋体"/>
          <w:b w:val="0"/>
          <w:bCs w:val="0"/>
          <w:szCs w:val="24"/>
        </w:rPr>
      </w:pPr>
      <w:r>
        <w:rPr>
          <w:rStyle w:val="31"/>
          <w:rFonts w:hint="eastAsia" w:cs="宋体"/>
          <w:b w:val="0"/>
          <w:bCs w:val="0"/>
          <w:szCs w:val="24"/>
        </w:rPr>
        <w:t>                                                     </w:t>
      </w:r>
      <w:r>
        <w:rPr>
          <w:rStyle w:val="31"/>
          <w:rFonts w:hint="eastAsia" w:cs="宋体"/>
          <w:b w:val="0"/>
          <w:bCs w:val="0"/>
          <w:szCs w:val="24"/>
          <w:lang w:val="en-US" w:eastAsia="zh-CN"/>
        </w:rPr>
        <w:t xml:space="preserve">     </w:t>
      </w:r>
      <w:r>
        <w:rPr>
          <w:rStyle w:val="31"/>
          <w:rFonts w:hint="eastAsia" w:cs="宋体"/>
          <w:b w:val="0"/>
          <w:bCs w:val="0"/>
          <w:szCs w:val="24"/>
        </w:rPr>
        <w:t> 2015年9月28日</w:t>
      </w:r>
    </w:p>
    <w:p w14:paraId="4A0D9063">
      <w:pPr>
        <w:rPr>
          <w:rFonts w:cs="宋体"/>
          <w:spacing w:val="6"/>
          <w:sz w:val="21"/>
          <w:szCs w:val="21"/>
        </w:rPr>
      </w:pPr>
    </w:p>
    <w:p w14:paraId="0568F6BE">
      <w:pPr>
        <w:rPr>
          <w:rFonts w:cs="宋体"/>
          <w:spacing w:val="6"/>
          <w:sz w:val="21"/>
          <w:szCs w:val="21"/>
        </w:rPr>
      </w:pPr>
    </w:p>
    <w:p w14:paraId="26CE8328">
      <w:pPr>
        <w:rPr>
          <w:rFonts w:cs="宋体"/>
          <w:spacing w:val="6"/>
          <w:sz w:val="21"/>
          <w:szCs w:val="21"/>
        </w:rPr>
      </w:pPr>
    </w:p>
    <w:p w14:paraId="5B8A6ED8">
      <w:pPr>
        <w:rPr>
          <w:rFonts w:cs="宋体"/>
          <w:spacing w:val="6"/>
          <w:sz w:val="21"/>
          <w:szCs w:val="21"/>
        </w:rPr>
      </w:pPr>
    </w:p>
    <w:p w14:paraId="68CB4216">
      <w:pPr>
        <w:rPr>
          <w:rFonts w:cs="宋体"/>
          <w:spacing w:val="6"/>
          <w:sz w:val="21"/>
          <w:szCs w:val="21"/>
        </w:rPr>
      </w:pPr>
    </w:p>
    <w:p w14:paraId="58B33C3A">
      <w:pPr>
        <w:rPr>
          <w:rFonts w:cs="宋体"/>
          <w:spacing w:val="6"/>
          <w:sz w:val="21"/>
          <w:szCs w:val="21"/>
        </w:rPr>
      </w:pPr>
    </w:p>
    <w:p w14:paraId="6F1A6F09">
      <w:pPr>
        <w:rPr>
          <w:rFonts w:cs="宋体"/>
          <w:spacing w:val="6"/>
          <w:sz w:val="21"/>
          <w:szCs w:val="21"/>
        </w:rPr>
      </w:pPr>
    </w:p>
    <w:p w14:paraId="642290AC">
      <w:pPr>
        <w:rPr>
          <w:rFonts w:cs="宋体"/>
          <w:spacing w:val="6"/>
          <w:sz w:val="21"/>
          <w:szCs w:val="21"/>
        </w:rPr>
      </w:pPr>
    </w:p>
    <w:p w14:paraId="1D14FF9C">
      <w:pPr>
        <w:rPr>
          <w:rFonts w:cs="宋体"/>
          <w:spacing w:val="6"/>
          <w:sz w:val="21"/>
          <w:szCs w:val="21"/>
        </w:rPr>
      </w:pPr>
      <w:r>
        <w:rPr>
          <w:rFonts w:hint="eastAsia" w:cs="宋体"/>
          <w:spacing w:val="6"/>
          <w:sz w:val="21"/>
          <w:szCs w:val="21"/>
        </w:rPr>
        <w:t>附件              </w:t>
      </w:r>
    </w:p>
    <w:p w14:paraId="499ED771">
      <w:pPr>
        <w:pStyle w:val="15"/>
        <w:spacing w:before="120" w:beforeLines="50" w:after="120" w:afterLines="50" w:line="240" w:lineRule="auto"/>
        <w:jc w:val="center"/>
        <w:rPr>
          <w:rFonts w:ascii="方正小标宋_GBK" w:hAnsi="方正小标宋_GBK" w:eastAsia="方正小标宋_GBK" w:cs="方正小标宋_GBK"/>
          <w:bCs/>
          <w:sz w:val="32"/>
          <w:szCs w:val="32"/>
        </w:rPr>
      </w:pPr>
      <w:r>
        <w:rPr>
          <w:rFonts w:hint="eastAsia" w:hAnsi="宋体" w:cs="宋体"/>
          <w:b/>
          <w:sz w:val="28"/>
          <w:szCs w:val="28"/>
        </w:rPr>
        <w:t>金融业企业划型标准规定</w:t>
      </w:r>
    </w:p>
    <w:p w14:paraId="6DBBE6BC">
      <w:pPr>
        <w:spacing w:line="400" w:lineRule="exact"/>
        <w:ind w:firstLine="483"/>
        <w:rPr>
          <w:rStyle w:val="31"/>
          <w:rFonts w:cs="宋体"/>
          <w:b w:val="0"/>
          <w:bCs w:val="0"/>
          <w:szCs w:val="24"/>
        </w:rPr>
      </w:pPr>
      <w:r>
        <w:rPr>
          <w:rStyle w:val="31"/>
          <w:rFonts w:hint="eastAsia" w:cs="宋体"/>
          <w:b w:val="0"/>
          <w:bCs w:val="0"/>
          <w:szCs w:val="24"/>
        </w:rPr>
        <w:t>一、根据《中华人民共和国中小企业促进法</w:t>
      </w:r>
      <w:r>
        <w:rPr>
          <w:rStyle w:val="31"/>
          <w:rFonts w:hint="eastAsia" w:cs="宋体"/>
          <w:b w:val="0"/>
          <w:bCs w:val="0"/>
          <w:szCs w:val="24"/>
          <w:lang w:eastAsia="zh-CN"/>
        </w:rPr>
        <w:t>》《</w:t>
      </w:r>
      <w:r>
        <w:rPr>
          <w:rStyle w:val="31"/>
          <w:rFonts w:hint="eastAsia" w:cs="宋体"/>
          <w:b w:val="0"/>
          <w:bCs w:val="0"/>
          <w:szCs w:val="24"/>
        </w:rPr>
        <w:t>国务院关于进一步促进中小企业发展的若干意见》（国发〔2009〕36号）和《国务院办公厅关于金融支持小微企业发展的实施意见》（国办发〔2013〕87号），制定本规定。</w:t>
      </w:r>
    </w:p>
    <w:p w14:paraId="5C8FAE96">
      <w:pPr>
        <w:spacing w:line="400" w:lineRule="exact"/>
        <w:ind w:firstLine="483"/>
        <w:rPr>
          <w:rStyle w:val="31"/>
          <w:rFonts w:cs="宋体"/>
          <w:b w:val="0"/>
          <w:bCs w:val="0"/>
          <w:szCs w:val="24"/>
        </w:rPr>
      </w:pPr>
      <w:r>
        <w:rPr>
          <w:rStyle w:val="31"/>
          <w:rFonts w:hint="eastAsia" w:cs="宋体"/>
          <w:b w:val="0"/>
          <w:bCs w:val="0"/>
          <w:szCs w:val="24"/>
        </w:rPr>
        <w:t>二、适用范围。本规定适用于从事《国民经济行业分类》（</w:t>
      </w:r>
      <w:r>
        <w:rPr>
          <w:rStyle w:val="31"/>
          <w:rFonts w:hint="eastAsia" w:cs="宋体"/>
          <w:b w:val="0"/>
          <w:bCs w:val="0"/>
          <w:szCs w:val="24"/>
          <w:lang w:eastAsia="zh-CN"/>
        </w:rPr>
        <w:t>GB/T 4754-2017</w:t>
      </w:r>
      <w:r>
        <w:rPr>
          <w:rStyle w:val="31"/>
          <w:rFonts w:hint="eastAsia" w:cs="宋体"/>
          <w:b w:val="0"/>
          <w:bCs w:val="0"/>
          <w:szCs w:val="24"/>
        </w:rPr>
        <w:t>）中J门类（金融业）活动的企业。</w:t>
      </w:r>
    </w:p>
    <w:p w14:paraId="0F2986BD">
      <w:pPr>
        <w:spacing w:line="400" w:lineRule="exact"/>
        <w:ind w:firstLine="483"/>
        <w:rPr>
          <w:rStyle w:val="31"/>
          <w:rFonts w:cs="宋体"/>
          <w:b w:val="0"/>
          <w:bCs w:val="0"/>
          <w:szCs w:val="24"/>
        </w:rPr>
      </w:pPr>
      <w:r>
        <w:rPr>
          <w:rStyle w:val="31"/>
          <w:rFonts w:hint="eastAsia" w:cs="宋体"/>
          <w:b w:val="0"/>
          <w:bCs w:val="0"/>
          <w:szCs w:val="24"/>
        </w:rPr>
        <w:t>三、行业分类。采用复合分类方法对金融业企业进行分类。首先，按《国民经济行业分类》将金融业企业分为货币金融服务、资本市场服务、保险业、其他金融业四大类。其次，将货币金融服务分为货币银行服务和非货币银行服务两类，将其他金融业分为金融信托与管理服务、控股公司服务和其他未包括的金融业三类。最后，按经济性质将货币银行服务类金融企业划为银行业存款类金融机构；将非货币银行服务类金融业企业分为银行业非存款类金融机构，贷款公司、小额贷款公司及典当行；将资本市场服务类金融业企业划为证券业金融机构；将保险业金融企业划为保险业金融机构；将其他金融业企业分为信托公司，金融控股公司和除贷款公司、小额贷款公司、典当行以外的其他金融机构。</w:t>
      </w:r>
    </w:p>
    <w:p w14:paraId="4722B6C2">
      <w:pPr>
        <w:spacing w:line="400" w:lineRule="exact"/>
        <w:ind w:firstLine="483"/>
        <w:rPr>
          <w:rStyle w:val="31"/>
          <w:rFonts w:cs="宋体"/>
          <w:b w:val="0"/>
          <w:bCs w:val="0"/>
          <w:szCs w:val="24"/>
        </w:rPr>
      </w:pPr>
      <w:r>
        <w:rPr>
          <w:rStyle w:val="31"/>
          <w:rFonts w:hint="eastAsia" w:cs="宋体"/>
          <w:b w:val="0"/>
          <w:bCs w:val="0"/>
          <w:szCs w:val="24"/>
        </w:rPr>
        <w:t>四、划型标准指标。采用一个完整会计年度中四个季度末法人并表口径的资产总额（信托公司为信托资产）平均值作为划型指标，该指标以监管部门数据为准。</w:t>
      </w:r>
    </w:p>
    <w:p w14:paraId="19CA0FDD">
      <w:pPr>
        <w:spacing w:line="400" w:lineRule="exact"/>
        <w:ind w:firstLine="483"/>
        <w:rPr>
          <w:rStyle w:val="31"/>
          <w:rFonts w:cs="宋体"/>
          <w:b w:val="0"/>
          <w:bCs w:val="0"/>
          <w:szCs w:val="24"/>
        </w:rPr>
      </w:pPr>
      <w:r>
        <w:rPr>
          <w:rStyle w:val="31"/>
          <w:rFonts w:hint="eastAsia" w:cs="宋体"/>
          <w:b w:val="0"/>
          <w:bCs w:val="0"/>
          <w:szCs w:val="24"/>
        </w:rPr>
        <w:t>五、指标标准值。依据指标标准值，将各类金融业企业划分为大、中、小、微四个规模类型，中型企业标准上限及以上的为大型企业。</w:t>
      </w:r>
    </w:p>
    <w:p w14:paraId="77CF4D86">
      <w:pPr>
        <w:spacing w:line="400" w:lineRule="exact"/>
        <w:ind w:firstLine="483"/>
        <w:rPr>
          <w:rStyle w:val="31"/>
          <w:rFonts w:cs="宋体"/>
          <w:b w:val="0"/>
          <w:bCs w:val="0"/>
          <w:szCs w:val="24"/>
        </w:rPr>
      </w:pPr>
      <w:r>
        <w:rPr>
          <w:rStyle w:val="31"/>
          <w:rFonts w:hint="eastAsia" w:cs="宋体"/>
          <w:b w:val="0"/>
          <w:bCs w:val="0"/>
          <w:szCs w:val="24"/>
        </w:rPr>
        <w:t>（一）银行业存款类金融机构。资产总额40000亿元以下的为中小微型企业。其中，资产总额5000亿元及以上的为中型企业，资产总额50亿元及以上的为小型企业，资产总额50亿元以下的为微型企业。</w:t>
      </w:r>
    </w:p>
    <w:p w14:paraId="66DE0F61">
      <w:pPr>
        <w:spacing w:line="400" w:lineRule="exact"/>
        <w:ind w:firstLine="483"/>
        <w:rPr>
          <w:rStyle w:val="31"/>
          <w:rFonts w:cs="宋体"/>
          <w:b w:val="0"/>
          <w:bCs w:val="0"/>
          <w:szCs w:val="24"/>
        </w:rPr>
      </w:pPr>
      <w:r>
        <w:rPr>
          <w:rStyle w:val="31"/>
          <w:rFonts w:hint="eastAsia" w:cs="宋体"/>
          <w:b w:val="0"/>
          <w:bCs w:val="0"/>
          <w:szCs w:val="24"/>
        </w:rPr>
        <w:t>（二）银行业非存款类金融机构。资产总额1000亿元以下的为中小微企业。其中，资产总额200亿元及以上的为中型企业，资产总额50亿元及以上的为小型企业，资产总额50亿元以下的为微型企业。</w:t>
      </w:r>
    </w:p>
    <w:p w14:paraId="7000E642">
      <w:pPr>
        <w:spacing w:line="400" w:lineRule="exact"/>
        <w:ind w:firstLine="483"/>
        <w:rPr>
          <w:rStyle w:val="31"/>
          <w:rFonts w:cs="宋体"/>
          <w:b w:val="0"/>
          <w:bCs w:val="0"/>
          <w:szCs w:val="24"/>
        </w:rPr>
      </w:pPr>
      <w:r>
        <w:rPr>
          <w:rStyle w:val="31"/>
          <w:rFonts w:hint="eastAsia" w:cs="宋体"/>
          <w:b w:val="0"/>
          <w:bCs w:val="0"/>
          <w:szCs w:val="24"/>
        </w:rPr>
        <w:t>（三）贷款公司、小额贷款公司及典当行。资产总额1000亿元以下的为中小微型企业。其中，资产总额200亿元及以上的为中型企业，资产总额50亿元及以上的为小型企业，资产总额50亿元以下的为微型企业。</w:t>
      </w:r>
    </w:p>
    <w:p w14:paraId="6D8E7300">
      <w:pPr>
        <w:spacing w:line="400" w:lineRule="exact"/>
        <w:ind w:firstLine="483"/>
        <w:rPr>
          <w:rStyle w:val="31"/>
          <w:rFonts w:cs="宋体"/>
          <w:b w:val="0"/>
          <w:bCs w:val="0"/>
          <w:szCs w:val="24"/>
        </w:rPr>
      </w:pPr>
      <w:r>
        <w:rPr>
          <w:rStyle w:val="31"/>
          <w:rFonts w:hint="eastAsia" w:cs="宋体"/>
          <w:b w:val="0"/>
          <w:bCs w:val="0"/>
          <w:szCs w:val="24"/>
        </w:rPr>
        <w:t>（四）证券业金融机构。资产总额1000亿元以下的为中小微型企业。其中，资产总额100亿元及以上的为中型企业，资产总额10亿元及以上的为小型企业，资产总额10亿元以下的为微型企业。</w:t>
      </w:r>
    </w:p>
    <w:p w14:paraId="0CDEBF1D">
      <w:pPr>
        <w:spacing w:line="400" w:lineRule="exact"/>
        <w:ind w:firstLine="483"/>
        <w:rPr>
          <w:rStyle w:val="31"/>
          <w:rFonts w:cs="宋体"/>
          <w:b w:val="0"/>
          <w:bCs w:val="0"/>
          <w:szCs w:val="24"/>
        </w:rPr>
      </w:pPr>
      <w:r>
        <w:rPr>
          <w:rStyle w:val="31"/>
          <w:rFonts w:hint="eastAsia" w:cs="宋体"/>
          <w:b w:val="0"/>
          <w:bCs w:val="0"/>
          <w:szCs w:val="24"/>
        </w:rPr>
        <w:t>（五）保险业金融机构。资产总额5000亿元以下的为中小微型企业。其中，资产总额400亿元及以上的为中型企业，资产总额20亿元及以上的为小型企业，资产总额20亿元以下的为微型企业。</w:t>
      </w:r>
    </w:p>
    <w:p w14:paraId="5856759A">
      <w:pPr>
        <w:spacing w:line="400" w:lineRule="exact"/>
        <w:ind w:firstLine="483"/>
        <w:rPr>
          <w:rStyle w:val="31"/>
          <w:rFonts w:cs="宋体"/>
          <w:b w:val="0"/>
          <w:bCs w:val="0"/>
          <w:szCs w:val="24"/>
        </w:rPr>
      </w:pPr>
      <w:r>
        <w:rPr>
          <w:rStyle w:val="31"/>
          <w:rFonts w:hint="eastAsia" w:cs="宋体"/>
          <w:b w:val="0"/>
          <w:bCs w:val="0"/>
          <w:szCs w:val="24"/>
        </w:rPr>
        <w:t>（六）信托公司。信托资产1000亿元以下的为中小微型企业。其中，信托资产400亿元及以上的为中型企业，信托资产20亿元及以上的为小型企业，信托资产20亿元以下的为微型企业。</w:t>
      </w:r>
    </w:p>
    <w:p w14:paraId="07EA8C62">
      <w:pPr>
        <w:spacing w:line="400" w:lineRule="exact"/>
        <w:ind w:firstLine="483"/>
        <w:rPr>
          <w:rStyle w:val="31"/>
          <w:rFonts w:cs="宋体"/>
          <w:b w:val="0"/>
          <w:bCs w:val="0"/>
          <w:szCs w:val="24"/>
        </w:rPr>
      </w:pPr>
      <w:r>
        <w:rPr>
          <w:rStyle w:val="31"/>
          <w:rFonts w:hint="eastAsia" w:cs="宋体"/>
          <w:b w:val="0"/>
          <w:bCs w:val="0"/>
          <w:szCs w:val="24"/>
        </w:rPr>
        <w:t>（七）金融控股公司。资产总额40000亿元以下的为中小微企业。其中，资产总额5000亿元及以上的为中型企业，资产总额50亿元及以上的为小型企业，资产总额50亿元以下的为微型企业。、</w:t>
      </w:r>
    </w:p>
    <w:p w14:paraId="4C18539B">
      <w:pPr>
        <w:spacing w:line="400" w:lineRule="exact"/>
        <w:ind w:firstLine="483"/>
        <w:rPr>
          <w:rStyle w:val="31"/>
          <w:rFonts w:cs="宋体"/>
          <w:b w:val="0"/>
          <w:bCs w:val="0"/>
          <w:szCs w:val="24"/>
        </w:rPr>
      </w:pPr>
      <w:r>
        <w:rPr>
          <w:rStyle w:val="31"/>
          <w:rFonts w:hint="eastAsia" w:cs="宋体"/>
          <w:b w:val="0"/>
          <w:bCs w:val="0"/>
          <w:szCs w:val="24"/>
        </w:rPr>
        <w:t>(八)除贷款公司、小额贷款公司、典当行以外的其他金融机构。资产总额1000亿元以下的为中小微型企业。其中，资产总额200亿元及以上的为中型企业，资产总额50亿元及以上的为小型企业，资产总额50亿元以下的为微型企业。</w:t>
      </w:r>
    </w:p>
    <w:p w14:paraId="5C4C5080">
      <w:pPr>
        <w:spacing w:line="400" w:lineRule="exact"/>
        <w:ind w:firstLine="483"/>
        <w:rPr>
          <w:rStyle w:val="31"/>
          <w:rFonts w:cs="宋体"/>
          <w:b w:val="0"/>
          <w:bCs w:val="0"/>
          <w:szCs w:val="24"/>
        </w:rPr>
      </w:pPr>
      <w:r>
        <w:rPr>
          <w:rStyle w:val="31"/>
          <w:rFonts w:hint="eastAsia" w:cs="宋体"/>
          <w:b w:val="0"/>
          <w:bCs w:val="0"/>
          <w:szCs w:val="24"/>
        </w:rPr>
        <w:t>六、组织实施。由人民银行会同银监会、证监会、保监会和统计局联合组成金融业企业划型标准工作组，负责金融业企业划型标准的实施、后期评估和调整工作，按年组织金融业企业规模认定，并在人民银行建立的《金融业机构信息管理系统》中增加相应的字段模块。经过认定的金融业企业在系统中进行规模登记，方便政府部门和社会各界查询使用。</w:t>
      </w:r>
    </w:p>
    <w:p w14:paraId="76B92D9E">
      <w:pPr>
        <w:spacing w:line="400" w:lineRule="exact"/>
        <w:ind w:firstLine="483"/>
        <w:rPr>
          <w:rStyle w:val="31"/>
          <w:rFonts w:cs="宋体"/>
          <w:b w:val="0"/>
          <w:bCs w:val="0"/>
          <w:szCs w:val="24"/>
        </w:rPr>
      </w:pPr>
      <w:r>
        <w:rPr>
          <w:rStyle w:val="31"/>
          <w:rFonts w:hint="eastAsia" w:cs="宋体"/>
          <w:b w:val="0"/>
          <w:bCs w:val="0"/>
          <w:szCs w:val="24"/>
        </w:rPr>
        <w:t>七、标准值的评估和调整。金融业企业划型标准工作组每五年对划型标准值受经济发展与通货膨胀等因素的影响程度进行评估和调整。</w:t>
      </w:r>
    </w:p>
    <w:p w14:paraId="3917EE8D">
      <w:pPr>
        <w:spacing w:line="400" w:lineRule="exact"/>
        <w:ind w:firstLine="483"/>
        <w:rPr>
          <w:rStyle w:val="31"/>
          <w:rFonts w:cs="宋体"/>
          <w:b w:val="0"/>
          <w:bCs w:val="0"/>
          <w:szCs w:val="24"/>
        </w:rPr>
      </w:pPr>
      <w:r>
        <w:rPr>
          <w:rStyle w:val="31"/>
          <w:rFonts w:hint="eastAsia" w:cs="宋体"/>
          <w:b w:val="0"/>
          <w:bCs w:val="0"/>
          <w:szCs w:val="24"/>
        </w:rPr>
        <w:t>八、本规定的中型金融业企业标准上限即为大型金融业企业下限。国务院有关部门据此进行相关数据的统计分析，不得制定与本规定不一致的金融业企业划型标准。</w:t>
      </w:r>
    </w:p>
    <w:p w14:paraId="66275D47">
      <w:pPr>
        <w:spacing w:line="400" w:lineRule="exact"/>
        <w:ind w:firstLine="483"/>
        <w:rPr>
          <w:rStyle w:val="31"/>
          <w:rFonts w:cs="宋体"/>
          <w:b w:val="0"/>
          <w:bCs w:val="0"/>
          <w:szCs w:val="24"/>
        </w:rPr>
      </w:pPr>
      <w:r>
        <w:rPr>
          <w:rStyle w:val="31"/>
          <w:rFonts w:hint="eastAsia" w:cs="宋体"/>
          <w:b w:val="0"/>
          <w:bCs w:val="0"/>
          <w:szCs w:val="24"/>
        </w:rPr>
        <w:t>九、融资担保公司参照本规定中“除贷款公司、小额贷款公司、典当行以外的其他金融机构”标准划型。</w:t>
      </w:r>
    </w:p>
    <w:p w14:paraId="0F3266A1">
      <w:pPr>
        <w:spacing w:line="400" w:lineRule="exact"/>
        <w:ind w:firstLine="483"/>
        <w:rPr>
          <w:rStyle w:val="31"/>
          <w:rFonts w:cs="宋体"/>
          <w:b w:val="0"/>
          <w:bCs w:val="0"/>
          <w:szCs w:val="24"/>
        </w:rPr>
      </w:pPr>
      <w:r>
        <w:rPr>
          <w:rStyle w:val="31"/>
          <w:rFonts w:hint="eastAsia" w:cs="宋体"/>
          <w:b w:val="0"/>
          <w:bCs w:val="0"/>
          <w:szCs w:val="24"/>
        </w:rPr>
        <w:t>十、本规定由人民银行会同银监会、证监会、保监会和统计局负责解释。</w:t>
      </w:r>
    </w:p>
    <w:p w14:paraId="1B97EF4E">
      <w:pPr>
        <w:spacing w:line="400" w:lineRule="exact"/>
        <w:ind w:firstLine="483"/>
        <w:rPr>
          <w:rStyle w:val="31"/>
          <w:rFonts w:cs="宋体"/>
          <w:b w:val="0"/>
          <w:bCs w:val="0"/>
          <w:szCs w:val="24"/>
        </w:rPr>
      </w:pPr>
      <w:r>
        <w:rPr>
          <w:rStyle w:val="31"/>
          <w:rFonts w:hint="eastAsia" w:cs="宋体"/>
          <w:b w:val="0"/>
          <w:bCs w:val="0"/>
          <w:szCs w:val="24"/>
        </w:rPr>
        <w:t>十一、本规定自发布之日起实施,</w:t>
      </w:r>
    </w:p>
    <w:p w14:paraId="2EC43B62">
      <w:pPr>
        <w:spacing w:line="400" w:lineRule="exact"/>
        <w:ind w:firstLine="483"/>
        <w:rPr>
          <w:rStyle w:val="31"/>
          <w:rFonts w:cs="宋体"/>
          <w:b w:val="0"/>
          <w:bCs w:val="0"/>
          <w:szCs w:val="24"/>
        </w:rPr>
      </w:pPr>
    </w:p>
    <w:p w14:paraId="3926F359">
      <w:pPr>
        <w:spacing w:line="400" w:lineRule="exact"/>
        <w:ind w:firstLine="483"/>
        <w:rPr>
          <w:rStyle w:val="31"/>
          <w:rFonts w:cs="宋体"/>
          <w:b w:val="0"/>
          <w:bCs w:val="0"/>
          <w:szCs w:val="24"/>
        </w:rPr>
      </w:pPr>
      <w:r>
        <w:rPr>
          <w:rStyle w:val="31"/>
          <w:rFonts w:hint="eastAsia" w:cs="宋体"/>
          <w:b w:val="0"/>
          <w:bCs w:val="0"/>
          <w:szCs w:val="24"/>
        </w:rPr>
        <w:t>附:金融业企业划型标准</w:t>
      </w:r>
    </w:p>
    <w:p w14:paraId="26526185">
      <w:pPr>
        <w:rPr>
          <w:rFonts w:cs="宋体"/>
          <w:spacing w:val="6"/>
          <w:sz w:val="21"/>
          <w:szCs w:val="21"/>
        </w:rPr>
      </w:pPr>
    </w:p>
    <w:p w14:paraId="4173EA08">
      <w:pPr>
        <w:rPr>
          <w:rFonts w:cs="宋体"/>
          <w:spacing w:val="6"/>
          <w:szCs w:val="24"/>
        </w:rPr>
      </w:pPr>
    </w:p>
    <w:p w14:paraId="16E61006">
      <w:pPr>
        <w:rPr>
          <w:rFonts w:cs="宋体"/>
          <w:spacing w:val="6"/>
          <w:szCs w:val="24"/>
        </w:rPr>
      </w:pPr>
    </w:p>
    <w:p w14:paraId="130164DD">
      <w:pPr>
        <w:rPr>
          <w:rFonts w:cs="宋体"/>
          <w:spacing w:val="6"/>
          <w:szCs w:val="24"/>
        </w:rPr>
      </w:pPr>
    </w:p>
    <w:p w14:paraId="37872BFB">
      <w:pPr>
        <w:rPr>
          <w:rFonts w:cs="宋体"/>
          <w:spacing w:val="6"/>
          <w:szCs w:val="24"/>
        </w:rPr>
      </w:pPr>
    </w:p>
    <w:p w14:paraId="57AF10C7">
      <w:pPr>
        <w:rPr>
          <w:rFonts w:cs="宋体"/>
          <w:spacing w:val="6"/>
          <w:szCs w:val="24"/>
        </w:rPr>
      </w:pPr>
    </w:p>
    <w:p w14:paraId="72237EE7">
      <w:pPr>
        <w:rPr>
          <w:rFonts w:cs="宋体"/>
          <w:spacing w:val="6"/>
          <w:szCs w:val="24"/>
        </w:rPr>
      </w:pPr>
    </w:p>
    <w:p w14:paraId="56C8513D">
      <w:pPr>
        <w:rPr>
          <w:rFonts w:cs="宋体"/>
          <w:spacing w:val="6"/>
          <w:szCs w:val="24"/>
        </w:rPr>
      </w:pPr>
      <w:r>
        <w:rPr>
          <w:rFonts w:hint="eastAsia" w:cs="宋体"/>
          <w:spacing w:val="6"/>
          <w:szCs w:val="24"/>
        </w:rPr>
        <w:t>附</w:t>
      </w:r>
    </w:p>
    <w:p w14:paraId="5DE16B99">
      <w:pPr>
        <w:pStyle w:val="15"/>
        <w:spacing w:before="120" w:beforeLines="50" w:after="120" w:afterLines="50" w:line="240" w:lineRule="auto"/>
        <w:jc w:val="center"/>
        <w:rPr>
          <w:rFonts w:ascii="方正小标宋_GBK" w:hAnsi="方正小标宋_GBK" w:eastAsia="方正小标宋_GBK" w:cs="方正小标宋_GBK"/>
          <w:bCs/>
          <w:sz w:val="32"/>
          <w:szCs w:val="32"/>
        </w:rPr>
      </w:pPr>
      <w:r>
        <w:rPr>
          <w:rFonts w:hint="eastAsia" w:hAnsi="宋体" w:cs="宋体"/>
          <w:b/>
          <w:sz w:val="28"/>
          <w:szCs w:val="28"/>
        </w:rPr>
        <w:t>金融业企业划型标准</w:t>
      </w:r>
    </w:p>
    <w:tbl>
      <w:tblPr>
        <w:tblStyle w:val="29"/>
        <w:tblW w:w="8498" w:type="dxa"/>
        <w:tblInd w:w="1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9"/>
        <w:gridCol w:w="1168"/>
        <w:gridCol w:w="1817"/>
        <w:gridCol w:w="1143"/>
        <w:gridCol w:w="3251"/>
      </w:tblGrid>
      <w:tr w14:paraId="4ED21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2287" w:type="dxa"/>
            <w:gridSpan w:val="2"/>
            <w:vAlign w:val="center"/>
          </w:tcPr>
          <w:p w14:paraId="2BE9AFA4">
            <w:pPr>
              <w:spacing w:line="240" w:lineRule="auto"/>
              <w:jc w:val="center"/>
              <w:rPr>
                <w:rFonts w:cs="宋体"/>
                <w:b/>
                <w:spacing w:val="6"/>
                <w:sz w:val="21"/>
                <w:szCs w:val="21"/>
              </w:rPr>
            </w:pPr>
            <w:r>
              <w:rPr>
                <w:rFonts w:hint="eastAsia" w:cs="宋体"/>
                <w:b/>
                <w:spacing w:val="6"/>
                <w:sz w:val="21"/>
                <w:szCs w:val="21"/>
              </w:rPr>
              <w:t>行业</w:t>
            </w:r>
          </w:p>
        </w:tc>
        <w:tc>
          <w:tcPr>
            <w:tcW w:w="1817" w:type="dxa"/>
            <w:vAlign w:val="center"/>
          </w:tcPr>
          <w:p w14:paraId="3F03DF00">
            <w:pPr>
              <w:spacing w:line="240" w:lineRule="auto"/>
              <w:jc w:val="center"/>
              <w:rPr>
                <w:rFonts w:cs="宋体"/>
                <w:b/>
                <w:spacing w:val="6"/>
                <w:sz w:val="21"/>
                <w:szCs w:val="21"/>
              </w:rPr>
            </w:pPr>
            <w:r>
              <w:rPr>
                <w:rFonts w:hint="eastAsia" w:cs="宋体"/>
                <w:b/>
                <w:spacing w:val="6"/>
                <w:sz w:val="21"/>
                <w:szCs w:val="21"/>
              </w:rPr>
              <w:t>类别</w:t>
            </w:r>
          </w:p>
        </w:tc>
        <w:tc>
          <w:tcPr>
            <w:tcW w:w="1143" w:type="dxa"/>
            <w:vAlign w:val="center"/>
          </w:tcPr>
          <w:p w14:paraId="128ED43A">
            <w:pPr>
              <w:spacing w:line="240" w:lineRule="auto"/>
              <w:jc w:val="center"/>
              <w:rPr>
                <w:rFonts w:cs="宋体"/>
                <w:b/>
                <w:spacing w:val="6"/>
                <w:sz w:val="21"/>
                <w:szCs w:val="21"/>
              </w:rPr>
            </w:pPr>
            <w:r>
              <w:rPr>
                <w:rFonts w:hint="eastAsia" w:cs="宋体"/>
                <w:b/>
                <w:spacing w:val="6"/>
                <w:sz w:val="21"/>
                <w:szCs w:val="21"/>
              </w:rPr>
              <w:t>类型</w:t>
            </w:r>
          </w:p>
        </w:tc>
        <w:tc>
          <w:tcPr>
            <w:tcW w:w="3251" w:type="dxa"/>
            <w:vAlign w:val="center"/>
          </w:tcPr>
          <w:p w14:paraId="0C7064A7">
            <w:pPr>
              <w:spacing w:line="240" w:lineRule="auto"/>
              <w:jc w:val="center"/>
              <w:rPr>
                <w:rFonts w:cs="宋体"/>
                <w:b/>
                <w:spacing w:val="6"/>
                <w:sz w:val="21"/>
                <w:szCs w:val="21"/>
              </w:rPr>
            </w:pPr>
            <w:r>
              <w:rPr>
                <w:rFonts w:hint="eastAsia" w:cs="宋体"/>
                <w:b/>
                <w:spacing w:val="6"/>
                <w:sz w:val="21"/>
                <w:szCs w:val="21"/>
              </w:rPr>
              <w:t>资产总额</w:t>
            </w:r>
          </w:p>
        </w:tc>
      </w:tr>
      <w:tr w14:paraId="70833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1119" w:type="dxa"/>
            <w:vMerge w:val="restart"/>
            <w:vAlign w:val="center"/>
          </w:tcPr>
          <w:p w14:paraId="6D6C7C7B">
            <w:pPr>
              <w:spacing w:line="240" w:lineRule="auto"/>
              <w:jc w:val="both"/>
              <w:rPr>
                <w:rFonts w:cs="宋体"/>
                <w:spacing w:val="6"/>
                <w:sz w:val="21"/>
                <w:szCs w:val="21"/>
              </w:rPr>
            </w:pPr>
            <w:r>
              <w:rPr>
                <w:rFonts w:hint="eastAsia" w:cs="宋体"/>
                <w:spacing w:val="6"/>
                <w:sz w:val="21"/>
                <w:szCs w:val="21"/>
              </w:rPr>
              <w:t>货币金融服务</w:t>
            </w:r>
          </w:p>
        </w:tc>
        <w:tc>
          <w:tcPr>
            <w:tcW w:w="1168" w:type="dxa"/>
            <w:vMerge w:val="restart"/>
            <w:vAlign w:val="center"/>
          </w:tcPr>
          <w:p w14:paraId="75F05BCA">
            <w:pPr>
              <w:spacing w:line="240" w:lineRule="auto"/>
              <w:jc w:val="both"/>
              <w:rPr>
                <w:rFonts w:cs="宋体"/>
                <w:spacing w:val="6"/>
                <w:sz w:val="21"/>
                <w:szCs w:val="21"/>
              </w:rPr>
            </w:pPr>
            <w:r>
              <w:rPr>
                <w:rFonts w:hint="eastAsia" w:cs="宋体"/>
                <w:spacing w:val="6"/>
                <w:sz w:val="21"/>
                <w:szCs w:val="21"/>
              </w:rPr>
              <w:t>货币银行服务</w:t>
            </w:r>
          </w:p>
        </w:tc>
        <w:tc>
          <w:tcPr>
            <w:tcW w:w="1817" w:type="dxa"/>
            <w:vMerge w:val="restart"/>
            <w:vAlign w:val="center"/>
          </w:tcPr>
          <w:p w14:paraId="20FE3DCF">
            <w:pPr>
              <w:spacing w:line="240" w:lineRule="auto"/>
              <w:jc w:val="both"/>
              <w:rPr>
                <w:rFonts w:cs="宋体"/>
                <w:spacing w:val="6"/>
                <w:sz w:val="21"/>
                <w:szCs w:val="21"/>
              </w:rPr>
            </w:pPr>
            <w:r>
              <w:rPr>
                <w:rFonts w:hint="eastAsia" w:cs="宋体"/>
                <w:spacing w:val="6"/>
                <w:sz w:val="21"/>
                <w:szCs w:val="21"/>
              </w:rPr>
              <w:t>银行业存款类金融机构</w:t>
            </w:r>
          </w:p>
        </w:tc>
        <w:tc>
          <w:tcPr>
            <w:tcW w:w="1143" w:type="dxa"/>
            <w:vAlign w:val="center"/>
          </w:tcPr>
          <w:p w14:paraId="5495F78E">
            <w:pPr>
              <w:spacing w:line="240" w:lineRule="auto"/>
              <w:jc w:val="center"/>
              <w:rPr>
                <w:rFonts w:cs="宋体"/>
                <w:spacing w:val="6"/>
                <w:sz w:val="21"/>
                <w:szCs w:val="21"/>
              </w:rPr>
            </w:pPr>
            <w:r>
              <w:rPr>
                <w:rFonts w:hint="eastAsia" w:cs="宋体"/>
                <w:spacing w:val="6"/>
                <w:sz w:val="21"/>
                <w:szCs w:val="21"/>
              </w:rPr>
              <w:t>中型</w:t>
            </w:r>
          </w:p>
        </w:tc>
        <w:tc>
          <w:tcPr>
            <w:tcW w:w="3251" w:type="dxa"/>
            <w:vAlign w:val="center"/>
          </w:tcPr>
          <w:p w14:paraId="1846D5C2">
            <w:pPr>
              <w:spacing w:line="240" w:lineRule="auto"/>
              <w:jc w:val="center"/>
              <w:rPr>
                <w:rFonts w:cs="宋体"/>
                <w:spacing w:val="6"/>
                <w:sz w:val="21"/>
                <w:szCs w:val="21"/>
              </w:rPr>
            </w:pPr>
            <w:r>
              <w:rPr>
                <w:rFonts w:hint="eastAsia" w:cs="宋体"/>
                <w:spacing w:val="6"/>
                <w:sz w:val="21"/>
                <w:szCs w:val="21"/>
              </w:rPr>
              <w:t>5000亿元（含）至40000亿元</w:t>
            </w:r>
          </w:p>
        </w:tc>
      </w:tr>
      <w:tr w14:paraId="4C1F1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1119" w:type="dxa"/>
            <w:vMerge w:val="continue"/>
            <w:vAlign w:val="center"/>
          </w:tcPr>
          <w:p w14:paraId="760C472F">
            <w:pPr>
              <w:spacing w:line="240" w:lineRule="auto"/>
              <w:jc w:val="both"/>
              <w:rPr>
                <w:rFonts w:cs="宋体"/>
                <w:spacing w:val="6"/>
                <w:sz w:val="21"/>
                <w:szCs w:val="21"/>
              </w:rPr>
            </w:pPr>
          </w:p>
        </w:tc>
        <w:tc>
          <w:tcPr>
            <w:tcW w:w="1168" w:type="dxa"/>
            <w:vMerge w:val="continue"/>
            <w:vAlign w:val="center"/>
          </w:tcPr>
          <w:p w14:paraId="5013CFAF">
            <w:pPr>
              <w:spacing w:line="240" w:lineRule="auto"/>
              <w:jc w:val="both"/>
              <w:rPr>
                <w:rFonts w:cs="宋体"/>
                <w:spacing w:val="6"/>
                <w:sz w:val="21"/>
                <w:szCs w:val="21"/>
              </w:rPr>
            </w:pPr>
          </w:p>
        </w:tc>
        <w:tc>
          <w:tcPr>
            <w:tcW w:w="1817" w:type="dxa"/>
            <w:vMerge w:val="continue"/>
            <w:vAlign w:val="center"/>
          </w:tcPr>
          <w:p w14:paraId="23133EEC">
            <w:pPr>
              <w:spacing w:line="240" w:lineRule="auto"/>
              <w:jc w:val="both"/>
              <w:rPr>
                <w:rFonts w:cs="宋体"/>
                <w:spacing w:val="6"/>
                <w:sz w:val="21"/>
                <w:szCs w:val="21"/>
              </w:rPr>
            </w:pPr>
          </w:p>
        </w:tc>
        <w:tc>
          <w:tcPr>
            <w:tcW w:w="1143" w:type="dxa"/>
            <w:vAlign w:val="center"/>
          </w:tcPr>
          <w:p w14:paraId="3461AF1D">
            <w:pPr>
              <w:spacing w:line="240" w:lineRule="auto"/>
              <w:jc w:val="center"/>
              <w:rPr>
                <w:rFonts w:cs="宋体"/>
                <w:spacing w:val="6"/>
                <w:sz w:val="21"/>
                <w:szCs w:val="21"/>
              </w:rPr>
            </w:pPr>
            <w:r>
              <w:rPr>
                <w:rFonts w:hint="eastAsia" w:cs="宋体"/>
                <w:spacing w:val="6"/>
                <w:sz w:val="21"/>
                <w:szCs w:val="21"/>
              </w:rPr>
              <w:t>小型</w:t>
            </w:r>
          </w:p>
        </w:tc>
        <w:tc>
          <w:tcPr>
            <w:tcW w:w="3251" w:type="dxa"/>
            <w:shd w:val="clear" w:color="auto" w:fill="auto"/>
            <w:vAlign w:val="center"/>
          </w:tcPr>
          <w:p w14:paraId="2287BB09">
            <w:pPr>
              <w:spacing w:line="240" w:lineRule="auto"/>
              <w:jc w:val="center"/>
              <w:rPr>
                <w:rFonts w:cs="宋体"/>
                <w:spacing w:val="6"/>
                <w:sz w:val="21"/>
                <w:szCs w:val="21"/>
              </w:rPr>
            </w:pPr>
            <w:r>
              <w:rPr>
                <w:rFonts w:hint="eastAsia" w:cs="宋体"/>
                <w:spacing w:val="6"/>
                <w:sz w:val="21"/>
                <w:szCs w:val="21"/>
              </w:rPr>
              <w:t>50亿元（含）至5000亿元</w:t>
            </w:r>
          </w:p>
        </w:tc>
      </w:tr>
      <w:tr w14:paraId="1CCF3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1119" w:type="dxa"/>
            <w:vMerge w:val="continue"/>
            <w:vAlign w:val="center"/>
          </w:tcPr>
          <w:p w14:paraId="5FD15056">
            <w:pPr>
              <w:spacing w:line="240" w:lineRule="auto"/>
              <w:jc w:val="both"/>
              <w:rPr>
                <w:rFonts w:cs="宋体"/>
                <w:spacing w:val="6"/>
                <w:sz w:val="21"/>
                <w:szCs w:val="21"/>
              </w:rPr>
            </w:pPr>
          </w:p>
        </w:tc>
        <w:tc>
          <w:tcPr>
            <w:tcW w:w="1168" w:type="dxa"/>
            <w:vMerge w:val="continue"/>
            <w:vAlign w:val="center"/>
          </w:tcPr>
          <w:p w14:paraId="7C03DA7D">
            <w:pPr>
              <w:spacing w:line="240" w:lineRule="auto"/>
              <w:jc w:val="both"/>
              <w:rPr>
                <w:rFonts w:cs="宋体"/>
                <w:spacing w:val="6"/>
                <w:sz w:val="21"/>
                <w:szCs w:val="21"/>
              </w:rPr>
            </w:pPr>
          </w:p>
        </w:tc>
        <w:tc>
          <w:tcPr>
            <w:tcW w:w="1817" w:type="dxa"/>
            <w:vMerge w:val="continue"/>
            <w:vAlign w:val="center"/>
          </w:tcPr>
          <w:p w14:paraId="3AE1F927">
            <w:pPr>
              <w:spacing w:line="240" w:lineRule="auto"/>
              <w:jc w:val="both"/>
              <w:rPr>
                <w:rFonts w:cs="宋体"/>
                <w:spacing w:val="6"/>
                <w:sz w:val="21"/>
                <w:szCs w:val="21"/>
              </w:rPr>
            </w:pPr>
          </w:p>
        </w:tc>
        <w:tc>
          <w:tcPr>
            <w:tcW w:w="1143" w:type="dxa"/>
            <w:vAlign w:val="center"/>
          </w:tcPr>
          <w:p w14:paraId="0A201DDF">
            <w:pPr>
              <w:spacing w:line="240" w:lineRule="auto"/>
              <w:jc w:val="center"/>
              <w:rPr>
                <w:rFonts w:cs="宋体"/>
                <w:spacing w:val="6"/>
                <w:sz w:val="21"/>
                <w:szCs w:val="21"/>
              </w:rPr>
            </w:pPr>
            <w:r>
              <w:rPr>
                <w:rFonts w:hint="eastAsia" w:cs="宋体"/>
                <w:spacing w:val="6"/>
                <w:sz w:val="21"/>
                <w:szCs w:val="21"/>
              </w:rPr>
              <w:t>微型</w:t>
            </w:r>
          </w:p>
        </w:tc>
        <w:tc>
          <w:tcPr>
            <w:tcW w:w="3251" w:type="dxa"/>
            <w:vAlign w:val="center"/>
          </w:tcPr>
          <w:p w14:paraId="0D26992E">
            <w:pPr>
              <w:spacing w:line="240" w:lineRule="auto"/>
              <w:jc w:val="center"/>
              <w:rPr>
                <w:rFonts w:cs="宋体"/>
                <w:spacing w:val="6"/>
                <w:sz w:val="21"/>
                <w:szCs w:val="21"/>
              </w:rPr>
            </w:pPr>
            <w:r>
              <w:rPr>
                <w:rFonts w:hint="eastAsia" w:cs="宋体"/>
                <w:spacing w:val="6"/>
                <w:sz w:val="21"/>
                <w:szCs w:val="21"/>
              </w:rPr>
              <w:t>50亿元以下</w:t>
            </w:r>
          </w:p>
        </w:tc>
      </w:tr>
      <w:tr w14:paraId="1E997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1119" w:type="dxa"/>
            <w:vMerge w:val="continue"/>
            <w:vAlign w:val="center"/>
          </w:tcPr>
          <w:p w14:paraId="538F55E7">
            <w:pPr>
              <w:spacing w:line="240" w:lineRule="auto"/>
              <w:jc w:val="both"/>
              <w:rPr>
                <w:rFonts w:cs="宋体"/>
                <w:spacing w:val="6"/>
                <w:sz w:val="21"/>
                <w:szCs w:val="21"/>
              </w:rPr>
            </w:pPr>
          </w:p>
        </w:tc>
        <w:tc>
          <w:tcPr>
            <w:tcW w:w="1168" w:type="dxa"/>
            <w:vMerge w:val="restart"/>
            <w:vAlign w:val="center"/>
          </w:tcPr>
          <w:p w14:paraId="3CDF5250">
            <w:pPr>
              <w:spacing w:line="240" w:lineRule="auto"/>
              <w:jc w:val="both"/>
              <w:rPr>
                <w:rFonts w:cs="宋体"/>
                <w:spacing w:val="6"/>
                <w:sz w:val="21"/>
                <w:szCs w:val="21"/>
              </w:rPr>
            </w:pPr>
            <w:r>
              <w:rPr>
                <w:rFonts w:hint="eastAsia" w:cs="宋体"/>
                <w:spacing w:val="6"/>
                <w:sz w:val="21"/>
                <w:szCs w:val="21"/>
              </w:rPr>
              <w:t>非货币银行服务</w:t>
            </w:r>
          </w:p>
        </w:tc>
        <w:tc>
          <w:tcPr>
            <w:tcW w:w="1817" w:type="dxa"/>
            <w:vMerge w:val="restart"/>
            <w:vAlign w:val="center"/>
          </w:tcPr>
          <w:p w14:paraId="5E65A745">
            <w:pPr>
              <w:spacing w:line="240" w:lineRule="auto"/>
              <w:jc w:val="both"/>
              <w:rPr>
                <w:rFonts w:cs="宋体"/>
                <w:spacing w:val="6"/>
                <w:sz w:val="21"/>
                <w:szCs w:val="21"/>
              </w:rPr>
            </w:pPr>
            <w:r>
              <w:rPr>
                <w:rFonts w:hint="eastAsia" w:cs="宋体"/>
                <w:spacing w:val="6"/>
                <w:sz w:val="21"/>
                <w:szCs w:val="21"/>
              </w:rPr>
              <w:t>银行业非存款类金融机构</w:t>
            </w:r>
          </w:p>
        </w:tc>
        <w:tc>
          <w:tcPr>
            <w:tcW w:w="1143" w:type="dxa"/>
            <w:shd w:val="clear" w:color="auto" w:fill="auto"/>
            <w:vAlign w:val="center"/>
          </w:tcPr>
          <w:p w14:paraId="7CCEE498">
            <w:pPr>
              <w:spacing w:line="240" w:lineRule="auto"/>
              <w:jc w:val="center"/>
              <w:rPr>
                <w:rFonts w:cs="宋体"/>
                <w:spacing w:val="6"/>
                <w:sz w:val="21"/>
                <w:szCs w:val="21"/>
              </w:rPr>
            </w:pPr>
            <w:r>
              <w:rPr>
                <w:rFonts w:hint="eastAsia" w:cs="宋体"/>
                <w:spacing w:val="6"/>
                <w:sz w:val="21"/>
                <w:szCs w:val="21"/>
              </w:rPr>
              <w:t>中型</w:t>
            </w:r>
          </w:p>
        </w:tc>
        <w:tc>
          <w:tcPr>
            <w:tcW w:w="3251" w:type="dxa"/>
            <w:shd w:val="clear" w:color="auto" w:fill="auto"/>
            <w:vAlign w:val="center"/>
          </w:tcPr>
          <w:p w14:paraId="282495F4">
            <w:pPr>
              <w:spacing w:line="240" w:lineRule="auto"/>
              <w:jc w:val="center"/>
              <w:rPr>
                <w:rFonts w:cs="宋体"/>
                <w:spacing w:val="6"/>
                <w:sz w:val="21"/>
                <w:szCs w:val="21"/>
              </w:rPr>
            </w:pPr>
            <w:r>
              <w:rPr>
                <w:rFonts w:hint="eastAsia" w:cs="宋体"/>
                <w:spacing w:val="6"/>
                <w:sz w:val="21"/>
                <w:szCs w:val="21"/>
              </w:rPr>
              <w:t>200亿元（含）至1000亿元</w:t>
            </w:r>
          </w:p>
        </w:tc>
      </w:tr>
      <w:tr w14:paraId="69ADB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1119" w:type="dxa"/>
            <w:vMerge w:val="continue"/>
            <w:vAlign w:val="center"/>
          </w:tcPr>
          <w:p w14:paraId="00D6DE66">
            <w:pPr>
              <w:spacing w:line="240" w:lineRule="auto"/>
              <w:jc w:val="both"/>
              <w:rPr>
                <w:rFonts w:cs="宋体"/>
                <w:spacing w:val="6"/>
                <w:sz w:val="21"/>
                <w:szCs w:val="21"/>
              </w:rPr>
            </w:pPr>
          </w:p>
        </w:tc>
        <w:tc>
          <w:tcPr>
            <w:tcW w:w="1168" w:type="dxa"/>
            <w:vMerge w:val="continue"/>
            <w:vAlign w:val="center"/>
          </w:tcPr>
          <w:p w14:paraId="4E1E99B0">
            <w:pPr>
              <w:spacing w:line="240" w:lineRule="auto"/>
              <w:jc w:val="both"/>
              <w:rPr>
                <w:rFonts w:cs="宋体"/>
                <w:spacing w:val="6"/>
                <w:sz w:val="21"/>
                <w:szCs w:val="21"/>
              </w:rPr>
            </w:pPr>
          </w:p>
        </w:tc>
        <w:tc>
          <w:tcPr>
            <w:tcW w:w="1817" w:type="dxa"/>
            <w:vMerge w:val="continue"/>
            <w:vAlign w:val="center"/>
          </w:tcPr>
          <w:p w14:paraId="06FADC58">
            <w:pPr>
              <w:spacing w:line="240" w:lineRule="auto"/>
              <w:jc w:val="both"/>
              <w:rPr>
                <w:rFonts w:cs="宋体"/>
                <w:spacing w:val="6"/>
                <w:sz w:val="21"/>
                <w:szCs w:val="21"/>
              </w:rPr>
            </w:pPr>
          </w:p>
        </w:tc>
        <w:tc>
          <w:tcPr>
            <w:tcW w:w="1143" w:type="dxa"/>
            <w:shd w:val="clear" w:color="auto" w:fill="auto"/>
            <w:vAlign w:val="center"/>
          </w:tcPr>
          <w:p w14:paraId="60E3CE05">
            <w:pPr>
              <w:spacing w:line="240" w:lineRule="auto"/>
              <w:jc w:val="center"/>
              <w:rPr>
                <w:rFonts w:cs="宋体"/>
                <w:spacing w:val="6"/>
                <w:sz w:val="21"/>
                <w:szCs w:val="21"/>
              </w:rPr>
            </w:pPr>
            <w:r>
              <w:rPr>
                <w:rFonts w:hint="eastAsia" w:cs="宋体"/>
                <w:spacing w:val="6"/>
                <w:sz w:val="21"/>
                <w:szCs w:val="21"/>
              </w:rPr>
              <w:t>小型</w:t>
            </w:r>
          </w:p>
        </w:tc>
        <w:tc>
          <w:tcPr>
            <w:tcW w:w="3251" w:type="dxa"/>
            <w:shd w:val="clear" w:color="auto" w:fill="auto"/>
            <w:vAlign w:val="center"/>
          </w:tcPr>
          <w:p w14:paraId="1E637C8C">
            <w:pPr>
              <w:spacing w:line="240" w:lineRule="auto"/>
              <w:jc w:val="center"/>
              <w:rPr>
                <w:rFonts w:cs="宋体"/>
                <w:spacing w:val="6"/>
                <w:sz w:val="21"/>
                <w:szCs w:val="21"/>
              </w:rPr>
            </w:pPr>
            <w:r>
              <w:rPr>
                <w:rFonts w:hint="eastAsia" w:cs="宋体"/>
                <w:spacing w:val="6"/>
                <w:sz w:val="21"/>
                <w:szCs w:val="21"/>
              </w:rPr>
              <w:t>50亿元（含）至200亿元</w:t>
            </w:r>
          </w:p>
        </w:tc>
      </w:tr>
      <w:tr w14:paraId="321B1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1119" w:type="dxa"/>
            <w:vMerge w:val="continue"/>
            <w:vAlign w:val="center"/>
          </w:tcPr>
          <w:p w14:paraId="48FD64F9">
            <w:pPr>
              <w:spacing w:line="240" w:lineRule="auto"/>
              <w:jc w:val="both"/>
              <w:rPr>
                <w:rFonts w:cs="宋体"/>
                <w:spacing w:val="6"/>
                <w:sz w:val="21"/>
                <w:szCs w:val="21"/>
              </w:rPr>
            </w:pPr>
          </w:p>
        </w:tc>
        <w:tc>
          <w:tcPr>
            <w:tcW w:w="1168" w:type="dxa"/>
            <w:vMerge w:val="continue"/>
            <w:vAlign w:val="center"/>
          </w:tcPr>
          <w:p w14:paraId="3C178CC2">
            <w:pPr>
              <w:spacing w:line="240" w:lineRule="auto"/>
              <w:jc w:val="both"/>
              <w:rPr>
                <w:rFonts w:cs="宋体"/>
                <w:spacing w:val="6"/>
                <w:sz w:val="21"/>
                <w:szCs w:val="21"/>
              </w:rPr>
            </w:pPr>
          </w:p>
        </w:tc>
        <w:tc>
          <w:tcPr>
            <w:tcW w:w="1817" w:type="dxa"/>
            <w:vMerge w:val="continue"/>
            <w:vAlign w:val="center"/>
          </w:tcPr>
          <w:p w14:paraId="6E7FC252">
            <w:pPr>
              <w:spacing w:line="240" w:lineRule="auto"/>
              <w:jc w:val="both"/>
              <w:rPr>
                <w:rFonts w:cs="宋体"/>
                <w:spacing w:val="6"/>
                <w:sz w:val="21"/>
                <w:szCs w:val="21"/>
              </w:rPr>
            </w:pPr>
          </w:p>
        </w:tc>
        <w:tc>
          <w:tcPr>
            <w:tcW w:w="1143" w:type="dxa"/>
            <w:shd w:val="clear" w:color="auto" w:fill="auto"/>
            <w:vAlign w:val="center"/>
          </w:tcPr>
          <w:p w14:paraId="364EA772">
            <w:pPr>
              <w:spacing w:line="240" w:lineRule="auto"/>
              <w:jc w:val="center"/>
              <w:rPr>
                <w:rFonts w:cs="宋体"/>
                <w:spacing w:val="6"/>
                <w:sz w:val="21"/>
                <w:szCs w:val="21"/>
              </w:rPr>
            </w:pPr>
            <w:r>
              <w:rPr>
                <w:rFonts w:hint="eastAsia" w:cs="宋体"/>
                <w:spacing w:val="6"/>
                <w:sz w:val="21"/>
                <w:szCs w:val="21"/>
              </w:rPr>
              <w:t>微型</w:t>
            </w:r>
          </w:p>
        </w:tc>
        <w:tc>
          <w:tcPr>
            <w:tcW w:w="3251" w:type="dxa"/>
            <w:vAlign w:val="center"/>
          </w:tcPr>
          <w:p w14:paraId="027A8A5F">
            <w:pPr>
              <w:spacing w:line="240" w:lineRule="auto"/>
              <w:jc w:val="center"/>
              <w:rPr>
                <w:rFonts w:cs="宋体"/>
                <w:spacing w:val="6"/>
                <w:sz w:val="21"/>
                <w:szCs w:val="21"/>
              </w:rPr>
            </w:pPr>
            <w:r>
              <w:rPr>
                <w:rFonts w:hint="eastAsia" w:cs="宋体"/>
                <w:spacing w:val="6"/>
                <w:sz w:val="21"/>
                <w:szCs w:val="21"/>
              </w:rPr>
              <w:t>50亿元以下</w:t>
            </w:r>
          </w:p>
        </w:tc>
      </w:tr>
      <w:tr w14:paraId="37000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1119" w:type="dxa"/>
            <w:vMerge w:val="continue"/>
            <w:vAlign w:val="center"/>
          </w:tcPr>
          <w:p w14:paraId="5528F617">
            <w:pPr>
              <w:spacing w:line="240" w:lineRule="auto"/>
              <w:jc w:val="both"/>
              <w:rPr>
                <w:rFonts w:cs="宋体"/>
                <w:spacing w:val="6"/>
                <w:sz w:val="21"/>
                <w:szCs w:val="21"/>
              </w:rPr>
            </w:pPr>
          </w:p>
        </w:tc>
        <w:tc>
          <w:tcPr>
            <w:tcW w:w="1168" w:type="dxa"/>
            <w:vMerge w:val="continue"/>
            <w:vAlign w:val="center"/>
          </w:tcPr>
          <w:p w14:paraId="1F75B2E3">
            <w:pPr>
              <w:spacing w:line="240" w:lineRule="auto"/>
              <w:jc w:val="both"/>
              <w:rPr>
                <w:rFonts w:cs="宋体"/>
                <w:spacing w:val="6"/>
                <w:sz w:val="21"/>
                <w:szCs w:val="21"/>
              </w:rPr>
            </w:pPr>
          </w:p>
        </w:tc>
        <w:tc>
          <w:tcPr>
            <w:tcW w:w="1817" w:type="dxa"/>
            <w:vMerge w:val="restart"/>
            <w:vAlign w:val="center"/>
          </w:tcPr>
          <w:p w14:paraId="015C82D7">
            <w:pPr>
              <w:spacing w:line="240" w:lineRule="auto"/>
              <w:jc w:val="both"/>
              <w:rPr>
                <w:rFonts w:cs="宋体"/>
                <w:spacing w:val="6"/>
                <w:sz w:val="21"/>
                <w:szCs w:val="21"/>
              </w:rPr>
            </w:pPr>
            <w:r>
              <w:rPr>
                <w:rFonts w:hint="eastAsia" w:cs="宋体"/>
                <w:spacing w:val="6"/>
                <w:sz w:val="21"/>
                <w:szCs w:val="21"/>
              </w:rPr>
              <w:t>贷款公司、小额贷款公司及典当行</w:t>
            </w:r>
          </w:p>
        </w:tc>
        <w:tc>
          <w:tcPr>
            <w:tcW w:w="1143" w:type="dxa"/>
            <w:shd w:val="clear" w:color="auto" w:fill="auto"/>
            <w:vAlign w:val="center"/>
          </w:tcPr>
          <w:p w14:paraId="55141373">
            <w:pPr>
              <w:spacing w:line="240" w:lineRule="auto"/>
              <w:jc w:val="center"/>
              <w:rPr>
                <w:rFonts w:cs="宋体"/>
                <w:spacing w:val="6"/>
                <w:sz w:val="21"/>
                <w:szCs w:val="21"/>
              </w:rPr>
            </w:pPr>
            <w:r>
              <w:rPr>
                <w:rFonts w:hint="eastAsia" w:cs="宋体"/>
                <w:spacing w:val="6"/>
                <w:sz w:val="21"/>
                <w:szCs w:val="21"/>
              </w:rPr>
              <w:t>中型</w:t>
            </w:r>
          </w:p>
        </w:tc>
        <w:tc>
          <w:tcPr>
            <w:tcW w:w="3251" w:type="dxa"/>
            <w:shd w:val="clear" w:color="auto" w:fill="auto"/>
            <w:vAlign w:val="center"/>
          </w:tcPr>
          <w:p w14:paraId="7E3AF618">
            <w:pPr>
              <w:spacing w:line="240" w:lineRule="auto"/>
              <w:jc w:val="center"/>
              <w:rPr>
                <w:rFonts w:cs="宋体"/>
                <w:spacing w:val="6"/>
                <w:sz w:val="21"/>
                <w:szCs w:val="21"/>
              </w:rPr>
            </w:pPr>
            <w:r>
              <w:rPr>
                <w:rFonts w:hint="eastAsia" w:cs="宋体"/>
                <w:spacing w:val="6"/>
                <w:sz w:val="21"/>
                <w:szCs w:val="21"/>
              </w:rPr>
              <w:t>200亿元（含）至1000亿元</w:t>
            </w:r>
          </w:p>
        </w:tc>
      </w:tr>
      <w:tr w14:paraId="12CEB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1119" w:type="dxa"/>
            <w:vMerge w:val="continue"/>
            <w:vAlign w:val="center"/>
          </w:tcPr>
          <w:p w14:paraId="16515AA8">
            <w:pPr>
              <w:spacing w:line="240" w:lineRule="auto"/>
              <w:jc w:val="both"/>
              <w:rPr>
                <w:rFonts w:cs="宋体"/>
                <w:spacing w:val="6"/>
                <w:sz w:val="21"/>
                <w:szCs w:val="21"/>
              </w:rPr>
            </w:pPr>
          </w:p>
        </w:tc>
        <w:tc>
          <w:tcPr>
            <w:tcW w:w="1168" w:type="dxa"/>
            <w:vMerge w:val="continue"/>
            <w:vAlign w:val="center"/>
          </w:tcPr>
          <w:p w14:paraId="4A0FA251">
            <w:pPr>
              <w:spacing w:line="240" w:lineRule="auto"/>
              <w:jc w:val="both"/>
              <w:rPr>
                <w:rFonts w:cs="宋体"/>
                <w:spacing w:val="6"/>
                <w:sz w:val="21"/>
                <w:szCs w:val="21"/>
              </w:rPr>
            </w:pPr>
          </w:p>
        </w:tc>
        <w:tc>
          <w:tcPr>
            <w:tcW w:w="1817" w:type="dxa"/>
            <w:vMerge w:val="continue"/>
            <w:vAlign w:val="center"/>
          </w:tcPr>
          <w:p w14:paraId="54D2DB9C">
            <w:pPr>
              <w:spacing w:line="240" w:lineRule="auto"/>
              <w:jc w:val="both"/>
              <w:rPr>
                <w:rFonts w:cs="宋体"/>
                <w:spacing w:val="6"/>
                <w:sz w:val="21"/>
                <w:szCs w:val="21"/>
              </w:rPr>
            </w:pPr>
          </w:p>
        </w:tc>
        <w:tc>
          <w:tcPr>
            <w:tcW w:w="1143" w:type="dxa"/>
            <w:shd w:val="clear" w:color="auto" w:fill="auto"/>
            <w:vAlign w:val="center"/>
          </w:tcPr>
          <w:p w14:paraId="383FD5E0">
            <w:pPr>
              <w:spacing w:line="240" w:lineRule="auto"/>
              <w:jc w:val="center"/>
              <w:rPr>
                <w:rFonts w:cs="宋体"/>
                <w:spacing w:val="6"/>
                <w:sz w:val="21"/>
                <w:szCs w:val="21"/>
              </w:rPr>
            </w:pPr>
            <w:r>
              <w:rPr>
                <w:rFonts w:hint="eastAsia" w:cs="宋体"/>
                <w:spacing w:val="6"/>
                <w:sz w:val="21"/>
                <w:szCs w:val="21"/>
              </w:rPr>
              <w:t>小型</w:t>
            </w:r>
          </w:p>
        </w:tc>
        <w:tc>
          <w:tcPr>
            <w:tcW w:w="3251" w:type="dxa"/>
            <w:shd w:val="clear" w:color="auto" w:fill="auto"/>
            <w:vAlign w:val="center"/>
          </w:tcPr>
          <w:p w14:paraId="03FCC2ED">
            <w:pPr>
              <w:spacing w:line="240" w:lineRule="auto"/>
              <w:jc w:val="center"/>
              <w:rPr>
                <w:rFonts w:cs="宋体"/>
                <w:spacing w:val="6"/>
                <w:sz w:val="21"/>
                <w:szCs w:val="21"/>
              </w:rPr>
            </w:pPr>
            <w:r>
              <w:rPr>
                <w:rFonts w:hint="eastAsia" w:cs="宋体"/>
                <w:spacing w:val="6"/>
                <w:sz w:val="21"/>
                <w:szCs w:val="21"/>
              </w:rPr>
              <w:t>50亿元（含）至200亿元</w:t>
            </w:r>
          </w:p>
        </w:tc>
      </w:tr>
      <w:tr w14:paraId="3F9A2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1119" w:type="dxa"/>
            <w:vMerge w:val="continue"/>
            <w:vAlign w:val="center"/>
          </w:tcPr>
          <w:p w14:paraId="2003349E">
            <w:pPr>
              <w:spacing w:line="240" w:lineRule="auto"/>
              <w:jc w:val="both"/>
              <w:rPr>
                <w:rFonts w:cs="宋体"/>
                <w:spacing w:val="6"/>
                <w:sz w:val="21"/>
                <w:szCs w:val="21"/>
              </w:rPr>
            </w:pPr>
          </w:p>
        </w:tc>
        <w:tc>
          <w:tcPr>
            <w:tcW w:w="1168" w:type="dxa"/>
            <w:vMerge w:val="continue"/>
            <w:vAlign w:val="center"/>
          </w:tcPr>
          <w:p w14:paraId="36065788">
            <w:pPr>
              <w:spacing w:line="240" w:lineRule="auto"/>
              <w:jc w:val="both"/>
              <w:rPr>
                <w:rFonts w:cs="宋体"/>
                <w:spacing w:val="6"/>
                <w:sz w:val="21"/>
                <w:szCs w:val="21"/>
              </w:rPr>
            </w:pPr>
          </w:p>
        </w:tc>
        <w:tc>
          <w:tcPr>
            <w:tcW w:w="1817" w:type="dxa"/>
            <w:vMerge w:val="continue"/>
            <w:vAlign w:val="center"/>
          </w:tcPr>
          <w:p w14:paraId="2C58D6D9">
            <w:pPr>
              <w:spacing w:line="240" w:lineRule="auto"/>
              <w:jc w:val="both"/>
              <w:rPr>
                <w:rFonts w:cs="宋体"/>
                <w:spacing w:val="6"/>
                <w:sz w:val="21"/>
                <w:szCs w:val="21"/>
              </w:rPr>
            </w:pPr>
          </w:p>
        </w:tc>
        <w:tc>
          <w:tcPr>
            <w:tcW w:w="1143" w:type="dxa"/>
            <w:shd w:val="clear" w:color="auto" w:fill="auto"/>
            <w:vAlign w:val="center"/>
          </w:tcPr>
          <w:p w14:paraId="6736FF86">
            <w:pPr>
              <w:spacing w:line="240" w:lineRule="auto"/>
              <w:jc w:val="center"/>
              <w:rPr>
                <w:rFonts w:cs="宋体"/>
                <w:spacing w:val="6"/>
                <w:sz w:val="21"/>
                <w:szCs w:val="21"/>
              </w:rPr>
            </w:pPr>
            <w:r>
              <w:rPr>
                <w:rFonts w:hint="eastAsia" w:cs="宋体"/>
                <w:spacing w:val="6"/>
                <w:sz w:val="21"/>
                <w:szCs w:val="21"/>
              </w:rPr>
              <w:t>微型</w:t>
            </w:r>
          </w:p>
        </w:tc>
        <w:tc>
          <w:tcPr>
            <w:tcW w:w="3251" w:type="dxa"/>
            <w:shd w:val="clear" w:color="auto" w:fill="auto"/>
            <w:vAlign w:val="center"/>
          </w:tcPr>
          <w:p w14:paraId="43F59677">
            <w:pPr>
              <w:spacing w:line="240" w:lineRule="auto"/>
              <w:jc w:val="center"/>
              <w:rPr>
                <w:rFonts w:cs="宋体"/>
                <w:spacing w:val="6"/>
                <w:sz w:val="21"/>
                <w:szCs w:val="21"/>
              </w:rPr>
            </w:pPr>
            <w:r>
              <w:rPr>
                <w:rFonts w:hint="eastAsia" w:cs="宋体"/>
                <w:spacing w:val="6"/>
                <w:sz w:val="21"/>
                <w:szCs w:val="21"/>
              </w:rPr>
              <w:t>50亿元以下</w:t>
            </w:r>
          </w:p>
        </w:tc>
      </w:tr>
      <w:tr w14:paraId="267CD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2287" w:type="dxa"/>
            <w:gridSpan w:val="2"/>
            <w:vMerge w:val="restart"/>
            <w:vAlign w:val="center"/>
          </w:tcPr>
          <w:p w14:paraId="17754C16">
            <w:pPr>
              <w:spacing w:line="240" w:lineRule="auto"/>
              <w:jc w:val="both"/>
              <w:rPr>
                <w:rFonts w:cs="宋体"/>
                <w:spacing w:val="6"/>
                <w:sz w:val="21"/>
                <w:szCs w:val="21"/>
              </w:rPr>
            </w:pPr>
            <w:r>
              <w:rPr>
                <w:rFonts w:hint="eastAsia" w:cs="宋体"/>
                <w:spacing w:val="6"/>
                <w:sz w:val="21"/>
                <w:szCs w:val="21"/>
              </w:rPr>
              <w:t>资本市场服务</w:t>
            </w:r>
          </w:p>
        </w:tc>
        <w:tc>
          <w:tcPr>
            <w:tcW w:w="1817" w:type="dxa"/>
            <w:vMerge w:val="restart"/>
            <w:vAlign w:val="center"/>
          </w:tcPr>
          <w:p w14:paraId="09F4A896">
            <w:pPr>
              <w:spacing w:line="240" w:lineRule="auto"/>
              <w:jc w:val="both"/>
              <w:rPr>
                <w:rFonts w:cs="宋体"/>
                <w:spacing w:val="6"/>
                <w:sz w:val="21"/>
                <w:szCs w:val="21"/>
              </w:rPr>
            </w:pPr>
            <w:r>
              <w:rPr>
                <w:rFonts w:hint="eastAsia" w:cs="宋体"/>
                <w:spacing w:val="6"/>
                <w:sz w:val="21"/>
                <w:szCs w:val="21"/>
              </w:rPr>
              <w:t>证券业金融机构</w:t>
            </w:r>
          </w:p>
        </w:tc>
        <w:tc>
          <w:tcPr>
            <w:tcW w:w="1143" w:type="dxa"/>
            <w:shd w:val="clear" w:color="auto" w:fill="auto"/>
            <w:vAlign w:val="center"/>
          </w:tcPr>
          <w:p w14:paraId="09F425A3">
            <w:pPr>
              <w:spacing w:line="240" w:lineRule="auto"/>
              <w:jc w:val="center"/>
              <w:rPr>
                <w:rFonts w:cs="宋体"/>
                <w:spacing w:val="6"/>
                <w:sz w:val="21"/>
                <w:szCs w:val="21"/>
              </w:rPr>
            </w:pPr>
            <w:r>
              <w:rPr>
                <w:rFonts w:hint="eastAsia" w:cs="宋体"/>
                <w:spacing w:val="6"/>
                <w:sz w:val="21"/>
                <w:szCs w:val="21"/>
              </w:rPr>
              <w:t>中型</w:t>
            </w:r>
          </w:p>
        </w:tc>
        <w:tc>
          <w:tcPr>
            <w:tcW w:w="3251" w:type="dxa"/>
            <w:shd w:val="clear" w:color="auto" w:fill="auto"/>
            <w:vAlign w:val="center"/>
          </w:tcPr>
          <w:p w14:paraId="765498F5">
            <w:pPr>
              <w:spacing w:line="240" w:lineRule="auto"/>
              <w:jc w:val="center"/>
              <w:rPr>
                <w:rFonts w:cs="宋体"/>
                <w:spacing w:val="6"/>
                <w:sz w:val="21"/>
                <w:szCs w:val="21"/>
              </w:rPr>
            </w:pPr>
            <w:r>
              <w:rPr>
                <w:rFonts w:hint="eastAsia" w:cs="宋体"/>
                <w:spacing w:val="6"/>
                <w:sz w:val="21"/>
                <w:szCs w:val="21"/>
              </w:rPr>
              <w:t>100亿元（含）至1000亿元</w:t>
            </w:r>
          </w:p>
        </w:tc>
      </w:tr>
      <w:tr w14:paraId="56E7B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2287" w:type="dxa"/>
            <w:gridSpan w:val="2"/>
            <w:vMerge w:val="continue"/>
            <w:vAlign w:val="center"/>
          </w:tcPr>
          <w:p w14:paraId="1E87BD51">
            <w:pPr>
              <w:spacing w:line="240" w:lineRule="auto"/>
              <w:jc w:val="both"/>
              <w:rPr>
                <w:rFonts w:cs="宋体"/>
                <w:spacing w:val="6"/>
                <w:sz w:val="21"/>
                <w:szCs w:val="21"/>
              </w:rPr>
            </w:pPr>
          </w:p>
        </w:tc>
        <w:tc>
          <w:tcPr>
            <w:tcW w:w="1817" w:type="dxa"/>
            <w:vMerge w:val="continue"/>
            <w:vAlign w:val="center"/>
          </w:tcPr>
          <w:p w14:paraId="58769F98">
            <w:pPr>
              <w:spacing w:line="240" w:lineRule="auto"/>
              <w:jc w:val="both"/>
              <w:rPr>
                <w:rFonts w:cs="宋体"/>
                <w:spacing w:val="6"/>
                <w:sz w:val="21"/>
                <w:szCs w:val="21"/>
              </w:rPr>
            </w:pPr>
          </w:p>
        </w:tc>
        <w:tc>
          <w:tcPr>
            <w:tcW w:w="1143" w:type="dxa"/>
            <w:shd w:val="clear" w:color="auto" w:fill="auto"/>
            <w:vAlign w:val="center"/>
          </w:tcPr>
          <w:p w14:paraId="59D57BE2">
            <w:pPr>
              <w:spacing w:line="240" w:lineRule="auto"/>
              <w:jc w:val="center"/>
              <w:rPr>
                <w:rFonts w:cs="宋体"/>
                <w:spacing w:val="6"/>
                <w:sz w:val="21"/>
                <w:szCs w:val="21"/>
              </w:rPr>
            </w:pPr>
            <w:r>
              <w:rPr>
                <w:rFonts w:hint="eastAsia" w:cs="宋体"/>
                <w:spacing w:val="6"/>
                <w:sz w:val="21"/>
                <w:szCs w:val="21"/>
              </w:rPr>
              <w:t>小型</w:t>
            </w:r>
          </w:p>
        </w:tc>
        <w:tc>
          <w:tcPr>
            <w:tcW w:w="3251" w:type="dxa"/>
            <w:shd w:val="clear" w:color="auto" w:fill="auto"/>
            <w:vAlign w:val="center"/>
          </w:tcPr>
          <w:p w14:paraId="6DFE7BFE">
            <w:pPr>
              <w:spacing w:line="240" w:lineRule="auto"/>
              <w:jc w:val="center"/>
              <w:rPr>
                <w:rFonts w:cs="宋体"/>
                <w:spacing w:val="6"/>
                <w:sz w:val="21"/>
                <w:szCs w:val="21"/>
              </w:rPr>
            </w:pPr>
            <w:r>
              <w:rPr>
                <w:rFonts w:hint="eastAsia" w:cs="宋体"/>
                <w:spacing w:val="6"/>
                <w:sz w:val="21"/>
                <w:szCs w:val="21"/>
              </w:rPr>
              <w:t>10亿元（含）至100亿元</w:t>
            </w:r>
          </w:p>
        </w:tc>
      </w:tr>
      <w:tr w14:paraId="44EE8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2287" w:type="dxa"/>
            <w:gridSpan w:val="2"/>
            <w:vMerge w:val="continue"/>
            <w:vAlign w:val="center"/>
          </w:tcPr>
          <w:p w14:paraId="12AC8873">
            <w:pPr>
              <w:spacing w:line="240" w:lineRule="auto"/>
              <w:jc w:val="both"/>
              <w:rPr>
                <w:rFonts w:cs="宋体"/>
                <w:spacing w:val="6"/>
                <w:sz w:val="21"/>
                <w:szCs w:val="21"/>
              </w:rPr>
            </w:pPr>
          </w:p>
        </w:tc>
        <w:tc>
          <w:tcPr>
            <w:tcW w:w="1817" w:type="dxa"/>
            <w:vMerge w:val="continue"/>
            <w:vAlign w:val="center"/>
          </w:tcPr>
          <w:p w14:paraId="7FFB6F27">
            <w:pPr>
              <w:spacing w:line="240" w:lineRule="auto"/>
              <w:jc w:val="both"/>
              <w:rPr>
                <w:rFonts w:cs="宋体"/>
                <w:spacing w:val="6"/>
                <w:sz w:val="21"/>
                <w:szCs w:val="21"/>
              </w:rPr>
            </w:pPr>
          </w:p>
        </w:tc>
        <w:tc>
          <w:tcPr>
            <w:tcW w:w="1143" w:type="dxa"/>
            <w:shd w:val="clear" w:color="auto" w:fill="auto"/>
            <w:vAlign w:val="center"/>
          </w:tcPr>
          <w:p w14:paraId="6BE42107">
            <w:pPr>
              <w:spacing w:line="240" w:lineRule="auto"/>
              <w:jc w:val="center"/>
              <w:rPr>
                <w:rFonts w:cs="宋体"/>
                <w:spacing w:val="6"/>
                <w:sz w:val="21"/>
                <w:szCs w:val="21"/>
              </w:rPr>
            </w:pPr>
            <w:r>
              <w:rPr>
                <w:rFonts w:hint="eastAsia" w:cs="宋体"/>
                <w:spacing w:val="6"/>
                <w:sz w:val="21"/>
                <w:szCs w:val="21"/>
              </w:rPr>
              <w:t>微型</w:t>
            </w:r>
          </w:p>
        </w:tc>
        <w:tc>
          <w:tcPr>
            <w:tcW w:w="3251" w:type="dxa"/>
            <w:shd w:val="clear" w:color="auto" w:fill="auto"/>
            <w:vAlign w:val="center"/>
          </w:tcPr>
          <w:p w14:paraId="29D3FF1B">
            <w:pPr>
              <w:spacing w:line="240" w:lineRule="auto"/>
              <w:jc w:val="center"/>
              <w:rPr>
                <w:rFonts w:cs="宋体"/>
                <w:spacing w:val="6"/>
                <w:sz w:val="21"/>
                <w:szCs w:val="21"/>
              </w:rPr>
            </w:pPr>
            <w:r>
              <w:rPr>
                <w:rFonts w:hint="eastAsia" w:cs="宋体"/>
                <w:spacing w:val="6"/>
                <w:sz w:val="21"/>
                <w:szCs w:val="21"/>
              </w:rPr>
              <w:t>10亿元以下</w:t>
            </w:r>
          </w:p>
        </w:tc>
      </w:tr>
      <w:tr w14:paraId="5091D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2287" w:type="dxa"/>
            <w:gridSpan w:val="2"/>
            <w:vMerge w:val="restart"/>
            <w:vAlign w:val="center"/>
          </w:tcPr>
          <w:p w14:paraId="0DF75A3D">
            <w:pPr>
              <w:spacing w:line="240" w:lineRule="auto"/>
              <w:jc w:val="both"/>
              <w:rPr>
                <w:rFonts w:cs="宋体"/>
                <w:spacing w:val="6"/>
                <w:sz w:val="21"/>
                <w:szCs w:val="21"/>
              </w:rPr>
            </w:pPr>
            <w:r>
              <w:rPr>
                <w:rFonts w:hint="eastAsia" w:cs="宋体"/>
                <w:spacing w:val="6"/>
                <w:sz w:val="21"/>
                <w:szCs w:val="21"/>
              </w:rPr>
              <w:t>保险业</w:t>
            </w:r>
          </w:p>
        </w:tc>
        <w:tc>
          <w:tcPr>
            <w:tcW w:w="1817" w:type="dxa"/>
            <w:vMerge w:val="restart"/>
            <w:vAlign w:val="center"/>
          </w:tcPr>
          <w:p w14:paraId="654D916D">
            <w:pPr>
              <w:spacing w:line="240" w:lineRule="auto"/>
              <w:jc w:val="both"/>
              <w:rPr>
                <w:rFonts w:cs="宋体"/>
                <w:spacing w:val="6"/>
                <w:sz w:val="21"/>
                <w:szCs w:val="21"/>
              </w:rPr>
            </w:pPr>
            <w:r>
              <w:rPr>
                <w:rFonts w:hint="eastAsia" w:cs="宋体"/>
                <w:spacing w:val="6"/>
                <w:sz w:val="21"/>
                <w:szCs w:val="21"/>
              </w:rPr>
              <w:t>保险业金融机构</w:t>
            </w:r>
          </w:p>
        </w:tc>
        <w:tc>
          <w:tcPr>
            <w:tcW w:w="1143" w:type="dxa"/>
            <w:shd w:val="clear" w:color="auto" w:fill="auto"/>
            <w:vAlign w:val="center"/>
          </w:tcPr>
          <w:p w14:paraId="6BD0F66F">
            <w:pPr>
              <w:spacing w:line="240" w:lineRule="auto"/>
              <w:jc w:val="center"/>
              <w:rPr>
                <w:rFonts w:cs="宋体"/>
                <w:spacing w:val="6"/>
                <w:sz w:val="21"/>
                <w:szCs w:val="21"/>
              </w:rPr>
            </w:pPr>
            <w:r>
              <w:rPr>
                <w:rFonts w:hint="eastAsia" w:cs="宋体"/>
                <w:spacing w:val="6"/>
                <w:sz w:val="21"/>
                <w:szCs w:val="21"/>
              </w:rPr>
              <w:t>中型</w:t>
            </w:r>
          </w:p>
        </w:tc>
        <w:tc>
          <w:tcPr>
            <w:tcW w:w="3251" w:type="dxa"/>
            <w:shd w:val="clear" w:color="auto" w:fill="auto"/>
            <w:vAlign w:val="center"/>
          </w:tcPr>
          <w:p w14:paraId="4A8AF97C">
            <w:pPr>
              <w:spacing w:line="240" w:lineRule="auto"/>
              <w:jc w:val="center"/>
              <w:rPr>
                <w:rFonts w:cs="宋体"/>
                <w:spacing w:val="6"/>
                <w:sz w:val="21"/>
                <w:szCs w:val="21"/>
              </w:rPr>
            </w:pPr>
            <w:r>
              <w:rPr>
                <w:rFonts w:hint="eastAsia" w:cs="宋体"/>
                <w:spacing w:val="6"/>
                <w:sz w:val="21"/>
                <w:szCs w:val="21"/>
              </w:rPr>
              <w:t>400亿元（含）至5000亿元</w:t>
            </w:r>
          </w:p>
        </w:tc>
      </w:tr>
      <w:tr w14:paraId="54BE7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2287" w:type="dxa"/>
            <w:gridSpan w:val="2"/>
            <w:vMerge w:val="continue"/>
            <w:vAlign w:val="center"/>
          </w:tcPr>
          <w:p w14:paraId="063CA006">
            <w:pPr>
              <w:spacing w:line="240" w:lineRule="auto"/>
              <w:jc w:val="both"/>
              <w:rPr>
                <w:rFonts w:cs="宋体"/>
                <w:spacing w:val="6"/>
                <w:sz w:val="21"/>
                <w:szCs w:val="21"/>
              </w:rPr>
            </w:pPr>
          </w:p>
        </w:tc>
        <w:tc>
          <w:tcPr>
            <w:tcW w:w="1817" w:type="dxa"/>
            <w:vMerge w:val="continue"/>
            <w:vAlign w:val="center"/>
          </w:tcPr>
          <w:p w14:paraId="5ED3AD11">
            <w:pPr>
              <w:spacing w:line="240" w:lineRule="auto"/>
              <w:jc w:val="both"/>
              <w:rPr>
                <w:rFonts w:cs="宋体"/>
                <w:spacing w:val="6"/>
                <w:sz w:val="21"/>
                <w:szCs w:val="21"/>
              </w:rPr>
            </w:pPr>
          </w:p>
        </w:tc>
        <w:tc>
          <w:tcPr>
            <w:tcW w:w="1143" w:type="dxa"/>
            <w:shd w:val="clear" w:color="auto" w:fill="auto"/>
            <w:vAlign w:val="center"/>
          </w:tcPr>
          <w:p w14:paraId="79A3496D">
            <w:pPr>
              <w:spacing w:line="240" w:lineRule="auto"/>
              <w:jc w:val="center"/>
              <w:rPr>
                <w:rFonts w:cs="宋体"/>
                <w:spacing w:val="6"/>
                <w:sz w:val="21"/>
                <w:szCs w:val="21"/>
              </w:rPr>
            </w:pPr>
            <w:r>
              <w:rPr>
                <w:rFonts w:hint="eastAsia" w:cs="宋体"/>
                <w:spacing w:val="6"/>
                <w:sz w:val="21"/>
                <w:szCs w:val="21"/>
              </w:rPr>
              <w:t>小型</w:t>
            </w:r>
          </w:p>
        </w:tc>
        <w:tc>
          <w:tcPr>
            <w:tcW w:w="3251" w:type="dxa"/>
            <w:shd w:val="clear" w:color="auto" w:fill="auto"/>
            <w:vAlign w:val="center"/>
          </w:tcPr>
          <w:p w14:paraId="0844DC27">
            <w:pPr>
              <w:spacing w:line="240" w:lineRule="auto"/>
              <w:jc w:val="center"/>
              <w:rPr>
                <w:rFonts w:cs="宋体"/>
                <w:spacing w:val="6"/>
                <w:sz w:val="21"/>
                <w:szCs w:val="21"/>
              </w:rPr>
            </w:pPr>
            <w:r>
              <w:rPr>
                <w:rFonts w:hint="eastAsia" w:cs="宋体"/>
                <w:spacing w:val="6"/>
                <w:sz w:val="21"/>
                <w:szCs w:val="21"/>
              </w:rPr>
              <w:t>20亿元（含）至400亿元</w:t>
            </w:r>
          </w:p>
        </w:tc>
      </w:tr>
      <w:tr w14:paraId="64AFB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2287" w:type="dxa"/>
            <w:gridSpan w:val="2"/>
            <w:vMerge w:val="continue"/>
            <w:vAlign w:val="center"/>
          </w:tcPr>
          <w:p w14:paraId="2A5702BC">
            <w:pPr>
              <w:spacing w:line="240" w:lineRule="auto"/>
              <w:jc w:val="both"/>
              <w:rPr>
                <w:rFonts w:cs="宋体"/>
                <w:spacing w:val="6"/>
                <w:sz w:val="21"/>
                <w:szCs w:val="21"/>
              </w:rPr>
            </w:pPr>
          </w:p>
        </w:tc>
        <w:tc>
          <w:tcPr>
            <w:tcW w:w="1817" w:type="dxa"/>
            <w:vMerge w:val="continue"/>
            <w:vAlign w:val="center"/>
          </w:tcPr>
          <w:p w14:paraId="6710B724">
            <w:pPr>
              <w:spacing w:line="240" w:lineRule="auto"/>
              <w:jc w:val="both"/>
              <w:rPr>
                <w:rFonts w:cs="宋体"/>
                <w:spacing w:val="6"/>
                <w:sz w:val="21"/>
                <w:szCs w:val="21"/>
              </w:rPr>
            </w:pPr>
          </w:p>
        </w:tc>
        <w:tc>
          <w:tcPr>
            <w:tcW w:w="1143" w:type="dxa"/>
            <w:shd w:val="clear" w:color="auto" w:fill="auto"/>
            <w:vAlign w:val="center"/>
          </w:tcPr>
          <w:p w14:paraId="074EDFE9">
            <w:pPr>
              <w:spacing w:line="240" w:lineRule="auto"/>
              <w:jc w:val="center"/>
              <w:rPr>
                <w:rFonts w:cs="宋体"/>
                <w:spacing w:val="6"/>
                <w:sz w:val="21"/>
                <w:szCs w:val="21"/>
              </w:rPr>
            </w:pPr>
            <w:r>
              <w:rPr>
                <w:rFonts w:hint="eastAsia" w:cs="宋体"/>
                <w:spacing w:val="6"/>
                <w:sz w:val="21"/>
                <w:szCs w:val="21"/>
              </w:rPr>
              <w:t>微型</w:t>
            </w:r>
          </w:p>
        </w:tc>
        <w:tc>
          <w:tcPr>
            <w:tcW w:w="3251" w:type="dxa"/>
            <w:shd w:val="clear" w:color="auto" w:fill="auto"/>
            <w:vAlign w:val="center"/>
          </w:tcPr>
          <w:p w14:paraId="77F09C79">
            <w:pPr>
              <w:spacing w:line="240" w:lineRule="auto"/>
              <w:jc w:val="center"/>
              <w:rPr>
                <w:rFonts w:cs="宋体"/>
                <w:spacing w:val="6"/>
                <w:sz w:val="21"/>
                <w:szCs w:val="21"/>
              </w:rPr>
            </w:pPr>
            <w:r>
              <w:rPr>
                <w:rFonts w:hint="eastAsia" w:cs="宋体"/>
                <w:spacing w:val="6"/>
                <w:sz w:val="21"/>
                <w:szCs w:val="21"/>
              </w:rPr>
              <w:t>20亿元以下</w:t>
            </w:r>
          </w:p>
        </w:tc>
      </w:tr>
      <w:tr w14:paraId="4B1A1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1119" w:type="dxa"/>
            <w:vMerge w:val="restart"/>
            <w:vAlign w:val="center"/>
          </w:tcPr>
          <w:p w14:paraId="44CA4BFE">
            <w:pPr>
              <w:spacing w:line="240" w:lineRule="auto"/>
              <w:jc w:val="both"/>
              <w:rPr>
                <w:rFonts w:cs="宋体"/>
                <w:spacing w:val="6"/>
                <w:sz w:val="21"/>
                <w:szCs w:val="21"/>
              </w:rPr>
            </w:pPr>
            <w:r>
              <w:rPr>
                <w:rFonts w:hint="eastAsia" w:cs="宋体"/>
                <w:spacing w:val="6"/>
                <w:sz w:val="21"/>
                <w:szCs w:val="21"/>
              </w:rPr>
              <w:t>其他金融业</w:t>
            </w:r>
          </w:p>
        </w:tc>
        <w:tc>
          <w:tcPr>
            <w:tcW w:w="1168" w:type="dxa"/>
            <w:vMerge w:val="restart"/>
            <w:vAlign w:val="center"/>
          </w:tcPr>
          <w:p w14:paraId="1FD22CA3">
            <w:pPr>
              <w:spacing w:line="240" w:lineRule="auto"/>
              <w:jc w:val="both"/>
              <w:rPr>
                <w:rFonts w:cs="宋体"/>
                <w:spacing w:val="6"/>
                <w:sz w:val="21"/>
                <w:szCs w:val="21"/>
              </w:rPr>
            </w:pPr>
            <w:r>
              <w:rPr>
                <w:rFonts w:hint="eastAsia" w:cs="宋体"/>
                <w:spacing w:val="6"/>
                <w:sz w:val="21"/>
                <w:szCs w:val="21"/>
              </w:rPr>
              <w:t>金融信托与管理服务</w:t>
            </w:r>
          </w:p>
        </w:tc>
        <w:tc>
          <w:tcPr>
            <w:tcW w:w="1817" w:type="dxa"/>
            <w:vMerge w:val="restart"/>
            <w:vAlign w:val="center"/>
          </w:tcPr>
          <w:p w14:paraId="5D072921">
            <w:pPr>
              <w:spacing w:line="240" w:lineRule="auto"/>
              <w:jc w:val="both"/>
              <w:rPr>
                <w:rFonts w:cs="宋体"/>
                <w:spacing w:val="6"/>
                <w:sz w:val="21"/>
                <w:szCs w:val="21"/>
              </w:rPr>
            </w:pPr>
            <w:r>
              <w:rPr>
                <w:rFonts w:hint="eastAsia" w:cs="宋体"/>
                <w:spacing w:val="6"/>
                <w:sz w:val="21"/>
                <w:szCs w:val="21"/>
              </w:rPr>
              <w:t>信托公司</w:t>
            </w:r>
          </w:p>
        </w:tc>
        <w:tc>
          <w:tcPr>
            <w:tcW w:w="1143" w:type="dxa"/>
            <w:shd w:val="clear" w:color="auto" w:fill="auto"/>
            <w:vAlign w:val="center"/>
          </w:tcPr>
          <w:p w14:paraId="76C1AE80">
            <w:pPr>
              <w:spacing w:line="240" w:lineRule="auto"/>
              <w:jc w:val="center"/>
              <w:rPr>
                <w:rFonts w:cs="宋体"/>
                <w:spacing w:val="6"/>
                <w:sz w:val="21"/>
                <w:szCs w:val="21"/>
              </w:rPr>
            </w:pPr>
            <w:r>
              <w:rPr>
                <w:rFonts w:hint="eastAsia" w:cs="宋体"/>
                <w:spacing w:val="6"/>
                <w:sz w:val="21"/>
                <w:szCs w:val="21"/>
              </w:rPr>
              <w:t>中型</w:t>
            </w:r>
          </w:p>
        </w:tc>
        <w:tc>
          <w:tcPr>
            <w:tcW w:w="3251" w:type="dxa"/>
            <w:shd w:val="clear" w:color="auto" w:fill="auto"/>
            <w:vAlign w:val="center"/>
          </w:tcPr>
          <w:p w14:paraId="7F506AB1">
            <w:pPr>
              <w:spacing w:line="240" w:lineRule="auto"/>
              <w:jc w:val="center"/>
              <w:rPr>
                <w:rFonts w:cs="宋体"/>
                <w:spacing w:val="6"/>
                <w:sz w:val="21"/>
                <w:szCs w:val="21"/>
              </w:rPr>
            </w:pPr>
            <w:r>
              <w:rPr>
                <w:rFonts w:hint="eastAsia" w:cs="宋体"/>
                <w:spacing w:val="6"/>
                <w:sz w:val="21"/>
                <w:szCs w:val="21"/>
              </w:rPr>
              <w:t>400亿元（含）至1000亿元</w:t>
            </w:r>
          </w:p>
        </w:tc>
      </w:tr>
      <w:tr w14:paraId="00FD0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1119" w:type="dxa"/>
            <w:vMerge w:val="continue"/>
            <w:vAlign w:val="center"/>
          </w:tcPr>
          <w:p w14:paraId="429C7967">
            <w:pPr>
              <w:spacing w:line="240" w:lineRule="auto"/>
              <w:jc w:val="both"/>
              <w:rPr>
                <w:rFonts w:cs="宋体"/>
                <w:spacing w:val="6"/>
                <w:sz w:val="21"/>
                <w:szCs w:val="21"/>
              </w:rPr>
            </w:pPr>
          </w:p>
        </w:tc>
        <w:tc>
          <w:tcPr>
            <w:tcW w:w="1168" w:type="dxa"/>
            <w:vMerge w:val="continue"/>
            <w:vAlign w:val="center"/>
          </w:tcPr>
          <w:p w14:paraId="07EA2D1A">
            <w:pPr>
              <w:spacing w:line="240" w:lineRule="auto"/>
              <w:jc w:val="both"/>
              <w:rPr>
                <w:rFonts w:cs="宋体"/>
                <w:spacing w:val="6"/>
                <w:sz w:val="21"/>
                <w:szCs w:val="21"/>
              </w:rPr>
            </w:pPr>
          </w:p>
        </w:tc>
        <w:tc>
          <w:tcPr>
            <w:tcW w:w="1817" w:type="dxa"/>
            <w:vMerge w:val="continue"/>
            <w:vAlign w:val="center"/>
          </w:tcPr>
          <w:p w14:paraId="3DD0F944">
            <w:pPr>
              <w:spacing w:line="240" w:lineRule="auto"/>
              <w:jc w:val="both"/>
              <w:rPr>
                <w:rFonts w:cs="宋体"/>
                <w:spacing w:val="6"/>
                <w:sz w:val="21"/>
                <w:szCs w:val="21"/>
              </w:rPr>
            </w:pPr>
          </w:p>
        </w:tc>
        <w:tc>
          <w:tcPr>
            <w:tcW w:w="1143" w:type="dxa"/>
            <w:shd w:val="clear" w:color="auto" w:fill="auto"/>
            <w:vAlign w:val="center"/>
          </w:tcPr>
          <w:p w14:paraId="14F76FBC">
            <w:pPr>
              <w:spacing w:line="240" w:lineRule="auto"/>
              <w:jc w:val="center"/>
              <w:rPr>
                <w:rFonts w:cs="宋体"/>
                <w:spacing w:val="6"/>
                <w:sz w:val="21"/>
                <w:szCs w:val="21"/>
              </w:rPr>
            </w:pPr>
            <w:r>
              <w:rPr>
                <w:rFonts w:hint="eastAsia" w:cs="宋体"/>
                <w:spacing w:val="6"/>
                <w:sz w:val="21"/>
                <w:szCs w:val="21"/>
              </w:rPr>
              <w:t>小型</w:t>
            </w:r>
          </w:p>
        </w:tc>
        <w:tc>
          <w:tcPr>
            <w:tcW w:w="3251" w:type="dxa"/>
            <w:shd w:val="clear" w:color="auto" w:fill="auto"/>
            <w:vAlign w:val="center"/>
          </w:tcPr>
          <w:p w14:paraId="73864474">
            <w:pPr>
              <w:spacing w:line="240" w:lineRule="auto"/>
              <w:jc w:val="center"/>
              <w:rPr>
                <w:rFonts w:cs="宋体"/>
                <w:spacing w:val="6"/>
                <w:sz w:val="21"/>
                <w:szCs w:val="21"/>
              </w:rPr>
            </w:pPr>
            <w:r>
              <w:rPr>
                <w:rFonts w:hint="eastAsia" w:cs="宋体"/>
                <w:spacing w:val="6"/>
                <w:sz w:val="21"/>
                <w:szCs w:val="21"/>
              </w:rPr>
              <w:t>20亿元（含）至400亿元</w:t>
            </w:r>
          </w:p>
        </w:tc>
      </w:tr>
      <w:tr w14:paraId="573D7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1119" w:type="dxa"/>
            <w:vMerge w:val="continue"/>
            <w:vAlign w:val="center"/>
          </w:tcPr>
          <w:p w14:paraId="065236AF">
            <w:pPr>
              <w:spacing w:line="240" w:lineRule="auto"/>
              <w:jc w:val="both"/>
              <w:rPr>
                <w:rFonts w:cs="宋体"/>
                <w:spacing w:val="6"/>
                <w:sz w:val="21"/>
                <w:szCs w:val="21"/>
              </w:rPr>
            </w:pPr>
          </w:p>
        </w:tc>
        <w:tc>
          <w:tcPr>
            <w:tcW w:w="1168" w:type="dxa"/>
            <w:vMerge w:val="continue"/>
            <w:vAlign w:val="center"/>
          </w:tcPr>
          <w:p w14:paraId="1B089911">
            <w:pPr>
              <w:spacing w:line="240" w:lineRule="auto"/>
              <w:jc w:val="both"/>
              <w:rPr>
                <w:rFonts w:cs="宋体"/>
                <w:spacing w:val="6"/>
                <w:sz w:val="21"/>
                <w:szCs w:val="21"/>
              </w:rPr>
            </w:pPr>
          </w:p>
        </w:tc>
        <w:tc>
          <w:tcPr>
            <w:tcW w:w="1817" w:type="dxa"/>
            <w:vMerge w:val="continue"/>
            <w:vAlign w:val="center"/>
          </w:tcPr>
          <w:p w14:paraId="33E4D6B5">
            <w:pPr>
              <w:spacing w:line="240" w:lineRule="auto"/>
              <w:jc w:val="both"/>
              <w:rPr>
                <w:rFonts w:cs="宋体"/>
                <w:spacing w:val="6"/>
                <w:sz w:val="21"/>
                <w:szCs w:val="21"/>
              </w:rPr>
            </w:pPr>
          </w:p>
        </w:tc>
        <w:tc>
          <w:tcPr>
            <w:tcW w:w="1143" w:type="dxa"/>
            <w:shd w:val="clear" w:color="auto" w:fill="auto"/>
            <w:vAlign w:val="center"/>
          </w:tcPr>
          <w:p w14:paraId="6D0DBAC6">
            <w:pPr>
              <w:spacing w:line="240" w:lineRule="auto"/>
              <w:jc w:val="center"/>
              <w:rPr>
                <w:rFonts w:cs="宋体"/>
                <w:spacing w:val="6"/>
                <w:sz w:val="21"/>
                <w:szCs w:val="21"/>
              </w:rPr>
            </w:pPr>
            <w:r>
              <w:rPr>
                <w:rFonts w:hint="eastAsia" w:cs="宋体"/>
                <w:spacing w:val="6"/>
                <w:sz w:val="21"/>
                <w:szCs w:val="21"/>
              </w:rPr>
              <w:t>微型</w:t>
            </w:r>
          </w:p>
        </w:tc>
        <w:tc>
          <w:tcPr>
            <w:tcW w:w="3251" w:type="dxa"/>
            <w:shd w:val="clear" w:color="auto" w:fill="auto"/>
            <w:vAlign w:val="center"/>
          </w:tcPr>
          <w:p w14:paraId="42C33E65">
            <w:pPr>
              <w:spacing w:line="240" w:lineRule="auto"/>
              <w:jc w:val="center"/>
              <w:rPr>
                <w:rFonts w:cs="宋体"/>
                <w:spacing w:val="6"/>
                <w:sz w:val="21"/>
                <w:szCs w:val="21"/>
              </w:rPr>
            </w:pPr>
            <w:r>
              <w:rPr>
                <w:rFonts w:hint="eastAsia" w:cs="宋体"/>
                <w:spacing w:val="6"/>
                <w:sz w:val="21"/>
                <w:szCs w:val="21"/>
              </w:rPr>
              <w:t>20亿元以下</w:t>
            </w:r>
          </w:p>
        </w:tc>
      </w:tr>
      <w:tr w14:paraId="08097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1119" w:type="dxa"/>
            <w:vMerge w:val="continue"/>
            <w:vAlign w:val="center"/>
          </w:tcPr>
          <w:p w14:paraId="6D5831FD">
            <w:pPr>
              <w:spacing w:line="240" w:lineRule="auto"/>
              <w:jc w:val="both"/>
              <w:rPr>
                <w:rFonts w:cs="宋体"/>
                <w:spacing w:val="6"/>
                <w:sz w:val="21"/>
                <w:szCs w:val="21"/>
              </w:rPr>
            </w:pPr>
          </w:p>
        </w:tc>
        <w:tc>
          <w:tcPr>
            <w:tcW w:w="1168" w:type="dxa"/>
            <w:vMerge w:val="restart"/>
            <w:vAlign w:val="center"/>
          </w:tcPr>
          <w:p w14:paraId="6B82B9CF">
            <w:pPr>
              <w:spacing w:line="240" w:lineRule="auto"/>
              <w:jc w:val="both"/>
              <w:rPr>
                <w:rFonts w:cs="宋体"/>
                <w:spacing w:val="6"/>
                <w:sz w:val="21"/>
                <w:szCs w:val="21"/>
              </w:rPr>
            </w:pPr>
            <w:r>
              <w:rPr>
                <w:rFonts w:hint="eastAsia" w:cs="宋体"/>
                <w:spacing w:val="6"/>
                <w:sz w:val="21"/>
                <w:szCs w:val="21"/>
              </w:rPr>
              <w:t>控股公司服务</w:t>
            </w:r>
          </w:p>
        </w:tc>
        <w:tc>
          <w:tcPr>
            <w:tcW w:w="1817" w:type="dxa"/>
            <w:vMerge w:val="restart"/>
            <w:vAlign w:val="center"/>
          </w:tcPr>
          <w:p w14:paraId="111F20A1">
            <w:pPr>
              <w:spacing w:line="240" w:lineRule="auto"/>
              <w:jc w:val="both"/>
              <w:rPr>
                <w:rFonts w:cs="宋体"/>
                <w:spacing w:val="6"/>
                <w:sz w:val="21"/>
                <w:szCs w:val="21"/>
              </w:rPr>
            </w:pPr>
            <w:r>
              <w:rPr>
                <w:rFonts w:hint="eastAsia" w:cs="宋体"/>
                <w:spacing w:val="6"/>
                <w:sz w:val="21"/>
                <w:szCs w:val="21"/>
              </w:rPr>
              <w:t>金融控股公司</w:t>
            </w:r>
          </w:p>
        </w:tc>
        <w:tc>
          <w:tcPr>
            <w:tcW w:w="1143" w:type="dxa"/>
            <w:shd w:val="clear" w:color="auto" w:fill="auto"/>
            <w:vAlign w:val="center"/>
          </w:tcPr>
          <w:p w14:paraId="72337FA6">
            <w:pPr>
              <w:spacing w:line="240" w:lineRule="auto"/>
              <w:jc w:val="center"/>
              <w:rPr>
                <w:rFonts w:cs="宋体"/>
                <w:spacing w:val="6"/>
                <w:sz w:val="21"/>
                <w:szCs w:val="21"/>
              </w:rPr>
            </w:pPr>
            <w:r>
              <w:rPr>
                <w:rFonts w:hint="eastAsia" w:cs="宋体"/>
                <w:spacing w:val="6"/>
                <w:sz w:val="21"/>
                <w:szCs w:val="21"/>
              </w:rPr>
              <w:t>中型</w:t>
            </w:r>
          </w:p>
        </w:tc>
        <w:tc>
          <w:tcPr>
            <w:tcW w:w="3251" w:type="dxa"/>
            <w:shd w:val="clear" w:color="auto" w:fill="auto"/>
            <w:vAlign w:val="center"/>
          </w:tcPr>
          <w:p w14:paraId="3CB5083A">
            <w:pPr>
              <w:spacing w:line="240" w:lineRule="auto"/>
              <w:jc w:val="center"/>
              <w:rPr>
                <w:rFonts w:cs="宋体"/>
                <w:spacing w:val="6"/>
                <w:sz w:val="21"/>
                <w:szCs w:val="21"/>
              </w:rPr>
            </w:pPr>
            <w:r>
              <w:rPr>
                <w:rFonts w:hint="eastAsia" w:cs="宋体"/>
                <w:spacing w:val="6"/>
                <w:sz w:val="21"/>
                <w:szCs w:val="21"/>
              </w:rPr>
              <w:t>5000亿元（含）至40000亿元</w:t>
            </w:r>
          </w:p>
        </w:tc>
      </w:tr>
      <w:tr w14:paraId="362FF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1119" w:type="dxa"/>
            <w:vMerge w:val="continue"/>
            <w:vAlign w:val="center"/>
          </w:tcPr>
          <w:p w14:paraId="6EE316CB">
            <w:pPr>
              <w:spacing w:line="240" w:lineRule="auto"/>
              <w:jc w:val="both"/>
              <w:rPr>
                <w:rFonts w:cs="宋体"/>
                <w:spacing w:val="6"/>
                <w:sz w:val="21"/>
                <w:szCs w:val="21"/>
              </w:rPr>
            </w:pPr>
          </w:p>
        </w:tc>
        <w:tc>
          <w:tcPr>
            <w:tcW w:w="1168" w:type="dxa"/>
            <w:vMerge w:val="continue"/>
            <w:vAlign w:val="center"/>
          </w:tcPr>
          <w:p w14:paraId="18EE6DB3">
            <w:pPr>
              <w:spacing w:line="240" w:lineRule="auto"/>
              <w:jc w:val="both"/>
              <w:rPr>
                <w:rFonts w:cs="宋体"/>
                <w:spacing w:val="6"/>
                <w:sz w:val="21"/>
                <w:szCs w:val="21"/>
              </w:rPr>
            </w:pPr>
          </w:p>
        </w:tc>
        <w:tc>
          <w:tcPr>
            <w:tcW w:w="1817" w:type="dxa"/>
            <w:vMerge w:val="continue"/>
            <w:vAlign w:val="center"/>
          </w:tcPr>
          <w:p w14:paraId="0DF31A90">
            <w:pPr>
              <w:spacing w:line="240" w:lineRule="auto"/>
              <w:jc w:val="both"/>
              <w:rPr>
                <w:rFonts w:cs="宋体"/>
                <w:spacing w:val="6"/>
                <w:sz w:val="21"/>
                <w:szCs w:val="21"/>
              </w:rPr>
            </w:pPr>
          </w:p>
        </w:tc>
        <w:tc>
          <w:tcPr>
            <w:tcW w:w="1143" w:type="dxa"/>
            <w:shd w:val="clear" w:color="auto" w:fill="auto"/>
            <w:vAlign w:val="center"/>
          </w:tcPr>
          <w:p w14:paraId="424EB212">
            <w:pPr>
              <w:spacing w:line="240" w:lineRule="auto"/>
              <w:jc w:val="center"/>
              <w:rPr>
                <w:rFonts w:cs="宋体"/>
                <w:spacing w:val="6"/>
                <w:sz w:val="21"/>
                <w:szCs w:val="21"/>
              </w:rPr>
            </w:pPr>
            <w:r>
              <w:rPr>
                <w:rFonts w:hint="eastAsia" w:cs="宋体"/>
                <w:spacing w:val="6"/>
                <w:sz w:val="21"/>
                <w:szCs w:val="21"/>
              </w:rPr>
              <w:t>小型</w:t>
            </w:r>
          </w:p>
        </w:tc>
        <w:tc>
          <w:tcPr>
            <w:tcW w:w="3251" w:type="dxa"/>
            <w:shd w:val="clear" w:color="auto" w:fill="auto"/>
            <w:vAlign w:val="center"/>
          </w:tcPr>
          <w:p w14:paraId="60123960">
            <w:pPr>
              <w:spacing w:line="240" w:lineRule="auto"/>
              <w:jc w:val="center"/>
              <w:rPr>
                <w:rFonts w:cs="宋体"/>
                <w:spacing w:val="6"/>
                <w:sz w:val="21"/>
                <w:szCs w:val="21"/>
              </w:rPr>
            </w:pPr>
            <w:r>
              <w:rPr>
                <w:rFonts w:hint="eastAsia" w:cs="宋体"/>
                <w:spacing w:val="6"/>
                <w:sz w:val="21"/>
                <w:szCs w:val="21"/>
              </w:rPr>
              <w:t>50亿元（含）至5000亿元</w:t>
            </w:r>
          </w:p>
        </w:tc>
      </w:tr>
      <w:tr w14:paraId="4E29A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1119" w:type="dxa"/>
            <w:vMerge w:val="continue"/>
            <w:vAlign w:val="center"/>
          </w:tcPr>
          <w:p w14:paraId="68A667A9">
            <w:pPr>
              <w:spacing w:line="240" w:lineRule="auto"/>
              <w:jc w:val="both"/>
              <w:rPr>
                <w:rFonts w:cs="宋体"/>
                <w:spacing w:val="6"/>
                <w:sz w:val="21"/>
                <w:szCs w:val="21"/>
              </w:rPr>
            </w:pPr>
          </w:p>
        </w:tc>
        <w:tc>
          <w:tcPr>
            <w:tcW w:w="1168" w:type="dxa"/>
            <w:vMerge w:val="continue"/>
            <w:vAlign w:val="center"/>
          </w:tcPr>
          <w:p w14:paraId="52E39B9B">
            <w:pPr>
              <w:spacing w:line="240" w:lineRule="auto"/>
              <w:jc w:val="both"/>
              <w:rPr>
                <w:rFonts w:cs="宋体"/>
                <w:spacing w:val="6"/>
                <w:sz w:val="21"/>
                <w:szCs w:val="21"/>
              </w:rPr>
            </w:pPr>
          </w:p>
        </w:tc>
        <w:tc>
          <w:tcPr>
            <w:tcW w:w="1817" w:type="dxa"/>
            <w:vMerge w:val="continue"/>
            <w:vAlign w:val="center"/>
          </w:tcPr>
          <w:p w14:paraId="00D561A7">
            <w:pPr>
              <w:spacing w:line="240" w:lineRule="auto"/>
              <w:jc w:val="both"/>
              <w:rPr>
                <w:rFonts w:cs="宋体"/>
                <w:spacing w:val="6"/>
                <w:sz w:val="21"/>
                <w:szCs w:val="21"/>
              </w:rPr>
            </w:pPr>
          </w:p>
        </w:tc>
        <w:tc>
          <w:tcPr>
            <w:tcW w:w="1143" w:type="dxa"/>
            <w:shd w:val="clear" w:color="auto" w:fill="auto"/>
            <w:vAlign w:val="center"/>
          </w:tcPr>
          <w:p w14:paraId="150FFD11">
            <w:pPr>
              <w:spacing w:line="240" w:lineRule="auto"/>
              <w:jc w:val="center"/>
              <w:rPr>
                <w:rFonts w:cs="宋体"/>
                <w:spacing w:val="6"/>
                <w:sz w:val="21"/>
                <w:szCs w:val="21"/>
              </w:rPr>
            </w:pPr>
            <w:r>
              <w:rPr>
                <w:rFonts w:hint="eastAsia" w:cs="宋体"/>
                <w:spacing w:val="6"/>
                <w:sz w:val="21"/>
                <w:szCs w:val="21"/>
              </w:rPr>
              <w:t>微型</w:t>
            </w:r>
          </w:p>
        </w:tc>
        <w:tc>
          <w:tcPr>
            <w:tcW w:w="3251" w:type="dxa"/>
            <w:shd w:val="clear" w:color="auto" w:fill="auto"/>
            <w:vAlign w:val="center"/>
          </w:tcPr>
          <w:p w14:paraId="216C2DE6">
            <w:pPr>
              <w:spacing w:line="240" w:lineRule="auto"/>
              <w:jc w:val="center"/>
              <w:rPr>
                <w:rFonts w:cs="宋体"/>
                <w:spacing w:val="6"/>
                <w:sz w:val="21"/>
                <w:szCs w:val="21"/>
              </w:rPr>
            </w:pPr>
            <w:r>
              <w:rPr>
                <w:rFonts w:hint="eastAsia" w:cs="宋体"/>
                <w:spacing w:val="6"/>
                <w:sz w:val="21"/>
                <w:szCs w:val="21"/>
              </w:rPr>
              <w:t>50亿元以下</w:t>
            </w:r>
          </w:p>
        </w:tc>
      </w:tr>
      <w:tr w14:paraId="6165F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trPr>
        <w:tc>
          <w:tcPr>
            <w:tcW w:w="1119" w:type="dxa"/>
            <w:vMerge w:val="continue"/>
            <w:vAlign w:val="center"/>
          </w:tcPr>
          <w:p w14:paraId="2E56F37E">
            <w:pPr>
              <w:spacing w:line="240" w:lineRule="auto"/>
              <w:jc w:val="both"/>
              <w:rPr>
                <w:rFonts w:cs="宋体"/>
                <w:spacing w:val="6"/>
                <w:sz w:val="21"/>
                <w:szCs w:val="21"/>
              </w:rPr>
            </w:pPr>
          </w:p>
        </w:tc>
        <w:tc>
          <w:tcPr>
            <w:tcW w:w="1168" w:type="dxa"/>
            <w:vMerge w:val="restart"/>
            <w:vAlign w:val="center"/>
          </w:tcPr>
          <w:p w14:paraId="58C7EB4F">
            <w:pPr>
              <w:spacing w:line="240" w:lineRule="auto"/>
              <w:jc w:val="both"/>
              <w:rPr>
                <w:rFonts w:cs="宋体"/>
                <w:spacing w:val="6"/>
                <w:sz w:val="21"/>
                <w:szCs w:val="21"/>
              </w:rPr>
            </w:pPr>
            <w:r>
              <w:rPr>
                <w:rFonts w:hint="eastAsia" w:cs="宋体"/>
                <w:spacing w:val="6"/>
                <w:sz w:val="21"/>
                <w:szCs w:val="21"/>
              </w:rPr>
              <w:t>其他未包括的金融业</w:t>
            </w:r>
          </w:p>
        </w:tc>
        <w:tc>
          <w:tcPr>
            <w:tcW w:w="1817" w:type="dxa"/>
            <w:vMerge w:val="restart"/>
            <w:vAlign w:val="center"/>
          </w:tcPr>
          <w:p w14:paraId="089B1AEE">
            <w:pPr>
              <w:spacing w:line="240" w:lineRule="auto"/>
              <w:jc w:val="both"/>
              <w:rPr>
                <w:rFonts w:cs="宋体"/>
                <w:spacing w:val="6"/>
                <w:sz w:val="21"/>
                <w:szCs w:val="21"/>
              </w:rPr>
            </w:pPr>
            <w:r>
              <w:rPr>
                <w:rFonts w:hint="eastAsia" w:cs="宋体"/>
                <w:spacing w:val="6"/>
                <w:sz w:val="21"/>
                <w:szCs w:val="21"/>
              </w:rPr>
              <w:t>除贷款公司、小额贷款公司、典当行以外的其他金融机构</w:t>
            </w:r>
          </w:p>
        </w:tc>
        <w:tc>
          <w:tcPr>
            <w:tcW w:w="1143" w:type="dxa"/>
            <w:shd w:val="clear" w:color="auto" w:fill="auto"/>
            <w:vAlign w:val="center"/>
          </w:tcPr>
          <w:p w14:paraId="4164DF26">
            <w:pPr>
              <w:spacing w:line="240" w:lineRule="auto"/>
              <w:jc w:val="center"/>
              <w:rPr>
                <w:rFonts w:cs="宋体"/>
                <w:spacing w:val="6"/>
                <w:sz w:val="21"/>
                <w:szCs w:val="21"/>
              </w:rPr>
            </w:pPr>
            <w:r>
              <w:rPr>
                <w:rFonts w:hint="eastAsia" w:cs="宋体"/>
                <w:spacing w:val="6"/>
                <w:sz w:val="21"/>
                <w:szCs w:val="21"/>
              </w:rPr>
              <w:t>中型</w:t>
            </w:r>
          </w:p>
        </w:tc>
        <w:tc>
          <w:tcPr>
            <w:tcW w:w="3251" w:type="dxa"/>
            <w:shd w:val="clear" w:color="auto" w:fill="auto"/>
            <w:vAlign w:val="center"/>
          </w:tcPr>
          <w:p w14:paraId="55D1819B">
            <w:pPr>
              <w:spacing w:line="240" w:lineRule="auto"/>
              <w:jc w:val="center"/>
              <w:rPr>
                <w:rFonts w:cs="宋体"/>
                <w:spacing w:val="6"/>
                <w:sz w:val="21"/>
                <w:szCs w:val="21"/>
              </w:rPr>
            </w:pPr>
            <w:r>
              <w:rPr>
                <w:rFonts w:hint="eastAsia" w:cs="宋体"/>
                <w:spacing w:val="6"/>
                <w:sz w:val="21"/>
                <w:szCs w:val="21"/>
              </w:rPr>
              <w:t>200亿元（含）至1000亿元</w:t>
            </w:r>
          </w:p>
        </w:tc>
      </w:tr>
      <w:tr w14:paraId="49FE4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1119" w:type="dxa"/>
            <w:vMerge w:val="continue"/>
          </w:tcPr>
          <w:p w14:paraId="1FEC6474">
            <w:pPr>
              <w:spacing w:line="240" w:lineRule="auto"/>
              <w:rPr>
                <w:rFonts w:cs="宋体"/>
                <w:spacing w:val="6"/>
                <w:sz w:val="21"/>
                <w:szCs w:val="21"/>
              </w:rPr>
            </w:pPr>
          </w:p>
        </w:tc>
        <w:tc>
          <w:tcPr>
            <w:tcW w:w="1168" w:type="dxa"/>
            <w:vMerge w:val="continue"/>
          </w:tcPr>
          <w:p w14:paraId="4AD6698B">
            <w:pPr>
              <w:spacing w:line="240" w:lineRule="auto"/>
              <w:rPr>
                <w:rFonts w:cs="宋体"/>
                <w:spacing w:val="6"/>
                <w:sz w:val="21"/>
                <w:szCs w:val="21"/>
              </w:rPr>
            </w:pPr>
          </w:p>
        </w:tc>
        <w:tc>
          <w:tcPr>
            <w:tcW w:w="1817" w:type="dxa"/>
            <w:vMerge w:val="continue"/>
          </w:tcPr>
          <w:p w14:paraId="1E9BC434">
            <w:pPr>
              <w:spacing w:line="240" w:lineRule="auto"/>
              <w:rPr>
                <w:rFonts w:cs="宋体"/>
                <w:spacing w:val="6"/>
                <w:sz w:val="21"/>
                <w:szCs w:val="21"/>
              </w:rPr>
            </w:pPr>
          </w:p>
        </w:tc>
        <w:tc>
          <w:tcPr>
            <w:tcW w:w="1143" w:type="dxa"/>
            <w:shd w:val="clear" w:color="auto" w:fill="auto"/>
            <w:vAlign w:val="center"/>
          </w:tcPr>
          <w:p w14:paraId="58C2B609">
            <w:pPr>
              <w:spacing w:line="240" w:lineRule="auto"/>
              <w:jc w:val="center"/>
              <w:rPr>
                <w:rFonts w:cs="宋体"/>
                <w:spacing w:val="6"/>
                <w:sz w:val="21"/>
                <w:szCs w:val="21"/>
              </w:rPr>
            </w:pPr>
            <w:r>
              <w:rPr>
                <w:rFonts w:hint="eastAsia" w:cs="宋体"/>
                <w:spacing w:val="6"/>
                <w:sz w:val="21"/>
                <w:szCs w:val="21"/>
              </w:rPr>
              <w:t>小型</w:t>
            </w:r>
          </w:p>
        </w:tc>
        <w:tc>
          <w:tcPr>
            <w:tcW w:w="3251" w:type="dxa"/>
            <w:shd w:val="clear" w:color="auto" w:fill="auto"/>
            <w:vAlign w:val="center"/>
          </w:tcPr>
          <w:p w14:paraId="40CE6B7C">
            <w:pPr>
              <w:spacing w:line="240" w:lineRule="auto"/>
              <w:jc w:val="center"/>
              <w:rPr>
                <w:rFonts w:cs="宋体"/>
                <w:spacing w:val="6"/>
                <w:sz w:val="21"/>
                <w:szCs w:val="21"/>
              </w:rPr>
            </w:pPr>
            <w:r>
              <w:rPr>
                <w:rFonts w:hint="eastAsia" w:cs="宋体"/>
                <w:spacing w:val="6"/>
                <w:sz w:val="21"/>
                <w:szCs w:val="21"/>
              </w:rPr>
              <w:t>50亿元（含）至200亿元</w:t>
            </w:r>
          </w:p>
        </w:tc>
      </w:tr>
      <w:tr w14:paraId="03BB8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1119" w:type="dxa"/>
            <w:vMerge w:val="continue"/>
          </w:tcPr>
          <w:p w14:paraId="3A69815F">
            <w:pPr>
              <w:spacing w:line="240" w:lineRule="auto"/>
              <w:rPr>
                <w:rFonts w:cs="宋体"/>
                <w:spacing w:val="6"/>
                <w:sz w:val="21"/>
                <w:szCs w:val="21"/>
              </w:rPr>
            </w:pPr>
          </w:p>
        </w:tc>
        <w:tc>
          <w:tcPr>
            <w:tcW w:w="1168" w:type="dxa"/>
            <w:vMerge w:val="continue"/>
          </w:tcPr>
          <w:p w14:paraId="7C94F884">
            <w:pPr>
              <w:spacing w:line="240" w:lineRule="auto"/>
              <w:rPr>
                <w:rFonts w:cs="宋体"/>
                <w:spacing w:val="6"/>
                <w:sz w:val="21"/>
                <w:szCs w:val="21"/>
              </w:rPr>
            </w:pPr>
          </w:p>
        </w:tc>
        <w:tc>
          <w:tcPr>
            <w:tcW w:w="1817" w:type="dxa"/>
            <w:vMerge w:val="continue"/>
          </w:tcPr>
          <w:p w14:paraId="7A0EEC71">
            <w:pPr>
              <w:spacing w:line="240" w:lineRule="auto"/>
              <w:rPr>
                <w:rFonts w:cs="宋体"/>
                <w:spacing w:val="6"/>
                <w:sz w:val="21"/>
                <w:szCs w:val="21"/>
              </w:rPr>
            </w:pPr>
          </w:p>
        </w:tc>
        <w:tc>
          <w:tcPr>
            <w:tcW w:w="1143" w:type="dxa"/>
            <w:shd w:val="clear" w:color="auto" w:fill="auto"/>
            <w:vAlign w:val="center"/>
          </w:tcPr>
          <w:p w14:paraId="29919B12">
            <w:pPr>
              <w:spacing w:line="240" w:lineRule="auto"/>
              <w:jc w:val="center"/>
              <w:rPr>
                <w:rFonts w:cs="宋体"/>
                <w:spacing w:val="6"/>
                <w:sz w:val="21"/>
                <w:szCs w:val="21"/>
              </w:rPr>
            </w:pPr>
            <w:r>
              <w:rPr>
                <w:rFonts w:hint="eastAsia" w:cs="宋体"/>
                <w:spacing w:val="6"/>
                <w:sz w:val="21"/>
                <w:szCs w:val="21"/>
              </w:rPr>
              <w:t>微型</w:t>
            </w:r>
          </w:p>
        </w:tc>
        <w:tc>
          <w:tcPr>
            <w:tcW w:w="3251" w:type="dxa"/>
            <w:shd w:val="clear" w:color="auto" w:fill="auto"/>
            <w:vAlign w:val="center"/>
          </w:tcPr>
          <w:p w14:paraId="51F6CA4B">
            <w:pPr>
              <w:spacing w:line="240" w:lineRule="auto"/>
              <w:jc w:val="center"/>
              <w:rPr>
                <w:rFonts w:cs="宋体"/>
                <w:spacing w:val="6"/>
                <w:sz w:val="21"/>
                <w:szCs w:val="21"/>
              </w:rPr>
            </w:pPr>
            <w:r>
              <w:rPr>
                <w:rFonts w:hint="eastAsia" w:cs="宋体"/>
                <w:spacing w:val="6"/>
                <w:sz w:val="21"/>
                <w:szCs w:val="21"/>
              </w:rPr>
              <w:t>50亿元以下</w:t>
            </w:r>
          </w:p>
        </w:tc>
      </w:tr>
    </w:tbl>
    <w:p w14:paraId="4C4619F6">
      <w:pPr>
        <w:rPr>
          <w:rFonts w:cs="宋体"/>
          <w:spacing w:val="6"/>
          <w:sz w:val="21"/>
          <w:szCs w:val="21"/>
        </w:rPr>
      </w:pPr>
      <w:r>
        <w:rPr>
          <w:rFonts w:cs="宋体"/>
          <w:spacing w:val="6"/>
          <w:sz w:val="21"/>
          <w:szCs w:val="21"/>
        </w:rPr>
        <w:br w:type="page"/>
      </w:r>
    </w:p>
    <w:bookmarkEnd w:id="455"/>
    <w:p w14:paraId="385EDE44">
      <w:pPr>
        <w:pStyle w:val="4"/>
        <w:spacing w:before="80" w:after="80" w:line="240" w:lineRule="auto"/>
        <w:ind w:left="420" w:hanging="420"/>
        <w:rPr>
          <w:sz w:val="24"/>
          <w:szCs w:val="24"/>
        </w:rPr>
      </w:pPr>
      <w:bookmarkStart w:id="456" w:name="_Toc23416"/>
      <w:bookmarkStart w:id="457" w:name="_Toc25231"/>
      <w:r>
        <w:rPr>
          <w:rFonts w:hint="eastAsia"/>
          <w:sz w:val="24"/>
          <w:szCs w:val="24"/>
        </w:rPr>
        <w:t>（二）监狱企业证明文件</w:t>
      </w:r>
      <w:r>
        <w:rPr>
          <w:rFonts w:hint="eastAsia"/>
          <w:b w:val="0"/>
          <w:bCs w:val="0"/>
          <w:sz w:val="24"/>
          <w:szCs w:val="24"/>
        </w:rPr>
        <w:t>【若有时】</w:t>
      </w:r>
      <w:bookmarkEnd w:id="456"/>
      <w:bookmarkEnd w:id="457"/>
    </w:p>
    <w:p w14:paraId="2A819FC3">
      <w:pPr>
        <w:rPr>
          <w:rFonts w:cs="仿宋_GB2312"/>
          <w:b/>
          <w:sz w:val="28"/>
          <w:szCs w:val="28"/>
        </w:rPr>
      </w:pPr>
    </w:p>
    <w:p w14:paraId="49DAB323">
      <w:pPr>
        <w:adjustRightInd w:val="0"/>
        <w:snapToGrid w:val="0"/>
        <w:ind w:firstLine="480" w:firstLineChars="200"/>
        <w:rPr>
          <w:rFonts w:cs="宋体"/>
          <w:szCs w:val="24"/>
        </w:rPr>
      </w:pPr>
      <w:r>
        <w:rPr>
          <w:rFonts w:hint="eastAsia" w:cs="宋体"/>
          <w:szCs w:val="24"/>
        </w:rPr>
        <w:t>【监狱企业应当提供由省级及以上监狱管理局、戒毒管理局（含新疆生产建设兵团）出具的监狱企业的证明文件，格式如下】。</w:t>
      </w:r>
    </w:p>
    <w:p w14:paraId="66172180">
      <w:pPr>
        <w:pStyle w:val="15"/>
        <w:jc w:val="center"/>
        <w:rPr>
          <w:rFonts w:hAnsi="宋体" w:cs="宋体"/>
          <w:b/>
          <w:sz w:val="32"/>
          <w:szCs w:val="32"/>
        </w:rPr>
      </w:pPr>
    </w:p>
    <w:p w14:paraId="206D18E6">
      <w:pPr>
        <w:pStyle w:val="15"/>
        <w:jc w:val="center"/>
        <w:rPr>
          <w:rFonts w:hAnsi="宋体" w:cs="宋体"/>
          <w:b/>
          <w:sz w:val="32"/>
          <w:szCs w:val="32"/>
        </w:rPr>
      </w:pPr>
      <w:r>
        <w:rPr>
          <w:rFonts w:hint="eastAsia" w:hAnsi="宋体" w:cs="宋体"/>
          <w:b/>
          <w:sz w:val="32"/>
          <w:szCs w:val="32"/>
        </w:rPr>
        <w:t>监狱企业证明函</w:t>
      </w:r>
    </w:p>
    <w:p w14:paraId="1460EA87">
      <w:pPr>
        <w:rPr>
          <w:rFonts w:ascii="仿宋_GB2312" w:hAnsi="仿宋_GB2312" w:eastAsia="仿宋_GB2312" w:cs="仿宋_GB2312"/>
          <w:sz w:val="32"/>
          <w:szCs w:val="32"/>
        </w:rPr>
      </w:pPr>
    </w:p>
    <w:p w14:paraId="6511EEA5">
      <w:pPr>
        <w:ind w:firstLine="504" w:firstLineChars="200"/>
        <w:rPr>
          <w:rFonts w:cs="宋体"/>
          <w:spacing w:val="6"/>
          <w:szCs w:val="24"/>
        </w:rPr>
      </w:pPr>
      <w:r>
        <w:rPr>
          <w:rFonts w:hint="eastAsia" w:cs="宋体"/>
          <w:spacing w:val="6"/>
          <w:szCs w:val="24"/>
        </w:rPr>
        <w:t>本公司郑重声明，根据财政部、司法部《关于政府采购支持监狱企业发展有关问题的通知》（财库</w:t>
      </w:r>
      <w:r>
        <w:rPr>
          <w:rFonts w:hint="eastAsia" w:cs="宋体"/>
          <w:spacing w:val="6"/>
          <w:szCs w:val="24"/>
          <w:lang w:eastAsia="zh-CN"/>
        </w:rPr>
        <w:t>〔2014〕68号</w:t>
      </w:r>
      <w:r>
        <w:rPr>
          <w:rFonts w:hint="eastAsia" w:cs="宋体"/>
          <w:spacing w:val="6"/>
          <w:szCs w:val="24"/>
        </w:rPr>
        <w:t>）的规定，本公司为监狱企业。</w:t>
      </w:r>
    </w:p>
    <w:p w14:paraId="7BFD1338">
      <w:pPr>
        <w:rPr>
          <w:rFonts w:cs="宋体"/>
          <w:szCs w:val="24"/>
        </w:rPr>
      </w:pPr>
    </w:p>
    <w:p w14:paraId="36D73F09">
      <w:pPr>
        <w:ind w:firstLine="4440" w:firstLineChars="1850"/>
        <w:rPr>
          <w:rFonts w:cs="宋体"/>
          <w:szCs w:val="24"/>
        </w:rPr>
      </w:pPr>
    </w:p>
    <w:p w14:paraId="7A9A0120">
      <w:pPr>
        <w:ind w:firstLine="4440" w:firstLineChars="1850"/>
        <w:rPr>
          <w:rFonts w:cs="宋体"/>
          <w:szCs w:val="24"/>
        </w:rPr>
      </w:pPr>
    </w:p>
    <w:p w14:paraId="012A260F">
      <w:pPr>
        <w:ind w:right="1008" w:firstLine="4284" w:firstLineChars="1700"/>
        <w:rPr>
          <w:rFonts w:cs="宋体"/>
          <w:spacing w:val="6"/>
          <w:szCs w:val="24"/>
        </w:rPr>
      </w:pPr>
      <w:r>
        <w:rPr>
          <w:rFonts w:hint="eastAsia" w:cs="宋体"/>
          <w:spacing w:val="6"/>
          <w:szCs w:val="24"/>
        </w:rPr>
        <w:t>供应商名称（公章）：</w:t>
      </w:r>
    </w:p>
    <w:p w14:paraId="4902C39F">
      <w:pPr>
        <w:ind w:right="1008" w:firstLine="4284" w:firstLineChars="1700"/>
        <w:rPr>
          <w:rFonts w:cs="宋体"/>
          <w:spacing w:val="6"/>
          <w:szCs w:val="24"/>
        </w:rPr>
      </w:pPr>
      <w:r>
        <w:rPr>
          <w:rFonts w:hint="eastAsia" w:cs="宋体"/>
          <w:spacing w:val="6"/>
          <w:szCs w:val="24"/>
        </w:rPr>
        <w:t>日期：年月日</w:t>
      </w:r>
    </w:p>
    <w:p w14:paraId="0A17911E">
      <w:pPr>
        <w:ind w:firstLine="240" w:firstLineChars="100"/>
        <w:rPr>
          <w:rFonts w:cs="宋体"/>
          <w:szCs w:val="24"/>
        </w:rPr>
      </w:pPr>
    </w:p>
    <w:p w14:paraId="4526EF7C">
      <w:pPr>
        <w:ind w:firstLine="240" w:firstLineChars="100"/>
        <w:rPr>
          <w:rFonts w:cs="宋体"/>
          <w:szCs w:val="24"/>
        </w:rPr>
      </w:pPr>
    </w:p>
    <w:p w14:paraId="7A06BDBD">
      <w:pPr>
        <w:rPr>
          <w:rFonts w:cs="宋体"/>
          <w:szCs w:val="24"/>
        </w:rPr>
      </w:pPr>
      <w:r>
        <w:rPr>
          <w:rFonts w:hint="eastAsia" w:cs="宋体"/>
          <w:szCs w:val="24"/>
        </w:rPr>
        <w:t>省级以上监狱管理局、戒毒管理局（含新疆生产建设兵团）（盖章）：</w:t>
      </w:r>
    </w:p>
    <w:p w14:paraId="6FA9F412">
      <w:pPr>
        <w:ind w:firstLine="2160" w:firstLineChars="900"/>
        <w:rPr>
          <w:rFonts w:cs="宋体"/>
          <w:szCs w:val="24"/>
        </w:rPr>
      </w:pPr>
      <w:r>
        <w:rPr>
          <w:rFonts w:hint="eastAsia" w:cs="宋体"/>
          <w:szCs w:val="24"/>
        </w:rPr>
        <w:t>日期：</w:t>
      </w:r>
      <w:r>
        <w:rPr>
          <w:rFonts w:hint="eastAsia" w:cs="宋体"/>
          <w:spacing w:val="6"/>
          <w:szCs w:val="24"/>
        </w:rPr>
        <w:t>年月日</w:t>
      </w:r>
    </w:p>
    <w:p w14:paraId="66054368">
      <w:pPr>
        <w:ind w:firstLine="240" w:firstLineChars="100"/>
        <w:rPr>
          <w:rFonts w:cs="宋体"/>
          <w:szCs w:val="24"/>
        </w:rPr>
      </w:pPr>
    </w:p>
    <w:p w14:paraId="72F7EA22">
      <w:pPr>
        <w:ind w:firstLine="4000" w:firstLineChars="1250"/>
        <w:rPr>
          <w:rFonts w:ascii="仿宋_GB2312" w:hAnsi="仿宋_GB2312" w:eastAsia="仿宋_GB2312" w:cs="仿宋_GB2312"/>
          <w:sz w:val="32"/>
          <w:szCs w:val="32"/>
        </w:rPr>
      </w:pPr>
    </w:p>
    <w:p w14:paraId="2BDE1622">
      <w:pPr>
        <w:rPr>
          <w:rFonts w:ascii="仿宋_GB2312" w:hAnsi="仿宋_GB2312" w:eastAsia="仿宋_GB2312" w:cs="仿宋_GB2312"/>
          <w:sz w:val="32"/>
          <w:szCs w:val="32"/>
        </w:rPr>
      </w:pPr>
    </w:p>
    <w:p w14:paraId="0203F2E4">
      <w:pPr>
        <w:widowControl/>
        <w:spacing w:before="100" w:beforeAutospacing="1" w:after="100" w:afterAutospacing="1"/>
        <w:rPr>
          <w:rFonts w:ascii="Arial" w:hAnsi="Arial" w:cs="Arial"/>
          <w:sz w:val="21"/>
          <w:szCs w:val="21"/>
        </w:rPr>
      </w:pPr>
    </w:p>
    <w:p w14:paraId="6C89D4D1">
      <w:pPr>
        <w:widowControl/>
        <w:spacing w:before="100" w:beforeAutospacing="1" w:after="100" w:afterAutospacing="1"/>
        <w:rPr>
          <w:rFonts w:ascii="Arial" w:hAnsi="Arial" w:cs="Arial"/>
          <w:sz w:val="21"/>
          <w:szCs w:val="21"/>
        </w:rPr>
      </w:pPr>
    </w:p>
    <w:p w14:paraId="7EB63469">
      <w:pPr>
        <w:widowControl/>
        <w:spacing w:before="100" w:beforeAutospacing="1" w:after="100" w:afterAutospacing="1"/>
        <w:rPr>
          <w:rFonts w:ascii="Arial" w:hAnsi="Arial" w:cs="Arial"/>
          <w:sz w:val="21"/>
          <w:szCs w:val="21"/>
        </w:rPr>
      </w:pPr>
    </w:p>
    <w:p w14:paraId="67CFEE40">
      <w:pPr>
        <w:widowControl/>
        <w:spacing w:before="100" w:beforeAutospacing="1" w:after="100" w:afterAutospacing="1"/>
        <w:rPr>
          <w:rFonts w:ascii="Arial" w:hAnsi="Arial" w:cs="Arial"/>
          <w:sz w:val="21"/>
          <w:szCs w:val="21"/>
        </w:rPr>
      </w:pPr>
    </w:p>
    <w:p w14:paraId="2F0592DC">
      <w:pPr>
        <w:pStyle w:val="4"/>
        <w:spacing w:before="80" w:after="80" w:line="240" w:lineRule="auto"/>
        <w:ind w:left="420" w:hanging="420"/>
        <w:rPr>
          <w:sz w:val="24"/>
          <w:szCs w:val="24"/>
        </w:rPr>
      </w:pPr>
      <w:bookmarkStart w:id="458" w:name="_Toc15561"/>
      <w:bookmarkStart w:id="459" w:name="_Toc163492941"/>
      <w:bookmarkStart w:id="460" w:name="_Toc7861"/>
      <w:r>
        <w:rPr>
          <w:rFonts w:hint="eastAsia"/>
          <w:sz w:val="24"/>
          <w:szCs w:val="24"/>
        </w:rPr>
        <w:t>（三）残疾人福利性单位声明函</w:t>
      </w:r>
      <w:r>
        <w:rPr>
          <w:rFonts w:hint="eastAsia"/>
          <w:b w:val="0"/>
          <w:bCs w:val="0"/>
          <w:sz w:val="24"/>
          <w:szCs w:val="24"/>
        </w:rPr>
        <w:t>【若有时】</w:t>
      </w:r>
      <w:bookmarkEnd w:id="458"/>
      <w:bookmarkEnd w:id="459"/>
      <w:bookmarkEnd w:id="460"/>
    </w:p>
    <w:p w14:paraId="03DFDF5D">
      <w:pPr>
        <w:pStyle w:val="39"/>
        <w:ind w:left="420" w:hanging="420" w:firstLineChars="0"/>
        <w:jc w:val="center"/>
        <w:rPr>
          <w:b/>
          <w:bCs/>
          <w:sz w:val="32"/>
          <w:szCs w:val="32"/>
        </w:rPr>
      </w:pPr>
    </w:p>
    <w:p w14:paraId="3E88934E">
      <w:pPr>
        <w:pStyle w:val="39"/>
        <w:ind w:left="420" w:hanging="420" w:firstLineChars="0"/>
        <w:jc w:val="center"/>
        <w:rPr>
          <w:b/>
          <w:bCs/>
          <w:sz w:val="32"/>
          <w:szCs w:val="32"/>
        </w:rPr>
      </w:pPr>
      <w:r>
        <w:rPr>
          <w:rFonts w:hint="eastAsia"/>
          <w:b/>
          <w:bCs/>
          <w:sz w:val="32"/>
          <w:szCs w:val="32"/>
        </w:rPr>
        <w:t>残疾人福利性单位声明函</w:t>
      </w:r>
    </w:p>
    <w:p w14:paraId="1887EABC">
      <w:pPr>
        <w:wordWrap w:val="0"/>
        <w:ind w:firstLine="480" w:firstLineChars="200"/>
        <w:rPr>
          <w:szCs w:val="24"/>
        </w:rPr>
      </w:pPr>
    </w:p>
    <w:p w14:paraId="3144E825">
      <w:pPr>
        <w:wordWrap w:val="0"/>
        <w:ind w:firstLine="480" w:firstLineChars="200"/>
        <w:rPr>
          <w:szCs w:val="24"/>
        </w:rPr>
      </w:pPr>
      <w:r>
        <w:rPr>
          <w:rFonts w:hint="eastAsia"/>
          <w:szCs w:val="24"/>
        </w:rPr>
        <w:t>本公司（联合体）郑重声明，根据《财政部民政部中国残疾人联合会关于促进残疾人就业政府采购政策的通知》（财库〔2017〕141号）的规定，本公司（联合体）参加</w:t>
      </w:r>
      <w:r>
        <w:rPr>
          <w:rFonts w:hint="eastAsia"/>
          <w:szCs w:val="24"/>
          <w:u w:val="single"/>
        </w:rPr>
        <w:t>（单位名称）</w:t>
      </w:r>
      <w:r>
        <w:rPr>
          <w:rFonts w:hint="eastAsia"/>
          <w:szCs w:val="24"/>
        </w:rPr>
        <w:t>的</w:t>
      </w:r>
      <w:r>
        <w:rPr>
          <w:rFonts w:hint="eastAsia"/>
          <w:szCs w:val="24"/>
          <w:u w:val="single"/>
        </w:rPr>
        <w:t>（项目名称）</w:t>
      </w:r>
      <w:r>
        <w:rPr>
          <w:rFonts w:hint="eastAsia"/>
          <w:szCs w:val="24"/>
        </w:rPr>
        <w:t>采购活动，提供的服务</w:t>
      </w:r>
      <w:r>
        <w:rPr>
          <w:rFonts w:hint="eastAsia"/>
          <w:b/>
          <w:szCs w:val="24"/>
        </w:rPr>
        <w:t>全部由</w:t>
      </w:r>
      <w:r>
        <w:rPr>
          <w:rFonts w:hint="eastAsia"/>
          <w:szCs w:val="24"/>
        </w:rPr>
        <w:t>符合政策要求的</w:t>
      </w:r>
      <w:r>
        <w:rPr>
          <w:rFonts w:hint="eastAsia"/>
          <w:b/>
          <w:szCs w:val="24"/>
        </w:rPr>
        <w:t>残疾人福利性单位承接</w:t>
      </w:r>
      <w:r>
        <w:rPr>
          <w:rFonts w:hint="eastAsia"/>
          <w:szCs w:val="24"/>
        </w:rPr>
        <w:t>。相关企业（含联合体中的残疾人福利性单位、签订分包意向协议书的残疾人福利性单位）的具体情况如下：</w:t>
      </w:r>
    </w:p>
    <w:p w14:paraId="3B8A8F9C">
      <w:pPr>
        <w:wordWrap w:val="0"/>
        <w:ind w:firstLine="480" w:firstLineChars="200"/>
        <w:rPr>
          <w:szCs w:val="24"/>
        </w:rPr>
      </w:pPr>
      <w:r>
        <w:rPr>
          <w:rFonts w:hint="eastAsia"/>
          <w:szCs w:val="24"/>
        </w:rPr>
        <w:t>1.</w:t>
      </w:r>
      <w:r>
        <w:rPr>
          <w:rFonts w:hint="eastAsia"/>
          <w:szCs w:val="24"/>
          <w:u w:val="single"/>
        </w:rPr>
        <w:t>（标的名称）</w:t>
      </w:r>
      <w:r>
        <w:rPr>
          <w:rFonts w:hint="eastAsia"/>
          <w:szCs w:val="24"/>
        </w:rPr>
        <w:t>，承接单位为</w:t>
      </w:r>
      <w:r>
        <w:rPr>
          <w:rFonts w:hint="eastAsia"/>
          <w:szCs w:val="24"/>
          <w:u w:val="single"/>
        </w:rPr>
        <w:t>（企业名称）</w:t>
      </w:r>
      <w:r>
        <w:rPr>
          <w:rFonts w:hint="eastAsia"/>
          <w:szCs w:val="24"/>
        </w:rPr>
        <w:t>，属于残疾人福利性单位；</w:t>
      </w:r>
    </w:p>
    <w:p w14:paraId="4DB4280A">
      <w:pPr>
        <w:wordWrap w:val="0"/>
        <w:ind w:firstLine="480" w:firstLineChars="200"/>
        <w:rPr>
          <w:szCs w:val="24"/>
        </w:rPr>
      </w:pPr>
      <w:r>
        <w:rPr>
          <w:rFonts w:hint="eastAsia"/>
          <w:szCs w:val="24"/>
        </w:rPr>
        <w:t>2.</w:t>
      </w:r>
      <w:r>
        <w:rPr>
          <w:rFonts w:hint="eastAsia"/>
          <w:szCs w:val="24"/>
          <w:u w:val="single"/>
        </w:rPr>
        <w:t>（标的名称）</w:t>
      </w:r>
      <w:r>
        <w:rPr>
          <w:rFonts w:hint="eastAsia"/>
          <w:szCs w:val="24"/>
        </w:rPr>
        <w:t>，承接单位为</w:t>
      </w:r>
      <w:r>
        <w:rPr>
          <w:rFonts w:hint="eastAsia"/>
          <w:szCs w:val="24"/>
          <w:u w:val="single"/>
        </w:rPr>
        <w:t>（企业名称）</w:t>
      </w:r>
      <w:r>
        <w:rPr>
          <w:rFonts w:hint="eastAsia"/>
          <w:szCs w:val="24"/>
        </w:rPr>
        <w:t>，属于残疾人福利性单位；</w:t>
      </w:r>
    </w:p>
    <w:p w14:paraId="1370F5B5">
      <w:pPr>
        <w:wordWrap w:val="0"/>
        <w:ind w:firstLine="480" w:firstLineChars="200"/>
        <w:rPr>
          <w:szCs w:val="24"/>
        </w:rPr>
      </w:pPr>
      <w:r>
        <w:rPr>
          <w:rFonts w:hint="eastAsia"/>
          <w:szCs w:val="24"/>
        </w:rPr>
        <w:t>……</w:t>
      </w:r>
    </w:p>
    <w:p w14:paraId="6F8ECDB5">
      <w:pPr>
        <w:wordWrap w:val="0"/>
        <w:ind w:firstLine="480" w:firstLineChars="200"/>
        <w:rPr>
          <w:szCs w:val="24"/>
        </w:rPr>
      </w:pPr>
      <w:r>
        <w:rPr>
          <w:rFonts w:hint="eastAsia"/>
          <w:szCs w:val="24"/>
        </w:rPr>
        <w:t>以上企业，不属于大企业的分支机构，不存在控股股东为大企业的情形，也不存在与大企业的负责人为同一人的情形。</w:t>
      </w:r>
    </w:p>
    <w:p w14:paraId="5476985B">
      <w:pPr>
        <w:wordWrap w:val="0"/>
        <w:ind w:left="1087" w:leftChars="200" w:hanging="607" w:hangingChars="253"/>
        <w:rPr>
          <w:szCs w:val="24"/>
        </w:rPr>
      </w:pPr>
      <w:r>
        <w:rPr>
          <w:rFonts w:hint="eastAsia"/>
          <w:szCs w:val="24"/>
        </w:rPr>
        <w:t>本企业对上述声明内容的真实性负责。如有虚假，将依法承担相应责任。</w:t>
      </w:r>
    </w:p>
    <w:p w14:paraId="64BFC1C9">
      <w:pPr>
        <w:wordWrap w:val="0"/>
        <w:ind w:left="1091" w:hanging="1091" w:hangingChars="453"/>
        <w:rPr>
          <w:b/>
          <w:bCs/>
          <w:szCs w:val="24"/>
        </w:rPr>
      </w:pPr>
    </w:p>
    <w:p w14:paraId="2B7A16FC">
      <w:pPr>
        <w:wordWrap w:val="0"/>
        <w:ind w:left="1091" w:hanging="1091" w:hangingChars="453"/>
        <w:rPr>
          <w:bCs/>
          <w:szCs w:val="24"/>
        </w:rPr>
      </w:pPr>
      <w:r>
        <w:rPr>
          <w:rFonts w:hint="eastAsia"/>
          <w:b/>
          <w:bCs/>
          <w:szCs w:val="24"/>
        </w:rPr>
        <w:t>说明：</w:t>
      </w:r>
      <w:r>
        <w:rPr>
          <w:rFonts w:hint="eastAsia"/>
          <w:bCs/>
          <w:szCs w:val="24"/>
        </w:rPr>
        <w:t>1、服务</w:t>
      </w:r>
      <w:r>
        <w:rPr>
          <w:rFonts w:hint="eastAsia"/>
          <w:bCs/>
          <w:szCs w:val="21"/>
          <w:lang w:val="zh-CN"/>
        </w:rPr>
        <w:t>应当全部由符合政策要求的残疾人福利性单位</w:t>
      </w:r>
      <w:r>
        <w:rPr>
          <w:rFonts w:hint="eastAsia"/>
          <w:bCs/>
          <w:szCs w:val="21"/>
        </w:rPr>
        <w:t>承接</w:t>
      </w:r>
      <w:r>
        <w:rPr>
          <w:rFonts w:hint="eastAsia"/>
          <w:bCs/>
          <w:szCs w:val="21"/>
          <w:lang w:val="zh-CN"/>
        </w:rPr>
        <w:t>且使用该残疾人福利性单位商号或注册商标（与代理商或</w:t>
      </w:r>
      <w:r>
        <w:rPr>
          <w:rFonts w:hint="eastAsia"/>
          <w:bCs/>
          <w:szCs w:val="21"/>
        </w:rPr>
        <w:t>供应商</w:t>
      </w:r>
      <w:r>
        <w:rPr>
          <w:rFonts w:hint="eastAsia"/>
          <w:bCs/>
          <w:szCs w:val="21"/>
          <w:lang w:val="zh-CN"/>
        </w:rPr>
        <w:t>无关）；应当严格按上述格式及内容进行填写（应当明确每个</w:t>
      </w:r>
      <w:r>
        <w:rPr>
          <w:rFonts w:hint="eastAsia"/>
          <w:bCs/>
          <w:szCs w:val="21"/>
        </w:rPr>
        <w:t>包</w:t>
      </w:r>
      <w:r>
        <w:rPr>
          <w:rFonts w:hint="eastAsia"/>
          <w:bCs/>
          <w:szCs w:val="21"/>
          <w:lang w:val="zh-CN"/>
        </w:rPr>
        <w:t>的的</w:t>
      </w:r>
      <w:r>
        <w:rPr>
          <w:rFonts w:hint="eastAsia"/>
          <w:bCs/>
          <w:szCs w:val="21"/>
        </w:rPr>
        <w:t>承接</w:t>
      </w:r>
      <w:r>
        <w:rPr>
          <w:rFonts w:hint="eastAsia"/>
          <w:bCs/>
          <w:szCs w:val="21"/>
          <w:lang w:val="zh-CN"/>
        </w:rPr>
        <w:t>企业类型及相关数据），否则导致的后果由</w:t>
      </w:r>
      <w:r>
        <w:rPr>
          <w:rFonts w:hint="eastAsia"/>
          <w:bCs/>
          <w:szCs w:val="21"/>
        </w:rPr>
        <w:t>供应商</w:t>
      </w:r>
      <w:r>
        <w:rPr>
          <w:rFonts w:hint="eastAsia"/>
          <w:bCs/>
          <w:szCs w:val="21"/>
          <w:lang w:val="zh-CN"/>
        </w:rPr>
        <w:t>自行承担；</w:t>
      </w:r>
    </w:p>
    <w:p w14:paraId="05D088A8">
      <w:pPr>
        <w:wordWrap w:val="0"/>
        <w:ind w:left="1080" w:leftChars="299" w:hanging="362" w:hangingChars="151"/>
        <w:rPr>
          <w:rFonts w:cs="Courier New"/>
          <w:szCs w:val="21"/>
        </w:rPr>
      </w:pPr>
      <w:r>
        <w:rPr>
          <w:rFonts w:hint="eastAsia"/>
          <w:bCs/>
          <w:szCs w:val="21"/>
          <w:lang w:val="zh-CN"/>
        </w:rPr>
        <w:t>2、</w:t>
      </w:r>
      <w:r>
        <w:rPr>
          <w:rFonts w:hint="eastAsia" w:cs="Courier New"/>
          <w:szCs w:val="21"/>
        </w:rPr>
        <w:t>以联合体形式参加的，应</w:t>
      </w:r>
      <w:r>
        <w:rPr>
          <w:rFonts w:hint="eastAsia"/>
          <w:bCs/>
          <w:szCs w:val="21"/>
          <w:lang w:val="zh-CN"/>
        </w:rPr>
        <w:t>当</w:t>
      </w:r>
      <w:r>
        <w:rPr>
          <w:rFonts w:hint="eastAsia" w:cs="Courier New"/>
          <w:szCs w:val="21"/>
        </w:rPr>
        <w:t>由联合体各方盖章。</w:t>
      </w:r>
    </w:p>
    <w:p w14:paraId="2C1756F8">
      <w:pPr>
        <w:wordWrap w:val="0"/>
        <w:spacing w:before="100" w:beforeAutospacing="1" w:after="100" w:afterAutospacing="1"/>
        <w:ind w:firstLine="3316" w:firstLineChars="1382"/>
        <w:rPr>
          <w:bCs/>
          <w:szCs w:val="21"/>
          <w:lang w:val="zh-CN"/>
        </w:rPr>
      </w:pPr>
      <w:r>
        <w:rPr>
          <w:rFonts w:hint="eastAsia"/>
          <w:bCs/>
          <w:szCs w:val="21"/>
        </w:rPr>
        <w:t>供应商名称（公章）</w:t>
      </w:r>
      <w:r>
        <w:rPr>
          <w:rFonts w:hint="eastAsia"/>
          <w:bCs/>
          <w:szCs w:val="21"/>
          <w:lang w:val="zh-CN"/>
        </w:rPr>
        <w:t>：</w:t>
      </w:r>
    </w:p>
    <w:p w14:paraId="16703BF1">
      <w:pPr>
        <w:wordWrap w:val="0"/>
        <w:spacing w:before="100" w:beforeAutospacing="1" w:after="100" w:afterAutospacing="1"/>
        <w:ind w:firstLine="3316" w:firstLineChars="1382"/>
      </w:pPr>
      <w:r>
        <w:rPr>
          <w:rFonts w:hint="eastAsia"/>
          <w:szCs w:val="24"/>
        </w:rPr>
        <w:t>日期：</w:t>
      </w:r>
    </w:p>
    <w:p w14:paraId="4E492DC3">
      <w:pPr>
        <w:rPr>
          <w:rFonts w:cs="宋体"/>
          <w:i w:val="0"/>
          <w:iCs w:val="0"/>
          <w:color w:val="auto"/>
          <w:spacing w:val="6"/>
          <w:sz w:val="21"/>
          <w:szCs w:val="21"/>
          <w:highlight w:val="none"/>
        </w:rPr>
      </w:pPr>
    </w:p>
    <w:p w14:paraId="501C8029">
      <w:pPr>
        <w:rPr>
          <w:rFonts w:cs="宋体"/>
          <w:i w:val="0"/>
          <w:iCs w:val="0"/>
          <w:color w:val="auto"/>
          <w:spacing w:val="6"/>
          <w:sz w:val="21"/>
          <w:szCs w:val="21"/>
          <w:highlight w:val="none"/>
        </w:rPr>
      </w:pPr>
    </w:p>
    <w:p w14:paraId="5D107A28">
      <w:pPr>
        <w:rPr>
          <w:rFonts w:cs="宋体"/>
          <w:i w:val="0"/>
          <w:iCs w:val="0"/>
          <w:color w:val="auto"/>
          <w:spacing w:val="6"/>
          <w:sz w:val="21"/>
          <w:szCs w:val="21"/>
          <w:highlight w:val="none"/>
        </w:rPr>
      </w:pPr>
    </w:p>
    <w:p w14:paraId="33AE98A0">
      <w:pPr>
        <w:rPr>
          <w:rFonts w:cs="宋体"/>
          <w:i w:val="0"/>
          <w:iCs w:val="0"/>
          <w:color w:val="auto"/>
          <w:spacing w:val="6"/>
          <w:sz w:val="21"/>
          <w:szCs w:val="21"/>
          <w:highlight w:val="none"/>
        </w:rPr>
      </w:pPr>
    </w:p>
    <w:p w14:paraId="14689676">
      <w:pPr>
        <w:pStyle w:val="3"/>
        <w:keepNext/>
        <w:keepLines/>
        <w:pageBreakBefore w:val="0"/>
        <w:widowControl w:val="0"/>
        <w:numPr>
          <w:ilvl w:val="0"/>
          <w:numId w:val="0"/>
        </w:numPr>
        <w:kinsoku/>
        <w:wordWrap/>
        <w:overflowPunct/>
        <w:topLinePunct w:val="0"/>
        <w:autoSpaceDE/>
        <w:autoSpaceDN/>
        <w:bidi w:val="0"/>
        <w:adjustRightInd/>
        <w:snapToGrid/>
        <w:spacing w:before="100" w:after="100" w:line="360" w:lineRule="auto"/>
        <w:ind w:left="420" w:leftChars="0" w:hanging="420" w:firstLineChars="0"/>
        <w:textAlignment w:val="auto"/>
        <w:rPr>
          <w:rFonts w:hint="eastAsia" w:cstheme="majorBidi"/>
          <w:b/>
          <w:bCs/>
          <w:i w:val="0"/>
          <w:iCs w:val="0"/>
          <w:color w:val="auto"/>
          <w:kern w:val="2"/>
          <w:sz w:val="28"/>
          <w:szCs w:val="28"/>
          <w:highlight w:val="none"/>
          <w:lang w:val="en-US" w:eastAsia="zh-CN" w:bidi="ar-SA"/>
        </w:rPr>
      </w:pPr>
      <w:bookmarkStart w:id="461" w:name="_Toc31246"/>
      <w:r>
        <w:rPr>
          <w:rFonts w:hint="eastAsia" w:cstheme="majorBidi"/>
          <w:b/>
          <w:bCs/>
          <w:i w:val="0"/>
          <w:iCs w:val="0"/>
          <w:color w:val="auto"/>
          <w:kern w:val="2"/>
          <w:sz w:val="28"/>
          <w:szCs w:val="28"/>
          <w:highlight w:val="none"/>
          <w:lang w:val="en-US" w:eastAsia="zh-CN" w:bidi="ar-SA"/>
        </w:rPr>
        <w:t>三、不参与围标串标承诺书</w:t>
      </w:r>
      <w:bookmarkEnd w:id="461"/>
    </w:p>
    <w:p w14:paraId="415F309A">
      <w:pPr>
        <w:pStyle w:val="3"/>
        <w:keepNext/>
        <w:keepLines/>
        <w:pageBreakBefore w:val="0"/>
        <w:widowControl w:val="0"/>
        <w:numPr>
          <w:ilvl w:val="0"/>
          <w:numId w:val="0"/>
        </w:numPr>
        <w:kinsoku/>
        <w:wordWrap/>
        <w:overflowPunct/>
        <w:topLinePunct w:val="0"/>
        <w:autoSpaceDE/>
        <w:autoSpaceDN/>
        <w:bidi w:val="0"/>
        <w:adjustRightInd/>
        <w:snapToGrid/>
        <w:spacing w:before="100" w:after="100" w:line="240" w:lineRule="auto"/>
        <w:ind w:left="420" w:leftChars="0" w:hanging="420" w:firstLineChars="0"/>
        <w:textAlignment w:val="auto"/>
        <w:rPr>
          <w:rFonts w:hint="eastAsia" w:eastAsia="宋体" w:asciiTheme="majorHAnsi" w:hAnsiTheme="majorHAnsi" w:cstheme="majorBidi"/>
          <w:b/>
          <w:bCs/>
          <w:i w:val="0"/>
          <w:iCs w:val="0"/>
          <w:color w:val="auto"/>
          <w:kern w:val="2"/>
          <w:sz w:val="32"/>
          <w:szCs w:val="32"/>
          <w:highlight w:val="none"/>
          <w:lang w:val="en-US" w:eastAsia="zh-CN" w:bidi="ar-SA"/>
        </w:rPr>
      </w:pPr>
    </w:p>
    <w:p w14:paraId="1FE71F6D">
      <w:pPr>
        <w:jc w:val="center"/>
        <w:rPr>
          <w:rFonts w:hint="eastAsia"/>
          <w:i w:val="0"/>
          <w:iCs w:val="0"/>
          <w:color w:val="auto"/>
          <w:highlight w:val="none"/>
          <w:lang w:val="en-US" w:eastAsia="zh-CN"/>
        </w:rPr>
      </w:pPr>
      <w:r>
        <w:rPr>
          <w:rFonts w:hint="eastAsia" w:cstheme="majorBidi"/>
          <w:b/>
          <w:bCs/>
          <w:i w:val="0"/>
          <w:iCs w:val="0"/>
          <w:color w:val="auto"/>
          <w:kern w:val="2"/>
          <w:sz w:val="32"/>
          <w:szCs w:val="32"/>
          <w:highlight w:val="none"/>
          <w:lang w:val="en-US" w:eastAsia="zh-CN" w:bidi="ar-SA"/>
        </w:rPr>
        <w:t>不参与围标串标承诺书</w:t>
      </w:r>
    </w:p>
    <w:p w14:paraId="2DC5E9C8">
      <w:pPr>
        <w:rPr>
          <w:rFonts w:hint="eastAsia"/>
          <w:i w:val="0"/>
          <w:iCs w:val="0"/>
          <w:color w:val="auto"/>
          <w:highlight w:val="none"/>
          <w:lang w:val="en-US" w:eastAsia="zh-CN"/>
        </w:rPr>
      </w:pPr>
      <w:r>
        <w:rPr>
          <w:rFonts w:hint="eastAsia"/>
          <w:i w:val="0"/>
          <w:iCs w:val="0"/>
          <w:color w:val="auto"/>
          <w:highlight w:val="none"/>
          <w:lang w:val="en-US" w:eastAsia="zh-CN"/>
        </w:rPr>
        <w:t>  </w:t>
      </w:r>
    </w:p>
    <w:p w14:paraId="338C56A6">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i w:val="0"/>
          <w:iCs w:val="0"/>
          <w:color w:val="auto"/>
          <w:highlight w:val="none"/>
          <w:lang w:val="en-US" w:eastAsia="zh-CN"/>
        </w:rPr>
      </w:pPr>
      <w:r>
        <w:rPr>
          <w:rFonts w:hint="eastAsia"/>
          <w:i w:val="0"/>
          <w:iCs w:val="0"/>
          <w:color w:val="auto"/>
          <w:highlight w:val="none"/>
          <w:lang w:val="en-US" w:eastAsia="zh-CN"/>
        </w:rPr>
        <w:t>本人作为经授权的供应商代表,清楚知晓我单位参与本项目竞争性磋商活动,对以下事项作出承诺：</w:t>
      </w:r>
    </w:p>
    <w:p w14:paraId="0FD00095">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i w:val="0"/>
          <w:iCs w:val="0"/>
          <w:color w:val="auto"/>
          <w:highlight w:val="none"/>
          <w:lang w:val="en-US" w:eastAsia="zh-CN"/>
        </w:rPr>
      </w:pPr>
    </w:p>
    <w:p w14:paraId="5E3346B7">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i w:val="0"/>
          <w:iCs w:val="0"/>
          <w:color w:val="auto"/>
          <w:highlight w:val="none"/>
          <w:lang w:val="en-US" w:eastAsia="zh-CN"/>
        </w:rPr>
      </w:pPr>
      <w:r>
        <w:rPr>
          <w:rFonts w:hint="eastAsia"/>
          <w:i w:val="0"/>
          <w:iCs w:val="0"/>
          <w:color w:val="auto"/>
          <w:highlight w:val="none"/>
          <w:lang w:val="en-US" w:eastAsia="zh-CN"/>
        </w:rPr>
        <w:t>一、我单位和我本人遵循公开透明、公平竞争、公正和诚实信用的原则,依法依规参与本项目竞标。</w:t>
      </w:r>
    </w:p>
    <w:p w14:paraId="13CE2D4B">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i w:val="0"/>
          <w:iCs w:val="0"/>
          <w:color w:val="auto"/>
          <w:highlight w:val="none"/>
          <w:lang w:val="en-US" w:eastAsia="zh-CN"/>
        </w:rPr>
      </w:pPr>
      <w:r>
        <w:rPr>
          <w:rFonts w:hint="eastAsia"/>
          <w:i w:val="0"/>
          <w:iCs w:val="0"/>
          <w:color w:val="auto"/>
          <w:highlight w:val="none"/>
          <w:lang w:val="en-US" w:eastAsia="zh-CN"/>
        </w:rPr>
        <w:t>二、我单位和我本人在本项目政府采购竞争性磋商活动中,未参与围标串标。</w:t>
      </w:r>
    </w:p>
    <w:p w14:paraId="21D04EAD">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i w:val="0"/>
          <w:iCs w:val="0"/>
          <w:color w:val="auto"/>
          <w:highlight w:val="none"/>
          <w:lang w:val="en-US" w:eastAsia="zh-CN"/>
        </w:rPr>
      </w:pPr>
      <w:r>
        <w:rPr>
          <w:rFonts w:hint="eastAsia"/>
          <w:i w:val="0"/>
          <w:iCs w:val="0"/>
          <w:color w:val="auto"/>
          <w:highlight w:val="none"/>
          <w:lang w:val="en-US" w:eastAsia="zh-CN"/>
        </w:rPr>
        <w:t>三、我单位如被查实在本项目政府采购竞争性磋商活动中存在围标串标的，递交响应文件行为作为实施串通投标违法行为的关键环节,由我单位及法定代表人承担相应的法律责任，接受相应行政处罚和失信惩戒。</w:t>
      </w:r>
    </w:p>
    <w:p w14:paraId="2AF251D5">
      <w:pPr>
        <w:pStyle w:val="11"/>
        <w:rPr>
          <w:rFonts w:hint="eastAsia"/>
          <w:i w:val="0"/>
          <w:iCs w:val="0"/>
          <w:color w:val="auto"/>
          <w:highlight w:val="none"/>
          <w:lang w:val="en-US" w:eastAsia="zh-CN"/>
        </w:rPr>
      </w:pPr>
    </w:p>
    <w:p w14:paraId="3F7EEDEF">
      <w:pPr>
        <w:spacing w:line="560" w:lineRule="exact"/>
        <w:rPr>
          <w:rFonts w:hint="eastAsia" w:ascii="宋体" w:hAnsi="宋体" w:eastAsia="宋体" w:cs="宋体"/>
          <w:i w:val="0"/>
          <w:iCs w:val="0"/>
          <w:color w:val="auto"/>
          <w:kern w:val="0"/>
          <w:sz w:val="24"/>
          <w:szCs w:val="24"/>
          <w:highlight w:val="none"/>
        </w:rPr>
      </w:pPr>
    </w:p>
    <w:p w14:paraId="663E9337">
      <w:pPr>
        <w:spacing w:line="560" w:lineRule="exac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供应商</w:t>
      </w:r>
      <w:r>
        <w:rPr>
          <w:rFonts w:hint="eastAsia" w:cs="宋体"/>
          <w:i w:val="0"/>
          <w:iCs w:val="0"/>
          <w:color w:val="auto"/>
          <w:kern w:val="0"/>
          <w:sz w:val="24"/>
          <w:szCs w:val="24"/>
          <w:highlight w:val="none"/>
          <w:lang w:val="en-US" w:eastAsia="zh-CN"/>
        </w:rPr>
        <w:t>名称</w:t>
      </w:r>
      <w:r>
        <w:rPr>
          <w:rFonts w:hint="eastAsia" w:ascii="宋体" w:hAnsi="宋体" w:eastAsia="宋体" w:cs="宋体"/>
          <w:i w:val="0"/>
          <w:iCs w:val="0"/>
          <w:color w:val="auto"/>
          <w:kern w:val="0"/>
          <w:sz w:val="24"/>
          <w:szCs w:val="24"/>
          <w:highlight w:val="none"/>
          <w:lang w:eastAsia="zh-CN"/>
        </w:rPr>
        <w:t>（</w:t>
      </w:r>
      <w:r>
        <w:rPr>
          <w:rFonts w:hint="eastAsia" w:cs="宋体"/>
          <w:i w:val="0"/>
          <w:iCs w:val="0"/>
          <w:color w:val="auto"/>
          <w:kern w:val="0"/>
          <w:sz w:val="24"/>
          <w:szCs w:val="24"/>
          <w:highlight w:val="none"/>
          <w:lang w:eastAsia="zh-CN"/>
        </w:rPr>
        <w:t>公</w:t>
      </w:r>
      <w:r>
        <w:rPr>
          <w:rFonts w:hint="eastAsia" w:ascii="宋体" w:hAnsi="宋体" w:eastAsia="宋体" w:cs="宋体"/>
          <w:i w:val="0"/>
          <w:iCs w:val="0"/>
          <w:color w:val="auto"/>
          <w:kern w:val="0"/>
          <w:sz w:val="24"/>
          <w:szCs w:val="24"/>
          <w:highlight w:val="none"/>
          <w:lang w:eastAsia="zh-CN"/>
        </w:rPr>
        <w:t>章）</w:t>
      </w:r>
      <w:r>
        <w:rPr>
          <w:rFonts w:hint="eastAsia" w:ascii="宋体" w:hAnsi="宋体" w:eastAsia="宋体" w:cs="宋体"/>
          <w:i w:val="0"/>
          <w:iCs w:val="0"/>
          <w:color w:val="auto"/>
          <w:kern w:val="0"/>
          <w:sz w:val="24"/>
          <w:szCs w:val="24"/>
          <w:highlight w:val="none"/>
        </w:rPr>
        <w:t>：</w:t>
      </w:r>
    </w:p>
    <w:p w14:paraId="7D2617C5">
      <w:pPr>
        <w:spacing w:line="560" w:lineRule="exac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法定代表人或授权代表</w:t>
      </w:r>
      <w:r>
        <w:rPr>
          <w:rFonts w:hint="eastAsia" w:ascii="宋体" w:hAnsi="宋体" w:eastAsia="宋体" w:cs="宋体"/>
          <w:i w:val="0"/>
          <w:iCs w:val="0"/>
          <w:color w:val="auto"/>
          <w:kern w:val="0"/>
          <w:sz w:val="24"/>
          <w:szCs w:val="24"/>
          <w:highlight w:val="none"/>
          <w:lang w:eastAsia="zh-CN"/>
        </w:rPr>
        <w:t>（</w:t>
      </w:r>
      <w:r>
        <w:rPr>
          <w:rFonts w:hint="eastAsia" w:ascii="宋体" w:hAnsi="宋体" w:eastAsia="宋体" w:cs="宋体"/>
          <w:i w:val="0"/>
          <w:iCs w:val="0"/>
          <w:color w:val="auto"/>
          <w:kern w:val="0"/>
          <w:sz w:val="24"/>
          <w:szCs w:val="24"/>
          <w:highlight w:val="none"/>
        </w:rPr>
        <w:t>签字或印章</w:t>
      </w:r>
      <w:r>
        <w:rPr>
          <w:rFonts w:hint="eastAsia" w:ascii="宋体" w:hAnsi="宋体" w:eastAsia="宋体" w:cs="宋体"/>
          <w:i w:val="0"/>
          <w:iCs w:val="0"/>
          <w:color w:val="auto"/>
          <w:kern w:val="0"/>
          <w:sz w:val="24"/>
          <w:szCs w:val="24"/>
          <w:highlight w:val="none"/>
          <w:lang w:eastAsia="zh-CN"/>
        </w:rPr>
        <w:t>）</w:t>
      </w:r>
      <w:r>
        <w:rPr>
          <w:rFonts w:hint="eastAsia" w:ascii="宋体" w:hAnsi="宋体" w:eastAsia="宋体" w:cs="宋体"/>
          <w:i w:val="0"/>
          <w:iCs w:val="0"/>
          <w:color w:val="auto"/>
          <w:kern w:val="0"/>
          <w:sz w:val="24"/>
          <w:szCs w:val="24"/>
          <w:highlight w:val="none"/>
        </w:rPr>
        <w:t>：</w:t>
      </w:r>
    </w:p>
    <w:p w14:paraId="57156FA6">
      <w:pPr>
        <w:spacing w:line="560" w:lineRule="exac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日期： 年 月 日</w:t>
      </w:r>
    </w:p>
    <w:p w14:paraId="55EFB222">
      <w:pPr>
        <w:spacing w:line="560" w:lineRule="exact"/>
        <w:rPr>
          <w:rFonts w:hint="eastAsia" w:ascii="宋体" w:hAnsi="宋体" w:eastAsia="宋体" w:cs="宋体"/>
          <w:i w:val="0"/>
          <w:iCs w:val="0"/>
          <w:color w:val="auto"/>
          <w:kern w:val="0"/>
          <w:sz w:val="24"/>
          <w:szCs w:val="24"/>
          <w:highlight w:val="none"/>
        </w:rPr>
      </w:pPr>
    </w:p>
    <w:p w14:paraId="13DA43E0">
      <w:pPr>
        <w:widowControl/>
        <w:spacing w:line="560" w:lineRule="exact"/>
        <w:ind w:firstLine="630"/>
        <w:jc w:val="left"/>
        <w:rPr>
          <w:rFonts w:hint="eastAsia" w:ascii="宋体" w:hAnsi="宋体" w:eastAsia="宋体" w:cs="宋体"/>
          <w:i w:val="0"/>
          <w:iCs w:val="0"/>
          <w:color w:val="auto"/>
          <w:kern w:val="0"/>
          <w:sz w:val="24"/>
          <w:szCs w:val="24"/>
          <w:highlight w:val="none"/>
        </w:rPr>
      </w:pPr>
    </w:p>
    <w:p w14:paraId="7CD72A88">
      <w:pPr>
        <w:pStyle w:val="11"/>
        <w:rPr>
          <w:rFonts w:hint="eastAsia"/>
          <w:i w:val="0"/>
          <w:iCs w:val="0"/>
          <w:color w:val="auto"/>
          <w:highlight w:val="none"/>
          <w:lang w:val="en-US" w:eastAsia="zh-CN"/>
        </w:rPr>
      </w:pPr>
    </w:p>
    <w:p w14:paraId="6FC519D1">
      <w:pPr>
        <w:pStyle w:val="11"/>
        <w:rPr>
          <w:rFonts w:hint="eastAsia"/>
          <w:i w:val="0"/>
          <w:iCs w:val="0"/>
          <w:color w:val="auto"/>
          <w:highlight w:val="none"/>
          <w:lang w:val="en-US" w:eastAsia="zh-CN"/>
        </w:rPr>
      </w:pPr>
    </w:p>
    <w:p w14:paraId="7500053D">
      <w:pPr>
        <w:pStyle w:val="11"/>
        <w:rPr>
          <w:rFonts w:hint="eastAsia"/>
          <w:i w:val="0"/>
          <w:iCs w:val="0"/>
          <w:color w:val="auto"/>
          <w:highlight w:val="none"/>
          <w:lang w:val="en-US" w:eastAsia="zh-CN"/>
        </w:rPr>
      </w:pPr>
    </w:p>
    <w:p w14:paraId="5BF64493">
      <w:pPr>
        <w:pStyle w:val="11"/>
        <w:rPr>
          <w:rFonts w:hint="eastAsia"/>
          <w:i w:val="0"/>
          <w:iCs w:val="0"/>
          <w:color w:val="auto"/>
          <w:highlight w:val="none"/>
          <w:lang w:val="en-US" w:eastAsia="zh-CN"/>
        </w:rPr>
      </w:pPr>
    </w:p>
    <w:p w14:paraId="5CA01A8B">
      <w:pPr>
        <w:pStyle w:val="11"/>
        <w:rPr>
          <w:rFonts w:hint="eastAsia"/>
          <w:i w:val="0"/>
          <w:iCs w:val="0"/>
          <w:color w:val="auto"/>
          <w:highlight w:val="none"/>
          <w:lang w:val="en-US" w:eastAsia="zh-CN"/>
        </w:rPr>
      </w:pPr>
    </w:p>
    <w:p w14:paraId="029F743D">
      <w:pPr>
        <w:pStyle w:val="11"/>
        <w:rPr>
          <w:rFonts w:hint="eastAsia"/>
          <w:i w:val="0"/>
          <w:iCs w:val="0"/>
          <w:color w:val="auto"/>
          <w:highlight w:val="none"/>
          <w:lang w:val="en-US" w:eastAsia="zh-CN"/>
        </w:rPr>
      </w:pPr>
    </w:p>
    <w:p w14:paraId="41587146">
      <w:pPr>
        <w:pStyle w:val="11"/>
        <w:rPr>
          <w:rFonts w:hint="eastAsia"/>
          <w:i w:val="0"/>
          <w:iCs w:val="0"/>
          <w:color w:val="auto"/>
          <w:highlight w:val="none"/>
          <w:lang w:val="en-US" w:eastAsia="zh-CN"/>
        </w:rPr>
      </w:pPr>
    </w:p>
    <w:p w14:paraId="34406338">
      <w:pPr>
        <w:widowControl/>
        <w:spacing w:before="100" w:beforeAutospacing="1" w:after="100" w:afterAutospacing="1"/>
        <w:rPr>
          <w:rFonts w:hint="eastAsia" w:ascii="Arial" w:hAnsi="Arial" w:cs="Arial"/>
          <w:i w:val="0"/>
          <w:iCs w:val="0"/>
          <w:color w:val="auto"/>
          <w:sz w:val="21"/>
          <w:szCs w:val="21"/>
          <w:highlight w:val="none"/>
          <w:lang w:val="en-US" w:eastAsia="zh-CN"/>
        </w:rPr>
      </w:pPr>
    </w:p>
    <w:p w14:paraId="13DEAFB3">
      <w:pPr>
        <w:pStyle w:val="4"/>
        <w:keepNext/>
        <w:keepLines/>
        <w:pageBreakBefore w:val="0"/>
        <w:widowControl w:val="0"/>
        <w:numPr>
          <w:ilvl w:val="0"/>
          <w:numId w:val="0"/>
        </w:numPr>
        <w:kinsoku/>
        <w:wordWrap/>
        <w:overflowPunct/>
        <w:topLinePunct w:val="0"/>
        <w:autoSpaceDE/>
        <w:autoSpaceDN/>
        <w:bidi w:val="0"/>
        <w:adjustRightInd/>
        <w:snapToGrid/>
        <w:spacing w:before="80" w:after="80" w:line="240" w:lineRule="auto"/>
        <w:ind w:left="420" w:leftChars="0" w:hanging="420" w:firstLineChars="0"/>
        <w:textAlignment w:val="auto"/>
        <w:rPr>
          <w:rFonts w:hint="eastAsia" w:ascii="宋体" w:hAnsi="宋体" w:eastAsia="宋体" w:cstheme="minorBidi"/>
          <w:b/>
          <w:bCs/>
          <w:i w:val="0"/>
          <w:iCs w:val="0"/>
          <w:color w:val="auto"/>
          <w:kern w:val="2"/>
          <w:sz w:val="24"/>
          <w:szCs w:val="24"/>
          <w:highlight w:val="none"/>
          <w:lang w:val="en-US" w:eastAsia="zh-CN" w:bidi="ar-SA"/>
        </w:rPr>
      </w:pPr>
    </w:p>
    <w:p w14:paraId="2F6D1729">
      <w:pPr>
        <w:pStyle w:val="3"/>
        <w:keepNext/>
        <w:keepLines/>
        <w:pageBreakBefore w:val="0"/>
        <w:widowControl w:val="0"/>
        <w:numPr>
          <w:ilvl w:val="0"/>
          <w:numId w:val="0"/>
        </w:numPr>
        <w:kinsoku/>
        <w:wordWrap/>
        <w:overflowPunct/>
        <w:topLinePunct w:val="0"/>
        <w:autoSpaceDE/>
        <w:autoSpaceDN/>
        <w:bidi w:val="0"/>
        <w:adjustRightInd/>
        <w:snapToGrid/>
        <w:spacing w:before="100" w:after="100" w:line="360" w:lineRule="auto"/>
        <w:ind w:left="420" w:leftChars="0" w:hanging="420" w:firstLineChars="0"/>
        <w:textAlignment w:val="auto"/>
        <w:rPr>
          <w:rFonts w:hint="eastAsia" w:cstheme="majorBidi"/>
          <w:b/>
          <w:bCs/>
          <w:i w:val="0"/>
          <w:iCs w:val="0"/>
          <w:color w:val="auto"/>
          <w:kern w:val="2"/>
          <w:sz w:val="28"/>
          <w:szCs w:val="28"/>
          <w:highlight w:val="none"/>
          <w:lang w:val="zh-CN" w:eastAsia="zh-CN" w:bidi="ar-SA"/>
        </w:rPr>
      </w:pPr>
      <w:bookmarkStart w:id="462" w:name="_Toc14737"/>
      <w:r>
        <w:rPr>
          <w:rFonts w:hint="eastAsia" w:cstheme="majorBidi"/>
          <w:b/>
          <w:bCs/>
          <w:i w:val="0"/>
          <w:iCs w:val="0"/>
          <w:color w:val="auto"/>
          <w:kern w:val="2"/>
          <w:sz w:val="28"/>
          <w:szCs w:val="28"/>
          <w:highlight w:val="none"/>
          <w:lang w:val="en-US" w:eastAsia="zh-CN" w:bidi="ar-SA"/>
        </w:rPr>
        <w:t>四</w:t>
      </w:r>
      <w:r>
        <w:rPr>
          <w:rFonts w:hint="eastAsia" w:eastAsia="宋体" w:asciiTheme="majorHAnsi" w:hAnsiTheme="majorHAnsi" w:cstheme="majorBidi"/>
          <w:b/>
          <w:bCs/>
          <w:i w:val="0"/>
          <w:iCs w:val="0"/>
          <w:color w:val="auto"/>
          <w:kern w:val="2"/>
          <w:sz w:val="28"/>
          <w:szCs w:val="28"/>
          <w:highlight w:val="none"/>
          <w:lang w:val="en-US" w:eastAsia="zh-CN" w:bidi="ar-SA"/>
        </w:rPr>
        <w:t>、</w:t>
      </w:r>
      <w:r>
        <w:rPr>
          <w:rFonts w:hint="eastAsia" w:eastAsia="宋体" w:asciiTheme="majorHAnsi" w:hAnsiTheme="majorHAnsi" w:cstheme="majorBidi"/>
          <w:b/>
          <w:bCs/>
          <w:i w:val="0"/>
          <w:iCs w:val="0"/>
          <w:color w:val="auto"/>
          <w:kern w:val="2"/>
          <w:sz w:val="28"/>
          <w:szCs w:val="28"/>
          <w:highlight w:val="none"/>
          <w:lang w:val="zh-CN" w:eastAsia="zh-CN" w:bidi="ar-SA"/>
        </w:rPr>
        <w:t>其他资格证明文件</w:t>
      </w:r>
      <w:bookmarkEnd w:id="462"/>
    </w:p>
    <w:p w14:paraId="0C24F0AE">
      <w:pPr>
        <w:pStyle w:val="35"/>
        <w:rPr>
          <w:rFonts w:hint="eastAsia"/>
          <w:i w:val="0"/>
          <w:iCs w:val="0"/>
          <w:color w:val="auto"/>
          <w:highlight w:val="none"/>
        </w:rPr>
      </w:pPr>
      <w:r>
        <w:rPr>
          <w:rFonts w:hint="eastAsia" w:cs="Courier New"/>
          <w:i w:val="0"/>
          <w:iCs w:val="0"/>
          <w:color w:val="auto"/>
          <w:szCs w:val="24"/>
          <w:highlight w:val="none"/>
          <w:lang w:val="en-US" w:eastAsia="zh-CN"/>
        </w:rPr>
        <w:t>供应商</w:t>
      </w:r>
      <w:r>
        <w:rPr>
          <w:rFonts w:hint="eastAsia" w:cs="Courier New"/>
          <w:i w:val="0"/>
          <w:iCs w:val="0"/>
          <w:color w:val="auto"/>
          <w:szCs w:val="24"/>
          <w:highlight w:val="none"/>
        </w:rPr>
        <w:t>认为需提供的</w:t>
      </w:r>
      <w:r>
        <w:rPr>
          <w:rFonts w:hint="eastAsia" w:cs="Courier New"/>
          <w:i w:val="0"/>
          <w:iCs w:val="0"/>
          <w:color w:val="auto"/>
          <w:szCs w:val="24"/>
          <w:highlight w:val="none"/>
          <w:lang w:eastAsia="zh-CN"/>
        </w:rPr>
        <w:t>其他</w:t>
      </w:r>
      <w:r>
        <w:rPr>
          <w:rFonts w:hint="eastAsia" w:cs="Courier New"/>
          <w:i w:val="0"/>
          <w:iCs w:val="0"/>
          <w:color w:val="auto"/>
          <w:szCs w:val="24"/>
          <w:highlight w:val="none"/>
        </w:rPr>
        <w:t>相关资格证明材料</w:t>
      </w:r>
    </w:p>
    <w:p w14:paraId="7C2C3E83">
      <w:pPr>
        <w:pStyle w:val="35"/>
        <w:rPr>
          <w:rFonts w:hint="eastAsia"/>
          <w:i w:val="0"/>
          <w:iCs w:val="0"/>
          <w:color w:val="auto"/>
          <w:highlight w:val="none"/>
        </w:rPr>
      </w:pPr>
    </w:p>
    <w:p w14:paraId="58A36194">
      <w:pPr>
        <w:pStyle w:val="35"/>
        <w:rPr>
          <w:rFonts w:hint="eastAsia"/>
          <w:i w:val="0"/>
          <w:iCs w:val="0"/>
          <w:color w:val="auto"/>
          <w:highlight w:val="none"/>
        </w:rPr>
      </w:pPr>
    </w:p>
    <w:p w14:paraId="3553B395">
      <w:pPr>
        <w:pStyle w:val="35"/>
        <w:rPr>
          <w:rFonts w:hint="eastAsia"/>
          <w:i w:val="0"/>
          <w:iCs w:val="0"/>
          <w:color w:val="auto"/>
          <w:highlight w:val="none"/>
        </w:rPr>
      </w:pPr>
    </w:p>
    <w:p w14:paraId="49D404FC">
      <w:pPr>
        <w:pStyle w:val="35"/>
        <w:rPr>
          <w:rFonts w:hint="eastAsia"/>
          <w:i w:val="0"/>
          <w:iCs w:val="0"/>
          <w:color w:val="auto"/>
          <w:highlight w:val="none"/>
        </w:rPr>
      </w:pPr>
    </w:p>
    <w:p w14:paraId="4B98E4B6">
      <w:pPr>
        <w:pStyle w:val="35"/>
        <w:rPr>
          <w:rFonts w:hint="eastAsia"/>
          <w:i w:val="0"/>
          <w:iCs w:val="0"/>
          <w:color w:val="auto"/>
          <w:highlight w:val="none"/>
        </w:rPr>
      </w:pPr>
    </w:p>
    <w:p w14:paraId="737FEDD3">
      <w:pPr>
        <w:pStyle w:val="35"/>
        <w:rPr>
          <w:rFonts w:hint="eastAsia"/>
          <w:i w:val="0"/>
          <w:iCs w:val="0"/>
          <w:color w:val="auto"/>
          <w:highlight w:val="none"/>
        </w:rPr>
      </w:pPr>
    </w:p>
    <w:p w14:paraId="1C876135">
      <w:pPr>
        <w:pStyle w:val="35"/>
        <w:rPr>
          <w:rFonts w:hint="eastAsia"/>
          <w:i w:val="0"/>
          <w:iCs w:val="0"/>
          <w:color w:val="auto"/>
          <w:highlight w:val="none"/>
        </w:rPr>
      </w:pPr>
    </w:p>
    <w:p w14:paraId="7E85C842">
      <w:pPr>
        <w:pStyle w:val="35"/>
        <w:rPr>
          <w:rFonts w:hint="eastAsia"/>
          <w:i w:val="0"/>
          <w:iCs w:val="0"/>
          <w:color w:val="auto"/>
          <w:highlight w:val="none"/>
        </w:rPr>
      </w:pPr>
    </w:p>
    <w:p w14:paraId="4CBE3B0D">
      <w:pPr>
        <w:pStyle w:val="35"/>
        <w:rPr>
          <w:rFonts w:hint="eastAsia"/>
          <w:i w:val="0"/>
          <w:iCs w:val="0"/>
          <w:color w:val="auto"/>
          <w:highlight w:val="none"/>
        </w:rPr>
      </w:pPr>
    </w:p>
    <w:p w14:paraId="2E6E451F">
      <w:pPr>
        <w:pStyle w:val="35"/>
        <w:rPr>
          <w:rFonts w:hint="eastAsia"/>
          <w:i w:val="0"/>
          <w:iCs w:val="0"/>
          <w:color w:val="auto"/>
          <w:highlight w:val="none"/>
        </w:rPr>
      </w:pPr>
    </w:p>
    <w:p w14:paraId="38DC2C55">
      <w:pPr>
        <w:pStyle w:val="35"/>
        <w:rPr>
          <w:rFonts w:hint="eastAsia"/>
          <w:i w:val="0"/>
          <w:iCs w:val="0"/>
          <w:color w:val="auto"/>
          <w:highlight w:val="none"/>
        </w:rPr>
      </w:pPr>
    </w:p>
    <w:p w14:paraId="04DAFD3C">
      <w:pPr>
        <w:pStyle w:val="35"/>
        <w:rPr>
          <w:rFonts w:hint="eastAsia"/>
          <w:i w:val="0"/>
          <w:iCs w:val="0"/>
          <w:color w:val="auto"/>
          <w:highlight w:val="none"/>
        </w:rPr>
      </w:pPr>
    </w:p>
    <w:p w14:paraId="51E24CDC">
      <w:pPr>
        <w:pStyle w:val="35"/>
        <w:rPr>
          <w:rFonts w:hint="eastAsia"/>
          <w:i w:val="0"/>
          <w:iCs w:val="0"/>
          <w:color w:val="auto"/>
          <w:highlight w:val="none"/>
        </w:rPr>
      </w:pPr>
    </w:p>
    <w:p w14:paraId="1AC1942E">
      <w:pPr>
        <w:pStyle w:val="35"/>
        <w:rPr>
          <w:rFonts w:hint="eastAsia"/>
          <w:i w:val="0"/>
          <w:iCs w:val="0"/>
          <w:color w:val="auto"/>
          <w:highlight w:val="none"/>
        </w:rPr>
      </w:pPr>
    </w:p>
    <w:p w14:paraId="4722E259">
      <w:pPr>
        <w:pStyle w:val="35"/>
        <w:rPr>
          <w:rFonts w:hint="eastAsia"/>
          <w:i w:val="0"/>
          <w:iCs w:val="0"/>
          <w:color w:val="auto"/>
          <w:highlight w:val="none"/>
        </w:rPr>
      </w:pPr>
    </w:p>
    <w:p w14:paraId="07033BD3">
      <w:pPr>
        <w:pStyle w:val="35"/>
        <w:rPr>
          <w:rFonts w:hint="eastAsia"/>
          <w:i w:val="0"/>
          <w:iCs w:val="0"/>
          <w:color w:val="auto"/>
          <w:highlight w:val="none"/>
        </w:rPr>
      </w:pPr>
    </w:p>
    <w:p w14:paraId="6E1D094D">
      <w:pPr>
        <w:pStyle w:val="35"/>
        <w:rPr>
          <w:rFonts w:hint="eastAsia"/>
          <w:i w:val="0"/>
          <w:iCs w:val="0"/>
          <w:color w:val="auto"/>
          <w:highlight w:val="none"/>
        </w:rPr>
      </w:pPr>
    </w:p>
    <w:p w14:paraId="23B0DB54">
      <w:pPr>
        <w:pStyle w:val="35"/>
        <w:rPr>
          <w:rFonts w:hint="eastAsia"/>
          <w:i w:val="0"/>
          <w:iCs w:val="0"/>
          <w:color w:val="auto"/>
          <w:highlight w:val="none"/>
        </w:rPr>
      </w:pPr>
    </w:p>
    <w:p w14:paraId="07159DF6">
      <w:pPr>
        <w:pStyle w:val="35"/>
        <w:rPr>
          <w:rFonts w:hint="eastAsia"/>
          <w:i w:val="0"/>
          <w:iCs w:val="0"/>
          <w:color w:val="auto"/>
          <w:highlight w:val="none"/>
        </w:rPr>
      </w:pPr>
    </w:p>
    <w:p w14:paraId="44B3A5AA">
      <w:pPr>
        <w:pStyle w:val="35"/>
        <w:rPr>
          <w:rFonts w:hint="eastAsia"/>
          <w:i w:val="0"/>
          <w:iCs w:val="0"/>
          <w:color w:val="auto"/>
          <w:highlight w:val="none"/>
        </w:rPr>
      </w:pPr>
    </w:p>
    <w:p w14:paraId="05BB178A">
      <w:pPr>
        <w:pStyle w:val="35"/>
        <w:rPr>
          <w:rFonts w:hint="eastAsia"/>
          <w:i w:val="0"/>
          <w:iCs w:val="0"/>
          <w:color w:val="auto"/>
          <w:highlight w:val="none"/>
        </w:rPr>
      </w:pPr>
    </w:p>
    <w:p w14:paraId="0E7980AB">
      <w:pPr>
        <w:pStyle w:val="35"/>
        <w:rPr>
          <w:rFonts w:hint="eastAsia"/>
          <w:i w:val="0"/>
          <w:iCs w:val="0"/>
          <w:color w:val="auto"/>
          <w:highlight w:val="none"/>
        </w:rPr>
      </w:pPr>
    </w:p>
    <w:p w14:paraId="5A09B930">
      <w:pPr>
        <w:pStyle w:val="35"/>
        <w:rPr>
          <w:rFonts w:hint="eastAsia"/>
          <w:i w:val="0"/>
          <w:iCs w:val="0"/>
          <w:color w:val="auto"/>
          <w:highlight w:val="none"/>
        </w:rPr>
      </w:pPr>
    </w:p>
    <w:p w14:paraId="3FB1F62E">
      <w:pPr>
        <w:pStyle w:val="35"/>
        <w:rPr>
          <w:rFonts w:hint="eastAsia"/>
          <w:i w:val="0"/>
          <w:iCs w:val="0"/>
          <w:color w:val="auto"/>
          <w:highlight w:val="none"/>
        </w:rPr>
      </w:pPr>
    </w:p>
    <w:p w14:paraId="674D4B47">
      <w:pPr>
        <w:pStyle w:val="35"/>
        <w:rPr>
          <w:rFonts w:hint="eastAsia"/>
          <w:i w:val="0"/>
          <w:iCs w:val="0"/>
          <w:color w:val="auto"/>
          <w:highlight w:val="none"/>
        </w:rPr>
      </w:pPr>
    </w:p>
    <w:p w14:paraId="29F4C723">
      <w:pPr>
        <w:pStyle w:val="35"/>
        <w:rPr>
          <w:rFonts w:hint="eastAsia"/>
          <w:i w:val="0"/>
          <w:iCs w:val="0"/>
          <w:color w:val="auto"/>
          <w:highlight w:val="none"/>
        </w:rPr>
      </w:pPr>
    </w:p>
    <w:p w14:paraId="1047D3EE">
      <w:pPr>
        <w:pStyle w:val="61"/>
        <w:keepNext w:val="0"/>
        <w:keepLines w:val="0"/>
        <w:pageBreakBefore w:val="0"/>
        <w:widowControl/>
        <w:shd w:val="clear" w:color="auto" w:fill="auto"/>
        <w:kinsoku/>
        <w:wordWrap/>
        <w:overflowPunct/>
        <w:topLinePunct w:val="0"/>
        <w:autoSpaceDE/>
        <w:autoSpaceDN/>
        <w:bidi w:val="0"/>
        <w:adjustRightInd/>
        <w:snapToGrid/>
        <w:spacing w:afterAutospacing="0" w:line="360" w:lineRule="exact"/>
        <w:textAlignment w:val="auto"/>
        <w:rPr>
          <w:rFonts w:hint="eastAsia" w:ascii="宋体" w:hAnsi="宋体" w:eastAsia="宋体" w:cs="宋体"/>
          <w:b/>
          <w:bCs/>
          <w:i w:val="0"/>
          <w:iCs w:val="0"/>
          <w:color w:val="auto"/>
          <w:highlight w:val="none"/>
          <w:lang w:val="en-US" w:eastAsia="zh-CN"/>
        </w:rPr>
      </w:pPr>
    </w:p>
    <w:p w14:paraId="7FC23E9A">
      <w:pPr>
        <w:ind w:firstLine="480" w:firstLineChars="200"/>
        <w:rPr>
          <w:rFonts w:cs="仿宋_GB2312"/>
          <w:i w:val="0"/>
          <w:iCs w:val="0"/>
          <w:color w:val="auto"/>
          <w:szCs w:val="24"/>
          <w:highlight w:val="none"/>
          <w:lang w:val="zh-CN"/>
        </w:rPr>
      </w:pPr>
      <w:r>
        <w:rPr>
          <w:rFonts w:hint="eastAsia" w:cs="仿宋_GB2312"/>
          <w:i w:val="0"/>
          <w:iCs w:val="0"/>
          <w:color w:val="auto"/>
          <w:szCs w:val="24"/>
          <w:highlight w:val="none"/>
          <w:lang w:val="zh-CN"/>
        </w:rPr>
        <w:t>封面：</w:t>
      </w:r>
    </w:p>
    <w:p w14:paraId="579E32CA">
      <w:pPr>
        <w:autoSpaceDE w:val="0"/>
        <w:autoSpaceDN w:val="0"/>
        <w:adjustRightInd w:val="0"/>
        <w:rPr>
          <w:i w:val="0"/>
          <w:iCs w:val="0"/>
          <w:color w:val="auto"/>
          <w:sz w:val="21"/>
          <w:szCs w:val="24"/>
          <w:highlight w:val="none"/>
        </w:rPr>
      </w:pPr>
    </w:p>
    <w:p w14:paraId="2CC27B4B">
      <w:pPr>
        <w:autoSpaceDE w:val="0"/>
        <w:autoSpaceDN w:val="0"/>
        <w:adjustRightInd w:val="0"/>
        <w:rPr>
          <w:i w:val="0"/>
          <w:iCs w:val="0"/>
          <w:color w:val="auto"/>
          <w:sz w:val="21"/>
          <w:szCs w:val="24"/>
          <w:highlight w:val="none"/>
        </w:rPr>
      </w:pPr>
    </w:p>
    <w:p w14:paraId="63CA31F9">
      <w:pPr>
        <w:autoSpaceDE w:val="0"/>
        <w:autoSpaceDN w:val="0"/>
        <w:adjustRightInd w:val="0"/>
        <w:jc w:val="center"/>
        <w:rPr>
          <w:i w:val="0"/>
          <w:iCs w:val="0"/>
          <w:color w:val="auto"/>
          <w:sz w:val="21"/>
          <w:szCs w:val="24"/>
          <w:highlight w:val="none"/>
        </w:rPr>
      </w:pPr>
    </w:p>
    <w:p w14:paraId="0F2A8793">
      <w:pPr>
        <w:pStyle w:val="3"/>
        <w:bidi w:val="0"/>
        <w:jc w:val="center"/>
        <w:rPr>
          <w:sz w:val="84"/>
          <w:szCs w:val="84"/>
          <w:highlight w:val="none"/>
        </w:rPr>
      </w:pPr>
      <w:bookmarkStart w:id="463" w:name="_Toc17297"/>
      <w:r>
        <w:rPr>
          <w:rFonts w:hint="eastAsia"/>
          <w:sz w:val="84"/>
          <w:szCs w:val="84"/>
          <w:highlight w:val="none"/>
          <w:lang w:val="en-US" w:eastAsia="zh-CN"/>
        </w:rPr>
        <w:t>响 应</w:t>
      </w:r>
      <w:r>
        <w:rPr>
          <w:rFonts w:hint="eastAsia"/>
          <w:sz w:val="84"/>
          <w:szCs w:val="84"/>
          <w:highlight w:val="none"/>
        </w:rPr>
        <w:t xml:space="preserve"> 文 件</w:t>
      </w:r>
      <w:bookmarkEnd w:id="463"/>
    </w:p>
    <w:p w14:paraId="383861DE">
      <w:pPr>
        <w:pStyle w:val="3"/>
        <w:bidi w:val="0"/>
        <w:jc w:val="center"/>
        <w:rPr>
          <w:rFonts w:hint="eastAsia"/>
          <w:sz w:val="56"/>
          <w:szCs w:val="56"/>
          <w:highlight w:val="none"/>
          <w:lang w:val="en-US" w:eastAsia="zh-CN"/>
        </w:rPr>
      </w:pPr>
      <w:bookmarkStart w:id="464" w:name="_Toc21610"/>
      <w:r>
        <w:rPr>
          <w:rFonts w:hint="eastAsia"/>
          <w:sz w:val="56"/>
          <w:szCs w:val="56"/>
          <w:highlight w:val="none"/>
          <w:lang w:val="en-US" w:eastAsia="zh-CN"/>
        </w:rPr>
        <w:t>报价文件</w:t>
      </w:r>
      <w:bookmarkEnd w:id="464"/>
    </w:p>
    <w:p w14:paraId="213DD66C">
      <w:pPr>
        <w:autoSpaceDE w:val="0"/>
        <w:autoSpaceDN w:val="0"/>
        <w:adjustRightInd w:val="0"/>
        <w:jc w:val="center"/>
        <w:rPr>
          <w:rFonts w:hint="eastAsia" w:eastAsia="宋体"/>
          <w:i w:val="0"/>
          <w:iCs w:val="0"/>
          <w:color w:val="auto"/>
          <w:sz w:val="36"/>
          <w:szCs w:val="36"/>
          <w:highlight w:val="none"/>
          <w:lang w:eastAsia="zh-CN"/>
        </w:rPr>
      </w:pPr>
      <w:r>
        <w:rPr>
          <w:rFonts w:hint="eastAsia"/>
          <w:i w:val="0"/>
          <w:iCs w:val="0"/>
          <w:color w:val="auto"/>
          <w:sz w:val="36"/>
          <w:szCs w:val="36"/>
          <w:highlight w:val="none"/>
          <w:lang w:val="en-US" w:eastAsia="zh-CN"/>
        </w:rPr>
        <w:t>（包二</w:t>
      </w:r>
      <w:r>
        <w:rPr>
          <w:rFonts w:hint="eastAsia"/>
          <w:i w:val="0"/>
          <w:iCs w:val="0"/>
          <w:color w:val="auto"/>
          <w:sz w:val="36"/>
          <w:szCs w:val="36"/>
          <w:highlight w:val="none"/>
          <w:lang w:eastAsia="zh-CN"/>
        </w:rPr>
        <w:t>）</w:t>
      </w:r>
    </w:p>
    <w:p w14:paraId="798A956E">
      <w:pPr>
        <w:pStyle w:val="3"/>
        <w:rPr>
          <w:i w:val="0"/>
          <w:iCs w:val="0"/>
          <w:color w:val="auto"/>
          <w:sz w:val="21"/>
          <w:szCs w:val="21"/>
          <w:highlight w:val="none"/>
        </w:rPr>
      </w:pPr>
    </w:p>
    <w:p w14:paraId="24B6A268">
      <w:pPr>
        <w:rPr>
          <w:i w:val="0"/>
          <w:iCs w:val="0"/>
          <w:color w:val="auto"/>
          <w:sz w:val="21"/>
          <w:szCs w:val="21"/>
          <w:highlight w:val="none"/>
        </w:rPr>
      </w:pPr>
    </w:p>
    <w:p w14:paraId="3DC104B3">
      <w:pPr>
        <w:rPr>
          <w:i w:val="0"/>
          <w:iCs w:val="0"/>
          <w:color w:val="auto"/>
          <w:highlight w:val="none"/>
        </w:rPr>
      </w:pPr>
    </w:p>
    <w:p w14:paraId="6EE89269">
      <w:pPr>
        <w:autoSpaceDE w:val="0"/>
        <w:autoSpaceDN w:val="0"/>
        <w:adjustRightInd w:val="0"/>
        <w:rPr>
          <w:i w:val="0"/>
          <w:iCs w:val="0"/>
          <w:color w:val="auto"/>
          <w:sz w:val="21"/>
          <w:szCs w:val="21"/>
          <w:highlight w:val="none"/>
        </w:rPr>
      </w:pPr>
    </w:p>
    <w:p w14:paraId="6F475132">
      <w:pPr>
        <w:ind w:left="420" w:leftChars="175"/>
        <w:rPr>
          <w:rFonts w:hint="eastAsia" w:ascii="宋体" w:hAnsi="宋体" w:eastAsia="宋体" w:cs="宋体"/>
          <w:i w:val="0"/>
          <w:iCs w:val="0"/>
          <w:color w:val="auto"/>
          <w:sz w:val="36"/>
          <w:szCs w:val="36"/>
          <w:highlight w:val="none"/>
        </w:rPr>
      </w:pPr>
      <w:r>
        <w:rPr>
          <w:rFonts w:hint="eastAsia" w:ascii="宋体" w:hAnsi="宋体" w:eastAsia="宋体" w:cs="宋体"/>
          <w:i w:val="0"/>
          <w:iCs w:val="0"/>
          <w:color w:val="auto"/>
          <w:sz w:val="36"/>
          <w:szCs w:val="36"/>
          <w:highlight w:val="none"/>
        </w:rPr>
        <w:t>项目编号</w:t>
      </w:r>
      <w:r>
        <w:rPr>
          <w:rFonts w:hint="eastAsia" w:ascii="宋体" w:hAnsi="宋体" w:eastAsia="宋体" w:cs="宋体"/>
          <w:i w:val="0"/>
          <w:iCs w:val="0"/>
          <w:color w:val="auto"/>
          <w:sz w:val="36"/>
          <w:szCs w:val="36"/>
          <w:highlight w:val="none"/>
          <w:lang w:val="en-US" w:eastAsia="zh-CN"/>
        </w:rPr>
        <w:t>/包号</w:t>
      </w:r>
      <w:r>
        <w:rPr>
          <w:rFonts w:hint="eastAsia" w:ascii="宋体" w:hAnsi="宋体" w:eastAsia="宋体" w:cs="宋体"/>
          <w:i w:val="0"/>
          <w:iCs w:val="0"/>
          <w:color w:val="auto"/>
          <w:sz w:val="36"/>
          <w:szCs w:val="36"/>
          <w:highlight w:val="none"/>
        </w:rPr>
        <w:t>：</w:t>
      </w:r>
      <w:r>
        <w:rPr>
          <w:rFonts w:hint="eastAsia" w:ascii="宋体" w:hAnsi="宋体" w:eastAsia="宋体" w:cs="宋体"/>
          <w:i w:val="0"/>
          <w:iCs w:val="0"/>
          <w:color w:val="auto"/>
          <w:sz w:val="36"/>
          <w:szCs w:val="36"/>
          <w:highlight w:val="none"/>
          <w:u w:val="single"/>
        </w:rPr>
        <w:t xml:space="preserve">   </w:t>
      </w:r>
      <w:r>
        <w:rPr>
          <w:rFonts w:hint="eastAsia" w:ascii="宋体" w:hAnsi="宋体" w:eastAsia="宋体" w:cs="宋体"/>
          <w:i w:val="0"/>
          <w:iCs w:val="0"/>
          <w:color w:val="auto"/>
          <w:sz w:val="36"/>
          <w:szCs w:val="36"/>
          <w:highlight w:val="none"/>
          <w:u w:val="single"/>
          <w:lang w:val="en-US" w:eastAsia="zh-CN"/>
        </w:rPr>
        <w:t xml:space="preserve"> </w:t>
      </w:r>
      <w:r>
        <w:rPr>
          <w:rFonts w:hint="eastAsia" w:ascii="宋体" w:hAnsi="宋体" w:eastAsia="宋体" w:cs="宋体"/>
          <w:i w:val="0"/>
          <w:iCs w:val="0"/>
          <w:color w:val="auto"/>
          <w:sz w:val="36"/>
          <w:szCs w:val="36"/>
          <w:highlight w:val="none"/>
          <w:u w:val="single"/>
        </w:rPr>
        <w:t xml:space="preserve">     </w:t>
      </w:r>
      <w:r>
        <w:rPr>
          <w:rFonts w:hint="eastAsia" w:ascii="宋体" w:hAnsi="宋体" w:eastAsia="宋体" w:cs="宋体"/>
          <w:i w:val="0"/>
          <w:iCs w:val="0"/>
          <w:color w:val="auto"/>
          <w:sz w:val="36"/>
          <w:szCs w:val="36"/>
          <w:highlight w:val="none"/>
          <w:u w:val="single"/>
          <w:lang w:val="en-US" w:eastAsia="zh-CN"/>
        </w:rPr>
        <w:t xml:space="preserve"> </w:t>
      </w:r>
      <w:r>
        <w:rPr>
          <w:rFonts w:hint="eastAsia" w:ascii="宋体" w:hAnsi="宋体" w:eastAsia="宋体" w:cs="宋体"/>
          <w:i w:val="0"/>
          <w:iCs w:val="0"/>
          <w:color w:val="auto"/>
          <w:sz w:val="36"/>
          <w:szCs w:val="36"/>
          <w:highlight w:val="none"/>
          <w:u w:val="single"/>
        </w:rPr>
        <w:t xml:space="preserve">       </w:t>
      </w:r>
      <w:r>
        <w:rPr>
          <w:rFonts w:hint="eastAsia" w:ascii="宋体" w:hAnsi="宋体" w:eastAsia="宋体" w:cs="宋体"/>
          <w:i w:val="0"/>
          <w:iCs w:val="0"/>
          <w:color w:val="auto"/>
          <w:sz w:val="36"/>
          <w:szCs w:val="36"/>
          <w:highlight w:val="none"/>
          <w:u w:val="single"/>
          <w:lang w:val="en-US" w:eastAsia="zh-CN"/>
        </w:rPr>
        <w:t xml:space="preserve">  </w:t>
      </w:r>
      <w:r>
        <w:rPr>
          <w:rFonts w:hint="eastAsia" w:ascii="宋体" w:hAnsi="宋体" w:eastAsia="宋体" w:cs="宋体"/>
          <w:i w:val="0"/>
          <w:iCs w:val="0"/>
          <w:color w:val="auto"/>
          <w:sz w:val="36"/>
          <w:szCs w:val="36"/>
          <w:highlight w:val="none"/>
          <w:u w:val="single"/>
        </w:rPr>
        <w:t xml:space="preserve">         </w:t>
      </w:r>
    </w:p>
    <w:p w14:paraId="0173F70E">
      <w:pPr>
        <w:ind w:left="420" w:leftChars="175"/>
        <w:rPr>
          <w:rFonts w:hint="eastAsia" w:ascii="宋体" w:hAnsi="宋体" w:eastAsia="宋体" w:cs="宋体"/>
          <w:i w:val="0"/>
          <w:iCs w:val="0"/>
          <w:color w:val="auto"/>
          <w:sz w:val="36"/>
          <w:szCs w:val="36"/>
          <w:highlight w:val="none"/>
        </w:rPr>
      </w:pPr>
      <w:r>
        <w:rPr>
          <w:rFonts w:hint="eastAsia" w:ascii="宋体" w:hAnsi="宋体" w:eastAsia="宋体" w:cs="宋体"/>
          <w:i w:val="0"/>
          <w:iCs w:val="0"/>
          <w:color w:val="auto"/>
          <w:sz w:val="36"/>
          <w:szCs w:val="36"/>
          <w:highlight w:val="none"/>
        </w:rPr>
        <w:t>项目名称：</w:t>
      </w:r>
      <w:r>
        <w:rPr>
          <w:rFonts w:hint="eastAsia" w:ascii="宋体" w:hAnsi="宋体" w:eastAsia="宋体" w:cs="宋体"/>
          <w:i w:val="0"/>
          <w:iCs w:val="0"/>
          <w:color w:val="auto"/>
          <w:sz w:val="36"/>
          <w:szCs w:val="36"/>
          <w:highlight w:val="none"/>
          <w:u w:val="single"/>
        </w:rPr>
        <w:t xml:space="preserve">                       </w:t>
      </w:r>
      <w:r>
        <w:rPr>
          <w:rFonts w:hint="eastAsia" w:ascii="宋体" w:hAnsi="宋体" w:eastAsia="宋体" w:cs="宋体"/>
          <w:i w:val="0"/>
          <w:iCs w:val="0"/>
          <w:color w:val="auto"/>
          <w:sz w:val="36"/>
          <w:szCs w:val="36"/>
          <w:highlight w:val="none"/>
          <w:u w:val="single"/>
          <w:lang w:val="en-US" w:eastAsia="zh-CN"/>
        </w:rPr>
        <w:t xml:space="preserve"> </w:t>
      </w:r>
      <w:r>
        <w:rPr>
          <w:rFonts w:hint="eastAsia" w:ascii="宋体" w:hAnsi="宋体" w:eastAsia="宋体" w:cs="宋体"/>
          <w:i w:val="0"/>
          <w:iCs w:val="0"/>
          <w:color w:val="auto"/>
          <w:sz w:val="36"/>
          <w:szCs w:val="36"/>
          <w:highlight w:val="none"/>
          <w:u w:val="single"/>
        </w:rPr>
        <w:t xml:space="preserve">         </w:t>
      </w:r>
    </w:p>
    <w:p w14:paraId="101680F9">
      <w:pPr>
        <w:ind w:left="420" w:leftChars="175"/>
        <w:rPr>
          <w:rFonts w:hint="eastAsia" w:ascii="宋体" w:hAnsi="宋体" w:eastAsia="宋体" w:cs="宋体"/>
          <w:i w:val="0"/>
          <w:iCs w:val="0"/>
          <w:color w:val="auto"/>
          <w:sz w:val="36"/>
          <w:szCs w:val="36"/>
          <w:highlight w:val="none"/>
        </w:rPr>
      </w:pPr>
      <w:r>
        <w:rPr>
          <w:rFonts w:hint="eastAsia" w:cs="宋体"/>
          <w:i w:val="0"/>
          <w:iCs w:val="0"/>
          <w:color w:val="auto"/>
          <w:sz w:val="36"/>
          <w:szCs w:val="36"/>
          <w:highlight w:val="none"/>
          <w:lang w:val="en-US" w:eastAsia="zh-CN"/>
        </w:rPr>
        <w:t>供 应 商</w:t>
      </w:r>
      <w:r>
        <w:rPr>
          <w:rFonts w:hint="eastAsia" w:ascii="宋体" w:hAnsi="宋体" w:eastAsia="宋体" w:cs="宋体"/>
          <w:i w:val="0"/>
          <w:iCs w:val="0"/>
          <w:color w:val="auto"/>
          <w:sz w:val="36"/>
          <w:szCs w:val="36"/>
          <w:highlight w:val="none"/>
        </w:rPr>
        <w:t>：</w:t>
      </w:r>
      <w:r>
        <w:rPr>
          <w:rFonts w:hint="eastAsia" w:ascii="宋体" w:hAnsi="宋体" w:eastAsia="宋体" w:cs="宋体"/>
          <w:i w:val="0"/>
          <w:iCs w:val="0"/>
          <w:color w:val="auto"/>
          <w:sz w:val="36"/>
          <w:szCs w:val="36"/>
          <w:highlight w:val="none"/>
          <w:u w:val="single"/>
        </w:rPr>
        <w:t xml:space="preserve">      </w:t>
      </w:r>
      <w:r>
        <w:rPr>
          <w:rFonts w:hint="eastAsia" w:ascii="宋体" w:hAnsi="宋体" w:eastAsia="宋体" w:cs="宋体"/>
          <w:i w:val="0"/>
          <w:iCs w:val="0"/>
          <w:color w:val="auto"/>
          <w:sz w:val="36"/>
          <w:szCs w:val="36"/>
          <w:highlight w:val="none"/>
          <w:u w:val="single"/>
          <w:lang w:val="en-US" w:eastAsia="zh-CN"/>
        </w:rPr>
        <w:t xml:space="preserve">  </w:t>
      </w:r>
      <w:r>
        <w:rPr>
          <w:rFonts w:hint="eastAsia" w:ascii="宋体" w:hAnsi="宋体" w:eastAsia="宋体" w:cs="宋体"/>
          <w:i w:val="0"/>
          <w:iCs w:val="0"/>
          <w:color w:val="auto"/>
          <w:sz w:val="36"/>
          <w:szCs w:val="36"/>
          <w:highlight w:val="none"/>
          <w:u w:val="single"/>
        </w:rPr>
        <w:t xml:space="preserve">         </w:t>
      </w:r>
      <w:r>
        <w:rPr>
          <w:rFonts w:hint="eastAsia" w:ascii="宋体" w:hAnsi="宋体" w:eastAsia="宋体" w:cs="宋体"/>
          <w:i w:val="0"/>
          <w:iCs w:val="0"/>
          <w:color w:val="auto"/>
          <w:sz w:val="36"/>
          <w:szCs w:val="36"/>
          <w:highlight w:val="none"/>
          <w:u w:val="single"/>
          <w:lang w:val="en-US" w:eastAsia="zh-CN"/>
        </w:rPr>
        <w:t xml:space="preserve"> </w:t>
      </w:r>
      <w:r>
        <w:rPr>
          <w:rFonts w:hint="eastAsia" w:ascii="宋体" w:hAnsi="宋体" w:eastAsia="宋体" w:cs="宋体"/>
          <w:i w:val="0"/>
          <w:iCs w:val="0"/>
          <w:color w:val="auto"/>
          <w:sz w:val="36"/>
          <w:szCs w:val="36"/>
          <w:highlight w:val="none"/>
          <w:u w:val="single"/>
        </w:rPr>
        <w:t xml:space="preserve">               </w:t>
      </w:r>
    </w:p>
    <w:p w14:paraId="13B6644C">
      <w:pPr>
        <w:ind w:left="840" w:firstLine="420"/>
        <w:rPr>
          <w:b/>
          <w:bCs/>
          <w:i w:val="0"/>
          <w:iCs w:val="0"/>
          <w:color w:val="auto"/>
          <w:sz w:val="28"/>
          <w:szCs w:val="28"/>
          <w:highlight w:val="none"/>
        </w:rPr>
      </w:pPr>
    </w:p>
    <w:p w14:paraId="17D47AB2">
      <w:pPr>
        <w:ind w:left="840" w:firstLine="420"/>
        <w:rPr>
          <w:b/>
          <w:bCs/>
          <w:i w:val="0"/>
          <w:iCs w:val="0"/>
          <w:color w:val="auto"/>
          <w:sz w:val="28"/>
          <w:szCs w:val="28"/>
          <w:highlight w:val="none"/>
        </w:rPr>
      </w:pPr>
    </w:p>
    <w:p w14:paraId="189AF4A8">
      <w:pPr>
        <w:jc w:val="center"/>
        <w:rPr>
          <w:rFonts w:ascii="黑体" w:hAnsi="黑体" w:eastAsia="黑体"/>
          <w:i w:val="0"/>
          <w:iCs w:val="0"/>
          <w:color w:val="auto"/>
          <w:sz w:val="32"/>
          <w:szCs w:val="32"/>
          <w:highlight w:val="none"/>
        </w:rPr>
      </w:pPr>
      <w:r>
        <w:rPr>
          <w:rFonts w:hint="eastAsia" w:ascii="宋体" w:hAnsi="宋体" w:eastAsia="宋体" w:cs="宋体"/>
          <w:i w:val="0"/>
          <w:iCs w:val="0"/>
          <w:color w:val="auto"/>
          <w:sz w:val="32"/>
          <w:szCs w:val="32"/>
          <w:highlight w:val="none"/>
        </w:rPr>
        <w:t>年   月    日</w:t>
      </w:r>
    </w:p>
    <w:p w14:paraId="2B025C97">
      <w:pPr>
        <w:rPr>
          <w:i w:val="0"/>
          <w:iCs w:val="0"/>
          <w:color w:val="auto"/>
          <w:highlight w:val="none"/>
          <w:lang w:val="zh-CN"/>
        </w:rPr>
      </w:pPr>
      <w:r>
        <w:rPr>
          <w:i w:val="0"/>
          <w:iCs w:val="0"/>
          <w:color w:val="auto"/>
          <w:highlight w:val="none"/>
          <w:lang w:val="zh-CN"/>
        </w:rPr>
        <w:br w:type="page"/>
      </w:r>
    </w:p>
    <w:p w14:paraId="5A6B7717">
      <w:pPr>
        <w:pStyle w:val="3"/>
        <w:keepNext/>
        <w:keepLines/>
        <w:pageBreakBefore w:val="0"/>
        <w:widowControl w:val="0"/>
        <w:numPr>
          <w:ilvl w:val="0"/>
          <w:numId w:val="0"/>
        </w:numPr>
        <w:kinsoku/>
        <w:wordWrap/>
        <w:overflowPunct/>
        <w:topLinePunct w:val="0"/>
        <w:autoSpaceDE/>
        <w:autoSpaceDN/>
        <w:bidi w:val="0"/>
        <w:adjustRightInd/>
        <w:snapToGrid/>
        <w:spacing w:before="100" w:after="100" w:line="360" w:lineRule="auto"/>
        <w:ind w:left="420" w:leftChars="0" w:hanging="420" w:firstLineChars="0"/>
        <w:jc w:val="center"/>
        <w:textAlignment w:val="auto"/>
        <w:rPr>
          <w:rFonts w:hint="eastAsia" w:cstheme="majorBidi"/>
          <w:b/>
          <w:bCs/>
          <w:i w:val="0"/>
          <w:iCs w:val="0"/>
          <w:color w:val="auto"/>
          <w:kern w:val="2"/>
          <w:sz w:val="32"/>
          <w:szCs w:val="32"/>
          <w:highlight w:val="none"/>
          <w:lang w:val="en-US" w:eastAsia="zh-CN" w:bidi="ar-SA"/>
        </w:rPr>
      </w:pPr>
    </w:p>
    <w:p w14:paraId="730DA0BC">
      <w:pPr>
        <w:pStyle w:val="3"/>
        <w:keepNext/>
        <w:keepLines/>
        <w:pageBreakBefore w:val="0"/>
        <w:widowControl w:val="0"/>
        <w:numPr>
          <w:ilvl w:val="0"/>
          <w:numId w:val="0"/>
        </w:numPr>
        <w:kinsoku/>
        <w:wordWrap/>
        <w:overflowPunct/>
        <w:topLinePunct w:val="0"/>
        <w:autoSpaceDE/>
        <w:autoSpaceDN/>
        <w:bidi w:val="0"/>
        <w:adjustRightInd/>
        <w:snapToGrid/>
        <w:spacing w:before="100" w:after="100" w:line="360" w:lineRule="auto"/>
        <w:ind w:left="420" w:leftChars="0" w:hanging="420" w:firstLineChars="0"/>
        <w:jc w:val="center"/>
        <w:textAlignment w:val="auto"/>
        <w:rPr>
          <w:rFonts w:hint="eastAsia" w:cstheme="majorBidi"/>
          <w:b/>
          <w:bCs/>
          <w:i w:val="0"/>
          <w:iCs w:val="0"/>
          <w:color w:val="auto"/>
          <w:kern w:val="2"/>
          <w:sz w:val="32"/>
          <w:szCs w:val="32"/>
          <w:highlight w:val="none"/>
          <w:lang w:val="en-US" w:eastAsia="zh-CN" w:bidi="ar-SA"/>
        </w:rPr>
      </w:pPr>
      <w:bookmarkStart w:id="465" w:name="_Toc15361"/>
      <w:r>
        <w:rPr>
          <w:rFonts w:hint="eastAsia" w:cstheme="majorBidi"/>
          <w:b/>
          <w:bCs/>
          <w:i w:val="0"/>
          <w:iCs w:val="0"/>
          <w:color w:val="auto"/>
          <w:kern w:val="2"/>
          <w:sz w:val="32"/>
          <w:szCs w:val="32"/>
          <w:highlight w:val="none"/>
          <w:lang w:val="en-US" w:eastAsia="zh-CN" w:bidi="ar-SA"/>
        </w:rPr>
        <w:t>一、报价一览表</w:t>
      </w:r>
      <w:bookmarkEnd w:id="465"/>
    </w:p>
    <w:p w14:paraId="2AB3D72A">
      <w:pPr>
        <w:spacing w:line="300" w:lineRule="auto"/>
        <w:rPr>
          <w:rFonts w:cs="仿宋_GB2312"/>
          <w:i w:val="0"/>
          <w:iCs w:val="0"/>
          <w:color w:val="auto"/>
          <w:szCs w:val="24"/>
          <w:highlight w:val="none"/>
        </w:rPr>
      </w:pPr>
    </w:p>
    <w:p w14:paraId="2E702B28">
      <w:pPr>
        <w:rPr>
          <w:b w:val="0"/>
          <w:bCs/>
          <w:i w:val="0"/>
          <w:iCs w:val="0"/>
          <w:color w:val="auto"/>
          <w:szCs w:val="21"/>
          <w:highlight w:val="none"/>
          <w:lang w:val="zh-CN"/>
        </w:rPr>
      </w:pPr>
      <w:r>
        <w:rPr>
          <w:rFonts w:hint="eastAsia"/>
          <w:b w:val="0"/>
          <w:bCs/>
          <w:i w:val="0"/>
          <w:iCs w:val="0"/>
          <w:color w:val="auto"/>
          <w:szCs w:val="21"/>
          <w:highlight w:val="none"/>
          <w:lang w:val="zh-CN"/>
        </w:rPr>
        <w:t>项目名称：</w:t>
      </w:r>
      <w:r>
        <w:rPr>
          <w:rFonts w:hint="eastAsia"/>
          <w:b w:val="0"/>
          <w:bCs/>
          <w:i w:val="0"/>
          <w:iCs w:val="0"/>
          <w:color w:val="auto"/>
          <w:szCs w:val="21"/>
          <w:highlight w:val="none"/>
          <w:u w:val="single"/>
          <w:lang w:val="zh-CN"/>
        </w:rPr>
        <w:t xml:space="preserve">                     </w:t>
      </w:r>
    </w:p>
    <w:p w14:paraId="573A0361">
      <w:pPr>
        <w:rPr>
          <w:b w:val="0"/>
          <w:bCs/>
          <w:i w:val="0"/>
          <w:iCs w:val="0"/>
          <w:color w:val="auto"/>
          <w:szCs w:val="21"/>
          <w:highlight w:val="none"/>
          <w:u w:val="single"/>
          <w:lang w:val="zh-CN"/>
        </w:rPr>
      </w:pPr>
      <w:r>
        <w:rPr>
          <w:rFonts w:hint="eastAsia"/>
          <w:b w:val="0"/>
          <w:bCs/>
          <w:i w:val="0"/>
          <w:iCs w:val="0"/>
          <w:color w:val="auto"/>
          <w:szCs w:val="21"/>
          <w:highlight w:val="none"/>
          <w:lang w:val="zh-CN"/>
        </w:rPr>
        <w:t>项目编号</w:t>
      </w:r>
      <w:r>
        <w:rPr>
          <w:rFonts w:hint="eastAsia"/>
          <w:b w:val="0"/>
          <w:bCs/>
          <w:i w:val="0"/>
          <w:iCs w:val="0"/>
          <w:color w:val="auto"/>
          <w:szCs w:val="21"/>
          <w:highlight w:val="none"/>
          <w:lang w:val="en-US" w:eastAsia="zh-CN"/>
        </w:rPr>
        <w:t>/</w:t>
      </w:r>
      <w:r>
        <w:rPr>
          <w:rFonts w:hint="eastAsia"/>
          <w:b w:val="0"/>
          <w:bCs/>
          <w:i w:val="0"/>
          <w:iCs w:val="0"/>
          <w:color w:val="auto"/>
          <w:szCs w:val="21"/>
          <w:highlight w:val="none"/>
          <w:lang w:val="zh-CN"/>
        </w:rPr>
        <w:t>包号：</w:t>
      </w:r>
      <w:r>
        <w:rPr>
          <w:rFonts w:hint="eastAsia"/>
          <w:b w:val="0"/>
          <w:bCs/>
          <w:i w:val="0"/>
          <w:iCs w:val="0"/>
          <w:color w:val="auto"/>
          <w:szCs w:val="21"/>
          <w:highlight w:val="none"/>
          <w:u w:val="single"/>
          <w:lang w:val="zh-CN"/>
        </w:rPr>
        <w:t xml:space="preserve">                </w:t>
      </w:r>
    </w:p>
    <w:tbl>
      <w:tblPr>
        <w:tblStyle w:val="28"/>
        <w:tblW w:w="85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3"/>
        <w:gridCol w:w="2352"/>
        <w:gridCol w:w="2161"/>
        <w:gridCol w:w="2611"/>
      </w:tblGrid>
      <w:tr w14:paraId="5F27D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6" w:hRule="atLeast"/>
        </w:trPr>
        <w:tc>
          <w:tcPr>
            <w:tcW w:w="1403" w:type="dxa"/>
            <w:vAlign w:val="center"/>
          </w:tcPr>
          <w:p w14:paraId="68B46E6E">
            <w:pPr>
              <w:widowControl/>
              <w:autoSpaceDE w:val="0"/>
              <w:autoSpaceDN w:val="0"/>
              <w:jc w:val="center"/>
              <w:textAlignment w:val="bottom"/>
              <w:rPr>
                <w:i w:val="0"/>
                <w:iCs w:val="0"/>
                <w:color w:val="auto"/>
                <w:szCs w:val="21"/>
                <w:highlight w:val="none"/>
              </w:rPr>
            </w:pPr>
            <w:r>
              <w:rPr>
                <w:rFonts w:hint="eastAsia"/>
                <w:i w:val="0"/>
                <w:iCs w:val="0"/>
                <w:color w:val="auto"/>
                <w:szCs w:val="21"/>
                <w:highlight w:val="none"/>
              </w:rPr>
              <w:t>序号</w:t>
            </w:r>
          </w:p>
        </w:tc>
        <w:tc>
          <w:tcPr>
            <w:tcW w:w="2352" w:type="dxa"/>
            <w:vAlign w:val="center"/>
          </w:tcPr>
          <w:p w14:paraId="5D10FF2E">
            <w:pPr>
              <w:widowControl/>
              <w:autoSpaceDE w:val="0"/>
              <w:autoSpaceDN w:val="0"/>
              <w:ind w:left="851" w:hanging="851"/>
              <w:jc w:val="center"/>
              <w:textAlignment w:val="bottom"/>
              <w:rPr>
                <w:i w:val="0"/>
                <w:iCs w:val="0"/>
                <w:color w:val="auto"/>
                <w:szCs w:val="21"/>
                <w:highlight w:val="none"/>
              </w:rPr>
            </w:pPr>
            <w:r>
              <w:rPr>
                <w:rFonts w:hint="eastAsia"/>
                <w:i w:val="0"/>
                <w:iCs w:val="0"/>
                <w:color w:val="auto"/>
                <w:szCs w:val="21"/>
                <w:highlight w:val="none"/>
                <w:lang w:val="en-US" w:eastAsia="zh-CN"/>
              </w:rPr>
              <w:t>磋商</w:t>
            </w:r>
            <w:r>
              <w:rPr>
                <w:rFonts w:hint="eastAsia"/>
                <w:i w:val="0"/>
                <w:iCs w:val="0"/>
                <w:color w:val="auto"/>
                <w:szCs w:val="21"/>
                <w:highlight w:val="none"/>
              </w:rPr>
              <w:t>报价</w:t>
            </w:r>
          </w:p>
        </w:tc>
        <w:tc>
          <w:tcPr>
            <w:tcW w:w="2161" w:type="dxa"/>
            <w:vAlign w:val="center"/>
          </w:tcPr>
          <w:p w14:paraId="48CC1886">
            <w:pPr>
              <w:widowControl/>
              <w:autoSpaceDE w:val="0"/>
              <w:autoSpaceDN w:val="0"/>
              <w:ind w:left="851" w:hanging="851"/>
              <w:jc w:val="center"/>
              <w:textAlignment w:val="bottom"/>
              <w:rPr>
                <w:i w:val="0"/>
                <w:iCs w:val="0"/>
                <w:color w:val="auto"/>
                <w:szCs w:val="21"/>
                <w:highlight w:val="none"/>
              </w:rPr>
            </w:pPr>
            <w:r>
              <w:rPr>
                <w:rFonts w:hint="eastAsia"/>
                <w:i w:val="0"/>
                <w:iCs w:val="0"/>
                <w:color w:val="auto"/>
                <w:szCs w:val="21"/>
                <w:highlight w:val="none"/>
                <w:lang w:val="en-US" w:eastAsia="zh-CN"/>
              </w:rPr>
              <w:t>服务</w:t>
            </w:r>
            <w:r>
              <w:rPr>
                <w:rFonts w:hint="eastAsia"/>
                <w:i w:val="0"/>
                <w:iCs w:val="0"/>
                <w:color w:val="auto"/>
                <w:szCs w:val="21"/>
                <w:highlight w:val="none"/>
              </w:rPr>
              <w:t>期限</w:t>
            </w:r>
          </w:p>
        </w:tc>
        <w:tc>
          <w:tcPr>
            <w:tcW w:w="2611" w:type="dxa"/>
            <w:vAlign w:val="center"/>
          </w:tcPr>
          <w:p w14:paraId="620875ED">
            <w:pPr>
              <w:widowControl/>
              <w:autoSpaceDE w:val="0"/>
              <w:autoSpaceDN w:val="0"/>
              <w:jc w:val="center"/>
              <w:textAlignment w:val="bottom"/>
              <w:rPr>
                <w:i w:val="0"/>
                <w:iCs w:val="0"/>
                <w:color w:val="auto"/>
                <w:szCs w:val="21"/>
                <w:highlight w:val="none"/>
              </w:rPr>
            </w:pPr>
            <w:r>
              <w:rPr>
                <w:rFonts w:hint="eastAsia"/>
                <w:i w:val="0"/>
                <w:iCs w:val="0"/>
                <w:color w:val="auto"/>
                <w:szCs w:val="21"/>
                <w:highlight w:val="none"/>
              </w:rPr>
              <w:t>备注（如有）</w:t>
            </w:r>
          </w:p>
        </w:tc>
      </w:tr>
      <w:tr w14:paraId="1B090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0" w:hRule="atLeast"/>
        </w:trPr>
        <w:tc>
          <w:tcPr>
            <w:tcW w:w="1403" w:type="dxa"/>
            <w:vAlign w:val="center"/>
          </w:tcPr>
          <w:p w14:paraId="73431128">
            <w:pPr>
              <w:jc w:val="center"/>
              <w:rPr>
                <w:i w:val="0"/>
                <w:iCs w:val="0"/>
                <w:color w:val="auto"/>
                <w:sz w:val="28"/>
                <w:highlight w:val="none"/>
              </w:rPr>
            </w:pPr>
          </w:p>
        </w:tc>
        <w:tc>
          <w:tcPr>
            <w:tcW w:w="2352" w:type="dxa"/>
            <w:vAlign w:val="center"/>
          </w:tcPr>
          <w:p w14:paraId="5670501B">
            <w:pPr>
              <w:widowControl/>
              <w:autoSpaceDE w:val="0"/>
              <w:autoSpaceDN w:val="0"/>
              <w:spacing w:line="240" w:lineRule="auto"/>
              <w:ind w:left="851" w:hanging="851"/>
              <w:jc w:val="left"/>
              <w:textAlignment w:val="bottom"/>
              <w:rPr>
                <w:rFonts w:hint="eastAsia"/>
                <w:i w:val="0"/>
                <w:iCs w:val="0"/>
                <w:color w:val="auto"/>
                <w:szCs w:val="21"/>
                <w:highlight w:val="none"/>
                <w:lang w:val="en-US" w:eastAsia="zh-CN"/>
              </w:rPr>
            </w:pPr>
            <w:r>
              <w:rPr>
                <w:rFonts w:hint="eastAsia"/>
                <w:i w:val="0"/>
                <w:iCs w:val="0"/>
                <w:color w:val="auto"/>
                <w:szCs w:val="21"/>
                <w:highlight w:val="none"/>
                <w:lang w:val="en-US" w:eastAsia="zh-CN"/>
              </w:rPr>
              <w:t>小写：</w:t>
            </w:r>
          </w:p>
          <w:p w14:paraId="5238C712">
            <w:pPr>
              <w:jc w:val="left"/>
              <w:rPr>
                <w:i w:val="0"/>
                <w:iCs w:val="0"/>
                <w:color w:val="auto"/>
                <w:sz w:val="28"/>
                <w:highlight w:val="none"/>
              </w:rPr>
            </w:pPr>
            <w:r>
              <w:rPr>
                <w:rFonts w:hint="eastAsia"/>
                <w:i w:val="0"/>
                <w:iCs w:val="0"/>
                <w:color w:val="auto"/>
                <w:szCs w:val="21"/>
                <w:highlight w:val="none"/>
                <w:lang w:val="en-US" w:eastAsia="zh-CN"/>
              </w:rPr>
              <w:t>大写：</w:t>
            </w:r>
          </w:p>
        </w:tc>
        <w:tc>
          <w:tcPr>
            <w:tcW w:w="2161" w:type="dxa"/>
            <w:vAlign w:val="center"/>
          </w:tcPr>
          <w:p w14:paraId="3409D243">
            <w:pPr>
              <w:jc w:val="center"/>
              <w:rPr>
                <w:i w:val="0"/>
                <w:iCs w:val="0"/>
                <w:color w:val="auto"/>
                <w:sz w:val="28"/>
                <w:highlight w:val="none"/>
              </w:rPr>
            </w:pPr>
          </w:p>
        </w:tc>
        <w:tc>
          <w:tcPr>
            <w:tcW w:w="2611" w:type="dxa"/>
            <w:vAlign w:val="center"/>
          </w:tcPr>
          <w:p w14:paraId="35602B49">
            <w:pPr>
              <w:jc w:val="center"/>
              <w:rPr>
                <w:i w:val="0"/>
                <w:iCs w:val="0"/>
                <w:color w:val="auto"/>
                <w:sz w:val="28"/>
                <w:highlight w:val="none"/>
              </w:rPr>
            </w:pPr>
          </w:p>
        </w:tc>
      </w:tr>
    </w:tbl>
    <w:p w14:paraId="35185EF7">
      <w:pPr>
        <w:spacing w:line="300" w:lineRule="auto"/>
        <w:rPr>
          <w:rFonts w:ascii="Arial" w:hAnsi="Arial" w:cs="Arial"/>
          <w:i w:val="0"/>
          <w:iCs w:val="0"/>
          <w:color w:val="auto"/>
          <w:szCs w:val="21"/>
          <w:highlight w:val="none"/>
          <w:u w:val="single"/>
        </w:rPr>
      </w:pPr>
    </w:p>
    <w:p w14:paraId="0D79AA68">
      <w:pPr>
        <w:ind w:right="1008" w:firstLine="4284" w:firstLineChars="1700"/>
        <w:rPr>
          <w:rFonts w:cs="宋体"/>
          <w:i w:val="0"/>
          <w:iCs w:val="0"/>
          <w:color w:val="auto"/>
          <w:spacing w:val="6"/>
          <w:szCs w:val="24"/>
          <w:highlight w:val="none"/>
        </w:rPr>
      </w:pPr>
      <w:r>
        <w:rPr>
          <w:rFonts w:hint="eastAsia" w:cs="宋体"/>
          <w:i w:val="0"/>
          <w:iCs w:val="0"/>
          <w:color w:val="auto"/>
          <w:spacing w:val="6"/>
          <w:szCs w:val="24"/>
          <w:highlight w:val="none"/>
          <w:lang w:val="en-US" w:eastAsia="zh-CN"/>
        </w:rPr>
        <w:t>供应商</w:t>
      </w:r>
      <w:r>
        <w:rPr>
          <w:rFonts w:hint="eastAsia" w:cs="宋体"/>
          <w:i w:val="0"/>
          <w:iCs w:val="0"/>
          <w:color w:val="auto"/>
          <w:spacing w:val="6"/>
          <w:szCs w:val="24"/>
          <w:highlight w:val="none"/>
        </w:rPr>
        <w:t>名称</w:t>
      </w:r>
      <w:r>
        <w:rPr>
          <w:rFonts w:hint="eastAsia" w:cs="宋体"/>
          <w:i w:val="0"/>
          <w:iCs w:val="0"/>
          <w:color w:val="auto"/>
          <w:spacing w:val="6"/>
          <w:szCs w:val="24"/>
          <w:highlight w:val="none"/>
          <w:lang w:eastAsia="zh-CN"/>
        </w:rPr>
        <w:t>（</w:t>
      </w:r>
      <w:r>
        <w:rPr>
          <w:rFonts w:hint="eastAsia" w:cs="宋体"/>
          <w:i w:val="0"/>
          <w:iCs w:val="0"/>
          <w:color w:val="auto"/>
          <w:spacing w:val="6"/>
          <w:szCs w:val="24"/>
          <w:highlight w:val="none"/>
          <w:lang w:val="en-US" w:eastAsia="zh-CN"/>
        </w:rPr>
        <w:t>公章</w:t>
      </w:r>
      <w:r>
        <w:rPr>
          <w:rFonts w:hint="eastAsia" w:cs="宋体"/>
          <w:i w:val="0"/>
          <w:iCs w:val="0"/>
          <w:color w:val="auto"/>
          <w:spacing w:val="6"/>
          <w:szCs w:val="24"/>
          <w:highlight w:val="none"/>
          <w:lang w:eastAsia="zh-CN"/>
        </w:rPr>
        <w:t>）</w:t>
      </w:r>
      <w:r>
        <w:rPr>
          <w:rFonts w:hint="eastAsia" w:cs="宋体"/>
          <w:i w:val="0"/>
          <w:iCs w:val="0"/>
          <w:color w:val="auto"/>
          <w:spacing w:val="6"/>
          <w:szCs w:val="24"/>
          <w:highlight w:val="none"/>
        </w:rPr>
        <w:t>：</w:t>
      </w:r>
    </w:p>
    <w:p w14:paraId="5DD29C01">
      <w:pPr>
        <w:ind w:right="1008" w:firstLine="4284" w:firstLineChars="1700"/>
        <w:rPr>
          <w:rFonts w:hint="default" w:eastAsia="宋体" w:cs="宋体"/>
          <w:i w:val="0"/>
          <w:iCs w:val="0"/>
          <w:color w:val="auto"/>
          <w:spacing w:val="6"/>
          <w:szCs w:val="24"/>
          <w:highlight w:val="none"/>
          <w:lang w:val="en-US" w:eastAsia="zh-CN"/>
        </w:rPr>
      </w:pPr>
      <w:r>
        <w:rPr>
          <w:rFonts w:hint="eastAsia" w:cs="宋体"/>
          <w:i w:val="0"/>
          <w:iCs w:val="0"/>
          <w:color w:val="auto"/>
          <w:spacing w:val="6"/>
          <w:szCs w:val="24"/>
          <w:highlight w:val="none"/>
        </w:rPr>
        <w:t>日期：</w:t>
      </w:r>
      <w:r>
        <w:rPr>
          <w:rFonts w:hint="eastAsia" w:cs="宋体"/>
          <w:i w:val="0"/>
          <w:iCs w:val="0"/>
          <w:color w:val="auto"/>
          <w:spacing w:val="6"/>
          <w:szCs w:val="24"/>
          <w:highlight w:val="none"/>
          <w:lang w:val="en-US" w:eastAsia="zh-CN"/>
        </w:rPr>
        <w:t xml:space="preserve">   年  月  日</w:t>
      </w:r>
    </w:p>
    <w:p w14:paraId="04CB5297">
      <w:pPr>
        <w:rPr>
          <w:rFonts w:cs="Arial"/>
          <w:i w:val="0"/>
          <w:iCs w:val="0"/>
          <w:color w:val="auto"/>
          <w:szCs w:val="24"/>
          <w:highlight w:val="none"/>
        </w:rPr>
      </w:pPr>
    </w:p>
    <w:p w14:paraId="21BB3A26">
      <w:pPr>
        <w:pStyle w:val="11"/>
        <w:rPr>
          <w:rFonts w:cs="Arial"/>
          <w:i w:val="0"/>
          <w:iCs w:val="0"/>
          <w:color w:val="auto"/>
          <w:szCs w:val="24"/>
          <w:highlight w:val="none"/>
        </w:rPr>
      </w:pPr>
    </w:p>
    <w:p w14:paraId="4C551945">
      <w:pPr>
        <w:pStyle w:val="11"/>
        <w:rPr>
          <w:rFonts w:cs="Arial"/>
          <w:i w:val="0"/>
          <w:iCs w:val="0"/>
          <w:color w:val="auto"/>
          <w:szCs w:val="24"/>
          <w:highlight w:val="none"/>
        </w:rPr>
      </w:pPr>
    </w:p>
    <w:p w14:paraId="09ACCEBB">
      <w:pPr>
        <w:pStyle w:val="11"/>
        <w:rPr>
          <w:rFonts w:cs="Arial"/>
          <w:i w:val="0"/>
          <w:iCs w:val="0"/>
          <w:color w:val="auto"/>
          <w:szCs w:val="24"/>
          <w:highlight w:val="none"/>
        </w:rPr>
      </w:pPr>
    </w:p>
    <w:p w14:paraId="54CAC625">
      <w:pPr>
        <w:pStyle w:val="11"/>
        <w:rPr>
          <w:rFonts w:cs="Arial"/>
          <w:i w:val="0"/>
          <w:iCs w:val="0"/>
          <w:color w:val="auto"/>
          <w:szCs w:val="24"/>
          <w:highlight w:val="none"/>
        </w:rPr>
      </w:pPr>
    </w:p>
    <w:p w14:paraId="5D119674">
      <w:pPr>
        <w:spacing w:line="360" w:lineRule="auto"/>
        <w:rPr>
          <w:rFonts w:hint="eastAsia" w:ascii="宋体" w:hAnsi="宋体" w:eastAsia="宋体" w:cs="宋体"/>
          <w:b/>
          <w:i w:val="0"/>
          <w:iCs w:val="0"/>
          <w:color w:val="auto"/>
          <w:sz w:val="21"/>
          <w:szCs w:val="21"/>
          <w:highlight w:val="none"/>
          <w:lang w:eastAsia="zh-CN"/>
        </w:rPr>
      </w:pPr>
      <w:r>
        <w:rPr>
          <w:rFonts w:hint="eastAsia" w:ascii="宋体" w:hAnsi="宋体" w:eastAsia="宋体" w:cs="宋体"/>
          <w:b/>
          <w:i w:val="0"/>
          <w:iCs w:val="0"/>
          <w:color w:val="auto"/>
          <w:sz w:val="21"/>
          <w:szCs w:val="21"/>
          <w:highlight w:val="none"/>
          <w:lang w:eastAsia="zh-CN"/>
        </w:rPr>
        <w:t>注：</w:t>
      </w:r>
    </w:p>
    <w:p w14:paraId="1266F1C5">
      <w:pPr>
        <w:pStyle w:val="11"/>
        <w:ind w:firstLine="420" w:firstLineChars="200"/>
        <w:rPr>
          <w:rFonts w:hint="eastAsia"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1.表中磋商报价即为分项报价表中的报价合计。</w:t>
      </w:r>
    </w:p>
    <w:p w14:paraId="26C7BD91">
      <w:pPr>
        <w:pStyle w:val="11"/>
        <w:ind w:firstLine="420" w:firstLineChars="200"/>
        <w:rPr>
          <w:rFonts w:hint="eastAsia"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2.特殊事项在备注中注明。</w:t>
      </w:r>
    </w:p>
    <w:p w14:paraId="69D43C2F">
      <w:pPr>
        <w:pStyle w:val="11"/>
        <w:ind w:firstLine="420" w:firstLineChars="200"/>
        <w:rPr>
          <w:rFonts w:hint="eastAsia" w:ascii="宋体" w:hAnsi="宋体" w:eastAsia="宋体" w:cs="宋体"/>
          <w:i w:val="0"/>
          <w:iCs w:val="0"/>
          <w:color w:val="auto"/>
          <w:sz w:val="21"/>
          <w:szCs w:val="21"/>
          <w:highlight w:val="none"/>
        </w:rPr>
        <w:sectPr>
          <w:headerReference r:id="rId8" w:type="default"/>
          <w:footerReference r:id="rId9" w:type="default"/>
          <w:pgSz w:w="11905" w:h="16840"/>
          <w:pgMar w:top="1440" w:right="1797" w:bottom="1440" w:left="1797" w:header="851" w:footer="850" w:gutter="0"/>
          <w:pgBorders>
            <w:top w:val="none" w:sz="0" w:space="0"/>
            <w:left w:val="none" w:sz="0" w:space="0"/>
            <w:bottom w:val="none" w:sz="0" w:space="0"/>
            <w:right w:val="none" w:sz="0" w:space="0"/>
          </w:pgBorders>
          <w:pgNumType w:fmt="numberInDash"/>
          <w:cols w:space="720" w:num="1"/>
        </w:sectPr>
      </w:pPr>
      <w:r>
        <w:rPr>
          <w:rFonts w:hint="eastAsia" w:ascii="宋体" w:hAnsi="宋体" w:eastAsia="宋体" w:cs="宋体"/>
          <w:i w:val="0"/>
          <w:iCs w:val="0"/>
          <w:color w:val="auto"/>
          <w:sz w:val="21"/>
          <w:szCs w:val="21"/>
          <w:highlight w:val="none"/>
          <w:lang w:val="en-US" w:eastAsia="zh-CN"/>
        </w:rPr>
        <w:t>3.表中大写与小写不一致的，以大写为准</w:t>
      </w:r>
      <w:r>
        <w:rPr>
          <w:rFonts w:hint="eastAsia" w:ascii="宋体" w:hAnsi="宋体" w:eastAsia="宋体" w:cs="宋体"/>
          <w:i w:val="0"/>
          <w:iCs w:val="0"/>
          <w:color w:val="auto"/>
          <w:sz w:val="21"/>
          <w:szCs w:val="21"/>
          <w:highlight w:val="none"/>
        </w:rPr>
        <w:t>。</w:t>
      </w:r>
    </w:p>
    <w:p w14:paraId="7B2B178E">
      <w:pPr>
        <w:pStyle w:val="3"/>
        <w:keepNext/>
        <w:keepLines/>
        <w:pageBreakBefore w:val="0"/>
        <w:widowControl w:val="0"/>
        <w:numPr>
          <w:ilvl w:val="0"/>
          <w:numId w:val="0"/>
        </w:numPr>
        <w:kinsoku/>
        <w:wordWrap/>
        <w:overflowPunct/>
        <w:topLinePunct w:val="0"/>
        <w:autoSpaceDE/>
        <w:autoSpaceDN/>
        <w:bidi w:val="0"/>
        <w:adjustRightInd/>
        <w:snapToGrid/>
        <w:spacing w:before="100" w:after="100" w:line="360" w:lineRule="auto"/>
        <w:ind w:left="420" w:leftChars="0" w:hanging="420" w:firstLineChars="0"/>
        <w:jc w:val="center"/>
        <w:textAlignment w:val="auto"/>
        <w:rPr>
          <w:rFonts w:hint="eastAsia" w:cstheme="majorBidi"/>
          <w:b/>
          <w:bCs/>
          <w:i w:val="0"/>
          <w:iCs w:val="0"/>
          <w:color w:val="auto"/>
          <w:kern w:val="2"/>
          <w:sz w:val="32"/>
          <w:szCs w:val="32"/>
          <w:highlight w:val="none"/>
          <w:lang w:val="en-US" w:eastAsia="zh-CN" w:bidi="ar-SA"/>
        </w:rPr>
      </w:pPr>
      <w:bookmarkStart w:id="466" w:name="_Toc711"/>
      <w:r>
        <w:rPr>
          <w:rFonts w:hint="eastAsia" w:cstheme="majorBidi"/>
          <w:b/>
          <w:bCs/>
          <w:i w:val="0"/>
          <w:iCs w:val="0"/>
          <w:color w:val="auto"/>
          <w:kern w:val="2"/>
          <w:sz w:val="32"/>
          <w:szCs w:val="32"/>
          <w:highlight w:val="none"/>
          <w:lang w:val="en-US" w:eastAsia="zh-CN" w:bidi="ar-SA"/>
        </w:rPr>
        <w:t>二、分项报价表</w:t>
      </w:r>
      <w:bookmarkEnd w:id="466"/>
    </w:p>
    <w:p w14:paraId="36B29882">
      <w:pPr>
        <w:rPr>
          <w:b w:val="0"/>
          <w:bCs/>
          <w:i w:val="0"/>
          <w:iCs w:val="0"/>
          <w:color w:val="auto"/>
          <w:szCs w:val="21"/>
          <w:highlight w:val="none"/>
          <w:lang w:val="zh-CN"/>
        </w:rPr>
      </w:pPr>
      <w:r>
        <w:rPr>
          <w:rFonts w:hint="eastAsia"/>
          <w:b w:val="0"/>
          <w:bCs/>
          <w:i w:val="0"/>
          <w:iCs w:val="0"/>
          <w:color w:val="auto"/>
          <w:szCs w:val="21"/>
          <w:highlight w:val="none"/>
          <w:lang w:val="zh-CN"/>
        </w:rPr>
        <w:t>项目名称：</w:t>
      </w:r>
      <w:r>
        <w:rPr>
          <w:rFonts w:hint="eastAsia"/>
          <w:b w:val="0"/>
          <w:bCs/>
          <w:i w:val="0"/>
          <w:iCs w:val="0"/>
          <w:color w:val="auto"/>
          <w:szCs w:val="21"/>
          <w:highlight w:val="none"/>
          <w:u w:val="single"/>
          <w:lang w:val="zh-CN"/>
        </w:rPr>
        <w:t xml:space="preserve">                  </w:t>
      </w:r>
      <w:r>
        <w:rPr>
          <w:rFonts w:hint="eastAsia"/>
          <w:b w:val="0"/>
          <w:bCs/>
          <w:i w:val="0"/>
          <w:iCs w:val="0"/>
          <w:color w:val="auto"/>
          <w:szCs w:val="21"/>
          <w:highlight w:val="none"/>
          <w:u w:val="single"/>
          <w:lang w:val="en-US" w:eastAsia="zh-CN"/>
        </w:rPr>
        <w:t xml:space="preserve">     </w:t>
      </w:r>
      <w:r>
        <w:rPr>
          <w:rFonts w:hint="eastAsia"/>
          <w:b w:val="0"/>
          <w:bCs/>
          <w:i w:val="0"/>
          <w:iCs w:val="0"/>
          <w:color w:val="auto"/>
          <w:szCs w:val="21"/>
          <w:highlight w:val="none"/>
          <w:u w:val="single"/>
          <w:lang w:val="zh-CN"/>
        </w:rPr>
        <w:t xml:space="preserve">   </w:t>
      </w:r>
    </w:p>
    <w:p w14:paraId="369D32C9">
      <w:pPr>
        <w:rPr>
          <w:rFonts w:hint="eastAsia"/>
          <w:b w:val="0"/>
          <w:bCs/>
          <w:i w:val="0"/>
          <w:iCs w:val="0"/>
          <w:color w:val="auto"/>
          <w:szCs w:val="21"/>
          <w:highlight w:val="none"/>
          <w:u w:val="single"/>
          <w:lang w:val="zh-CN"/>
        </w:rPr>
      </w:pPr>
      <w:r>
        <w:rPr>
          <w:rFonts w:hint="eastAsia"/>
          <w:b w:val="0"/>
          <w:bCs/>
          <w:i w:val="0"/>
          <w:iCs w:val="0"/>
          <w:color w:val="auto"/>
          <w:szCs w:val="21"/>
          <w:highlight w:val="none"/>
          <w:lang w:val="zh-CN"/>
        </w:rPr>
        <w:t>项目编号</w:t>
      </w:r>
      <w:r>
        <w:rPr>
          <w:rFonts w:hint="eastAsia"/>
          <w:b w:val="0"/>
          <w:bCs/>
          <w:i w:val="0"/>
          <w:iCs w:val="0"/>
          <w:color w:val="auto"/>
          <w:szCs w:val="21"/>
          <w:highlight w:val="none"/>
          <w:lang w:val="en-US" w:eastAsia="zh-CN"/>
        </w:rPr>
        <w:t>/</w:t>
      </w:r>
      <w:r>
        <w:rPr>
          <w:rFonts w:hint="eastAsia"/>
          <w:b w:val="0"/>
          <w:bCs/>
          <w:i w:val="0"/>
          <w:iCs w:val="0"/>
          <w:color w:val="auto"/>
          <w:szCs w:val="21"/>
          <w:highlight w:val="none"/>
          <w:lang w:val="zh-CN"/>
        </w:rPr>
        <w:t>包号：</w:t>
      </w:r>
      <w:r>
        <w:rPr>
          <w:rFonts w:hint="eastAsia"/>
          <w:b w:val="0"/>
          <w:bCs/>
          <w:i w:val="0"/>
          <w:iCs w:val="0"/>
          <w:color w:val="auto"/>
          <w:szCs w:val="21"/>
          <w:highlight w:val="none"/>
          <w:u w:val="single"/>
          <w:lang w:val="zh-CN"/>
        </w:rPr>
        <w:t xml:space="preserve">                     </w:t>
      </w:r>
    </w:p>
    <w:tbl>
      <w:tblPr>
        <w:tblStyle w:val="28"/>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5"/>
        <w:gridCol w:w="3720"/>
        <w:gridCol w:w="1065"/>
        <w:gridCol w:w="1065"/>
        <w:gridCol w:w="1066"/>
        <w:gridCol w:w="947"/>
      </w:tblGrid>
      <w:tr w14:paraId="64BB0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14:paraId="0359B3E0">
            <w:pPr>
              <w:adjustRightInd w:val="0"/>
              <w:snapToGrid w:val="0"/>
              <w:spacing w:line="240" w:lineRule="auto"/>
              <w:jc w:val="center"/>
              <w:rPr>
                <w:i w:val="0"/>
                <w:iCs w:val="0"/>
                <w:color w:val="auto"/>
                <w:szCs w:val="21"/>
                <w:highlight w:val="none"/>
              </w:rPr>
            </w:pPr>
            <w:r>
              <w:rPr>
                <w:rFonts w:hint="eastAsia"/>
                <w:i w:val="0"/>
                <w:iCs w:val="0"/>
                <w:color w:val="auto"/>
                <w:szCs w:val="21"/>
                <w:highlight w:val="none"/>
              </w:rPr>
              <w:t>序号</w:t>
            </w:r>
          </w:p>
        </w:tc>
        <w:tc>
          <w:tcPr>
            <w:tcW w:w="3720" w:type="dxa"/>
            <w:vAlign w:val="center"/>
          </w:tcPr>
          <w:p w14:paraId="088C5C15">
            <w:pPr>
              <w:adjustRightInd w:val="0"/>
              <w:snapToGrid w:val="0"/>
              <w:spacing w:line="240" w:lineRule="auto"/>
              <w:jc w:val="center"/>
              <w:rPr>
                <w:i w:val="0"/>
                <w:iCs w:val="0"/>
                <w:color w:val="auto"/>
                <w:szCs w:val="21"/>
                <w:highlight w:val="none"/>
              </w:rPr>
            </w:pPr>
            <w:r>
              <w:rPr>
                <w:rFonts w:hint="eastAsia"/>
                <w:i w:val="0"/>
                <w:iCs w:val="0"/>
                <w:color w:val="auto"/>
                <w:szCs w:val="21"/>
                <w:highlight w:val="none"/>
              </w:rPr>
              <w:t>名称</w:t>
            </w:r>
          </w:p>
        </w:tc>
        <w:tc>
          <w:tcPr>
            <w:tcW w:w="1065" w:type="dxa"/>
            <w:vAlign w:val="center"/>
          </w:tcPr>
          <w:p w14:paraId="73E95872">
            <w:pPr>
              <w:adjustRightInd w:val="0"/>
              <w:snapToGrid w:val="0"/>
              <w:spacing w:line="240" w:lineRule="auto"/>
              <w:jc w:val="center"/>
              <w:rPr>
                <w:i w:val="0"/>
                <w:iCs w:val="0"/>
                <w:color w:val="auto"/>
                <w:szCs w:val="21"/>
                <w:highlight w:val="none"/>
              </w:rPr>
            </w:pPr>
            <w:r>
              <w:rPr>
                <w:rFonts w:hint="eastAsia"/>
                <w:i w:val="0"/>
                <w:iCs w:val="0"/>
                <w:color w:val="auto"/>
                <w:szCs w:val="21"/>
                <w:highlight w:val="none"/>
              </w:rPr>
              <w:t>数量</w:t>
            </w:r>
          </w:p>
        </w:tc>
        <w:tc>
          <w:tcPr>
            <w:tcW w:w="1065" w:type="dxa"/>
            <w:vAlign w:val="center"/>
          </w:tcPr>
          <w:p w14:paraId="46AE39CD">
            <w:pPr>
              <w:adjustRightInd w:val="0"/>
              <w:snapToGrid w:val="0"/>
              <w:spacing w:line="240" w:lineRule="auto"/>
              <w:jc w:val="center"/>
              <w:rPr>
                <w:i w:val="0"/>
                <w:iCs w:val="0"/>
                <w:color w:val="auto"/>
                <w:szCs w:val="21"/>
                <w:highlight w:val="none"/>
              </w:rPr>
            </w:pPr>
            <w:r>
              <w:rPr>
                <w:rFonts w:hint="eastAsia"/>
                <w:i w:val="0"/>
                <w:iCs w:val="0"/>
                <w:color w:val="auto"/>
                <w:szCs w:val="21"/>
                <w:highlight w:val="none"/>
              </w:rPr>
              <w:t>单价（元）</w:t>
            </w:r>
          </w:p>
        </w:tc>
        <w:tc>
          <w:tcPr>
            <w:tcW w:w="1066" w:type="dxa"/>
            <w:vAlign w:val="center"/>
          </w:tcPr>
          <w:p w14:paraId="39D56880">
            <w:pPr>
              <w:adjustRightInd w:val="0"/>
              <w:snapToGrid w:val="0"/>
              <w:spacing w:line="240" w:lineRule="auto"/>
              <w:jc w:val="center"/>
              <w:rPr>
                <w:i w:val="0"/>
                <w:iCs w:val="0"/>
                <w:color w:val="auto"/>
                <w:szCs w:val="21"/>
                <w:highlight w:val="none"/>
              </w:rPr>
            </w:pPr>
            <w:r>
              <w:rPr>
                <w:rFonts w:hint="eastAsia"/>
                <w:i w:val="0"/>
                <w:iCs w:val="0"/>
                <w:color w:val="auto"/>
                <w:szCs w:val="21"/>
                <w:highlight w:val="none"/>
              </w:rPr>
              <w:t>总价</w:t>
            </w:r>
          </w:p>
        </w:tc>
        <w:tc>
          <w:tcPr>
            <w:tcW w:w="947" w:type="dxa"/>
            <w:vAlign w:val="center"/>
          </w:tcPr>
          <w:p w14:paraId="7A267799">
            <w:pPr>
              <w:adjustRightInd w:val="0"/>
              <w:snapToGrid w:val="0"/>
              <w:spacing w:line="240" w:lineRule="auto"/>
              <w:jc w:val="center"/>
              <w:rPr>
                <w:i w:val="0"/>
                <w:iCs w:val="0"/>
                <w:color w:val="auto"/>
                <w:szCs w:val="21"/>
                <w:highlight w:val="none"/>
              </w:rPr>
            </w:pPr>
            <w:r>
              <w:rPr>
                <w:rFonts w:hint="eastAsia"/>
                <w:i w:val="0"/>
                <w:iCs w:val="0"/>
                <w:color w:val="auto"/>
                <w:szCs w:val="21"/>
                <w:highlight w:val="none"/>
              </w:rPr>
              <w:t>备注</w:t>
            </w:r>
          </w:p>
        </w:tc>
      </w:tr>
      <w:tr w14:paraId="467AA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14:paraId="2A5FF6D0">
            <w:pPr>
              <w:adjustRightInd w:val="0"/>
              <w:snapToGrid w:val="0"/>
              <w:spacing w:line="240" w:lineRule="auto"/>
              <w:jc w:val="center"/>
              <w:rPr>
                <w:i w:val="0"/>
                <w:iCs w:val="0"/>
                <w:color w:val="auto"/>
                <w:szCs w:val="21"/>
                <w:highlight w:val="none"/>
              </w:rPr>
            </w:pPr>
            <w:r>
              <w:rPr>
                <w:rFonts w:hint="eastAsia"/>
                <w:i w:val="0"/>
                <w:iCs w:val="0"/>
                <w:color w:val="auto"/>
                <w:szCs w:val="21"/>
                <w:highlight w:val="none"/>
              </w:rPr>
              <w:t>1</w:t>
            </w:r>
          </w:p>
        </w:tc>
        <w:tc>
          <w:tcPr>
            <w:tcW w:w="3720" w:type="dxa"/>
            <w:vAlign w:val="center"/>
          </w:tcPr>
          <w:p w14:paraId="07A38CC0">
            <w:pPr>
              <w:adjustRightInd w:val="0"/>
              <w:snapToGrid w:val="0"/>
              <w:spacing w:line="240" w:lineRule="auto"/>
              <w:jc w:val="center"/>
              <w:rPr>
                <w:i w:val="0"/>
                <w:iCs w:val="0"/>
                <w:color w:val="auto"/>
                <w:szCs w:val="21"/>
                <w:highlight w:val="none"/>
              </w:rPr>
            </w:pPr>
          </w:p>
        </w:tc>
        <w:tc>
          <w:tcPr>
            <w:tcW w:w="1065" w:type="dxa"/>
            <w:vAlign w:val="center"/>
          </w:tcPr>
          <w:p w14:paraId="0D2CE283">
            <w:pPr>
              <w:adjustRightInd w:val="0"/>
              <w:snapToGrid w:val="0"/>
              <w:spacing w:line="240" w:lineRule="auto"/>
              <w:jc w:val="center"/>
              <w:rPr>
                <w:i w:val="0"/>
                <w:iCs w:val="0"/>
                <w:color w:val="auto"/>
                <w:szCs w:val="21"/>
                <w:highlight w:val="none"/>
              </w:rPr>
            </w:pPr>
          </w:p>
        </w:tc>
        <w:tc>
          <w:tcPr>
            <w:tcW w:w="1065" w:type="dxa"/>
            <w:vAlign w:val="center"/>
          </w:tcPr>
          <w:p w14:paraId="347A98B0">
            <w:pPr>
              <w:adjustRightInd w:val="0"/>
              <w:snapToGrid w:val="0"/>
              <w:spacing w:line="240" w:lineRule="auto"/>
              <w:jc w:val="center"/>
              <w:rPr>
                <w:i w:val="0"/>
                <w:iCs w:val="0"/>
                <w:color w:val="auto"/>
                <w:szCs w:val="21"/>
                <w:highlight w:val="none"/>
              </w:rPr>
            </w:pPr>
          </w:p>
        </w:tc>
        <w:tc>
          <w:tcPr>
            <w:tcW w:w="1066" w:type="dxa"/>
            <w:vAlign w:val="center"/>
          </w:tcPr>
          <w:p w14:paraId="439055D0">
            <w:pPr>
              <w:adjustRightInd w:val="0"/>
              <w:snapToGrid w:val="0"/>
              <w:spacing w:line="240" w:lineRule="auto"/>
              <w:jc w:val="center"/>
              <w:rPr>
                <w:i w:val="0"/>
                <w:iCs w:val="0"/>
                <w:color w:val="auto"/>
                <w:szCs w:val="21"/>
                <w:highlight w:val="none"/>
              </w:rPr>
            </w:pPr>
          </w:p>
        </w:tc>
        <w:tc>
          <w:tcPr>
            <w:tcW w:w="947" w:type="dxa"/>
            <w:vAlign w:val="center"/>
          </w:tcPr>
          <w:p w14:paraId="53350EE9">
            <w:pPr>
              <w:adjustRightInd w:val="0"/>
              <w:snapToGrid w:val="0"/>
              <w:spacing w:line="240" w:lineRule="auto"/>
              <w:jc w:val="center"/>
              <w:rPr>
                <w:i w:val="0"/>
                <w:iCs w:val="0"/>
                <w:color w:val="auto"/>
                <w:szCs w:val="21"/>
                <w:highlight w:val="none"/>
              </w:rPr>
            </w:pPr>
          </w:p>
        </w:tc>
      </w:tr>
      <w:tr w14:paraId="510BB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14:paraId="70E786EF">
            <w:pPr>
              <w:adjustRightInd w:val="0"/>
              <w:snapToGrid w:val="0"/>
              <w:spacing w:line="240" w:lineRule="auto"/>
              <w:jc w:val="center"/>
              <w:rPr>
                <w:i w:val="0"/>
                <w:iCs w:val="0"/>
                <w:color w:val="auto"/>
                <w:szCs w:val="21"/>
                <w:highlight w:val="none"/>
              </w:rPr>
            </w:pPr>
            <w:r>
              <w:rPr>
                <w:rFonts w:hint="eastAsia"/>
                <w:i w:val="0"/>
                <w:iCs w:val="0"/>
                <w:color w:val="auto"/>
                <w:szCs w:val="21"/>
                <w:highlight w:val="none"/>
              </w:rPr>
              <w:t>2</w:t>
            </w:r>
          </w:p>
        </w:tc>
        <w:tc>
          <w:tcPr>
            <w:tcW w:w="3720" w:type="dxa"/>
            <w:vAlign w:val="center"/>
          </w:tcPr>
          <w:p w14:paraId="19F17531">
            <w:pPr>
              <w:adjustRightInd w:val="0"/>
              <w:snapToGrid w:val="0"/>
              <w:spacing w:line="240" w:lineRule="auto"/>
              <w:jc w:val="center"/>
              <w:rPr>
                <w:i w:val="0"/>
                <w:iCs w:val="0"/>
                <w:color w:val="auto"/>
                <w:szCs w:val="21"/>
                <w:highlight w:val="none"/>
              </w:rPr>
            </w:pPr>
          </w:p>
        </w:tc>
        <w:tc>
          <w:tcPr>
            <w:tcW w:w="1065" w:type="dxa"/>
            <w:vAlign w:val="center"/>
          </w:tcPr>
          <w:p w14:paraId="5FA2A257">
            <w:pPr>
              <w:adjustRightInd w:val="0"/>
              <w:snapToGrid w:val="0"/>
              <w:spacing w:line="240" w:lineRule="auto"/>
              <w:jc w:val="center"/>
              <w:rPr>
                <w:i w:val="0"/>
                <w:iCs w:val="0"/>
                <w:color w:val="auto"/>
                <w:szCs w:val="21"/>
                <w:highlight w:val="none"/>
              </w:rPr>
            </w:pPr>
          </w:p>
        </w:tc>
        <w:tc>
          <w:tcPr>
            <w:tcW w:w="1065" w:type="dxa"/>
            <w:vAlign w:val="center"/>
          </w:tcPr>
          <w:p w14:paraId="634862ED">
            <w:pPr>
              <w:adjustRightInd w:val="0"/>
              <w:snapToGrid w:val="0"/>
              <w:spacing w:line="240" w:lineRule="auto"/>
              <w:jc w:val="center"/>
              <w:rPr>
                <w:i w:val="0"/>
                <w:iCs w:val="0"/>
                <w:color w:val="auto"/>
                <w:szCs w:val="21"/>
                <w:highlight w:val="none"/>
              </w:rPr>
            </w:pPr>
          </w:p>
        </w:tc>
        <w:tc>
          <w:tcPr>
            <w:tcW w:w="1066" w:type="dxa"/>
            <w:vAlign w:val="center"/>
          </w:tcPr>
          <w:p w14:paraId="604070DF">
            <w:pPr>
              <w:adjustRightInd w:val="0"/>
              <w:snapToGrid w:val="0"/>
              <w:spacing w:line="240" w:lineRule="auto"/>
              <w:jc w:val="center"/>
              <w:rPr>
                <w:i w:val="0"/>
                <w:iCs w:val="0"/>
                <w:color w:val="auto"/>
                <w:szCs w:val="21"/>
                <w:highlight w:val="none"/>
              </w:rPr>
            </w:pPr>
          </w:p>
        </w:tc>
        <w:tc>
          <w:tcPr>
            <w:tcW w:w="947" w:type="dxa"/>
            <w:vAlign w:val="center"/>
          </w:tcPr>
          <w:p w14:paraId="45B52869">
            <w:pPr>
              <w:adjustRightInd w:val="0"/>
              <w:snapToGrid w:val="0"/>
              <w:spacing w:line="240" w:lineRule="auto"/>
              <w:jc w:val="center"/>
              <w:rPr>
                <w:i w:val="0"/>
                <w:iCs w:val="0"/>
                <w:color w:val="auto"/>
                <w:szCs w:val="21"/>
                <w:highlight w:val="none"/>
              </w:rPr>
            </w:pPr>
          </w:p>
        </w:tc>
      </w:tr>
      <w:tr w14:paraId="1022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14:paraId="447A33D5">
            <w:pPr>
              <w:adjustRightInd w:val="0"/>
              <w:snapToGrid w:val="0"/>
              <w:spacing w:line="240" w:lineRule="auto"/>
              <w:jc w:val="center"/>
              <w:rPr>
                <w:i w:val="0"/>
                <w:iCs w:val="0"/>
                <w:color w:val="auto"/>
                <w:szCs w:val="21"/>
                <w:highlight w:val="none"/>
              </w:rPr>
            </w:pPr>
            <w:r>
              <w:rPr>
                <w:rFonts w:hint="eastAsia"/>
                <w:i w:val="0"/>
                <w:iCs w:val="0"/>
                <w:color w:val="auto"/>
                <w:szCs w:val="21"/>
                <w:highlight w:val="none"/>
              </w:rPr>
              <w:t>3</w:t>
            </w:r>
          </w:p>
        </w:tc>
        <w:tc>
          <w:tcPr>
            <w:tcW w:w="3720" w:type="dxa"/>
            <w:vAlign w:val="center"/>
          </w:tcPr>
          <w:p w14:paraId="7605B56B">
            <w:pPr>
              <w:adjustRightInd w:val="0"/>
              <w:snapToGrid w:val="0"/>
              <w:spacing w:line="240" w:lineRule="auto"/>
              <w:jc w:val="center"/>
              <w:rPr>
                <w:i w:val="0"/>
                <w:iCs w:val="0"/>
                <w:color w:val="auto"/>
                <w:szCs w:val="21"/>
                <w:highlight w:val="none"/>
              </w:rPr>
            </w:pPr>
          </w:p>
        </w:tc>
        <w:tc>
          <w:tcPr>
            <w:tcW w:w="1065" w:type="dxa"/>
            <w:vAlign w:val="center"/>
          </w:tcPr>
          <w:p w14:paraId="2DB12A28">
            <w:pPr>
              <w:adjustRightInd w:val="0"/>
              <w:snapToGrid w:val="0"/>
              <w:spacing w:line="240" w:lineRule="auto"/>
              <w:jc w:val="center"/>
              <w:rPr>
                <w:i w:val="0"/>
                <w:iCs w:val="0"/>
                <w:color w:val="auto"/>
                <w:szCs w:val="21"/>
                <w:highlight w:val="none"/>
              </w:rPr>
            </w:pPr>
          </w:p>
        </w:tc>
        <w:tc>
          <w:tcPr>
            <w:tcW w:w="1065" w:type="dxa"/>
            <w:vAlign w:val="center"/>
          </w:tcPr>
          <w:p w14:paraId="317BFF74">
            <w:pPr>
              <w:adjustRightInd w:val="0"/>
              <w:snapToGrid w:val="0"/>
              <w:spacing w:line="240" w:lineRule="auto"/>
              <w:jc w:val="center"/>
              <w:rPr>
                <w:i w:val="0"/>
                <w:iCs w:val="0"/>
                <w:color w:val="auto"/>
                <w:szCs w:val="21"/>
                <w:highlight w:val="none"/>
              </w:rPr>
            </w:pPr>
          </w:p>
        </w:tc>
        <w:tc>
          <w:tcPr>
            <w:tcW w:w="1066" w:type="dxa"/>
            <w:vAlign w:val="center"/>
          </w:tcPr>
          <w:p w14:paraId="4B6F17D3">
            <w:pPr>
              <w:adjustRightInd w:val="0"/>
              <w:snapToGrid w:val="0"/>
              <w:spacing w:line="240" w:lineRule="auto"/>
              <w:jc w:val="center"/>
              <w:rPr>
                <w:i w:val="0"/>
                <w:iCs w:val="0"/>
                <w:color w:val="auto"/>
                <w:szCs w:val="21"/>
                <w:highlight w:val="none"/>
              </w:rPr>
            </w:pPr>
          </w:p>
        </w:tc>
        <w:tc>
          <w:tcPr>
            <w:tcW w:w="947" w:type="dxa"/>
            <w:vAlign w:val="center"/>
          </w:tcPr>
          <w:p w14:paraId="1E8ED10E">
            <w:pPr>
              <w:adjustRightInd w:val="0"/>
              <w:snapToGrid w:val="0"/>
              <w:spacing w:line="240" w:lineRule="auto"/>
              <w:jc w:val="center"/>
              <w:rPr>
                <w:i w:val="0"/>
                <w:iCs w:val="0"/>
                <w:color w:val="auto"/>
                <w:szCs w:val="21"/>
                <w:highlight w:val="none"/>
              </w:rPr>
            </w:pPr>
          </w:p>
        </w:tc>
      </w:tr>
      <w:tr w14:paraId="353CE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14:paraId="4BB358B2">
            <w:pPr>
              <w:adjustRightInd w:val="0"/>
              <w:snapToGrid w:val="0"/>
              <w:spacing w:line="240" w:lineRule="auto"/>
              <w:jc w:val="center"/>
              <w:rPr>
                <w:i w:val="0"/>
                <w:iCs w:val="0"/>
                <w:color w:val="auto"/>
                <w:szCs w:val="21"/>
                <w:highlight w:val="none"/>
              </w:rPr>
            </w:pPr>
            <w:r>
              <w:rPr>
                <w:rFonts w:hint="eastAsia"/>
                <w:i w:val="0"/>
                <w:iCs w:val="0"/>
                <w:color w:val="auto"/>
                <w:szCs w:val="21"/>
                <w:highlight w:val="none"/>
              </w:rPr>
              <w:t>4</w:t>
            </w:r>
          </w:p>
        </w:tc>
        <w:tc>
          <w:tcPr>
            <w:tcW w:w="3720" w:type="dxa"/>
            <w:vAlign w:val="center"/>
          </w:tcPr>
          <w:p w14:paraId="0B0031F2">
            <w:pPr>
              <w:adjustRightInd w:val="0"/>
              <w:snapToGrid w:val="0"/>
              <w:spacing w:line="240" w:lineRule="auto"/>
              <w:jc w:val="center"/>
              <w:rPr>
                <w:i w:val="0"/>
                <w:iCs w:val="0"/>
                <w:color w:val="auto"/>
                <w:szCs w:val="21"/>
                <w:highlight w:val="none"/>
              </w:rPr>
            </w:pPr>
          </w:p>
        </w:tc>
        <w:tc>
          <w:tcPr>
            <w:tcW w:w="1065" w:type="dxa"/>
            <w:vAlign w:val="center"/>
          </w:tcPr>
          <w:p w14:paraId="1A9AB905">
            <w:pPr>
              <w:adjustRightInd w:val="0"/>
              <w:snapToGrid w:val="0"/>
              <w:spacing w:line="240" w:lineRule="auto"/>
              <w:jc w:val="center"/>
              <w:rPr>
                <w:i w:val="0"/>
                <w:iCs w:val="0"/>
                <w:color w:val="auto"/>
                <w:szCs w:val="21"/>
                <w:highlight w:val="none"/>
              </w:rPr>
            </w:pPr>
          </w:p>
        </w:tc>
        <w:tc>
          <w:tcPr>
            <w:tcW w:w="1065" w:type="dxa"/>
            <w:vAlign w:val="center"/>
          </w:tcPr>
          <w:p w14:paraId="20C40B8C">
            <w:pPr>
              <w:adjustRightInd w:val="0"/>
              <w:snapToGrid w:val="0"/>
              <w:spacing w:line="240" w:lineRule="auto"/>
              <w:jc w:val="center"/>
              <w:rPr>
                <w:i w:val="0"/>
                <w:iCs w:val="0"/>
                <w:color w:val="auto"/>
                <w:szCs w:val="21"/>
                <w:highlight w:val="none"/>
              </w:rPr>
            </w:pPr>
          </w:p>
        </w:tc>
        <w:tc>
          <w:tcPr>
            <w:tcW w:w="1066" w:type="dxa"/>
            <w:vAlign w:val="center"/>
          </w:tcPr>
          <w:p w14:paraId="7FDFD679">
            <w:pPr>
              <w:adjustRightInd w:val="0"/>
              <w:snapToGrid w:val="0"/>
              <w:spacing w:line="240" w:lineRule="auto"/>
              <w:jc w:val="center"/>
              <w:rPr>
                <w:i w:val="0"/>
                <w:iCs w:val="0"/>
                <w:color w:val="auto"/>
                <w:szCs w:val="21"/>
                <w:highlight w:val="none"/>
              </w:rPr>
            </w:pPr>
          </w:p>
        </w:tc>
        <w:tc>
          <w:tcPr>
            <w:tcW w:w="947" w:type="dxa"/>
            <w:vAlign w:val="center"/>
          </w:tcPr>
          <w:p w14:paraId="3C259360">
            <w:pPr>
              <w:adjustRightInd w:val="0"/>
              <w:snapToGrid w:val="0"/>
              <w:spacing w:line="240" w:lineRule="auto"/>
              <w:jc w:val="center"/>
              <w:rPr>
                <w:i w:val="0"/>
                <w:iCs w:val="0"/>
                <w:color w:val="auto"/>
                <w:szCs w:val="21"/>
                <w:highlight w:val="none"/>
              </w:rPr>
            </w:pPr>
          </w:p>
        </w:tc>
      </w:tr>
      <w:tr w14:paraId="51C61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14:paraId="0ED2AC16">
            <w:pPr>
              <w:adjustRightInd w:val="0"/>
              <w:snapToGrid w:val="0"/>
              <w:spacing w:line="240" w:lineRule="auto"/>
              <w:jc w:val="center"/>
              <w:rPr>
                <w:i w:val="0"/>
                <w:iCs w:val="0"/>
                <w:color w:val="auto"/>
                <w:szCs w:val="21"/>
                <w:highlight w:val="none"/>
              </w:rPr>
            </w:pPr>
            <w:r>
              <w:rPr>
                <w:rFonts w:hint="eastAsia"/>
                <w:i w:val="0"/>
                <w:iCs w:val="0"/>
                <w:color w:val="auto"/>
                <w:szCs w:val="21"/>
                <w:highlight w:val="none"/>
              </w:rPr>
              <w:t>5</w:t>
            </w:r>
          </w:p>
        </w:tc>
        <w:tc>
          <w:tcPr>
            <w:tcW w:w="3720" w:type="dxa"/>
            <w:vAlign w:val="center"/>
          </w:tcPr>
          <w:p w14:paraId="2B6E9910">
            <w:pPr>
              <w:adjustRightInd w:val="0"/>
              <w:snapToGrid w:val="0"/>
              <w:spacing w:line="240" w:lineRule="auto"/>
              <w:jc w:val="center"/>
              <w:rPr>
                <w:i w:val="0"/>
                <w:iCs w:val="0"/>
                <w:color w:val="auto"/>
                <w:szCs w:val="21"/>
                <w:highlight w:val="none"/>
              </w:rPr>
            </w:pPr>
          </w:p>
        </w:tc>
        <w:tc>
          <w:tcPr>
            <w:tcW w:w="1065" w:type="dxa"/>
            <w:vAlign w:val="center"/>
          </w:tcPr>
          <w:p w14:paraId="34E951A1">
            <w:pPr>
              <w:adjustRightInd w:val="0"/>
              <w:snapToGrid w:val="0"/>
              <w:spacing w:line="240" w:lineRule="auto"/>
              <w:jc w:val="center"/>
              <w:rPr>
                <w:i w:val="0"/>
                <w:iCs w:val="0"/>
                <w:color w:val="auto"/>
                <w:szCs w:val="21"/>
                <w:highlight w:val="none"/>
              </w:rPr>
            </w:pPr>
          </w:p>
        </w:tc>
        <w:tc>
          <w:tcPr>
            <w:tcW w:w="1065" w:type="dxa"/>
            <w:vAlign w:val="center"/>
          </w:tcPr>
          <w:p w14:paraId="5D9FC8D6">
            <w:pPr>
              <w:adjustRightInd w:val="0"/>
              <w:snapToGrid w:val="0"/>
              <w:spacing w:line="240" w:lineRule="auto"/>
              <w:jc w:val="center"/>
              <w:rPr>
                <w:i w:val="0"/>
                <w:iCs w:val="0"/>
                <w:color w:val="auto"/>
                <w:szCs w:val="21"/>
                <w:highlight w:val="none"/>
              </w:rPr>
            </w:pPr>
          </w:p>
        </w:tc>
        <w:tc>
          <w:tcPr>
            <w:tcW w:w="1066" w:type="dxa"/>
            <w:vAlign w:val="center"/>
          </w:tcPr>
          <w:p w14:paraId="7745BDE0">
            <w:pPr>
              <w:adjustRightInd w:val="0"/>
              <w:snapToGrid w:val="0"/>
              <w:spacing w:line="240" w:lineRule="auto"/>
              <w:jc w:val="center"/>
              <w:rPr>
                <w:i w:val="0"/>
                <w:iCs w:val="0"/>
                <w:color w:val="auto"/>
                <w:szCs w:val="21"/>
                <w:highlight w:val="none"/>
              </w:rPr>
            </w:pPr>
          </w:p>
        </w:tc>
        <w:tc>
          <w:tcPr>
            <w:tcW w:w="947" w:type="dxa"/>
            <w:vAlign w:val="center"/>
          </w:tcPr>
          <w:p w14:paraId="2F20BA25">
            <w:pPr>
              <w:adjustRightInd w:val="0"/>
              <w:snapToGrid w:val="0"/>
              <w:spacing w:line="240" w:lineRule="auto"/>
              <w:jc w:val="center"/>
              <w:rPr>
                <w:i w:val="0"/>
                <w:iCs w:val="0"/>
                <w:color w:val="auto"/>
                <w:szCs w:val="21"/>
                <w:highlight w:val="none"/>
              </w:rPr>
            </w:pPr>
          </w:p>
        </w:tc>
      </w:tr>
      <w:tr w14:paraId="054C0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14:paraId="469BF075">
            <w:pPr>
              <w:adjustRightInd w:val="0"/>
              <w:snapToGrid w:val="0"/>
              <w:spacing w:line="240" w:lineRule="auto"/>
              <w:jc w:val="center"/>
              <w:rPr>
                <w:i w:val="0"/>
                <w:iCs w:val="0"/>
                <w:color w:val="auto"/>
                <w:szCs w:val="21"/>
                <w:highlight w:val="none"/>
              </w:rPr>
            </w:pPr>
            <w:r>
              <w:rPr>
                <w:rFonts w:hint="eastAsia"/>
                <w:i w:val="0"/>
                <w:iCs w:val="0"/>
                <w:color w:val="auto"/>
                <w:szCs w:val="21"/>
                <w:highlight w:val="none"/>
              </w:rPr>
              <w:t>6</w:t>
            </w:r>
          </w:p>
        </w:tc>
        <w:tc>
          <w:tcPr>
            <w:tcW w:w="3720" w:type="dxa"/>
            <w:vAlign w:val="center"/>
          </w:tcPr>
          <w:p w14:paraId="63E7761B">
            <w:pPr>
              <w:adjustRightInd w:val="0"/>
              <w:snapToGrid w:val="0"/>
              <w:spacing w:line="240" w:lineRule="auto"/>
              <w:jc w:val="center"/>
              <w:rPr>
                <w:i w:val="0"/>
                <w:iCs w:val="0"/>
                <w:color w:val="auto"/>
                <w:szCs w:val="21"/>
                <w:highlight w:val="none"/>
              </w:rPr>
            </w:pPr>
          </w:p>
        </w:tc>
        <w:tc>
          <w:tcPr>
            <w:tcW w:w="1065" w:type="dxa"/>
            <w:vAlign w:val="center"/>
          </w:tcPr>
          <w:p w14:paraId="3BA61A9A">
            <w:pPr>
              <w:adjustRightInd w:val="0"/>
              <w:snapToGrid w:val="0"/>
              <w:spacing w:line="240" w:lineRule="auto"/>
              <w:jc w:val="center"/>
              <w:rPr>
                <w:i w:val="0"/>
                <w:iCs w:val="0"/>
                <w:color w:val="auto"/>
                <w:szCs w:val="21"/>
                <w:highlight w:val="none"/>
              </w:rPr>
            </w:pPr>
          </w:p>
        </w:tc>
        <w:tc>
          <w:tcPr>
            <w:tcW w:w="1065" w:type="dxa"/>
            <w:vAlign w:val="center"/>
          </w:tcPr>
          <w:p w14:paraId="7DCA522F">
            <w:pPr>
              <w:adjustRightInd w:val="0"/>
              <w:snapToGrid w:val="0"/>
              <w:spacing w:line="240" w:lineRule="auto"/>
              <w:jc w:val="center"/>
              <w:rPr>
                <w:i w:val="0"/>
                <w:iCs w:val="0"/>
                <w:color w:val="auto"/>
                <w:szCs w:val="21"/>
                <w:highlight w:val="none"/>
              </w:rPr>
            </w:pPr>
          </w:p>
        </w:tc>
        <w:tc>
          <w:tcPr>
            <w:tcW w:w="1066" w:type="dxa"/>
            <w:vAlign w:val="center"/>
          </w:tcPr>
          <w:p w14:paraId="68A27993">
            <w:pPr>
              <w:adjustRightInd w:val="0"/>
              <w:snapToGrid w:val="0"/>
              <w:spacing w:line="240" w:lineRule="auto"/>
              <w:jc w:val="center"/>
              <w:rPr>
                <w:i w:val="0"/>
                <w:iCs w:val="0"/>
                <w:color w:val="auto"/>
                <w:szCs w:val="21"/>
                <w:highlight w:val="none"/>
              </w:rPr>
            </w:pPr>
          </w:p>
        </w:tc>
        <w:tc>
          <w:tcPr>
            <w:tcW w:w="947" w:type="dxa"/>
            <w:vAlign w:val="center"/>
          </w:tcPr>
          <w:p w14:paraId="33A904F9">
            <w:pPr>
              <w:adjustRightInd w:val="0"/>
              <w:snapToGrid w:val="0"/>
              <w:spacing w:line="240" w:lineRule="auto"/>
              <w:jc w:val="center"/>
              <w:rPr>
                <w:i w:val="0"/>
                <w:iCs w:val="0"/>
                <w:color w:val="auto"/>
                <w:szCs w:val="21"/>
                <w:highlight w:val="none"/>
              </w:rPr>
            </w:pPr>
          </w:p>
        </w:tc>
      </w:tr>
      <w:tr w14:paraId="57BAB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14:paraId="68C27991">
            <w:pPr>
              <w:adjustRightInd w:val="0"/>
              <w:snapToGrid w:val="0"/>
              <w:spacing w:line="240" w:lineRule="auto"/>
              <w:jc w:val="center"/>
              <w:rPr>
                <w:i w:val="0"/>
                <w:iCs w:val="0"/>
                <w:color w:val="auto"/>
                <w:szCs w:val="21"/>
                <w:highlight w:val="none"/>
              </w:rPr>
            </w:pPr>
            <w:r>
              <w:rPr>
                <w:rFonts w:hint="eastAsia"/>
                <w:i w:val="0"/>
                <w:iCs w:val="0"/>
                <w:color w:val="auto"/>
                <w:szCs w:val="21"/>
                <w:highlight w:val="none"/>
              </w:rPr>
              <w:t>7</w:t>
            </w:r>
          </w:p>
        </w:tc>
        <w:tc>
          <w:tcPr>
            <w:tcW w:w="3720" w:type="dxa"/>
            <w:vAlign w:val="center"/>
          </w:tcPr>
          <w:p w14:paraId="7864625B">
            <w:pPr>
              <w:adjustRightInd w:val="0"/>
              <w:snapToGrid w:val="0"/>
              <w:spacing w:line="240" w:lineRule="auto"/>
              <w:jc w:val="center"/>
              <w:rPr>
                <w:i w:val="0"/>
                <w:iCs w:val="0"/>
                <w:color w:val="auto"/>
                <w:szCs w:val="21"/>
                <w:highlight w:val="none"/>
              </w:rPr>
            </w:pPr>
          </w:p>
        </w:tc>
        <w:tc>
          <w:tcPr>
            <w:tcW w:w="1065" w:type="dxa"/>
            <w:vAlign w:val="center"/>
          </w:tcPr>
          <w:p w14:paraId="2B4D906C">
            <w:pPr>
              <w:adjustRightInd w:val="0"/>
              <w:snapToGrid w:val="0"/>
              <w:spacing w:line="240" w:lineRule="auto"/>
              <w:jc w:val="center"/>
              <w:rPr>
                <w:i w:val="0"/>
                <w:iCs w:val="0"/>
                <w:color w:val="auto"/>
                <w:szCs w:val="21"/>
                <w:highlight w:val="none"/>
              </w:rPr>
            </w:pPr>
          </w:p>
        </w:tc>
        <w:tc>
          <w:tcPr>
            <w:tcW w:w="1065" w:type="dxa"/>
            <w:vAlign w:val="center"/>
          </w:tcPr>
          <w:p w14:paraId="6A8DF27F">
            <w:pPr>
              <w:adjustRightInd w:val="0"/>
              <w:snapToGrid w:val="0"/>
              <w:spacing w:line="240" w:lineRule="auto"/>
              <w:jc w:val="center"/>
              <w:rPr>
                <w:i w:val="0"/>
                <w:iCs w:val="0"/>
                <w:color w:val="auto"/>
                <w:szCs w:val="21"/>
                <w:highlight w:val="none"/>
              </w:rPr>
            </w:pPr>
          </w:p>
        </w:tc>
        <w:tc>
          <w:tcPr>
            <w:tcW w:w="1066" w:type="dxa"/>
            <w:vAlign w:val="center"/>
          </w:tcPr>
          <w:p w14:paraId="54C5FBF7">
            <w:pPr>
              <w:adjustRightInd w:val="0"/>
              <w:snapToGrid w:val="0"/>
              <w:spacing w:line="240" w:lineRule="auto"/>
              <w:jc w:val="center"/>
              <w:rPr>
                <w:i w:val="0"/>
                <w:iCs w:val="0"/>
                <w:color w:val="auto"/>
                <w:szCs w:val="21"/>
                <w:highlight w:val="none"/>
              </w:rPr>
            </w:pPr>
          </w:p>
        </w:tc>
        <w:tc>
          <w:tcPr>
            <w:tcW w:w="947" w:type="dxa"/>
            <w:vAlign w:val="center"/>
          </w:tcPr>
          <w:p w14:paraId="2690F475">
            <w:pPr>
              <w:adjustRightInd w:val="0"/>
              <w:snapToGrid w:val="0"/>
              <w:spacing w:line="240" w:lineRule="auto"/>
              <w:jc w:val="center"/>
              <w:rPr>
                <w:i w:val="0"/>
                <w:iCs w:val="0"/>
                <w:color w:val="auto"/>
                <w:szCs w:val="21"/>
                <w:highlight w:val="none"/>
              </w:rPr>
            </w:pPr>
          </w:p>
        </w:tc>
      </w:tr>
      <w:tr w14:paraId="27FCB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14:paraId="3F063049">
            <w:pPr>
              <w:adjustRightInd w:val="0"/>
              <w:snapToGrid w:val="0"/>
              <w:spacing w:line="240" w:lineRule="auto"/>
              <w:jc w:val="center"/>
              <w:rPr>
                <w:i w:val="0"/>
                <w:iCs w:val="0"/>
                <w:color w:val="auto"/>
                <w:szCs w:val="21"/>
                <w:highlight w:val="none"/>
              </w:rPr>
            </w:pPr>
            <w:r>
              <w:rPr>
                <w:rFonts w:hint="eastAsia"/>
                <w:i w:val="0"/>
                <w:iCs w:val="0"/>
                <w:color w:val="auto"/>
                <w:szCs w:val="21"/>
                <w:highlight w:val="none"/>
              </w:rPr>
              <w:t>8</w:t>
            </w:r>
          </w:p>
        </w:tc>
        <w:tc>
          <w:tcPr>
            <w:tcW w:w="3720" w:type="dxa"/>
            <w:vAlign w:val="center"/>
          </w:tcPr>
          <w:p w14:paraId="7C3908AC">
            <w:pPr>
              <w:adjustRightInd w:val="0"/>
              <w:snapToGrid w:val="0"/>
              <w:spacing w:line="240" w:lineRule="auto"/>
              <w:jc w:val="center"/>
              <w:rPr>
                <w:i w:val="0"/>
                <w:iCs w:val="0"/>
                <w:color w:val="auto"/>
                <w:szCs w:val="21"/>
                <w:highlight w:val="none"/>
              </w:rPr>
            </w:pPr>
          </w:p>
        </w:tc>
        <w:tc>
          <w:tcPr>
            <w:tcW w:w="1065" w:type="dxa"/>
            <w:vAlign w:val="center"/>
          </w:tcPr>
          <w:p w14:paraId="362E8E82">
            <w:pPr>
              <w:adjustRightInd w:val="0"/>
              <w:snapToGrid w:val="0"/>
              <w:spacing w:line="240" w:lineRule="auto"/>
              <w:jc w:val="center"/>
              <w:rPr>
                <w:i w:val="0"/>
                <w:iCs w:val="0"/>
                <w:color w:val="auto"/>
                <w:szCs w:val="21"/>
                <w:highlight w:val="none"/>
              </w:rPr>
            </w:pPr>
          </w:p>
        </w:tc>
        <w:tc>
          <w:tcPr>
            <w:tcW w:w="1065" w:type="dxa"/>
            <w:vAlign w:val="center"/>
          </w:tcPr>
          <w:p w14:paraId="6F2704AB">
            <w:pPr>
              <w:adjustRightInd w:val="0"/>
              <w:snapToGrid w:val="0"/>
              <w:spacing w:line="240" w:lineRule="auto"/>
              <w:jc w:val="center"/>
              <w:rPr>
                <w:i w:val="0"/>
                <w:iCs w:val="0"/>
                <w:color w:val="auto"/>
                <w:szCs w:val="21"/>
                <w:highlight w:val="none"/>
              </w:rPr>
            </w:pPr>
          </w:p>
        </w:tc>
        <w:tc>
          <w:tcPr>
            <w:tcW w:w="1066" w:type="dxa"/>
            <w:vAlign w:val="center"/>
          </w:tcPr>
          <w:p w14:paraId="79394E0B">
            <w:pPr>
              <w:adjustRightInd w:val="0"/>
              <w:snapToGrid w:val="0"/>
              <w:spacing w:line="240" w:lineRule="auto"/>
              <w:jc w:val="center"/>
              <w:rPr>
                <w:i w:val="0"/>
                <w:iCs w:val="0"/>
                <w:color w:val="auto"/>
                <w:szCs w:val="21"/>
                <w:highlight w:val="none"/>
              </w:rPr>
            </w:pPr>
          </w:p>
        </w:tc>
        <w:tc>
          <w:tcPr>
            <w:tcW w:w="947" w:type="dxa"/>
            <w:vAlign w:val="center"/>
          </w:tcPr>
          <w:p w14:paraId="5A8DCEE1">
            <w:pPr>
              <w:adjustRightInd w:val="0"/>
              <w:snapToGrid w:val="0"/>
              <w:spacing w:line="240" w:lineRule="auto"/>
              <w:jc w:val="center"/>
              <w:rPr>
                <w:i w:val="0"/>
                <w:iCs w:val="0"/>
                <w:color w:val="auto"/>
                <w:szCs w:val="21"/>
                <w:highlight w:val="none"/>
              </w:rPr>
            </w:pPr>
          </w:p>
        </w:tc>
      </w:tr>
      <w:tr w14:paraId="2D0BD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shd w:val="clear" w:color="auto" w:fill="auto"/>
            <w:vAlign w:val="center"/>
          </w:tcPr>
          <w:p w14:paraId="36B30C90">
            <w:pPr>
              <w:adjustRightInd w:val="0"/>
              <w:snapToGrid w:val="0"/>
              <w:spacing w:line="240" w:lineRule="auto"/>
              <w:jc w:val="center"/>
              <w:rPr>
                <w:rFonts w:ascii="宋体" w:hAnsi="宋体" w:eastAsia="宋体" w:cstheme="minorBidi"/>
                <w:i w:val="0"/>
                <w:iCs w:val="0"/>
                <w:color w:val="auto"/>
                <w:kern w:val="2"/>
                <w:sz w:val="24"/>
                <w:szCs w:val="21"/>
                <w:highlight w:val="none"/>
                <w:lang w:val="en-US" w:eastAsia="zh-CN" w:bidi="ar-SA"/>
              </w:rPr>
            </w:pPr>
            <w:r>
              <w:rPr>
                <w:rFonts w:hint="eastAsia"/>
                <w:i w:val="0"/>
                <w:iCs w:val="0"/>
                <w:color w:val="auto"/>
                <w:szCs w:val="21"/>
                <w:highlight w:val="none"/>
              </w:rPr>
              <w:t>……</w:t>
            </w:r>
          </w:p>
        </w:tc>
        <w:tc>
          <w:tcPr>
            <w:tcW w:w="3720" w:type="dxa"/>
            <w:shd w:val="clear" w:color="auto" w:fill="auto"/>
            <w:vAlign w:val="center"/>
          </w:tcPr>
          <w:p w14:paraId="547CA859">
            <w:pPr>
              <w:adjustRightInd w:val="0"/>
              <w:snapToGrid w:val="0"/>
              <w:spacing w:line="240" w:lineRule="auto"/>
              <w:jc w:val="center"/>
              <w:rPr>
                <w:rFonts w:ascii="宋体" w:hAnsi="宋体" w:eastAsia="宋体" w:cstheme="minorBidi"/>
                <w:i w:val="0"/>
                <w:iCs w:val="0"/>
                <w:color w:val="auto"/>
                <w:kern w:val="2"/>
                <w:sz w:val="24"/>
                <w:szCs w:val="21"/>
                <w:highlight w:val="none"/>
                <w:lang w:val="en-US" w:eastAsia="zh-CN" w:bidi="ar-SA"/>
              </w:rPr>
            </w:pPr>
            <w:r>
              <w:rPr>
                <w:rFonts w:hint="eastAsia"/>
                <w:i w:val="0"/>
                <w:iCs w:val="0"/>
                <w:color w:val="auto"/>
                <w:szCs w:val="21"/>
                <w:highlight w:val="none"/>
              </w:rPr>
              <w:t>……</w:t>
            </w:r>
          </w:p>
        </w:tc>
        <w:tc>
          <w:tcPr>
            <w:tcW w:w="1065" w:type="dxa"/>
            <w:vAlign w:val="center"/>
          </w:tcPr>
          <w:p w14:paraId="7B9DBE1E">
            <w:pPr>
              <w:adjustRightInd w:val="0"/>
              <w:snapToGrid w:val="0"/>
              <w:spacing w:line="240" w:lineRule="auto"/>
              <w:jc w:val="center"/>
              <w:rPr>
                <w:i w:val="0"/>
                <w:iCs w:val="0"/>
                <w:color w:val="auto"/>
                <w:szCs w:val="21"/>
                <w:highlight w:val="none"/>
              </w:rPr>
            </w:pPr>
          </w:p>
        </w:tc>
        <w:tc>
          <w:tcPr>
            <w:tcW w:w="1065" w:type="dxa"/>
            <w:vAlign w:val="center"/>
          </w:tcPr>
          <w:p w14:paraId="6851C226">
            <w:pPr>
              <w:adjustRightInd w:val="0"/>
              <w:snapToGrid w:val="0"/>
              <w:spacing w:line="240" w:lineRule="auto"/>
              <w:jc w:val="center"/>
              <w:rPr>
                <w:i w:val="0"/>
                <w:iCs w:val="0"/>
                <w:color w:val="auto"/>
                <w:szCs w:val="21"/>
                <w:highlight w:val="none"/>
              </w:rPr>
            </w:pPr>
          </w:p>
        </w:tc>
        <w:tc>
          <w:tcPr>
            <w:tcW w:w="1066" w:type="dxa"/>
            <w:vAlign w:val="center"/>
          </w:tcPr>
          <w:p w14:paraId="39505459">
            <w:pPr>
              <w:adjustRightInd w:val="0"/>
              <w:snapToGrid w:val="0"/>
              <w:spacing w:line="240" w:lineRule="auto"/>
              <w:jc w:val="center"/>
              <w:rPr>
                <w:i w:val="0"/>
                <w:iCs w:val="0"/>
                <w:color w:val="auto"/>
                <w:szCs w:val="21"/>
                <w:highlight w:val="none"/>
              </w:rPr>
            </w:pPr>
          </w:p>
        </w:tc>
        <w:tc>
          <w:tcPr>
            <w:tcW w:w="947" w:type="dxa"/>
            <w:vAlign w:val="center"/>
          </w:tcPr>
          <w:p w14:paraId="14D910E3">
            <w:pPr>
              <w:adjustRightInd w:val="0"/>
              <w:snapToGrid w:val="0"/>
              <w:spacing w:line="240" w:lineRule="auto"/>
              <w:jc w:val="center"/>
              <w:rPr>
                <w:i w:val="0"/>
                <w:iCs w:val="0"/>
                <w:color w:val="auto"/>
                <w:szCs w:val="21"/>
                <w:highlight w:val="none"/>
              </w:rPr>
            </w:pPr>
          </w:p>
        </w:tc>
      </w:tr>
      <w:tr w14:paraId="0CABB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14:paraId="39727E85">
            <w:pPr>
              <w:adjustRightInd w:val="0"/>
              <w:snapToGrid w:val="0"/>
              <w:spacing w:line="240" w:lineRule="auto"/>
              <w:jc w:val="center"/>
              <w:rPr>
                <w:i w:val="0"/>
                <w:iCs w:val="0"/>
                <w:color w:val="auto"/>
                <w:szCs w:val="21"/>
                <w:highlight w:val="none"/>
              </w:rPr>
            </w:pPr>
          </w:p>
        </w:tc>
        <w:tc>
          <w:tcPr>
            <w:tcW w:w="3720" w:type="dxa"/>
            <w:vAlign w:val="center"/>
          </w:tcPr>
          <w:p w14:paraId="6E3D4C24">
            <w:pPr>
              <w:adjustRightInd w:val="0"/>
              <w:snapToGrid w:val="0"/>
              <w:spacing w:line="240" w:lineRule="auto"/>
              <w:jc w:val="center"/>
              <w:rPr>
                <w:i w:val="0"/>
                <w:iCs w:val="0"/>
                <w:color w:val="auto"/>
                <w:szCs w:val="21"/>
                <w:highlight w:val="none"/>
              </w:rPr>
            </w:pPr>
            <w:r>
              <w:rPr>
                <w:rFonts w:hint="eastAsia" w:asciiTheme="minorEastAsia" w:hAnsiTheme="minorEastAsia" w:eastAsiaTheme="minorEastAsia"/>
                <w:i w:val="0"/>
                <w:iCs w:val="0"/>
                <w:color w:val="auto"/>
                <w:highlight w:val="none"/>
              </w:rPr>
              <w:t>其他费用</w:t>
            </w:r>
          </w:p>
        </w:tc>
        <w:tc>
          <w:tcPr>
            <w:tcW w:w="1065" w:type="dxa"/>
            <w:vAlign w:val="center"/>
          </w:tcPr>
          <w:p w14:paraId="34269FA2">
            <w:pPr>
              <w:adjustRightInd w:val="0"/>
              <w:snapToGrid w:val="0"/>
              <w:spacing w:line="240" w:lineRule="auto"/>
              <w:jc w:val="center"/>
              <w:rPr>
                <w:i w:val="0"/>
                <w:iCs w:val="0"/>
                <w:color w:val="auto"/>
                <w:szCs w:val="21"/>
                <w:highlight w:val="none"/>
              </w:rPr>
            </w:pPr>
          </w:p>
        </w:tc>
        <w:tc>
          <w:tcPr>
            <w:tcW w:w="1065" w:type="dxa"/>
            <w:vAlign w:val="center"/>
          </w:tcPr>
          <w:p w14:paraId="646717F9">
            <w:pPr>
              <w:adjustRightInd w:val="0"/>
              <w:snapToGrid w:val="0"/>
              <w:spacing w:line="240" w:lineRule="auto"/>
              <w:jc w:val="center"/>
              <w:rPr>
                <w:i w:val="0"/>
                <w:iCs w:val="0"/>
                <w:color w:val="auto"/>
                <w:szCs w:val="21"/>
                <w:highlight w:val="none"/>
              </w:rPr>
            </w:pPr>
          </w:p>
        </w:tc>
        <w:tc>
          <w:tcPr>
            <w:tcW w:w="1066" w:type="dxa"/>
            <w:vAlign w:val="center"/>
          </w:tcPr>
          <w:p w14:paraId="61629B6A">
            <w:pPr>
              <w:adjustRightInd w:val="0"/>
              <w:snapToGrid w:val="0"/>
              <w:spacing w:line="240" w:lineRule="auto"/>
              <w:jc w:val="center"/>
              <w:rPr>
                <w:i w:val="0"/>
                <w:iCs w:val="0"/>
                <w:color w:val="auto"/>
                <w:szCs w:val="21"/>
                <w:highlight w:val="none"/>
              </w:rPr>
            </w:pPr>
          </w:p>
        </w:tc>
        <w:tc>
          <w:tcPr>
            <w:tcW w:w="947" w:type="dxa"/>
            <w:vAlign w:val="center"/>
          </w:tcPr>
          <w:p w14:paraId="7F337C52">
            <w:pPr>
              <w:adjustRightInd w:val="0"/>
              <w:snapToGrid w:val="0"/>
              <w:spacing w:line="240" w:lineRule="auto"/>
              <w:jc w:val="center"/>
              <w:rPr>
                <w:i w:val="0"/>
                <w:iCs w:val="0"/>
                <w:color w:val="auto"/>
                <w:szCs w:val="21"/>
                <w:highlight w:val="none"/>
              </w:rPr>
            </w:pPr>
          </w:p>
        </w:tc>
      </w:tr>
      <w:tr w14:paraId="209E8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14:paraId="2C355F28">
            <w:pPr>
              <w:adjustRightInd w:val="0"/>
              <w:snapToGrid w:val="0"/>
              <w:spacing w:line="240" w:lineRule="auto"/>
              <w:jc w:val="center"/>
              <w:rPr>
                <w:i w:val="0"/>
                <w:iCs w:val="0"/>
                <w:color w:val="auto"/>
                <w:szCs w:val="21"/>
                <w:highlight w:val="none"/>
              </w:rPr>
            </w:pPr>
            <w:r>
              <w:rPr>
                <w:rFonts w:hint="eastAsia"/>
                <w:i w:val="0"/>
                <w:iCs w:val="0"/>
                <w:color w:val="auto"/>
                <w:szCs w:val="21"/>
                <w:highlight w:val="none"/>
              </w:rPr>
              <w:t>……</w:t>
            </w:r>
          </w:p>
        </w:tc>
        <w:tc>
          <w:tcPr>
            <w:tcW w:w="3720" w:type="dxa"/>
            <w:vAlign w:val="center"/>
          </w:tcPr>
          <w:p w14:paraId="5D4BF5AE">
            <w:pPr>
              <w:adjustRightInd w:val="0"/>
              <w:snapToGrid w:val="0"/>
              <w:spacing w:line="240" w:lineRule="auto"/>
              <w:jc w:val="center"/>
              <w:rPr>
                <w:i w:val="0"/>
                <w:iCs w:val="0"/>
                <w:color w:val="auto"/>
                <w:szCs w:val="21"/>
                <w:highlight w:val="none"/>
              </w:rPr>
            </w:pPr>
            <w:r>
              <w:rPr>
                <w:rFonts w:hint="eastAsia"/>
                <w:i w:val="0"/>
                <w:iCs w:val="0"/>
                <w:color w:val="auto"/>
                <w:szCs w:val="21"/>
                <w:highlight w:val="none"/>
              </w:rPr>
              <w:t>……</w:t>
            </w:r>
          </w:p>
        </w:tc>
        <w:tc>
          <w:tcPr>
            <w:tcW w:w="1065" w:type="dxa"/>
            <w:vAlign w:val="center"/>
          </w:tcPr>
          <w:p w14:paraId="3E6B6F32">
            <w:pPr>
              <w:adjustRightInd w:val="0"/>
              <w:snapToGrid w:val="0"/>
              <w:spacing w:line="240" w:lineRule="auto"/>
              <w:jc w:val="center"/>
              <w:rPr>
                <w:i w:val="0"/>
                <w:iCs w:val="0"/>
                <w:color w:val="auto"/>
                <w:szCs w:val="21"/>
                <w:highlight w:val="none"/>
              </w:rPr>
            </w:pPr>
          </w:p>
        </w:tc>
        <w:tc>
          <w:tcPr>
            <w:tcW w:w="1065" w:type="dxa"/>
            <w:vAlign w:val="center"/>
          </w:tcPr>
          <w:p w14:paraId="02B6CE3C">
            <w:pPr>
              <w:adjustRightInd w:val="0"/>
              <w:snapToGrid w:val="0"/>
              <w:spacing w:line="240" w:lineRule="auto"/>
              <w:jc w:val="center"/>
              <w:rPr>
                <w:i w:val="0"/>
                <w:iCs w:val="0"/>
                <w:color w:val="auto"/>
                <w:szCs w:val="21"/>
                <w:highlight w:val="none"/>
              </w:rPr>
            </w:pPr>
          </w:p>
        </w:tc>
        <w:tc>
          <w:tcPr>
            <w:tcW w:w="1066" w:type="dxa"/>
            <w:vAlign w:val="center"/>
          </w:tcPr>
          <w:p w14:paraId="15025601">
            <w:pPr>
              <w:adjustRightInd w:val="0"/>
              <w:snapToGrid w:val="0"/>
              <w:spacing w:line="240" w:lineRule="auto"/>
              <w:jc w:val="center"/>
              <w:rPr>
                <w:i w:val="0"/>
                <w:iCs w:val="0"/>
                <w:color w:val="auto"/>
                <w:szCs w:val="21"/>
                <w:highlight w:val="none"/>
              </w:rPr>
            </w:pPr>
          </w:p>
        </w:tc>
        <w:tc>
          <w:tcPr>
            <w:tcW w:w="947" w:type="dxa"/>
            <w:vAlign w:val="center"/>
          </w:tcPr>
          <w:p w14:paraId="39116035">
            <w:pPr>
              <w:adjustRightInd w:val="0"/>
              <w:snapToGrid w:val="0"/>
              <w:spacing w:line="240" w:lineRule="auto"/>
              <w:jc w:val="center"/>
              <w:rPr>
                <w:i w:val="0"/>
                <w:iCs w:val="0"/>
                <w:color w:val="auto"/>
                <w:szCs w:val="21"/>
                <w:highlight w:val="none"/>
              </w:rPr>
            </w:pPr>
          </w:p>
        </w:tc>
      </w:tr>
      <w:tr w14:paraId="16F60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915" w:type="dxa"/>
            <w:gridSpan w:val="4"/>
            <w:vAlign w:val="center"/>
          </w:tcPr>
          <w:p w14:paraId="0EDD5DA9">
            <w:pPr>
              <w:adjustRightInd w:val="0"/>
              <w:snapToGrid w:val="0"/>
              <w:spacing w:line="240" w:lineRule="auto"/>
              <w:jc w:val="center"/>
              <w:rPr>
                <w:i w:val="0"/>
                <w:iCs w:val="0"/>
                <w:color w:val="auto"/>
                <w:szCs w:val="21"/>
                <w:highlight w:val="none"/>
              </w:rPr>
            </w:pPr>
            <w:r>
              <w:rPr>
                <w:rFonts w:hint="eastAsia"/>
                <w:i w:val="0"/>
                <w:iCs w:val="0"/>
                <w:color w:val="auto"/>
                <w:szCs w:val="21"/>
                <w:highlight w:val="none"/>
              </w:rPr>
              <w:t>报价合计（元）</w:t>
            </w:r>
          </w:p>
        </w:tc>
        <w:tc>
          <w:tcPr>
            <w:tcW w:w="2013" w:type="dxa"/>
            <w:gridSpan w:val="2"/>
            <w:vAlign w:val="center"/>
          </w:tcPr>
          <w:p w14:paraId="0609C717">
            <w:pPr>
              <w:adjustRightInd w:val="0"/>
              <w:snapToGrid w:val="0"/>
              <w:spacing w:line="240" w:lineRule="auto"/>
              <w:jc w:val="center"/>
              <w:rPr>
                <w:i w:val="0"/>
                <w:iCs w:val="0"/>
                <w:color w:val="auto"/>
                <w:szCs w:val="21"/>
                <w:highlight w:val="none"/>
              </w:rPr>
            </w:pPr>
          </w:p>
        </w:tc>
      </w:tr>
    </w:tbl>
    <w:p w14:paraId="76D9FA12">
      <w:pPr>
        <w:pStyle w:val="11"/>
        <w:rPr>
          <w:rFonts w:hint="eastAsia"/>
          <w:b w:val="0"/>
          <w:bCs/>
          <w:i w:val="0"/>
          <w:iCs w:val="0"/>
          <w:color w:val="auto"/>
          <w:szCs w:val="21"/>
          <w:highlight w:val="none"/>
          <w:u w:val="single"/>
          <w:lang w:val="zh-CN"/>
        </w:rPr>
      </w:pPr>
    </w:p>
    <w:p w14:paraId="4ADE4675">
      <w:pPr>
        <w:spacing w:line="300" w:lineRule="auto"/>
        <w:rPr>
          <w:rFonts w:ascii="Arial" w:hAnsi="Arial" w:cs="Arial"/>
          <w:i w:val="0"/>
          <w:iCs w:val="0"/>
          <w:color w:val="auto"/>
          <w:szCs w:val="21"/>
          <w:highlight w:val="none"/>
        </w:rPr>
      </w:pPr>
    </w:p>
    <w:p w14:paraId="7856DF79">
      <w:pPr>
        <w:ind w:right="1008" w:firstLine="4284" w:firstLineChars="1700"/>
        <w:rPr>
          <w:rFonts w:cs="宋体"/>
          <w:i w:val="0"/>
          <w:iCs w:val="0"/>
          <w:color w:val="auto"/>
          <w:spacing w:val="6"/>
          <w:szCs w:val="24"/>
          <w:highlight w:val="none"/>
        </w:rPr>
      </w:pPr>
      <w:r>
        <w:rPr>
          <w:rFonts w:hint="eastAsia" w:cs="宋体"/>
          <w:i w:val="0"/>
          <w:iCs w:val="0"/>
          <w:color w:val="auto"/>
          <w:spacing w:val="6"/>
          <w:szCs w:val="24"/>
          <w:highlight w:val="none"/>
          <w:lang w:val="en-US" w:eastAsia="zh-CN"/>
        </w:rPr>
        <w:t>供应商</w:t>
      </w:r>
      <w:r>
        <w:rPr>
          <w:rFonts w:hint="eastAsia" w:cs="宋体"/>
          <w:i w:val="0"/>
          <w:iCs w:val="0"/>
          <w:color w:val="auto"/>
          <w:spacing w:val="6"/>
          <w:szCs w:val="24"/>
          <w:highlight w:val="none"/>
        </w:rPr>
        <w:t>名称</w:t>
      </w:r>
      <w:r>
        <w:rPr>
          <w:rFonts w:hint="eastAsia" w:cs="宋体"/>
          <w:i w:val="0"/>
          <w:iCs w:val="0"/>
          <w:color w:val="auto"/>
          <w:spacing w:val="6"/>
          <w:szCs w:val="24"/>
          <w:highlight w:val="none"/>
          <w:lang w:eastAsia="zh-CN"/>
        </w:rPr>
        <w:t>（</w:t>
      </w:r>
      <w:r>
        <w:rPr>
          <w:rFonts w:hint="eastAsia" w:cs="宋体"/>
          <w:i w:val="0"/>
          <w:iCs w:val="0"/>
          <w:color w:val="auto"/>
          <w:spacing w:val="6"/>
          <w:szCs w:val="24"/>
          <w:highlight w:val="none"/>
          <w:lang w:val="en-US" w:eastAsia="zh-CN"/>
        </w:rPr>
        <w:t>公章</w:t>
      </w:r>
      <w:r>
        <w:rPr>
          <w:rFonts w:hint="eastAsia" w:cs="宋体"/>
          <w:i w:val="0"/>
          <w:iCs w:val="0"/>
          <w:color w:val="auto"/>
          <w:spacing w:val="6"/>
          <w:szCs w:val="24"/>
          <w:highlight w:val="none"/>
          <w:lang w:eastAsia="zh-CN"/>
        </w:rPr>
        <w:t>）</w:t>
      </w:r>
      <w:r>
        <w:rPr>
          <w:rFonts w:hint="eastAsia" w:cs="宋体"/>
          <w:i w:val="0"/>
          <w:iCs w:val="0"/>
          <w:color w:val="auto"/>
          <w:spacing w:val="6"/>
          <w:szCs w:val="24"/>
          <w:highlight w:val="none"/>
        </w:rPr>
        <w:t>：</w:t>
      </w:r>
    </w:p>
    <w:p w14:paraId="210A8DB8">
      <w:pPr>
        <w:ind w:right="1008" w:firstLine="4284" w:firstLineChars="1700"/>
        <w:rPr>
          <w:rFonts w:hint="default" w:eastAsia="宋体" w:cs="宋体"/>
          <w:i w:val="0"/>
          <w:iCs w:val="0"/>
          <w:color w:val="auto"/>
          <w:spacing w:val="6"/>
          <w:szCs w:val="24"/>
          <w:highlight w:val="none"/>
          <w:lang w:val="en-US" w:eastAsia="zh-CN"/>
        </w:rPr>
      </w:pPr>
      <w:r>
        <w:rPr>
          <w:rFonts w:hint="eastAsia" w:cs="宋体"/>
          <w:i w:val="0"/>
          <w:iCs w:val="0"/>
          <w:color w:val="auto"/>
          <w:spacing w:val="6"/>
          <w:szCs w:val="24"/>
          <w:highlight w:val="none"/>
        </w:rPr>
        <w:t>日期：</w:t>
      </w:r>
      <w:r>
        <w:rPr>
          <w:rFonts w:hint="eastAsia" w:cs="宋体"/>
          <w:i w:val="0"/>
          <w:iCs w:val="0"/>
          <w:color w:val="auto"/>
          <w:spacing w:val="6"/>
          <w:szCs w:val="24"/>
          <w:highlight w:val="none"/>
          <w:lang w:val="en-US" w:eastAsia="zh-CN"/>
        </w:rPr>
        <w:t xml:space="preserve">   年  月  日</w:t>
      </w:r>
    </w:p>
    <w:p w14:paraId="0F99A5A5">
      <w:pPr>
        <w:spacing w:line="300" w:lineRule="auto"/>
        <w:rPr>
          <w:rFonts w:ascii="Arial" w:hAnsi="Arial" w:cs="Arial"/>
          <w:i w:val="0"/>
          <w:iCs w:val="0"/>
          <w:color w:val="auto"/>
          <w:szCs w:val="21"/>
          <w:highlight w:val="none"/>
        </w:rPr>
      </w:pPr>
    </w:p>
    <w:p w14:paraId="19373AA9">
      <w:pPr>
        <w:spacing w:line="360" w:lineRule="auto"/>
        <w:rPr>
          <w:rFonts w:hint="eastAsia" w:ascii="宋体" w:hAnsi="宋体" w:eastAsia="宋体" w:cs="宋体"/>
          <w:b/>
          <w:i w:val="0"/>
          <w:iCs w:val="0"/>
          <w:color w:val="auto"/>
          <w:sz w:val="21"/>
          <w:szCs w:val="21"/>
          <w:highlight w:val="none"/>
          <w:lang w:eastAsia="zh-CN"/>
        </w:rPr>
      </w:pPr>
      <w:r>
        <w:rPr>
          <w:rFonts w:hint="eastAsia" w:ascii="宋体" w:hAnsi="宋体" w:eastAsia="宋体" w:cs="宋体"/>
          <w:b/>
          <w:i w:val="0"/>
          <w:iCs w:val="0"/>
          <w:color w:val="auto"/>
          <w:sz w:val="21"/>
          <w:szCs w:val="21"/>
          <w:highlight w:val="none"/>
          <w:lang w:eastAsia="zh-CN"/>
        </w:rPr>
        <w:t>注：</w:t>
      </w:r>
    </w:p>
    <w:p w14:paraId="4681585F">
      <w:pPr>
        <w:spacing w:line="360" w:lineRule="auto"/>
        <w:ind w:firstLine="435"/>
        <w:rPr>
          <w:rFonts w:hint="default"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1.</w:t>
      </w:r>
      <w:r>
        <w:rPr>
          <w:rFonts w:hint="default" w:ascii="宋体" w:hAnsi="宋体" w:eastAsia="宋体" w:cs="宋体"/>
          <w:i w:val="0"/>
          <w:iCs w:val="0"/>
          <w:color w:val="auto"/>
          <w:sz w:val="21"/>
          <w:szCs w:val="21"/>
          <w:highlight w:val="none"/>
          <w:lang w:val="en-US" w:eastAsia="zh-CN"/>
        </w:rPr>
        <w:t>按照本表填写的各项目的报价合计填写到</w:t>
      </w:r>
      <w:r>
        <w:rPr>
          <w:rFonts w:hint="eastAsia" w:ascii="宋体" w:hAnsi="宋体" w:eastAsia="宋体" w:cs="宋体"/>
          <w:i w:val="0"/>
          <w:iCs w:val="0"/>
          <w:color w:val="auto"/>
          <w:sz w:val="21"/>
          <w:szCs w:val="21"/>
          <w:highlight w:val="none"/>
          <w:lang w:val="en-US" w:eastAsia="zh-CN"/>
        </w:rPr>
        <w:t>“</w:t>
      </w:r>
      <w:r>
        <w:rPr>
          <w:rFonts w:hint="eastAsia" w:cs="宋体"/>
          <w:i w:val="0"/>
          <w:iCs w:val="0"/>
          <w:color w:val="auto"/>
          <w:sz w:val="21"/>
          <w:szCs w:val="21"/>
          <w:highlight w:val="none"/>
          <w:lang w:val="en-US" w:eastAsia="zh-CN"/>
        </w:rPr>
        <w:t>报价</w:t>
      </w:r>
      <w:r>
        <w:rPr>
          <w:rFonts w:hint="eastAsia" w:ascii="宋体" w:hAnsi="宋体" w:eastAsia="宋体" w:cs="宋体"/>
          <w:i w:val="0"/>
          <w:iCs w:val="0"/>
          <w:color w:val="auto"/>
          <w:sz w:val="21"/>
          <w:szCs w:val="21"/>
          <w:highlight w:val="none"/>
          <w:lang w:val="en-US" w:eastAsia="zh-CN"/>
        </w:rPr>
        <w:t>一览表”</w:t>
      </w:r>
      <w:r>
        <w:rPr>
          <w:rFonts w:hint="default" w:ascii="宋体" w:hAnsi="宋体" w:eastAsia="宋体" w:cs="宋体"/>
          <w:i w:val="0"/>
          <w:iCs w:val="0"/>
          <w:color w:val="auto"/>
          <w:sz w:val="21"/>
          <w:szCs w:val="21"/>
          <w:highlight w:val="none"/>
          <w:lang w:val="en-US" w:eastAsia="zh-CN"/>
        </w:rPr>
        <w:t>中对应的</w:t>
      </w:r>
      <w:r>
        <w:rPr>
          <w:rFonts w:hint="eastAsia" w:cs="宋体"/>
          <w:i w:val="0"/>
          <w:iCs w:val="0"/>
          <w:color w:val="auto"/>
          <w:sz w:val="21"/>
          <w:szCs w:val="21"/>
          <w:highlight w:val="none"/>
          <w:lang w:val="en-US" w:eastAsia="zh-CN"/>
        </w:rPr>
        <w:t>“磋商报价”</w:t>
      </w:r>
      <w:r>
        <w:rPr>
          <w:rFonts w:hint="default" w:ascii="宋体" w:hAnsi="宋体" w:eastAsia="宋体" w:cs="宋体"/>
          <w:i w:val="0"/>
          <w:iCs w:val="0"/>
          <w:color w:val="auto"/>
          <w:sz w:val="21"/>
          <w:szCs w:val="21"/>
          <w:highlight w:val="none"/>
          <w:lang w:val="en-US" w:eastAsia="zh-CN"/>
        </w:rPr>
        <w:t>栏中。</w:t>
      </w:r>
    </w:p>
    <w:p w14:paraId="6B43AF2E">
      <w:pPr>
        <w:spacing w:line="360" w:lineRule="auto"/>
        <w:ind w:firstLine="435"/>
        <w:rPr>
          <w:rFonts w:hint="eastAsia" w:ascii="宋体" w:hAnsi="宋体" w:eastAsia="宋体" w:cs="宋体"/>
          <w:i w:val="0"/>
          <w:iCs w:val="0"/>
          <w:color w:val="auto"/>
          <w:sz w:val="21"/>
          <w:szCs w:val="21"/>
          <w:highlight w:val="none"/>
        </w:rPr>
      </w:pPr>
      <w:r>
        <w:rPr>
          <w:rFonts w:hint="eastAsia" w:cs="宋体"/>
          <w:i w:val="0"/>
          <w:iCs w:val="0"/>
          <w:color w:val="auto"/>
          <w:sz w:val="21"/>
          <w:szCs w:val="21"/>
          <w:highlight w:val="none"/>
          <w:lang w:val="en-US" w:eastAsia="zh-CN"/>
        </w:rPr>
        <w:t>2</w:t>
      </w:r>
      <w:r>
        <w:rPr>
          <w:rFonts w:hint="eastAsia" w:ascii="宋体" w:hAnsi="宋体" w:eastAsia="宋体" w:cs="宋体"/>
          <w:i w:val="0"/>
          <w:iCs w:val="0"/>
          <w:color w:val="auto"/>
          <w:sz w:val="21"/>
          <w:szCs w:val="21"/>
          <w:highlight w:val="none"/>
        </w:rPr>
        <w:t>.所列服务为对应本项目需求的全部服务内容。如有漏项或缺项，</w:t>
      </w:r>
      <w:r>
        <w:rPr>
          <w:rFonts w:hint="eastAsia" w:cs="宋体"/>
          <w:i w:val="0"/>
          <w:iCs w:val="0"/>
          <w:color w:val="auto"/>
          <w:sz w:val="21"/>
          <w:szCs w:val="21"/>
          <w:highlight w:val="none"/>
          <w:lang w:val="en-US" w:eastAsia="zh-CN"/>
        </w:rPr>
        <w:t>供应商</w:t>
      </w:r>
      <w:r>
        <w:rPr>
          <w:rFonts w:hint="eastAsia" w:ascii="宋体" w:hAnsi="宋体" w:eastAsia="宋体" w:cs="宋体"/>
          <w:i w:val="0"/>
          <w:iCs w:val="0"/>
          <w:color w:val="auto"/>
          <w:sz w:val="21"/>
          <w:szCs w:val="21"/>
          <w:highlight w:val="none"/>
        </w:rPr>
        <w:t>承担全部责任。</w:t>
      </w:r>
    </w:p>
    <w:p w14:paraId="4A59D451">
      <w:pPr>
        <w:pStyle w:val="61"/>
        <w:keepNext w:val="0"/>
        <w:keepLines w:val="0"/>
        <w:pageBreakBefore w:val="0"/>
        <w:widowControl/>
        <w:shd w:val="clear" w:color="auto" w:fill="auto"/>
        <w:kinsoku/>
        <w:wordWrap/>
        <w:overflowPunct/>
        <w:topLinePunct w:val="0"/>
        <w:autoSpaceDE/>
        <w:autoSpaceDN/>
        <w:bidi w:val="0"/>
        <w:adjustRightInd/>
        <w:snapToGrid/>
        <w:spacing w:afterAutospacing="0" w:line="360" w:lineRule="exact"/>
        <w:textAlignment w:val="auto"/>
        <w:rPr>
          <w:rFonts w:hint="eastAsia" w:ascii="宋体" w:hAnsi="宋体" w:eastAsia="宋体" w:cs="宋体"/>
          <w:b/>
          <w:bCs/>
          <w:i w:val="0"/>
          <w:iCs w:val="0"/>
          <w:color w:val="auto"/>
          <w:highlight w:val="none"/>
          <w:lang w:val="en-US" w:eastAsia="zh-CN"/>
        </w:rPr>
      </w:pPr>
    </w:p>
    <w:p w14:paraId="7B71C0B3">
      <w:pPr>
        <w:pStyle w:val="61"/>
        <w:keepNext w:val="0"/>
        <w:keepLines w:val="0"/>
        <w:pageBreakBefore w:val="0"/>
        <w:widowControl/>
        <w:shd w:val="clear" w:color="auto" w:fill="auto"/>
        <w:kinsoku/>
        <w:wordWrap/>
        <w:overflowPunct/>
        <w:topLinePunct w:val="0"/>
        <w:autoSpaceDE/>
        <w:autoSpaceDN/>
        <w:bidi w:val="0"/>
        <w:adjustRightInd/>
        <w:snapToGrid/>
        <w:spacing w:afterAutospacing="0" w:line="360" w:lineRule="exact"/>
        <w:textAlignment w:val="auto"/>
        <w:rPr>
          <w:rFonts w:hint="eastAsia" w:ascii="宋体" w:hAnsi="宋体" w:eastAsia="宋体" w:cs="宋体"/>
          <w:b/>
          <w:bCs/>
          <w:i w:val="0"/>
          <w:iCs w:val="0"/>
          <w:color w:val="auto"/>
          <w:highlight w:val="none"/>
          <w:lang w:val="en-US" w:eastAsia="zh-CN"/>
        </w:rPr>
      </w:pPr>
    </w:p>
    <w:p w14:paraId="18E1306B">
      <w:pPr>
        <w:pStyle w:val="61"/>
        <w:keepNext w:val="0"/>
        <w:keepLines w:val="0"/>
        <w:pageBreakBefore w:val="0"/>
        <w:widowControl/>
        <w:shd w:val="clear" w:color="auto" w:fill="auto"/>
        <w:kinsoku/>
        <w:wordWrap/>
        <w:overflowPunct/>
        <w:topLinePunct w:val="0"/>
        <w:autoSpaceDE/>
        <w:autoSpaceDN/>
        <w:bidi w:val="0"/>
        <w:adjustRightInd/>
        <w:snapToGrid/>
        <w:spacing w:afterAutospacing="0" w:line="360" w:lineRule="exact"/>
        <w:textAlignment w:val="auto"/>
        <w:rPr>
          <w:rFonts w:hint="eastAsia" w:ascii="宋体" w:hAnsi="宋体" w:eastAsia="宋体" w:cs="宋体"/>
          <w:b/>
          <w:bCs/>
          <w:i w:val="0"/>
          <w:iCs w:val="0"/>
          <w:color w:val="auto"/>
          <w:highlight w:val="none"/>
          <w:lang w:val="en-US" w:eastAsia="zh-CN"/>
        </w:rPr>
      </w:pPr>
    </w:p>
    <w:p w14:paraId="164FB4B2">
      <w:pPr>
        <w:ind w:firstLine="480" w:firstLineChars="200"/>
        <w:rPr>
          <w:rFonts w:cs="仿宋_GB2312"/>
          <w:i w:val="0"/>
          <w:iCs w:val="0"/>
          <w:color w:val="auto"/>
          <w:szCs w:val="24"/>
          <w:highlight w:val="none"/>
          <w:lang w:val="zh-CN"/>
        </w:rPr>
      </w:pPr>
      <w:r>
        <w:rPr>
          <w:rFonts w:hint="eastAsia" w:cs="仿宋_GB2312"/>
          <w:i w:val="0"/>
          <w:iCs w:val="0"/>
          <w:color w:val="auto"/>
          <w:szCs w:val="24"/>
          <w:highlight w:val="none"/>
          <w:lang w:val="zh-CN"/>
        </w:rPr>
        <w:t>封面：</w:t>
      </w:r>
    </w:p>
    <w:p w14:paraId="5EC829F4">
      <w:pPr>
        <w:autoSpaceDE w:val="0"/>
        <w:autoSpaceDN w:val="0"/>
        <w:adjustRightInd w:val="0"/>
        <w:rPr>
          <w:i w:val="0"/>
          <w:iCs w:val="0"/>
          <w:color w:val="auto"/>
          <w:sz w:val="21"/>
          <w:szCs w:val="24"/>
          <w:highlight w:val="none"/>
        </w:rPr>
      </w:pPr>
    </w:p>
    <w:p w14:paraId="0D39B890">
      <w:pPr>
        <w:autoSpaceDE w:val="0"/>
        <w:autoSpaceDN w:val="0"/>
        <w:adjustRightInd w:val="0"/>
        <w:rPr>
          <w:i w:val="0"/>
          <w:iCs w:val="0"/>
          <w:color w:val="auto"/>
          <w:sz w:val="21"/>
          <w:szCs w:val="24"/>
          <w:highlight w:val="none"/>
        </w:rPr>
      </w:pPr>
    </w:p>
    <w:p w14:paraId="2314362E">
      <w:pPr>
        <w:autoSpaceDE w:val="0"/>
        <w:autoSpaceDN w:val="0"/>
        <w:adjustRightInd w:val="0"/>
        <w:jc w:val="center"/>
        <w:rPr>
          <w:i w:val="0"/>
          <w:iCs w:val="0"/>
          <w:color w:val="auto"/>
          <w:sz w:val="21"/>
          <w:szCs w:val="24"/>
          <w:highlight w:val="none"/>
        </w:rPr>
      </w:pPr>
    </w:p>
    <w:p w14:paraId="6E0AECFB">
      <w:pPr>
        <w:pStyle w:val="3"/>
        <w:bidi w:val="0"/>
        <w:jc w:val="center"/>
        <w:rPr>
          <w:sz w:val="84"/>
          <w:szCs w:val="84"/>
          <w:highlight w:val="none"/>
        </w:rPr>
      </w:pPr>
      <w:bookmarkStart w:id="467" w:name="_Toc4616"/>
      <w:r>
        <w:rPr>
          <w:rFonts w:hint="eastAsia"/>
          <w:sz w:val="84"/>
          <w:szCs w:val="84"/>
          <w:highlight w:val="none"/>
          <w:lang w:val="en-US" w:eastAsia="zh-CN"/>
        </w:rPr>
        <w:t>响 应</w:t>
      </w:r>
      <w:r>
        <w:rPr>
          <w:rFonts w:hint="eastAsia"/>
          <w:sz w:val="84"/>
          <w:szCs w:val="84"/>
          <w:highlight w:val="none"/>
        </w:rPr>
        <w:t xml:space="preserve"> 文 件</w:t>
      </w:r>
      <w:bookmarkEnd w:id="467"/>
    </w:p>
    <w:p w14:paraId="4AF2D630">
      <w:pPr>
        <w:pStyle w:val="3"/>
        <w:bidi w:val="0"/>
        <w:jc w:val="center"/>
        <w:rPr>
          <w:rFonts w:hint="eastAsia"/>
          <w:sz w:val="56"/>
          <w:szCs w:val="56"/>
          <w:highlight w:val="none"/>
          <w:lang w:val="en-US" w:eastAsia="zh-CN"/>
        </w:rPr>
      </w:pPr>
      <w:bookmarkStart w:id="468" w:name="_Toc25848"/>
      <w:r>
        <w:rPr>
          <w:rFonts w:hint="eastAsia"/>
          <w:sz w:val="56"/>
          <w:szCs w:val="56"/>
          <w:highlight w:val="none"/>
          <w:lang w:val="en-US" w:eastAsia="zh-CN"/>
        </w:rPr>
        <w:t>商务技术文件</w:t>
      </w:r>
      <w:bookmarkEnd w:id="468"/>
    </w:p>
    <w:p w14:paraId="69CDC1D3">
      <w:pPr>
        <w:autoSpaceDE w:val="0"/>
        <w:autoSpaceDN w:val="0"/>
        <w:adjustRightInd w:val="0"/>
        <w:jc w:val="center"/>
        <w:rPr>
          <w:rFonts w:hint="eastAsia" w:eastAsia="宋体"/>
          <w:i w:val="0"/>
          <w:iCs w:val="0"/>
          <w:color w:val="auto"/>
          <w:sz w:val="36"/>
          <w:szCs w:val="36"/>
          <w:highlight w:val="none"/>
          <w:lang w:eastAsia="zh-CN"/>
        </w:rPr>
      </w:pPr>
      <w:r>
        <w:rPr>
          <w:rFonts w:hint="eastAsia"/>
          <w:i w:val="0"/>
          <w:iCs w:val="0"/>
          <w:color w:val="auto"/>
          <w:sz w:val="36"/>
          <w:szCs w:val="36"/>
          <w:highlight w:val="none"/>
          <w:lang w:val="en-US" w:eastAsia="zh-CN"/>
        </w:rPr>
        <w:t>（包二</w:t>
      </w:r>
      <w:r>
        <w:rPr>
          <w:rFonts w:hint="eastAsia"/>
          <w:i w:val="0"/>
          <w:iCs w:val="0"/>
          <w:color w:val="auto"/>
          <w:sz w:val="36"/>
          <w:szCs w:val="36"/>
          <w:highlight w:val="none"/>
          <w:lang w:eastAsia="zh-CN"/>
        </w:rPr>
        <w:t>）</w:t>
      </w:r>
    </w:p>
    <w:p w14:paraId="4C52C730">
      <w:pPr>
        <w:pStyle w:val="3"/>
        <w:rPr>
          <w:i w:val="0"/>
          <w:iCs w:val="0"/>
          <w:color w:val="auto"/>
          <w:sz w:val="21"/>
          <w:szCs w:val="21"/>
          <w:highlight w:val="none"/>
        </w:rPr>
      </w:pPr>
    </w:p>
    <w:p w14:paraId="14C1B3A8">
      <w:pPr>
        <w:rPr>
          <w:i w:val="0"/>
          <w:iCs w:val="0"/>
          <w:color w:val="auto"/>
          <w:sz w:val="21"/>
          <w:szCs w:val="21"/>
          <w:highlight w:val="none"/>
        </w:rPr>
      </w:pPr>
    </w:p>
    <w:p w14:paraId="15227E06">
      <w:pPr>
        <w:rPr>
          <w:i w:val="0"/>
          <w:iCs w:val="0"/>
          <w:color w:val="auto"/>
          <w:highlight w:val="none"/>
        </w:rPr>
      </w:pPr>
    </w:p>
    <w:p w14:paraId="41D881B8">
      <w:pPr>
        <w:autoSpaceDE w:val="0"/>
        <w:autoSpaceDN w:val="0"/>
        <w:adjustRightInd w:val="0"/>
        <w:rPr>
          <w:i w:val="0"/>
          <w:iCs w:val="0"/>
          <w:color w:val="auto"/>
          <w:sz w:val="21"/>
          <w:szCs w:val="21"/>
          <w:highlight w:val="none"/>
        </w:rPr>
      </w:pPr>
    </w:p>
    <w:p w14:paraId="1C7F5439">
      <w:pPr>
        <w:autoSpaceDE w:val="0"/>
        <w:autoSpaceDN w:val="0"/>
        <w:adjustRightInd w:val="0"/>
        <w:rPr>
          <w:i w:val="0"/>
          <w:iCs w:val="0"/>
          <w:color w:val="auto"/>
          <w:sz w:val="21"/>
          <w:szCs w:val="21"/>
          <w:highlight w:val="none"/>
        </w:rPr>
      </w:pPr>
    </w:p>
    <w:p w14:paraId="037029E5">
      <w:pPr>
        <w:ind w:left="420" w:leftChars="175"/>
        <w:rPr>
          <w:rFonts w:hint="eastAsia" w:ascii="宋体" w:hAnsi="宋体" w:eastAsia="宋体" w:cs="宋体"/>
          <w:i w:val="0"/>
          <w:iCs w:val="0"/>
          <w:color w:val="auto"/>
          <w:sz w:val="36"/>
          <w:szCs w:val="36"/>
          <w:highlight w:val="none"/>
        </w:rPr>
      </w:pPr>
      <w:r>
        <w:rPr>
          <w:rFonts w:hint="eastAsia" w:ascii="宋体" w:hAnsi="宋体" w:eastAsia="宋体" w:cs="宋体"/>
          <w:i w:val="0"/>
          <w:iCs w:val="0"/>
          <w:color w:val="auto"/>
          <w:sz w:val="36"/>
          <w:szCs w:val="36"/>
          <w:highlight w:val="none"/>
        </w:rPr>
        <w:t>项目编号</w:t>
      </w:r>
      <w:r>
        <w:rPr>
          <w:rFonts w:hint="eastAsia" w:ascii="宋体" w:hAnsi="宋体" w:eastAsia="宋体" w:cs="宋体"/>
          <w:i w:val="0"/>
          <w:iCs w:val="0"/>
          <w:color w:val="auto"/>
          <w:sz w:val="36"/>
          <w:szCs w:val="36"/>
          <w:highlight w:val="none"/>
          <w:lang w:val="en-US" w:eastAsia="zh-CN"/>
        </w:rPr>
        <w:t>/包号</w:t>
      </w:r>
      <w:r>
        <w:rPr>
          <w:rFonts w:hint="eastAsia" w:ascii="宋体" w:hAnsi="宋体" w:eastAsia="宋体" w:cs="宋体"/>
          <w:i w:val="0"/>
          <w:iCs w:val="0"/>
          <w:color w:val="auto"/>
          <w:sz w:val="36"/>
          <w:szCs w:val="36"/>
          <w:highlight w:val="none"/>
        </w:rPr>
        <w:t>：</w:t>
      </w:r>
      <w:r>
        <w:rPr>
          <w:rFonts w:hint="eastAsia" w:ascii="宋体" w:hAnsi="宋体" w:eastAsia="宋体" w:cs="宋体"/>
          <w:i w:val="0"/>
          <w:iCs w:val="0"/>
          <w:color w:val="auto"/>
          <w:sz w:val="36"/>
          <w:szCs w:val="36"/>
          <w:highlight w:val="none"/>
          <w:u w:val="single"/>
        </w:rPr>
        <w:t xml:space="preserve">   </w:t>
      </w:r>
      <w:r>
        <w:rPr>
          <w:rFonts w:hint="eastAsia" w:ascii="宋体" w:hAnsi="宋体" w:eastAsia="宋体" w:cs="宋体"/>
          <w:i w:val="0"/>
          <w:iCs w:val="0"/>
          <w:color w:val="auto"/>
          <w:sz w:val="36"/>
          <w:szCs w:val="36"/>
          <w:highlight w:val="none"/>
          <w:u w:val="single"/>
          <w:lang w:val="en-US" w:eastAsia="zh-CN"/>
        </w:rPr>
        <w:t xml:space="preserve"> </w:t>
      </w:r>
      <w:r>
        <w:rPr>
          <w:rFonts w:hint="eastAsia" w:ascii="宋体" w:hAnsi="宋体" w:eastAsia="宋体" w:cs="宋体"/>
          <w:i w:val="0"/>
          <w:iCs w:val="0"/>
          <w:color w:val="auto"/>
          <w:sz w:val="36"/>
          <w:szCs w:val="36"/>
          <w:highlight w:val="none"/>
          <w:u w:val="single"/>
        </w:rPr>
        <w:t xml:space="preserve">     </w:t>
      </w:r>
      <w:r>
        <w:rPr>
          <w:rFonts w:hint="eastAsia" w:ascii="宋体" w:hAnsi="宋体" w:eastAsia="宋体" w:cs="宋体"/>
          <w:i w:val="0"/>
          <w:iCs w:val="0"/>
          <w:color w:val="auto"/>
          <w:sz w:val="36"/>
          <w:szCs w:val="36"/>
          <w:highlight w:val="none"/>
          <w:u w:val="single"/>
          <w:lang w:val="en-US" w:eastAsia="zh-CN"/>
        </w:rPr>
        <w:t xml:space="preserve"> </w:t>
      </w:r>
      <w:r>
        <w:rPr>
          <w:rFonts w:hint="eastAsia" w:ascii="宋体" w:hAnsi="宋体" w:eastAsia="宋体" w:cs="宋体"/>
          <w:i w:val="0"/>
          <w:iCs w:val="0"/>
          <w:color w:val="auto"/>
          <w:sz w:val="36"/>
          <w:szCs w:val="36"/>
          <w:highlight w:val="none"/>
          <w:u w:val="single"/>
        </w:rPr>
        <w:t xml:space="preserve">       </w:t>
      </w:r>
      <w:r>
        <w:rPr>
          <w:rFonts w:hint="eastAsia" w:ascii="宋体" w:hAnsi="宋体" w:eastAsia="宋体" w:cs="宋体"/>
          <w:i w:val="0"/>
          <w:iCs w:val="0"/>
          <w:color w:val="auto"/>
          <w:sz w:val="36"/>
          <w:szCs w:val="36"/>
          <w:highlight w:val="none"/>
          <w:u w:val="single"/>
          <w:lang w:val="en-US" w:eastAsia="zh-CN"/>
        </w:rPr>
        <w:t xml:space="preserve">  </w:t>
      </w:r>
      <w:r>
        <w:rPr>
          <w:rFonts w:hint="eastAsia" w:ascii="宋体" w:hAnsi="宋体" w:eastAsia="宋体" w:cs="宋体"/>
          <w:i w:val="0"/>
          <w:iCs w:val="0"/>
          <w:color w:val="auto"/>
          <w:sz w:val="36"/>
          <w:szCs w:val="36"/>
          <w:highlight w:val="none"/>
          <w:u w:val="single"/>
        </w:rPr>
        <w:t xml:space="preserve">        </w:t>
      </w:r>
    </w:p>
    <w:p w14:paraId="0538909E">
      <w:pPr>
        <w:ind w:left="420" w:leftChars="175"/>
        <w:rPr>
          <w:rFonts w:hint="eastAsia" w:ascii="宋体" w:hAnsi="宋体" w:eastAsia="宋体" w:cs="宋体"/>
          <w:i w:val="0"/>
          <w:iCs w:val="0"/>
          <w:color w:val="auto"/>
          <w:sz w:val="36"/>
          <w:szCs w:val="36"/>
          <w:highlight w:val="none"/>
        </w:rPr>
      </w:pPr>
      <w:r>
        <w:rPr>
          <w:rFonts w:hint="eastAsia" w:ascii="宋体" w:hAnsi="宋体" w:eastAsia="宋体" w:cs="宋体"/>
          <w:i w:val="0"/>
          <w:iCs w:val="0"/>
          <w:color w:val="auto"/>
          <w:sz w:val="36"/>
          <w:szCs w:val="36"/>
          <w:highlight w:val="none"/>
        </w:rPr>
        <w:t>项目名称：</w:t>
      </w:r>
      <w:r>
        <w:rPr>
          <w:rFonts w:hint="eastAsia" w:ascii="宋体" w:hAnsi="宋体" w:eastAsia="宋体" w:cs="宋体"/>
          <w:i w:val="0"/>
          <w:iCs w:val="0"/>
          <w:color w:val="auto"/>
          <w:sz w:val="36"/>
          <w:szCs w:val="36"/>
          <w:highlight w:val="none"/>
          <w:u w:val="single"/>
        </w:rPr>
        <w:t xml:space="preserve">                       </w:t>
      </w:r>
      <w:r>
        <w:rPr>
          <w:rFonts w:hint="eastAsia" w:ascii="宋体" w:hAnsi="宋体" w:eastAsia="宋体" w:cs="宋体"/>
          <w:i w:val="0"/>
          <w:iCs w:val="0"/>
          <w:color w:val="auto"/>
          <w:sz w:val="36"/>
          <w:szCs w:val="36"/>
          <w:highlight w:val="none"/>
          <w:u w:val="single"/>
          <w:lang w:val="en-US" w:eastAsia="zh-CN"/>
        </w:rPr>
        <w:t xml:space="preserve"> </w:t>
      </w:r>
      <w:r>
        <w:rPr>
          <w:rFonts w:hint="eastAsia" w:ascii="宋体" w:hAnsi="宋体" w:eastAsia="宋体" w:cs="宋体"/>
          <w:i w:val="0"/>
          <w:iCs w:val="0"/>
          <w:color w:val="auto"/>
          <w:sz w:val="36"/>
          <w:szCs w:val="36"/>
          <w:highlight w:val="none"/>
          <w:u w:val="single"/>
        </w:rPr>
        <w:t xml:space="preserve">        </w:t>
      </w:r>
    </w:p>
    <w:p w14:paraId="6D86FB53">
      <w:pPr>
        <w:ind w:left="420" w:leftChars="175"/>
        <w:rPr>
          <w:rFonts w:hint="eastAsia" w:ascii="宋体" w:hAnsi="宋体" w:eastAsia="宋体" w:cs="宋体"/>
          <w:i w:val="0"/>
          <w:iCs w:val="0"/>
          <w:color w:val="auto"/>
          <w:sz w:val="36"/>
          <w:szCs w:val="36"/>
          <w:highlight w:val="none"/>
        </w:rPr>
      </w:pPr>
      <w:r>
        <w:rPr>
          <w:rFonts w:hint="eastAsia" w:cs="宋体"/>
          <w:i w:val="0"/>
          <w:iCs w:val="0"/>
          <w:color w:val="auto"/>
          <w:sz w:val="36"/>
          <w:szCs w:val="36"/>
          <w:highlight w:val="none"/>
          <w:lang w:val="en-US" w:eastAsia="zh-CN"/>
        </w:rPr>
        <w:t>供 应 商</w:t>
      </w:r>
      <w:r>
        <w:rPr>
          <w:rFonts w:hint="eastAsia" w:ascii="宋体" w:hAnsi="宋体" w:eastAsia="宋体" w:cs="宋体"/>
          <w:i w:val="0"/>
          <w:iCs w:val="0"/>
          <w:color w:val="auto"/>
          <w:sz w:val="36"/>
          <w:szCs w:val="36"/>
          <w:highlight w:val="none"/>
        </w:rPr>
        <w:t>：</w:t>
      </w:r>
      <w:r>
        <w:rPr>
          <w:rFonts w:hint="eastAsia" w:ascii="宋体" w:hAnsi="宋体" w:eastAsia="宋体" w:cs="宋体"/>
          <w:i w:val="0"/>
          <w:iCs w:val="0"/>
          <w:color w:val="auto"/>
          <w:sz w:val="36"/>
          <w:szCs w:val="36"/>
          <w:highlight w:val="none"/>
          <w:u w:val="single"/>
        </w:rPr>
        <w:t xml:space="preserve">      </w:t>
      </w:r>
      <w:r>
        <w:rPr>
          <w:rFonts w:hint="eastAsia" w:ascii="宋体" w:hAnsi="宋体" w:eastAsia="宋体" w:cs="宋体"/>
          <w:i w:val="0"/>
          <w:iCs w:val="0"/>
          <w:color w:val="auto"/>
          <w:sz w:val="36"/>
          <w:szCs w:val="36"/>
          <w:highlight w:val="none"/>
          <w:u w:val="single"/>
          <w:lang w:val="en-US" w:eastAsia="zh-CN"/>
        </w:rPr>
        <w:t xml:space="preserve">  </w:t>
      </w:r>
      <w:r>
        <w:rPr>
          <w:rFonts w:hint="eastAsia" w:ascii="宋体" w:hAnsi="宋体" w:eastAsia="宋体" w:cs="宋体"/>
          <w:i w:val="0"/>
          <w:iCs w:val="0"/>
          <w:color w:val="auto"/>
          <w:sz w:val="36"/>
          <w:szCs w:val="36"/>
          <w:highlight w:val="none"/>
          <w:u w:val="single"/>
        </w:rPr>
        <w:t xml:space="preserve">         </w:t>
      </w:r>
      <w:r>
        <w:rPr>
          <w:rFonts w:hint="eastAsia" w:ascii="宋体" w:hAnsi="宋体" w:eastAsia="宋体" w:cs="宋体"/>
          <w:i w:val="0"/>
          <w:iCs w:val="0"/>
          <w:color w:val="auto"/>
          <w:sz w:val="36"/>
          <w:szCs w:val="36"/>
          <w:highlight w:val="none"/>
          <w:u w:val="single"/>
          <w:lang w:val="en-US" w:eastAsia="zh-CN"/>
        </w:rPr>
        <w:t xml:space="preserve"> </w:t>
      </w:r>
      <w:r>
        <w:rPr>
          <w:rFonts w:hint="eastAsia" w:ascii="宋体" w:hAnsi="宋体" w:eastAsia="宋体" w:cs="宋体"/>
          <w:i w:val="0"/>
          <w:iCs w:val="0"/>
          <w:color w:val="auto"/>
          <w:sz w:val="36"/>
          <w:szCs w:val="36"/>
          <w:highlight w:val="none"/>
          <w:u w:val="single"/>
        </w:rPr>
        <w:t xml:space="preserve">              </w:t>
      </w:r>
    </w:p>
    <w:p w14:paraId="7C5E0224">
      <w:pPr>
        <w:jc w:val="center"/>
        <w:rPr>
          <w:rFonts w:ascii="黑体" w:hAnsi="黑体" w:eastAsia="黑体"/>
          <w:i w:val="0"/>
          <w:iCs w:val="0"/>
          <w:color w:val="auto"/>
          <w:sz w:val="32"/>
          <w:szCs w:val="32"/>
          <w:highlight w:val="none"/>
        </w:rPr>
      </w:pPr>
    </w:p>
    <w:p w14:paraId="77AC50DC">
      <w:pPr>
        <w:jc w:val="center"/>
        <w:rPr>
          <w:rFonts w:ascii="黑体" w:hAnsi="黑体" w:eastAsia="黑体"/>
          <w:i w:val="0"/>
          <w:iCs w:val="0"/>
          <w:color w:val="auto"/>
          <w:sz w:val="32"/>
          <w:szCs w:val="32"/>
          <w:highlight w:val="none"/>
        </w:rPr>
      </w:pPr>
    </w:p>
    <w:p w14:paraId="5C2AEB63">
      <w:pPr>
        <w:rPr>
          <w:i w:val="0"/>
          <w:iCs w:val="0"/>
          <w:color w:val="auto"/>
          <w:highlight w:val="none"/>
          <w:lang w:val="zh-CN"/>
        </w:rPr>
      </w:pPr>
      <w:r>
        <w:rPr>
          <w:i w:val="0"/>
          <w:iCs w:val="0"/>
          <w:color w:val="auto"/>
          <w:highlight w:val="none"/>
          <w:lang w:val="zh-CN"/>
        </w:rPr>
        <w:br w:type="page"/>
      </w:r>
    </w:p>
    <w:p w14:paraId="5A56E26E">
      <w:pPr>
        <w:pStyle w:val="3"/>
        <w:keepNext/>
        <w:keepLines/>
        <w:pageBreakBefore w:val="0"/>
        <w:widowControl w:val="0"/>
        <w:numPr>
          <w:ilvl w:val="0"/>
          <w:numId w:val="0"/>
        </w:numPr>
        <w:kinsoku/>
        <w:wordWrap/>
        <w:overflowPunct/>
        <w:topLinePunct w:val="0"/>
        <w:autoSpaceDE/>
        <w:autoSpaceDN/>
        <w:bidi w:val="0"/>
        <w:adjustRightInd/>
        <w:snapToGrid/>
        <w:spacing w:before="100" w:after="100" w:line="360" w:lineRule="auto"/>
        <w:ind w:left="420" w:leftChars="0" w:hanging="420" w:firstLineChars="0"/>
        <w:jc w:val="center"/>
        <w:textAlignment w:val="auto"/>
        <w:rPr>
          <w:rFonts w:hint="eastAsia" w:eastAsia="宋体" w:asciiTheme="majorHAnsi" w:hAnsiTheme="majorHAnsi" w:cstheme="majorBidi"/>
          <w:b/>
          <w:bCs/>
          <w:i w:val="0"/>
          <w:iCs w:val="0"/>
          <w:color w:val="auto"/>
          <w:kern w:val="2"/>
          <w:sz w:val="32"/>
          <w:szCs w:val="32"/>
          <w:highlight w:val="none"/>
          <w:lang w:val="en-US" w:eastAsia="zh-CN" w:bidi="ar-SA"/>
        </w:rPr>
      </w:pPr>
      <w:bookmarkStart w:id="469" w:name="_Toc155185921"/>
      <w:bookmarkStart w:id="470" w:name="_Toc3577"/>
      <w:bookmarkStart w:id="471" w:name="_Toc140132831"/>
      <w:bookmarkStart w:id="472" w:name="_Toc10174"/>
      <w:bookmarkStart w:id="473" w:name="_Toc109900327"/>
      <w:bookmarkStart w:id="474" w:name="_Toc25402"/>
      <w:bookmarkStart w:id="475" w:name="_Toc109899489"/>
      <w:bookmarkStart w:id="476" w:name="_Toc109899908"/>
      <w:r>
        <w:rPr>
          <w:rFonts w:hint="eastAsia" w:eastAsia="宋体" w:asciiTheme="majorHAnsi" w:hAnsiTheme="majorHAnsi" w:cstheme="majorBidi"/>
          <w:b/>
          <w:bCs/>
          <w:i w:val="0"/>
          <w:iCs w:val="0"/>
          <w:color w:val="auto"/>
          <w:kern w:val="2"/>
          <w:sz w:val="32"/>
          <w:szCs w:val="32"/>
          <w:highlight w:val="none"/>
          <w:lang w:val="en-US" w:eastAsia="zh-CN" w:bidi="ar-SA"/>
        </w:rPr>
        <w:t>一、</w:t>
      </w:r>
      <w:r>
        <w:rPr>
          <w:rFonts w:hint="eastAsia" w:cstheme="majorBidi"/>
          <w:b/>
          <w:bCs/>
          <w:i w:val="0"/>
          <w:iCs w:val="0"/>
          <w:color w:val="auto"/>
          <w:kern w:val="2"/>
          <w:sz w:val="32"/>
          <w:szCs w:val="32"/>
          <w:highlight w:val="none"/>
          <w:lang w:val="en-US" w:eastAsia="zh-CN" w:bidi="ar-SA"/>
        </w:rPr>
        <w:t>响应</w:t>
      </w:r>
      <w:r>
        <w:rPr>
          <w:rFonts w:hint="eastAsia" w:eastAsia="宋体" w:asciiTheme="majorHAnsi" w:hAnsiTheme="majorHAnsi" w:cstheme="majorBidi"/>
          <w:b/>
          <w:bCs/>
          <w:i w:val="0"/>
          <w:iCs w:val="0"/>
          <w:color w:val="auto"/>
          <w:kern w:val="2"/>
          <w:sz w:val="32"/>
          <w:szCs w:val="32"/>
          <w:highlight w:val="none"/>
          <w:lang w:val="en-US" w:eastAsia="zh-CN" w:bidi="ar-SA"/>
        </w:rPr>
        <w:t>函</w:t>
      </w:r>
      <w:bookmarkEnd w:id="469"/>
      <w:bookmarkEnd w:id="470"/>
      <w:bookmarkEnd w:id="471"/>
      <w:bookmarkEnd w:id="472"/>
      <w:bookmarkEnd w:id="473"/>
      <w:bookmarkEnd w:id="474"/>
      <w:bookmarkEnd w:id="475"/>
      <w:bookmarkEnd w:id="476"/>
    </w:p>
    <w:p w14:paraId="69ABB720">
      <w:pPr>
        <w:rPr>
          <w:i w:val="0"/>
          <w:iCs w:val="0"/>
          <w:color w:val="auto"/>
          <w:highlight w:val="none"/>
        </w:rPr>
      </w:pPr>
      <w:r>
        <w:rPr>
          <w:rFonts w:hint="eastAsia"/>
          <w:i w:val="0"/>
          <w:iCs w:val="0"/>
          <w:color w:val="auto"/>
          <w:highlight w:val="none"/>
        </w:rPr>
        <w:t>致：（采购人）</w:t>
      </w:r>
    </w:p>
    <w:p w14:paraId="35C4266A">
      <w:pPr>
        <w:ind w:firstLine="480" w:firstLineChars="200"/>
        <w:rPr>
          <w:rFonts w:cs="仿宋_GB2312"/>
          <w:b/>
          <w:bCs/>
          <w:i w:val="0"/>
          <w:iCs w:val="0"/>
          <w:color w:val="auto"/>
          <w:szCs w:val="24"/>
          <w:highlight w:val="none"/>
        </w:rPr>
      </w:pPr>
      <w:r>
        <w:rPr>
          <w:rFonts w:hint="eastAsia" w:cs="仿宋_GB2312"/>
          <w:i w:val="0"/>
          <w:iCs w:val="0"/>
          <w:color w:val="auto"/>
          <w:szCs w:val="24"/>
          <w:highlight w:val="none"/>
        </w:rPr>
        <w:t>根据贵方</w:t>
      </w:r>
      <w:r>
        <w:rPr>
          <w:rFonts w:hint="eastAsia" w:cs="仿宋_GB2312"/>
          <w:i w:val="0"/>
          <w:iCs w:val="0"/>
          <w:color w:val="auto"/>
          <w:szCs w:val="24"/>
          <w:highlight w:val="none"/>
          <w:u w:val="single"/>
        </w:rPr>
        <w:t>（项目名称）（项目编号</w:t>
      </w:r>
      <w:r>
        <w:rPr>
          <w:rFonts w:hint="eastAsia" w:cs="仿宋_GB2312"/>
          <w:i w:val="0"/>
          <w:iCs w:val="0"/>
          <w:color w:val="auto"/>
          <w:szCs w:val="24"/>
          <w:highlight w:val="none"/>
          <w:u w:val="single"/>
          <w:lang w:val="en-US" w:eastAsia="zh-CN"/>
        </w:rPr>
        <w:t>/包号</w:t>
      </w:r>
      <w:r>
        <w:rPr>
          <w:rFonts w:hint="eastAsia" w:cs="仿宋_GB2312"/>
          <w:i w:val="0"/>
          <w:iCs w:val="0"/>
          <w:color w:val="auto"/>
          <w:szCs w:val="24"/>
          <w:highlight w:val="none"/>
          <w:u w:val="single"/>
        </w:rPr>
        <w:t>）</w:t>
      </w:r>
      <w:r>
        <w:rPr>
          <w:rFonts w:hint="eastAsia" w:cs="仿宋_GB2312"/>
          <w:i w:val="0"/>
          <w:iCs w:val="0"/>
          <w:color w:val="auto"/>
          <w:szCs w:val="24"/>
          <w:highlight w:val="none"/>
          <w:lang w:val="en-US" w:eastAsia="zh-CN"/>
        </w:rPr>
        <w:t>项目</w:t>
      </w:r>
      <w:r>
        <w:rPr>
          <w:rFonts w:hint="eastAsia" w:cs="仿宋_GB2312"/>
          <w:i w:val="0"/>
          <w:iCs w:val="0"/>
          <w:color w:val="auto"/>
          <w:szCs w:val="24"/>
          <w:highlight w:val="none"/>
        </w:rPr>
        <w:t>的</w:t>
      </w:r>
      <w:r>
        <w:rPr>
          <w:rFonts w:hint="eastAsia" w:cs="仿宋_GB2312"/>
          <w:i w:val="0"/>
          <w:iCs w:val="0"/>
          <w:color w:val="auto"/>
          <w:szCs w:val="24"/>
          <w:highlight w:val="none"/>
          <w:lang w:val="en-US" w:eastAsia="zh-CN"/>
        </w:rPr>
        <w:t>竞争性磋商公告</w:t>
      </w:r>
      <w:r>
        <w:rPr>
          <w:rFonts w:hint="eastAsia" w:cs="仿宋_GB2312"/>
          <w:i w:val="0"/>
          <w:iCs w:val="0"/>
          <w:color w:val="auto"/>
          <w:szCs w:val="24"/>
          <w:highlight w:val="none"/>
        </w:rPr>
        <w:t>，签字代表</w:t>
      </w:r>
      <w:r>
        <w:rPr>
          <w:rFonts w:hint="eastAsia" w:cs="仿宋_GB2312"/>
          <w:i w:val="0"/>
          <w:iCs w:val="0"/>
          <w:color w:val="auto"/>
          <w:szCs w:val="24"/>
          <w:highlight w:val="none"/>
          <w:u w:val="single"/>
        </w:rPr>
        <w:t>（姓名、职务）</w:t>
      </w:r>
      <w:r>
        <w:rPr>
          <w:rFonts w:hint="eastAsia" w:cs="仿宋_GB2312"/>
          <w:i w:val="0"/>
          <w:iCs w:val="0"/>
          <w:color w:val="auto"/>
          <w:szCs w:val="24"/>
          <w:highlight w:val="none"/>
        </w:rPr>
        <w:t>经正式授权并代表</w:t>
      </w:r>
      <w:r>
        <w:rPr>
          <w:rFonts w:hint="eastAsia" w:cs="仿宋_GB2312"/>
          <w:i w:val="0"/>
          <w:iCs w:val="0"/>
          <w:color w:val="auto"/>
          <w:szCs w:val="24"/>
          <w:highlight w:val="none"/>
          <w:lang w:val="en-US" w:eastAsia="zh-CN"/>
        </w:rPr>
        <w:t>供应商</w:t>
      </w:r>
      <w:r>
        <w:rPr>
          <w:rFonts w:hint="eastAsia" w:cs="仿宋_GB2312"/>
          <w:i w:val="0"/>
          <w:iCs w:val="0"/>
          <w:color w:val="auto"/>
          <w:szCs w:val="24"/>
          <w:highlight w:val="none"/>
          <w:u w:val="single"/>
        </w:rPr>
        <w:t>（</w:t>
      </w:r>
      <w:r>
        <w:rPr>
          <w:rFonts w:hint="eastAsia" w:cs="仿宋_GB2312"/>
          <w:i w:val="0"/>
          <w:iCs w:val="0"/>
          <w:color w:val="auto"/>
          <w:szCs w:val="24"/>
          <w:highlight w:val="none"/>
          <w:u w:val="single"/>
          <w:lang w:val="en-US" w:eastAsia="zh-CN"/>
        </w:rPr>
        <w:t>供应商</w:t>
      </w:r>
      <w:r>
        <w:rPr>
          <w:rFonts w:hint="eastAsia" w:cs="仿宋_GB2312"/>
          <w:i w:val="0"/>
          <w:iCs w:val="0"/>
          <w:color w:val="auto"/>
          <w:szCs w:val="24"/>
          <w:highlight w:val="none"/>
          <w:u w:val="single"/>
        </w:rPr>
        <w:t>名称、地址）</w:t>
      </w:r>
      <w:r>
        <w:rPr>
          <w:rFonts w:hint="eastAsia" w:cs="仿宋_GB2312"/>
          <w:i w:val="0"/>
          <w:iCs w:val="0"/>
          <w:color w:val="auto"/>
          <w:szCs w:val="24"/>
          <w:highlight w:val="none"/>
        </w:rPr>
        <w:t>提交下述文件</w:t>
      </w:r>
      <w:r>
        <w:rPr>
          <w:rFonts w:hint="eastAsia" w:cs="仿宋_GB2312"/>
          <w:b/>
          <w:bCs/>
          <w:i w:val="0"/>
          <w:iCs w:val="0"/>
          <w:color w:val="auto"/>
          <w:szCs w:val="24"/>
          <w:highlight w:val="none"/>
        </w:rPr>
        <w:t>：</w:t>
      </w:r>
    </w:p>
    <w:p w14:paraId="31DE4B23">
      <w:pPr>
        <w:spacing w:line="324" w:lineRule="auto"/>
        <w:ind w:firstLine="480" w:firstLineChars="200"/>
        <w:rPr>
          <w:rFonts w:hint="eastAsia" w:cs="Arial"/>
          <w:i w:val="0"/>
          <w:iCs w:val="0"/>
          <w:color w:val="auto"/>
          <w:szCs w:val="24"/>
          <w:highlight w:val="none"/>
          <w:lang w:val="en-US" w:eastAsia="zh-CN"/>
        </w:rPr>
      </w:pPr>
      <w:r>
        <w:rPr>
          <w:rFonts w:hint="eastAsia" w:cs="Arial"/>
          <w:i w:val="0"/>
          <w:iCs w:val="0"/>
          <w:color w:val="auto"/>
          <w:szCs w:val="24"/>
          <w:highlight w:val="none"/>
          <w:lang w:val="en-US" w:eastAsia="zh-CN"/>
        </w:rPr>
        <w:t>1.资格证明文件；</w:t>
      </w:r>
    </w:p>
    <w:p w14:paraId="7E086E9D">
      <w:pPr>
        <w:spacing w:line="324" w:lineRule="auto"/>
        <w:ind w:firstLine="480" w:firstLineChars="200"/>
        <w:rPr>
          <w:rFonts w:hint="eastAsia" w:cs="Arial"/>
          <w:i w:val="0"/>
          <w:iCs w:val="0"/>
          <w:color w:val="auto"/>
          <w:szCs w:val="24"/>
          <w:highlight w:val="none"/>
          <w:lang w:val="en-US" w:eastAsia="zh-CN"/>
        </w:rPr>
      </w:pPr>
      <w:r>
        <w:rPr>
          <w:rFonts w:hint="eastAsia" w:cs="Arial"/>
          <w:i w:val="0"/>
          <w:iCs w:val="0"/>
          <w:color w:val="auto"/>
          <w:szCs w:val="24"/>
          <w:highlight w:val="none"/>
          <w:lang w:val="en-US" w:eastAsia="zh-CN"/>
        </w:rPr>
        <w:t>2.报价文件；</w:t>
      </w:r>
    </w:p>
    <w:p w14:paraId="7C008F28">
      <w:pPr>
        <w:numPr>
          <w:ilvl w:val="0"/>
          <w:numId w:val="0"/>
        </w:numPr>
        <w:spacing w:line="324" w:lineRule="auto"/>
        <w:ind w:firstLine="480" w:firstLineChars="200"/>
        <w:jc w:val="both"/>
        <w:rPr>
          <w:rFonts w:cs="Arial"/>
          <w:i w:val="0"/>
          <w:iCs w:val="0"/>
          <w:color w:val="auto"/>
          <w:szCs w:val="24"/>
          <w:highlight w:val="none"/>
        </w:rPr>
      </w:pPr>
      <w:r>
        <w:rPr>
          <w:rFonts w:hint="eastAsia" w:cs="Arial"/>
          <w:i w:val="0"/>
          <w:iCs w:val="0"/>
          <w:color w:val="auto"/>
          <w:szCs w:val="24"/>
          <w:highlight w:val="none"/>
          <w:lang w:val="en-US" w:eastAsia="zh-CN"/>
        </w:rPr>
        <w:t>3.商务技术文件</w:t>
      </w:r>
      <w:r>
        <w:rPr>
          <w:rFonts w:cs="Arial"/>
          <w:i w:val="0"/>
          <w:iCs w:val="0"/>
          <w:color w:val="auto"/>
          <w:szCs w:val="24"/>
          <w:highlight w:val="none"/>
        </w:rPr>
        <w:t>。</w:t>
      </w:r>
    </w:p>
    <w:p w14:paraId="2038C573">
      <w:pPr>
        <w:spacing w:line="324" w:lineRule="auto"/>
        <w:ind w:firstLine="480" w:firstLineChars="200"/>
        <w:rPr>
          <w:rFonts w:cs="Arial"/>
          <w:i w:val="0"/>
          <w:iCs w:val="0"/>
          <w:color w:val="auto"/>
          <w:szCs w:val="24"/>
          <w:highlight w:val="none"/>
        </w:rPr>
      </w:pPr>
      <w:r>
        <w:rPr>
          <w:rFonts w:cs="Arial"/>
          <w:i w:val="0"/>
          <w:iCs w:val="0"/>
          <w:color w:val="auto"/>
          <w:szCs w:val="24"/>
          <w:highlight w:val="none"/>
        </w:rPr>
        <w:t>根据此函，签字代表宣布同意如下：</w:t>
      </w:r>
    </w:p>
    <w:p w14:paraId="7021F257">
      <w:pPr>
        <w:numPr>
          <w:ilvl w:val="0"/>
          <w:numId w:val="0"/>
        </w:numPr>
        <w:spacing w:line="324" w:lineRule="auto"/>
        <w:ind w:firstLine="480" w:firstLineChars="200"/>
        <w:jc w:val="both"/>
        <w:rPr>
          <w:rFonts w:cs="Arial"/>
          <w:i w:val="0"/>
          <w:iCs w:val="0"/>
          <w:color w:val="auto"/>
          <w:szCs w:val="24"/>
          <w:highlight w:val="none"/>
        </w:rPr>
      </w:pPr>
      <w:r>
        <w:rPr>
          <w:rFonts w:hint="eastAsia" w:ascii="宋体" w:hAnsi="宋体" w:eastAsia="宋体" w:cs="Arial"/>
          <w:i w:val="0"/>
          <w:iCs w:val="0"/>
          <w:color w:val="auto"/>
          <w:kern w:val="2"/>
          <w:sz w:val="24"/>
          <w:szCs w:val="24"/>
          <w:highlight w:val="none"/>
          <w:lang w:val="en-US" w:eastAsia="zh-CN" w:bidi="ar-SA"/>
        </w:rPr>
        <w:t>1.</w:t>
      </w:r>
      <w:r>
        <w:rPr>
          <w:rFonts w:cs="Arial"/>
          <w:i w:val="0"/>
          <w:iCs w:val="0"/>
          <w:color w:val="auto"/>
          <w:szCs w:val="24"/>
          <w:highlight w:val="none"/>
        </w:rPr>
        <w:t>所附</w:t>
      </w:r>
      <w:r>
        <w:rPr>
          <w:rFonts w:hint="eastAsia" w:cs="Arial"/>
          <w:i w:val="0"/>
          <w:iCs w:val="0"/>
          <w:color w:val="auto"/>
          <w:szCs w:val="24"/>
          <w:highlight w:val="none"/>
          <w:lang w:val="en-US" w:eastAsia="zh-CN"/>
        </w:rPr>
        <w:t>报价一览</w:t>
      </w:r>
      <w:r>
        <w:rPr>
          <w:rFonts w:cs="Arial"/>
          <w:i w:val="0"/>
          <w:iCs w:val="0"/>
          <w:color w:val="auto"/>
          <w:szCs w:val="24"/>
          <w:highlight w:val="none"/>
        </w:rPr>
        <w:t>表中规定的应提交和交付的服务和</w:t>
      </w:r>
      <w:r>
        <w:rPr>
          <w:rFonts w:hint="eastAsia"/>
          <w:i w:val="0"/>
          <w:iCs w:val="0"/>
          <w:color w:val="auto"/>
          <w:szCs w:val="24"/>
          <w:highlight w:val="none"/>
          <w:lang w:val="en-US" w:eastAsia="zh-CN"/>
        </w:rPr>
        <w:t>包含的</w:t>
      </w:r>
      <w:r>
        <w:rPr>
          <w:rFonts w:hint="eastAsia" w:cs="Arial"/>
          <w:i w:val="0"/>
          <w:iCs w:val="0"/>
          <w:color w:val="auto"/>
          <w:szCs w:val="24"/>
          <w:highlight w:val="none"/>
        </w:rPr>
        <w:t>货物（如有）</w:t>
      </w:r>
      <w:r>
        <w:rPr>
          <w:rFonts w:cs="Arial"/>
          <w:i w:val="0"/>
          <w:iCs w:val="0"/>
          <w:color w:val="auto"/>
          <w:szCs w:val="24"/>
          <w:highlight w:val="none"/>
        </w:rPr>
        <w:t>的</w:t>
      </w:r>
      <w:r>
        <w:rPr>
          <w:rFonts w:hint="eastAsia" w:cs="Arial"/>
          <w:i w:val="0"/>
          <w:iCs w:val="0"/>
          <w:color w:val="auto"/>
          <w:szCs w:val="24"/>
          <w:highlight w:val="none"/>
        </w:rPr>
        <w:t>报价</w:t>
      </w:r>
      <w:r>
        <w:rPr>
          <w:rFonts w:cs="Arial"/>
          <w:i w:val="0"/>
          <w:iCs w:val="0"/>
          <w:color w:val="auto"/>
          <w:szCs w:val="24"/>
          <w:highlight w:val="none"/>
        </w:rPr>
        <w:t>为</w:t>
      </w:r>
      <w:r>
        <w:rPr>
          <w:rFonts w:hint="eastAsia" w:cs="Arial"/>
          <w:i w:val="0"/>
          <w:iCs w:val="0"/>
          <w:color w:val="auto"/>
          <w:szCs w:val="24"/>
          <w:highlight w:val="none"/>
        </w:rPr>
        <w:t xml:space="preserve"> </w:t>
      </w:r>
      <w:r>
        <w:rPr>
          <w:rFonts w:hint="eastAsia" w:cs="Arial"/>
          <w:i w:val="0"/>
          <w:iCs w:val="0"/>
          <w:color w:val="auto"/>
          <w:szCs w:val="24"/>
          <w:highlight w:val="none"/>
          <w:u w:val="single"/>
        </w:rPr>
        <w:t xml:space="preserve">                  </w:t>
      </w:r>
      <w:r>
        <w:rPr>
          <w:rFonts w:cs="Arial"/>
          <w:i w:val="0"/>
          <w:iCs w:val="0"/>
          <w:color w:val="auto"/>
          <w:szCs w:val="24"/>
          <w:highlight w:val="none"/>
        </w:rPr>
        <w:t>。</w:t>
      </w:r>
    </w:p>
    <w:p w14:paraId="3FF1B405">
      <w:pPr>
        <w:numPr>
          <w:ilvl w:val="0"/>
          <w:numId w:val="0"/>
        </w:numPr>
        <w:spacing w:line="324" w:lineRule="auto"/>
        <w:ind w:firstLine="480" w:firstLineChars="200"/>
        <w:jc w:val="both"/>
        <w:rPr>
          <w:rFonts w:cs="Arial"/>
          <w:i w:val="0"/>
          <w:iCs w:val="0"/>
          <w:color w:val="auto"/>
          <w:szCs w:val="24"/>
          <w:highlight w:val="none"/>
        </w:rPr>
      </w:pPr>
      <w:r>
        <w:rPr>
          <w:rFonts w:hint="eastAsia" w:ascii="宋体" w:hAnsi="宋体" w:eastAsia="宋体" w:cs="Arial"/>
          <w:i w:val="0"/>
          <w:iCs w:val="0"/>
          <w:color w:val="auto"/>
          <w:kern w:val="2"/>
          <w:sz w:val="24"/>
          <w:szCs w:val="24"/>
          <w:highlight w:val="none"/>
          <w:lang w:val="en-US" w:eastAsia="zh-CN" w:bidi="ar-SA"/>
        </w:rPr>
        <w:t>2.</w:t>
      </w:r>
      <w:r>
        <w:rPr>
          <w:rFonts w:hint="eastAsia" w:cs="Arial"/>
          <w:i w:val="0"/>
          <w:iCs w:val="0"/>
          <w:color w:val="auto"/>
          <w:szCs w:val="24"/>
          <w:highlight w:val="none"/>
        </w:rPr>
        <w:t>我方</w:t>
      </w:r>
      <w:r>
        <w:rPr>
          <w:rFonts w:cs="Arial"/>
          <w:i w:val="0"/>
          <w:iCs w:val="0"/>
          <w:color w:val="auto"/>
          <w:szCs w:val="24"/>
          <w:highlight w:val="none"/>
        </w:rPr>
        <w:t>将按</w:t>
      </w:r>
      <w:r>
        <w:rPr>
          <w:rFonts w:hint="eastAsia" w:cs="仿宋_GB2312"/>
          <w:i w:val="0"/>
          <w:iCs w:val="0"/>
          <w:color w:val="auto"/>
          <w:szCs w:val="24"/>
          <w:highlight w:val="none"/>
          <w:lang w:val="en-US" w:eastAsia="zh-CN"/>
        </w:rPr>
        <w:t>竞争性磋商</w:t>
      </w:r>
      <w:r>
        <w:rPr>
          <w:rFonts w:cs="Arial"/>
          <w:i w:val="0"/>
          <w:iCs w:val="0"/>
          <w:color w:val="auto"/>
          <w:szCs w:val="24"/>
          <w:highlight w:val="none"/>
        </w:rPr>
        <w:t>文件的规定履行合同责任和义务。</w:t>
      </w:r>
    </w:p>
    <w:p w14:paraId="464D767C">
      <w:pPr>
        <w:numPr>
          <w:ilvl w:val="0"/>
          <w:numId w:val="0"/>
        </w:numPr>
        <w:spacing w:line="324" w:lineRule="auto"/>
        <w:ind w:firstLine="480" w:firstLineChars="200"/>
        <w:jc w:val="both"/>
        <w:rPr>
          <w:rFonts w:cs="Arial"/>
          <w:i w:val="0"/>
          <w:iCs w:val="0"/>
          <w:color w:val="auto"/>
          <w:szCs w:val="24"/>
          <w:highlight w:val="none"/>
        </w:rPr>
      </w:pPr>
      <w:r>
        <w:rPr>
          <w:rFonts w:hint="eastAsia" w:ascii="宋体" w:hAnsi="宋体" w:eastAsia="宋体" w:cs="Arial"/>
          <w:i w:val="0"/>
          <w:iCs w:val="0"/>
          <w:color w:val="auto"/>
          <w:kern w:val="2"/>
          <w:sz w:val="24"/>
          <w:szCs w:val="24"/>
          <w:highlight w:val="none"/>
          <w:lang w:val="en-US" w:eastAsia="zh-CN" w:bidi="ar-SA"/>
        </w:rPr>
        <w:t>3.</w:t>
      </w:r>
      <w:r>
        <w:rPr>
          <w:rFonts w:hint="eastAsia" w:cs="Arial"/>
          <w:i w:val="0"/>
          <w:iCs w:val="0"/>
          <w:color w:val="auto"/>
          <w:szCs w:val="24"/>
          <w:highlight w:val="none"/>
        </w:rPr>
        <w:t>我方</w:t>
      </w:r>
      <w:r>
        <w:rPr>
          <w:rFonts w:cs="Arial"/>
          <w:i w:val="0"/>
          <w:iCs w:val="0"/>
          <w:color w:val="auto"/>
          <w:szCs w:val="24"/>
          <w:highlight w:val="none"/>
        </w:rPr>
        <w:t>已详细审查全部</w:t>
      </w:r>
      <w:r>
        <w:rPr>
          <w:rFonts w:hint="eastAsia" w:cs="仿宋_GB2312"/>
          <w:i w:val="0"/>
          <w:iCs w:val="0"/>
          <w:color w:val="auto"/>
          <w:szCs w:val="24"/>
          <w:highlight w:val="none"/>
          <w:lang w:val="en-US" w:eastAsia="zh-CN"/>
        </w:rPr>
        <w:t>竞争性磋商</w:t>
      </w:r>
      <w:r>
        <w:rPr>
          <w:rFonts w:cs="Arial"/>
          <w:i w:val="0"/>
          <w:iCs w:val="0"/>
          <w:color w:val="auto"/>
          <w:szCs w:val="24"/>
          <w:highlight w:val="none"/>
        </w:rPr>
        <w:t>文件，包括第</w:t>
      </w:r>
      <w:r>
        <w:rPr>
          <w:rFonts w:cs="Arial"/>
          <w:i w:val="0"/>
          <w:iCs w:val="0"/>
          <w:color w:val="auto"/>
          <w:szCs w:val="24"/>
          <w:highlight w:val="none"/>
          <w:u w:val="single"/>
        </w:rPr>
        <w:t>（编号、补遗书）（如果有的话）</w:t>
      </w:r>
      <w:r>
        <w:rPr>
          <w:rFonts w:cs="Arial"/>
          <w:i w:val="0"/>
          <w:iCs w:val="0"/>
          <w:color w:val="auto"/>
          <w:szCs w:val="24"/>
          <w:highlight w:val="none"/>
        </w:rPr>
        <w:t>。我</w:t>
      </w:r>
      <w:r>
        <w:rPr>
          <w:rFonts w:hint="eastAsia" w:cs="Arial"/>
          <w:i w:val="0"/>
          <w:iCs w:val="0"/>
          <w:color w:val="auto"/>
          <w:szCs w:val="24"/>
          <w:highlight w:val="none"/>
        </w:rPr>
        <w:t>方</w:t>
      </w:r>
      <w:r>
        <w:rPr>
          <w:rFonts w:cs="Arial"/>
          <w:i w:val="0"/>
          <w:iCs w:val="0"/>
          <w:color w:val="auto"/>
          <w:szCs w:val="24"/>
          <w:highlight w:val="none"/>
        </w:rPr>
        <w:t>完全理解并同意放弃对这方面有不明及误解的权力。</w:t>
      </w:r>
    </w:p>
    <w:p w14:paraId="70CAE828">
      <w:pPr>
        <w:numPr>
          <w:ilvl w:val="0"/>
          <w:numId w:val="0"/>
        </w:numPr>
        <w:spacing w:line="324" w:lineRule="auto"/>
        <w:ind w:firstLine="480" w:firstLineChars="200"/>
        <w:jc w:val="both"/>
        <w:rPr>
          <w:rFonts w:cs="Arial"/>
          <w:i w:val="0"/>
          <w:iCs w:val="0"/>
          <w:color w:val="auto"/>
          <w:szCs w:val="24"/>
          <w:highlight w:val="none"/>
        </w:rPr>
      </w:pPr>
      <w:r>
        <w:rPr>
          <w:rFonts w:hint="eastAsia" w:ascii="宋体" w:hAnsi="宋体" w:eastAsia="宋体" w:cs="Arial"/>
          <w:i w:val="0"/>
          <w:iCs w:val="0"/>
          <w:color w:val="auto"/>
          <w:kern w:val="2"/>
          <w:sz w:val="24"/>
          <w:szCs w:val="24"/>
          <w:highlight w:val="none"/>
          <w:lang w:val="en-US" w:eastAsia="zh-CN" w:bidi="ar-SA"/>
        </w:rPr>
        <w:t>4.</w:t>
      </w:r>
      <w:r>
        <w:rPr>
          <w:rFonts w:hint="eastAsia" w:cs="Arial"/>
          <w:i w:val="0"/>
          <w:iCs w:val="0"/>
          <w:color w:val="auto"/>
          <w:szCs w:val="24"/>
          <w:highlight w:val="none"/>
        </w:rPr>
        <w:t>响应有效期为自提交响应文件的截止之日起</w:t>
      </w:r>
      <w:r>
        <w:rPr>
          <w:rFonts w:hint="eastAsia" w:cs="Arial"/>
          <w:i w:val="0"/>
          <w:iCs w:val="0"/>
          <w:color w:val="auto"/>
          <w:szCs w:val="24"/>
          <w:highlight w:val="none"/>
          <w:u w:val="single"/>
        </w:rPr>
        <w:t xml:space="preserve"> （由</w:t>
      </w:r>
      <w:r>
        <w:rPr>
          <w:rFonts w:hint="eastAsia" w:cs="Arial"/>
          <w:i w:val="0"/>
          <w:iCs w:val="0"/>
          <w:color w:val="auto"/>
          <w:szCs w:val="24"/>
          <w:highlight w:val="none"/>
          <w:u w:val="single"/>
          <w:lang w:val="en-US" w:eastAsia="zh-CN"/>
        </w:rPr>
        <w:t>供应商</w:t>
      </w:r>
      <w:r>
        <w:rPr>
          <w:rFonts w:hint="eastAsia" w:cs="Arial"/>
          <w:i w:val="0"/>
          <w:iCs w:val="0"/>
          <w:color w:val="auto"/>
          <w:szCs w:val="24"/>
          <w:highlight w:val="none"/>
          <w:u w:val="single"/>
        </w:rPr>
        <w:t>填写）</w:t>
      </w:r>
      <w:r>
        <w:rPr>
          <w:rFonts w:cs="Arial"/>
          <w:i w:val="0"/>
          <w:iCs w:val="0"/>
          <w:color w:val="auto"/>
          <w:szCs w:val="24"/>
          <w:highlight w:val="none"/>
        </w:rPr>
        <w:t>个日历天。</w:t>
      </w:r>
    </w:p>
    <w:p w14:paraId="52EDF2A7">
      <w:pPr>
        <w:numPr>
          <w:ilvl w:val="0"/>
          <w:numId w:val="0"/>
        </w:numPr>
        <w:spacing w:line="324" w:lineRule="auto"/>
        <w:ind w:firstLine="480" w:firstLineChars="200"/>
        <w:jc w:val="both"/>
        <w:rPr>
          <w:rFonts w:cs="Arial"/>
          <w:i w:val="0"/>
          <w:iCs w:val="0"/>
          <w:color w:val="auto"/>
          <w:szCs w:val="24"/>
          <w:highlight w:val="none"/>
        </w:rPr>
      </w:pPr>
      <w:r>
        <w:rPr>
          <w:rFonts w:hint="eastAsia" w:ascii="宋体" w:hAnsi="宋体" w:eastAsia="宋体" w:cs="Arial"/>
          <w:i w:val="0"/>
          <w:iCs w:val="0"/>
          <w:color w:val="auto"/>
          <w:kern w:val="2"/>
          <w:sz w:val="24"/>
          <w:szCs w:val="24"/>
          <w:highlight w:val="none"/>
          <w:lang w:val="en-US" w:eastAsia="zh-CN" w:bidi="ar-SA"/>
        </w:rPr>
        <w:t>5.</w:t>
      </w:r>
      <w:r>
        <w:rPr>
          <w:rFonts w:hint="eastAsia" w:cs="Arial"/>
          <w:i w:val="0"/>
          <w:iCs w:val="0"/>
          <w:color w:val="auto"/>
          <w:szCs w:val="24"/>
          <w:highlight w:val="none"/>
        </w:rPr>
        <w:t>我方</w:t>
      </w:r>
      <w:r>
        <w:rPr>
          <w:rFonts w:cs="Arial"/>
          <w:i w:val="0"/>
          <w:iCs w:val="0"/>
          <w:color w:val="auto"/>
          <w:szCs w:val="24"/>
          <w:highlight w:val="none"/>
        </w:rPr>
        <w:t>同意提供按照贵方</w:t>
      </w:r>
      <w:r>
        <w:rPr>
          <w:rFonts w:hint="eastAsia" w:cs="Arial"/>
          <w:i w:val="0"/>
          <w:iCs w:val="0"/>
          <w:color w:val="auto"/>
          <w:szCs w:val="24"/>
          <w:highlight w:val="none"/>
          <w:lang w:val="en-US" w:eastAsia="zh-CN"/>
        </w:rPr>
        <w:t>竞争性磋商</w:t>
      </w:r>
      <w:r>
        <w:rPr>
          <w:rFonts w:hint="eastAsia" w:cs="Arial"/>
          <w:i w:val="0"/>
          <w:iCs w:val="0"/>
          <w:color w:val="auto"/>
          <w:szCs w:val="24"/>
          <w:highlight w:val="none"/>
        </w:rPr>
        <w:t>文件</w:t>
      </w:r>
      <w:r>
        <w:rPr>
          <w:rFonts w:cs="Arial"/>
          <w:i w:val="0"/>
          <w:iCs w:val="0"/>
          <w:color w:val="auto"/>
          <w:szCs w:val="24"/>
          <w:highlight w:val="none"/>
        </w:rPr>
        <w:t>要求的与其</w:t>
      </w:r>
      <w:r>
        <w:rPr>
          <w:rFonts w:hint="eastAsia" w:cs="Arial"/>
          <w:i w:val="0"/>
          <w:iCs w:val="0"/>
          <w:color w:val="auto"/>
          <w:szCs w:val="24"/>
          <w:highlight w:val="none"/>
          <w:lang w:val="en-US" w:eastAsia="zh-CN"/>
        </w:rPr>
        <w:t>磋商响应</w:t>
      </w:r>
      <w:r>
        <w:rPr>
          <w:rFonts w:cs="Arial"/>
          <w:i w:val="0"/>
          <w:iCs w:val="0"/>
          <w:color w:val="auto"/>
          <w:szCs w:val="24"/>
          <w:highlight w:val="none"/>
        </w:rPr>
        <w:t>有关的一切数据或资料，</w:t>
      </w:r>
      <w:r>
        <w:rPr>
          <w:rFonts w:hint="eastAsia" w:cs="Arial"/>
          <w:i w:val="0"/>
          <w:iCs w:val="0"/>
          <w:color w:val="auto"/>
          <w:szCs w:val="24"/>
          <w:highlight w:val="none"/>
        </w:rPr>
        <w:t>采用综合评分法时，我方</w:t>
      </w:r>
      <w:r>
        <w:rPr>
          <w:rFonts w:cs="Arial"/>
          <w:i w:val="0"/>
          <w:iCs w:val="0"/>
          <w:color w:val="auto"/>
          <w:szCs w:val="24"/>
          <w:highlight w:val="none"/>
        </w:rPr>
        <w:t>完全理解贵方不一定接受最低价的</w:t>
      </w:r>
      <w:r>
        <w:rPr>
          <w:rFonts w:hint="eastAsia" w:cs="Arial"/>
          <w:i w:val="0"/>
          <w:iCs w:val="0"/>
          <w:color w:val="auto"/>
          <w:szCs w:val="24"/>
          <w:highlight w:val="none"/>
          <w:lang w:val="en-US" w:eastAsia="zh-CN"/>
        </w:rPr>
        <w:t>响应</w:t>
      </w:r>
      <w:r>
        <w:rPr>
          <w:rFonts w:cs="Arial"/>
          <w:i w:val="0"/>
          <w:iCs w:val="0"/>
          <w:color w:val="auto"/>
          <w:szCs w:val="24"/>
          <w:highlight w:val="none"/>
        </w:rPr>
        <w:t>。</w:t>
      </w:r>
    </w:p>
    <w:p w14:paraId="3CF5A666">
      <w:pPr>
        <w:numPr>
          <w:ilvl w:val="0"/>
          <w:numId w:val="0"/>
        </w:numPr>
        <w:spacing w:line="324" w:lineRule="auto"/>
        <w:ind w:firstLine="480" w:firstLineChars="200"/>
        <w:jc w:val="both"/>
        <w:rPr>
          <w:rFonts w:cs="Arial"/>
          <w:i w:val="0"/>
          <w:iCs w:val="0"/>
          <w:color w:val="auto"/>
          <w:szCs w:val="24"/>
          <w:highlight w:val="none"/>
        </w:rPr>
      </w:pPr>
      <w:r>
        <w:rPr>
          <w:rFonts w:hint="eastAsia" w:ascii="宋体" w:hAnsi="宋体" w:eastAsia="宋体" w:cs="Arial"/>
          <w:i w:val="0"/>
          <w:iCs w:val="0"/>
          <w:color w:val="auto"/>
          <w:kern w:val="2"/>
          <w:sz w:val="24"/>
          <w:szCs w:val="24"/>
          <w:highlight w:val="none"/>
          <w:lang w:val="en-US" w:eastAsia="zh-CN" w:bidi="ar-SA"/>
        </w:rPr>
        <w:t>6.</w:t>
      </w:r>
      <w:r>
        <w:rPr>
          <w:rFonts w:hint="eastAsia" w:cs="Arial"/>
          <w:i w:val="0"/>
          <w:iCs w:val="0"/>
          <w:color w:val="auto"/>
          <w:szCs w:val="24"/>
          <w:highlight w:val="none"/>
        </w:rPr>
        <w:t>本项目如由</w:t>
      </w:r>
      <w:r>
        <w:rPr>
          <w:rFonts w:hint="eastAsia" w:cs="Arial"/>
          <w:i w:val="0"/>
          <w:iCs w:val="0"/>
          <w:color w:val="auto"/>
          <w:szCs w:val="24"/>
          <w:highlight w:val="none"/>
          <w:lang w:val="en-US" w:eastAsia="zh-CN"/>
        </w:rPr>
        <w:t>成交</w:t>
      </w:r>
      <w:r>
        <w:rPr>
          <w:rFonts w:hint="eastAsia" w:cs="Arial"/>
          <w:i w:val="0"/>
          <w:iCs w:val="0"/>
          <w:color w:val="auto"/>
          <w:szCs w:val="24"/>
          <w:highlight w:val="none"/>
        </w:rPr>
        <w:t>人支付采购代理服务费，我方同意按</w:t>
      </w:r>
      <w:r>
        <w:rPr>
          <w:rFonts w:hint="eastAsia" w:cs="Arial"/>
          <w:i w:val="0"/>
          <w:iCs w:val="0"/>
          <w:color w:val="auto"/>
          <w:szCs w:val="24"/>
          <w:highlight w:val="none"/>
          <w:lang w:val="en-US" w:eastAsia="zh-CN"/>
        </w:rPr>
        <w:t>供应商</w:t>
      </w:r>
      <w:r>
        <w:rPr>
          <w:rFonts w:hint="eastAsia" w:cs="Arial"/>
          <w:i w:val="0"/>
          <w:iCs w:val="0"/>
          <w:color w:val="auto"/>
          <w:szCs w:val="24"/>
          <w:highlight w:val="none"/>
        </w:rPr>
        <w:t>须知前附表中规定向采购代理机构支付采购代理服务费。</w:t>
      </w:r>
    </w:p>
    <w:p w14:paraId="6A150207">
      <w:pPr>
        <w:numPr>
          <w:ilvl w:val="0"/>
          <w:numId w:val="0"/>
        </w:numPr>
        <w:snapToGrid w:val="0"/>
        <w:spacing w:line="324" w:lineRule="auto"/>
        <w:ind w:firstLine="480" w:firstLineChars="200"/>
        <w:jc w:val="both"/>
        <w:rPr>
          <w:rFonts w:cs="Arial"/>
          <w:i w:val="0"/>
          <w:iCs w:val="0"/>
          <w:color w:val="auto"/>
          <w:szCs w:val="24"/>
          <w:highlight w:val="none"/>
        </w:rPr>
      </w:pPr>
      <w:r>
        <w:rPr>
          <w:rFonts w:hint="eastAsia" w:ascii="宋体" w:hAnsi="宋体" w:eastAsia="宋体" w:cs="Arial"/>
          <w:i w:val="0"/>
          <w:iCs w:val="0"/>
          <w:color w:val="auto"/>
          <w:kern w:val="2"/>
          <w:sz w:val="24"/>
          <w:szCs w:val="24"/>
          <w:highlight w:val="none"/>
          <w:lang w:val="en-US" w:eastAsia="zh-CN" w:bidi="ar-SA"/>
        </w:rPr>
        <w:t>7.</w:t>
      </w:r>
      <w:r>
        <w:rPr>
          <w:rFonts w:hint="eastAsia" w:cs="Arial"/>
          <w:i w:val="0"/>
          <w:iCs w:val="0"/>
          <w:color w:val="auto"/>
          <w:szCs w:val="24"/>
          <w:highlight w:val="none"/>
        </w:rPr>
        <w:t>重要声明：</w:t>
      </w:r>
    </w:p>
    <w:p w14:paraId="40AFB77A">
      <w:pPr>
        <w:snapToGrid w:val="0"/>
        <w:spacing w:line="324" w:lineRule="auto"/>
        <w:ind w:firstLine="480" w:firstLineChars="200"/>
        <w:rPr>
          <w:i w:val="0"/>
          <w:iCs w:val="0"/>
          <w:color w:val="auto"/>
          <w:szCs w:val="24"/>
          <w:highlight w:val="none"/>
        </w:rPr>
      </w:pPr>
      <w:r>
        <w:rPr>
          <w:rFonts w:hint="eastAsia"/>
          <w:i w:val="0"/>
          <w:iCs w:val="0"/>
          <w:color w:val="auto"/>
          <w:szCs w:val="24"/>
          <w:highlight w:val="none"/>
        </w:rPr>
        <w:t>1）与我方单位负责人为同一人的其他单位名称：</w:t>
      </w:r>
    </w:p>
    <w:p w14:paraId="409D2F71">
      <w:pPr>
        <w:snapToGrid w:val="0"/>
        <w:spacing w:line="324" w:lineRule="auto"/>
        <w:ind w:left="456" w:leftChars="190" w:firstLine="355" w:firstLineChars="148"/>
        <w:rPr>
          <w:i w:val="0"/>
          <w:iCs w:val="0"/>
          <w:color w:val="auto"/>
          <w:szCs w:val="24"/>
          <w:highlight w:val="none"/>
        </w:rPr>
      </w:pPr>
      <w:r>
        <w:rPr>
          <w:rFonts w:hint="eastAsia"/>
          <w:i w:val="0"/>
          <w:iCs w:val="0"/>
          <w:color w:val="auto"/>
          <w:szCs w:val="24"/>
          <w:highlight w:val="none"/>
          <w:lang w:eastAsia="zh-CN"/>
        </w:rPr>
        <w:t>□</w:t>
      </w:r>
      <w:r>
        <w:rPr>
          <w:rFonts w:hint="eastAsia"/>
          <w:i w:val="0"/>
          <w:iCs w:val="0"/>
          <w:color w:val="auto"/>
          <w:szCs w:val="24"/>
          <w:highlight w:val="none"/>
        </w:rPr>
        <w:t>无；</w:t>
      </w:r>
      <w:r>
        <w:rPr>
          <w:rFonts w:hint="eastAsia"/>
          <w:i w:val="0"/>
          <w:iCs w:val="0"/>
          <w:color w:val="auto"/>
          <w:szCs w:val="24"/>
          <w:highlight w:val="none"/>
          <w:lang w:eastAsia="zh-CN"/>
        </w:rPr>
        <w:t>□</w:t>
      </w:r>
      <w:r>
        <w:rPr>
          <w:rFonts w:hint="eastAsia"/>
          <w:i w:val="0"/>
          <w:iCs w:val="0"/>
          <w:color w:val="auto"/>
          <w:szCs w:val="24"/>
          <w:highlight w:val="none"/>
        </w:rPr>
        <w:t>有，具体单位名称为：</w:t>
      </w:r>
      <w:r>
        <w:rPr>
          <w:rFonts w:hint="eastAsia" w:cs="Arial"/>
          <w:i w:val="0"/>
          <w:iCs w:val="0"/>
          <w:color w:val="auto"/>
          <w:szCs w:val="24"/>
          <w:highlight w:val="none"/>
          <w:u w:val="single"/>
        </w:rPr>
        <w:t>（由</w:t>
      </w:r>
      <w:r>
        <w:rPr>
          <w:rFonts w:hint="eastAsia" w:cs="Arial"/>
          <w:i w:val="0"/>
          <w:iCs w:val="0"/>
          <w:color w:val="auto"/>
          <w:szCs w:val="24"/>
          <w:highlight w:val="none"/>
          <w:u w:val="single"/>
          <w:lang w:val="en-US" w:eastAsia="zh-CN"/>
        </w:rPr>
        <w:t>供应商</w:t>
      </w:r>
      <w:r>
        <w:rPr>
          <w:rFonts w:hint="eastAsia" w:cs="Arial"/>
          <w:i w:val="0"/>
          <w:iCs w:val="0"/>
          <w:color w:val="auto"/>
          <w:szCs w:val="24"/>
          <w:highlight w:val="none"/>
          <w:u w:val="single"/>
        </w:rPr>
        <w:t>如实填写）</w:t>
      </w:r>
      <w:r>
        <w:rPr>
          <w:rFonts w:hint="eastAsia"/>
          <w:i w:val="0"/>
          <w:iCs w:val="0"/>
          <w:color w:val="auto"/>
          <w:szCs w:val="24"/>
          <w:highlight w:val="none"/>
        </w:rPr>
        <w:t>。</w:t>
      </w:r>
    </w:p>
    <w:p w14:paraId="0B2F52C6">
      <w:pPr>
        <w:snapToGrid w:val="0"/>
        <w:spacing w:line="324" w:lineRule="auto"/>
        <w:ind w:firstLine="480" w:firstLineChars="200"/>
        <w:rPr>
          <w:i w:val="0"/>
          <w:iCs w:val="0"/>
          <w:color w:val="auto"/>
          <w:szCs w:val="24"/>
          <w:highlight w:val="none"/>
        </w:rPr>
      </w:pPr>
      <w:r>
        <w:rPr>
          <w:rFonts w:hint="eastAsia"/>
          <w:i w:val="0"/>
          <w:iCs w:val="0"/>
          <w:color w:val="auto"/>
          <w:szCs w:val="24"/>
          <w:highlight w:val="none"/>
        </w:rPr>
        <w:t>2）与我方存在控股、管理关系的其他单位的名称：</w:t>
      </w:r>
    </w:p>
    <w:p w14:paraId="3BE8BBB8">
      <w:pPr>
        <w:snapToGrid w:val="0"/>
        <w:spacing w:line="324" w:lineRule="auto"/>
        <w:ind w:left="456" w:leftChars="190" w:firstLine="355" w:firstLineChars="148"/>
        <w:rPr>
          <w:i w:val="0"/>
          <w:iCs w:val="0"/>
          <w:color w:val="auto"/>
          <w:szCs w:val="24"/>
          <w:highlight w:val="none"/>
        </w:rPr>
      </w:pPr>
      <w:r>
        <w:rPr>
          <w:rFonts w:hint="eastAsia"/>
          <w:i w:val="0"/>
          <w:iCs w:val="0"/>
          <w:color w:val="auto"/>
          <w:szCs w:val="24"/>
          <w:highlight w:val="none"/>
          <w:lang w:eastAsia="zh-CN"/>
        </w:rPr>
        <w:t>□</w:t>
      </w:r>
      <w:r>
        <w:rPr>
          <w:rFonts w:hint="eastAsia"/>
          <w:i w:val="0"/>
          <w:iCs w:val="0"/>
          <w:color w:val="auto"/>
          <w:szCs w:val="24"/>
          <w:highlight w:val="none"/>
        </w:rPr>
        <w:t xml:space="preserve">无；□有，具体单位名称为： </w:t>
      </w:r>
      <w:r>
        <w:rPr>
          <w:rFonts w:hint="eastAsia" w:cs="Arial"/>
          <w:i w:val="0"/>
          <w:iCs w:val="0"/>
          <w:color w:val="auto"/>
          <w:szCs w:val="24"/>
          <w:highlight w:val="none"/>
          <w:u w:val="single"/>
        </w:rPr>
        <w:t>（由</w:t>
      </w:r>
      <w:r>
        <w:rPr>
          <w:rFonts w:hint="eastAsia" w:cs="Arial"/>
          <w:i w:val="0"/>
          <w:iCs w:val="0"/>
          <w:color w:val="auto"/>
          <w:szCs w:val="24"/>
          <w:highlight w:val="none"/>
          <w:u w:val="single"/>
          <w:lang w:val="en-US" w:eastAsia="zh-CN"/>
        </w:rPr>
        <w:t>供应商</w:t>
      </w:r>
      <w:r>
        <w:rPr>
          <w:rFonts w:hint="eastAsia" w:cs="Arial"/>
          <w:i w:val="0"/>
          <w:iCs w:val="0"/>
          <w:color w:val="auto"/>
          <w:szCs w:val="24"/>
          <w:highlight w:val="none"/>
          <w:u w:val="single"/>
        </w:rPr>
        <w:t>如实填写）</w:t>
      </w:r>
      <w:r>
        <w:rPr>
          <w:rFonts w:hint="eastAsia"/>
          <w:i w:val="0"/>
          <w:iCs w:val="0"/>
          <w:color w:val="auto"/>
          <w:szCs w:val="24"/>
          <w:highlight w:val="none"/>
        </w:rPr>
        <w:t>。</w:t>
      </w:r>
    </w:p>
    <w:p w14:paraId="1103F8A2">
      <w:pPr>
        <w:snapToGrid w:val="0"/>
        <w:spacing w:line="324" w:lineRule="auto"/>
        <w:ind w:firstLine="480" w:firstLineChars="200"/>
        <w:rPr>
          <w:i w:val="0"/>
          <w:iCs w:val="0"/>
          <w:color w:val="auto"/>
          <w:szCs w:val="24"/>
          <w:highlight w:val="none"/>
        </w:rPr>
      </w:pPr>
      <w:r>
        <w:rPr>
          <w:rFonts w:hint="eastAsia"/>
          <w:i w:val="0"/>
          <w:iCs w:val="0"/>
          <w:color w:val="auto"/>
          <w:szCs w:val="24"/>
          <w:highlight w:val="none"/>
        </w:rPr>
        <w:t>3）参与本项目采购活动前，是否为本项目前期准备提供过整体设计、规范编制或者项目管理、监理、检测等服务：</w:t>
      </w:r>
    </w:p>
    <w:p w14:paraId="73BE978C">
      <w:pPr>
        <w:snapToGrid w:val="0"/>
        <w:spacing w:line="324" w:lineRule="auto"/>
        <w:ind w:left="456" w:leftChars="190" w:firstLine="355" w:firstLineChars="148"/>
        <w:rPr>
          <w:i w:val="0"/>
          <w:iCs w:val="0"/>
          <w:color w:val="auto"/>
          <w:szCs w:val="24"/>
          <w:highlight w:val="none"/>
        </w:rPr>
      </w:pPr>
      <w:r>
        <w:rPr>
          <w:rFonts w:hint="eastAsia"/>
          <w:i w:val="0"/>
          <w:iCs w:val="0"/>
          <w:color w:val="auto"/>
          <w:szCs w:val="24"/>
          <w:highlight w:val="none"/>
          <w:lang w:eastAsia="zh-CN"/>
        </w:rPr>
        <w:t>□</w:t>
      </w:r>
      <w:r>
        <w:rPr>
          <w:rFonts w:hint="eastAsia"/>
          <w:i w:val="0"/>
          <w:iCs w:val="0"/>
          <w:color w:val="auto"/>
          <w:szCs w:val="24"/>
          <w:highlight w:val="none"/>
        </w:rPr>
        <w:t xml:space="preserve">无；□有，已提供的具体服务内容为： </w:t>
      </w:r>
      <w:r>
        <w:rPr>
          <w:rFonts w:hint="eastAsia" w:cs="Arial"/>
          <w:i w:val="0"/>
          <w:iCs w:val="0"/>
          <w:color w:val="auto"/>
          <w:szCs w:val="24"/>
          <w:highlight w:val="none"/>
          <w:u w:val="single"/>
        </w:rPr>
        <w:t>（由</w:t>
      </w:r>
      <w:r>
        <w:rPr>
          <w:rFonts w:hint="eastAsia" w:cs="Arial"/>
          <w:i w:val="0"/>
          <w:iCs w:val="0"/>
          <w:color w:val="auto"/>
          <w:szCs w:val="24"/>
          <w:highlight w:val="none"/>
          <w:u w:val="single"/>
          <w:lang w:val="en-US" w:eastAsia="zh-CN"/>
        </w:rPr>
        <w:t>供应商</w:t>
      </w:r>
      <w:r>
        <w:rPr>
          <w:rFonts w:hint="eastAsia" w:cs="Arial"/>
          <w:i w:val="0"/>
          <w:iCs w:val="0"/>
          <w:color w:val="auto"/>
          <w:szCs w:val="24"/>
          <w:highlight w:val="none"/>
          <w:u w:val="single"/>
        </w:rPr>
        <w:t>如实填写）</w:t>
      </w:r>
      <w:r>
        <w:rPr>
          <w:rFonts w:hint="eastAsia"/>
          <w:i w:val="0"/>
          <w:iCs w:val="0"/>
          <w:color w:val="auto"/>
          <w:szCs w:val="24"/>
          <w:highlight w:val="none"/>
        </w:rPr>
        <w:t>。</w:t>
      </w:r>
    </w:p>
    <w:p w14:paraId="4FC84088">
      <w:pPr>
        <w:spacing w:line="324" w:lineRule="auto"/>
        <w:ind w:firstLine="480" w:firstLineChars="200"/>
        <w:rPr>
          <w:i w:val="0"/>
          <w:iCs w:val="0"/>
          <w:color w:val="auto"/>
          <w:szCs w:val="24"/>
          <w:highlight w:val="none"/>
        </w:rPr>
      </w:pPr>
      <w:r>
        <w:rPr>
          <w:rFonts w:hint="eastAsia"/>
          <w:i w:val="0"/>
          <w:iCs w:val="0"/>
          <w:color w:val="auto"/>
          <w:szCs w:val="24"/>
          <w:highlight w:val="none"/>
        </w:rPr>
        <w:t>（备注：以上</w:t>
      </w:r>
      <w:r>
        <w:rPr>
          <w:i w:val="0"/>
          <w:iCs w:val="0"/>
          <w:color w:val="auto"/>
          <w:szCs w:val="24"/>
          <w:highlight w:val="none"/>
        </w:rPr>
        <w:t>3</w:t>
      </w:r>
      <w:r>
        <w:rPr>
          <w:rFonts w:hint="eastAsia"/>
          <w:i w:val="0"/>
          <w:iCs w:val="0"/>
          <w:color w:val="auto"/>
          <w:szCs w:val="24"/>
          <w:highlight w:val="none"/>
        </w:rPr>
        <w:t>项声明，必须如实选择，选中项用</w:t>
      </w:r>
      <w:r>
        <w:rPr>
          <w:rFonts w:hint="eastAsia"/>
          <w:i w:val="0"/>
          <w:iCs w:val="0"/>
          <w:color w:val="auto"/>
          <w:szCs w:val="24"/>
          <w:highlight w:val="none"/>
          <w:lang w:eastAsia="zh-CN"/>
        </w:rPr>
        <w:t>☑</w:t>
      </w:r>
      <w:r>
        <w:rPr>
          <w:rFonts w:hint="eastAsia"/>
          <w:i w:val="0"/>
          <w:iCs w:val="0"/>
          <w:color w:val="auto"/>
          <w:szCs w:val="24"/>
          <w:highlight w:val="none"/>
        </w:rPr>
        <w:t>表示，未选中项用□表示。①“单位负责人”是指单位法定代表人或者法律、行政法规规定代表单位行使职权的主要负责人。②本条所规定的控股、管理关系仅限于直接控股、直接管理关系，不包括间接的控股或管理关系。③供应商如未如实填报，视为提供虚假材料谋取中标，应承担相应法律责任。）</w:t>
      </w:r>
    </w:p>
    <w:p w14:paraId="19A44DC4">
      <w:pPr>
        <w:snapToGrid w:val="0"/>
        <w:spacing w:line="324" w:lineRule="auto"/>
        <w:ind w:firstLine="480" w:firstLineChars="200"/>
        <w:rPr>
          <w:i w:val="0"/>
          <w:iCs w:val="0"/>
          <w:color w:val="auto"/>
          <w:szCs w:val="24"/>
          <w:highlight w:val="none"/>
        </w:rPr>
      </w:pPr>
      <w:r>
        <w:rPr>
          <w:rFonts w:hint="eastAsia"/>
          <w:i w:val="0"/>
          <w:iCs w:val="0"/>
          <w:color w:val="auto"/>
          <w:szCs w:val="24"/>
          <w:highlight w:val="none"/>
        </w:rPr>
        <w:t>4）我方在本</w:t>
      </w:r>
      <w:r>
        <w:rPr>
          <w:rFonts w:hint="eastAsia"/>
          <w:i w:val="0"/>
          <w:iCs w:val="0"/>
          <w:color w:val="auto"/>
          <w:szCs w:val="24"/>
          <w:highlight w:val="none"/>
          <w:lang w:val="en-US" w:eastAsia="zh-CN"/>
        </w:rPr>
        <w:t>响应</w:t>
      </w:r>
      <w:r>
        <w:rPr>
          <w:rFonts w:hint="eastAsia"/>
          <w:i w:val="0"/>
          <w:iCs w:val="0"/>
          <w:color w:val="auto"/>
          <w:szCs w:val="24"/>
          <w:highlight w:val="none"/>
        </w:rPr>
        <w:t>文件中所提供的全部资料均真实有效，我方承诺对其真实性负责并承担相应后果。</w:t>
      </w:r>
    </w:p>
    <w:p w14:paraId="5FB2607B">
      <w:pPr>
        <w:snapToGrid w:val="0"/>
        <w:spacing w:line="324" w:lineRule="auto"/>
        <w:ind w:firstLine="480" w:firstLineChars="200"/>
        <w:rPr>
          <w:i w:val="0"/>
          <w:iCs w:val="0"/>
          <w:color w:val="auto"/>
          <w:szCs w:val="24"/>
          <w:highlight w:val="none"/>
        </w:rPr>
      </w:pPr>
      <w:r>
        <w:rPr>
          <w:rFonts w:hint="eastAsia"/>
          <w:i w:val="0"/>
          <w:iCs w:val="0"/>
          <w:color w:val="auto"/>
          <w:szCs w:val="24"/>
          <w:highlight w:val="none"/>
        </w:rPr>
        <w:t>5）我方承诺本《</w:t>
      </w:r>
      <w:r>
        <w:rPr>
          <w:rFonts w:hint="eastAsia"/>
          <w:i w:val="0"/>
          <w:iCs w:val="0"/>
          <w:color w:val="auto"/>
          <w:szCs w:val="24"/>
          <w:highlight w:val="none"/>
          <w:lang w:val="en-US" w:eastAsia="zh-CN"/>
        </w:rPr>
        <w:t>响应</w:t>
      </w:r>
      <w:r>
        <w:rPr>
          <w:rFonts w:hint="eastAsia"/>
          <w:i w:val="0"/>
          <w:iCs w:val="0"/>
          <w:color w:val="auto"/>
          <w:szCs w:val="24"/>
          <w:highlight w:val="none"/>
        </w:rPr>
        <w:t>函》的签章对本</w:t>
      </w:r>
      <w:r>
        <w:rPr>
          <w:rFonts w:hint="eastAsia"/>
          <w:i w:val="0"/>
          <w:iCs w:val="0"/>
          <w:color w:val="auto"/>
          <w:szCs w:val="24"/>
          <w:highlight w:val="none"/>
          <w:lang w:val="en-US" w:eastAsia="zh-CN"/>
        </w:rPr>
        <w:t>响应</w:t>
      </w:r>
      <w:r>
        <w:rPr>
          <w:rFonts w:hint="eastAsia"/>
          <w:i w:val="0"/>
          <w:iCs w:val="0"/>
          <w:color w:val="auto"/>
          <w:szCs w:val="24"/>
          <w:highlight w:val="none"/>
        </w:rPr>
        <w:t>文件全部内容具有约束力并承担法律责任。</w:t>
      </w:r>
    </w:p>
    <w:p w14:paraId="2A195747">
      <w:pPr>
        <w:spacing w:line="300" w:lineRule="auto"/>
        <w:rPr>
          <w:rFonts w:cs="Arial"/>
          <w:i w:val="0"/>
          <w:iCs w:val="0"/>
          <w:color w:val="auto"/>
          <w:szCs w:val="24"/>
          <w:highlight w:val="none"/>
        </w:rPr>
      </w:pPr>
    </w:p>
    <w:p w14:paraId="3F664789">
      <w:pPr>
        <w:spacing w:line="300" w:lineRule="auto"/>
        <w:rPr>
          <w:rFonts w:cs="Arial"/>
          <w:i w:val="0"/>
          <w:iCs w:val="0"/>
          <w:color w:val="auto"/>
          <w:szCs w:val="24"/>
          <w:highlight w:val="none"/>
        </w:rPr>
      </w:pPr>
    </w:p>
    <w:p w14:paraId="6C365FF0">
      <w:pPr>
        <w:spacing w:line="300" w:lineRule="auto"/>
        <w:rPr>
          <w:rFonts w:cs="Arial"/>
          <w:i w:val="0"/>
          <w:iCs w:val="0"/>
          <w:color w:val="auto"/>
          <w:szCs w:val="24"/>
          <w:highlight w:val="none"/>
        </w:rPr>
      </w:pPr>
    </w:p>
    <w:p w14:paraId="42CE30DE">
      <w:pPr>
        <w:autoSpaceDE w:val="0"/>
        <w:autoSpaceDN w:val="0"/>
        <w:adjustRightInd w:val="0"/>
        <w:snapToGrid w:val="0"/>
        <w:ind w:firstLine="480" w:firstLineChars="200"/>
        <w:rPr>
          <w:rFonts w:cs="宋体"/>
          <w:i w:val="0"/>
          <w:iCs w:val="0"/>
          <w:color w:val="auto"/>
          <w:highlight w:val="none"/>
        </w:rPr>
      </w:pPr>
      <w:r>
        <w:rPr>
          <w:rFonts w:hint="eastAsia" w:cs="宋体"/>
          <w:i w:val="0"/>
          <w:iCs w:val="0"/>
          <w:color w:val="auto"/>
          <w:highlight w:val="none"/>
          <w:lang w:val="en-US" w:eastAsia="zh-CN"/>
        </w:rPr>
        <w:t>供应商名称</w:t>
      </w:r>
      <w:r>
        <w:rPr>
          <w:rFonts w:hint="eastAsia" w:cs="宋体"/>
          <w:i w:val="0"/>
          <w:iCs w:val="0"/>
          <w:color w:val="auto"/>
          <w:highlight w:val="none"/>
        </w:rPr>
        <w:t>（公章）：</w:t>
      </w:r>
    </w:p>
    <w:p w14:paraId="1ADA86FC">
      <w:pPr>
        <w:autoSpaceDE w:val="0"/>
        <w:autoSpaceDN w:val="0"/>
        <w:adjustRightInd w:val="0"/>
        <w:snapToGrid w:val="0"/>
        <w:ind w:firstLine="480" w:firstLineChars="200"/>
        <w:rPr>
          <w:rFonts w:cs="宋体"/>
          <w:i w:val="0"/>
          <w:iCs w:val="0"/>
          <w:color w:val="auto"/>
          <w:highlight w:val="none"/>
        </w:rPr>
      </w:pPr>
      <w:r>
        <w:rPr>
          <w:rFonts w:hint="eastAsia" w:cs="宋体"/>
          <w:i w:val="0"/>
          <w:iCs w:val="0"/>
          <w:color w:val="auto"/>
          <w:highlight w:val="none"/>
        </w:rPr>
        <w:t>通  讯  地  址：</w:t>
      </w:r>
    </w:p>
    <w:p w14:paraId="336D3074">
      <w:pPr>
        <w:autoSpaceDE w:val="0"/>
        <w:autoSpaceDN w:val="0"/>
        <w:adjustRightInd w:val="0"/>
        <w:snapToGrid w:val="0"/>
        <w:ind w:firstLine="480" w:firstLineChars="200"/>
        <w:rPr>
          <w:rFonts w:cs="宋体"/>
          <w:i w:val="0"/>
          <w:iCs w:val="0"/>
          <w:color w:val="auto"/>
          <w:highlight w:val="none"/>
        </w:rPr>
      </w:pPr>
      <w:r>
        <w:rPr>
          <w:rFonts w:hint="eastAsia" w:cs="宋体"/>
          <w:i w:val="0"/>
          <w:iCs w:val="0"/>
          <w:color w:val="auto"/>
          <w:highlight w:val="none"/>
        </w:rPr>
        <w:t xml:space="preserve">传       </w:t>
      </w:r>
      <w:r>
        <w:rPr>
          <w:rFonts w:cs="宋体"/>
          <w:i w:val="0"/>
          <w:iCs w:val="0"/>
          <w:color w:val="auto"/>
          <w:highlight w:val="none"/>
        </w:rPr>
        <w:t xml:space="preserve">   </w:t>
      </w:r>
      <w:r>
        <w:rPr>
          <w:rFonts w:hint="eastAsia" w:cs="宋体"/>
          <w:i w:val="0"/>
          <w:iCs w:val="0"/>
          <w:color w:val="auto"/>
          <w:highlight w:val="none"/>
        </w:rPr>
        <w:t>真：</w:t>
      </w:r>
    </w:p>
    <w:p w14:paraId="3362611B">
      <w:pPr>
        <w:autoSpaceDE w:val="0"/>
        <w:autoSpaceDN w:val="0"/>
        <w:adjustRightInd w:val="0"/>
        <w:snapToGrid w:val="0"/>
        <w:ind w:firstLine="480" w:firstLineChars="200"/>
        <w:rPr>
          <w:rFonts w:cs="宋体"/>
          <w:i w:val="0"/>
          <w:iCs w:val="0"/>
          <w:color w:val="auto"/>
          <w:highlight w:val="none"/>
        </w:rPr>
      </w:pPr>
      <w:r>
        <w:rPr>
          <w:rFonts w:hint="eastAsia" w:cs="宋体"/>
          <w:i w:val="0"/>
          <w:iCs w:val="0"/>
          <w:color w:val="auto"/>
          <w:highlight w:val="none"/>
        </w:rPr>
        <w:t>电          话：</w:t>
      </w:r>
    </w:p>
    <w:p w14:paraId="0CD23DFA">
      <w:pPr>
        <w:autoSpaceDE w:val="0"/>
        <w:autoSpaceDN w:val="0"/>
        <w:adjustRightInd w:val="0"/>
        <w:snapToGrid w:val="0"/>
        <w:ind w:firstLine="480" w:firstLineChars="200"/>
        <w:rPr>
          <w:rFonts w:cs="宋体"/>
          <w:i w:val="0"/>
          <w:iCs w:val="0"/>
          <w:color w:val="auto"/>
          <w:highlight w:val="none"/>
        </w:rPr>
      </w:pPr>
      <w:r>
        <w:rPr>
          <w:rFonts w:hint="eastAsia" w:cs="宋体"/>
          <w:i w:val="0"/>
          <w:iCs w:val="0"/>
          <w:color w:val="auto"/>
          <w:highlight w:val="none"/>
        </w:rPr>
        <w:t xml:space="preserve">授 </w:t>
      </w:r>
      <w:r>
        <w:rPr>
          <w:rFonts w:cs="宋体"/>
          <w:i w:val="0"/>
          <w:iCs w:val="0"/>
          <w:color w:val="auto"/>
          <w:highlight w:val="none"/>
        </w:rPr>
        <w:t xml:space="preserve"> </w:t>
      </w:r>
      <w:r>
        <w:rPr>
          <w:rFonts w:hint="eastAsia" w:cs="宋体"/>
          <w:i w:val="0"/>
          <w:iCs w:val="0"/>
          <w:color w:val="auto"/>
          <w:highlight w:val="none"/>
        </w:rPr>
        <w:t xml:space="preserve">权 </w:t>
      </w:r>
      <w:r>
        <w:rPr>
          <w:rFonts w:cs="宋体"/>
          <w:i w:val="0"/>
          <w:iCs w:val="0"/>
          <w:color w:val="auto"/>
          <w:highlight w:val="none"/>
        </w:rPr>
        <w:t xml:space="preserve"> </w:t>
      </w:r>
      <w:r>
        <w:rPr>
          <w:rFonts w:hint="eastAsia" w:cs="宋体"/>
          <w:i w:val="0"/>
          <w:iCs w:val="0"/>
          <w:color w:val="auto"/>
          <w:highlight w:val="none"/>
        </w:rPr>
        <w:t xml:space="preserve">代 </w:t>
      </w:r>
      <w:r>
        <w:rPr>
          <w:rFonts w:cs="宋体"/>
          <w:i w:val="0"/>
          <w:iCs w:val="0"/>
          <w:color w:val="auto"/>
          <w:highlight w:val="none"/>
        </w:rPr>
        <w:t xml:space="preserve"> </w:t>
      </w:r>
      <w:r>
        <w:rPr>
          <w:rFonts w:hint="eastAsia" w:cs="宋体"/>
          <w:i w:val="0"/>
          <w:iCs w:val="0"/>
          <w:color w:val="auto"/>
          <w:highlight w:val="none"/>
        </w:rPr>
        <w:t>表：</w:t>
      </w:r>
    </w:p>
    <w:p w14:paraId="63C92097">
      <w:pPr>
        <w:ind w:firstLine="480" w:firstLineChars="200"/>
        <w:rPr>
          <w:rFonts w:cs="Arial"/>
          <w:i w:val="0"/>
          <w:iCs w:val="0"/>
          <w:color w:val="auto"/>
          <w:szCs w:val="24"/>
          <w:highlight w:val="none"/>
        </w:rPr>
      </w:pPr>
      <w:r>
        <w:rPr>
          <w:rFonts w:hint="eastAsia" w:cs="宋体"/>
          <w:i w:val="0"/>
          <w:iCs w:val="0"/>
          <w:color w:val="auto"/>
          <w:highlight w:val="none"/>
        </w:rPr>
        <w:t xml:space="preserve">日    </w:t>
      </w:r>
      <w:r>
        <w:rPr>
          <w:rFonts w:cs="宋体"/>
          <w:i w:val="0"/>
          <w:iCs w:val="0"/>
          <w:color w:val="auto"/>
          <w:highlight w:val="none"/>
        </w:rPr>
        <w:t xml:space="preserve">  </w:t>
      </w:r>
      <w:r>
        <w:rPr>
          <w:rFonts w:hint="eastAsia" w:cs="宋体"/>
          <w:i w:val="0"/>
          <w:iCs w:val="0"/>
          <w:color w:val="auto"/>
          <w:highlight w:val="none"/>
        </w:rPr>
        <w:t xml:space="preserve">    期：</w:t>
      </w:r>
    </w:p>
    <w:p w14:paraId="6674502E">
      <w:pPr>
        <w:rPr>
          <w:rFonts w:cs="Arial"/>
          <w:i w:val="0"/>
          <w:iCs w:val="0"/>
          <w:color w:val="auto"/>
          <w:szCs w:val="24"/>
          <w:highlight w:val="none"/>
          <w:u w:val="single"/>
        </w:rPr>
      </w:pPr>
    </w:p>
    <w:p w14:paraId="478BFBB8">
      <w:pPr>
        <w:rPr>
          <w:rFonts w:cs="Arial"/>
          <w:i w:val="0"/>
          <w:iCs w:val="0"/>
          <w:color w:val="auto"/>
          <w:szCs w:val="24"/>
          <w:highlight w:val="none"/>
          <w:u w:val="single"/>
        </w:rPr>
      </w:pPr>
      <w:r>
        <w:rPr>
          <w:rFonts w:cs="Arial"/>
          <w:i w:val="0"/>
          <w:iCs w:val="0"/>
          <w:color w:val="auto"/>
          <w:szCs w:val="24"/>
          <w:highlight w:val="none"/>
          <w:u w:val="single"/>
        </w:rPr>
        <w:br w:type="page"/>
      </w:r>
    </w:p>
    <w:p w14:paraId="24B4BD65">
      <w:pPr>
        <w:pStyle w:val="3"/>
        <w:keepNext/>
        <w:keepLines/>
        <w:pageBreakBefore w:val="0"/>
        <w:widowControl w:val="0"/>
        <w:numPr>
          <w:ilvl w:val="0"/>
          <w:numId w:val="0"/>
        </w:numPr>
        <w:kinsoku/>
        <w:wordWrap/>
        <w:overflowPunct/>
        <w:topLinePunct w:val="0"/>
        <w:autoSpaceDE/>
        <w:autoSpaceDN/>
        <w:bidi w:val="0"/>
        <w:adjustRightInd/>
        <w:snapToGrid/>
        <w:spacing w:before="100" w:after="100" w:line="360" w:lineRule="auto"/>
        <w:ind w:left="420" w:leftChars="0" w:hanging="420" w:firstLineChars="0"/>
        <w:jc w:val="center"/>
        <w:textAlignment w:val="auto"/>
        <w:rPr>
          <w:rFonts w:hint="eastAsia" w:eastAsia="宋体" w:asciiTheme="majorHAnsi" w:hAnsiTheme="majorHAnsi" w:cstheme="majorBidi"/>
          <w:b/>
          <w:bCs/>
          <w:i w:val="0"/>
          <w:iCs w:val="0"/>
          <w:color w:val="auto"/>
          <w:kern w:val="2"/>
          <w:sz w:val="32"/>
          <w:szCs w:val="32"/>
          <w:highlight w:val="none"/>
          <w:lang w:val="en-US" w:eastAsia="zh-CN" w:bidi="ar-SA"/>
        </w:rPr>
      </w:pPr>
      <w:bookmarkStart w:id="477" w:name="_Toc13212"/>
      <w:bookmarkStart w:id="478" w:name="_Toc155185924"/>
      <w:r>
        <w:rPr>
          <w:rFonts w:hint="eastAsia" w:cstheme="majorBidi"/>
          <w:b/>
          <w:bCs/>
          <w:i w:val="0"/>
          <w:iCs w:val="0"/>
          <w:color w:val="auto"/>
          <w:kern w:val="2"/>
          <w:sz w:val="32"/>
          <w:szCs w:val="32"/>
          <w:highlight w:val="none"/>
          <w:lang w:val="en-US" w:eastAsia="zh-CN" w:bidi="ar-SA"/>
        </w:rPr>
        <w:t>二</w:t>
      </w:r>
      <w:r>
        <w:rPr>
          <w:rFonts w:hint="eastAsia" w:eastAsia="宋体" w:asciiTheme="majorHAnsi" w:hAnsiTheme="majorHAnsi" w:cstheme="majorBidi"/>
          <w:b/>
          <w:bCs/>
          <w:i w:val="0"/>
          <w:iCs w:val="0"/>
          <w:color w:val="auto"/>
          <w:kern w:val="2"/>
          <w:sz w:val="32"/>
          <w:szCs w:val="32"/>
          <w:highlight w:val="none"/>
          <w:lang w:val="en-US" w:eastAsia="zh-CN" w:bidi="ar-SA"/>
        </w:rPr>
        <w:t>、法定代表人（单位负责人）身份证明</w:t>
      </w:r>
      <w:bookmarkEnd w:id="477"/>
      <w:bookmarkEnd w:id="478"/>
    </w:p>
    <w:p w14:paraId="46CF1AA3">
      <w:pPr>
        <w:spacing w:line="480" w:lineRule="auto"/>
        <w:ind w:firstLine="480" w:firstLineChars="200"/>
        <w:rPr>
          <w:rFonts w:hint="eastAsia" w:cs="仿宋_GB2312"/>
          <w:i w:val="0"/>
          <w:iCs w:val="0"/>
          <w:color w:val="auto"/>
          <w:szCs w:val="24"/>
          <w:highlight w:val="none"/>
        </w:rPr>
      </w:pPr>
      <w:r>
        <w:rPr>
          <w:rFonts w:hint="eastAsia" w:cs="仿宋_GB2312"/>
          <w:i w:val="0"/>
          <w:iCs w:val="0"/>
          <w:color w:val="auto"/>
          <w:szCs w:val="24"/>
          <w:highlight w:val="none"/>
          <w:lang w:val="en-US" w:eastAsia="zh-CN"/>
        </w:rPr>
        <w:t xml:space="preserve">致：（采购人或采购代理机构） </w:t>
      </w:r>
    </w:p>
    <w:p w14:paraId="3DE52D6F">
      <w:pPr>
        <w:spacing w:line="480" w:lineRule="auto"/>
        <w:ind w:firstLine="960" w:firstLineChars="400"/>
        <w:rPr>
          <w:rFonts w:hint="eastAsia" w:cs="仿宋_GB2312"/>
          <w:i w:val="0"/>
          <w:iCs w:val="0"/>
          <w:color w:val="auto"/>
          <w:szCs w:val="24"/>
          <w:highlight w:val="none"/>
        </w:rPr>
      </w:pPr>
      <w:r>
        <w:rPr>
          <w:rFonts w:hint="eastAsia" w:cs="仿宋_GB2312"/>
          <w:i w:val="0"/>
          <w:iCs w:val="0"/>
          <w:color w:val="auto"/>
          <w:szCs w:val="24"/>
          <w:highlight w:val="none"/>
          <w:lang w:val="en-US" w:eastAsia="zh-CN"/>
        </w:rPr>
        <w:t xml:space="preserve">兹证明， </w:t>
      </w:r>
    </w:p>
    <w:p w14:paraId="1D36B9E0">
      <w:pPr>
        <w:spacing w:line="480" w:lineRule="auto"/>
        <w:ind w:firstLine="480" w:firstLineChars="200"/>
        <w:rPr>
          <w:rFonts w:hint="eastAsia" w:cs="仿宋_GB2312"/>
          <w:i w:val="0"/>
          <w:iCs w:val="0"/>
          <w:color w:val="auto"/>
          <w:szCs w:val="24"/>
          <w:highlight w:val="none"/>
        </w:rPr>
      </w:pPr>
      <w:r>
        <w:rPr>
          <w:rFonts w:hint="eastAsia" w:cs="仿宋_GB2312"/>
          <w:i w:val="0"/>
          <w:iCs w:val="0"/>
          <w:color w:val="auto"/>
          <w:szCs w:val="24"/>
          <w:highlight w:val="none"/>
          <w:lang w:val="en-US" w:eastAsia="zh-CN"/>
        </w:rPr>
        <w:t xml:space="preserve">姓名：____性别：____年龄：____职务：____ </w:t>
      </w:r>
    </w:p>
    <w:p w14:paraId="38746EB6">
      <w:pPr>
        <w:spacing w:line="480" w:lineRule="auto"/>
        <w:ind w:firstLine="480" w:firstLineChars="200"/>
        <w:rPr>
          <w:rFonts w:hint="eastAsia" w:cs="仿宋_GB2312"/>
          <w:i w:val="0"/>
          <w:iCs w:val="0"/>
          <w:color w:val="auto"/>
          <w:szCs w:val="24"/>
          <w:highlight w:val="none"/>
        </w:rPr>
      </w:pPr>
      <w:r>
        <w:rPr>
          <w:rFonts w:hint="eastAsia" w:cs="仿宋_GB2312"/>
          <w:i w:val="0"/>
          <w:iCs w:val="0"/>
          <w:color w:val="auto"/>
          <w:szCs w:val="24"/>
          <w:highlight w:val="none"/>
          <w:lang w:val="en-US" w:eastAsia="zh-CN"/>
        </w:rPr>
        <w:t xml:space="preserve">系 </w:t>
      </w:r>
      <w:r>
        <w:rPr>
          <w:rFonts w:hint="eastAsia" w:cs="仿宋_GB2312"/>
          <w:i w:val="0"/>
          <w:iCs w:val="0"/>
          <w:color w:val="auto"/>
          <w:szCs w:val="24"/>
          <w:highlight w:val="none"/>
          <w:u w:val="single"/>
          <w:lang w:val="en-US" w:eastAsia="zh-CN"/>
        </w:rPr>
        <w:t xml:space="preserve">            </w:t>
      </w:r>
      <w:r>
        <w:rPr>
          <w:rFonts w:hint="eastAsia" w:cs="仿宋_GB2312"/>
          <w:i w:val="0"/>
          <w:iCs w:val="0"/>
          <w:color w:val="auto"/>
          <w:szCs w:val="24"/>
          <w:highlight w:val="none"/>
          <w:lang w:val="en-US" w:eastAsia="zh-CN"/>
        </w:rPr>
        <w:t xml:space="preserve">（供应商名称）的法定代表人（单位负责人）。 </w:t>
      </w:r>
    </w:p>
    <w:p w14:paraId="3B002BC6">
      <w:pPr>
        <w:spacing w:line="480" w:lineRule="auto"/>
        <w:ind w:firstLine="480" w:firstLineChars="200"/>
        <w:rPr>
          <w:rFonts w:hint="eastAsia" w:cs="仿宋_GB2312"/>
          <w:i w:val="0"/>
          <w:iCs w:val="0"/>
          <w:color w:val="auto"/>
          <w:szCs w:val="24"/>
          <w:highlight w:val="none"/>
        </w:rPr>
      </w:pPr>
      <w:r>
        <w:rPr>
          <w:rFonts w:hint="eastAsia" w:cs="仿宋_GB2312"/>
          <w:i w:val="0"/>
          <w:iCs w:val="0"/>
          <w:color w:val="auto"/>
          <w:szCs w:val="24"/>
          <w:highlight w:val="none"/>
          <w:lang w:val="en-US" w:eastAsia="zh-CN"/>
        </w:rPr>
        <w:t xml:space="preserve">附：法定代表人（单位负责人）身份证等身份证明文件电子件： </w:t>
      </w:r>
    </w:p>
    <w:p w14:paraId="60A8C36F">
      <w:pPr>
        <w:spacing w:line="480" w:lineRule="auto"/>
        <w:ind w:firstLine="480" w:firstLineChars="200"/>
        <w:rPr>
          <w:rFonts w:cs="仿宋_GB2312"/>
          <w:i w:val="0"/>
          <w:iCs w:val="0"/>
          <w:color w:val="auto"/>
          <w:szCs w:val="24"/>
          <w:highlight w:val="none"/>
        </w:rPr>
      </w:pPr>
    </w:p>
    <w:p w14:paraId="473563CD">
      <w:pPr>
        <w:rPr>
          <w:rFonts w:cs="Arial"/>
          <w:i w:val="0"/>
          <w:iCs w:val="0"/>
          <w:color w:val="auto"/>
          <w:sz w:val="21"/>
          <w:szCs w:val="21"/>
          <w:highlight w:val="none"/>
        </w:rPr>
      </w:pPr>
    </w:p>
    <w:tbl>
      <w:tblPr>
        <w:tblStyle w:val="28"/>
        <w:tblW w:w="85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7"/>
      </w:tblGrid>
      <w:tr w14:paraId="2D4F4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1" w:hRule="atLeast"/>
        </w:trPr>
        <w:tc>
          <w:tcPr>
            <w:tcW w:w="8527" w:type="dxa"/>
          </w:tcPr>
          <w:p w14:paraId="4B7B7E19">
            <w:pPr>
              <w:rPr>
                <w:rFonts w:cs="Arial"/>
                <w:i w:val="0"/>
                <w:iCs w:val="0"/>
                <w:color w:val="auto"/>
                <w:highlight w:val="none"/>
              </w:rPr>
            </w:pPr>
          </w:p>
        </w:tc>
      </w:tr>
    </w:tbl>
    <w:p w14:paraId="76B5C725">
      <w:pPr>
        <w:ind w:firstLine="840" w:firstLineChars="350"/>
        <w:jc w:val="center"/>
        <w:rPr>
          <w:rFonts w:cs="Arial"/>
          <w:i w:val="0"/>
          <w:iCs w:val="0"/>
          <w:color w:val="auto"/>
          <w:highlight w:val="none"/>
        </w:rPr>
      </w:pPr>
    </w:p>
    <w:p w14:paraId="4AD74708">
      <w:pPr>
        <w:keepNext w:val="0"/>
        <w:keepLines w:val="0"/>
        <w:widowControl/>
        <w:suppressLineNumbers w:val="0"/>
        <w:jc w:val="left"/>
        <w:rPr>
          <w:i w:val="0"/>
          <w:iCs w:val="0"/>
          <w:color w:val="auto"/>
          <w:highlight w:val="none"/>
        </w:rPr>
      </w:pPr>
      <w:r>
        <w:rPr>
          <w:rFonts w:hint="eastAsia" w:cs="宋体"/>
          <w:i w:val="0"/>
          <w:iCs w:val="0"/>
          <w:color w:val="auto"/>
          <w:kern w:val="0"/>
          <w:sz w:val="24"/>
          <w:szCs w:val="24"/>
          <w:highlight w:val="none"/>
          <w:lang w:val="en-US" w:eastAsia="zh-CN" w:bidi="ar"/>
        </w:rPr>
        <w:t>供应商</w:t>
      </w:r>
      <w:r>
        <w:rPr>
          <w:rFonts w:hint="eastAsia" w:ascii="宋体" w:hAnsi="宋体" w:eastAsia="宋体" w:cs="宋体"/>
          <w:i w:val="0"/>
          <w:iCs w:val="0"/>
          <w:color w:val="auto"/>
          <w:kern w:val="0"/>
          <w:sz w:val="24"/>
          <w:szCs w:val="24"/>
          <w:highlight w:val="none"/>
          <w:lang w:val="en-US" w:eastAsia="zh-CN" w:bidi="ar"/>
        </w:rPr>
        <w:t>名称（加盖公章）：</w:t>
      </w:r>
      <w:r>
        <w:rPr>
          <w:rFonts w:ascii="DejaVuSans" w:hAnsi="DejaVuSans" w:eastAsia="DejaVuSans" w:cs="DejaVuSans"/>
          <w:i w:val="0"/>
          <w:iCs w:val="0"/>
          <w:color w:val="auto"/>
          <w:kern w:val="0"/>
          <w:sz w:val="24"/>
          <w:szCs w:val="24"/>
          <w:highlight w:val="none"/>
          <w:lang w:val="en-US" w:eastAsia="zh-CN" w:bidi="ar"/>
        </w:rPr>
        <w:t xml:space="preserve">________________ </w:t>
      </w:r>
    </w:p>
    <w:p w14:paraId="364A1245">
      <w:pPr>
        <w:keepNext w:val="0"/>
        <w:keepLines w:val="0"/>
        <w:widowControl/>
        <w:suppressLineNumbers w:val="0"/>
        <w:jc w:val="left"/>
        <w:rPr>
          <w:rFonts w:hint="default" w:ascii="DejaVuSans" w:hAnsi="DejaVuSans" w:eastAsia="DejaVuSans" w:cs="DejaVuSans"/>
          <w:i w:val="0"/>
          <w:iCs w:val="0"/>
          <w:color w:val="auto"/>
          <w:kern w:val="0"/>
          <w:sz w:val="24"/>
          <w:szCs w:val="24"/>
          <w:highlight w:val="none"/>
          <w:lang w:val="en-US" w:eastAsia="zh-CN" w:bidi="ar"/>
        </w:rPr>
      </w:pPr>
      <w:r>
        <w:rPr>
          <w:rFonts w:hint="eastAsia" w:ascii="宋体" w:hAnsi="宋体" w:eastAsia="宋体" w:cs="宋体"/>
          <w:i w:val="0"/>
          <w:iCs w:val="0"/>
          <w:color w:val="auto"/>
          <w:kern w:val="0"/>
          <w:sz w:val="24"/>
          <w:szCs w:val="24"/>
          <w:highlight w:val="none"/>
          <w:lang w:val="en-US" w:eastAsia="zh-CN" w:bidi="ar"/>
        </w:rPr>
        <w:t>法定代表人（单位负责人）（签字或签章）：</w:t>
      </w:r>
      <w:r>
        <w:rPr>
          <w:rFonts w:hint="default" w:ascii="DejaVuSans" w:hAnsi="DejaVuSans" w:eastAsia="DejaVuSans" w:cs="DejaVuSans"/>
          <w:i w:val="0"/>
          <w:iCs w:val="0"/>
          <w:color w:val="auto"/>
          <w:kern w:val="0"/>
          <w:sz w:val="24"/>
          <w:szCs w:val="24"/>
          <w:highlight w:val="none"/>
          <w:lang w:val="en-US" w:eastAsia="zh-CN" w:bidi="ar"/>
        </w:rPr>
        <w:t xml:space="preserve">_______ </w:t>
      </w:r>
    </w:p>
    <w:p w14:paraId="507E4D95">
      <w:pPr>
        <w:keepNext w:val="0"/>
        <w:keepLines w:val="0"/>
        <w:widowControl/>
        <w:suppressLineNumbers w:val="0"/>
        <w:jc w:val="left"/>
        <w:rPr>
          <w:rFonts w:hint="default" w:ascii="DejaVuSans" w:hAnsi="DejaVuSans" w:eastAsia="DejaVuSans" w:cs="DejaVuSans"/>
          <w:i w:val="0"/>
          <w:iCs w:val="0"/>
          <w:color w:val="auto"/>
          <w:kern w:val="0"/>
          <w:sz w:val="24"/>
          <w:szCs w:val="24"/>
          <w:highlight w:val="none"/>
          <w:lang w:val="en-US" w:eastAsia="zh-CN" w:bidi="ar"/>
        </w:rPr>
      </w:pPr>
    </w:p>
    <w:p w14:paraId="10B3C29F">
      <w:pPr>
        <w:keepNext w:val="0"/>
        <w:keepLines w:val="0"/>
        <w:widowControl/>
        <w:suppressLineNumbers w:val="0"/>
        <w:jc w:val="left"/>
        <w:rPr>
          <w:rFonts w:hint="eastAsia" w:ascii="宋体" w:hAnsi="宋体" w:eastAsia="宋体" w:cs="宋体"/>
          <w:i w:val="0"/>
          <w:iCs w:val="0"/>
          <w:color w:val="auto"/>
          <w:kern w:val="0"/>
          <w:sz w:val="24"/>
          <w:szCs w:val="24"/>
          <w:highlight w:val="none"/>
          <w:lang w:val="en-US" w:eastAsia="zh-CN" w:bidi="ar"/>
        </w:rPr>
      </w:pPr>
    </w:p>
    <w:p w14:paraId="7239FE13">
      <w:pPr>
        <w:keepNext w:val="0"/>
        <w:keepLines w:val="0"/>
        <w:widowControl/>
        <w:suppressLineNumbers w:val="0"/>
        <w:jc w:val="left"/>
        <w:rPr>
          <w:i w:val="0"/>
          <w:iCs w:val="0"/>
          <w:color w:val="auto"/>
          <w:highlight w:val="none"/>
        </w:rPr>
      </w:pPr>
      <w:r>
        <w:rPr>
          <w:rFonts w:hint="eastAsia" w:ascii="宋体" w:hAnsi="宋体" w:eastAsia="宋体" w:cs="宋体"/>
          <w:i w:val="0"/>
          <w:iCs w:val="0"/>
          <w:color w:val="auto"/>
          <w:kern w:val="0"/>
          <w:sz w:val="24"/>
          <w:szCs w:val="24"/>
          <w:highlight w:val="none"/>
          <w:lang w:val="en-US" w:eastAsia="zh-CN" w:bidi="ar"/>
        </w:rPr>
        <w:t>日期：</w:t>
      </w:r>
      <w:r>
        <w:rPr>
          <w:rFonts w:hint="default" w:ascii="DejaVuSans" w:hAnsi="DejaVuSans" w:eastAsia="DejaVuSans" w:cs="DejaVuSans"/>
          <w:i w:val="0"/>
          <w:iCs w:val="0"/>
          <w:color w:val="auto"/>
          <w:kern w:val="0"/>
          <w:sz w:val="24"/>
          <w:szCs w:val="24"/>
          <w:highlight w:val="none"/>
          <w:lang w:val="en-US" w:eastAsia="zh-CN" w:bidi="ar"/>
        </w:rPr>
        <w:t>_____</w:t>
      </w:r>
      <w:r>
        <w:rPr>
          <w:rFonts w:hint="eastAsia" w:ascii="宋体" w:hAnsi="宋体" w:eastAsia="宋体" w:cs="宋体"/>
          <w:i w:val="0"/>
          <w:iCs w:val="0"/>
          <w:color w:val="auto"/>
          <w:kern w:val="0"/>
          <w:sz w:val="24"/>
          <w:szCs w:val="24"/>
          <w:highlight w:val="none"/>
          <w:lang w:val="en-US" w:eastAsia="zh-CN" w:bidi="ar"/>
        </w:rPr>
        <w:t>年</w:t>
      </w:r>
      <w:r>
        <w:rPr>
          <w:rFonts w:hint="default" w:ascii="DejaVuSans" w:hAnsi="DejaVuSans" w:eastAsia="DejaVuSans" w:cs="DejaVuSans"/>
          <w:i w:val="0"/>
          <w:iCs w:val="0"/>
          <w:color w:val="auto"/>
          <w:kern w:val="0"/>
          <w:sz w:val="24"/>
          <w:szCs w:val="24"/>
          <w:highlight w:val="none"/>
          <w:lang w:val="en-US" w:eastAsia="zh-CN" w:bidi="ar"/>
        </w:rPr>
        <w:t>______</w:t>
      </w:r>
      <w:r>
        <w:rPr>
          <w:rFonts w:hint="eastAsia" w:ascii="宋体" w:hAnsi="宋体" w:eastAsia="宋体" w:cs="宋体"/>
          <w:i w:val="0"/>
          <w:iCs w:val="0"/>
          <w:color w:val="auto"/>
          <w:kern w:val="0"/>
          <w:sz w:val="24"/>
          <w:szCs w:val="24"/>
          <w:highlight w:val="none"/>
          <w:lang w:val="en-US" w:eastAsia="zh-CN" w:bidi="ar"/>
        </w:rPr>
        <w:t>月</w:t>
      </w:r>
      <w:r>
        <w:rPr>
          <w:rFonts w:hint="default" w:ascii="DejaVuSans" w:hAnsi="DejaVuSans" w:eastAsia="DejaVuSans" w:cs="DejaVuSans"/>
          <w:i w:val="0"/>
          <w:iCs w:val="0"/>
          <w:color w:val="auto"/>
          <w:kern w:val="0"/>
          <w:sz w:val="24"/>
          <w:szCs w:val="24"/>
          <w:highlight w:val="none"/>
          <w:lang w:val="en-US" w:eastAsia="zh-CN" w:bidi="ar"/>
        </w:rPr>
        <w:t>______</w:t>
      </w:r>
      <w:r>
        <w:rPr>
          <w:rFonts w:hint="eastAsia" w:ascii="宋体" w:hAnsi="宋体" w:eastAsia="宋体" w:cs="宋体"/>
          <w:i w:val="0"/>
          <w:iCs w:val="0"/>
          <w:color w:val="auto"/>
          <w:kern w:val="0"/>
          <w:sz w:val="24"/>
          <w:szCs w:val="24"/>
          <w:highlight w:val="none"/>
          <w:lang w:val="en-US" w:eastAsia="zh-CN" w:bidi="ar"/>
        </w:rPr>
        <w:t>日</w:t>
      </w:r>
    </w:p>
    <w:p w14:paraId="6948CD78">
      <w:pPr>
        <w:rPr>
          <w:b/>
          <w:i w:val="0"/>
          <w:iCs w:val="0"/>
          <w:color w:val="auto"/>
          <w:sz w:val="28"/>
          <w:szCs w:val="28"/>
          <w:highlight w:val="none"/>
        </w:rPr>
      </w:pPr>
    </w:p>
    <w:p w14:paraId="04FDD702">
      <w:pPr>
        <w:rPr>
          <w:b/>
          <w:i w:val="0"/>
          <w:iCs w:val="0"/>
          <w:color w:val="auto"/>
          <w:sz w:val="28"/>
          <w:szCs w:val="28"/>
          <w:highlight w:val="none"/>
        </w:rPr>
      </w:pPr>
      <w:r>
        <w:rPr>
          <w:b/>
          <w:i w:val="0"/>
          <w:iCs w:val="0"/>
          <w:color w:val="auto"/>
          <w:sz w:val="28"/>
          <w:szCs w:val="28"/>
          <w:highlight w:val="none"/>
        </w:rPr>
        <w:br w:type="page"/>
      </w:r>
    </w:p>
    <w:p w14:paraId="0EEE8A23">
      <w:pPr>
        <w:pStyle w:val="3"/>
        <w:keepNext/>
        <w:keepLines/>
        <w:pageBreakBefore w:val="0"/>
        <w:widowControl w:val="0"/>
        <w:numPr>
          <w:ilvl w:val="0"/>
          <w:numId w:val="0"/>
        </w:numPr>
        <w:kinsoku/>
        <w:wordWrap/>
        <w:overflowPunct/>
        <w:topLinePunct w:val="0"/>
        <w:autoSpaceDE/>
        <w:autoSpaceDN/>
        <w:bidi w:val="0"/>
        <w:adjustRightInd/>
        <w:snapToGrid/>
        <w:spacing w:before="100" w:after="100" w:line="360" w:lineRule="auto"/>
        <w:ind w:left="420" w:leftChars="0" w:hanging="420" w:firstLineChars="0"/>
        <w:jc w:val="center"/>
        <w:textAlignment w:val="auto"/>
        <w:rPr>
          <w:rFonts w:hint="eastAsia" w:eastAsia="宋体" w:asciiTheme="majorHAnsi" w:hAnsiTheme="majorHAnsi" w:cstheme="majorBidi"/>
          <w:b/>
          <w:bCs/>
          <w:i w:val="0"/>
          <w:iCs w:val="0"/>
          <w:color w:val="auto"/>
          <w:kern w:val="2"/>
          <w:sz w:val="32"/>
          <w:szCs w:val="32"/>
          <w:highlight w:val="none"/>
          <w:lang w:val="en-US" w:eastAsia="zh-CN" w:bidi="ar-SA"/>
        </w:rPr>
      </w:pPr>
      <w:bookmarkStart w:id="479" w:name="_Toc16031"/>
      <w:bookmarkStart w:id="480" w:name="_Toc155185925"/>
      <w:r>
        <w:rPr>
          <w:rFonts w:hint="eastAsia" w:cstheme="majorBidi"/>
          <w:b/>
          <w:bCs/>
          <w:i w:val="0"/>
          <w:iCs w:val="0"/>
          <w:color w:val="auto"/>
          <w:kern w:val="2"/>
          <w:sz w:val="32"/>
          <w:szCs w:val="32"/>
          <w:highlight w:val="none"/>
          <w:lang w:val="en-US" w:eastAsia="zh-CN" w:bidi="ar-SA"/>
        </w:rPr>
        <w:t>三</w:t>
      </w:r>
      <w:r>
        <w:rPr>
          <w:rFonts w:hint="eastAsia" w:eastAsia="宋体" w:asciiTheme="majorHAnsi" w:hAnsiTheme="majorHAnsi" w:cstheme="majorBidi"/>
          <w:b/>
          <w:bCs/>
          <w:i w:val="0"/>
          <w:iCs w:val="0"/>
          <w:color w:val="auto"/>
          <w:kern w:val="2"/>
          <w:sz w:val="32"/>
          <w:szCs w:val="32"/>
          <w:highlight w:val="none"/>
          <w:lang w:val="en-US" w:eastAsia="zh-CN" w:bidi="ar-SA"/>
        </w:rPr>
        <w:t>、授权委托书</w:t>
      </w:r>
      <w:bookmarkEnd w:id="479"/>
      <w:bookmarkEnd w:id="480"/>
    </w:p>
    <w:p w14:paraId="593F068D">
      <w:pPr>
        <w:ind w:firstLine="480" w:firstLineChars="200"/>
        <w:rPr>
          <w:rFonts w:cs="仿宋_GB2312"/>
          <w:i w:val="0"/>
          <w:iCs w:val="0"/>
          <w:color w:val="auto"/>
          <w:szCs w:val="24"/>
          <w:highlight w:val="none"/>
        </w:rPr>
      </w:pPr>
      <w:r>
        <w:rPr>
          <w:rFonts w:hint="eastAsia" w:cs="仿宋_GB2312"/>
          <w:i w:val="0"/>
          <w:iCs w:val="0"/>
          <w:color w:val="auto"/>
          <w:szCs w:val="24"/>
          <w:highlight w:val="none"/>
        </w:rPr>
        <w:t>本人</w:t>
      </w:r>
      <w:r>
        <w:rPr>
          <w:rFonts w:cs="仿宋_GB2312"/>
          <w:i w:val="0"/>
          <w:iCs w:val="0"/>
          <w:color w:val="auto"/>
          <w:szCs w:val="24"/>
          <w:highlight w:val="none"/>
          <w:u w:val="single"/>
        </w:rPr>
        <w:t xml:space="preserve">     </w:t>
      </w:r>
      <w:r>
        <w:rPr>
          <w:rFonts w:hint="eastAsia" w:cs="仿宋_GB2312"/>
          <w:i w:val="0"/>
          <w:iCs w:val="0"/>
          <w:color w:val="auto"/>
          <w:szCs w:val="24"/>
          <w:highlight w:val="none"/>
          <w:u w:val="none"/>
        </w:rPr>
        <w:t>（姓名）</w:t>
      </w:r>
      <w:r>
        <w:rPr>
          <w:rFonts w:hint="eastAsia" w:cs="仿宋_GB2312"/>
          <w:i w:val="0"/>
          <w:iCs w:val="0"/>
          <w:color w:val="auto"/>
          <w:szCs w:val="24"/>
          <w:highlight w:val="none"/>
        </w:rPr>
        <w:t>系</w:t>
      </w:r>
      <w:r>
        <w:rPr>
          <w:rFonts w:hint="eastAsia" w:cs="仿宋_GB2312"/>
          <w:i w:val="0"/>
          <w:iCs w:val="0"/>
          <w:color w:val="auto"/>
          <w:szCs w:val="24"/>
          <w:highlight w:val="none"/>
          <w:u w:val="single"/>
        </w:rPr>
        <w:t xml:space="preserve">   </w:t>
      </w:r>
      <w:r>
        <w:rPr>
          <w:rFonts w:hint="eastAsia" w:cs="仿宋_GB2312"/>
          <w:i w:val="0"/>
          <w:iCs w:val="0"/>
          <w:color w:val="auto"/>
          <w:szCs w:val="24"/>
          <w:highlight w:val="none"/>
          <w:u w:val="single"/>
          <w:lang w:val="en-US" w:eastAsia="zh-CN"/>
        </w:rPr>
        <w:t xml:space="preserve">     </w:t>
      </w:r>
      <w:r>
        <w:rPr>
          <w:rFonts w:hint="eastAsia" w:cs="仿宋_GB2312"/>
          <w:i w:val="0"/>
          <w:iCs w:val="0"/>
          <w:color w:val="auto"/>
          <w:szCs w:val="24"/>
          <w:highlight w:val="none"/>
          <w:u w:val="single"/>
        </w:rPr>
        <w:t xml:space="preserve">  </w:t>
      </w:r>
      <w:r>
        <w:rPr>
          <w:rFonts w:hint="eastAsia" w:cs="仿宋_GB2312"/>
          <w:i w:val="0"/>
          <w:iCs w:val="0"/>
          <w:color w:val="auto"/>
          <w:szCs w:val="24"/>
          <w:highlight w:val="none"/>
          <w:u w:val="none"/>
        </w:rPr>
        <w:t>（</w:t>
      </w:r>
      <w:r>
        <w:rPr>
          <w:rFonts w:hint="eastAsia" w:cs="仿宋_GB2312"/>
          <w:i w:val="0"/>
          <w:iCs w:val="0"/>
          <w:color w:val="auto"/>
          <w:szCs w:val="24"/>
          <w:highlight w:val="none"/>
          <w:u w:val="none"/>
          <w:lang w:val="en-US" w:eastAsia="zh-CN"/>
        </w:rPr>
        <w:t>供应商</w:t>
      </w:r>
      <w:r>
        <w:rPr>
          <w:rFonts w:hint="eastAsia" w:cs="仿宋_GB2312"/>
          <w:i w:val="0"/>
          <w:iCs w:val="0"/>
          <w:color w:val="auto"/>
          <w:szCs w:val="24"/>
          <w:highlight w:val="none"/>
          <w:u w:val="none"/>
        </w:rPr>
        <w:t>名称）</w:t>
      </w:r>
      <w:r>
        <w:rPr>
          <w:rFonts w:hint="eastAsia" w:cs="仿宋_GB2312"/>
          <w:i w:val="0"/>
          <w:iCs w:val="0"/>
          <w:color w:val="auto"/>
          <w:szCs w:val="24"/>
          <w:highlight w:val="none"/>
        </w:rPr>
        <w:t>的法定代表人</w:t>
      </w:r>
      <w:r>
        <w:rPr>
          <w:rFonts w:hint="eastAsia"/>
          <w:i w:val="0"/>
          <w:iCs w:val="0"/>
          <w:color w:val="auto"/>
          <w:highlight w:val="none"/>
        </w:rPr>
        <w:t>（</w:t>
      </w:r>
      <w:r>
        <w:rPr>
          <w:rFonts w:hint="eastAsia"/>
          <w:i w:val="0"/>
          <w:iCs w:val="0"/>
          <w:color w:val="auto"/>
          <w:highlight w:val="none"/>
          <w:lang w:val="en-US" w:eastAsia="zh-CN"/>
        </w:rPr>
        <w:t>单位</w:t>
      </w:r>
      <w:r>
        <w:rPr>
          <w:rFonts w:hint="eastAsia"/>
          <w:i w:val="0"/>
          <w:iCs w:val="0"/>
          <w:color w:val="auto"/>
          <w:highlight w:val="none"/>
        </w:rPr>
        <w:t>负责人）</w:t>
      </w:r>
      <w:r>
        <w:rPr>
          <w:rFonts w:hint="eastAsia" w:cs="仿宋_GB2312"/>
          <w:i w:val="0"/>
          <w:iCs w:val="0"/>
          <w:color w:val="auto"/>
          <w:szCs w:val="24"/>
          <w:highlight w:val="none"/>
        </w:rPr>
        <w:t>，现委托</w:t>
      </w:r>
      <w:r>
        <w:rPr>
          <w:rFonts w:hint="eastAsia" w:cs="仿宋_GB2312"/>
          <w:i w:val="0"/>
          <w:iCs w:val="0"/>
          <w:color w:val="auto"/>
          <w:szCs w:val="24"/>
          <w:highlight w:val="none"/>
          <w:u w:val="single"/>
        </w:rPr>
        <w:t xml:space="preserve">     </w:t>
      </w:r>
      <w:r>
        <w:rPr>
          <w:rFonts w:hint="eastAsia" w:cs="仿宋_GB2312"/>
          <w:i w:val="0"/>
          <w:iCs w:val="0"/>
          <w:color w:val="auto"/>
          <w:szCs w:val="24"/>
          <w:highlight w:val="none"/>
        </w:rPr>
        <w:t>（姓名）为我方代理人。代理人根据授权，以我方名义签署、澄清</w:t>
      </w:r>
      <w:r>
        <w:rPr>
          <w:rFonts w:hint="eastAsia" w:cs="仿宋_GB2312"/>
          <w:i w:val="0"/>
          <w:iCs w:val="0"/>
          <w:color w:val="auto"/>
          <w:szCs w:val="24"/>
          <w:highlight w:val="none"/>
          <w:lang w:val="en-US" w:eastAsia="zh-CN"/>
        </w:rPr>
        <w:t>确认</w:t>
      </w:r>
      <w:r>
        <w:rPr>
          <w:rFonts w:hint="eastAsia" w:cs="仿宋_GB2312"/>
          <w:i w:val="0"/>
          <w:iCs w:val="0"/>
          <w:color w:val="auto"/>
          <w:szCs w:val="24"/>
          <w:highlight w:val="none"/>
        </w:rPr>
        <w:t>、说明、补正、递交、撤回、修改</w:t>
      </w:r>
      <w:r>
        <w:rPr>
          <w:rFonts w:hint="eastAsia" w:cs="仿宋_GB2312"/>
          <w:i w:val="0"/>
          <w:iCs w:val="0"/>
          <w:color w:val="auto"/>
          <w:szCs w:val="24"/>
          <w:highlight w:val="none"/>
          <w:u w:val="single"/>
        </w:rPr>
        <w:t xml:space="preserve">   </w:t>
      </w:r>
      <w:r>
        <w:rPr>
          <w:rFonts w:hint="eastAsia" w:cs="仿宋_GB2312"/>
          <w:i w:val="0"/>
          <w:iCs w:val="0"/>
          <w:color w:val="auto"/>
          <w:szCs w:val="24"/>
          <w:highlight w:val="none"/>
          <w:u w:val="single"/>
          <w:lang w:val="en-US" w:eastAsia="zh-CN"/>
        </w:rPr>
        <w:t xml:space="preserve">      </w:t>
      </w:r>
      <w:r>
        <w:rPr>
          <w:rFonts w:hint="eastAsia" w:cs="仿宋_GB2312"/>
          <w:i w:val="0"/>
          <w:iCs w:val="0"/>
          <w:color w:val="auto"/>
          <w:szCs w:val="24"/>
          <w:highlight w:val="none"/>
          <w:u w:val="single"/>
        </w:rPr>
        <w:t xml:space="preserve">  </w:t>
      </w:r>
      <w:r>
        <w:rPr>
          <w:rFonts w:hint="eastAsia" w:cs="仿宋_GB2312"/>
          <w:i w:val="0"/>
          <w:iCs w:val="0"/>
          <w:color w:val="auto"/>
          <w:szCs w:val="24"/>
          <w:highlight w:val="none"/>
        </w:rPr>
        <w:t>（项目名称）</w:t>
      </w:r>
      <w:r>
        <w:rPr>
          <w:rFonts w:hint="eastAsia" w:cs="仿宋_GB2312"/>
          <w:i w:val="0"/>
          <w:iCs w:val="0"/>
          <w:color w:val="auto"/>
          <w:szCs w:val="24"/>
          <w:highlight w:val="none"/>
          <w:lang w:val="en-US" w:eastAsia="zh-CN"/>
        </w:rPr>
        <w:t>响应</w:t>
      </w:r>
      <w:r>
        <w:rPr>
          <w:rFonts w:hint="eastAsia" w:cs="仿宋_GB2312"/>
          <w:i w:val="0"/>
          <w:iCs w:val="0"/>
          <w:color w:val="auto"/>
          <w:szCs w:val="24"/>
          <w:highlight w:val="none"/>
        </w:rPr>
        <w:t>文件、签订合同和处理有关事宜，其法律后果由我方承担。</w:t>
      </w:r>
    </w:p>
    <w:p w14:paraId="56B80D1C">
      <w:pPr>
        <w:ind w:firstLine="480" w:firstLineChars="200"/>
        <w:rPr>
          <w:rFonts w:hint="eastAsia" w:cs="仿宋_GB2312"/>
          <w:i w:val="0"/>
          <w:iCs w:val="0"/>
          <w:color w:val="auto"/>
          <w:szCs w:val="24"/>
          <w:highlight w:val="none"/>
        </w:rPr>
      </w:pPr>
      <w:r>
        <w:rPr>
          <w:rFonts w:hint="eastAsia" w:cs="仿宋_GB2312"/>
          <w:i w:val="0"/>
          <w:iCs w:val="0"/>
          <w:color w:val="auto"/>
          <w:szCs w:val="24"/>
          <w:highlight w:val="none"/>
        </w:rPr>
        <w:t>委托期限：</w:t>
      </w:r>
      <w:r>
        <w:rPr>
          <w:rFonts w:hint="eastAsia" w:cs="仿宋_GB2312"/>
          <w:i w:val="0"/>
          <w:iCs w:val="0"/>
          <w:color w:val="auto"/>
          <w:szCs w:val="24"/>
          <w:highlight w:val="none"/>
          <w:lang w:val="en-US" w:eastAsia="zh-CN"/>
        </w:rPr>
        <w:t>自本授权委托书签署之日起至响应文件有效期届满之日止。</w:t>
      </w:r>
    </w:p>
    <w:p w14:paraId="0A605ABE">
      <w:pPr>
        <w:ind w:firstLine="480" w:firstLineChars="200"/>
        <w:rPr>
          <w:rFonts w:cs="仿宋_GB2312"/>
          <w:i w:val="0"/>
          <w:iCs w:val="0"/>
          <w:color w:val="auto"/>
          <w:szCs w:val="24"/>
          <w:highlight w:val="none"/>
        </w:rPr>
      </w:pPr>
      <w:r>
        <w:rPr>
          <w:rFonts w:hint="eastAsia" w:cs="仿宋_GB2312"/>
          <w:i w:val="0"/>
          <w:iCs w:val="0"/>
          <w:color w:val="auto"/>
          <w:szCs w:val="24"/>
          <w:highlight w:val="none"/>
        </w:rPr>
        <w:t>代理人无转委托权。</w:t>
      </w:r>
    </w:p>
    <w:p w14:paraId="03C5EAD4">
      <w:pPr>
        <w:keepNext w:val="0"/>
        <w:keepLines w:val="0"/>
        <w:pageBreakBefore w:val="0"/>
        <w:widowControl w:val="0"/>
        <w:kinsoku/>
        <w:wordWrap/>
        <w:overflowPunct/>
        <w:topLinePunct w:val="0"/>
        <w:autoSpaceDE/>
        <w:autoSpaceDN/>
        <w:bidi w:val="0"/>
        <w:adjustRightInd/>
        <w:snapToGrid/>
        <w:spacing w:line="240" w:lineRule="exact"/>
        <w:ind w:firstLine="480" w:firstLineChars="200"/>
        <w:textAlignment w:val="auto"/>
        <w:rPr>
          <w:rFonts w:hint="eastAsia" w:cs="仿宋_GB2312"/>
          <w:i w:val="0"/>
          <w:iCs w:val="0"/>
          <w:color w:val="auto"/>
          <w:szCs w:val="24"/>
          <w:highlight w:val="none"/>
        </w:rPr>
      </w:pPr>
    </w:p>
    <w:p w14:paraId="27333291">
      <w:pPr>
        <w:keepNext w:val="0"/>
        <w:keepLines w:val="0"/>
        <w:pageBreakBefore w:val="0"/>
        <w:widowControl/>
        <w:suppressLineNumbers w:val="0"/>
        <w:kinsoku/>
        <w:wordWrap/>
        <w:overflowPunct/>
        <w:topLinePunct w:val="0"/>
        <w:autoSpaceDE/>
        <w:autoSpaceDN/>
        <w:bidi w:val="0"/>
        <w:adjustRightInd/>
        <w:snapToGrid/>
        <w:jc w:val="left"/>
        <w:textAlignment w:val="auto"/>
        <w:rPr>
          <w:i w:val="0"/>
          <w:iCs w:val="0"/>
          <w:color w:val="auto"/>
          <w:highlight w:val="none"/>
        </w:rPr>
      </w:pPr>
      <w:r>
        <w:rPr>
          <w:rFonts w:hint="eastAsia" w:cs="宋体"/>
          <w:i w:val="0"/>
          <w:iCs w:val="0"/>
          <w:color w:val="auto"/>
          <w:kern w:val="0"/>
          <w:sz w:val="24"/>
          <w:szCs w:val="24"/>
          <w:highlight w:val="none"/>
          <w:lang w:val="en-US" w:eastAsia="zh-CN" w:bidi="ar"/>
        </w:rPr>
        <w:t>供应商</w:t>
      </w:r>
      <w:r>
        <w:rPr>
          <w:rFonts w:hint="eastAsia" w:ascii="宋体" w:hAnsi="宋体" w:eastAsia="宋体" w:cs="宋体"/>
          <w:i w:val="0"/>
          <w:iCs w:val="0"/>
          <w:color w:val="auto"/>
          <w:kern w:val="0"/>
          <w:sz w:val="24"/>
          <w:szCs w:val="24"/>
          <w:highlight w:val="none"/>
          <w:lang w:val="en-US" w:eastAsia="zh-CN" w:bidi="ar"/>
        </w:rPr>
        <w:t>名称（加盖公章）：</w:t>
      </w:r>
      <w:r>
        <w:rPr>
          <w:rFonts w:ascii="DejaVuSans" w:hAnsi="DejaVuSans" w:eastAsia="DejaVuSans" w:cs="DejaVuSans"/>
          <w:i w:val="0"/>
          <w:iCs w:val="0"/>
          <w:color w:val="auto"/>
          <w:kern w:val="0"/>
          <w:sz w:val="24"/>
          <w:szCs w:val="24"/>
          <w:highlight w:val="none"/>
          <w:lang w:val="en-US" w:eastAsia="zh-CN" w:bidi="ar"/>
        </w:rPr>
        <w:t xml:space="preserve">________________ </w:t>
      </w:r>
    </w:p>
    <w:p w14:paraId="4CD5B2EF">
      <w:pPr>
        <w:keepNext w:val="0"/>
        <w:keepLines w:val="0"/>
        <w:pageBreakBefore w:val="0"/>
        <w:widowControl/>
        <w:suppressLineNumbers w:val="0"/>
        <w:kinsoku/>
        <w:wordWrap/>
        <w:overflowPunct/>
        <w:topLinePunct w:val="0"/>
        <w:autoSpaceDE/>
        <w:autoSpaceDN/>
        <w:bidi w:val="0"/>
        <w:adjustRightInd/>
        <w:snapToGrid/>
        <w:jc w:val="left"/>
        <w:textAlignment w:val="auto"/>
        <w:rPr>
          <w:i w:val="0"/>
          <w:iCs w:val="0"/>
          <w:color w:val="auto"/>
          <w:highlight w:val="none"/>
        </w:rPr>
      </w:pPr>
      <w:r>
        <w:rPr>
          <w:rFonts w:hint="eastAsia" w:ascii="宋体" w:hAnsi="宋体" w:eastAsia="宋体" w:cs="宋体"/>
          <w:i w:val="0"/>
          <w:iCs w:val="0"/>
          <w:color w:val="auto"/>
          <w:kern w:val="0"/>
          <w:sz w:val="24"/>
          <w:szCs w:val="24"/>
          <w:highlight w:val="none"/>
          <w:lang w:val="en-US" w:eastAsia="zh-CN" w:bidi="ar"/>
        </w:rPr>
        <w:t>法定代表人（单位负责人）（签字或签章）：</w:t>
      </w:r>
      <w:r>
        <w:rPr>
          <w:rFonts w:hint="default" w:ascii="DejaVuSans" w:hAnsi="DejaVuSans" w:eastAsia="DejaVuSans" w:cs="DejaVuSans"/>
          <w:i w:val="0"/>
          <w:iCs w:val="0"/>
          <w:color w:val="auto"/>
          <w:kern w:val="0"/>
          <w:sz w:val="24"/>
          <w:szCs w:val="24"/>
          <w:highlight w:val="none"/>
          <w:lang w:val="en-US" w:eastAsia="zh-CN" w:bidi="ar"/>
        </w:rPr>
        <w:t xml:space="preserve">________________ </w:t>
      </w:r>
    </w:p>
    <w:p w14:paraId="77AA3C36">
      <w:pPr>
        <w:keepNext w:val="0"/>
        <w:keepLines w:val="0"/>
        <w:pageBreakBefore w:val="0"/>
        <w:widowControl/>
        <w:suppressLineNumbers w:val="0"/>
        <w:kinsoku/>
        <w:wordWrap/>
        <w:overflowPunct/>
        <w:topLinePunct w:val="0"/>
        <w:autoSpaceDE/>
        <w:autoSpaceDN/>
        <w:bidi w:val="0"/>
        <w:adjustRightInd/>
        <w:snapToGrid/>
        <w:jc w:val="left"/>
        <w:textAlignment w:val="auto"/>
        <w:rPr>
          <w:rFonts w:hint="default"/>
          <w:i w:val="0"/>
          <w:iCs w:val="0"/>
          <w:color w:val="auto"/>
          <w:highlight w:val="none"/>
          <w:u w:val="single"/>
          <w:lang w:val="en-US"/>
        </w:rPr>
      </w:pPr>
      <w:r>
        <w:rPr>
          <w:rFonts w:hint="eastAsia" w:ascii="宋体" w:hAnsi="宋体" w:eastAsia="宋体" w:cs="宋体"/>
          <w:i w:val="0"/>
          <w:iCs w:val="0"/>
          <w:color w:val="auto"/>
          <w:kern w:val="0"/>
          <w:sz w:val="24"/>
          <w:szCs w:val="24"/>
          <w:highlight w:val="none"/>
          <w:lang w:val="en-US" w:eastAsia="zh-CN" w:bidi="ar"/>
        </w:rPr>
        <w:t>委托代理人（签字或签章）：</w:t>
      </w:r>
      <w:r>
        <w:rPr>
          <w:rFonts w:hint="default" w:ascii="DejaVuSans" w:hAnsi="DejaVuSans" w:eastAsia="DejaVuSans" w:cs="DejaVuSans"/>
          <w:i w:val="0"/>
          <w:iCs w:val="0"/>
          <w:color w:val="auto"/>
          <w:kern w:val="0"/>
          <w:sz w:val="24"/>
          <w:szCs w:val="24"/>
          <w:highlight w:val="none"/>
          <w:lang w:val="en-US" w:eastAsia="zh-CN" w:bidi="ar"/>
        </w:rPr>
        <w:t xml:space="preserve">________________ </w:t>
      </w:r>
      <w:r>
        <w:rPr>
          <w:rFonts w:hint="eastAsia" w:ascii="DejaVuSans" w:hAnsi="DejaVuSans" w:eastAsia="DejaVuSans" w:cs="DejaVuSans"/>
          <w:i w:val="0"/>
          <w:iCs w:val="0"/>
          <w:color w:val="auto"/>
          <w:kern w:val="0"/>
          <w:sz w:val="24"/>
          <w:szCs w:val="24"/>
          <w:highlight w:val="none"/>
          <w:lang w:val="en-US" w:eastAsia="zh-CN" w:bidi="ar"/>
        </w:rPr>
        <w:t xml:space="preserve">  联系电话：</w:t>
      </w:r>
      <w:r>
        <w:rPr>
          <w:rFonts w:hint="eastAsia" w:ascii="DejaVuSans" w:hAnsi="DejaVuSans" w:eastAsia="DejaVuSans" w:cs="DejaVuSans"/>
          <w:i w:val="0"/>
          <w:iCs w:val="0"/>
          <w:color w:val="auto"/>
          <w:kern w:val="0"/>
          <w:sz w:val="24"/>
          <w:szCs w:val="24"/>
          <w:highlight w:val="none"/>
          <w:u w:val="single"/>
          <w:lang w:val="en-US" w:eastAsia="zh-CN" w:bidi="ar"/>
        </w:rPr>
        <w:t xml:space="preserve">              </w:t>
      </w:r>
    </w:p>
    <w:p w14:paraId="4FD66B47">
      <w:pPr>
        <w:keepNext w:val="0"/>
        <w:keepLines w:val="0"/>
        <w:pageBreakBefore w:val="0"/>
        <w:widowControl/>
        <w:suppressLineNumbers w:val="0"/>
        <w:kinsoku/>
        <w:wordWrap/>
        <w:overflowPunct/>
        <w:topLinePunct w:val="0"/>
        <w:autoSpaceDE/>
        <w:autoSpaceDN/>
        <w:bidi w:val="0"/>
        <w:adjustRightInd/>
        <w:snapToGrid/>
        <w:jc w:val="left"/>
        <w:textAlignment w:val="auto"/>
        <w:rPr>
          <w:i w:val="0"/>
          <w:iCs w:val="0"/>
          <w:color w:val="auto"/>
          <w:highlight w:val="none"/>
        </w:rPr>
      </w:pPr>
      <w:r>
        <w:rPr>
          <w:rFonts w:hint="eastAsia" w:ascii="宋体" w:hAnsi="宋体" w:eastAsia="宋体" w:cs="宋体"/>
          <w:i w:val="0"/>
          <w:iCs w:val="0"/>
          <w:color w:val="auto"/>
          <w:kern w:val="0"/>
          <w:sz w:val="24"/>
          <w:szCs w:val="24"/>
          <w:highlight w:val="none"/>
          <w:lang w:val="en-US" w:eastAsia="zh-CN" w:bidi="ar"/>
        </w:rPr>
        <w:t>日期：</w:t>
      </w:r>
      <w:r>
        <w:rPr>
          <w:rFonts w:hint="default" w:ascii="DejaVuSans" w:hAnsi="DejaVuSans" w:eastAsia="DejaVuSans" w:cs="DejaVuSans"/>
          <w:i w:val="0"/>
          <w:iCs w:val="0"/>
          <w:color w:val="auto"/>
          <w:kern w:val="0"/>
          <w:sz w:val="24"/>
          <w:szCs w:val="24"/>
          <w:highlight w:val="none"/>
          <w:lang w:val="en-US" w:eastAsia="zh-CN" w:bidi="ar"/>
        </w:rPr>
        <w:t>_____</w:t>
      </w:r>
      <w:r>
        <w:rPr>
          <w:rFonts w:hint="eastAsia" w:ascii="宋体" w:hAnsi="宋体" w:eastAsia="宋体" w:cs="宋体"/>
          <w:i w:val="0"/>
          <w:iCs w:val="0"/>
          <w:color w:val="auto"/>
          <w:kern w:val="0"/>
          <w:sz w:val="24"/>
          <w:szCs w:val="24"/>
          <w:highlight w:val="none"/>
          <w:lang w:val="en-US" w:eastAsia="zh-CN" w:bidi="ar"/>
        </w:rPr>
        <w:t>年</w:t>
      </w:r>
      <w:r>
        <w:rPr>
          <w:rFonts w:hint="default" w:ascii="DejaVuSans" w:hAnsi="DejaVuSans" w:eastAsia="DejaVuSans" w:cs="DejaVuSans"/>
          <w:i w:val="0"/>
          <w:iCs w:val="0"/>
          <w:color w:val="auto"/>
          <w:kern w:val="0"/>
          <w:sz w:val="24"/>
          <w:szCs w:val="24"/>
          <w:highlight w:val="none"/>
          <w:lang w:val="en-US" w:eastAsia="zh-CN" w:bidi="ar"/>
        </w:rPr>
        <w:t>______</w:t>
      </w:r>
      <w:r>
        <w:rPr>
          <w:rFonts w:hint="eastAsia" w:ascii="宋体" w:hAnsi="宋体" w:eastAsia="宋体" w:cs="宋体"/>
          <w:i w:val="0"/>
          <w:iCs w:val="0"/>
          <w:color w:val="auto"/>
          <w:kern w:val="0"/>
          <w:sz w:val="24"/>
          <w:szCs w:val="24"/>
          <w:highlight w:val="none"/>
          <w:lang w:val="en-US" w:eastAsia="zh-CN" w:bidi="ar"/>
        </w:rPr>
        <w:t>月</w:t>
      </w:r>
      <w:r>
        <w:rPr>
          <w:rFonts w:hint="default" w:ascii="DejaVuSans" w:hAnsi="DejaVuSans" w:eastAsia="DejaVuSans" w:cs="DejaVuSans"/>
          <w:i w:val="0"/>
          <w:iCs w:val="0"/>
          <w:color w:val="auto"/>
          <w:kern w:val="0"/>
          <w:sz w:val="24"/>
          <w:szCs w:val="24"/>
          <w:highlight w:val="none"/>
          <w:lang w:val="en-US" w:eastAsia="zh-CN" w:bidi="ar"/>
        </w:rPr>
        <w:t>______</w:t>
      </w:r>
      <w:r>
        <w:rPr>
          <w:rFonts w:hint="eastAsia" w:ascii="宋体" w:hAnsi="宋体" w:eastAsia="宋体" w:cs="宋体"/>
          <w:i w:val="0"/>
          <w:iCs w:val="0"/>
          <w:color w:val="auto"/>
          <w:kern w:val="0"/>
          <w:sz w:val="24"/>
          <w:szCs w:val="24"/>
          <w:highlight w:val="none"/>
          <w:lang w:val="en-US" w:eastAsia="zh-CN" w:bidi="ar"/>
        </w:rPr>
        <w:t xml:space="preserve">日 </w:t>
      </w:r>
    </w:p>
    <w:p w14:paraId="0D7E210D">
      <w:pPr>
        <w:keepNext w:val="0"/>
        <w:keepLines w:val="0"/>
        <w:pageBreakBefore w:val="0"/>
        <w:widowControl w:val="0"/>
        <w:kinsoku/>
        <w:wordWrap/>
        <w:overflowPunct/>
        <w:topLinePunct w:val="0"/>
        <w:autoSpaceDE/>
        <w:autoSpaceDN/>
        <w:bidi w:val="0"/>
        <w:adjustRightInd/>
        <w:snapToGrid/>
        <w:spacing w:line="240" w:lineRule="exact"/>
        <w:ind w:firstLine="480" w:firstLineChars="200"/>
        <w:textAlignment w:val="auto"/>
        <w:rPr>
          <w:rFonts w:hint="eastAsia" w:cs="仿宋_GB2312"/>
          <w:i w:val="0"/>
          <w:iCs w:val="0"/>
          <w:color w:val="auto"/>
          <w:szCs w:val="24"/>
          <w:highlight w:val="none"/>
          <w:lang w:val="en-US" w:eastAsia="zh-CN"/>
        </w:rPr>
      </w:pPr>
    </w:p>
    <w:p w14:paraId="7CE346A7">
      <w:pPr>
        <w:keepNext w:val="0"/>
        <w:keepLines w:val="0"/>
        <w:pageBreakBefore w:val="0"/>
        <w:widowControl/>
        <w:suppressLineNumbers w:val="0"/>
        <w:kinsoku/>
        <w:wordWrap/>
        <w:overflowPunct/>
        <w:topLinePunct w:val="0"/>
        <w:autoSpaceDE/>
        <w:autoSpaceDN/>
        <w:bidi w:val="0"/>
        <w:adjustRightInd/>
        <w:snapToGrid/>
        <w:jc w:val="left"/>
        <w:textAlignment w:val="auto"/>
        <w:rPr>
          <w:i w:val="0"/>
          <w:iCs w:val="0"/>
          <w:color w:val="auto"/>
          <w:highlight w:val="none"/>
        </w:rPr>
      </w:pPr>
      <w:r>
        <w:rPr>
          <w:rFonts w:hint="eastAsia" w:ascii="宋体" w:hAnsi="宋体" w:eastAsia="宋体" w:cs="宋体"/>
          <w:i w:val="0"/>
          <w:iCs w:val="0"/>
          <w:color w:val="auto"/>
          <w:kern w:val="0"/>
          <w:sz w:val="24"/>
          <w:szCs w:val="24"/>
          <w:highlight w:val="none"/>
          <w:lang w:val="en-US" w:eastAsia="zh-CN" w:bidi="ar"/>
        </w:rPr>
        <w:t xml:space="preserve">附：法定代表人及委托代理人身份证明文件电子件： </w:t>
      </w:r>
    </w:p>
    <w:tbl>
      <w:tblPr>
        <w:tblStyle w:val="28"/>
        <w:tblW w:w="85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7"/>
      </w:tblGrid>
      <w:tr w14:paraId="6A575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1" w:hRule="atLeast"/>
        </w:trPr>
        <w:tc>
          <w:tcPr>
            <w:tcW w:w="8527" w:type="dxa"/>
          </w:tcPr>
          <w:p w14:paraId="66EBC6FA">
            <w:pPr>
              <w:rPr>
                <w:rFonts w:cs="Arial"/>
                <w:i w:val="0"/>
                <w:iCs w:val="0"/>
                <w:color w:val="auto"/>
                <w:highlight w:val="none"/>
              </w:rPr>
            </w:pPr>
          </w:p>
        </w:tc>
      </w:tr>
    </w:tbl>
    <w:p w14:paraId="003FC2D7">
      <w:pPr>
        <w:ind w:firstLine="480" w:firstLineChars="200"/>
        <w:rPr>
          <w:rFonts w:hint="eastAsia" w:cs="仿宋_GB2312"/>
          <w:i w:val="0"/>
          <w:iCs w:val="0"/>
          <w:color w:val="auto"/>
          <w:szCs w:val="24"/>
          <w:highlight w:val="none"/>
        </w:rPr>
      </w:pPr>
      <w:r>
        <w:rPr>
          <w:rFonts w:hint="eastAsia" w:cs="仿宋_GB2312"/>
          <w:i w:val="0"/>
          <w:iCs w:val="0"/>
          <w:color w:val="auto"/>
          <w:szCs w:val="24"/>
          <w:highlight w:val="none"/>
          <w:lang w:val="en-US" w:eastAsia="zh-CN"/>
        </w:rPr>
        <w:t xml:space="preserve">说明： </w:t>
      </w:r>
    </w:p>
    <w:p w14:paraId="6A6FAC65">
      <w:pPr>
        <w:ind w:firstLine="480" w:firstLineChars="200"/>
        <w:rPr>
          <w:rFonts w:hint="eastAsia" w:cs="仿宋_GB2312"/>
          <w:i w:val="0"/>
          <w:iCs w:val="0"/>
          <w:color w:val="auto"/>
          <w:szCs w:val="24"/>
          <w:highlight w:val="none"/>
        </w:rPr>
      </w:pPr>
      <w:r>
        <w:rPr>
          <w:rFonts w:hint="eastAsia" w:cs="仿宋_GB2312"/>
          <w:i w:val="0"/>
          <w:iCs w:val="0"/>
          <w:color w:val="auto"/>
          <w:szCs w:val="24"/>
          <w:highlight w:val="none"/>
          <w:lang w:val="en-US" w:eastAsia="zh-CN"/>
        </w:rPr>
        <w:t xml:space="preserve">1.若供应商为事业单位或其他组织或分支机构，则法定代表人（单位负责人）处的签署人可为单位负责人。 </w:t>
      </w:r>
    </w:p>
    <w:p w14:paraId="7579C425">
      <w:pPr>
        <w:ind w:firstLine="480" w:firstLineChars="200"/>
        <w:rPr>
          <w:rFonts w:hint="eastAsia" w:cs="仿宋_GB2312"/>
          <w:i w:val="0"/>
          <w:iCs w:val="0"/>
          <w:color w:val="auto"/>
          <w:szCs w:val="24"/>
          <w:highlight w:val="none"/>
        </w:rPr>
      </w:pPr>
      <w:r>
        <w:rPr>
          <w:rFonts w:hint="default" w:cs="仿宋_GB2312"/>
          <w:i w:val="0"/>
          <w:iCs w:val="0"/>
          <w:color w:val="auto"/>
          <w:szCs w:val="24"/>
          <w:highlight w:val="none"/>
          <w:lang w:val="en-US" w:eastAsia="zh-CN"/>
        </w:rPr>
        <w:t>2.</w:t>
      </w:r>
      <w:r>
        <w:rPr>
          <w:rFonts w:hint="eastAsia" w:cs="仿宋_GB2312"/>
          <w:i w:val="0"/>
          <w:iCs w:val="0"/>
          <w:color w:val="auto"/>
          <w:szCs w:val="24"/>
          <w:highlight w:val="none"/>
          <w:lang w:val="en-US" w:eastAsia="zh-CN"/>
        </w:rPr>
        <w:t xml:space="preserve">若响应文件中签字之处均为法定代表人（单位负责人）本人签署，则可不提供本《授权委托书》，但须提供《法定代表人（单位负责人）身份证明》。 </w:t>
      </w:r>
    </w:p>
    <w:p w14:paraId="7D81952A">
      <w:pPr>
        <w:ind w:firstLine="480" w:firstLineChars="200"/>
        <w:rPr>
          <w:rFonts w:hint="eastAsia" w:cs="仿宋_GB2312"/>
          <w:i w:val="0"/>
          <w:iCs w:val="0"/>
          <w:color w:val="auto"/>
          <w:szCs w:val="24"/>
          <w:highlight w:val="none"/>
        </w:rPr>
      </w:pPr>
      <w:r>
        <w:rPr>
          <w:rFonts w:hint="default" w:cs="仿宋_GB2312"/>
          <w:i w:val="0"/>
          <w:iCs w:val="0"/>
          <w:color w:val="auto"/>
          <w:szCs w:val="24"/>
          <w:highlight w:val="none"/>
          <w:lang w:val="en-US" w:eastAsia="zh-CN"/>
        </w:rPr>
        <w:t>3.</w:t>
      </w:r>
      <w:r>
        <w:rPr>
          <w:rFonts w:hint="eastAsia" w:cs="仿宋_GB2312"/>
          <w:i w:val="0"/>
          <w:iCs w:val="0"/>
          <w:color w:val="auto"/>
          <w:szCs w:val="24"/>
          <w:highlight w:val="none"/>
          <w:lang w:val="en-US" w:eastAsia="zh-CN"/>
        </w:rPr>
        <w:t xml:space="preserve">供应商为自然人的情形，可不提供本《授权委托书》。 </w:t>
      </w:r>
    </w:p>
    <w:p w14:paraId="16E91B57">
      <w:pPr>
        <w:ind w:firstLine="480" w:firstLineChars="200"/>
        <w:rPr>
          <w:rFonts w:hint="eastAsia" w:cs="仿宋_GB2312"/>
          <w:i w:val="0"/>
          <w:iCs w:val="0"/>
          <w:color w:val="auto"/>
          <w:szCs w:val="24"/>
          <w:highlight w:val="none"/>
        </w:rPr>
      </w:pPr>
      <w:r>
        <w:rPr>
          <w:rFonts w:hint="default" w:cs="仿宋_GB2312"/>
          <w:i w:val="0"/>
          <w:iCs w:val="0"/>
          <w:color w:val="auto"/>
          <w:szCs w:val="24"/>
          <w:highlight w:val="none"/>
          <w:lang w:val="en-US" w:eastAsia="zh-CN"/>
        </w:rPr>
        <w:t>4.</w:t>
      </w:r>
      <w:r>
        <w:rPr>
          <w:rFonts w:hint="eastAsia" w:cs="仿宋_GB2312"/>
          <w:i w:val="0"/>
          <w:iCs w:val="0"/>
          <w:color w:val="auto"/>
          <w:szCs w:val="24"/>
          <w:highlight w:val="none"/>
          <w:lang w:val="en-US" w:eastAsia="zh-CN"/>
        </w:rPr>
        <w:t>供应商应随本《授权委托书》同时提供法定代表人（单位负责人）及委托代理人的有效的身份证和身份证明文件电子件。提供身份证的，应同时提供身份证</w:t>
      </w:r>
      <w:r>
        <w:rPr>
          <w:rFonts w:hint="eastAsia" w:cs="仿宋_GB2312"/>
          <w:b/>
          <w:bCs/>
          <w:i w:val="0"/>
          <w:iCs w:val="0"/>
          <w:color w:val="auto"/>
          <w:szCs w:val="24"/>
          <w:highlight w:val="none"/>
          <w:lang w:val="en-US" w:eastAsia="zh-CN"/>
        </w:rPr>
        <w:t>双面</w:t>
      </w:r>
      <w:r>
        <w:rPr>
          <w:rFonts w:hint="eastAsia" w:cs="仿宋_GB2312"/>
          <w:i w:val="0"/>
          <w:iCs w:val="0"/>
          <w:color w:val="auto"/>
          <w:szCs w:val="24"/>
          <w:highlight w:val="none"/>
          <w:lang w:val="en-US" w:eastAsia="zh-CN"/>
        </w:rPr>
        <w:t>电子件。</w:t>
      </w:r>
    </w:p>
    <w:p w14:paraId="0B2EBA16">
      <w:pPr>
        <w:rPr>
          <w:i w:val="0"/>
          <w:iCs w:val="0"/>
          <w:color w:val="auto"/>
          <w:highlight w:val="none"/>
        </w:rPr>
      </w:pPr>
      <w:r>
        <w:rPr>
          <w:i w:val="0"/>
          <w:iCs w:val="0"/>
          <w:color w:val="auto"/>
          <w:highlight w:val="none"/>
        </w:rPr>
        <w:br w:type="page"/>
      </w:r>
    </w:p>
    <w:p w14:paraId="63CF304C">
      <w:pPr>
        <w:pStyle w:val="3"/>
        <w:keepNext/>
        <w:keepLines/>
        <w:pageBreakBefore w:val="0"/>
        <w:widowControl w:val="0"/>
        <w:numPr>
          <w:ilvl w:val="0"/>
          <w:numId w:val="0"/>
        </w:numPr>
        <w:kinsoku/>
        <w:wordWrap/>
        <w:overflowPunct/>
        <w:topLinePunct w:val="0"/>
        <w:autoSpaceDE/>
        <w:autoSpaceDN/>
        <w:bidi w:val="0"/>
        <w:adjustRightInd/>
        <w:snapToGrid/>
        <w:spacing w:before="100" w:after="100" w:line="360" w:lineRule="auto"/>
        <w:ind w:left="420" w:leftChars="0" w:hanging="420" w:firstLineChars="0"/>
        <w:jc w:val="center"/>
        <w:textAlignment w:val="auto"/>
        <w:rPr>
          <w:rFonts w:hint="eastAsia" w:eastAsia="宋体" w:asciiTheme="majorHAnsi" w:hAnsiTheme="majorHAnsi" w:cstheme="majorBidi"/>
          <w:b/>
          <w:bCs/>
          <w:i w:val="0"/>
          <w:iCs w:val="0"/>
          <w:color w:val="auto"/>
          <w:kern w:val="2"/>
          <w:sz w:val="32"/>
          <w:szCs w:val="32"/>
          <w:highlight w:val="none"/>
          <w:lang w:val="en-US" w:eastAsia="zh-CN" w:bidi="ar-SA"/>
        </w:rPr>
      </w:pPr>
      <w:bookmarkStart w:id="481" w:name="_Toc155185934"/>
      <w:bookmarkStart w:id="482" w:name="_Toc163492928"/>
      <w:bookmarkStart w:id="483" w:name="_Toc20527"/>
      <w:r>
        <w:rPr>
          <w:rFonts w:hint="eastAsia" w:cstheme="majorBidi"/>
          <w:b/>
          <w:bCs/>
          <w:i w:val="0"/>
          <w:iCs w:val="0"/>
          <w:color w:val="auto"/>
          <w:kern w:val="2"/>
          <w:sz w:val="32"/>
          <w:szCs w:val="32"/>
          <w:highlight w:val="none"/>
          <w:lang w:val="en-US" w:eastAsia="zh-CN" w:bidi="ar-SA"/>
        </w:rPr>
        <w:t>四</w:t>
      </w:r>
      <w:r>
        <w:rPr>
          <w:rFonts w:hint="eastAsia" w:eastAsia="宋体" w:asciiTheme="majorHAnsi" w:hAnsiTheme="majorHAnsi" w:cstheme="majorBidi"/>
          <w:b/>
          <w:bCs/>
          <w:i w:val="0"/>
          <w:iCs w:val="0"/>
          <w:color w:val="auto"/>
          <w:kern w:val="2"/>
          <w:sz w:val="32"/>
          <w:szCs w:val="32"/>
          <w:highlight w:val="none"/>
          <w:lang w:val="en-US" w:eastAsia="zh-CN" w:bidi="ar-SA"/>
        </w:rPr>
        <w:t>、</w:t>
      </w:r>
      <w:bookmarkEnd w:id="481"/>
      <w:bookmarkEnd w:id="482"/>
      <w:r>
        <w:rPr>
          <w:rFonts w:hint="eastAsia" w:eastAsia="宋体" w:asciiTheme="majorHAnsi" w:hAnsiTheme="majorHAnsi" w:cstheme="majorBidi"/>
          <w:b/>
          <w:bCs/>
          <w:i w:val="0"/>
          <w:iCs w:val="0"/>
          <w:color w:val="auto"/>
          <w:kern w:val="2"/>
          <w:sz w:val="32"/>
          <w:szCs w:val="32"/>
          <w:highlight w:val="none"/>
          <w:lang w:val="zh-CN" w:eastAsia="zh-CN" w:bidi="ar-SA"/>
        </w:rPr>
        <w:t>政府采购供应商廉洁自律承诺书</w:t>
      </w:r>
      <w:bookmarkEnd w:id="483"/>
    </w:p>
    <w:p w14:paraId="1993A163">
      <w:pPr>
        <w:pStyle w:val="11"/>
        <w:rPr>
          <w:i w:val="0"/>
          <w:iCs w:val="0"/>
          <w:color w:val="auto"/>
          <w:highlight w:val="none"/>
        </w:rPr>
      </w:pPr>
    </w:p>
    <w:p w14:paraId="2CE177B4">
      <w:pPr>
        <w:snapToGrid w:val="0"/>
        <w:spacing w:line="360" w:lineRule="auto"/>
        <w:rPr>
          <w:rFonts w:ascii="宋体" w:hAnsi="宋体" w:cs="宋体"/>
          <w:i w:val="0"/>
          <w:iCs w:val="0"/>
          <w:color w:val="auto"/>
          <w:kern w:val="0"/>
          <w:sz w:val="24"/>
          <w:szCs w:val="24"/>
          <w:highlight w:val="none"/>
        </w:rPr>
      </w:pPr>
      <w:r>
        <w:rPr>
          <w:rFonts w:hint="eastAsia" w:ascii="宋体" w:hAnsi="宋体" w:cs="宋体"/>
          <w:i w:val="0"/>
          <w:iCs w:val="0"/>
          <w:color w:val="auto"/>
          <w:sz w:val="24"/>
          <w:szCs w:val="24"/>
          <w:highlight w:val="none"/>
        </w:rPr>
        <w:t>（采购人）、（采购代理机构）</w:t>
      </w:r>
      <w:r>
        <w:rPr>
          <w:rFonts w:hint="eastAsia" w:ascii="宋体" w:hAnsi="宋体" w:cs="宋体"/>
          <w:i w:val="0"/>
          <w:iCs w:val="0"/>
          <w:color w:val="auto"/>
          <w:kern w:val="0"/>
          <w:sz w:val="24"/>
          <w:szCs w:val="24"/>
          <w:highlight w:val="none"/>
          <w:lang w:val="zh-CN"/>
        </w:rPr>
        <w:t>：</w:t>
      </w:r>
    </w:p>
    <w:p w14:paraId="2139BFB4">
      <w:pPr>
        <w:autoSpaceDE w:val="0"/>
        <w:autoSpaceDN w:val="0"/>
        <w:spacing w:line="360" w:lineRule="auto"/>
        <w:ind w:left="2" w:leftChars="1" w:firstLine="480" w:firstLineChars="200"/>
        <w:jc w:val="left"/>
        <w:rPr>
          <w:rFonts w:ascii="宋体" w:hAnsi="宋体" w:cs="宋体"/>
          <w:i w:val="0"/>
          <w:iCs w:val="0"/>
          <w:color w:val="auto"/>
          <w:kern w:val="0"/>
          <w:sz w:val="24"/>
          <w:szCs w:val="24"/>
          <w:highlight w:val="none"/>
          <w:lang w:val="zh-CN"/>
        </w:rPr>
      </w:pPr>
      <w:r>
        <w:rPr>
          <w:rFonts w:hint="eastAsia" w:ascii="宋体" w:hAnsi="宋体" w:cs="宋体"/>
          <w:i w:val="0"/>
          <w:iCs w:val="0"/>
          <w:color w:val="auto"/>
          <w:kern w:val="0"/>
          <w:sz w:val="24"/>
          <w:szCs w:val="24"/>
          <w:highlight w:val="none"/>
          <w:lang w:val="zh-CN"/>
        </w:rPr>
        <w:t>我单位响应你</w:t>
      </w:r>
      <w:r>
        <w:rPr>
          <w:rFonts w:hint="eastAsia" w:ascii="宋体" w:hAnsi="宋体" w:cs="宋体"/>
          <w:i w:val="0"/>
          <w:iCs w:val="0"/>
          <w:color w:val="auto"/>
          <w:sz w:val="24"/>
          <w:szCs w:val="24"/>
          <w:highlight w:val="none"/>
        </w:rPr>
        <w:t>单位</w:t>
      </w:r>
      <w:r>
        <w:rPr>
          <w:rFonts w:hint="eastAsia" w:ascii="宋体" w:hAnsi="宋体" w:cs="宋体"/>
          <w:i w:val="0"/>
          <w:iCs w:val="0"/>
          <w:color w:val="auto"/>
          <w:kern w:val="0"/>
          <w:sz w:val="24"/>
          <w:szCs w:val="24"/>
          <w:highlight w:val="none"/>
          <w:lang w:val="zh-CN"/>
        </w:rPr>
        <w:t>项目</w:t>
      </w:r>
      <w:r>
        <w:rPr>
          <w:rFonts w:hint="eastAsia" w:cs="宋体"/>
          <w:i w:val="0"/>
          <w:iCs w:val="0"/>
          <w:color w:val="auto"/>
          <w:kern w:val="0"/>
          <w:sz w:val="24"/>
          <w:szCs w:val="24"/>
          <w:highlight w:val="none"/>
          <w:lang w:val="en-US" w:eastAsia="zh-CN"/>
        </w:rPr>
        <w:t>竞争性磋商</w:t>
      </w:r>
      <w:r>
        <w:rPr>
          <w:rFonts w:hint="eastAsia" w:ascii="宋体" w:hAnsi="宋体" w:cs="宋体"/>
          <w:i w:val="0"/>
          <w:iCs w:val="0"/>
          <w:color w:val="auto"/>
          <w:kern w:val="0"/>
          <w:sz w:val="24"/>
          <w:szCs w:val="24"/>
          <w:highlight w:val="none"/>
          <w:lang w:val="zh-CN"/>
        </w:rPr>
        <w:t>要求参加</w:t>
      </w:r>
      <w:r>
        <w:rPr>
          <w:rFonts w:hint="eastAsia" w:cs="宋体"/>
          <w:i w:val="0"/>
          <w:iCs w:val="0"/>
          <w:color w:val="auto"/>
          <w:kern w:val="0"/>
          <w:sz w:val="24"/>
          <w:szCs w:val="24"/>
          <w:highlight w:val="none"/>
          <w:lang w:val="en-US" w:eastAsia="zh-CN"/>
        </w:rPr>
        <w:t>磋商响应</w:t>
      </w:r>
      <w:r>
        <w:rPr>
          <w:rFonts w:hint="eastAsia" w:ascii="宋体" w:hAnsi="宋体" w:cs="宋体"/>
          <w:i w:val="0"/>
          <w:iCs w:val="0"/>
          <w:color w:val="auto"/>
          <w:kern w:val="0"/>
          <w:sz w:val="24"/>
          <w:szCs w:val="24"/>
          <w:highlight w:val="none"/>
          <w:lang w:val="zh-CN"/>
        </w:rPr>
        <w:t>。在这次</w:t>
      </w:r>
      <w:r>
        <w:rPr>
          <w:rFonts w:hint="eastAsia" w:cs="宋体"/>
          <w:i w:val="0"/>
          <w:iCs w:val="0"/>
          <w:color w:val="auto"/>
          <w:kern w:val="0"/>
          <w:sz w:val="24"/>
          <w:szCs w:val="24"/>
          <w:highlight w:val="none"/>
          <w:lang w:val="en-US" w:eastAsia="zh-CN"/>
        </w:rPr>
        <w:t>磋商响应</w:t>
      </w:r>
      <w:r>
        <w:rPr>
          <w:rFonts w:hint="eastAsia" w:ascii="宋体" w:hAnsi="宋体" w:cs="宋体"/>
          <w:i w:val="0"/>
          <w:iCs w:val="0"/>
          <w:color w:val="auto"/>
          <w:kern w:val="0"/>
          <w:sz w:val="24"/>
          <w:szCs w:val="24"/>
          <w:highlight w:val="none"/>
          <w:lang w:val="zh-CN"/>
        </w:rPr>
        <w:t>过程中和</w:t>
      </w:r>
      <w:r>
        <w:rPr>
          <w:rFonts w:hint="eastAsia" w:cs="宋体"/>
          <w:i w:val="0"/>
          <w:iCs w:val="0"/>
          <w:color w:val="auto"/>
          <w:kern w:val="0"/>
          <w:sz w:val="24"/>
          <w:szCs w:val="24"/>
          <w:highlight w:val="none"/>
          <w:lang w:val="en-US" w:eastAsia="zh-CN"/>
        </w:rPr>
        <w:t>成交</w:t>
      </w:r>
      <w:r>
        <w:rPr>
          <w:rFonts w:hint="eastAsia" w:ascii="宋体" w:hAnsi="宋体" w:cs="宋体"/>
          <w:i w:val="0"/>
          <w:iCs w:val="0"/>
          <w:color w:val="auto"/>
          <w:kern w:val="0"/>
          <w:sz w:val="24"/>
          <w:szCs w:val="24"/>
          <w:highlight w:val="none"/>
          <w:lang w:val="zh-CN"/>
        </w:rPr>
        <w:t>后，我们将严格遵守国家法律法规要求，并郑重承诺：</w:t>
      </w:r>
    </w:p>
    <w:p w14:paraId="2B87D13C">
      <w:pPr>
        <w:autoSpaceDE w:val="0"/>
        <w:autoSpaceDN w:val="0"/>
        <w:spacing w:line="360" w:lineRule="auto"/>
        <w:ind w:left="2" w:leftChars="1" w:firstLine="480" w:firstLineChars="200"/>
        <w:jc w:val="left"/>
        <w:rPr>
          <w:rFonts w:hint="eastAsia" w:ascii="宋体" w:hAnsi="宋体" w:cs="宋体"/>
          <w:i w:val="0"/>
          <w:iCs w:val="0"/>
          <w:color w:val="auto"/>
          <w:kern w:val="0"/>
          <w:sz w:val="24"/>
          <w:szCs w:val="24"/>
          <w:highlight w:val="none"/>
          <w:lang w:val="zh-CN"/>
        </w:rPr>
      </w:pPr>
      <w:r>
        <w:rPr>
          <w:rFonts w:hint="eastAsia" w:ascii="宋体" w:hAnsi="宋体" w:cs="宋体"/>
          <w:i w:val="0"/>
          <w:iCs w:val="0"/>
          <w:color w:val="auto"/>
          <w:kern w:val="0"/>
          <w:sz w:val="24"/>
          <w:szCs w:val="24"/>
          <w:highlight w:val="none"/>
          <w:lang w:val="zh-CN"/>
        </w:rPr>
        <w:t xml:space="preserve">一、不向项目有关人员及部门赠送礼金礼物、有价证券、回扣以及中介费、介绍费、咨询费等好处费； </w:t>
      </w:r>
    </w:p>
    <w:p w14:paraId="063D62B4">
      <w:pPr>
        <w:autoSpaceDE w:val="0"/>
        <w:autoSpaceDN w:val="0"/>
        <w:spacing w:line="360" w:lineRule="auto"/>
        <w:ind w:left="2" w:leftChars="1" w:firstLine="480" w:firstLineChars="200"/>
        <w:jc w:val="left"/>
        <w:rPr>
          <w:rFonts w:hint="eastAsia" w:ascii="宋体" w:hAnsi="宋体" w:cs="宋体"/>
          <w:i w:val="0"/>
          <w:iCs w:val="0"/>
          <w:color w:val="auto"/>
          <w:kern w:val="0"/>
          <w:sz w:val="24"/>
          <w:szCs w:val="24"/>
          <w:highlight w:val="none"/>
          <w:lang w:val="zh-CN"/>
        </w:rPr>
      </w:pPr>
      <w:r>
        <w:rPr>
          <w:rFonts w:hint="eastAsia" w:ascii="宋体" w:hAnsi="宋体" w:cs="宋体"/>
          <w:i w:val="0"/>
          <w:iCs w:val="0"/>
          <w:color w:val="auto"/>
          <w:kern w:val="0"/>
          <w:sz w:val="24"/>
          <w:szCs w:val="24"/>
          <w:highlight w:val="none"/>
          <w:lang w:val="zh-CN"/>
        </w:rPr>
        <w:t xml:space="preserve">二、不为项目有关人员及部门报销应由你方单位或个人支付的费用； </w:t>
      </w:r>
    </w:p>
    <w:p w14:paraId="5ADDE615">
      <w:pPr>
        <w:autoSpaceDE w:val="0"/>
        <w:autoSpaceDN w:val="0"/>
        <w:spacing w:line="360" w:lineRule="auto"/>
        <w:ind w:left="2" w:leftChars="1" w:firstLine="480" w:firstLineChars="200"/>
        <w:jc w:val="left"/>
        <w:rPr>
          <w:rFonts w:hint="eastAsia" w:ascii="宋体" w:hAnsi="宋体" w:cs="宋体"/>
          <w:i w:val="0"/>
          <w:iCs w:val="0"/>
          <w:color w:val="auto"/>
          <w:kern w:val="0"/>
          <w:sz w:val="24"/>
          <w:szCs w:val="24"/>
          <w:highlight w:val="none"/>
          <w:lang w:val="zh-CN"/>
        </w:rPr>
      </w:pPr>
      <w:r>
        <w:rPr>
          <w:rFonts w:hint="eastAsia" w:ascii="宋体" w:hAnsi="宋体" w:cs="宋体"/>
          <w:i w:val="0"/>
          <w:iCs w:val="0"/>
          <w:color w:val="auto"/>
          <w:kern w:val="0"/>
          <w:sz w:val="24"/>
          <w:szCs w:val="24"/>
          <w:highlight w:val="none"/>
          <w:lang w:val="zh-CN"/>
        </w:rPr>
        <w:t>三、不向项目有关人员及部门提供有可能影响公正的宴请和健身娱乐等活动；</w:t>
      </w:r>
    </w:p>
    <w:p w14:paraId="6B70337F">
      <w:pPr>
        <w:autoSpaceDE w:val="0"/>
        <w:autoSpaceDN w:val="0"/>
        <w:spacing w:line="360" w:lineRule="auto"/>
        <w:ind w:left="2" w:leftChars="1" w:firstLine="480" w:firstLineChars="200"/>
        <w:jc w:val="left"/>
        <w:rPr>
          <w:rFonts w:hint="eastAsia" w:ascii="宋体" w:hAnsi="宋体" w:cs="宋体"/>
          <w:i w:val="0"/>
          <w:iCs w:val="0"/>
          <w:color w:val="auto"/>
          <w:kern w:val="0"/>
          <w:sz w:val="24"/>
          <w:szCs w:val="24"/>
          <w:highlight w:val="none"/>
          <w:lang w:val="zh-CN"/>
        </w:rPr>
      </w:pPr>
      <w:r>
        <w:rPr>
          <w:rFonts w:hint="eastAsia" w:ascii="宋体" w:hAnsi="宋体" w:cs="宋体"/>
          <w:i w:val="0"/>
          <w:iCs w:val="0"/>
          <w:color w:val="auto"/>
          <w:kern w:val="0"/>
          <w:sz w:val="24"/>
          <w:szCs w:val="24"/>
          <w:highlight w:val="none"/>
          <w:lang w:val="zh-CN"/>
        </w:rPr>
        <w:t>四、不为项目有关人员及部门出国（境）、旅游等提供方便；</w:t>
      </w:r>
    </w:p>
    <w:p w14:paraId="6421E616">
      <w:pPr>
        <w:autoSpaceDE w:val="0"/>
        <w:autoSpaceDN w:val="0"/>
        <w:spacing w:line="360" w:lineRule="auto"/>
        <w:ind w:left="2" w:leftChars="1" w:firstLine="480" w:firstLineChars="200"/>
        <w:jc w:val="left"/>
        <w:rPr>
          <w:rFonts w:hint="eastAsia" w:ascii="宋体" w:hAnsi="宋体" w:cs="宋体"/>
          <w:i w:val="0"/>
          <w:iCs w:val="0"/>
          <w:color w:val="auto"/>
          <w:kern w:val="0"/>
          <w:sz w:val="24"/>
          <w:szCs w:val="24"/>
          <w:highlight w:val="none"/>
          <w:lang w:val="zh-CN"/>
        </w:rPr>
      </w:pPr>
      <w:r>
        <w:rPr>
          <w:rFonts w:hint="eastAsia" w:ascii="宋体" w:hAnsi="宋体" w:cs="宋体"/>
          <w:i w:val="0"/>
          <w:iCs w:val="0"/>
          <w:color w:val="auto"/>
          <w:kern w:val="0"/>
          <w:sz w:val="24"/>
          <w:szCs w:val="24"/>
          <w:highlight w:val="none"/>
          <w:lang w:val="zh-CN"/>
        </w:rPr>
        <w:t>五、不为项目有关人员个人装修住房、婚丧嫁娶、配偶子女工作安排等提供好处；</w:t>
      </w:r>
    </w:p>
    <w:p w14:paraId="663761CE">
      <w:pPr>
        <w:autoSpaceDE w:val="0"/>
        <w:autoSpaceDN w:val="0"/>
        <w:spacing w:line="360" w:lineRule="auto"/>
        <w:ind w:left="2" w:leftChars="1" w:firstLine="480" w:firstLineChars="200"/>
        <w:jc w:val="left"/>
        <w:rPr>
          <w:rFonts w:hint="eastAsia" w:ascii="宋体" w:hAnsi="宋体" w:cs="宋体"/>
          <w:i w:val="0"/>
          <w:iCs w:val="0"/>
          <w:color w:val="auto"/>
          <w:kern w:val="0"/>
          <w:sz w:val="24"/>
          <w:szCs w:val="24"/>
          <w:highlight w:val="none"/>
          <w:lang w:val="zh-CN"/>
        </w:rPr>
      </w:pPr>
      <w:r>
        <w:rPr>
          <w:rFonts w:hint="eastAsia" w:ascii="宋体" w:hAnsi="宋体" w:cs="宋体"/>
          <w:i w:val="0"/>
          <w:iCs w:val="0"/>
          <w:color w:val="auto"/>
          <w:kern w:val="0"/>
          <w:sz w:val="24"/>
          <w:szCs w:val="24"/>
          <w:highlight w:val="none"/>
          <w:lang w:val="zh-CN"/>
        </w:rPr>
        <w:t xml:space="preserve">六、严格遵守《中华人民共和国政府采购法》《中华人民共和国招标投标法》《中华人民共和国民法典》等法律法规，诚实守信，合法经营，坚决抵制各种违法违纪行为。 </w:t>
      </w:r>
    </w:p>
    <w:p w14:paraId="5C8FD2B8">
      <w:pPr>
        <w:autoSpaceDE w:val="0"/>
        <w:autoSpaceDN w:val="0"/>
        <w:spacing w:line="360" w:lineRule="auto"/>
        <w:ind w:left="2" w:leftChars="1" w:firstLine="480" w:firstLineChars="200"/>
        <w:jc w:val="left"/>
        <w:rPr>
          <w:rFonts w:hint="eastAsia" w:ascii="宋体" w:hAnsi="宋体" w:cs="宋体"/>
          <w:i w:val="0"/>
          <w:iCs w:val="0"/>
          <w:color w:val="auto"/>
          <w:kern w:val="0"/>
          <w:sz w:val="24"/>
          <w:szCs w:val="24"/>
          <w:highlight w:val="none"/>
          <w:lang w:val="zh-CN"/>
        </w:rPr>
      </w:pPr>
      <w:r>
        <w:rPr>
          <w:rFonts w:hint="eastAsia" w:ascii="宋体" w:hAnsi="宋体" w:cs="宋体"/>
          <w:i w:val="0"/>
          <w:iCs w:val="0"/>
          <w:color w:val="auto"/>
          <w:kern w:val="0"/>
          <w:sz w:val="24"/>
          <w:szCs w:val="24"/>
          <w:highlight w:val="none"/>
          <w:lang w:val="zh-CN"/>
        </w:rPr>
        <w:t>如违反上述承诺，你单位有权立即取消我单位</w:t>
      </w:r>
      <w:r>
        <w:rPr>
          <w:rFonts w:hint="eastAsia" w:cs="宋体"/>
          <w:i w:val="0"/>
          <w:iCs w:val="0"/>
          <w:color w:val="auto"/>
          <w:kern w:val="0"/>
          <w:sz w:val="24"/>
          <w:szCs w:val="24"/>
          <w:highlight w:val="none"/>
          <w:lang w:val="en-US" w:eastAsia="zh-CN"/>
        </w:rPr>
        <w:t>磋商响应</w:t>
      </w:r>
      <w:r>
        <w:rPr>
          <w:rFonts w:hint="eastAsia" w:ascii="宋体" w:hAnsi="宋体" w:cs="宋体"/>
          <w:i w:val="0"/>
          <w:iCs w:val="0"/>
          <w:color w:val="auto"/>
          <w:kern w:val="0"/>
          <w:sz w:val="24"/>
          <w:szCs w:val="24"/>
          <w:highlight w:val="none"/>
          <w:lang w:val="zh-CN"/>
        </w:rPr>
        <w:t>、</w:t>
      </w:r>
      <w:r>
        <w:rPr>
          <w:rFonts w:hint="eastAsia" w:cs="宋体"/>
          <w:i w:val="0"/>
          <w:iCs w:val="0"/>
          <w:color w:val="auto"/>
          <w:kern w:val="0"/>
          <w:sz w:val="24"/>
          <w:szCs w:val="24"/>
          <w:highlight w:val="none"/>
          <w:lang w:val="en-US" w:eastAsia="zh-CN"/>
        </w:rPr>
        <w:t>成交</w:t>
      </w:r>
      <w:r>
        <w:rPr>
          <w:rFonts w:hint="eastAsia" w:ascii="宋体" w:hAnsi="宋体" w:cs="宋体"/>
          <w:i w:val="0"/>
          <w:iCs w:val="0"/>
          <w:color w:val="auto"/>
          <w:kern w:val="0"/>
          <w:sz w:val="24"/>
          <w:szCs w:val="24"/>
          <w:highlight w:val="none"/>
          <w:lang w:val="zh-CN"/>
        </w:rPr>
        <w:t>或在建项目的建设资格，有权拒绝我单位在一定时期内进入你单位进行项目建设或其他经营活动，并通报财政局。由此引起的相应损失均由我单位承担。</w:t>
      </w:r>
    </w:p>
    <w:p w14:paraId="5E22ECB4">
      <w:pPr>
        <w:autoSpaceDE w:val="0"/>
        <w:autoSpaceDN w:val="0"/>
        <w:spacing w:line="360" w:lineRule="auto"/>
        <w:ind w:left="2"/>
        <w:jc w:val="left"/>
        <w:rPr>
          <w:rFonts w:ascii="宋体" w:hAnsi="宋体" w:cs="宋体"/>
          <w:i w:val="0"/>
          <w:iCs w:val="0"/>
          <w:color w:val="auto"/>
          <w:kern w:val="0"/>
          <w:sz w:val="24"/>
          <w:szCs w:val="24"/>
          <w:highlight w:val="none"/>
          <w:lang w:val="zh-CN"/>
        </w:rPr>
      </w:pPr>
    </w:p>
    <w:p w14:paraId="0914ACDE">
      <w:pPr>
        <w:autoSpaceDE w:val="0"/>
        <w:autoSpaceDN w:val="0"/>
        <w:spacing w:line="360" w:lineRule="auto"/>
        <w:ind w:left="2"/>
        <w:jc w:val="left"/>
        <w:rPr>
          <w:rFonts w:ascii="宋体" w:hAnsi="宋体" w:cs="宋体"/>
          <w:i w:val="0"/>
          <w:iCs w:val="0"/>
          <w:color w:val="auto"/>
          <w:kern w:val="0"/>
          <w:sz w:val="24"/>
          <w:szCs w:val="24"/>
          <w:highlight w:val="none"/>
          <w:lang w:val="zh-CN"/>
        </w:rPr>
      </w:pPr>
    </w:p>
    <w:p w14:paraId="02E01AF0">
      <w:pPr>
        <w:autoSpaceDE w:val="0"/>
        <w:autoSpaceDN w:val="0"/>
        <w:spacing w:line="360" w:lineRule="auto"/>
        <w:ind w:left="2"/>
        <w:jc w:val="left"/>
        <w:rPr>
          <w:rFonts w:ascii="宋体" w:hAnsi="宋体" w:cs="宋体"/>
          <w:i w:val="0"/>
          <w:iCs w:val="0"/>
          <w:color w:val="auto"/>
          <w:kern w:val="0"/>
          <w:sz w:val="24"/>
          <w:szCs w:val="24"/>
          <w:highlight w:val="none"/>
          <w:lang w:val="zh-CN"/>
        </w:rPr>
      </w:pPr>
    </w:p>
    <w:p w14:paraId="3EA46769">
      <w:pPr>
        <w:autoSpaceDE w:val="0"/>
        <w:autoSpaceDN w:val="0"/>
        <w:spacing w:line="360" w:lineRule="auto"/>
        <w:ind w:left="2" w:leftChars="1" w:right="1120" w:firstLine="4560" w:firstLineChars="1900"/>
        <w:jc w:val="left"/>
        <w:rPr>
          <w:rFonts w:ascii="宋体" w:hAnsi="宋体" w:cs="宋体"/>
          <w:i w:val="0"/>
          <w:iCs w:val="0"/>
          <w:color w:val="auto"/>
          <w:kern w:val="0"/>
          <w:sz w:val="24"/>
          <w:szCs w:val="24"/>
          <w:highlight w:val="none"/>
          <w:lang w:val="zh-CN"/>
        </w:rPr>
      </w:pPr>
      <w:r>
        <w:rPr>
          <w:rFonts w:hint="eastAsia" w:cs="宋体"/>
          <w:i w:val="0"/>
          <w:iCs w:val="0"/>
          <w:color w:val="auto"/>
          <w:kern w:val="0"/>
          <w:sz w:val="24"/>
          <w:szCs w:val="24"/>
          <w:highlight w:val="none"/>
          <w:lang w:val="en-US" w:eastAsia="zh-CN"/>
        </w:rPr>
        <w:t>供应商</w:t>
      </w:r>
      <w:r>
        <w:rPr>
          <w:rFonts w:hint="eastAsia" w:ascii="宋体" w:hAnsi="宋体" w:cs="宋体"/>
          <w:i w:val="0"/>
          <w:iCs w:val="0"/>
          <w:color w:val="auto"/>
          <w:kern w:val="0"/>
          <w:sz w:val="24"/>
          <w:szCs w:val="24"/>
          <w:highlight w:val="none"/>
          <w:lang w:val="zh-CN"/>
        </w:rPr>
        <w:t>名称（</w:t>
      </w:r>
      <w:r>
        <w:rPr>
          <w:rFonts w:hint="eastAsia" w:cs="宋体"/>
          <w:i w:val="0"/>
          <w:iCs w:val="0"/>
          <w:color w:val="auto"/>
          <w:sz w:val="24"/>
          <w:szCs w:val="24"/>
          <w:highlight w:val="none"/>
          <w:lang w:eastAsia="zh-CN"/>
        </w:rPr>
        <w:t>公章</w:t>
      </w:r>
      <w:r>
        <w:rPr>
          <w:rFonts w:hint="eastAsia" w:ascii="宋体" w:hAnsi="宋体" w:cs="宋体"/>
          <w:i w:val="0"/>
          <w:iCs w:val="0"/>
          <w:color w:val="auto"/>
          <w:kern w:val="0"/>
          <w:sz w:val="24"/>
          <w:szCs w:val="24"/>
          <w:highlight w:val="none"/>
          <w:lang w:val="zh-CN"/>
        </w:rPr>
        <w:t xml:space="preserve">）：                                                                                                                                                                                                               </w:t>
      </w:r>
    </w:p>
    <w:p w14:paraId="0FD8A2DC">
      <w:pPr>
        <w:ind w:firstLine="4560" w:firstLineChars="1900"/>
        <w:rPr>
          <w:rFonts w:hint="eastAsia" w:eastAsia="宋体" w:asciiTheme="majorHAnsi" w:hAnsiTheme="majorHAnsi" w:cstheme="majorBidi"/>
          <w:b/>
          <w:bCs/>
          <w:i w:val="0"/>
          <w:iCs w:val="0"/>
          <w:color w:val="auto"/>
          <w:kern w:val="2"/>
          <w:sz w:val="24"/>
          <w:szCs w:val="24"/>
          <w:highlight w:val="none"/>
          <w:lang w:val="en-US" w:eastAsia="zh-CN" w:bidi="ar-SA"/>
        </w:rPr>
      </w:pPr>
      <w:r>
        <w:rPr>
          <w:rFonts w:hint="eastAsia" w:ascii="宋体" w:hAnsi="宋体" w:cs="宋体"/>
          <w:i w:val="0"/>
          <w:iCs w:val="0"/>
          <w:color w:val="auto"/>
          <w:kern w:val="0"/>
          <w:sz w:val="24"/>
          <w:szCs w:val="24"/>
          <w:highlight w:val="none"/>
          <w:lang w:val="zh-CN"/>
        </w:rPr>
        <w:t>日期</w:t>
      </w:r>
      <w:r>
        <w:rPr>
          <w:rFonts w:hint="eastAsia" w:ascii="宋体" w:hAnsi="宋体" w:cs="宋体"/>
          <w:i w:val="0"/>
          <w:iCs w:val="0"/>
          <w:color w:val="auto"/>
          <w:kern w:val="0"/>
          <w:sz w:val="24"/>
          <w:szCs w:val="24"/>
          <w:highlight w:val="none"/>
        </w:rPr>
        <w:t>：</w:t>
      </w:r>
      <w:r>
        <w:rPr>
          <w:rFonts w:hint="eastAsia" w:ascii="宋体" w:hAnsi="宋体" w:cs="宋体"/>
          <w:i w:val="0"/>
          <w:iCs w:val="0"/>
          <w:color w:val="auto"/>
          <w:kern w:val="0"/>
          <w:sz w:val="24"/>
          <w:szCs w:val="24"/>
          <w:highlight w:val="none"/>
          <w:lang w:val="zh-CN"/>
        </w:rPr>
        <w:t xml:space="preserve">   年   月   日</w:t>
      </w:r>
    </w:p>
    <w:p w14:paraId="5AA40BF9">
      <w:pPr>
        <w:rPr>
          <w:rFonts w:hint="eastAsia" w:eastAsia="宋体" w:asciiTheme="majorHAnsi" w:hAnsiTheme="majorHAnsi" w:cstheme="majorBidi"/>
          <w:b/>
          <w:bCs/>
          <w:i w:val="0"/>
          <w:iCs w:val="0"/>
          <w:color w:val="auto"/>
          <w:kern w:val="2"/>
          <w:sz w:val="24"/>
          <w:szCs w:val="24"/>
          <w:highlight w:val="none"/>
          <w:lang w:val="en-US" w:eastAsia="zh-CN" w:bidi="ar-SA"/>
        </w:rPr>
      </w:pPr>
    </w:p>
    <w:p w14:paraId="2917743B">
      <w:pPr>
        <w:pStyle w:val="11"/>
        <w:rPr>
          <w:rFonts w:hint="eastAsia" w:eastAsia="宋体" w:asciiTheme="majorHAnsi" w:hAnsiTheme="majorHAnsi" w:cstheme="majorBidi"/>
          <w:b/>
          <w:bCs/>
          <w:i w:val="0"/>
          <w:iCs w:val="0"/>
          <w:color w:val="auto"/>
          <w:kern w:val="2"/>
          <w:sz w:val="24"/>
          <w:szCs w:val="24"/>
          <w:highlight w:val="none"/>
          <w:lang w:val="en-US" w:eastAsia="zh-CN" w:bidi="ar-SA"/>
        </w:rPr>
      </w:pPr>
    </w:p>
    <w:p w14:paraId="2CC927CA">
      <w:pPr>
        <w:pStyle w:val="11"/>
        <w:rPr>
          <w:rFonts w:hint="eastAsia" w:eastAsia="宋体" w:asciiTheme="majorHAnsi" w:hAnsiTheme="majorHAnsi" w:cstheme="majorBidi"/>
          <w:b/>
          <w:bCs/>
          <w:i w:val="0"/>
          <w:iCs w:val="0"/>
          <w:color w:val="auto"/>
          <w:kern w:val="2"/>
          <w:sz w:val="24"/>
          <w:szCs w:val="24"/>
          <w:highlight w:val="none"/>
          <w:lang w:val="en-US" w:eastAsia="zh-CN" w:bidi="ar-SA"/>
        </w:rPr>
      </w:pPr>
    </w:p>
    <w:p w14:paraId="59BFE13A">
      <w:pPr>
        <w:pStyle w:val="11"/>
        <w:rPr>
          <w:rFonts w:hint="eastAsia" w:eastAsia="宋体" w:asciiTheme="majorHAnsi" w:hAnsiTheme="majorHAnsi" w:cstheme="majorBidi"/>
          <w:b/>
          <w:bCs/>
          <w:i w:val="0"/>
          <w:iCs w:val="0"/>
          <w:color w:val="auto"/>
          <w:kern w:val="2"/>
          <w:sz w:val="24"/>
          <w:szCs w:val="24"/>
          <w:highlight w:val="none"/>
          <w:lang w:val="en-US" w:eastAsia="zh-CN" w:bidi="ar-SA"/>
        </w:rPr>
      </w:pPr>
    </w:p>
    <w:p w14:paraId="7CB54CC5">
      <w:pPr>
        <w:pStyle w:val="3"/>
        <w:keepNext/>
        <w:keepLines/>
        <w:pageBreakBefore w:val="0"/>
        <w:widowControl w:val="0"/>
        <w:numPr>
          <w:ilvl w:val="0"/>
          <w:numId w:val="0"/>
        </w:numPr>
        <w:kinsoku/>
        <w:wordWrap/>
        <w:overflowPunct/>
        <w:topLinePunct w:val="0"/>
        <w:autoSpaceDE/>
        <w:autoSpaceDN/>
        <w:bidi w:val="0"/>
        <w:adjustRightInd/>
        <w:snapToGrid/>
        <w:spacing w:before="100" w:after="100" w:line="360" w:lineRule="auto"/>
        <w:ind w:left="420" w:leftChars="0" w:hanging="420" w:firstLineChars="0"/>
        <w:jc w:val="center"/>
        <w:textAlignment w:val="auto"/>
        <w:rPr>
          <w:rFonts w:hint="eastAsia" w:eastAsia="宋体" w:asciiTheme="majorHAnsi" w:hAnsiTheme="majorHAnsi" w:cstheme="majorBidi"/>
          <w:b/>
          <w:bCs/>
          <w:i w:val="0"/>
          <w:iCs w:val="0"/>
          <w:color w:val="auto"/>
          <w:kern w:val="2"/>
          <w:sz w:val="32"/>
          <w:szCs w:val="32"/>
          <w:highlight w:val="none"/>
          <w:lang w:val="en-US" w:eastAsia="zh-CN" w:bidi="ar-SA"/>
        </w:rPr>
      </w:pPr>
      <w:bookmarkStart w:id="484" w:name="_Toc2147"/>
      <w:r>
        <w:rPr>
          <w:rFonts w:hint="eastAsia" w:eastAsia="宋体" w:asciiTheme="majorHAnsi" w:hAnsiTheme="majorHAnsi" w:cstheme="majorBidi"/>
          <w:b/>
          <w:bCs/>
          <w:i w:val="0"/>
          <w:iCs w:val="0"/>
          <w:color w:val="auto"/>
          <w:kern w:val="2"/>
          <w:sz w:val="32"/>
          <w:szCs w:val="32"/>
          <w:highlight w:val="none"/>
          <w:lang w:val="en-US" w:eastAsia="zh-CN" w:bidi="ar-SA"/>
        </w:rPr>
        <w:t>五、实质性响应一览表</w:t>
      </w:r>
      <w:r>
        <w:rPr>
          <w:rFonts w:hint="eastAsia" w:eastAsia="宋体" w:asciiTheme="majorHAnsi" w:hAnsiTheme="majorHAnsi" w:cstheme="majorBidi"/>
          <w:b/>
          <w:bCs/>
          <w:i w:val="0"/>
          <w:iCs w:val="0"/>
          <w:color w:val="auto"/>
          <w:kern w:val="2"/>
          <w:sz w:val="32"/>
          <w:szCs w:val="32"/>
          <w:highlight w:val="none"/>
          <w:lang w:val="zh-CN" w:eastAsia="zh-CN" w:bidi="ar-SA"/>
        </w:rPr>
        <w:t>【</w:t>
      </w:r>
      <w:r>
        <w:rPr>
          <w:rFonts w:hint="eastAsia" w:eastAsia="宋体" w:asciiTheme="majorHAnsi" w:hAnsiTheme="majorHAnsi" w:cstheme="majorBidi"/>
          <w:b/>
          <w:bCs/>
          <w:i w:val="0"/>
          <w:iCs w:val="0"/>
          <w:color w:val="auto"/>
          <w:kern w:val="2"/>
          <w:sz w:val="32"/>
          <w:szCs w:val="32"/>
          <w:highlight w:val="none"/>
          <w:lang w:val="en-US" w:eastAsia="zh-CN" w:bidi="ar-SA"/>
        </w:rPr>
        <w:t>本表须与第四章的一致】</w:t>
      </w:r>
      <w:bookmarkEnd w:id="484"/>
    </w:p>
    <w:p w14:paraId="1A00EE72">
      <w:pPr>
        <w:shd w:val="clear" w:color="auto" w:fill="FFFFFF"/>
        <w:tabs>
          <w:tab w:val="left" w:pos="3045"/>
        </w:tabs>
        <w:autoSpaceDE w:val="0"/>
        <w:autoSpaceDN w:val="0"/>
        <w:adjustRightInd w:val="0"/>
        <w:snapToGrid w:val="0"/>
        <w:spacing w:line="360" w:lineRule="exact"/>
        <w:jc w:val="center"/>
        <w:rPr>
          <w:rFonts w:hint="eastAsia" w:ascii="宋体" w:hAnsi="宋体" w:cs="宋体"/>
          <w:b/>
          <w:i w:val="0"/>
          <w:iCs w:val="0"/>
          <w:color w:val="auto"/>
          <w:sz w:val="24"/>
          <w:highlight w:val="none"/>
        </w:rPr>
      </w:pPr>
      <w:r>
        <w:rPr>
          <w:rFonts w:hint="eastAsia" w:ascii="宋体" w:hAnsi="宋体" w:cs="宋体"/>
          <w:b w:val="0"/>
          <w:bCs/>
          <w:i w:val="0"/>
          <w:iCs w:val="0"/>
          <w:color w:val="auto"/>
          <w:sz w:val="24"/>
          <w:highlight w:val="none"/>
        </w:rPr>
        <w:t>（供应商须对本附表所有内容逐条响应且无负偏离，否则</w:t>
      </w:r>
      <w:r>
        <w:rPr>
          <w:rFonts w:hint="eastAsia" w:cs="宋体"/>
          <w:b w:val="0"/>
          <w:bCs/>
          <w:i w:val="0"/>
          <w:iCs w:val="0"/>
          <w:color w:val="auto"/>
          <w:sz w:val="24"/>
          <w:highlight w:val="none"/>
          <w:lang w:val="en-US" w:eastAsia="zh-CN"/>
        </w:rPr>
        <w:t>其</w:t>
      </w:r>
      <w:r>
        <w:rPr>
          <w:rFonts w:hint="eastAsia" w:cs="宋体"/>
          <w:b/>
          <w:i w:val="0"/>
          <w:iCs w:val="0"/>
          <w:color w:val="auto"/>
          <w:sz w:val="24"/>
          <w:highlight w:val="none"/>
          <w:lang w:val="en-US" w:eastAsia="zh-CN"/>
        </w:rPr>
        <w:t>响应</w:t>
      </w:r>
      <w:r>
        <w:rPr>
          <w:rFonts w:hint="eastAsia" w:ascii="宋体" w:hAnsi="宋体" w:cs="宋体"/>
          <w:b/>
          <w:i w:val="0"/>
          <w:iCs w:val="0"/>
          <w:color w:val="auto"/>
          <w:sz w:val="24"/>
          <w:highlight w:val="none"/>
        </w:rPr>
        <w:t>无效</w:t>
      </w:r>
      <w:r>
        <w:rPr>
          <w:rFonts w:hint="eastAsia" w:ascii="宋体" w:hAnsi="宋体" w:cs="宋体"/>
          <w:b w:val="0"/>
          <w:bCs/>
          <w:i w:val="0"/>
          <w:iCs w:val="0"/>
          <w:color w:val="auto"/>
          <w:sz w:val="24"/>
          <w:highlight w:val="none"/>
        </w:rPr>
        <w:t>）</w:t>
      </w:r>
    </w:p>
    <w:p w14:paraId="597D85C2">
      <w:pPr>
        <w:pStyle w:val="21"/>
        <w:rPr>
          <w:rFonts w:hint="eastAsia" w:ascii="宋体" w:hAnsi="宋体" w:cs="宋体"/>
          <w:i w:val="0"/>
          <w:iCs w:val="0"/>
          <w:color w:val="auto"/>
          <w:highlight w:val="none"/>
        </w:rPr>
      </w:pPr>
    </w:p>
    <w:tbl>
      <w:tblPr>
        <w:tblStyle w:val="28"/>
        <w:tblW w:w="5590" w:type="pct"/>
        <w:tblInd w:w="-50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3"/>
        <w:gridCol w:w="2496"/>
        <w:gridCol w:w="3671"/>
        <w:gridCol w:w="1957"/>
        <w:gridCol w:w="732"/>
      </w:tblGrid>
      <w:tr w14:paraId="5636C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8" w:hRule="atLeast"/>
        </w:trPr>
        <w:tc>
          <w:tcPr>
            <w:tcW w:w="353" w:type="pct"/>
            <w:vMerge w:val="restart"/>
            <w:noWrap w:val="0"/>
            <w:vAlign w:val="center"/>
          </w:tcPr>
          <w:p w14:paraId="70DEA68C">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宋体" w:hAnsi="宋体" w:cs="宋体"/>
                <w:i w:val="0"/>
                <w:iCs w:val="0"/>
                <w:color w:val="auto"/>
                <w:sz w:val="24"/>
                <w:highlight w:val="none"/>
              </w:rPr>
            </w:pPr>
            <w:r>
              <w:rPr>
                <w:rFonts w:hint="eastAsia" w:ascii="宋体" w:hAnsi="宋体" w:cs="宋体"/>
                <w:i w:val="0"/>
                <w:iCs w:val="0"/>
                <w:color w:val="auto"/>
                <w:sz w:val="24"/>
                <w:highlight w:val="none"/>
              </w:rPr>
              <w:t>序号</w:t>
            </w:r>
          </w:p>
        </w:tc>
        <w:tc>
          <w:tcPr>
            <w:tcW w:w="3235" w:type="pct"/>
            <w:gridSpan w:val="2"/>
            <w:noWrap w:val="0"/>
            <w:vAlign w:val="center"/>
          </w:tcPr>
          <w:p w14:paraId="7BD88E5A">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宋体" w:hAnsi="宋体" w:cs="宋体"/>
                <w:i w:val="0"/>
                <w:iCs w:val="0"/>
                <w:color w:val="auto"/>
                <w:sz w:val="24"/>
                <w:highlight w:val="none"/>
              </w:rPr>
            </w:pPr>
            <w:r>
              <w:rPr>
                <w:rFonts w:hint="eastAsia" w:ascii="宋体" w:hAnsi="宋体" w:cs="宋体"/>
                <w:i w:val="0"/>
                <w:iCs w:val="0"/>
                <w:color w:val="auto"/>
                <w:sz w:val="24"/>
                <w:highlight w:val="none"/>
                <w:lang w:eastAsia="zh-CN"/>
              </w:rPr>
              <w:t>磋商</w:t>
            </w:r>
            <w:r>
              <w:rPr>
                <w:rFonts w:hint="eastAsia" w:ascii="宋体" w:hAnsi="宋体" w:cs="宋体"/>
                <w:i w:val="0"/>
                <w:iCs w:val="0"/>
                <w:color w:val="auto"/>
                <w:sz w:val="24"/>
                <w:highlight w:val="none"/>
              </w:rPr>
              <w:t>文件要求的实质性响应内容</w:t>
            </w:r>
          </w:p>
        </w:tc>
        <w:tc>
          <w:tcPr>
            <w:tcW w:w="1026" w:type="pct"/>
            <w:vMerge w:val="restart"/>
            <w:noWrap w:val="0"/>
            <w:vAlign w:val="center"/>
          </w:tcPr>
          <w:p w14:paraId="2598EDF7">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宋体" w:hAnsi="宋体" w:cs="宋体"/>
                <w:i w:val="0"/>
                <w:iCs w:val="0"/>
                <w:color w:val="auto"/>
                <w:sz w:val="24"/>
                <w:highlight w:val="none"/>
              </w:rPr>
            </w:pPr>
            <w:r>
              <w:rPr>
                <w:rFonts w:hint="eastAsia" w:cs="宋体"/>
                <w:i w:val="0"/>
                <w:iCs w:val="0"/>
                <w:color w:val="auto"/>
                <w:sz w:val="24"/>
                <w:highlight w:val="none"/>
                <w:lang w:eastAsia="zh-CN"/>
              </w:rPr>
              <w:t>响应</w:t>
            </w:r>
            <w:r>
              <w:rPr>
                <w:rFonts w:hint="eastAsia" w:ascii="宋体" w:hAnsi="宋体" w:cs="宋体"/>
                <w:i w:val="0"/>
                <w:iCs w:val="0"/>
                <w:color w:val="auto"/>
                <w:sz w:val="24"/>
                <w:highlight w:val="none"/>
              </w:rPr>
              <w:t>文件具体</w:t>
            </w:r>
            <w:r>
              <w:rPr>
                <w:rFonts w:hint="eastAsia" w:cs="宋体"/>
                <w:i w:val="0"/>
                <w:iCs w:val="0"/>
                <w:color w:val="auto"/>
                <w:sz w:val="24"/>
                <w:highlight w:val="none"/>
                <w:lang w:val="en-US" w:eastAsia="zh-CN"/>
              </w:rPr>
              <w:t>的</w:t>
            </w:r>
            <w:r>
              <w:rPr>
                <w:rFonts w:hint="eastAsia" w:ascii="宋体" w:hAnsi="宋体" w:cs="宋体"/>
                <w:i w:val="0"/>
                <w:iCs w:val="0"/>
                <w:color w:val="auto"/>
                <w:sz w:val="24"/>
                <w:highlight w:val="none"/>
              </w:rPr>
              <w:t>响应内容</w:t>
            </w:r>
          </w:p>
        </w:tc>
        <w:tc>
          <w:tcPr>
            <w:tcW w:w="384" w:type="pct"/>
            <w:vMerge w:val="restart"/>
            <w:noWrap w:val="0"/>
            <w:vAlign w:val="center"/>
          </w:tcPr>
          <w:p w14:paraId="0E80A1FB">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宋体" w:hAnsi="宋体" w:cs="宋体"/>
                <w:i w:val="0"/>
                <w:iCs w:val="0"/>
                <w:color w:val="auto"/>
                <w:sz w:val="24"/>
                <w:highlight w:val="none"/>
              </w:rPr>
            </w:pPr>
            <w:r>
              <w:rPr>
                <w:rFonts w:hint="eastAsia" w:ascii="宋体" w:hAnsi="宋体" w:cs="宋体"/>
                <w:i w:val="0"/>
                <w:iCs w:val="0"/>
                <w:color w:val="auto"/>
                <w:sz w:val="24"/>
                <w:highlight w:val="none"/>
              </w:rPr>
              <w:t>备注</w:t>
            </w:r>
          </w:p>
        </w:tc>
      </w:tr>
      <w:tr w14:paraId="22BA3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8" w:hRule="atLeast"/>
        </w:trPr>
        <w:tc>
          <w:tcPr>
            <w:tcW w:w="353" w:type="pct"/>
            <w:vMerge w:val="continue"/>
            <w:noWrap w:val="0"/>
            <w:vAlign w:val="center"/>
          </w:tcPr>
          <w:p w14:paraId="788F1149">
            <w:pPr>
              <w:keepNext w:val="0"/>
              <w:keepLines w:val="0"/>
              <w:pageBreakBefore w:val="0"/>
              <w:widowControl w:val="0"/>
              <w:kinsoku/>
              <w:wordWrap/>
              <w:overflowPunct/>
              <w:topLinePunct w:val="0"/>
              <w:bidi w:val="0"/>
              <w:adjustRightInd/>
              <w:snapToGrid/>
              <w:spacing w:line="360" w:lineRule="exact"/>
              <w:jc w:val="center"/>
              <w:textAlignment w:val="auto"/>
              <w:rPr>
                <w:i w:val="0"/>
                <w:iCs w:val="0"/>
                <w:color w:val="auto"/>
                <w:highlight w:val="none"/>
              </w:rPr>
            </w:pPr>
          </w:p>
        </w:tc>
        <w:tc>
          <w:tcPr>
            <w:tcW w:w="1309" w:type="pct"/>
            <w:noWrap w:val="0"/>
            <w:vAlign w:val="center"/>
          </w:tcPr>
          <w:p w14:paraId="5B941D59">
            <w:pPr>
              <w:keepNext w:val="0"/>
              <w:keepLines w:val="0"/>
              <w:pageBreakBefore w:val="0"/>
              <w:widowControl w:val="0"/>
              <w:kinsoku/>
              <w:wordWrap/>
              <w:overflowPunct/>
              <w:topLinePunct w:val="0"/>
              <w:bidi w:val="0"/>
              <w:adjustRightInd/>
              <w:snapToGrid/>
              <w:spacing w:line="360" w:lineRule="exact"/>
              <w:jc w:val="center"/>
              <w:textAlignment w:val="auto"/>
              <w:rPr>
                <w:rFonts w:hint="default" w:ascii="宋体" w:hAnsi="宋体" w:cs="宋体"/>
                <w:i w:val="0"/>
                <w:iCs w:val="0"/>
                <w:color w:val="auto"/>
                <w:sz w:val="24"/>
                <w:highlight w:val="none"/>
                <w:lang w:val="en-US" w:eastAsia="zh-CN"/>
              </w:rPr>
            </w:pPr>
            <w:r>
              <w:rPr>
                <w:rFonts w:hint="eastAsia" w:cs="宋体"/>
                <w:i w:val="0"/>
                <w:iCs w:val="0"/>
                <w:color w:val="auto"/>
                <w:sz w:val="24"/>
                <w:highlight w:val="none"/>
                <w:lang w:val="en-US" w:eastAsia="zh-CN"/>
              </w:rPr>
              <w:t>实质性要求</w:t>
            </w:r>
          </w:p>
        </w:tc>
        <w:tc>
          <w:tcPr>
            <w:tcW w:w="1926" w:type="pct"/>
            <w:noWrap w:val="0"/>
            <w:vAlign w:val="center"/>
          </w:tcPr>
          <w:p w14:paraId="1887A7EA">
            <w:pPr>
              <w:keepNext w:val="0"/>
              <w:keepLines w:val="0"/>
              <w:pageBreakBefore w:val="0"/>
              <w:widowControl w:val="0"/>
              <w:kinsoku/>
              <w:wordWrap/>
              <w:overflowPunct/>
              <w:topLinePunct w:val="0"/>
              <w:bidi w:val="0"/>
              <w:adjustRightInd/>
              <w:snapToGrid/>
              <w:spacing w:line="360" w:lineRule="exact"/>
              <w:jc w:val="center"/>
              <w:textAlignment w:val="auto"/>
              <w:rPr>
                <w:rFonts w:hint="default" w:ascii="宋体" w:hAnsi="宋体" w:cs="宋体"/>
                <w:i w:val="0"/>
                <w:iCs w:val="0"/>
                <w:color w:val="auto"/>
                <w:sz w:val="24"/>
                <w:highlight w:val="none"/>
                <w:lang w:val="en-US" w:eastAsia="zh-CN"/>
              </w:rPr>
            </w:pPr>
            <w:r>
              <w:rPr>
                <w:rFonts w:hint="eastAsia" w:cs="宋体"/>
                <w:i w:val="0"/>
                <w:iCs w:val="0"/>
                <w:color w:val="auto"/>
                <w:sz w:val="24"/>
                <w:highlight w:val="none"/>
                <w:lang w:val="en-US" w:eastAsia="zh-CN"/>
              </w:rPr>
              <w:t>磋商文件中的规定</w:t>
            </w:r>
          </w:p>
        </w:tc>
        <w:tc>
          <w:tcPr>
            <w:tcW w:w="1026" w:type="pct"/>
            <w:vMerge w:val="continue"/>
            <w:noWrap w:val="0"/>
            <w:vAlign w:val="center"/>
          </w:tcPr>
          <w:p w14:paraId="5FF6F466">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宋体" w:hAnsi="宋体" w:cs="宋体"/>
                <w:i w:val="0"/>
                <w:iCs w:val="0"/>
                <w:color w:val="auto"/>
                <w:sz w:val="24"/>
                <w:highlight w:val="none"/>
                <w:lang w:eastAsia="zh-CN"/>
              </w:rPr>
            </w:pPr>
          </w:p>
        </w:tc>
        <w:tc>
          <w:tcPr>
            <w:tcW w:w="384" w:type="pct"/>
            <w:vMerge w:val="continue"/>
            <w:noWrap w:val="0"/>
            <w:vAlign w:val="center"/>
          </w:tcPr>
          <w:p w14:paraId="231BB2B8">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宋体" w:hAnsi="宋体" w:cs="宋体"/>
                <w:i w:val="0"/>
                <w:iCs w:val="0"/>
                <w:color w:val="auto"/>
                <w:sz w:val="24"/>
                <w:highlight w:val="none"/>
                <w:lang w:eastAsia="zh-CN"/>
              </w:rPr>
            </w:pPr>
          </w:p>
        </w:tc>
      </w:tr>
      <w:tr w14:paraId="19EB2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8" w:hRule="atLeast"/>
        </w:trPr>
        <w:tc>
          <w:tcPr>
            <w:tcW w:w="353" w:type="pct"/>
            <w:noWrap w:val="0"/>
            <w:vAlign w:val="center"/>
          </w:tcPr>
          <w:p w14:paraId="30499CF5">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宋体" w:hAnsi="宋体" w:eastAsia="宋体" w:cs="宋体"/>
                <w:i w:val="0"/>
                <w:iCs w:val="0"/>
                <w:color w:val="auto"/>
                <w:sz w:val="24"/>
                <w:highlight w:val="none"/>
                <w:lang w:val="en-US" w:eastAsia="zh-CN"/>
              </w:rPr>
            </w:pPr>
            <w:r>
              <w:rPr>
                <w:rFonts w:hint="eastAsia" w:cs="宋体"/>
                <w:i w:val="0"/>
                <w:iCs w:val="0"/>
                <w:color w:val="auto"/>
                <w:sz w:val="24"/>
                <w:highlight w:val="none"/>
                <w:lang w:val="en-US" w:eastAsia="zh-CN"/>
              </w:rPr>
              <w:t>1</w:t>
            </w:r>
          </w:p>
        </w:tc>
        <w:tc>
          <w:tcPr>
            <w:tcW w:w="1309" w:type="pct"/>
            <w:noWrap w:val="0"/>
            <w:vAlign w:val="center"/>
          </w:tcPr>
          <w:p w14:paraId="1710CDD0">
            <w:pPr>
              <w:keepNext w:val="0"/>
              <w:keepLines w:val="0"/>
              <w:pageBreakBefore w:val="0"/>
              <w:widowControl w:val="0"/>
              <w:kinsoku/>
              <w:wordWrap/>
              <w:overflowPunct/>
              <w:topLinePunct w:val="0"/>
              <w:bidi w:val="0"/>
              <w:adjustRightInd/>
              <w:snapToGrid/>
              <w:spacing w:line="360" w:lineRule="exact"/>
              <w:textAlignment w:val="auto"/>
              <w:rPr>
                <w:rFonts w:hint="eastAsia" w:ascii="宋体" w:hAnsi="宋体" w:cs="宋体"/>
                <w:i w:val="0"/>
                <w:iCs w:val="0"/>
                <w:color w:val="auto"/>
                <w:sz w:val="24"/>
                <w:highlight w:val="none"/>
              </w:rPr>
            </w:pPr>
          </w:p>
        </w:tc>
        <w:tc>
          <w:tcPr>
            <w:tcW w:w="1926" w:type="pct"/>
            <w:noWrap w:val="0"/>
            <w:vAlign w:val="center"/>
          </w:tcPr>
          <w:p w14:paraId="63B0DE90">
            <w:pPr>
              <w:keepNext w:val="0"/>
              <w:keepLines w:val="0"/>
              <w:pageBreakBefore w:val="0"/>
              <w:widowControl w:val="0"/>
              <w:shd w:val="clear" w:color="auto" w:fill="FFFFFF"/>
              <w:kinsoku/>
              <w:wordWrap/>
              <w:overflowPunct/>
              <w:topLinePunct w:val="0"/>
              <w:autoSpaceDE w:val="0"/>
              <w:autoSpaceDN w:val="0"/>
              <w:bidi w:val="0"/>
              <w:adjustRightInd/>
              <w:snapToGrid/>
              <w:spacing w:line="360" w:lineRule="exact"/>
              <w:textAlignment w:val="auto"/>
              <w:rPr>
                <w:rFonts w:hint="eastAsia" w:ascii="宋体" w:hAnsi="宋体" w:cs="宋体"/>
                <w:i w:val="0"/>
                <w:iCs w:val="0"/>
                <w:color w:val="auto"/>
                <w:sz w:val="24"/>
                <w:highlight w:val="none"/>
              </w:rPr>
            </w:pPr>
          </w:p>
        </w:tc>
        <w:tc>
          <w:tcPr>
            <w:tcW w:w="1026" w:type="pct"/>
            <w:noWrap w:val="0"/>
            <w:vAlign w:val="center"/>
          </w:tcPr>
          <w:p w14:paraId="0B1E2FB0">
            <w:pPr>
              <w:keepNext w:val="0"/>
              <w:keepLines w:val="0"/>
              <w:pageBreakBefore w:val="0"/>
              <w:widowControl w:val="0"/>
              <w:kinsoku/>
              <w:wordWrap/>
              <w:overflowPunct/>
              <w:topLinePunct w:val="0"/>
              <w:bidi w:val="0"/>
              <w:adjustRightInd/>
              <w:snapToGrid/>
              <w:spacing w:line="360" w:lineRule="exact"/>
              <w:textAlignment w:val="auto"/>
              <w:rPr>
                <w:rFonts w:hint="eastAsia" w:ascii="宋体" w:hAnsi="宋体" w:cs="宋体"/>
                <w:i w:val="0"/>
                <w:iCs w:val="0"/>
                <w:color w:val="auto"/>
                <w:sz w:val="24"/>
                <w:highlight w:val="none"/>
              </w:rPr>
            </w:pPr>
          </w:p>
        </w:tc>
        <w:tc>
          <w:tcPr>
            <w:tcW w:w="384" w:type="pct"/>
            <w:noWrap w:val="0"/>
            <w:vAlign w:val="center"/>
          </w:tcPr>
          <w:p w14:paraId="259753B0">
            <w:pPr>
              <w:keepNext w:val="0"/>
              <w:keepLines w:val="0"/>
              <w:pageBreakBefore w:val="0"/>
              <w:widowControl w:val="0"/>
              <w:kinsoku/>
              <w:wordWrap/>
              <w:overflowPunct/>
              <w:topLinePunct w:val="0"/>
              <w:bidi w:val="0"/>
              <w:adjustRightInd/>
              <w:snapToGrid/>
              <w:spacing w:line="360" w:lineRule="exact"/>
              <w:textAlignment w:val="auto"/>
              <w:rPr>
                <w:rFonts w:hint="eastAsia" w:ascii="宋体" w:hAnsi="宋体" w:cs="宋体"/>
                <w:i w:val="0"/>
                <w:iCs w:val="0"/>
                <w:color w:val="auto"/>
                <w:sz w:val="24"/>
                <w:highlight w:val="none"/>
              </w:rPr>
            </w:pPr>
          </w:p>
        </w:tc>
      </w:tr>
      <w:tr w14:paraId="78B0F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8" w:hRule="atLeast"/>
        </w:trPr>
        <w:tc>
          <w:tcPr>
            <w:tcW w:w="353" w:type="pct"/>
            <w:noWrap w:val="0"/>
            <w:vAlign w:val="center"/>
          </w:tcPr>
          <w:p w14:paraId="4CBD69A7">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宋体" w:hAnsi="宋体" w:eastAsia="宋体" w:cs="宋体"/>
                <w:i w:val="0"/>
                <w:iCs w:val="0"/>
                <w:color w:val="auto"/>
                <w:sz w:val="24"/>
                <w:highlight w:val="none"/>
                <w:lang w:val="en-US" w:eastAsia="zh-CN"/>
              </w:rPr>
            </w:pPr>
            <w:r>
              <w:rPr>
                <w:rFonts w:hint="eastAsia" w:cs="宋体"/>
                <w:i w:val="0"/>
                <w:iCs w:val="0"/>
                <w:color w:val="auto"/>
                <w:sz w:val="24"/>
                <w:highlight w:val="none"/>
                <w:lang w:val="en-US" w:eastAsia="zh-CN"/>
              </w:rPr>
              <w:t>2</w:t>
            </w:r>
          </w:p>
        </w:tc>
        <w:tc>
          <w:tcPr>
            <w:tcW w:w="1309" w:type="pct"/>
            <w:noWrap w:val="0"/>
            <w:vAlign w:val="center"/>
          </w:tcPr>
          <w:p w14:paraId="07A7760F">
            <w:pPr>
              <w:keepNext w:val="0"/>
              <w:keepLines w:val="0"/>
              <w:pageBreakBefore w:val="0"/>
              <w:widowControl w:val="0"/>
              <w:kinsoku/>
              <w:wordWrap/>
              <w:overflowPunct/>
              <w:topLinePunct w:val="0"/>
              <w:bidi w:val="0"/>
              <w:adjustRightInd/>
              <w:snapToGrid/>
              <w:spacing w:line="360" w:lineRule="exact"/>
              <w:textAlignment w:val="auto"/>
              <w:rPr>
                <w:rFonts w:hint="eastAsia" w:ascii="宋体" w:hAnsi="宋体" w:cs="宋体"/>
                <w:i w:val="0"/>
                <w:iCs w:val="0"/>
                <w:color w:val="auto"/>
                <w:sz w:val="24"/>
                <w:highlight w:val="none"/>
              </w:rPr>
            </w:pPr>
          </w:p>
        </w:tc>
        <w:tc>
          <w:tcPr>
            <w:tcW w:w="1926" w:type="pct"/>
            <w:noWrap w:val="0"/>
            <w:vAlign w:val="center"/>
          </w:tcPr>
          <w:p w14:paraId="5649ACF6">
            <w:pPr>
              <w:keepNext w:val="0"/>
              <w:keepLines w:val="0"/>
              <w:pageBreakBefore w:val="0"/>
              <w:widowControl w:val="0"/>
              <w:shd w:val="clear" w:color="auto" w:fill="FFFFFF"/>
              <w:kinsoku/>
              <w:wordWrap/>
              <w:overflowPunct/>
              <w:topLinePunct w:val="0"/>
              <w:autoSpaceDE w:val="0"/>
              <w:autoSpaceDN w:val="0"/>
              <w:bidi w:val="0"/>
              <w:adjustRightInd/>
              <w:snapToGrid/>
              <w:spacing w:line="360" w:lineRule="exact"/>
              <w:textAlignment w:val="auto"/>
              <w:rPr>
                <w:rFonts w:hint="eastAsia" w:ascii="宋体" w:hAnsi="宋体" w:eastAsia="宋体" w:cs="宋体"/>
                <w:i w:val="0"/>
                <w:iCs w:val="0"/>
                <w:color w:val="auto"/>
                <w:sz w:val="24"/>
                <w:highlight w:val="none"/>
                <w:lang w:eastAsia="zh-CN"/>
              </w:rPr>
            </w:pPr>
          </w:p>
        </w:tc>
        <w:tc>
          <w:tcPr>
            <w:tcW w:w="1026" w:type="pct"/>
            <w:noWrap w:val="0"/>
            <w:vAlign w:val="center"/>
          </w:tcPr>
          <w:p w14:paraId="4746B94F">
            <w:pPr>
              <w:keepNext w:val="0"/>
              <w:keepLines w:val="0"/>
              <w:pageBreakBefore w:val="0"/>
              <w:widowControl w:val="0"/>
              <w:kinsoku/>
              <w:wordWrap/>
              <w:overflowPunct/>
              <w:topLinePunct w:val="0"/>
              <w:bidi w:val="0"/>
              <w:adjustRightInd/>
              <w:snapToGrid/>
              <w:spacing w:line="360" w:lineRule="exact"/>
              <w:textAlignment w:val="auto"/>
              <w:rPr>
                <w:rFonts w:hint="eastAsia" w:ascii="宋体" w:hAnsi="宋体" w:cs="宋体"/>
                <w:i w:val="0"/>
                <w:iCs w:val="0"/>
                <w:color w:val="auto"/>
                <w:sz w:val="24"/>
                <w:highlight w:val="none"/>
              </w:rPr>
            </w:pPr>
          </w:p>
        </w:tc>
        <w:tc>
          <w:tcPr>
            <w:tcW w:w="384" w:type="pct"/>
            <w:noWrap w:val="0"/>
            <w:vAlign w:val="center"/>
          </w:tcPr>
          <w:p w14:paraId="06627A9E">
            <w:pPr>
              <w:keepNext w:val="0"/>
              <w:keepLines w:val="0"/>
              <w:pageBreakBefore w:val="0"/>
              <w:widowControl w:val="0"/>
              <w:kinsoku/>
              <w:wordWrap/>
              <w:overflowPunct/>
              <w:topLinePunct w:val="0"/>
              <w:bidi w:val="0"/>
              <w:adjustRightInd/>
              <w:snapToGrid/>
              <w:spacing w:line="360" w:lineRule="exact"/>
              <w:textAlignment w:val="auto"/>
              <w:rPr>
                <w:rFonts w:hint="eastAsia" w:ascii="宋体" w:hAnsi="宋体" w:cs="宋体"/>
                <w:i w:val="0"/>
                <w:iCs w:val="0"/>
                <w:color w:val="auto"/>
                <w:sz w:val="24"/>
                <w:highlight w:val="none"/>
              </w:rPr>
            </w:pPr>
          </w:p>
        </w:tc>
      </w:tr>
      <w:tr w14:paraId="2970E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8" w:hRule="atLeast"/>
        </w:trPr>
        <w:tc>
          <w:tcPr>
            <w:tcW w:w="353" w:type="pct"/>
            <w:noWrap w:val="0"/>
            <w:vAlign w:val="center"/>
          </w:tcPr>
          <w:p w14:paraId="3B9948B9">
            <w:pPr>
              <w:keepNext w:val="0"/>
              <w:keepLines w:val="0"/>
              <w:pageBreakBefore w:val="0"/>
              <w:widowControl w:val="0"/>
              <w:kinsoku/>
              <w:wordWrap/>
              <w:overflowPunct/>
              <w:topLinePunct w:val="0"/>
              <w:bidi w:val="0"/>
              <w:adjustRightInd/>
              <w:snapToGrid/>
              <w:spacing w:line="360" w:lineRule="exact"/>
              <w:jc w:val="center"/>
              <w:textAlignment w:val="auto"/>
              <w:rPr>
                <w:rFonts w:hint="default" w:ascii="宋体" w:hAnsi="宋体" w:eastAsia="宋体" w:cs="宋体"/>
                <w:i w:val="0"/>
                <w:iCs w:val="0"/>
                <w:color w:val="auto"/>
                <w:sz w:val="24"/>
                <w:highlight w:val="none"/>
                <w:lang w:val="en-US" w:eastAsia="zh-CN"/>
              </w:rPr>
            </w:pPr>
            <w:r>
              <w:rPr>
                <w:rFonts w:hint="eastAsia" w:cs="宋体"/>
                <w:i w:val="0"/>
                <w:iCs w:val="0"/>
                <w:color w:val="auto"/>
                <w:sz w:val="24"/>
                <w:highlight w:val="none"/>
                <w:lang w:val="en-US" w:eastAsia="zh-CN"/>
              </w:rPr>
              <w:t>3</w:t>
            </w:r>
          </w:p>
        </w:tc>
        <w:tc>
          <w:tcPr>
            <w:tcW w:w="1309" w:type="pct"/>
            <w:noWrap w:val="0"/>
            <w:vAlign w:val="center"/>
          </w:tcPr>
          <w:p w14:paraId="3EA46013">
            <w:pPr>
              <w:keepNext w:val="0"/>
              <w:keepLines w:val="0"/>
              <w:pageBreakBefore w:val="0"/>
              <w:widowControl w:val="0"/>
              <w:kinsoku/>
              <w:wordWrap/>
              <w:overflowPunct/>
              <w:topLinePunct w:val="0"/>
              <w:bidi w:val="0"/>
              <w:adjustRightInd/>
              <w:snapToGrid/>
              <w:spacing w:line="360" w:lineRule="exact"/>
              <w:textAlignment w:val="auto"/>
              <w:rPr>
                <w:rFonts w:hint="eastAsia" w:ascii="宋体" w:hAnsi="宋体" w:cs="宋体"/>
                <w:i w:val="0"/>
                <w:iCs w:val="0"/>
                <w:color w:val="auto"/>
                <w:kern w:val="2"/>
                <w:sz w:val="24"/>
                <w:szCs w:val="24"/>
                <w:highlight w:val="none"/>
                <w:lang w:val="en-US" w:eastAsia="zh-CN" w:bidi="ar-SA"/>
              </w:rPr>
            </w:pPr>
          </w:p>
        </w:tc>
        <w:tc>
          <w:tcPr>
            <w:tcW w:w="1926" w:type="pct"/>
            <w:noWrap w:val="0"/>
            <w:vAlign w:val="center"/>
          </w:tcPr>
          <w:p w14:paraId="62EC5B93">
            <w:pPr>
              <w:pStyle w:val="63"/>
              <w:keepNext w:val="0"/>
              <w:keepLines w:val="0"/>
              <w:pageBreakBefore w:val="0"/>
              <w:widowControl w:val="0"/>
              <w:shd w:val="clear" w:color="auto" w:fill="FFFFFF"/>
              <w:kinsoku/>
              <w:wordWrap/>
              <w:overflowPunct/>
              <w:topLinePunct w:val="0"/>
              <w:bidi w:val="0"/>
              <w:adjustRightInd/>
              <w:snapToGrid/>
              <w:spacing w:line="360" w:lineRule="exact"/>
              <w:ind w:firstLine="0" w:firstLineChars="0"/>
              <w:textAlignment w:val="auto"/>
              <w:rPr>
                <w:rFonts w:hint="eastAsia" w:ascii="仿宋_GB2312" w:hAnsi="宋体" w:eastAsia="宋体"/>
                <w:i w:val="0"/>
                <w:iCs w:val="0"/>
                <w:color w:val="auto"/>
                <w:kern w:val="0"/>
                <w:sz w:val="31"/>
                <w:szCs w:val="20"/>
                <w:highlight w:val="none"/>
                <w:lang w:val="en-US" w:eastAsia="zh-CN" w:bidi="ar-SA"/>
              </w:rPr>
            </w:pPr>
          </w:p>
        </w:tc>
        <w:tc>
          <w:tcPr>
            <w:tcW w:w="1026" w:type="pct"/>
            <w:noWrap w:val="0"/>
            <w:vAlign w:val="center"/>
          </w:tcPr>
          <w:p w14:paraId="0A9F8338">
            <w:pPr>
              <w:keepNext w:val="0"/>
              <w:keepLines w:val="0"/>
              <w:pageBreakBefore w:val="0"/>
              <w:widowControl w:val="0"/>
              <w:kinsoku/>
              <w:wordWrap/>
              <w:overflowPunct/>
              <w:topLinePunct w:val="0"/>
              <w:bidi w:val="0"/>
              <w:adjustRightInd/>
              <w:snapToGrid/>
              <w:spacing w:line="360" w:lineRule="exact"/>
              <w:textAlignment w:val="auto"/>
              <w:rPr>
                <w:rFonts w:hint="eastAsia" w:ascii="宋体" w:hAnsi="宋体" w:cs="宋体"/>
                <w:i w:val="0"/>
                <w:iCs w:val="0"/>
                <w:color w:val="auto"/>
                <w:sz w:val="24"/>
                <w:highlight w:val="none"/>
              </w:rPr>
            </w:pPr>
          </w:p>
        </w:tc>
        <w:tc>
          <w:tcPr>
            <w:tcW w:w="384" w:type="pct"/>
            <w:noWrap w:val="0"/>
            <w:vAlign w:val="center"/>
          </w:tcPr>
          <w:p w14:paraId="08E089DB">
            <w:pPr>
              <w:keepNext w:val="0"/>
              <w:keepLines w:val="0"/>
              <w:pageBreakBefore w:val="0"/>
              <w:widowControl w:val="0"/>
              <w:kinsoku/>
              <w:wordWrap/>
              <w:overflowPunct/>
              <w:topLinePunct w:val="0"/>
              <w:bidi w:val="0"/>
              <w:adjustRightInd/>
              <w:snapToGrid/>
              <w:spacing w:line="360" w:lineRule="exact"/>
              <w:textAlignment w:val="auto"/>
              <w:rPr>
                <w:rFonts w:hint="eastAsia" w:ascii="宋体" w:hAnsi="宋体" w:cs="宋体"/>
                <w:i w:val="0"/>
                <w:iCs w:val="0"/>
                <w:color w:val="auto"/>
                <w:sz w:val="24"/>
                <w:highlight w:val="none"/>
              </w:rPr>
            </w:pPr>
          </w:p>
        </w:tc>
      </w:tr>
      <w:tr w14:paraId="0C6FC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8" w:hRule="atLeast"/>
        </w:trPr>
        <w:tc>
          <w:tcPr>
            <w:tcW w:w="353" w:type="pct"/>
            <w:noWrap w:val="0"/>
            <w:vAlign w:val="center"/>
          </w:tcPr>
          <w:p w14:paraId="08F70755">
            <w:pPr>
              <w:keepNext w:val="0"/>
              <w:keepLines w:val="0"/>
              <w:pageBreakBefore w:val="0"/>
              <w:widowControl w:val="0"/>
              <w:kinsoku/>
              <w:wordWrap/>
              <w:overflowPunct/>
              <w:topLinePunct w:val="0"/>
              <w:bidi w:val="0"/>
              <w:adjustRightInd/>
              <w:snapToGrid/>
              <w:spacing w:line="360" w:lineRule="exact"/>
              <w:jc w:val="center"/>
              <w:textAlignment w:val="auto"/>
              <w:rPr>
                <w:rFonts w:hint="default" w:ascii="宋体" w:hAnsi="宋体" w:eastAsia="宋体" w:cs="宋体"/>
                <w:i w:val="0"/>
                <w:iCs w:val="0"/>
                <w:color w:val="auto"/>
                <w:sz w:val="24"/>
                <w:highlight w:val="none"/>
                <w:lang w:val="en-US" w:eastAsia="zh-CN"/>
              </w:rPr>
            </w:pPr>
            <w:r>
              <w:rPr>
                <w:rFonts w:hint="eastAsia" w:cs="宋体"/>
                <w:i w:val="0"/>
                <w:iCs w:val="0"/>
                <w:color w:val="auto"/>
                <w:sz w:val="24"/>
                <w:highlight w:val="none"/>
                <w:lang w:val="en-US" w:eastAsia="zh-CN"/>
              </w:rPr>
              <w:t>4</w:t>
            </w:r>
          </w:p>
        </w:tc>
        <w:tc>
          <w:tcPr>
            <w:tcW w:w="1309" w:type="pct"/>
            <w:noWrap w:val="0"/>
            <w:vAlign w:val="center"/>
          </w:tcPr>
          <w:p w14:paraId="695BCC8E">
            <w:pPr>
              <w:keepNext w:val="0"/>
              <w:keepLines w:val="0"/>
              <w:pageBreakBefore w:val="0"/>
              <w:widowControl w:val="0"/>
              <w:kinsoku/>
              <w:wordWrap/>
              <w:overflowPunct/>
              <w:topLinePunct w:val="0"/>
              <w:bidi w:val="0"/>
              <w:adjustRightInd/>
              <w:snapToGrid/>
              <w:spacing w:line="360" w:lineRule="exact"/>
              <w:textAlignment w:val="auto"/>
              <w:rPr>
                <w:rFonts w:hint="eastAsia" w:ascii="宋体" w:hAnsi="宋体" w:cs="宋体"/>
                <w:i w:val="0"/>
                <w:iCs w:val="0"/>
                <w:color w:val="auto"/>
                <w:kern w:val="2"/>
                <w:sz w:val="24"/>
                <w:szCs w:val="24"/>
                <w:highlight w:val="none"/>
                <w:lang w:val="en-US" w:eastAsia="zh-CN" w:bidi="ar-SA"/>
              </w:rPr>
            </w:pPr>
          </w:p>
        </w:tc>
        <w:tc>
          <w:tcPr>
            <w:tcW w:w="1926" w:type="pct"/>
            <w:noWrap w:val="0"/>
            <w:vAlign w:val="center"/>
          </w:tcPr>
          <w:p w14:paraId="7AA3A6EB">
            <w:pPr>
              <w:keepNext w:val="0"/>
              <w:keepLines w:val="0"/>
              <w:pageBreakBefore w:val="0"/>
              <w:widowControl w:val="0"/>
              <w:kinsoku/>
              <w:wordWrap/>
              <w:overflowPunct/>
              <w:topLinePunct w:val="0"/>
              <w:bidi w:val="0"/>
              <w:adjustRightInd/>
              <w:snapToGrid/>
              <w:spacing w:line="360" w:lineRule="exact"/>
              <w:textAlignment w:val="auto"/>
              <w:rPr>
                <w:rFonts w:hint="default" w:ascii="宋体" w:hAnsi="宋体" w:cs="宋体"/>
                <w:i w:val="0"/>
                <w:iCs w:val="0"/>
                <w:color w:val="auto"/>
                <w:kern w:val="2"/>
                <w:sz w:val="24"/>
                <w:szCs w:val="24"/>
                <w:highlight w:val="none"/>
                <w:lang w:val="en-US" w:eastAsia="zh-CN" w:bidi="ar-SA"/>
              </w:rPr>
            </w:pPr>
          </w:p>
        </w:tc>
        <w:tc>
          <w:tcPr>
            <w:tcW w:w="1026" w:type="pct"/>
            <w:noWrap w:val="0"/>
            <w:vAlign w:val="center"/>
          </w:tcPr>
          <w:p w14:paraId="0F247756">
            <w:pPr>
              <w:keepNext w:val="0"/>
              <w:keepLines w:val="0"/>
              <w:pageBreakBefore w:val="0"/>
              <w:widowControl w:val="0"/>
              <w:kinsoku/>
              <w:wordWrap/>
              <w:overflowPunct/>
              <w:topLinePunct w:val="0"/>
              <w:bidi w:val="0"/>
              <w:adjustRightInd/>
              <w:snapToGrid/>
              <w:spacing w:line="360" w:lineRule="exact"/>
              <w:textAlignment w:val="auto"/>
              <w:rPr>
                <w:rFonts w:hint="eastAsia" w:ascii="宋体" w:hAnsi="宋体" w:cs="宋体"/>
                <w:i w:val="0"/>
                <w:iCs w:val="0"/>
                <w:color w:val="auto"/>
                <w:sz w:val="24"/>
                <w:highlight w:val="none"/>
              </w:rPr>
            </w:pPr>
          </w:p>
        </w:tc>
        <w:tc>
          <w:tcPr>
            <w:tcW w:w="384" w:type="pct"/>
            <w:noWrap w:val="0"/>
            <w:vAlign w:val="center"/>
          </w:tcPr>
          <w:p w14:paraId="7E099895">
            <w:pPr>
              <w:keepNext w:val="0"/>
              <w:keepLines w:val="0"/>
              <w:pageBreakBefore w:val="0"/>
              <w:widowControl w:val="0"/>
              <w:kinsoku/>
              <w:wordWrap/>
              <w:overflowPunct/>
              <w:topLinePunct w:val="0"/>
              <w:bidi w:val="0"/>
              <w:adjustRightInd/>
              <w:snapToGrid/>
              <w:spacing w:line="360" w:lineRule="exact"/>
              <w:textAlignment w:val="auto"/>
              <w:rPr>
                <w:rFonts w:hint="eastAsia" w:ascii="宋体" w:hAnsi="宋体" w:cs="宋体"/>
                <w:i w:val="0"/>
                <w:iCs w:val="0"/>
                <w:color w:val="auto"/>
                <w:sz w:val="24"/>
                <w:highlight w:val="none"/>
              </w:rPr>
            </w:pPr>
          </w:p>
        </w:tc>
      </w:tr>
      <w:tr w14:paraId="1BAED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8" w:hRule="atLeast"/>
        </w:trPr>
        <w:tc>
          <w:tcPr>
            <w:tcW w:w="353" w:type="pct"/>
            <w:noWrap w:val="0"/>
            <w:vAlign w:val="center"/>
          </w:tcPr>
          <w:p w14:paraId="01C20FB8">
            <w:pPr>
              <w:keepNext w:val="0"/>
              <w:keepLines w:val="0"/>
              <w:pageBreakBefore w:val="0"/>
              <w:widowControl w:val="0"/>
              <w:kinsoku/>
              <w:wordWrap/>
              <w:overflowPunct/>
              <w:topLinePunct w:val="0"/>
              <w:bidi w:val="0"/>
              <w:adjustRightInd/>
              <w:snapToGrid/>
              <w:spacing w:line="360" w:lineRule="exact"/>
              <w:jc w:val="center"/>
              <w:textAlignment w:val="auto"/>
              <w:rPr>
                <w:rFonts w:hint="default" w:ascii="宋体" w:hAnsi="宋体" w:eastAsia="宋体" w:cs="宋体"/>
                <w:i w:val="0"/>
                <w:iCs w:val="0"/>
                <w:color w:val="auto"/>
                <w:sz w:val="24"/>
                <w:highlight w:val="none"/>
                <w:lang w:val="en-US" w:eastAsia="zh-CN"/>
              </w:rPr>
            </w:pPr>
            <w:r>
              <w:rPr>
                <w:rFonts w:hint="eastAsia" w:cs="宋体"/>
                <w:i w:val="0"/>
                <w:iCs w:val="0"/>
                <w:color w:val="auto"/>
                <w:sz w:val="24"/>
                <w:highlight w:val="none"/>
                <w:lang w:val="en-US" w:eastAsia="zh-CN"/>
              </w:rPr>
              <w:t>5</w:t>
            </w:r>
          </w:p>
        </w:tc>
        <w:tc>
          <w:tcPr>
            <w:tcW w:w="1309" w:type="pct"/>
            <w:noWrap w:val="0"/>
            <w:vAlign w:val="center"/>
          </w:tcPr>
          <w:p w14:paraId="6450B6FD">
            <w:pPr>
              <w:pStyle w:val="63"/>
              <w:keepNext w:val="0"/>
              <w:keepLines w:val="0"/>
              <w:pageBreakBefore w:val="0"/>
              <w:widowControl w:val="0"/>
              <w:shd w:val="clear" w:color="auto" w:fill="FFFFFF"/>
              <w:kinsoku/>
              <w:wordWrap/>
              <w:overflowPunct/>
              <w:topLinePunct w:val="0"/>
              <w:bidi w:val="0"/>
              <w:adjustRightInd/>
              <w:snapToGrid/>
              <w:spacing w:line="360" w:lineRule="exact"/>
              <w:ind w:firstLine="0" w:firstLineChars="0"/>
              <w:textAlignment w:val="auto"/>
              <w:rPr>
                <w:rFonts w:hint="eastAsia" w:ascii="宋体" w:eastAsia="宋体" w:cs="宋体"/>
                <w:i w:val="0"/>
                <w:iCs w:val="0"/>
                <w:color w:val="auto"/>
                <w:sz w:val="24"/>
                <w:szCs w:val="24"/>
                <w:highlight w:val="none"/>
                <w:lang w:val="en-US" w:eastAsia="zh-CN"/>
              </w:rPr>
            </w:pPr>
          </w:p>
        </w:tc>
        <w:tc>
          <w:tcPr>
            <w:tcW w:w="1926" w:type="pct"/>
            <w:noWrap w:val="0"/>
            <w:vAlign w:val="center"/>
          </w:tcPr>
          <w:p w14:paraId="76FAB450">
            <w:pPr>
              <w:keepNext w:val="0"/>
              <w:keepLines w:val="0"/>
              <w:pageBreakBefore w:val="0"/>
              <w:widowControl w:val="0"/>
              <w:shd w:val="clear" w:color="auto" w:fill="FFFFFF"/>
              <w:kinsoku/>
              <w:wordWrap/>
              <w:overflowPunct/>
              <w:topLinePunct w:val="0"/>
              <w:autoSpaceDE/>
              <w:autoSpaceDN/>
              <w:bidi w:val="0"/>
              <w:adjustRightInd/>
              <w:snapToGrid/>
              <w:spacing w:line="400" w:lineRule="atLeast"/>
              <w:textAlignment w:val="auto"/>
              <w:rPr>
                <w:rFonts w:hint="eastAsia" w:ascii="宋体" w:hAnsi="宋体" w:eastAsia="宋体" w:cs="宋体"/>
                <w:i w:val="0"/>
                <w:iCs w:val="0"/>
                <w:color w:val="auto"/>
                <w:sz w:val="24"/>
                <w:highlight w:val="none"/>
                <w:lang w:val="en-US" w:eastAsia="zh-CN"/>
              </w:rPr>
            </w:pPr>
          </w:p>
        </w:tc>
        <w:tc>
          <w:tcPr>
            <w:tcW w:w="1026" w:type="pct"/>
            <w:noWrap w:val="0"/>
            <w:vAlign w:val="center"/>
          </w:tcPr>
          <w:p w14:paraId="07DA94E9">
            <w:pPr>
              <w:keepNext w:val="0"/>
              <w:keepLines w:val="0"/>
              <w:pageBreakBefore w:val="0"/>
              <w:widowControl w:val="0"/>
              <w:kinsoku/>
              <w:wordWrap/>
              <w:overflowPunct/>
              <w:topLinePunct w:val="0"/>
              <w:bidi w:val="0"/>
              <w:adjustRightInd/>
              <w:snapToGrid/>
              <w:spacing w:line="360" w:lineRule="exact"/>
              <w:textAlignment w:val="auto"/>
              <w:rPr>
                <w:rFonts w:hint="eastAsia" w:ascii="宋体" w:hAnsi="宋体" w:cs="宋体"/>
                <w:i w:val="0"/>
                <w:iCs w:val="0"/>
                <w:color w:val="auto"/>
                <w:sz w:val="24"/>
                <w:highlight w:val="none"/>
              </w:rPr>
            </w:pPr>
          </w:p>
        </w:tc>
        <w:tc>
          <w:tcPr>
            <w:tcW w:w="384" w:type="pct"/>
            <w:noWrap w:val="0"/>
            <w:vAlign w:val="center"/>
          </w:tcPr>
          <w:p w14:paraId="07E6D393">
            <w:pPr>
              <w:keepNext w:val="0"/>
              <w:keepLines w:val="0"/>
              <w:pageBreakBefore w:val="0"/>
              <w:widowControl w:val="0"/>
              <w:kinsoku/>
              <w:wordWrap/>
              <w:overflowPunct/>
              <w:topLinePunct w:val="0"/>
              <w:bidi w:val="0"/>
              <w:adjustRightInd/>
              <w:snapToGrid/>
              <w:spacing w:line="360" w:lineRule="exact"/>
              <w:textAlignment w:val="auto"/>
              <w:rPr>
                <w:rFonts w:hint="eastAsia" w:ascii="宋体" w:hAnsi="宋体" w:cs="宋体"/>
                <w:i w:val="0"/>
                <w:iCs w:val="0"/>
                <w:color w:val="auto"/>
                <w:sz w:val="24"/>
                <w:highlight w:val="none"/>
              </w:rPr>
            </w:pPr>
          </w:p>
        </w:tc>
      </w:tr>
      <w:tr w14:paraId="27D30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8" w:hRule="atLeast"/>
        </w:trPr>
        <w:tc>
          <w:tcPr>
            <w:tcW w:w="353" w:type="pct"/>
            <w:noWrap w:val="0"/>
            <w:vAlign w:val="center"/>
          </w:tcPr>
          <w:p w14:paraId="4F43B457">
            <w:pPr>
              <w:keepNext w:val="0"/>
              <w:keepLines w:val="0"/>
              <w:pageBreakBefore w:val="0"/>
              <w:widowControl w:val="0"/>
              <w:kinsoku/>
              <w:wordWrap/>
              <w:overflowPunct/>
              <w:topLinePunct w:val="0"/>
              <w:bidi w:val="0"/>
              <w:adjustRightInd/>
              <w:snapToGrid/>
              <w:spacing w:line="360" w:lineRule="exact"/>
              <w:jc w:val="center"/>
              <w:textAlignment w:val="auto"/>
              <w:rPr>
                <w:rFonts w:hint="default" w:cs="宋体"/>
                <w:i w:val="0"/>
                <w:iCs w:val="0"/>
                <w:color w:val="auto"/>
                <w:sz w:val="24"/>
                <w:highlight w:val="none"/>
                <w:lang w:val="en-US" w:eastAsia="zh-CN"/>
              </w:rPr>
            </w:pPr>
            <w:r>
              <w:rPr>
                <w:rFonts w:hint="eastAsia" w:cs="宋体"/>
                <w:i w:val="0"/>
                <w:iCs w:val="0"/>
                <w:color w:val="auto"/>
                <w:sz w:val="24"/>
                <w:highlight w:val="none"/>
                <w:lang w:val="en-US" w:eastAsia="zh-CN"/>
              </w:rPr>
              <w:t>6</w:t>
            </w:r>
          </w:p>
        </w:tc>
        <w:tc>
          <w:tcPr>
            <w:tcW w:w="1309" w:type="pct"/>
            <w:noWrap w:val="0"/>
            <w:vAlign w:val="center"/>
          </w:tcPr>
          <w:p w14:paraId="369ABCBD">
            <w:pPr>
              <w:keepNext w:val="0"/>
              <w:keepLines w:val="0"/>
              <w:pageBreakBefore w:val="0"/>
              <w:widowControl w:val="0"/>
              <w:kinsoku/>
              <w:wordWrap/>
              <w:overflowPunct/>
              <w:topLinePunct w:val="0"/>
              <w:bidi w:val="0"/>
              <w:adjustRightInd/>
              <w:snapToGrid/>
              <w:spacing w:line="360" w:lineRule="exact"/>
              <w:textAlignment w:val="auto"/>
              <w:rPr>
                <w:rFonts w:hint="eastAsia" w:ascii="宋体" w:hAnsi="宋体" w:cs="宋体"/>
                <w:i w:val="0"/>
                <w:iCs w:val="0"/>
                <w:color w:val="auto"/>
                <w:sz w:val="24"/>
                <w:highlight w:val="none"/>
              </w:rPr>
            </w:pPr>
          </w:p>
        </w:tc>
        <w:tc>
          <w:tcPr>
            <w:tcW w:w="1926" w:type="pct"/>
            <w:noWrap w:val="0"/>
            <w:vAlign w:val="center"/>
          </w:tcPr>
          <w:p w14:paraId="3A38EA74">
            <w:pPr>
              <w:keepNext w:val="0"/>
              <w:keepLines w:val="0"/>
              <w:pageBreakBefore w:val="0"/>
              <w:widowControl w:val="0"/>
              <w:shd w:val="clear" w:color="auto" w:fill="FFFFFF"/>
              <w:kinsoku/>
              <w:wordWrap/>
              <w:overflowPunct/>
              <w:topLinePunct w:val="0"/>
              <w:autoSpaceDE/>
              <w:autoSpaceDN/>
              <w:bidi w:val="0"/>
              <w:adjustRightInd/>
              <w:snapToGrid/>
              <w:spacing w:line="400" w:lineRule="exact"/>
              <w:textAlignment w:val="auto"/>
              <w:rPr>
                <w:rFonts w:hint="eastAsia" w:ascii="宋体" w:hAnsi="宋体" w:cs="宋体"/>
                <w:i w:val="0"/>
                <w:iCs w:val="0"/>
                <w:color w:val="auto"/>
                <w:sz w:val="24"/>
                <w:highlight w:val="none"/>
              </w:rPr>
            </w:pPr>
          </w:p>
        </w:tc>
        <w:tc>
          <w:tcPr>
            <w:tcW w:w="1026" w:type="pct"/>
            <w:noWrap w:val="0"/>
            <w:vAlign w:val="center"/>
          </w:tcPr>
          <w:p w14:paraId="24EE6A9D">
            <w:pPr>
              <w:keepNext w:val="0"/>
              <w:keepLines w:val="0"/>
              <w:pageBreakBefore w:val="0"/>
              <w:widowControl w:val="0"/>
              <w:kinsoku/>
              <w:wordWrap/>
              <w:overflowPunct/>
              <w:topLinePunct w:val="0"/>
              <w:bidi w:val="0"/>
              <w:adjustRightInd/>
              <w:snapToGrid/>
              <w:spacing w:line="360" w:lineRule="exact"/>
              <w:textAlignment w:val="auto"/>
              <w:rPr>
                <w:rFonts w:hint="eastAsia" w:ascii="宋体" w:hAnsi="宋体" w:cs="宋体"/>
                <w:i w:val="0"/>
                <w:iCs w:val="0"/>
                <w:color w:val="auto"/>
                <w:sz w:val="24"/>
                <w:highlight w:val="none"/>
              </w:rPr>
            </w:pPr>
          </w:p>
        </w:tc>
        <w:tc>
          <w:tcPr>
            <w:tcW w:w="384" w:type="pct"/>
            <w:noWrap w:val="0"/>
            <w:vAlign w:val="center"/>
          </w:tcPr>
          <w:p w14:paraId="1ABD1D6E">
            <w:pPr>
              <w:keepNext w:val="0"/>
              <w:keepLines w:val="0"/>
              <w:pageBreakBefore w:val="0"/>
              <w:widowControl w:val="0"/>
              <w:kinsoku/>
              <w:wordWrap/>
              <w:overflowPunct/>
              <w:topLinePunct w:val="0"/>
              <w:bidi w:val="0"/>
              <w:adjustRightInd/>
              <w:snapToGrid/>
              <w:spacing w:line="360" w:lineRule="exact"/>
              <w:textAlignment w:val="auto"/>
              <w:rPr>
                <w:rFonts w:hint="eastAsia" w:ascii="宋体" w:hAnsi="宋体" w:cs="宋体"/>
                <w:i w:val="0"/>
                <w:iCs w:val="0"/>
                <w:color w:val="auto"/>
                <w:sz w:val="24"/>
                <w:highlight w:val="none"/>
              </w:rPr>
            </w:pPr>
          </w:p>
        </w:tc>
      </w:tr>
      <w:tr w14:paraId="01639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8" w:hRule="atLeast"/>
        </w:trPr>
        <w:tc>
          <w:tcPr>
            <w:tcW w:w="353" w:type="pct"/>
            <w:noWrap w:val="0"/>
            <w:vAlign w:val="center"/>
          </w:tcPr>
          <w:p w14:paraId="6E2F1659">
            <w:pPr>
              <w:keepNext w:val="0"/>
              <w:keepLines w:val="0"/>
              <w:pageBreakBefore w:val="0"/>
              <w:widowControl w:val="0"/>
              <w:kinsoku/>
              <w:wordWrap/>
              <w:overflowPunct/>
              <w:topLinePunct w:val="0"/>
              <w:bidi w:val="0"/>
              <w:adjustRightInd/>
              <w:snapToGrid/>
              <w:spacing w:line="360" w:lineRule="exact"/>
              <w:jc w:val="center"/>
              <w:textAlignment w:val="auto"/>
              <w:rPr>
                <w:rFonts w:hint="default" w:cs="宋体"/>
                <w:i w:val="0"/>
                <w:iCs w:val="0"/>
                <w:color w:val="auto"/>
                <w:sz w:val="24"/>
                <w:highlight w:val="none"/>
                <w:lang w:val="en-US" w:eastAsia="zh-CN"/>
              </w:rPr>
            </w:pPr>
            <w:r>
              <w:rPr>
                <w:rFonts w:hint="eastAsia" w:cs="宋体"/>
                <w:i w:val="0"/>
                <w:iCs w:val="0"/>
                <w:color w:val="auto"/>
                <w:sz w:val="24"/>
                <w:highlight w:val="none"/>
                <w:lang w:val="en-US" w:eastAsia="zh-CN"/>
              </w:rPr>
              <w:t>7</w:t>
            </w:r>
          </w:p>
        </w:tc>
        <w:tc>
          <w:tcPr>
            <w:tcW w:w="1309" w:type="pct"/>
            <w:noWrap w:val="0"/>
            <w:vAlign w:val="center"/>
          </w:tcPr>
          <w:p w14:paraId="317CE50D">
            <w:pPr>
              <w:keepNext w:val="0"/>
              <w:keepLines w:val="0"/>
              <w:pageBreakBefore w:val="0"/>
              <w:widowControl w:val="0"/>
              <w:kinsoku/>
              <w:wordWrap/>
              <w:overflowPunct/>
              <w:topLinePunct w:val="0"/>
              <w:bidi w:val="0"/>
              <w:adjustRightInd/>
              <w:snapToGrid/>
              <w:spacing w:line="360" w:lineRule="exact"/>
              <w:textAlignment w:val="auto"/>
              <w:rPr>
                <w:rFonts w:hint="eastAsia" w:ascii="宋体" w:hAnsi="宋体" w:cs="宋体"/>
                <w:i w:val="0"/>
                <w:iCs w:val="0"/>
                <w:color w:val="auto"/>
                <w:sz w:val="24"/>
                <w:highlight w:val="none"/>
              </w:rPr>
            </w:pPr>
          </w:p>
        </w:tc>
        <w:tc>
          <w:tcPr>
            <w:tcW w:w="1926" w:type="pct"/>
            <w:noWrap w:val="0"/>
            <w:vAlign w:val="center"/>
          </w:tcPr>
          <w:p w14:paraId="678C1995">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cs="宋体"/>
                <w:i w:val="0"/>
                <w:iCs w:val="0"/>
                <w:color w:val="auto"/>
                <w:sz w:val="24"/>
                <w:highlight w:val="none"/>
              </w:rPr>
            </w:pPr>
          </w:p>
        </w:tc>
        <w:tc>
          <w:tcPr>
            <w:tcW w:w="1026" w:type="pct"/>
            <w:noWrap w:val="0"/>
            <w:vAlign w:val="center"/>
          </w:tcPr>
          <w:p w14:paraId="63C11E7C">
            <w:pPr>
              <w:keepNext w:val="0"/>
              <w:keepLines w:val="0"/>
              <w:pageBreakBefore w:val="0"/>
              <w:widowControl w:val="0"/>
              <w:kinsoku/>
              <w:wordWrap/>
              <w:overflowPunct/>
              <w:topLinePunct w:val="0"/>
              <w:bidi w:val="0"/>
              <w:adjustRightInd/>
              <w:snapToGrid/>
              <w:spacing w:line="360" w:lineRule="exact"/>
              <w:textAlignment w:val="auto"/>
              <w:rPr>
                <w:rFonts w:hint="eastAsia" w:ascii="宋体" w:hAnsi="宋体" w:cs="宋体"/>
                <w:i w:val="0"/>
                <w:iCs w:val="0"/>
                <w:color w:val="auto"/>
                <w:sz w:val="24"/>
                <w:highlight w:val="none"/>
              </w:rPr>
            </w:pPr>
          </w:p>
        </w:tc>
        <w:tc>
          <w:tcPr>
            <w:tcW w:w="384" w:type="pct"/>
            <w:noWrap w:val="0"/>
            <w:vAlign w:val="center"/>
          </w:tcPr>
          <w:p w14:paraId="168EE7BD">
            <w:pPr>
              <w:keepNext w:val="0"/>
              <w:keepLines w:val="0"/>
              <w:pageBreakBefore w:val="0"/>
              <w:widowControl w:val="0"/>
              <w:kinsoku/>
              <w:wordWrap/>
              <w:overflowPunct/>
              <w:topLinePunct w:val="0"/>
              <w:bidi w:val="0"/>
              <w:adjustRightInd/>
              <w:snapToGrid/>
              <w:spacing w:line="360" w:lineRule="exact"/>
              <w:textAlignment w:val="auto"/>
              <w:rPr>
                <w:rFonts w:hint="eastAsia" w:ascii="宋体" w:hAnsi="宋体" w:cs="宋体"/>
                <w:i w:val="0"/>
                <w:iCs w:val="0"/>
                <w:color w:val="auto"/>
                <w:sz w:val="24"/>
                <w:highlight w:val="none"/>
              </w:rPr>
            </w:pPr>
          </w:p>
        </w:tc>
      </w:tr>
      <w:tr w14:paraId="50134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8" w:hRule="atLeast"/>
        </w:trPr>
        <w:tc>
          <w:tcPr>
            <w:tcW w:w="353" w:type="pct"/>
            <w:noWrap w:val="0"/>
            <w:vAlign w:val="center"/>
          </w:tcPr>
          <w:p w14:paraId="65574B31">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宋体" w:hAnsi="宋体" w:cs="宋体"/>
                <w:i w:val="0"/>
                <w:iCs w:val="0"/>
                <w:color w:val="auto"/>
                <w:sz w:val="24"/>
                <w:highlight w:val="none"/>
                <w:lang w:val="en-US" w:eastAsia="zh-CN"/>
              </w:rPr>
            </w:pPr>
          </w:p>
        </w:tc>
        <w:tc>
          <w:tcPr>
            <w:tcW w:w="1309" w:type="pct"/>
            <w:shd w:val="clear" w:color="auto" w:fill="auto"/>
            <w:noWrap w:val="0"/>
            <w:vAlign w:val="center"/>
          </w:tcPr>
          <w:p w14:paraId="4892F810">
            <w:pPr>
              <w:pStyle w:val="46"/>
              <w:rPr>
                <w:rFonts w:hint="eastAsia" w:ascii="宋体" w:hAnsi="宋体" w:eastAsia="宋体" w:cstheme="minorBidi"/>
                <w:i w:val="0"/>
                <w:iCs w:val="0"/>
                <w:color w:val="auto"/>
                <w:kern w:val="2"/>
                <w:sz w:val="24"/>
                <w:szCs w:val="22"/>
                <w:highlight w:val="none"/>
                <w:lang w:val="zh-CN" w:eastAsia="zh-CN" w:bidi="ar-SA"/>
              </w:rPr>
            </w:pPr>
            <w:r>
              <w:rPr>
                <w:rFonts w:hint="default" w:ascii="Arial" w:hAnsi="Arial" w:cs="Arial"/>
                <w:i w:val="0"/>
                <w:iCs w:val="0"/>
                <w:color w:val="auto"/>
                <w:highlight w:val="none"/>
                <w:lang w:val="zh-CN"/>
              </w:rPr>
              <w:t>……</w:t>
            </w:r>
          </w:p>
        </w:tc>
        <w:tc>
          <w:tcPr>
            <w:tcW w:w="1926" w:type="pct"/>
            <w:noWrap w:val="0"/>
            <w:vAlign w:val="center"/>
          </w:tcPr>
          <w:p w14:paraId="6EE49605">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cs="宋体"/>
                <w:i w:val="0"/>
                <w:iCs w:val="0"/>
                <w:color w:val="auto"/>
                <w:sz w:val="24"/>
                <w:highlight w:val="none"/>
                <w:lang w:eastAsia="zh-CN"/>
              </w:rPr>
            </w:pPr>
          </w:p>
        </w:tc>
        <w:tc>
          <w:tcPr>
            <w:tcW w:w="1026" w:type="pct"/>
            <w:noWrap w:val="0"/>
            <w:vAlign w:val="center"/>
          </w:tcPr>
          <w:p w14:paraId="5A390DA1">
            <w:pPr>
              <w:keepNext w:val="0"/>
              <w:keepLines w:val="0"/>
              <w:pageBreakBefore w:val="0"/>
              <w:widowControl w:val="0"/>
              <w:kinsoku/>
              <w:wordWrap/>
              <w:overflowPunct/>
              <w:topLinePunct w:val="0"/>
              <w:bidi w:val="0"/>
              <w:adjustRightInd/>
              <w:snapToGrid/>
              <w:spacing w:line="360" w:lineRule="exact"/>
              <w:textAlignment w:val="auto"/>
              <w:rPr>
                <w:rFonts w:hint="eastAsia" w:ascii="宋体" w:hAnsi="宋体" w:cs="宋体"/>
                <w:i w:val="0"/>
                <w:iCs w:val="0"/>
                <w:color w:val="auto"/>
                <w:sz w:val="24"/>
                <w:highlight w:val="none"/>
              </w:rPr>
            </w:pPr>
          </w:p>
        </w:tc>
        <w:tc>
          <w:tcPr>
            <w:tcW w:w="384" w:type="pct"/>
            <w:noWrap w:val="0"/>
            <w:vAlign w:val="center"/>
          </w:tcPr>
          <w:p w14:paraId="639F5956">
            <w:pPr>
              <w:keepNext w:val="0"/>
              <w:keepLines w:val="0"/>
              <w:pageBreakBefore w:val="0"/>
              <w:widowControl w:val="0"/>
              <w:kinsoku/>
              <w:wordWrap/>
              <w:overflowPunct/>
              <w:topLinePunct w:val="0"/>
              <w:bidi w:val="0"/>
              <w:adjustRightInd/>
              <w:snapToGrid/>
              <w:spacing w:line="360" w:lineRule="exact"/>
              <w:textAlignment w:val="auto"/>
              <w:rPr>
                <w:rFonts w:hint="eastAsia" w:ascii="宋体" w:hAnsi="宋体" w:cs="宋体"/>
                <w:i w:val="0"/>
                <w:iCs w:val="0"/>
                <w:color w:val="auto"/>
                <w:sz w:val="24"/>
                <w:highlight w:val="none"/>
              </w:rPr>
            </w:pPr>
          </w:p>
        </w:tc>
      </w:tr>
    </w:tbl>
    <w:p w14:paraId="26B97350">
      <w:pPr>
        <w:pStyle w:val="3"/>
        <w:keepNext/>
        <w:keepLines/>
        <w:pageBreakBefore w:val="0"/>
        <w:widowControl w:val="0"/>
        <w:numPr>
          <w:ilvl w:val="0"/>
          <w:numId w:val="0"/>
        </w:numPr>
        <w:kinsoku/>
        <w:wordWrap/>
        <w:overflowPunct/>
        <w:topLinePunct w:val="0"/>
        <w:autoSpaceDE/>
        <w:autoSpaceDN/>
        <w:bidi w:val="0"/>
        <w:adjustRightInd/>
        <w:snapToGrid/>
        <w:spacing w:before="100" w:after="100" w:line="360" w:lineRule="auto"/>
        <w:ind w:left="420" w:leftChars="0" w:hanging="420" w:firstLineChars="0"/>
        <w:jc w:val="center"/>
        <w:textAlignment w:val="auto"/>
        <w:rPr>
          <w:rFonts w:hint="eastAsia" w:cstheme="majorBidi"/>
          <w:b/>
          <w:bCs/>
          <w:i w:val="0"/>
          <w:iCs w:val="0"/>
          <w:color w:val="auto"/>
          <w:kern w:val="2"/>
          <w:sz w:val="32"/>
          <w:szCs w:val="32"/>
          <w:highlight w:val="none"/>
          <w:lang w:val="en-US" w:eastAsia="zh-CN" w:bidi="ar-SA"/>
        </w:rPr>
      </w:pPr>
    </w:p>
    <w:p w14:paraId="7ECC9349">
      <w:pPr>
        <w:rPr>
          <w:rFonts w:hint="eastAsia" w:cstheme="majorBidi"/>
          <w:b/>
          <w:bCs/>
          <w:i w:val="0"/>
          <w:iCs w:val="0"/>
          <w:color w:val="auto"/>
          <w:kern w:val="2"/>
          <w:sz w:val="32"/>
          <w:szCs w:val="32"/>
          <w:highlight w:val="none"/>
          <w:lang w:val="en-US" w:eastAsia="zh-CN" w:bidi="ar-SA"/>
        </w:rPr>
      </w:pPr>
    </w:p>
    <w:p w14:paraId="479C11F3">
      <w:pPr>
        <w:rPr>
          <w:rFonts w:hint="eastAsia" w:cstheme="majorBidi"/>
          <w:b/>
          <w:bCs/>
          <w:i w:val="0"/>
          <w:iCs w:val="0"/>
          <w:color w:val="auto"/>
          <w:kern w:val="2"/>
          <w:sz w:val="32"/>
          <w:szCs w:val="32"/>
          <w:highlight w:val="none"/>
          <w:lang w:val="en-US" w:eastAsia="zh-CN" w:bidi="ar-SA"/>
        </w:rPr>
      </w:pPr>
    </w:p>
    <w:p w14:paraId="626EF50E">
      <w:pPr>
        <w:pStyle w:val="3"/>
        <w:keepNext/>
        <w:keepLines/>
        <w:pageBreakBefore w:val="0"/>
        <w:widowControl w:val="0"/>
        <w:numPr>
          <w:ilvl w:val="0"/>
          <w:numId w:val="0"/>
        </w:numPr>
        <w:kinsoku/>
        <w:wordWrap/>
        <w:overflowPunct/>
        <w:topLinePunct w:val="0"/>
        <w:autoSpaceDE/>
        <w:autoSpaceDN/>
        <w:bidi w:val="0"/>
        <w:adjustRightInd/>
        <w:snapToGrid/>
        <w:spacing w:before="100" w:after="100" w:line="360" w:lineRule="auto"/>
        <w:ind w:left="420" w:leftChars="0" w:hanging="420" w:firstLineChars="0"/>
        <w:jc w:val="center"/>
        <w:textAlignment w:val="auto"/>
        <w:rPr>
          <w:rFonts w:hint="eastAsia" w:eastAsia="宋体" w:asciiTheme="majorHAnsi" w:hAnsiTheme="majorHAnsi" w:cstheme="majorBidi"/>
          <w:b/>
          <w:bCs/>
          <w:i w:val="0"/>
          <w:iCs w:val="0"/>
          <w:color w:val="auto"/>
          <w:kern w:val="2"/>
          <w:sz w:val="32"/>
          <w:szCs w:val="32"/>
          <w:highlight w:val="none"/>
          <w:lang w:val="en-US" w:eastAsia="zh-CN" w:bidi="ar-SA"/>
        </w:rPr>
      </w:pPr>
      <w:bookmarkStart w:id="485" w:name="_Toc19213"/>
      <w:r>
        <w:rPr>
          <w:rFonts w:hint="eastAsia" w:cstheme="majorBidi"/>
          <w:b/>
          <w:bCs/>
          <w:i w:val="0"/>
          <w:iCs w:val="0"/>
          <w:color w:val="auto"/>
          <w:kern w:val="2"/>
          <w:sz w:val="32"/>
          <w:szCs w:val="32"/>
          <w:highlight w:val="none"/>
          <w:lang w:val="en-US" w:eastAsia="zh-CN" w:bidi="ar-SA"/>
        </w:rPr>
        <w:t>六</w:t>
      </w:r>
      <w:r>
        <w:rPr>
          <w:rFonts w:hint="eastAsia" w:eastAsia="宋体" w:asciiTheme="majorHAnsi" w:hAnsiTheme="majorHAnsi" w:cstheme="majorBidi"/>
          <w:b/>
          <w:bCs/>
          <w:i w:val="0"/>
          <w:iCs w:val="0"/>
          <w:color w:val="auto"/>
          <w:kern w:val="2"/>
          <w:sz w:val="32"/>
          <w:szCs w:val="32"/>
          <w:highlight w:val="none"/>
          <w:lang w:val="en-US" w:eastAsia="zh-CN" w:bidi="ar-SA"/>
        </w:rPr>
        <w:t>、商务响应偏离表</w:t>
      </w:r>
      <w:bookmarkEnd w:id="485"/>
    </w:p>
    <w:p w14:paraId="6755E4D1">
      <w:pPr>
        <w:rPr>
          <w:rFonts w:cs="仿宋_GB2312"/>
          <w:i w:val="0"/>
          <w:iCs w:val="0"/>
          <w:color w:val="auto"/>
          <w:szCs w:val="24"/>
          <w:highlight w:val="none"/>
        </w:rPr>
      </w:pPr>
      <w:r>
        <w:rPr>
          <w:rFonts w:hint="eastAsia" w:cs="仿宋_GB2312"/>
          <w:i w:val="0"/>
          <w:iCs w:val="0"/>
          <w:color w:val="auto"/>
          <w:szCs w:val="24"/>
          <w:highlight w:val="none"/>
        </w:rPr>
        <w:t xml:space="preserve">项目名称：                                         </w:t>
      </w:r>
    </w:p>
    <w:p w14:paraId="0424C095">
      <w:pPr>
        <w:rPr>
          <w:rFonts w:cs="仿宋_GB2312"/>
          <w:i w:val="0"/>
          <w:iCs w:val="0"/>
          <w:color w:val="auto"/>
          <w:szCs w:val="24"/>
          <w:highlight w:val="none"/>
        </w:rPr>
      </w:pPr>
      <w:r>
        <w:rPr>
          <w:rFonts w:hint="eastAsia" w:cs="仿宋_GB2312"/>
          <w:i w:val="0"/>
          <w:iCs w:val="0"/>
          <w:color w:val="auto"/>
          <w:szCs w:val="24"/>
          <w:highlight w:val="none"/>
        </w:rPr>
        <w:t>项目编号</w:t>
      </w:r>
      <w:r>
        <w:rPr>
          <w:rFonts w:hint="eastAsia"/>
          <w:b w:val="0"/>
          <w:bCs/>
          <w:i w:val="0"/>
          <w:iCs w:val="0"/>
          <w:color w:val="auto"/>
          <w:szCs w:val="21"/>
          <w:highlight w:val="none"/>
          <w:lang w:val="en-US" w:eastAsia="zh-CN"/>
        </w:rPr>
        <w:t>/</w:t>
      </w:r>
      <w:r>
        <w:rPr>
          <w:rFonts w:hint="eastAsia"/>
          <w:b w:val="0"/>
          <w:bCs/>
          <w:i w:val="0"/>
          <w:iCs w:val="0"/>
          <w:color w:val="auto"/>
          <w:szCs w:val="21"/>
          <w:highlight w:val="none"/>
          <w:lang w:val="zh-CN"/>
        </w:rPr>
        <w:t>包号</w:t>
      </w:r>
      <w:r>
        <w:rPr>
          <w:rFonts w:hint="eastAsia" w:cs="仿宋_GB2312"/>
          <w:i w:val="0"/>
          <w:iCs w:val="0"/>
          <w:color w:val="auto"/>
          <w:szCs w:val="24"/>
          <w:highlight w:val="none"/>
        </w:rPr>
        <w:t xml:space="preserve">：        </w:t>
      </w:r>
    </w:p>
    <w:tbl>
      <w:tblPr>
        <w:tblStyle w:val="28"/>
        <w:tblW w:w="503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1"/>
        <w:gridCol w:w="2394"/>
        <w:gridCol w:w="1720"/>
        <w:gridCol w:w="1871"/>
        <w:gridCol w:w="1871"/>
      </w:tblGrid>
      <w:tr w14:paraId="16BE7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420" w:type="pct"/>
            <w:vAlign w:val="center"/>
          </w:tcPr>
          <w:p w14:paraId="1A4BE3A9">
            <w:pPr>
              <w:pStyle w:val="46"/>
              <w:jc w:val="center"/>
              <w:rPr>
                <w:i w:val="0"/>
                <w:iCs w:val="0"/>
                <w:color w:val="auto"/>
                <w:highlight w:val="none"/>
              </w:rPr>
            </w:pPr>
            <w:r>
              <w:rPr>
                <w:rFonts w:hint="eastAsia"/>
                <w:i w:val="0"/>
                <w:iCs w:val="0"/>
                <w:color w:val="auto"/>
                <w:highlight w:val="none"/>
              </w:rPr>
              <w:t>序号</w:t>
            </w:r>
          </w:p>
        </w:tc>
        <w:tc>
          <w:tcPr>
            <w:tcW w:w="1395" w:type="pct"/>
            <w:vAlign w:val="center"/>
          </w:tcPr>
          <w:p w14:paraId="7CB83CD6">
            <w:pPr>
              <w:pStyle w:val="46"/>
              <w:jc w:val="center"/>
              <w:rPr>
                <w:i w:val="0"/>
                <w:iCs w:val="0"/>
                <w:color w:val="auto"/>
                <w:highlight w:val="none"/>
              </w:rPr>
            </w:pPr>
            <w:r>
              <w:rPr>
                <w:rFonts w:hint="eastAsia"/>
                <w:i w:val="0"/>
                <w:iCs w:val="0"/>
                <w:color w:val="auto"/>
                <w:highlight w:val="none"/>
                <w:lang w:val="en-US" w:eastAsia="zh-CN"/>
              </w:rPr>
              <w:t>竞争性磋商</w:t>
            </w:r>
            <w:r>
              <w:rPr>
                <w:rFonts w:hint="eastAsia"/>
                <w:i w:val="0"/>
                <w:iCs w:val="0"/>
                <w:color w:val="auto"/>
                <w:highlight w:val="none"/>
              </w:rPr>
              <w:t>文件的商务条款</w:t>
            </w:r>
          </w:p>
        </w:tc>
        <w:tc>
          <w:tcPr>
            <w:tcW w:w="1002" w:type="pct"/>
            <w:vAlign w:val="center"/>
          </w:tcPr>
          <w:p w14:paraId="55A47B57">
            <w:pPr>
              <w:pStyle w:val="46"/>
              <w:jc w:val="center"/>
              <w:rPr>
                <w:i w:val="0"/>
                <w:iCs w:val="0"/>
                <w:color w:val="auto"/>
                <w:highlight w:val="none"/>
              </w:rPr>
            </w:pPr>
            <w:r>
              <w:rPr>
                <w:rFonts w:hint="eastAsia"/>
                <w:i w:val="0"/>
                <w:iCs w:val="0"/>
                <w:color w:val="auto"/>
                <w:highlight w:val="none"/>
                <w:lang w:val="en-US" w:eastAsia="zh-CN"/>
              </w:rPr>
              <w:t>响应</w:t>
            </w:r>
            <w:r>
              <w:rPr>
                <w:rFonts w:hint="eastAsia"/>
                <w:i w:val="0"/>
                <w:iCs w:val="0"/>
                <w:color w:val="auto"/>
                <w:highlight w:val="none"/>
              </w:rPr>
              <w:t>文件的响应内容</w:t>
            </w:r>
          </w:p>
        </w:tc>
        <w:tc>
          <w:tcPr>
            <w:tcW w:w="1090" w:type="pct"/>
            <w:vAlign w:val="center"/>
          </w:tcPr>
          <w:p w14:paraId="2572E859">
            <w:pPr>
              <w:pStyle w:val="46"/>
              <w:jc w:val="center"/>
              <w:rPr>
                <w:i w:val="0"/>
                <w:iCs w:val="0"/>
                <w:color w:val="auto"/>
                <w:highlight w:val="none"/>
              </w:rPr>
            </w:pPr>
            <w:r>
              <w:rPr>
                <w:rFonts w:hint="eastAsia"/>
                <w:i w:val="0"/>
                <w:iCs w:val="0"/>
                <w:color w:val="auto"/>
                <w:highlight w:val="none"/>
              </w:rPr>
              <w:t>响应情况</w:t>
            </w:r>
          </w:p>
        </w:tc>
        <w:tc>
          <w:tcPr>
            <w:tcW w:w="1090" w:type="pct"/>
            <w:vAlign w:val="center"/>
          </w:tcPr>
          <w:p w14:paraId="7884F206">
            <w:pPr>
              <w:pStyle w:val="46"/>
              <w:jc w:val="center"/>
              <w:rPr>
                <w:i w:val="0"/>
                <w:iCs w:val="0"/>
                <w:color w:val="auto"/>
                <w:highlight w:val="none"/>
              </w:rPr>
            </w:pPr>
            <w:r>
              <w:rPr>
                <w:rFonts w:hint="eastAsia"/>
                <w:i w:val="0"/>
                <w:iCs w:val="0"/>
                <w:color w:val="auto"/>
                <w:highlight w:val="none"/>
              </w:rPr>
              <w:t>说明及索引</w:t>
            </w:r>
          </w:p>
        </w:tc>
      </w:tr>
      <w:tr w14:paraId="07285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420" w:type="pct"/>
            <w:vAlign w:val="center"/>
          </w:tcPr>
          <w:p w14:paraId="0156411A">
            <w:pPr>
              <w:pStyle w:val="46"/>
              <w:jc w:val="center"/>
              <w:rPr>
                <w:i w:val="0"/>
                <w:iCs w:val="0"/>
                <w:color w:val="auto"/>
                <w:highlight w:val="none"/>
              </w:rPr>
            </w:pPr>
            <w:r>
              <w:rPr>
                <w:rFonts w:hint="eastAsia"/>
                <w:i w:val="0"/>
                <w:iCs w:val="0"/>
                <w:color w:val="auto"/>
                <w:highlight w:val="none"/>
              </w:rPr>
              <w:t>1</w:t>
            </w:r>
          </w:p>
        </w:tc>
        <w:tc>
          <w:tcPr>
            <w:tcW w:w="1395" w:type="pct"/>
            <w:vAlign w:val="center"/>
          </w:tcPr>
          <w:p w14:paraId="34566CA0">
            <w:pPr>
              <w:pStyle w:val="46"/>
              <w:jc w:val="center"/>
              <w:rPr>
                <w:i w:val="0"/>
                <w:iCs w:val="0"/>
                <w:color w:val="auto"/>
                <w:highlight w:val="none"/>
              </w:rPr>
            </w:pPr>
            <w:r>
              <w:rPr>
                <w:rFonts w:hint="eastAsia"/>
                <w:i w:val="0"/>
                <w:iCs w:val="0"/>
                <w:color w:val="auto"/>
                <w:highlight w:val="none"/>
              </w:rPr>
              <w:t>*</w:t>
            </w:r>
            <w:r>
              <w:rPr>
                <w:i w:val="0"/>
                <w:iCs w:val="0"/>
                <w:color w:val="auto"/>
                <w:highlight w:val="none"/>
              </w:rPr>
              <w:t>******</w:t>
            </w:r>
          </w:p>
        </w:tc>
        <w:tc>
          <w:tcPr>
            <w:tcW w:w="1002" w:type="pct"/>
            <w:vAlign w:val="center"/>
          </w:tcPr>
          <w:p w14:paraId="1C6482B4">
            <w:pPr>
              <w:pStyle w:val="46"/>
              <w:jc w:val="center"/>
              <w:rPr>
                <w:i w:val="0"/>
                <w:iCs w:val="0"/>
                <w:color w:val="auto"/>
                <w:highlight w:val="none"/>
              </w:rPr>
            </w:pPr>
            <w:r>
              <w:rPr>
                <w:rFonts w:hint="eastAsia"/>
                <w:i w:val="0"/>
                <w:iCs w:val="0"/>
                <w:color w:val="auto"/>
                <w:highlight w:val="none"/>
              </w:rPr>
              <w:t>*</w:t>
            </w:r>
            <w:r>
              <w:rPr>
                <w:i w:val="0"/>
                <w:iCs w:val="0"/>
                <w:color w:val="auto"/>
                <w:highlight w:val="none"/>
              </w:rPr>
              <w:t>******</w:t>
            </w:r>
          </w:p>
        </w:tc>
        <w:tc>
          <w:tcPr>
            <w:tcW w:w="1090" w:type="pct"/>
            <w:vAlign w:val="center"/>
          </w:tcPr>
          <w:p w14:paraId="1BBD0417">
            <w:pPr>
              <w:pStyle w:val="46"/>
              <w:jc w:val="center"/>
              <w:rPr>
                <w:i w:val="0"/>
                <w:iCs w:val="0"/>
                <w:color w:val="auto"/>
                <w:highlight w:val="none"/>
              </w:rPr>
            </w:pPr>
            <w:r>
              <w:rPr>
                <w:rFonts w:hint="eastAsia"/>
                <w:i w:val="0"/>
                <w:iCs w:val="0"/>
                <w:color w:val="auto"/>
                <w:highlight w:val="none"/>
              </w:rPr>
              <w:t>响应</w:t>
            </w:r>
            <w:r>
              <w:rPr>
                <w:i w:val="0"/>
                <w:iCs w:val="0"/>
                <w:color w:val="auto"/>
                <w:highlight w:val="none"/>
              </w:rPr>
              <w:t>/偏离</w:t>
            </w:r>
          </w:p>
        </w:tc>
        <w:tc>
          <w:tcPr>
            <w:tcW w:w="1090" w:type="pct"/>
            <w:vAlign w:val="center"/>
          </w:tcPr>
          <w:p w14:paraId="1A90E39C">
            <w:pPr>
              <w:pStyle w:val="46"/>
              <w:jc w:val="center"/>
              <w:rPr>
                <w:i w:val="0"/>
                <w:iCs w:val="0"/>
                <w:color w:val="auto"/>
                <w:highlight w:val="none"/>
              </w:rPr>
            </w:pPr>
          </w:p>
        </w:tc>
      </w:tr>
      <w:tr w14:paraId="7C832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420" w:type="pct"/>
            <w:vAlign w:val="center"/>
          </w:tcPr>
          <w:p w14:paraId="05821036">
            <w:pPr>
              <w:pStyle w:val="46"/>
              <w:jc w:val="center"/>
              <w:rPr>
                <w:i w:val="0"/>
                <w:iCs w:val="0"/>
                <w:color w:val="auto"/>
                <w:highlight w:val="none"/>
              </w:rPr>
            </w:pPr>
            <w:r>
              <w:rPr>
                <w:rFonts w:hint="eastAsia"/>
                <w:i w:val="0"/>
                <w:iCs w:val="0"/>
                <w:color w:val="auto"/>
                <w:highlight w:val="none"/>
              </w:rPr>
              <w:t>2</w:t>
            </w:r>
          </w:p>
        </w:tc>
        <w:tc>
          <w:tcPr>
            <w:tcW w:w="1395" w:type="pct"/>
            <w:vAlign w:val="center"/>
          </w:tcPr>
          <w:p w14:paraId="2A717A55">
            <w:pPr>
              <w:pStyle w:val="46"/>
              <w:jc w:val="center"/>
              <w:rPr>
                <w:i w:val="0"/>
                <w:iCs w:val="0"/>
                <w:color w:val="auto"/>
                <w:highlight w:val="none"/>
              </w:rPr>
            </w:pPr>
            <w:r>
              <w:rPr>
                <w:rFonts w:hint="eastAsia"/>
                <w:i w:val="0"/>
                <w:iCs w:val="0"/>
                <w:color w:val="auto"/>
                <w:highlight w:val="none"/>
              </w:rPr>
              <w:t>*</w:t>
            </w:r>
            <w:r>
              <w:rPr>
                <w:i w:val="0"/>
                <w:iCs w:val="0"/>
                <w:color w:val="auto"/>
                <w:highlight w:val="none"/>
              </w:rPr>
              <w:t>******</w:t>
            </w:r>
          </w:p>
        </w:tc>
        <w:tc>
          <w:tcPr>
            <w:tcW w:w="1002" w:type="pct"/>
            <w:vAlign w:val="center"/>
          </w:tcPr>
          <w:p w14:paraId="20EC7575">
            <w:pPr>
              <w:pStyle w:val="46"/>
              <w:jc w:val="center"/>
              <w:rPr>
                <w:i w:val="0"/>
                <w:iCs w:val="0"/>
                <w:color w:val="auto"/>
                <w:highlight w:val="none"/>
              </w:rPr>
            </w:pPr>
            <w:r>
              <w:rPr>
                <w:rFonts w:hint="eastAsia"/>
                <w:i w:val="0"/>
                <w:iCs w:val="0"/>
                <w:color w:val="auto"/>
                <w:highlight w:val="none"/>
              </w:rPr>
              <w:t>*</w:t>
            </w:r>
            <w:r>
              <w:rPr>
                <w:i w:val="0"/>
                <w:iCs w:val="0"/>
                <w:color w:val="auto"/>
                <w:highlight w:val="none"/>
              </w:rPr>
              <w:t>******</w:t>
            </w:r>
          </w:p>
        </w:tc>
        <w:tc>
          <w:tcPr>
            <w:tcW w:w="1090" w:type="pct"/>
            <w:vAlign w:val="center"/>
          </w:tcPr>
          <w:p w14:paraId="5923E58D">
            <w:pPr>
              <w:pStyle w:val="46"/>
              <w:jc w:val="center"/>
              <w:rPr>
                <w:i w:val="0"/>
                <w:iCs w:val="0"/>
                <w:color w:val="auto"/>
                <w:highlight w:val="none"/>
              </w:rPr>
            </w:pPr>
          </w:p>
        </w:tc>
        <w:tc>
          <w:tcPr>
            <w:tcW w:w="1090" w:type="pct"/>
            <w:vAlign w:val="center"/>
          </w:tcPr>
          <w:p w14:paraId="59C2C317">
            <w:pPr>
              <w:pStyle w:val="46"/>
              <w:jc w:val="center"/>
              <w:rPr>
                <w:i w:val="0"/>
                <w:iCs w:val="0"/>
                <w:color w:val="auto"/>
                <w:highlight w:val="none"/>
              </w:rPr>
            </w:pPr>
          </w:p>
        </w:tc>
      </w:tr>
      <w:tr w14:paraId="64353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420" w:type="pct"/>
            <w:vAlign w:val="center"/>
          </w:tcPr>
          <w:p w14:paraId="6D563CA4">
            <w:pPr>
              <w:pStyle w:val="46"/>
              <w:jc w:val="center"/>
              <w:rPr>
                <w:i w:val="0"/>
                <w:iCs w:val="0"/>
                <w:color w:val="auto"/>
                <w:highlight w:val="none"/>
              </w:rPr>
            </w:pPr>
            <w:r>
              <w:rPr>
                <w:rFonts w:hint="eastAsia"/>
                <w:i w:val="0"/>
                <w:iCs w:val="0"/>
                <w:color w:val="auto"/>
                <w:highlight w:val="none"/>
              </w:rPr>
              <w:t>3</w:t>
            </w:r>
          </w:p>
        </w:tc>
        <w:tc>
          <w:tcPr>
            <w:tcW w:w="1395" w:type="pct"/>
            <w:vAlign w:val="center"/>
          </w:tcPr>
          <w:p w14:paraId="595245DB">
            <w:pPr>
              <w:pStyle w:val="46"/>
              <w:jc w:val="center"/>
              <w:rPr>
                <w:i w:val="0"/>
                <w:iCs w:val="0"/>
                <w:color w:val="auto"/>
                <w:highlight w:val="none"/>
              </w:rPr>
            </w:pPr>
            <w:r>
              <w:rPr>
                <w:rFonts w:hint="eastAsia"/>
                <w:i w:val="0"/>
                <w:iCs w:val="0"/>
                <w:color w:val="auto"/>
                <w:highlight w:val="none"/>
              </w:rPr>
              <w:t>*</w:t>
            </w:r>
            <w:r>
              <w:rPr>
                <w:i w:val="0"/>
                <w:iCs w:val="0"/>
                <w:color w:val="auto"/>
                <w:highlight w:val="none"/>
              </w:rPr>
              <w:t>******</w:t>
            </w:r>
          </w:p>
        </w:tc>
        <w:tc>
          <w:tcPr>
            <w:tcW w:w="1002" w:type="pct"/>
            <w:vAlign w:val="center"/>
          </w:tcPr>
          <w:p w14:paraId="0A16B4B6">
            <w:pPr>
              <w:pStyle w:val="46"/>
              <w:jc w:val="center"/>
              <w:rPr>
                <w:i w:val="0"/>
                <w:iCs w:val="0"/>
                <w:color w:val="auto"/>
                <w:highlight w:val="none"/>
              </w:rPr>
            </w:pPr>
            <w:r>
              <w:rPr>
                <w:rFonts w:hint="eastAsia"/>
                <w:i w:val="0"/>
                <w:iCs w:val="0"/>
                <w:color w:val="auto"/>
                <w:highlight w:val="none"/>
              </w:rPr>
              <w:t>*</w:t>
            </w:r>
            <w:r>
              <w:rPr>
                <w:i w:val="0"/>
                <w:iCs w:val="0"/>
                <w:color w:val="auto"/>
                <w:highlight w:val="none"/>
              </w:rPr>
              <w:t>******</w:t>
            </w:r>
          </w:p>
        </w:tc>
        <w:tc>
          <w:tcPr>
            <w:tcW w:w="1090" w:type="pct"/>
            <w:vAlign w:val="center"/>
          </w:tcPr>
          <w:p w14:paraId="58535F72">
            <w:pPr>
              <w:pStyle w:val="46"/>
              <w:jc w:val="center"/>
              <w:rPr>
                <w:i w:val="0"/>
                <w:iCs w:val="0"/>
                <w:color w:val="auto"/>
                <w:highlight w:val="none"/>
              </w:rPr>
            </w:pPr>
          </w:p>
        </w:tc>
        <w:tc>
          <w:tcPr>
            <w:tcW w:w="1090" w:type="pct"/>
            <w:vAlign w:val="center"/>
          </w:tcPr>
          <w:p w14:paraId="50AB520B">
            <w:pPr>
              <w:pStyle w:val="46"/>
              <w:jc w:val="center"/>
              <w:rPr>
                <w:i w:val="0"/>
                <w:iCs w:val="0"/>
                <w:color w:val="auto"/>
                <w:highlight w:val="none"/>
              </w:rPr>
            </w:pPr>
          </w:p>
        </w:tc>
      </w:tr>
      <w:tr w14:paraId="669EA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420" w:type="pct"/>
            <w:vAlign w:val="center"/>
          </w:tcPr>
          <w:p w14:paraId="74127D5E">
            <w:pPr>
              <w:pStyle w:val="46"/>
              <w:jc w:val="center"/>
              <w:rPr>
                <w:i w:val="0"/>
                <w:iCs w:val="0"/>
                <w:color w:val="auto"/>
                <w:highlight w:val="none"/>
              </w:rPr>
            </w:pPr>
          </w:p>
        </w:tc>
        <w:tc>
          <w:tcPr>
            <w:tcW w:w="1395" w:type="pct"/>
            <w:vAlign w:val="center"/>
          </w:tcPr>
          <w:p w14:paraId="14968038">
            <w:pPr>
              <w:pStyle w:val="46"/>
              <w:jc w:val="center"/>
              <w:rPr>
                <w:i w:val="0"/>
                <w:iCs w:val="0"/>
                <w:color w:val="auto"/>
                <w:highlight w:val="none"/>
              </w:rPr>
            </w:pPr>
          </w:p>
        </w:tc>
        <w:tc>
          <w:tcPr>
            <w:tcW w:w="1002" w:type="pct"/>
            <w:vAlign w:val="center"/>
          </w:tcPr>
          <w:p w14:paraId="10A6B59E">
            <w:pPr>
              <w:pStyle w:val="46"/>
              <w:jc w:val="center"/>
              <w:rPr>
                <w:i w:val="0"/>
                <w:iCs w:val="0"/>
                <w:color w:val="auto"/>
                <w:highlight w:val="none"/>
              </w:rPr>
            </w:pPr>
          </w:p>
        </w:tc>
        <w:tc>
          <w:tcPr>
            <w:tcW w:w="1090" w:type="pct"/>
            <w:vAlign w:val="center"/>
          </w:tcPr>
          <w:p w14:paraId="61702DF6">
            <w:pPr>
              <w:pStyle w:val="46"/>
              <w:jc w:val="center"/>
              <w:rPr>
                <w:i w:val="0"/>
                <w:iCs w:val="0"/>
                <w:color w:val="auto"/>
                <w:highlight w:val="none"/>
              </w:rPr>
            </w:pPr>
          </w:p>
        </w:tc>
        <w:tc>
          <w:tcPr>
            <w:tcW w:w="1090" w:type="pct"/>
            <w:vAlign w:val="center"/>
          </w:tcPr>
          <w:p w14:paraId="0CC18FC2">
            <w:pPr>
              <w:pStyle w:val="46"/>
              <w:jc w:val="center"/>
              <w:rPr>
                <w:i w:val="0"/>
                <w:iCs w:val="0"/>
                <w:color w:val="auto"/>
                <w:highlight w:val="none"/>
              </w:rPr>
            </w:pPr>
          </w:p>
        </w:tc>
      </w:tr>
      <w:tr w14:paraId="57F34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420" w:type="pct"/>
            <w:vAlign w:val="center"/>
          </w:tcPr>
          <w:p w14:paraId="4561F269">
            <w:pPr>
              <w:pStyle w:val="46"/>
              <w:jc w:val="center"/>
              <w:rPr>
                <w:i w:val="0"/>
                <w:iCs w:val="0"/>
                <w:color w:val="auto"/>
                <w:highlight w:val="none"/>
              </w:rPr>
            </w:pPr>
          </w:p>
        </w:tc>
        <w:tc>
          <w:tcPr>
            <w:tcW w:w="1395" w:type="pct"/>
            <w:vAlign w:val="center"/>
          </w:tcPr>
          <w:p w14:paraId="5DDD9937">
            <w:pPr>
              <w:pStyle w:val="46"/>
              <w:jc w:val="center"/>
              <w:rPr>
                <w:i w:val="0"/>
                <w:iCs w:val="0"/>
                <w:color w:val="auto"/>
                <w:highlight w:val="none"/>
              </w:rPr>
            </w:pPr>
          </w:p>
        </w:tc>
        <w:tc>
          <w:tcPr>
            <w:tcW w:w="1002" w:type="pct"/>
            <w:vAlign w:val="center"/>
          </w:tcPr>
          <w:p w14:paraId="0B29A018">
            <w:pPr>
              <w:pStyle w:val="46"/>
              <w:jc w:val="center"/>
              <w:rPr>
                <w:i w:val="0"/>
                <w:iCs w:val="0"/>
                <w:color w:val="auto"/>
                <w:highlight w:val="none"/>
              </w:rPr>
            </w:pPr>
          </w:p>
        </w:tc>
        <w:tc>
          <w:tcPr>
            <w:tcW w:w="1090" w:type="pct"/>
            <w:vAlign w:val="center"/>
          </w:tcPr>
          <w:p w14:paraId="1FA693DE">
            <w:pPr>
              <w:pStyle w:val="46"/>
              <w:jc w:val="center"/>
              <w:rPr>
                <w:i w:val="0"/>
                <w:iCs w:val="0"/>
                <w:color w:val="auto"/>
                <w:highlight w:val="none"/>
              </w:rPr>
            </w:pPr>
          </w:p>
        </w:tc>
        <w:tc>
          <w:tcPr>
            <w:tcW w:w="1090" w:type="pct"/>
            <w:vAlign w:val="center"/>
          </w:tcPr>
          <w:p w14:paraId="3D633AB6">
            <w:pPr>
              <w:pStyle w:val="46"/>
              <w:jc w:val="center"/>
              <w:rPr>
                <w:i w:val="0"/>
                <w:iCs w:val="0"/>
                <w:color w:val="auto"/>
                <w:highlight w:val="none"/>
              </w:rPr>
            </w:pPr>
          </w:p>
        </w:tc>
      </w:tr>
      <w:tr w14:paraId="12449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420" w:type="pct"/>
            <w:vAlign w:val="center"/>
          </w:tcPr>
          <w:p w14:paraId="59A5171A">
            <w:pPr>
              <w:pStyle w:val="46"/>
              <w:jc w:val="center"/>
              <w:rPr>
                <w:i w:val="0"/>
                <w:iCs w:val="0"/>
                <w:color w:val="auto"/>
                <w:highlight w:val="none"/>
              </w:rPr>
            </w:pPr>
          </w:p>
        </w:tc>
        <w:tc>
          <w:tcPr>
            <w:tcW w:w="1395" w:type="pct"/>
            <w:vAlign w:val="center"/>
          </w:tcPr>
          <w:p w14:paraId="014A297F">
            <w:pPr>
              <w:pStyle w:val="46"/>
              <w:jc w:val="center"/>
              <w:rPr>
                <w:i w:val="0"/>
                <w:iCs w:val="0"/>
                <w:color w:val="auto"/>
                <w:highlight w:val="none"/>
              </w:rPr>
            </w:pPr>
          </w:p>
        </w:tc>
        <w:tc>
          <w:tcPr>
            <w:tcW w:w="1002" w:type="pct"/>
            <w:vAlign w:val="center"/>
          </w:tcPr>
          <w:p w14:paraId="51467013">
            <w:pPr>
              <w:pStyle w:val="46"/>
              <w:jc w:val="center"/>
              <w:rPr>
                <w:i w:val="0"/>
                <w:iCs w:val="0"/>
                <w:color w:val="auto"/>
                <w:highlight w:val="none"/>
              </w:rPr>
            </w:pPr>
          </w:p>
        </w:tc>
        <w:tc>
          <w:tcPr>
            <w:tcW w:w="1090" w:type="pct"/>
            <w:vAlign w:val="center"/>
          </w:tcPr>
          <w:p w14:paraId="011E40CA">
            <w:pPr>
              <w:pStyle w:val="46"/>
              <w:jc w:val="center"/>
              <w:rPr>
                <w:i w:val="0"/>
                <w:iCs w:val="0"/>
                <w:color w:val="auto"/>
                <w:highlight w:val="none"/>
              </w:rPr>
            </w:pPr>
          </w:p>
        </w:tc>
        <w:tc>
          <w:tcPr>
            <w:tcW w:w="1090" w:type="pct"/>
            <w:vAlign w:val="center"/>
          </w:tcPr>
          <w:p w14:paraId="7062C313">
            <w:pPr>
              <w:pStyle w:val="46"/>
              <w:jc w:val="center"/>
              <w:rPr>
                <w:i w:val="0"/>
                <w:iCs w:val="0"/>
                <w:color w:val="auto"/>
                <w:highlight w:val="none"/>
              </w:rPr>
            </w:pPr>
          </w:p>
        </w:tc>
      </w:tr>
      <w:tr w14:paraId="7994B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420" w:type="pct"/>
            <w:vAlign w:val="center"/>
          </w:tcPr>
          <w:p w14:paraId="30B6F410">
            <w:pPr>
              <w:pStyle w:val="46"/>
              <w:jc w:val="center"/>
              <w:rPr>
                <w:i w:val="0"/>
                <w:iCs w:val="0"/>
                <w:color w:val="auto"/>
                <w:highlight w:val="none"/>
              </w:rPr>
            </w:pPr>
          </w:p>
        </w:tc>
        <w:tc>
          <w:tcPr>
            <w:tcW w:w="1395" w:type="pct"/>
            <w:vAlign w:val="center"/>
          </w:tcPr>
          <w:p w14:paraId="010A1BB0">
            <w:pPr>
              <w:pStyle w:val="46"/>
              <w:jc w:val="center"/>
              <w:rPr>
                <w:i w:val="0"/>
                <w:iCs w:val="0"/>
                <w:color w:val="auto"/>
                <w:highlight w:val="none"/>
              </w:rPr>
            </w:pPr>
          </w:p>
        </w:tc>
        <w:tc>
          <w:tcPr>
            <w:tcW w:w="1002" w:type="pct"/>
            <w:vAlign w:val="center"/>
          </w:tcPr>
          <w:p w14:paraId="1EE22C75">
            <w:pPr>
              <w:pStyle w:val="46"/>
              <w:jc w:val="center"/>
              <w:rPr>
                <w:i w:val="0"/>
                <w:iCs w:val="0"/>
                <w:color w:val="auto"/>
                <w:highlight w:val="none"/>
              </w:rPr>
            </w:pPr>
          </w:p>
        </w:tc>
        <w:tc>
          <w:tcPr>
            <w:tcW w:w="1090" w:type="pct"/>
            <w:vAlign w:val="center"/>
          </w:tcPr>
          <w:p w14:paraId="3C86F2CC">
            <w:pPr>
              <w:pStyle w:val="46"/>
              <w:jc w:val="center"/>
              <w:rPr>
                <w:i w:val="0"/>
                <w:iCs w:val="0"/>
                <w:color w:val="auto"/>
                <w:highlight w:val="none"/>
              </w:rPr>
            </w:pPr>
          </w:p>
        </w:tc>
        <w:tc>
          <w:tcPr>
            <w:tcW w:w="1090" w:type="pct"/>
            <w:vAlign w:val="center"/>
          </w:tcPr>
          <w:p w14:paraId="515EA04E">
            <w:pPr>
              <w:pStyle w:val="46"/>
              <w:jc w:val="center"/>
              <w:rPr>
                <w:i w:val="0"/>
                <w:iCs w:val="0"/>
                <w:color w:val="auto"/>
                <w:highlight w:val="none"/>
              </w:rPr>
            </w:pPr>
          </w:p>
        </w:tc>
      </w:tr>
      <w:tr w14:paraId="2D75C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420" w:type="pct"/>
            <w:vAlign w:val="center"/>
          </w:tcPr>
          <w:p w14:paraId="37EFA1E0">
            <w:pPr>
              <w:pStyle w:val="46"/>
              <w:jc w:val="center"/>
              <w:rPr>
                <w:i w:val="0"/>
                <w:iCs w:val="0"/>
                <w:color w:val="auto"/>
                <w:highlight w:val="none"/>
              </w:rPr>
            </w:pPr>
          </w:p>
        </w:tc>
        <w:tc>
          <w:tcPr>
            <w:tcW w:w="1395" w:type="pct"/>
            <w:vAlign w:val="center"/>
          </w:tcPr>
          <w:p w14:paraId="1C7A6406">
            <w:pPr>
              <w:pStyle w:val="46"/>
              <w:jc w:val="center"/>
              <w:rPr>
                <w:i w:val="0"/>
                <w:iCs w:val="0"/>
                <w:color w:val="auto"/>
                <w:highlight w:val="none"/>
              </w:rPr>
            </w:pPr>
          </w:p>
        </w:tc>
        <w:tc>
          <w:tcPr>
            <w:tcW w:w="1002" w:type="pct"/>
            <w:vAlign w:val="center"/>
          </w:tcPr>
          <w:p w14:paraId="7F774DAF">
            <w:pPr>
              <w:pStyle w:val="46"/>
              <w:jc w:val="center"/>
              <w:rPr>
                <w:i w:val="0"/>
                <w:iCs w:val="0"/>
                <w:color w:val="auto"/>
                <w:highlight w:val="none"/>
              </w:rPr>
            </w:pPr>
          </w:p>
        </w:tc>
        <w:tc>
          <w:tcPr>
            <w:tcW w:w="1090" w:type="pct"/>
            <w:vAlign w:val="center"/>
          </w:tcPr>
          <w:p w14:paraId="66A55C54">
            <w:pPr>
              <w:pStyle w:val="46"/>
              <w:jc w:val="center"/>
              <w:rPr>
                <w:i w:val="0"/>
                <w:iCs w:val="0"/>
                <w:color w:val="auto"/>
                <w:highlight w:val="none"/>
              </w:rPr>
            </w:pPr>
          </w:p>
        </w:tc>
        <w:tc>
          <w:tcPr>
            <w:tcW w:w="1090" w:type="pct"/>
            <w:vAlign w:val="center"/>
          </w:tcPr>
          <w:p w14:paraId="6FC3A7DB">
            <w:pPr>
              <w:pStyle w:val="46"/>
              <w:jc w:val="center"/>
              <w:rPr>
                <w:i w:val="0"/>
                <w:iCs w:val="0"/>
                <w:color w:val="auto"/>
                <w:highlight w:val="none"/>
              </w:rPr>
            </w:pPr>
          </w:p>
        </w:tc>
      </w:tr>
      <w:tr w14:paraId="2B937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420" w:type="pct"/>
            <w:vAlign w:val="center"/>
          </w:tcPr>
          <w:p w14:paraId="3D84A230">
            <w:pPr>
              <w:pStyle w:val="46"/>
              <w:jc w:val="center"/>
              <w:rPr>
                <w:i w:val="0"/>
                <w:iCs w:val="0"/>
                <w:color w:val="auto"/>
                <w:highlight w:val="none"/>
              </w:rPr>
            </w:pPr>
          </w:p>
        </w:tc>
        <w:tc>
          <w:tcPr>
            <w:tcW w:w="1395" w:type="pct"/>
            <w:vAlign w:val="center"/>
          </w:tcPr>
          <w:p w14:paraId="5A1690B5">
            <w:pPr>
              <w:pStyle w:val="46"/>
              <w:jc w:val="center"/>
              <w:rPr>
                <w:i w:val="0"/>
                <w:iCs w:val="0"/>
                <w:color w:val="auto"/>
                <w:highlight w:val="none"/>
              </w:rPr>
            </w:pPr>
          </w:p>
        </w:tc>
        <w:tc>
          <w:tcPr>
            <w:tcW w:w="1002" w:type="pct"/>
            <w:vAlign w:val="center"/>
          </w:tcPr>
          <w:p w14:paraId="735418C2">
            <w:pPr>
              <w:pStyle w:val="46"/>
              <w:jc w:val="center"/>
              <w:rPr>
                <w:i w:val="0"/>
                <w:iCs w:val="0"/>
                <w:color w:val="auto"/>
                <w:highlight w:val="none"/>
              </w:rPr>
            </w:pPr>
          </w:p>
        </w:tc>
        <w:tc>
          <w:tcPr>
            <w:tcW w:w="1090" w:type="pct"/>
            <w:vAlign w:val="center"/>
          </w:tcPr>
          <w:p w14:paraId="13F6671D">
            <w:pPr>
              <w:pStyle w:val="46"/>
              <w:jc w:val="center"/>
              <w:rPr>
                <w:i w:val="0"/>
                <w:iCs w:val="0"/>
                <w:color w:val="auto"/>
                <w:highlight w:val="none"/>
              </w:rPr>
            </w:pPr>
          </w:p>
        </w:tc>
        <w:tc>
          <w:tcPr>
            <w:tcW w:w="1090" w:type="pct"/>
            <w:vAlign w:val="center"/>
          </w:tcPr>
          <w:p w14:paraId="3DC0B3BB">
            <w:pPr>
              <w:pStyle w:val="46"/>
              <w:jc w:val="center"/>
              <w:rPr>
                <w:i w:val="0"/>
                <w:iCs w:val="0"/>
                <w:color w:val="auto"/>
                <w:highlight w:val="none"/>
              </w:rPr>
            </w:pPr>
          </w:p>
        </w:tc>
      </w:tr>
      <w:tr w14:paraId="23E04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420" w:type="pct"/>
            <w:vAlign w:val="center"/>
          </w:tcPr>
          <w:p w14:paraId="01109CF1">
            <w:pPr>
              <w:pStyle w:val="46"/>
              <w:jc w:val="center"/>
              <w:rPr>
                <w:i w:val="0"/>
                <w:iCs w:val="0"/>
                <w:color w:val="auto"/>
                <w:highlight w:val="none"/>
              </w:rPr>
            </w:pPr>
          </w:p>
        </w:tc>
        <w:tc>
          <w:tcPr>
            <w:tcW w:w="1395" w:type="pct"/>
            <w:vAlign w:val="center"/>
          </w:tcPr>
          <w:p w14:paraId="4E1F25E0">
            <w:pPr>
              <w:pStyle w:val="46"/>
              <w:jc w:val="center"/>
              <w:rPr>
                <w:i w:val="0"/>
                <w:iCs w:val="0"/>
                <w:color w:val="auto"/>
                <w:highlight w:val="none"/>
              </w:rPr>
            </w:pPr>
          </w:p>
        </w:tc>
        <w:tc>
          <w:tcPr>
            <w:tcW w:w="1002" w:type="pct"/>
            <w:vAlign w:val="center"/>
          </w:tcPr>
          <w:p w14:paraId="4F1707F4">
            <w:pPr>
              <w:pStyle w:val="46"/>
              <w:jc w:val="center"/>
              <w:rPr>
                <w:i w:val="0"/>
                <w:iCs w:val="0"/>
                <w:color w:val="auto"/>
                <w:highlight w:val="none"/>
              </w:rPr>
            </w:pPr>
          </w:p>
        </w:tc>
        <w:tc>
          <w:tcPr>
            <w:tcW w:w="1090" w:type="pct"/>
            <w:vAlign w:val="center"/>
          </w:tcPr>
          <w:p w14:paraId="59E61A3B">
            <w:pPr>
              <w:pStyle w:val="46"/>
              <w:jc w:val="center"/>
              <w:rPr>
                <w:i w:val="0"/>
                <w:iCs w:val="0"/>
                <w:color w:val="auto"/>
                <w:highlight w:val="none"/>
              </w:rPr>
            </w:pPr>
          </w:p>
        </w:tc>
        <w:tc>
          <w:tcPr>
            <w:tcW w:w="1090" w:type="pct"/>
            <w:vAlign w:val="center"/>
          </w:tcPr>
          <w:p w14:paraId="33E07ECA">
            <w:pPr>
              <w:pStyle w:val="46"/>
              <w:jc w:val="center"/>
              <w:rPr>
                <w:i w:val="0"/>
                <w:iCs w:val="0"/>
                <w:color w:val="auto"/>
                <w:highlight w:val="none"/>
              </w:rPr>
            </w:pPr>
          </w:p>
        </w:tc>
      </w:tr>
      <w:tr w14:paraId="6B929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420" w:type="pct"/>
            <w:vAlign w:val="center"/>
          </w:tcPr>
          <w:p w14:paraId="71CB3DA8">
            <w:pPr>
              <w:pStyle w:val="46"/>
              <w:jc w:val="center"/>
              <w:rPr>
                <w:i w:val="0"/>
                <w:iCs w:val="0"/>
                <w:color w:val="auto"/>
                <w:highlight w:val="none"/>
              </w:rPr>
            </w:pPr>
          </w:p>
        </w:tc>
        <w:tc>
          <w:tcPr>
            <w:tcW w:w="1395" w:type="pct"/>
            <w:vAlign w:val="center"/>
          </w:tcPr>
          <w:p w14:paraId="494F1780">
            <w:pPr>
              <w:pStyle w:val="46"/>
              <w:jc w:val="center"/>
              <w:rPr>
                <w:i w:val="0"/>
                <w:iCs w:val="0"/>
                <w:color w:val="auto"/>
                <w:highlight w:val="none"/>
              </w:rPr>
            </w:pPr>
          </w:p>
        </w:tc>
        <w:tc>
          <w:tcPr>
            <w:tcW w:w="1002" w:type="pct"/>
            <w:vAlign w:val="center"/>
          </w:tcPr>
          <w:p w14:paraId="02E24AFD">
            <w:pPr>
              <w:pStyle w:val="46"/>
              <w:jc w:val="center"/>
              <w:rPr>
                <w:i w:val="0"/>
                <w:iCs w:val="0"/>
                <w:color w:val="auto"/>
                <w:highlight w:val="none"/>
              </w:rPr>
            </w:pPr>
          </w:p>
        </w:tc>
        <w:tc>
          <w:tcPr>
            <w:tcW w:w="1090" w:type="pct"/>
            <w:vAlign w:val="center"/>
          </w:tcPr>
          <w:p w14:paraId="15C952B3">
            <w:pPr>
              <w:pStyle w:val="46"/>
              <w:jc w:val="center"/>
              <w:rPr>
                <w:i w:val="0"/>
                <w:iCs w:val="0"/>
                <w:color w:val="auto"/>
                <w:highlight w:val="none"/>
              </w:rPr>
            </w:pPr>
          </w:p>
        </w:tc>
        <w:tc>
          <w:tcPr>
            <w:tcW w:w="1090" w:type="pct"/>
            <w:vAlign w:val="center"/>
          </w:tcPr>
          <w:p w14:paraId="042480C5">
            <w:pPr>
              <w:pStyle w:val="46"/>
              <w:jc w:val="center"/>
              <w:rPr>
                <w:i w:val="0"/>
                <w:iCs w:val="0"/>
                <w:color w:val="auto"/>
                <w:highlight w:val="none"/>
              </w:rPr>
            </w:pPr>
          </w:p>
        </w:tc>
      </w:tr>
      <w:tr w14:paraId="13BE0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420" w:type="pct"/>
            <w:vAlign w:val="center"/>
          </w:tcPr>
          <w:p w14:paraId="6D3D8B34">
            <w:pPr>
              <w:pStyle w:val="46"/>
              <w:jc w:val="center"/>
              <w:rPr>
                <w:i w:val="0"/>
                <w:iCs w:val="0"/>
                <w:color w:val="auto"/>
                <w:highlight w:val="none"/>
              </w:rPr>
            </w:pPr>
          </w:p>
        </w:tc>
        <w:tc>
          <w:tcPr>
            <w:tcW w:w="1395" w:type="pct"/>
            <w:vAlign w:val="center"/>
          </w:tcPr>
          <w:p w14:paraId="3FA50495">
            <w:pPr>
              <w:pStyle w:val="46"/>
              <w:jc w:val="center"/>
              <w:rPr>
                <w:i w:val="0"/>
                <w:iCs w:val="0"/>
                <w:color w:val="auto"/>
                <w:highlight w:val="none"/>
              </w:rPr>
            </w:pPr>
          </w:p>
        </w:tc>
        <w:tc>
          <w:tcPr>
            <w:tcW w:w="1002" w:type="pct"/>
            <w:vAlign w:val="center"/>
          </w:tcPr>
          <w:p w14:paraId="65521973">
            <w:pPr>
              <w:pStyle w:val="46"/>
              <w:jc w:val="center"/>
              <w:rPr>
                <w:i w:val="0"/>
                <w:iCs w:val="0"/>
                <w:color w:val="auto"/>
                <w:highlight w:val="none"/>
              </w:rPr>
            </w:pPr>
          </w:p>
        </w:tc>
        <w:tc>
          <w:tcPr>
            <w:tcW w:w="1090" w:type="pct"/>
            <w:vAlign w:val="center"/>
          </w:tcPr>
          <w:p w14:paraId="505486BC">
            <w:pPr>
              <w:pStyle w:val="46"/>
              <w:jc w:val="center"/>
              <w:rPr>
                <w:i w:val="0"/>
                <w:iCs w:val="0"/>
                <w:color w:val="auto"/>
                <w:highlight w:val="none"/>
              </w:rPr>
            </w:pPr>
          </w:p>
        </w:tc>
        <w:tc>
          <w:tcPr>
            <w:tcW w:w="1090" w:type="pct"/>
            <w:vAlign w:val="center"/>
          </w:tcPr>
          <w:p w14:paraId="40E41834">
            <w:pPr>
              <w:pStyle w:val="46"/>
              <w:jc w:val="center"/>
              <w:rPr>
                <w:i w:val="0"/>
                <w:iCs w:val="0"/>
                <w:color w:val="auto"/>
                <w:highlight w:val="none"/>
              </w:rPr>
            </w:pPr>
          </w:p>
        </w:tc>
      </w:tr>
      <w:tr w14:paraId="322EB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420" w:type="pct"/>
            <w:vAlign w:val="center"/>
          </w:tcPr>
          <w:p w14:paraId="3E27F183">
            <w:pPr>
              <w:pStyle w:val="46"/>
              <w:jc w:val="center"/>
              <w:rPr>
                <w:i w:val="0"/>
                <w:iCs w:val="0"/>
                <w:color w:val="auto"/>
                <w:highlight w:val="none"/>
              </w:rPr>
            </w:pPr>
          </w:p>
        </w:tc>
        <w:tc>
          <w:tcPr>
            <w:tcW w:w="1395" w:type="pct"/>
            <w:vAlign w:val="center"/>
          </w:tcPr>
          <w:p w14:paraId="199507E1">
            <w:pPr>
              <w:pStyle w:val="46"/>
              <w:jc w:val="center"/>
              <w:rPr>
                <w:i w:val="0"/>
                <w:iCs w:val="0"/>
                <w:color w:val="auto"/>
                <w:highlight w:val="none"/>
              </w:rPr>
            </w:pPr>
          </w:p>
        </w:tc>
        <w:tc>
          <w:tcPr>
            <w:tcW w:w="1002" w:type="pct"/>
            <w:vAlign w:val="center"/>
          </w:tcPr>
          <w:p w14:paraId="6691FD82">
            <w:pPr>
              <w:pStyle w:val="46"/>
              <w:jc w:val="center"/>
              <w:rPr>
                <w:i w:val="0"/>
                <w:iCs w:val="0"/>
                <w:color w:val="auto"/>
                <w:highlight w:val="none"/>
              </w:rPr>
            </w:pPr>
          </w:p>
        </w:tc>
        <w:tc>
          <w:tcPr>
            <w:tcW w:w="1090" w:type="pct"/>
            <w:vAlign w:val="center"/>
          </w:tcPr>
          <w:p w14:paraId="6E35002B">
            <w:pPr>
              <w:pStyle w:val="46"/>
              <w:jc w:val="center"/>
              <w:rPr>
                <w:i w:val="0"/>
                <w:iCs w:val="0"/>
                <w:color w:val="auto"/>
                <w:highlight w:val="none"/>
              </w:rPr>
            </w:pPr>
          </w:p>
        </w:tc>
        <w:tc>
          <w:tcPr>
            <w:tcW w:w="1090" w:type="pct"/>
            <w:vAlign w:val="center"/>
          </w:tcPr>
          <w:p w14:paraId="69818ED1">
            <w:pPr>
              <w:pStyle w:val="46"/>
              <w:jc w:val="center"/>
              <w:rPr>
                <w:i w:val="0"/>
                <w:iCs w:val="0"/>
                <w:color w:val="auto"/>
                <w:highlight w:val="none"/>
              </w:rPr>
            </w:pPr>
          </w:p>
        </w:tc>
      </w:tr>
      <w:tr w14:paraId="79F3B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0" w:type="pct"/>
            <w:vAlign w:val="center"/>
          </w:tcPr>
          <w:p w14:paraId="71E185D4">
            <w:pPr>
              <w:pStyle w:val="46"/>
              <w:jc w:val="center"/>
              <w:rPr>
                <w:i w:val="0"/>
                <w:iCs w:val="0"/>
                <w:color w:val="auto"/>
                <w:highlight w:val="none"/>
              </w:rPr>
            </w:pPr>
            <w:r>
              <w:rPr>
                <w:rFonts w:hint="eastAsia"/>
                <w:i w:val="0"/>
                <w:iCs w:val="0"/>
                <w:color w:val="auto"/>
                <w:highlight w:val="none"/>
              </w:rPr>
              <w:t>……</w:t>
            </w:r>
          </w:p>
        </w:tc>
        <w:tc>
          <w:tcPr>
            <w:tcW w:w="1395" w:type="pct"/>
            <w:vAlign w:val="center"/>
          </w:tcPr>
          <w:p w14:paraId="6324A49D">
            <w:pPr>
              <w:pStyle w:val="46"/>
              <w:jc w:val="center"/>
              <w:rPr>
                <w:i w:val="0"/>
                <w:iCs w:val="0"/>
                <w:color w:val="auto"/>
                <w:highlight w:val="none"/>
              </w:rPr>
            </w:pPr>
            <w:r>
              <w:rPr>
                <w:rFonts w:hint="eastAsia"/>
                <w:i w:val="0"/>
                <w:iCs w:val="0"/>
                <w:color w:val="auto"/>
                <w:highlight w:val="none"/>
                <w:lang w:eastAsia="zh-CN"/>
              </w:rPr>
              <w:t>…</w:t>
            </w:r>
          </w:p>
        </w:tc>
        <w:tc>
          <w:tcPr>
            <w:tcW w:w="1002" w:type="pct"/>
            <w:vAlign w:val="center"/>
          </w:tcPr>
          <w:p w14:paraId="0EE83785">
            <w:pPr>
              <w:pStyle w:val="46"/>
              <w:jc w:val="center"/>
              <w:rPr>
                <w:i w:val="0"/>
                <w:iCs w:val="0"/>
                <w:color w:val="auto"/>
                <w:highlight w:val="none"/>
              </w:rPr>
            </w:pPr>
            <w:r>
              <w:rPr>
                <w:rFonts w:hint="eastAsia"/>
                <w:i w:val="0"/>
                <w:iCs w:val="0"/>
                <w:color w:val="auto"/>
                <w:highlight w:val="none"/>
                <w:lang w:eastAsia="zh-CN"/>
              </w:rPr>
              <w:t>…</w:t>
            </w:r>
          </w:p>
        </w:tc>
        <w:tc>
          <w:tcPr>
            <w:tcW w:w="1090" w:type="pct"/>
            <w:vAlign w:val="center"/>
          </w:tcPr>
          <w:p w14:paraId="7A24BB2D">
            <w:pPr>
              <w:pStyle w:val="46"/>
              <w:jc w:val="center"/>
              <w:rPr>
                <w:i w:val="0"/>
                <w:iCs w:val="0"/>
                <w:color w:val="auto"/>
                <w:highlight w:val="none"/>
              </w:rPr>
            </w:pPr>
            <w:r>
              <w:rPr>
                <w:rFonts w:hint="eastAsia"/>
                <w:i w:val="0"/>
                <w:iCs w:val="0"/>
                <w:color w:val="auto"/>
                <w:highlight w:val="none"/>
              </w:rPr>
              <w:t>……</w:t>
            </w:r>
          </w:p>
        </w:tc>
        <w:tc>
          <w:tcPr>
            <w:tcW w:w="1090" w:type="pct"/>
            <w:vAlign w:val="center"/>
          </w:tcPr>
          <w:p w14:paraId="7CC08218">
            <w:pPr>
              <w:pStyle w:val="46"/>
              <w:jc w:val="center"/>
              <w:rPr>
                <w:i w:val="0"/>
                <w:iCs w:val="0"/>
                <w:color w:val="auto"/>
                <w:highlight w:val="none"/>
              </w:rPr>
            </w:pPr>
          </w:p>
        </w:tc>
      </w:tr>
    </w:tbl>
    <w:p w14:paraId="18714C0C">
      <w:pPr>
        <w:ind w:firstLine="480" w:firstLineChars="200"/>
        <w:rPr>
          <w:rFonts w:hint="eastAsia" w:cs="仿宋_GB2312"/>
          <w:i w:val="0"/>
          <w:iCs w:val="0"/>
          <w:color w:val="auto"/>
          <w:szCs w:val="24"/>
          <w:highlight w:val="none"/>
        </w:rPr>
      </w:pPr>
    </w:p>
    <w:p w14:paraId="79243E57">
      <w:pPr>
        <w:ind w:firstLine="420" w:firstLineChars="200"/>
        <w:rPr>
          <w:rFonts w:cs="仿宋_GB2312"/>
          <w:i w:val="0"/>
          <w:iCs w:val="0"/>
          <w:color w:val="auto"/>
          <w:sz w:val="21"/>
          <w:szCs w:val="21"/>
          <w:highlight w:val="none"/>
        </w:rPr>
      </w:pPr>
      <w:r>
        <w:rPr>
          <w:rFonts w:hint="eastAsia" w:cs="仿宋_GB2312"/>
          <w:i w:val="0"/>
          <w:iCs w:val="0"/>
          <w:color w:val="auto"/>
          <w:sz w:val="21"/>
          <w:szCs w:val="21"/>
          <w:highlight w:val="none"/>
        </w:rPr>
        <w:t>注：</w:t>
      </w:r>
      <w:r>
        <w:rPr>
          <w:rFonts w:hint="eastAsia" w:cs="仿宋_GB2312"/>
          <w:i w:val="0"/>
          <w:iCs w:val="0"/>
          <w:color w:val="auto"/>
          <w:sz w:val="21"/>
          <w:szCs w:val="21"/>
          <w:highlight w:val="none"/>
          <w:lang w:val="en-US" w:eastAsia="zh-CN"/>
        </w:rPr>
        <w:t>供应商</w:t>
      </w:r>
      <w:r>
        <w:rPr>
          <w:rFonts w:hint="eastAsia" w:cs="仿宋_GB2312"/>
          <w:i w:val="0"/>
          <w:iCs w:val="0"/>
          <w:color w:val="auto"/>
          <w:sz w:val="21"/>
          <w:szCs w:val="21"/>
          <w:highlight w:val="none"/>
        </w:rPr>
        <w:t>应按照</w:t>
      </w:r>
      <w:r>
        <w:rPr>
          <w:rFonts w:hint="eastAsia" w:cs="仿宋_GB2312"/>
          <w:i w:val="0"/>
          <w:iCs w:val="0"/>
          <w:color w:val="auto"/>
          <w:sz w:val="21"/>
          <w:szCs w:val="21"/>
          <w:highlight w:val="none"/>
          <w:lang w:val="en-US" w:eastAsia="zh-CN"/>
        </w:rPr>
        <w:t>竞争性磋商</w:t>
      </w:r>
      <w:r>
        <w:rPr>
          <w:rFonts w:hint="eastAsia" w:cs="仿宋_GB2312"/>
          <w:i w:val="0"/>
          <w:iCs w:val="0"/>
          <w:color w:val="auto"/>
          <w:sz w:val="21"/>
          <w:szCs w:val="21"/>
          <w:highlight w:val="none"/>
        </w:rPr>
        <w:t>文件</w:t>
      </w:r>
      <w:r>
        <w:rPr>
          <w:rFonts w:hint="eastAsia" w:cs="仿宋_GB2312"/>
          <w:i w:val="0"/>
          <w:iCs w:val="0"/>
          <w:color w:val="auto"/>
          <w:sz w:val="21"/>
          <w:szCs w:val="21"/>
          <w:highlight w:val="none"/>
          <w:lang w:eastAsia="zh-CN"/>
        </w:rPr>
        <w:t>“</w:t>
      </w:r>
      <w:r>
        <w:rPr>
          <w:rFonts w:hint="eastAsia" w:cs="仿宋_GB2312"/>
          <w:i w:val="0"/>
          <w:iCs w:val="0"/>
          <w:color w:val="auto"/>
          <w:sz w:val="21"/>
          <w:szCs w:val="21"/>
          <w:highlight w:val="none"/>
        </w:rPr>
        <w:t xml:space="preserve">第三章 </w:t>
      </w:r>
      <w:r>
        <w:rPr>
          <w:rFonts w:hint="eastAsia" w:cs="仿宋_GB2312"/>
          <w:i w:val="0"/>
          <w:iCs w:val="0"/>
          <w:color w:val="auto"/>
          <w:sz w:val="21"/>
          <w:szCs w:val="21"/>
          <w:highlight w:val="none"/>
          <w:lang w:val="en-US" w:eastAsia="zh-CN"/>
        </w:rPr>
        <w:t>项目</w:t>
      </w:r>
      <w:r>
        <w:rPr>
          <w:rFonts w:hint="eastAsia" w:cs="仿宋_GB2312"/>
          <w:i w:val="0"/>
          <w:iCs w:val="0"/>
          <w:color w:val="auto"/>
          <w:sz w:val="21"/>
          <w:szCs w:val="21"/>
          <w:highlight w:val="none"/>
        </w:rPr>
        <w:t>采购需求</w:t>
      </w:r>
      <w:r>
        <w:rPr>
          <w:rFonts w:hint="eastAsia" w:cs="仿宋_GB2312"/>
          <w:i w:val="0"/>
          <w:iCs w:val="0"/>
          <w:color w:val="auto"/>
          <w:sz w:val="21"/>
          <w:szCs w:val="21"/>
          <w:highlight w:val="none"/>
          <w:lang w:eastAsia="zh-CN"/>
        </w:rPr>
        <w:t>”</w:t>
      </w:r>
      <w:r>
        <w:rPr>
          <w:rFonts w:hint="eastAsia" w:cs="仿宋_GB2312"/>
          <w:i w:val="0"/>
          <w:iCs w:val="0"/>
          <w:color w:val="auto"/>
          <w:sz w:val="21"/>
          <w:szCs w:val="21"/>
          <w:highlight w:val="none"/>
          <w:lang w:val="en-US" w:eastAsia="zh-CN"/>
        </w:rPr>
        <w:t>中的商务要求</w:t>
      </w:r>
      <w:r>
        <w:rPr>
          <w:rFonts w:hint="eastAsia" w:cs="仿宋_GB2312"/>
          <w:i w:val="0"/>
          <w:iCs w:val="0"/>
          <w:color w:val="auto"/>
          <w:sz w:val="21"/>
          <w:szCs w:val="21"/>
          <w:highlight w:val="none"/>
        </w:rPr>
        <w:t>填写</w:t>
      </w:r>
      <w:r>
        <w:rPr>
          <w:rFonts w:hint="eastAsia" w:cs="仿宋_GB2312"/>
          <w:i w:val="0"/>
          <w:iCs w:val="0"/>
          <w:color w:val="auto"/>
          <w:sz w:val="21"/>
          <w:szCs w:val="21"/>
          <w:highlight w:val="none"/>
          <w:lang w:eastAsia="zh-CN"/>
        </w:rPr>
        <w:t>，</w:t>
      </w:r>
      <w:r>
        <w:rPr>
          <w:rFonts w:hint="eastAsia" w:cs="仿宋_GB2312"/>
          <w:i w:val="0"/>
          <w:iCs w:val="0"/>
          <w:color w:val="auto"/>
          <w:sz w:val="21"/>
          <w:szCs w:val="21"/>
          <w:highlight w:val="none"/>
          <w:lang w:val="en-US" w:eastAsia="zh-CN"/>
        </w:rPr>
        <w:t>“响应/偏离”应据实填写“响应”“正偏离”或“负偏离”</w:t>
      </w:r>
      <w:r>
        <w:rPr>
          <w:rFonts w:hint="eastAsia" w:cs="仿宋_GB2312"/>
          <w:i w:val="0"/>
          <w:iCs w:val="0"/>
          <w:color w:val="auto"/>
          <w:sz w:val="21"/>
          <w:szCs w:val="21"/>
          <w:highlight w:val="none"/>
        </w:rPr>
        <w:t>。</w:t>
      </w:r>
    </w:p>
    <w:p w14:paraId="1A3EAC71">
      <w:pPr>
        <w:rPr>
          <w:rFonts w:cs="仿宋_GB2312"/>
          <w:i w:val="0"/>
          <w:iCs w:val="0"/>
          <w:color w:val="auto"/>
          <w:szCs w:val="24"/>
          <w:highlight w:val="none"/>
        </w:rPr>
      </w:pPr>
    </w:p>
    <w:p w14:paraId="5CB06622">
      <w:pPr>
        <w:ind w:firstLine="480" w:firstLineChars="200"/>
        <w:rPr>
          <w:rFonts w:cs="仿宋_GB2312"/>
          <w:i w:val="0"/>
          <w:iCs w:val="0"/>
          <w:color w:val="auto"/>
          <w:szCs w:val="24"/>
          <w:highlight w:val="none"/>
        </w:rPr>
      </w:pPr>
    </w:p>
    <w:p w14:paraId="05D78CF2">
      <w:pPr>
        <w:ind w:right="1008" w:firstLine="4284" w:firstLineChars="1700"/>
        <w:rPr>
          <w:rFonts w:cs="宋体"/>
          <w:i w:val="0"/>
          <w:iCs w:val="0"/>
          <w:color w:val="auto"/>
          <w:spacing w:val="6"/>
          <w:szCs w:val="24"/>
          <w:highlight w:val="none"/>
        </w:rPr>
      </w:pPr>
      <w:r>
        <w:rPr>
          <w:rFonts w:hint="eastAsia" w:cs="宋体"/>
          <w:i w:val="0"/>
          <w:iCs w:val="0"/>
          <w:color w:val="auto"/>
          <w:spacing w:val="6"/>
          <w:szCs w:val="24"/>
          <w:highlight w:val="none"/>
          <w:lang w:val="en-US" w:eastAsia="zh-CN"/>
        </w:rPr>
        <w:t>供应商</w:t>
      </w:r>
      <w:r>
        <w:rPr>
          <w:rFonts w:hint="eastAsia" w:cs="宋体"/>
          <w:i w:val="0"/>
          <w:iCs w:val="0"/>
          <w:color w:val="auto"/>
          <w:spacing w:val="6"/>
          <w:szCs w:val="24"/>
          <w:highlight w:val="none"/>
        </w:rPr>
        <w:t>名称</w:t>
      </w:r>
      <w:r>
        <w:rPr>
          <w:rFonts w:hint="eastAsia" w:cs="宋体"/>
          <w:i w:val="0"/>
          <w:iCs w:val="0"/>
          <w:color w:val="auto"/>
          <w:spacing w:val="6"/>
          <w:szCs w:val="24"/>
          <w:highlight w:val="none"/>
          <w:lang w:eastAsia="zh-CN"/>
        </w:rPr>
        <w:t>（</w:t>
      </w:r>
      <w:r>
        <w:rPr>
          <w:rFonts w:hint="eastAsia" w:cs="宋体"/>
          <w:i w:val="0"/>
          <w:iCs w:val="0"/>
          <w:color w:val="auto"/>
          <w:spacing w:val="6"/>
          <w:szCs w:val="24"/>
          <w:highlight w:val="none"/>
          <w:lang w:val="en-US" w:eastAsia="zh-CN"/>
        </w:rPr>
        <w:t>公章</w:t>
      </w:r>
      <w:r>
        <w:rPr>
          <w:rFonts w:hint="eastAsia" w:cs="宋体"/>
          <w:i w:val="0"/>
          <w:iCs w:val="0"/>
          <w:color w:val="auto"/>
          <w:spacing w:val="6"/>
          <w:szCs w:val="24"/>
          <w:highlight w:val="none"/>
          <w:lang w:eastAsia="zh-CN"/>
        </w:rPr>
        <w:t>）</w:t>
      </w:r>
      <w:r>
        <w:rPr>
          <w:rFonts w:hint="eastAsia" w:cs="宋体"/>
          <w:i w:val="0"/>
          <w:iCs w:val="0"/>
          <w:color w:val="auto"/>
          <w:spacing w:val="6"/>
          <w:szCs w:val="24"/>
          <w:highlight w:val="none"/>
        </w:rPr>
        <w:t>：</w:t>
      </w:r>
    </w:p>
    <w:p w14:paraId="25E73299">
      <w:pPr>
        <w:ind w:right="1008" w:firstLine="4284" w:firstLineChars="1700"/>
        <w:rPr>
          <w:rFonts w:hint="default" w:eastAsia="宋体" w:cs="宋体"/>
          <w:i w:val="0"/>
          <w:iCs w:val="0"/>
          <w:color w:val="auto"/>
          <w:spacing w:val="6"/>
          <w:szCs w:val="24"/>
          <w:highlight w:val="none"/>
          <w:lang w:val="en-US" w:eastAsia="zh-CN"/>
        </w:rPr>
      </w:pPr>
      <w:r>
        <w:rPr>
          <w:rFonts w:hint="eastAsia" w:cs="宋体"/>
          <w:i w:val="0"/>
          <w:iCs w:val="0"/>
          <w:color w:val="auto"/>
          <w:spacing w:val="6"/>
          <w:szCs w:val="24"/>
          <w:highlight w:val="none"/>
        </w:rPr>
        <w:t>日期：</w:t>
      </w:r>
      <w:r>
        <w:rPr>
          <w:rFonts w:hint="eastAsia" w:cs="宋体"/>
          <w:i w:val="0"/>
          <w:iCs w:val="0"/>
          <w:color w:val="auto"/>
          <w:spacing w:val="6"/>
          <w:szCs w:val="24"/>
          <w:highlight w:val="none"/>
          <w:lang w:val="en-US" w:eastAsia="zh-CN"/>
        </w:rPr>
        <w:t xml:space="preserve">   年  月  日</w:t>
      </w:r>
    </w:p>
    <w:p w14:paraId="598C43A6">
      <w:pPr>
        <w:ind w:firstLine="420"/>
        <w:rPr>
          <w:rFonts w:cs="仿宋_GB2312"/>
          <w:i w:val="0"/>
          <w:iCs w:val="0"/>
          <w:color w:val="auto"/>
          <w:szCs w:val="24"/>
          <w:highlight w:val="none"/>
        </w:rPr>
      </w:pPr>
      <w:r>
        <w:rPr>
          <w:rFonts w:cs="仿宋_GB2312"/>
          <w:i w:val="0"/>
          <w:iCs w:val="0"/>
          <w:color w:val="auto"/>
          <w:szCs w:val="24"/>
          <w:highlight w:val="none"/>
        </w:rPr>
        <w:br w:type="page"/>
      </w:r>
    </w:p>
    <w:p w14:paraId="3BEF2EC6">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宋体" w:asciiTheme="majorHAnsi" w:hAnsiTheme="majorHAnsi" w:cstheme="majorBidi"/>
          <w:b/>
          <w:bCs/>
          <w:i w:val="0"/>
          <w:iCs w:val="0"/>
          <w:color w:val="auto"/>
          <w:kern w:val="2"/>
          <w:sz w:val="28"/>
          <w:szCs w:val="28"/>
          <w:highlight w:val="none"/>
          <w:lang w:val="en-US" w:eastAsia="zh-CN" w:bidi="ar-SA"/>
        </w:rPr>
      </w:pPr>
    </w:p>
    <w:p w14:paraId="287724FC">
      <w:pPr>
        <w:pStyle w:val="3"/>
        <w:keepNext/>
        <w:keepLines/>
        <w:pageBreakBefore w:val="0"/>
        <w:widowControl w:val="0"/>
        <w:numPr>
          <w:ilvl w:val="0"/>
          <w:numId w:val="0"/>
        </w:numPr>
        <w:kinsoku/>
        <w:wordWrap/>
        <w:overflowPunct/>
        <w:topLinePunct w:val="0"/>
        <w:autoSpaceDE/>
        <w:autoSpaceDN/>
        <w:bidi w:val="0"/>
        <w:adjustRightInd/>
        <w:snapToGrid/>
        <w:spacing w:before="100" w:after="100" w:line="360" w:lineRule="auto"/>
        <w:ind w:left="420" w:leftChars="0" w:hanging="420" w:firstLineChars="0"/>
        <w:jc w:val="center"/>
        <w:textAlignment w:val="auto"/>
        <w:rPr>
          <w:rFonts w:hint="eastAsia" w:eastAsia="宋体" w:asciiTheme="majorHAnsi" w:hAnsiTheme="majorHAnsi" w:cstheme="majorBidi"/>
          <w:b/>
          <w:bCs/>
          <w:i w:val="0"/>
          <w:iCs w:val="0"/>
          <w:color w:val="auto"/>
          <w:kern w:val="2"/>
          <w:sz w:val="32"/>
          <w:szCs w:val="32"/>
          <w:highlight w:val="none"/>
          <w:lang w:val="en-US" w:eastAsia="zh-CN" w:bidi="ar-SA"/>
        </w:rPr>
      </w:pPr>
      <w:bookmarkStart w:id="486" w:name="_Toc27504"/>
      <w:r>
        <w:rPr>
          <w:rFonts w:hint="eastAsia" w:cstheme="majorBidi"/>
          <w:b/>
          <w:bCs/>
          <w:i w:val="0"/>
          <w:iCs w:val="0"/>
          <w:color w:val="auto"/>
          <w:kern w:val="2"/>
          <w:sz w:val="32"/>
          <w:szCs w:val="32"/>
          <w:highlight w:val="none"/>
          <w:lang w:val="en-US" w:eastAsia="zh-CN" w:bidi="ar-SA"/>
        </w:rPr>
        <w:t>七</w:t>
      </w:r>
      <w:r>
        <w:rPr>
          <w:rFonts w:hint="eastAsia" w:eastAsia="宋体" w:asciiTheme="majorHAnsi" w:hAnsiTheme="majorHAnsi" w:cstheme="majorBidi"/>
          <w:b/>
          <w:bCs/>
          <w:i w:val="0"/>
          <w:iCs w:val="0"/>
          <w:color w:val="auto"/>
          <w:kern w:val="2"/>
          <w:sz w:val="32"/>
          <w:szCs w:val="32"/>
          <w:highlight w:val="none"/>
          <w:lang w:val="en-US" w:eastAsia="zh-CN" w:bidi="ar-SA"/>
        </w:rPr>
        <w:t>、业绩证明文件</w:t>
      </w:r>
      <w:bookmarkEnd w:id="486"/>
    </w:p>
    <w:p w14:paraId="4541380C">
      <w:pPr>
        <w:rPr>
          <w:rFonts w:cs="仿宋_GB2312"/>
          <w:i w:val="0"/>
          <w:iCs w:val="0"/>
          <w:color w:val="auto"/>
          <w:szCs w:val="24"/>
          <w:highlight w:val="none"/>
        </w:rPr>
      </w:pPr>
      <w:r>
        <w:rPr>
          <w:rFonts w:cs="Arial"/>
          <w:bCs/>
          <w:i w:val="0"/>
          <w:iCs w:val="0"/>
          <w:color w:val="auto"/>
          <w:szCs w:val="21"/>
          <w:highlight w:val="none"/>
        </w:rPr>
        <w:fldChar w:fldCharType="begin"/>
      </w:r>
      <w:r>
        <w:rPr>
          <w:rFonts w:cs="Arial"/>
          <w:bCs/>
          <w:i w:val="0"/>
          <w:iCs w:val="0"/>
          <w:color w:val="auto"/>
          <w:szCs w:val="21"/>
          <w:highlight w:val="none"/>
        </w:rPr>
        <w:instrText xml:space="preserve"> LINK Word.Document.8 "D:\\音乐厅\\4通用设备\\招标文件\\音乐厅空调设备招标文件v1.0.doc" "OLE_LINK8" \r  \* MERGEFORMAT </w:instrText>
      </w:r>
      <w:r>
        <w:rPr>
          <w:rFonts w:cs="Arial"/>
          <w:bCs/>
          <w:i w:val="0"/>
          <w:iCs w:val="0"/>
          <w:color w:val="auto"/>
          <w:szCs w:val="21"/>
          <w:highlight w:val="none"/>
        </w:rPr>
        <w:fldChar w:fldCharType="separate"/>
      </w:r>
      <w:r>
        <w:rPr>
          <w:rFonts w:hint="eastAsia" w:cs="仿宋_GB2312"/>
          <w:i w:val="0"/>
          <w:iCs w:val="0"/>
          <w:color w:val="auto"/>
          <w:szCs w:val="24"/>
          <w:highlight w:val="none"/>
        </w:rPr>
        <w:t xml:space="preserve">项目名称：                                         </w:t>
      </w:r>
    </w:p>
    <w:p w14:paraId="159B24BA">
      <w:pPr>
        <w:rPr>
          <w:rFonts w:cs="Arial"/>
          <w:bCs/>
          <w:i w:val="0"/>
          <w:iCs w:val="0"/>
          <w:color w:val="auto"/>
          <w:szCs w:val="21"/>
          <w:highlight w:val="none"/>
        </w:rPr>
      </w:pPr>
      <w:r>
        <w:rPr>
          <w:rFonts w:hint="eastAsia" w:cs="仿宋_GB2312"/>
          <w:i w:val="0"/>
          <w:iCs w:val="0"/>
          <w:color w:val="auto"/>
          <w:szCs w:val="24"/>
          <w:highlight w:val="none"/>
        </w:rPr>
        <w:t>项目编号</w:t>
      </w:r>
      <w:r>
        <w:rPr>
          <w:rFonts w:hint="eastAsia" w:cs="仿宋_GB2312"/>
          <w:i w:val="0"/>
          <w:iCs w:val="0"/>
          <w:color w:val="auto"/>
          <w:szCs w:val="24"/>
          <w:highlight w:val="none"/>
          <w:lang w:val="en-US" w:eastAsia="zh-CN"/>
        </w:rPr>
        <w:t>/包号</w:t>
      </w:r>
      <w:r>
        <w:rPr>
          <w:rFonts w:hint="eastAsia" w:cs="仿宋_GB2312"/>
          <w:i w:val="0"/>
          <w:iCs w:val="0"/>
          <w:color w:val="auto"/>
          <w:szCs w:val="24"/>
          <w:highlight w:val="none"/>
        </w:rPr>
        <w:t xml:space="preserve">：      </w:t>
      </w:r>
      <w:r>
        <w:rPr>
          <w:rFonts w:cs="Arial"/>
          <w:bCs/>
          <w:i w:val="0"/>
          <w:iCs w:val="0"/>
          <w:color w:val="auto"/>
          <w:szCs w:val="21"/>
          <w:highlight w:val="none"/>
        </w:rPr>
        <w:fldChar w:fldCharType="end"/>
      </w:r>
    </w:p>
    <w:tbl>
      <w:tblPr>
        <w:tblStyle w:val="28"/>
        <w:tblW w:w="9615" w:type="dxa"/>
        <w:tblInd w:w="-34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3"/>
        <w:gridCol w:w="1233"/>
        <w:gridCol w:w="1272"/>
        <w:gridCol w:w="1188"/>
        <w:gridCol w:w="1487"/>
        <w:gridCol w:w="1477"/>
        <w:gridCol w:w="984"/>
        <w:gridCol w:w="1191"/>
      </w:tblGrid>
      <w:tr w14:paraId="387D3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trPr>
        <w:tc>
          <w:tcPr>
            <w:tcW w:w="783" w:type="dxa"/>
            <w:vAlign w:val="center"/>
          </w:tcPr>
          <w:p w14:paraId="4E9572F9">
            <w:pPr>
              <w:jc w:val="center"/>
              <w:rPr>
                <w:rFonts w:cs="仿宋_GB2312"/>
                <w:i w:val="0"/>
                <w:iCs w:val="0"/>
                <w:color w:val="auto"/>
                <w:sz w:val="24"/>
                <w:szCs w:val="24"/>
                <w:highlight w:val="none"/>
              </w:rPr>
            </w:pPr>
            <w:bookmarkStart w:id="487" w:name="_Hlk46779239"/>
            <w:r>
              <w:rPr>
                <w:rFonts w:hint="eastAsia" w:cs="仿宋_GB2312"/>
                <w:i w:val="0"/>
                <w:iCs w:val="0"/>
                <w:color w:val="auto"/>
                <w:sz w:val="24"/>
                <w:szCs w:val="24"/>
                <w:highlight w:val="none"/>
              </w:rPr>
              <w:t>序号</w:t>
            </w:r>
          </w:p>
        </w:tc>
        <w:tc>
          <w:tcPr>
            <w:tcW w:w="1233" w:type="dxa"/>
            <w:vAlign w:val="center"/>
          </w:tcPr>
          <w:p w14:paraId="51F55A40">
            <w:pPr>
              <w:rPr>
                <w:rFonts w:cs="仿宋_GB2312"/>
                <w:i w:val="0"/>
                <w:iCs w:val="0"/>
                <w:color w:val="auto"/>
                <w:sz w:val="24"/>
                <w:szCs w:val="24"/>
                <w:highlight w:val="none"/>
              </w:rPr>
            </w:pPr>
            <w:r>
              <w:rPr>
                <w:rFonts w:hint="eastAsia" w:cs="仿宋_GB2312"/>
                <w:i w:val="0"/>
                <w:iCs w:val="0"/>
                <w:color w:val="auto"/>
                <w:sz w:val="24"/>
                <w:szCs w:val="24"/>
                <w:highlight w:val="none"/>
              </w:rPr>
              <w:t>完成时间</w:t>
            </w:r>
          </w:p>
        </w:tc>
        <w:tc>
          <w:tcPr>
            <w:tcW w:w="1272" w:type="dxa"/>
            <w:vAlign w:val="center"/>
          </w:tcPr>
          <w:p w14:paraId="4D5C38D5">
            <w:pPr>
              <w:jc w:val="center"/>
              <w:rPr>
                <w:rFonts w:cs="仿宋_GB2312"/>
                <w:i w:val="0"/>
                <w:iCs w:val="0"/>
                <w:color w:val="auto"/>
                <w:sz w:val="24"/>
                <w:szCs w:val="24"/>
                <w:highlight w:val="none"/>
              </w:rPr>
            </w:pPr>
            <w:r>
              <w:rPr>
                <w:rFonts w:hint="eastAsia" w:cs="仿宋_GB2312"/>
                <w:i w:val="0"/>
                <w:iCs w:val="0"/>
                <w:color w:val="auto"/>
                <w:sz w:val="24"/>
                <w:szCs w:val="24"/>
                <w:highlight w:val="none"/>
              </w:rPr>
              <w:t>项目名称</w:t>
            </w:r>
          </w:p>
        </w:tc>
        <w:tc>
          <w:tcPr>
            <w:tcW w:w="1188" w:type="dxa"/>
            <w:vAlign w:val="center"/>
          </w:tcPr>
          <w:p w14:paraId="69717F2A">
            <w:pPr>
              <w:jc w:val="center"/>
              <w:rPr>
                <w:rFonts w:cs="仿宋_GB2312"/>
                <w:i w:val="0"/>
                <w:iCs w:val="0"/>
                <w:color w:val="auto"/>
                <w:sz w:val="24"/>
                <w:szCs w:val="24"/>
                <w:highlight w:val="none"/>
              </w:rPr>
            </w:pPr>
            <w:r>
              <w:rPr>
                <w:rFonts w:hint="eastAsia" w:cs="仿宋_GB2312"/>
                <w:i w:val="0"/>
                <w:iCs w:val="0"/>
                <w:color w:val="auto"/>
                <w:sz w:val="24"/>
                <w:szCs w:val="24"/>
                <w:highlight w:val="none"/>
                <w:lang w:val="en-US" w:eastAsia="zh-CN"/>
              </w:rPr>
              <w:t>标的</w:t>
            </w:r>
            <w:r>
              <w:rPr>
                <w:rFonts w:hint="eastAsia" w:cs="仿宋_GB2312"/>
                <w:i w:val="0"/>
                <w:iCs w:val="0"/>
                <w:color w:val="auto"/>
                <w:sz w:val="24"/>
                <w:szCs w:val="24"/>
                <w:highlight w:val="none"/>
              </w:rPr>
              <w:t>内容</w:t>
            </w:r>
          </w:p>
        </w:tc>
        <w:tc>
          <w:tcPr>
            <w:tcW w:w="1487" w:type="dxa"/>
            <w:vAlign w:val="center"/>
          </w:tcPr>
          <w:p w14:paraId="57C35070">
            <w:pPr>
              <w:jc w:val="center"/>
              <w:rPr>
                <w:rFonts w:cs="仿宋_GB2312"/>
                <w:i w:val="0"/>
                <w:iCs w:val="0"/>
                <w:color w:val="auto"/>
                <w:sz w:val="24"/>
                <w:szCs w:val="24"/>
                <w:highlight w:val="none"/>
              </w:rPr>
            </w:pPr>
            <w:r>
              <w:rPr>
                <w:rFonts w:hint="eastAsia" w:cs="仿宋_GB2312"/>
                <w:i w:val="0"/>
                <w:iCs w:val="0"/>
                <w:color w:val="auto"/>
                <w:sz w:val="24"/>
                <w:szCs w:val="24"/>
                <w:highlight w:val="none"/>
                <w:lang w:val="en-US" w:eastAsia="zh-CN"/>
              </w:rPr>
              <w:t>采购人</w:t>
            </w:r>
            <w:r>
              <w:rPr>
                <w:rFonts w:hint="eastAsia" w:cs="仿宋_GB2312"/>
                <w:i w:val="0"/>
                <w:iCs w:val="0"/>
                <w:color w:val="auto"/>
                <w:sz w:val="24"/>
                <w:szCs w:val="24"/>
                <w:highlight w:val="none"/>
              </w:rPr>
              <w:t>名称</w:t>
            </w:r>
          </w:p>
        </w:tc>
        <w:tc>
          <w:tcPr>
            <w:tcW w:w="1477" w:type="dxa"/>
            <w:vAlign w:val="center"/>
          </w:tcPr>
          <w:p w14:paraId="61EB4103">
            <w:pPr>
              <w:jc w:val="center"/>
              <w:rPr>
                <w:rFonts w:hint="eastAsia" w:cs="仿宋_GB2312"/>
                <w:i w:val="0"/>
                <w:iCs w:val="0"/>
                <w:color w:val="auto"/>
                <w:sz w:val="24"/>
                <w:szCs w:val="24"/>
                <w:highlight w:val="none"/>
              </w:rPr>
            </w:pPr>
            <w:r>
              <w:rPr>
                <w:rFonts w:hint="eastAsia" w:cs="仿宋_GB2312"/>
                <w:i w:val="0"/>
                <w:iCs w:val="0"/>
                <w:color w:val="auto"/>
                <w:sz w:val="24"/>
                <w:szCs w:val="24"/>
                <w:highlight w:val="none"/>
                <w:lang w:val="en-US" w:eastAsia="zh-CN"/>
              </w:rPr>
              <w:t>中标（成交）金额</w:t>
            </w:r>
          </w:p>
        </w:tc>
        <w:tc>
          <w:tcPr>
            <w:tcW w:w="984" w:type="dxa"/>
            <w:vAlign w:val="center"/>
          </w:tcPr>
          <w:p w14:paraId="01352CB9">
            <w:pPr>
              <w:jc w:val="center"/>
              <w:rPr>
                <w:rFonts w:cs="仿宋_GB2312"/>
                <w:i w:val="0"/>
                <w:iCs w:val="0"/>
                <w:color w:val="auto"/>
                <w:sz w:val="24"/>
                <w:szCs w:val="24"/>
                <w:highlight w:val="none"/>
              </w:rPr>
            </w:pPr>
            <w:r>
              <w:rPr>
                <w:rFonts w:hint="eastAsia" w:cs="仿宋_GB2312"/>
                <w:i w:val="0"/>
                <w:iCs w:val="0"/>
                <w:color w:val="auto"/>
                <w:sz w:val="24"/>
                <w:szCs w:val="24"/>
                <w:highlight w:val="none"/>
              </w:rPr>
              <w:t>联系人</w:t>
            </w:r>
          </w:p>
        </w:tc>
        <w:tc>
          <w:tcPr>
            <w:tcW w:w="1191" w:type="dxa"/>
            <w:vAlign w:val="center"/>
          </w:tcPr>
          <w:p w14:paraId="2DA424BF">
            <w:pPr>
              <w:jc w:val="center"/>
              <w:rPr>
                <w:rFonts w:cs="仿宋_GB2312"/>
                <w:i w:val="0"/>
                <w:iCs w:val="0"/>
                <w:color w:val="auto"/>
                <w:sz w:val="24"/>
                <w:szCs w:val="24"/>
                <w:highlight w:val="none"/>
              </w:rPr>
            </w:pPr>
            <w:r>
              <w:rPr>
                <w:rFonts w:hint="eastAsia" w:cs="仿宋_GB2312"/>
                <w:i w:val="0"/>
                <w:iCs w:val="0"/>
                <w:color w:val="auto"/>
                <w:sz w:val="24"/>
                <w:szCs w:val="24"/>
                <w:highlight w:val="none"/>
              </w:rPr>
              <w:t>联系电话</w:t>
            </w:r>
          </w:p>
        </w:tc>
      </w:tr>
      <w:tr w14:paraId="25958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trPr>
        <w:tc>
          <w:tcPr>
            <w:tcW w:w="783" w:type="dxa"/>
            <w:vAlign w:val="center"/>
          </w:tcPr>
          <w:p w14:paraId="27508E81">
            <w:pPr>
              <w:jc w:val="center"/>
              <w:rPr>
                <w:rFonts w:cs="仿宋_GB2312"/>
                <w:i w:val="0"/>
                <w:iCs w:val="0"/>
                <w:color w:val="auto"/>
                <w:sz w:val="24"/>
                <w:szCs w:val="24"/>
                <w:highlight w:val="none"/>
              </w:rPr>
            </w:pPr>
            <w:r>
              <w:rPr>
                <w:rFonts w:hint="eastAsia" w:cs="仿宋_GB2312"/>
                <w:i w:val="0"/>
                <w:iCs w:val="0"/>
                <w:color w:val="auto"/>
                <w:sz w:val="24"/>
                <w:szCs w:val="24"/>
                <w:highlight w:val="none"/>
              </w:rPr>
              <w:t>1</w:t>
            </w:r>
          </w:p>
        </w:tc>
        <w:tc>
          <w:tcPr>
            <w:tcW w:w="1233" w:type="dxa"/>
            <w:vAlign w:val="center"/>
          </w:tcPr>
          <w:p w14:paraId="27562AF7">
            <w:pPr>
              <w:rPr>
                <w:rFonts w:cs="仿宋_GB2312"/>
                <w:i w:val="0"/>
                <w:iCs w:val="0"/>
                <w:color w:val="auto"/>
                <w:sz w:val="24"/>
                <w:szCs w:val="24"/>
                <w:highlight w:val="none"/>
              </w:rPr>
            </w:pPr>
          </w:p>
        </w:tc>
        <w:tc>
          <w:tcPr>
            <w:tcW w:w="1272" w:type="dxa"/>
            <w:vAlign w:val="center"/>
          </w:tcPr>
          <w:p w14:paraId="02799269">
            <w:pPr>
              <w:rPr>
                <w:rFonts w:cs="仿宋_GB2312"/>
                <w:i w:val="0"/>
                <w:iCs w:val="0"/>
                <w:color w:val="auto"/>
                <w:sz w:val="24"/>
                <w:szCs w:val="24"/>
                <w:highlight w:val="none"/>
              </w:rPr>
            </w:pPr>
          </w:p>
        </w:tc>
        <w:tc>
          <w:tcPr>
            <w:tcW w:w="1188" w:type="dxa"/>
            <w:vAlign w:val="center"/>
          </w:tcPr>
          <w:p w14:paraId="6449ADDF">
            <w:pPr>
              <w:rPr>
                <w:rFonts w:cs="仿宋_GB2312"/>
                <w:i w:val="0"/>
                <w:iCs w:val="0"/>
                <w:color w:val="auto"/>
                <w:sz w:val="24"/>
                <w:szCs w:val="24"/>
                <w:highlight w:val="none"/>
              </w:rPr>
            </w:pPr>
          </w:p>
        </w:tc>
        <w:tc>
          <w:tcPr>
            <w:tcW w:w="1487" w:type="dxa"/>
            <w:vAlign w:val="center"/>
          </w:tcPr>
          <w:p w14:paraId="183C0714">
            <w:pPr>
              <w:rPr>
                <w:rFonts w:cs="仿宋_GB2312"/>
                <w:i w:val="0"/>
                <w:iCs w:val="0"/>
                <w:color w:val="auto"/>
                <w:sz w:val="24"/>
                <w:szCs w:val="24"/>
                <w:highlight w:val="none"/>
              </w:rPr>
            </w:pPr>
          </w:p>
        </w:tc>
        <w:tc>
          <w:tcPr>
            <w:tcW w:w="1477" w:type="dxa"/>
            <w:vAlign w:val="center"/>
          </w:tcPr>
          <w:p w14:paraId="4F169081">
            <w:pPr>
              <w:rPr>
                <w:rFonts w:cs="仿宋_GB2312"/>
                <w:i w:val="0"/>
                <w:iCs w:val="0"/>
                <w:color w:val="auto"/>
                <w:sz w:val="24"/>
                <w:szCs w:val="24"/>
                <w:highlight w:val="none"/>
              </w:rPr>
            </w:pPr>
          </w:p>
        </w:tc>
        <w:tc>
          <w:tcPr>
            <w:tcW w:w="984" w:type="dxa"/>
            <w:vAlign w:val="center"/>
          </w:tcPr>
          <w:p w14:paraId="2A8AB713">
            <w:pPr>
              <w:rPr>
                <w:rFonts w:cs="仿宋_GB2312"/>
                <w:i w:val="0"/>
                <w:iCs w:val="0"/>
                <w:color w:val="auto"/>
                <w:sz w:val="24"/>
                <w:szCs w:val="24"/>
                <w:highlight w:val="none"/>
              </w:rPr>
            </w:pPr>
          </w:p>
        </w:tc>
        <w:tc>
          <w:tcPr>
            <w:tcW w:w="1191" w:type="dxa"/>
            <w:vAlign w:val="center"/>
          </w:tcPr>
          <w:p w14:paraId="09D0936A">
            <w:pPr>
              <w:rPr>
                <w:rFonts w:cs="仿宋_GB2312"/>
                <w:i w:val="0"/>
                <w:iCs w:val="0"/>
                <w:color w:val="auto"/>
                <w:sz w:val="24"/>
                <w:szCs w:val="24"/>
                <w:highlight w:val="none"/>
              </w:rPr>
            </w:pPr>
          </w:p>
        </w:tc>
      </w:tr>
      <w:tr w14:paraId="79366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trPr>
        <w:tc>
          <w:tcPr>
            <w:tcW w:w="783" w:type="dxa"/>
            <w:vAlign w:val="center"/>
          </w:tcPr>
          <w:p w14:paraId="4A21BB39">
            <w:pPr>
              <w:jc w:val="center"/>
              <w:rPr>
                <w:rFonts w:cs="仿宋_GB2312"/>
                <w:i w:val="0"/>
                <w:iCs w:val="0"/>
                <w:color w:val="auto"/>
                <w:sz w:val="24"/>
                <w:szCs w:val="24"/>
                <w:highlight w:val="none"/>
              </w:rPr>
            </w:pPr>
            <w:r>
              <w:rPr>
                <w:rFonts w:hint="eastAsia" w:cs="仿宋_GB2312"/>
                <w:i w:val="0"/>
                <w:iCs w:val="0"/>
                <w:color w:val="auto"/>
                <w:sz w:val="24"/>
                <w:szCs w:val="24"/>
                <w:highlight w:val="none"/>
              </w:rPr>
              <w:t>2</w:t>
            </w:r>
          </w:p>
        </w:tc>
        <w:tc>
          <w:tcPr>
            <w:tcW w:w="1233" w:type="dxa"/>
            <w:vAlign w:val="center"/>
          </w:tcPr>
          <w:p w14:paraId="7CA4B3F3">
            <w:pPr>
              <w:rPr>
                <w:rFonts w:cs="仿宋_GB2312"/>
                <w:i w:val="0"/>
                <w:iCs w:val="0"/>
                <w:color w:val="auto"/>
                <w:sz w:val="24"/>
                <w:szCs w:val="24"/>
                <w:highlight w:val="none"/>
              </w:rPr>
            </w:pPr>
          </w:p>
        </w:tc>
        <w:tc>
          <w:tcPr>
            <w:tcW w:w="1272" w:type="dxa"/>
            <w:vAlign w:val="center"/>
          </w:tcPr>
          <w:p w14:paraId="59CCECB1">
            <w:pPr>
              <w:rPr>
                <w:rFonts w:cs="仿宋_GB2312"/>
                <w:i w:val="0"/>
                <w:iCs w:val="0"/>
                <w:color w:val="auto"/>
                <w:sz w:val="24"/>
                <w:szCs w:val="24"/>
                <w:highlight w:val="none"/>
              </w:rPr>
            </w:pPr>
          </w:p>
        </w:tc>
        <w:tc>
          <w:tcPr>
            <w:tcW w:w="1188" w:type="dxa"/>
            <w:vAlign w:val="center"/>
          </w:tcPr>
          <w:p w14:paraId="4E8043C4">
            <w:pPr>
              <w:rPr>
                <w:rFonts w:cs="仿宋_GB2312"/>
                <w:i w:val="0"/>
                <w:iCs w:val="0"/>
                <w:color w:val="auto"/>
                <w:sz w:val="24"/>
                <w:szCs w:val="24"/>
                <w:highlight w:val="none"/>
              </w:rPr>
            </w:pPr>
          </w:p>
        </w:tc>
        <w:tc>
          <w:tcPr>
            <w:tcW w:w="1487" w:type="dxa"/>
            <w:vAlign w:val="center"/>
          </w:tcPr>
          <w:p w14:paraId="2E195778">
            <w:pPr>
              <w:rPr>
                <w:rFonts w:cs="仿宋_GB2312"/>
                <w:i w:val="0"/>
                <w:iCs w:val="0"/>
                <w:color w:val="auto"/>
                <w:sz w:val="24"/>
                <w:szCs w:val="24"/>
                <w:highlight w:val="none"/>
              </w:rPr>
            </w:pPr>
          </w:p>
        </w:tc>
        <w:tc>
          <w:tcPr>
            <w:tcW w:w="1477" w:type="dxa"/>
            <w:vAlign w:val="center"/>
          </w:tcPr>
          <w:p w14:paraId="49A8CC13">
            <w:pPr>
              <w:rPr>
                <w:rFonts w:cs="仿宋_GB2312"/>
                <w:i w:val="0"/>
                <w:iCs w:val="0"/>
                <w:color w:val="auto"/>
                <w:sz w:val="24"/>
                <w:szCs w:val="24"/>
                <w:highlight w:val="none"/>
              </w:rPr>
            </w:pPr>
          </w:p>
        </w:tc>
        <w:tc>
          <w:tcPr>
            <w:tcW w:w="984" w:type="dxa"/>
            <w:vAlign w:val="center"/>
          </w:tcPr>
          <w:p w14:paraId="53112435">
            <w:pPr>
              <w:rPr>
                <w:rFonts w:cs="仿宋_GB2312"/>
                <w:i w:val="0"/>
                <w:iCs w:val="0"/>
                <w:color w:val="auto"/>
                <w:sz w:val="24"/>
                <w:szCs w:val="24"/>
                <w:highlight w:val="none"/>
              </w:rPr>
            </w:pPr>
          </w:p>
        </w:tc>
        <w:tc>
          <w:tcPr>
            <w:tcW w:w="1191" w:type="dxa"/>
            <w:vAlign w:val="center"/>
          </w:tcPr>
          <w:p w14:paraId="185645D3">
            <w:pPr>
              <w:rPr>
                <w:rFonts w:cs="仿宋_GB2312"/>
                <w:i w:val="0"/>
                <w:iCs w:val="0"/>
                <w:color w:val="auto"/>
                <w:sz w:val="24"/>
                <w:szCs w:val="24"/>
                <w:highlight w:val="none"/>
              </w:rPr>
            </w:pPr>
          </w:p>
        </w:tc>
      </w:tr>
      <w:tr w14:paraId="624A4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trPr>
        <w:tc>
          <w:tcPr>
            <w:tcW w:w="783" w:type="dxa"/>
            <w:vAlign w:val="center"/>
          </w:tcPr>
          <w:p w14:paraId="4428D324">
            <w:pPr>
              <w:jc w:val="center"/>
              <w:rPr>
                <w:rFonts w:cs="仿宋_GB2312"/>
                <w:i w:val="0"/>
                <w:iCs w:val="0"/>
                <w:color w:val="auto"/>
                <w:sz w:val="24"/>
                <w:szCs w:val="24"/>
                <w:highlight w:val="none"/>
              </w:rPr>
            </w:pPr>
            <w:r>
              <w:rPr>
                <w:rFonts w:hint="eastAsia" w:cs="仿宋_GB2312"/>
                <w:i w:val="0"/>
                <w:iCs w:val="0"/>
                <w:color w:val="auto"/>
                <w:sz w:val="24"/>
                <w:szCs w:val="24"/>
                <w:highlight w:val="none"/>
              </w:rPr>
              <w:t>3</w:t>
            </w:r>
          </w:p>
        </w:tc>
        <w:tc>
          <w:tcPr>
            <w:tcW w:w="1233" w:type="dxa"/>
            <w:vAlign w:val="center"/>
          </w:tcPr>
          <w:p w14:paraId="46AEF6AC">
            <w:pPr>
              <w:rPr>
                <w:rFonts w:cs="仿宋_GB2312"/>
                <w:i w:val="0"/>
                <w:iCs w:val="0"/>
                <w:color w:val="auto"/>
                <w:sz w:val="24"/>
                <w:szCs w:val="24"/>
                <w:highlight w:val="none"/>
              </w:rPr>
            </w:pPr>
          </w:p>
        </w:tc>
        <w:tc>
          <w:tcPr>
            <w:tcW w:w="1272" w:type="dxa"/>
            <w:vAlign w:val="center"/>
          </w:tcPr>
          <w:p w14:paraId="601B0208">
            <w:pPr>
              <w:rPr>
                <w:rFonts w:cs="仿宋_GB2312"/>
                <w:i w:val="0"/>
                <w:iCs w:val="0"/>
                <w:color w:val="auto"/>
                <w:sz w:val="24"/>
                <w:szCs w:val="24"/>
                <w:highlight w:val="none"/>
              </w:rPr>
            </w:pPr>
          </w:p>
        </w:tc>
        <w:tc>
          <w:tcPr>
            <w:tcW w:w="1188" w:type="dxa"/>
            <w:vAlign w:val="center"/>
          </w:tcPr>
          <w:p w14:paraId="56885EE6">
            <w:pPr>
              <w:rPr>
                <w:rFonts w:cs="仿宋_GB2312"/>
                <w:i w:val="0"/>
                <w:iCs w:val="0"/>
                <w:color w:val="auto"/>
                <w:sz w:val="24"/>
                <w:szCs w:val="24"/>
                <w:highlight w:val="none"/>
              </w:rPr>
            </w:pPr>
          </w:p>
        </w:tc>
        <w:tc>
          <w:tcPr>
            <w:tcW w:w="1487" w:type="dxa"/>
            <w:vAlign w:val="center"/>
          </w:tcPr>
          <w:p w14:paraId="00552B19">
            <w:pPr>
              <w:rPr>
                <w:rFonts w:cs="仿宋_GB2312"/>
                <w:i w:val="0"/>
                <w:iCs w:val="0"/>
                <w:color w:val="auto"/>
                <w:sz w:val="24"/>
                <w:szCs w:val="24"/>
                <w:highlight w:val="none"/>
              </w:rPr>
            </w:pPr>
          </w:p>
        </w:tc>
        <w:tc>
          <w:tcPr>
            <w:tcW w:w="1477" w:type="dxa"/>
            <w:vAlign w:val="center"/>
          </w:tcPr>
          <w:p w14:paraId="77BC6128">
            <w:pPr>
              <w:rPr>
                <w:rFonts w:cs="仿宋_GB2312"/>
                <w:i w:val="0"/>
                <w:iCs w:val="0"/>
                <w:color w:val="auto"/>
                <w:sz w:val="24"/>
                <w:szCs w:val="24"/>
                <w:highlight w:val="none"/>
              </w:rPr>
            </w:pPr>
          </w:p>
        </w:tc>
        <w:tc>
          <w:tcPr>
            <w:tcW w:w="984" w:type="dxa"/>
            <w:vAlign w:val="center"/>
          </w:tcPr>
          <w:p w14:paraId="67F6B017">
            <w:pPr>
              <w:rPr>
                <w:rFonts w:cs="仿宋_GB2312"/>
                <w:i w:val="0"/>
                <w:iCs w:val="0"/>
                <w:color w:val="auto"/>
                <w:sz w:val="24"/>
                <w:szCs w:val="24"/>
                <w:highlight w:val="none"/>
              </w:rPr>
            </w:pPr>
          </w:p>
        </w:tc>
        <w:tc>
          <w:tcPr>
            <w:tcW w:w="1191" w:type="dxa"/>
            <w:vAlign w:val="center"/>
          </w:tcPr>
          <w:p w14:paraId="20173386">
            <w:pPr>
              <w:rPr>
                <w:rFonts w:cs="仿宋_GB2312"/>
                <w:i w:val="0"/>
                <w:iCs w:val="0"/>
                <w:color w:val="auto"/>
                <w:sz w:val="24"/>
                <w:szCs w:val="24"/>
                <w:highlight w:val="none"/>
              </w:rPr>
            </w:pPr>
          </w:p>
        </w:tc>
      </w:tr>
      <w:tr w14:paraId="3BC23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783" w:type="dxa"/>
            <w:vAlign w:val="center"/>
          </w:tcPr>
          <w:p w14:paraId="433A34E7">
            <w:pPr>
              <w:jc w:val="center"/>
              <w:rPr>
                <w:rFonts w:cs="仿宋_GB2312"/>
                <w:i w:val="0"/>
                <w:iCs w:val="0"/>
                <w:color w:val="auto"/>
                <w:sz w:val="24"/>
                <w:szCs w:val="24"/>
                <w:highlight w:val="none"/>
              </w:rPr>
            </w:pPr>
            <w:r>
              <w:rPr>
                <w:rFonts w:hint="eastAsia" w:cs="仿宋_GB2312"/>
                <w:i w:val="0"/>
                <w:iCs w:val="0"/>
                <w:color w:val="auto"/>
                <w:sz w:val="24"/>
                <w:szCs w:val="24"/>
                <w:highlight w:val="none"/>
              </w:rPr>
              <w:t>…</w:t>
            </w:r>
          </w:p>
        </w:tc>
        <w:tc>
          <w:tcPr>
            <w:tcW w:w="1233" w:type="dxa"/>
            <w:vAlign w:val="center"/>
          </w:tcPr>
          <w:p w14:paraId="5D94CAA1">
            <w:pPr>
              <w:rPr>
                <w:rFonts w:cs="仿宋_GB2312"/>
                <w:i w:val="0"/>
                <w:iCs w:val="0"/>
                <w:color w:val="auto"/>
                <w:sz w:val="24"/>
                <w:szCs w:val="24"/>
                <w:highlight w:val="none"/>
              </w:rPr>
            </w:pPr>
          </w:p>
        </w:tc>
        <w:tc>
          <w:tcPr>
            <w:tcW w:w="1272" w:type="dxa"/>
            <w:vAlign w:val="center"/>
          </w:tcPr>
          <w:p w14:paraId="48AC7386">
            <w:pPr>
              <w:rPr>
                <w:rFonts w:cs="仿宋_GB2312"/>
                <w:i w:val="0"/>
                <w:iCs w:val="0"/>
                <w:color w:val="auto"/>
                <w:sz w:val="24"/>
                <w:szCs w:val="24"/>
                <w:highlight w:val="none"/>
              </w:rPr>
            </w:pPr>
          </w:p>
        </w:tc>
        <w:tc>
          <w:tcPr>
            <w:tcW w:w="1188" w:type="dxa"/>
            <w:vAlign w:val="center"/>
          </w:tcPr>
          <w:p w14:paraId="20172F35">
            <w:pPr>
              <w:rPr>
                <w:rFonts w:cs="仿宋_GB2312"/>
                <w:i w:val="0"/>
                <w:iCs w:val="0"/>
                <w:color w:val="auto"/>
                <w:sz w:val="24"/>
                <w:szCs w:val="24"/>
                <w:highlight w:val="none"/>
              </w:rPr>
            </w:pPr>
          </w:p>
        </w:tc>
        <w:tc>
          <w:tcPr>
            <w:tcW w:w="1487" w:type="dxa"/>
            <w:vAlign w:val="center"/>
          </w:tcPr>
          <w:p w14:paraId="75CF74D1">
            <w:pPr>
              <w:rPr>
                <w:rFonts w:cs="仿宋_GB2312"/>
                <w:i w:val="0"/>
                <w:iCs w:val="0"/>
                <w:color w:val="auto"/>
                <w:sz w:val="24"/>
                <w:szCs w:val="24"/>
                <w:highlight w:val="none"/>
              </w:rPr>
            </w:pPr>
          </w:p>
        </w:tc>
        <w:tc>
          <w:tcPr>
            <w:tcW w:w="1477" w:type="dxa"/>
            <w:vAlign w:val="center"/>
          </w:tcPr>
          <w:p w14:paraId="52CF4BF0">
            <w:pPr>
              <w:rPr>
                <w:rFonts w:cs="仿宋_GB2312"/>
                <w:i w:val="0"/>
                <w:iCs w:val="0"/>
                <w:color w:val="auto"/>
                <w:sz w:val="24"/>
                <w:szCs w:val="24"/>
                <w:highlight w:val="none"/>
              </w:rPr>
            </w:pPr>
          </w:p>
        </w:tc>
        <w:tc>
          <w:tcPr>
            <w:tcW w:w="984" w:type="dxa"/>
            <w:vAlign w:val="center"/>
          </w:tcPr>
          <w:p w14:paraId="32DE863A">
            <w:pPr>
              <w:rPr>
                <w:rFonts w:cs="仿宋_GB2312"/>
                <w:i w:val="0"/>
                <w:iCs w:val="0"/>
                <w:color w:val="auto"/>
                <w:sz w:val="24"/>
                <w:szCs w:val="24"/>
                <w:highlight w:val="none"/>
              </w:rPr>
            </w:pPr>
          </w:p>
        </w:tc>
        <w:tc>
          <w:tcPr>
            <w:tcW w:w="1191" w:type="dxa"/>
            <w:vAlign w:val="center"/>
          </w:tcPr>
          <w:p w14:paraId="52BCFD5F">
            <w:pPr>
              <w:rPr>
                <w:rFonts w:cs="仿宋_GB2312"/>
                <w:i w:val="0"/>
                <w:iCs w:val="0"/>
                <w:color w:val="auto"/>
                <w:sz w:val="24"/>
                <w:szCs w:val="24"/>
                <w:highlight w:val="none"/>
              </w:rPr>
            </w:pPr>
          </w:p>
        </w:tc>
      </w:tr>
      <w:bookmarkEnd w:id="487"/>
    </w:tbl>
    <w:p w14:paraId="37AD017A">
      <w:pPr>
        <w:rPr>
          <w:rFonts w:hint="eastAsia" w:cs="仿宋_GB2312"/>
          <w:i w:val="0"/>
          <w:iCs w:val="0"/>
          <w:color w:val="auto"/>
          <w:sz w:val="24"/>
          <w:szCs w:val="24"/>
          <w:highlight w:val="none"/>
        </w:rPr>
      </w:pPr>
    </w:p>
    <w:p w14:paraId="58FF379C">
      <w:pPr>
        <w:rPr>
          <w:rFonts w:cs="仿宋_GB2312"/>
          <w:i w:val="0"/>
          <w:iCs w:val="0"/>
          <w:color w:val="auto"/>
          <w:sz w:val="24"/>
          <w:szCs w:val="24"/>
          <w:highlight w:val="none"/>
        </w:rPr>
      </w:pPr>
      <w:r>
        <w:rPr>
          <w:rFonts w:hint="eastAsia" w:cs="仿宋_GB2312"/>
          <w:i w:val="0"/>
          <w:iCs w:val="0"/>
          <w:color w:val="auto"/>
          <w:sz w:val="24"/>
          <w:szCs w:val="24"/>
          <w:highlight w:val="none"/>
        </w:rPr>
        <w:t>注：</w:t>
      </w:r>
      <w:r>
        <w:rPr>
          <w:rFonts w:hint="eastAsia" w:cs="仿宋_GB2312"/>
          <w:i w:val="0"/>
          <w:iCs w:val="0"/>
          <w:color w:val="auto"/>
          <w:sz w:val="24"/>
          <w:szCs w:val="24"/>
          <w:highlight w:val="none"/>
          <w:lang w:val="en-US" w:eastAsia="zh-CN"/>
        </w:rPr>
        <w:t>供应商</w:t>
      </w:r>
      <w:r>
        <w:rPr>
          <w:rFonts w:hint="eastAsia" w:cs="仿宋_GB2312"/>
          <w:i w:val="0"/>
          <w:iCs w:val="0"/>
          <w:color w:val="auto"/>
          <w:sz w:val="24"/>
          <w:szCs w:val="24"/>
          <w:highlight w:val="none"/>
        </w:rPr>
        <w:t>须按上表提供相应的</w:t>
      </w:r>
      <w:r>
        <w:rPr>
          <w:rFonts w:hint="eastAsia" w:cs="仿宋_GB2312"/>
          <w:i w:val="0"/>
          <w:iCs w:val="0"/>
          <w:color w:val="auto"/>
          <w:sz w:val="24"/>
          <w:szCs w:val="24"/>
          <w:highlight w:val="none"/>
          <w:lang w:val="en-US" w:eastAsia="zh-CN"/>
        </w:rPr>
        <w:t>中标（成交）通知书或采购合同等</w:t>
      </w:r>
      <w:r>
        <w:rPr>
          <w:rFonts w:hint="eastAsia" w:cs="仿宋_GB2312"/>
          <w:i w:val="0"/>
          <w:iCs w:val="0"/>
          <w:color w:val="auto"/>
          <w:sz w:val="24"/>
          <w:szCs w:val="24"/>
          <w:highlight w:val="none"/>
        </w:rPr>
        <w:t>业绩证明资料。</w:t>
      </w:r>
    </w:p>
    <w:p w14:paraId="5DB99613">
      <w:pPr>
        <w:widowControl/>
        <w:spacing w:before="100" w:beforeAutospacing="1" w:after="100" w:afterAutospacing="1"/>
        <w:rPr>
          <w:rFonts w:cs="Arial"/>
          <w:i w:val="0"/>
          <w:iCs w:val="0"/>
          <w:color w:val="auto"/>
          <w:szCs w:val="21"/>
          <w:highlight w:val="none"/>
        </w:rPr>
      </w:pPr>
    </w:p>
    <w:p w14:paraId="15F467E4">
      <w:pPr>
        <w:ind w:right="1008" w:firstLine="4284" w:firstLineChars="1700"/>
        <w:rPr>
          <w:rFonts w:cs="宋体"/>
          <w:i w:val="0"/>
          <w:iCs w:val="0"/>
          <w:color w:val="auto"/>
          <w:spacing w:val="6"/>
          <w:szCs w:val="24"/>
          <w:highlight w:val="none"/>
        </w:rPr>
      </w:pPr>
      <w:r>
        <w:rPr>
          <w:rFonts w:hint="eastAsia" w:cs="宋体"/>
          <w:i w:val="0"/>
          <w:iCs w:val="0"/>
          <w:color w:val="auto"/>
          <w:spacing w:val="6"/>
          <w:szCs w:val="24"/>
          <w:highlight w:val="none"/>
          <w:lang w:val="en-US" w:eastAsia="zh-CN"/>
        </w:rPr>
        <w:t>供应商</w:t>
      </w:r>
      <w:r>
        <w:rPr>
          <w:rFonts w:hint="eastAsia" w:cs="宋体"/>
          <w:i w:val="0"/>
          <w:iCs w:val="0"/>
          <w:color w:val="auto"/>
          <w:spacing w:val="6"/>
          <w:szCs w:val="24"/>
          <w:highlight w:val="none"/>
        </w:rPr>
        <w:t>名称</w:t>
      </w:r>
      <w:r>
        <w:rPr>
          <w:rFonts w:hint="eastAsia" w:cs="宋体"/>
          <w:i w:val="0"/>
          <w:iCs w:val="0"/>
          <w:color w:val="auto"/>
          <w:spacing w:val="6"/>
          <w:szCs w:val="24"/>
          <w:highlight w:val="none"/>
          <w:lang w:eastAsia="zh-CN"/>
        </w:rPr>
        <w:t>（</w:t>
      </w:r>
      <w:r>
        <w:rPr>
          <w:rFonts w:hint="eastAsia" w:cs="宋体"/>
          <w:i w:val="0"/>
          <w:iCs w:val="0"/>
          <w:color w:val="auto"/>
          <w:spacing w:val="6"/>
          <w:szCs w:val="24"/>
          <w:highlight w:val="none"/>
          <w:lang w:val="en-US" w:eastAsia="zh-CN"/>
        </w:rPr>
        <w:t>公章</w:t>
      </w:r>
      <w:r>
        <w:rPr>
          <w:rFonts w:hint="eastAsia" w:cs="宋体"/>
          <w:i w:val="0"/>
          <w:iCs w:val="0"/>
          <w:color w:val="auto"/>
          <w:spacing w:val="6"/>
          <w:szCs w:val="24"/>
          <w:highlight w:val="none"/>
          <w:lang w:eastAsia="zh-CN"/>
        </w:rPr>
        <w:t>）</w:t>
      </w:r>
      <w:r>
        <w:rPr>
          <w:rFonts w:hint="eastAsia" w:cs="宋体"/>
          <w:i w:val="0"/>
          <w:iCs w:val="0"/>
          <w:color w:val="auto"/>
          <w:spacing w:val="6"/>
          <w:szCs w:val="24"/>
          <w:highlight w:val="none"/>
        </w:rPr>
        <w:t>：</w:t>
      </w:r>
    </w:p>
    <w:p w14:paraId="12381E01">
      <w:pPr>
        <w:ind w:right="1008" w:firstLine="4284" w:firstLineChars="1700"/>
        <w:rPr>
          <w:rFonts w:hint="default" w:eastAsia="宋体" w:cs="宋体"/>
          <w:i w:val="0"/>
          <w:iCs w:val="0"/>
          <w:color w:val="auto"/>
          <w:spacing w:val="6"/>
          <w:szCs w:val="24"/>
          <w:highlight w:val="none"/>
          <w:lang w:val="en-US" w:eastAsia="zh-CN"/>
        </w:rPr>
      </w:pPr>
      <w:r>
        <w:rPr>
          <w:rFonts w:hint="eastAsia" w:cs="宋体"/>
          <w:i w:val="0"/>
          <w:iCs w:val="0"/>
          <w:color w:val="auto"/>
          <w:spacing w:val="6"/>
          <w:szCs w:val="24"/>
          <w:highlight w:val="none"/>
        </w:rPr>
        <w:t>日期：</w:t>
      </w:r>
      <w:r>
        <w:rPr>
          <w:rFonts w:hint="eastAsia" w:cs="宋体"/>
          <w:i w:val="0"/>
          <w:iCs w:val="0"/>
          <w:color w:val="auto"/>
          <w:spacing w:val="6"/>
          <w:szCs w:val="24"/>
          <w:highlight w:val="none"/>
          <w:lang w:val="en-US" w:eastAsia="zh-CN"/>
        </w:rPr>
        <w:t xml:space="preserve">   年  月  日</w:t>
      </w:r>
    </w:p>
    <w:p w14:paraId="095105C8">
      <w:pPr>
        <w:ind w:firstLine="420"/>
        <w:rPr>
          <w:rFonts w:cs="仿宋_GB2312"/>
          <w:i w:val="0"/>
          <w:iCs w:val="0"/>
          <w:color w:val="auto"/>
          <w:szCs w:val="24"/>
          <w:highlight w:val="none"/>
        </w:rPr>
      </w:pPr>
      <w:r>
        <w:rPr>
          <w:rFonts w:cs="仿宋_GB2312"/>
          <w:i w:val="0"/>
          <w:iCs w:val="0"/>
          <w:color w:val="auto"/>
          <w:szCs w:val="24"/>
          <w:highlight w:val="none"/>
        </w:rPr>
        <w:br w:type="page"/>
      </w:r>
    </w:p>
    <w:p w14:paraId="4E924C81">
      <w:pPr>
        <w:pStyle w:val="3"/>
        <w:keepNext/>
        <w:keepLines/>
        <w:pageBreakBefore w:val="0"/>
        <w:widowControl w:val="0"/>
        <w:numPr>
          <w:ilvl w:val="0"/>
          <w:numId w:val="0"/>
        </w:numPr>
        <w:kinsoku/>
        <w:wordWrap/>
        <w:overflowPunct/>
        <w:topLinePunct w:val="0"/>
        <w:autoSpaceDE/>
        <w:autoSpaceDN/>
        <w:bidi w:val="0"/>
        <w:adjustRightInd/>
        <w:snapToGrid/>
        <w:spacing w:before="100" w:after="100" w:line="360" w:lineRule="auto"/>
        <w:ind w:left="420" w:leftChars="0" w:hanging="420" w:firstLineChars="0"/>
        <w:jc w:val="center"/>
        <w:textAlignment w:val="auto"/>
        <w:rPr>
          <w:rFonts w:hint="eastAsia" w:eastAsia="宋体" w:asciiTheme="majorHAnsi" w:hAnsiTheme="majorHAnsi" w:cstheme="majorBidi"/>
          <w:b/>
          <w:bCs/>
          <w:i w:val="0"/>
          <w:iCs w:val="0"/>
          <w:color w:val="auto"/>
          <w:kern w:val="2"/>
          <w:sz w:val="32"/>
          <w:szCs w:val="32"/>
          <w:highlight w:val="none"/>
          <w:lang w:val="en-US" w:eastAsia="zh-CN" w:bidi="ar-SA"/>
        </w:rPr>
      </w:pPr>
      <w:bookmarkStart w:id="488" w:name="_Toc4753"/>
      <w:r>
        <w:rPr>
          <w:rFonts w:hint="eastAsia" w:cstheme="majorBidi"/>
          <w:b/>
          <w:bCs/>
          <w:i w:val="0"/>
          <w:iCs w:val="0"/>
          <w:color w:val="auto"/>
          <w:kern w:val="2"/>
          <w:sz w:val="32"/>
          <w:szCs w:val="32"/>
          <w:highlight w:val="none"/>
          <w:lang w:val="en-US" w:eastAsia="zh-CN" w:bidi="ar-SA"/>
        </w:rPr>
        <w:t>八</w:t>
      </w:r>
      <w:r>
        <w:rPr>
          <w:rFonts w:hint="eastAsia" w:eastAsia="宋体" w:asciiTheme="majorHAnsi" w:hAnsiTheme="majorHAnsi" w:cstheme="majorBidi"/>
          <w:b/>
          <w:bCs/>
          <w:i w:val="0"/>
          <w:iCs w:val="0"/>
          <w:color w:val="auto"/>
          <w:kern w:val="2"/>
          <w:sz w:val="32"/>
          <w:szCs w:val="32"/>
          <w:highlight w:val="none"/>
          <w:lang w:val="en-US" w:eastAsia="zh-CN" w:bidi="ar-SA"/>
        </w:rPr>
        <w:t>、拟派项目团队</w:t>
      </w:r>
      <w:bookmarkEnd w:id="488"/>
    </w:p>
    <w:tbl>
      <w:tblPr>
        <w:tblStyle w:val="28"/>
        <w:tblW w:w="8917" w:type="dxa"/>
        <w:tblInd w:w="-3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55"/>
        <w:gridCol w:w="1561"/>
        <w:gridCol w:w="1821"/>
        <w:gridCol w:w="1622"/>
        <w:gridCol w:w="1744"/>
        <w:gridCol w:w="1114"/>
      </w:tblGrid>
      <w:tr w14:paraId="22A3F5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92" w:hRule="atLeast"/>
        </w:trPr>
        <w:tc>
          <w:tcPr>
            <w:tcW w:w="1055" w:type="dxa"/>
            <w:vAlign w:val="center"/>
          </w:tcPr>
          <w:p w14:paraId="41373525">
            <w:pPr>
              <w:pStyle w:val="46"/>
              <w:jc w:val="center"/>
              <w:rPr>
                <w:i w:val="0"/>
                <w:iCs w:val="0"/>
                <w:color w:val="auto"/>
                <w:highlight w:val="none"/>
              </w:rPr>
            </w:pPr>
            <w:r>
              <w:rPr>
                <w:rFonts w:hint="eastAsia"/>
                <w:i w:val="0"/>
                <w:iCs w:val="0"/>
                <w:color w:val="auto"/>
                <w:highlight w:val="none"/>
              </w:rPr>
              <w:t>序号</w:t>
            </w:r>
          </w:p>
        </w:tc>
        <w:tc>
          <w:tcPr>
            <w:tcW w:w="1561" w:type="dxa"/>
            <w:vAlign w:val="center"/>
          </w:tcPr>
          <w:p w14:paraId="67AE9C3E">
            <w:pPr>
              <w:pStyle w:val="46"/>
              <w:jc w:val="center"/>
              <w:rPr>
                <w:i w:val="0"/>
                <w:iCs w:val="0"/>
                <w:color w:val="auto"/>
                <w:highlight w:val="none"/>
              </w:rPr>
            </w:pPr>
            <w:r>
              <w:rPr>
                <w:rFonts w:hint="eastAsia"/>
                <w:i w:val="0"/>
                <w:iCs w:val="0"/>
                <w:color w:val="auto"/>
                <w:highlight w:val="none"/>
                <w:lang w:val="en-US" w:eastAsia="zh-CN"/>
              </w:rPr>
              <w:t>团队成员</w:t>
            </w:r>
          </w:p>
          <w:p w14:paraId="369C3C13">
            <w:pPr>
              <w:pStyle w:val="46"/>
              <w:jc w:val="center"/>
              <w:rPr>
                <w:i w:val="0"/>
                <w:iCs w:val="0"/>
                <w:color w:val="auto"/>
                <w:highlight w:val="none"/>
              </w:rPr>
            </w:pPr>
            <w:r>
              <w:rPr>
                <w:rFonts w:hint="eastAsia"/>
                <w:i w:val="0"/>
                <w:iCs w:val="0"/>
                <w:color w:val="auto"/>
                <w:highlight w:val="none"/>
              </w:rPr>
              <w:t>姓名</w:t>
            </w:r>
          </w:p>
        </w:tc>
        <w:tc>
          <w:tcPr>
            <w:tcW w:w="1821" w:type="dxa"/>
            <w:tcBorders>
              <w:right w:val="single" w:color="auto" w:sz="4" w:space="0"/>
            </w:tcBorders>
            <w:vAlign w:val="center"/>
          </w:tcPr>
          <w:p w14:paraId="4EDFEBEF">
            <w:pPr>
              <w:pStyle w:val="46"/>
              <w:jc w:val="center"/>
              <w:rPr>
                <w:i w:val="0"/>
                <w:iCs w:val="0"/>
                <w:color w:val="auto"/>
                <w:highlight w:val="none"/>
              </w:rPr>
            </w:pPr>
            <w:r>
              <w:rPr>
                <w:rFonts w:hint="eastAsia"/>
                <w:i w:val="0"/>
                <w:iCs w:val="0"/>
                <w:color w:val="auto"/>
                <w:highlight w:val="none"/>
              </w:rPr>
              <w:t>工作单位</w:t>
            </w:r>
          </w:p>
        </w:tc>
        <w:tc>
          <w:tcPr>
            <w:tcW w:w="1622" w:type="dxa"/>
            <w:tcBorders>
              <w:left w:val="single" w:color="auto" w:sz="4" w:space="0"/>
            </w:tcBorders>
            <w:vAlign w:val="center"/>
          </w:tcPr>
          <w:p w14:paraId="1B50026D">
            <w:pPr>
              <w:pStyle w:val="46"/>
              <w:jc w:val="center"/>
              <w:rPr>
                <w:i w:val="0"/>
                <w:iCs w:val="0"/>
                <w:color w:val="auto"/>
                <w:highlight w:val="none"/>
              </w:rPr>
            </w:pPr>
            <w:r>
              <w:rPr>
                <w:rFonts w:hint="eastAsia"/>
                <w:i w:val="0"/>
                <w:iCs w:val="0"/>
                <w:color w:val="auto"/>
                <w:highlight w:val="none"/>
              </w:rPr>
              <w:t>身份证号</w:t>
            </w:r>
          </w:p>
        </w:tc>
        <w:tc>
          <w:tcPr>
            <w:tcW w:w="1744" w:type="dxa"/>
            <w:vAlign w:val="center"/>
          </w:tcPr>
          <w:p w14:paraId="1D4FFB7A">
            <w:pPr>
              <w:pStyle w:val="46"/>
              <w:jc w:val="center"/>
              <w:rPr>
                <w:i w:val="0"/>
                <w:iCs w:val="0"/>
                <w:color w:val="auto"/>
                <w:highlight w:val="none"/>
              </w:rPr>
            </w:pPr>
            <w:r>
              <w:rPr>
                <w:rFonts w:hint="eastAsia" w:eastAsia="宋体"/>
                <w:i w:val="0"/>
                <w:iCs w:val="0"/>
                <w:color w:val="auto"/>
                <w:highlight w:val="none"/>
                <w:lang w:val="en-US" w:eastAsia="zh-CN"/>
              </w:rPr>
              <w:t>在团队中职务（岗位）</w:t>
            </w:r>
          </w:p>
        </w:tc>
        <w:tc>
          <w:tcPr>
            <w:tcW w:w="1114" w:type="dxa"/>
            <w:vAlign w:val="center"/>
          </w:tcPr>
          <w:p w14:paraId="569D136E">
            <w:pPr>
              <w:pStyle w:val="46"/>
              <w:jc w:val="center"/>
              <w:rPr>
                <w:i w:val="0"/>
                <w:iCs w:val="0"/>
                <w:color w:val="auto"/>
                <w:highlight w:val="none"/>
              </w:rPr>
            </w:pPr>
            <w:r>
              <w:rPr>
                <w:rFonts w:hint="eastAsia"/>
                <w:i w:val="0"/>
                <w:iCs w:val="0"/>
                <w:color w:val="auto"/>
                <w:highlight w:val="none"/>
              </w:rPr>
              <w:t>自有</w:t>
            </w:r>
            <w:r>
              <w:rPr>
                <w:i w:val="0"/>
                <w:iCs w:val="0"/>
                <w:color w:val="auto"/>
                <w:highlight w:val="none"/>
              </w:rPr>
              <w:t>/外聘</w:t>
            </w:r>
          </w:p>
        </w:tc>
      </w:tr>
      <w:tr w14:paraId="2C939B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2" w:hRule="atLeast"/>
        </w:trPr>
        <w:tc>
          <w:tcPr>
            <w:tcW w:w="1055" w:type="dxa"/>
            <w:vAlign w:val="center"/>
          </w:tcPr>
          <w:p w14:paraId="7EE08FDE">
            <w:pPr>
              <w:pStyle w:val="46"/>
              <w:jc w:val="center"/>
              <w:rPr>
                <w:i w:val="0"/>
                <w:iCs w:val="0"/>
                <w:color w:val="auto"/>
                <w:highlight w:val="none"/>
              </w:rPr>
            </w:pPr>
            <w:bookmarkStart w:id="489" w:name="_Toc100090784"/>
            <w:bookmarkStart w:id="490" w:name="_Toc99533292"/>
            <w:r>
              <w:rPr>
                <w:rFonts w:hint="eastAsia"/>
                <w:i w:val="0"/>
                <w:iCs w:val="0"/>
                <w:color w:val="auto"/>
                <w:highlight w:val="none"/>
              </w:rPr>
              <w:t>1</w:t>
            </w:r>
            <w:bookmarkEnd w:id="489"/>
            <w:bookmarkEnd w:id="490"/>
          </w:p>
        </w:tc>
        <w:tc>
          <w:tcPr>
            <w:tcW w:w="1561" w:type="dxa"/>
            <w:vAlign w:val="center"/>
          </w:tcPr>
          <w:p w14:paraId="1297CF0F">
            <w:pPr>
              <w:pStyle w:val="46"/>
              <w:jc w:val="center"/>
              <w:rPr>
                <w:i w:val="0"/>
                <w:iCs w:val="0"/>
                <w:color w:val="auto"/>
                <w:highlight w:val="none"/>
              </w:rPr>
            </w:pPr>
          </w:p>
        </w:tc>
        <w:tc>
          <w:tcPr>
            <w:tcW w:w="1821" w:type="dxa"/>
            <w:tcBorders>
              <w:right w:val="single" w:color="auto" w:sz="4" w:space="0"/>
            </w:tcBorders>
            <w:vAlign w:val="center"/>
          </w:tcPr>
          <w:p w14:paraId="5504C4E8">
            <w:pPr>
              <w:pStyle w:val="46"/>
              <w:jc w:val="center"/>
              <w:rPr>
                <w:i w:val="0"/>
                <w:iCs w:val="0"/>
                <w:color w:val="auto"/>
                <w:highlight w:val="none"/>
              </w:rPr>
            </w:pPr>
          </w:p>
        </w:tc>
        <w:tc>
          <w:tcPr>
            <w:tcW w:w="1622" w:type="dxa"/>
            <w:tcBorders>
              <w:left w:val="single" w:color="auto" w:sz="4" w:space="0"/>
            </w:tcBorders>
            <w:vAlign w:val="center"/>
          </w:tcPr>
          <w:p w14:paraId="08D7DF2B">
            <w:pPr>
              <w:pStyle w:val="46"/>
              <w:jc w:val="center"/>
              <w:rPr>
                <w:i w:val="0"/>
                <w:iCs w:val="0"/>
                <w:color w:val="auto"/>
                <w:highlight w:val="none"/>
              </w:rPr>
            </w:pPr>
          </w:p>
        </w:tc>
        <w:tc>
          <w:tcPr>
            <w:tcW w:w="1744" w:type="dxa"/>
            <w:vAlign w:val="center"/>
          </w:tcPr>
          <w:p w14:paraId="09728172">
            <w:pPr>
              <w:pStyle w:val="46"/>
              <w:jc w:val="center"/>
              <w:rPr>
                <w:i w:val="0"/>
                <w:iCs w:val="0"/>
                <w:color w:val="auto"/>
                <w:highlight w:val="none"/>
              </w:rPr>
            </w:pPr>
          </w:p>
        </w:tc>
        <w:tc>
          <w:tcPr>
            <w:tcW w:w="1114" w:type="dxa"/>
            <w:vAlign w:val="center"/>
          </w:tcPr>
          <w:p w14:paraId="76A768A0">
            <w:pPr>
              <w:pStyle w:val="46"/>
              <w:jc w:val="center"/>
              <w:rPr>
                <w:i w:val="0"/>
                <w:iCs w:val="0"/>
                <w:color w:val="auto"/>
                <w:highlight w:val="none"/>
              </w:rPr>
            </w:pPr>
          </w:p>
        </w:tc>
      </w:tr>
      <w:tr w14:paraId="1B745A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2" w:hRule="atLeast"/>
        </w:trPr>
        <w:tc>
          <w:tcPr>
            <w:tcW w:w="1055" w:type="dxa"/>
            <w:vAlign w:val="center"/>
          </w:tcPr>
          <w:p w14:paraId="09E1F0BD">
            <w:pPr>
              <w:pStyle w:val="46"/>
              <w:jc w:val="center"/>
              <w:rPr>
                <w:i w:val="0"/>
                <w:iCs w:val="0"/>
                <w:color w:val="auto"/>
                <w:highlight w:val="none"/>
              </w:rPr>
            </w:pPr>
            <w:bookmarkStart w:id="491" w:name="_Toc99533293"/>
            <w:bookmarkStart w:id="492" w:name="_Toc100090785"/>
            <w:r>
              <w:rPr>
                <w:rFonts w:hint="eastAsia"/>
                <w:i w:val="0"/>
                <w:iCs w:val="0"/>
                <w:color w:val="auto"/>
                <w:highlight w:val="none"/>
              </w:rPr>
              <w:t>2</w:t>
            </w:r>
            <w:bookmarkEnd w:id="491"/>
            <w:bookmarkEnd w:id="492"/>
          </w:p>
        </w:tc>
        <w:tc>
          <w:tcPr>
            <w:tcW w:w="1561" w:type="dxa"/>
            <w:vAlign w:val="center"/>
          </w:tcPr>
          <w:p w14:paraId="6EAD4E38">
            <w:pPr>
              <w:pStyle w:val="46"/>
              <w:jc w:val="center"/>
              <w:rPr>
                <w:i w:val="0"/>
                <w:iCs w:val="0"/>
                <w:color w:val="auto"/>
                <w:highlight w:val="none"/>
              </w:rPr>
            </w:pPr>
          </w:p>
        </w:tc>
        <w:tc>
          <w:tcPr>
            <w:tcW w:w="1821" w:type="dxa"/>
            <w:tcBorders>
              <w:right w:val="single" w:color="auto" w:sz="4" w:space="0"/>
            </w:tcBorders>
            <w:vAlign w:val="center"/>
          </w:tcPr>
          <w:p w14:paraId="3CF94FE4">
            <w:pPr>
              <w:pStyle w:val="46"/>
              <w:jc w:val="center"/>
              <w:rPr>
                <w:i w:val="0"/>
                <w:iCs w:val="0"/>
                <w:color w:val="auto"/>
                <w:highlight w:val="none"/>
              </w:rPr>
            </w:pPr>
          </w:p>
        </w:tc>
        <w:tc>
          <w:tcPr>
            <w:tcW w:w="1622" w:type="dxa"/>
            <w:tcBorders>
              <w:left w:val="single" w:color="auto" w:sz="4" w:space="0"/>
            </w:tcBorders>
            <w:vAlign w:val="center"/>
          </w:tcPr>
          <w:p w14:paraId="194E0865">
            <w:pPr>
              <w:pStyle w:val="46"/>
              <w:jc w:val="center"/>
              <w:rPr>
                <w:i w:val="0"/>
                <w:iCs w:val="0"/>
                <w:color w:val="auto"/>
                <w:highlight w:val="none"/>
              </w:rPr>
            </w:pPr>
          </w:p>
        </w:tc>
        <w:tc>
          <w:tcPr>
            <w:tcW w:w="1744" w:type="dxa"/>
            <w:vAlign w:val="center"/>
          </w:tcPr>
          <w:p w14:paraId="5CD968CA">
            <w:pPr>
              <w:pStyle w:val="46"/>
              <w:jc w:val="center"/>
              <w:rPr>
                <w:i w:val="0"/>
                <w:iCs w:val="0"/>
                <w:color w:val="auto"/>
                <w:highlight w:val="none"/>
              </w:rPr>
            </w:pPr>
          </w:p>
        </w:tc>
        <w:tc>
          <w:tcPr>
            <w:tcW w:w="1114" w:type="dxa"/>
            <w:vAlign w:val="center"/>
          </w:tcPr>
          <w:p w14:paraId="1528AD30">
            <w:pPr>
              <w:pStyle w:val="46"/>
              <w:jc w:val="center"/>
              <w:rPr>
                <w:i w:val="0"/>
                <w:iCs w:val="0"/>
                <w:color w:val="auto"/>
                <w:highlight w:val="none"/>
              </w:rPr>
            </w:pPr>
          </w:p>
        </w:tc>
      </w:tr>
      <w:tr w14:paraId="6E223F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2" w:hRule="atLeast"/>
        </w:trPr>
        <w:tc>
          <w:tcPr>
            <w:tcW w:w="1055" w:type="dxa"/>
            <w:vAlign w:val="center"/>
          </w:tcPr>
          <w:p w14:paraId="69869B42">
            <w:pPr>
              <w:pStyle w:val="46"/>
              <w:jc w:val="center"/>
              <w:rPr>
                <w:i w:val="0"/>
                <w:iCs w:val="0"/>
                <w:color w:val="auto"/>
                <w:highlight w:val="none"/>
              </w:rPr>
            </w:pPr>
            <w:bookmarkStart w:id="493" w:name="_Toc99533294"/>
            <w:bookmarkStart w:id="494" w:name="_Toc100090786"/>
            <w:r>
              <w:rPr>
                <w:rFonts w:hint="eastAsia"/>
                <w:i w:val="0"/>
                <w:iCs w:val="0"/>
                <w:color w:val="auto"/>
                <w:highlight w:val="none"/>
              </w:rPr>
              <w:t>3</w:t>
            </w:r>
            <w:bookmarkEnd w:id="493"/>
            <w:bookmarkEnd w:id="494"/>
          </w:p>
        </w:tc>
        <w:tc>
          <w:tcPr>
            <w:tcW w:w="1561" w:type="dxa"/>
            <w:vAlign w:val="center"/>
          </w:tcPr>
          <w:p w14:paraId="4F647092">
            <w:pPr>
              <w:pStyle w:val="46"/>
              <w:jc w:val="center"/>
              <w:rPr>
                <w:i w:val="0"/>
                <w:iCs w:val="0"/>
                <w:color w:val="auto"/>
                <w:highlight w:val="none"/>
              </w:rPr>
            </w:pPr>
          </w:p>
        </w:tc>
        <w:tc>
          <w:tcPr>
            <w:tcW w:w="1821" w:type="dxa"/>
            <w:tcBorders>
              <w:right w:val="single" w:color="auto" w:sz="4" w:space="0"/>
            </w:tcBorders>
            <w:vAlign w:val="center"/>
          </w:tcPr>
          <w:p w14:paraId="721B9540">
            <w:pPr>
              <w:pStyle w:val="46"/>
              <w:jc w:val="center"/>
              <w:rPr>
                <w:i w:val="0"/>
                <w:iCs w:val="0"/>
                <w:color w:val="auto"/>
                <w:highlight w:val="none"/>
              </w:rPr>
            </w:pPr>
          </w:p>
        </w:tc>
        <w:tc>
          <w:tcPr>
            <w:tcW w:w="1622" w:type="dxa"/>
            <w:tcBorders>
              <w:left w:val="single" w:color="auto" w:sz="4" w:space="0"/>
            </w:tcBorders>
            <w:vAlign w:val="center"/>
          </w:tcPr>
          <w:p w14:paraId="070656BE">
            <w:pPr>
              <w:pStyle w:val="46"/>
              <w:jc w:val="center"/>
              <w:rPr>
                <w:i w:val="0"/>
                <w:iCs w:val="0"/>
                <w:color w:val="auto"/>
                <w:highlight w:val="none"/>
              </w:rPr>
            </w:pPr>
          </w:p>
        </w:tc>
        <w:tc>
          <w:tcPr>
            <w:tcW w:w="1744" w:type="dxa"/>
            <w:vAlign w:val="center"/>
          </w:tcPr>
          <w:p w14:paraId="442A0B83">
            <w:pPr>
              <w:pStyle w:val="46"/>
              <w:jc w:val="center"/>
              <w:rPr>
                <w:i w:val="0"/>
                <w:iCs w:val="0"/>
                <w:color w:val="auto"/>
                <w:highlight w:val="none"/>
              </w:rPr>
            </w:pPr>
          </w:p>
        </w:tc>
        <w:tc>
          <w:tcPr>
            <w:tcW w:w="1114" w:type="dxa"/>
            <w:vAlign w:val="center"/>
          </w:tcPr>
          <w:p w14:paraId="7425FCC3">
            <w:pPr>
              <w:pStyle w:val="46"/>
              <w:jc w:val="center"/>
              <w:rPr>
                <w:i w:val="0"/>
                <w:iCs w:val="0"/>
                <w:color w:val="auto"/>
                <w:highlight w:val="none"/>
              </w:rPr>
            </w:pPr>
          </w:p>
        </w:tc>
      </w:tr>
      <w:tr w14:paraId="6879E7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2" w:hRule="atLeast"/>
        </w:trPr>
        <w:tc>
          <w:tcPr>
            <w:tcW w:w="1055" w:type="dxa"/>
            <w:vAlign w:val="center"/>
          </w:tcPr>
          <w:p w14:paraId="18722BAC">
            <w:pPr>
              <w:pStyle w:val="46"/>
              <w:jc w:val="center"/>
              <w:rPr>
                <w:i w:val="0"/>
                <w:iCs w:val="0"/>
                <w:color w:val="auto"/>
                <w:highlight w:val="none"/>
              </w:rPr>
            </w:pPr>
            <w:bookmarkStart w:id="495" w:name="_Toc100090787"/>
            <w:bookmarkStart w:id="496" w:name="_Toc99533295"/>
            <w:r>
              <w:rPr>
                <w:rFonts w:hint="eastAsia"/>
                <w:i w:val="0"/>
                <w:iCs w:val="0"/>
                <w:color w:val="auto"/>
                <w:highlight w:val="none"/>
              </w:rPr>
              <w:t>4</w:t>
            </w:r>
            <w:bookmarkEnd w:id="495"/>
            <w:bookmarkEnd w:id="496"/>
          </w:p>
        </w:tc>
        <w:tc>
          <w:tcPr>
            <w:tcW w:w="1561" w:type="dxa"/>
            <w:vAlign w:val="center"/>
          </w:tcPr>
          <w:p w14:paraId="1B812309">
            <w:pPr>
              <w:pStyle w:val="46"/>
              <w:jc w:val="center"/>
              <w:rPr>
                <w:i w:val="0"/>
                <w:iCs w:val="0"/>
                <w:color w:val="auto"/>
                <w:highlight w:val="none"/>
              </w:rPr>
            </w:pPr>
          </w:p>
        </w:tc>
        <w:tc>
          <w:tcPr>
            <w:tcW w:w="1821" w:type="dxa"/>
            <w:tcBorders>
              <w:right w:val="single" w:color="auto" w:sz="4" w:space="0"/>
            </w:tcBorders>
            <w:vAlign w:val="center"/>
          </w:tcPr>
          <w:p w14:paraId="6BDFC0EC">
            <w:pPr>
              <w:pStyle w:val="46"/>
              <w:jc w:val="center"/>
              <w:rPr>
                <w:i w:val="0"/>
                <w:iCs w:val="0"/>
                <w:color w:val="auto"/>
                <w:highlight w:val="none"/>
              </w:rPr>
            </w:pPr>
          </w:p>
        </w:tc>
        <w:tc>
          <w:tcPr>
            <w:tcW w:w="1622" w:type="dxa"/>
            <w:tcBorders>
              <w:left w:val="single" w:color="auto" w:sz="4" w:space="0"/>
            </w:tcBorders>
            <w:vAlign w:val="center"/>
          </w:tcPr>
          <w:p w14:paraId="22C9E970">
            <w:pPr>
              <w:pStyle w:val="46"/>
              <w:jc w:val="center"/>
              <w:rPr>
                <w:i w:val="0"/>
                <w:iCs w:val="0"/>
                <w:color w:val="auto"/>
                <w:highlight w:val="none"/>
              </w:rPr>
            </w:pPr>
          </w:p>
        </w:tc>
        <w:tc>
          <w:tcPr>
            <w:tcW w:w="1744" w:type="dxa"/>
            <w:vAlign w:val="center"/>
          </w:tcPr>
          <w:p w14:paraId="3178D2DA">
            <w:pPr>
              <w:pStyle w:val="46"/>
              <w:jc w:val="center"/>
              <w:rPr>
                <w:i w:val="0"/>
                <w:iCs w:val="0"/>
                <w:color w:val="auto"/>
                <w:highlight w:val="none"/>
              </w:rPr>
            </w:pPr>
          </w:p>
        </w:tc>
        <w:tc>
          <w:tcPr>
            <w:tcW w:w="1114" w:type="dxa"/>
            <w:vAlign w:val="center"/>
          </w:tcPr>
          <w:p w14:paraId="6E00B346">
            <w:pPr>
              <w:pStyle w:val="46"/>
              <w:jc w:val="center"/>
              <w:rPr>
                <w:i w:val="0"/>
                <w:iCs w:val="0"/>
                <w:color w:val="auto"/>
                <w:highlight w:val="none"/>
              </w:rPr>
            </w:pPr>
          </w:p>
        </w:tc>
      </w:tr>
      <w:tr w14:paraId="5048B1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2" w:hRule="atLeast"/>
        </w:trPr>
        <w:tc>
          <w:tcPr>
            <w:tcW w:w="1055" w:type="dxa"/>
            <w:vAlign w:val="center"/>
          </w:tcPr>
          <w:p w14:paraId="69852D11">
            <w:pPr>
              <w:pStyle w:val="46"/>
              <w:jc w:val="center"/>
              <w:rPr>
                <w:i w:val="0"/>
                <w:iCs w:val="0"/>
                <w:color w:val="auto"/>
                <w:highlight w:val="none"/>
              </w:rPr>
            </w:pPr>
            <w:bookmarkStart w:id="497" w:name="_Toc99533296"/>
            <w:bookmarkStart w:id="498" w:name="_Toc100090788"/>
            <w:r>
              <w:rPr>
                <w:rFonts w:hint="eastAsia"/>
                <w:i w:val="0"/>
                <w:iCs w:val="0"/>
                <w:color w:val="auto"/>
                <w:highlight w:val="none"/>
              </w:rPr>
              <w:t>5</w:t>
            </w:r>
            <w:bookmarkEnd w:id="497"/>
            <w:bookmarkEnd w:id="498"/>
          </w:p>
        </w:tc>
        <w:tc>
          <w:tcPr>
            <w:tcW w:w="1561" w:type="dxa"/>
            <w:vAlign w:val="center"/>
          </w:tcPr>
          <w:p w14:paraId="5B7E7829">
            <w:pPr>
              <w:pStyle w:val="46"/>
              <w:jc w:val="center"/>
              <w:rPr>
                <w:i w:val="0"/>
                <w:iCs w:val="0"/>
                <w:color w:val="auto"/>
                <w:highlight w:val="none"/>
              </w:rPr>
            </w:pPr>
          </w:p>
        </w:tc>
        <w:tc>
          <w:tcPr>
            <w:tcW w:w="1821" w:type="dxa"/>
            <w:tcBorders>
              <w:right w:val="single" w:color="auto" w:sz="4" w:space="0"/>
            </w:tcBorders>
            <w:vAlign w:val="center"/>
          </w:tcPr>
          <w:p w14:paraId="64924D06">
            <w:pPr>
              <w:pStyle w:val="46"/>
              <w:jc w:val="center"/>
              <w:rPr>
                <w:i w:val="0"/>
                <w:iCs w:val="0"/>
                <w:color w:val="auto"/>
                <w:highlight w:val="none"/>
              </w:rPr>
            </w:pPr>
          </w:p>
        </w:tc>
        <w:tc>
          <w:tcPr>
            <w:tcW w:w="1622" w:type="dxa"/>
            <w:tcBorders>
              <w:left w:val="single" w:color="auto" w:sz="4" w:space="0"/>
            </w:tcBorders>
            <w:vAlign w:val="center"/>
          </w:tcPr>
          <w:p w14:paraId="732FB5A2">
            <w:pPr>
              <w:pStyle w:val="46"/>
              <w:jc w:val="center"/>
              <w:rPr>
                <w:i w:val="0"/>
                <w:iCs w:val="0"/>
                <w:color w:val="auto"/>
                <w:highlight w:val="none"/>
              </w:rPr>
            </w:pPr>
          </w:p>
        </w:tc>
        <w:tc>
          <w:tcPr>
            <w:tcW w:w="1744" w:type="dxa"/>
            <w:vAlign w:val="center"/>
          </w:tcPr>
          <w:p w14:paraId="1E804439">
            <w:pPr>
              <w:pStyle w:val="46"/>
              <w:jc w:val="center"/>
              <w:rPr>
                <w:i w:val="0"/>
                <w:iCs w:val="0"/>
                <w:color w:val="auto"/>
                <w:highlight w:val="none"/>
              </w:rPr>
            </w:pPr>
          </w:p>
        </w:tc>
        <w:tc>
          <w:tcPr>
            <w:tcW w:w="1114" w:type="dxa"/>
            <w:vAlign w:val="center"/>
          </w:tcPr>
          <w:p w14:paraId="4C68F796">
            <w:pPr>
              <w:pStyle w:val="46"/>
              <w:jc w:val="center"/>
              <w:rPr>
                <w:i w:val="0"/>
                <w:iCs w:val="0"/>
                <w:color w:val="auto"/>
                <w:highlight w:val="none"/>
              </w:rPr>
            </w:pPr>
          </w:p>
        </w:tc>
      </w:tr>
      <w:tr w14:paraId="042AB9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2" w:hRule="atLeast"/>
        </w:trPr>
        <w:tc>
          <w:tcPr>
            <w:tcW w:w="1055" w:type="dxa"/>
            <w:vAlign w:val="center"/>
          </w:tcPr>
          <w:p w14:paraId="51F692E2">
            <w:pPr>
              <w:pStyle w:val="46"/>
              <w:jc w:val="center"/>
              <w:rPr>
                <w:i w:val="0"/>
                <w:iCs w:val="0"/>
                <w:color w:val="auto"/>
                <w:highlight w:val="none"/>
              </w:rPr>
            </w:pPr>
            <w:bookmarkStart w:id="499" w:name="_Toc100090789"/>
            <w:bookmarkStart w:id="500" w:name="_Toc99533297"/>
            <w:r>
              <w:rPr>
                <w:rFonts w:hint="eastAsia"/>
                <w:i w:val="0"/>
                <w:iCs w:val="0"/>
                <w:color w:val="auto"/>
                <w:highlight w:val="none"/>
              </w:rPr>
              <w:t>6</w:t>
            </w:r>
            <w:bookmarkEnd w:id="499"/>
            <w:bookmarkEnd w:id="500"/>
          </w:p>
        </w:tc>
        <w:tc>
          <w:tcPr>
            <w:tcW w:w="1561" w:type="dxa"/>
            <w:vAlign w:val="center"/>
          </w:tcPr>
          <w:p w14:paraId="1DC128CC">
            <w:pPr>
              <w:pStyle w:val="46"/>
              <w:jc w:val="center"/>
              <w:rPr>
                <w:i w:val="0"/>
                <w:iCs w:val="0"/>
                <w:color w:val="auto"/>
                <w:highlight w:val="none"/>
              </w:rPr>
            </w:pPr>
          </w:p>
        </w:tc>
        <w:tc>
          <w:tcPr>
            <w:tcW w:w="1821" w:type="dxa"/>
            <w:tcBorders>
              <w:right w:val="single" w:color="auto" w:sz="4" w:space="0"/>
            </w:tcBorders>
            <w:vAlign w:val="center"/>
          </w:tcPr>
          <w:p w14:paraId="27634594">
            <w:pPr>
              <w:pStyle w:val="46"/>
              <w:jc w:val="center"/>
              <w:rPr>
                <w:i w:val="0"/>
                <w:iCs w:val="0"/>
                <w:color w:val="auto"/>
                <w:highlight w:val="none"/>
              </w:rPr>
            </w:pPr>
          </w:p>
        </w:tc>
        <w:tc>
          <w:tcPr>
            <w:tcW w:w="1622" w:type="dxa"/>
            <w:tcBorders>
              <w:left w:val="single" w:color="auto" w:sz="4" w:space="0"/>
            </w:tcBorders>
            <w:vAlign w:val="center"/>
          </w:tcPr>
          <w:p w14:paraId="3F600965">
            <w:pPr>
              <w:pStyle w:val="46"/>
              <w:jc w:val="center"/>
              <w:rPr>
                <w:i w:val="0"/>
                <w:iCs w:val="0"/>
                <w:color w:val="auto"/>
                <w:highlight w:val="none"/>
              </w:rPr>
            </w:pPr>
          </w:p>
        </w:tc>
        <w:tc>
          <w:tcPr>
            <w:tcW w:w="1744" w:type="dxa"/>
            <w:vAlign w:val="center"/>
          </w:tcPr>
          <w:p w14:paraId="7E2F7D57">
            <w:pPr>
              <w:pStyle w:val="46"/>
              <w:jc w:val="center"/>
              <w:rPr>
                <w:i w:val="0"/>
                <w:iCs w:val="0"/>
                <w:color w:val="auto"/>
                <w:highlight w:val="none"/>
              </w:rPr>
            </w:pPr>
          </w:p>
        </w:tc>
        <w:tc>
          <w:tcPr>
            <w:tcW w:w="1114" w:type="dxa"/>
            <w:vAlign w:val="center"/>
          </w:tcPr>
          <w:p w14:paraId="5B9CE425">
            <w:pPr>
              <w:pStyle w:val="46"/>
              <w:jc w:val="center"/>
              <w:rPr>
                <w:i w:val="0"/>
                <w:iCs w:val="0"/>
                <w:color w:val="auto"/>
                <w:highlight w:val="none"/>
              </w:rPr>
            </w:pPr>
          </w:p>
        </w:tc>
      </w:tr>
      <w:tr w14:paraId="435683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2" w:hRule="atLeast"/>
        </w:trPr>
        <w:tc>
          <w:tcPr>
            <w:tcW w:w="1055" w:type="dxa"/>
            <w:vAlign w:val="center"/>
          </w:tcPr>
          <w:p w14:paraId="79AB3A64">
            <w:pPr>
              <w:pStyle w:val="46"/>
              <w:jc w:val="center"/>
              <w:rPr>
                <w:i w:val="0"/>
                <w:iCs w:val="0"/>
                <w:color w:val="auto"/>
                <w:highlight w:val="none"/>
              </w:rPr>
            </w:pPr>
            <w:bookmarkStart w:id="501" w:name="_Toc100090790"/>
            <w:bookmarkStart w:id="502" w:name="_Toc99533298"/>
            <w:r>
              <w:rPr>
                <w:rFonts w:hint="eastAsia"/>
                <w:i w:val="0"/>
                <w:iCs w:val="0"/>
                <w:color w:val="auto"/>
                <w:highlight w:val="none"/>
              </w:rPr>
              <w:t>7</w:t>
            </w:r>
            <w:bookmarkEnd w:id="501"/>
            <w:bookmarkEnd w:id="502"/>
          </w:p>
        </w:tc>
        <w:tc>
          <w:tcPr>
            <w:tcW w:w="1561" w:type="dxa"/>
            <w:vAlign w:val="center"/>
          </w:tcPr>
          <w:p w14:paraId="2E2305CD">
            <w:pPr>
              <w:pStyle w:val="46"/>
              <w:jc w:val="center"/>
              <w:rPr>
                <w:i w:val="0"/>
                <w:iCs w:val="0"/>
                <w:color w:val="auto"/>
                <w:highlight w:val="none"/>
              </w:rPr>
            </w:pPr>
          </w:p>
        </w:tc>
        <w:tc>
          <w:tcPr>
            <w:tcW w:w="1821" w:type="dxa"/>
            <w:tcBorders>
              <w:right w:val="single" w:color="auto" w:sz="4" w:space="0"/>
            </w:tcBorders>
            <w:vAlign w:val="center"/>
          </w:tcPr>
          <w:p w14:paraId="12C4C629">
            <w:pPr>
              <w:pStyle w:val="46"/>
              <w:jc w:val="center"/>
              <w:rPr>
                <w:i w:val="0"/>
                <w:iCs w:val="0"/>
                <w:color w:val="auto"/>
                <w:highlight w:val="none"/>
              </w:rPr>
            </w:pPr>
          </w:p>
        </w:tc>
        <w:tc>
          <w:tcPr>
            <w:tcW w:w="1622" w:type="dxa"/>
            <w:tcBorders>
              <w:left w:val="single" w:color="auto" w:sz="4" w:space="0"/>
            </w:tcBorders>
            <w:vAlign w:val="center"/>
          </w:tcPr>
          <w:p w14:paraId="12836729">
            <w:pPr>
              <w:pStyle w:val="46"/>
              <w:jc w:val="center"/>
              <w:rPr>
                <w:i w:val="0"/>
                <w:iCs w:val="0"/>
                <w:color w:val="auto"/>
                <w:highlight w:val="none"/>
              </w:rPr>
            </w:pPr>
          </w:p>
        </w:tc>
        <w:tc>
          <w:tcPr>
            <w:tcW w:w="1744" w:type="dxa"/>
            <w:vAlign w:val="center"/>
          </w:tcPr>
          <w:p w14:paraId="3829CE10">
            <w:pPr>
              <w:pStyle w:val="46"/>
              <w:jc w:val="center"/>
              <w:rPr>
                <w:i w:val="0"/>
                <w:iCs w:val="0"/>
                <w:color w:val="auto"/>
                <w:highlight w:val="none"/>
              </w:rPr>
            </w:pPr>
          </w:p>
        </w:tc>
        <w:tc>
          <w:tcPr>
            <w:tcW w:w="1114" w:type="dxa"/>
            <w:vAlign w:val="center"/>
          </w:tcPr>
          <w:p w14:paraId="1DC19827">
            <w:pPr>
              <w:pStyle w:val="46"/>
              <w:jc w:val="center"/>
              <w:rPr>
                <w:i w:val="0"/>
                <w:iCs w:val="0"/>
                <w:color w:val="auto"/>
                <w:highlight w:val="none"/>
              </w:rPr>
            </w:pPr>
          </w:p>
        </w:tc>
      </w:tr>
      <w:tr w14:paraId="750A44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2" w:hRule="atLeast"/>
        </w:trPr>
        <w:tc>
          <w:tcPr>
            <w:tcW w:w="1055" w:type="dxa"/>
            <w:vAlign w:val="center"/>
          </w:tcPr>
          <w:p w14:paraId="3D81535E">
            <w:pPr>
              <w:pStyle w:val="46"/>
              <w:jc w:val="center"/>
              <w:rPr>
                <w:i w:val="0"/>
                <w:iCs w:val="0"/>
                <w:color w:val="auto"/>
                <w:highlight w:val="none"/>
              </w:rPr>
            </w:pPr>
            <w:bookmarkStart w:id="503" w:name="_Toc100090791"/>
            <w:bookmarkStart w:id="504" w:name="_Toc99533299"/>
            <w:r>
              <w:rPr>
                <w:rFonts w:hint="eastAsia"/>
                <w:i w:val="0"/>
                <w:iCs w:val="0"/>
                <w:color w:val="auto"/>
                <w:highlight w:val="none"/>
              </w:rPr>
              <w:t>8</w:t>
            </w:r>
            <w:bookmarkEnd w:id="503"/>
            <w:bookmarkEnd w:id="504"/>
          </w:p>
        </w:tc>
        <w:tc>
          <w:tcPr>
            <w:tcW w:w="1561" w:type="dxa"/>
            <w:vAlign w:val="center"/>
          </w:tcPr>
          <w:p w14:paraId="1DDFABCF">
            <w:pPr>
              <w:pStyle w:val="46"/>
              <w:jc w:val="center"/>
              <w:rPr>
                <w:i w:val="0"/>
                <w:iCs w:val="0"/>
                <w:color w:val="auto"/>
                <w:highlight w:val="none"/>
              </w:rPr>
            </w:pPr>
          </w:p>
        </w:tc>
        <w:tc>
          <w:tcPr>
            <w:tcW w:w="1821" w:type="dxa"/>
            <w:tcBorders>
              <w:right w:val="single" w:color="auto" w:sz="4" w:space="0"/>
            </w:tcBorders>
            <w:vAlign w:val="center"/>
          </w:tcPr>
          <w:p w14:paraId="5E162308">
            <w:pPr>
              <w:pStyle w:val="46"/>
              <w:jc w:val="center"/>
              <w:rPr>
                <w:i w:val="0"/>
                <w:iCs w:val="0"/>
                <w:color w:val="auto"/>
                <w:highlight w:val="none"/>
              </w:rPr>
            </w:pPr>
          </w:p>
        </w:tc>
        <w:tc>
          <w:tcPr>
            <w:tcW w:w="1622" w:type="dxa"/>
            <w:tcBorders>
              <w:left w:val="single" w:color="auto" w:sz="4" w:space="0"/>
            </w:tcBorders>
            <w:vAlign w:val="center"/>
          </w:tcPr>
          <w:p w14:paraId="20322021">
            <w:pPr>
              <w:pStyle w:val="46"/>
              <w:jc w:val="center"/>
              <w:rPr>
                <w:i w:val="0"/>
                <w:iCs w:val="0"/>
                <w:color w:val="auto"/>
                <w:highlight w:val="none"/>
              </w:rPr>
            </w:pPr>
          </w:p>
        </w:tc>
        <w:tc>
          <w:tcPr>
            <w:tcW w:w="1744" w:type="dxa"/>
            <w:vAlign w:val="center"/>
          </w:tcPr>
          <w:p w14:paraId="7A7B9A82">
            <w:pPr>
              <w:pStyle w:val="46"/>
              <w:jc w:val="center"/>
              <w:rPr>
                <w:i w:val="0"/>
                <w:iCs w:val="0"/>
                <w:color w:val="auto"/>
                <w:highlight w:val="none"/>
              </w:rPr>
            </w:pPr>
          </w:p>
        </w:tc>
        <w:tc>
          <w:tcPr>
            <w:tcW w:w="1114" w:type="dxa"/>
            <w:vAlign w:val="center"/>
          </w:tcPr>
          <w:p w14:paraId="6C2614C0">
            <w:pPr>
              <w:pStyle w:val="46"/>
              <w:jc w:val="center"/>
              <w:rPr>
                <w:i w:val="0"/>
                <w:iCs w:val="0"/>
                <w:color w:val="auto"/>
                <w:highlight w:val="none"/>
              </w:rPr>
            </w:pPr>
          </w:p>
        </w:tc>
      </w:tr>
      <w:tr w14:paraId="101506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2" w:hRule="atLeast"/>
        </w:trPr>
        <w:tc>
          <w:tcPr>
            <w:tcW w:w="1055" w:type="dxa"/>
            <w:vAlign w:val="center"/>
          </w:tcPr>
          <w:p w14:paraId="2F71A2D9">
            <w:pPr>
              <w:pStyle w:val="46"/>
              <w:jc w:val="center"/>
              <w:rPr>
                <w:i w:val="0"/>
                <w:iCs w:val="0"/>
                <w:color w:val="auto"/>
                <w:highlight w:val="none"/>
              </w:rPr>
            </w:pPr>
            <w:bookmarkStart w:id="505" w:name="_Toc100090792"/>
            <w:bookmarkStart w:id="506" w:name="_Toc99533300"/>
            <w:r>
              <w:rPr>
                <w:rFonts w:hint="eastAsia"/>
                <w:i w:val="0"/>
                <w:iCs w:val="0"/>
                <w:color w:val="auto"/>
                <w:highlight w:val="none"/>
              </w:rPr>
              <w:t>9</w:t>
            </w:r>
            <w:bookmarkEnd w:id="505"/>
            <w:bookmarkEnd w:id="506"/>
          </w:p>
        </w:tc>
        <w:tc>
          <w:tcPr>
            <w:tcW w:w="1561" w:type="dxa"/>
            <w:vAlign w:val="center"/>
          </w:tcPr>
          <w:p w14:paraId="337DC3D2">
            <w:pPr>
              <w:pStyle w:val="46"/>
              <w:jc w:val="center"/>
              <w:rPr>
                <w:i w:val="0"/>
                <w:iCs w:val="0"/>
                <w:color w:val="auto"/>
                <w:highlight w:val="none"/>
              </w:rPr>
            </w:pPr>
          </w:p>
        </w:tc>
        <w:tc>
          <w:tcPr>
            <w:tcW w:w="1821" w:type="dxa"/>
            <w:tcBorders>
              <w:right w:val="single" w:color="auto" w:sz="4" w:space="0"/>
            </w:tcBorders>
            <w:vAlign w:val="center"/>
          </w:tcPr>
          <w:p w14:paraId="7D52DCED">
            <w:pPr>
              <w:pStyle w:val="46"/>
              <w:jc w:val="center"/>
              <w:rPr>
                <w:i w:val="0"/>
                <w:iCs w:val="0"/>
                <w:color w:val="auto"/>
                <w:highlight w:val="none"/>
              </w:rPr>
            </w:pPr>
          </w:p>
        </w:tc>
        <w:tc>
          <w:tcPr>
            <w:tcW w:w="1622" w:type="dxa"/>
            <w:tcBorders>
              <w:left w:val="single" w:color="auto" w:sz="4" w:space="0"/>
            </w:tcBorders>
            <w:vAlign w:val="center"/>
          </w:tcPr>
          <w:p w14:paraId="51CA2603">
            <w:pPr>
              <w:pStyle w:val="46"/>
              <w:jc w:val="center"/>
              <w:rPr>
                <w:i w:val="0"/>
                <w:iCs w:val="0"/>
                <w:color w:val="auto"/>
                <w:highlight w:val="none"/>
              </w:rPr>
            </w:pPr>
          </w:p>
        </w:tc>
        <w:tc>
          <w:tcPr>
            <w:tcW w:w="1744" w:type="dxa"/>
            <w:vAlign w:val="center"/>
          </w:tcPr>
          <w:p w14:paraId="18D19DE8">
            <w:pPr>
              <w:pStyle w:val="46"/>
              <w:jc w:val="center"/>
              <w:rPr>
                <w:i w:val="0"/>
                <w:iCs w:val="0"/>
                <w:color w:val="auto"/>
                <w:highlight w:val="none"/>
              </w:rPr>
            </w:pPr>
          </w:p>
        </w:tc>
        <w:tc>
          <w:tcPr>
            <w:tcW w:w="1114" w:type="dxa"/>
            <w:vAlign w:val="center"/>
          </w:tcPr>
          <w:p w14:paraId="225125A1">
            <w:pPr>
              <w:pStyle w:val="46"/>
              <w:jc w:val="center"/>
              <w:rPr>
                <w:i w:val="0"/>
                <w:iCs w:val="0"/>
                <w:color w:val="auto"/>
                <w:highlight w:val="none"/>
              </w:rPr>
            </w:pPr>
          </w:p>
        </w:tc>
      </w:tr>
      <w:tr w14:paraId="36F97B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45" w:hRule="atLeast"/>
        </w:trPr>
        <w:tc>
          <w:tcPr>
            <w:tcW w:w="1055" w:type="dxa"/>
            <w:vAlign w:val="center"/>
          </w:tcPr>
          <w:p w14:paraId="13DAAD3B">
            <w:pPr>
              <w:pStyle w:val="46"/>
              <w:jc w:val="center"/>
              <w:rPr>
                <w:i w:val="0"/>
                <w:iCs w:val="0"/>
                <w:color w:val="auto"/>
                <w:highlight w:val="none"/>
              </w:rPr>
            </w:pPr>
            <w:bookmarkStart w:id="507" w:name="_Toc100090793"/>
            <w:bookmarkStart w:id="508" w:name="_Toc99533301"/>
            <w:r>
              <w:rPr>
                <w:rFonts w:hint="eastAsia"/>
                <w:i w:val="0"/>
                <w:iCs w:val="0"/>
                <w:color w:val="auto"/>
                <w:highlight w:val="none"/>
              </w:rPr>
              <w:t>10</w:t>
            </w:r>
            <w:bookmarkEnd w:id="507"/>
            <w:bookmarkEnd w:id="508"/>
          </w:p>
        </w:tc>
        <w:tc>
          <w:tcPr>
            <w:tcW w:w="1561" w:type="dxa"/>
            <w:vAlign w:val="center"/>
          </w:tcPr>
          <w:p w14:paraId="55B22C5B">
            <w:pPr>
              <w:pStyle w:val="46"/>
              <w:jc w:val="center"/>
              <w:rPr>
                <w:i w:val="0"/>
                <w:iCs w:val="0"/>
                <w:color w:val="auto"/>
                <w:highlight w:val="none"/>
              </w:rPr>
            </w:pPr>
          </w:p>
        </w:tc>
        <w:tc>
          <w:tcPr>
            <w:tcW w:w="1821" w:type="dxa"/>
            <w:tcBorders>
              <w:right w:val="single" w:color="auto" w:sz="4" w:space="0"/>
            </w:tcBorders>
            <w:vAlign w:val="center"/>
          </w:tcPr>
          <w:p w14:paraId="0735224E">
            <w:pPr>
              <w:pStyle w:val="46"/>
              <w:jc w:val="center"/>
              <w:rPr>
                <w:i w:val="0"/>
                <w:iCs w:val="0"/>
                <w:color w:val="auto"/>
                <w:highlight w:val="none"/>
              </w:rPr>
            </w:pPr>
          </w:p>
        </w:tc>
        <w:tc>
          <w:tcPr>
            <w:tcW w:w="1622" w:type="dxa"/>
            <w:tcBorders>
              <w:left w:val="single" w:color="auto" w:sz="4" w:space="0"/>
            </w:tcBorders>
            <w:vAlign w:val="center"/>
          </w:tcPr>
          <w:p w14:paraId="4FBEB9BB">
            <w:pPr>
              <w:pStyle w:val="46"/>
              <w:jc w:val="center"/>
              <w:rPr>
                <w:i w:val="0"/>
                <w:iCs w:val="0"/>
                <w:color w:val="auto"/>
                <w:highlight w:val="none"/>
              </w:rPr>
            </w:pPr>
          </w:p>
        </w:tc>
        <w:tc>
          <w:tcPr>
            <w:tcW w:w="1744" w:type="dxa"/>
            <w:vAlign w:val="center"/>
          </w:tcPr>
          <w:p w14:paraId="4C8B6CD0">
            <w:pPr>
              <w:pStyle w:val="46"/>
              <w:jc w:val="center"/>
              <w:rPr>
                <w:i w:val="0"/>
                <w:iCs w:val="0"/>
                <w:color w:val="auto"/>
                <w:highlight w:val="none"/>
              </w:rPr>
            </w:pPr>
          </w:p>
        </w:tc>
        <w:tc>
          <w:tcPr>
            <w:tcW w:w="1114" w:type="dxa"/>
            <w:vAlign w:val="center"/>
          </w:tcPr>
          <w:p w14:paraId="212F0480">
            <w:pPr>
              <w:pStyle w:val="46"/>
              <w:jc w:val="center"/>
              <w:rPr>
                <w:i w:val="0"/>
                <w:iCs w:val="0"/>
                <w:color w:val="auto"/>
                <w:highlight w:val="none"/>
              </w:rPr>
            </w:pPr>
          </w:p>
        </w:tc>
      </w:tr>
    </w:tbl>
    <w:p w14:paraId="51ED7B0D">
      <w:pPr>
        <w:rPr>
          <w:i w:val="0"/>
          <w:iCs w:val="0"/>
          <w:color w:val="auto"/>
          <w:highlight w:val="none"/>
        </w:rPr>
      </w:pPr>
      <w:r>
        <w:rPr>
          <w:i w:val="0"/>
          <w:iCs w:val="0"/>
          <w:color w:val="auto"/>
          <w:highlight w:val="none"/>
        </w:rPr>
        <w:br w:type="page"/>
      </w:r>
    </w:p>
    <w:p w14:paraId="1358285E">
      <w:pPr>
        <w:pStyle w:val="3"/>
        <w:keepNext/>
        <w:keepLines/>
        <w:pageBreakBefore w:val="0"/>
        <w:widowControl w:val="0"/>
        <w:numPr>
          <w:ilvl w:val="0"/>
          <w:numId w:val="0"/>
        </w:numPr>
        <w:kinsoku/>
        <w:wordWrap/>
        <w:overflowPunct/>
        <w:topLinePunct w:val="0"/>
        <w:autoSpaceDE/>
        <w:autoSpaceDN/>
        <w:bidi w:val="0"/>
        <w:adjustRightInd/>
        <w:snapToGrid/>
        <w:spacing w:before="100" w:after="100" w:line="360" w:lineRule="auto"/>
        <w:ind w:left="420" w:leftChars="0" w:hanging="420" w:firstLineChars="0"/>
        <w:jc w:val="center"/>
        <w:textAlignment w:val="auto"/>
        <w:rPr>
          <w:rFonts w:hint="eastAsia" w:eastAsia="宋体" w:asciiTheme="majorHAnsi" w:hAnsiTheme="majorHAnsi" w:cstheme="majorBidi"/>
          <w:b/>
          <w:bCs/>
          <w:i w:val="0"/>
          <w:iCs w:val="0"/>
          <w:color w:val="auto"/>
          <w:kern w:val="2"/>
          <w:sz w:val="32"/>
          <w:szCs w:val="32"/>
          <w:highlight w:val="none"/>
          <w:lang w:val="en-US" w:eastAsia="zh-CN" w:bidi="ar-SA"/>
        </w:rPr>
      </w:pPr>
      <w:bookmarkStart w:id="509" w:name="_Toc32765"/>
      <w:r>
        <w:rPr>
          <w:rFonts w:hint="eastAsia" w:cstheme="majorBidi"/>
          <w:b/>
          <w:bCs/>
          <w:i w:val="0"/>
          <w:iCs w:val="0"/>
          <w:color w:val="auto"/>
          <w:kern w:val="2"/>
          <w:sz w:val="32"/>
          <w:szCs w:val="32"/>
          <w:highlight w:val="none"/>
          <w:lang w:val="en-US" w:eastAsia="zh-CN" w:bidi="ar-SA"/>
        </w:rPr>
        <w:t>九</w:t>
      </w:r>
      <w:r>
        <w:rPr>
          <w:rFonts w:hint="eastAsia" w:eastAsia="宋体" w:asciiTheme="majorHAnsi" w:hAnsiTheme="majorHAnsi" w:cstheme="majorBidi"/>
          <w:b/>
          <w:bCs/>
          <w:i w:val="0"/>
          <w:iCs w:val="0"/>
          <w:color w:val="auto"/>
          <w:kern w:val="2"/>
          <w:sz w:val="32"/>
          <w:szCs w:val="32"/>
          <w:highlight w:val="none"/>
          <w:lang w:val="en-US" w:eastAsia="zh-CN" w:bidi="ar-SA"/>
        </w:rPr>
        <w:t>、技术响应偏离表</w:t>
      </w:r>
      <w:bookmarkEnd w:id="509"/>
    </w:p>
    <w:p w14:paraId="28A8231E">
      <w:pPr>
        <w:rPr>
          <w:rFonts w:cs="仿宋_GB2312"/>
          <w:i w:val="0"/>
          <w:iCs w:val="0"/>
          <w:color w:val="auto"/>
          <w:szCs w:val="24"/>
          <w:highlight w:val="none"/>
        </w:rPr>
      </w:pPr>
      <w:r>
        <w:rPr>
          <w:rFonts w:hint="eastAsia" w:cs="仿宋_GB2312"/>
          <w:i w:val="0"/>
          <w:iCs w:val="0"/>
          <w:color w:val="auto"/>
          <w:szCs w:val="24"/>
          <w:highlight w:val="none"/>
        </w:rPr>
        <w:t xml:space="preserve">项目名称：                                         </w:t>
      </w:r>
    </w:p>
    <w:p w14:paraId="10CF1BE4">
      <w:pPr>
        <w:rPr>
          <w:rFonts w:cs="仿宋_GB2312"/>
          <w:i w:val="0"/>
          <w:iCs w:val="0"/>
          <w:color w:val="auto"/>
          <w:szCs w:val="24"/>
          <w:highlight w:val="none"/>
        </w:rPr>
      </w:pPr>
      <w:r>
        <w:rPr>
          <w:rFonts w:hint="eastAsia" w:cs="仿宋_GB2312"/>
          <w:i w:val="0"/>
          <w:iCs w:val="0"/>
          <w:color w:val="auto"/>
          <w:szCs w:val="24"/>
          <w:highlight w:val="none"/>
        </w:rPr>
        <w:t>项目编号</w:t>
      </w:r>
      <w:r>
        <w:rPr>
          <w:rFonts w:hint="eastAsia" w:cs="仿宋_GB2312"/>
          <w:i w:val="0"/>
          <w:iCs w:val="0"/>
          <w:color w:val="auto"/>
          <w:szCs w:val="24"/>
          <w:highlight w:val="none"/>
          <w:lang w:val="en-US" w:eastAsia="zh-CN"/>
        </w:rPr>
        <w:t>/</w:t>
      </w:r>
      <w:r>
        <w:rPr>
          <w:rFonts w:hint="eastAsia" w:cs="仿宋_GB2312"/>
          <w:i w:val="0"/>
          <w:iCs w:val="0"/>
          <w:color w:val="auto"/>
          <w:szCs w:val="24"/>
          <w:highlight w:val="none"/>
          <w:lang w:val="zh-CN"/>
        </w:rPr>
        <w:t>包号</w:t>
      </w:r>
      <w:r>
        <w:rPr>
          <w:rFonts w:hint="eastAsia" w:cs="仿宋_GB2312"/>
          <w:i w:val="0"/>
          <w:iCs w:val="0"/>
          <w:color w:val="auto"/>
          <w:szCs w:val="24"/>
          <w:highlight w:val="none"/>
        </w:rPr>
        <w:t xml:space="preserve">：         </w:t>
      </w:r>
    </w:p>
    <w:tbl>
      <w:tblPr>
        <w:tblStyle w:val="28"/>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4"/>
        <w:gridCol w:w="2177"/>
        <w:gridCol w:w="1556"/>
        <w:gridCol w:w="2046"/>
        <w:gridCol w:w="2046"/>
      </w:tblGrid>
      <w:tr w14:paraId="23CC5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trPr>
        <w:tc>
          <w:tcPr>
            <w:tcW w:w="407" w:type="pct"/>
            <w:vAlign w:val="center"/>
          </w:tcPr>
          <w:p w14:paraId="5F892E53">
            <w:pPr>
              <w:pStyle w:val="46"/>
              <w:jc w:val="center"/>
              <w:rPr>
                <w:i w:val="0"/>
                <w:iCs w:val="0"/>
                <w:color w:val="auto"/>
                <w:highlight w:val="none"/>
              </w:rPr>
            </w:pPr>
            <w:r>
              <w:rPr>
                <w:rFonts w:hint="eastAsia"/>
                <w:i w:val="0"/>
                <w:iCs w:val="0"/>
                <w:color w:val="auto"/>
                <w:highlight w:val="none"/>
              </w:rPr>
              <w:t>序号</w:t>
            </w:r>
          </w:p>
        </w:tc>
        <w:tc>
          <w:tcPr>
            <w:tcW w:w="1277" w:type="pct"/>
            <w:vAlign w:val="center"/>
          </w:tcPr>
          <w:p w14:paraId="0C5608DB">
            <w:pPr>
              <w:pStyle w:val="46"/>
              <w:jc w:val="center"/>
              <w:rPr>
                <w:i w:val="0"/>
                <w:iCs w:val="0"/>
                <w:color w:val="auto"/>
                <w:highlight w:val="none"/>
              </w:rPr>
            </w:pPr>
            <w:r>
              <w:rPr>
                <w:rFonts w:hint="eastAsia"/>
                <w:i w:val="0"/>
                <w:iCs w:val="0"/>
                <w:color w:val="auto"/>
                <w:highlight w:val="none"/>
                <w:lang w:val="en-US" w:eastAsia="zh-CN"/>
              </w:rPr>
              <w:t>竞争性磋商</w:t>
            </w:r>
            <w:r>
              <w:rPr>
                <w:rFonts w:hint="eastAsia"/>
                <w:i w:val="0"/>
                <w:iCs w:val="0"/>
                <w:color w:val="auto"/>
                <w:highlight w:val="none"/>
              </w:rPr>
              <w:t>文件技术要求条款</w:t>
            </w:r>
          </w:p>
        </w:tc>
        <w:tc>
          <w:tcPr>
            <w:tcW w:w="913" w:type="pct"/>
            <w:vAlign w:val="center"/>
          </w:tcPr>
          <w:p w14:paraId="0B845CF1">
            <w:pPr>
              <w:pStyle w:val="46"/>
              <w:jc w:val="center"/>
              <w:rPr>
                <w:i w:val="0"/>
                <w:iCs w:val="0"/>
                <w:color w:val="auto"/>
                <w:highlight w:val="none"/>
              </w:rPr>
            </w:pPr>
            <w:r>
              <w:rPr>
                <w:rFonts w:hint="eastAsia"/>
                <w:i w:val="0"/>
                <w:iCs w:val="0"/>
                <w:color w:val="auto"/>
                <w:highlight w:val="none"/>
                <w:lang w:val="en-US" w:eastAsia="zh-CN"/>
              </w:rPr>
              <w:t>响应</w:t>
            </w:r>
            <w:r>
              <w:rPr>
                <w:rFonts w:hint="eastAsia"/>
                <w:i w:val="0"/>
                <w:iCs w:val="0"/>
                <w:color w:val="auto"/>
                <w:highlight w:val="none"/>
              </w:rPr>
              <w:t>文件内容</w:t>
            </w:r>
          </w:p>
          <w:p w14:paraId="4F79E073">
            <w:pPr>
              <w:pStyle w:val="46"/>
              <w:jc w:val="center"/>
              <w:rPr>
                <w:i w:val="0"/>
                <w:iCs w:val="0"/>
                <w:color w:val="auto"/>
                <w:highlight w:val="none"/>
              </w:rPr>
            </w:pPr>
            <w:r>
              <w:rPr>
                <w:rFonts w:hint="eastAsia"/>
                <w:i w:val="0"/>
                <w:iCs w:val="0"/>
                <w:color w:val="auto"/>
                <w:highlight w:val="none"/>
              </w:rPr>
              <w:t>对应简述</w:t>
            </w:r>
          </w:p>
        </w:tc>
        <w:tc>
          <w:tcPr>
            <w:tcW w:w="1200" w:type="pct"/>
            <w:vAlign w:val="center"/>
          </w:tcPr>
          <w:p w14:paraId="4AB4E9C3">
            <w:pPr>
              <w:pStyle w:val="46"/>
              <w:jc w:val="center"/>
              <w:rPr>
                <w:i w:val="0"/>
                <w:iCs w:val="0"/>
                <w:color w:val="auto"/>
                <w:highlight w:val="none"/>
              </w:rPr>
            </w:pPr>
            <w:r>
              <w:rPr>
                <w:rFonts w:hint="eastAsia"/>
                <w:i w:val="0"/>
                <w:iCs w:val="0"/>
                <w:color w:val="auto"/>
                <w:highlight w:val="none"/>
              </w:rPr>
              <w:t>响应情况</w:t>
            </w:r>
          </w:p>
        </w:tc>
        <w:tc>
          <w:tcPr>
            <w:tcW w:w="1200" w:type="pct"/>
            <w:vAlign w:val="center"/>
          </w:tcPr>
          <w:p w14:paraId="09D725B9">
            <w:pPr>
              <w:pStyle w:val="46"/>
              <w:jc w:val="center"/>
              <w:rPr>
                <w:i w:val="0"/>
                <w:iCs w:val="0"/>
                <w:color w:val="auto"/>
                <w:highlight w:val="none"/>
              </w:rPr>
            </w:pPr>
            <w:r>
              <w:rPr>
                <w:rFonts w:hint="eastAsia"/>
                <w:i w:val="0"/>
                <w:iCs w:val="0"/>
                <w:color w:val="auto"/>
                <w:highlight w:val="none"/>
              </w:rPr>
              <w:t>说明及索引</w:t>
            </w:r>
          </w:p>
        </w:tc>
      </w:tr>
      <w:tr w14:paraId="39EC0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trPr>
        <w:tc>
          <w:tcPr>
            <w:tcW w:w="407" w:type="pct"/>
            <w:vAlign w:val="center"/>
          </w:tcPr>
          <w:p w14:paraId="29950C57">
            <w:pPr>
              <w:pStyle w:val="46"/>
              <w:jc w:val="center"/>
              <w:rPr>
                <w:i w:val="0"/>
                <w:iCs w:val="0"/>
                <w:color w:val="auto"/>
                <w:highlight w:val="none"/>
              </w:rPr>
            </w:pPr>
            <w:r>
              <w:rPr>
                <w:rFonts w:hint="eastAsia"/>
                <w:i w:val="0"/>
                <w:iCs w:val="0"/>
                <w:color w:val="auto"/>
                <w:highlight w:val="none"/>
              </w:rPr>
              <w:t>1</w:t>
            </w:r>
          </w:p>
        </w:tc>
        <w:tc>
          <w:tcPr>
            <w:tcW w:w="1277" w:type="pct"/>
            <w:vAlign w:val="center"/>
          </w:tcPr>
          <w:p w14:paraId="69B288A0">
            <w:pPr>
              <w:pStyle w:val="46"/>
              <w:jc w:val="center"/>
              <w:rPr>
                <w:i w:val="0"/>
                <w:iCs w:val="0"/>
                <w:color w:val="auto"/>
                <w:highlight w:val="none"/>
              </w:rPr>
            </w:pPr>
            <w:r>
              <w:rPr>
                <w:rFonts w:hint="eastAsia"/>
                <w:i w:val="0"/>
                <w:iCs w:val="0"/>
                <w:color w:val="auto"/>
                <w:highlight w:val="none"/>
              </w:rPr>
              <w:t>*</w:t>
            </w:r>
            <w:r>
              <w:rPr>
                <w:i w:val="0"/>
                <w:iCs w:val="0"/>
                <w:color w:val="auto"/>
                <w:highlight w:val="none"/>
              </w:rPr>
              <w:t>*******</w:t>
            </w:r>
          </w:p>
        </w:tc>
        <w:tc>
          <w:tcPr>
            <w:tcW w:w="913" w:type="pct"/>
            <w:vAlign w:val="center"/>
          </w:tcPr>
          <w:p w14:paraId="0E04AD72">
            <w:pPr>
              <w:pStyle w:val="46"/>
              <w:jc w:val="center"/>
              <w:rPr>
                <w:i w:val="0"/>
                <w:iCs w:val="0"/>
                <w:color w:val="auto"/>
                <w:highlight w:val="none"/>
              </w:rPr>
            </w:pPr>
            <w:r>
              <w:rPr>
                <w:rFonts w:hint="eastAsia"/>
                <w:i w:val="0"/>
                <w:iCs w:val="0"/>
                <w:color w:val="auto"/>
                <w:highlight w:val="none"/>
              </w:rPr>
              <w:t>*</w:t>
            </w:r>
            <w:r>
              <w:rPr>
                <w:i w:val="0"/>
                <w:iCs w:val="0"/>
                <w:color w:val="auto"/>
                <w:highlight w:val="none"/>
              </w:rPr>
              <w:t>*****</w:t>
            </w:r>
          </w:p>
        </w:tc>
        <w:tc>
          <w:tcPr>
            <w:tcW w:w="1200" w:type="pct"/>
            <w:vAlign w:val="center"/>
          </w:tcPr>
          <w:p w14:paraId="585AEA1C">
            <w:pPr>
              <w:pStyle w:val="46"/>
              <w:jc w:val="center"/>
              <w:rPr>
                <w:i w:val="0"/>
                <w:iCs w:val="0"/>
                <w:color w:val="auto"/>
                <w:highlight w:val="none"/>
              </w:rPr>
            </w:pPr>
            <w:r>
              <w:rPr>
                <w:rFonts w:hint="eastAsia"/>
                <w:i w:val="0"/>
                <w:iCs w:val="0"/>
                <w:color w:val="auto"/>
                <w:highlight w:val="none"/>
              </w:rPr>
              <w:t>响应/正偏离/负偏离</w:t>
            </w:r>
          </w:p>
        </w:tc>
        <w:tc>
          <w:tcPr>
            <w:tcW w:w="1200" w:type="pct"/>
            <w:vAlign w:val="center"/>
          </w:tcPr>
          <w:p w14:paraId="02D97874">
            <w:pPr>
              <w:pStyle w:val="46"/>
              <w:jc w:val="center"/>
              <w:rPr>
                <w:i w:val="0"/>
                <w:iCs w:val="0"/>
                <w:color w:val="auto"/>
                <w:highlight w:val="none"/>
              </w:rPr>
            </w:pPr>
          </w:p>
        </w:tc>
      </w:tr>
      <w:tr w14:paraId="4EC68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trPr>
        <w:tc>
          <w:tcPr>
            <w:tcW w:w="407" w:type="pct"/>
            <w:vAlign w:val="center"/>
          </w:tcPr>
          <w:p w14:paraId="195B6778">
            <w:pPr>
              <w:pStyle w:val="46"/>
              <w:jc w:val="center"/>
              <w:rPr>
                <w:i w:val="0"/>
                <w:iCs w:val="0"/>
                <w:color w:val="auto"/>
                <w:highlight w:val="none"/>
              </w:rPr>
            </w:pPr>
            <w:r>
              <w:rPr>
                <w:rFonts w:hint="eastAsia"/>
                <w:i w:val="0"/>
                <w:iCs w:val="0"/>
                <w:color w:val="auto"/>
                <w:highlight w:val="none"/>
              </w:rPr>
              <w:t>2</w:t>
            </w:r>
          </w:p>
        </w:tc>
        <w:tc>
          <w:tcPr>
            <w:tcW w:w="1277" w:type="pct"/>
            <w:vAlign w:val="center"/>
          </w:tcPr>
          <w:p w14:paraId="30E52A7F">
            <w:pPr>
              <w:pStyle w:val="46"/>
              <w:jc w:val="center"/>
              <w:rPr>
                <w:i w:val="0"/>
                <w:iCs w:val="0"/>
                <w:color w:val="auto"/>
                <w:highlight w:val="none"/>
              </w:rPr>
            </w:pPr>
            <w:r>
              <w:rPr>
                <w:rFonts w:hint="eastAsia"/>
                <w:i w:val="0"/>
                <w:iCs w:val="0"/>
                <w:color w:val="auto"/>
                <w:highlight w:val="none"/>
              </w:rPr>
              <w:t>*</w:t>
            </w:r>
            <w:r>
              <w:rPr>
                <w:i w:val="0"/>
                <w:iCs w:val="0"/>
                <w:color w:val="auto"/>
                <w:highlight w:val="none"/>
              </w:rPr>
              <w:t>*******</w:t>
            </w:r>
          </w:p>
        </w:tc>
        <w:tc>
          <w:tcPr>
            <w:tcW w:w="913" w:type="pct"/>
            <w:vAlign w:val="center"/>
          </w:tcPr>
          <w:p w14:paraId="29A6C1E1">
            <w:pPr>
              <w:pStyle w:val="46"/>
              <w:jc w:val="center"/>
              <w:rPr>
                <w:i w:val="0"/>
                <w:iCs w:val="0"/>
                <w:color w:val="auto"/>
                <w:highlight w:val="none"/>
              </w:rPr>
            </w:pPr>
            <w:r>
              <w:rPr>
                <w:rFonts w:hint="eastAsia"/>
                <w:i w:val="0"/>
                <w:iCs w:val="0"/>
                <w:color w:val="auto"/>
                <w:highlight w:val="none"/>
              </w:rPr>
              <w:t>*</w:t>
            </w:r>
            <w:r>
              <w:rPr>
                <w:i w:val="0"/>
                <w:iCs w:val="0"/>
                <w:color w:val="auto"/>
                <w:highlight w:val="none"/>
              </w:rPr>
              <w:t>*****</w:t>
            </w:r>
          </w:p>
        </w:tc>
        <w:tc>
          <w:tcPr>
            <w:tcW w:w="1200" w:type="pct"/>
            <w:vAlign w:val="center"/>
          </w:tcPr>
          <w:p w14:paraId="5D92E460">
            <w:pPr>
              <w:pStyle w:val="46"/>
              <w:jc w:val="center"/>
              <w:rPr>
                <w:i w:val="0"/>
                <w:iCs w:val="0"/>
                <w:color w:val="auto"/>
                <w:highlight w:val="none"/>
              </w:rPr>
            </w:pPr>
            <w:r>
              <w:rPr>
                <w:rFonts w:hint="eastAsia"/>
                <w:i w:val="0"/>
                <w:iCs w:val="0"/>
                <w:color w:val="auto"/>
                <w:highlight w:val="none"/>
              </w:rPr>
              <w:t>响应/正偏离/负偏离</w:t>
            </w:r>
          </w:p>
        </w:tc>
        <w:tc>
          <w:tcPr>
            <w:tcW w:w="1200" w:type="pct"/>
            <w:vAlign w:val="center"/>
          </w:tcPr>
          <w:p w14:paraId="63E16449">
            <w:pPr>
              <w:pStyle w:val="46"/>
              <w:jc w:val="center"/>
              <w:rPr>
                <w:i w:val="0"/>
                <w:iCs w:val="0"/>
                <w:color w:val="auto"/>
                <w:highlight w:val="none"/>
              </w:rPr>
            </w:pPr>
          </w:p>
        </w:tc>
      </w:tr>
      <w:tr w14:paraId="0C008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407" w:type="pct"/>
            <w:vAlign w:val="center"/>
          </w:tcPr>
          <w:p w14:paraId="4C45FE18">
            <w:pPr>
              <w:pStyle w:val="46"/>
              <w:jc w:val="center"/>
              <w:rPr>
                <w:i w:val="0"/>
                <w:iCs w:val="0"/>
                <w:color w:val="auto"/>
                <w:highlight w:val="none"/>
              </w:rPr>
            </w:pPr>
          </w:p>
        </w:tc>
        <w:tc>
          <w:tcPr>
            <w:tcW w:w="1277" w:type="pct"/>
            <w:vAlign w:val="center"/>
          </w:tcPr>
          <w:p w14:paraId="6D1DD644">
            <w:pPr>
              <w:pStyle w:val="46"/>
              <w:jc w:val="center"/>
              <w:rPr>
                <w:i w:val="0"/>
                <w:iCs w:val="0"/>
                <w:color w:val="auto"/>
                <w:highlight w:val="none"/>
              </w:rPr>
            </w:pPr>
          </w:p>
        </w:tc>
        <w:tc>
          <w:tcPr>
            <w:tcW w:w="913" w:type="pct"/>
            <w:vAlign w:val="center"/>
          </w:tcPr>
          <w:p w14:paraId="2982168B">
            <w:pPr>
              <w:pStyle w:val="46"/>
              <w:jc w:val="center"/>
              <w:rPr>
                <w:i w:val="0"/>
                <w:iCs w:val="0"/>
                <w:color w:val="auto"/>
                <w:highlight w:val="none"/>
              </w:rPr>
            </w:pPr>
          </w:p>
        </w:tc>
        <w:tc>
          <w:tcPr>
            <w:tcW w:w="1200" w:type="pct"/>
            <w:vAlign w:val="center"/>
          </w:tcPr>
          <w:p w14:paraId="78EC7D09">
            <w:pPr>
              <w:pStyle w:val="46"/>
              <w:jc w:val="center"/>
              <w:rPr>
                <w:i w:val="0"/>
                <w:iCs w:val="0"/>
                <w:color w:val="auto"/>
                <w:highlight w:val="none"/>
              </w:rPr>
            </w:pPr>
          </w:p>
        </w:tc>
        <w:tc>
          <w:tcPr>
            <w:tcW w:w="1200" w:type="pct"/>
            <w:vAlign w:val="center"/>
          </w:tcPr>
          <w:p w14:paraId="46369488">
            <w:pPr>
              <w:pStyle w:val="46"/>
              <w:jc w:val="center"/>
              <w:rPr>
                <w:i w:val="0"/>
                <w:iCs w:val="0"/>
                <w:color w:val="auto"/>
                <w:highlight w:val="none"/>
              </w:rPr>
            </w:pPr>
          </w:p>
        </w:tc>
      </w:tr>
      <w:tr w14:paraId="28C8F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407" w:type="pct"/>
            <w:vAlign w:val="center"/>
          </w:tcPr>
          <w:p w14:paraId="43874C19">
            <w:pPr>
              <w:pStyle w:val="46"/>
              <w:jc w:val="center"/>
              <w:rPr>
                <w:i w:val="0"/>
                <w:iCs w:val="0"/>
                <w:color w:val="auto"/>
                <w:highlight w:val="none"/>
              </w:rPr>
            </w:pPr>
          </w:p>
        </w:tc>
        <w:tc>
          <w:tcPr>
            <w:tcW w:w="1277" w:type="pct"/>
            <w:vAlign w:val="center"/>
          </w:tcPr>
          <w:p w14:paraId="529041E2">
            <w:pPr>
              <w:pStyle w:val="46"/>
              <w:jc w:val="center"/>
              <w:rPr>
                <w:i w:val="0"/>
                <w:iCs w:val="0"/>
                <w:color w:val="auto"/>
                <w:highlight w:val="none"/>
              </w:rPr>
            </w:pPr>
          </w:p>
        </w:tc>
        <w:tc>
          <w:tcPr>
            <w:tcW w:w="913" w:type="pct"/>
            <w:vAlign w:val="center"/>
          </w:tcPr>
          <w:p w14:paraId="301E476D">
            <w:pPr>
              <w:pStyle w:val="46"/>
              <w:jc w:val="center"/>
              <w:rPr>
                <w:i w:val="0"/>
                <w:iCs w:val="0"/>
                <w:color w:val="auto"/>
                <w:highlight w:val="none"/>
              </w:rPr>
            </w:pPr>
          </w:p>
        </w:tc>
        <w:tc>
          <w:tcPr>
            <w:tcW w:w="1200" w:type="pct"/>
            <w:vAlign w:val="center"/>
          </w:tcPr>
          <w:p w14:paraId="06F8AED7">
            <w:pPr>
              <w:pStyle w:val="46"/>
              <w:jc w:val="center"/>
              <w:rPr>
                <w:i w:val="0"/>
                <w:iCs w:val="0"/>
                <w:color w:val="auto"/>
                <w:highlight w:val="none"/>
              </w:rPr>
            </w:pPr>
          </w:p>
        </w:tc>
        <w:tc>
          <w:tcPr>
            <w:tcW w:w="1200" w:type="pct"/>
            <w:vAlign w:val="center"/>
          </w:tcPr>
          <w:p w14:paraId="0CE9DF45">
            <w:pPr>
              <w:pStyle w:val="46"/>
              <w:jc w:val="center"/>
              <w:rPr>
                <w:i w:val="0"/>
                <w:iCs w:val="0"/>
                <w:color w:val="auto"/>
                <w:highlight w:val="none"/>
              </w:rPr>
            </w:pPr>
          </w:p>
        </w:tc>
      </w:tr>
      <w:tr w14:paraId="72916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407" w:type="pct"/>
            <w:vAlign w:val="center"/>
          </w:tcPr>
          <w:p w14:paraId="41433E5C">
            <w:pPr>
              <w:pStyle w:val="46"/>
              <w:jc w:val="center"/>
              <w:rPr>
                <w:i w:val="0"/>
                <w:iCs w:val="0"/>
                <w:color w:val="auto"/>
                <w:highlight w:val="none"/>
              </w:rPr>
            </w:pPr>
          </w:p>
        </w:tc>
        <w:tc>
          <w:tcPr>
            <w:tcW w:w="1277" w:type="pct"/>
            <w:vAlign w:val="center"/>
          </w:tcPr>
          <w:p w14:paraId="77107295">
            <w:pPr>
              <w:pStyle w:val="46"/>
              <w:jc w:val="center"/>
              <w:rPr>
                <w:i w:val="0"/>
                <w:iCs w:val="0"/>
                <w:color w:val="auto"/>
                <w:highlight w:val="none"/>
              </w:rPr>
            </w:pPr>
          </w:p>
        </w:tc>
        <w:tc>
          <w:tcPr>
            <w:tcW w:w="913" w:type="pct"/>
            <w:vAlign w:val="center"/>
          </w:tcPr>
          <w:p w14:paraId="4D01D78E">
            <w:pPr>
              <w:pStyle w:val="46"/>
              <w:jc w:val="center"/>
              <w:rPr>
                <w:i w:val="0"/>
                <w:iCs w:val="0"/>
                <w:color w:val="auto"/>
                <w:highlight w:val="none"/>
              </w:rPr>
            </w:pPr>
          </w:p>
        </w:tc>
        <w:tc>
          <w:tcPr>
            <w:tcW w:w="1200" w:type="pct"/>
            <w:vAlign w:val="center"/>
          </w:tcPr>
          <w:p w14:paraId="6D546857">
            <w:pPr>
              <w:pStyle w:val="46"/>
              <w:jc w:val="center"/>
              <w:rPr>
                <w:i w:val="0"/>
                <w:iCs w:val="0"/>
                <w:color w:val="auto"/>
                <w:highlight w:val="none"/>
              </w:rPr>
            </w:pPr>
          </w:p>
        </w:tc>
        <w:tc>
          <w:tcPr>
            <w:tcW w:w="1200" w:type="pct"/>
            <w:vAlign w:val="center"/>
          </w:tcPr>
          <w:p w14:paraId="2E1B7D0B">
            <w:pPr>
              <w:pStyle w:val="46"/>
              <w:jc w:val="center"/>
              <w:rPr>
                <w:i w:val="0"/>
                <w:iCs w:val="0"/>
                <w:color w:val="auto"/>
                <w:highlight w:val="none"/>
              </w:rPr>
            </w:pPr>
          </w:p>
        </w:tc>
      </w:tr>
      <w:tr w14:paraId="39F80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407" w:type="pct"/>
            <w:vAlign w:val="center"/>
          </w:tcPr>
          <w:p w14:paraId="6AF16AFE">
            <w:pPr>
              <w:pStyle w:val="46"/>
              <w:jc w:val="center"/>
              <w:rPr>
                <w:i w:val="0"/>
                <w:iCs w:val="0"/>
                <w:color w:val="auto"/>
                <w:highlight w:val="none"/>
              </w:rPr>
            </w:pPr>
          </w:p>
        </w:tc>
        <w:tc>
          <w:tcPr>
            <w:tcW w:w="1277" w:type="pct"/>
            <w:vAlign w:val="center"/>
          </w:tcPr>
          <w:p w14:paraId="5C7E043B">
            <w:pPr>
              <w:pStyle w:val="46"/>
              <w:jc w:val="center"/>
              <w:rPr>
                <w:i w:val="0"/>
                <w:iCs w:val="0"/>
                <w:color w:val="auto"/>
                <w:highlight w:val="none"/>
              </w:rPr>
            </w:pPr>
          </w:p>
        </w:tc>
        <w:tc>
          <w:tcPr>
            <w:tcW w:w="913" w:type="pct"/>
            <w:vAlign w:val="center"/>
          </w:tcPr>
          <w:p w14:paraId="64166C7A">
            <w:pPr>
              <w:pStyle w:val="46"/>
              <w:jc w:val="center"/>
              <w:rPr>
                <w:i w:val="0"/>
                <w:iCs w:val="0"/>
                <w:color w:val="auto"/>
                <w:highlight w:val="none"/>
              </w:rPr>
            </w:pPr>
          </w:p>
        </w:tc>
        <w:tc>
          <w:tcPr>
            <w:tcW w:w="1200" w:type="pct"/>
            <w:vAlign w:val="center"/>
          </w:tcPr>
          <w:p w14:paraId="2817CCE5">
            <w:pPr>
              <w:pStyle w:val="46"/>
              <w:jc w:val="center"/>
              <w:rPr>
                <w:i w:val="0"/>
                <w:iCs w:val="0"/>
                <w:color w:val="auto"/>
                <w:highlight w:val="none"/>
              </w:rPr>
            </w:pPr>
          </w:p>
        </w:tc>
        <w:tc>
          <w:tcPr>
            <w:tcW w:w="1200" w:type="pct"/>
            <w:vAlign w:val="center"/>
          </w:tcPr>
          <w:p w14:paraId="184E3F96">
            <w:pPr>
              <w:pStyle w:val="46"/>
              <w:jc w:val="center"/>
              <w:rPr>
                <w:i w:val="0"/>
                <w:iCs w:val="0"/>
                <w:color w:val="auto"/>
                <w:highlight w:val="none"/>
              </w:rPr>
            </w:pPr>
          </w:p>
        </w:tc>
      </w:tr>
      <w:tr w14:paraId="60C95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407" w:type="pct"/>
            <w:vAlign w:val="center"/>
          </w:tcPr>
          <w:p w14:paraId="5F23FFC2">
            <w:pPr>
              <w:pStyle w:val="46"/>
              <w:jc w:val="center"/>
              <w:rPr>
                <w:i w:val="0"/>
                <w:iCs w:val="0"/>
                <w:color w:val="auto"/>
                <w:highlight w:val="none"/>
              </w:rPr>
            </w:pPr>
          </w:p>
        </w:tc>
        <w:tc>
          <w:tcPr>
            <w:tcW w:w="1277" w:type="pct"/>
            <w:vAlign w:val="center"/>
          </w:tcPr>
          <w:p w14:paraId="565EC642">
            <w:pPr>
              <w:pStyle w:val="46"/>
              <w:jc w:val="center"/>
              <w:rPr>
                <w:i w:val="0"/>
                <w:iCs w:val="0"/>
                <w:color w:val="auto"/>
                <w:highlight w:val="none"/>
              </w:rPr>
            </w:pPr>
          </w:p>
        </w:tc>
        <w:tc>
          <w:tcPr>
            <w:tcW w:w="913" w:type="pct"/>
            <w:vAlign w:val="center"/>
          </w:tcPr>
          <w:p w14:paraId="4813DEC4">
            <w:pPr>
              <w:pStyle w:val="46"/>
              <w:jc w:val="center"/>
              <w:rPr>
                <w:i w:val="0"/>
                <w:iCs w:val="0"/>
                <w:color w:val="auto"/>
                <w:highlight w:val="none"/>
              </w:rPr>
            </w:pPr>
          </w:p>
        </w:tc>
        <w:tc>
          <w:tcPr>
            <w:tcW w:w="1200" w:type="pct"/>
            <w:vAlign w:val="center"/>
          </w:tcPr>
          <w:p w14:paraId="6FC99520">
            <w:pPr>
              <w:pStyle w:val="46"/>
              <w:jc w:val="center"/>
              <w:rPr>
                <w:i w:val="0"/>
                <w:iCs w:val="0"/>
                <w:color w:val="auto"/>
                <w:highlight w:val="none"/>
              </w:rPr>
            </w:pPr>
          </w:p>
        </w:tc>
        <w:tc>
          <w:tcPr>
            <w:tcW w:w="1200" w:type="pct"/>
            <w:vAlign w:val="center"/>
          </w:tcPr>
          <w:p w14:paraId="6C388A43">
            <w:pPr>
              <w:pStyle w:val="46"/>
              <w:jc w:val="center"/>
              <w:rPr>
                <w:i w:val="0"/>
                <w:iCs w:val="0"/>
                <w:color w:val="auto"/>
                <w:highlight w:val="none"/>
              </w:rPr>
            </w:pPr>
          </w:p>
        </w:tc>
      </w:tr>
      <w:tr w14:paraId="668F3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407" w:type="pct"/>
            <w:vAlign w:val="center"/>
          </w:tcPr>
          <w:p w14:paraId="0AF398B2">
            <w:pPr>
              <w:pStyle w:val="46"/>
              <w:jc w:val="center"/>
              <w:rPr>
                <w:i w:val="0"/>
                <w:iCs w:val="0"/>
                <w:color w:val="auto"/>
                <w:highlight w:val="none"/>
              </w:rPr>
            </w:pPr>
          </w:p>
        </w:tc>
        <w:tc>
          <w:tcPr>
            <w:tcW w:w="1277" w:type="pct"/>
            <w:vAlign w:val="center"/>
          </w:tcPr>
          <w:p w14:paraId="7E5C6D21">
            <w:pPr>
              <w:pStyle w:val="46"/>
              <w:jc w:val="center"/>
              <w:rPr>
                <w:i w:val="0"/>
                <w:iCs w:val="0"/>
                <w:color w:val="auto"/>
                <w:highlight w:val="none"/>
              </w:rPr>
            </w:pPr>
          </w:p>
        </w:tc>
        <w:tc>
          <w:tcPr>
            <w:tcW w:w="913" w:type="pct"/>
            <w:vAlign w:val="center"/>
          </w:tcPr>
          <w:p w14:paraId="449C5534">
            <w:pPr>
              <w:pStyle w:val="46"/>
              <w:jc w:val="center"/>
              <w:rPr>
                <w:i w:val="0"/>
                <w:iCs w:val="0"/>
                <w:color w:val="auto"/>
                <w:highlight w:val="none"/>
              </w:rPr>
            </w:pPr>
          </w:p>
        </w:tc>
        <w:tc>
          <w:tcPr>
            <w:tcW w:w="1200" w:type="pct"/>
            <w:vAlign w:val="center"/>
          </w:tcPr>
          <w:p w14:paraId="43936EF1">
            <w:pPr>
              <w:pStyle w:val="46"/>
              <w:jc w:val="center"/>
              <w:rPr>
                <w:i w:val="0"/>
                <w:iCs w:val="0"/>
                <w:color w:val="auto"/>
                <w:highlight w:val="none"/>
              </w:rPr>
            </w:pPr>
          </w:p>
        </w:tc>
        <w:tc>
          <w:tcPr>
            <w:tcW w:w="1200" w:type="pct"/>
            <w:vAlign w:val="center"/>
          </w:tcPr>
          <w:p w14:paraId="015081ED">
            <w:pPr>
              <w:pStyle w:val="46"/>
              <w:jc w:val="center"/>
              <w:rPr>
                <w:i w:val="0"/>
                <w:iCs w:val="0"/>
                <w:color w:val="auto"/>
                <w:highlight w:val="none"/>
              </w:rPr>
            </w:pPr>
          </w:p>
        </w:tc>
      </w:tr>
      <w:tr w14:paraId="576C8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407" w:type="pct"/>
            <w:vAlign w:val="center"/>
          </w:tcPr>
          <w:p w14:paraId="3BE7E344">
            <w:pPr>
              <w:pStyle w:val="46"/>
              <w:jc w:val="center"/>
              <w:rPr>
                <w:i w:val="0"/>
                <w:iCs w:val="0"/>
                <w:color w:val="auto"/>
                <w:highlight w:val="none"/>
              </w:rPr>
            </w:pPr>
          </w:p>
        </w:tc>
        <w:tc>
          <w:tcPr>
            <w:tcW w:w="1277" w:type="pct"/>
            <w:vAlign w:val="center"/>
          </w:tcPr>
          <w:p w14:paraId="4E7FED0B">
            <w:pPr>
              <w:pStyle w:val="46"/>
              <w:jc w:val="center"/>
              <w:rPr>
                <w:i w:val="0"/>
                <w:iCs w:val="0"/>
                <w:color w:val="auto"/>
                <w:highlight w:val="none"/>
              </w:rPr>
            </w:pPr>
          </w:p>
        </w:tc>
        <w:tc>
          <w:tcPr>
            <w:tcW w:w="913" w:type="pct"/>
            <w:vAlign w:val="center"/>
          </w:tcPr>
          <w:p w14:paraId="07398BD3">
            <w:pPr>
              <w:pStyle w:val="46"/>
              <w:jc w:val="center"/>
              <w:rPr>
                <w:i w:val="0"/>
                <w:iCs w:val="0"/>
                <w:color w:val="auto"/>
                <w:highlight w:val="none"/>
              </w:rPr>
            </w:pPr>
          </w:p>
        </w:tc>
        <w:tc>
          <w:tcPr>
            <w:tcW w:w="1200" w:type="pct"/>
            <w:vAlign w:val="center"/>
          </w:tcPr>
          <w:p w14:paraId="085E5102">
            <w:pPr>
              <w:pStyle w:val="46"/>
              <w:jc w:val="center"/>
              <w:rPr>
                <w:i w:val="0"/>
                <w:iCs w:val="0"/>
                <w:color w:val="auto"/>
                <w:highlight w:val="none"/>
              </w:rPr>
            </w:pPr>
          </w:p>
        </w:tc>
        <w:tc>
          <w:tcPr>
            <w:tcW w:w="1200" w:type="pct"/>
            <w:vAlign w:val="center"/>
          </w:tcPr>
          <w:p w14:paraId="74B87043">
            <w:pPr>
              <w:pStyle w:val="46"/>
              <w:jc w:val="center"/>
              <w:rPr>
                <w:i w:val="0"/>
                <w:iCs w:val="0"/>
                <w:color w:val="auto"/>
                <w:highlight w:val="none"/>
              </w:rPr>
            </w:pPr>
          </w:p>
        </w:tc>
      </w:tr>
      <w:tr w14:paraId="4BD96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407" w:type="pct"/>
            <w:vAlign w:val="center"/>
          </w:tcPr>
          <w:p w14:paraId="5DBDBE11">
            <w:pPr>
              <w:pStyle w:val="46"/>
              <w:jc w:val="center"/>
              <w:rPr>
                <w:i w:val="0"/>
                <w:iCs w:val="0"/>
                <w:color w:val="auto"/>
                <w:highlight w:val="none"/>
              </w:rPr>
            </w:pPr>
          </w:p>
        </w:tc>
        <w:tc>
          <w:tcPr>
            <w:tcW w:w="1277" w:type="pct"/>
            <w:vAlign w:val="center"/>
          </w:tcPr>
          <w:p w14:paraId="1F11A7BE">
            <w:pPr>
              <w:pStyle w:val="46"/>
              <w:jc w:val="center"/>
              <w:rPr>
                <w:i w:val="0"/>
                <w:iCs w:val="0"/>
                <w:color w:val="auto"/>
                <w:highlight w:val="none"/>
              </w:rPr>
            </w:pPr>
          </w:p>
        </w:tc>
        <w:tc>
          <w:tcPr>
            <w:tcW w:w="913" w:type="pct"/>
            <w:vAlign w:val="center"/>
          </w:tcPr>
          <w:p w14:paraId="09342B6E">
            <w:pPr>
              <w:pStyle w:val="46"/>
              <w:jc w:val="center"/>
              <w:rPr>
                <w:i w:val="0"/>
                <w:iCs w:val="0"/>
                <w:color w:val="auto"/>
                <w:highlight w:val="none"/>
              </w:rPr>
            </w:pPr>
          </w:p>
        </w:tc>
        <w:tc>
          <w:tcPr>
            <w:tcW w:w="1200" w:type="pct"/>
            <w:vAlign w:val="center"/>
          </w:tcPr>
          <w:p w14:paraId="6742B646">
            <w:pPr>
              <w:pStyle w:val="46"/>
              <w:jc w:val="center"/>
              <w:rPr>
                <w:i w:val="0"/>
                <w:iCs w:val="0"/>
                <w:color w:val="auto"/>
                <w:highlight w:val="none"/>
              </w:rPr>
            </w:pPr>
          </w:p>
        </w:tc>
        <w:tc>
          <w:tcPr>
            <w:tcW w:w="1200" w:type="pct"/>
            <w:vAlign w:val="center"/>
          </w:tcPr>
          <w:p w14:paraId="4C72FCC2">
            <w:pPr>
              <w:pStyle w:val="46"/>
              <w:jc w:val="center"/>
              <w:rPr>
                <w:i w:val="0"/>
                <w:iCs w:val="0"/>
                <w:color w:val="auto"/>
                <w:highlight w:val="none"/>
              </w:rPr>
            </w:pPr>
          </w:p>
        </w:tc>
      </w:tr>
      <w:tr w14:paraId="26694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407" w:type="pct"/>
            <w:vAlign w:val="center"/>
          </w:tcPr>
          <w:p w14:paraId="0D811F11">
            <w:pPr>
              <w:pStyle w:val="46"/>
              <w:jc w:val="center"/>
              <w:rPr>
                <w:i w:val="0"/>
                <w:iCs w:val="0"/>
                <w:color w:val="auto"/>
                <w:highlight w:val="none"/>
              </w:rPr>
            </w:pPr>
            <w:r>
              <w:rPr>
                <w:rFonts w:hint="eastAsia"/>
                <w:i w:val="0"/>
                <w:iCs w:val="0"/>
                <w:color w:val="auto"/>
                <w:highlight w:val="none"/>
              </w:rPr>
              <w:t>……</w:t>
            </w:r>
          </w:p>
        </w:tc>
        <w:tc>
          <w:tcPr>
            <w:tcW w:w="1277" w:type="pct"/>
            <w:vAlign w:val="center"/>
          </w:tcPr>
          <w:p w14:paraId="7D0AF02A">
            <w:pPr>
              <w:pStyle w:val="46"/>
              <w:jc w:val="center"/>
              <w:rPr>
                <w:i w:val="0"/>
                <w:iCs w:val="0"/>
                <w:color w:val="auto"/>
                <w:highlight w:val="none"/>
              </w:rPr>
            </w:pPr>
            <w:r>
              <w:rPr>
                <w:rFonts w:hint="eastAsia"/>
                <w:i w:val="0"/>
                <w:iCs w:val="0"/>
                <w:color w:val="auto"/>
                <w:highlight w:val="none"/>
                <w:lang w:eastAsia="zh-CN"/>
              </w:rPr>
              <w:t>…</w:t>
            </w:r>
          </w:p>
        </w:tc>
        <w:tc>
          <w:tcPr>
            <w:tcW w:w="913" w:type="pct"/>
            <w:vAlign w:val="center"/>
          </w:tcPr>
          <w:p w14:paraId="6EC8C4F3">
            <w:pPr>
              <w:pStyle w:val="46"/>
              <w:jc w:val="center"/>
              <w:rPr>
                <w:i w:val="0"/>
                <w:iCs w:val="0"/>
                <w:color w:val="auto"/>
                <w:highlight w:val="none"/>
              </w:rPr>
            </w:pPr>
            <w:r>
              <w:rPr>
                <w:rFonts w:hint="eastAsia"/>
                <w:i w:val="0"/>
                <w:iCs w:val="0"/>
                <w:color w:val="auto"/>
                <w:highlight w:val="none"/>
              </w:rPr>
              <w:t>………………</w:t>
            </w:r>
          </w:p>
        </w:tc>
        <w:tc>
          <w:tcPr>
            <w:tcW w:w="1200" w:type="pct"/>
            <w:vAlign w:val="center"/>
          </w:tcPr>
          <w:p w14:paraId="59EB3DF9">
            <w:pPr>
              <w:pStyle w:val="46"/>
              <w:jc w:val="center"/>
              <w:rPr>
                <w:i w:val="0"/>
                <w:iCs w:val="0"/>
                <w:color w:val="auto"/>
                <w:highlight w:val="none"/>
              </w:rPr>
            </w:pPr>
            <w:r>
              <w:rPr>
                <w:rFonts w:hint="eastAsia"/>
                <w:i w:val="0"/>
                <w:iCs w:val="0"/>
                <w:color w:val="auto"/>
                <w:highlight w:val="none"/>
                <w:lang w:eastAsia="zh-CN"/>
              </w:rPr>
              <w:t>…</w:t>
            </w:r>
          </w:p>
        </w:tc>
        <w:tc>
          <w:tcPr>
            <w:tcW w:w="1200" w:type="pct"/>
            <w:vAlign w:val="center"/>
          </w:tcPr>
          <w:p w14:paraId="1BF96619">
            <w:pPr>
              <w:pStyle w:val="46"/>
              <w:jc w:val="center"/>
              <w:rPr>
                <w:i w:val="0"/>
                <w:iCs w:val="0"/>
                <w:color w:val="auto"/>
                <w:highlight w:val="none"/>
              </w:rPr>
            </w:pPr>
          </w:p>
        </w:tc>
      </w:tr>
    </w:tbl>
    <w:p w14:paraId="2D6CE221">
      <w:pPr>
        <w:ind w:firstLine="420" w:firstLineChars="200"/>
        <w:rPr>
          <w:rFonts w:hint="eastAsia" w:cs="仿宋_GB2312"/>
          <w:i w:val="0"/>
          <w:iCs w:val="0"/>
          <w:color w:val="auto"/>
          <w:sz w:val="21"/>
          <w:szCs w:val="21"/>
          <w:highlight w:val="none"/>
        </w:rPr>
      </w:pPr>
    </w:p>
    <w:p w14:paraId="2B5EBACC">
      <w:pPr>
        <w:ind w:firstLine="420" w:firstLineChars="200"/>
        <w:rPr>
          <w:rFonts w:cs="仿宋_GB2312"/>
          <w:i w:val="0"/>
          <w:iCs w:val="0"/>
          <w:color w:val="auto"/>
          <w:sz w:val="21"/>
          <w:szCs w:val="21"/>
          <w:highlight w:val="none"/>
        </w:rPr>
      </w:pPr>
      <w:r>
        <w:rPr>
          <w:rFonts w:hint="eastAsia" w:cs="仿宋_GB2312"/>
          <w:i w:val="0"/>
          <w:iCs w:val="0"/>
          <w:color w:val="auto"/>
          <w:sz w:val="21"/>
          <w:szCs w:val="21"/>
          <w:highlight w:val="none"/>
        </w:rPr>
        <w:t>说明：</w:t>
      </w:r>
      <w:r>
        <w:rPr>
          <w:rFonts w:hint="eastAsia" w:cs="仿宋_GB2312"/>
          <w:i w:val="0"/>
          <w:iCs w:val="0"/>
          <w:color w:val="auto"/>
          <w:sz w:val="21"/>
          <w:szCs w:val="21"/>
          <w:highlight w:val="none"/>
          <w:lang w:val="en-US" w:eastAsia="zh-CN"/>
        </w:rPr>
        <w:t>供应商</w:t>
      </w:r>
      <w:r>
        <w:rPr>
          <w:rFonts w:hint="eastAsia" w:cs="仿宋_GB2312"/>
          <w:i w:val="0"/>
          <w:iCs w:val="0"/>
          <w:color w:val="auto"/>
          <w:sz w:val="21"/>
          <w:szCs w:val="21"/>
          <w:highlight w:val="none"/>
        </w:rPr>
        <w:t>应按照</w:t>
      </w:r>
      <w:r>
        <w:rPr>
          <w:rFonts w:hint="eastAsia"/>
          <w:i w:val="0"/>
          <w:iCs w:val="0"/>
          <w:color w:val="auto"/>
          <w:sz w:val="21"/>
          <w:szCs w:val="21"/>
          <w:highlight w:val="none"/>
          <w:lang w:val="en-US" w:eastAsia="zh-CN"/>
        </w:rPr>
        <w:t>竞争性磋商</w:t>
      </w:r>
      <w:r>
        <w:rPr>
          <w:rFonts w:hint="eastAsia" w:cs="仿宋_GB2312"/>
          <w:i w:val="0"/>
          <w:iCs w:val="0"/>
          <w:color w:val="auto"/>
          <w:sz w:val="21"/>
          <w:szCs w:val="21"/>
          <w:highlight w:val="none"/>
        </w:rPr>
        <w:t xml:space="preserve">文件“第三章 </w:t>
      </w:r>
      <w:r>
        <w:rPr>
          <w:rFonts w:hint="eastAsia" w:cs="仿宋_GB2312"/>
          <w:i w:val="0"/>
          <w:iCs w:val="0"/>
          <w:color w:val="auto"/>
          <w:sz w:val="21"/>
          <w:szCs w:val="21"/>
          <w:highlight w:val="none"/>
          <w:lang w:val="en-US" w:eastAsia="zh-CN"/>
        </w:rPr>
        <w:t>项目</w:t>
      </w:r>
      <w:r>
        <w:rPr>
          <w:rFonts w:hint="eastAsia" w:cs="仿宋_GB2312"/>
          <w:i w:val="0"/>
          <w:iCs w:val="0"/>
          <w:color w:val="auto"/>
          <w:sz w:val="21"/>
          <w:szCs w:val="21"/>
          <w:highlight w:val="none"/>
        </w:rPr>
        <w:t>采购需求</w:t>
      </w:r>
      <w:r>
        <w:rPr>
          <w:rFonts w:hint="eastAsia" w:cs="仿宋_GB2312"/>
          <w:i w:val="0"/>
          <w:iCs w:val="0"/>
          <w:color w:val="auto"/>
          <w:sz w:val="21"/>
          <w:szCs w:val="21"/>
          <w:highlight w:val="none"/>
          <w:lang w:eastAsia="zh-CN"/>
        </w:rPr>
        <w:t>”</w:t>
      </w:r>
      <w:r>
        <w:rPr>
          <w:rFonts w:hint="eastAsia" w:cs="仿宋_GB2312"/>
          <w:i w:val="0"/>
          <w:iCs w:val="0"/>
          <w:color w:val="auto"/>
          <w:sz w:val="21"/>
          <w:szCs w:val="21"/>
          <w:highlight w:val="none"/>
          <w:lang w:val="en-US" w:eastAsia="zh-CN"/>
        </w:rPr>
        <w:t>中的</w:t>
      </w:r>
      <w:r>
        <w:rPr>
          <w:rFonts w:hint="eastAsia" w:cs="仿宋_GB2312"/>
          <w:i w:val="0"/>
          <w:iCs w:val="0"/>
          <w:color w:val="auto"/>
          <w:sz w:val="21"/>
          <w:szCs w:val="21"/>
          <w:highlight w:val="none"/>
        </w:rPr>
        <w:t>技术要求填写</w:t>
      </w:r>
      <w:r>
        <w:rPr>
          <w:rFonts w:hint="eastAsia" w:cs="仿宋_GB2312"/>
          <w:i w:val="0"/>
          <w:iCs w:val="0"/>
          <w:color w:val="auto"/>
          <w:sz w:val="21"/>
          <w:szCs w:val="21"/>
          <w:highlight w:val="none"/>
          <w:lang w:eastAsia="zh-CN"/>
        </w:rPr>
        <w:t>，</w:t>
      </w:r>
      <w:r>
        <w:rPr>
          <w:rFonts w:hint="eastAsia" w:cs="仿宋_GB2312"/>
          <w:i w:val="0"/>
          <w:iCs w:val="0"/>
          <w:color w:val="auto"/>
          <w:sz w:val="21"/>
          <w:szCs w:val="21"/>
          <w:highlight w:val="none"/>
          <w:lang w:val="en-US" w:eastAsia="zh-CN"/>
        </w:rPr>
        <w:t>“响应/正偏离/负偏离”应据实填写“响应”“正偏离”或“负偏离”</w:t>
      </w:r>
      <w:r>
        <w:rPr>
          <w:rFonts w:hint="eastAsia" w:cs="仿宋_GB2312"/>
          <w:i w:val="0"/>
          <w:iCs w:val="0"/>
          <w:color w:val="auto"/>
          <w:sz w:val="21"/>
          <w:szCs w:val="21"/>
          <w:highlight w:val="none"/>
        </w:rPr>
        <w:t>。</w:t>
      </w:r>
    </w:p>
    <w:p w14:paraId="12AEBD40">
      <w:pPr>
        <w:ind w:firstLine="480" w:firstLineChars="200"/>
        <w:rPr>
          <w:rFonts w:cs="仿宋_GB2312"/>
          <w:i w:val="0"/>
          <w:iCs w:val="0"/>
          <w:color w:val="auto"/>
          <w:szCs w:val="24"/>
          <w:highlight w:val="none"/>
        </w:rPr>
      </w:pPr>
    </w:p>
    <w:p w14:paraId="21BED63F">
      <w:pPr>
        <w:ind w:right="1008" w:firstLine="4284" w:firstLineChars="1700"/>
        <w:rPr>
          <w:rFonts w:cs="宋体"/>
          <w:i w:val="0"/>
          <w:iCs w:val="0"/>
          <w:color w:val="auto"/>
          <w:spacing w:val="6"/>
          <w:szCs w:val="24"/>
          <w:highlight w:val="none"/>
        </w:rPr>
      </w:pPr>
      <w:r>
        <w:rPr>
          <w:rFonts w:hint="eastAsia" w:cs="宋体"/>
          <w:i w:val="0"/>
          <w:iCs w:val="0"/>
          <w:color w:val="auto"/>
          <w:spacing w:val="6"/>
          <w:szCs w:val="24"/>
          <w:highlight w:val="none"/>
          <w:lang w:val="en-US" w:eastAsia="zh-CN"/>
        </w:rPr>
        <w:t>供应商</w:t>
      </w:r>
      <w:r>
        <w:rPr>
          <w:rFonts w:hint="eastAsia" w:cs="宋体"/>
          <w:i w:val="0"/>
          <w:iCs w:val="0"/>
          <w:color w:val="auto"/>
          <w:spacing w:val="6"/>
          <w:szCs w:val="24"/>
          <w:highlight w:val="none"/>
        </w:rPr>
        <w:t>名称</w:t>
      </w:r>
      <w:r>
        <w:rPr>
          <w:rFonts w:hint="eastAsia" w:cs="宋体"/>
          <w:i w:val="0"/>
          <w:iCs w:val="0"/>
          <w:color w:val="auto"/>
          <w:spacing w:val="6"/>
          <w:szCs w:val="24"/>
          <w:highlight w:val="none"/>
          <w:lang w:eastAsia="zh-CN"/>
        </w:rPr>
        <w:t>（</w:t>
      </w:r>
      <w:r>
        <w:rPr>
          <w:rFonts w:hint="eastAsia" w:cs="宋体"/>
          <w:i w:val="0"/>
          <w:iCs w:val="0"/>
          <w:color w:val="auto"/>
          <w:spacing w:val="6"/>
          <w:szCs w:val="24"/>
          <w:highlight w:val="none"/>
          <w:lang w:val="en-US" w:eastAsia="zh-CN"/>
        </w:rPr>
        <w:t>公章</w:t>
      </w:r>
      <w:r>
        <w:rPr>
          <w:rFonts w:hint="eastAsia" w:cs="宋体"/>
          <w:i w:val="0"/>
          <w:iCs w:val="0"/>
          <w:color w:val="auto"/>
          <w:spacing w:val="6"/>
          <w:szCs w:val="24"/>
          <w:highlight w:val="none"/>
          <w:lang w:eastAsia="zh-CN"/>
        </w:rPr>
        <w:t>）</w:t>
      </w:r>
      <w:r>
        <w:rPr>
          <w:rFonts w:hint="eastAsia" w:cs="宋体"/>
          <w:i w:val="0"/>
          <w:iCs w:val="0"/>
          <w:color w:val="auto"/>
          <w:spacing w:val="6"/>
          <w:szCs w:val="24"/>
          <w:highlight w:val="none"/>
        </w:rPr>
        <w:t>：</w:t>
      </w:r>
    </w:p>
    <w:p w14:paraId="74B913A4">
      <w:pPr>
        <w:ind w:right="1008" w:firstLine="4284" w:firstLineChars="1700"/>
        <w:rPr>
          <w:rFonts w:hint="default" w:eastAsia="宋体" w:cs="宋体"/>
          <w:i w:val="0"/>
          <w:iCs w:val="0"/>
          <w:color w:val="auto"/>
          <w:spacing w:val="6"/>
          <w:szCs w:val="24"/>
          <w:highlight w:val="none"/>
          <w:lang w:val="en-US" w:eastAsia="zh-CN"/>
        </w:rPr>
      </w:pPr>
      <w:r>
        <w:rPr>
          <w:rFonts w:hint="eastAsia" w:cs="宋体"/>
          <w:i w:val="0"/>
          <w:iCs w:val="0"/>
          <w:color w:val="auto"/>
          <w:spacing w:val="6"/>
          <w:szCs w:val="24"/>
          <w:highlight w:val="none"/>
        </w:rPr>
        <w:t>日期：</w:t>
      </w:r>
      <w:r>
        <w:rPr>
          <w:rFonts w:hint="eastAsia" w:cs="宋体"/>
          <w:i w:val="0"/>
          <w:iCs w:val="0"/>
          <w:color w:val="auto"/>
          <w:spacing w:val="6"/>
          <w:szCs w:val="24"/>
          <w:highlight w:val="none"/>
          <w:lang w:val="en-US" w:eastAsia="zh-CN"/>
        </w:rPr>
        <w:t xml:space="preserve">   年  月  日</w:t>
      </w:r>
    </w:p>
    <w:p w14:paraId="20290568">
      <w:pPr>
        <w:ind w:firstLine="420"/>
        <w:rPr>
          <w:rFonts w:hint="eastAsia" w:cs="仿宋_GB2312"/>
          <w:i w:val="0"/>
          <w:iCs w:val="0"/>
          <w:color w:val="auto"/>
          <w:szCs w:val="24"/>
          <w:highlight w:val="none"/>
          <w:lang w:val="en-US" w:eastAsia="zh-CN"/>
        </w:rPr>
      </w:pPr>
    </w:p>
    <w:p w14:paraId="1B34CEFE">
      <w:pPr>
        <w:ind w:firstLine="420"/>
        <w:rPr>
          <w:rFonts w:cs="仿宋_GB2312"/>
          <w:i w:val="0"/>
          <w:iCs w:val="0"/>
          <w:color w:val="auto"/>
          <w:sz w:val="21"/>
          <w:szCs w:val="21"/>
          <w:highlight w:val="none"/>
        </w:rPr>
      </w:pPr>
      <w:r>
        <w:rPr>
          <w:rFonts w:hint="eastAsia" w:cs="仿宋_GB2312"/>
          <w:i w:val="0"/>
          <w:iCs w:val="0"/>
          <w:color w:val="auto"/>
          <w:sz w:val="21"/>
          <w:szCs w:val="21"/>
          <w:highlight w:val="none"/>
          <w:lang w:val="en-US" w:eastAsia="zh-CN"/>
        </w:rPr>
        <w:t>备注：供应商在本表中须标注产品实际参数数值，照搬照抄采购文件参数、不注明实际数值者</w:t>
      </w:r>
      <w:r>
        <w:rPr>
          <w:rFonts w:hint="eastAsia" w:cs="仿宋_GB2312"/>
          <w:b/>
          <w:bCs/>
          <w:i w:val="0"/>
          <w:iCs w:val="0"/>
          <w:color w:val="auto"/>
          <w:sz w:val="21"/>
          <w:szCs w:val="21"/>
          <w:highlight w:val="none"/>
          <w:lang w:val="en-US" w:eastAsia="zh-CN"/>
        </w:rPr>
        <w:t>视为未响应</w:t>
      </w:r>
      <w:r>
        <w:rPr>
          <w:rFonts w:hint="eastAsia" w:cs="仿宋_GB2312"/>
          <w:i w:val="0"/>
          <w:iCs w:val="0"/>
          <w:color w:val="auto"/>
          <w:sz w:val="21"/>
          <w:szCs w:val="21"/>
          <w:highlight w:val="none"/>
          <w:lang w:val="en-US" w:eastAsia="zh-CN"/>
        </w:rPr>
        <w:t>。</w:t>
      </w:r>
      <w:r>
        <w:rPr>
          <w:rFonts w:cs="仿宋_GB2312"/>
          <w:i w:val="0"/>
          <w:iCs w:val="0"/>
          <w:color w:val="auto"/>
          <w:sz w:val="21"/>
          <w:szCs w:val="21"/>
          <w:highlight w:val="none"/>
        </w:rPr>
        <w:br w:type="page"/>
      </w:r>
    </w:p>
    <w:p w14:paraId="0063359F">
      <w:pPr>
        <w:pStyle w:val="15"/>
        <w:spacing w:line="360" w:lineRule="auto"/>
        <w:jc w:val="center"/>
        <w:rPr>
          <w:rFonts w:hint="eastAsia" w:ascii="方正小标宋_GBK" w:hAnsi="方正小标宋_GBK" w:eastAsia="方正小标宋_GBK" w:cs="方正小标宋_GBK"/>
          <w:bCs/>
          <w:i w:val="0"/>
          <w:iCs w:val="0"/>
          <w:color w:val="auto"/>
          <w:sz w:val="36"/>
          <w:szCs w:val="36"/>
          <w:highlight w:val="none"/>
          <w:lang w:val="en-US" w:eastAsia="zh-CN"/>
        </w:rPr>
      </w:pPr>
    </w:p>
    <w:p w14:paraId="06C98EB9">
      <w:pPr>
        <w:pStyle w:val="3"/>
        <w:keepNext/>
        <w:keepLines/>
        <w:pageBreakBefore w:val="0"/>
        <w:widowControl w:val="0"/>
        <w:numPr>
          <w:ilvl w:val="0"/>
          <w:numId w:val="0"/>
        </w:numPr>
        <w:kinsoku/>
        <w:wordWrap/>
        <w:overflowPunct/>
        <w:topLinePunct w:val="0"/>
        <w:autoSpaceDE/>
        <w:autoSpaceDN/>
        <w:bidi w:val="0"/>
        <w:adjustRightInd/>
        <w:snapToGrid/>
        <w:spacing w:before="100" w:after="100" w:line="360" w:lineRule="auto"/>
        <w:ind w:left="420" w:leftChars="0" w:hanging="420" w:firstLineChars="0"/>
        <w:jc w:val="center"/>
        <w:textAlignment w:val="auto"/>
        <w:rPr>
          <w:rFonts w:hint="eastAsia" w:eastAsia="宋体" w:asciiTheme="majorHAnsi" w:hAnsiTheme="majorHAnsi" w:cstheme="majorBidi"/>
          <w:b/>
          <w:bCs/>
          <w:i w:val="0"/>
          <w:iCs w:val="0"/>
          <w:color w:val="auto"/>
          <w:kern w:val="2"/>
          <w:sz w:val="32"/>
          <w:szCs w:val="32"/>
          <w:highlight w:val="none"/>
          <w:lang w:val="en-US" w:eastAsia="zh-CN" w:bidi="ar-SA"/>
        </w:rPr>
      </w:pPr>
      <w:bookmarkStart w:id="510" w:name="_Toc23615"/>
      <w:r>
        <w:rPr>
          <w:rFonts w:hint="eastAsia" w:cstheme="majorBidi"/>
          <w:b/>
          <w:bCs/>
          <w:i w:val="0"/>
          <w:iCs w:val="0"/>
          <w:color w:val="auto"/>
          <w:kern w:val="2"/>
          <w:sz w:val="32"/>
          <w:szCs w:val="32"/>
          <w:highlight w:val="none"/>
          <w:lang w:val="en-US" w:eastAsia="zh-CN" w:bidi="ar-SA"/>
        </w:rPr>
        <w:t>十</w:t>
      </w:r>
      <w:r>
        <w:rPr>
          <w:rFonts w:hint="eastAsia" w:eastAsia="宋体" w:asciiTheme="majorHAnsi" w:hAnsiTheme="majorHAnsi" w:cstheme="majorBidi"/>
          <w:b/>
          <w:bCs/>
          <w:i w:val="0"/>
          <w:iCs w:val="0"/>
          <w:color w:val="auto"/>
          <w:kern w:val="2"/>
          <w:sz w:val="32"/>
          <w:szCs w:val="32"/>
          <w:highlight w:val="none"/>
          <w:lang w:val="en-US" w:eastAsia="zh-CN" w:bidi="ar-SA"/>
        </w:rPr>
        <w:t>、技术方案</w:t>
      </w:r>
      <w:bookmarkEnd w:id="510"/>
    </w:p>
    <w:p w14:paraId="3878D3F5">
      <w:pPr>
        <w:pStyle w:val="35"/>
        <w:rPr>
          <w:i w:val="0"/>
          <w:iCs w:val="0"/>
          <w:color w:val="auto"/>
          <w:highlight w:val="none"/>
        </w:rPr>
      </w:pPr>
      <w:r>
        <w:rPr>
          <w:rFonts w:hint="eastAsia"/>
          <w:i w:val="0"/>
          <w:iCs w:val="0"/>
          <w:color w:val="auto"/>
          <w:highlight w:val="none"/>
          <w:lang w:val="en-US" w:eastAsia="zh-CN"/>
        </w:rPr>
        <w:t>供应商</w:t>
      </w:r>
      <w:r>
        <w:rPr>
          <w:rFonts w:hint="eastAsia"/>
          <w:i w:val="0"/>
          <w:iCs w:val="0"/>
          <w:color w:val="auto"/>
          <w:highlight w:val="none"/>
        </w:rPr>
        <w:t>应按照</w:t>
      </w:r>
      <w:r>
        <w:rPr>
          <w:rFonts w:hint="eastAsia"/>
          <w:i w:val="0"/>
          <w:iCs w:val="0"/>
          <w:color w:val="auto"/>
          <w:highlight w:val="none"/>
          <w:lang w:val="en-US" w:eastAsia="zh-CN"/>
        </w:rPr>
        <w:t>竞争性磋商</w:t>
      </w:r>
      <w:r>
        <w:rPr>
          <w:rFonts w:hint="eastAsia"/>
          <w:i w:val="0"/>
          <w:iCs w:val="0"/>
          <w:color w:val="auto"/>
          <w:highlight w:val="none"/>
        </w:rPr>
        <w:t>文件的要求</w:t>
      </w:r>
      <w:r>
        <w:rPr>
          <w:rFonts w:hint="eastAsia"/>
          <w:i w:val="0"/>
          <w:iCs w:val="0"/>
          <w:color w:val="auto"/>
          <w:highlight w:val="none"/>
          <w:lang w:val="en-US" w:eastAsia="zh-CN"/>
        </w:rPr>
        <w:t>及评分标准</w:t>
      </w:r>
      <w:r>
        <w:rPr>
          <w:rFonts w:hint="eastAsia"/>
          <w:i w:val="0"/>
          <w:iCs w:val="0"/>
          <w:color w:val="auto"/>
          <w:highlight w:val="none"/>
        </w:rPr>
        <w:t>，提供详细的服务方案</w:t>
      </w:r>
      <w:r>
        <w:rPr>
          <w:rFonts w:hint="eastAsia"/>
          <w:i w:val="0"/>
          <w:iCs w:val="0"/>
          <w:color w:val="auto"/>
          <w:highlight w:val="none"/>
          <w:lang w:val="en-US" w:eastAsia="zh-CN"/>
        </w:rPr>
        <w:t>等.</w:t>
      </w:r>
      <w:r>
        <w:rPr>
          <w:rFonts w:hint="eastAsia"/>
          <w:i w:val="0"/>
          <w:iCs w:val="0"/>
          <w:color w:val="auto"/>
          <w:highlight w:val="none"/>
        </w:rPr>
        <w:t>包括文字描述或图表显示。格式自拟。</w:t>
      </w:r>
    </w:p>
    <w:p w14:paraId="7EE77353">
      <w:pPr>
        <w:pStyle w:val="35"/>
        <w:rPr>
          <w:i w:val="0"/>
          <w:iCs w:val="0"/>
          <w:color w:val="auto"/>
          <w:highlight w:val="none"/>
        </w:rPr>
      </w:pPr>
      <w:r>
        <w:rPr>
          <w:i w:val="0"/>
          <w:iCs w:val="0"/>
          <w:color w:val="auto"/>
          <w:highlight w:val="none"/>
        </w:rPr>
        <w:br w:type="page"/>
      </w:r>
    </w:p>
    <w:p w14:paraId="7AD86D6F">
      <w:pPr>
        <w:pStyle w:val="15"/>
        <w:spacing w:line="360" w:lineRule="auto"/>
        <w:jc w:val="center"/>
        <w:rPr>
          <w:rFonts w:hint="eastAsia" w:cstheme="minorBidi"/>
          <w:b/>
          <w:bCs/>
          <w:i w:val="0"/>
          <w:iCs w:val="0"/>
          <w:color w:val="auto"/>
          <w:kern w:val="2"/>
          <w:sz w:val="44"/>
          <w:szCs w:val="44"/>
          <w:highlight w:val="none"/>
          <w:lang w:val="en-US" w:eastAsia="zh-CN" w:bidi="ar-SA"/>
        </w:rPr>
      </w:pPr>
    </w:p>
    <w:p w14:paraId="68D392B1">
      <w:pPr>
        <w:pStyle w:val="3"/>
        <w:keepNext/>
        <w:keepLines/>
        <w:pageBreakBefore w:val="0"/>
        <w:widowControl w:val="0"/>
        <w:numPr>
          <w:ilvl w:val="0"/>
          <w:numId w:val="0"/>
        </w:numPr>
        <w:kinsoku/>
        <w:wordWrap/>
        <w:overflowPunct/>
        <w:topLinePunct w:val="0"/>
        <w:autoSpaceDE/>
        <w:autoSpaceDN/>
        <w:bidi w:val="0"/>
        <w:adjustRightInd/>
        <w:snapToGrid/>
        <w:spacing w:before="100" w:after="100" w:line="360" w:lineRule="auto"/>
        <w:ind w:left="420" w:leftChars="0" w:hanging="420" w:firstLineChars="0"/>
        <w:jc w:val="center"/>
        <w:textAlignment w:val="auto"/>
        <w:rPr>
          <w:rFonts w:hint="eastAsia" w:eastAsia="宋体" w:asciiTheme="majorHAnsi" w:hAnsiTheme="majorHAnsi" w:cstheme="majorBidi"/>
          <w:b/>
          <w:bCs/>
          <w:i w:val="0"/>
          <w:iCs w:val="0"/>
          <w:color w:val="auto"/>
          <w:kern w:val="2"/>
          <w:sz w:val="32"/>
          <w:szCs w:val="32"/>
          <w:highlight w:val="none"/>
          <w:lang w:val="en-US" w:eastAsia="zh-CN" w:bidi="ar-SA"/>
        </w:rPr>
      </w:pPr>
      <w:bookmarkStart w:id="511" w:name="_Toc13082"/>
      <w:r>
        <w:rPr>
          <w:rFonts w:hint="eastAsia" w:eastAsia="宋体" w:asciiTheme="majorHAnsi" w:hAnsiTheme="majorHAnsi" w:cstheme="majorBidi"/>
          <w:b/>
          <w:bCs/>
          <w:i w:val="0"/>
          <w:iCs w:val="0"/>
          <w:color w:val="auto"/>
          <w:kern w:val="2"/>
          <w:sz w:val="32"/>
          <w:szCs w:val="32"/>
          <w:highlight w:val="none"/>
          <w:lang w:val="en-US" w:eastAsia="zh-CN" w:bidi="ar-SA"/>
        </w:rPr>
        <w:t>十</w:t>
      </w:r>
      <w:r>
        <w:rPr>
          <w:rFonts w:hint="eastAsia" w:cstheme="majorBidi"/>
          <w:b/>
          <w:bCs/>
          <w:i w:val="0"/>
          <w:iCs w:val="0"/>
          <w:color w:val="auto"/>
          <w:kern w:val="2"/>
          <w:sz w:val="32"/>
          <w:szCs w:val="32"/>
          <w:highlight w:val="none"/>
          <w:lang w:val="en-US" w:eastAsia="zh-CN" w:bidi="ar-SA"/>
        </w:rPr>
        <w:t>一</w:t>
      </w:r>
      <w:r>
        <w:rPr>
          <w:rFonts w:hint="eastAsia" w:eastAsia="宋体" w:asciiTheme="majorHAnsi" w:hAnsiTheme="majorHAnsi" w:cstheme="majorBidi"/>
          <w:b/>
          <w:bCs/>
          <w:i w:val="0"/>
          <w:iCs w:val="0"/>
          <w:color w:val="auto"/>
          <w:kern w:val="2"/>
          <w:sz w:val="32"/>
          <w:szCs w:val="32"/>
          <w:highlight w:val="none"/>
          <w:lang w:val="en-US" w:eastAsia="zh-CN" w:bidi="ar-SA"/>
        </w:rPr>
        <w:t>、其他文件</w:t>
      </w:r>
      <w:bookmarkEnd w:id="511"/>
    </w:p>
    <w:p w14:paraId="6EF40482">
      <w:pPr>
        <w:pStyle w:val="35"/>
        <w:ind w:left="0" w:leftChars="0" w:firstLine="0" w:firstLineChars="0"/>
        <w:rPr>
          <w:rFonts w:hint="eastAsia"/>
          <w:b/>
          <w:bCs/>
          <w:i w:val="0"/>
          <w:iCs w:val="0"/>
          <w:color w:val="auto"/>
          <w:sz w:val="24"/>
          <w:szCs w:val="24"/>
          <w:highlight w:val="none"/>
          <w:shd w:val="clear" w:color="auto" w:fill="CCE8CF" w:themeFill="background1"/>
          <w:lang w:val="zh-CN" w:eastAsia="zh-CN"/>
        </w:rPr>
      </w:pPr>
      <w:r>
        <w:rPr>
          <w:rFonts w:hint="eastAsia"/>
          <w:b/>
          <w:bCs/>
          <w:i w:val="0"/>
          <w:iCs w:val="0"/>
          <w:color w:val="auto"/>
          <w:sz w:val="24"/>
          <w:szCs w:val="24"/>
          <w:highlight w:val="none"/>
          <w:shd w:val="clear" w:color="auto" w:fill="CCE8CF" w:themeFill="background1"/>
          <w:lang w:val="en-US" w:eastAsia="zh-CN"/>
        </w:rPr>
        <w:t>（一）竞争性磋商</w:t>
      </w:r>
      <w:r>
        <w:rPr>
          <w:rFonts w:hint="eastAsia"/>
          <w:b/>
          <w:bCs/>
          <w:i w:val="0"/>
          <w:iCs w:val="0"/>
          <w:color w:val="auto"/>
          <w:sz w:val="24"/>
          <w:szCs w:val="24"/>
          <w:highlight w:val="none"/>
          <w:shd w:val="clear" w:color="auto" w:fill="CCE8CF" w:themeFill="background1"/>
          <w:lang w:val="zh-CN" w:eastAsia="zh-CN"/>
        </w:rPr>
        <w:t>文件要求提供的其他商务、技术资料和证明材料；</w:t>
      </w:r>
    </w:p>
    <w:p w14:paraId="5BCBA614">
      <w:pPr>
        <w:pStyle w:val="35"/>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1.1供应商信息采集表</w:t>
      </w:r>
    </w:p>
    <w:tbl>
      <w:tblPr>
        <w:tblStyle w:val="29"/>
        <w:tblW w:w="0" w:type="auto"/>
        <w:tblInd w:w="1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08"/>
        <w:gridCol w:w="2841"/>
        <w:gridCol w:w="2743"/>
      </w:tblGrid>
      <w:tr w14:paraId="137F7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trPr>
        <w:tc>
          <w:tcPr>
            <w:tcW w:w="2708" w:type="dxa"/>
            <w:vAlign w:val="center"/>
          </w:tcPr>
          <w:p w14:paraId="3196CBA4">
            <w:pPr>
              <w:keepNext w:val="0"/>
              <w:keepLines w:val="0"/>
              <w:widowControl/>
              <w:suppressLineNumbers w:val="0"/>
              <w:jc w:val="center"/>
              <w:rPr>
                <w:rFonts w:hint="eastAsia" w:ascii="宋体" w:hAnsi="宋体" w:eastAsia="宋体" w:cs="宋体"/>
                <w:i w:val="0"/>
                <w:iCs w:val="0"/>
                <w:color w:val="auto"/>
                <w:sz w:val="24"/>
                <w:szCs w:val="24"/>
                <w:highlight w:val="none"/>
                <w:vertAlign w:val="baseline"/>
                <w:lang w:val="en-US" w:eastAsia="zh-CN"/>
              </w:rPr>
            </w:pPr>
            <w:r>
              <w:rPr>
                <w:rFonts w:hint="eastAsia" w:ascii="宋体" w:hAnsi="宋体" w:eastAsia="宋体" w:cs="宋体"/>
                <w:i w:val="0"/>
                <w:iCs w:val="0"/>
                <w:color w:val="auto"/>
                <w:kern w:val="0"/>
                <w:sz w:val="24"/>
                <w:szCs w:val="24"/>
                <w:highlight w:val="none"/>
                <w:lang w:val="en-US" w:eastAsia="zh-CN" w:bidi="ar"/>
              </w:rPr>
              <w:t>供应商名称</w:t>
            </w:r>
          </w:p>
        </w:tc>
        <w:tc>
          <w:tcPr>
            <w:tcW w:w="2841" w:type="dxa"/>
            <w:vAlign w:val="center"/>
          </w:tcPr>
          <w:p w14:paraId="0A245F67">
            <w:pPr>
              <w:keepNext w:val="0"/>
              <w:keepLines w:val="0"/>
              <w:widowControl/>
              <w:suppressLineNumbers w:val="0"/>
              <w:jc w:val="center"/>
              <w:rPr>
                <w:rFonts w:hint="eastAsia" w:ascii="宋体" w:hAnsi="宋体" w:eastAsia="宋体" w:cs="宋体"/>
                <w:i w:val="0"/>
                <w:iCs w:val="0"/>
                <w:color w:val="auto"/>
                <w:sz w:val="24"/>
                <w:szCs w:val="24"/>
                <w:highlight w:val="none"/>
                <w:vertAlign w:val="baseline"/>
                <w:lang w:val="en-US" w:eastAsia="zh-CN"/>
              </w:rPr>
            </w:pPr>
            <w:r>
              <w:rPr>
                <w:rFonts w:hint="eastAsia" w:ascii="宋体" w:hAnsi="宋体" w:eastAsia="宋体" w:cs="宋体"/>
                <w:i w:val="0"/>
                <w:iCs w:val="0"/>
                <w:color w:val="auto"/>
                <w:kern w:val="0"/>
                <w:sz w:val="24"/>
                <w:szCs w:val="24"/>
                <w:highlight w:val="none"/>
                <w:lang w:val="en-US" w:eastAsia="zh-CN" w:bidi="ar"/>
              </w:rPr>
              <w:t>供应商实际控制人性别</w:t>
            </w:r>
          </w:p>
        </w:tc>
        <w:tc>
          <w:tcPr>
            <w:tcW w:w="2743" w:type="dxa"/>
            <w:vAlign w:val="center"/>
          </w:tcPr>
          <w:p w14:paraId="2F9738CA">
            <w:pPr>
              <w:keepNext w:val="0"/>
              <w:keepLines w:val="0"/>
              <w:widowControl/>
              <w:suppressLineNumbers w:val="0"/>
              <w:jc w:val="center"/>
              <w:rPr>
                <w:rFonts w:hint="eastAsia" w:ascii="宋体" w:hAnsi="宋体" w:eastAsia="宋体" w:cs="宋体"/>
                <w:i w:val="0"/>
                <w:iCs w:val="0"/>
                <w:color w:val="auto"/>
                <w:sz w:val="24"/>
                <w:szCs w:val="24"/>
                <w:highlight w:val="none"/>
                <w:vertAlign w:val="baseline"/>
                <w:lang w:val="en-US" w:eastAsia="zh-CN"/>
              </w:rPr>
            </w:pPr>
            <w:r>
              <w:rPr>
                <w:rFonts w:hint="eastAsia" w:ascii="宋体" w:hAnsi="宋体" w:eastAsia="宋体" w:cs="宋体"/>
                <w:i w:val="0"/>
                <w:iCs w:val="0"/>
                <w:color w:val="auto"/>
                <w:kern w:val="0"/>
                <w:sz w:val="24"/>
                <w:szCs w:val="24"/>
                <w:highlight w:val="none"/>
                <w:lang w:val="en-US" w:eastAsia="zh-CN" w:bidi="ar"/>
              </w:rPr>
              <w:t>外商投资类型</w:t>
            </w:r>
          </w:p>
        </w:tc>
      </w:tr>
      <w:tr w14:paraId="5856C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08" w:type="dxa"/>
          </w:tcPr>
          <w:p w14:paraId="627D4B37">
            <w:pPr>
              <w:pStyle w:val="35"/>
              <w:rPr>
                <w:rFonts w:hint="eastAsia" w:ascii="宋体" w:hAnsi="宋体" w:eastAsia="宋体" w:cs="宋体"/>
                <w:i w:val="0"/>
                <w:iCs w:val="0"/>
                <w:color w:val="auto"/>
                <w:sz w:val="24"/>
                <w:szCs w:val="24"/>
                <w:highlight w:val="none"/>
                <w:vertAlign w:val="baseline"/>
                <w:lang w:val="en-US" w:eastAsia="zh-CN"/>
              </w:rPr>
            </w:pPr>
          </w:p>
        </w:tc>
        <w:tc>
          <w:tcPr>
            <w:tcW w:w="2841" w:type="dxa"/>
          </w:tcPr>
          <w:p w14:paraId="77A19329">
            <w:pPr>
              <w:pStyle w:val="35"/>
              <w:rPr>
                <w:rFonts w:hint="eastAsia" w:ascii="宋体" w:hAnsi="宋体" w:eastAsia="宋体" w:cs="宋体"/>
                <w:i w:val="0"/>
                <w:iCs w:val="0"/>
                <w:color w:val="auto"/>
                <w:sz w:val="24"/>
                <w:szCs w:val="24"/>
                <w:highlight w:val="none"/>
                <w:vertAlign w:val="baseline"/>
                <w:lang w:val="en-US" w:eastAsia="zh-CN"/>
              </w:rPr>
            </w:pPr>
          </w:p>
        </w:tc>
        <w:tc>
          <w:tcPr>
            <w:tcW w:w="2743" w:type="dxa"/>
          </w:tcPr>
          <w:p w14:paraId="622EC6E5">
            <w:pPr>
              <w:pStyle w:val="35"/>
              <w:rPr>
                <w:rFonts w:hint="eastAsia" w:ascii="宋体" w:hAnsi="宋体" w:eastAsia="宋体" w:cs="宋体"/>
                <w:i w:val="0"/>
                <w:iCs w:val="0"/>
                <w:color w:val="auto"/>
                <w:sz w:val="24"/>
                <w:szCs w:val="24"/>
                <w:highlight w:val="none"/>
                <w:vertAlign w:val="baseline"/>
                <w:lang w:val="en-US" w:eastAsia="zh-CN"/>
              </w:rPr>
            </w:pPr>
          </w:p>
        </w:tc>
      </w:tr>
      <w:tr w14:paraId="68AB5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08" w:type="dxa"/>
          </w:tcPr>
          <w:p w14:paraId="4F23B295">
            <w:pPr>
              <w:pStyle w:val="35"/>
              <w:rPr>
                <w:rFonts w:hint="eastAsia" w:ascii="宋体" w:hAnsi="宋体" w:eastAsia="宋体" w:cs="宋体"/>
                <w:i w:val="0"/>
                <w:iCs w:val="0"/>
                <w:color w:val="auto"/>
                <w:sz w:val="24"/>
                <w:szCs w:val="24"/>
                <w:highlight w:val="none"/>
                <w:vertAlign w:val="baseline"/>
                <w:lang w:val="en-US" w:eastAsia="zh-CN"/>
              </w:rPr>
            </w:pPr>
          </w:p>
        </w:tc>
        <w:tc>
          <w:tcPr>
            <w:tcW w:w="2841" w:type="dxa"/>
          </w:tcPr>
          <w:p w14:paraId="111EECCF">
            <w:pPr>
              <w:pStyle w:val="35"/>
              <w:rPr>
                <w:rFonts w:hint="eastAsia" w:ascii="宋体" w:hAnsi="宋体" w:eastAsia="宋体" w:cs="宋体"/>
                <w:i w:val="0"/>
                <w:iCs w:val="0"/>
                <w:color w:val="auto"/>
                <w:sz w:val="24"/>
                <w:szCs w:val="24"/>
                <w:highlight w:val="none"/>
                <w:vertAlign w:val="baseline"/>
                <w:lang w:val="en-US" w:eastAsia="zh-CN"/>
              </w:rPr>
            </w:pPr>
          </w:p>
        </w:tc>
        <w:tc>
          <w:tcPr>
            <w:tcW w:w="2743" w:type="dxa"/>
          </w:tcPr>
          <w:p w14:paraId="4D2F0C95">
            <w:pPr>
              <w:pStyle w:val="35"/>
              <w:rPr>
                <w:rFonts w:hint="eastAsia" w:ascii="宋体" w:hAnsi="宋体" w:eastAsia="宋体" w:cs="宋体"/>
                <w:i w:val="0"/>
                <w:iCs w:val="0"/>
                <w:color w:val="auto"/>
                <w:sz w:val="24"/>
                <w:szCs w:val="24"/>
                <w:highlight w:val="none"/>
                <w:vertAlign w:val="baseline"/>
                <w:lang w:val="en-US" w:eastAsia="zh-CN"/>
              </w:rPr>
            </w:pPr>
          </w:p>
        </w:tc>
      </w:tr>
      <w:tr w14:paraId="475F5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08" w:type="dxa"/>
          </w:tcPr>
          <w:p w14:paraId="1F6D1198">
            <w:pPr>
              <w:pStyle w:val="35"/>
              <w:rPr>
                <w:rFonts w:hint="eastAsia" w:ascii="宋体" w:hAnsi="宋体" w:eastAsia="宋体" w:cs="宋体"/>
                <w:i w:val="0"/>
                <w:iCs w:val="0"/>
                <w:color w:val="auto"/>
                <w:sz w:val="24"/>
                <w:szCs w:val="24"/>
                <w:highlight w:val="none"/>
                <w:vertAlign w:val="baseline"/>
                <w:lang w:val="en-US" w:eastAsia="zh-CN"/>
              </w:rPr>
            </w:pPr>
          </w:p>
        </w:tc>
        <w:tc>
          <w:tcPr>
            <w:tcW w:w="2841" w:type="dxa"/>
          </w:tcPr>
          <w:p w14:paraId="55034FDC">
            <w:pPr>
              <w:pStyle w:val="35"/>
              <w:rPr>
                <w:rFonts w:hint="eastAsia" w:ascii="宋体" w:hAnsi="宋体" w:eastAsia="宋体" w:cs="宋体"/>
                <w:i w:val="0"/>
                <w:iCs w:val="0"/>
                <w:color w:val="auto"/>
                <w:sz w:val="24"/>
                <w:szCs w:val="24"/>
                <w:highlight w:val="none"/>
                <w:vertAlign w:val="baseline"/>
                <w:lang w:val="en-US" w:eastAsia="zh-CN"/>
              </w:rPr>
            </w:pPr>
          </w:p>
        </w:tc>
        <w:tc>
          <w:tcPr>
            <w:tcW w:w="2743" w:type="dxa"/>
          </w:tcPr>
          <w:p w14:paraId="68A92D99">
            <w:pPr>
              <w:pStyle w:val="35"/>
              <w:rPr>
                <w:rFonts w:hint="eastAsia" w:ascii="宋体" w:hAnsi="宋体" w:eastAsia="宋体" w:cs="宋体"/>
                <w:i w:val="0"/>
                <w:iCs w:val="0"/>
                <w:color w:val="auto"/>
                <w:sz w:val="24"/>
                <w:szCs w:val="24"/>
                <w:highlight w:val="none"/>
                <w:vertAlign w:val="baseline"/>
                <w:lang w:val="en-US" w:eastAsia="zh-CN"/>
              </w:rPr>
            </w:pPr>
          </w:p>
        </w:tc>
      </w:tr>
      <w:tr w14:paraId="0F1C7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08" w:type="dxa"/>
          </w:tcPr>
          <w:p w14:paraId="2509FCDF">
            <w:pPr>
              <w:pStyle w:val="35"/>
              <w:rPr>
                <w:rFonts w:hint="eastAsia" w:ascii="宋体" w:hAnsi="宋体" w:eastAsia="宋体" w:cs="宋体"/>
                <w:i w:val="0"/>
                <w:iCs w:val="0"/>
                <w:color w:val="auto"/>
                <w:sz w:val="24"/>
                <w:szCs w:val="24"/>
                <w:highlight w:val="none"/>
                <w:vertAlign w:val="baseline"/>
                <w:lang w:val="en-US" w:eastAsia="zh-CN"/>
              </w:rPr>
            </w:pPr>
          </w:p>
        </w:tc>
        <w:tc>
          <w:tcPr>
            <w:tcW w:w="2841" w:type="dxa"/>
          </w:tcPr>
          <w:p w14:paraId="07B43AD5">
            <w:pPr>
              <w:pStyle w:val="35"/>
              <w:rPr>
                <w:rFonts w:hint="eastAsia" w:ascii="宋体" w:hAnsi="宋体" w:eastAsia="宋体" w:cs="宋体"/>
                <w:i w:val="0"/>
                <w:iCs w:val="0"/>
                <w:color w:val="auto"/>
                <w:sz w:val="24"/>
                <w:szCs w:val="24"/>
                <w:highlight w:val="none"/>
                <w:vertAlign w:val="baseline"/>
                <w:lang w:val="en-US" w:eastAsia="zh-CN"/>
              </w:rPr>
            </w:pPr>
          </w:p>
        </w:tc>
        <w:tc>
          <w:tcPr>
            <w:tcW w:w="2743" w:type="dxa"/>
          </w:tcPr>
          <w:p w14:paraId="24661AD7">
            <w:pPr>
              <w:pStyle w:val="35"/>
              <w:rPr>
                <w:rFonts w:hint="eastAsia" w:ascii="宋体" w:hAnsi="宋体" w:eastAsia="宋体" w:cs="宋体"/>
                <w:i w:val="0"/>
                <w:iCs w:val="0"/>
                <w:color w:val="auto"/>
                <w:sz w:val="24"/>
                <w:szCs w:val="24"/>
                <w:highlight w:val="none"/>
                <w:vertAlign w:val="baseline"/>
                <w:lang w:val="en-US" w:eastAsia="zh-CN"/>
              </w:rPr>
            </w:pPr>
          </w:p>
        </w:tc>
      </w:tr>
    </w:tbl>
    <w:p w14:paraId="2D083952">
      <w:pPr>
        <w:keepNext w:val="0"/>
        <w:keepLines w:val="0"/>
        <w:widowControl/>
        <w:suppressLineNumbers w:val="0"/>
        <w:jc w:val="left"/>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kern w:val="0"/>
          <w:sz w:val="21"/>
          <w:szCs w:val="21"/>
          <w:highlight w:val="none"/>
          <w:lang w:val="en-US" w:eastAsia="zh-CN" w:bidi="ar"/>
        </w:rPr>
        <w:t xml:space="preserve">注：1.供应商如为联合体，则应填写联合体各成员信息。 </w:t>
      </w:r>
    </w:p>
    <w:p w14:paraId="429C5533">
      <w:pPr>
        <w:keepNext w:val="0"/>
        <w:keepLines w:val="0"/>
        <w:widowControl/>
        <w:suppressLineNumbers w:val="0"/>
        <w:ind w:firstLine="420" w:firstLineChars="200"/>
        <w:jc w:val="left"/>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lang w:val="en-US" w:eastAsia="zh-CN" w:bidi="ar"/>
        </w:rPr>
        <w:t>2.“供应商实际控制人性别”按供应商实际控制人性别划分请填写“男”或“女”，指拥有供应商 51%以上绝对所有权的性；绝对所有权拥有者可以是一个人，也可以是多人合计计算。</w:t>
      </w:r>
    </w:p>
    <w:p w14:paraId="6C85D95C">
      <w:pPr>
        <w:pStyle w:val="35"/>
        <w:ind w:left="0" w:leftChars="0" w:firstLine="420" w:firstLineChars="200"/>
        <w:rPr>
          <w:rFonts w:hint="eastAsia" w:ascii="宋体" w:hAnsi="宋体" w:eastAsia="宋体" w:cs="宋体"/>
          <w:i w:val="0"/>
          <w:iCs w:val="0"/>
          <w:color w:val="auto"/>
          <w:sz w:val="21"/>
          <w:szCs w:val="21"/>
          <w:highlight w:val="none"/>
          <w:lang w:eastAsia="zh-CN"/>
        </w:rPr>
      </w:pPr>
      <w:r>
        <w:rPr>
          <w:rFonts w:hint="eastAsia" w:ascii="宋体" w:hAnsi="宋体" w:eastAsia="宋体" w:cs="宋体"/>
          <w:i w:val="0"/>
          <w:iCs w:val="0"/>
          <w:color w:val="auto"/>
          <w:kern w:val="0"/>
          <w:sz w:val="21"/>
          <w:szCs w:val="21"/>
          <w:highlight w:val="none"/>
          <w:lang w:val="en-US" w:eastAsia="zh-CN" w:bidi="ar"/>
        </w:rPr>
        <w:t>3.“外商投资类型”请填写“外商单独投资</w:t>
      </w:r>
      <w:r>
        <w:rPr>
          <w:rFonts w:hint="eastAsia" w:cs="宋体"/>
          <w:i w:val="0"/>
          <w:iCs w:val="0"/>
          <w:color w:val="auto"/>
          <w:kern w:val="0"/>
          <w:sz w:val="21"/>
          <w:szCs w:val="21"/>
          <w:highlight w:val="none"/>
          <w:lang w:val="en-US" w:eastAsia="zh-CN" w:bidi="ar"/>
        </w:rPr>
        <w:t>”“</w:t>
      </w:r>
      <w:r>
        <w:rPr>
          <w:rFonts w:hint="eastAsia" w:ascii="宋体" w:hAnsi="宋体" w:eastAsia="宋体" w:cs="宋体"/>
          <w:i w:val="0"/>
          <w:iCs w:val="0"/>
          <w:color w:val="auto"/>
          <w:kern w:val="0"/>
          <w:sz w:val="21"/>
          <w:szCs w:val="21"/>
          <w:highlight w:val="none"/>
          <w:lang w:val="en-US" w:eastAsia="zh-CN" w:bidi="ar"/>
        </w:rPr>
        <w:t>外商部分投资”或“内资”。</w:t>
      </w:r>
    </w:p>
    <w:p w14:paraId="55FB009A">
      <w:pPr>
        <w:pStyle w:val="35"/>
        <w:rPr>
          <w:rFonts w:hint="eastAsia" w:ascii="宋体" w:hAnsi="宋体" w:eastAsia="宋体" w:cs="宋体"/>
          <w:i w:val="0"/>
          <w:iCs w:val="0"/>
          <w:color w:val="auto"/>
          <w:sz w:val="24"/>
          <w:szCs w:val="24"/>
          <w:highlight w:val="none"/>
          <w:lang w:val="en-US" w:eastAsia="zh-CN"/>
        </w:rPr>
      </w:pPr>
    </w:p>
    <w:p w14:paraId="2D6AF8D7">
      <w:pPr>
        <w:pStyle w:val="35"/>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1.2</w:t>
      </w:r>
      <w:r>
        <w:rPr>
          <w:rFonts w:hint="eastAsia" w:cs="宋体"/>
          <w:i w:val="0"/>
          <w:iCs w:val="0"/>
          <w:color w:val="auto"/>
          <w:sz w:val="24"/>
          <w:szCs w:val="24"/>
          <w:highlight w:val="none"/>
          <w:lang w:val="en-US" w:eastAsia="zh-CN"/>
        </w:rPr>
        <w:t>其他</w:t>
      </w:r>
      <w:r>
        <w:rPr>
          <w:rFonts w:hint="eastAsia" w:ascii="宋体" w:hAnsi="宋体" w:eastAsia="宋体" w:cs="宋体"/>
          <w:i w:val="0"/>
          <w:iCs w:val="0"/>
          <w:color w:val="auto"/>
          <w:sz w:val="24"/>
          <w:szCs w:val="24"/>
          <w:highlight w:val="none"/>
          <w:lang w:val="en-US" w:eastAsia="zh-CN"/>
        </w:rPr>
        <w:t>商务、技术资料和证明材料</w:t>
      </w:r>
    </w:p>
    <w:p w14:paraId="3A8E8E10">
      <w:pPr>
        <w:pStyle w:val="35"/>
        <w:rPr>
          <w:rFonts w:hint="default"/>
          <w:i w:val="0"/>
          <w:iCs w:val="0"/>
          <w:color w:val="auto"/>
          <w:sz w:val="28"/>
          <w:szCs w:val="28"/>
          <w:highlight w:val="none"/>
          <w:lang w:val="en-US" w:eastAsia="zh-CN"/>
        </w:rPr>
      </w:pPr>
    </w:p>
    <w:p w14:paraId="07564543">
      <w:pPr>
        <w:pStyle w:val="35"/>
        <w:ind w:left="0" w:leftChars="0" w:firstLine="0" w:firstLineChars="0"/>
        <w:rPr>
          <w:rFonts w:hint="eastAsia"/>
          <w:i w:val="0"/>
          <w:iCs w:val="0"/>
          <w:color w:val="auto"/>
          <w:highlight w:val="none"/>
        </w:rPr>
      </w:pPr>
      <w:r>
        <w:rPr>
          <w:rFonts w:hint="eastAsia"/>
          <w:b/>
          <w:bCs/>
          <w:i w:val="0"/>
          <w:iCs w:val="0"/>
          <w:color w:val="auto"/>
          <w:sz w:val="24"/>
          <w:szCs w:val="24"/>
          <w:highlight w:val="none"/>
          <w:shd w:val="clear" w:color="auto" w:fill="CCE8CF" w:themeFill="background1"/>
          <w:lang w:val="en-US" w:eastAsia="zh-CN"/>
        </w:rPr>
        <w:t>（二）供应商认为需要提供的其他商务、技术资料和说明。</w:t>
      </w:r>
    </w:p>
    <w:p w14:paraId="3352B805">
      <w:pPr>
        <w:pStyle w:val="35"/>
        <w:rPr>
          <w:rFonts w:hint="eastAsia"/>
          <w:i w:val="0"/>
          <w:iCs w:val="0"/>
          <w:color w:val="auto"/>
          <w:highlight w:val="none"/>
        </w:rPr>
      </w:pPr>
    </w:p>
    <w:p w14:paraId="19B7C1E0">
      <w:pPr>
        <w:pStyle w:val="35"/>
        <w:rPr>
          <w:rFonts w:hint="eastAsia"/>
          <w:i w:val="0"/>
          <w:iCs w:val="0"/>
          <w:color w:val="auto"/>
          <w:highlight w:val="none"/>
        </w:rPr>
      </w:pPr>
    </w:p>
    <w:bookmarkEnd w:id="445"/>
    <w:p w14:paraId="110B2697">
      <w:pPr>
        <w:rPr>
          <w:i w:val="0"/>
          <w:iCs w:val="0"/>
          <w:color w:val="auto"/>
          <w:highlight w:val="none"/>
        </w:rPr>
      </w:pPr>
    </w:p>
    <w:sectPr>
      <w:pgSz w:w="11906" w:h="16838"/>
      <w:pgMar w:top="1440" w:right="1800" w:bottom="1440" w:left="1800" w:header="851" w:footer="992" w:gutter="0"/>
      <w:pgNumType w:fmt="numberInDash"/>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embedRegular r:id="rId1" w:fontKey="{210329FC-966A-44AD-91D8-456152B4BF69}"/>
  </w:font>
  <w:font w:name="Arial">
    <w:panose1 w:val="020B0604020202020204"/>
    <w:charset w:val="01"/>
    <w:family w:val="swiss"/>
    <w:pitch w:val="default"/>
    <w:sig w:usb0="E0002AFF" w:usb1="C0007843" w:usb2="00000009" w:usb3="00000000" w:csb0="400001FF" w:csb1="FFFF0000"/>
    <w:embedRegular r:id="rId2" w:fontKey="{22594876-C678-4555-B6F4-AD8770161C77}"/>
  </w:font>
  <w:font w:name="黑体">
    <w:panose1 w:val="02010609060101010101"/>
    <w:charset w:val="86"/>
    <w:family w:val="auto"/>
    <w:pitch w:val="default"/>
    <w:sig w:usb0="800002BF" w:usb1="38CF7CFA" w:usb2="00000016" w:usb3="00000000" w:csb0="00040001" w:csb1="00000000"/>
    <w:embedRegular r:id="rId3" w:fontKey="{5964682A-7747-4F97-9193-790EFE88DE3E}"/>
  </w:font>
  <w:font w:name="Courier New">
    <w:panose1 w:val="02070309020205020404"/>
    <w:charset w:val="01"/>
    <w:family w:val="modern"/>
    <w:pitch w:val="default"/>
    <w:sig w:usb0="E0002AFF" w:usb1="C0007843" w:usb2="00000009" w:usb3="00000000" w:csb0="400001FF" w:csb1="FFFF0000"/>
    <w:embedRegular r:id="rId4" w:fontKey="{EFDDDD18-CE6B-46C7-AA8C-2FEE908ABFD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Light">
    <w:panose1 w:val="02010600030101010101"/>
    <w:charset w:val="86"/>
    <w:family w:val="auto"/>
    <w:pitch w:val="default"/>
    <w:sig w:usb0="A00002BF" w:usb1="38CF7CFA" w:usb2="00000016" w:usb3="00000000" w:csb0="0004000F" w:csb1="00000000"/>
    <w:embedRegular r:id="rId5" w:fontKey="{A236CA37-FA7A-45E6-A3C2-A665AB1682F6}"/>
  </w:font>
  <w:font w:name="等线">
    <w:panose1 w:val="02010600030101010101"/>
    <w:charset w:val="86"/>
    <w:family w:val="auto"/>
    <w:pitch w:val="default"/>
    <w:sig w:usb0="A00002BF" w:usb1="38CF7CFA" w:usb2="00000016" w:usb3="00000000" w:csb0="0004000F" w:csb1="00000000"/>
    <w:embedRegular r:id="rId6" w:fontKey="{F49A2735-A8B9-4509-A36A-1E690A11B3B5}"/>
  </w:font>
  <w:font w:name="仿宋_GB2312">
    <w:panose1 w:val="02010609030101010101"/>
    <w:charset w:val="86"/>
    <w:family w:val="modern"/>
    <w:pitch w:val="default"/>
    <w:sig w:usb0="00000001" w:usb1="080E0000" w:usb2="00000000" w:usb3="00000000" w:csb0="00040000" w:csb1="00000000"/>
    <w:embedRegular r:id="rId7" w:fontKey="{BA81B92A-5325-4619-993A-4290ED0FFE5E}"/>
  </w:font>
  <w:font w:name="仿宋">
    <w:panose1 w:val="02010609060101010101"/>
    <w:charset w:val="86"/>
    <w:family w:val="auto"/>
    <w:pitch w:val="default"/>
    <w:sig w:usb0="800002BF" w:usb1="38CF7CFA" w:usb2="00000016" w:usb3="00000000" w:csb0="00040001" w:csb1="00000000"/>
    <w:embedRegular r:id="rId8" w:fontKey="{E0083A04-87B4-43C7-A217-1EFCBE9C5101}"/>
  </w:font>
  <w:font w:name="..">
    <w:altName w:val="宋体"/>
    <w:panose1 w:val="00000000000000000000"/>
    <w:charset w:val="86"/>
    <w:family w:val="auto"/>
    <w:pitch w:val="default"/>
    <w:sig w:usb0="00000000" w:usb1="00000000" w:usb2="00000010" w:usb3="00000000" w:csb0="00040000" w:csb1="00000000"/>
  </w:font>
  <w:font w:name="华文楷体">
    <w:panose1 w:val="02010600040101010101"/>
    <w:charset w:val="86"/>
    <w:family w:val="auto"/>
    <w:pitch w:val="default"/>
    <w:sig w:usb0="00000287" w:usb1="080F0000" w:usb2="00000000" w:usb3="00000000" w:csb0="0004009F" w:csb1="DFD70000"/>
  </w:font>
  <w:font w:name="宋体;SimSun">
    <w:altName w:val="宋体"/>
    <w:panose1 w:val="00000000000000000000"/>
    <w:charset w:val="86"/>
    <w:family w:val="roman"/>
    <w:pitch w:val="default"/>
    <w:sig w:usb0="00000000" w:usb1="00000000" w:usb2="00000010" w:usb3="00000000" w:csb0="00040000" w:csb1="00000000"/>
    <w:embedRegular r:id="rId9" w:fontKey="{AD9779C6-0CCB-4FBA-8A76-4ABA3B7A39BC}"/>
  </w:font>
  <w:font w:name="新宋体">
    <w:panose1 w:val="02010609030101010101"/>
    <w:charset w:val="86"/>
    <w:family w:val="auto"/>
    <w:pitch w:val="default"/>
    <w:sig w:usb0="00000003" w:usb1="288F0000" w:usb2="00000006" w:usb3="00000000" w:csb0="00040001" w:csb1="00000000"/>
    <w:embedRegular r:id="rId10" w:fontKey="{DFF13532-A0E0-4851-9892-529A780922ED}"/>
  </w:font>
  <w:font w:name="Helvetica">
    <w:altName w:val="Arial"/>
    <w:panose1 w:val="020B0604020202020204"/>
    <w:charset w:val="00"/>
    <w:family w:val="swiss"/>
    <w:pitch w:val="default"/>
    <w:sig w:usb0="00000000" w:usb1="00000000" w:usb2="00000000" w:usb3="00000000" w:csb0="00000000" w:csb1="00000000"/>
    <w:embedRegular r:id="rId11" w:fontKey="{62C16699-6787-4458-BA5E-1F1E6C5D0357}"/>
  </w:font>
  <w:font w:name="Segoe UI">
    <w:panose1 w:val="020B0502040204020203"/>
    <w:charset w:val="00"/>
    <w:family w:val="auto"/>
    <w:pitch w:val="default"/>
    <w:sig w:usb0="E10022FF" w:usb1="C000E47F" w:usb2="00000029" w:usb3="00000000" w:csb0="200001DF" w:csb1="20000000"/>
    <w:embedRegular r:id="rId12" w:fontKey="{CEC42A07-4F3C-4CC0-B4C9-0AC64AF24EF1}"/>
  </w:font>
  <w:font w:name="方正小标宋_GBK">
    <w:panose1 w:val="02000000000000000000"/>
    <w:charset w:val="86"/>
    <w:family w:val="auto"/>
    <w:pitch w:val="default"/>
    <w:sig w:usb0="A00002BF" w:usb1="38CF7CFA" w:usb2="00082016" w:usb3="00000000" w:csb0="00040001" w:csb1="00000000"/>
    <w:embedRegular r:id="rId13" w:fontKey="{0B97D0C9-46C3-4882-A2D6-373497F56C74}"/>
  </w:font>
  <w:font w:name="DejaVuSans">
    <w:altName w:val="Segoe Print"/>
    <w:panose1 w:val="00000000000000000000"/>
    <w:charset w:val="00"/>
    <w:family w:val="auto"/>
    <w:pitch w:val="default"/>
    <w:sig w:usb0="00000000" w:usb1="00000000" w:usb2="00000000" w:usb3="00000000" w:csb0="00000000" w:csb1="00000000"/>
    <w:embedRegular r:id="rId14" w:fontKey="{8B6B83F3-1F96-4E90-B554-5CF9068E217C}"/>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AFFD85">
    <w:pPr>
      <w:pStyle w:val="17"/>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61437"/>
                          </w:sdtPr>
                          <w:sdtContent>
                            <w:p w14:paraId="41EAE223">
                              <w:pPr>
                                <w:pStyle w:val="17"/>
                                <w:spacing w:line="240" w:lineRule="auto"/>
                                <w:jc w:val="center"/>
                              </w:pPr>
                              <w:r>
                                <w:rPr>
                                  <w:sz w:val="21"/>
                                  <w:szCs w:val="21"/>
                                </w:rPr>
                                <w:fldChar w:fldCharType="begin"/>
                              </w:r>
                              <w:r>
                                <w:rPr>
                                  <w:sz w:val="21"/>
                                  <w:szCs w:val="21"/>
                                </w:rPr>
                                <w:instrText xml:space="preserve">PAGE   \* MERGEFORMAT</w:instrText>
                              </w:r>
                              <w:r>
                                <w:rPr>
                                  <w:sz w:val="21"/>
                                  <w:szCs w:val="21"/>
                                </w:rPr>
                                <w:fldChar w:fldCharType="separate"/>
                              </w:r>
                              <w:r>
                                <w:rPr>
                                  <w:sz w:val="21"/>
                                  <w:szCs w:val="21"/>
                                  <w:lang w:val="zh-CN"/>
                                </w:rPr>
                                <w:t>2</w:t>
                              </w:r>
                              <w:r>
                                <w:rPr>
                                  <w:sz w:val="21"/>
                                  <w:szCs w:val="21"/>
                                </w:rPr>
                                <w:fldChar w:fldCharType="end"/>
                              </w:r>
                            </w:p>
                          </w:sdtContent>
                        </w:sdt>
                        <w:p w14:paraId="4545459A"/>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sdt>
                    <w:sdtPr>
                      <w:id w:val="147461437"/>
                    </w:sdtPr>
                    <w:sdtContent>
                      <w:p w14:paraId="41EAE223">
                        <w:pPr>
                          <w:pStyle w:val="17"/>
                          <w:spacing w:line="240" w:lineRule="auto"/>
                          <w:jc w:val="center"/>
                        </w:pPr>
                        <w:r>
                          <w:rPr>
                            <w:sz w:val="21"/>
                            <w:szCs w:val="21"/>
                          </w:rPr>
                          <w:fldChar w:fldCharType="begin"/>
                        </w:r>
                        <w:r>
                          <w:rPr>
                            <w:sz w:val="21"/>
                            <w:szCs w:val="21"/>
                          </w:rPr>
                          <w:instrText xml:space="preserve">PAGE   \* MERGEFORMAT</w:instrText>
                        </w:r>
                        <w:r>
                          <w:rPr>
                            <w:sz w:val="21"/>
                            <w:szCs w:val="21"/>
                          </w:rPr>
                          <w:fldChar w:fldCharType="separate"/>
                        </w:r>
                        <w:r>
                          <w:rPr>
                            <w:sz w:val="21"/>
                            <w:szCs w:val="21"/>
                            <w:lang w:val="zh-CN"/>
                          </w:rPr>
                          <w:t>2</w:t>
                        </w:r>
                        <w:r>
                          <w:rPr>
                            <w:sz w:val="21"/>
                            <w:szCs w:val="21"/>
                          </w:rPr>
                          <w:fldChar w:fldCharType="end"/>
                        </w:r>
                      </w:p>
                    </w:sdtContent>
                  </w:sdt>
                  <w:p w14:paraId="4545459A"/>
                </w:txbxContent>
              </v:textbox>
            </v:shape>
          </w:pict>
        </mc:Fallback>
      </mc:AlternateContent>
    </w:r>
  </w:p>
  <w:p w14:paraId="23975237">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C86791">
    <w:pPr>
      <w:pStyle w:val="17"/>
      <w:jc w:val="cente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55753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55753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68609"/>
                            <w:docPartObj>
                              <w:docPartGallery w:val="autotext"/>
                            </w:docPartObj>
                          </w:sdtPr>
                          <w:sdtContent>
                            <w:p w14:paraId="266F66E9">
                              <w:pPr>
                                <w:pStyle w:val="17"/>
                                <w:spacing w:line="240" w:lineRule="auto"/>
                                <w:jc w:val="center"/>
                              </w:pPr>
                              <w:r>
                                <w:rPr>
                                  <w:sz w:val="21"/>
                                  <w:szCs w:val="21"/>
                                </w:rPr>
                                <w:fldChar w:fldCharType="begin"/>
                              </w:r>
                              <w:r>
                                <w:rPr>
                                  <w:sz w:val="21"/>
                                  <w:szCs w:val="21"/>
                                </w:rPr>
                                <w:instrText xml:space="preserve">PAGE   \* MERGEFORMAT</w:instrText>
                              </w:r>
                              <w:r>
                                <w:rPr>
                                  <w:sz w:val="21"/>
                                  <w:szCs w:val="21"/>
                                </w:rPr>
                                <w:fldChar w:fldCharType="separate"/>
                              </w:r>
                              <w:r>
                                <w:rPr>
                                  <w:sz w:val="21"/>
                                  <w:szCs w:val="21"/>
                                  <w:lang w:val="zh-CN"/>
                                </w:rPr>
                                <w:t>2</w:t>
                              </w:r>
                              <w:r>
                                <w:rPr>
                                  <w:sz w:val="21"/>
                                  <w:szCs w:val="21"/>
                                </w:rPr>
                                <w:fldChar w:fldCharType="end"/>
                              </w:r>
                            </w:p>
                          </w:sdtContent>
                        </w:sdt>
                        <w:p w14:paraId="0EB12EA5"/>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43.9pt;mso-position-horizontal:center;mso-position-horizontal-relative:margin;z-index:251661312;mso-width-relative:page;mso-height-relative:page;" filled="f" stroked="f" coordsize="21600,21600" o:gfxdata="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Df/Soy0wAAAAQBAAAPAAAAAAAAAAEAIAAAACIAAABkcnMvZG93bnJldi54&#10;bWxQSwECFAAUAAAACACHTuJASWkpcjgCAABiBAAADgAAAAAAAAABACAAAAAiAQAAZHJzL2Uyb0Rv&#10;Yy54bWxQSwUGAAAAAAYABgBZAQAAzAUAAAAA&#10;">
              <v:fill on="f" focussize="0,0"/>
              <v:stroke on="f" weight="0.5pt"/>
              <v:imagedata o:title=""/>
              <o:lock v:ext="edit" aspectratio="f"/>
              <v:textbox inset="0mm,0mm,0mm,0mm" style="mso-fit-shape-to-text:t;">
                <w:txbxContent>
                  <w:sdt>
                    <w:sdtPr>
                      <w:id w:val="147468609"/>
                      <w:docPartObj>
                        <w:docPartGallery w:val="autotext"/>
                      </w:docPartObj>
                    </w:sdtPr>
                    <w:sdtContent>
                      <w:p w14:paraId="266F66E9">
                        <w:pPr>
                          <w:pStyle w:val="17"/>
                          <w:spacing w:line="240" w:lineRule="auto"/>
                          <w:jc w:val="center"/>
                        </w:pPr>
                        <w:r>
                          <w:rPr>
                            <w:sz w:val="21"/>
                            <w:szCs w:val="21"/>
                          </w:rPr>
                          <w:fldChar w:fldCharType="begin"/>
                        </w:r>
                        <w:r>
                          <w:rPr>
                            <w:sz w:val="21"/>
                            <w:szCs w:val="21"/>
                          </w:rPr>
                          <w:instrText xml:space="preserve">PAGE   \* MERGEFORMAT</w:instrText>
                        </w:r>
                        <w:r>
                          <w:rPr>
                            <w:sz w:val="21"/>
                            <w:szCs w:val="21"/>
                          </w:rPr>
                          <w:fldChar w:fldCharType="separate"/>
                        </w:r>
                        <w:r>
                          <w:rPr>
                            <w:sz w:val="21"/>
                            <w:szCs w:val="21"/>
                            <w:lang w:val="zh-CN"/>
                          </w:rPr>
                          <w:t>2</w:t>
                        </w:r>
                        <w:r>
                          <w:rPr>
                            <w:sz w:val="21"/>
                            <w:szCs w:val="21"/>
                          </w:rPr>
                          <w:fldChar w:fldCharType="end"/>
                        </w:r>
                      </w:p>
                    </w:sdtContent>
                  </w:sdt>
                  <w:p w14:paraId="0EB12EA5"/>
                </w:txbxContent>
              </v:textbox>
            </v:shape>
          </w:pict>
        </mc:Fallback>
      </mc:AlternateContent>
    </w:r>
  </w:p>
  <w:p w14:paraId="1D038EF8">
    <w:pPr>
      <w:pStyle w:val="1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FA2D5C">
    <w:pPr>
      <w:pStyle w:val="1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9182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59182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13757FD">
                          <w:pPr>
                            <w:pStyle w:val="17"/>
                            <w:keepNext w:val="0"/>
                            <w:keepLines w:val="0"/>
                            <w:pageBreakBefore w:val="0"/>
                            <w:widowControl w:val="0"/>
                            <w:kinsoku/>
                            <w:wordWrap/>
                            <w:overflowPunct/>
                            <w:topLinePunct w:val="0"/>
                            <w:bidi w:val="0"/>
                            <w:adjustRightInd/>
                            <w:snapToGrid w:val="0"/>
                            <w:spacing w:line="240" w:lineRule="auto"/>
                            <w:jc w:val="center"/>
                            <w:textAlignment w:val="auto"/>
                            <w:rPr>
                              <w:sz w:val="21"/>
                              <w:szCs w:val="21"/>
                            </w:rPr>
                          </w:pPr>
                          <w:r>
                            <w:rPr>
                              <w:sz w:val="21"/>
                              <w:szCs w:val="21"/>
                            </w:rPr>
                            <w:fldChar w:fldCharType="begin"/>
                          </w:r>
                          <w:r>
                            <w:rPr>
                              <w:sz w:val="21"/>
                              <w:szCs w:val="21"/>
                            </w:rPr>
                            <w:instrText xml:space="preserve"> PAGE  \* MERGEFORMAT </w:instrText>
                          </w:r>
                          <w:r>
                            <w:rPr>
                              <w:sz w:val="21"/>
                              <w:szCs w:val="21"/>
                            </w:rPr>
                            <w:fldChar w:fldCharType="separate"/>
                          </w:r>
                          <w:r>
                            <w:rPr>
                              <w:sz w:val="21"/>
                              <w:szCs w:val="21"/>
                            </w:rPr>
                            <w:t>67</w:t>
                          </w:r>
                          <w:r>
                            <w:rPr>
                              <w:sz w:val="21"/>
                              <w:szCs w:val="21"/>
                            </w:rPr>
                            <w:fldChar w:fldCharType="end"/>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46.6pt;mso-position-horizontal:center;mso-position-horizontal-relative:margin;z-index:251659264;mso-width-relative:page;mso-height-relative:page;" filled="f" stroked="f" coordsize="21600,21600" o:gfxdata="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DUbuBX1AAAAAQBAAAPAAAAAAAAAAEAIAAAACIAAABkcnMvZG93bnJldi54&#10;bWxQSwECFAAUAAAACACHTuJAfXmvVzcCAABiBAAADgAAAAAAAAABACAAAAAjAQAAZHJzL2Uyb0Rv&#10;Yy54bWxQSwUGAAAAAAYABgBZAQAAzAUAAAAA&#10;">
              <v:fill on="f" focussize="0,0"/>
              <v:stroke on="f" weight="0.5pt"/>
              <v:imagedata o:title=""/>
              <o:lock v:ext="edit" aspectratio="f"/>
              <v:textbox inset="0mm,0mm,0mm,0mm" style="mso-fit-shape-to-text:t;">
                <w:txbxContent>
                  <w:p w14:paraId="313757FD">
                    <w:pPr>
                      <w:pStyle w:val="17"/>
                      <w:keepNext w:val="0"/>
                      <w:keepLines w:val="0"/>
                      <w:pageBreakBefore w:val="0"/>
                      <w:widowControl w:val="0"/>
                      <w:kinsoku/>
                      <w:wordWrap/>
                      <w:overflowPunct/>
                      <w:topLinePunct w:val="0"/>
                      <w:bidi w:val="0"/>
                      <w:adjustRightInd/>
                      <w:snapToGrid w:val="0"/>
                      <w:spacing w:line="240" w:lineRule="auto"/>
                      <w:jc w:val="center"/>
                      <w:textAlignment w:val="auto"/>
                      <w:rPr>
                        <w:sz w:val="21"/>
                        <w:szCs w:val="21"/>
                      </w:rPr>
                    </w:pPr>
                    <w:r>
                      <w:rPr>
                        <w:sz w:val="21"/>
                        <w:szCs w:val="21"/>
                      </w:rPr>
                      <w:fldChar w:fldCharType="begin"/>
                    </w:r>
                    <w:r>
                      <w:rPr>
                        <w:sz w:val="21"/>
                        <w:szCs w:val="21"/>
                      </w:rPr>
                      <w:instrText xml:space="preserve"> PAGE  \* MERGEFORMAT </w:instrText>
                    </w:r>
                    <w:r>
                      <w:rPr>
                        <w:sz w:val="21"/>
                        <w:szCs w:val="21"/>
                      </w:rPr>
                      <w:fldChar w:fldCharType="separate"/>
                    </w:r>
                    <w:r>
                      <w:rPr>
                        <w:sz w:val="21"/>
                        <w:szCs w:val="21"/>
                      </w:rPr>
                      <w:t>67</w:t>
                    </w:r>
                    <w:r>
                      <w:rPr>
                        <w:sz w:val="21"/>
                        <w:szCs w:val="21"/>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68C037">
    <w:pPr>
      <w:pStyle w:val="1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82F3D0">
    <w:pPr>
      <w:pStyle w:val="18"/>
      <w:spacing w:line="240" w:lineRule="auto"/>
    </w:pPr>
    <w:r>
      <w:rPr>
        <w:rFonts w:hint="eastAsia"/>
        <w:sz w:val="24"/>
        <w:szCs w:val="24"/>
        <w:lang w:val="en-US" w:eastAsia="zh-C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FA5B41"/>
    <w:multiLevelType w:val="singleLevel"/>
    <w:tmpl w:val="8FFA5B41"/>
    <w:lvl w:ilvl="0" w:tentative="0">
      <w:start w:val="1"/>
      <w:numFmt w:val="decimal"/>
      <w:suff w:val="nothing"/>
      <w:lvlText w:val="%1、"/>
      <w:lvlJc w:val="left"/>
    </w:lvl>
  </w:abstractNum>
  <w:abstractNum w:abstractNumId="1">
    <w:nsid w:val="9C92CEFF"/>
    <w:multiLevelType w:val="singleLevel"/>
    <w:tmpl w:val="9C92CEFF"/>
    <w:lvl w:ilvl="0" w:tentative="0">
      <w:start w:val="1"/>
      <w:numFmt w:val="decimal"/>
      <w:suff w:val="nothing"/>
      <w:lvlText w:val="%1、"/>
      <w:lvlJc w:val="left"/>
    </w:lvl>
  </w:abstractNum>
  <w:abstractNum w:abstractNumId="2">
    <w:nsid w:val="C4C810A5"/>
    <w:multiLevelType w:val="singleLevel"/>
    <w:tmpl w:val="C4C810A5"/>
    <w:lvl w:ilvl="0" w:tentative="0">
      <w:start w:val="2"/>
      <w:numFmt w:val="chineseCounting"/>
      <w:suff w:val="space"/>
      <w:lvlText w:val="第%1章"/>
      <w:lvlJc w:val="left"/>
      <w:rPr>
        <w:rFonts w:hint="eastAsia"/>
      </w:rPr>
    </w:lvl>
  </w:abstractNum>
  <w:abstractNum w:abstractNumId="3">
    <w:nsid w:val="C7664143"/>
    <w:multiLevelType w:val="singleLevel"/>
    <w:tmpl w:val="C7664143"/>
    <w:lvl w:ilvl="0" w:tentative="0">
      <w:start w:val="1"/>
      <w:numFmt w:val="decimal"/>
      <w:suff w:val="nothing"/>
      <w:lvlText w:val="%1、"/>
      <w:lvlJc w:val="left"/>
    </w:lvl>
  </w:abstractNum>
  <w:abstractNum w:abstractNumId="4">
    <w:nsid w:val="D6E2EEA7"/>
    <w:multiLevelType w:val="singleLevel"/>
    <w:tmpl w:val="D6E2EEA7"/>
    <w:lvl w:ilvl="0" w:tentative="0">
      <w:start w:val="2"/>
      <w:numFmt w:val="chineseCounting"/>
      <w:suff w:val="nothing"/>
      <w:lvlText w:val="%1、"/>
      <w:lvlJc w:val="left"/>
      <w:rPr>
        <w:rFonts w:hint="eastAsia"/>
      </w:rPr>
    </w:lvl>
  </w:abstractNum>
  <w:abstractNum w:abstractNumId="5">
    <w:nsid w:val="F3124F06"/>
    <w:multiLevelType w:val="singleLevel"/>
    <w:tmpl w:val="F3124F06"/>
    <w:lvl w:ilvl="0" w:tentative="0">
      <w:start w:val="1"/>
      <w:numFmt w:val="decimal"/>
      <w:suff w:val="nothing"/>
      <w:lvlText w:val="%1、"/>
      <w:lvlJc w:val="left"/>
    </w:lvl>
  </w:abstractNum>
  <w:abstractNum w:abstractNumId="6">
    <w:nsid w:val="1C761375"/>
    <w:multiLevelType w:val="multilevel"/>
    <w:tmpl w:val="1C761375"/>
    <w:lvl w:ilvl="0" w:tentative="0">
      <w:start w:val="1"/>
      <w:numFmt w:val="decimal"/>
      <w:suff w:val="nothing"/>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5A06A6CA"/>
    <w:multiLevelType w:val="singleLevel"/>
    <w:tmpl w:val="5A06A6CA"/>
    <w:lvl w:ilvl="0" w:tentative="0">
      <w:start w:val="3"/>
      <w:numFmt w:val="chineseCounting"/>
      <w:suff w:val="space"/>
      <w:lvlText w:val="第%1章"/>
      <w:lvlJc w:val="left"/>
      <w:rPr>
        <w:rFonts w:hint="eastAsia"/>
        <w:b/>
        <w:bCs/>
      </w:rPr>
    </w:lvl>
  </w:abstractNum>
  <w:abstractNum w:abstractNumId="8">
    <w:nsid w:val="75504026"/>
    <w:multiLevelType w:val="multilevel"/>
    <w:tmpl w:val="75504026"/>
    <w:lvl w:ilvl="0" w:tentative="0">
      <w:start w:val="1"/>
      <w:numFmt w:val="decimal"/>
      <w:suff w:val="nothing"/>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7"/>
  </w:num>
  <w:num w:numId="3">
    <w:abstractNumId w:val="1"/>
  </w:num>
  <w:num w:numId="4">
    <w:abstractNumId w:val="0"/>
  </w:num>
  <w:num w:numId="5">
    <w:abstractNumId w:val="3"/>
  </w:num>
  <w:num w:numId="6">
    <w:abstractNumId w:val="5"/>
  </w:num>
  <w:num w:numId="7">
    <w:abstractNumId w:val="4"/>
  </w:num>
  <w:num w:numId="8">
    <w:abstractNumId w:val="6"/>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JkNTg1OTJkZTA1ZDVhNGYzMmVkNzJiZGI5ZmNhNzAifQ=="/>
  </w:docVars>
  <w:rsids>
    <w:rsidRoot w:val="00DA2E46"/>
    <w:rsid w:val="00010DF5"/>
    <w:rsid w:val="0002050C"/>
    <w:rsid w:val="00031D74"/>
    <w:rsid w:val="00031EDA"/>
    <w:rsid w:val="00035FD6"/>
    <w:rsid w:val="00041275"/>
    <w:rsid w:val="00041E23"/>
    <w:rsid w:val="00057979"/>
    <w:rsid w:val="00062839"/>
    <w:rsid w:val="000640B1"/>
    <w:rsid w:val="0006527E"/>
    <w:rsid w:val="000716F8"/>
    <w:rsid w:val="000725C9"/>
    <w:rsid w:val="000751D5"/>
    <w:rsid w:val="00076791"/>
    <w:rsid w:val="00077F3F"/>
    <w:rsid w:val="00080BBF"/>
    <w:rsid w:val="00094137"/>
    <w:rsid w:val="000A301B"/>
    <w:rsid w:val="000A519B"/>
    <w:rsid w:val="000A7A3F"/>
    <w:rsid w:val="000B0E52"/>
    <w:rsid w:val="000B7490"/>
    <w:rsid w:val="000D18E4"/>
    <w:rsid w:val="000D1DA9"/>
    <w:rsid w:val="000D2926"/>
    <w:rsid w:val="000D48B5"/>
    <w:rsid w:val="0011305B"/>
    <w:rsid w:val="00115707"/>
    <w:rsid w:val="0012011D"/>
    <w:rsid w:val="0012733E"/>
    <w:rsid w:val="00127F58"/>
    <w:rsid w:val="00131A1C"/>
    <w:rsid w:val="001361D8"/>
    <w:rsid w:val="00140C6C"/>
    <w:rsid w:val="00144643"/>
    <w:rsid w:val="00160D0D"/>
    <w:rsid w:val="0016196A"/>
    <w:rsid w:val="00161FD2"/>
    <w:rsid w:val="00167161"/>
    <w:rsid w:val="0019372B"/>
    <w:rsid w:val="00197CB9"/>
    <w:rsid w:val="001D1DC9"/>
    <w:rsid w:val="001E2156"/>
    <w:rsid w:val="001F00D7"/>
    <w:rsid w:val="001F0B83"/>
    <w:rsid w:val="002232D4"/>
    <w:rsid w:val="00230459"/>
    <w:rsid w:val="002416CF"/>
    <w:rsid w:val="00247842"/>
    <w:rsid w:val="002554AB"/>
    <w:rsid w:val="002629DD"/>
    <w:rsid w:val="00262A33"/>
    <w:rsid w:val="00264A6E"/>
    <w:rsid w:val="00266970"/>
    <w:rsid w:val="002746A9"/>
    <w:rsid w:val="00285085"/>
    <w:rsid w:val="00290F66"/>
    <w:rsid w:val="0029432F"/>
    <w:rsid w:val="002A1AEC"/>
    <w:rsid w:val="002A1FBA"/>
    <w:rsid w:val="002A5F16"/>
    <w:rsid w:val="002A6FAF"/>
    <w:rsid w:val="002B0E82"/>
    <w:rsid w:val="002C4B74"/>
    <w:rsid w:val="002C7C83"/>
    <w:rsid w:val="002D34F4"/>
    <w:rsid w:val="002D3A54"/>
    <w:rsid w:val="002D518A"/>
    <w:rsid w:val="002E0B52"/>
    <w:rsid w:val="002E34F0"/>
    <w:rsid w:val="002E6413"/>
    <w:rsid w:val="002E7870"/>
    <w:rsid w:val="002F0DD6"/>
    <w:rsid w:val="002F3C1F"/>
    <w:rsid w:val="003025BA"/>
    <w:rsid w:val="0030326B"/>
    <w:rsid w:val="00303828"/>
    <w:rsid w:val="00321CAC"/>
    <w:rsid w:val="00325002"/>
    <w:rsid w:val="003259BD"/>
    <w:rsid w:val="003327F2"/>
    <w:rsid w:val="00333AF9"/>
    <w:rsid w:val="0033438F"/>
    <w:rsid w:val="00343177"/>
    <w:rsid w:val="00343F73"/>
    <w:rsid w:val="00345C72"/>
    <w:rsid w:val="00345DEA"/>
    <w:rsid w:val="00346801"/>
    <w:rsid w:val="00346FB8"/>
    <w:rsid w:val="0034739D"/>
    <w:rsid w:val="00350BD8"/>
    <w:rsid w:val="00365E80"/>
    <w:rsid w:val="00381A77"/>
    <w:rsid w:val="00384C92"/>
    <w:rsid w:val="0038618F"/>
    <w:rsid w:val="003A07A4"/>
    <w:rsid w:val="003A4878"/>
    <w:rsid w:val="003B1785"/>
    <w:rsid w:val="003C4B9C"/>
    <w:rsid w:val="003C68DF"/>
    <w:rsid w:val="003E0B9F"/>
    <w:rsid w:val="003E2527"/>
    <w:rsid w:val="004017D6"/>
    <w:rsid w:val="0040190B"/>
    <w:rsid w:val="00411AB3"/>
    <w:rsid w:val="00411C17"/>
    <w:rsid w:val="00420DD8"/>
    <w:rsid w:val="00423A88"/>
    <w:rsid w:val="00425B35"/>
    <w:rsid w:val="0042756D"/>
    <w:rsid w:val="00427D0A"/>
    <w:rsid w:val="00437213"/>
    <w:rsid w:val="00443B3B"/>
    <w:rsid w:val="0044711D"/>
    <w:rsid w:val="00462EBD"/>
    <w:rsid w:val="0047182E"/>
    <w:rsid w:val="0048656E"/>
    <w:rsid w:val="00490932"/>
    <w:rsid w:val="00492077"/>
    <w:rsid w:val="00492402"/>
    <w:rsid w:val="004A5602"/>
    <w:rsid w:val="004B29A0"/>
    <w:rsid w:val="004C31F0"/>
    <w:rsid w:val="004D65D4"/>
    <w:rsid w:val="004E09FC"/>
    <w:rsid w:val="004E0CE0"/>
    <w:rsid w:val="004E5531"/>
    <w:rsid w:val="004E5E3E"/>
    <w:rsid w:val="005001D8"/>
    <w:rsid w:val="00512CBB"/>
    <w:rsid w:val="00523D61"/>
    <w:rsid w:val="00535A35"/>
    <w:rsid w:val="00543B0C"/>
    <w:rsid w:val="00552FD8"/>
    <w:rsid w:val="00555F96"/>
    <w:rsid w:val="0055725A"/>
    <w:rsid w:val="00557310"/>
    <w:rsid w:val="00561A07"/>
    <w:rsid w:val="00562895"/>
    <w:rsid w:val="00574A51"/>
    <w:rsid w:val="00582A20"/>
    <w:rsid w:val="00590283"/>
    <w:rsid w:val="00594A14"/>
    <w:rsid w:val="005A3570"/>
    <w:rsid w:val="005A7750"/>
    <w:rsid w:val="005B55AC"/>
    <w:rsid w:val="005C18C8"/>
    <w:rsid w:val="005C30DA"/>
    <w:rsid w:val="005C3DD9"/>
    <w:rsid w:val="005C7693"/>
    <w:rsid w:val="005C77AF"/>
    <w:rsid w:val="005D689D"/>
    <w:rsid w:val="005E12E8"/>
    <w:rsid w:val="005E483B"/>
    <w:rsid w:val="005E4988"/>
    <w:rsid w:val="005E77BD"/>
    <w:rsid w:val="005F5FDD"/>
    <w:rsid w:val="00601022"/>
    <w:rsid w:val="0060162F"/>
    <w:rsid w:val="00602CF4"/>
    <w:rsid w:val="0060487D"/>
    <w:rsid w:val="00615D07"/>
    <w:rsid w:val="00623DA8"/>
    <w:rsid w:val="00626D3F"/>
    <w:rsid w:val="00630151"/>
    <w:rsid w:val="0064251F"/>
    <w:rsid w:val="00643F74"/>
    <w:rsid w:val="00662692"/>
    <w:rsid w:val="006664E4"/>
    <w:rsid w:val="00666E2F"/>
    <w:rsid w:val="00675096"/>
    <w:rsid w:val="006849F1"/>
    <w:rsid w:val="00687D2D"/>
    <w:rsid w:val="00691A5B"/>
    <w:rsid w:val="006926FF"/>
    <w:rsid w:val="006A28D1"/>
    <w:rsid w:val="006C0E57"/>
    <w:rsid w:val="006C30ED"/>
    <w:rsid w:val="006D2DE3"/>
    <w:rsid w:val="006D333D"/>
    <w:rsid w:val="006D6279"/>
    <w:rsid w:val="006E05F6"/>
    <w:rsid w:val="006E6126"/>
    <w:rsid w:val="006E7A70"/>
    <w:rsid w:val="006E7AAC"/>
    <w:rsid w:val="006F0A97"/>
    <w:rsid w:val="006F1007"/>
    <w:rsid w:val="006F1D7F"/>
    <w:rsid w:val="006F37E1"/>
    <w:rsid w:val="006F5BD9"/>
    <w:rsid w:val="00710747"/>
    <w:rsid w:val="00711E45"/>
    <w:rsid w:val="00712591"/>
    <w:rsid w:val="00714959"/>
    <w:rsid w:val="00720085"/>
    <w:rsid w:val="0072447B"/>
    <w:rsid w:val="007308A0"/>
    <w:rsid w:val="00733184"/>
    <w:rsid w:val="00735F23"/>
    <w:rsid w:val="00742B38"/>
    <w:rsid w:val="007439AE"/>
    <w:rsid w:val="00744ABD"/>
    <w:rsid w:val="00752609"/>
    <w:rsid w:val="0075271A"/>
    <w:rsid w:val="007625D0"/>
    <w:rsid w:val="0078326D"/>
    <w:rsid w:val="007840EB"/>
    <w:rsid w:val="007953A3"/>
    <w:rsid w:val="007953FA"/>
    <w:rsid w:val="007A3868"/>
    <w:rsid w:val="007B0927"/>
    <w:rsid w:val="007B31D2"/>
    <w:rsid w:val="007C1714"/>
    <w:rsid w:val="007C25B6"/>
    <w:rsid w:val="007C69D0"/>
    <w:rsid w:val="007C7E56"/>
    <w:rsid w:val="007D2501"/>
    <w:rsid w:val="007D3FAB"/>
    <w:rsid w:val="007E1B6D"/>
    <w:rsid w:val="007E1F79"/>
    <w:rsid w:val="007E27BF"/>
    <w:rsid w:val="007F2F74"/>
    <w:rsid w:val="007F7C6A"/>
    <w:rsid w:val="00805604"/>
    <w:rsid w:val="00814B4D"/>
    <w:rsid w:val="008155C5"/>
    <w:rsid w:val="00816516"/>
    <w:rsid w:val="00816A64"/>
    <w:rsid w:val="0083010B"/>
    <w:rsid w:val="0083496F"/>
    <w:rsid w:val="00836A98"/>
    <w:rsid w:val="00836FF3"/>
    <w:rsid w:val="00837654"/>
    <w:rsid w:val="0083775E"/>
    <w:rsid w:val="00837818"/>
    <w:rsid w:val="00846033"/>
    <w:rsid w:val="00861791"/>
    <w:rsid w:val="00866CA2"/>
    <w:rsid w:val="0086739C"/>
    <w:rsid w:val="0087004C"/>
    <w:rsid w:val="008700B2"/>
    <w:rsid w:val="00870A31"/>
    <w:rsid w:val="008744F5"/>
    <w:rsid w:val="00875ABA"/>
    <w:rsid w:val="00875E7B"/>
    <w:rsid w:val="008849F0"/>
    <w:rsid w:val="00884D19"/>
    <w:rsid w:val="0088780F"/>
    <w:rsid w:val="00893784"/>
    <w:rsid w:val="00896666"/>
    <w:rsid w:val="008A0CEF"/>
    <w:rsid w:val="008B0233"/>
    <w:rsid w:val="008B0B41"/>
    <w:rsid w:val="008B31A7"/>
    <w:rsid w:val="008D0B3B"/>
    <w:rsid w:val="008D33D3"/>
    <w:rsid w:val="008D5158"/>
    <w:rsid w:val="008D5F39"/>
    <w:rsid w:val="008D7F29"/>
    <w:rsid w:val="008E1419"/>
    <w:rsid w:val="008F3D10"/>
    <w:rsid w:val="008F4F88"/>
    <w:rsid w:val="009166DF"/>
    <w:rsid w:val="009312E6"/>
    <w:rsid w:val="0093260C"/>
    <w:rsid w:val="00937503"/>
    <w:rsid w:val="00942B9F"/>
    <w:rsid w:val="00943319"/>
    <w:rsid w:val="0094346F"/>
    <w:rsid w:val="00947447"/>
    <w:rsid w:val="009613A1"/>
    <w:rsid w:val="0097494E"/>
    <w:rsid w:val="00976A8C"/>
    <w:rsid w:val="00977FF3"/>
    <w:rsid w:val="0098091D"/>
    <w:rsid w:val="00980D3C"/>
    <w:rsid w:val="00984CC9"/>
    <w:rsid w:val="009941A6"/>
    <w:rsid w:val="0099510C"/>
    <w:rsid w:val="009A27AF"/>
    <w:rsid w:val="009A4A48"/>
    <w:rsid w:val="009A6DC0"/>
    <w:rsid w:val="009B74C7"/>
    <w:rsid w:val="009C06EE"/>
    <w:rsid w:val="009C4C40"/>
    <w:rsid w:val="009C5078"/>
    <w:rsid w:val="009F0E95"/>
    <w:rsid w:val="009F620C"/>
    <w:rsid w:val="00A00250"/>
    <w:rsid w:val="00A009BC"/>
    <w:rsid w:val="00A03C8F"/>
    <w:rsid w:val="00A208D0"/>
    <w:rsid w:val="00A2153A"/>
    <w:rsid w:val="00A3620F"/>
    <w:rsid w:val="00A36D87"/>
    <w:rsid w:val="00A42BA3"/>
    <w:rsid w:val="00A5026C"/>
    <w:rsid w:val="00A566D5"/>
    <w:rsid w:val="00A61ADA"/>
    <w:rsid w:val="00A67B9F"/>
    <w:rsid w:val="00A80437"/>
    <w:rsid w:val="00AA0034"/>
    <w:rsid w:val="00AA4E14"/>
    <w:rsid w:val="00AC1AE7"/>
    <w:rsid w:val="00AC7E4E"/>
    <w:rsid w:val="00B03E70"/>
    <w:rsid w:val="00B0667D"/>
    <w:rsid w:val="00B075F8"/>
    <w:rsid w:val="00B10CBD"/>
    <w:rsid w:val="00B15249"/>
    <w:rsid w:val="00B22126"/>
    <w:rsid w:val="00B23B20"/>
    <w:rsid w:val="00B24932"/>
    <w:rsid w:val="00B30024"/>
    <w:rsid w:val="00B35E10"/>
    <w:rsid w:val="00B67AB7"/>
    <w:rsid w:val="00B76EBE"/>
    <w:rsid w:val="00B807B2"/>
    <w:rsid w:val="00B81261"/>
    <w:rsid w:val="00B831FD"/>
    <w:rsid w:val="00B93E93"/>
    <w:rsid w:val="00BA0002"/>
    <w:rsid w:val="00BA7887"/>
    <w:rsid w:val="00BB0695"/>
    <w:rsid w:val="00BB0AA9"/>
    <w:rsid w:val="00BB389C"/>
    <w:rsid w:val="00BB5E22"/>
    <w:rsid w:val="00BC1538"/>
    <w:rsid w:val="00BC1927"/>
    <w:rsid w:val="00BC3D6E"/>
    <w:rsid w:val="00BC43BB"/>
    <w:rsid w:val="00BD0190"/>
    <w:rsid w:val="00BD36BD"/>
    <w:rsid w:val="00BD49FC"/>
    <w:rsid w:val="00BE027C"/>
    <w:rsid w:val="00BE229C"/>
    <w:rsid w:val="00BE2BE6"/>
    <w:rsid w:val="00BE359F"/>
    <w:rsid w:val="00BE6FC4"/>
    <w:rsid w:val="00BF2390"/>
    <w:rsid w:val="00BF2E8C"/>
    <w:rsid w:val="00BF513D"/>
    <w:rsid w:val="00BF52B9"/>
    <w:rsid w:val="00C2211B"/>
    <w:rsid w:val="00C24E2A"/>
    <w:rsid w:val="00C32FB4"/>
    <w:rsid w:val="00C34601"/>
    <w:rsid w:val="00C415A9"/>
    <w:rsid w:val="00C45CBF"/>
    <w:rsid w:val="00C47234"/>
    <w:rsid w:val="00C5578E"/>
    <w:rsid w:val="00C56F38"/>
    <w:rsid w:val="00C57229"/>
    <w:rsid w:val="00C57A04"/>
    <w:rsid w:val="00C74942"/>
    <w:rsid w:val="00C808EB"/>
    <w:rsid w:val="00C8512E"/>
    <w:rsid w:val="00C87E32"/>
    <w:rsid w:val="00C9657E"/>
    <w:rsid w:val="00CA1AB8"/>
    <w:rsid w:val="00CA3606"/>
    <w:rsid w:val="00CA5E59"/>
    <w:rsid w:val="00CB4EE6"/>
    <w:rsid w:val="00CB6539"/>
    <w:rsid w:val="00CC25B9"/>
    <w:rsid w:val="00CD5867"/>
    <w:rsid w:val="00CD6536"/>
    <w:rsid w:val="00CD674A"/>
    <w:rsid w:val="00CD73E5"/>
    <w:rsid w:val="00CE2D16"/>
    <w:rsid w:val="00CE2E34"/>
    <w:rsid w:val="00CE3408"/>
    <w:rsid w:val="00CE6C2F"/>
    <w:rsid w:val="00CE6E51"/>
    <w:rsid w:val="00CF3BE6"/>
    <w:rsid w:val="00D0326E"/>
    <w:rsid w:val="00D039E3"/>
    <w:rsid w:val="00D04025"/>
    <w:rsid w:val="00D11BF3"/>
    <w:rsid w:val="00D15C83"/>
    <w:rsid w:val="00D22E42"/>
    <w:rsid w:val="00D32675"/>
    <w:rsid w:val="00D337FF"/>
    <w:rsid w:val="00D36F93"/>
    <w:rsid w:val="00D43106"/>
    <w:rsid w:val="00D43B65"/>
    <w:rsid w:val="00D4715E"/>
    <w:rsid w:val="00D50483"/>
    <w:rsid w:val="00D50FA2"/>
    <w:rsid w:val="00D51CA5"/>
    <w:rsid w:val="00D605D6"/>
    <w:rsid w:val="00D91B19"/>
    <w:rsid w:val="00D93134"/>
    <w:rsid w:val="00D95972"/>
    <w:rsid w:val="00DA19EF"/>
    <w:rsid w:val="00DA2E46"/>
    <w:rsid w:val="00DA3EA5"/>
    <w:rsid w:val="00DA4062"/>
    <w:rsid w:val="00DB07DE"/>
    <w:rsid w:val="00DB6470"/>
    <w:rsid w:val="00DB648D"/>
    <w:rsid w:val="00DD2AE9"/>
    <w:rsid w:val="00DE21E8"/>
    <w:rsid w:val="00DE279C"/>
    <w:rsid w:val="00E131D1"/>
    <w:rsid w:val="00E22CBF"/>
    <w:rsid w:val="00E24A49"/>
    <w:rsid w:val="00E3190C"/>
    <w:rsid w:val="00E33B4C"/>
    <w:rsid w:val="00E346C5"/>
    <w:rsid w:val="00E40218"/>
    <w:rsid w:val="00E44C93"/>
    <w:rsid w:val="00E6060C"/>
    <w:rsid w:val="00E637A9"/>
    <w:rsid w:val="00E67DF9"/>
    <w:rsid w:val="00E71A4E"/>
    <w:rsid w:val="00E92BA7"/>
    <w:rsid w:val="00E957E7"/>
    <w:rsid w:val="00EB4AEC"/>
    <w:rsid w:val="00ED4D5F"/>
    <w:rsid w:val="00ED6D28"/>
    <w:rsid w:val="00ED72DC"/>
    <w:rsid w:val="00EE1389"/>
    <w:rsid w:val="00EE3D1C"/>
    <w:rsid w:val="00EE3FF1"/>
    <w:rsid w:val="00EE6A89"/>
    <w:rsid w:val="00EF2CF1"/>
    <w:rsid w:val="00F02A03"/>
    <w:rsid w:val="00F16856"/>
    <w:rsid w:val="00F23C03"/>
    <w:rsid w:val="00F43B46"/>
    <w:rsid w:val="00F46C50"/>
    <w:rsid w:val="00F50DD6"/>
    <w:rsid w:val="00F517BA"/>
    <w:rsid w:val="00F538E2"/>
    <w:rsid w:val="00F76A89"/>
    <w:rsid w:val="00F8151A"/>
    <w:rsid w:val="00F822CF"/>
    <w:rsid w:val="00F93C6F"/>
    <w:rsid w:val="00F9418D"/>
    <w:rsid w:val="00F94BDC"/>
    <w:rsid w:val="00FA29A1"/>
    <w:rsid w:val="00FA7B4A"/>
    <w:rsid w:val="00FB50E5"/>
    <w:rsid w:val="00FB6912"/>
    <w:rsid w:val="00FC12AF"/>
    <w:rsid w:val="00FC1536"/>
    <w:rsid w:val="00FC2785"/>
    <w:rsid w:val="00FC4922"/>
    <w:rsid w:val="00FD19D9"/>
    <w:rsid w:val="00FD51C3"/>
    <w:rsid w:val="00FE4777"/>
    <w:rsid w:val="00FE4FF0"/>
    <w:rsid w:val="00FE551A"/>
    <w:rsid w:val="00FE60DA"/>
    <w:rsid w:val="00FE6DDE"/>
    <w:rsid w:val="00FF415F"/>
    <w:rsid w:val="00FF74A7"/>
    <w:rsid w:val="00FF75EA"/>
    <w:rsid w:val="01011432"/>
    <w:rsid w:val="01113D6B"/>
    <w:rsid w:val="011A5E25"/>
    <w:rsid w:val="012A118F"/>
    <w:rsid w:val="014F6641"/>
    <w:rsid w:val="01521C8D"/>
    <w:rsid w:val="01633E9B"/>
    <w:rsid w:val="0168325F"/>
    <w:rsid w:val="01A544B3"/>
    <w:rsid w:val="01AE3368"/>
    <w:rsid w:val="01D17056"/>
    <w:rsid w:val="021D673F"/>
    <w:rsid w:val="02311242"/>
    <w:rsid w:val="02557C87"/>
    <w:rsid w:val="02690376"/>
    <w:rsid w:val="028642E4"/>
    <w:rsid w:val="02B01361"/>
    <w:rsid w:val="02C72207"/>
    <w:rsid w:val="02D23086"/>
    <w:rsid w:val="03096D43"/>
    <w:rsid w:val="0317318F"/>
    <w:rsid w:val="03305FFE"/>
    <w:rsid w:val="033923C2"/>
    <w:rsid w:val="033C49A3"/>
    <w:rsid w:val="035937A7"/>
    <w:rsid w:val="03693FA8"/>
    <w:rsid w:val="0387014A"/>
    <w:rsid w:val="03C54999"/>
    <w:rsid w:val="041B0A5C"/>
    <w:rsid w:val="04243DB5"/>
    <w:rsid w:val="047C774D"/>
    <w:rsid w:val="04842AA6"/>
    <w:rsid w:val="049802FF"/>
    <w:rsid w:val="04B0389B"/>
    <w:rsid w:val="04D56E5D"/>
    <w:rsid w:val="04DA4474"/>
    <w:rsid w:val="05191440"/>
    <w:rsid w:val="05214D81"/>
    <w:rsid w:val="053022E6"/>
    <w:rsid w:val="053B7608"/>
    <w:rsid w:val="056F2E0E"/>
    <w:rsid w:val="05816FE5"/>
    <w:rsid w:val="05834B0B"/>
    <w:rsid w:val="05A056BD"/>
    <w:rsid w:val="05B44CC5"/>
    <w:rsid w:val="05C07B0D"/>
    <w:rsid w:val="05C80770"/>
    <w:rsid w:val="05DB04A3"/>
    <w:rsid w:val="05E530D0"/>
    <w:rsid w:val="065B3392"/>
    <w:rsid w:val="06874187"/>
    <w:rsid w:val="069C40D7"/>
    <w:rsid w:val="06A20FC1"/>
    <w:rsid w:val="06A411DD"/>
    <w:rsid w:val="06C07699"/>
    <w:rsid w:val="070E75E1"/>
    <w:rsid w:val="07577FFE"/>
    <w:rsid w:val="075E3688"/>
    <w:rsid w:val="076B1CFB"/>
    <w:rsid w:val="07B0770E"/>
    <w:rsid w:val="07B436A2"/>
    <w:rsid w:val="07C47C51"/>
    <w:rsid w:val="07C531B9"/>
    <w:rsid w:val="07CA07CF"/>
    <w:rsid w:val="07CB4548"/>
    <w:rsid w:val="08027530"/>
    <w:rsid w:val="080D4B60"/>
    <w:rsid w:val="081952B3"/>
    <w:rsid w:val="082425D6"/>
    <w:rsid w:val="083C3D2C"/>
    <w:rsid w:val="08510EF1"/>
    <w:rsid w:val="086230FE"/>
    <w:rsid w:val="0865499C"/>
    <w:rsid w:val="08716E9D"/>
    <w:rsid w:val="08766BA9"/>
    <w:rsid w:val="088272FC"/>
    <w:rsid w:val="088C3CD7"/>
    <w:rsid w:val="08BA08C0"/>
    <w:rsid w:val="08BB45BC"/>
    <w:rsid w:val="08D51B22"/>
    <w:rsid w:val="08E81CF0"/>
    <w:rsid w:val="08FA6E92"/>
    <w:rsid w:val="092403B3"/>
    <w:rsid w:val="092C1016"/>
    <w:rsid w:val="094C3466"/>
    <w:rsid w:val="095567BF"/>
    <w:rsid w:val="09A82D92"/>
    <w:rsid w:val="09B07E99"/>
    <w:rsid w:val="09CD45A7"/>
    <w:rsid w:val="09D122E9"/>
    <w:rsid w:val="09FC4E8C"/>
    <w:rsid w:val="0A325A83"/>
    <w:rsid w:val="0A73514E"/>
    <w:rsid w:val="0A7F7F97"/>
    <w:rsid w:val="0A912C71"/>
    <w:rsid w:val="0A9E7CF1"/>
    <w:rsid w:val="0AA479FE"/>
    <w:rsid w:val="0AB91A3A"/>
    <w:rsid w:val="0AC0235E"/>
    <w:rsid w:val="0ACC485F"/>
    <w:rsid w:val="0ADA3F4C"/>
    <w:rsid w:val="0ADF27E4"/>
    <w:rsid w:val="0AF82734"/>
    <w:rsid w:val="0B0E131B"/>
    <w:rsid w:val="0B116715"/>
    <w:rsid w:val="0B2B5A29"/>
    <w:rsid w:val="0B48482D"/>
    <w:rsid w:val="0B5A00BC"/>
    <w:rsid w:val="0B5C3E34"/>
    <w:rsid w:val="0B9C6927"/>
    <w:rsid w:val="0BBF61BC"/>
    <w:rsid w:val="0BCB5C52"/>
    <w:rsid w:val="0BD460C1"/>
    <w:rsid w:val="0BE300B2"/>
    <w:rsid w:val="0BE856C8"/>
    <w:rsid w:val="0C01370B"/>
    <w:rsid w:val="0C01678A"/>
    <w:rsid w:val="0C085D6A"/>
    <w:rsid w:val="0C193AD3"/>
    <w:rsid w:val="0C483CD8"/>
    <w:rsid w:val="0C7B29E0"/>
    <w:rsid w:val="0C7D22B4"/>
    <w:rsid w:val="0C807FF6"/>
    <w:rsid w:val="0C9D4705"/>
    <w:rsid w:val="0CA912FB"/>
    <w:rsid w:val="0CD45BD6"/>
    <w:rsid w:val="0D166CFD"/>
    <w:rsid w:val="0D2C7836"/>
    <w:rsid w:val="0D896A37"/>
    <w:rsid w:val="0D8C18C1"/>
    <w:rsid w:val="0DA85BF2"/>
    <w:rsid w:val="0DB00467"/>
    <w:rsid w:val="0DDA3736"/>
    <w:rsid w:val="0DF42353"/>
    <w:rsid w:val="0E0013EF"/>
    <w:rsid w:val="0E012A71"/>
    <w:rsid w:val="0E1C3D4F"/>
    <w:rsid w:val="0E2B3F92"/>
    <w:rsid w:val="0E4532A6"/>
    <w:rsid w:val="0E8B67DF"/>
    <w:rsid w:val="0EC37B54"/>
    <w:rsid w:val="0EDB32C2"/>
    <w:rsid w:val="0EDB7766"/>
    <w:rsid w:val="0EE773CD"/>
    <w:rsid w:val="0EEF3211"/>
    <w:rsid w:val="0EF3685E"/>
    <w:rsid w:val="0EFB1BB6"/>
    <w:rsid w:val="0F1C6324"/>
    <w:rsid w:val="0F29227F"/>
    <w:rsid w:val="0F3E0B9A"/>
    <w:rsid w:val="0F4F5A5E"/>
    <w:rsid w:val="0F6634D4"/>
    <w:rsid w:val="0F7200CA"/>
    <w:rsid w:val="0F7F4595"/>
    <w:rsid w:val="0FB35FED"/>
    <w:rsid w:val="0FC401FA"/>
    <w:rsid w:val="0FE12B5A"/>
    <w:rsid w:val="102869DB"/>
    <w:rsid w:val="10520096"/>
    <w:rsid w:val="10637A13"/>
    <w:rsid w:val="10861954"/>
    <w:rsid w:val="10A36062"/>
    <w:rsid w:val="10A5627E"/>
    <w:rsid w:val="10BD35C7"/>
    <w:rsid w:val="115D26B4"/>
    <w:rsid w:val="11691059"/>
    <w:rsid w:val="117B0D8C"/>
    <w:rsid w:val="11A6405B"/>
    <w:rsid w:val="11D5049D"/>
    <w:rsid w:val="11E626AA"/>
    <w:rsid w:val="1218364A"/>
    <w:rsid w:val="12241424"/>
    <w:rsid w:val="122F22A3"/>
    <w:rsid w:val="124A70DD"/>
    <w:rsid w:val="12505D75"/>
    <w:rsid w:val="12AA36D7"/>
    <w:rsid w:val="12BB58E4"/>
    <w:rsid w:val="12C0739F"/>
    <w:rsid w:val="12F9465F"/>
    <w:rsid w:val="12FC7CAB"/>
    <w:rsid w:val="13101EF5"/>
    <w:rsid w:val="13623FB2"/>
    <w:rsid w:val="13923B3C"/>
    <w:rsid w:val="13931986"/>
    <w:rsid w:val="139A7BF0"/>
    <w:rsid w:val="13A73607"/>
    <w:rsid w:val="13D053C0"/>
    <w:rsid w:val="13F54E26"/>
    <w:rsid w:val="13FB7F63"/>
    <w:rsid w:val="14045069"/>
    <w:rsid w:val="14264FE0"/>
    <w:rsid w:val="14506500"/>
    <w:rsid w:val="14520465"/>
    <w:rsid w:val="1457163D"/>
    <w:rsid w:val="14733F9D"/>
    <w:rsid w:val="147C10A3"/>
    <w:rsid w:val="14B940A6"/>
    <w:rsid w:val="14C447F8"/>
    <w:rsid w:val="14F24CFF"/>
    <w:rsid w:val="15115C90"/>
    <w:rsid w:val="151B4D60"/>
    <w:rsid w:val="153B2982"/>
    <w:rsid w:val="153E1881"/>
    <w:rsid w:val="155F2CB0"/>
    <w:rsid w:val="15604521"/>
    <w:rsid w:val="15932B49"/>
    <w:rsid w:val="15A52A02"/>
    <w:rsid w:val="15A9411A"/>
    <w:rsid w:val="15AF7257"/>
    <w:rsid w:val="15E52C78"/>
    <w:rsid w:val="1606331B"/>
    <w:rsid w:val="163D4862"/>
    <w:rsid w:val="164E4CC1"/>
    <w:rsid w:val="165247B2"/>
    <w:rsid w:val="16556050"/>
    <w:rsid w:val="168164BC"/>
    <w:rsid w:val="169923E1"/>
    <w:rsid w:val="16994D22"/>
    <w:rsid w:val="169B3FD3"/>
    <w:rsid w:val="169D3553"/>
    <w:rsid w:val="16AC04CA"/>
    <w:rsid w:val="16B56AEF"/>
    <w:rsid w:val="16B84207"/>
    <w:rsid w:val="16BC7E7D"/>
    <w:rsid w:val="16EB2510"/>
    <w:rsid w:val="17081314"/>
    <w:rsid w:val="17163A31"/>
    <w:rsid w:val="17326391"/>
    <w:rsid w:val="1736143B"/>
    <w:rsid w:val="174165D4"/>
    <w:rsid w:val="175956CC"/>
    <w:rsid w:val="175C6F6A"/>
    <w:rsid w:val="17800EAB"/>
    <w:rsid w:val="17A54DB5"/>
    <w:rsid w:val="17AF1790"/>
    <w:rsid w:val="17C674E1"/>
    <w:rsid w:val="17D02CF0"/>
    <w:rsid w:val="17F83137"/>
    <w:rsid w:val="181810E3"/>
    <w:rsid w:val="183F0D66"/>
    <w:rsid w:val="186407CC"/>
    <w:rsid w:val="18934C0E"/>
    <w:rsid w:val="189B3AC2"/>
    <w:rsid w:val="18AE7C99"/>
    <w:rsid w:val="18D70F9E"/>
    <w:rsid w:val="18E831AB"/>
    <w:rsid w:val="19151AC7"/>
    <w:rsid w:val="191775ED"/>
    <w:rsid w:val="19406B43"/>
    <w:rsid w:val="194523AC"/>
    <w:rsid w:val="194F4FBD"/>
    <w:rsid w:val="196934AD"/>
    <w:rsid w:val="196C5B8A"/>
    <w:rsid w:val="197E58BE"/>
    <w:rsid w:val="199D21E8"/>
    <w:rsid w:val="19A277FE"/>
    <w:rsid w:val="19B80DD0"/>
    <w:rsid w:val="19E45129"/>
    <w:rsid w:val="1A240213"/>
    <w:rsid w:val="1A2E5016"/>
    <w:rsid w:val="1A2F0966"/>
    <w:rsid w:val="1A5B175B"/>
    <w:rsid w:val="1A5F124B"/>
    <w:rsid w:val="1A6920CA"/>
    <w:rsid w:val="1A705206"/>
    <w:rsid w:val="1A8D2B13"/>
    <w:rsid w:val="1AC92B69"/>
    <w:rsid w:val="1ACA63E0"/>
    <w:rsid w:val="1ADF238C"/>
    <w:rsid w:val="1AE71241"/>
    <w:rsid w:val="1AF92BB3"/>
    <w:rsid w:val="1B3A3A66"/>
    <w:rsid w:val="1B3C158C"/>
    <w:rsid w:val="1B4548E5"/>
    <w:rsid w:val="1B684130"/>
    <w:rsid w:val="1B80501B"/>
    <w:rsid w:val="1B950C9D"/>
    <w:rsid w:val="1BAE1B3B"/>
    <w:rsid w:val="1BC7354C"/>
    <w:rsid w:val="1BCA303C"/>
    <w:rsid w:val="1BFB6D69"/>
    <w:rsid w:val="1C033E58"/>
    <w:rsid w:val="1C071B9A"/>
    <w:rsid w:val="1C0C0F5F"/>
    <w:rsid w:val="1C0F6CA1"/>
    <w:rsid w:val="1C4C3A51"/>
    <w:rsid w:val="1C766D20"/>
    <w:rsid w:val="1C80194D"/>
    <w:rsid w:val="1CA76EDA"/>
    <w:rsid w:val="1CB33AD0"/>
    <w:rsid w:val="1CEE68B6"/>
    <w:rsid w:val="1D320E99"/>
    <w:rsid w:val="1D491D3F"/>
    <w:rsid w:val="1DA578BD"/>
    <w:rsid w:val="1DAB47A7"/>
    <w:rsid w:val="1DB96EC4"/>
    <w:rsid w:val="1DBE44DB"/>
    <w:rsid w:val="1DD67A76"/>
    <w:rsid w:val="1DDC5D1E"/>
    <w:rsid w:val="1DE869C3"/>
    <w:rsid w:val="1E0C793C"/>
    <w:rsid w:val="1E252D30"/>
    <w:rsid w:val="1E293FBC"/>
    <w:rsid w:val="1E2A6014"/>
    <w:rsid w:val="1E3D3153"/>
    <w:rsid w:val="1E5E7A6C"/>
    <w:rsid w:val="1E6E4153"/>
    <w:rsid w:val="1EE77A61"/>
    <w:rsid w:val="1EEE7042"/>
    <w:rsid w:val="1EFC175F"/>
    <w:rsid w:val="1F413615"/>
    <w:rsid w:val="1F4C5B16"/>
    <w:rsid w:val="1FA63478"/>
    <w:rsid w:val="1FBF278C"/>
    <w:rsid w:val="1FD71884"/>
    <w:rsid w:val="1FEA5A5B"/>
    <w:rsid w:val="200563F1"/>
    <w:rsid w:val="20126D60"/>
    <w:rsid w:val="201422ED"/>
    <w:rsid w:val="20362A4E"/>
    <w:rsid w:val="205E01F7"/>
    <w:rsid w:val="20657A7F"/>
    <w:rsid w:val="209B0B03"/>
    <w:rsid w:val="20A35C0A"/>
    <w:rsid w:val="20D02EA3"/>
    <w:rsid w:val="20E71C09"/>
    <w:rsid w:val="20E73D48"/>
    <w:rsid w:val="211014F1"/>
    <w:rsid w:val="21254871"/>
    <w:rsid w:val="212C5BFF"/>
    <w:rsid w:val="214C2544"/>
    <w:rsid w:val="215A09BE"/>
    <w:rsid w:val="215A276C"/>
    <w:rsid w:val="215D400B"/>
    <w:rsid w:val="216B497A"/>
    <w:rsid w:val="21937A2C"/>
    <w:rsid w:val="21A8155E"/>
    <w:rsid w:val="21C85928"/>
    <w:rsid w:val="21E604A4"/>
    <w:rsid w:val="21F93CE9"/>
    <w:rsid w:val="220426D8"/>
    <w:rsid w:val="22124DF5"/>
    <w:rsid w:val="224F1BA5"/>
    <w:rsid w:val="22623FCE"/>
    <w:rsid w:val="22631AF5"/>
    <w:rsid w:val="228A7081"/>
    <w:rsid w:val="228D6B72"/>
    <w:rsid w:val="22BD2FB3"/>
    <w:rsid w:val="22C00CF5"/>
    <w:rsid w:val="22C04851"/>
    <w:rsid w:val="22CE1AC1"/>
    <w:rsid w:val="230E1A60"/>
    <w:rsid w:val="232474D6"/>
    <w:rsid w:val="23377209"/>
    <w:rsid w:val="23775858"/>
    <w:rsid w:val="239F090A"/>
    <w:rsid w:val="23B56380"/>
    <w:rsid w:val="23C72304"/>
    <w:rsid w:val="23F46EA8"/>
    <w:rsid w:val="241F37F9"/>
    <w:rsid w:val="243279D1"/>
    <w:rsid w:val="24653902"/>
    <w:rsid w:val="24AA3A0B"/>
    <w:rsid w:val="24AF254A"/>
    <w:rsid w:val="24AF7273"/>
    <w:rsid w:val="24BA420C"/>
    <w:rsid w:val="24C525F3"/>
    <w:rsid w:val="24CA19B7"/>
    <w:rsid w:val="24FA6740"/>
    <w:rsid w:val="25096983"/>
    <w:rsid w:val="25270BB7"/>
    <w:rsid w:val="2564005E"/>
    <w:rsid w:val="257858B7"/>
    <w:rsid w:val="25853B30"/>
    <w:rsid w:val="25950217"/>
    <w:rsid w:val="25A20B86"/>
    <w:rsid w:val="25BD32CA"/>
    <w:rsid w:val="25C40AFC"/>
    <w:rsid w:val="25CE197B"/>
    <w:rsid w:val="25EE7927"/>
    <w:rsid w:val="2628108B"/>
    <w:rsid w:val="26490DAB"/>
    <w:rsid w:val="265C0D35"/>
    <w:rsid w:val="26667E05"/>
    <w:rsid w:val="26771661"/>
    <w:rsid w:val="26865A28"/>
    <w:rsid w:val="26881050"/>
    <w:rsid w:val="26976211"/>
    <w:rsid w:val="26A30712"/>
    <w:rsid w:val="26F64CE5"/>
    <w:rsid w:val="271B0BF0"/>
    <w:rsid w:val="271C2272"/>
    <w:rsid w:val="272F1FA5"/>
    <w:rsid w:val="2767173F"/>
    <w:rsid w:val="276E2ACE"/>
    <w:rsid w:val="27AE55C0"/>
    <w:rsid w:val="27B54BA0"/>
    <w:rsid w:val="27B801ED"/>
    <w:rsid w:val="27C13D12"/>
    <w:rsid w:val="27EB6814"/>
    <w:rsid w:val="28177609"/>
    <w:rsid w:val="281A4A03"/>
    <w:rsid w:val="281C2BC6"/>
    <w:rsid w:val="281C4C20"/>
    <w:rsid w:val="28235FAE"/>
    <w:rsid w:val="28327F9F"/>
    <w:rsid w:val="285F4B0C"/>
    <w:rsid w:val="2863671A"/>
    <w:rsid w:val="28757E8C"/>
    <w:rsid w:val="28AD1D1C"/>
    <w:rsid w:val="28B22E8E"/>
    <w:rsid w:val="28D41056"/>
    <w:rsid w:val="28D9666D"/>
    <w:rsid w:val="28DC7F0B"/>
    <w:rsid w:val="28E91021"/>
    <w:rsid w:val="28F416F8"/>
    <w:rsid w:val="28F811E9"/>
    <w:rsid w:val="28F9286B"/>
    <w:rsid w:val="29001E4B"/>
    <w:rsid w:val="2920429C"/>
    <w:rsid w:val="29332221"/>
    <w:rsid w:val="293D63C7"/>
    <w:rsid w:val="294F692F"/>
    <w:rsid w:val="298F1421"/>
    <w:rsid w:val="299B1B74"/>
    <w:rsid w:val="29BA46F0"/>
    <w:rsid w:val="29C91AA7"/>
    <w:rsid w:val="29D62BAC"/>
    <w:rsid w:val="2A133E00"/>
    <w:rsid w:val="2A32072A"/>
    <w:rsid w:val="2A391AB9"/>
    <w:rsid w:val="2A4B359A"/>
    <w:rsid w:val="2A53244F"/>
    <w:rsid w:val="2AB729DE"/>
    <w:rsid w:val="2AD71AB6"/>
    <w:rsid w:val="2ADE440E"/>
    <w:rsid w:val="2AE51113"/>
    <w:rsid w:val="2AE5579D"/>
    <w:rsid w:val="2AEB08D9"/>
    <w:rsid w:val="2B147E30"/>
    <w:rsid w:val="2B397C23"/>
    <w:rsid w:val="2B3B360F"/>
    <w:rsid w:val="2B591CE7"/>
    <w:rsid w:val="2B684AE1"/>
    <w:rsid w:val="2B786611"/>
    <w:rsid w:val="2BCC24B9"/>
    <w:rsid w:val="2BD25682"/>
    <w:rsid w:val="2BE27F2E"/>
    <w:rsid w:val="2BFF463C"/>
    <w:rsid w:val="2C0E487F"/>
    <w:rsid w:val="2C414C55"/>
    <w:rsid w:val="2C475FE3"/>
    <w:rsid w:val="2C646B95"/>
    <w:rsid w:val="2CC633AC"/>
    <w:rsid w:val="2CDD374A"/>
    <w:rsid w:val="2CDE6947"/>
    <w:rsid w:val="2CEF7A50"/>
    <w:rsid w:val="2D3227EF"/>
    <w:rsid w:val="2D3E2F42"/>
    <w:rsid w:val="2D6D3F12"/>
    <w:rsid w:val="2DB7418D"/>
    <w:rsid w:val="2DC773DC"/>
    <w:rsid w:val="2DD03D81"/>
    <w:rsid w:val="2E310CF9"/>
    <w:rsid w:val="2E3F6F72"/>
    <w:rsid w:val="2E497DF1"/>
    <w:rsid w:val="2EB536D8"/>
    <w:rsid w:val="2ECD316E"/>
    <w:rsid w:val="2EDA313F"/>
    <w:rsid w:val="2EEE0998"/>
    <w:rsid w:val="2F0F7C3C"/>
    <w:rsid w:val="2F1C6FCF"/>
    <w:rsid w:val="2F5C7FF7"/>
    <w:rsid w:val="2F5E167A"/>
    <w:rsid w:val="2F880DEC"/>
    <w:rsid w:val="3034062C"/>
    <w:rsid w:val="3040584C"/>
    <w:rsid w:val="30536D05"/>
    <w:rsid w:val="305F1B4D"/>
    <w:rsid w:val="305F7D9F"/>
    <w:rsid w:val="30705B08"/>
    <w:rsid w:val="30766E97"/>
    <w:rsid w:val="307A6987"/>
    <w:rsid w:val="30C220DC"/>
    <w:rsid w:val="30C82535"/>
    <w:rsid w:val="30E56588"/>
    <w:rsid w:val="30E91417"/>
    <w:rsid w:val="31293F09"/>
    <w:rsid w:val="314F3970"/>
    <w:rsid w:val="3159659D"/>
    <w:rsid w:val="31B41A25"/>
    <w:rsid w:val="31CD0D39"/>
    <w:rsid w:val="31D2634F"/>
    <w:rsid w:val="31E56082"/>
    <w:rsid w:val="320504D2"/>
    <w:rsid w:val="32513718"/>
    <w:rsid w:val="32690A61"/>
    <w:rsid w:val="326A47D9"/>
    <w:rsid w:val="32B1065A"/>
    <w:rsid w:val="32D54B9D"/>
    <w:rsid w:val="32E4458C"/>
    <w:rsid w:val="32E77BD8"/>
    <w:rsid w:val="332D26D2"/>
    <w:rsid w:val="33443C83"/>
    <w:rsid w:val="3378107E"/>
    <w:rsid w:val="337F6063"/>
    <w:rsid w:val="338F44F8"/>
    <w:rsid w:val="33997124"/>
    <w:rsid w:val="339C2C4F"/>
    <w:rsid w:val="33BC1065"/>
    <w:rsid w:val="33D95773"/>
    <w:rsid w:val="34256C0A"/>
    <w:rsid w:val="344D7F0F"/>
    <w:rsid w:val="34621C0C"/>
    <w:rsid w:val="34912FD3"/>
    <w:rsid w:val="34BD32E6"/>
    <w:rsid w:val="34C3111C"/>
    <w:rsid w:val="34FA3BF3"/>
    <w:rsid w:val="35213875"/>
    <w:rsid w:val="353B5F42"/>
    <w:rsid w:val="3566572C"/>
    <w:rsid w:val="356E1305"/>
    <w:rsid w:val="3571636E"/>
    <w:rsid w:val="358362DE"/>
    <w:rsid w:val="358F4AB7"/>
    <w:rsid w:val="35990AF0"/>
    <w:rsid w:val="35A63D7A"/>
    <w:rsid w:val="35C506A4"/>
    <w:rsid w:val="35C8047F"/>
    <w:rsid w:val="35FB2318"/>
    <w:rsid w:val="36021D61"/>
    <w:rsid w:val="360F7B72"/>
    <w:rsid w:val="36213401"/>
    <w:rsid w:val="36237179"/>
    <w:rsid w:val="36392E40"/>
    <w:rsid w:val="36794FEB"/>
    <w:rsid w:val="3687595A"/>
    <w:rsid w:val="368816D2"/>
    <w:rsid w:val="36AC716F"/>
    <w:rsid w:val="36D87F64"/>
    <w:rsid w:val="36F32FEF"/>
    <w:rsid w:val="371A057C"/>
    <w:rsid w:val="373A720A"/>
    <w:rsid w:val="373B6744"/>
    <w:rsid w:val="37490E61"/>
    <w:rsid w:val="3767086F"/>
    <w:rsid w:val="37695060"/>
    <w:rsid w:val="376D0FF4"/>
    <w:rsid w:val="377D0B0B"/>
    <w:rsid w:val="379A16BD"/>
    <w:rsid w:val="37A662B4"/>
    <w:rsid w:val="37A97B52"/>
    <w:rsid w:val="37B207B5"/>
    <w:rsid w:val="37B66A6F"/>
    <w:rsid w:val="37BE35FD"/>
    <w:rsid w:val="37D72911"/>
    <w:rsid w:val="37DF17C6"/>
    <w:rsid w:val="37EE25DC"/>
    <w:rsid w:val="3801173C"/>
    <w:rsid w:val="381E22EE"/>
    <w:rsid w:val="387E0FDF"/>
    <w:rsid w:val="388760E5"/>
    <w:rsid w:val="38C5276A"/>
    <w:rsid w:val="38DE382B"/>
    <w:rsid w:val="392C27E9"/>
    <w:rsid w:val="393B79AD"/>
    <w:rsid w:val="393D2C48"/>
    <w:rsid w:val="398571AE"/>
    <w:rsid w:val="39D37108"/>
    <w:rsid w:val="3A15327D"/>
    <w:rsid w:val="3A1C0AAF"/>
    <w:rsid w:val="3A1D02E4"/>
    <w:rsid w:val="3A35391F"/>
    <w:rsid w:val="3A64183E"/>
    <w:rsid w:val="3A661D2A"/>
    <w:rsid w:val="3AA36ADA"/>
    <w:rsid w:val="3AAC0EF8"/>
    <w:rsid w:val="3AAE3D38"/>
    <w:rsid w:val="3AB17449"/>
    <w:rsid w:val="3AC64CBD"/>
    <w:rsid w:val="3AD76784"/>
    <w:rsid w:val="3B08242C"/>
    <w:rsid w:val="3B0F23C2"/>
    <w:rsid w:val="3B246A26"/>
    <w:rsid w:val="3B60677A"/>
    <w:rsid w:val="3B732951"/>
    <w:rsid w:val="3B862684"/>
    <w:rsid w:val="3B8A37F6"/>
    <w:rsid w:val="3B9A1C8B"/>
    <w:rsid w:val="3BD11425"/>
    <w:rsid w:val="3BDD7DCA"/>
    <w:rsid w:val="3BE92C13"/>
    <w:rsid w:val="3BEB698B"/>
    <w:rsid w:val="3BFF33E6"/>
    <w:rsid w:val="3C033CD5"/>
    <w:rsid w:val="3C17152E"/>
    <w:rsid w:val="3C38616C"/>
    <w:rsid w:val="3C5A58BF"/>
    <w:rsid w:val="3C5E715D"/>
    <w:rsid w:val="3CA8662A"/>
    <w:rsid w:val="3CAA23A2"/>
    <w:rsid w:val="3CB72D11"/>
    <w:rsid w:val="3CBA010B"/>
    <w:rsid w:val="3CEF6007"/>
    <w:rsid w:val="3D0870C9"/>
    <w:rsid w:val="3D1141CF"/>
    <w:rsid w:val="3D2959BD"/>
    <w:rsid w:val="3D4A5E08"/>
    <w:rsid w:val="3D5B019B"/>
    <w:rsid w:val="3D69400B"/>
    <w:rsid w:val="3D7724B9"/>
    <w:rsid w:val="3D8C7CFA"/>
    <w:rsid w:val="3DAA0180"/>
    <w:rsid w:val="3DC56D68"/>
    <w:rsid w:val="3E10092B"/>
    <w:rsid w:val="3E18333B"/>
    <w:rsid w:val="3E3E7246"/>
    <w:rsid w:val="3E4B1963"/>
    <w:rsid w:val="3E75253C"/>
    <w:rsid w:val="3E774506"/>
    <w:rsid w:val="3E7C7D6E"/>
    <w:rsid w:val="3E8135D7"/>
    <w:rsid w:val="3E8978EB"/>
    <w:rsid w:val="3E9D7E49"/>
    <w:rsid w:val="3EB94B1E"/>
    <w:rsid w:val="3EC84D62"/>
    <w:rsid w:val="3EED2A1A"/>
    <w:rsid w:val="3F0F5D39"/>
    <w:rsid w:val="3F9133A5"/>
    <w:rsid w:val="3F9D61EE"/>
    <w:rsid w:val="3FA806EF"/>
    <w:rsid w:val="3FB11C9A"/>
    <w:rsid w:val="3FCE0156"/>
    <w:rsid w:val="401B1A9A"/>
    <w:rsid w:val="40580367"/>
    <w:rsid w:val="406B009A"/>
    <w:rsid w:val="407C5E04"/>
    <w:rsid w:val="40833636"/>
    <w:rsid w:val="408D0011"/>
    <w:rsid w:val="40D43E92"/>
    <w:rsid w:val="412820C7"/>
    <w:rsid w:val="412A5860"/>
    <w:rsid w:val="41456B3D"/>
    <w:rsid w:val="41766CF7"/>
    <w:rsid w:val="417B6906"/>
    <w:rsid w:val="41886A2A"/>
    <w:rsid w:val="418F600A"/>
    <w:rsid w:val="41911D83"/>
    <w:rsid w:val="41AA4BF2"/>
    <w:rsid w:val="41C21F3C"/>
    <w:rsid w:val="41CA2B9F"/>
    <w:rsid w:val="41D60B78"/>
    <w:rsid w:val="41E00614"/>
    <w:rsid w:val="41EA1493"/>
    <w:rsid w:val="41FF6CEC"/>
    <w:rsid w:val="421018B7"/>
    <w:rsid w:val="421D7172"/>
    <w:rsid w:val="422B7AE1"/>
    <w:rsid w:val="42786A9F"/>
    <w:rsid w:val="427C033D"/>
    <w:rsid w:val="4286740D"/>
    <w:rsid w:val="428B4A24"/>
    <w:rsid w:val="42A87384"/>
    <w:rsid w:val="42C121F4"/>
    <w:rsid w:val="42CF2B62"/>
    <w:rsid w:val="42E06BC9"/>
    <w:rsid w:val="42E63A08"/>
    <w:rsid w:val="431762B8"/>
    <w:rsid w:val="431C38CE"/>
    <w:rsid w:val="432A5FEB"/>
    <w:rsid w:val="43340C18"/>
    <w:rsid w:val="43544E16"/>
    <w:rsid w:val="43654948"/>
    <w:rsid w:val="43866F99"/>
    <w:rsid w:val="43B27D8E"/>
    <w:rsid w:val="43DD4E0B"/>
    <w:rsid w:val="43EA577A"/>
    <w:rsid w:val="43EC32A0"/>
    <w:rsid w:val="43FF1225"/>
    <w:rsid w:val="443133A9"/>
    <w:rsid w:val="44427364"/>
    <w:rsid w:val="444C01E3"/>
    <w:rsid w:val="447137A5"/>
    <w:rsid w:val="449000D0"/>
    <w:rsid w:val="449D27EC"/>
    <w:rsid w:val="44C24001"/>
    <w:rsid w:val="44CC6C2E"/>
    <w:rsid w:val="44CD26BA"/>
    <w:rsid w:val="44DA57EF"/>
    <w:rsid w:val="44DC50C3"/>
    <w:rsid w:val="4508235C"/>
    <w:rsid w:val="450D7972"/>
    <w:rsid w:val="45126D36"/>
    <w:rsid w:val="45140D01"/>
    <w:rsid w:val="452623BD"/>
    <w:rsid w:val="452B4BB5"/>
    <w:rsid w:val="452B604A"/>
    <w:rsid w:val="456926CF"/>
    <w:rsid w:val="457B0D80"/>
    <w:rsid w:val="45C2075D"/>
    <w:rsid w:val="45C5024D"/>
    <w:rsid w:val="460A48AD"/>
    <w:rsid w:val="46144D30"/>
    <w:rsid w:val="46477F15"/>
    <w:rsid w:val="464A2BEB"/>
    <w:rsid w:val="46511AE0"/>
    <w:rsid w:val="46752AE1"/>
    <w:rsid w:val="47280A93"/>
    <w:rsid w:val="47460F19"/>
    <w:rsid w:val="47632D59"/>
    <w:rsid w:val="47637D1D"/>
    <w:rsid w:val="47854AC2"/>
    <w:rsid w:val="47857C94"/>
    <w:rsid w:val="478B4B7E"/>
    <w:rsid w:val="47B73BC5"/>
    <w:rsid w:val="47B752C9"/>
    <w:rsid w:val="47FE35A2"/>
    <w:rsid w:val="480C5CBF"/>
    <w:rsid w:val="48396CD0"/>
    <w:rsid w:val="483E7E42"/>
    <w:rsid w:val="4840005F"/>
    <w:rsid w:val="48537D92"/>
    <w:rsid w:val="48660E58"/>
    <w:rsid w:val="488241D3"/>
    <w:rsid w:val="48961A2D"/>
    <w:rsid w:val="489839F7"/>
    <w:rsid w:val="48AE321A"/>
    <w:rsid w:val="48B85E47"/>
    <w:rsid w:val="48C540C0"/>
    <w:rsid w:val="48CC18F2"/>
    <w:rsid w:val="48D6451F"/>
    <w:rsid w:val="48EE2BC9"/>
    <w:rsid w:val="49115557"/>
    <w:rsid w:val="49325BF9"/>
    <w:rsid w:val="4933371F"/>
    <w:rsid w:val="49B06B1E"/>
    <w:rsid w:val="49B72A97"/>
    <w:rsid w:val="49C1138B"/>
    <w:rsid w:val="49C16F7D"/>
    <w:rsid w:val="49E54A1A"/>
    <w:rsid w:val="49E8275C"/>
    <w:rsid w:val="4A001853"/>
    <w:rsid w:val="4A05330E"/>
    <w:rsid w:val="4A0B36CD"/>
    <w:rsid w:val="4A1E1CDA"/>
    <w:rsid w:val="4A2A68D0"/>
    <w:rsid w:val="4A331C29"/>
    <w:rsid w:val="4A45195C"/>
    <w:rsid w:val="4A510301"/>
    <w:rsid w:val="4A630034"/>
    <w:rsid w:val="4A69564B"/>
    <w:rsid w:val="4A7638C4"/>
    <w:rsid w:val="4A897A9B"/>
    <w:rsid w:val="4A902707"/>
    <w:rsid w:val="4AA05F21"/>
    <w:rsid w:val="4AA30431"/>
    <w:rsid w:val="4ABB39CC"/>
    <w:rsid w:val="4ADD7DE7"/>
    <w:rsid w:val="4B3A7B4E"/>
    <w:rsid w:val="4B4614E8"/>
    <w:rsid w:val="4B490FD8"/>
    <w:rsid w:val="4B555BCF"/>
    <w:rsid w:val="4B614574"/>
    <w:rsid w:val="4B62129D"/>
    <w:rsid w:val="4B771FE9"/>
    <w:rsid w:val="4B840262"/>
    <w:rsid w:val="4BA70B6B"/>
    <w:rsid w:val="4BCE772F"/>
    <w:rsid w:val="4C2832E3"/>
    <w:rsid w:val="4C8A5D4C"/>
    <w:rsid w:val="4C8F3363"/>
    <w:rsid w:val="4C9170DB"/>
    <w:rsid w:val="4C9A3AC9"/>
    <w:rsid w:val="4CA54934"/>
    <w:rsid w:val="4CB44B77"/>
    <w:rsid w:val="4CD6689C"/>
    <w:rsid w:val="4CFB4554"/>
    <w:rsid w:val="4D343C52"/>
    <w:rsid w:val="4D3A5B11"/>
    <w:rsid w:val="4D3C7046"/>
    <w:rsid w:val="4D3D691B"/>
    <w:rsid w:val="4D5C1497"/>
    <w:rsid w:val="4D6D5452"/>
    <w:rsid w:val="4DB56DF9"/>
    <w:rsid w:val="4DB90697"/>
    <w:rsid w:val="4DD74FC1"/>
    <w:rsid w:val="4DDA685F"/>
    <w:rsid w:val="4DF72F08"/>
    <w:rsid w:val="4DFC0584"/>
    <w:rsid w:val="4E0631B0"/>
    <w:rsid w:val="4E0B07C7"/>
    <w:rsid w:val="4E2A50F1"/>
    <w:rsid w:val="4E342F84"/>
    <w:rsid w:val="4E4461D7"/>
    <w:rsid w:val="4E451263"/>
    <w:rsid w:val="4E4F7A0A"/>
    <w:rsid w:val="4E5B1854"/>
    <w:rsid w:val="4E656129"/>
    <w:rsid w:val="4E8A5B90"/>
    <w:rsid w:val="4EA76741"/>
    <w:rsid w:val="4ECB3430"/>
    <w:rsid w:val="4ED92673"/>
    <w:rsid w:val="4F391364"/>
    <w:rsid w:val="4F7F321A"/>
    <w:rsid w:val="4F895E47"/>
    <w:rsid w:val="4F90367A"/>
    <w:rsid w:val="4F9D5D96"/>
    <w:rsid w:val="4FC24FED"/>
    <w:rsid w:val="4FF9121F"/>
    <w:rsid w:val="50033E4B"/>
    <w:rsid w:val="50062B38"/>
    <w:rsid w:val="501222E0"/>
    <w:rsid w:val="502F2E92"/>
    <w:rsid w:val="503415A0"/>
    <w:rsid w:val="5060304C"/>
    <w:rsid w:val="50621774"/>
    <w:rsid w:val="506568B4"/>
    <w:rsid w:val="507C775A"/>
    <w:rsid w:val="50B52C6C"/>
    <w:rsid w:val="50BB64D4"/>
    <w:rsid w:val="50BD049E"/>
    <w:rsid w:val="50DE6667"/>
    <w:rsid w:val="50EE68AA"/>
    <w:rsid w:val="511C43E3"/>
    <w:rsid w:val="512322CB"/>
    <w:rsid w:val="5139564B"/>
    <w:rsid w:val="515F1555"/>
    <w:rsid w:val="51894824"/>
    <w:rsid w:val="51E657D3"/>
    <w:rsid w:val="51EB4B97"/>
    <w:rsid w:val="5248023B"/>
    <w:rsid w:val="52775DEE"/>
    <w:rsid w:val="5290573F"/>
    <w:rsid w:val="52D65847"/>
    <w:rsid w:val="52D95337"/>
    <w:rsid w:val="52DD4E28"/>
    <w:rsid w:val="52E166C3"/>
    <w:rsid w:val="531620E8"/>
    <w:rsid w:val="53226CDE"/>
    <w:rsid w:val="53285977"/>
    <w:rsid w:val="532E5683"/>
    <w:rsid w:val="538C23AA"/>
    <w:rsid w:val="53A304DF"/>
    <w:rsid w:val="53AB6CD4"/>
    <w:rsid w:val="53B17155"/>
    <w:rsid w:val="53B61F77"/>
    <w:rsid w:val="53E46B80"/>
    <w:rsid w:val="53E775E0"/>
    <w:rsid w:val="53EE2FD4"/>
    <w:rsid w:val="54422A68"/>
    <w:rsid w:val="544D38E7"/>
    <w:rsid w:val="544E11C2"/>
    <w:rsid w:val="5463310B"/>
    <w:rsid w:val="547C241E"/>
    <w:rsid w:val="54977CE1"/>
    <w:rsid w:val="54A51975"/>
    <w:rsid w:val="54B75204"/>
    <w:rsid w:val="54F71AA5"/>
    <w:rsid w:val="55051A8B"/>
    <w:rsid w:val="55091EC3"/>
    <w:rsid w:val="551E7032"/>
    <w:rsid w:val="552C5BF2"/>
    <w:rsid w:val="555E38D2"/>
    <w:rsid w:val="55603AEE"/>
    <w:rsid w:val="55613AAD"/>
    <w:rsid w:val="55AE2AAB"/>
    <w:rsid w:val="55CA0F67"/>
    <w:rsid w:val="55EB160A"/>
    <w:rsid w:val="55F935FB"/>
    <w:rsid w:val="563805C7"/>
    <w:rsid w:val="56717635"/>
    <w:rsid w:val="56BD287A"/>
    <w:rsid w:val="56D57BC4"/>
    <w:rsid w:val="56DB78D0"/>
    <w:rsid w:val="56E47D90"/>
    <w:rsid w:val="56ED7603"/>
    <w:rsid w:val="56EF512A"/>
    <w:rsid w:val="56F3629C"/>
    <w:rsid w:val="56F72230"/>
    <w:rsid w:val="56FC7846"/>
    <w:rsid w:val="575E6AC3"/>
    <w:rsid w:val="57776ECD"/>
    <w:rsid w:val="57790E97"/>
    <w:rsid w:val="577C2024"/>
    <w:rsid w:val="5794182D"/>
    <w:rsid w:val="57B343A9"/>
    <w:rsid w:val="57C57C38"/>
    <w:rsid w:val="57CC7219"/>
    <w:rsid w:val="57D1482F"/>
    <w:rsid w:val="57D53A6E"/>
    <w:rsid w:val="57D63BF4"/>
    <w:rsid w:val="582B2191"/>
    <w:rsid w:val="583C7C96"/>
    <w:rsid w:val="585A65D3"/>
    <w:rsid w:val="5875340D"/>
    <w:rsid w:val="587A0A23"/>
    <w:rsid w:val="588C69A8"/>
    <w:rsid w:val="58A27B6E"/>
    <w:rsid w:val="58A77FDA"/>
    <w:rsid w:val="58B57CAD"/>
    <w:rsid w:val="58BA19B2"/>
    <w:rsid w:val="58CD149A"/>
    <w:rsid w:val="58CD4FF7"/>
    <w:rsid w:val="58F00CE5"/>
    <w:rsid w:val="58F72073"/>
    <w:rsid w:val="58FC3B2E"/>
    <w:rsid w:val="590D1897"/>
    <w:rsid w:val="593432C8"/>
    <w:rsid w:val="593B28A8"/>
    <w:rsid w:val="593E7CA2"/>
    <w:rsid w:val="5943175D"/>
    <w:rsid w:val="594D25DB"/>
    <w:rsid w:val="594E4DC3"/>
    <w:rsid w:val="59561490"/>
    <w:rsid w:val="59705BA9"/>
    <w:rsid w:val="598B6C60"/>
    <w:rsid w:val="598F04FE"/>
    <w:rsid w:val="59D16D68"/>
    <w:rsid w:val="5A105AE3"/>
    <w:rsid w:val="5A2A0227"/>
    <w:rsid w:val="5A382944"/>
    <w:rsid w:val="5A3B4BCC"/>
    <w:rsid w:val="5A53777D"/>
    <w:rsid w:val="5A584D94"/>
    <w:rsid w:val="5A7659B1"/>
    <w:rsid w:val="5A985916"/>
    <w:rsid w:val="5AB3021C"/>
    <w:rsid w:val="5AB9459A"/>
    <w:rsid w:val="5ABA3CA0"/>
    <w:rsid w:val="5ABC17C7"/>
    <w:rsid w:val="5AC16DDD"/>
    <w:rsid w:val="5AD36B10"/>
    <w:rsid w:val="5AEB20AC"/>
    <w:rsid w:val="5B2353A2"/>
    <w:rsid w:val="5B263672"/>
    <w:rsid w:val="5B2829B8"/>
    <w:rsid w:val="5B500161"/>
    <w:rsid w:val="5B9242D5"/>
    <w:rsid w:val="5B9938B6"/>
    <w:rsid w:val="5B9B5880"/>
    <w:rsid w:val="5BA67D81"/>
    <w:rsid w:val="5BC32A68"/>
    <w:rsid w:val="5BED775E"/>
    <w:rsid w:val="5BF907F8"/>
    <w:rsid w:val="5BFE4D83"/>
    <w:rsid w:val="5C3F26AF"/>
    <w:rsid w:val="5C464A56"/>
    <w:rsid w:val="5C563555"/>
    <w:rsid w:val="5C6A7000"/>
    <w:rsid w:val="5C920267"/>
    <w:rsid w:val="5C9E7928"/>
    <w:rsid w:val="5CB85FBE"/>
    <w:rsid w:val="5CBA3AE4"/>
    <w:rsid w:val="5CCC1A69"/>
    <w:rsid w:val="5D5201C0"/>
    <w:rsid w:val="5DAA7D75"/>
    <w:rsid w:val="5DD10903"/>
    <w:rsid w:val="5DF254FF"/>
    <w:rsid w:val="5E0E058B"/>
    <w:rsid w:val="5E135D11"/>
    <w:rsid w:val="5E4C2B6B"/>
    <w:rsid w:val="5E8A398A"/>
    <w:rsid w:val="5E954808"/>
    <w:rsid w:val="5E9B59CB"/>
    <w:rsid w:val="5EA4420C"/>
    <w:rsid w:val="5EB10F16"/>
    <w:rsid w:val="5EEE3F19"/>
    <w:rsid w:val="5F0279C4"/>
    <w:rsid w:val="5F0C439F"/>
    <w:rsid w:val="5F313E05"/>
    <w:rsid w:val="5F645F89"/>
    <w:rsid w:val="5F8D1984"/>
    <w:rsid w:val="5F961333"/>
    <w:rsid w:val="5FC058B5"/>
    <w:rsid w:val="5FC30F01"/>
    <w:rsid w:val="602B6AA7"/>
    <w:rsid w:val="60433DF0"/>
    <w:rsid w:val="604C539B"/>
    <w:rsid w:val="6065645C"/>
    <w:rsid w:val="60681AA9"/>
    <w:rsid w:val="609C63E3"/>
    <w:rsid w:val="609F196E"/>
    <w:rsid w:val="60A26D69"/>
    <w:rsid w:val="60AA3E6F"/>
    <w:rsid w:val="60B62814"/>
    <w:rsid w:val="60DD4245"/>
    <w:rsid w:val="610C4B2A"/>
    <w:rsid w:val="616E30EF"/>
    <w:rsid w:val="6171498D"/>
    <w:rsid w:val="61736957"/>
    <w:rsid w:val="61811074"/>
    <w:rsid w:val="619012B7"/>
    <w:rsid w:val="619A2136"/>
    <w:rsid w:val="61A75566"/>
    <w:rsid w:val="61B64F19"/>
    <w:rsid w:val="61CD7F83"/>
    <w:rsid w:val="61D7354F"/>
    <w:rsid w:val="61ED495B"/>
    <w:rsid w:val="61EE5FDE"/>
    <w:rsid w:val="61FA0313"/>
    <w:rsid w:val="62516C98"/>
    <w:rsid w:val="626F5370"/>
    <w:rsid w:val="627B5AC3"/>
    <w:rsid w:val="62A74B0A"/>
    <w:rsid w:val="62B249B4"/>
    <w:rsid w:val="62E53885"/>
    <w:rsid w:val="630A6E47"/>
    <w:rsid w:val="632A1297"/>
    <w:rsid w:val="633F11E7"/>
    <w:rsid w:val="6356208C"/>
    <w:rsid w:val="635F7193"/>
    <w:rsid w:val="63732C3E"/>
    <w:rsid w:val="63C11BFC"/>
    <w:rsid w:val="63C17E4E"/>
    <w:rsid w:val="63C94F54"/>
    <w:rsid w:val="63DE27AE"/>
    <w:rsid w:val="63F41FD1"/>
    <w:rsid w:val="640D6BEF"/>
    <w:rsid w:val="640F3F59"/>
    <w:rsid w:val="64170648"/>
    <w:rsid w:val="64356146"/>
    <w:rsid w:val="646D1D84"/>
    <w:rsid w:val="647A41FA"/>
    <w:rsid w:val="64A62BA0"/>
    <w:rsid w:val="64B41760"/>
    <w:rsid w:val="652341F0"/>
    <w:rsid w:val="652E44A3"/>
    <w:rsid w:val="654E5711"/>
    <w:rsid w:val="6554084E"/>
    <w:rsid w:val="65554CF2"/>
    <w:rsid w:val="657333CA"/>
    <w:rsid w:val="65907AD8"/>
    <w:rsid w:val="65984BDE"/>
    <w:rsid w:val="65B23EF2"/>
    <w:rsid w:val="65B35574"/>
    <w:rsid w:val="65B676EF"/>
    <w:rsid w:val="65C77271"/>
    <w:rsid w:val="65C854C3"/>
    <w:rsid w:val="65F91B21"/>
    <w:rsid w:val="660E3AE9"/>
    <w:rsid w:val="6618187B"/>
    <w:rsid w:val="662A7F2C"/>
    <w:rsid w:val="662D17CA"/>
    <w:rsid w:val="664B39FF"/>
    <w:rsid w:val="6659611C"/>
    <w:rsid w:val="667E2026"/>
    <w:rsid w:val="66C37A39"/>
    <w:rsid w:val="66CF2882"/>
    <w:rsid w:val="671958AB"/>
    <w:rsid w:val="67332E10"/>
    <w:rsid w:val="67515045"/>
    <w:rsid w:val="6759039D"/>
    <w:rsid w:val="67742766"/>
    <w:rsid w:val="67BF46A4"/>
    <w:rsid w:val="67C56744"/>
    <w:rsid w:val="6804655B"/>
    <w:rsid w:val="683E2528"/>
    <w:rsid w:val="68525518"/>
    <w:rsid w:val="686D2352"/>
    <w:rsid w:val="688A2F04"/>
    <w:rsid w:val="68907DEF"/>
    <w:rsid w:val="69004F74"/>
    <w:rsid w:val="69005532"/>
    <w:rsid w:val="69112CDD"/>
    <w:rsid w:val="69194288"/>
    <w:rsid w:val="691F185D"/>
    <w:rsid w:val="69354EFB"/>
    <w:rsid w:val="6937396B"/>
    <w:rsid w:val="697119CE"/>
    <w:rsid w:val="699A7177"/>
    <w:rsid w:val="69BD0841"/>
    <w:rsid w:val="69C75B99"/>
    <w:rsid w:val="69D16911"/>
    <w:rsid w:val="69F30635"/>
    <w:rsid w:val="6A211646"/>
    <w:rsid w:val="6A3550F2"/>
    <w:rsid w:val="6A570BC4"/>
    <w:rsid w:val="6A61050B"/>
    <w:rsid w:val="6A627569"/>
    <w:rsid w:val="6A841BD5"/>
    <w:rsid w:val="6A9516EC"/>
    <w:rsid w:val="6AB53B3C"/>
    <w:rsid w:val="6AD466B8"/>
    <w:rsid w:val="6AD548E7"/>
    <w:rsid w:val="6ADB7A47"/>
    <w:rsid w:val="6AEB3A02"/>
    <w:rsid w:val="6AF24D91"/>
    <w:rsid w:val="6B036F9E"/>
    <w:rsid w:val="6B1B6095"/>
    <w:rsid w:val="6B321631"/>
    <w:rsid w:val="6B562347"/>
    <w:rsid w:val="6B721F30"/>
    <w:rsid w:val="6B824366"/>
    <w:rsid w:val="6B882FFF"/>
    <w:rsid w:val="6BA5135B"/>
    <w:rsid w:val="6BCA3618"/>
    <w:rsid w:val="6BD526E8"/>
    <w:rsid w:val="6BD6020E"/>
    <w:rsid w:val="6BD66460"/>
    <w:rsid w:val="6BEF307E"/>
    <w:rsid w:val="6BF15048"/>
    <w:rsid w:val="6C3F4006"/>
    <w:rsid w:val="6C4E4249"/>
    <w:rsid w:val="6C5E0930"/>
    <w:rsid w:val="6C756915"/>
    <w:rsid w:val="6C841DBF"/>
    <w:rsid w:val="6C8C6B1F"/>
    <w:rsid w:val="6CA83959"/>
    <w:rsid w:val="6CB00A5F"/>
    <w:rsid w:val="6D0668D1"/>
    <w:rsid w:val="6D1C52DE"/>
    <w:rsid w:val="6D21195D"/>
    <w:rsid w:val="6D2C27DC"/>
    <w:rsid w:val="6D2F7BD6"/>
    <w:rsid w:val="6D433C0C"/>
    <w:rsid w:val="6D501E74"/>
    <w:rsid w:val="6D527D69"/>
    <w:rsid w:val="6D785A21"/>
    <w:rsid w:val="6D8C327A"/>
    <w:rsid w:val="6DA93E2C"/>
    <w:rsid w:val="6DAF51BB"/>
    <w:rsid w:val="6DB85E1E"/>
    <w:rsid w:val="6DCC7B1B"/>
    <w:rsid w:val="6DD8026E"/>
    <w:rsid w:val="6DDB7D5E"/>
    <w:rsid w:val="6DDD7632"/>
    <w:rsid w:val="6DFC6CEF"/>
    <w:rsid w:val="6E1F649C"/>
    <w:rsid w:val="6E245261"/>
    <w:rsid w:val="6E313E22"/>
    <w:rsid w:val="6E4C47B8"/>
    <w:rsid w:val="6E71421E"/>
    <w:rsid w:val="6E9668CB"/>
    <w:rsid w:val="6EA6036C"/>
    <w:rsid w:val="6EA939B8"/>
    <w:rsid w:val="6EAC12BE"/>
    <w:rsid w:val="6EBF2F12"/>
    <w:rsid w:val="6EC30F1E"/>
    <w:rsid w:val="6EF015E7"/>
    <w:rsid w:val="6F0F4163"/>
    <w:rsid w:val="6F2A4AF9"/>
    <w:rsid w:val="6F4162E7"/>
    <w:rsid w:val="6F58426D"/>
    <w:rsid w:val="6F795A80"/>
    <w:rsid w:val="6F863CF9"/>
    <w:rsid w:val="6F9208F0"/>
    <w:rsid w:val="6F944668"/>
    <w:rsid w:val="6FB940CF"/>
    <w:rsid w:val="6FC52A74"/>
    <w:rsid w:val="6FE54EC4"/>
    <w:rsid w:val="6FE70FA6"/>
    <w:rsid w:val="6FE729EA"/>
    <w:rsid w:val="700A349F"/>
    <w:rsid w:val="7012394F"/>
    <w:rsid w:val="7020414E"/>
    <w:rsid w:val="70457711"/>
    <w:rsid w:val="70785D38"/>
    <w:rsid w:val="70A73F27"/>
    <w:rsid w:val="70AB1C6A"/>
    <w:rsid w:val="70BB28C7"/>
    <w:rsid w:val="70BD374B"/>
    <w:rsid w:val="70CB230C"/>
    <w:rsid w:val="71306613"/>
    <w:rsid w:val="713559D7"/>
    <w:rsid w:val="714F4CEB"/>
    <w:rsid w:val="71526589"/>
    <w:rsid w:val="715E4F2E"/>
    <w:rsid w:val="71630796"/>
    <w:rsid w:val="716D6F1F"/>
    <w:rsid w:val="71B44B4E"/>
    <w:rsid w:val="71B763EC"/>
    <w:rsid w:val="71C254BD"/>
    <w:rsid w:val="71C50B09"/>
    <w:rsid w:val="71D13952"/>
    <w:rsid w:val="71D90A58"/>
    <w:rsid w:val="72087019"/>
    <w:rsid w:val="723E2669"/>
    <w:rsid w:val="72404633"/>
    <w:rsid w:val="727367B7"/>
    <w:rsid w:val="727918F3"/>
    <w:rsid w:val="72C11AE7"/>
    <w:rsid w:val="72C9533D"/>
    <w:rsid w:val="72D54D7C"/>
    <w:rsid w:val="72D57472"/>
    <w:rsid w:val="72FD42D3"/>
    <w:rsid w:val="72FF629D"/>
    <w:rsid w:val="73104006"/>
    <w:rsid w:val="73261A7B"/>
    <w:rsid w:val="733107D8"/>
    <w:rsid w:val="73586098"/>
    <w:rsid w:val="735C724B"/>
    <w:rsid w:val="737C169B"/>
    <w:rsid w:val="739F7299"/>
    <w:rsid w:val="73FE47A6"/>
    <w:rsid w:val="740F4638"/>
    <w:rsid w:val="74367A9C"/>
    <w:rsid w:val="745C084D"/>
    <w:rsid w:val="745D6531"/>
    <w:rsid w:val="74600FBD"/>
    <w:rsid w:val="74744A68"/>
    <w:rsid w:val="749426E4"/>
    <w:rsid w:val="749A44CF"/>
    <w:rsid w:val="74AE3AD6"/>
    <w:rsid w:val="74CE3CD7"/>
    <w:rsid w:val="74DA2B1D"/>
    <w:rsid w:val="74DD362F"/>
    <w:rsid w:val="750E6C6B"/>
    <w:rsid w:val="7516167C"/>
    <w:rsid w:val="75287D2D"/>
    <w:rsid w:val="757A4300"/>
    <w:rsid w:val="75C30533"/>
    <w:rsid w:val="75D91027"/>
    <w:rsid w:val="760342F6"/>
    <w:rsid w:val="760B07BE"/>
    <w:rsid w:val="760D2A7F"/>
    <w:rsid w:val="761E2EDE"/>
    <w:rsid w:val="762A7AD4"/>
    <w:rsid w:val="76437692"/>
    <w:rsid w:val="76CC0B8C"/>
    <w:rsid w:val="76FA1255"/>
    <w:rsid w:val="76FB321F"/>
    <w:rsid w:val="772067E2"/>
    <w:rsid w:val="77342D4E"/>
    <w:rsid w:val="775A6197"/>
    <w:rsid w:val="776112D4"/>
    <w:rsid w:val="77664B3C"/>
    <w:rsid w:val="77764653"/>
    <w:rsid w:val="777C4360"/>
    <w:rsid w:val="77882D05"/>
    <w:rsid w:val="77D45F4A"/>
    <w:rsid w:val="77D8642D"/>
    <w:rsid w:val="77E37F3B"/>
    <w:rsid w:val="77EF4B32"/>
    <w:rsid w:val="77F27D38"/>
    <w:rsid w:val="77FA7033"/>
    <w:rsid w:val="77FC06C8"/>
    <w:rsid w:val="7819395D"/>
    <w:rsid w:val="78250553"/>
    <w:rsid w:val="785C1A9B"/>
    <w:rsid w:val="78746DE5"/>
    <w:rsid w:val="787853A5"/>
    <w:rsid w:val="78A21BA4"/>
    <w:rsid w:val="78A376CA"/>
    <w:rsid w:val="78C556E9"/>
    <w:rsid w:val="78C7160B"/>
    <w:rsid w:val="78D930EC"/>
    <w:rsid w:val="78EA5EF2"/>
    <w:rsid w:val="791A5BDE"/>
    <w:rsid w:val="791B3704"/>
    <w:rsid w:val="7920194D"/>
    <w:rsid w:val="7924080B"/>
    <w:rsid w:val="792F71B0"/>
    <w:rsid w:val="795A422D"/>
    <w:rsid w:val="795F5CE7"/>
    <w:rsid w:val="79823784"/>
    <w:rsid w:val="799314ED"/>
    <w:rsid w:val="79BA191D"/>
    <w:rsid w:val="79C1605A"/>
    <w:rsid w:val="79C77685"/>
    <w:rsid w:val="79D12015"/>
    <w:rsid w:val="79E306C6"/>
    <w:rsid w:val="79F3642F"/>
    <w:rsid w:val="79F857F4"/>
    <w:rsid w:val="7A1C14E2"/>
    <w:rsid w:val="7A270B71"/>
    <w:rsid w:val="7A275176"/>
    <w:rsid w:val="7A320D06"/>
    <w:rsid w:val="7A61783D"/>
    <w:rsid w:val="7A6548DF"/>
    <w:rsid w:val="7A772BBC"/>
    <w:rsid w:val="7A805F15"/>
    <w:rsid w:val="7AAA4D40"/>
    <w:rsid w:val="7AAF7244"/>
    <w:rsid w:val="7ACF29F8"/>
    <w:rsid w:val="7AD149C3"/>
    <w:rsid w:val="7AD711AD"/>
    <w:rsid w:val="7B0459CB"/>
    <w:rsid w:val="7B0A68E9"/>
    <w:rsid w:val="7B227779"/>
    <w:rsid w:val="7B3B1E3C"/>
    <w:rsid w:val="7B5771E6"/>
    <w:rsid w:val="7B727E9F"/>
    <w:rsid w:val="7C0C5586"/>
    <w:rsid w:val="7C240B22"/>
    <w:rsid w:val="7C286864"/>
    <w:rsid w:val="7C4E50B3"/>
    <w:rsid w:val="7C605FFE"/>
    <w:rsid w:val="7C694787"/>
    <w:rsid w:val="7CAB4D9F"/>
    <w:rsid w:val="7CBE4AD3"/>
    <w:rsid w:val="7CC55E61"/>
    <w:rsid w:val="7CD460A4"/>
    <w:rsid w:val="7D0E5A5A"/>
    <w:rsid w:val="7D2B02D8"/>
    <w:rsid w:val="7D366D5F"/>
    <w:rsid w:val="7D3905FD"/>
    <w:rsid w:val="7D397EFB"/>
    <w:rsid w:val="7D586CD5"/>
    <w:rsid w:val="7D6722A4"/>
    <w:rsid w:val="7D8555F0"/>
    <w:rsid w:val="7DA4016C"/>
    <w:rsid w:val="7DB61C4E"/>
    <w:rsid w:val="7DB879A9"/>
    <w:rsid w:val="7DE40569"/>
    <w:rsid w:val="7E114D79"/>
    <w:rsid w:val="7E1F3C97"/>
    <w:rsid w:val="7E2B6198"/>
    <w:rsid w:val="7E350DC4"/>
    <w:rsid w:val="7E590F57"/>
    <w:rsid w:val="7E65740D"/>
    <w:rsid w:val="7E7A2C7B"/>
    <w:rsid w:val="7E90249F"/>
    <w:rsid w:val="7E92445B"/>
    <w:rsid w:val="7EBC14E6"/>
    <w:rsid w:val="7EED306E"/>
    <w:rsid w:val="7F032C71"/>
    <w:rsid w:val="7F0D7F93"/>
    <w:rsid w:val="7F1B445E"/>
    <w:rsid w:val="7F21759B"/>
    <w:rsid w:val="7F2B657D"/>
    <w:rsid w:val="7F511C2E"/>
    <w:rsid w:val="7F8567C3"/>
    <w:rsid w:val="7F86582B"/>
    <w:rsid w:val="7F8D4BB9"/>
    <w:rsid w:val="7F9B559F"/>
    <w:rsid w:val="7FA77AA0"/>
    <w:rsid w:val="7FE72592"/>
    <w:rsid w:val="7FF645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iPriority="0" w:semiHidden="0" w:name="Normal Indent"/>
    <w:lsdException w:qFormat="1" w:unhideWhenUsed="0" w:uiPriority="0" w:semiHidden="0"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qFormat="1" w:uiPriority="99" w:semiHidden="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uiPriority="99" w:name="Body Text First Indent 2"/>
    <w:lsdException w:uiPriority="99" w:name="Note Heading"/>
    <w:lsdException w:uiPriority="99" w:name="Body Text 2"/>
    <w:lsdException w:qFormat="1"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qFormat="1"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pPr>
    <w:rPr>
      <w:rFonts w:ascii="宋体" w:hAnsi="宋体" w:eastAsia="宋体" w:cstheme="minorBidi"/>
      <w:kern w:val="2"/>
      <w:sz w:val="24"/>
      <w:szCs w:val="22"/>
      <w:lang w:val="en-US" w:eastAsia="zh-CN" w:bidi="ar-SA"/>
    </w:rPr>
  </w:style>
  <w:style w:type="paragraph" w:styleId="2">
    <w:name w:val="heading 1"/>
    <w:basedOn w:val="1"/>
    <w:next w:val="1"/>
    <w:link w:val="38"/>
    <w:qFormat/>
    <w:uiPriority w:val="9"/>
    <w:pPr>
      <w:keepNext/>
      <w:keepLines/>
      <w:spacing w:before="340" w:after="330" w:line="578" w:lineRule="auto"/>
      <w:jc w:val="center"/>
      <w:outlineLvl w:val="0"/>
    </w:pPr>
    <w:rPr>
      <w:rFonts w:eastAsia="黑体"/>
      <w:b/>
      <w:bCs/>
      <w:kern w:val="44"/>
      <w:sz w:val="44"/>
      <w:szCs w:val="44"/>
    </w:rPr>
  </w:style>
  <w:style w:type="paragraph" w:styleId="3">
    <w:name w:val="heading 2"/>
    <w:basedOn w:val="1"/>
    <w:next w:val="1"/>
    <w:link w:val="40"/>
    <w:unhideWhenUsed/>
    <w:qFormat/>
    <w:uiPriority w:val="9"/>
    <w:pPr>
      <w:keepNext/>
      <w:keepLines/>
      <w:spacing w:before="260" w:after="260" w:line="416" w:lineRule="auto"/>
      <w:outlineLvl w:val="1"/>
    </w:pPr>
    <w:rPr>
      <w:rFonts w:asciiTheme="majorHAnsi" w:hAnsiTheme="majorHAnsi" w:cstheme="majorBidi"/>
      <w:b/>
      <w:bCs/>
      <w:sz w:val="32"/>
      <w:szCs w:val="32"/>
    </w:rPr>
  </w:style>
  <w:style w:type="paragraph" w:styleId="4">
    <w:name w:val="heading 3"/>
    <w:basedOn w:val="1"/>
    <w:next w:val="1"/>
    <w:link w:val="49"/>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50"/>
    <w:unhideWhenUsed/>
    <w:qFormat/>
    <w:uiPriority w:val="9"/>
    <w:pPr>
      <w:keepNext/>
      <w:keepLines/>
      <w:spacing w:before="280" w:after="290" w:line="376" w:lineRule="auto"/>
      <w:outlineLvl w:val="3"/>
    </w:pPr>
    <w:rPr>
      <w:rFonts w:asciiTheme="majorHAnsi" w:hAnsiTheme="majorHAnsi" w:cstheme="majorBidi"/>
      <w:b/>
      <w:bCs/>
      <w:sz w:val="28"/>
      <w:szCs w:val="28"/>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autoRedefine/>
    <w:unhideWhenUsed/>
    <w:qFormat/>
    <w:uiPriority w:val="39"/>
    <w:pPr>
      <w:ind w:left="1440"/>
    </w:pPr>
    <w:rPr>
      <w:rFonts w:asciiTheme="minorHAnsi" w:eastAsiaTheme="minorHAnsi"/>
      <w:sz w:val="18"/>
      <w:szCs w:val="18"/>
    </w:rPr>
  </w:style>
  <w:style w:type="paragraph" w:styleId="7">
    <w:name w:val="Normal Indent"/>
    <w:basedOn w:val="1"/>
    <w:next w:val="1"/>
    <w:unhideWhenUsed/>
    <w:qFormat/>
    <w:uiPriority w:val="0"/>
    <w:pPr>
      <w:ind w:firstLine="420" w:firstLineChars="200"/>
    </w:pPr>
    <w:rPr>
      <w:rFonts w:ascii="Calibri" w:hAnsi="Calibri"/>
      <w:szCs w:val="22"/>
    </w:rPr>
  </w:style>
  <w:style w:type="paragraph" w:styleId="8">
    <w:name w:val="List Bullet"/>
    <w:basedOn w:val="1"/>
    <w:autoRedefine/>
    <w:unhideWhenUsed/>
    <w:qFormat/>
    <w:uiPriority w:val="99"/>
    <w:pPr>
      <w:tabs>
        <w:tab w:val="left" w:pos="360"/>
        <w:tab w:val="left" w:pos="1134"/>
      </w:tabs>
      <w:spacing w:line="240" w:lineRule="auto"/>
      <w:ind w:left="1134" w:hanging="1134"/>
      <w:contextualSpacing/>
      <w:jc w:val="both"/>
    </w:pPr>
    <w:rPr>
      <w:rFonts w:ascii="Times New Roman" w:hAnsi="Times New Roman" w:cs="Times New Roman"/>
      <w:kern w:val="0"/>
      <w:sz w:val="20"/>
      <w:szCs w:val="20"/>
    </w:rPr>
  </w:style>
  <w:style w:type="paragraph" w:styleId="9">
    <w:name w:val="annotation text"/>
    <w:basedOn w:val="1"/>
    <w:link w:val="47"/>
    <w:qFormat/>
    <w:uiPriority w:val="0"/>
    <w:pPr>
      <w:spacing w:line="240" w:lineRule="auto"/>
    </w:pPr>
    <w:rPr>
      <w:rFonts w:asciiTheme="minorHAnsi" w:hAnsiTheme="minorHAnsi" w:eastAsiaTheme="minorEastAsia"/>
      <w:sz w:val="21"/>
      <w:szCs w:val="24"/>
    </w:rPr>
  </w:style>
  <w:style w:type="paragraph" w:styleId="10">
    <w:name w:val="Body Text 3"/>
    <w:basedOn w:val="1"/>
    <w:link w:val="43"/>
    <w:semiHidden/>
    <w:unhideWhenUsed/>
    <w:qFormat/>
    <w:uiPriority w:val="99"/>
    <w:pPr>
      <w:spacing w:after="120"/>
    </w:pPr>
    <w:rPr>
      <w:sz w:val="16"/>
      <w:szCs w:val="16"/>
    </w:rPr>
  </w:style>
  <w:style w:type="paragraph" w:styleId="11">
    <w:name w:val="Body Text"/>
    <w:basedOn w:val="1"/>
    <w:link w:val="42"/>
    <w:unhideWhenUsed/>
    <w:qFormat/>
    <w:uiPriority w:val="99"/>
    <w:pPr>
      <w:spacing w:after="120" w:line="240" w:lineRule="auto"/>
      <w:jc w:val="both"/>
    </w:pPr>
    <w:rPr>
      <w:rFonts w:ascii="Times New Roman" w:hAnsi="Times New Roman" w:cs="Times New Roman"/>
      <w:kern w:val="0"/>
      <w:sz w:val="20"/>
      <w:szCs w:val="20"/>
    </w:rPr>
  </w:style>
  <w:style w:type="paragraph" w:styleId="12">
    <w:name w:val="Body Text Indent"/>
    <w:basedOn w:val="1"/>
    <w:unhideWhenUsed/>
    <w:qFormat/>
    <w:uiPriority w:val="0"/>
    <w:pPr>
      <w:ind w:firstLine="630"/>
    </w:pPr>
    <w:rPr>
      <w:rFonts w:eastAsia="仿宋_GB2312"/>
      <w:kern w:val="0"/>
      <w:sz w:val="32"/>
      <w:szCs w:val="20"/>
    </w:rPr>
  </w:style>
  <w:style w:type="paragraph" w:styleId="13">
    <w:name w:val="toc 5"/>
    <w:basedOn w:val="1"/>
    <w:next w:val="1"/>
    <w:autoRedefine/>
    <w:unhideWhenUsed/>
    <w:qFormat/>
    <w:uiPriority w:val="39"/>
    <w:pPr>
      <w:ind w:left="960"/>
    </w:pPr>
    <w:rPr>
      <w:rFonts w:asciiTheme="minorHAnsi" w:eastAsiaTheme="minorHAnsi"/>
      <w:sz w:val="18"/>
      <w:szCs w:val="18"/>
    </w:rPr>
  </w:style>
  <w:style w:type="paragraph" w:styleId="14">
    <w:name w:val="toc 3"/>
    <w:basedOn w:val="1"/>
    <w:next w:val="1"/>
    <w:autoRedefine/>
    <w:unhideWhenUsed/>
    <w:qFormat/>
    <w:uiPriority w:val="39"/>
    <w:pPr>
      <w:ind w:left="480"/>
    </w:pPr>
    <w:rPr>
      <w:rFonts w:asciiTheme="minorHAnsi" w:eastAsiaTheme="minorHAnsi"/>
      <w:i/>
      <w:iCs/>
      <w:sz w:val="20"/>
      <w:szCs w:val="20"/>
    </w:rPr>
  </w:style>
  <w:style w:type="paragraph" w:styleId="15">
    <w:name w:val="Plain Text"/>
    <w:basedOn w:val="1"/>
    <w:unhideWhenUsed/>
    <w:qFormat/>
    <w:uiPriority w:val="0"/>
    <w:rPr>
      <w:rFonts w:ascii="宋体" w:hAnsi="Courier New"/>
      <w:kern w:val="0"/>
      <w:sz w:val="20"/>
      <w:szCs w:val="20"/>
    </w:rPr>
  </w:style>
  <w:style w:type="paragraph" w:styleId="16">
    <w:name w:val="toc 8"/>
    <w:basedOn w:val="1"/>
    <w:next w:val="1"/>
    <w:autoRedefine/>
    <w:unhideWhenUsed/>
    <w:qFormat/>
    <w:uiPriority w:val="39"/>
    <w:pPr>
      <w:ind w:left="1680"/>
    </w:pPr>
    <w:rPr>
      <w:rFonts w:asciiTheme="minorHAnsi" w:eastAsiaTheme="minorHAnsi"/>
      <w:sz w:val="18"/>
      <w:szCs w:val="18"/>
    </w:rPr>
  </w:style>
  <w:style w:type="paragraph" w:styleId="17">
    <w:name w:val="footer"/>
    <w:basedOn w:val="1"/>
    <w:link w:val="37"/>
    <w:unhideWhenUsed/>
    <w:qFormat/>
    <w:uiPriority w:val="99"/>
    <w:pPr>
      <w:tabs>
        <w:tab w:val="center" w:pos="4153"/>
        <w:tab w:val="right" w:pos="8306"/>
      </w:tabs>
      <w:snapToGrid w:val="0"/>
    </w:pPr>
    <w:rPr>
      <w:sz w:val="18"/>
      <w:szCs w:val="18"/>
    </w:rPr>
  </w:style>
  <w:style w:type="paragraph" w:styleId="18">
    <w:name w:val="header"/>
    <w:basedOn w:val="1"/>
    <w:link w:val="36"/>
    <w:unhideWhenUsed/>
    <w:qFormat/>
    <w:uiPriority w:val="99"/>
    <w:pPr>
      <w:pBdr>
        <w:bottom w:val="single" w:color="auto" w:sz="6" w:space="1"/>
      </w:pBdr>
      <w:tabs>
        <w:tab w:val="center" w:pos="4153"/>
        <w:tab w:val="right" w:pos="8306"/>
      </w:tabs>
      <w:snapToGrid w:val="0"/>
      <w:jc w:val="center"/>
    </w:pPr>
    <w:rPr>
      <w:sz w:val="18"/>
      <w:szCs w:val="18"/>
    </w:rPr>
  </w:style>
  <w:style w:type="paragraph" w:styleId="19">
    <w:name w:val="toc 1"/>
    <w:basedOn w:val="1"/>
    <w:next w:val="1"/>
    <w:autoRedefine/>
    <w:unhideWhenUsed/>
    <w:qFormat/>
    <w:uiPriority w:val="39"/>
    <w:pPr>
      <w:spacing w:before="120" w:after="120"/>
    </w:pPr>
    <w:rPr>
      <w:rFonts w:asciiTheme="minorHAnsi" w:eastAsiaTheme="minorHAnsi"/>
      <w:b/>
      <w:bCs/>
      <w:caps/>
      <w:sz w:val="20"/>
      <w:szCs w:val="20"/>
    </w:rPr>
  </w:style>
  <w:style w:type="paragraph" w:styleId="20">
    <w:name w:val="toc 4"/>
    <w:basedOn w:val="1"/>
    <w:next w:val="1"/>
    <w:autoRedefine/>
    <w:unhideWhenUsed/>
    <w:qFormat/>
    <w:uiPriority w:val="39"/>
    <w:pPr>
      <w:ind w:left="720"/>
    </w:pPr>
    <w:rPr>
      <w:rFonts w:asciiTheme="minorHAnsi" w:eastAsiaTheme="minorHAnsi"/>
      <w:sz w:val="18"/>
      <w:szCs w:val="18"/>
    </w:rPr>
  </w:style>
  <w:style w:type="paragraph" w:styleId="21">
    <w:name w:val="footnote text"/>
    <w:basedOn w:val="1"/>
    <w:qFormat/>
    <w:uiPriority w:val="0"/>
    <w:pPr>
      <w:widowControl/>
      <w:jc w:val="left"/>
    </w:pPr>
    <w:rPr>
      <w:kern w:val="0"/>
      <w:sz w:val="20"/>
      <w:szCs w:val="20"/>
      <w:lang w:val="de-DE"/>
    </w:rPr>
  </w:style>
  <w:style w:type="paragraph" w:styleId="22">
    <w:name w:val="toc 6"/>
    <w:basedOn w:val="1"/>
    <w:next w:val="1"/>
    <w:autoRedefine/>
    <w:unhideWhenUsed/>
    <w:qFormat/>
    <w:uiPriority w:val="39"/>
    <w:pPr>
      <w:ind w:left="1200"/>
    </w:pPr>
    <w:rPr>
      <w:rFonts w:asciiTheme="minorHAnsi" w:eastAsiaTheme="minorHAnsi"/>
      <w:sz w:val="18"/>
      <w:szCs w:val="18"/>
    </w:rPr>
  </w:style>
  <w:style w:type="paragraph" w:styleId="23">
    <w:name w:val="toc 2"/>
    <w:basedOn w:val="1"/>
    <w:next w:val="1"/>
    <w:autoRedefine/>
    <w:unhideWhenUsed/>
    <w:qFormat/>
    <w:uiPriority w:val="39"/>
    <w:pPr>
      <w:ind w:left="240"/>
    </w:pPr>
    <w:rPr>
      <w:rFonts w:asciiTheme="minorHAnsi" w:eastAsiaTheme="minorHAnsi"/>
      <w:smallCaps/>
      <w:sz w:val="20"/>
      <w:szCs w:val="20"/>
    </w:rPr>
  </w:style>
  <w:style w:type="paragraph" w:styleId="24">
    <w:name w:val="toc 9"/>
    <w:basedOn w:val="1"/>
    <w:next w:val="1"/>
    <w:autoRedefine/>
    <w:unhideWhenUsed/>
    <w:qFormat/>
    <w:uiPriority w:val="39"/>
    <w:pPr>
      <w:ind w:left="1920"/>
    </w:pPr>
    <w:rPr>
      <w:rFonts w:asciiTheme="minorHAnsi" w:eastAsiaTheme="minorHAnsi"/>
      <w:sz w:val="18"/>
      <w:szCs w:val="18"/>
    </w:rPr>
  </w:style>
  <w:style w:type="paragraph" w:styleId="25">
    <w:name w:val="Normal (Web)"/>
    <w:basedOn w:val="1"/>
    <w:qFormat/>
    <w:uiPriority w:val="0"/>
    <w:pPr>
      <w:widowControl/>
      <w:spacing w:before="100" w:beforeAutospacing="1" w:after="100" w:afterAutospacing="1" w:line="240" w:lineRule="auto"/>
    </w:pPr>
    <w:rPr>
      <w:rFonts w:cs="宋体"/>
      <w:kern w:val="0"/>
      <w:szCs w:val="20"/>
    </w:rPr>
  </w:style>
  <w:style w:type="paragraph" w:styleId="26">
    <w:name w:val="annotation subject"/>
    <w:basedOn w:val="9"/>
    <w:next w:val="9"/>
    <w:link w:val="52"/>
    <w:semiHidden/>
    <w:unhideWhenUsed/>
    <w:qFormat/>
    <w:uiPriority w:val="99"/>
    <w:pPr>
      <w:spacing w:line="360" w:lineRule="auto"/>
    </w:pPr>
    <w:rPr>
      <w:rFonts w:ascii="宋体" w:hAnsi="宋体" w:eastAsia="宋体"/>
      <w:b/>
      <w:bCs/>
      <w:sz w:val="24"/>
      <w:szCs w:val="22"/>
    </w:rPr>
  </w:style>
  <w:style w:type="paragraph" w:styleId="27">
    <w:name w:val="Body Text First Indent"/>
    <w:basedOn w:val="11"/>
    <w:next w:val="1"/>
    <w:unhideWhenUsed/>
    <w:qFormat/>
    <w:uiPriority w:val="99"/>
    <w:pPr>
      <w:spacing w:after="120" w:line="360" w:lineRule="auto"/>
      <w:ind w:firstLine="420" w:firstLineChars="100"/>
    </w:pPr>
    <w:rPr>
      <w:rFonts w:ascii="Calibri" w:hAnsi="Calibri" w:eastAsia="仿宋"/>
      <w:sz w:val="28"/>
    </w:rPr>
  </w:style>
  <w:style w:type="table" w:styleId="29">
    <w:name w:val="Table Grid"/>
    <w:basedOn w:val="2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qFormat/>
    <w:uiPriority w:val="0"/>
    <w:rPr>
      <w:b/>
      <w:bCs/>
    </w:rPr>
  </w:style>
  <w:style w:type="character" w:styleId="32">
    <w:name w:val="Hyperlink"/>
    <w:basedOn w:val="30"/>
    <w:unhideWhenUsed/>
    <w:qFormat/>
    <w:uiPriority w:val="99"/>
    <w:rPr>
      <w:color w:val="0563C1" w:themeColor="hyperlink"/>
      <w:u w:val="single"/>
      <w14:textFill>
        <w14:solidFill>
          <w14:schemeClr w14:val="hlink"/>
        </w14:solidFill>
      </w14:textFill>
    </w:rPr>
  </w:style>
  <w:style w:type="character" w:styleId="33">
    <w:name w:val="annotation reference"/>
    <w:basedOn w:val="30"/>
    <w:semiHidden/>
    <w:unhideWhenUsed/>
    <w:qFormat/>
    <w:uiPriority w:val="99"/>
    <w:rPr>
      <w:sz w:val="21"/>
      <w:szCs w:val="21"/>
    </w:rPr>
  </w:style>
  <w:style w:type="character" w:styleId="34">
    <w:name w:val="HTML Sample"/>
    <w:basedOn w:val="30"/>
    <w:semiHidden/>
    <w:unhideWhenUsed/>
    <w:qFormat/>
    <w:uiPriority w:val="99"/>
    <w:rPr>
      <w:rFonts w:ascii="Courier New" w:hAnsi="Courier New"/>
    </w:rPr>
  </w:style>
  <w:style w:type="paragraph" w:customStyle="1" w:styleId="35">
    <w:name w:val="正文缩进2"/>
    <w:basedOn w:val="1"/>
    <w:qFormat/>
    <w:uiPriority w:val="0"/>
    <w:pPr>
      <w:wordWrap w:val="0"/>
      <w:ind w:firstLine="200" w:firstLineChars="200"/>
    </w:pPr>
  </w:style>
  <w:style w:type="character" w:customStyle="1" w:styleId="36">
    <w:name w:val="页眉 字符"/>
    <w:basedOn w:val="30"/>
    <w:link w:val="18"/>
    <w:qFormat/>
    <w:uiPriority w:val="99"/>
    <w:rPr>
      <w:rFonts w:eastAsia="宋体"/>
      <w:sz w:val="18"/>
      <w:szCs w:val="18"/>
    </w:rPr>
  </w:style>
  <w:style w:type="character" w:customStyle="1" w:styleId="37">
    <w:name w:val="页脚 字符"/>
    <w:basedOn w:val="30"/>
    <w:link w:val="17"/>
    <w:qFormat/>
    <w:uiPriority w:val="99"/>
    <w:rPr>
      <w:rFonts w:eastAsia="宋体"/>
      <w:sz w:val="18"/>
      <w:szCs w:val="18"/>
    </w:rPr>
  </w:style>
  <w:style w:type="character" w:customStyle="1" w:styleId="38">
    <w:name w:val="标题 1 字符"/>
    <w:basedOn w:val="30"/>
    <w:link w:val="2"/>
    <w:qFormat/>
    <w:uiPriority w:val="9"/>
    <w:rPr>
      <w:rFonts w:ascii="宋体" w:hAnsi="宋体" w:eastAsia="黑体"/>
      <w:b/>
      <w:bCs/>
      <w:kern w:val="44"/>
      <w:sz w:val="44"/>
      <w:szCs w:val="44"/>
    </w:rPr>
  </w:style>
  <w:style w:type="paragraph" w:styleId="39">
    <w:name w:val="List Paragraph"/>
    <w:basedOn w:val="1"/>
    <w:link w:val="48"/>
    <w:qFormat/>
    <w:uiPriority w:val="34"/>
    <w:pPr>
      <w:ind w:firstLine="420" w:firstLineChars="200"/>
    </w:pPr>
  </w:style>
  <w:style w:type="character" w:customStyle="1" w:styleId="40">
    <w:name w:val="标题 2 字符"/>
    <w:basedOn w:val="30"/>
    <w:link w:val="3"/>
    <w:qFormat/>
    <w:uiPriority w:val="9"/>
    <w:rPr>
      <w:rFonts w:eastAsia="宋体" w:asciiTheme="majorHAnsi" w:hAnsiTheme="majorHAnsi" w:cstheme="majorBidi"/>
      <w:b/>
      <w:bCs/>
      <w:sz w:val="32"/>
      <w:szCs w:val="32"/>
    </w:rPr>
  </w:style>
  <w:style w:type="character" w:customStyle="1" w:styleId="41">
    <w:name w:val="未处理的提及1"/>
    <w:basedOn w:val="30"/>
    <w:semiHidden/>
    <w:unhideWhenUsed/>
    <w:qFormat/>
    <w:uiPriority w:val="99"/>
    <w:rPr>
      <w:color w:val="605E5C"/>
      <w:shd w:val="clear" w:color="auto" w:fill="E1DFDD"/>
    </w:rPr>
  </w:style>
  <w:style w:type="character" w:customStyle="1" w:styleId="42">
    <w:name w:val="正文文本 字符"/>
    <w:basedOn w:val="30"/>
    <w:link w:val="11"/>
    <w:qFormat/>
    <w:uiPriority w:val="99"/>
    <w:rPr>
      <w:rFonts w:ascii="Times New Roman" w:hAnsi="Times New Roman" w:eastAsia="宋体" w:cs="Times New Roman"/>
      <w:kern w:val="0"/>
      <w:sz w:val="20"/>
      <w:szCs w:val="20"/>
    </w:rPr>
  </w:style>
  <w:style w:type="character" w:customStyle="1" w:styleId="43">
    <w:name w:val="正文文本 3 字符"/>
    <w:basedOn w:val="30"/>
    <w:link w:val="10"/>
    <w:semiHidden/>
    <w:qFormat/>
    <w:uiPriority w:val="99"/>
    <w:rPr>
      <w:rFonts w:ascii="宋体" w:hAnsi="宋体" w:eastAsia="宋体"/>
      <w:sz w:val="16"/>
      <w:szCs w:val="16"/>
    </w:rPr>
  </w:style>
  <w:style w:type="paragraph" w:customStyle="1" w:styleId="44">
    <w:name w:val="Default"/>
    <w:link w:val="45"/>
    <w:qFormat/>
    <w:uiPriority w:val="0"/>
    <w:pPr>
      <w:widowControl w:val="0"/>
      <w:autoSpaceDE w:val="0"/>
      <w:autoSpaceDN w:val="0"/>
      <w:adjustRightInd w:val="0"/>
    </w:pPr>
    <w:rPr>
      <w:rFonts w:ascii=".." w:hAnsi="Times New Roman" w:eastAsia=".." w:cs="Times New Roman"/>
      <w:color w:val="000000"/>
      <w:sz w:val="24"/>
      <w:szCs w:val="24"/>
      <w:lang w:val="en-US" w:eastAsia="zh-CN" w:bidi="ar-SA"/>
    </w:rPr>
  </w:style>
  <w:style w:type="character" w:customStyle="1" w:styleId="45">
    <w:name w:val="Default Char Char"/>
    <w:link w:val="44"/>
    <w:qFormat/>
    <w:uiPriority w:val="0"/>
    <w:rPr>
      <w:rFonts w:ascii=".." w:hAnsi="Times New Roman" w:eastAsia=".." w:cs="Times New Roman"/>
      <w:color w:val="000000"/>
      <w:kern w:val="0"/>
      <w:sz w:val="24"/>
      <w:szCs w:val="24"/>
    </w:rPr>
  </w:style>
  <w:style w:type="paragraph" w:styleId="46">
    <w:name w:val="No Spacing"/>
    <w:link w:val="51"/>
    <w:qFormat/>
    <w:uiPriority w:val="1"/>
    <w:pPr>
      <w:widowControl w:val="0"/>
    </w:pPr>
    <w:rPr>
      <w:rFonts w:ascii="宋体" w:hAnsi="宋体" w:eastAsia="宋体" w:cstheme="minorBidi"/>
      <w:kern w:val="2"/>
      <w:sz w:val="21"/>
      <w:szCs w:val="22"/>
      <w:lang w:val="en-US" w:eastAsia="zh-CN" w:bidi="ar-SA"/>
    </w:rPr>
  </w:style>
  <w:style w:type="character" w:customStyle="1" w:styleId="47">
    <w:name w:val="批注文字 字符"/>
    <w:basedOn w:val="30"/>
    <w:link w:val="9"/>
    <w:qFormat/>
    <w:uiPriority w:val="0"/>
    <w:rPr>
      <w:szCs w:val="24"/>
    </w:rPr>
  </w:style>
  <w:style w:type="character" w:customStyle="1" w:styleId="48">
    <w:name w:val="列表段落 字符"/>
    <w:link w:val="39"/>
    <w:qFormat/>
    <w:uiPriority w:val="34"/>
    <w:rPr>
      <w:rFonts w:ascii="宋体" w:hAnsi="宋体" w:eastAsia="宋体"/>
      <w:sz w:val="24"/>
    </w:rPr>
  </w:style>
  <w:style w:type="character" w:customStyle="1" w:styleId="49">
    <w:name w:val="标题 3 字符"/>
    <w:basedOn w:val="30"/>
    <w:link w:val="4"/>
    <w:autoRedefine/>
    <w:qFormat/>
    <w:uiPriority w:val="9"/>
    <w:rPr>
      <w:rFonts w:ascii="宋体" w:hAnsi="宋体" w:eastAsia="宋体"/>
      <w:b/>
      <w:bCs/>
      <w:sz w:val="32"/>
      <w:szCs w:val="32"/>
    </w:rPr>
  </w:style>
  <w:style w:type="character" w:customStyle="1" w:styleId="50">
    <w:name w:val="标题 4 字符"/>
    <w:basedOn w:val="30"/>
    <w:link w:val="5"/>
    <w:autoRedefine/>
    <w:qFormat/>
    <w:uiPriority w:val="9"/>
    <w:rPr>
      <w:rFonts w:eastAsia="宋体" w:asciiTheme="majorHAnsi" w:hAnsiTheme="majorHAnsi" w:cstheme="majorBidi"/>
      <w:b/>
      <w:bCs/>
      <w:sz w:val="28"/>
      <w:szCs w:val="28"/>
    </w:rPr>
  </w:style>
  <w:style w:type="character" w:customStyle="1" w:styleId="51">
    <w:name w:val="无间隔 字符"/>
    <w:link w:val="46"/>
    <w:qFormat/>
    <w:uiPriority w:val="1"/>
    <w:rPr>
      <w:rFonts w:ascii="宋体" w:hAnsi="宋体" w:eastAsia="宋体"/>
    </w:rPr>
  </w:style>
  <w:style w:type="character" w:customStyle="1" w:styleId="52">
    <w:name w:val="批注主题 字符"/>
    <w:basedOn w:val="47"/>
    <w:link w:val="26"/>
    <w:semiHidden/>
    <w:qFormat/>
    <w:uiPriority w:val="99"/>
    <w:rPr>
      <w:rFonts w:ascii="宋体" w:hAnsi="宋体" w:eastAsia="宋体"/>
      <w:b/>
      <w:bCs/>
      <w:kern w:val="2"/>
      <w:sz w:val="24"/>
      <w:szCs w:val="22"/>
    </w:rPr>
  </w:style>
  <w:style w:type="paragraph" w:customStyle="1" w:styleId="53">
    <w:name w:val="AONormal"/>
    <w:autoRedefine/>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54">
    <w:name w:val="正文_1_1"/>
    <w:autoRedefine/>
    <w:qFormat/>
    <w:uiPriority w:val="99"/>
    <w:pPr>
      <w:widowControl w:val="0"/>
      <w:jc w:val="both"/>
    </w:pPr>
    <w:rPr>
      <w:rFonts w:ascii="Calibri" w:hAnsi="Calibri" w:eastAsia="宋体" w:cs="Times New Roman"/>
      <w:kern w:val="2"/>
      <w:sz w:val="21"/>
      <w:szCs w:val="24"/>
      <w:lang w:val="en-US" w:eastAsia="zh-CN" w:bidi="ar-SA"/>
    </w:rPr>
  </w:style>
  <w:style w:type="paragraph" w:customStyle="1" w:styleId="55">
    <w:name w:val="正文1"/>
    <w:autoRedefine/>
    <w:qFormat/>
    <w:uiPriority w:val="0"/>
    <w:pPr>
      <w:widowControl w:val="0"/>
      <w:jc w:val="both"/>
    </w:pPr>
    <w:rPr>
      <w:rFonts w:ascii="Calibri" w:hAnsi="Calibri" w:eastAsia="宋体" w:cs="Times New Roman"/>
      <w:lang w:val="en-US" w:eastAsia="zh-CN" w:bidi="ar-SA"/>
    </w:rPr>
  </w:style>
  <w:style w:type="paragraph" w:customStyle="1" w:styleId="56">
    <w:name w:val="正文_2"/>
    <w:autoRedefine/>
    <w:qFormat/>
    <w:uiPriority w:val="0"/>
    <w:pPr>
      <w:widowControl w:val="0"/>
      <w:jc w:val="both"/>
    </w:pPr>
    <w:rPr>
      <w:rFonts w:ascii="Calibri" w:hAnsi="Calibri" w:eastAsia="宋体" w:cs="Times New Roman"/>
      <w:lang w:val="en-US" w:eastAsia="zh-CN" w:bidi="ar-SA"/>
    </w:rPr>
  </w:style>
  <w:style w:type="paragraph" w:customStyle="1" w:styleId="57">
    <w:name w:val="Normal"/>
    <w:autoRedefine/>
    <w:qFormat/>
    <w:uiPriority w:val="0"/>
    <w:pPr>
      <w:widowControl w:val="0"/>
      <w:jc w:val="both"/>
    </w:pPr>
    <w:rPr>
      <w:rFonts w:ascii="Times New Roman" w:hAnsi="Times New Roman" w:eastAsia="Times New Roman" w:cs="Times New Roman"/>
      <w:lang w:val="en-US" w:eastAsia="zh-CN" w:bidi="ar-SA"/>
    </w:rPr>
  </w:style>
  <w:style w:type="paragraph" w:customStyle="1" w:styleId="58">
    <w:name w:val="正文_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9">
    <w:name w:val="xl31"/>
    <w:basedOn w:val="1"/>
    <w:autoRedefine/>
    <w:qFormat/>
    <w:uiPriority w:val="0"/>
    <w:pPr>
      <w:widowControl/>
      <w:spacing w:before="100" w:beforeAutospacing="1" w:after="100" w:afterAutospacing="1"/>
      <w:jc w:val="center"/>
    </w:pPr>
    <w:rPr>
      <w:b/>
      <w:bCs/>
      <w:kern w:val="0"/>
      <w:sz w:val="28"/>
      <w:szCs w:val="28"/>
    </w:rPr>
  </w:style>
  <w:style w:type="paragraph" w:customStyle="1" w:styleId="60">
    <w:name w:val="列出段落1"/>
    <w:basedOn w:val="1"/>
    <w:autoRedefine/>
    <w:qFormat/>
    <w:uiPriority w:val="0"/>
    <w:pPr>
      <w:ind w:firstLine="420" w:firstLineChars="200"/>
    </w:pPr>
    <w:rPr>
      <w:szCs w:val="21"/>
    </w:rPr>
  </w:style>
  <w:style w:type="paragraph" w:customStyle="1" w:styleId="61">
    <w:name w:val="Normal_22"/>
    <w:autoRedefine/>
    <w:qFormat/>
    <w:uiPriority w:val="0"/>
    <w:rPr>
      <w:rFonts w:ascii="Times New Roman" w:hAnsi="Times New Roman" w:eastAsia="Times New Roman" w:cs="Times New Roman"/>
      <w:sz w:val="24"/>
      <w:szCs w:val="24"/>
      <w:lang w:bidi="ar-SA"/>
    </w:rPr>
  </w:style>
  <w:style w:type="paragraph" w:customStyle="1" w:styleId="62">
    <w:name w:val="Char Char Char Char Char Char Char1 Char"/>
    <w:basedOn w:val="1"/>
    <w:autoRedefine/>
    <w:qFormat/>
    <w:uiPriority w:val="0"/>
    <w:rPr>
      <w:rFonts w:ascii="Arial" w:hAnsi="Arial" w:eastAsia="宋体" w:cs="Arial"/>
      <w:sz w:val="24"/>
    </w:rPr>
  </w:style>
  <w:style w:type="paragraph" w:customStyle="1" w:styleId="63">
    <w:name w:val="正文缩进2格"/>
    <w:basedOn w:val="1"/>
    <w:qFormat/>
    <w:uiPriority w:val="0"/>
    <w:pPr>
      <w:spacing w:line="600" w:lineRule="exact"/>
      <w:ind w:firstLine="639" w:firstLineChars="206"/>
    </w:pPr>
    <w:rPr>
      <w:rFonts w:ascii="仿宋_GB2312" w:hAnsi="宋体" w:eastAsia="仿宋_GB2312"/>
      <w:kern w:val="0"/>
      <w:sz w:val="31"/>
      <w:szCs w:val="20"/>
    </w:rPr>
  </w:style>
  <w:style w:type="paragraph" w:customStyle="1" w:styleId="64">
    <w:name w:val="Table Text"/>
    <w:basedOn w:val="1"/>
    <w:autoRedefine/>
    <w:semiHidden/>
    <w:qFormat/>
    <w:uiPriority w:val="0"/>
    <w:rPr>
      <w:rFonts w:ascii="宋体" w:hAnsi="宋体" w:eastAsia="宋体" w:cs="宋体"/>
      <w:sz w:val="24"/>
      <w:szCs w:val="24"/>
      <w:lang w:val="en-US" w:eastAsia="en-US" w:bidi="ar-SA"/>
    </w:rPr>
  </w:style>
  <w:style w:type="table" w:customStyle="1" w:styleId="65">
    <w:name w:val="Table Normal"/>
    <w:semiHidden/>
    <w:unhideWhenUsed/>
    <w:qFormat/>
    <w:uiPriority w:val="0"/>
    <w:tblPr>
      <w:tblCellMar>
        <w:top w:w="0" w:type="dxa"/>
        <w:left w:w="0" w:type="dxa"/>
        <w:bottom w:w="0" w:type="dxa"/>
        <w:right w:w="0" w:type="dxa"/>
      </w:tblCellMar>
    </w:tblPr>
  </w:style>
  <w:style w:type="character" w:customStyle="1" w:styleId="66">
    <w:name w:val="bookmark-item"/>
    <w:basedOn w:val="30"/>
    <w:autoRedefine/>
    <w:qFormat/>
    <w:uiPriority w:val="0"/>
  </w:style>
  <w:style w:type="character" w:customStyle="1" w:styleId="67">
    <w:name w:val="NormalCharacter"/>
    <w:autoRedefine/>
    <w:semiHidden/>
    <w:qFormat/>
    <w:uiPriority w:val="0"/>
    <w:rPr>
      <w:rFonts w:ascii="Times New Roman" w:hAnsi="Times New Roman" w:eastAsia="宋体;SimSun"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4" Type="http://schemas.openxmlformats.org/officeDocument/2006/relationships/font" Target="fonts/font14.odttf"/><Relationship Id="rId13" Type="http://schemas.openxmlformats.org/officeDocument/2006/relationships/font" Target="fonts/font13.odttf"/><Relationship Id="rId12" Type="http://schemas.openxmlformats.org/officeDocument/2006/relationships/font" Target="fonts/font12.odttf"/><Relationship Id="rId11" Type="http://schemas.openxmlformats.org/officeDocument/2006/relationships/font" Target="fonts/font11.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90</Pages>
  <Words>31077</Words>
  <Characters>32973</Characters>
  <Lines>294</Lines>
  <Paragraphs>82</Paragraphs>
  <TotalTime>0</TotalTime>
  <ScaleCrop>false</ScaleCrop>
  <LinksUpToDate>false</LinksUpToDate>
  <CharactersWithSpaces>33403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2024-02-04T06:30:00Z</dcterms:created>
  <dc:creator>admin</dc:creator>
  <cp:lastModifiedBy>夏至。</cp:lastModifiedBy>
  <cp:lastPrinted>2025-06-30T01:42:00Z</cp:lastPrinted>
  <dcterms:modified xsi:type="dcterms:W3CDTF">2025-07-10T05:34:30Z</dcterms:modified>
  <cp:revision>397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FB05661901F94C7F9F6537FC0B519A12_13</vt:lpwstr>
  </property>
  <property fmtid="{D5CDD505-2E9C-101B-9397-08002B2CF9AE}" pid="4" name="KSOTemplateDocerSaveRecord">
    <vt:lpwstr>eyJoZGlkIjoiZDExYzIyNjM2ZDA2NzUwNDYyMzBjNDBiMWE4YjA2MDMiLCJ1c2VySWQiOiI1NzIyOTI3NDcifQ==</vt:lpwstr>
  </property>
</Properties>
</file>